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E3021" w:rsidRDefault="004E3021">
      <w:pPr>
        <w:widowControl/>
        <w:ind w:firstLine="480"/>
        <w:jc w:val="left"/>
        <w:rPr>
          <w:kern w:val="0"/>
        </w:rPr>
      </w:pPr>
    </w:p>
    <w:p w:rsidR="004E3021" w:rsidRDefault="004E3021">
      <w:pPr>
        <w:tabs>
          <w:tab w:val="center" w:pos="4153"/>
          <w:tab w:val="right" w:pos="8306"/>
        </w:tabs>
        <w:spacing w:line="312" w:lineRule="auto"/>
        <w:ind w:firstLine="1044"/>
        <w:jc w:val="center"/>
        <w:rPr>
          <w:b/>
          <w:sz w:val="52"/>
          <w:szCs w:val="52"/>
        </w:rPr>
      </w:pPr>
    </w:p>
    <w:p w:rsidR="004E3021" w:rsidRDefault="004E3021">
      <w:pPr>
        <w:tabs>
          <w:tab w:val="center" w:pos="4153"/>
          <w:tab w:val="right" w:pos="8306"/>
        </w:tabs>
        <w:spacing w:line="312" w:lineRule="auto"/>
        <w:ind w:firstLine="1044"/>
        <w:jc w:val="center"/>
        <w:rPr>
          <w:b/>
          <w:sz w:val="52"/>
          <w:szCs w:val="52"/>
        </w:rPr>
      </w:pPr>
    </w:p>
    <w:p w:rsidR="004E3021" w:rsidRDefault="00606E48">
      <w:pPr>
        <w:spacing w:line="300" w:lineRule="auto"/>
        <w:ind w:firstLineChars="0" w:firstLine="0"/>
        <w:jc w:val="center"/>
        <w:rPr>
          <w:rFonts w:eastAsia="华文新魏"/>
          <w:sz w:val="44"/>
          <w:szCs w:val="44"/>
        </w:rPr>
      </w:pPr>
      <w:r>
        <w:rPr>
          <w:rFonts w:eastAsia="华文新魏" w:hint="eastAsia"/>
          <w:sz w:val="44"/>
          <w:szCs w:val="44"/>
        </w:rPr>
        <w:t>安徽凯盛应用材料有限公司</w:t>
      </w:r>
    </w:p>
    <w:p w:rsidR="004E3021" w:rsidRDefault="00606E48">
      <w:pPr>
        <w:spacing w:line="300" w:lineRule="auto"/>
        <w:ind w:firstLineChars="0" w:firstLine="0"/>
        <w:jc w:val="center"/>
        <w:rPr>
          <w:rFonts w:eastAsia="华文新魏"/>
          <w:sz w:val="44"/>
          <w:szCs w:val="44"/>
        </w:rPr>
      </w:pPr>
      <w:r>
        <w:rPr>
          <w:rFonts w:eastAsia="华文新魏" w:hint="eastAsia"/>
          <w:sz w:val="44"/>
          <w:szCs w:val="44"/>
        </w:rPr>
        <w:t>年产</w:t>
      </w:r>
      <w:r>
        <w:rPr>
          <w:rFonts w:eastAsia="华文新魏" w:hint="eastAsia"/>
          <w:sz w:val="44"/>
          <w:szCs w:val="44"/>
        </w:rPr>
        <w:t>7000</w:t>
      </w:r>
      <w:r>
        <w:rPr>
          <w:rFonts w:eastAsia="华文新魏" w:hint="eastAsia"/>
          <w:sz w:val="44"/>
          <w:szCs w:val="44"/>
        </w:rPr>
        <w:t>吨硅基新材料技改</w:t>
      </w:r>
      <w:r>
        <w:rPr>
          <w:rFonts w:eastAsia="华文新魏" w:hint="eastAsia"/>
          <w:sz w:val="44"/>
          <w:szCs w:val="44"/>
        </w:rPr>
        <w:t>/</w:t>
      </w:r>
      <w:r>
        <w:rPr>
          <w:rFonts w:eastAsia="华文新魏" w:hint="eastAsia"/>
          <w:sz w:val="44"/>
          <w:szCs w:val="44"/>
        </w:rPr>
        <w:t>扩建项目</w:t>
      </w:r>
    </w:p>
    <w:p w:rsidR="004E3021" w:rsidRDefault="004E3021">
      <w:pPr>
        <w:tabs>
          <w:tab w:val="center" w:pos="4153"/>
          <w:tab w:val="right" w:pos="8306"/>
        </w:tabs>
        <w:spacing w:line="312" w:lineRule="auto"/>
        <w:ind w:firstLine="883"/>
        <w:jc w:val="center"/>
        <w:rPr>
          <w:b/>
          <w:sz w:val="44"/>
          <w:szCs w:val="44"/>
        </w:rPr>
      </w:pPr>
    </w:p>
    <w:p w:rsidR="004E3021" w:rsidRDefault="004E3021">
      <w:pPr>
        <w:tabs>
          <w:tab w:val="center" w:pos="4153"/>
          <w:tab w:val="right" w:pos="8306"/>
        </w:tabs>
        <w:spacing w:line="240" w:lineRule="atLeast"/>
        <w:ind w:firstLine="1044"/>
        <w:jc w:val="center"/>
        <w:rPr>
          <w:b/>
          <w:sz w:val="52"/>
          <w:szCs w:val="52"/>
        </w:rPr>
      </w:pPr>
    </w:p>
    <w:p w:rsidR="004E3021" w:rsidRDefault="00606E48">
      <w:pPr>
        <w:tabs>
          <w:tab w:val="center" w:pos="4153"/>
          <w:tab w:val="right" w:pos="8306"/>
        </w:tabs>
        <w:spacing w:line="312" w:lineRule="auto"/>
        <w:ind w:firstLineChars="0" w:firstLine="0"/>
        <w:jc w:val="center"/>
        <w:rPr>
          <w:rFonts w:eastAsia="华文新魏"/>
          <w:b/>
          <w:sz w:val="72"/>
          <w:szCs w:val="52"/>
        </w:rPr>
      </w:pPr>
      <w:r>
        <w:rPr>
          <w:rFonts w:eastAsia="华文新魏"/>
          <w:b/>
          <w:sz w:val="72"/>
          <w:szCs w:val="52"/>
        </w:rPr>
        <w:t>环境影响报告书</w:t>
      </w:r>
    </w:p>
    <w:p w:rsidR="004E3021" w:rsidRDefault="00606E48">
      <w:pPr>
        <w:tabs>
          <w:tab w:val="center" w:pos="4153"/>
          <w:tab w:val="right" w:pos="8306"/>
        </w:tabs>
        <w:spacing w:line="312" w:lineRule="auto"/>
        <w:ind w:firstLineChars="0" w:firstLine="0"/>
        <w:jc w:val="center"/>
        <w:rPr>
          <w:rFonts w:eastAsia="华文新魏"/>
          <w:b/>
          <w:color w:val="000000" w:themeColor="text1"/>
          <w:sz w:val="44"/>
          <w:szCs w:val="52"/>
        </w:rPr>
      </w:pPr>
      <w:r>
        <w:rPr>
          <w:rFonts w:eastAsia="华文新魏"/>
          <w:b/>
          <w:color w:val="000000" w:themeColor="text1"/>
          <w:sz w:val="44"/>
          <w:szCs w:val="52"/>
        </w:rPr>
        <w:t>（</w:t>
      </w:r>
      <w:r w:rsidR="00B179FB">
        <w:rPr>
          <w:rFonts w:eastAsia="华文新魏" w:hint="eastAsia"/>
          <w:b/>
          <w:color w:val="000000" w:themeColor="text1"/>
          <w:sz w:val="44"/>
          <w:szCs w:val="52"/>
        </w:rPr>
        <w:t>全本公示</w:t>
      </w:r>
      <w:r>
        <w:rPr>
          <w:rFonts w:eastAsia="华文新魏" w:hint="eastAsia"/>
          <w:b/>
          <w:color w:val="000000" w:themeColor="text1"/>
          <w:sz w:val="44"/>
          <w:szCs w:val="52"/>
        </w:rPr>
        <w:t>稿</w:t>
      </w:r>
      <w:r>
        <w:rPr>
          <w:rFonts w:eastAsia="华文新魏"/>
          <w:b/>
          <w:color w:val="000000" w:themeColor="text1"/>
          <w:sz w:val="44"/>
          <w:szCs w:val="52"/>
        </w:rPr>
        <w:t>）</w:t>
      </w:r>
    </w:p>
    <w:p w:rsidR="004E3021" w:rsidRDefault="004E3021">
      <w:pPr>
        <w:tabs>
          <w:tab w:val="center" w:pos="4153"/>
          <w:tab w:val="right" w:pos="8306"/>
        </w:tabs>
        <w:spacing w:line="312" w:lineRule="auto"/>
        <w:ind w:firstLine="643"/>
        <w:jc w:val="center"/>
        <w:rPr>
          <w:b/>
          <w:sz w:val="32"/>
          <w:szCs w:val="52"/>
        </w:rPr>
      </w:pPr>
    </w:p>
    <w:p w:rsidR="004E3021" w:rsidRDefault="004E3021">
      <w:pPr>
        <w:tabs>
          <w:tab w:val="center" w:pos="4153"/>
          <w:tab w:val="right" w:pos="8306"/>
        </w:tabs>
        <w:spacing w:line="312" w:lineRule="auto"/>
        <w:ind w:firstLine="643"/>
        <w:jc w:val="center"/>
        <w:rPr>
          <w:b/>
          <w:sz w:val="32"/>
          <w:szCs w:val="52"/>
        </w:rPr>
      </w:pPr>
    </w:p>
    <w:p w:rsidR="004E3021" w:rsidRDefault="004E3021">
      <w:pPr>
        <w:tabs>
          <w:tab w:val="center" w:pos="4153"/>
          <w:tab w:val="right" w:pos="8306"/>
        </w:tabs>
        <w:spacing w:line="312" w:lineRule="auto"/>
        <w:ind w:firstLine="643"/>
        <w:jc w:val="center"/>
        <w:rPr>
          <w:b/>
          <w:sz w:val="32"/>
          <w:szCs w:val="52"/>
        </w:rPr>
      </w:pPr>
    </w:p>
    <w:p w:rsidR="004E3021" w:rsidRDefault="004E3021">
      <w:pPr>
        <w:tabs>
          <w:tab w:val="center" w:pos="4153"/>
          <w:tab w:val="right" w:pos="8306"/>
        </w:tabs>
        <w:spacing w:line="312" w:lineRule="auto"/>
        <w:ind w:firstLine="643"/>
        <w:jc w:val="center"/>
        <w:rPr>
          <w:b/>
          <w:sz w:val="32"/>
          <w:szCs w:val="52"/>
        </w:rPr>
      </w:pPr>
    </w:p>
    <w:p w:rsidR="004E3021" w:rsidRDefault="004E3021">
      <w:pPr>
        <w:tabs>
          <w:tab w:val="center" w:pos="4153"/>
          <w:tab w:val="right" w:pos="8306"/>
        </w:tabs>
        <w:spacing w:line="312" w:lineRule="auto"/>
        <w:ind w:firstLine="643"/>
        <w:jc w:val="center"/>
        <w:rPr>
          <w:b/>
          <w:sz w:val="32"/>
          <w:szCs w:val="52"/>
        </w:rPr>
      </w:pPr>
    </w:p>
    <w:p w:rsidR="004E3021" w:rsidRDefault="004E3021">
      <w:pPr>
        <w:tabs>
          <w:tab w:val="center" w:pos="4153"/>
          <w:tab w:val="right" w:pos="8306"/>
        </w:tabs>
        <w:spacing w:line="312" w:lineRule="auto"/>
        <w:ind w:firstLine="643"/>
        <w:jc w:val="center"/>
        <w:rPr>
          <w:b/>
          <w:sz w:val="32"/>
          <w:szCs w:val="52"/>
        </w:rPr>
      </w:pPr>
    </w:p>
    <w:p w:rsidR="004E3021" w:rsidRDefault="004E3021">
      <w:pPr>
        <w:tabs>
          <w:tab w:val="center" w:pos="4153"/>
          <w:tab w:val="right" w:pos="8306"/>
        </w:tabs>
        <w:spacing w:line="312" w:lineRule="auto"/>
        <w:ind w:firstLine="643"/>
        <w:jc w:val="center"/>
        <w:rPr>
          <w:b/>
          <w:sz w:val="32"/>
          <w:szCs w:val="52"/>
        </w:rPr>
      </w:pPr>
    </w:p>
    <w:p w:rsidR="004E3021" w:rsidRDefault="004E3021">
      <w:pPr>
        <w:tabs>
          <w:tab w:val="center" w:pos="4153"/>
          <w:tab w:val="right" w:pos="8306"/>
        </w:tabs>
        <w:spacing w:line="312" w:lineRule="auto"/>
        <w:ind w:firstLine="643"/>
        <w:jc w:val="center"/>
        <w:rPr>
          <w:b/>
          <w:sz w:val="32"/>
          <w:szCs w:val="52"/>
        </w:rPr>
      </w:pPr>
    </w:p>
    <w:p w:rsidR="004E3021" w:rsidRDefault="004E3021">
      <w:pPr>
        <w:tabs>
          <w:tab w:val="center" w:pos="4153"/>
          <w:tab w:val="right" w:pos="8306"/>
        </w:tabs>
        <w:spacing w:line="312" w:lineRule="auto"/>
        <w:ind w:firstLine="643"/>
        <w:jc w:val="center"/>
        <w:rPr>
          <w:b/>
          <w:sz w:val="32"/>
          <w:szCs w:val="52"/>
        </w:rPr>
      </w:pPr>
    </w:p>
    <w:p w:rsidR="004E3021" w:rsidRDefault="00606E48">
      <w:pPr>
        <w:tabs>
          <w:tab w:val="center" w:pos="4153"/>
          <w:tab w:val="right" w:pos="8306"/>
        </w:tabs>
        <w:spacing w:line="312" w:lineRule="auto"/>
        <w:ind w:firstLineChars="0" w:firstLine="0"/>
        <w:jc w:val="center"/>
        <w:rPr>
          <w:rFonts w:eastAsia="楷体"/>
          <w:b/>
          <w:sz w:val="32"/>
          <w:szCs w:val="52"/>
        </w:rPr>
      </w:pPr>
      <w:r>
        <w:rPr>
          <w:rFonts w:eastAsia="楷体"/>
          <w:b/>
          <w:sz w:val="32"/>
          <w:szCs w:val="52"/>
        </w:rPr>
        <w:t>建设单位：</w:t>
      </w:r>
      <w:r>
        <w:rPr>
          <w:rFonts w:eastAsia="楷体" w:hint="eastAsia"/>
          <w:b/>
          <w:sz w:val="32"/>
          <w:szCs w:val="52"/>
        </w:rPr>
        <w:t>安徽凯盛应用材料有限公司</w:t>
      </w:r>
    </w:p>
    <w:p w:rsidR="004E3021" w:rsidRDefault="00606E48">
      <w:pPr>
        <w:tabs>
          <w:tab w:val="center" w:pos="4153"/>
          <w:tab w:val="right" w:pos="8306"/>
        </w:tabs>
        <w:spacing w:line="312" w:lineRule="auto"/>
        <w:ind w:firstLineChars="0" w:firstLine="0"/>
        <w:jc w:val="center"/>
        <w:rPr>
          <w:rFonts w:eastAsia="楷体"/>
          <w:b/>
          <w:sz w:val="32"/>
          <w:szCs w:val="52"/>
        </w:rPr>
      </w:pPr>
      <w:r>
        <w:rPr>
          <w:rFonts w:eastAsia="楷体"/>
          <w:b/>
          <w:sz w:val="32"/>
          <w:szCs w:val="52"/>
        </w:rPr>
        <w:t>编制单位：</w:t>
      </w:r>
      <w:r>
        <w:rPr>
          <w:rFonts w:eastAsia="楷体" w:hint="eastAsia"/>
          <w:b/>
          <w:sz w:val="32"/>
          <w:szCs w:val="52"/>
        </w:rPr>
        <w:t>安徽世标检测技术有限公司</w:t>
      </w:r>
    </w:p>
    <w:p w:rsidR="004E3021" w:rsidRDefault="00606E48">
      <w:pPr>
        <w:tabs>
          <w:tab w:val="center" w:pos="4153"/>
          <w:tab w:val="right" w:pos="8306"/>
        </w:tabs>
        <w:spacing w:line="312" w:lineRule="auto"/>
        <w:ind w:firstLineChars="0" w:firstLine="0"/>
        <w:jc w:val="center"/>
        <w:rPr>
          <w:rFonts w:eastAsia="楷体"/>
          <w:b/>
          <w:sz w:val="32"/>
          <w:szCs w:val="52"/>
        </w:rPr>
        <w:sectPr w:rsidR="004E3021">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851" w:footer="992" w:gutter="0"/>
          <w:cols w:space="425"/>
          <w:titlePg/>
          <w:docGrid w:type="lines" w:linePitch="326"/>
        </w:sectPr>
      </w:pPr>
      <w:r>
        <w:rPr>
          <w:rFonts w:eastAsia="楷体"/>
          <w:b/>
          <w:sz w:val="32"/>
          <w:szCs w:val="52"/>
        </w:rPr>
        <w:t>202</w:t>
      </w:r>
      <w:r w:rsidR="0033096B">
        <w:rPr>
          <w:rFonts w:eastAsia="楷体"/>
          <w:b/>
          <w:sz w:val="32"/>
          <w:szCs w:val="52"/>
        </w:rPr>
        <w:t>6</w:t>
      </w:r>
      <w:r>
        <w:rPr>
          <w:rFonts w:eastAsia="楷体"/>
          <w:b/>
          <w:sz w:val="32"/>
          <w:szCs w:val="52"/>
        </w:rPr>
        <w:t>年</w:t>
      </w:r>
      <w:r w:rsidR="0033096B">
        <w:rPr>
          <w:rFonts w:eastAsia="楷体"/>
          <w:b/>
          <w:sz w:val="32"/>
          <w:szCs w:val="52"/>
        </w:rPr>
        <w:t>2</w:t>
      </w:r>
      <w:r>
        <w:rPr>
          <w:rFonts w:eastAsia="楷体"/>
          <w:b/>
          <w:sz w:val="32"/>
          <w:szCs w:val="52"/>
        </w:rPr>
        <w:t>月</w:t>
      </w:r>
      <w:r>
        <w:rPr>
          <w:rFonts w:eastAsia="楷体"/>
          <w:b/>
          <w:sz w:val="32"/>
          <w:szCs w:val="52"/>
        </w:rPr>
        <w:t xml:space="preserve">  </w:t>
      </w:r>
      <w:r>
        <w:rPr>
          <w:rFonts w:eastAsia="楷体" w:hint="eastAsia"/>
          <w:b/>
          <w:sz w:val="32"/>
          <w:szCs w:val="52"/>
        </w:rPr>
        <w:t>合肥</w:t>
      </w:r>
    </w:p>
    <w:sdt>
      <w:sdtPr>
        <w:rPr>
          <w:rFonts w:eastAsia="宋体" w:cstheme="minorBidi"/>
          <w:b w:val="0"/>
          <w:bCs w:val="0"/>
          <w:kern w:val="2"/>
          <w:szCs w:val="22"/>
          <w:lang w:val="zh-CN"/>
        </w:rPr>
        <w:id w:val="-1804227559"/>
        <w:docPartObj>
          <w:docPartGallery w:val="Table of Contents"/>
          <w:docPartUnique/>
        </w:docPartObj>
      </w:sdtPr>
      <w:sdtEndPr>
        <w:rPr>
          <w:rFonts w:cs="Times New Roman"/>
          <w:szCs w:val="24"/>
        </w:rPr>
      </w:sdtEndPr>
      <w:sdtContent>
        <w:p w:rsidR="004E3021" w:rsidRPr="0089019D" w:rsidRDefault="00606E48">
          <w:pPr>
            <w:pStyle w:val="TOC1"/>
            <w:ind w:firstLine="480"/>
            <w:rPr>
              <w:rFonts w:eastAsia="宋体"/>
              <w:b w:val="0"/>
              <w:szCs w:val="24"/>
            </w:rPr>
          </w:pPr>
          <w:r w:rsidRPr="0089019D">
            <w:rPr>
              <w:rFonts w:eastAsia="宋体"/>
              <w:b w:val="0"/>
              <w:szCs w:val="24"/>
              <w:lang w:val="zh-CN"/>
            </w:rPr>
            <w:t>目录</w:t>
          </w:r>
        </w:p>
        <w:p w:rsidR="00AF1F20" w:rsidRPr="00AF1F20" w:rsidRDefault="00606E48">
          <w:pPr>
            <w:pStyle w:val="12"/>
            <w:tabs>
              <w:tab w:val="right" w:leader="dot" w:pos="9016"/>
            </w:tabs>
            <w:ind w:firstLine="480"/>
            <w:rPr>
              <w:rFonts w:ascii="Times New Roman" w:hAnsi="Times New Roman"/>
              <w:b w:val="0"/>
              <w:noProof/>
              <w:sz w:val="21"/>
            </w:rPr>
          </w:pPr>
          <w:r w:rsidRPr="00AF1F20">
            <w:rPr>
              <w:rFonts w:ascii="Times New Roman" w:hAnsi="Times New Roman"/>
              <w:b w:val="0"/>
              <w:szCs w:val="24"/>
            </w:rPr>
            <w:fldChar w:fldCharType="begin"/>
          </w:r>
          <w:r w:rsidRPr="00AF1F20">
            <w:rPr>
              <w:rFonts w:ascii="Times New Roman" w:hAnsi="Times New Roman"/>
              <w:b w:val="0"/>
              <w:szCs w:val="24"/>
            </w:rPr>
            <w:instrText xml:space="preserve"> TOC \o "1-3" \h \z \u </w:instrText>
          </w:r>
          <w:r w:rsidRPr="00AF1F20">
            <w:rPr>
              <w:rFonts w:ascii="Times New Roman" w:hAnsi="Times New Roman"/>
              <w:b w:val="0"/>
              <w:szCs w:val="24"/>
            </w:rPr>
            <w:fldChar w:fldCharType="separate"/>
          </w:r>
          <w:hyperlink w:anchor="_Toc221500914" w:history="1">
            <w:r w:rsidR="00AF1F20" w:rsidRPr="00AF1F20">
              <w:rPr>
                <w:rStyle w:val="afff9"/>
                <w:rFonts w:ascii="Times New Roman" w:hAnsi="Times New Roman"/>
                <w:b w:val="0"/>
                <w:noProof/>
                <w:u w:val="none"/>
              </w:rPr>
              <w:t>1</w:t>
            </w:r>
            <w:r w:rsidR="00AF1F20" w:rsidRPr="00AF1F20">
              <w:rPr>
                <w:rStyle w:val="afff9"/>
                <w:rFonts w:ascii="Times New Roman" w:hAnsi="Times New Roman"/>
                <w:b w:val="0"/>
                <w:noProof/>
                <w:u w:val="none"/>
              </w:rPr>
              <w:t>、概述</w:t>
            </w:r>
            <w:r w:rsidR="00AF1F20" w:rsidRPr="00AF1F20">
              <w:rPr>
                <w:rFonts w:ascii="Times New Roman" w:hAnsi="Times New Roman"/>
                <w:b w:val="0"/>
                <w:noProof/>
                <w:webHidden/>
              </w:rPr>
              <w:tab/>
            </w:r>
            <w:r w:rsidR="00AF1F20" w:rsidRPr="00AF1F20">
              <w:rPr>
                <w:rFonts w:ascii="Times New Roman" w:hAnsi="Times New Roman"/>
                <w:b w:val="0"/>
                <w:noProof/>
                <w:webHidden/>
              </w:rPr>
              <w:fldChar w:fldCharType="begin"/>
            </w:r>
            <w:r w:rsidR="00AF1F20" w:rsidRPr="00AF1F20">
              <w:rPr>
                <w:rFonts w:ascii="Times New Roman" w:hAnsi="Times New Roman"/>
                <w:b w:val="0"/>
                <w:noProof/>
                <w:webHidden/>
              </w:rPr>
              <w:instrText xml:space="preserve"> PAGEREF _Toc221500914 \h </w:instrText>
            </w:r>
            <w:r w:rsidR="00AF1F20" w:rsidRPr="00AF1F20">
              <w:rPr>
                <w:rFonts w:ascii="Times New Roman" w:hAnsi="Times New Roman"/>
                <w:b w:val="0"/>
                <w:noProof/>
                <w:webHidden/>
              </w:rPr>
            </w:r>
            <w:r w:rsidR="00AF1F20" w:rsidRPr="00AF1F20">
              <w:rPr>
                <w:rFonts w:ascii="Times New Roman" w:hAnsi="Times New Roman"/>
                <w:b w:val="0"/>
                <w:noProof/>
                <w:webHidden/>
              </w:rPr>
              <w:fldChar w:fldCharType="separate"/>
            </w:r>
            <w:r w:rsidR="006A32D2">
              <w:rPr>
                <w:rFonts w:ascii="Times New Roman" w:hAnsi="Times New Roman"/>
                <w:b w:val="0"/>
                <w:noProof/>
                <w:webHidden/>
              </w:rPr>
              <w:t>1</w:t>
            </w:r>
            <w:r w:rsidR="00AF1F20" w:rsidRPr="00AF1F20">
              <w:rPr>
                <w:rFonts w:ascii="Times New Roman" w:hAnsi="Times New Roman"/>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15" w:history="1">
            <w:r w:rsidRPr="00AF1F20">
              <w:rPr>
                <w:rStyle w:val="afff9"/>
                <w:b w:val="0"/>
                <w:noProof/>
                <w:u w:val="none"/>
              </w:rPr>
              <w:t>1.1</w:t>
            </w:r>
            <w:r w:rsidRPr="00AF1F20">
              <w:rPr>
                <w:rStyle w:val="afff9"/>
                <w:b w:val="0"/>
                <w:noProof/>
                <w:u w:val="none"/>
              </w:rPr>
              <w:t>项目由来及特点</w:t>
            </w:r>
            <w:r w:rsidRPr="00AF1F20">
              <w:rPr>
                <w:b w:val="0"/>
                <w:noProof/>
                <w:webHidden/>
              </w:rPr>
              <w:tab/>
            </w:r>
            <w:r w:rsidRPr="00AF1F20">
              <w:rPr>
                <w:b w:val="0"/>
                <w:noProof/>
                <w:webHidden/>
              </w:rPr>
              <w:fldChar w:fldCharType="begin"/>
            </w:r>
            <w:r w:rsidRPr="00AF1F20">
              <w:rPr>
                <w:b w:val="0"/>
                <w:noProof/>
                <w:webHidden/>
              </w:rPr>
              <w:instrText xml:space="preserve"> PAGEREF _Toc221500915 \h </w:instrText>
            </w:r>
            <w:r w:rsidRPr="00AF1F20">
              <w:rPr>
                <w:b w:val="0"/>
                <w:noProof/>
                <w:webHidden/>
              </w:rPr>
            </w:r>
            <w:r w:rsidRPr="00AF1F20">
              <w:rPr>
                <w:b w:val="0"/>
                <w:noProof/>
                <w:webHidden/>
              </w:rPr>
              <w:fldChar w:fldCharType="separate"/>
            </w:r>
            <w:r w:rsidR="006A32D2">
              <w:rPr>
                <w:b w:val="0"/>
                <w:noProof/>
                <w:webHidden/>
              </w:rPr>
              <w:t>1</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16" w:history="1">
            <w:r w:rsidRPr="00AF1F20">
              <w:rPr>
                <w:rStyle w:val="afff9"/>
                <w:b w:val="0"/>
                <w:noProof/>
                <w:u w:val="none"/>
              </w:rPr>
              <w:t>1.2</w:t>
            </w:r>
            <w:r w:rsidRPr="00AF1F20">
              <w:rPr>
                <w:rStyle w:val="afff9"/>
                <w:b w:val="0"/>
                <w:noProof/>
                <w:u w:val="none"/>
              </w:rPr>
              <w:t>项目特点</w:t>
            </w:r>
            <w:r w:rsidRPr="00AF1F20">
              <w:rPr>
                <w:b w:val="0"/>
                <w:noProof/>
                <w:webHidden/>
              </w:rPr>
              <w:tab/>
            </w:r>
            <w:r w:rsidRPr="00AF1F20">
              <w:rPr>
                <w:b w:val="0"/>
                <w:noProof/>
                <w:webHidden/>
              </w:rPr>
              <w:fldChar w:fldCharType="begin"/>
            </w:r>
            <w:r w:rsidRPr="00AF1F20">
              <w:rPr>
                <w:b w:val="0"/>
                <w:noProof/>
                <w:webHidden/>
              </w:rPr>
              <w:instrText xml:space="preserve"> PAGEREF _Toc221500916 \h </w:instrText>
            </w:r>
            <w:r w:rsidRPr="00AF1F20">
              <w:rPr>
                <w:b w:val="0"/>
                <w:noProof/>
                <w:webHidden/>
              </w:rPr>
            </w:r>
            <w:r w:rsidRPr="00AF1F20">
              <w:rPr>
                <w:b w:val="0"/>
                <w:noProof/>
                <w:webHidden/>
              </w:rPr>
              <w:fldChar w:fldCharType="separate"/>
            </w:r>
            <w:r w:rsidR="006A32D2">
              <w:rPr>
                <w:b w:val="0"/>
                <w:noProof/>
                <w:webHidden/>
              </w:rPr>
              <w:t>2</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17" w:history="1">
            <w:r w:rsidRPr="00AF1F20">
              <w:rPr>
                <w:rStyle w:val="afff9"/>
                <w:b w:val="0"/>
                <w:noProof/>
                <w:u w:val="none"/>
              </w:rPr>
              <w:t>1.3</w:t>
            </w:r>
            <w:r w:rsidRPr="00AF1F20">
              <w:rPr>
                <w:rStyle w:val="afff9"/>
                <w:b w:val="0"/>
                <w:noProof/>
                <w:u w:val="none"/>
              </w:rPr>
              <w:t>环境影响评价工作过程</w:t>
            </w:r>
            <w:r w:rsidRPr="00AF1F20">
              <w:rPr>
                <w:b w:val="0"/>
                <w:noProof/>
                <w:webHidden/>
              </w:rPr>
              <w:tab/>
            </w:r>
            <w:r w:rsidRPr="00AF1F20">
              <w:rPr>
                <w:b w:val="0"/>
                <w:noProof/>
                <w:webHidden/>
              </w:rPr>
              <w:fldChar w:fldCharType="begin"/>
            </w:r>
            <w:r w:rsidRPr="00AF1F20">
              <w:rPr>
                <w:b w:val="0"/>
                <w:noProof/>
                <w:webHidden/>
              </w:rPr>
              <w:instrText xml:space="preserve"> PAGEREF _Toc221500917 \h </w:instrText>
            </w:r>
            <w:r w:rsidRPr="00AF1F20">
              <w:rPr>
                <w:b w:val="0"/>
                <w:noProof/>
                <w:webHidden/>
              </w:rPr>
            </w:r>
            <w:r w:rsidRPr="00AF1F20">
              <w:rPr>
                <w:b w:val="0"/>
                <w:noProof/>
                <w:webHidden/>
              </w:rPr>
              <w:fldChar w:fldCharType="separate"/>
            </w:r>
            <w:r w:rsidR="006A32D2">
              <w:rPr>
                <w:b w:val="0"/>
                <w:noProof/>
                <w:webHidden/>
              </w:rPr>
              <w:t>3</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18" w:history="1">
            <w:r w:rsidRPr="00AF1F20">
              <w:rPr>
                <w:rStyle w:val="afff9"/>
                <w:b w:val="0"/>
                <w:noProof/>
                <w:u w:val="none"/>
              </w:rPr>
              <w:t>1.4</w:t>
            </w:r>
            <w:r w:rsidRPr="00AF1F20">
              <w:rPr>
                <w:rStyle w:val="afff9"/>
                <w:b w:val="0"/>
                <w:noProof/>
                <w:u w:val="none"/>
              </w:rPr>
              <w:t>分析判定相关情况</w:t>
            </w:r>
            <w:r w:rsidRPr="00AF1F20">
              <w:rPr>
                <w:b w:val="0"/>
                <w:noProof/>
                <w:webHidden/>
              </w:rPr>
              <w:tab/>
            </w:r>
            <w:r w:rsidRPr="00AF1F20">
              <w:rPr>
                <w:b w:val="0"/>
                <w:noProof/>
                <w:webHidden/>
              </w:rPr>
              <w:fldChar w:fldCharType="begin"/>
            </w:r>
            <w:r w:rsidRPr="00AF1F20">
              <w:rPr>
                <w:b w:val="0"/>
                <w:noProof/>
                <w:webHidden/>
              </w:rPr>
              <w:instrText xml:space="preserve"> PAGEREF _Toc221500918 \h </w:instrText>
            </w:r>
            <w:r w:rsidRPr="00AF1F20">
              <w:rPr>
                <w:b w:val="0"/>
                <w:noProof/>
                <w:webHidden/>
              </w:rPr>
            </w:r>
            <w:r w:rsidRPr="00AF1F20">
              <w:rPr>
                <w:b w:val="0"/>
                <w:noProof/>
                <w:webHidden/>
              </w:rPr>
              <w:fldChar w:fldCharType="separate"/>
            </w:r>
            <w:r w:rsidR="006A32D2">
              <w:rPr>
                <w:b w:val="0"/>
                <w:noProof/>
                <w:webHidden/>
              </w:rPr>
              <w:t>5</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22" w:history="1">
            <w:r w:rsidRPr="00AF1F20">
              <w:rPr>
                <w:rStyle w:val="afff9"/>
                <w:b w:val="0"/>
                <w:noProof/>
                <w:u w:val="none"/>
              </w:rPr>
              <w:t>1.5</w:t>
            </w:r>
            <w:r w:rsidRPr="00AF1F20">
              <w:rPr>
                <w:rStyle w:val="afff9"/>
                <w:b w:val="0"/>
                <w:noProof/>
                <w:u w:val="none"/>
              </w:rPr>
              <w:t>关注的主要环境问题及环境影响</w:t>
            </w:r>
            <w:r w:rsidRPr="00AF1F20">
              <w:rPr>
                <w:b w:val="0"/>
                <w:noProof/>
                <w:webHidden/>
              </w:rPr>
              <w:tab/>
            </w:r>
            <w:r w:rsidRPr="00AF1F20">
              <w:rPr>
                <w:b w:val="0"/>
                <w:noProof/>
                <w:webHidden/>
              </w:rPr>
              <w:fldChar w:fldCharType="begin"/>
            </w:r>
            <w:r w:rsidRPr="00AF1F20">
              <w:rPr>
                <w:b w:val="0"/>
                <w:noProof/>
                <w:webHidden/>
              </w:rPr>
              <w:instrText xml:space="preserve"> PAGEREF _Toc221500922 \h </w:instrText>
            </w:r>
            <w:r w:rsidRPr="00AF1F20">
              <w:rPr>
                <w:b w:val="0"/>
                <w:noProof/>
                <w:webHidden/>
              </w:rPr>
            </w:r>
            <w:r w:rsidRPr="00AF1F20">
              <w:rPr>
                <w:b w:val="0"/>
                <w:noProof/>
                <w:webHidden/>
              </w:rPr>
              <w:fldChar w:fldCharType="separate"/>
            </w:r>
            <w:r w:rsidR="006A32D2">
              <w:rPr>
                <w:b w:val="0"/>
                <w:noProof/>
                <w:webHidden/>
              </w:rPr>
              <w:t>6</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23" w:history="1">
            <w:r w:rsidRPr="00AF1F20">
              <w:rPr>
                <w:rStyle w:val="afff9"/>
                <w:b w:val="0"/>
                <w:noProof/>
                <w:u w:val="none"/>
              </w:rPr>
              <w:t>1.6</w:t>
            </w:r>
            <w:r w:rsidRPr="00AF1F20">
              <w:rPr>
                <w:rStyle w:val="afff9"/>
                <w:b w:val="0"/>
                <w:noProof/>
                <w:u w:val="none"/>
              </w:rPr>
              <w:t>报告书的主要结论</w:t>
            </w:r>
            <w:r w:rsidRPr="00AF1F20">
              <w:rPr>
                <w:b w:val="0"/>
                <w:noProof/>
                <w:webHidden/>
              </w:rPr>
              <w:tab/>
            </w:r>
            <w:r w:rsidRPr="00AF1F20">
              <w:rPr>
                <w:b w:val="0"/>
                <w:noProof/>
                <w:webHidden/>
              </w:rPr>
              <w:fldChar w:fldCharType="begin"/>
            </w:r>
            <w:r w:rsidRPr="00AF1F20">
              <w:rPr>
                <w:b w:val="0"/>
                <w:noProof/>
                <w:webHidden/>
              </w:rPr>
              <w:instrText xml:space="preserve"> PAGEREF _Toc221500923 \h </w:instrText>
            </w:r>
            <w:r w:rsidRPr="00AF1F20">
              <w:rPr>
                <w:b w:val="0"/>
                <w:noProof/>
                <w:webHidden/>
              </w:rPr>
            </w:r>
            <w:r w:rsidRPr="00AF1F20">
              <w:rPr>
                <w:b w:val="0"/>
                <w:noProof/>
                <w:webHidden/>
              </w:rPr>
              <w:fldChar w:fldCharType="separate"/>
            </w:r>
            <w:r w:rsidR="006A32D2">
              <w:rPr>
                <w:b w:val="0"/>
                <w:noProof/>
                <w:webHidden/>
              </w:rPr>
              <w:t>7</w:t>
            </w:r>
            <w:r w:rsidRPr="00AF1F20">
              <w:rPr>
                <w:b w:val="0"/>
                <w:noProof/>
                <w:webHidden/>
              </w:rPr>
              <w:fldChar w:fldCharType="end"/>
            </w:r>
          </w:hyperlink>
        </w:p>
        <w:p w:rsidR="00AF1F20" w:rsidRPr="00AF1F20" w:rsidRDefault="00E8730B">
          <w:pPr>
            <w:pStyle w:val="12"/>
            <w:tabs>
              <w:tab w:val="right" w:leader="dot" w:pos="9016"/>
            </w:tabs>
            <w:ind w:firstLine="482"/>
            <w:rPr>
              <w:rFonts w:ascii="Times New Roman" w:hAnsi="Times New Roman"/>
              <w:b w:val="0"/>
              <w:noProof/>
              <w:sz w:val="21"/>
            </w:rPr>
          </w:pPr>
          <w:hyperlink w:anchor="_Toc221500924" w:history="1">
            <w:r w:rsidR="00AF1F20" w:rsidRPr="00AF1F20">
              <w:rPr>
                <w:rStyle w:val="afff9"/>
                <w:rFonts w:ascii="Times New Roman" w:hAnsi="Times New Roman"/>
                <w:b w:val="0"/>
                <w:noProof/>
                <w:u w:val="none"/>
              </w:rPr>
              <w:t>2</w:t>
            </w:r>
            <w:r w:rsidR="00AF1F20" w:rsidRPr="00AF1F20">
              <w:rPr>
                <w:rStyle w:val="afff9"/>
                <w:rFonts w:ascii="Times New Roman" w:hAnsi="Times New Roman"/>
                <w:b w:val="0"/>
                <w:noProof/>
                <w:u w:val="none"/>
              </w:rPr>
              <w:t>、总则</w:t>
            </w:r>
            <w:r w:rsidR="00AF1F20" w:rsidRPr="00AF1F20">
              <w:rPr>
                <w:rFonts w:ascii="Times New Roman" w:hAnsi="Times New Roman"/>
                <w:b w:val="0"/>
                <w:noProof/>
                <w:webHidden/>
              </w:rPr>
              <w:tab/>
            </w:r>
            <w:r w:rsidR="00AF1F20" w:rsidRPr="00AF1F20">
              <w:rPr>
                <w:rFonts w:ascii="Times New Roman" w:hAnsi="Times New Roman"/>
                <w:b w:val="0"/>
                <w:noProof/>
                <w:webHidden/>
              </w:rPr>
              <w:fldChar w:fldCharType="begin"/>
            </w:r>
            <w:r w:rsidR="00AF1F20" w:rsidRPr="00AF1F20">
              <w:rPr>
                <w:rFonts w:ascii="Times New Roman" w:hAnsi="Times New Roman"/>
                <w:b w:val="0"/>
                <w:noProof/>
                <w:webHidden/>
              </w:rPr>
              <w:instrText xml:space="preserve"> PAGEREF _Toc221500924 \h </w:instrText>
            </w:r>
            <w:r w:rsidR="00AF1F20" w:rsidRPr="00AF1F20">
              <w:rPr>
                <w:rFonts w:ascii="Times New Roman" w:hAnsi="Times New Roman"/>
                <w:b w:val="0"/>
                <w:noProof/>
                <w:webHidden/>
              </w:rPr>
            </w:r>
            <w:r w:rsidR="00AF1F20" w:rsidRPr="00AF1F20">
              <w:rPr>
                <w:rFonts w:ascii="Times New Roman" w:hAnsi="Times New Roman"/>
                <w:b w:val="0"/>
                <w:noProof/>
                <w:webHidden/>
              </w:rPr>
              <w:fldChar w:fldCharType="separate"/>
            </w:r>
            <w:r w:rsidR="006A32D2">
              <w:rPr>
                <w:rFonts w:ascii="Times New Roman" w:hAnsi="Times New Roman"/>
                <w:b w:val="0"/>
                <w:noProof/>
                <w:webHidden/>
              </w:rPr>
              <w:t>8</w:t>
            </w:r>
            <w:r w:rsidR="00AF1F20" w:rsidRPr="00AF1F20">
              <w:rPr>
                <w:rFonts w:ascii="Times New Roman" w:hAnsi="Times New Roman"/>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25" w:history="1">
            <w:r w:rsidRPr="00AF1F20">
              <w:rPr>
                <w:rStyle w:val="afff9"/>
                <w:b w:val="0"/>
                <w:noProof/>
                <w:u w:val="none"/>
              </w:rPr>
              <w:t>2.1</w:t>
            </w:r>
            <w:r w:rsidRPr="00AF1F20">
              <w:rPr>
                <w:rStyle w:val="afff9"/>
                <w:b w:val="0"/>
                <w:noProof/>
                <w:u w:val="none"/>
              </w:rPr>
              <w:t>编制依据</w:t>
            </w:r>
            <w:r w:rsidRPr="00AF1F20">
              <w:rPr>
                <w:b w:val="0"/>
                <w:noProof/>
                <w:webHidden/>
              </w:rPr>
              <w:tab/>
            </w:r>
            <w:r w:rsidRPr="00AF1F20">
              <w:rPr>
                <w:b w:val="0"/>
                <w:noProof/>
                <w:webHidden/>
              </w:rPr>
              <w:fldChar w:fldCharType="begin"/>
            </w:r>
            <w:r w:rsidRPr="00AF1F20">
              <w:rPr>
                <w:b w:val="0"/>
                <w:noProof/>
                <w:webHidden/>
              </w:rPr>
              <w:instrText xml:space="preserve"> PAGEREF _Toc221500925 \h </w:instrText>
            </w:r>
            <w:r w:rsidRPr="00AF1F20">
              <w:rPr>
                <w:b w:val="0"/>
                <w:noProof/>
                <w:webHidden/>
              </w:rPr>
            </w:r>
            <w:r w:rsidRPr="00AF1F20">
              <w:rPr>
                <w:b w:val="0"/>
                <w:noProof/>
                <w:webHidden/>
              </w:rPr>
              <w:fldChar w:fldCharType="separate"/>
            </w:r>
            <w:r w:rsidR="006A32D2">
              <w:rPr>
                <w:b w:val="0"/>
                <w:noProof/>
                <w:webHidden/>
              </w:rPr>
              <w:t>8</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30" w:history="1">
            <w:r w:rsidRPr="00AF1F20">
              <w:rPr>
                <w:rStyle w:val="afff9"/>
                <w:b w:val="0"/>
                <w:noProof/>
                <w:u w:val="none"/>
              </w:rPr>
              <w:t>2.2</w:t>
            </w:r>
            <w:r w:rsidRPr="00AF1F20">
              <w:rPr>
                <w:rStyle w:val="afff9"/>
                <w:b w:val="0"/>
                <w:noProof/>
                <w:u w:val="none"/>
              </w:rPr>
              <w:t>评价因子与评价标准</w:t>
            </w:r>
            <w:r w:rsidRPr="00AF1F20">
              <w:rPr>
                <w:b w:val="0"/>
                <w:noProof/>
                <w:webHidden/>
              </w:rPr>
              <w:tab/>
            </w:r>
            <w:r w:rsidRPr="00AF1F20">
              <w:rPr>
                <w:b w:val="0"/>
                <w:noProof/>
                <w:webHidden/>
              </w:rPr>
              <w:fldChar w:fldCharType="begin"/>
            </w:r>
            <w:r w:rsidRPr="00AF1F20">
              <w:rPr>
                <w:b w:val="0"/>
                <w:noProof/>
                <w:webHidden/>
              </w:rPr>
              <w:instrText xml:space="preserve"> PAGEREF _Toc221500930 \h </w:instrText>
            </w:r>
            <w:r w:rsidRPr="00AF1F20">
              <w:rPr>
                <w:b w:val="0"/>
                <w:noProof/>
                <w:webHidden/>
              </w:rPr>
            </w:r>
            <w:r w:rsidRPr="00AF1F20">
              <w:rPr>
                <w:b w:val="0"/>
                <w:noProof/>
                <w:webHidden/>
              </w:rPr>
              <w:fldChar w:fldCharType="separate"/>
            </w:r>
            <w:r w:rsidR="006A32D2">
              <w:rPr>
                <w:b w:val="0"/>
                <w:noProof/>
                <w:webHidden/>
              </w:rPr>
              <w:t>12</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34" w:history="1">
            <w:r w:rsidRPr="00AF1F20">
              <w:rPr>
                <w:rStyle w:val="afff9"/>
                <w:b w:val="0"/>
                <w:noProof/>
                <w:u w:val="none"/>
              </w:rPr>
              <w:t>2.3</w:t>
            </w:r>
            <w:r w:rsidRPr="00AF1F20">
              <w:rPr>
                <w:rStyle w:val="afff9"/>
                <w:b w:val="0"/>
                <w:noProof/>
                <w:u w:val="none"/>
              </w:rPr>
              <w:t>评价工作等级和评价重点</w:t>
            </w:r>
            <w:r w:rsidRPr="00AF1F20">
              <w:rPr>
                <w:b w:val="0"/>
                <w:noProof/>
                <w:webHidden/>
              </w:rPr>
              <w:tab/>
            </w:r>
            <w:r w:rsidRPr="00AF1F20">
              <w:rPr>
                <w:b w:val="0"/>
                <w:noProof/>
                <w:webHidden/>
              </w:rPr>
              <w:fldChar w:fldCharType="begin"/>
            </w:r>
            <w:r w:rsidRPr="00AF1F20">
              <w:rPr>
                <w:b w:val="0"/>
                <w:noProof/>
                <w:webHidden/>
              </w:rPr>
              <w:instrText xml:space="preserve"> PAGEREF _Toc221500934 \h </w:instrText>
            </w:r>
            <w:r w:rsidRPr="00AF1F20">
              <w:rPr>
                <w:b w:val="0"/>
                <w:noProof/>
                <w:webHidden/>
              </w:rPr>
            </w:r>
            <w:r w:rsidRPr="00AF1F20">
              <w:rPr>
                <w:b w:val="0"/>
                <w:noProof/>
                <w:webHidden/>
              </w:rPr>
              <w:fldChar w:fldCharType="separate"/>
            </w:r>
            <w:r w:rsidR="006A32D2">
              <w:rPr>
                <w:b w:val="0"/>
                <w:noProof/>
                <w:webHidden/>
              </w:rPr>
              <w:t>23</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37" w:history="1">
            <w:r w:rsidRPr="00AF1F20">
              <w:rPr>
                <w:rStyle w:val="afff9"/>
                <w:b w:val="0"/>
                <w:noProof/>
                <w:u w:val="none"/>
              </w:rPr>
              <w:t>2.4</w:t>
            </w:r>
            <w:r w:rsidRPr="00AF1F20">
              <w:rPr>
                <w:rStyle w:val="afff9"/>
                <w:b w:val="0"/>
                <w:noProof/>
                <w:u w:val="none"/>
              </w:rPr>
              <w:t>评价范围及环境敏感区</w:t>
            </w:r>
            <w:r w:rsidRPr="00AF1F20">
              <w:rPr>
                <w:b w:val="0"/>
                <w:noProof/>
                <w:webHidden/>
              </w:rPr>
              <w:tab/>
            </w:r>
            <w:r w:rsidRPr="00AF1F20">
              <w:rPr>
                <w:b w:val="0"/>
                <w:noProof/>
                <w:webHidden/>
              </w:rPr>
              <w:fldChar w:fldCharType="begin"/>
            </w:r>
            <w:r w:rsidRPr="00AF1F20">
              <w:rPr>
                <w:b w:val="0"/>
                <w:noProof/>
                <w:webHidden/>
              </w:rPr>
              <w:instrText xml:space="preserve"> PAGEREF _Toc221500937 \h </w:instrText>
            </w:r>
            <w:r w:rsidRPr="00AF1F20">
              <w:rPr>
                <w:b w:val="0"/>
                <w:noProof/>
                <w:webHidden/>
              </w:rPr>
            </w:r>
            <w:r w:rsidRPr="00AF1F20">
              <w:rPr>
                <w:b w:val="0"/>
                <w:noProof/>
                <w:webHidden/>
              </w:rPr>
              <w:fldChar w:fldCharType="separate"/>
            </w:r>
            <w:r w:rsidR="006A32D2">
              <w:rPr>
                <w:b w:val="0"/>
                <w:noProof/>
                <w:webHidden/>
              </w:rPr>
              <w:t>35</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40" w:history="1">
            <w:r w:rsidRPr="00AF1F20">
              <w:rPr>
                <w:rStyle w:val="afff9"/>
                <w:b w:val="0"/>
                <w:noProof/>
                <w:u w:val="none"/>
              </w:rPr>
              <w:t>2.5</w:t>
            </w:r>
            <w:r w:rsidRPr="00AF1F20">
              <w:rPr>
                <w:rStyle w:val="afff9"/>
                <w:b w:val="0"/>
                <w:noProof/>
                <w:u w:val="none"/>
              </w:rPr>
              <w:t>与相关法律法规、政策、规划协调性分析</w:t>
            </w:r>
            <w:r w:rsidRPr="00AF1F20">
              <w:rPr>
                <w:b w:val="0"/>
                <w:noProof/>
                <w:webHidden/>
              </w:rPr>
              <w:tab/>
            </w:r>
            <w:r w:rsidRPr="00AF1F20">
              <w:rPr>
                <w:b w:val="0"/>
                <w:noProof/>
                <w:webHidden/>
              </w:rPr>
              <w:fldChar w:fldCharType="begin"/>
            </w:r>
            <w:r w:rsidRPr="00AF1F20">
              <w:rPr>
                <w:b w:val="0"/>
                <w:noProof/>
                <w:webHidden/>
              </w:rPr>
              <w:instrText xml:space="preserve"> PAGEREF _Toc221500940 \h </w:instrText>
            </w:r>
            <w:r w:rsidRPr="00AF1F20">
              <w:rPr>
                <w:b w:val="0"/>
                <w:noProof/>
                <w:webHidden/>
              </w:rPr>
            </w:r>
            <w:r w:rsidRPr="00AF1F20">
              <w:rPr>
                <w:b w:val="0"/>
                <w:noProof/>
                <w:webHidden/>
              </w:rPr>
              <w:fldChar w:fldCharType="separate"/>
            </w:r>
            <w:r w:rsidR="006A32D2">
              <w:rPr>
                <w:b w:val="0"/>
                <w:noProof/>
                <w:webHidden/>
              </w:rPr>
              <w:t>39</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44" w:history="1">
            <w:r w:rsidRPr="00AF1F20">
              <w:rPr>
                <w:rStyle w:val="afff9"/>
                <w:b w:val="0"/>
                <w:noProof/>
                <w:u w:val="none"/>
              </w:rPr>
              <w:t>2.6</w:t>
            </w:r>
            <w:r w:rsidRPr="00AF1F20">
              <w:rPr>
                <w:rStyle w:val="afff9"/>
                <w:b w:val="0"/>
                <w:noProof/>
                <w:u w:val="none"/>
              </w:rPr>
              <w:t>环境功能区划</w:t>
            </w:r>
            <w:r w:rsidRPr="00AF1F20">
              <w:rPr>
                <w:b w:val="0"/>
                <w:noProof/>
                <w:webHidden/>
              </w:rPr>
              <w:tab/>
            </w:r>
            <w:r w:rsidRPr="00AF1F20">
              <w:rPr>
                <w:b w:val="0"/>
                <w:noProof/>
                <w:webHidden/>
              </w:rPr>
              <w:fldChar w:fldCharType="begin"/>
            </w:r>
            <w:r w:rsidRPr="00AF1F20">
              <w:rPr>
                <w:b w:val="0"/>
                <w:noProof/>
                <w:webHidden/>
              </w:rPr>
              <w:instrText xml:space="preserve"> PAGEREF _Toc221500944 \h </w:instrText>
            </w:r>
            <w:r w:rsidRPr="00AF1F20">
              <w:rPr>
                <w:b w:val="0"/>
                <w:noProof/>
                <w:webHidden/>
              </w:rPr>
            </w:r>
            <w:r w:rsidRPr="00AF1F20">
              <w:rPr>
                <w:b w:val="0"/>
                <w:noProof/>
                <w:webHidden/>
              </w:rPr>
              <w:fldChar w:fldCharType="separate"/>
            </w:r>
            <w:r w:rsidR="006A32D2">
              <w:rPr>
                <w:b w:val="0"/>
                <w:noProof/>
                <w:webHidden/>
              </w:rPr>
              <w:t>74</w:t>
            </w:r>
            <w:r w:rsidRPr="00AF1F20">
              <w:rPr>
                <w:b w:val="0"/>
                <w:noProof/>
                <w:webHidden/>
              </w:rPr>
              <w:fldChar w:fldCharType="end"/>
            </w:r>
          </w:hyperlink>
        </w:p>
        <w:p w:rsidR="00AF1F20" w:rsidRPr="00AF1F20" w:rsidRDefault="00E8730B">
          <w:pPr>
            <w:pStyle w:val="12"/>
            <w:tabs>
              <w:tab w:val="right" w:leader="dot" w:pos="9016"/>
            </w:tabs>
            <w:ind w:firstLine="482"/>
            <w:rPr>
              <w:rFonts w:ascii="Times New Roman" w:hAnsi="Times New Roman"/>
              <w:b w:val="0"/>
              <w:noProof/>
              <w:sz w:val="21"/>
            </w:rPr>
          </w:pPr>
          <w:hyperlink w:anchor="_Toc221500945" w:history="1">
            <w:r w:rsidR="00AF1F20" w:rsidRPr="00AF1F20">
              <w:rPr>
                <w:rStyle w:val="afff9"/>
                <w:rFonts w:ascii="Times New Roman" w:hAnsi="Times New Roman"/>
                <w:b w:val="0"/>
                <w:noProof/>
                <w:u w:val="none"/>
              </w:rPr>
              <w:t>3</w:t>
            </w:r>
            <w:r w:rsidR="00AF1F20" w:rsidRPr="00AF1F20">
              <w:rPr>
                <w:rStyle w:val="afff9"/>
                <w:rFonts w:ascii="Times New Roman" w:hAnsi="Times New Roman"/>
                <w:b w:val="0"/>
                <w:noProof/>
                <w:u w:val="none"/>
              </w:rPr>
              <w:t>、建设项目工程分析</w:t>
            </w:r>
            <w:r w:rsidR="00AF1F20" w:rsidRPr="00AF1F20">
              <w:rPr>
                <w:rFonts w:ascii="Times New Roman" w:hAnsi="Times New Roman"/>
                <w:b w:val="0"/>
                <w:noProof/>
                <w:webHidden/>
              </w:rPr>
              <w:tab/>
            </w:r>
            <w:r w:rsidR="00AF1F20" w:rsidRPr="00AF1F20">
              <w:rPr>
                <w:rFonts w:ascii="Times New Roman" w:hAnsi="Times New Roman"/>
                <w:b w:val="0"/>
                <w:noProof/>
                <w:webHidden/>
              </w:rPr>
              <w:fldChar w:fldCharType="begin"/>
            </w:r>
            <w:r w:rsidR="00AF1F20" w:rsidRPr="00AF1F20">
              <w:rPr>
                <w:rFonts w:ascii="Times New Roman" w:hAnsi="Times New Roman"/>
                <w:b w:val="0"/>
                <w:noProof/>
                <w:webHidden/>
              </w:rPr>
              <w:instrText xml:space="preserve"> PAGEREF _Toc221500945 \h </w:instrText>
            </w:r>
            <w:r w:rsidR="00AF1F20" w:rsidRPr="00AF1F20">
              <w:rPr>
                <w:rFonts w:ascii="Times New Roman" w:hAnsi="Times New Roman"/>
                <w:b w:val="0"/>
                <w:noProof/>
                <w:webHidden/>
              </w:rPr>
            </w:r>
            <w:r w:rsidR="00AF1F20" w:rsidRPr="00AF1F20">
              <w:rPr>
                <w:rFonts w:ascii="Times New Roman" w:hAnsi="Times New Roman"/>
                <w:b w:val="0"/>
                <w:noProof/>
                <w:webHidden/>
              </w:rPr>
              <w:fldChar w:fldCharType="separate"/>
            </w:r>
            <w:r w:rsidR="006A32D2">
              <w:rPr>
                <w:rFonts w:ascii="Times New Roman" w:hAnsi="Times New Roman"/>
                <w:b w:val="0"/>
                <w:noProof/>
                <w:webHidden/>
              </w:rPr>
              <w:t>75</w:t>
            </w:r>
            <w:r w:rsidR="00AF1F20" w:rsidRPr="00AF1F20">
              <w:rPr>
                <w:rFonts w:ascii="Times New Roman" w:hAnsi="Times New Roman"/>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46" w:history="1">
            <w:r w:rsidRPr="00AF1F20">
              <w:rPr>
                <w:rStyle w:val="afff9"/>
                <w:b w:val="0"/>
                <w:noProof/>
                <w:u w:val="none"/>
              </w:rPr>
              <w:t>3.1</w:t>
            </w:r>
            <w:r w:rsidRPr="00AF1F20">
              <w:rPr>
                <w:rStyle w:val="afff9"/>
                <w:b w:val="0"/>
                <w:noProof/>
                <w:u w:val="none"/>
              </w:rPr>
              <w:t>现有工程概况</w:t>
            </w:r>
            <w:r w:rsidRPr="00AF1F20">
              <w:rPr>
                <w:b w:val="0"/>
                <w:noProof/>
                <w:webHidden/>
              </w:rPr>
              <w:tab/>
            </w:r>
            <w:r w:rsidRPr="00AF1F20">
              <w:rPr>
                <w:b w:val="0"/>
                <w:noProof/>
                <w:webHidden/>
              </w:rPr>
              <w:fldChar w:fldCharType="begin"/>
            </w:r>
            <w:r w:rsidRPr="00AF1F20">
              <w:rPr>
                <w:b w:val="0"/>
                <w:noProof/>
                <w:webHidden/>
              </w:rPr>
              <w:instrText xml:space="preserve"> PAGEREF _Toc221500946 \h </w:instrText>
            </w:r>
            <w:r w:rsidRPr="00AF1F20">
              <w:rPr>
                <w:b w:val="0"/>
                <w:noProof/>
                <w:webHidden/>
              </w:rPr>
            </w:r>
            <w:r w:rsidRPr="00AF1F20">
              <w:rPr>
                <w:b w:val="0"/>
                <w:noProof/>
                <w:webHidden/>
              </w:rPr>
              <w:fldChar w:fldCharType="separate"/>
            </w:r>
            <w:r w:rsidR="006A32D2">
              <w:rPr>
                <w:b w:val="0"/>
                <w:noProof/>
                <w:webHidden/>
              </w:rPr>
              <w:t>75</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54" w:history="1">
            <w:r w:rsidRPr="00AF1F20">
              <w:rPr>
                <w:rStyle w:val="afff9"/>
                <w:b w:val="0"/>
                <w:noProof/>
                <w:u w:val="none"/>
              </w:rPr>
              <w:t>3.2</w:t>
            </w:r>
            <w:r w:rsidRPr="00AF1F20">
              <w:rPr>
                <w:rStyle w:val="afff9"/>
                <w:b w:val="0"/>
                <w:noProof/>
                <w:u w:val="none"/>
              </w:rPr>
              <w:t>本项目工程分析</w:t>
            </w:r>
            <w:r w:rsidRPr="00AF1F20">
              <w:rPr>
                <w:b w:val="0"/>
                <w:noProof/>
                <w:webHidden/>
              </w:rPr>
              <w:tab/>
            </w:r>
            <w:r w:rsidRPr="00AF1F20">
              <w:rPr>
                <w:b w:val="0"/>
                <w:noProof/>
                <w:webHidden/>
              </w:rPr>
              <w:fldChar w:fldCharType="begin"/>
            </w:r>
            <w:r w:rsidRPr="00AF1F20">
              <w:rPr>
                <w:b w:val="0"/>
                <w:noProof/>
                <w:webHidden/>
              </w:rPr>
              <w:instrText xml:space="preserve"> PAGEREF _Toc221500954 \h </w:instrText>
            </w:r>
            <w:r w:rsidRPr="00AF1F20">
              <w:rPr>
                <w:b w:val="0"/>
                <w:noProof/>
                <w:webHidden/>
              </w:rPr>
            </w:r>
            <w:r w:rsidRPr="00AF1F20">
              <w:rPr>
                <w:b w:val="0"/>
                <w:noProof/>
                <w:webHidden/>
              </w:rPr>
              <w:fldChar w:fldCharType="separate"/>
            </w:r>
            <w:r w:rsidR="006A32D2">
              <w:rPr>
                <w:b w:val="0"/>
                <w:noProof/>
                <w:webHidden/>
              </w:rPr>
              <w:t>143</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62" w:history="1">
            <w:r w:rsidRPr="00AF1F20">
              <w:rPr>
                <w:rStyle w:val="afff9"/>
                <w:b w:val="0"/>
                <w:noProof/>
                <w:u w:val="none"/>
              </w:rPr>
              <w:t>3.3</w:t>
            </w:r>
            <w:r w:rsidRPr="00AF1F20">
              <w:rPr>
                <w:rStyle w:val="afff9"/>
                <w:b w:val="0"/>
                <w:noProof/>
                <w:u w:val="none"/>
              </w:rPr>
              <w:t>生产工艺及物料平衡分析</w:t>
            </w:r>
            <w:r w:rsidRPr="00AF1F20">
              <w:rPr>
                <w:b w:val="0"/>
                <w:noProof/>
                <w:webHidden/>
              </w:rPr>
              <w:tab/>
            </w:r>
            <w:r w:rsidRPr="00AF1F20">
              <w:rPr>
                <w:b w:val="0"/>
                <w:noProof/>
                <w:webHidden/>
              </w:rPr>
              <w:fldChar w:fldCharType="begin"/>
            </w:r>
            <w:r w:rsidRPr="00AF1F20">
              <w:rPr>
                <w:b w:val="0"/>
                <w:noProof/>
                <w:webHidden/>
              </w:rPr>
              <w:instrText xml:space="preserve"> PAGEREF _Toc221500962 \h </w:instrText>
            </w:r>
            <w:r w:rsidRPr="00AF1F20">
              <w:rPr>
                <w:b w:val="0"/>
                <w:noProof/>
                <w:webHidden/>
              </w:rPr>
            </w:r>
            <w:r w:rsidRPr="00AF1F20">
              <w:rPr>
                <w:b w:val="0"/>
                <w:noProof/>
                <w:webHidden/>
              </w:rPr>
              <w:fldChar w:fldCharType="separate"/>
            </w:r>
            <w:r w:rsidR="006A32D2">
              <w:rPr>
                <w:b w:val="0"/>
                <w:noProof/>
                <w:webHidden/>
              </w:rPr>
              <w:t>215</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71" w:history="1">
            <w:r w:rsidRPr="00AF1F20">
              <w:rPr>
                <w:rStyle w:val="afff9"/>
                <w:b w:val="0"/>
                <w:noProof/>
                <w:u w:val="none"/>
              </w:rPr>
              <w:t>3.4</w:t>
            </w:r>
            <w:r w:rsidRPr="00AF1F20">
              <w:rPr>
                <w:rStyle w:val="afff9"/>
                <w:b w:val="0"/>
                <w:noProof/>
                <w:u w:val="none"/>
              </w:rPr>
              <w:t>污染源分析</w:t>
            </w:r>
            <w:r w:rsidRPr="00AF1F20">
              <w:rPr>
                <w:b w:val="0"/>
                <w:noProof/>
                <w:webHidden/>
              </w:rPr>
              <w:tab/>
            </w:r>
            <w:r w:rsidRPr="00AF1F20">
              <w:rPr>
                <w:b w:val="0"/>
                <w:noProof/>
                <w:webHidden/>
              </w:rPr>
              <w:fldChar w:fldCharType="begin"/>
            </w:r>
            <w:r w:rsidRPr="00AF1F20">
              <w:rPr>
                <w:b w:val="0"/>
                <w:noProof/>
                <w:webHidden/>
              </w:rPr>
              <w:instrText xml:space="preserve"> PAGEREF _Toc221500971 \h </w:instrText>
            </w:r>
            <w:r w:rsidRPr="00AF1F20">
              <w:rPr>
                <w:b w:val="0"/>
                <w:noProof/>
                <w:webHidden/>
              </w:rPr>
            </w:r>
            <w:r w:rsidRPr="00AF1F20">
              <w:rPr>
                <w:b w:val="0"/>
                <w:noProof/>
                <w:webHidden/>
              </w:rPr>
              <w:fldChar w:fldCharType="separate"/>
            </w:r>
            <w:r w:rsidR="006A32D2">
              <w:rPr>
                <w:b w:val="0"/>
                <w:noProof/>
                <w:webHidden/>
              </w:rPr>
              <w:t>257</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78" w:history="1">
            <w:r w:rsidRPr="009517D8">
              <w:rPr>
                <w:rStyle w:val="afff9"/>
                <w:b w:val="0"/>
                <w:noProof/>
              </w:rPr>
              <w:t>3.5</w:t>
            </w:r>
            <w:r w:rsidRPr="009517D8">
              <w:rPr>
                <w:rStyle w:val="afff9"/>
                <w:b w:val="0"/>
                <w:noProof/>
              </w:rPr>
              <w:t>改</w:t>
            </w:r>
            <w:r w:rsidR="009517D8" w:rsidRPr="009517D8">
              <w:rPr>
                <w:rStyle w:val="afff9"/>
                <w:rFonts w:hint="eastAsia"/>
                <w:b w:val="0"/>
                <w:noProof/>
              </w:rPr>
              <w:t>扩</w:t>
            </w:r>
            <w:r w:rsidRPr="009517D8">
              <w:rPr>
                <w:rStyle w:val="afff9"/>
                <w:b w:val="0"/>
                <w:noProof/>
              </w:rPr>
              <w:t>建完成后全厂</w:t>
            </w:r>
            <w:r w:rsidRPr="009517D8">
              <w:rPr>
                <w:rStyle w:val="afff9"/>
                <w:b w:val="0"/>
                <w:noProof/>
              </w:rPr>
              <w:t>“</w:t>
            </w:r>
            <w:r w:rsidRPr="009517D8">
              <w:rPr>
                <w:rStyle w:val="afff9"/>
                <w:b w:val="0"/>
                <w:noProof/>
              </w:rPr>
              <w:t>三本帐</w:t>
            </w:r>
            <w:r w:rsidRPr="009517D8">
              <w:rPr>
                <w:rStyle w:val="afff9"/>
                <w:b w:val="0"/>
                <w:noProof/>
              </w:rPr>
              <w:t>”</w:t>
            </w:r>
            <w:r w:rsidRPr="009517D8">
              <w:rPr>
                <w:rStyle w:val="afff9"/>
                <w:b w:val="0"/>
                <w:noProof/>
                <w:webHidden/>
              </w:rPr>
              <w:tab/>
            </w:r>
            <w:r w:rsidRPr="009517D8">
              <w:rPr>
                <w:rStyle w:val="afff9"/>
                <w:b w:val="0"/>
                <w:noProof/>
                <w:webHidden/>
              </w:rPr>
              <w:fldChar w:fldCharType="begin"/>
            </w:r>
            <w:r w:rsidRPr="009517D8">
              <w:rPr>
                <w:rStyle w:val="afff9"/>
                <w:b w:val="0"/>
                <w:noProof/>
                <w:webHidden/>
              </w:rPr>
              <w:instrText xml:space="preserve"> PAGEREF _Toc221500978 \h </w:instrText>
            </w:r>
            <w:r w:rsidRPr="009517D8">
              <w:rPr>
                <w:rStyle w:val="afff9"/>
                <w:b w:val="0"/>
                <w:noProof/>
                <w:webHidden/>
              </w:rPr>
            </w:r>
            <w:r w:rsidRPr="009517D8">
              <w:rPr>
                <w:rStyle w:val="afff9"/>
                <w:b w:val="0"/>
                <w:noProof/>
                <w:webHidden/>
              </w:rPr>
              <w:fldChar w:fldCharType="separate"/>
            </w:r>
            <w:r w:rsidR="006A32D2">
              <w:rPr>
                <w:rStyle w:val="afff9"/>
                <w:b w:val="0"/>
                <w:noProof/>
                <w:webHidden/>
              </w:rPr>
              <w:t>299</w:t>
            </w:r>
            <w:r w:rsidRPr="009517D8">
              <w:rPr>
                <w:rStyle w:val="afff9"/>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79" w:history="1">
            <w:r w:rsidRPr="00AF1F20">
              <w:rPr>
                <w:rStyle w:val="afff9"/>
                <w:b w:val="0"/>
                <w:noProof/>
                <w:u w:val="none"/>
              </w:rPr>
              <w:t>3.6</w:t>
            </w:r>
            <w:r w:rsidRPr="00AF1F20">
              <w:rPr>
                <w:rStyle w:val="afff9"/>
                <w:b w:val="0"/>
                <w:noProof/>
                <w:u w:val="none"/>
              </w:rPr>
              <w:t>清洁生产分析</w:t>
            </w:r>
            <w:r w:rsidRPr="00AF1F20">
              <w:rPr>
                <w:b w:val="0"/>
                <w:noProof/>
                <w:webHidden/>
              </w:rPr>
              <w:tab/>
            </w:r>
            <w:r w:rsidRPr="00AF1F20">
              <w:rPr>
                <w:b w:val="0"/>
                <w:noProof/>
                <w:webHidden/>
              </w:rPr>
              <w:fldChar w:fldCharType="begin"/>
            </w:r>
            <w:r w:rsidRPr="00AF1F20">
              <w:rPr>
                <w:b w:val="0"/>
                <w:noProof/>
                <w:webHidden/>
              </w:rPr>
              <w:instrText xml:space="preserve"> PAGEREF _Toc221500979 \h </w:instrText>
            </w:r>
            <w:r w:rsidRPr="00AF1F20">
              <w:rPr>
                <w:b w:val="0"/>
                <w:noProof/>
                <w:webHidden/>
              </w:rPr>
            </w:r>
            <w:r w:rsidRPr="00AF1F20">
              <w:rPr>
                <w:b w:val="0"/>
                <w:noProof/>
                <w:webHidden/>
              </w:rPr>
              <w:fldChar w:fldCharType="separate"/>
            </w:r>
            <w:r w:rsidR="006A32D2">
              <w:rPr>
                <w:b w:val="0"/>
                <w:noProof/>
                <w:webHidden/>
              </w:rPr>
              <w:t>300</w:t>
            </w:r>
            <w:r w:rsidRPr="00AF1F20">
              <w:rPr>
                <w:b w:val="0"/>
                <w:noProof/>
                <w:webHidden/>
              </w:rPr>
              <w:fldChar w:fldCharType="end"/>
            </w:r>
          </w:hyperlink>
        </w:p>
        <w:p w:rsidR="00AF1F20" w:rsidRPr="00AF1F20" w:rsidRDefault="00E8730B">
          <w:pPr>
            <w:pStyle w:val="12"/>
            <w:tabs>
              <w:tab w:val="right" w:leader="dot" w:pos="9016"/>
            </w:tabs>
            <w:ind w:firstLine="482"/>
            <w:rPr>
              <w:rFonts w:ascii="Times New Roman" w:hAnsi="Times New Roman"/>
              <w:b w:val="0"/>
              <w:noProof/>
              <w:sz w:val="21"/>
            </w:rPr>
          </w:pPr>
          <w:hyperlink w:anchor="_Toc221500986" w:history="1">
            <w:r w:rsidR="00AF1F20" w:rsidRPr="00AF1F20">
              <w:rPr>
                <w:rStyle w:val="afff9"/>
                <w:rFonts w:ascii="Times New Roman" w:hAnsi="Times New Roman"/>
                <w:b w:val="0"/>
                <w:noProof/>
                <w:u w:val="none"/>
              </w:rPr>
              <w:t>4</w:t>
            </w:r>
            <w:r w:rsidR="00AF1F20" w:rsidRPr="00AF1F20">
              <w:rPr>
                <w:rStyle w:val="afff9"/>
                <w:rFonts w:ascii="Times New Roman" w:hAnsi="Times New Roman"/>
                <w:b w:val="0"/>
                <w:noProof/>
                <w:u w:val="none"/>
              </w:rPr>
              <w:t>、环境现状调查与评价</w:t>
            </w:r>
            <w:r w:rsidR="00AF1F20" w:rsidRPr="00AF1F20">
              <w:rPr>
                <w:rFonts w:ascii="Times New Roman" w:hAnsi="Times New Roman"/>
                <w:b w:val="0"/>
                <w:noProof/>
                <w:webHidden/>
              </w:rPr>
              <w:tab/>
            </w:r>
            <w:r w:rsidR="00AF1F20" w:rsidRPr="00AF1F20">
              <w:rPr>
                <w:rFonts w:ascii="Times New Roman" w:hAnsi="Times New Roman"/>
                <w:b w:val="0"/>
                <w:noProof/>
                <w:webHidden/>
              </w:rPr>
              <w:fldChar w:fldCharType="begin"/>
            </w:r>
            <w:r w:rsidR="00AF1F20" w:rsidRPr="00AF1F20">
              <w:rPr>
                <w:rFonts w:ascii="Times New Roman" w:hAnsi="Times New Roman"/>
                <w:b w:val="0"/>
                <w:noProof/>
                <w:webHidden/>
              </w:rPr>
              <w:instrText xml:space="preserve"> PAGEREF _Toc221500986 \h </w:instrText>
            </w:r>
            <w:r w:rsidR="00AF1F20" w:rsidRPr="00AF1F20">
              <w:rPr>
                <w:rFonts w:ascii="Times New Roman" w:hAnsi="Times New Roman"/>
                <w:b w:val="0"/>
                <w:noProof/>
                <w:webHidden/>
              </w:rPr>
            </w:r>
            <w:r w:rsidR="00AF1F20" w:rsidRPr="00AF1F20">
              <w:rPr>
                <w:rFonts w:ascii="Times New Roman" w:hAnsi="Times New Roman"/>
                <w:b w:val="0"/>
                <w:noProof/>
                <w:webHidden/>
              </w:rPr>
              <w:fldChar w:fldCharType="separate"/>
            </w:r>
            <w:r w:rsidR="006A32D2">
              <w:rPr>
                <w:rFonts w:ascii="Times New Roman" w:hAnsi="Times New Roman"/>
                <w:b w:val="0"/>
                <w:noProof/>
                <w:webHidden/>
              </w:rPr>
              <w:t>304</w:t>
            </w:r>
            <w:r w:rsidR="00AF1F20" w:rsidRPr="00AF1F20">
              <w:rPr>
                <w:rFonts w:ascii="Times New Roman" w:hAnsi="Times New Roman"/>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87" w:history="1">
            <w:r w:rsidRPr="00AF1F20">
              <w:rPr>
                <w:rStyle w:val="afff9"/>
                <w:b w:val="0"/>
                <w:noProof/>
                <w:u w:val="none"/>
              </w:rPr>
              <w:t>4.1</w:t>
            </w:r>
            <w:r w:rsidRPr="00AF1F20">
              <w:rPr>
                <w:rStyle w:val="afff9"/>
                <w:b w:val="0"/>
                <w:noProof/>
                <w:u w:val="none"/>
              </w:rPr>
              <w:t>自然环境概况</w:t>
            </w:r>
            <w:r w:rsidRPr="00AF1F20">
              <w:rPr>
                <w:b w:val="0"/>
                <w:noProof/>
                <w:webHidden/>
              </w:rPr>
              <w:tab/>
            </w:r>
            <w:r w:rsidRPr="00AF1F20">
              <w:rPr>
                <w:b w:val="0"/>
                <w:noProof/>
                <w:webHidden/>
              </w:rPr>
              <w:fldChar w:fldCharType="begin"/>
            </w:r>
            <w:r w:rsidRPr="00AF1F20">
              <w:rPr>
                <w:b w:val="0"/>
                <w:noProof/>
                <w:webHidden/>
              </w:rPr>
              <w:instrText xml:space="preserve"> PAGEREF _Toc221500987 \h </w:instrText>
            </w:r>
            <w:r w:rsidRPr="00AF1F20">
              <w:rPr>
                <w:b w:val="0"/>
                <w:noProof/>
                <w:webHidden/>
              </w:rPr>
            </w:r>
            <w:r w:rsidRPr="00AF1F20">
              <w:rPr>
                <w:b w:val="0"/>
                <w:noProof/>
                <w:webHidden/>
              </w:rPr>
              <w:fldChar w:fldCharType="separate"/>
            </w:r>
            <w:r w:rsidR="006A32D2">
              <w:rPr>
                <w:b w:val="0"/>
                <w:noProof/>
                <w:webHidden/>
              </w:rPr>
              <w:t>304</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0993" w:history="1">
            <w:r w:rsidRPr="00AF1F20">
              <w:rPr>
                <w:rStyle w:val="afff9"/>
                <w:b w:val="0"/>
                <w:noProof/>
                <w:u w:val="none"/>
              </w:rPr>
              <w:t>4.2</w:t>
            </w:r>
            <w:r w:rsidRPr="00AF1F20">
              <w:rPr>
                <w:rStyle w:val="afff9"/>
                <w:b w:val="0"/>
                <w:noProof/>
                <w:u w:val="none"/>
              </w:rPr>
              <w:t>环境质量现状</w:t>
            </w:r>
            <w:r w:rsidRPr="00AF1F20">
              <w:rPr>
                <w:b w:val="0"/>
                <w:noProof/>
                <w:webHidden/>
              </w:rPr>
              <w:tab/>
            </w:r>
            <w:r w:rsidRPr="00AF1F20">
              <w:rPr>
                <w:b w:val="0"/>
                <w:noProof/>
                <w:webHidden/>
              </w:rPr>
              <w:fldChar w:fldCharType="begin"/>
            </w:r>
            <w:r w:rsidRPr="00AF1F20">
              <w:rPr>
                <w:b w:val="0"/>
                <w:noProof/>
                <w:webHidden/>
              </w:rPr>
              <w:instrText xml:space="preserve"> PAGEREF _Toc221500993 \h </w:instrText>
            </w:r>
            <w:r w:rsidRPr="00AF1F20">
              <w:rPr>
                <w:b w:val="0"/>
                <w:noProof/>
                <w:webHidden/>
              </w:rPr>
            </w:r>
            <w:r w:rsidRPr="00AF1F20">
              <w:rPr>
                <w:b w:val="0"/>
                <w:noProof/>
                <w:webHidden/>
              </w:rPr>
              <w:fldChar w:fldCharType="separate"/>
            </w:r>
            <w:r w:rsidR="006A32D2">
              <w:rPr>
                <w:b w:val="0"/>
                <w:noProof/>
                <w:webHidden/>
              </w:rPr>
              <w:t>309</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00" w:history="1">
            <w:r w:rsidRPr="00AF1F20">
              <w:rPr>
                <w:rStyle w:val="afff9"/>
                <w:b w:val="0"/>
                <w:noProof/>
                <w:u w:val="none"/>
              </w:rPr>
              <w:t>4.3</w:t>
            </w:r>
            <w:r w:rsidRPr="00AF1F20">
              <w:rPr>
                <w:rStyle w:val="afff9"/>
                <w:b w:val="0"/>
                <w:noProof/>
                <w:u w:val="none"/>
              </w:rPr>
              <w:t>区域污染源调查</w:t>
            </w:r>
            <w:r w:rsidRPr="00AF1F20">
              <w:rPr>
                <w:b w:val="0"/>
                <w:noProof/>
                <w:webHidden/>
              </w:rPr>
              <w:tab/>
            </w:r>
            <w:r w:rsidRPr="00AF1F20">
              <w:rPr>
                <w:b w:val="0"/>
                <w:noProof/>
                <w:webHidden/>
              </w:rPr>
              <w:fldChar w:fldCharType="begin"/>
            </w:r>
            <w:r w:rsidRPr="00AF1F20">
              <w:rPr>
                <w:b w:val="0"/>
                <w:noProof/>
                <w:webHidden/>
              </w:rPr>
              <w:instrText xml:space="preserve"> PAGEREF _Toc221501000 \h </w:instrText>
            </w:r>
            <w:r w:rsidRPr="00AF1F20">
              <w:rPr>
                <w:b w:val="0"/>
                <w:noProof/>
                <w:webHidden/>
              </w:rPr>
            </w:r>
            <w:r w:rsidRPr="00AF1F20">
              <w:rPr>
                <w:b w:val="0"/>
                <w:noProof/>
                <w:webHidden/>
              </w:rPr>
              <w:fldChar w:fldCharType="separate"/>
            </w:r>
            <w:r w:rsidR="006A32D2">
              <w:rPr>
                <w:b w:val="0"/>
                <w:noProof/>
                <w:webHidden/>
              </w:rPr>
              <w:t>339</w:t>
            </w:r>
            <w:r w:rsidRPr="00AF1F20">
              <w:rPr>
                <w:b w:val="0"/>
                <w:noProof/>
                <w:webHidden/>
              </w:rPr>
              <w:fldChar w:fldCharType="end"/>
            </w:r>
          </w:hyperlink>
        </w:p>
        <w:p w:rsidR="00AF1F20" w:rsidRPr="00AF1F20" w:rsidRDefault="00E8730B">
          <w:pPr>
            <w:pStyle w:val="12"/>
            <w:tabs>
              <w:tab w:val="right" w:leader="dot" w:pos="9016"/>
            </w:tabs>
            <w:ind w:firstLine="482"/>
            <w:rPr>
              <w:rFonts w:ascii="Times New Roman" w:hAnsi="Times New Roman"/>
              <w:b w:val="0"/>
              <w:noProof/>
              <w:sz w:val="21"/>
            </w:rPr>
          </w:pPr>
          <w:hyperlink w:anchor="_Toc221501003" w:history="1">
            <w:r w:rsidR="00AF1F20" w:rsidRPr="00AF1F20">
              <w:rPr>
                <w:rStyle w:val="afff9"/>
                <w:rFonts w:ascii="Times New Roman" w:hAnsi="Times New Roman"/>
                <w:b w:val="0"/>
                <w:noProof/>
                <w:u w:val="none"/>
              </w:rPr>
              <w:t>5</w:t>
            </w:r>
            <w:r w:rsidR="00AF1F20" w:rsidRPr="00AF1F20">
              <w:rPr>
                <w:rStyle w:val="afff9"/>
                <w:rFonts w:ascii="Times New Roman" w:hAnsi="Times New Roman"/>
                <w:b w:val="0"/>
                <w:noProof/>
                <w:u w:val="none"/>
              </w:rPr>
              <w:t>、环境影响预测与评价</w:t>
            </w:r>
            <w:r w:rsidR="00AF1F20" w:rsidRPr="00AF1F20">
              <w:rPr>
                <w:rFonts w:ascii="Times New Roman" w:hAnsi="Times New Roman"/>
                <w:b w:val="0"/>
                <w:noProof/>
                <w:webHidden/>
              </w:rPr>
              <w:tab/>
            </w:r>
            <w:r w:rsidR="00AF1F20" w:rsidRPr="00AF1F20">
              <w:rPr>
                <w:rFonts w:ascii="Times New Roman" w:hAnsi="Times New Roman"/>
                <w:b w:val="0"/>
                <w:noProof/>
                <w:webHidden/>
              </w:rPr>
              <w:fldChar w:fldCharType="begin"/>
            </w:r>
            <w:r w:rsidR="00AF1F20" w:rsidRPr="00AF1F20">
              <w:rPr>
                <w:rFonts w:ascii="Times New Roman" w:hAnsi="Times New Roman"/>
                <w:b w:val="0"/>
                <w:noProof/>
                <w:webHidden/>
              </w:rPr>
              <w:instrText xml:space="preserve"> PAGEREF _Toc221501003 \h </w:instrText>
            </w:r>
            <w:r w:rsidR="00AF1F20" w:rsidRPr="00AF1F20">
              <w:rPr>
                <w:rFonts w:ascii="Times New Roman" w:hAnsi="Times New Roman"/>
                <w:b w:val="0"/>
                <w:noProof/>
                <w:webHidden/>
              </w:rPr>
            </w:r>
            <w:r w:rsidR="00AF1F20" w:rsidRPr="00AF1F20">
              <w:rPr>
                <w:rFonts w:ascii="Times New Roman" w:hAnsi="Times New Roman"/>
                <w:b w:val="0"/>
                <w:noProof/>
                <w:webHidden/>
              </w:rPr>
              <w:fldChar w:fldCharType="separate"/>
            </w:r>
            <w:r w:rsidR="006A32D2">
              <w:rPr>
                <w:rFonts w:ascii="Times New Roman" w:hAnsi="Times New Roman"/>
                <w:b w:val="0"/>
                <w:noProof/>
                <w:webHidden/>
              </w:rPr>
              <w:t>348</w:t>
            </w:r>
            <w:r w:rsidR="00AF1F20" w:rsidRPr="00AF1F20">
              <w:rPr>
                <w:rFonts w:ascii="Times New Roman" w:hAnsi="Times New Roman"/>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04" w:history="1">
            <w:r w:rsidRPr="00AF1F20">
              <w:rPr>
                <w:rStyle w:val="afff9"/>
                <w:b w:val="0"/>
                <w:noProof/>
                <w:u w:val="none"/>
              </w:rPr>
              <w:t>5.1</w:t>
            </w:r>
            <w:r w:rsidRPr="00AF1F20">
              <w:rPr>
                <w:rStyle w:val="afff9"/>
                <w:b w:val="0"/>
                <w:noProof/>
                <w:u w:val="none"/>
              </w:rPr>
              <w:t>大气环境影响分析</w:t>
            </w:r>
            <w:r w:rsidRPr="00AF1F20">
              <w:rPr>
                <w:b w:val="0"/>
                <w:noProof/>
                <w:webHidden/>
              </w:rPr>
              <w:tab/>
            </w:r>
            <w:r w:rsidRPr="00AF1F20">
              <w:rPr>
                <w:b w:val="0"/>
                <w:noProof/>
                <w:webHidden/>
              </w:rPr>
              <w:fldChar w:fldCharType="begin"/>
            </w:r>
            <w:r w:rsidRPr="00AF1F20">
              <w:rPr>
                <w:b w:val="0"/>
                <w:noProof/>
                <w:webHidden/>
              </w:rPr>
              <w:instrText xml:space="preserve"> PAGEREF _Toc221501004 \h </w:instrText>
            </w:r>
            <w:r w:rsidRPr="00AF1F20">
              <w:rPr>
                <w:b w:val="0"/>
                <w:noProof/>
                <w:webHidden/>
              </w:rPr>
            </w:r>
            <w:r w:rsidRPr="00AF1F20">
              <w:rPr>
                <w:b w:val="0"/>
                <w:noProof/>
                <w:webHidden/>
              </w:rPr>
              <w:fldChar w:fldCharType="separate"/>
            </w:r>
            <w:r w:rsidR="006A32D2">
              <w:rPr>
                <w:b w:val="0"/>
                <w:noProof/>
                <w:webHidden/>
              </w:rPr>
              <w:t>348</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15" w:history="1">
            <w:r w:rsidRPr="00AF1F20">
              <w:rPr>
                <w:rStyle w:val="afff9"/>
                <w:b w:val="0"/>
                <w:noProof/>
                <w:u w:val="none"/>
              </w:rPr>
              <w:t>5.2</w:t>
            </w:r>
            <w:r w:rsidRPr="00AF1F20">
              <w:rPr>
                <w:rStyle w:val="afff9"/>
                <w:b w:val="0"/>
                <w:noProof/>
                <w:u w:val="none"/>
              </w:rPr>
              <w:t>地表水环境影响分析</w:t>
            </w:r>
            <w:r w:rsidRPr="00AF1F20">
              <w:rPr>
                <w:b w:val="0"/>
                <w:noProof/>
                <w:webHidden/>
              </w:rPr>
              <w:tab/>
            </w:r>
            <w:r w:rsidRPr="00AF1F20">
              <w:rPr>
                <w:b w:val="0"/>
                <w:noProof/>
                <w:webHidden/>
              </w:rPr>
              <w:fldChar w:fldCharType="begin"/>
            </w:r>
            <w:r w:rsidRPr="00AF1F20">
              <w:rPr>
                <w:b w:val="0"/>
                <w:noProof/>
                <w:webHidden/>
              </w:rPr>
              <w:instrText xml:space="preserve"> PAGEREF _Toc221501015 \h </w:instrText>
            </w:r>
            <w:r w:rsidRPr="00AF1F20">
              <w:rPr>
                <w:b w:val="0"/>
                <w:noProof/>
                <w:webHidden/>
              </w:rPr>
            </w:r>
            <w:r w:rsidRPr="00AF1F20">
              <w:rPr>
                <w:b w:val="0"/>
                <w:noProof/>
                <w:webHidden/>
              </w:rPr>
              <w:fldChar w:fldCharType="separate"/>
            </w:r>
            <w:r w:rsidR="006A32D2">
              <w:rPr>
                <w:b w:val="0"/>
                <w:noProof/>
                <w:webHidden/>
              </w:rPr>
              <w:t>383</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19" w:history="1">
            <w:r w:rsidRPr="00AF1F20">
              <w:rPr>
                <w:rStyle w:val="afff9"/>
                <w:b w:val="0"/>
                <w:noProof/>
                <w:u w:val="none"/>
              </w:rPr>
              <w:t>5.3</w:t>
            </w:r>
            <w:r w:rsidRPr="00AF1F20">
              <w:rPr>
                <w:rStyle w:val="afff9"/>
                <w:b w:val="0"/>
                <w:noProof/>
                <w:u w:val="none"/>
              </w:rPr>
              <w:t>声环境影响评价</w:t>
            </w:r>
            <w:r w:rsidRPr="00AF1F20">
              <w:rPr>
                <w:b w:val="0"/>
                <w:noProof/>
                <w:webHidden/>
              </w:rPr>
              <w:tab/>
            </w:r>
            <w:r w:rsidRPr="00AF1F20">
              <w:rPr>
                <w:b w:val="0"/>
                <w:noProof/>
                <w:webHidden/>
              </w:rPr>
              <w:fldChar w:fldCharType="begin"/>
            </w:r>
            <w:r w:rsidRPr="00AF1F20">
              <w:rPr>
                <w:b w:val="0"/>
                <w:noProof/>
                <w:webHidden/>
              </w:rPr>
              <w:instrText xml:space="preserve"> PAGEREF _Toc221501019 \h </w:instrText>
            </w:r>
            <w:r w:rsidRPr="00AF1F20">
              <w:rPr>
                <w:b w:val="0"/>
                <w:noProof/>
                <w:webHidden/>
              </w:rPr>
            </w:r>
            <w:r w:rsidRPr="00AF1F20">
              <w:rPr>
                <w:b w:val="0"/>
                <w:noProof/>
                <w:webHidden/>
              </w:rPr>
              <w:fldChar w:fldCharType="separate"/>
            </w:r>
            <w:r w:rsidR="006A32D2">
              <w:rPr>
                <w:b w:val="0"/>
                <w:noProof/>
                <w:webHidden/>
              </w:rPr>
              <w:t>394</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23" w:history="1">
            <w:r w:rsidRPr="00AF1F20">
              <w:rPr>
                <w:rStyle w:val="afff9"/>
                <w:b w:val="0"/>
                <w:noProof/>
                <w:u w:val="none"/>
              </w:rPr>
              <w:t>5.4</w:t>
            </w:r>
            <w:r w:rsidRPr="00AF1F20">
              <w:rPr>
                <w:rStyle w:val="afff9"/>
                <w:b w:val="0"/>
                <w:noProof/>
                <w:u w:val="none"/>
              </w:rPr>
              <w:t>固体废物环境影响分析</w:t>
            </w:r>
            <w:r w:rsidRPr="00AF1F20">
              <w:rPr>
                <w:b w:val="0"/>
                <w:noProof/>
                <w:webHidden/>
              </w:rPr>
              <w:tab/>
            </w:r>
            <w:r w:rsidRPr="00AF1F20">
              <w:rPr>
                <w:b w:val="0"/>
                <w:noProof/>
                <w:webHidden/>
              </w:rPr>
              <w:fldChar w:fldCharType="begin"/>
            </w:r>
            <w:r w:rsidRPr="00AF1F20">
              <w:rPr>
                <w:b w:val="0"/>
                <w:noProof/>
                <w:webHidden/>
              </w:rPr>
              <w:instrText xml:space="preserve"> PAGEREF _Toc221501023 \h </w:instrText>
            </w:r>
            <w:r w:rsidRPr="00AF1F20">
              <w:rPr>
                <w:b w:val="0"/>
                <w:noProof/>
                <w:webHidden/>
              </w:rPr>
            </w:r>
            <w:r w:rsidRPr="00AF1F20">
              <w:rPr>
                <w:b w:val="0"/>
                <w:noProof/>
                <w:webHidden/>
              </w:rPr>
              <w:fldChar w:fldCharType="separate"/>
            </w:r>
            <w:r w:rsidR="006A32D2">
              <w:rPr>
                <w:b w:val="0"/>
                <w:noProof/>
                <w:webHidden/>
              </w:rPr>
              <w:t>396</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29" w:history="1">
            <w:r w:rsidRPr="00AF1F20">
              <w:rPr>
                <w:rStyle w:val="afff9"/>
                <w:b w:val="0"/>
                <w:noProof/>
                <w:u w:val="none"/>
              </w:rPr>
              <w:t>5.5</w:t>
            </w:r>
            <w:r w:rsidRPr="00AF1F20">
              <w:rPr>
                <w:rStyle w:val="afff9"/>
                <w:b w:val="0"/>
                <w:noProof/>
                <w:u w:val="none"/>
              </w:rPr>
              <w:t>地下水环境影响评价</w:t>
            </w:r>
            <w:r w:rsidRPr="00AF1F20">
              <w:rPr>
                <w:b w:val="0"/>
                <w:noProof/>
                <w:webHidden/>
              </w:rPr>
              <w:tab/>
            </w:r>
            <w:r w:rsidRPr="00AF1F20">
              <w:rPr>
                <w:b w:val="0"/>
                <w:noProof/>
                <w:webHidden/>
              </w:rPr>
              <w:fldChar w:fldCharType="begin"/>
            </w:r>
            <w:r w:rsidRPr="00AF1F20">
              <w:rPr>
                <w:b w:val="0"/>
                <w:noProof/>
                <w:webHidden/>
              </w:rPr>
              <w:instrText xml:space="preserve"> PAGEREF _Toc221501029 \h </w:instrText>
            </w:r>
            <w:r w:rsidRPr="00AF1F20">
              <w:rPr>
                <w:b w:val="0"/>
                <w:noProof/>
                <w:webHidden/>
              </w:rPr>
            </w:r>
            <w:r w:rsidRPr="00AF1F20">
              <w:rPr>
                <w:b w:val="0"/>
                <w:noProof/>
                <w:webHidden/>
              </w:rPr>
              <w:fldChar w:fldCharType="separate"/>
            </w:r>
            <w:r w:rsidR="006A32D2">
              <w:rPr>
                <w:b w:val="0"/>
                <w:noProof/>
                <w:webHidden/>
              </w:rPr>
              <w:t>401</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41" w:history="1">
            <w:r w:rsidRPr="00AF1F20">
              <w:rPr>
                <w:rStyle w:val="afff9"/>
                <w:b w:val="0"/>
                <w:noProof/>
                <w:u w:val="none"/>
              </w:rPr>
              <w:t>5.6</w:t>
            </w:r>
            <w:r w:rsidRPr="00AF1F20">
              <w:rPr>
                <w:rStyle w:val="afff9"/>
                <w:b w:val="0"/>
                <w:noProof/>
                <w:u w:val="none"/>
              </w:rPr>
              <w:t>环境风险分析与评价</w:t>
            </w:r>
            <w:r w:rsidRPr="00AF1F20">
              <w:rPr>
                <w:b w:val="0"/>
                <w:noProof/>
                <w:webHidden/>
              </w:rPr>
              <w:tab/>
            </w:r>
            <w:r w:rsidRPr="00AF1F20">
              <w:rPr>
                <w:b w:val="0"/>
                <w:noProof/>
                <w:webHidden/>
              </w:rPr>
              <w:fldChar w:fldCharType="begin"/>
            </w:r>
            <w:r w:rsidRPr="00AF1F20">
              <w:rPr>
                <w:b w:val="0"/>
                <w:noProof/>
                <w:webHidden/>
              </w:rPr>
              <w:instrText xml:space="preserve"> PAGEREF _Toc221501041 \h </w:instrText>
            </w:r>
            <w:r w:rsidRPr="00AF1F20">
              <w:rPr>
                <w:b w:val="0"/>
                <w:noProof/>
                <w:webHidden/>
              </w:rPr>
            </w:r>
            <w:r w:rsidRPr="00AF1F20">
              <w:rPr>
                <w:b w:val="0"/>
                <w:noProof/>
                <w:webHidden/>
              </w:rPr>
              <w:fldChar w:fldCharType="separate"/>
            </w:r>
            <w:r w:rsidR="006A32D2">
              <w:rPr>
                <w:b w:val="0"/>
                <w:noProof/>
                <w:webHidden/>
              </w:rPr>
              <w:t>427</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50" w:history="1">
            <w:r w:rsidRPr="00AF1F20">
              <w:rPr>
                <w:rStyle w:val="afff9"/>
                <w:b w:val="0"/>
                <w:noProof/>
                <w:u w:val="none"/>
              </w:rPr>
              <w:t>5.7</w:t>
            </w:r>
            <w:r w:rsidRPr="00AF1F20">
              <w:rPr>
                <w:rStyle w:val="afff9"/>
                <w:b w:val="0"/>
                <w:noProof/>
                <w:u w:val="none"/>
              </w:rPr>
              <w:t>土壤影响分析</w:t>
            </w:r>
            <w:r w:rsidRPr="00AF1F20">
              <w:rPr>
                <w:b w:val="0"/>
                <w:noProof/>
                <w:webHidden/>
              </w:rPr>
              <w:tab/>
            </w:r>
            <w:r w:rsidRPr="00AF1F20">
              <w:rPr>
                <w:b w:val="0"/>
                <w:noProof/>
                <w:webHidden/>
              </w:rPr>
              <w:fldChar w:fldCharType="begin"/>
            </w:r>
            <w:r w:rsidRPr="00AF1F20">
              <w:rPr>
                <w:b w:val="0"/>
                <w:noProof/>
                <w:webHidden/>
              </w:rPr>
              <w:instrText xml:space="preserve"> PAGEREF _Toc221501050 \h </w:instrText>
            </w:r>
            <w:r w:rsidRPr="00AF1F20">
              <w:rPr>
                <w:b w:val="0"/>
                <w:noProof/>
                <w:webHidden/>
              </w:rPr>
            </w:r>
            <w:r w:rsidRPr="00AF1F20">
              <w:rPr>
                <w:b w:val="0"/>
                <w:noProof/>
                <w:webHidden/>
              </w:rPr>
              <w:fldChar w:fldCharType="separate"/>
            </w:r>
            <w:r w:rsidR="006A32D2">
              <w:rPr>
                <w:b w:val="0"/>
                <w:noProof/>
                <w:webHidden/>
              </w:rPr>
              <w:t>453</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lastRenderedPageBreak/>
            <w:t xml:space="preserve">  </w:t>
          </w:r>
          <w:hyperlink w:anchor="_Toc221501056" w:history="1">
            <w:r w:rsidRPr="00AF1F20">
              <w:rPr>
                <w:rStyle w:val="afff9"/>
                <w:b w:val="0"/>
                <w:noProof/>
                <w:u w:val="none"/>
              </w:rPr>
              <w:t>5.8</w:t>
            </w:r>
            <w:r w:rsidRPr="00AF1F20">
              <w:rPr>
                <w:rStyle w:val="afff9"/>
                <w:b w:val="0"/>
                <w:noProof/>
                <w:u w:val="none"/>
              </w:rPr>
              <w:t>施工期环境影响分析</w:t>
            </w:r>
            <w:r w:rsidRPr="00AF1F20">
              <w:rPr>
                <w:b w:val="0"/>
                <w:noProof/>
                <w:webHidden/>
              </w:rPr>
              <w:tab/>
            </w:r>
            <w:r w:rsidRPr="00AF1F20">
              <w:rPr>
                <w:b w:val="0"/>
                <w:noProof/>
                <w:webHidden/>
              </w:rPr>
              <w:fldChar w:fldCharType="begin"/>
            </w:r>
            <w:r w:rsidRPr="00AF1F20">
              <w:rPr>
                <w:b w:val="0"/>
                <w:noProof/>
                <w:webHidden/>
              </w:rPr>
              <w:instrText xml:space="preserve"> PAGEREF _Toc221501056 \h </w:instrText>
            </w:r>
            <w:r w:rsidRPr="00AF1F20">
              <w:rPr>
                <w:b w:val="0"/>
                <w:noProof/>
                <w:webHidden/>
              </w:rPr>
            </w:r>
            <w:r w:rsidRPr="00AF1F20">
              <w:rPr>
                <w:b w:val="0"/>
                <w:noProof/>
                <w:webHidden/>
              </w:rPr>
              <w:fldChar w:fldCharType="separate"/>
            </w:r>
            <w:r w:rsidR="006A32D2">
              <w:rPr>
                <w:b w:val="0"/>
                <w:noProof/>
                <w:webHidden/>
              </w:rPr>
              <w:t>461</w:t>
            </w:r>
            <w:r w:rsidRPr="00AF1F20">
              <w:rPr>
                <w:b w:val="0"/>
                <w:noProof/>
                <w:webHidden/>
              </w:rPr>
              <w:fldChar w:fldCharType="end"/>
            </w:r>
          </w:hyperlink>
        </w:p>
        <w:p w:rsidR="00AF1F20" w:rsidRPr="00AF1F20" w:rsidRDefault="00E8730B">
          <w:pPr>
            <w:pStyle w:val="12"/>
            <w:tabs>
              <w:tab w:val="right" w:leader="dot" w:pos="9016"/>
            </w:tabs>
            <w:ind w:firstLine="482"/>
            <w:rPr>
              <w:rFonts w:ascii="Times New Roman" w:hAnsi="Times New Roman"/>
              <w:b w:val="0"/>
              <w:noProof/>
              <w:sz w:val="21"/>
            </w:rPr>
          </w:pPr>
          <w:hyperlink w:anchor="_Toc221501062" w:history="1">
            <w:r w:rsidR="00AF1F20" w:rsidRPr="00AF1F20">
              <w:rPr>
                <w:rStyle w:val="afff9"/>
                <w:rFonts w:ascii="Times New Roman" w:hAnsi="Times New Roman"/>
                <w:b w:val="0"/>
                <w:noProof/>
                <w:u w:val="none"/>
              </w:rPr>
              <w:t>6</w:t>
            </w:r>
            <w:r w:rsidR="00AF1F20" w:rsidRPr="00AF1F20">
              <w:rPr>
                <w:rStyle w:val="afff9"/>
                <w:rFonts w:ascii="Times New Roman" w:hAnsi="Times New Roman"/>
                <w:b w:val="0"/>
                <w:noProof/>
                <w:u w:val="none"/>
              </w:rPr>
              <w:t>、污染防治措施评述</w:t>
            </w:r>
            <w:r w:rsidR="00AF1F20" w:rsidRPr="00AF1F20">
              <w:rPr>
                <w:rFonts w:ascii="Times New Roman" w:hAnsi="Times New Roman"/>
                <w:b w:val="0"/>
                <w:noProof/>
                <w:webHidden/>
              </w:rPr>
              <w:tab/>
            </w:r>
            <w:r w:rsidR="00AF1F20" w:rsidRPr="00AF1F20">
              <w:rPr>
                <w:rFonts w:ascii="Times New Roman" w:hAnsi="Times New Roman"/>
                <w:b w:val="0"/>
                <w:noProof/>
                <w:webHidden/>
              </w:rPr>
              <w:fldChar w:fldCharType="begin"/>
            </w:r>
            <w:r w:rsidR="00AF1F20" w:rsidRPr="00AF1F20">
              <w:rPr>
                <w:rFonts w:ascii="Times New Roman" w:hAnsi="Times New Roman"/>
                <w:b w:val="0"/>
                <w:noProof/>
                <w:webHidden/>
              </w:rPr>
              <w:instrText xml:space="preserve"> PAGEREF _Toc221501062 \h </w:instrText>
            </w:r>
            <w:r w:rsidR="00AF1F20" w:rsidRPr="00AF1F20">
              <w:rPr>
                <w:rFonts w:ascii="Times New Roman" w:hAnsi="Times New Roman"/>
                <w:b w:val="0"/>
                <w:noProof/>
                <w:webHidden/>
              </w:rPr>
            </w:r>
            <w:r w:rsidR="00AF1F20" w:rsidRPr="00AF1F20">
              <w:rPr>
                <w:rFonts w:ascii="Times New Roman" w:hAnsi="Times New Roman"/>
                <w:b w:val="0"/>
                <w:noProof/>
                <w:webHidden/>
              </w:rPr>
              <w:fldChar w:fldCharType="separate"/>
            </w:r>
            <w:r w:rsidR="006A32D2">
              <w:rPr>
                <w:rFonts w:ascii="Times New Roman" w:hAnsi="Times New Roman"/>
                <w:b w:val="0"/>
                <w:noProof/>
                <w:webHidden/>
              </w:rPr>
              <w:t>467</w:t>
            </w:r>
            <w:r w:rsidR="00AF1F20" w:rsidRPr="00AF1F20">
              <w:rPr>
                <w:rFonts w:ascii="Times New Roman" w:hAnsi="Times New Roman"/>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63" w:history="1">
            <w:r w:rsidRPr="00AF1F20">
              <w:rPr>
                <w:rStyle w:val="afff9"/>
                <w:b w:val="0"/>
                <w:noProof/>
                <w:u w:val="none"/>
              </w:rPr>
              <w:t>6.1</w:t>
            </w:r>
            <w:r w:rsidRPr="00AF1F20">
              <w:rPr>
                <w:rStyle w:val="afff9"/>
                <w:b w:val="0"/>
                <w:noProof/>
                <w:u w:val="none"/>
              </w:rPr>
              <w:t>废气污染防治措施评述</w:t>
            </w:r>
            <w:r w:rsidRPr="00AF1F20">
              <w:rPr>
                <w:b w:val="0"/>
                <w:noProof/>
                <w:webHidden/>
              </w:rPr>
              <w:tab/>
            </w:r>
            <w:r w:rsidRPr="00AF1F20">
              <w:rPr>
                <w:b w:val="0"/>
                <w:noProof/>
                <w:webHidden/>
              </w:rPr>
              <w:fldChar w:fldCharType="begin"/>
            </w:r>
            <w:r w:rsidRPr="00AF1F20">
              <w:rPr>
                <w:b w:val="0"/>
                <w:noProof/>
                <w:webHidden/>
              </w:rPr>
              <w:instrText xml:space="preserve"> PAGEREF _Toc221501063 \h </w:instrText>
            </w:r>
            <w:r w:rsidRPr="00AF1F20">
              <w:rPr>
                <w:b w:val="0"/>
                <w:noProof/>
                <w:webHidden/>
              </w:rPr>
            </w:r>
            <w:r w:rsidRPr="00AF1F20">
              <w:rPr>
                <w:b w:val="0"/>
                <w:noProof/>
                <w:webHidden/>
              </w:rPr>
              <w:fldChar w:fldCharType="separate"/>
            </w:r>
            <w:r w:rsidR="006A32D2">
              <w:rPr>
                <w:b w:val="0"/>
                <w:noProof/>
                <w:webHidden/>
              </w:rPr>
              <w:t>467</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67" w:history="1">
            <w:r w:rsidRPr="00AF1F20">
              <w:rPr>
                <w:rStyle w:val="afff9"/>
                <w:b w:val="0"/>
                <w:noProof/>
                <w:u w:val="none"/>
              </w:rPr>
              <w:t>6.2</w:t>
            </w:r>
            <w:r w:rsidRPr="00AF1F20">
              <w:rPr>
                <w:rStyle w:val="afff9"/>
                <w:b w:val="0"/>
                <w:noProof/>
                <w:u w:val="none"/>
              </w:rPr>
              <w:t>水污染防治措施评述</w:t>
            </w:r>
            <w:r w:rsidRPr="00AF1F20">
              <w:rPr>
                <w:b w:val="0"/>
                <w:noProof/>
                <w:webHidden/>
              </w:rPr>
              <w:tab/>
            </w:r>
            <w:r w:rsidRPr="00AF1F20">
              <w:rPr>
                <w:b w:val="0"/>
                <w:noProof/>
                <w:webHidden/>
              </w:rPr>
              <w:fldChar w:fldCharType="begin"/>
            </w:r>
            <w:r w:rsidRPr="00AF1F20">
              <w:rPr>
                <w:b w:val="0"/>
                <w:noProof/>
                <w:webHidden/>
              </w:rPr>
              <w:instrText xml:space="preserve"> PAGEREF _Toc221501067 \h </w:instrText>
            </w:r>
            <w:r w:rsidRPr="00AF1F20">
              <w:rPr>
                <w:b w:val="0"/>
                <w:noProof/>
                <w:webHidden/>
              </w:rPr>
            </w:r>
            <w:r w:rsidRPr="00AF1F20">
              <w:rPr>
                <w:b w:val="0"/>
                <w:noProof/>
                <w:webHidden/>
              </w:rPr>
              <w:fldChar w:fldCharType="separate"/>
            </w:r>
            <w:r w:rsidR="006A32D2">
              <w:rPr>
                <w:b w:val="0"/>
                <w:noProof/>
                <w:webHidden/>
              </w:rPr>
              <w:t>474</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70" w:history="1">
            <w:r w:rsidRPr="00AF1F20">
              <w:rPr>
                <w:rStyle w:val="afff9"/>
                <w:b w:val="0"/>
                <w:noProof/>
                <w:u w:val="none"/>
              </w:rPr>
              <w:t>6.3</w:t>
            </w:r>
            <w:r w:rsidRPr="00AF1F20">
              <w:rPr>
                <w:rStyle w:val="afff9"/>
                <w:b w:val="0"/>
                <w:noProof/>
                <w:u w:val="none"/>
              </w:rPr>
              <w:t>噪声治理措施</w:t>
            </w:r>
            <w:r w:rsidRPr="00AF1F20">
              <w:rPr>
                <w:b w:val="0"/>
                <w:noProof/>
                <w:webHidden/>
              </w:rPr>
              <w:tab/>
            </w:r>
            <w:r w:rsidRPr="00AF1F20">
              <w:rPr>
                <w:b w:val="0"/>
                <w:noProof/>
                <w:webHidden/>
              </w:rPr>
              <w:fldChar w:fldCharType="begin"/>
            </w:r>
            <w:r w:rsidRPr="00AF1F20">
              <w:rPr>
                <w:b w:val="0"/>
                <w:noProof/>
                <w:webHidden/>
              </w:rPr>
              <w:instrText xml:space="preserve"> PAGEREF _Toc221501070 \h </w:instrText>
            </w:r>
            <w:r w:rsidRPr="00AF1F20">
              <w:rPr>
                <w:b w:val="0"/>
                <w:noProof/>
                <w:webHidden/>
              </w:rPr>
            </w:r>
            <w:r w:rsidRPr="00AF1F20">
              <w:rPr>
                <w:b w:val="0"/>
                <w:noProof/>
                <w:webHidden/>
              </w:rPr>
              <w:fldChar w:fldCharType="separate"/>
            </w:r>
            <w:r w:rsidR="006A32D2">
              <w:rPr>
                <w:b w:val="0"/>
                <w:noProof/>
                <w:webHidden/>
              </w:rPr>
              <w:t>478</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71" w:history="1">
            <w:r w:rsidRPr="00AF1F20">
              <w:rPr>
                <w:rStyle w:val="afff9"/>
                <w:b w:val="0"/>
                <w:noProof/>
                <w:u w:val="none"/>
              </w:rPr>
              <w:t>6.4</w:t>
            </w:r>
            <w:r w:rsidRPr="00AF1F20">
              <w:rPr>
                <w:rStyle w:val="afff9"/>
                <w:b w:val="0"/>
                <w:noProof/>
                <w:u w:val="none"/>
              </w:rPr>
              <w:t>固体废物防治措施</w:t>
            </w:r>
            <w:r w:rsidRPr="00AF1F20">
              <w:rPr>
                <w:b w:val="0"/>
                <w:noProof/>
                <w:webHidden/>
              </w:rPr>
              <w:tab/>
            </w:r>
            <w:r w:rsidRPr="00AF1F20">
              <w:rPr>
                <w:b w:val="0"/>
                <w:noProof/>
                <w:webHidden/>
              </w:rPr>
              <w:fldChar w:fldCharType="begin"/>
            </w:r>
            <w:r w:rsidRPr="00AF1F20">
              <w:rPr>
                <w:b w:val="0"/>
                <w:noProof/>
                <w:webHidden/>
              </w:rPr>
              <w:instrText xml:space="preserve"> PAGEREF _Toc221501071 \h </w:instrText>
            </w:r>
            <w:r w:rsidRPr="00AF1F20">
              <w:rPr>
                <w:b w:val="0"/>
                <w:noProof/>
                <w:webHidden/>
              </w:rPr>
            </w:r>
            <w:r w:rsidRPr="00AF1F20">
              <w:rPr>
                <w:b w:val="0"/>
                <w:noProof/>
                <w:webHidden/>
              </w:rPr>
              <w:fldChar w:fldCharType="separate"/>
            </w:r>
            <w:r w:rsidR="006A32D2">
              <w:rPr>
                <w:b w:val="0"/>
                <w:noProof/>
                <w:webHidden/>
              </w:rPr>
              <w:t>478</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75" w:history="1">
            <w:r w:rsidRPr="00AF1F20">
              <w:rPr>
                <w:rStyle w:val="afff9"/>
                <w:b w:val="0"/>
                <w:noProof/>
                <w:u w:val="none"/>
              </w:rPr>
              <w:t>6.5</w:t>
            </w:r>
            <w:r w:rsidRPr="00AF1F20">
              <w:rPr>
                <w:rStyle w:val="afff9"/>
                <w:b w:val="0"/>
                <w:noProof/>
                <w:u w:val="none"/>
              </w:rPr>
              <w:t>地下水污染防治措施评述</w:t>
            </w:r>
            <w:r w:rsidRPr="00AF1F20">
              <w:rPr>
                <w:b w:val="0"/>
                <w:noProof/>
                <w:webHidden/>
              </w:rPr>
              <w:tab/>
            </w:r>
            <w:r w:rsidRPr="00AF1F20">
              <w:rPr>
                <w:b w:val="0"/>
                <w:noProof/>
                <w:webHidden/>
              </w:rPr>
              <w:fldChar w:fldCharType="begin"/>
            </w:r>
            <w:r w:rsidRPr="00AF1F20">
              <w:rPr>
                <w:b w:val="0"/>
                <w:noProof/>
                <w:webHidden/>
              </w:rPr>
              <w:instrText xml:space="preserve"> PAGEREF _Toc221501075 \h </w:instrText>
            </w:r>
            <w:r w:rsidRPr="00AF1F20">
              <w:rPr>
                <w:b w:val="0"/>
                <w:noProof/>
                <w:webHidden/>
              </w:rPr>
            </w:r>
            <w:r w:rsidRPr="00AF1F20">
              <w:rPr>
                <w:b w:val="0"/>
                <w:noProof/>
                <w:webHidden/>
              </w:rPr>
              <w:fldChar w:fldCharType="separate"/>
            </w:r>
            <w:r w:rsidR="006A32D2">
              <w:rPr>
                <w:b w:val="0"/>
                <w:noProof/>
                <w:webHidden/>
              </w:rPr>
              <w:t>482</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81" w:history="1">
            <w:r w:rsidRPr="00AF1F20">
              <w:rPr>
                <w:rStyle w:val="afff9"/>
                <w:b w:val="0"/>
                <w:noProof/>
                <w:u w:val="none"/>
              </w:rPr>
              <w:t>6.6</w:t>
            </w:r>
            <w:r w:rsidRPr="00AF1F20">
              <w:rPr>
                <w:rStyle w:val="afff9"/>
                <w:b w:val="0"/>
                <w:noProof/>
                <w:u w:val="none"/>
              </w:rPr>
              <w:t>土壤污染防治措施</w:t>
            </w:r>
            <w:r w:rsidRPr="00AF1F20">
              <w:rPr>
                <w:b w:val="0"/>
                <w:noProof/>
                <w:webHidden/>
              </w:rPr>
              <w:tab/>
            </w:r>
            <w:r w:rsidRPr="00AF1F20">
              <w:rPr>
                <w:b w:val="0"/>
                <w:noProof/>
                <w:webHidden/>
              </w:rPr>
              <w:fldChar w:fldCharType="begin"/>
            </w:r>
            <w:r w:rsidRPr="00AF1F20">
              <w:rPr>
                <w:b w:val="0"/>
                <w:noProof/>
                <w:webHidden/>
              </w:rPr>
              <w:instrText xml:space="preserve"> PAGEREF _Toc221501081 \h </w:instrText>
            </w:r>
            <w:r w:rsidRPr="00AF1F20">
              <w:rPr>
                <w:b w:val="0"/>
                <w:noProof/>
                <w:webHidden/>
              </w:rPr>
            </w:r>
            <w:r w:rsidRPr="00AF1F20">
              <w:rPr>
                <w:b w:val="0"/>
                <w:noProof/>
                <w:webHidden/>
              </w:rPr>
              <w:fldChar w:fldCharType="separate"/>
            </w:r>
            <w:r w:rsidR="006A32D2">
              <w:rPr>
                <w:b w:val="0"/>
                <w:noProof/>
                <w:webHidden/>
              </w:rPr>
              <w:t>486</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85" w:history="1">
            <w:r w:rsidRPr="00AF1F20">
              <w:rPr>
                <w:rStyle w:val="afff9"/>
                <w:b w:val="0"/>
                <w:noProof/>
                <w:u w:val="none"/>
              </w:rPr>
              <w:t>6.7</w:t>
            </w:r>
            <w:r w:rsidRPr="00AF1F20">
              <w:rPr>
                <w:rStyle w:val="afff9"/>
                <w:b w:val="0"/>
                <w:noProof/>
                <w:u w:val="none"/>
              </w:rPr>
              <w:t>环境风险防范措施</w:t>
            </w:r>
            <w:r w:rsidRPr="00AF1F20">
              <w:rPr>
                <w:b w:val="0"/>
                <w:noProof/>
                <w:webHidden/>
              </w:rPr>
              <w:tab/>
            </w:r>
            <w:r w:rsidRPr="00AF1F20">
              <w:rPr>
                <w:b w:val="0"/>
                <w:noProof/>
                <w:webHidden/>
              </w:rPr>
              <w:fldChar w:fldCharType="begin"/>
            </w:r>
            <w:r w:rsidRPr="00AF1F20">
              <w:rPr>
                <w:b w:val="0"/>
                <w:noProof/>
                <w:webHidden/>
              </w:rPr>
              <w:instrText xml:space="preserve"> PAGEREF _Toc221501085 \h </w:instrText>
            </w:r>
            <w:r w:rsidRPr="00AF1F20">
              <w:rPr>
                <w:b w:val="0"/>
                <w:noProof/>
                <w:webHidden/>
              </w:rPr>
            </w:r>
            <w:r w:rsidRPr="00AF1F20">
              <w:rPr>
                <w:b w:val="0"/>
                <w:noProof/>
                <w:webHidden/>
              </w:rPr>
              <w:fldChar w:fldCharType="separate"/>
            </w:r>
            <w:r w:rsidR="006A32D2">
              <w:rPr>
                <w:b w:val="0"/>
                <w:noProof/>
                <w:webHidden/>
              </w:rPr>
              <w:t>489</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95" w:history="1">
            <w:r w:rsidRPr="00AF1F20">
              <w:rPr>
                <w:rStyle w:val="afff9"/>
                <w:b w:val="0"/>
                <w:noProof/>
                <w:u w:val="none"/>
              </w:rPr>
              <w:t>6.8</w:t>
            </w:r>
            <w:r w:rsidRPr="00AF1F20">
              <w:rPr>
                <w:rStyle w:val="afff9"/>
                <w:b w:val="0"/>
                <w:noProof/>
                <w:u w:val="none"/>
              </w:rPr>
              <w:t>环境保护措施及项目竣工环保验收</w:t>
            </w:r>
            <w:r w:rsidRPr="00AF1F20">
              <w:rPr>
                <w:rStyle w:val="afff9"/>
                <w:b w:val="0"/>
                <w:noProof/>
                <w:u w:val="none"/>
              </w:rPr>
              <w:t>“</w:t>
            </w:r>
            <w:r w:rsidRPr="00AF1F20">
              <w:rPr>
                <w:rStyle w:val="afff9"/>
                <w:b w:val="0"/>
                <w:noProof/>
                <w:u w:val="none"/>
              </w:rPr>
              <w:t>三同时</w:t>
            </w:r>
            <w:r w:rsidRPr="00AF1F20">
              <w:rPr>
                <w:rStyle w:val="afff9"/>
                <w:b w:val="0"/>
                <w:noProof/>
                <w:u w:val="none"/>
              </w:rPr>
              <w:t>”</w:t>
            </w:r>
            <w:r w:rsidRPr="00AF1F20">
              <w:rPr>
                <w:rStyle w:val="afff9"/>
                <w:b w:val="0"/>
                <w:noProof/>
                <w:u w:val="none"/>
              </w:rPr>
              <w:t>一览表</w:t>
            </w:r>
            <w:r w:rsidRPr="00AF1F20">
              <w:rPr>
                <w:b w:val="0"/>
                <w:noProof/>
                <w:webHidden/>
              </w:rPr>
              <w:tab/>
            </w:r>
            <w:r w:rsidRPr="00AF1F20">
              <w:rPr>
                <w:b w:val="0"/>
                <w:noProof/>
                <w:webHidden/>
              </w:rPr>
              <w:fldChar w:fldCharType="begin"/>
            </w:r>
            <w:r w:rsidRPr="00AF1F20">
              <w:rPr>
                <w:b w:val="0"/>
                <w:noProof/>
                <w:webHidden/>
              </w:rPr>
              <w:instrText xml:space="preserve"> PAGEREF _Toc221501095 \h </w:instrText>
            </w:r>
            <w:r w:rsidRPr="00AF1F20">
              <w:rPr>
                <w:b w:val="0"/>
                <w:noProof/>
                <w:webHidden/>
              </w:rPr>
            </w:r>
            <w:r w:rsidRPr="00AF1F20">
              <w:rPr>
                <w:b w:val="0"/>
                <w:noProof/>
                <w:webHidden/>
              </w:rPr>
              <w:fldChar w:fldCharType="separate"/>
            </w:r>
            <w:r w:rsidR="006A32D2">
              <w:rPr>
                <w:b w:val="0"/>
                <w:noProof/>
                <w:webHidden/>
              </w:rPr>
              <w:t>498</w:t>
            </w:r>
            <w:r w:rsidRPr="00AF1F20">
              <w:rPr>
                <w:b w:val="0"/>
                <w:noProof/>
                <w:webHidden/>
              </w:rPr>
              <w:fldChar w:fldCharType="end"/>
            </w:r>
          </w:hyperlink>
        </w:p>
        <w:p w:rsidR="00AF1F20" w:rsidRPr="00AF1F20" w:rsidRDefault="00E8730B">
          <w:pPr>
            <w:pStyle w:val="12"/>
            <w:tabs>
              <w:tab w:val="right" w:leader="dot" w:pos="9016"/>
            </w:tabs>
            <w:ind w:firstLine="482"/>
            <w:rPr>
              <w:rFonts w:ascii="Times New Roman" w:hAnsi="Times New Roman"/>
              <w:b w:val="0"/>
              <w:noProof/>
              <w:sz w:val="21"/>
            </w:rPr>
          </w:pPr>
          <w:hyperlink w:anchor="_Toc221501096" w:history="1">
            <w:r w:rsidR="00AF1F20" w:rsidRPr="00AF1F20">
              <w:rPr>
                <w:rStyle w:val="afff9"/>
                <w:rFonts w:ascii="Times New Roman" w:hAnsi="Times New Roman"/>
                <w:b w:val="0"/>
                <w:noProof/>
                <w:u w:val="none"/>
              </w:rPr>
              <w:t>7</w:t>
            </w:r>
            <w:r w:rsidR="00AF1F20" w:rsidRPr="00AF1F20">
              <w:rPr>
                <w:rStyle w:val="afff9"/>
                <w:rFonts w:ascii="Times New Roman" w:hAnsi="Times New Roman"/>
                <w:b w:val="0"/>
                <w:noProof/>
                <w:u w:val="none"/>
              </w:rPr>
              <w:t>、环境影响经济损益分析</w:t>
            </w:r>
            <w:r w:rsidR="00AF1F20" w:rsidRPr="00AF1F20">
              <w:rPr>
                <w:rFonts w:ascii="Times New Roman" w:hAnsi="Times New Roman"/>
                <w:b w:val="0"/>
                <w:noProof/>
                <w:webHidden/>
              </w:rPr>
              <w:tab/>
            </w:r>
            <w:r w:rsidR="00AF1F20" w:rsidRPr="00AF1F20">
              <w:rPr>
                <w:rFonts w:ascii="Times New Roman" w:hAnsi="Times New Roman"/>
                <w:b w:val="0"/>
                <w:noProof/>
                <w:webHidden/>
              </w:rPr>
              <w:fldChar w:fldCharType="begin"/>
            </w:r>
            <w:r w:rsidR="00AF1F20" w:rsidRPr="00AF1F20">
              <w:rPr>
                <w:rFonts w:ascii="Times New Roman" w:hAnsi="Times New Roman"/>
                <w:b w:val="0"/>
                <w:noProof/>
                <w:webHidden/>
              </w:rPr>
              <w:instrText xml:space="preserve"> PAGEREF _Toc221501096 \h </w:instrText>
            </w:r>
            <w:r w:rsidR="00AF1F20" w:rsidRPr="00AF1F20">
              <w:rPr>
                <w:rFonts w:ascii="Times New Roman" w:hAnsi="Times New Roman"/>
                <w:b w:val="0"/>
                <w:noProof/>
                <w:webHidden/>
              </w:rPr>
            </w:r>
            <w:r w:rsidR="00AF1F20" w:rsidRPr="00AF1F20">
              <w:rPr>
                <w:rFonts w:ascii="Times New Roman" w:hAnsi="Times New Roman"/>
                <w:b w:val="0"/>
                <w:noProof/>
                <w:webHidden/>
              </w:rPr>
              <w:fldChar w:fldCharType="separate"/>
            </w:r>
            <w:r w:rsidR="006A32D2">
              <w:rPr>
                <w:rFonts w:ascii="Times New Roman" w:hAnsi="Times New Roman"/>
                <w:b w:val="0"/>
                <w:noProof/>
                <w:webHidden/>
              </w:rPr>
              <w:t>502</w:t>
            </w:r>
            <w:r w:rsidR="00AF1F20" w:rsidRPr="00AF1F20">
              <w:rPr>
                <w:rFonts w:ascii="Times New Roman" w:hAnsi="Times New Roman"/>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97" w:history="1">
            <w:r w:rsidRPr="00AF1F20">
              <w:rPr>
                <w:rStyle w:val="afff9"/>
                <w:b w:val="0"/>
                <w:noProof/>
                <w:u w:val="none"/>
              </w:rPr>
              <w:t>7.1</w:t>
            </w:r>
            <w:r w:rsidRPr="00AF1F20">
              <w:rPr>
                <w:rStyle w:val="afff9"/>
                <w:b w:val="0"/>
                <w:noProof/>
                <w:u w:val="none"/>
              </w:rPr>
              <w:t>经济效益分析</w:t>
            </w:r>
            <w:r w:rsidRPr="00AF1F20">
              <w:rPr>
                <w:b w:val="0"/>
                <w:noProof/>
                <w:webHidden/>
              </w:rPr>
              <w:tab/>
            </w:r>
            <w:r w:rsidRPr="00AF1F20">
              <w:rPr>
                <w:b w:val="0"/>
                <w:noProof/>
                <w:webHidden/>
              </w:rPr>
              <w:fldChar w:fldCharType="begin"/>
            </w:r>
            <w:r w:rsidRPr="00AF1F20">
              <w:rPr>
                <w:b w:val="0"/>
                <w:noProof/>
                <w:webHidden/>
              </w:rPr>
              <w:instrText xml:space="preserve"> PAGEREF _Toc221501097 \h </w:instrText>
            </w:r>
            <w:r w:rsidRPr="00AF1F20">
              <w:rPr>
                <w:b w:val="0"/>
                <w:noProof/>
                <w:webHidden/>
              </w:rPr>
            </w:r>
            <w:r w:rsidRPr="00AF1F20">
              <w:rPr>
                <w:b w:val="0"/>
                <w:noProof/>
                <w:webHidden/>
              </w:rPr>
              <w:fldChar w:fldCharType="separate"/>
            </w:r>
            <w:r w:rsidR="006A32D2">
              <w:rPr>
                <w:b w:val="0"/>
                <w:noProof/>
                <w:webHidden/>
              </w:rPr>
              <w:t>502</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98" w:history="1">
            <w:r w:rsidRPr="00AF1F20">
              <w:rPr>
                <w:rStyle w:val="afff9"/>
                <w:b w:val="0"/>
                <w:noProof/>
                <w:u w:val="none"/>
              </w:rPr>
              <w:t>7.2</w:t>
            </w:r>
            <w:r w:rsidRPr="00AF1F20">
              <w:rPr>
                <w:rStyle w:val="afff9"/>
                <w:b w:val="0"/>
                <w:noProof/>
                <w:u w:val="none"/>
              </w:rPr>
              <w:t>社会效益分析</w:t>
            </w:r>
            <w:r w:rsidRPr="00AF1F20">
              <w:rPr>
                <w:b w:val="0"/>
                <w:noProof/>
                <w:webHidden/>
              </w:rPr>
              <w:tab/>
            </w:r>
            <w:r w:rsidRPr="00AF1F20">
              <w:rPr>
                <w:b w:val="0"/>
                <w:noProof/>
                <w:webHidden/>
              </w:rPr>
              <w:fldChar w:fldCharType="begin"/>
            </w:r>
            <w:r w:rsidRPr="00AF1F20">
              <w:rPr>
                <w:b w:val="0"/>
                <w:noProof/>
                <w:webHidden/>
              </w:rPr>
              <w:instrText xml:space="preserve"> PAGEREF _Toc221501098 \h </w:instrText>
            </w:r>
            <w:r w:rsidRPr="00AF1F20">
              <w:rPr>
                <w:b w:val="0"/>
                <w:noProof/>
                <w:webHidden/>
              </w:rPr>
            </w:r>
            <w:r w:rsidRPr="00AF1F20">
              <w:rPr>
                <w:b w:val="0"/>
                <w:noProof/>
                <w:webHidden/>
              </w:rPr>
              <w:fldChar w:fldCharType="separate"/>
            </w:r>
            <w:r w:rsidR="006A32D2">
              <w:rPr>
                <w:b w:val="0"/>
                <w:noProof/>
                <w:webHidden/>
              </w:rPr>
              <w:t>502</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099" w:history="1">
            <w:r w:rsidRPr="00AF1F20">
              <w:rPr>
                <w:rStyle w:val="afff9"/>
                <w:b w:val="0"/>
                <w:noProof/>
                <w:u w:val="none"/>
              </w:rPr>
              <w:t>7.3</w:t>
            </w:r>
            <w:r w:rsidRPr="00AF1F20">
              <w:rPr>
                <w:rStyle w:val="afff9"/>
                <w:b w:val="0"/>
                <w:noProof/>
                <w:u w:val="none"/>
              </w:rPr>
              <w:t>环境效益分析</w:t>
            </w:r>
            <w:r w:rsidRPr="00AF1F20">
              <w:rPr>
                <w:b w:val="0"/>
                <w:noProof/>
                <w:webHidden/>
              </w:rPr>
              <w:tab/>
            </w:r>
            <w:r w:rsidRPr="00AF1F20">
              <w:rPr>
                <w:b w:val="0"/>
                <w:noProof/>
                <w:webHidden/>
              </w:rPr>
              <w:fldChar w:fldCharType="begin"/>
            </w:r>
            <w:r w:rsidRPr="00AF1F20">
              <w:rPr>
                <w:b w:val="0"/>
                <w:noProof/>
                <w:webHidden/>
              </w:rPr>
              <w:instrText xml:space="preserve"> PAGEREF _Toc221501099 \h </w:instrText>
            </w:r>
            <w:r w:rsidRPr="00AF1F20">
              <w:rPr>
                <w:b w:val="0"/>
                <w:noProof/>
                <w:webHidden/>
              </w:rPr>
            </w:r>
            <w:r w:rsidRPr="00AF1F20">
              <w:rPr>
                <w:b w:val="0"/>
                <w:noProof/>
                <w:webHidden/>
              </w:rPr>
              <w:fldChar w:fldCharType="separate"/>
            </w:r>
            <w:r w:rsidR="006A32D2">
              <w:rPr>
                <w:b w:val="0"/>
                <w:noProof/>
                <w:webHidden/>
              </w:rPr>
              <w:t>502</w:t>
            </w:r>
            <w:r w:rsidRPr="00AF1F20">
              <w:rPr>
                <w:b w:val="0"/>
                <w:noProof/>
                <w:webHidden/>
              </w:rPr>
              <w:fldChar w:fldCharType="end"/>
            </w:r>
          </w:hyperlink>
        </w:p>
        <w:p w:rsidR="00AF1F20" w:rsidRPr="00AF1F20" w:rsidRDefault="00E8730B">
          <w:pPr>
            <w:pStyle w:val="12"/>
            <w:tabs>
              <w:tab w:val="right" w:leader="dot" w:pos="9016"/>
            </w:tabs>
            <w:ind w:firstLine="482"/>
            <w:rPr>
              <w:rFonts w:ascii="Times New Roman" w:hAnsi="Times New Roman"/>
              <w:b w:val="0"/>
              <w:noProof/>
              <w:sz w:val="21"/>
            </w:rPr>
          </w:pPr>
          <w:hyperlink w:anchor="_Toc221501102" w:history="1">
            <w:r w:rsidR="00AF1F20" w:rsidRPr="00AF1F20">
              <w:rPr>
                <w:rStyle w:val="afff9"/>
                <w:rFonts w:ascii="Times New Roman" w:hAnsi="Times New Roman"/>
                <w:b w:val="0"/>
                <w:noProof/>
                <w:u w:val="none"/>
              </w:rPr>
              <w:t>8</w:t>
            </w:r>
            <w:r w:rsidR="00AF1F20" w:rsidRPr="00AF1F20">
              <w:rPr>
                <w:rStyle w:val="afff9"/>
                <w:rFonts w:ascii="Times New Roman" w:hAnsi="Times New Roman"/>
                <w:b w:val="0"/>
                <w:noProof/>
                <w:u w:val="none"/>
              </w:rPr>
              <w:t>、环境管理与监测计划</w:t>
            </w:r>
            <w:r w:rsidR="00AF1F20" w:rsidRPr="00AF1F20">
              <w:rPr>
                <w:rFonts w:ascii="Times New Roman" w:hAnsi="Times New Roman"/>
                <w:b w:val="0"/>
                <w:noProof/>
                <w:webHidden/>
              </w:rPr>
              <w:tab/>
            </w:r>
            <w:r w:rsidR="00AF1F20" w:rsidRPr="00AF1F20">
              <w:rPr>
                <w:rFonts w:ascii="Times New Roman" w:hAnsi="Times New Roman"/>
                <w:b w:val="0"/>
                <w:noProof/>
                <w:webHidden/>
              </w:rPr>
              <w:fldChar w:fldCharType="begin"/>
            </w:r>
            <w:r w:rsidR="00AF1F20" w:rsidRPr="00AF1F20">
              <w:rPr>
                <w:rFonts w:ascii="Times New Roman" w:hAnsi="Times New Roman"/>
                <w:b w:val="0"/>
                <w:noProof/>
                <w:webHidden/>
              </w:rPr>
              <w:instrText xml:space="preserve"> PAGEREF _Toc221501102 \h </w:instrText>
            </w:r>
            <w:r w:rsidR="00AF1F20" w:rsidRPr="00AF1F20">
              <w:rPr>
                <w:rFonts w:ascii="Times New Roman" w:hAnsi="Times New Roman"/>
                <w:b w:val="0"/>
                <w:noProof/>
                <w:webHidden/>
              </w:rPr>
            </w:r>
            <w:r w:rsidR="00AF1F20" w:rsidRPr="00AF1F20">
              <w:rPr>
                <w:rFonts w:ascii="Times New Roman" w:hAnsi="Times New Roman"/>
                <w:b w:val="0"/>
                <w:noProof/>
                <w:webHidden/>
              </w:rPr>
              <w:fldChar w:fldCharType="separate"/>
            </w:r>
            <w:r w:rsidR="006A32D2">
              <w:rPr>
                <w:rFonts w:ascii="Times New Roman" w:hAnsi="Times New Roman"/>
                <w:b w:val="0"/>
                <w:noProof/>
                <w:webHidden/>
              </w:rPr>
              <w:t>505</w:t>
            </w:r>
            <w:r w:rsidR="00AF1F20" w:rsidRPr="00AF1F20">
              <w:rPr>
                <w:rFonts w:ascii="Times New Roman" w:hAnsi="Times New Roman"/>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103" w:history="1">
            <w:r w:rsidRPr="00AF1F20">
              <w:rPr>
                <w:rStyle w:val="afff9"/>
                <w:b w:val="0"/>
                <w:noProof/>
                <w:u w:val="none"/>
              </w:rPr>
              <w:t>8.1</w:t>
            </w:r>
            <w:r w:rsidRPr="00AF1F20">
              <w:rPr>
                <w:rStyle w:val="afff9"/>
                <w:b w:val="0"/>
                <w:noProof/>
                <w:u w:val="none"/>
              </w:rPr>
              <w:t>环境管理要求</w:t>
            </w:r>
            <w:r w:rsidRPr="00AF1F20">
              <w:rPr>
                <w:b w:val="0"/>
                <w:noProof/>
                <w:webHidden/>
              </w:rPr>
              <w:tab/>
            </w:r>
            <w:r w:rsidRPr="00AF1F20">
              <w:rPr>
                <w:b w:val="0"/>
                <w:noProof/>
                <w:webHidden/>
              </w:rPr>
              <w:fldChar w:fldCharType="begin"/>
            </w:r>
            <w:r w:rsidRPr="00AF1F20">
              <w:rPr>
                <w:b w:val="0"/>
                <w:noProof/>
                <w:webHidden/>
              </w:rPr>
              <w:instrText xml:space="preserve"> PAGEREF _Toc221501103 \h </w:instrText>
            </w:r>
            <w:r w:rsidRPr="00AF1F20">
              <w:rPr>
                <w:b w:val="0"/>
                <w:noProof/>
                <w:webHidden/>
              </w:rPr>
            </w:r>
            <w:r w:rsidRPr="00AF1F20">
              <w:rPr>
                <w:b w:val="0"/>
                <w:noProof/>
                <w:webHidden/>
              </w:rPr>
              <w:fldChar w:fldCharType="separate"/>
            </w:r>
            <w:r w:rsidR="006A32D2">
              <w:rPr>
                <w:b w:val="0"/>
                <w:noProof/>
                <w:webHidden/>
              </w:rPr>
              <w:t>505</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107" w:history="1">
            <w:r w:rsidRPr="00AF1F20">
              <w:rPr>
                <w:rStyle w:val="afff9"/>
                <w:b w:val="0"/>
                <w:noProof/>
                <w:u w:val="none"/>
              </w:rPr>
              <w:t>8.2</w:t>
            </w:r>
            <w:r w:rsidRPr="00AF1F20">
              <w:rPr>
                <w:rStyle w:val="afff9"/>
                <w:b w:val="0"/>
                <w:noProof/>
                <w:u w:val="none"/>
              </w:rPr>
              <w:t>污染物排放基本情况</w:t>
            </w:r>
            <w:r w:rsidRPr="00AF1F20">
              <w:rPr>
                <w:b w:val="0"/>
                <w:noProof/>
                <w:webHidden/>
              </w:rPr>
              <w:tab/>
            </w:r>
            <w:r w:rsidRPr="00AF1F20">
              <w:rPr>
                <w:b w:val="0"/>
                <w:noProof/>
                <w:webHidden/>
              </w:rPr>
              <w:fldChar w:fldCharType="begin"/>
            </w:r>
            <w:r w:rsidRPr="00AF1F20">
              <w:rPr>
                <w:b w:val="0"/>
                <w:noProof/>
                <w:webHidden/>
              </w:rPr>
              <w:instrText xml:space="preserve"> PAGEREF _Toc221501107 \h </w:instrText>
            </w:r>
            <w:r w:rsidRPr="00AF1F20">
              <w:rPr>
                <w:b w:val="0"/>
                <w:noProof/>
                <w:webHidden/>
              </w:rPr>
            </w:r>
            <w:r w:rsidRPr="00AF1F20">
              <w:rPr>
                <w:b w:val="0"/>
                <w:noProof/>
                <w:webHidden/>
              </w:rPr>
              <w:fldChar w:fldCharType="separate"/>
            </w:r>
            <w:r w:rsidR="006A32D2">
              <w:rPr>
                <w:b w:val="0"/>
                <w:noProof/>
                <w:webHidden/>
              </w:rPr>
              <w:t>511</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110" w:history="1">
            <w:r w:rsidRPr="00AF1F20">
              <w:rPr>
                <w:rStyle w:val="afff9"/>
                <w:b w:val="0"/>
                <w:noProof/>
                <w:u w:val="none"/>
              </w:rPr>
              <w:t>8.3</w:t>
            </w:r>
            <w:r w:rsidRPr="00AF1F20">
              <w:rPr>
                <w:rStyle w:val="afff9"/>
                <w:b w:val="0"/>
                <w:noProof/>
                <w:u w:val="none"/>
              </w:rPr>
              <w:t>总量控制</w:t>
            </w:r>
            <w:r w:rsidRPr="00AF1F20">
              <w:rPr>
                <w:b w:val="0"/>
                <w:noProof/>
                <w:webHidden/>
              </w:rPr>
              <w:tab/>
            </w:r>
            <w:r w:rsidRPr="00AF1F20">
              <w:rPr>
                <w:b w:val="0"/>
                <w:noProof/>
                <w:webHidden/>
              </w:rPr>
              <w:fldChar w:fldCharType="begin"/>
            </w:r>
            <w:r w:rsidRPr="00AF1F20">
              <w:rPr>
                <w:b w:val="0"/>
                <w:noProof/>
                <w:webHidden/>
              </w:rPr>
              <w:instrText xml:space="preserve"> PAGEREF _Toc221501110 \h </w:instrText>
            </w:r>
            <w:r w:rsidRPr="00AF1F20">
              <w:rPr>
                <w:b w:val="0"/>
                <w:noProof/>
                <w:webHidden/>
              </w:rPr>
            </w:r>
            <w:r w:rsidRPr="00AF1F20">
              <w:rPr>
                <w:b w:val="0"/>
                <w:noProof/>
                <w:webHidden/>
              </w:rPr>
              <w:fldChar w:fldCharType="separate"/>
            </w:r>
            <w:r w:rsidR="006A32D2">
              <w:rPr>
                <w:b w:val="0"/>
                <w:noProof/>
                <w:webHidden/>
              </w:rPr>
              <w:t>522</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115" w:history="1">
            <w:r w:rsidRPr="00AF1F20">
              <w:rPr>
                <w:rStyle w:val="afff9"/>
                <w:b w:val="0"/>
                <w:noProof/>
                <w:u w:val="none"/>
              </w:rPr>
              <w:t>8.4</w:t>
            </w:r>
            <w:r w:rsidRPr="00AF1F20">
              <w:rPr>
                <w:rStyle w:val="afff9"/>
                <w:b w:val="0"/>
                <w:noProof/>
                <w:u w:val="none"/>
              </w:rPr>
              <w:t>环境监测计划</w:t>
            </w:r>
            <w:r w:rsidRPr="00AF1F20">
              <w:rPr>
                <w:b w:val="0"/>
                <w:noProof/>
                <w:webHidden/>
              </w:rPr>
              <w:tab/>
            </w:r>
            <w:r w:rsidRPr="00AF1F20">
              <w:rPr>
                <w:b w:val="0"/>
                <w:noProof/>
                <w:webHidden/>
              </w:rPr>
              <w:fldChar w:fldCharType="begin"/>
            </w:r>
            <w:r w:rsidRPr="00AF1F20">
              <w:rPr>
                <w:b w:val="0"/>
                <w:noProof/>
                <w:webHidden/>
              </w:rPr>
              <w:instrText xml:space="preserve"> PAGEREF _Toc221501115 \h </w:instrText>
            </w:r>
            <w:r w:rsidRPr="00AF1F20">
              <w:rPr>
                <w:b w:val="0"/>
                <w:noProof/>
                <w:webHidden/>
              </w:rPr>
            </w:r>
            <w:r w:rsidRPr="00AF1F20">
              <w:rPr>
                <w:b w:val="0"/>
                <w:noProof/>
                <w:webHidden/>
              </w:rPr>
              <w:fldChar w:fldCharType="separate"/>
            </w:r>
            <w:r w:rsidR="006A32D2">
              <w:rPr>
                <w:b w:val="0"/>
                <w:noProof/>
                <w:webHidden/>
              </w:rPr>
              <w:t>523</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119" w:history="1">
            <w:r w:rsidRPr="00AF1F20">
              <w:rPr>
                <w:rStyle w:val="afff9"/>
                <w:b w:val="0"/>
                <w:noProof/>
                <w:u w:val="none"/>
              </w:rPr>
              <w:t>8.5</w:t>
            </w:r>
            <w:r w:rsidRPr="00AF1F20">
              <w:rPr>
                <w:rStyle w:val="afff9"/>
                <w:b w:val="0"/>
                <w:noProof/>
                <w:u w:val="none"/>
              </w:rPr>
              <w:t>排污口规范</w:t>
            </w:r>
            <w:r w:rsidRPr="00AF1F20">
              <w:rPr>
                <w:rStyle w:val="afff9"/>
                <w:b w:val="0"/>
                <w:noProof/>
                <w:kern w:val="0"/>
                <w:u w:val="none"/>
              </w:rPr>
              <w:t>化设置</w:t>
            </w:r>
            <w:r w:rsidRPr="00AF1F20">
              <w:rPr>
                <w:b w:val="0"/>
                <w:noProof/>
                <w:webHidden/>
              </w:rPr>
              <w:tab/>
            </w:r>
            <w:r w:rsidRPr="00AF1F20">
              <w:rPr>
                <w:b w:val="0"/>
                <w:noProof/>
                <w:webHidden/>
              </w:rPr>
              <w:fldChar w:fldCharType="begin"/>
            </w:r>
            <w:r w:rsidRPr="00AF1F20">
              <w:rPr>
                <w:b w:val="0"/>
                <w:noProof/>
                <w:webHidden/>
              </w:rPr>
              <w:instrText xml:space="preserve"> PAGEREF _Toc221501119 \h </w:instrText>
            </w:r>
            <w:r w:rsidRPr="00AF1F20">
              <w:rPr>
                <w:b w:val="0"/>
                <w:noProof/>
                <w:webHidden/>
              </w:rPr>
            </w:r>
            <w:r w:rsidRPr="00AF1F20">
              <w:rPr>
                <w:b w:val="0"/>
                <w:noProof/>
                <w:webHidden/>
              </w:rPr>
              <w:fldChar w:fldCharType="separate"/>
            </w:r>
            <w:r w:rsidR="006A32D2">
              <w:rPr>
                <w:b w:val="0"/>
                <w:noProof/>
                <w:webHidden/>
              </w:rPr>
              <w:t>533</w:t>
            </w:r>
            <w:r w:rsidRPr="00AF1F20">
              <w:rPr>
                <w:b w:val="0"/>
                <w:noProof/>
                <w:webHidden/>
              </w:rPr>
              <w:fldChar w:fldCharType="end"/>
            </w:r>
          </w:hyperlink>
        </w:p>
        <w:p w:rsidR="00AF1F20" w:rsidRPr="00AF1F20" w:rsidRDefault="00E8730B">
          <w:pPr>
            <w:pStyle w:val="12"/>
            <w:tabs>
              <w:tab w:val="right" w:leader="dot" w:pos="9016"/>
            </w:tabs>
            <w:ind w:firstLine="482"/>
            <w:rPr>
              <w:rFonts w:ascii="Times New Roman" w:hAnsi="Times New Roman"/>
              <w:b w:val="0"/>
              <w:noProof/>
              <w:sz w:val="21"/>
            </w:rPr>
          </w:pPr>
          <w:hyperlink w:anchor="_Toc221501120" w:history="1">
            <w:r w:rsidR="00AF1F20" w:rsidRPr="00AF1F20">
              <w:rPr>
                <w:rStyle w:val="afff9"/>
                <w:rFonts w:ascii="Times New Roman" w:hAnsi="Times New Roman"/>
                <w:b w:val="0"/>
                <w:noProof/>
                <w:u w:val="none"/>
              </w:rPr>
              <w:t>9</w:t>
            </w:r>
            <w:r w:rsidR="00AF1F20" w:rsidRPr="00AF1F20">
              <w:rPr>
                <w:rStyle w:val="afff9"/>
                <w:rFonts w:ascii="Times New Roman" w:hAnsi="Times New Roman"/>
                <w:b w:val="0"/>
                <w:noProof/>
                <w:u w:val="none"/>
              </w:rPr>
              <w:t>、结论与建议</w:t>
            </w:r>
            <w:r w:rsidR="00AF1F20" w:rsidRPr="00AF1F20">
              <w:rPr>
                <w:rFonts w:ascii="Times New Roman" w:hAnsi="Times New Roman"/>
                <w:b w:val="0"/>
                <w:noProof/>
                <w:webHidden/>
              </w:rPr>
              <w:tab/>
            </w:r>
            <w:r w:rsidR="00AF1F20" w:rsidRPr="00AF1F20">
              <w:rPr>
                <w:rFonts w:ascii="Times New Roman" w:hAnsi="Times New Roman"/>
                <w:b w:val="0"/>
                <w:noProof/>
                <w:webHidden/>
              </w:rPr>
              <w:fldChar w:fldCharType="begin"/>
            </w:r>
            <w:r w:rsidR="00AF1F20" w:rsidRPr="00AF1F20">
              <w:rPr>
                <w:rFonts w:ascii="Times New Roman" w:hAnsi="Times New Roman"/>
                <w:b w:val="0"/>
                <w:noProof/>
                <w:webHidden/>
              </w:rPr>
              <w:instrText xml:space="preserve"> PAGEREF _Toc221501120 \h </w:instrText>
            </w:r>
            <w:r w:rsidR="00AF1F20" w:rsidRPr="00AF1F20">
              <w:rPr>
                <w:rFonts w:ascii="Times New Roman" w:hAnsi="Times New Roman"/>
                <w:b w:val="0"/>
                <w:noProof/>
                <w:webHidden/>
              </w:rPr>
            </w:r>
            <w:r w:rsidR="00AF1F20" w:rsidRPr="00AF1F20">
              <w:rPr>
                <w:rFonts w:ascii="Times New Roman" w:hAnsi="Times New Roman"/>
                <w:b w:val="0"/>
                <w:noProof/>
                <w:webHidden/>
              </w:rPr>
              <w:fldChar w:fldCharType="separate"/>
            </w:r>
            <w:r w:rsidR="006A32D2">
              <w:rPr>
                <w:rFonts w:ascii="Times New Roman" w:hAnsi="Times New Roman"/>
                <w:b w:val="0"/>
                <w:noProof/>
                <w:webHidden/>
              </w:rPr>
              <w:t>535</w:t>
            </w:r>
            <w:r w:rsidR="00AF1F20" w:rsidRPr="00AF1F20">
              <w:rPr>
                <w:rFonts w:ascii="Times New Roman" w:hAnsi="Times New Roman"/>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121" w:history="1">
            <w:r w:rsidRPr="00AF1F20">
              <w:rPr>
                <w:rStyle w:val="afff9"/>
                <w:b w:val="0"/>
                <w:noProof/>
                <w:u w:val="none"/>
              </w:rPr>
              <w:t>9.1</w:t>
            </w:r>
            <w:r w:rsidRPr="00AF1F20">
              <w:rPr>
                <w:rStyle w:val="afff9"/>
                <w:b w:val="0"/>
                <w:noProof/>
                <w:u w:val="none"/>
              </w:rPr>
              <w:t>建设项目概况</w:t>
            </w:r>
            <w:r w:rsidRPr="00AF1F20">
              <w:rPr>
                <w:b w:val="0"/>
                <w:noProof/>
                <w:webHidden/>
              </w:rPr>
              <w:tab/>
            </w:r>
            <w:r w:rsidRPr="00AF1F20">
              <w:rPr>
                <w:b w:val="0"/>
                <w:noProof/>
                <w:webHidden/>
              </w:rPr>
              <w:fldChar w:fldCharType="begin"/>
            </w:r>
            <w:r w:rsidRPr="00AF1F20">
              <w:rPr>
                <w:b w:val="0"/>
                <w:noProof/>
                <w:webHidden/>
              </w:rPr>
              <w:instrText xml:space="preserve"> PAGEREF _Toc221501121 \h </w:instrText>
            </w:r>
            <w:r w:rsidRPr="00AF1F20">
              <w:rPr>
                <w:b w:val="0"/>
                <w:noProof/>
                <w:webHidden/>
              </w:rPr>
            </w:r>
            <w:r w:rsidRPr="00AF1F20">
              <w:rPr>
                <w:b w:val="0"/>
                <w:noProof/>
                <w:webHidden/>
              </w:rPr>
              <w:fldChar w:fldCharType="separate"/>
            </w:r>
            <w:r w:rsidR="006A32D2">
              <w:rPr>
                <w:b w:val="0"/>
                <w:noProof/>
                <w:webHidden/>
              </w:rPr>
              <w:t>535</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122" w:history="1">
            <w:r w:rsidRPr="00AF1F20">
              <w:rPr>
                <w:rStyle w:val="afff9"/>
                <w:b w:val="0"/>
                <w:noProof/>
                <w:u w:val="none"/>
              </w:rPr>
              <w:t>9.2</w:t>
            </w:r>
            <w:r w:rsidRPr="00AF1F20">
              <w:rPr>
                <w:rStyle w:val="afff9"/>
                <w:b w:val="0"/>
                <w:noProof/>
                <w:u w:val="none"/>
              </w:rPr>
              <w:t>区域环境质量现状</w:t>
            </w:r>
            <w:r w:rsidRPr="00AF1F20">
              <w:rPr>
                <w:b w:val="0"/>
                <w:noProof/>
                <w:webHidden/>
              </w:rPr>
              <w:tab/>
            </w:r>
            <w:r w:rsidRPr="00AF1F20">
              <w:rPr>
                <w:b w:val="0"/>
                <w:noProof/>
                <w:webHidden/>
              </w:rPr>
              <w:fldChar w:fldCharType="begin"/>
            </w:r>
            <w:r w:rsidRPr="00AF1F20">
              <w:rPr>
                <w:b w:val="0"/>
                <w:noProof/>
                <w:webHidden/>
              </w:rPr>
              <w:instrText xml:space="preserve"> PAGEREF _Toc221501122 \h </w:instrText>
            </w:r>
            <w:r w:rsidRPr="00AF1F20">
              <w:rPr>
                <w:b w:val="0"/>
                <w:noProof/>
                <w:webHidden/>
              </w:rPr>
            </w:r>
            <w:r w:rsidRPr="00AF1F20">
              <w:rPr>
                <w:b w:val="0"/>
                <w:noProof/>
                <w:webHidden/>
              </w:rPr>
              <w:fldChar w:fldCharType="separate"/>
            </w:r>
            <w:r w:rsidR="006A32D2">
              <w:rPr>
                <w:b w:val="0"/>
                <w:noProof/>
                <w:webHidden/>
              </w:rPr>
              <w:t>535</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128" w:history="1">
            <w:r w:rsidRPr="00AF1F20">
              <w:rPr>
                <w:rStyle w:val="afff9"/>
                <w:b w:val="0"/>
                <w:noProof/>
                <w:u w:val="none"/>
              </w:rPr>
              <w:t>9.3</w:t>
            </w:r>
            <w:r w:rsidRPr="00AF1F20">
              <w:rPr>
                <w:rStyle w:val="afff9"/>
                <w:b w:val="0"/>
                <w:noProof/>
                <w:u w:val="none"/>
              </w:rPr>
              <w:t>主要环境影响</w:t>
            </w:r>
            <w:r w:rsidRPr="00AF1F20">
              <w:rPr>
                <w:b w:val="0"/>
                <w:noProof/>
                <w:webHidden/>
              </w:rPr>
              <w:tab/>
            </w:r>
            <w:r w:rsidRPr="00AF1F20">
              <w:rPr>
                <w:b w:val="0"/>
                <w:noProof/>
                <w:webHidden/>
              </w:rPr>
              <w:fldChar w:fldCharType="begin"/>
            </w:r>
            <w:r w:rsidRPr="00AF1F20">
              <w:rPr>
                <w:b w:val="0"/>
                <w:noProof/>
                <w:webHidden/>
              </w:rPr>
              <w:instrText xml:space="preserve"> PAGEREF _Toc221501128 \h </w:instrText>
            </w:r>
            <w:r w:rsidRPr="00AF1F20">
              <w:rPr>
                <w:b w:val="0"/>
                <w:noProof/>
                <w:webHidden/>
              </w:rPr>
            </w:r>
            <w:r w:rsidRPr="00AF1F20">
              <w:rPr>
                <w:b w:val="0"/>
                <w:noProof/>
                <w:webHidden/>
              </w:rPr>
              <w:fldChar w:fldCharType="separate"/>
            </w:r>
            <w:r w:rsidR="006A32D2">
              <w:rPr>
                <w:b w:val="0"/>
                <w:noProof/>
                <w:webHidden/>
              </w:rPr>
              <w:t>536</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134" w:history="1">
            <w:r w:rsidRPr="00AF1F20">
              <w:rPr>
                <w:rStyle w:val="afff9"/>
                <w:b w:val="0"/>
                <w:noProof/>
                <w:u w:val="none"/>
              </w:rPr>
              <w:t>9.4</w:t>
            </w:r>
            <w:r w:rsidRPr="00AF1F20">
              <w:rPr>
                <w:rStyle w:val="afff9"/>
                <w:b w:val="0"/>
                <w:noProof/>
                <w:u w:val="none"/>
              </w:rPr>
              <w:t>环境保护措施</w:t>
            </w:r>
            <w:r w:rsidRPr="00AF1F20">
              <w:rPr>
                <w:b w:val="0"/>
                <w:noProof/>
                <w:webHidden/>
              </w:rPr>
              <w:tab/>
            </w:r>
            <w:r w:rsidRPr="00AF1F20">
              <w:rPr>
                <w:b w:val="0"/>
                <w:noProof/>
                <w:webHidden/>
              </w:rPr>
              <w:fldChar w:fldCharType="begin"/>
            </w:r>
            <w:r w:rsidRPr="00AF1F20">
              <w:rPr>
                <w:b w:val="0"/>
                <w:noProof/>
                <w:webHidden/>
              </w:rPr>
              <w:instrText xml:space="preserve"> PAGEREF _Toc221501134 \h </w:instrText>
            </w:r>
            <w:r w:rsidRPr="00AF1F20">
              <w:rPr>
                <w:b w:val="0"/>
                <w:noProof/>
                <w:webHidden/>
              </w:rPr>
            </w:r>
            <w:r w:rsidRPr="00AF1F20">
              <w:rPr>
                <w:b w:val="0"/>
                <w:noProof/>
                <w:webHidden/>
              </w:rPr>
              <w:fldChar w:fldCharType="separate"/>
            </w:r>
            <w:r w:rsidR="006A32D2">
              <w:rPr>
                <w:b w:val="0"/>
                <w:noProof/>
                <w:webHidden/>
              </w:rPr>
              <w:t>540</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140" w:history="1">
            <w:r w:rsidRPr="00AF1F20">
              <w:rPr>
                <w:rStyle w:val="afff9"/>
                <w:b w:val="0"/>
                <w:noProof/>
                <w:u w:val="none"/>
              </w:rPr>
              <w:t>9.5</w:t>
            </w:r>
            <w:r w:rsidRPr="00AF1F20">
              <w:rPr>
                <w:rStyle w:val="afff9"/>
                <w:b w:val="0"/>
                <w:noProof/>
                <w:u w:val="none"/>
              </w:rPr>
              <w:t>公众意见采纳情况</w:t>
            </w:r>
            <w:r w:rsidRPr="00AF1F20">
              <w:rPr>
                <w:b w:val="0"/>
                <w:noProof/>
                <w:webHidden/>
              </w:rPr>
              <w:tab/>
            </w:r>
            <w:r w:rsidRPr="00AF1F20">
              <w:rPr>
                <w:b w:val="0"/>
                <w:noProof/>
                <w:webHidden/>
              </w:rPr>
              <w:fldChar w:fldCharType="begin"/>
            </w:r>
            <w:r w:rsidRPr="00AF1F20">
              <w:rPr>
                <w:b w:val="0"/>
                <w:noProof/>
                <w:webHidden/>
              </w:rPr>
              <w:instrText xml:space="preserve"> PAGEREF _Toc221501140 \h </w:instrText>
            </w:r>
            <w:r w:rsidRPr="00AF1F20">
              <w:rPr>
                <w:b w:val="0"/>
                <w:noProof/>
                <w:webHidden/>
              </w:rPr>
            </w:r>
            <w:r w:rsidRPr="00AF1F20">
              <w:rPr>
                <w:b w:val="0"/>
                <w:noProof/>
                <w:webHidden/>
              </w:rPr>
              <w:fldChar w:fldCharType="separate"/>
            </w:r>
            <w:r w:rsidR="006A32D2">
              <w:rPr>
                <w:b w:val="0"/>
                <w:noProof/>
                <w:webHidden/>
              </w:rPr>
              <w:t>541</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141" w:history="1">
            <w:r w:rsidRPr="00AF1F20">
              <w:rPr>
                <w:rStyle w:val="afff9"/>
                <w:b w:val="0"/>
                <w:noProof/>
                <w:u w:val="none"/>
              </w:rPr>
              <w:t>9.6</w:t>
            </w:r>
            <w:r w:rsidRPr="00AF1F20">
              <w:rPr>
                <w:rStyle w:val="afff9"/>
                <w:b w:val="0"/>
                <w:noProof/>
                <w:u w:val="none"/>
              </w:rPr>
              <w:t>总量控制</w:t>
            </w:r>
            <w:r w:rsidRPr="00AF1F20">
              <w:rPr>
                <w:b w:val="0"/>
                <w:noProof/>
                <w:webHidden/>
              </w:rPr>
              <w:tab/>
            </w:r>
            <w:r w:rsidRPr="00AF1F20">
              <w:rPr>
                <w:b w:val="0"/>
                <w:noProof/>
                <w:webHidden/>
              </w:rPr>
              <w:fldChar w:fldCharType="begin"/>
            </w:r>
            <w:r w:rsidRPr="00AF1F20">
              <w:rPr>
                <w:b w:val="0"/>
                <w:noProof/>
                <w:webHidden/>
              </w:rPr>
              <w:instrText xml:space="preserve"> PAGEREF _Toc221501141 \h </w:instrText>
            </w:r>
            <w:r w:rsidRPr="00AF1F20">
              <w:rPr>
                <w:b w:val="0"/>
                <w:noProof/>
                <w:webHidden/>
              </w:rPr>
            </w:r>
            <w:r w:rsidRPr="00AF1F20">
              <w:rPr>
                <w:b w:val="0"/>
                <w:noProof/>
                <w:webHidden/>
              </w:rPr>
              <w:fldChar w:fldCharType="separate"/>
            </w:r>
            <w:r w:rsidR="006A32D2">
              <w:rPr>
                <w:b w:val="0"/>
                <w:noProof/>
                <w:webHidden/>
              </w:rPr>
              <w:t>541</w:t>
            </w:r>
            <w:r w:rsidRPr="00AF1F20">
              <w:rPr>
                <w:b w:val="0"/>
                <w:noProof/>
                <w:webHidden/>
              </w:rPr>
              <w:fldChar w:fldCharType="end"/>
            </w:r>
          </w:hyperlink>
        </w:p>
        <w:p w:rsidR="00AF1F20" w:rsidRPr="00AF1F20" w:rsidRDefault="00AF1F20">
          <w:pPr>
            <w:pStyle w:val="28"/>
            <w:ind w:firstLine="480"/>
            <w:rPr>
              <w:b w:val="0"/>
              <w:bCs w:val="0"/>
              <w:noProof/>
              <w:sz w:val="21"/>
            </w:rPr>
          </w:pPr>
          <w:r w:rsidRPr="00AF1F20">
            <w:rPr>
              <w:rStyle w:val="afff9"/>
              <w:b w:val="0"/>
              <w:noProof/>
              <w:u w:val="none"/>
            </w:rPr>
            <w:t xml:space="preserve">  </w:t>
          </w:r>
          <w:hyperlink w:anchor="_Toc221501142" w:history="1">
            <w:r w:rsidRPr="00AF1F20">
              <w:rPr>
                <w:rStyle w:val="afff9"/>
                <w:b w:val="0"/>
                <w:noProof/>
                <w:u w:val="none"/>
              </w:rPr>
              <w:t>9.7</w:t>
            </w:r>
            <w:r w:rsidRPr="00AF1F20">
              <w:rPr>
                <w:rStyle w:val="afff9"/>
                <w:b w:val="0"/>
                <w:noProof/>
                <w:u w:val="none"/>
              </w:rPr>
              <w:t>评价总结论</w:t>
            </w:r>
            <w:r w:rsidRPr="00AF1F20">
              <w:rPr>
                <w:b w:val="0"/>
                <w:noProof/>
                <w:webHidden/>
              </w:rPr>
              <w:tab/>
            </w:r>
            <w:r w:rsidRPr="00AF1F20">
              <w:rPr>
                <w:b w:val="0"/>
                <w:noProof/>
                <w:webHidden/>
              </w:rPr>
              <w:fldChar w:fldCharType="begin"/>
            </w:r>
            <w:r w:rsidRPr="00AF1F20">
              <w:rPr>
                <w:b w:val="0"/>
                <w:noProof/>
                <w:webHidden/>
              </w:rPr>
              <w:instrText xml:space="preserve"> PAGEREF _Toc221501142 \h </w:instrText>
            </w:r>
            <w:r w:rsidRPr="00AF1F20">
              <w:rPr>
                <w:b w:val="0"/>
                <w:noProof/>
                <w:webHidden/>
              </w:rPr>
            </w:r>
            <w:r w:rsidRPr="00AF1F20">
              <w:rPr>
                <w:b w:val="0"/>
                <w:noProof/>
                <w:webHidden/>
              </w:rPr>
              <w:fldChar w:fldCharType="separate"/>
            </w:r>
            <w:r w:rsidR="006A32D2">
              <w:rPr>
                <w:b w:val="0"/>
                <w:noProof/>
                <w:webHidden/>
              </w:rPr>
              <w:t>542</w:t>
            </w:r>
            <w:r w:rsidRPr="00AF1F20">
              <w:rPr>
                <w:b w:val="0"/>
                <w:noProof/>
                <w:webHidden/>
              </w:rPr>
              <w:fldChar w:fldCharType="end"/>
            </w:r>
          </w:hyperlink>
        </w:p>
        <w:p w:rsidR="004E3021" w:rsidRPr="00AF1F20" w:rsidRDefault="00606E48" w:rsidP="00AF1F20">
          <w:pPr>
            <w:ind w:firstLine="480"/>
          </w:pPr>
          <w:r w:rsidRPr="00AF1F20">
            <w:rPr>
              <w:bCs/>
              <w:lang w:val="zh-CN"/>
            </w:rPr>
            <w:fldChar w:fldCharType="end"/>
          </w:r>
        </w:p>
      </w:sdtContent>
    </w:sdt>
    <w:p w:rsidR="00AF1F20" w:rsidRDefault="00AF1F20">
      <w:pPr>
        <w:widowControl/>
        <w:spacing w:line="240" w:lineRule="auto"/>
        <w:ind w:firstLineChars="0" w:firstLine="0"/>
        <w:jc w:val="left"/>
        <w:rPr>
          <w:rFonts w:asciiTheme="minorEastAsia" w:eastAsiaTheme="minorEastAsia" w:hAnsiTheme="minorEastAsia"/>
          <w:b/>
        </w:rPr>
        <w:sectPr w:rsidR="00AF1F20">
          <w:pgSz w:w="11906" w:h="16838"/>
          <w:pgMar w:top="1440" w:right="1440" w:bottom="1440" w:left="1440" w:header="851" w:footer="992" w:gutter="0"/>
          <w:pgNumType w:fmt="upperRoman" w:start="1"/>
          <w:cols w:space="425"/>
          <w:docGrid w:type="lines" w:linePitch="326"/>
        </w:sectPr>
      </w:pPr>
    </w:p>
    <w:p w:rsidR="004E3021" w:rsidRDefault="00606E48">
      <w:pPr>
        <w:widowControl/>
        <w:spacing w:line="240" w:lineRule="auto"/>
        <w:ind w:firstLineChars="0" w:firstLine="0"/>
        <w:jc w:val="left"/>
        <w:rPr>
          <w:rFonts w:asciiTheme="minorEastAsia" w:eastAsiaTheme="minorEastAsia" w:hAnsiTheme="minorEastAsia"/>
          <w:b/>
        </w:rPr>
      </w:pPr>
      <w:r>
        <w:rPr>
          <w:rFonts w:asciiTheme="minorEastAsia" w:eastAsiaTheme="minorEastAsia" w:hAnsiTheme="minorEastAsia"/>
          <w:b/>
        </w:rPr>
        <w:lastRenderedPageBreak/>
        <w:t>附件：</w:t>
      </w:r>
    </w:p>
    <w:p w:rsidR="004E3021" w:rsidRDefault="00606E48">
      <w:pPr>
        <w:ind w:firstLine="480"/>
      </w:pPr>
      <w:r>
        <w:rPr>
          <w:rFonts w:hint="eastAsia"/>
        </w:rPr>
        <w:t>附件</w:t>
      </w:r>
      <w:r>
        <w:t>1</w:t>
      </w:r>
      <w:r>
        <w:rPr>
          <w:rFonts w:hint="eastAsia"/>
        </w:rPr>
        <w:t xml:space="preserve"> </w:t>
      </w:r>
      <w:r>
        <w:rPr>
          <w:rFonts w:hint="eastAsia"/>
        </w:rPr>
        <w:t>项目备案文件；</w:t>
      </w:r>
    </w:p>
    <w:p w:rsidR="004E3021" w:rsidRDefault="00606E48">
      <w:pPr>
        <w:ind w:firstLine="480"/>
      </w:pPr>
      <w:r>
        <w:rPr>
          <w:rFonts w:hint="eastAsia"/>
        </w:rPr>
        <w:t>附件</w:t>
      </w:r>
      <w:r>
        <w:rPr>
          <w:rFonts w:hint="eastAsia"/>
        </w:rPr>
        <w:t xml:space="preserve">2 </w:t>
      </w:r>
      <w:r>
        <w:rPr>
          <w:rFonts w:hint="eastAsia"/>
        </w:rPr>
        <w:t>项目委托书；</w:t>
      </w:r>
    </w:p>
    <w:p w:rsidR="004E3021" w:rsidRDefault="00606E48">
      <w:pPr>
        <w:ind w:firstLine="480"/>
      </w:pPr>
      <w:r>
        <w:rPr>
          <w:rFonts w:hint="eastAsia"/>
        </w:rPr>
        <w:t>附件</w:t>
      </w:r>
      <w:r>
        <w:t>3</w:t>
      </w:r>
      <w:r>
        <w:rPr>
          <w:rFonts w:hint="eastAsia"/>
        </w:rPr>
        <w:t xml:space="preserve"> </w:t>
      </w:r>
      <w:r w:rsidR="009F10D4">
        <w:rPr>
          <w:rFonts w:hint="eastAsia"/>
        </w:rPr>
        <w:t>现有项目</w:t>
      </w:r>
      <w:r>
        <w:rPr>
          <w:rFonts w:hint="eastAsia"/>
        </w:rPr>
        <w:t>环评</w:t>
      </w:r>
      <w:r>
        <w:t>批复</w:t>
      </w:r>
      <w:r>
        <w:rPr>
          <w:rFonts w:hint="eastAsia"/>
        </w:rPr>
        <w:t>；</w:t>
      </w:r>
    </w:p>
    <w:p w:rsidR="004E3021" w:rsidRDefault="00606E48">
      <w:pPr>
        <w:ind w:firstLine="480"/>
      </w:pPr>
      <w:r>
        <w:rPr>
          <w:rFonts w:hint="eastAsia"/>
        </w:rPr>
        <w:t>附件</w:t>
      </w:r>
      <w:r>
        <w:t>4</w:t>
      </w:r>
      <w:r>
        <w:rPr>
          <w:rFonts w:hint="eastAsia"/>
        </w:rPr>
        <w:t xml:space="preserve"> </w:t>
      </w:r>
      <w:r w:rsidR="009F10D4">
        <w:rPr>
          <w:rFonts w:hint="eastAsia"/>
        </w:rPr>
        <w:t>现有项目</w:t>
      </w:r>
      <w:r>
        <w:rPr>
          <w:rFonts w:hint="eastAsia"/>
        </w:rPr>
        <w:t>竣工</w:t>
      </w:r>
      <w:r>
        <w:t>环境保护验收意见</w:t>
      </w:r>
      <w:r>
        <w:rPr>
          <w:rFonts w:hint="eastAsia"/>
        </w:rPr>
        <w:t>；</w:t>
      </w:r>
    </w:p>
    <w:p w:rsidR="004E3021" w:rsidRDefault="00606E48">
      <w:pPr>
        <w:ind w:firstLine="480"/>
      </w:pPr>
      <w:r>
        <w:rPr>
          <w:rFonts w:hint="eastAsia"/>
        </w:rPr>
        <w:t>附件</w:t>
      </w:r>
      <w:r>
        <w:t xml:space="preserve">5 </w:t>
      </w:r>
      <w:r>
        <w:rPr>
          <w:rFonts w:hint="eastAsia"/>
        </w:rPr>
        <w:t>环境</w:t>
      </w:r>
      <w:r>
        <w:t>质量</w:t>
      </w:r>
      <w:r>
        <w:rPr>
          <w:rFonts w:hint="eastAsia"/>
        </w:rPr>
        <w:t>监测报告；</w:t>
      </w:r>
    </w:p>
    <w:p w:rsidR="004E3021" w:rsidRDefault="00606E48">
      <w:pPr>
        <w:ind w:firstLine="480"/>
      </w:pPr>
      <w:r>
        <w:rPr>
          <w:rFonts w:hint="eastAsia"/>
        </w:rPr>
        <w:t>附件</w:t>
      </w:r>
      <w:r>
        <w:t xml:space="preserve">6 </w:t>
      </w:r>
      <w:r w:rsidR="009F10D4">
        <w:rPr>
          <w:rFonts w:hint="eastAsia"/>
        </w:rPr>
        <w:t>原环评</w:t>
      </w:r>
      <w:r>
        <w:rPr>
          <w:rFonts w:hint="eastAsia"/>
        </w:rPr>
        <w:t>污水</w:t>
      </w:r>
      <w:r>
        <w:t>接管协议</w:t>
      </w:r>
      <w:r>
        <w:rPr>
          <w:rFonts w:hint="eastAsia"/>
        </w:rPr>
        <w:t>；</w:t>
      </w:r>
    </w:p>
    <w:p w:rsidR="004E3021" w:rsidRDefault="00606E48">
      <w:pPr>
        <w:ind w:firstLine="480"/>
      </w:pPr>
      <w:r>
        <w:rPr>
          <w:rFonts w:hint="eastAsia"/>
        </w:rPr>
        <w:t>附件</w:t>
      </w:r>
      <w:r>
        <w:t xml:space="preserve">7 </w:t>
      </w:r>
      <w:r>
        <w:rPr>
          <w:rFonts w:hint="eastAsia"/>
        </w:rPr>
        <w:t>园区</w:t>
      </w:r>
      <w:r>
        <w:rPr>
          <w:rFonts w:hint="eastAsia"/>
        </w:rPr>
        <w:t>2021-2035</w:t>
      </w:r>
      <w:r>
        <w:rPr>
          <w:rFonts w:hint="eastAsia"/>
        </w:rPr>
        <w:t>规划环评审查意见；</w:t>
      </w:r>
    </w:p>
    <w:p w:rsidR="004E3021" w:rsidRDefault="00606E48">
      <w:pPr>
        <w:ind w:firstLine="480"/>
      </w:pPr>
      <w:r>
        <w:rPr>
          <w:rFonts w:hint="eastAsia"/>
        </w:rPr>
        <w:t>附件</w:t>
      </w:r>
      <w:r>
        <w:t>8</w:t>
      </w:r>
      <w:r>
        <w:rPr>
          <w:rFonts w:hint="eastAsia"/>
        </w:rPr>
        <w:t xml:space="preserve"> </w:t>
      </w:r>
      <w:r w:rsidR="009F10D4">
        <w:rPr>
          <w:rFonts w:hint="eastAsia"/>
        </w:rPr>
        <w:t>原环评水办预审</w:t>
      </w:r>
      <w:r>
        <w:rPr>
          <w:rFonts w:hint="eastAsia"/>
        </w:rPr>
        <w:t>；</w:t>
      </w:r>
    </w:p>
    <w:p w:rsidR="004E3021" w:rsidRDefault="00606E48">
      <w:pPr>
        <w:ind w:firstLine="480"/>
      </w:pPr>
      <w:r>
        <w:rPr>
          <w:rFonts w:hint="eastAsia"/>
        </w:rPr>
        <w:t>附件</w:t>
      </w:r>
      <w:r>
        <w:t xml:space="preserve">9 </w:t>
      </w:r>
      <w:r w:rsidR="009F10D4">
        <w:rPr>
          <w:rFonts w:hint="eastAsia"/>
        </w:rPr>
        <w:t>土地证</w:t>
      </w:r>
      <w:r>
        <w:rPr>
          <w:rFonts w:hint="eastAsia"/>
        </w:rPr>
        <w:t>；</w:t>
      </w:r>
    </w:p>
    <w:p w:rsidR="009F10D4" w:rsidRDefault="009F10D4" w:rsidP="009F10D4">
      <w:pPr>
        <w:ind w:firstLine="480"/>
      </w:pPr>
      <w:r>
        <w:rPr>
          <w:rFonts w:hint="eastAsia"/>
        </w:rPr>
        <w:t>附件</w:t>
      </w:r>
      <w:r>
        <w:t>10</w:t>
      </w:r>
      <w:r>
        <w:rPr>
          <w:rFonts w:hint="eastAsia"/>
        </w:rPr>
        <w:t xml:space="preserve"> </w:t>
      </w:r>
      <w:r>
        <w:rPr>
          <w:rFonts w:hint="eastAsia"/>
        </w:rPr>
        <w:t>排污许可证；</w:t>
      </w:r>
    </w:p>
    <w:p w:rsidR="004E3021" w:rsidRDefault="00606E48">
      <w:pPr>
        <w:ind w:firstLine="480"/>
      </w:pPr>
      <w:r>
        <w:rPr>
          <w:rFonts w:hint="eastAsia"/>
        </w:rPr>
        <w:t>附件</w:t>
      </w:r>
      <w:r>
        <w:t>1</w:t>
      </w:r>
      <w:r w:rsidR="0042355D">
        <w:t>1</w:t>
      </w:r>
      <w:r>
        <w:t>应急预案备案表</w:t>
      </w:r>
      <w:r>
        <w:rPr>
          <w:rFonts w:hint="eastAsia"/>
        </w:rPr>
        <w:t>；</w:t>
      </w:r>
    </w:p>
    <w:p w:rsidR="004E3021" w:rsidRDefault="00606E48">
      <w:pPr>
        <w:ind w:firstLine="480"/>
      </w:pPr>
      <w:r>
        <w:rPr>
          <w:rFonts w:hint="eastAsia"/>
        </w:rPr>
        <w:t>附件</w:t>
      </w:r>
      <w:r>
        <w:rPr>
          <w:rFonts w:hint="eastAsia"/>
        </w:rPr>
        <w:t>1</w:t>
      </w:r>
      <w:r>
        <w:t>2</w:t>
      </w:r>
      <w:r>
        <w:rPr>
          <w:rFonts w:hint="eastAsia"/>
        </w:rPr>
        <w:t>合作协议</w:t>
      </w:r>
      <w:r w:rsidR="0042355D">
        <w:rPr>
          <w:rFonts w:hint="eastAsia"/>
        </w:rPr>
        <w:t>；</w:t>
      </w:r>
    </w:p>
    <w:p w:rsidR="0042355D" w:rsidRDefault="0042355D" w:rsidP="0042355D">
      <w:pPr>
        <w:ind w:firstLine="480"/>
      </w:pPr>
      <w:r>
        <w:rPr>
          <w:rFonts w:hint="eastAsia"/>
        </w:rPr>
        <w:t>附件</w:t>
      </w:r>
      <w:r>
        <w:rPr>
          <w:rFonts w:hint="eastAsia"/>
        </w:rPr>
        <w:t>1</w:t>
      </w:r>
      <w:r>
        <w:t>3</w:t>
      </w:r>
      <w:r>
        <w:rPr>
          <w:rFonts w:hint="eastAsia"/>
        </w:rPr>
        <w:t>现有项目例行监测报告；</w:t>
      </w:r>
    </w:p>
    <w:p w:rsidR="0042355D" w:rsidRDefault="0042355D" w:rsidP="0042355D">
      <w:pPr>
        <w:ind w:firstLine="480"/>
      </w:pPr>
      <w:r>
        <w:rPr>
          <w:rFonts w:hint="eastAsia"/>
        </w:rPr>
        <w:t>附件</w:t>
      </w:r>
      <w:r>
        <w:rPr>
          <w:rFonts w:hint="eastAsia"/>
        </w:rPr>
        <w:t>1</w:t>
      </w:r>
      <w:r>
        <w:t>4</w:t>
      </w:r>
      <w:r w:rsidR="006A32D2">
        <w:rPr>
          <w:rFonts w:hint="eastAsia"/>
        </w:rPr>
        <w:t>产品企业标准</w:t>
      </w:r>
      <w:r>
        <w:rPr>
          <w:rFonts w:hint="eastAsia"/>
        </w:rPr>
        <w:t>；</w:t>
      </w:r>
    </w:p>
    <w:p w:rsidR="00FD067B" w:rsidRDefault="00FD067B" w:rsidP="00FD067B">
      <w:pPr>
        <w:ind w:firstLine="480"/>
      </w:pPr>
      <w:r>
        <w:rPr>
          <w:rFonts w:hint="eastAsia"/>
        </w:rPr>
        <w:t>附件</w:t>
      </w:r>
      <w:r>
        <w:rPr>
          <w:rFonts w:hint="eastAsia"/>
        </w:rPr>
        <w:t>15</w:t>
      </w:r>
      <w:r>
        <w:rPr>
          <w:rFonts w:hint="eastAsia"/>
        </w:rPr>
        <w:t>三线一单平台查询报告；</w:t>
      </w:r>
    </w:p>
    <w:p w:rsidR="00FD067B" w:rsidRDefault="00FD067B" w:rsidP="00FD067B">
      <w:pPr>
        <w:ind w:firstLine="480"/>
      </w:pPr>
      <w:r>
        <w:rPr>
          <w:rFonts w:hint="eastAsia"/>
        </w:rPr>
        <w:t>附件</w:t>
      </w:r>
      <w:r>
        <w:rPr>
          <w:rFonts w:hint="eastAsia"/>
        </w:rPr>
        <w:t>1</w:t>
      </w:r>
      <w:r>
        <w:t>6</w:t>
      </w:r>
      <w:r>
        <w:t>公司名称变更说明</w:t>
      </w:r>
      <w:r>
        <w:rPr>
          <w:rFonts w:hint="eastAsia"/>
        </w:rPr>
        <w:t>；</w:t>
      </w:r>
    </w:p>
    <w:p w:rsidR="00FD067B" w:rsidRPr="00FD067B" w:rsidRDefault="00FD067B" w:rsidP="00FD067B">
      <w:pPr>
        <w:ind w:firstLine="480"/>
      </w:pPr>
      <w:r>
        <w:rPr>
          <w:rFonts w:hint="eastAsia"/>
        </w:rPr>
        <w:t>附件</w:t>
      </w:r>
      <w:r>
        <w:rPr>
          <w:rFonts w:hint="eastAsia"/>
        </w:rPr>
        <w:t>1</w:t>
      </w:r>
      <w:r>
        <w:t xml:space="preserve">7 </w:t>
      </w:r>
      <w:r>
        <w:rPr>
          <w:rFonts w:hint="eastAsia"/>
        </w:rPr>
        <w:t>声明；</w:t>
      </w:r>
    </w:p>
    <w:p w:rsidR="004E3021" w:rsidRDefault="00606E48">
      <w:pPr>
        <w:spacing w:line="400" w:lineRule="exact"/>
        <w:ind w:firstLineChars="0" w:firstLine="0"/>
        <w:rPr>
          <w:rFonts w:asciiTheme="minorEastAsia" w:eastAsiaTheme="minorEastAsia" w:hAnsiTheme="minorEastAsia"/>
          <w:b/>
        </w:rPr>
      </w:pPr>
      <w:r>
        <w:rPr>
          <w:rFonts w:asciiTheme="minorEastAsia" w:eastAsiaTheme="minorEastAsia" w:hAnsiTheme="minorEastAsia"/>
          <w:b/>
        </w:rPr>
        <w:t>附图：</w:t>
      </w:r>
    </w:p>
    <w:p w:rsidR="004E3021" w:rsidRDefault="00606E48">
      <w:pPr>
        <w:ind w:firstLine="480"/>
      </w:pPr>
      <w:r>
        <w:rPr>
          <w:rFonts w:hint="eastAsia"/>
        </w:rPr>
        <w:t>附图</w:t>
      </w:r>
      <w:r>
        <w:rPr>
          <w:rFonts w:hint="eastAsia"/>
        </w:rPr>
        <w:t xml:space="preserve">2.4.2-1  </w:t>
      </w:r>
      <w:r>
        <w:rPr>
          <w:rFonts w:hint="eastAsia"/>
        </w:rPr>
        <w:t>大气、风险评价范围及敏感目标图；</w:t>
      </w:r>
    </w:p>
    <w:p w:rsidR="00EB02C4" w:rsidRPr="00EB02C4" w:rsidRDefault="00EB02C4" w:rsidP="00EB02C4">
      <w:pPr>
        <w:ind w:firstLine="480"/>
      </w:pPr>
      <w:r w:rsidRPr="00EB02C4">
        <w:rPr>
          <w:rFonts w:hint="eastAsia"/>
        </w:rPr>
        <w:t>附图</w:t>
      </w:r>
      <w:r w:rsidRPr="00EB02C4">
        <w:rPr>
          <w:rFonts w:hint="eastAsia"/>
        </w:rPr>
        <w:t xml:space="preserve">2.5.1-1 </w:t>
      </w:r>
      <w:r w:rsidRPr="00EB02C4">
        <w:rPr>
          <w:rFonts w:hint="eastAsia"/>
        </w:rPr>
        <w:t>项目所在地在蚌埠精细化工高新技术产业基地中的位置关系图</w:t>
      </w:r>
      <w:r>
        <w:rPr>
          <w:rFonts w:hint="eastAsia"/>
        </w:rPr>
        <w:t>；</w:t>
      </w:r>
    </w:p>
    <w:p w:rsidR="004E3021" w:rsidRDefault="00606E48">
      <w:pPr>
        <w:ind w:firstLine="480"/>
      </w:pPr>
      <w:r>
        <w:t>附图</w:t>
      </w:r>
      <w:r>
        <w:rPr>
          <w:rFonts w:hint="eastAsia"/>
        </w:rPr>
        <w:t>3.</w:t>
      </w:r>
      <w:r w:rsidR="00FD067B">
        <w:t>2</w:t>
      </w:r>
      <w:r>
        <w:rPr>
          <w:rFonts w:hint="eastAsia"/>
        </w:rPr>
        <w:t>.</w:t>
      </w:r>
      <w:r>
        <w:t>4-1</w:t>
      </w:r>
      <w:r>
        <w:rPr>
          <w:rFonts w:hint="eastAsia"/>
        </w:rPr>
        <w:t xml:space="preserve">  </w:t>
      </w:r>
      <w:r w:rsidR="0078722B">
        <w:rPr>
          <w:rFonts w:hint="eastAsia"/>
        </w:rPr>
        <w:t>全厂</w:t>
      </w:r>
      <w:r>
        <w:rPr>
          <w:rFonts w:hint="eastAsia"/>
        </w:rPr>
        <w:t>平面布置</w:t>
      </w:r>
      <w:r w:rsidR="0078722B">
        <w:rPr>
          <w:rFonts w:hint="eastAsia"/>
        </w:rPr>
        <w:t>及雨污管网</w:t>
      </w:r>
      <w:r>
        <w:rPr>
          <w:rFonts w:hint="eastAsia"/>
        </w:rPr>
        <w:t>图；</w:t>
      </w:r>
    </w:p>
    <w:p w:rsidR="004E3021" w:rsidRDefault="00606E48">
      <w:pPr>
        <w:ind w:firstLine="480"/>
      </w:pPr>
      <w:r>
        <w:rPr>
          <w:rFonts w:hint="eastAsia"/>
        </w:rPr>
        <w:t>附图</w:t>
      </w:r>
      <w:r>
        <w:rPr>
          <w:rFonts w:hint="eastAsia"/>
        </w:rPr>
        <w:t>3</w:t>
      </w:r>
      <w:r>
        <w:t>.</w:t>
      </w:r>
      <w:r w:rsidR="00FD067B">
        <w:t>2</w:t>
      </w:r>
      <w:r>
        <w:t xml:space="preserve">.4-2  </w:t>
      </w:r>
      <w:r>
        <w:rPr>
          <w:rFonts w:hint="eastAsia"/>
        </w:rPr>
        <w:t>各车间平面布置图；</w:t>
      </w:r>
    </w:p>
    <w:p w:rsidR="004E3021" w:rsidRDefault="00606E48">
      <w:pPr>
        <w:ind w:firstLine="480"/>
      </w:pPr>
      <w:r>
        <w:rPr>
          <w:rFonts w:hint="eastAsia"/>
        </w:rPr>
        <w:t>附图</w:t>
      </w:r>
      <w:r>
        <w:rPr>
          <w:rFonts w:hint="eastAsia"/>
        </w:rPr>
        <w:t>5.1.8-</w:t>
      </w:r>
      <w:r>
        <w:t>1</w:t>
      </w:r>
      <w:r>
        <w:rPr>
          <w:rFonts w:hint="eastAsia"/>
        </w:rPr>
        <w:t xml:space="preserve"> </w:t>
      </w:r>
      <w:r>
        <w:t xml:space="preserve"> </w:t>
      </w:r>
      <w:r>
        <w:rPr>
          <w:rFonts w:hint="eastAsia"/>
        </w:rPr>
        <w:t>全厂环境防护距离包络线图；</w:t>
      </w:r>
    </w:p>
    <w:p w:rsidR="004E3021" w:rsidRDefault="00606E48">
      <w:pPr>
        <w:ind w:firstLine="480"/>
      </w:pPr>
      <w:r>
        <w:rPr>
          <w:rFonts w:hint="eastAsia"/>
        </w:rPr>
        <w:t>附图</w:t>
      </w:r>
      <w:r>
        <w:rPr>
          <w:rFonts w:hint="eastAsia"/>
        </w:rPr>
        <w:t xml:space="preserve">6.5.3-1  </w:t>
      </w:r>
      <w:r>
        <w:rPr>
          <w:rFonts w:hint="eastAsia"/>
        </w:rPr>
        <w:t>全厂分区防渗图；</w:t>
      </w:r>
    </w:p>
    <w:p w:rsidR="004E3021" w:rsidRDefault="00606E48">
      <w:pPr>
        <w:ind w:firstLine="480"/>
      </w:pPr>
      <w:r>
        <w:rPr>
          <w:rFonts w:hint="eastAsia"/>
        </w:rPr>
        <w:t>附图</w:t>
      </w:r>
      <w:r>
        <w:rPr>
          <w:rFonts w:hint="eastAsia"/>
        </w:rPr>
        <w:t>6.5.</w:t>
      </w:r>
      <w:r>
        <w:t>4</w:t>
      </w:r>
      <w:r>
        <w:rPr>
          <w:rFonts w:hint="eastAsia"/>
        </w:rPr>
        <w:t xml:space="preserve">-1  </w:t>
      </w:r>
      <w:r>
        <w:rPr>
          <w:rFonts w:hint="eastAsia"/>
        </w:rPr>
        <w:t>地下水及土壤跟踪监测点位示意图；</w:t>
      </w:r>
    </w:p>
    <w:p w:rsidR="004E3021" w:rsidRDefault="00FD067B">
      <w:pPr>
        <w:ind w:firstLine="480"/>
      </w:pPr>
      <w:r>
        <w:rPr>
          <w:rFonts w:hint="eastAsia"/>
        </w:rPr>
        <w:t>附</w:t>
      </w:r>
      <w:r w:rsidR="00EB02C4" w:rsidRPr="00EB02C4">
        <w:rPr>
          <w:rFonts w:hint="eastAsia"/>
        </w:rPr>
        <w:t>图</w:t>
      </w:r>
      <w:r w:rsidR="00EB02C4" w:rsidRPr="00EB02C4">
        <w:rPr>
          <w:rFonts w:hint="eastAsia"/>
        </w:rPr>
        <w:t xml:space="preserve">6.7.2-1  </w:t>
      </w:r>
      <w:r w:rsidR="00EB02C4" w:rsidRPr="00EB02C4">
        <w:rPr>
          <w:rFonts w:hint="eastAsia"/>
        </w:rPr>
        <w:t>应急疏散通道、安置场所图</w:t>
      </w:r>
      <w:r w:rsidR="00DA16A6">
        <w:rPr>
          <w:rFonts w:hint="eastAsia"/>
        </w:rPr>
        <w:t>；</w:t>
      </w:r>
    </w:p>
    <w:p w:rsidR="004E3021" w:rsidRDefault="00606E48">
      <w:pPr>
        <w:spacing w:line="400" w:lineRule="exact"/>
        <w:ind w:firstLineChars="0" w:firstLine="0"/>
        <w:rPr>
          <w:rFonts w:asciiTheme="minorEastAsia" w:eastAsiaTheme="minorEastAsia" w:hAnsiTheme="minorEastAsia"/>
          <w:b/>
        </w:rPr>
      </w:pPr>
      <w:r>
        <w:rPr>
          <w:rFonts w:asciiTheme="minorEastAsia" w:eastAsiaTheme="minorEastAsia" w:hAnsiTheme="minorEastAsia" w:hint="eastAsia"/>
          <w:b/>
        </w:rPr>
        <w:t>附表</w:t>
      </w:r>
      <w:r>
        <w:rPr>
          <w:rFonts w:asciiTheme="minorEastAsia" w:eastAsiaTheme="minorEastAsia" w:hAnsiTheme="minorEastAsia"/>
          <w:b/>
        </w:rPr>
        <w:t>：</w:t>
      </w:r>
    </w:p>
    <w:p w:rsidR="004E3021" w:rsidRDefault="00DA16A6" w:rsidP="00DA16A6">
      <w:pPr>
        <w:ind w:firstLine="480"/>
      </w:pPr>
      <w:r>
        <w:rPr>
          <w:rFonts w:hint="eastAsia"/>
        </w:rPr>
        <w:t>附表</w:t>
      </w:r>
      <w:r>
        <w:rPr>
          <w:rFonts w:hint="eastAsia"/>
        </w:rPr>
        <w:t>1</w:t>
      </w:r>
      <w:r w:rsidR="00606E48">
        <w:rPr>
          <w:rFonts w:hint="eastAsia"/>
        </w:rPr>
        <w:t>建设项目环评与排污许可联动附表及附图</w:t>
      </w:r>
      <w:r>
        <w:rPr>
          <w:rFonts w:hint="eastAsia"/>
        </w:rPr>
        <w:t>；</w:t>
      </w:r>
    </w:p>
    <w:p w:rsidR="00DA16A6" w:rsidRPr="00DA16A6" w:rsidRDefault="00DA16A6" w:rsidP="00DA16A6">
      <w:pPr>
        <w:ind w:firstLine="480"/>
      </w:pPr>
      <w:r>
        <w:rPr>
          <w:rFonts w:hint="eastAsia"/>
        </w:rPr>
        <w:t>附表</w:t>
      </w:r>
      <w:r>
        <w:rPr>
          <w:rFonts w:hint="eastAsia"/>
        </w:rPr>
        <w:t>2</w:t>
      </w:r>
      <w:r w:rsidRPr="00DA16A6">
        <w:rPr>
          <w:rFonts w:hint="eastAsia"/>
        </w:rPr>
        <w:t>建设项目环境影响报告书审批基础信息表</w:t>
      </w:r>
      <w:r>
        <w:rPr>
          <w:rFonts w:hint="eastAsia"/>
        </w:rPr>
        <w:t>。</w:t>
      </w:r>
    </w:p>
    <w:p w:rsidR="004E3021" w:rsidRDefault="004E3021">
      <w:pPr>
        <w:spacing w:line="400" w:lineRule="exact"/>
        <w:ind w:firstLine="480"/>
        <w:sectPr w:rsidR="004E3021">
          <w:pgSz w:w="11906" w:h="16838"/>
          <w:pgMar w:top="1440" w:right="1440" w:bottom="1440" w:left="1440" w:header="851" w:footer="992" w:gutter="0"/>
          <w:pgNumType w:fmt="upperRoman" w:start="1"/>
          <w:cols w:space="425"/>
          <w:docGrid w:type="lines" w:linePitch="326"/>
        </w:sectPr>
      </w:pPr>
    </w:p>
    <w:p w:rsidR="004E3021" w:rsidRDefault="00606E48">
      <w:pPr>
        <w:pStyle w:val="afffffffffffffffff2"/>
        <w:ind w:firstLineChars="50" w:firstLine="220"/>
      </w:pPr>
      <w:bookmarkStart w:id="0" w:name="_Toc221500914"/>
      <w:r>
        <w:rPr>
          <w:rFonts w:hint="eastAsia"/>
        </w:rPr>
        <w:lastRenderedPageBreak/>
        <w:t>1</w:t>
      </w:r>
      <w:r>
        <w:rPr>
          <w:rFonts w:hint="eastAsia"/>
        </w:rPr>
        <w:t>、概述</w:t>
      </w:r>
      <w:bookmarkEnd w:id="0"/>
    </w:p>
    <w:p w:rsidR="004E3021" w:rsidRDefault="00606E48">
      <w:pPr>
        <w:pStyle w:val="afffffffffffffffff3"/>
      </w:pPr>
      <w:bookmarkStart w:id="1" w:name="_Toc221500915"/>
      <w:r>
        <w:rPr>
          <w:rFonts w:hint="eastAsia"/>
        </w:rPr>
        <w:t>1</w:t>
      </w:r>
      <w:r>
        <w:t>.1</w:t>
      </w:r>
      <w:r>
        <w:t>项目由来及特点</w:t>
      </w:r>
      <w:bookmarkEnd w:id="1"/>
    </w:p>
    <w:p w:rsidR="004E3021" w:rsidRDefault="00606E48">
      <w:pPr>
        <w:ind w:firstLine="480"/>
      </w:pPr>
      <w:r>
        <w:t>安徽凯盛</w:t>
      </w:r>
      <w:r>
        <w:rPr>
          <w:rFonts w:hint="eastAsia"/>
        </w:rPr>
        <w:t>应用</w:t>
      </w:r>
      <w:r>
        <w:t>材料</w:t>
      </w:r>
      <w:r>
        <w:rPr>
          <w:rFonts w:hint="eastAsia"/>
        </w:rPr>
        <w:t>有限</w:t>
      </w:r>
      <w:r>
        <w:t>公司</w:t>
      </w:r>
      <w:r>
        <w:rPr>
          <w:rFonts w:hint="eastAsia"/>
        </w:rPr>
        <w:t>（以下简称：安徽凯盛）是凯盛科技股份有限公司（以下简称：凯盛科技）</w:t>
      </w:r>
      <w:r>
        <w:rPr>
          <w:rFonts w:hint="eastAsia"/>
        </w:rPr>
        <w:t>2</w:t>
      </w:r>
      <w:r>
        <w:t>014</w:t>
      </w:r>
      <w:r>
        <w:t>年设立的子公司</w:t>
      </w:r>
      <w:r>
        <w:rPr>
          <w:rFonts w:hint="eastAsia"/>
        </w:rPr>
        <w:t>，</w:t>
      </w:r>
      <w:r>
        <w:rPr>
          <w:bCs/>
        </w:rPr>
        <w:t>依托国家重点实验室的检测平台，通过多年的技术积累，引进国外先进技术和高层次科技人才团队，</w:t>
      </w:r>
      <w:r>
        <w:rPr>
          <w:rFonts w:hint="eastAsia"/>
          <w:bCs/>
        </w:rPr>
        <w:t>安徽</w:t>
      </w:r>
      <w:r>
        <w:t>凯盛</w:t>
      </w:r>
      <w:r>
        <w:rPr>
          <w:bCs/>
        </w:rPr>
        <w:t>目前</w:t>
      </w:r>
      <w:r>
        <w:rPr>
          <w:rFonts w:hint="eastAsia"/>
          <w:bCs/>
        </w:rPr>
        <w:t>产品</w:t>
      </w:r>
      <w:r>
        <w:rPr>
          <w:bCs/>
        </w:rPr>
        <w:t>为钛酸钡陶瓷功能材料</w:t>
      </w:r>
      <w:r>
        <w:rPr>
          <w:rFonts w:hint="eastAsia"/>
        </w:rPr>
        <w:t>。</w:t>
      </w:r>
    </w:p>
    <w:p w:rsidR="004E3021" w:rsidRDefault="00606E48">
      <w:pPr>
        <w:ind w:firstLine="480"/>
      </w:pPr>
      <w:r>
        <w:rPr>
          <w:rFonts w:hint="eastAsia"/>
        </w:rPr>
        <w:t>安徽凯盛于</w:t>
      </w:r>
      <w:r>
        <w:rPr>
          <w:rFonts w:hint="eastAsia"/>
        </w:rPr>
        <w:t>202</w:t>
      </w:r>
      <w:r>
        <w:t>2</w:t>
      </w:r>
      <w:r>
        <w:rPr>
          <w:rFonts w:hint="eastAsia"/>
        </w:rPr>
        <w:t>年</w:t>
      </w:r>
      <w:r>
        <w:t>5</w:t>
      </w:r>
      <w:r>
        <w:rPr>
          <w:rFonts w:hint="eastAsia"/>
        </w:rPr>
        <w:t>月</w:t>
      </w:r>
      <w:r>
        <w:rPr>
          <w:rFonts w:hint="eastAsia"/>
        </w:rPr>
        <w:t>4</w:t>
      </w:r>
      <w:r>
        <w:rPr>
          <w:rFonts w:hint="eastAsia"/>
        </w:rPr>
        <w:t>日编制完成了</w:t>
      </w:r>
      <w:r>
        <w:t>安徽凯盛</w:t>
      </w:r>
      <w:r>
        <w:rPr>
          <w:rFonts w:hint="eastAsia"/>
        </w:rPr>
        <w:t>应用</w:t>
      </w:r>
      <w:r>
        <w:t>材料</w:t>
      </w:r>
      <w:r>
        <w:rPr>
          <w:rFonts w:hint="eastAsia"/>
        </w:rPr>
        <w:t>有限</w:t>
      </w:r>
      <w:r>
        <w:t>公司</w:t>
      </w:r>
      <w:r w:rsidR="00540CC8">
        <w:rPr>
          <w:rFonts w:hint="eastAsia"/>
        </w:rPr>
        <w:t>年产</w:t>
      </w:r>
      <w:r w:rsidR="00540CC8">
        <w:rPr>
          <w:rFonts w:hint="eastAsia"/>
        </w:rPr>
        <w:t>5</w:t>
      </w:r>
      <w:r w:rsidR="00540CC8">
        <w:t>000</w:t>
      </w:r>
      <w:r w:rsidR="00540CC8">
        <w:t>吨超纯二氧化硅</w:t>
      </w:r>
      <w:r w:rsidR="00540CC8">
        <w:rPr>
          <w:rFonts w:hint="eastAsia"/>
        </w:rPr>
        <w:t>（副产</w:t>
      </w:r>
      <w:r w:rsidR="00540CC8">
        <w:rPr>
          <w:rFonts w:hint="eastAsia"/>
        </w:rPr>
        <w:t>4</w:t>
      </w:r>
      <w:r w:rsidR="00540CC8">
        <w:t>000</w:t>
      </w:r>
      <w:r w:rsidR="00540CC8">
        <w:t>吨硅烷新材料</w:t>
      </w:r>
      <w:r w:rsidR="00540CC8">
        <w:rPr>
          <w:rFonts w:hint="eastAsia"/>
        </w:rPr>
        <w:t>）项目</w:t>
      </w:r>
      <w:r>
        <w:rPr>
          <w:rFonts w:ascii="宋体" w:hAnsi="宋体" w:hint="eastAsia"/>
          <w:bCs/>
        </w:rPr>
        <w:t>，并于同年</w:t>
      </w:r>
      <w:r>
        <w:t>8</w:t>
      </w:r>
      <w:r>
        <w:rPr>
          <w:rFonts w:hint="eastAsia"/>
        </w:rPr>
        <w:t>月</w:t>
      </w:r>
      <w:r>
        <w:t>29</w:t>
      </w:r>
      <w:r>
        <w:rPr>
          <w:rFonts w:hint="eastAsia"/>
        </w:rPr>
        <w:t>日取得蚌埠市生态环境局以蚌环许【</w:t>
      </w:r>
      <w:r>
        <w:rPr>
          <w:rFonts w:hint="eastAsia"/>
        </w:rPr>
        <w:t>2</w:t>
      </w:r>
      <w:r>
        <w:t>022</w:t>
      </w:r>
      <w:r>
        <w:rPr>
          <w:rFonts w:hint="eastAsia"/>
        </w:rPr>
        <w:t>】</w:t>
      </w:r>
      <w:r>
        <w:rPr>
          <w:rFonts w:hint="eastAsia"/>
        </w:rPr>
        <w:t>2</w:t>
      </w:r>
      <w:r>
        <w:t>7</w:t>
      </w:r>
      <w:r>
        <w:rPr>
          <w:rFonts w:hint="eastAsia"/>
        </w:rPr>
        <w:t>号下发的审批意见。该项目在试生产过程中发现三甲氧基硅烷合成工序</w:t>
      </w:r>
      <w:r w:rsidR="00540CC8">
        <w:rPr>
          <w:rFonts w:hint="eastAsia"/>
        </w:rPr>
        <w:t>使用</w:t>
      </w:r>
      <w:r>
        <w:rPr>
          <w:rFonts w:hint="eastAsia"/>
        </w:rPr>
        <w:t>流化床生产工艺</w:t>
      </w:r>
      <w:r w:rsidR="00540CC8">
        <w:rPr>
          <w:rFonts w:hint="eastAsia"/>
        </w:rPr>
        <w:t>会导致产品</w:t>
      </w:r>
      <w:r>
        <w:rPr>
          <w:rFonts w:hint="eastAsia"/>
        </w:rPr>
        <w:t>无法满足品质要求，需</w:t>
      </w:r>
      <w:r w:rsidR="004936F0">
        <w:rPr>
          <w:rFonts w:hint="eastAsia"/>
        </w:rPr>
        <w:t>对现有工程进行技改</w:t>
      </w:r>
      <w:r>
        <w:rPr>
          <w:rFonts w:hint="eastAsia"/>
        </w:rPr>
        <w:t>；同时</w:t>
      </w:r>
      <w:r w:rsidR="0006470D">
        <w:rPr>
          <w:rFonts w:hint="eastAsia"/>
        </w:rPr>
        <w:t>删除半导体用二氧化硅产品，将硅溶胶产能由</w:t>
      </w:r>
      <w:r w:rsidR="0006470D">
        <w:rPr>
          <w:rFonts w:hint="eastAsia"/>
        </w:rPr>
        <w:t>1</w:t>
      </w:r>
      <w:r w:rsidR="0006470D">
        <w:t>6780.04</w:t>
      </w:r>
      <w:r w:rsidR="0006470D">
        <w:rPr>
          <w:rFonts w:hint="eastAsia"/>
        </w:rPr>
        <w:t>t/a</w:t>
      </w:r>
      <w:r w:rsidR="0006470D">
        <w:rPr>
          <w:rFonts w:hint="eastAsia"/>
        </w:rPr>
        <w:t>削减至</w:t>
      </w:r>
      <w:r w:rsidR="0006470D">
        <w:rPr>
          <w:rFonts w:hint="eastAsia"/>
        </w:rPr>
        <w:t>1</w:t>
      </w:r>
      <w:r w:rsidR="0006470D">
        <w:t>500</w:t>
      </w:r>
      <w:r w:rsidR="0006470D">
        <w:rPr>
          <w:rFonts w:hint="eastAsia"/>
        </w:rPr>
        <w:t>t/a</w:t>
      </w:r>
      <w:r w:rsidR="0006470D">
        <w:rPr>
          <w:rFonts w:hint="eastAsia"/>
        </w:rPr>
        <w:t>，</w:t>
      </w:r>
      <w:r>
        <w:rPr>
          <w:rFonts w:hint="eastAsia"/>
        </w:rPr>
        <w:t>新增</w:t>
      </w:r>
      <w:r>
        <w:rPr>
          <w:rFonts w:hint="eastAsia"/>
        </w:rPr>
        <w:t>2</w:t>
      </w:r>
      <w:r>
        <w:t>500</w:t>
      </w:r>
      <w:r>
        <w:rPr>
          <w:rFonts w:hint="eastAsia"/>
        </w:rPr>
        <w:t>吨</w:t>
      </w:r>
      <w:r>
        <w:rPr>
          <w:rFonts w:hint="eastAsia"/>
        </w:rPr>
        <w:t>/</w:t>
      </w:r>
      <w:r>
        <w:rPr>
          <w:rFonts w:hint="eastAsia"/>
        </w:rPr>
        <w:t>年乙烯基三甲氧基硅烷（</w:t>
      </w:r>
      <w:r>
        <w:rPr>
          <w:rFonts w:hint="eastAsia"/>
        </w:rPr>
        <w:t>A-</w:t>
      </w:r>
      <w:r>
        <w:t>171</w:t>
      </w:r>
      <w:r>
        <w:rPr>
          <w:rFonts w:hint="eastAsia"/>
        </w:rPr>
        <w:t>）</w:t>
      </w:r>
      <w:r w:rsidR="0006470D">
        <w:rPr>
          <w:rFonts w:hint="eastAsia"/>
        </w:rPr>
        <w:t>生产线</w:t>
      </w:r>
      <w:r>
        <w:rPr>
          <w:rFonts w:hint="eastAsia"/>
        </w:rPr>
        <w:t>。</w:t>
      </w:r>
    </w:p>
    <w:p w:rsidR="00947F13" w:rsidRDefault="00606E48">
      <w:pPr>
        <w:widowControl/>
        <w:ind w:firstLine="480"/>
        <w:jc w:val="left"/>
      </w:pPr>
      <w:r>
        <w:rPr>
          <w:rFonts w:hint="eastAsia"/>
        </w:rPr>
        <w:t>本</w:t>
      </w:r>
      <w:r>
        <w:t>项目</w:t>
      </w:r>
      <w:r>
        <w:rPr>
          <w:rFonts w:hint="eastAsia"/>
        </w:rPr>
        <w:t>位于</w:t>
      </w:r>
      <w:r>
        <w:rPr>
          <w:rFonts w:ascii="宋体" w:hAnsi="宋体" w:hint="eastAsia"/>
        </w:rPr>
        <w:t>蚌埠精细化工高新技术产业基地</w:t>
      </w:r>
      <w:r w:rsidR="005058C1">
        <w:t>安徽凯盛</w:t>
      </w:r>
      <w:r w:rsidR="005058C1">
        <w:rPr>
          <w:rFonts w:hint="eastAsia"/>
        </w:rPr>
        <w:t>应用</w:t>
      </w:r>
      <w:r w:rsidR="005058C1">
        <w:t>材料</w:t>
      </w:r>
      <w:r w:rsidR="005058C1">
        <w:rPr>
          <w:rFonts w:hint="eastAsia"/>
        </w:rPr>
        <w:t>有限</w:t>
      </w:r>
      <w:r w:rsidR="005058C1">
        <w:t>公司</w:t>
      </w:r>
      <w:r w:rsidR="005058C1">
        <w:rPr>
          <w:rFonts w:hint="eastAsia"/>
        </w:rPr>
        <w:t>现有厂区</w:t>
      </w:r>
      <w:r>
        <w:rPr>
          <w:rFonts w:ascii="宋体" w:hAnsi="宋体" w:hint="eastAsia"/>
        </w:rPr>
        <w:t>内。</w:t>
      </w:r>
      <w:r w:rsidR="00C7467A">
        <w:rPr>
          <w:rFonts w:hint="eastAsia"/>
        </w:rPr>
        <w:t>本</w:t>
      </w:r>
      <w:r w:rsidR="00C7467A">
        <w:rPr>
          <w:rFonts w:ascii="宋体" w:hAnsi="宋体"/>
        </w:rPr>
        <w:t>项目</w:t>
      </w:r>
      <w:r w:rsidR="00C7467A">
        <w:t>已于</w:t>
      </w:r>
      <w:r w:rsidR="00C7467A">
        <w:rPr>
          <w:rFonts w:hint="eastAsia"/>
        </w:rPr>
        <w:t>202</w:t>
      </w:r>
      <w:r w:rsidR="00C7467A">
        <w:t>5</w:t>
      </w:r>
      <w:r w:rsidR="00C7467A">
        <w:t>年</w:t>
      </w:r>
      <w:r w:rsidR="00C7467A">
        <w:rPr>
          <w:rFonts w:hint="eastAsia"/>
        </w:rPr>
        <w:t>0</w:t>
      </w:r>
      <w:r w:rsidR="00C7467A">
        <w:t>9</w:t>
      </w:r>
      <w:r w:rsidR="00C7467A">
        <w:t>月</w:t>
      </w:r>
      <w:r w:rsidR="00C7467A">
        <w:rPr>
          <w:rFonts w:hint="eastAsia"/>
        </w:rPr>
        <w:t>02</w:t>
      </w:r>
      <w:r w:rsidR="00C7467A">
        <w:t>日取得</w:t>
      </w:r>
      <w:r w:rsidR="00C7467A">
        <w:rPr>
          <w:rFonts w:hint="eastAsia"/>
        </w:rPr>
        <w:t>蚌埠市</w:t>
      </w:r>
      <w:r w:rsidR="00C7467A">
        <w:t>淮上区</w:t>
      </w:r>
      <w:r w:rsidR="00C7467A">
        <w:rPr>
          <w:rFonts w:hint="eastAsia"/>
        </w:rPr>
        <w:t>科技经济信息化局</w:t>
      </w:r>
      <w:r w:rsidR="00C7467A">
        <w:t>的备案</w:t>
      </w:r>
      <w:r w:rsidR="00C7467A">
        <w:rPr>
          <w:rFonts w:hint="eastAsia"/>
        </w:rPr>
        <w:t>，项目编码：</w:t>
      </w:r>
      <w:r w:rsidR="00C7467A">
        <w:t>2509-340311-07-02-669895</w:t>
      </w:r>
      <w:r w:rsidR="00C7467A">
        <w:rPr>
          <w:rFonts w:hint="eastAsia"/>
        </w:rPr>
        <w:t>。后于</w:t>
      </w:r>
      <w:r w:rsidR="00C7467A">
        <w:rPr>
          <w:rFonts w:hint="eastAsia"/>
        </w:rPr>
        <w:t>202</w:t>
      </w:r>
      <w:r w:rsidR="00C7467A">
        <w:t>5</w:t>
      </w:r>
      <w:r w:rsidR="00C7467A">
        <w:t>年</w:t>
      </w:r>
      <w:r w:rsidR="00C7467A">
        <w:t>12</w:t>
      </w:r>
      <w:r w:rsidR="00C7467A">
        <w:t>月</w:t>
      </w:r>
      <w:r w:rsidR="00C7467A">
        <w:t>10</w:t>
      </w:r>
      <w:r w:rsidR="00C7467A">
        <w:t>日</w:t>
      </w:r>
      <w:r w:rsidR="005058C1">
        <w:rPr>
          <w:rFonts w:hint="eastAsia"/>
        </w:rPr>
        <w:t>调整备案内容，将项目调整为两期建设，二期新增乙炔建设内容</w:t>
      </w:r>
      <w:r w:rsidR="00C7467A" w:rsidRPr="00C7467A">
        <w:rPr>
          <w:rFonts w:hint="eastAsia"/>
        </w:rPr>
        <w:t>。</w:t>
      </w:r>
      <w:r w:rsidR="00947F13">
        <w:rPr>
          <w:rFonts w:hint="eastAsia"/>
        </w:rPr>
        <w:t>建设单位于</w:t>
      </w:r>
      <w:r w:rsidR="00947F13">
        <w:rPr>
          <w:rFonts w:hint="eastAsia"/>
        </w:rPr>
        <w:t>2</w:t>
      </w:r>
      <w:r w:rsidR="00947F13">
        <w:t>026</w:t>
      </w:r>
      <w:r w:rsidR="00947F13">
        <w:rPr>
          <w:rFonts w:hint="eastAsia"/>
        </w:rPr>
        <w:t>年</w:t>
      </w:r>
      <w:r w:rsidR="00947F13">
        <w:rPr>
          <w:rFonts w:hint="eastAsia"/>
        </w:rPr>
        <w:t>1</w:t>
      </w:r>
      <w:r w:rsidR="00947F13">
        <w:rPr>
          <w:rFonts w:hint="eastAsia"/>
        </w:rPr>
        <w:t>月</w:t>
      </w:r>
      <w:r w:rsidR="00947F13">
        <w:rPr>
          <w:rFonts w:hint="eastAsia"/>
        </w:rPr>
        <w:t>1</w:t>
      </w:r>
      <w:r w:rsidR="00947F13">
        <w:t>4</w:t>
      </w:r>
      <w:r w:rsidR="00947F13">
        <w:rPr>
          <w:rFonts w:hint="eastAsia"/>
        </w:rPr>
        <w:t>日再次调整备案表，</w:t>
      </w:r>
      <w:r w:rsidR="005058C1">
        <w:rPr>
          <w:rFonts w:hint="eastAsia"/>
        </w:rPr>
        <w:t>将</w:t>
      </w:r>
      <w:r w:rsidR="00947F13" w:rsidRPr="00C7467A">
        <w:rPr>
          <w:rFonts w:hint="eastAsia"/>
        </w:rPr>
        <w:t>四甲氧基硅烷</w:t>
      </w:r>
      <w:r w:rsidR="00947F13">
        <w:rPr>
          <w:rFonts w:hint="eastAsia"/>
        </w:rPr>
        <w:t>产品描述由“</w:t>
      </w:r>
      <w:r w:rsidR="00947F13" w:rsidRPr="00C7467A">
        <w:rPr>
          <w:rFonts w:hint="eastAsia"/>
        </w:rPr>
        <w:t>四甲氧基硅烷</w:t>
      </w:r>
      <w:r w:rsidR="00947F13" w:rsidRPr="00C7467A">
        <w:rPr>
          <w:rFonts w:hint="eastAsia"/>
        </w:rPr>
        <w:t>998</w:t>
      </w:r>
      <w:r w:rsidR="00947F13" w:rsidRPr="00C7467A">
        <w:rPr>
          <w:rFonts w:hint="eastAsia"/>
        </w:rPr>
        <w:t>吨</w:t>
      </w:r>
      <w:r w:rsidR="00947F13" w:rsidRPr="00C7467A">
        <w:rPr>
          <w:rFonts w:hint="eastAsia"/>
        </w:rPr>
        <w:t>(</w:t>
      </w:r>
      <w:r w:rsidR="00947F13" w:rsidRPr="00C7467A">
        <w:rPr>
          <w:rFonts w:hint="eastAsia"/>
        </w:rPr>
        <w:t>其中</w:t>
      </w:r>
      <w:r w:rsidR="00947F13" w:rsidRPr="00C7467A">
        <w:rPr>
          <w:rFonts w:hint="eastAsia"/>
        </w:rPr>
        <w:t>238</w:t>
      </w:r>
      <w:r w:rsidR="00947F13" w:rsidRPr="00C7467A">
        <w:rPr>
          <w:rFonts w:hint="eastAsia"/>
        </w:rPr>
        <w:t>吨外售，</w:t>
      </w:r>
      <w:r w:rsidR="00947F13" w:rsidRPr="00C7467A">
        <w:rPr>
          <w:rFonts w:hint="eastAsia"/>
        </w:rPr>
        <w:t>760</w:t>
      </w:r>
      <w:r w:rsidR="00947F13" w:rsidRPr="00C7467A">
        <w:rPr>
          <w:rFonts w:hint="eastAsia"/>
        </w:rPr>
        <w:t>吨用于制备固含量</w:t>
      </w:r>
      <w:r w:rsidR="00947F13" w:rsidRPr="00C7467A">
        <w:rPr>
          <w:rFonts w:hint="eastAsia"/>
        </w:rPr>
        <w:t>20%</w:t>
      </w:r>
      <w:r w:rsidR="00947F13" w:rsidRPr="00C7467A">
        <w:rPr>
          <w:rFonts w:hint="eastAsia"/>
        </w:rPr>
        <w:t>的电子级硅溶胶</w:t>
      </w:r>
      <w:r w:rsidR="00947F13" w:rsidRPr="00C7467A">
        <w:rPr>
          <w:rFonts w:hint="eastAsia"/>
        </w:rPr>
        <w:t>1500</w:t>
      </w:r>
      <w:r w:rsidR="00947F13" w:rsidRPr="00C7467A">
        <w:rPr>
          <w:rFonts w:hint="eastAsia"/>
        </w:rPr>
        <w:t>吨</w:t>
      </w:r>
      <w:r w:rsidR="00947F13" w:rsidRPr="00C7467A">
        <w:rPr>
          <w:rFonts w:hint="eastAsia"/>
        </w:rPr>
        <w:t>)</w:t>
      </w:r>
      <w:r w:rsidR="00947F13">
        <w:rPr>
          <w:rFonts w:hint="eastAsia"/>
        </w:rPr>
        <w:t>、</w:t>
      </w:r>
      <w:r w:rsidR="00947F13" w:rsidRPr="00C7467A">
        <w:rPr>
          <w:rFonts w:hint="eastAsia"/>
        </w:rPr>
        <w:t>副产品四甲氧基硅烷</w:t>
      </w:r>
      <w:r w:rsidR="00947F13" w:rsidRPr="00C7467A">
        <w:rPr>
          <w:rFonts w:hint="eastAsia"/>
        </w:rPr>
        <w:t>39</w:t>
      </w:r>
      <w:r w:rsidR="00947F13" w:rsidRPr="00C7467A">
        <w:rPr>
          <w:rFonts w:hint="eastAsia"/>
        </w:rPr>
        <w:t>吨</w:t>
      </w:r>
      <w:r w:rsidR="00947F13" w:rsidRPr="00C7467A">
        <w:rPr>
          <w:rFonts w:hint="eastAsia"/>
        </w:rPr>
        <w:t>/</w:t>
      </w:r>
      <w:r w:rsidR="00947F13" w:rsidRPr="00C7467A">
        <w:rPr>
          <w:rFonts w:hint="eastAsia"/>
        </w:rPr>
        <w:t>年</w:t>
      </w:r>
      <w:r w:rsidR="00947F13">
        <w:rPr>
          <w:rFonts w:hint="eastAsia"/>
        </w:rPr>
        <w:t>”调整为“四甲氧基硅烷</w:t>
      </w:r>
      <w:r w:rsidR="00947F13">
        <w:rPr>
          <w:rFonts w:hint="eastAsia"/>
        </w:rPr>
        <w:t>1037</w:t>
      </w:r>
      <w:r w:rsidR="00947F13">
        <w:rPr>
          <w:rFonts w:hint="eastAsia"/>
        </w:rPr>
        <w:t>吨（</w:t>
      </w:r>
      <w:r w:rsidR="00947F13">
        <w:rPr>
          <w:rFonts w:hint="eastAsia"/>
        </w:rPr>
        <w:t>99.9%</w:t>
      </w:r>
      <w:r w:rsidR="00947F13">
        <w:rPr>
          <w:rFonts w:hint="eastAsia"/>
        </w:rPr>
        <w:t>的</w:t>
      </w:r>
      <w:r w:rsidR="00947F13">
        <w:rPr>
          <w:rFonts w:hint="eastAsia"/>
        </w:rPr>
        <w:t>998</w:t>
      </w:r>
      <w:r w:rsidR="00947F13">
        <w:rPr>
          <w:rFonts w:hint="eastAsia"/>
        </w:rPr>
        <w:t>吨，</w:t>
      </w:r>
      <w:r w:rsidR="00947F13">
        <w:rPr>
          <w:rFonts w:hint="eastAsia"/>
        </w:rPr>
        <w:t>90%</w:t>
      </w:r>
      <w:r w:rsidR="00947F13">
        <w:rPr>
          <w:rFonts w:hint="eastAsia"/>
        </w:rPr>
        <w:t>的</w:t>
      </w:r>
      <w:r w:rsidR="00947F13">
        <w:rPr>
          <w:rFonts w:hint="eastAsia"/>
        </w:rPr>
        <w:t>39</w:t>
      </w:r>
      <w:r w:rsidR="00947F13">
        <w:rPr>
          <w:rFonts w:hint="eastAsia"/>
        </w:rPr>
        <w:t>吨）”</w:t>
      </w:r>
    </w:p>
    <w:p w:rsidR="004E3021" w:rsidRDefault="00947F13">
      <w:pPr>
        <w:widowControl/>
        <w:ind w:firstLine="480"/>
        <w:jc w:val="left"/>
      </w:pPr>
      <w:r>
        <w:rPr>
          <w:rFonts w:hint="eastAsia"/>
        </w:rPr>
        <w:t>调整后项目建设内容为：项目分两期建设。项目（一期）年生产电子级硅溶胶</w:t>
      </w:r>
      <w:r>
        <w:rPr>
          <w:rFonts w:hint="eastAsia"/>
        </w:rPr>
        <w:t>1500</w:t>
      </w:r>
      <w:r>
        <w:rPr>
          <w:rFonts w:hint="eastAsia"/>
        </w:rPr>
        <w:t>吨</w:t>
      </w:r>
      <w:r>
        <w:rPr>
          <w:rFonts w:hint="eastAsia"/>
        </w:rPr>
        <w:t>(</w:t>
      </w:r>
      <w:r>
        <w:rPr>
          <w:rFonts w:hint="eastAsia"/>
        </w:rPr>
        <w:t>固含量</w:t>
      </w:r>
      <w:r>
        <w:rPr>
          <w:rFonts w:hint="eastAsia"/>
        </w:rPr>
        <w:t>20%)</w:t>
      </w:r>
      <w:r>
        <w:rPr>
          <w:rFonts w:hint="eastAsia"/>
        </w:rPr>
        <w:t>全部</w:t>
      </w:r>
      <w:r w:rsidR="009517D8">
        <w:rPr>
          <w:rFonts w:hint="eastAsia"/>
        </w:rPr>
        <w:t>外售</w:t>
      </w:r>
      <w:r>
        <w:rPr>
          <w:rFonts w:hint="eastAsia"/>
        </w:rPr>
        <w:t>，中间产品硅粉</w:t>
      </w:r>
      <w:r>
        <w:rPr>
          <w:rFonts w:hint="eastAsia"/>
        </w:rPr>
        <w:t>2880</w:t>
      </w:r>
      <w:r>
        <w:rPr>
          <w:rFonts w:hint="eastAsia"/>
        </w:rPr>
        <w:t>吨，四甲氧基硅烷</w:t>
      </w:r>
      <w:r>
        <w:rPr>
          <w:rFonts w:hint="eastAsia"/>
        </w:rPr>
        <w:t>1037</w:t>
      </w:r>
      <w:r>
        <w:rPr>
          <w:rFonts w:hint="eastAsia"/>
        </w:rPr>
        <w:t>吨（</w:t>
      </w:r>
      <w:r>
        <w:rPr>
          <w:rFonts w:hint="eastAsia"/>
        </w:rPr>
        <w:t>99.9%</w:t>
      </w:r>
      <w:r>
        <w:rPr>
          <w:rFonts w:hint="eastAsia"/>
        </w:rPr>
        <w:t>的</w:t>
      </w:r>
      <w:r>
        <w:rPr>
          <w:rFonts w:hint="eastAsia"/>
        </w:rPr>
        <w:t>998</w:t>
      </w:r>
      <w:r>
        <w:rPr>
          <w:rFonts w:hint="eastAsia"/>
        </w:rPr>
        <w:t>吨，</w:t>
      </w:r>
      <w:r>
        <w:rPr>
          <w:rFonts w:hint="eastAsia"/>
        </w:rPr>
        <w:t>90%</w:t>
      </w:r>
      <w:r>
        <w:rPr>
          <w:rFonts w:hint="eastAsia"/>
        </w:rPr>
        <w:t>的</w:t>
      </w:r>
      <w:r>
        <w:rPr>
          <w:rFonts w:hint="eastAsia"/>
        </w:rPr>
        <w:t>39</w:t>
      </w:r>
      <w:r>
        <w:rPr>
          <w:rFonts w:hint="eastAsia"/>
        </w:rPr>
        <w:t>吨），三甲氧基硅烷</w:t>
      </w:r>
      <w:r>
        <w:rPr>
          <w:rFonts w:hint="eastAsia"/>
        </w:rPr>
        <w:t>4500</w:t>
      </w:r>
      <w:r>
        <w:rPr>
          <w:rFonts w:hint="eastAsia"/>
        </w:rPr>
        <w:t>吨。产品年生产能力硅烷偶联剂</w:t>
      </w:r>
      <w:r>
        <w:rPr>
          <w:rFonts w:hint="eastAsia"/>
        </w:rPr>
        <w:t>(KH560)3000</w:t>
      </w:r>
      <w:r>
        <w:rPr>
          <w:rFonts w:hint="eastAsia"/>
        </w:rPr>
        <w:t>吨，硅烷偶联剂</w:t>
      </w:r>
      <w:r>
        <w:rPr>
          <w:rFonts w:hint="eastAsia"/>
        </w:rPr>
        <w:t>(A-171)2500</w:t>
      </w:r>
      <w:r>
        <w:rPr>
          <w:rFonts w:hint="eastAsia"/>
        </w:rPr>
        <w:t>吨。副产品甲醇</w:t>
      </w:r>
      <w:r>
        <w:rPr>
          <w:rFonts w:hint="eastAsia"/>
        </w:rPr>
        <w:t>645</w:t>
      </w:r>
      <w:r>
        <w:rPr>
          <w:rFonts w:hint="eastAsia"/>
        </w:rPr>
        <w:t>吨</w:t>
      </w:r>
      <w:r>
        <w:rPr>
          <w:rFonts w:hint="eastAsia"/>
        </w:rPr>
        <w:t>/</w:t>
      </w:r>
      <w:r>
        <w:rPr>
          <w:rFonts w:hint="eastAsia"/>
        </w:rPr>
        <w:t>年，甲基三甲氧基硅烷</w:t>
      </w:r>
      <w:r>
        <w:rPr>
          <w:rFonts w:hint="eastAsia"/>
        </w:rPr>
        <w:t>135</w:t>
      </w:r>
      <w:r>
        <w:rPr>
          <w:rFonts w:hint="eastAsia"/>
        </w:rPr>
        <w:t>吨</w:t>
      </w:r>
      <w:r>
        <w:rPr>
          <w:rFonts w:hint="eastAsia"/>
        </w:rPr>
        <w:t>/</w:t>
      </w:r>
      <w:r>
        <w:rPr>
          <w:rFonts w:hint="eastAsia"/>
        </w:rPr>
        <w:t>年，烯丙基缩水甘油醚</w:t>
      </w:r>
      <w:r>
        <w:rPr>
          <w:rFonts w:hint="eastAsia"/>
        </w:rPr>
        <w:t>335</w:t>
      </w:r>
      <w:r>
        <w:rPr>
          <w:rFonts w:hint="eastAsia"/>
        </w:rPr>
        <w:t>吨</w:t>
      </w:r>
      <w:r>
        <w:rPr>
          <w:rFonts w:hint="eastAsia"/>
        </w:rPr>
        <w:t>/</w:t>
      </w:r>
      <w:r>
        <w:rPr>
          <w:rFonts w:hint="eastAsia"/>
        </w:rPr>
        <w:t>年，细硅粉</w:t>
      </w:r>
      <w:r>
        <w:rPr>
          <w:rFonts w:hint="eastAsia"/>
        </w:rPr>
        <w:t>70</w:t>
      </w:r>
      <w:r>
        <w:rPr>
          <w:rFonts w:hint="eastAsia"/>
        </w:rPr>
        <w:t>吨</w:t>
      </w:r>
      <w:r>
        <w:rPr>
          <w:rFonts w:hint="eastAsia"/>
        </w:rPr>
        <w:t>/</w:t>
      </w:r>
      <w:r>
        <w:rPr>
          <w:rFonts w:hint="eastAsia"/>
        </w:rPr>
        <w:t>年，</w:t>
      </w:r>
      <w:r w:rsidRPr="00CF2402">
        <w:rPr>
          <w:rFonts w:hint="eastAsia"/>
        </w:rPr>
        <w:t>聚硅氧烷</w:t>
      </w:r>
      <w:r w:rsidRPr="00CF2402">
        <w:rPr>
          <w:rFonts w:hint="eastAsia"/>
        </w:rPr>
        <w:t>1</w:t>
      </w:r>
      <w:r w:rsidRPr="00CF2402">
        <w:t>50</w:t>
      </w:r>
      <w:r w:rsidRPr="00CF2402">
        <w:rPr>
          <w:rFonts w:hint="eastAsia"/>
        </w:rPr>
        <w:t>吨</w:t>
      </w:r>
      <w:r w:rsidRPr="00CF2402">
        <w:rPr>
          <w:rFonts w:hint="eastAsia"/>
        </w:rPr>
        <w:t>/</w:t>
      </w:r>
      <w:r w:rsidRPr="00CF2402">
        <w:rPr>
          <w:rFonts w:hint="eastAsia"/>
        </w:rPr>
        <w:lastRenderedPageBreak/>
        <w:t>年，溶剂</w:t>
      </w:r>
      <w:r w:rsidRPr="00CF2402">
        <w:rPr>
          <w:rFonts w:hint="eastAsia"/>
        </w:rPr>
        <w:t>1</w:t>
      </w:r>
      <w:r w:rsidRPr="00CF2402">
        <w:t>58</w:t>
      </w:r>
      <w:r w:rsidRPr="00CF2402">
        <w:rPr>
          <w:rFonts w:hint="eastAsia"/>
        </w:rPr>
        <w:t>吨</w:t>
      </w:r>
      <w:r w:rsidRPr="00CF2402">
        <w:rPr>
          <w:rFonts w:hint="eastAsia"/>
        </w:rPr>
        <w:t>/</w:t>
      </w:r>
      <w:r w:rsidRPr="00CF2402">
        <w:rPr>
          <w:rFonts w:hint="eastAsia"/>
        </w:rPr>
        <w:t>年</w:t>
      </w:r>
      <w:r>
        <w:rPr>
          <w:rFonts w:hint="eastAsia"/>
        </w:rPr>
        <w:t>。回收套用甲醇</w:t>
      </w:r>
      <w:r>
        <w:rPr>
          <w:rFonts w:hint="eastAsia"/>
        </w:rPr>
        <w:t>795</w:t>
      </w:r>
      <w:r>
        <w:rPr>
          <w:rFonts w:hint="eastAsia"/>
        </w:rPr>
        <w:t>吨</w:t>
      </w:r>
      <w:r>
        <w:rPr>
          <w:rFonts w:hint="eastAsia"/>
        </w:rPr>
        <w:t>/</w:t>
      </w:r>
      <w:r>
        <w:rPr>
          <w:rFonts w:hint="eastAsia"/>
        </w:rPr>
        <w:t>年，氨水（</w:t>
      </w:r>
      <w:r>
        <w:rPr>
          <w:rFonts w:hint="eastAsia"/>
        </w:rPr>
        <w:t>10%</w:t>
      </w:r>
      <w:r>
        <w:rPr>
          <w:rFonts w:hint="eastAsia"/>
        </w:rPr>
        <w:t>）</w:t>
      </w:r>
      <w:r>
        <w:rPr>
          <w:rFonts w:hint="eastAsia"/>
        </w:rPr>
        <w:t>435</w:t>
      </w:r>
      <w:r>
        <w:rPr>
          <w:rFonts w:hint="eastAsia"/>
        </w:rPr>
        <w:t>吨</w:t>
      </w:r>
      <w:r>
        <w:rPr>
          <w:rFonts w:hint="eastAsia"/>
        </w:rPr>
        <w:t>/</w:t>
      </w:r>
      <w:r>
        <w:rPr>
          <w:rFonts w:hint="eastAsia"/>
        </w:rPr>
        <w:t>年。项目（二期）年生产乙炔</w:t>
      </w:r>
      <w:r>
        <w:rPr>
          <w:rFonts w:hint="eastAsia"/>
        </w:rPr>
        <w:t>450</w:t>
      </w:r>
      <w:r>
        <w:rPr>
          <w:rFonts w:hint="eastAsia"/>
        </w:rPr>
        <w:t>吨，用于硅烷偶联剂</w:t>
      </w:r>
      <w:r>
        <w:rPr>
          <w:rFonts w:hint="eastAsia"/>
        </w:rPr>
        <w:t>A-171</w:t>
      </w:r>
      <w:r>
        <w:rPr>
          <w:rFonts w:hint="eastAsia"/>
        </w:rPr>
        <w:t>使用。</w:t>
      </w:r>
    </w:p>
    <w:p w:rsidR="004E3021" w:rsidRDefault="00606E48">
      <w:pPr>
        <w:ind w:firstLine="480"/>
      </w:pPr>
      <w:r>
        <w:t>根据</w:t>
      </w:r>
      <w:r>
        <w:rPr>
          <w:rFonts w:hint="eastAsia"/>
        </w:rPr>
        <w:t>《中华人民共和国环境保护法》、《中华人民共和国环境影响评价法》和《建设项目环境保护管理条例》（国务院</w:t>
      </w:r>
      <w:r>
        <w:rPr>
          <w:rFonts w:hint="eastAsia"/>
        </w:rPr>
        <w:t>6</w:t>
      </w:r>
      <w:r>
        <w:t>82</w:t>
      </w:r>
      <w:r>
        <w:t>号令</w:t>
      </w:r>
      <w:r>
        <w:rPr>
          <w:rFonts w:hint="eastAsia"/>
        </w:rPr>
        <w:t>）的有关规定，受安徽</w:t>
      </w:r>
      <w:r>
        <w:t>凯盛</w:t>
      </w:r>
      <w:r w:rsidR="009517D8">
        <w:rPr>
          <w:rFonts w:hint="eastAsia"/>
        </w:rPr>
        <w:t>应用材料有限公司</w:t>
      </w:r>
      <w:r>
        <w:rPr>
          <w:rFonts w:hint="eastAsia"/>
        </w:rPr>
        <w:t>委托，安徽世标检测技术有限公司承担“年产</w:t>
      </w:r>
      <w:r>
        <w:rPr>
          <w:rFonts w:hint="eastAsia"/>
        </w:rPr>
        <w:t>7000</w:t>
      </w:r>
      <w:r>
        <w:rPr>
          <w:rFonts w:hint="eastAsia"/>
        </w:rPr>
        <w:t>吨硅基新材料技改</w:t>
      </w:r>
      <w:r>
        <w:rPr>
          <w:rFonts w:hint="eastAsia"/>
        </w:rPr>
        <w:t>/</w:t>
      </w:r>
      <w:r>
        <w:rPr>
          <w:rFonts w:hint="eastAsia"/>
        </w:rPr>
        <w:t>扩建项目”环境影响评价工作。对照《建设项目环境影响评价分类管理名录（</w:t>
      </w:r>
      <w:r>
        <w:rPr>
          <w:rFonts w:hint="eastAsia"/>
        </w:rPr>
        <w:t>2021</w:t>
      </w:r>
      <w:r>
        <w:rPr>
          <w:rFonts w:hint="eastAsia"/>
        </w:rPr>
        <w:t>版）》，本项目属于“二十三、化学原料和化学制品制造业”中的“</w:t>
      </w:r>
      <w:r>
        <w:rPr>
          <w:rFonts w:hint="eastAsia"/>
        </w:rPr>
        <w:t>C</w:t>
      </w:r>
      <w:r>
        <w:t xml:space="preserve">2619 </w:t>
      </w:r>
      <w:r>
        <w:t>其他基础化学原料制造</w:t>
      </w:r>
      <w:r>
        <w:rPr>
          <w:rFonts w:hint="eastAsia"/>
        </w:rPr>
        <w:t>和</w:t>
      </w:r>
      <w:r>
        <w:t>C2614</w:t>
      </w:r>
      <w:r>
        <w:t>有机化学原料制造</w:t>
      </w:r>
      <w:r>
        <w:rPr>
          <w:rFonts w:hint="eastAsia"/>
        </w:rPr>
        <w:t>”行业，因此需要编制环境影响报告书。</w:t>
      </w:r>
      <w:r>
        <w:rPr>
          <w:rFonts w:ascii="宋体" w:hAnsi="宋体"/>
        </w:rPr>
        <w:t>为此，环评单位的技术人员对项目所在地进行了现场踏勘，调查、收集了该项目的有关资料，在此基础上，根据国家环保法规和标准及有关技术导则编制了本环境影响报告书。</w:t>
      </w:r>
    </w:p>
    <w:p w:rsidR="004E3021" w:rsidRDefault="00606E48">
      <w:pPr>
        <w:pStyle w:val="afffffffffffffffff3"/>
      </w:pPr>
      <w:bookmarkStart w:id="2" w:name="_Toc221500916"/>
      <w:r>
        <w:rPr>
          <w:rFonts w:hint="eastAsia"/>
        </w:rPr>
        <w:t>1</w:t>
      </w:r>
      <w:r>
        <w:t>.2</w:t>
      </w:r>
      <w:r>
        <w:t>项目特点</w:t>
      </w:r>
      <w:bookmarkEnd w:id="2"/>
    </w:p>
    <w:p w:rsidR="004E3021" w:rsidRDefault="00606E48">
      <w:pPr>
        <w:ind w:firstLine="480"/>
      </w:pPr>
      <w:r>
        <w:rPr>
          <w:rFonts w:hint="eastAsia"/>
        </w:rPr>
        <w:t>（</w:t>
      </w:r>
      <w:r>
        <w:rPr>
          <w:rFonts w:hint="eastAsia"/>
        </w:rPr>
        <w:t>1</w:t>
      </w:r>
      <w:r>
        <w:rPr>
          <w:rFonts w:hint="eastAsia"/>
        </w:rPr>
        <w:t>）选址要求</w:t>
      </w:r>
    </w:p>
    <w:p w:rsidR="0006470D" w:rsidRPr="0006470D" w:rsidRDefault="00606E48" w:rsidP="0006470D">
      <w:pPr>
        <w:ind w:firstLine="480"/>
      </w:pPr>
      <w:r>
        <w:rPr>
          <w:rFonts w:hint="eastAsia"/>
        </w:rPr>
        <w:t>本项目</w:t>
      </w:r>
      <w:r>
        <w:t>位于</w:t>
      </w:r>
      <w:r>
        <w:rPr>
          <w:rFonts w:ascii="宋体" w:hAnsi="宋体" w:hint="eastAsia"/>
        </w:rPr>
        <w:t>蚌埠精细化工高新技术产业基地</w:t>
      </w:r>
      <w:r w:rsidR="009517D8">
        <w:t>安徽凯盛</w:t>
      </w:r>
      <w:r w:rsidR="009517D8">
        <w:rPr>
          <w:rFonts w:hint="eastAsia"/>
        </w:rPr>
        <w:t>应用</w:t>
      </w:r>
      <w:r w:rsidR="009517D8">
        <w:t>材料</w:t>
      </w:r>
      <w:r w:rsidR="009517D8">
        <w:rPr>
          <w:rFonts w:hint="eastAsia"/>
        </w:rPr>
        <w:t>有限</w:t>
      </w:r>
      <w:r w:rsidR="009517D8">
        <w:t>公司</w:t>
      </w:r>
      <w:r w:rsidR="009517D8">
        <w:rPr>
          <w:rFonts w:hint="eastAsia"/>
        </w:rPr>
        <w:t>现有厂区</w:t>
      </w:r>
      <w:r w:rsidR="009517D8">
        <w:rPr>
          <w:rFonts w:ascii="宋体" w:hAnsi="宋体" w:hint="eastAsia"/>
        </w:rPr>
        <w:t>内</w:t>
      </w:r>
      <w:r>
        <w:t>，</w:t>
      </w:r>
      <w:r>
        <w:rPr>
          <w:rFonts w:hint="eastAsia"/>
        </w:rPr>
        <w:t>该区域性质</w:t>
      </w:r>
      <w:r>
        <w:t>定位为以产业升级和科技创新为导向，</w:t>
      </w:r>
      <w:r>
        <w:rPr>
          <w:rFonts w:hint="eastAsia"/>
        </w:rPr>
        <w:t>以</w:t>
      </w:r>
      <w:r>
        <w:t>产城融合为路径，以精细化工</w:t>
      </w:r>
      <w:r>
        <w:rPr>
          <w:rFonts w:hint="eastAsia"/>
        </w:rPr>
        <w:t>产业</w:t>
      </w:r>
      <w:r>
        <w:t>、生物产业</w:t>
      </w:r>
      <w:r>
        <w:rPr>
          <w:rFonts w:hint="eastAsia"/>
        </w:rPr>
        <w:t>、</w:t>
      </w:r>
      <w:r>
        <w:t>新材料产业系列产品的科技研发制造为特色的创新型工业示范开发区</w:t>
      </w:r>
      <w:r>
        <w:rPr>
          <w:rFonts w:hint="eastAsia"/>
        </w:rPr>
        <w:t>。</w:t>
      </w:r>
      <w:r w:rsidR="0006470D" w:rsidRPr="0006470D">
        <w:t>2021</w:t>
      </w:r>
      <w:r w:rsidR="0006470D" w:rsidRPr="0006470D">
        <w:t>年</w:t>
      </w:r>
      <w:r w:rsidR="0006470D" w:rsidRPr="0006470D">
        <w:t>4</w:t>
      </w:r>
      <w:r w:rsidR="0006470D" w:rsidRPr="0006470D">
        <w:t>月</w:t>
      </w:r>
      <w:r w:rsidR="0006470D" w:rsidRPr="0006470D">
        <w:t>19</w:t>
      </w:r>
      <w:r w:rsidR="0006470D" w:rsidRPr="0006470D">
        <w:t>日，蚌埠淮上化工园区（规划面积</w:t>
      </w:r>
      <w:r w:rsidR="0006470D" w:rsidRPr="0006470D">
        <w:rPr>
          <w:rFonts w:hint="eastAsia"/>
        </w:rPr>
        <w:t>8.6</w:t>
      </w:r>
      <w:r w:rsidR="0006470D" w:rsidRPr="0006470D">
        <w:t>平方公里</w:t>
      </w:r>
      <w:r w:rsidR="0006470D" w:rsidRPr="0006470D">
        <w:rPr>
          <w:rFonts w:hint="eastAsia"/>
        </w:rPr>
        <w:t>，其中</w:t>
      </w:r>
      <w:r w:rsidR="0006470D" w:rsidRPr="0006470D">
        <w:t>7.7</w:t>
      </w:r>
      <w:r w:rsidR="0006470D" w:rsidRPr="0006470D">
        <w:t>平方公里，申报园区名称为</w:t>
      </w:r>
      <w:r w:rsidR="0006470D" w:rsidRPr="0006470D">
        <w:rPr>
          <w:bCs/>
        </w:rPr>
        <w:t>淮上经济开发区</w:t>
      </w:r>
      <w:r w:rsidR="0006470D" w:rsidRPr="0006470D">
        <w:t>）</w:t>
      </w:r>
      <w:r w:rsidR="0006470D" w:rsidRPr="0006470D">
        <w:rPr>
          <w:rFonts w:hint="eastAsia"/>
        </w:rPr>
        <w:t>被</w:t>
      </w:r>
      <w:r w:rsidR="0006470D" w:rsidRPr="0006470D">
        <w:t>安徽省人民政府认定第一批化工园区（皖政</w:t>
      </w:r>
      <w:r w:rsidR="0006470D" w:rsidRPr="0006470D">
        <w:rPr>
          <w:rFonts w:hint="eastAsia"/>
        </w:rPr>
        <w:t>秘</w:t>
      </w:r>
      <w:r w:rsidR="0006470D" w:rsidRPr="0006470D">
        <w:t>〔</w:t>
      </w:r>
      <w:r w:rsidR="0006470D" w:rsidRPr="0006470D">
        <w:t>2021</w:t>
      </w:r>
      <w:r w:rsidR="0006470D" w:rsidRPr="0006470D">
        <w:t>〕</w:t>
      </w:r>
      <w:r w:rsidR="0006470D" w:rsidRPr="0006470D">
        <w:t>93</w:t>
      </w:r>
      <w:r w:rsidR="0006470D" w:rsidRPr="0006470D">
        <w:t>号）；根据安徽省应急管理厅</w:t>
      </w:r>
      <w:r w:rsidR="0006470D" w:rsidRPr="0006470D">
        <w:rPr>
          <w:rFonts w:hint="eastAsia"/>
        </w:rPr>
        <w:t>2024</w:t>
      </w:r>
      <w:r w:rsidR="0006470D" w:rsidRPr="0006470D">
        <w:rPr>
          <w:rFonts w:hint="eastAsia"/>
        </w:rPr>
        <w:t>年</w:t>
      </w:r>
      <w:r w:rsidR="0006470D" w:rsidRPr="0006470D">
        <w:rPr>
          <w:rFonts w:hint="eastAsia"/>
        </w:rPr>
        <w:t>3</w:t>
      </w:r>
      <w:r w:rsidR="0006470D" w:rsidRPr="0006470D">
        <w:rPr>
          <w:rFonts w:hint="eastAsia"/>
        </w:rPr>
        <w:t>月</w:t>
      </w:r>
      <w:r w:rsidR="0006470D" w:rsidRPr="0006470D">
        <w:rPr>
          <w:rFonts w:hint="eastAsia"/>
        </w:rPr>
        <w:t>1</w:t>
      </w:r>
      <w:r w:rsidR="0006470D" w:rsidRPr="0006470D">
        <w:rPr>
          <w:rFonts w:hint="eastAsia"/>
        </w:rPr>
        <w:t>日</w:t>
      </w:r>
      <w:r w:rsidR="0006470D" w:rsidRPr="0006470D">
        <w:t>发布的《</w:t>
      </w:r>
      <w:r w:rsidR="0006470D" w:rsidRPr="0006470D">
        <w:rPr>
          <w:rFonts w:hint="eastAsia"/>
        </w:rPr>
        <w:t>关于调整淮北临涣等</w:t>
      </w:r>
      <w:r w:rsidR="0006470D" w:rsidRPr="0006470D">
        <w:rPr>
          <w:rFonts w:hint="eastAsia"/>
        </w:rPr>
        <w:t>12</w:t>
      </w:r>
      <w:r w:rsidR="0006470D" w:rsidRPr="0006470D">
        <w:rPr>
          <w:rFonts w:hint="eastAsia"/>
        </w:rPr>
        <w:t>个化工园区安全风险等级的公告</w:t>
      </w:r>
      <w:r w:rsidR="0006470D" w:rsidRPr="0006470D">
        <w:t>》，</w:t>
      </w:r>
      <w:r w:rsidR="009517D8">
        <w:rPr>
          <w:rFonts w:hint="eastAsia"/>
        </w:rPr>
        <w:t>该</w:t>
      </w:r>
      <w:r w:rsidR="0006470D" w:rsidRPr="0006470D">
        <w:t>园区安全风险等级为</w:t>
      </w:r>
      <w:r w:rsidR="0006470D" w:rsidRPr="0006470D">
        <w:rPr>
          <w:rFonts w:hint="eastAsia"/>
        </w:rPr>
        <w:t>D</w:t>
      </w:r>
      <w:r w:rsidR="0006470D" w:rsidRPr="0006470D">
        <w:t>级</w:t>
      </w:r>
      <w:r w:rsidR="0006470D" w:rsidRPr="0006470D">
        <w:rPr>
          <w:rFonts w:hint="eastAsia"/>
        </w:rPr>
        <w:t>（较低安全风险等级）</w:t>
      </w:r>
      <w:r w:rsidR="0006470D" w:rsidRPr="0006470D">
        <w:t>。</w:t>
      </w:r>
    </w:p>
    <w:p w:rsidR="004E3021" w:rsidRDefault="00606E48">
      <w:pPr>
        <w:ind w:firstLine="480"/>
      </w:pPr>
      <w:r>
        <w:rPr>
          <w:rFonts w:hint="eastAsia"/>
        </w:rPr>
        <w:t>本项目</w:t>
      </w:r>
      <w:r>
        <w:t>属于</w:t>
      </w:r>
      <w:r>
        <w:rPr>
          <w:rFonts w:hint="eastAsia"/>
        </w:rPr>
        <w:t>精细</w:t>
      </w:r>
      <w:r>
        <w:t>化工项目</w:t>
      </w:r>
      <w:r>
        <w:rPr>
          <w:rFonts w:hint="eastAsia"/>
        </w:rPr>
        <w:t>，</w:t>
      </w:r>
      <w:r>
        <w:t>位于</w:t>
      </w:r>
      <w:r>
        <w:rPr>
          <w:rFonts w:ascii="宋体" w:hAnsi="宋体" w:hint="eastAsia"/>
        </w:rPr>
        <w:t>蚌埠精细化工高新技术产业基地精细化工</w:t>
      </w:r>
      <w:r>
        <w:rPr>
          <w:rFonts w:ascii="宋体" w:hAnsi="宋体"/>
        </w:rPr>
        <w:t>区</w:t>
      </w:r>
      <w:r>
        <w:rPr>
          <w:rFonts w:hint="eastAsia"/>
        </w:rPr>
        <w:t>，符合开发区</w:t>
      </w:r>
      <w:r>
        <w:t>产业定位</w:t>
      </w:r>
      <w:r>
        <w:rPr>
          <w:rFonts w:hint="eastAsia"/>
        </w:rPr>
        <w:t>。</w:t>
      </w:r>
    </w:p>
    <w:p w:rsidR="004E3021" w:rsidRDefault="00606E48">
      <w:pPr>
        <w:ind w:firstLine="480"/>
      </w:pPr>
      <w:r>
        <w:rPr>
          <w:rFonts w:hint="eastAsia"/>
        </w:rPr>
        <w:t>（</w:t>
      </w:r>
      <w:r>
        <w:rPr>
          <w:rFonts w:hint="eastAsia"/>
        </w:rPr>
        <w:t>2</w:t>
      </w:r>
      <w:r>
        <w:rPr>
          <w:rFonts w:hint="eastAsia"/>
        </w:rPr>
        <w:t>）工程特点</w:t>
      </w:r>
    </w:p>
    <w:p w:rsidR="005E413B" w:rsidRPr="00D14DE4" w:rsidRDefault="005E413B" w:rsidP="005E413B">
      <w:pPr>
        <w:pStyle w:val="afffff4"/>
        <w:ind w:firstLine="480"/>
        <w:rPr>
          <w:color w:val="FF0000"/>
        </w:rPr>
      </w:pPr>
      <w:r w:rsidRPr="00D14DE4">
        <w:rPr>
          <w:rFonts w:hint="eastAsia"/>
          <w:color w:val="FF0000"/>
        </w:rPr>
        <w:t>涉及商业机密，已删除</w:t>
      </w:r>
    </w:p>
    <w:p w:rsidR="004E3021" w:rsidRDefault="004E3021">
      <w:pPr>
        <w:ind w:firstLine="480"/>
      </w:pPr>
    </w:p>
    <w:p w:rsidR="004E3021" w:rsidRDefault="00606E48">
      <w:pPr>
        <w:pStyle w:val="afffffffffffffffff3"/>
      </w:pPr>
      <w:bookmarkStart w:id="3" w:name="_Toc221500917"/>
      <w:r>
        <w:rPr>
          <w:rFonts w:hint="eastAsia"/>
        </w:rPr>
        <w:t>1</w:t>
      </w:r>
      <w:r>
        <w:t>.3</w:t>
      </w:r>
      <w:r>
        <w:t>环境影响评价工作过程</w:t>
      </w:r>
      <w:bookmarkEnd w:id="3"/>
    </w:p>
    <w:p w:rsidR="004E3021" w:rsidRPr="009564C3" w:rsidRDefault="00606E48">
      <w:pPr>
        <w:ind w:firstLine="480"/>
      </w:pPr>
      <w:r w:rsidRPr="009564C3">
        <w:rPr>
          <w:rFonts w:ascii="宋体" w:hAnsi="宋体" w:cs="宋体" w:hint="eastAsia"/>
        </w:rPr>
        <w:t>◆</w:t>
      </w:r>
      <w:r w:rsidRPr="009564C3">
        <w:rPr>
          <w:rFonts w:hint="eastAsia"/>
        </w:rPr>
        <w:t>202</w:t>
      </w:r>
      <w:r w:rsidR="009564C3" w:rsidRPr="009564C3">
        <w:t>5</w:t>
      </w:r>
      <w:r w:rsidRPr="009564C3">
        <w:rPr>
          <w:rFonts w:hint="eastAsia"/>
        </w:rPr>
        <w:t>年</w:t>
      </w:r>
      <w:r w:rsidR="009564C3" w:rsidRPr="009564C3">
        <w:t>9</w:t>
      </w:r>
      <w:r w:rsidRPr="009564C3">
        <w:rPr>
          <w:rFonts w:hint="eastAsia"/>
        </w:rPr>
        <w:t>月</w:t>
      </w:r>
      <w:r w:rsidR="009564C3" w:rsidRPr="009564C3">
        <w:t>2</w:t>
      </w:r>
      <w:r w:rsidR="00231E02">
        <w:t>2</w:t>
      </w:r>
      <w:r w:rsidRPr="009564C3">
        <w:rPr>
          <w:rFonts w:hint="eastAsia"/>
        </w:rPr>
        <w:t>日</w:t>
      </w:r>
      <w:r w:rsidRPr="009564C3">
        <w:t>，安徽凯盛</w:t>
      </w:r>
      <w:r w:rsidRPr="009564C3">
        <w:rPr>
          <w:rFonts w:hint="eastAsia"/>
        </w:rPr>
        <w:t>应用</w:t>
      </w:r>
      <w:r w:rsidRPr="009564C3">
        <w:t>材料</w:t>
      </w:r>
      <w:r w:rsidRPr="009564C3">
        <w:rPr>
          <w:rFonts w:hint="eastAsia"/>
        </w:rPr>
        <w:t>有限</w:t>
      </w:r>
      <w:r w:rsidRPr="009564C3">
        <w:t>公司委托安徽</w:t>
      </w:r>
      <w:r w:rsidR="009564C3" w:rsidRPr="009564C3">
        <w:rPr>
          <w:rFonts w:hint="eastAsia"/>
        </w:rPr>
        <w:t>世标检测技术</w:t>
      </w:r>
      <w:r w:rsidRPr="009564C3">
        <w:t>有限公司</w:t>
      </w:r>
      <w:r w:rsidRPr="009564C3">
        <w:lastRenderedPageBreak/>
        <w:t>编制安徽凯盛</w:t>
      </w:r>
      <w:r w:rsidRPr="009564C3">
        <w:rPr>
          <w:rFonts w:hint="eastAsia"/>
        </w:rPr>
        <w:t>应用</w:t>
      </w:r>
      <w:r w:rsidRPr="009564C3">
        <w:t>材料</w:t>
      </w:r>
      <w:r w:rsidRPr="009564C3">
        <w:rPr>
          <w:rFonts w:hint="eastAsia"/>
        </w:rPr>
        <w:t>有限</w:t>
      </w:r>
      <w:r w:rsidRPr="009564C3">
        <w:t>公司</w:t>
      </w:r>
      <w:r w:rsidRPr="009564C3">
        <w:rPr>
          <w:bCs/>
        </w:rPr>
        <w:t>年产</w:t>
      </w:r>
      <w:r w:rsidRPr="009564C3">
        <w:rPr>
          <w:bCs/>
        </w:rPr>
        <w:t>7000</w:t>
      </w:r>
      <w:r w:rsidRPr="009564C3">
        <w:rPr>
          <w:bCs/>
        </w:rPr>
        <w:t>吨硅基新材料技改</w:t>
      </w:r>
      <w:r w:rsidRPr="009564C3">
        <w:rPr>
          <w:bCs/>
        </w:rPr>
        <w:t>/</w:t>
      </w:r>
      <w:r w:rsidRPr="009564C3">
        <w:rPr>
          <w:bCs/>
        </w:rPr>
        <w:t>扩建项目</w:t>
      </w:r>
      <w:r w:rsidRPr="009564C3">
        <w:t>环境影响报告书》。</w:t>
      </w:r>
    </w:p>
    <w:p w:rsidR="004E3021" w:rsidRPr="009564C3" w:rsidRDefault="00606E48">
      <w:pPr>
        <w:ind w:firstLine="480"/>
      </w:pPr>
      <w:r w:rsidRPr="009564C3">
        <w:rPr>
          <w:rFonts w:ascii="宋体" w:hAnsi="宋体" w:hint="eastAsia"/>
        </w:rPr>
        <w:t>◆</w:t>
      </w:r>
      <w:r w:rsidRPr="009564C3">
        <w:rPr>
          <w:rFonts w:hint="eastAsia"/>
        </w:rPr>
        <w:t>202</w:t>
      </w:r>
      <w:r w:rsidR="009564C3" w:rsidRPr="009564C3">
        <w:t>5</w:t>
      </w:r>
      <w:r w:rsidRPr="009564C3">
        <w:rPr>
          <w:rFonts w:hint="eastAsia"/>
        </w:rPr>
        <w:t>年</w:t>
      </w:r>
      <w:r w:rsidR="009564C3" w:rsidRPr="009564C3">
        <w:t>9</w:t>
      </w:r>
      <w:r w:rsidRPr="009564C3">
        <w:rPr>
          <w:rFonts w:hint="eastAsia"/>
        </w:rPr>
        <w:t>月</w:t>
      </w:r>
      <w:r w:rsidR="009564C3" w:rsidRPr="009564C3">
        <w:rPr>
          <w:rFonts w:hint="eastAsia"/>
        </w:rPr>
        <w:t>2</w:t>
      </w:r>
      <w:r w:rsidRPr="009564C3">
        <w:rPr>
          <w:rFonts w:hint="eastAsia"/>
        </w:rPr>
        <w:t>4</w:t>
      </w:r>
      <w:r w:rsidRPr="009564C3">
        <w:rPr>
          <w:rFonts w:hint="eastAsia"/>
        </w:rPr>
        <w:t>日</w:t>
      </w:r>
      <w:r w:rsidRPr="009564C3">
        <w:rPr>
          <w:rFonts w:ascii="宋体" w:hAnsi="宋体" w:hint="eastAsia"/>
        </w:rPr>
        <w:t>，</w:t>
      </w:r>
      <w:r w:rsidRPr="009564C3">
        <w:t>安徽凯盛</w:t>
      </w:r>
      <w:r w:rsidRPr="009564C3">
        <w:rPr>
          <w:rFonts w:hint="eastAsia"/>
        </w:rPr>
        <w:t>应用</w:t>
      </w:r>
      <w:r w:rsidRPr="009564C3">
        <w:t>材料</w:t>
      </w:r>
      <w:r w:rsidRPr="009564C3">
        <w:rPr>
          <w:rFonts w:hint="eastAsia"/>
        </w:rPr>
        <w:t>有限</w:t>
      </w:r>
      <w:r w:rsidRPr="009564C3">
        <w:t>公司</w:t>
      </w:r>
      <w:r w:rsidRPr="009564C3">
        <w:rPr>
          <w:bCs/>
        </w:rPr>
        <w:t>年产</w:t>
      </w:r>
      <w:r w:rsidRPr="009564C3">
        <w:rPr>
          <w:bCs/>
        </w:rPr>
        <w:t>7000</w:t>
      </w:r>
      <w:r w:rsidRPr="009564C3">
        <w:rPr>
          <w:bCs/>
        </w:rPr>
        <w:t>吨硅基新材料技改</w:t>
      </w:r>
      <w:r w:rsidRPr="009564C3">
        <w:rPr>
          <w:bCs/>
        </w:rPr>
        <w:t>/</w:t>
      </w:r>
      <w:r w:rsidRPr="009564C3">
        <w:rPr>
          <w:bCs/>
        </w:rPr>
        <w:t>扩建项目</w:t>
      </w:r>
      <w:r w:rsidRPr="009564C3">
        <w:rPr>
          <w:rFonts w:ascii="宋体" w:hAnsi="宋体" w:hint="eastAsia"/>
        </w:rPr>
        <w:t>环评第一次公示在蚌埠市</w:t>
      </w:r>
      <w:r w:rsidR="009564C3" w:rsidRPr="009564C3">
        <w:rPr>
          <w:rFonts w:ascii="宋体" w:hAnsi="宋体" w:hint="eastAsia"/>
        </w:rPr>
        <w:t>淮上区</w:t>
      </w:r>
      <w:r w:rsidRPr="009564C3">
        <w:rPr>
          <w:rFonts w:ascii="宋体" w:hAnsi="宋体" w:hint="eastAsia"/>
        </w:rPr>
        <w:t>人民政府</w:t>
      </w:r>
      <w:r w:rsidRPr="009564C3">
        <w:rPr>
          <w:rFonts w:ascii="宋体" w:hAnsi="宋体"/>
        </w:rPr>
        <w:t>网</w:t>
      </w:r>
      <w:r w:rsidRPr="009564C3">
        <w:rPr>
          <w:rFonts w:ascii="宋体" w:hAnsi="宋体" w:hint="eastAsia"/>
        </w:rPr>
        <w:t>发布（</w:t>
      </w:r>
      <w:r w:rsidR="009564C3" w:rsidRPr="009564C3">
        <w:t>https://www.huaishang.gov.cn/xwzx/tzgg/5085226.html</w:t>
      </w:r>
      <w:r w:rsidRPr="009564C3">
        <w:rPr>
          <w:rFonts w:ascii="宋体" w:hAnsi="宋体" w:hint="eastAsia"/>
        </w:rPr>
        <w:t>）。</w:t>
      </w:r>
    </w:p>
    <w:p w:rsidR="004E3021" w:rsidRPr="009564C3" w:rsidRDefault="00606E48">
      <w:pPr>
        <w:ind w:firstLine="480"/>
      </w:pPr>
      <w:r w:rsidRPr="009564C3">
        <w:rPr>
          <w:rFonts w:ascii="宋体" w:hAnsi="宋体" w:hint="eastAsia"/>
        </w:rPr>
        <w:t>◆</w:t>
      </w:r>
      <w:r w:rsidRPr="009564C3">
        <w:t>202</w:t>
      </w:r>
      <w:r w:rsidR="009564C3" w:rsidRPr="009564C3">
        <w:t>5</w:t>
      </w:r>
      <w:r w:rsidRPr="009564C3">
        <w:rPr>
          <w:rFonts w:ascii="宋体" w:hAnsi="宋体" w:hint="eastAsia"/>
        </w:rPr>
        <w:t>年</w:t>
      </w:r>
      <w:r w:rsidRPr="009564C3">
        <w:t>1</w:t>
      </w:r>
      <w:r w:rsidR="009564C3" w:rsidRPr="009564C3">
        <w:t>0</w:t>
      </w:r>
      <w:r w:rsidRPr="009564C3">
        <w:rPr>
          <w:rFonts w:ascii="宋体" w:hAnsi="宋体" w:hint="eastAsia"/>
        </w:rPr>
        <w:t>月，根据可行性研究报告及项目单位提供的其他技术资料进行工程分析，确定评价思路、评价重点及各环境要素评价等级。</w:t>
      </w:r>
    </w:p>
    <w:p w:rsidR="004E3021" w:rsidRPr="009564C3" w:rsidRDefault="00606E48">
      <w:pPr>
        <w:ind w:firstLine="480"/>
      </w:pPr>
      <w:r w:rsidRPr="009564C3">
        <w:rPr>
          <w:rFonts w:ascii="宋体" w:hAnsi="宋体" w:hint="eastAsia"/>
        </w:rPr>
        <w:t>◆</w:t>
      </w:r>
      <w:r w:rsidRPr="009564C3">
        <w:t>202</w:t>
      </w:r>
      <w:r w:rsidR="009564C3" w:rsidRPr="009564C3">
        <w:t>5</w:t>
      </w:r>
      <w:r w:rsidRPr="009564C3">
        <w:rPr>
          <w:rFonts w:ascii="宋体" w:hAnsi="宋体" w:hint="eastAsia"/>
        </w:rPr>
        <w:t>年</w:t>
      </w:r>
      <w:r w:rsidRPr="009564C3">
        <w:t>11</w:t>
      </w:r>
      <w:r w:rsidRPr="009564C3">
        <w:rPr>
          <w:rFonts w:ascii="宋体" w:hAnsi="宋体" w:hint="eastAsia"/>
        </w:rPr>
        <w:t>月</w:t>
      </w:r>
      <w:r w:rsidR="009564C3" w:rsidRPr="009564C3">
        <w:t>15</w:t>
      </w:r>
      <w:r w:rsidRPr="009564C3">
        <w:rPr>
          <w:rFonts w:ascii="宋体" w:hAnsi="宋体" w:hint="eastAsia"/>
        </w:rPr>
        <w:t>日</w:t>
      </w:r>
      <w:r w:rsidRPr="009564C3">
        <w:t>-</w:t>
      </w:r>
      <w:r w:rsidR="009564C3" w:rsidRPr="009564C3">
        <w:t>18</w:t>
      </w:r>
      <w:r w:rsidRPr="009564C3">
        <w:rPr>
          <w:rFonts w:ascii="宋体" w:hAnsi="宋体" w:hint="eastAsia"/>
        </w:rPr>
        <w:t>日，安徽世标检测技术有限公司对项目区及敏感点环境空气、地下水、土壤和声环境进行环境质量现状监测，于</w:t>
      </w:r>
      <w:r w:rsidRPr="009564C3">
        <w:rPr>
          <w:rFonts w:hint="eastAsia"/>
        </w:rPr>
        <w:t>2</w:t>
      </w:r>
      <w:r w:rsidRPr="009564C3">
        <w:t>02</w:t>
      </w:r>
      <w:r w:rsidR="009564C3">
        <w:t>6</w:t>
      </w:r>
      <w:r w:rsidRPr="009564C3">
        <w:rPr>
          <w:rFonts w:ascii="宋体" w:hAnsi="宋体" w:hint="eastAsia"/>
        </w:rPr>
        <w:t>年</w:t>
      </w:r>
      <w:r w:rsidR="009564C3">
        <w:rPr>
          <w:rFonts w:ascii="宋体" w:hAnsi="宋体"/>
        </w:rPr>
        <w:t>1</w:t>
      </w:r>
      <w:r w:rsidRPr="009564C3">
        <w:rPr>
          <w:rFonts w:ascii="宋体" w:hAnsi="宋体" w:hint="eastAsia"/>
        </w:rPr>
        <w:t>月</w:t>
      </w:r>
      <w:r w:rsidR="009564C3">
        <w:t>23</w:t>
      </w:r>
      <w:r w:rsidRPr="009564C3">
        <w:rPr>
          <w:rFonts w:ascii="宋体" w:hAnsi="宋体" w:hint="eastAsia"/>
        </w:rPr>
        <w:t>日提供环境质量现状监测报告；</w:t>
      </w:r>
      <w:r w:rsidRPr="009564C3">
        <w:t xml:space="preserve"> </w:t>
      </w:r>
    </w:p>
    <w:p w:rsidR="004E3021" w:rsidRPr="009564C3" w:rsidRDefault="00606E48">
      <w:pPr>
        <w:ind w:firstLine="480"/>
        <w:rPr>
          <w:rFonts w:ascii="宋体" w:hAnsi="宋体"/>
        </w:rPr>
      </w:pPr>
      <w:r w:rsidRPr="009564C3">
        <w:rPr>
          <w:rFonts w:ascii="宋体" w:hAnsi="宋体" w:hint="eastAsia"/>
        </w:rPr>
        <w:t>◆</w:t>
      </w:r>
      <w:r w:rsidRPr="009564C3">
        <w:t>202</w:t>
      </w:r>
      <w:r w:rsidR="009564C3" w:rsidRPr="009564C3">
        <w:t>5</w:t>
      </w:r>
      <w:r w:rsidRPr="009564C3">
        <w:rPr>
          <w:rFonts w:ascii="宋体" w:hAnsi="宋体" w:hint="eastAsia"/>
        </w:rPr>
        <w:t>年</w:t>
      </w:r>
      <w:r w:rsidR="009564C3" w:rsidRPr="009564C3">
        <w:t>12</w:t>
      </w:r>
      <w:r w:rsidRPr="009564C3">
        <w:rPr>
          <w:rFonts w:ascii="宋体" w:hAnsi="宋体" w:hint="eastAsia"/>
        </w:rPr>
        <w:t>月，根据分工进行各专题编写、汇总，提出污染防治对策并论证其可行性。</w:t>
      </w:r>
    </w:p>
    <w:p w:rsidR="009564C3" w:rsidRPr="009564C3" w:rsidRDefault="009564C3" w:rsidP="009564C3">
      <w:pPr>
        <w:ind w:firstLine="480"/>
      </w:pPr>
      <w:r w:rsidRPr="009564C3">
        <w:rPr>
          <w:rFonts w:ascii="宋体" w:hAnsi="宋体" w:hint="eastAsia"/>
        </w:rPr>
        <w:t>◆</w:t>
      </w:r>
      <w:r w:rsidRPr="009564C3">
        <w:rPr>
          <w:rFonts w:hint="eastAsia"/>
        </w:rPr>
        <w:t>202</w:t>
      </w:r>
      <w:r w:rsidRPr="009564C3">
        <w:t>5</w:t>
      </w:r>
      <w:r w:rsidRPr="009564C3">
        <w:rPr>
          <w:rFonts w:hint="eastAsia"/>
        </w:rPr>
        <w:t>年</w:t>
      </w:r>
      <w:r>
        <w:t>12</w:t>
      </w:r>
      <w:r w:rsidRPr="009564C3">
        <w:rPr>
          <w:rFonts w:hint="eastAsia"/>
        </w:rPr>
        <w:t>月</w:t>
      </w:r>
      <w:r>
        <w:t>11</w:t>
      </w:r>
      <w:r w:rsidRPr="009564C3">
        <w:rPr>
          <w:rFonts w:hint="eastAsia"/>
        </w:rPr>
        <w:t>日</w:t>
      </w:r>
      <w:r w:rsidRPr="009564C3">
        <w:rPr>
          <w:rFonts w:ascii="宋体" w:hAnsi="宋体" w:hint="eastAsia"/>
        </w:rPr>
        <w:t>，</w:t>
      </w:r>
      <w:r>
        <w:rPr>
          <w:rFonts w:ascii="宋体" w:hAnsi="宋体" w:hint="eastAsia"/>
        </w:rPr>
        <w:t>由于该项目调整备案表，增加了二期乙炔相关内容，</w:t>
      </w:r>
      <w:r w:rsidRPr="009564C3">
        <w:t>安徽凯盛</w:t>
      </w:r>
      <w:r w:rsidRPr="009564C3">
        <w:rPr>
          <w:rFonts w:hint="eastAsia"/>
        </w:rPr>
        <w:t>应用</w:t>
      </w:r>
      <w:r w:rsidRPr="009564C3">
        <w:t>材料</w:t>
      </w:r>
      <w:r w:rsidRPr="009564C3">
        <w:rPr>
          <w:rFonts w:hint="eastAsia"/>
        </w:rPr>
        <w:t>有限</w:t>
      </w:r>
      <w:r w:rsidRPr="009564C3">
        <w:t>公司</w:t>
      </w:r>
      <w:r w:rsidRPr="009564C3">
        <w:rPr>
          <w:bCs/>
        </w:rPr>
        <w:t>年产</w:t>
      </w:r>
      <w:r w:rsidRPr="009564C3">
        <w:rPr>
          <w:bCs/>
        </w:rPr>
        <w:t>7000</w:t>
      </w:r>
      <w:r w:rsidRPr="009564C3">
        <w:rPr>
          <w:bCs/>
        </w:rPr>
        <w:t>吨硅基新材料技改</w:t>
      </w:r>
      <w:r w:rsidRPr="009564C3">
        <w:rPr>
          <w:bCs/>
        </w:rPr>
        <w:t>/</w:t>
      </w:r>
      <w:r w:rsidRPr="009564C3">
        <w:rPr>
          <w:bCs/>
        </w:rPr>
        <w:t>扩建项目</w:t>
      </w:r>
      <w:r w:rsidRPr="009564C3">
        <w:rPr>
          <w:rFonts w:ascii="宋体" w:hAnsi="宋体" w:hint="eastAsia"/>
        </w:rPr>
        <w:t>环评第一次公示</w:t>
      </w:r>
      <w:r w:rsidR="00947F13">
        <w:rPr>
          <w:rFonts w:ascii="宋体" w:hAnsi="宋体" w:hint="eastAsia"/>
        </w:rPr>
        <w:t>重新</w:t>
      </w:r>
      <w:r w:rsidRPr="009564C3">
        <w:rPr>
          <w:rFonts w:ascii="宋体" w:hAnsi="宋体" w:hint="eastAsia"/>
        </w:rPr>
        <w:t>在蚌埠市淮上区人民政府</w:t>
      </w:r>
      <w:r w:rsidRPr="009564C3">
        <w:rPr>
          <w:rFonts w:ascii="宋体" w:hAnsi="宋体"/>
        </w:rPr>
        <w:t>网</w:t>
      </w:r>
      <w:r w:rsidRPr="009564C3">
        <w:rPr>
          <w:rFonts w:ascii="宋体" w:hAnsi="宋体" w:hint="eastAsia"/>
        </w:rPr>
        <w:t>发布（</w:t>
      </w:r>
      <w:r w:rsidRPr="009564C3">
        <w:t>https://www.huaishang.gov.cn/xwzx/tzgg/5085226.html</w:t>
      </w:r>
      <w:r w:rsidRPr="009564C3">
        <w:rPr>
          <w:rFonts w:ascii="宋体" w:hAnsi="宋体" w:hint="eastAsia"/>
        </w:rPr>
        <w:t>）。</w:t>
      </w:r>
    </w:p>
    <w:p w:rsidR="00947F13" w:rsidRPr="009564C3" w:rsidRDefault="00947F13" w:rsidP="00947F13">
      <w:pPr>
        <w:ind w:firstLine="480"/>
      </w:pPr>
      <w:r w:rsidRPr="009564C3">
        <w:rPr>
          <w:rFonts w:ascii="宋体" w:hAnsi="宋体" w:hint="eastAsia"/>
        </w:rPr>
        <w:t>◆</w:t>
      </w:r>
      <w:r w:rsidRPr="009564C3">
        <w:rPr>
          <w:rFonts w:hint="eastAsia"/>
        </w:rPr>
        <w:t>202</w:t>
      </w:r>
      <w:r>
        <w:t>6</w:t>
      </w:r>
      <w:r w:rsidRPr="009564C3">
        <w:rPr>
          <w:rFonts w:hint="eastAsia"/>
        </w:rPr>
        <w:t>年</w:t>
      </w:r>
      <w:r>
        <w:t>1</w:t>
      </w:r>
      <w:r w:rsidRPr="009564C3">
        <w:rPr>
          <w:rFonts w:hint="eastAsia"/>
        </w:rPr>
        <w:t>月</w:t>
      </w:r>
      <w:r>
        <w:t>14</w:t>
      </w:r>
      <w:r w:rsidRPr="009564C3">
        <w:rPr>
          <w:rFonts w:hint="eastAsia"/>
        </w:rPr>
        <w:t>日</w:t>
      </w:r>
      <w:r w:rsidRPr="009564C3">
        <w:rPr>
          <w:rFonts w:ascii="宋体" w:hAnsi="宋体" w:hint="eastAsia"/>
        </w:rPr>
        <w:t>，</w:t>
      </w:r>
      <w:r>
        <w:rPr>
          <w:rFonts w:ascii="宋体" w:hAnsi="宋体" w:hint="eastAsia"/>
        </w:rPr>
        <w:t>该项目调整备案表，本次调整仅为产品描述调整，不涉及产品种类改变</w:t>
      </w:r>
      <w:r w:rsidRPr="009564C3">
        <w:rPr>
          <w:rFonts w:ascii="宋体" w:hAnsi="宋体" w:hint="eastAsia"/>
        </w:rPr>
        <w:t>。</w:t>
      </w:r>
    </w:p>
    <w:p w:rsidR="004E3021" w:rsidRPr="00C1610F" w:rsidRDefault="00606E48">
      <w:pPr>
        <w:ind w:firstLine="480"/>
      </w:pPr>
      <w:r w:rsidRPr="00C1610F">
        <w:rPr>
          <w:rFonts w:ascii="宋体" w:hAnsi="宋体" w:hint="eastAsia"/>
        </w:rPr>
        <w:t>◆</w:t>
      </w:r>
      <w:r w:rsidRPr="00C1610F">
        <w:t>202</w:t>
      </w:r>
      <w:r w:rsidR="00C1610F" w:rsidRPr="00C1610F">
        <w:t>6</w:t>
      </w:r>
      <w:r w:rsidRPr="00C1610F">
        <w:rPr>
          <w:rFonts w:ascii="宋体" w:hAnsi="宋体" w:hint="eastAsia"/>
        </w:rPr>
        <w:t>年</w:t>
      </w:r>
      <w:r w:rsidR="00C1610F" w:rsidRPr="00C1610F">
        <w:t>1</w:t>
      </w:r>
      <w:r w:rsidRPr="00C1610F">
        <w:rPr>
          <w:rFonts w:ascii="宋体" w:hAnsi="宋体" w:hint="eastAsia"/>
        </w:rPr>
        <w:t>月</w:t>
      </w:r>
      <w:r w:rsidR="00C1610F" w:rsidRPr="00C1610F">
        <w:t>16</w:t>
      </w:r>
      <w:r w:rsidRPr="00C1610F">
        <w:rPr>
          <w:rFonts w:ascii="宋体" w:hAnsi="宋体" w:hint="eastAsia"/>
        </w:rPr>
        <w:t>日</w:t>
      </w:r>
      <w:r w:rsidRPr="00C1610F">
        <w:rPr>
          <w:rFonts w:ascii="宋体" w:hAnsi="宋体"/>
        </w:rPr>
        <w:t>，</w:t>
      </w:r>
      <w:r w:rsidRPr="00C1610F">
        <w:rPr>
          <w:rFonts w:ascii="宋体" w:hAnsi="宋体" w:cs="宋体" w:hint="eastAsia"/>
        </w:rPr>
        <w:t>该项目环评征求意见稿在淮上区</w:t>
      </w:r>
      <w:r w:rsidRPr="00C1610F">
        <w:rPr>
          <w:rFonts w:ascii="宋体" w:hAnsi="宋体" w:cs="宋体"/>
        </w:rPr>
        <w:t>人民政府</w:t>
      </w:r>
      <w:r w:rsidRPr="00C1610F">
        <w:rPr>
          <w:rFonts w:ascii="宋体" w:hAnsi="宋体" w:cs="宋体" w:hint="eastAsia"/>
        </w:rPr>
        <w:t>网站进行了第二次网络公示，网址为：</w:t>
      </w:r>
      <w:r w:rsidR="00C1610F" w:rsidRPr="00C1610F">
        <w:t>https://www.huaishang.gov.cn/xwzx/tzgg/5089695.html</w:t>
      </w:r>
      <w:r w:rsidRPr="00C1610F">
        <w:rPr>
          <w:rFonts w:ascii="宋体" w:hAnsi="宋体" w:cs="宋体" w:hint="eastAsia"/>
        </w:rPr>
        <w:t>，</w:t>
      </w:r>
      <w:r w:rsidRPr="00C1610F">
        <w:rPr>
          <w:rFonts w:hint="eastAsia"/>
        </w:rPr>
        <w:t>并公开了</w:t>
      </w:r>
      <w:r w:rsidRPr="00C1610F">
        <w:rPr>
          <w:rFonts w:ascii="宋体" w:hAnsi="宋体" w:cs="宋体"/>
          <w:kern w:val="0"/>
        </w:rPr>
        <w:t>环境影响报告书征求意见稿全文的网络链接及查阅纸质报告书的方式和途径</w:t>
      </w:r>
      <w:r w:rsidRPr="00C1610F">
        <w:rPr>
          <w:rFonts w:ascii="宋体" w:hAnsi="宋体" w:cs="宋体" w:hint="eastAsia"/>
          <w:kern w:val="0"/>
        </w:rPr>
        <w:t>、征求意见</w:t>
      </w:r>
      <w:r w:rsidRPr="00C1610F">
        <w:rPr>
          <w:rFonts w:ascii="宋体" w:hAnsi="宋体" w:cs="宋体"/>
          <w:kern w:val="0"/>
        </w:rPr>
        <w:t>的公众范围、公众意见表的网络链接、公众</w:t>
      </w:r>
      <w:r w:rsidRPr="00C1610F">
        <w:rPr>
          <w:rFonts w:ascii="宋体" w:hAnsi="宋体" w:cs="宋体" w:hint="eastAsia"/>
          <w:kern w:val="0"/>
        </w:rPr>
        <w:t>提出</w:t>
      </w:r>
      <w:r w:rsidRPr="00C1610F">
        <w:rPr>
          <w:rFonts w:ascii="宋体" w:hAnsi="宋体" w:cs="宋体"/>
          <w:kern w:val="0"/>
        </w:rPr>
        <w:t>意见的方式和途径</w:t>
      </w:r>
      <w:r w:rsidRPr="00C1610F">
        <w:rPr>
          <w:rFonts w:ascii="宋体" w:hAnsi="宋体" w:cs="宋体" w:hint="eastAsia"/>
          <w:kern w:val="0"/>
        </w:rPr>
        <w:t>以及</w:t>
      </w:r>
      <w:r w:rsidRPr="00C1610F">
        <w:rPr>
          <w:rFonts w:ascii="宋体" w:hAnsi="宋体" w:cs="宋体"/>
          <w:kern w:val="0"/>
        </w:rPr>
        <w:t>公众提出意见的</w:t>
      </w:r>
      <w:r w:rsidRPr="00C1610F">
        <w:rPr>
          <w:rFonts w:ascii="宋体" w:hAnsi="宋体" w:cs="宋体" w:hint="eastAsia"/>
          <w:kern w:val="0"/>
        </w:rPr>
        <w:t>起止</w:t>
      </w:r>
      <w:r w:rsidRPr="00C1610F">
        <w:rPr>
          <w:rFonts w:ascii="宋体" w:hAnsi="宋体" w:cs="宋体"/>
          <w:kern w:val="0"/>
        </w:rPr>
        <w:t>时间。</w:t>
      </w:r>
      <w:r w:rsidRPr="00C1610F">
        <w:rPr>
          <w:rFonts w:hint="eastAsia"/>
        </w:rPr>
        <w:t>公示期间，</w:t>
      </w:r>
      <w:r w:rsidRPr="00C1610F">
        <w:t>建设单位在</w:t>
      </w:r>
      <w:r w:rsidR="00C1610F" w:rsidRPr="00C1610F">
        <w:rPr>
          <w:rFonts w:hint="eastAsia"/>
        </w:rPr>
        <w:t>安徽日报</w:t>
      </w:r>
      <w:r w:rsidRPr="00C1610F">
        <w:rPr>
          <w:rFonts w:hint="eastAsia"/>
        </w:rPr>
        <w:t>进行</w:t>
      </w:r>
      <w:r w:rsidRPr="00C1610F">
        <w:t>了两次</w:t>
      </w:r>
      <w:r w:rsidRPr="00C1610F">
        <w:rPr>
          <w:rFonts w:hint="eastAsia"/>
        </w:rPr>
        <w:t>报纸公示。</w:t>
      </w:r>
    </w:p>
    <w:p w:rsidR="004E3021" w:rsidRPr="00CD2C2C" w:rsidRDefault="00606E48">
      <w:pPr>
        <w:ind w:firstLine="480"/>
      </w:pPr>
      <w:r w:rsidRPr="00CD2C2C">
        <w:rPr>
          <w:rFonts w:ascii="Cambria Math" w:hAnsi="Cambria Math" w:cs="Cambria Math"/>
        </w:rPr>
        <w:t>◆</w:t>
      </w:r>
      <w:r w:rsidRPr="00CD2C2C">
        <w:t>202</w:t>
      </w:r>
      <w:r w:rsidR="00C1610F" w:rsidRPr="00CD2C2C">
        <w:t>6</w:t>
      </w:r>
      <w:r w:rsidRPr="00CD2C2C">
        <w:t>年</w:t>
      </w:r>
      <w:r w:rsidR="00C1610F" w:rsidRPr="00CD2C2C">
        <w:t>2</w:t>
      </w:r>
      <w:r w:rsidRPr="00CD2C2C">
        <w:t>月</w:t>
      </w:r>
      <w:r w:rsidR="00947F13" w:rsidRPr="00CD2C2C">
        <w:t>1</w:t>
      </w:r>
      <w:r w:rsidR="00CD2C2C" w:rsidRPr="00CD2C2C">
        <w:t>2</w:t>
      </w:r>
      <w:r w:rsidRPr="00CD2C2C">
        <w:t>日，该项目环境影响报告书经审核定稿。</w:t>
      </w:r>
    </w:p>
    <w:p w:rsidR="004E3021" w:rsidRDefault="00606E48">
      <w:pPr>
        <w:ind w:firstLine="480"/>
      </w:pPr>
      <w:r>
        <w:rPr>
          <w:rFonts w:ascii="宋体" w:hAnsi="宋体"/>
        </w:rPr>
        <w:t>本次评价技术路线见图</w:t>
      </w:r>
      <w:r>
        <w:t>1.3-1</w:t>
      </w:r>
      <w:r>
        <w:rPr>
          <w:rFonts w:ascii="宋体" w:hAnsi="宋体"/>
        </w:rPr>
        <w:t>。</w:t>
      </w:r>
    </w:p>
    <w:p w:rsidR="004E3021" w:rsidRDefault="00606E48">
      <w:pPr>
        <w:ind w:firstLine="480"/>
        <w:jc w:val="center"/>
      </w:pPr>
      <w:r>
        <w:rPr>
          <w:noProof/>
        </w:rPr>
        <w:lastRenderedPageBreak/>
        <w:drawing>
          <wp:inline distT="0" distB="0" distL="0" distR="0">
            <wp:extent cx="5009663" cy="6207409"/>
            <wp:effectExtent l="0" t="0" r="635" b="317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034482" cy="6238161"/>
                    </a:xfrm>
                    <a:prstGeom prst="rect">
                      <a:avLst/>
                    </a:prstGeom>
                    <a:noFill/>
                  </pic:spPr>
                </pic:pic>
              </a:graphicData>
            </a:graphic>
          </wp:inline>
        </w:drawing>
      </w:r>
    </w:p>
    <w:p w:rsidR="004E3021" w:rsidRDefault="00606E48">
      <w:pPr>
        <w:pStyle w:val="afffff4"/>
        <w:spacing w:line="240" w:lineRule="auto"/>
        <w:rPr>
          <w:rFonts w:eastAsia="宋体"/>
        </w:rPr>
      </w:pPr>
      <w:r>
        <w:t>图</w:t>
      </w:r>
      <w:r>
        <w:t xml:space="preserve">1.3-1  </w:t>
      </w:r>
      <w:r>
        <w:t>环境影响评价工作程序图</w:t>
      </w:r>
    </w:p>
    <w:p w:rsidR="004E3021" w:rsidRDefault="00606E48">
      <w:pPr>
        <w:pStyle w:val="afffffffffffffffff3"/>
      </w:pPr>
      <w:bookmarkStart w:id="4" w:name="_Toc221500918"/>
      <w:r>
        <w:t>1.4</w:t>
      </w:r>
      <w:r>
        <w:t>分析判定相关情况</w:t>
      </w:r>
      <w:bookmarkEnd w:id="4"/>
    </w:p>
    <w:p w:rsidR="004E3021" w:rsidRDefault="00606E48">
      <w:pPr>
        <w:pStyle w:val="afffffffffffffffff4"/>
      </w:pPr>
      <w:bookmarkStart w:id="5" w:name="_Toc108662539"/>
      <w:bookmarkStart w:id="6" w:name="_Toc101135773"/>
      <w:bookmarkStart w:id="7" w:name="_Toc221088704"/>
      <w:bookmarkStart w:id="8" w:name="_Toc221500919"/>
      <w:r>
        <w:rPr>
          <w:rFonts w:hint="eastAsia"/>
        </w:rPr>
        <w:t>1.4.1</w:t>
      </w:r>
      <w:r>
        <w:t>政策相符性</w:t>
      </w:r>
      <w:bookmarkEnd w:id="5"/>
      <w:bookmarkEnd w:id="6"/>
      <w:bookmarkEnd w:id="7"/>
      <w:bookmarkEnd w:id="8"/>
    </w:p>
    <w:p w:rsidR="004E3021" w:rsidRDefault="00606E48">
      <w:pPr>
        <w:ind w:firstLine="480"/>
        <w:rPr>
          <w:rFonts w:ascii="宋体" w:hAnsi="宋体" w:cs="宋体"/>
        </w:rPr>
      </w:pPr>
      <w:r>
        <w:rPr>
          <w:rFonts w:ascii="宋体" w:hAnsi="宋体" w:cs="宋体" w:hint="eastAsia"/>
        </w:rPr>
        <w:t>（1）产业政策符合性</w:t>
      </w:r>
    </w:p>
    <w:p w:rsidR="004E3021" w:rsidRDefault="00606E48">
      <w:pPr>
        <w:ind w:firstLine="480"/>
      </w:pPr>
      <w:r>
        <w:rPr>
          <w:rFonts w:ascii="宋体" w:hAnsi="宋体" w:cs="宋体" w:hint="eastAsia"/>
        </w:rPr>
        <w:t>对照</w:t>
      </w:r>
      <w:r>
        <w:t>《产业结构调整指导目录》（</w:t>
      </w:r>
      <w:r>
        <w:t>2024</w:t>
      </w:r>
      <w:r>
        <w:t>本）</w:t>
      </w:r>
      <w:r>
        <w:rPr>
          <w:rFonts w:ascii="宋体" w:hAnsi="宋体" w:cs="宋体" w:hint="eastAsia"/>
        </w:rPr>
        <w:t>，</w:t>
      </w:r>
      <w:r>
        <w:rPr>
          <w:rFonts w:hint="eastAsia"/>
        </w:rPr>
        <w:t>本项目不属于其中</w:t>
      </w:r>
      <w:r>
        <w:t>的限制和淘汰类项目，可视为允许类。因此项目的建设符合国家产业政策。</w:t>
      </w:r>
    </w:p>
    <w:p w:rsidR="004E3021" w:rsidRDefault="00606E48">
      <w:pPr>
        <w:pStyle w:val="a0"/>
        <w:ind w:firstLine="480"/>
      </w:pPr>
      <w:r>
        <w:rPr>
          <w:rFonts w:hint="eastAsia"/>
        </w:rPr>
        <w:lastRenderedPageBreak/>
        <w:t>（</w:t>
      </w:r>
      <w:r>
        <w:rPr>
          <w:rFonts w:ascii="Times New Roman" w:hAnsi="Times New Roman"/>
        </w:rPr>
        <w:t>2</w:t>
      </w:r>
      <w:r>
        <w:rPr>
          <w:rFonts w:hint="eastAsia"/>
        </w:rPr>
        <w:t>）其他政策相符性</w:t>
      </w:r>
    </w:p>
    <w:p w:rsidR="004E3021" w:rsidRDefault="000101D0">
      <w:pPr>
        <w:ind w:firstLine="480"/>
      </w:pPr>
      <w:r w:rsidRPr="00F47ACE">
        <w:t>《</w:t>
      </w:r>
      <w:r w:rsidRPr="00F47ACE">
        <w:rPr>
          <w:rFonts w:hint="eastAsia"/>
        </w:rPr>
        <w:t>安徽省生态环境厅关于加强化工行业建设项目环境管理的通知</w:t>
      </w:r>
      <w:r w:rsidRPr="00F47ACE">
        <w:t>》</w:t>
      </w:r>
      <w:r w:rsidRPr="00F47ACE">
        <w:rPr>
          <w:rFonts w:hint="eastAsia"/>
        </w:rPr>
        <w:t>《重点行业挥发性有机物综合治理方案》《重点行业挥发性有机物治理环境管理技术规范第</w:t>
      </w:r>
      <w:r w:rsidRPr="00F47ACE">
        <w:rPr>
          <w:rFonts w:hint="eastAsia"/>
        </w:rPr>
        <w:t>2</w:t>
      </w:r>
      <w:r w:rsidRPr="00F47ACE">
        <w:rPr>
          <w:rFonts w:hint="eastAsia"/>
        </w:rPr>
        <w:t>部分：石化行业》（</w:t>
      </w:r>
      <w:r w:rsidRPr="00F47ACE">
        <w:rPr>
          <w:rFonts w:hint="eastAsia"/>
        </w:rPr>
        <w:t>DB34/T4230.2</w:t>
      </w:r>
      <w:r w:rsidRPr="00F47ACE">
        <w:rPr>
          <w:rFonts w:hint="eastAsia"/>
        </w:rPr>
        <w:t>—</w:t>
      </w:r>
      <w:r w:rsidRPr="00F47ACE">
        <w:rPr>
          <w:rFonts w:hint="eastAsia"/>
        </w:rPr>
        <w:t>2022</w:t>
      </w:r>
      <w:r w:rsidRPr="00F47ACE">
        <w:rPr>
          <w:rFonts w:hint="eastAsia"/>
        </w:rPr>
        <w:t>）《挥发性有机物无组织排放控制标准》（</w:t>
      </w:r>
      <w:r w:rsidRPr="00F47ACE">
        <w:rPr>
          <w:rFonts w:hint="eastAsia"/>
        </w:rPr>
        <w:t>GB37822-2019</w:t>
      </w:r>
      <w:r w:rsidR="00947F13">
        <w:rPr>
          <w:rFonts w:hint="eastAsia"/>
        </w:rPr>
        <w:t>）</w:t>
      </w:r>
      <w:r w:rsidRPr="00D01CA1">
        <w:t>《安徽省挥发性有机物污染整治工作方案》</w:t>
      </w:r>
      <w:r w:rsidRPr="00F47ACE">
        <w:rPr>
          <w:rFonts w:hint="eastAsia"/>
        </w:rPr>
        <w:t>《</w:t>
      </w:r>
      <w:r w:rsidRPr="00F47ACE">
        <w:t>关于</w:t>
      </w:r>
      <w:r w:rsidRPr="00F47ACE">
        <w:rPr>
          <w:rFonts w:hint="eastAsia"/>
        </w:rPr>
        <w:t>进一步规范</w:t>
      </w:r>
      <w:r w:rsidRPr="00F47ACE">
        <w:t>化工项目建设管理的通知</w:t>
      </w:r>
      <w:r w:rsidRPr="00F47ACE">
        <w:rPr>
          <w:rFonts w:hint="eastAsia"/>
        </w:rPr>
        <w:t>》（皖经信原材料函〔</w:t>
      </w:r>
      <w:r w:rsidRPr="00F47ACE">
        <w:rPr>
          <w:rFonts w:hint="eastAsia"/>
        </w:rPr>
        <w:t>2022</w:t>
      </w:r>
      <w:r w:rsidRPr="00F47ACE">
        <w:rPr>
          <w:rFonts w:hint="eastAsia"/>
        </w:rPr>
        <w:t>〕</w:t>
      </w:r>
      <w:r w:rsidRPr="00F47ACE">
        <w:rPr>
          <w:rFonts w:hint="eastAsia"/>
        </w:rPr>
        <w:t>73</w:t>
      </w:r>
      <w:r w:rsidR="00947F13">
        <w:rPr>
          <w:rFonts w:hint="eastAsia"/>
        </w:rPr>
        <w:t>号）</w:t>
      </w:r>
      <w:r w:rsidRPr="00F47ACE">
        <w:rPr>
          <w:rFonts w:hint="eastAsia"/>
        </w:rPr>
        <w:t>《</w:t>
      </w:r>
      <w:r w:rsidRPr="00F47ACE">
        <w:t>安徽省环保厅关于进一步明确淮河巢湖流域重污染行业项目省级环保预审范围及内容的通知</w:t>
      </w:r>
      <w:r w:rsidRPr="00F47ACE">
        <w:rPr>
          <w:rFonts w:hint="eastAsia"/>
        </w:rPr>
        <w:t>》</w:t>
      </w:r>
      <w:r w:rsidRPr="00F47ACE">
        <w:rPr>
          <w:bCs/>
        </w:rPr>
        <w:t>《安徽省人民政府关于印发安徽省空气质量持续改善行动方案的通知》（皖政〔</w:t>
      </w:r>
      <w:r w:rsidRPr="00F47ACE">
        <w:rPr>
          <w:bCs/>
        </w:rPr>
        <w:t>2024</w:t>
      </w:r>
      <w:r w:rsidRPr="00F47ACE">
        <w:rPr>
          <w:bCs/>
        </w:rPr>
        <w:t>〕</w:t>
      </w:r>
      <w:r w:rsidRPr="00F47ACE">
        <w:rPr>
          <w:bCs/>
        </w:rPr>
        <w:t>36</w:t>
      </w:r>
      <w:r w:rsidRPr="00F47ACE">
        <w:rPr>
          <w:bCs/>
        </w:rPr>
        <w:t>号）</w:t>
      </w:r>
      <w:r w:rsidRPr="00F47ACE">
        <w:rPr>
          <w:rFonts w:hint="eastAsia"/>
          <w:bCs/>
        </w:rPr>
        <w:t>《淮河流域水污染防治暂行条例》、</w:t>
      </w:r>
      <w:r w:rsidR="00947F13">
        <w:rPr>
          <w:rFonts w:hint="eastAsia"/>
        </w:rPr>
        <w:t>《安徽省水污染防治工作方案》</w:t>
      </w:r>
      <w:r w:rsidRPr="00F47ACE">
        <w:rPr>
          <w:rFonts w:hint="eastAsia"/>
        </w:rPr>
        <w:t>《安徽省淮河流域水污染防治条例》《</w:t>
      </w:r>
      <w:r w:rsidRPr="00F47ACE">
        <w:rPr>
          <w:rFonts w:hint="eastAsia"/>
          <w:kern w:val="0"/>
          <w:szCs w:val="20"/>
        </w:rPr>
        <w:t>关于印发蚌埠市化工园区项目准入条件（试行）的通知》（蚌发改工高﹝</w:t>
      </w:r>
      <w:r w:rsidRPr="00F47ACE">
        <w:rPr>
          <w:rFonts w:hint="eastAsia"/>
          <w:kern w:val="0"/>
          <w:szCs w:val="20"/>
        </w:rPr>
        <w:t>2021</w:t>
      </w:r>
      <w:r w:rsidRPr="00F47ACE">
        <w:rPr>
          <w:rFonts w:hint="eastAsia"/>
          <w:kern w:val="0"/>
          <w:szCs w:val="20"/>
        </w:rPr>
        <w:t>﹞</w:t>
      </w:r>
      <w:r w:rsidRPr="00F47ACE">
        <w:rPr>
          <w:rFonts w:hint="eastAsia"/>
          <w:kern w:val="0"/>
          <w:szCs w:val="20"/>
        </w:rPr>
        <w:t>395</w:t>
      </w:r>
      <w:r w:rsidR="00947F13">
        <w:rPr>
          <w:rFonts w:hint="eastAsia"/>
          <w:kern w:val="0"/>
          <w:szCs w:val="20"/>
        </w:rPr>
        <w:t>号）</w:t>
      </w:r>
      <w:r w:rsidRPr="00F47ACE">
        <w:t>《关于全面打造水清岸绿产业优美丽长江</w:t>
      </w:r>
      <w:r w:rsidRPr="00F47ACE">
        <w:t>(</w:t>
      </w:r>
      <w:r w:rsidRPr="00F47ACE">
        <w:t>安徽</w:t>
      </w:r>
      <w:r w:rsidRPr="00F47ACE">
        <w:t>)</w:t>
      </w:r>
      <w:r w:rsidRPr="00F47ACE">
        <w:t>经济带的实施意见》</w:t>
      </w:r>
      <w:r w:rsidRPr="00F47ACE">
        <w:rPr>
          <w:rFonts w:hint="eastAsia"/>
        </w:rPr>
        <w:t>（升级版）</w:t>
      </w:r>
      <w:r w:rsidRPr="00F47ACE">
        <w:t>《关于印发安徽省长江经济带发展负面清单实施细则（试行，</w:t>
      </w:r>
      <w:r w:rsidRPr="00F47ACE">
        <w:t>2022</w:t>
      </w:r>
      <w:r w:rsidRPr="00F47ACE">
        <w:t>年版）的通知》</w:t>
      </w:r>
      <w:r w:rsidR="00947F13">
        <w:rPr>
          <w:rFonts w:hint="eastAsia"/>
          <w:kern w:val="0"/>
          <w:szCs w:val="20"/>
        </w:rPr>
        <w:t>《关于加强高耗能、高排放建设项目生态环境源头防控的指导意见》</w:t>
      </w:r>
      <w:r w:rsidRPr="00F47ACE">
        <w:rPr>
          <w:rFonts w:hint="eastAsia"/>
          <w:kern w:val="0"/>
          <w:szCs w:val="20"/>
        </w:rPr>
        <w:t>《安徽省生态环境厅关</w:t>
      </w:r>
      <w:r w:rsidRPr="0098507A">
        <w:rPr>
          <w:rFonts w:hint="eastAsia"/>
          <w:color w:val="000000" w:themeColor="text1"/>
          <w:kern w:val="0"/>
          <w:szCs w:val="20"/>
        </w:rPr>
        <w:t>于印发加强高耗能、高排放项目生态环境源头防控的实施意见的通知》《安徽省人民政府关于印发安徽省贯彻落实淮河生态经济带发展规划实施方案的通知》《关于加强重点行业涉新污染物建设项目环境影响评价工作的意见》（环环评〔</w:t>
      </w:r>
      <w:r w:rsidRPr="0098507A">
        <w:rPr>
          <w:rFonts w:hint="eastAsia"/>
          <w:color w:val="000000" w:themeColor="text1"/>
          <w:kern w:val="0"/>
          <w:szCs w:val="20"/>
        </w:rPr>
        <w:t>2025</w:t>
      </w:r>
      <w:r w:rsidRPr="0098507A">
        <w:rPr>
          <w:rFonts w:hint="eastAsia"/>
          <w:color w:val="000000" w:themeColor="text1"/>
          <w:kern w:val="0"/>
          <w:szCs w:val="20"/>
        </w:rPr>
        <w:t>〕</w:t>
      </w:r>
      <w:r w:rsidRPr="0098507A">
        <w:rPr>
          <w:rFonts w:hint="eastAsia"/>
          <w:color w:val="000000" w:themeColor="text1"/>
          <w:kern w:val="0"/>
          <w:szCs w:val="20"/>
        </w:rPr>
        <w:t>28</w:t>
      </w:r>
      <w:r w:rsidRPr="0098507A">
        <w:rPr>
          <w:rFonts w:hint="eastAsia"/>
          <w:color w:val="000000" w:themeColor="text1"/>
          <w:kern w:val="0"/>
          <w:szCs w:val="20"/>
        </w:rPr>
        <w:t>号）</w:t>
      </w:r>
      <w:r>
        <w:rPr>
          <w:rFonts w:hint="eastAsia"/>
          <w:color w:val="000000" w:themeColor="text1"/>
        </w:rPr>
        <w:t>等相</w:t>
      </w:r>
      <w:r>
        <w:rPr>
          <w:rFonts w:hint="eastAsia"/>
        </w:rPr>
        <w:t>关政策要求</w:t>
      </w:r>
      <w:r w:rsidR="00606E48">
        <w:rPr>
          <w:rFonts w:hint="eastAsia"/>
        </w:rPr>
        <w:t>。</w:t>
      </w:r>
      <w:bookmarkStart w:id="9" w:name="_Toc100783945"/>
    </w:p>
    <w:p w:rsidR="004E3021" w:rsidRDefault="00606E48">
      <w:pPr>
        <w:pStyle w:val="afffffffffffffffff4"/>
      </w:pPr>
      <w:bookmarkStart w:id="10" w:name="_Toc108662540"/>
      <w:bookmarkStart w:id="11" w:name="_Toc100783946"/>
      <w:bookmarkStart w:id="12" w:name="_Toc101135774"/>
      <w:bookmarkStart w:id="13" w:name="_Toc221088705"/>
      <w:bookmarkStart w:id="14" w:name="_Toc221500920"/>
      <w:bookmarkEnd w:id="9"/>
      <w:r>
        <w:rPr>
          <w:rFonts w:hint="eastAsia"/>
        </w:rPr>
        <w:t>1</w:t>
      </w:r>
      <w:r>
        <w:t>.4.2</w:t>
      </w:r>
      <w:r>
        <w:t>规划相符性</w:t>
      </w:r>
      <w:bookmarkEnd w:id="10"/>
      <w:bookmarkEnd w:id="11"/>
      <w:bookmarkEnd w:id="12"/>
      <w:bookmarkEnd w:id="13"/>
      <w:bookmarkEnd w:id="14"/>
    </w:p>
    <w:p w:rsidR="004E3021" w:rsidRDefault="00606E48">
      <w:pPr>
        <w:ind w:firstLine="480"/>
      </w:pPr>
      <w:r>
        <w:t>项目位于</w:t>
      </w:r>
      <w:r>
        <w:rPr>
          <w:rFonts w:ascii="宋体" w:hAnsi="宋体" w:hint="eastAsia"/>
        </w:rPr>
        <w:t>蚌埠精细化工高新技术产业基地</w:t>
      </w:r>
      <w:r w:rsidR="00947F13">
        <w:rPr>
          <w:rFonts w:ascii="宋体" w:hAnsi="宋体" w:hint="eastAsia"/>
        </w:rPr>
        <w:t>安徽凯盛应用材料有限公司现有厂区</w:t>
      </w:r>
      <w:r>
        <w:rPr>
          <w:rFonts w:hint="eastAsia"/>
        </w:rPr>
        <w:t>内，</w:t>
      </w:r>
      <w:r w:rsidR="00947F13">
        <w:rPr>
          <w:rFonts w:hint="eastAsia"/>
        </w:rPr>
        <w:t>不新增用地，本</w:t>
      </w:r>
      <w:r>
        <w:rPr>
          <w:rFonts w:hint="eastAsia"/>
        </w:rPr>
        <w:t>项目为</w:t>
      </w:r>
      <w:r w:rsidR="00947F13">
        <w:rPr>
          <w:rFonts w:hint="eastAsia"/>
        </w:rPr>
        <w:t>改</w:t>
      </w:r>
      <w:r>
        <w:rPr>
          <w:rFonts w:hint="eastAsia"/>
        </w:rPr>
        <w:t>扩建项目，用地性质属于工业用地。项目建设符合《蚌埠精细化工高新技术产业基地规划（</w:t>
      </w:r>
      <w:r>
        <w:rPr>
          <w:rFonts w:hint="eastAsia"/>
        </w:rPr>
        <w:t>2021</w:t>
      </w:r>
      <w:r>
        <w:t>~2035</w:t>
      </w:r>
      <w:r>
        <w:rPr>
          <w:rFonts w:hint="eastAsia"/>
        </w:rPr>
        <w:t>）环境影响报告书》及审查意见中的相关要求。</w:t>
      </w:r>
    </w:p>
    <w:p w:rsidR="004E3021" w:rsidRDefault="00606E48">
      <w:pPr>
        <w:pStyle w:val="afffffffffffffffff4"/>
      </w:pPr>
      <w:bookmarkStart w:id="15" w:name="_Toc108662541"/>
      <w:bookmarkStart w:id="16" w:name="_Toc101135775"/>
      <w:bookmarkStart w:id="17" w:name="_Toc100783947"/>
      <w:bookmarkStart w:id="18" w:name="_Toc221088706"/>
      <w:bookmarkStart w:id="19" w:name="_Toc221500921"/>
      <w:r>
        <w:t>1.4.3</w:t>
      </w:r>
      <w:r w:rsidR="00947F13">
        <w:rPr>
          <w:rFonts w:hint="eastAsia"/>
        </w:rPr>
        <w:t>生态环境分区管控</w:t>
      </w:r>
      <w:r>
        <w:rPr>
          <w:rFonts w:hint="eastAsia"/>
        </w:rPr>
        <w:t>相符性</w:t>
      </w:r>
      <w:bookmarkEnd w:id="15"/>
      <w:bookmarkEnd w:id="16"/>
      <w:bookmarkEnd w:id="17"/>
      <w:bookmarkEnd w:id="18"/>
      <w:bookmarkEnd w:id="19"/>
    </w:p>
    <w:p w:rsidR="004E3021" w:rsidRDefault="00947F13">
      <w:pPr>
        <w:ind w:firstLine="480"/>
      </w:pPr>
      <w:r>
        <w:rPr>
          <w:rFonts w:ascii="宋体" w:hAnsi="宋体" w:hint="eastAsia"/>
        </w:rPr>
        <w:t>本项目</w:t>
      </w:r>
      <w:r w:rsidR="00606E48">
        <w:rPr>
          <w:rFonts w:ascii="宋体" w:hAnsi="宋体" w:hint="eastAsia"/>
        </w:rPr>
        <w:t>所在区域不涉及生态红线，本项目建设不突破区域环境质量底线、资源利用上线，符合生态环境准入清单中所列的行业，符合</w:t>
      </w:r>
      <w:r w:rsidR="00606E48">
        <w:rPr>
          <w:rFonts w:hint="eastAsia"/>
        </w:rPr>
        <w:t>“</w:t>
      </w:r>
      <w:r>
        <w:rPr>
          <w:rFonts w:hint="eastAsia"/>
        </w:rPr>
        <w:t>生态分区管控</w:t>
      </w:r>
      <w:r w:rsidR="00606E48">
        <w:rPr>
          <w:rFonts w:hint="eastAsia"/>
        </w:rPr>
        <w:t>”要求。</w:t>
      </w:r>
    </w:p>
    <w:p w:rsidR="004E3021" w:rsidRDefault="00606E48">
      <w:pPr>
        <w:pStyle w:val="afffffffffffffffff3"/>
      </w:pPr>
      <w:bookmarkStart w:id="20" w:name="_Toc221500922"/>
      <w:r>
        <w:rPr>
          <w:rFonts w:hint="eastAsia"/>
        </w:rPr>
        <w:t>1</w:t>
      </w:r>
      <w:r>
        <w:t>.5</w:t>
      </w:r>
      <w:r>
        <w:t>关注的主要环境问题及环境影响</w:t>
      </w:r>
      <w:bookmarkEnd w:id="20"/>
    </w:p>
    <w:p w:rsidR="004E3021" w:rsidRDefault="00606E48">
      <w:pPr>
        <w:ind w:firstLine="480"/>
      </w:pPr>
      <w:r>
        <w:rPr>
          <w:rFonts w:hint="eastAsia"/>
        </w:rPr>
        <w:t>根据本项目涉及的原料特点、物料转移过程及污染物敏感特征，结合厂址地区环境特点、工程特点，本项目环境影响评价工作重点关注以下几个方面的问题：</w:t>
      </w:r>
    </w:p>
    <w:p w:rsidR="004E3021" w:rsidRDefault="00606E48">
      <w:pPr>
        <w:ind w:firstLine="480"/>
      </w:pPr>
      <w:r>
        <w:rPr>
          <w:rFonts w:hint="eastAsia"/>
        </w:rPr>
        <w:lastRenderedPageBreak/>
        <w:t>（</w:t>
      </w:r>
      <w:r>
        <w:rPr>
          <w:rFonts w:hint="eastAsia"/>
        </w:rPr>
        <w:t>1</w:t>
      </w:r>
      <w:r>
        <w:rPr>
          <w:rFonts w:hint="eastAsia"/>
        </w:rPr>
        <w:t>）本项目</w:t>
      </w:r>
      <w:r>
        <w:t>为</w:t>
      </w:r>
      <w:r w:rsidR="00947F13">
        <w:rPr>
          <w:rFonts w:hint="eastAsia"/>
        </w:rPr>
        <w:t>改</w:t>
      </w:r>
      <w:r>
        <w:t>扩建项目，</w:t>
      </w:r>
      <w:r>
        <w:rPr>
          <w:rFonts w:hint="eastAsia"/>
        </w:rPr>
        <w:t>需</w:t>
      </w:r>
      <w:r>
        <w:t>对</w:t>
      </w:r>
      <w:r>
        <w:rPr>
          <w:rFonts w:hint="eastAsia"/>
        </w:rPr>
        <w:t>现有</w:t>
      </w:r>
      <w:r>
        <w:t>工程</w:t>
      </w:r>
      <w:r>
        <w:rPr>
          <w:rFonts w:hint="eastAsia"/>
        </w:rPr>
        <w:t>环境</w:t>
      </w:r>
      <w:r>
        <w:t>问题梳理；</w:t>
      </w:r>
    </w:p>
    <w:p w:rsidR="004E3021" w:rsidRDefault="00606E48">
      <w:pPr>
        <w:ind w:firstLine="480"/>
        <w:rPr>
          <w:szCs w:val="28"/>
        </w:rPr>
      </w:pPr>
      <w:r>
        <w:rPr>
          <w:rFonts w:hint="eastAsia"/>
          <w:szCs w:val="28"/>
        </w:rPr>
        <w:t>（</w:t>
      </w:r>
      <w:r>
        <w:rPr>
          <w:szCs w:val="28"/>
        </w:rPr>
        <w:t>2</w:t>
      </w:r>
      <w:r>
        <w:rPr>
          <w:rFonts w:hint="eastAsia"/>
          <w:szCs w:val="28"/>
        </w:rPr>
        <w:t>）结合项目设计建设方案，对照与蚌埠精细化工高新技术产业基地相关规划及规划环评、相关国家及地方产业政策、相关行业标准要求等文件，分析</w:t>
      </w:r>
      <w:r w:rsidR="00947F13">
        <w:rPr>
          <w:rFonts w:hint="eastAsia"/>
          <w:szCs w:val="28"/>
        </w:rPr>
        <w:t>本</w:t>
      </w:r>
      <w:r>
        <w:rPr>
          <w:rFonts w:hint="eastAsia"/>
          <w:szCs w:val="28"/>
        </w:rPr>
        <w:t>项目规划相符性及环境合理性；</w:t>
      </w:r>
    </w:p>
    <w:p w:rsidR="004E3021" w:rsidRDefault="00606E48">
      <w:pPr>
        <w:ind w:firstLine="480"/>
        <w:rPr>
          <w:szCs w:val="28"/>
        </w:rPr>
      </w:pPr>
      <w:r>
        <w:rPr>
          <w:rFonts w:hint="eastAsia"/>
          <w:szCs w:val="28"/>
        </w:rPr>
        <w:t>（</w:t>
      </w:r>
      <w:r>
        <w:rPr>
          <w:szCs w:val="28"/>
        </w:rPr>
        <w:t>3</w:t>
      </w:r>
      <w:r>
        <w:rPr>
          <w:rFonts w:hint="eastAsia"/>
          <w:szCs w:val="28"/>
        </w:rPr>
        <w:t>）根据项目设计方案，估算本项目建成运行后，可能排放的污染物的种类和数量，重点关注各类废气和危险废物，预测项目废气污染物可能对区域环境质量造成的不利影响，分析厂内危险废物暂存和委托处置措施。并结合区域的环境功能区划和环境质量现状，从环境影响评价角度分析项目建设的可行性；</w:t>
      </w:r>
    </w:p>
    <w:p w:rsidR="004E3021" w:rsidRDefault="00606E48">
      <w:pPr>
        <w:ind w:firstLine="480"/>
        <w:rPr>
          <w:szCs w:val="28"/>
        </w:rPr>
      </w:pPr>
      <w:r>
        <w:rPr>
          <w:rFonts w:hint="eastAsia"/>
          <w:szCs w:val="28"/>
        </w:rPr>
        <w:t>（</w:t>
      </w:r>
      <w:r>
        <w:rPr>
          <w:szCs w:val="28"/>
        </w:rPr>
        <w:t>4</w:t>
      </w:r>
      <w:r>
        <w:rPr>
          <w:rFonts w:hint="eastAsia"/>
          <w:szCs w:val="28"/>
        </w:rPr>
        <w:t>）根据项目设计方案，估算本项目废水产生情况，合理选择废水处理方案，确保采取的废水处理方案切实可行，能使废水稳定达标，项目结合蚌埠精细化工高新技术产业基地规划环评要求，分析项目废水接管沫河口污水处理厂的可行性；根据设计方案，估算项目废气种类、浓度等情况，选择合理的废气收集、处理方案，根据《挥发性有机物无组织排放控制标准（</w:t>
      </w:r>
      <w:r>
        <w:rPr>
          <w:rFonts w:hint="eastAsia"/>
          <w:szCs w:val="28"/>
        </w:rPr>
        <w:t>GB 37822-2019</w:t>
      </w:r>
      <w:r>
        <w:rPr>
          <w:rFonts w:hint="eastAsia"/>
          <w:szCs w:val="28"/>
        </w:rPr>
        <w:t>）》及相关行业标准要求，加强运输、转移、储存、使用、生产等全过程的无组织废气收集，并在建成运行后加强企业内部废气收集、处理设备管理；</w:t>
      </w:r>
    </w:p>
    <w:p w:rsidR="004E3021" w:rsidRDefault="00606E48">
      <w:pPr>
        <w:ind w:firstLine="480"/>
        <w:rPr>
          <w:szCs w:val="28"/>
        </w:rPr>
      </w:pPr>
      <w:r>
        <w:rPr>
          <w:rFonts w:hint="eastAsia"/>
          <w:szCs w:val="28"/>
        </w:rPr>
        <w:t>（</w:t>
      </w:r>
      <w:r>
        <w:rPr>
          <w:szCs w:val="28"/>
        </w:rPr>
        <w:t>5</w:t>
      </w:r>
      <w:r>
        <w:rPr>
          <w:rFonts w:hint="eastAsia"/>
          <w:szCs w:val="28"/>
        </w:rPr>
        <w:t>）项目建成后，应重点对各反应釜、储罐区等可能发生泄漏、火灾、爆炸的危险工艺装置、危险物质储罐进行环境风险分析，提出有效的环境风险防范措施；</w:t>
      </w:r>
    </w:p>
    <w:p w:rsidR="004E3021" w:rsidRDefault="00606E48">
      <w:pPr>
        <w:ind w:firstLine="480"/>
        <w:rPr>
          <w:szCs w:val="28"/>
        </w:rPr>
      </w:pPr>
      <w:r>
        <w:rPr>
          <w:rFonts w:hint="eastAsia"/>
          <w:szCs w:val="28"/>
        </w:rPr>
        <w:t>（</w:t>
      </w:r>
      <w:r>
        <w:rPr>
          <w:szCs w:val="28"/>
        </w:rPr>
        <w:t>6</w:t>
      </w:r>
      <w:r>
        <w:rPr>
          <w:rFonts w:hint="eastAsia"/>
          <w:szCs w:val="28"/>
        </w:rPr>
        <w:t>）项目建成后需关注排放的污染物能否满足总量控制要求；</w:t>
      </w:r>
    </w:p>
    <w:p w:rsidR="004E3021" w:rsidRDefault="00606E48">
      <w:pPr>
        <w:ind w:firstLine="480"/>
        <w:rPr>
          <w:szCs w:val="28"/>
        </w:rPr>
      </w:pPr>
      <w:r>
        <w:rPr>
          <w:rFonts w:hint="eastAsia"/>
          <w:szCs w:val="28"/>
        </w:rPr>
        <w:t>（</w:t>
      </w:r>
      <w:r>
        <w:rPr>
          <w:szCs w:val="28"/>
        </w:rPr>
        <w:t>7</w:t>
      </w:r>
      <w:r>
        <w:rPr>
          <w:rFonts w:hint="eastAsia"/>
          <w:szCs w:val="28"/>
        </w:rPr>
        <w:t>）项目建成运行后需加强全厂管理，关注对周边敏感点的影响。</w:t>
      </w:r>
    </w:p>
    <w:p w:rsidR="004E3021" w:rsidRDefault="00606E48">
      <w:pPr>
        <w:pStyle w:val="afffffffffffffffff3"/>
      </w:pPr>
      <w:bookmarkStart w:id="21" w:name="_Toc221500923"/>
      <w:r>
        <w:rPr>
          <w:rFonts w:hint="eastAsia"/>
        </w:rPr>
        <w:t>1</w:t>
      </w:r>
      <w:r>
        <w:t>.6</w:t>
      </w:r>
      <w:r>
        <w:t>报告书的主要结论</w:t>
      </w:r>
      <w:bookmarkEnd w:id="21"/>
    </w:p>
    <w:p w:rsidR="004E3021" w:rsidRDefault="000101D0">
      <w:pPr>
        <w:ind w:firstLine="500"/>
      </w:pPr>
      <w:r>
        <w:rPr>
          <w:spacing w:val="5"/>
        </w:rPr>
        <w:t>通过调查、分析和综合评价后认为：拟建项目符合国家和地方有关环境保护法律法规、标准、政策、规范及相关规划要求；生产过程中遵循清洁生产理念，所采用的各项污染防治措施技术可行、经济合理，能保证各类污染物长期稳定达标排放；预测结果表明项目所排放的污染物对周围环境和环境保护目标影响较小，对区域环境影响可接受；通过采取有针对性的风险防范措施并落实应急预案，项目的环境风险可控。建设单位按照《环境影响评价公众参与办法》开展了公众参与调查，公示期间未收到反馈意见。综上所述，在落实本报告书中的各项环保措施以及各级生态环境主管部门管理要求的前提下，从环保角度分析，</w:t>
      </w:r>
      <w:r>
        <w:rPr>
          <w:rFonts w:hint="eastAsia"/>
          <w:spacing w:val="5"/>
        </w:rPr>
        <w:t>本</w:t>
      </w:r>
      <w:r>
        <w:rPr>
          <w:spacing w:val="5"/>
        </w:rPr>
        <w:t>项目的建设具有环境可行性。</w:t>
      </w:r>
    </w:p>
    <w:p w:rsidR="004E3021" w:rsidRDefault="004E3021">
      <w:pPr>
        <w:pStyle w:val="afffffffffffffffff2"/>
        <w:sectPr w:rsidR="004E3021">
          <w:pgSz w:w="11906" w:h="16838"/>
          <w:pgMar w:top="1440" w:right="1440" w:bottom="1440" w:left="1440" w:header="851" w:footer="992" w:gutter="0"/>
          <w:pgNumType w:start="1"/>
          <w:cols w:space="425"/>
          <w:docGrid w:type="lines" w:linePitch="326"/>
        </w:sectPr>
      </w:pPr>
    </w:p>
    <w:p w:rsidR="004E3021" w:rsidRDefault="00606E48">
      <w:pPr>
        <w:pStyle w:val="afffffffffffffffff2"/>
      </w:pPr>
      <w:bookmarkStart w:id="22" w:name="_Toc221500924"/>
      <w:r>
        <w:rPr>
          <w:rFonts w:hint="eastAsia"/>
        </w:rPr>
        <w:lastRenderedPageBreak/>
        <w:t>2</w:t>
      </w:r>
      <w:r>
        <w:rPr>
          <w:rFonts w:ascii="黑体" w:hAnsi="黑体" w:hint="eastAsia"/>
        </w:rPr>
        <w:t>、</w:t>
      </w:r>
      <w:r>
        <w:rPr>
          <w:rFonts w:ascii="黑体" w:hAnsi="黑体"/>
        </w:rPr>
        <w:t>总则</w:t>
      </w:r>
      <w:bookmarkEnd w:id="22"/>
    </w:p>
    <w:p w:rsidR="004E3021" w:rsidRDefault="00606E48">
      <w:pPr>
        <w:pStyle w:val="afffffffffffffffff3"/>
      </w:pPr>
      <w:bookmarkStart w:id="23" w:name="_Toc221500925"/>
      <w:r>
        <w:rPr>
          <w:rFonts w:hint="eastAsia"/>
        </w:rPr>
        <w:t>2</w:t>
      </w:r>
      <w:r>
        <w:t>.1</w:t>
      </w:r>
      <w:r>
        <w:rPr>
          <w:rFonts w:ascii="黑体" w:hAnsi="黑体"/>
        </w:rPr>
        <w:t>编制依据</w:t>
      </w:r>
      <w:bookmarkEnd w:id="23"/>
    </w:p>
    <w:p w:rsidR="004E3021" w:rsidRDefault="00606E48">
      <w:pPr>
        <w:spacing w:before="240" w:after="120"/>
        <w:ind w:firstLineChars="0" w:firstLine="0"/>
        <w:jc w:val="left"/>
        <w:outlineLvl w:val="2"/>
        <w:rPr>
          <w:rFonts w:eastAsia="黑体"/>
          <w:sz w:val="28"/>
          <w:szCs w:val="28"/>
        </w:rPr>
      </w:pPr>
      <w:bookmarkStart w:id="24" w:name="_Toc101135780"/>
      <w:bookmarkStart w:id="25" w:name="_Toc100783952"/>
      <w:bookmarkStart w:id="26" w:name="_Toc108662546"/>
      <w:bookmarkStart w:id="27" w:name="_Toc221088711"/>
      <w:bookmarkStart w:id="28" w:name="_Toc221500926"/>
      <w:r>
        <w:rPr>
          <w:rFonts w:eastAsia="黑体"/>
          <w:sz w:val="28"/>
          <w:szCs w:val="28"/>
        </w:rPr>
        <w:t>2.1.1</w:t>
      </w:r>
      <w:r>
        <w:rPr>
          <w:rFonts w:ascii="黑体" w:eastAsia="黑体" w:hAnsi="黑体" w:hint="eastAsia"/>
          <w:sz w:val="28"/>
          <w:szCs w:val="28"/>
        </w:rPr>
        <w:t>国家有关法律、法规</w:t>
      </w:r>
      <w:bookmarkEnd w:id="24"/>
      <w:bookmarkEnd w:id="25"/>
      <w:bookmarkEnd w:id="26"/>
      <w:bookmarkEnd w:id="27"/>
      <w:bookmarkEnd w:id="28"/>
    </w:p>
    <w:p w:rsidR="004E3021" w:rsidRDefault="00606E48">
      <w:pPr>
        <w:ind w:firstLine="480"/>
      </w:pPr>
      <w:r>
        <w:rPr>
          <w:rFonts w:ascii="宋体" w:hAnsi="宋体" w:hint="eastAsia"/>
        </w:rPr>
        <w:t>（</w:t>
      </w:r>
      <w:r>
        <w:t>1</w:t>
      </w:r>
      <w:r>
        <w:rPr>
          <w:rFonts w:ascii="宋体" w:hAnsi="宋体" w:hint="eastAsia"/>
        </w:rPr>
        <w:t>）《中华人民共和国环境保护法》（</w:t>
      </w:r>
      <w:r>
        <w:t>2015</w:t>
      </w:r>
      <w:r>
        <w:rPr>
          <w:rFonts w:ascii="宋体" w:hAnsi="宋体" w:hint="eastAsia"/>
        </w:rPr>
        <w:t>年</w:t>
      </w:r>
      <w:r>
        <w:t>1</w:t>
      </w:r>
      <w:r>
        <w:rPr>
          <w:rFonts w:ascii="宋体" w:hAnsi="宋体" w:hint="eastAsia"/>
        </w:rPr>
        <w:t>月</w:t>
      </w:r>
      <w:r>
        <w:t>1</w:t>
      </w:r>
      <w:r>
        <w:rPr>
          <w:rFonts w:ascii="宋体" w:hAnsi="宋体" w:hint="eastAsia"/>
        </w:rPr>
        <w:t>日施行）；</w:t>
      </w:r>
    </w:p>
    <w:p w:rsidR="004E3021" w:rsidRDefault="00606E48">
      <w:pPr>
        <w:ind w:firstLine="480"/>
      </w:pPr>
      <w:r>
        <w:rPr>
          <w:rFonts w:ascii="宋体" w:hAnsi="宋体" w:hint="eastAsia"/>
        </w:rPr>
        <w:t>（</w:t>
      </w:r>
      <w:r>
        <w:t>2</w:t>
      </w:r>
      <w:r>
        <w:rPr>
          <w:rFonts w:ascii="宋体" w:hAnsi="宋体" w:hint="eastAsia"/>
        </w:rPr>
        <w:t>）《中华人民共和国环境影响评价法》（</w:t>
      </w:r>
      <w:r>
        <w:t>2018</w:t>
      </w:r>
      <w:r>
        <w:rPr>
          <w:rFonts w:ascii="宋体" w:hAnsi="宋体" w:hint="eastAsia"/>
        </w:rPr>
        <w:t>年</w:t>
      </w:r>
      <w:r>
        <w:t>12</w:t>
      </w:r>
      <w:r>
        <w:rPr>
          <w:rFonts w:ascii="宋体" w:hAnsi="宋体" w:hint="eastAsia"/>
        </w:rPr>
        <w:t>月</w:t>
      </w:r>
      <w:r>
        <w:t>29</w:t>
      </w:r>
      <w:r>
        <w:rPr>
          <w:rFonts w:ascii="宋体" w:hAnsi="宋体" w:hint="eastAsia"/>
        </w:rPr>
        <w:t>日修订）；</w:t>
      </w:r>
    </w:p>
    <w:p w:rsidR="004E3021" w:rsidRDefault="00606E48">
      <w:pPr>
        <w:ind w:firstLine="480"/>
      </w:pPr>
      <w:r>
        <w:rPr>
          <w:rFonts w:ascii="宋体" w:hAnsi="宋体" w:hint="eastAsia"/>
        </w:rPr>
        <w:t>（</w:t>
      </w:r>
      <w:r>
        <w:t>3</w:t>
      </w:r>
      <w:r>
        <w:rPr>
          <w:rFonts w:ascii="宋体" w:hAnsi="宋体" w:hint="eastAsia"/>
        </w:rPr>
        <w:t>）《中华人民共和国大气污染防治法》（</w:t>
      </w:r>
      <w:r>
        <w:t>2018</w:t>
      </w:r>
      <w:r>
        <w:rPr>
          <w:rFonts w:ascii="宋体" w:hAnsi="宋体" w:hint="eastAsia"/>
        </w:rPr>
        <w:t>年</w:t>
      </w:r>
      <w:r>
        <w:t>10</w:t>
      </w:r>
      <w:r>
        <w:rPr>
          <w:rFonts w:ascii="宋体" w:hAnsi="宋体" w:hint="eastAsia"/>
        </w:rPr>
        <w:t>月</w:t>
      </w:r>
      <w:r>
        <w:t>26</w:t>
      </w:r>
      <w:r>
        <w:rPr>
          <w:rFonts w:ascii="宋体" w:hAnsi="宋体" w:hint="eastAsia"/>
        </w:rPr>
        <w:t>日修正）；</w:t>
      </w:r>
    </w:p>
    <w:p w:rsidR="004E3021" w:rsidRDefault="00606E48">
      <w:pPr>
        <w:ind w:firstLine="480"/>
      </w:pPr>
      <w:r>
        <w:rPr>
          <w:rFonts w:ascii="宋体" w:hAnsi="宋体" w:hint="eastAsia"/>
        </w:rPr>
        <w:t>（</w:t>
      </w:r>
      <w:r>
        <w:t>4</w:t>
      </w:r>
      <w:r>
        <w:rPr>
          <w:rFonts w:ascii="宋体" w:hAnsi="宋体" w:hint="eastAsia"/>
        </w:rPr>
        <w:t>）《中华人民共和国水污染防治法》（</w:t>
      </w:r>
      <w:r>
        <w:t>2018</w:t>
      </w:r>
      <w:r>
        <w:rPr>
          <w:rFonts w:ascii="宋体" w:hAnsi="宋体" w:hint="eastAsia"/>
        </w:rPr>
        <w:t>年</w:t>
      </w:r>
      <w:r>
        <w:rPr>
          <w:rFonts w:hint="eastAsia"/>
        </w:rPr>
        <w:t>1</w:t>
      </w:r>
      <w:r>
        <w:rPr>
          <w:rFonts w:ascii="宋体" w:hAnsi="宋体" w:hint="eastAsia"/>
        </w:rPr>
        <w:t>月</w:t>
      </w:r>
      <w:r>
        <w:t>1</w:t>
      </w:r>
      <w:r>
        <w:rPr>
          <w:rFonts w:ascii="宋体" w:hAnsi="宋体" w:hint="eastAsia"/>
        </w:rPr>
        <w:t>日施行）；</w:t>
      </w:r>
    </w:p>
    <w:p w:rsidR="004E3021" w:rsidRDefault="00606E48">
      <w:pPr>
        <w:ind w:firstLine="480"/>
      </w:pPr>
      <w:r>
        <w:rPr>
          <w:rFonts w:ascii="宋体" w:hAnsi="宋体" w:hint="eastAsia"/>
        </w:rPr>
        <w:t>（</w:t>
      </w:r>
      <w:r>
        <w:t>5</w:t>
      </w:r>
      <w:r>
        <w:rPr>
          <w:rFonts w:ascii="宋体" w:hAnsi="宋体" w:hint="eastAsia"/>
        </w:rPr>
        <w:t>）《中华人民共和国固体废物污染环境防治法》（</w:t>
      </w:r>
      <w:r>
        <w:t>2020</w:t>
      </w:r>
      <w:r>
        <w:rPr>
          <w:rFonts w:ascii="宋体" w:hAnsi="宋体" w:hint="eastAsia"/>
        </w:rPr>
        <w:t>年</w:t>
      </w:r>
      <w:r>
        <w:t>9</w:t>
      </w:r>
      <w:r>
        <w:rPr>
          <w:rFonts w:ascii="宋体" w:hAnsi="宋体" w:hint="eastAsia"/>
        </w:rPr>
        <w:t>月</w:t>
      </w:r>
      <w:r>
        <w:t>1</w:t>
      </w:r>
      <w:r>
        <w:rPr>
          <w:rFonts w:ascii="宋体" w:hAnsi="宋体" w:hint="eastAsia"/>
        </w:rPr>
        <w:t>日施行）；</w:t>
      </w:r>
    </w:p>
    <w:p w:rsidR="004E3021" w:rsidRDefault="00606E48">
      <w:pPr>
        <w:ind w:firstLine="480"/>
      </w:pPr>
      <w:r>
        <w:rPr>
          <w:rFonts w:ascii="宋体" w:hAnsi="宋体" w:hint="eastAsia"/>
        </w:rPr>
        <w:t>（</w:t>
      </w:r>
      <w:r>
        <w:rPr>
          <w:rFonts w:hint="eastAsia"/>
        </w:rPr>
        <w:t>6</w:t>
      </w:r>
      <w:r>
        <w:rPr>
          <w:rFonts w:ascii="宋体" w:hAnsi="宋体" w:hint="eastAsia"/>
        </w:rPr>
        <w:t>）《中华人民共和国土壤污染防治法》（</w:t>
      </w:r>
      <w:r>
        <w:t>2019</w:t>
      </w:r>
      <w:r>
        <w:rPr>
          <w:rFonts w:ascii="宋体" w:hAnsi="宋体" w:hint="eastAsia"/>
        </w:rPr>
        <w:t>年</w:t>
      </w:r>
      <w:r>
        <w:t>1</w:t>
      </w:r>
      <w:r>
        <w:rPr>
          <w:rFonts w:ascii="宋体" w:hAnsi="宋体" w:hint="eastAsia"/>
        </w:rPr>
        <w:t>月</w:t>
      </w:r>
      <w:r>
        <w:t>1</w:t>
      </w:r>
      <w:r>
        <w:rPr>
          <w:rFonts w:ascii="宋体" w:hAnsi="宋体" w:hint="eastAsia"/>
        </w:rPr>
        <w:t>日施行）；</w:t>
      </w:r>
    </w:p>
    <w:p w:rsidR="004E3021" w:rsidRDefault="00606E48">
      <w:pPr>
        <w:ind w:firstLine="480"/>
      </w:pPr>
      <w:r>
        <w:rPr>
          <w:rFonts w:ascii="宋体" w:hAnsi="宋体" w:hint="eastAsia"/>
        </w:rPr>
        <w:t>（</w:t>
      </w:r>
      <w:r>
        <w:t>7</w:t>
      </w:r>
      <w:r>
        <w:rPr>
          <w:rFonts w:ascii="宋体" w:hAnsi="宋体" w:hint="eastAsia"/>
        </w:rPr>
        <w:t>）《中华人民共和国噪声污染防治法》（</w:t>
      </w:r>
      <w:r>
        <w:t>2022</w:t>
      </w:r>
      <w:r>
        <w:rPr>
          <w:rFonts w:ascii="宋体" w:hAnsi="宋体" w:hint="eastAsia"/>
        </w:rPr>
        <w:t>年</w:t>
      </w:r>
      <w:r>
        <w:t>6</w:t>
      </w:r>
      <w:r>
        <w:rPr>
          <w:rFonts w:ascii="宋体" w:hAnsi="宋体" w:hint="eastAsia"/>
        </w:rPr>
        <w:t>月</w:t>
      </w:r>
      <w:r>
        <w:t>5</w:t>
      </w:r>
      <w:r>
        <w:rPr>
          <w:rFonts w:ascii="宋体" w:hAnsi="宋体" w:hint="eastAsia"/>
        </w:rPr>
        <w:t>日施行）；</w:t>
      </w:r>
    </w:p>
    <w:p w:rsidR="004E3021" w:rsidRDefault="00606E48">
      <w:pPr>
        <w:ind w:firstLine="480"/>
      </w:pPr>
      <w:r>
        <w:rPr>
          <w:rFonts w:ascii="宋体" w:hAnsi="宋体" w:hint="eastAsia"/>
        </w:rPr>
        <w:t>（</w:t>
      </w:r>
      <w:r>
        <w:t>8</w:t>
      </w:r>
      <w:r>
        <w:rPr>
          <w:rFonts w:ascii="宋体" w:hAnsi="宋体" w:hint="eastAsia"/>
        </w:rPr>
        <w:t>）《中华人民共和国清洁生产促进法》（</w:t>
      </w:r>
      <w:r>
        <w:t>2012</w:t>
      </w:r>
      <w:r>
        <w:rPr>
          <w:rFonts w:ascii="宋体" w:hAnsi="宋体" w:hint="eastAsia"/>
        </w:rPr>
        <w:t>年</w:t>
      </w:r>
      <w:r>
        <w:t>7</w:t>
      </w:r>
      <w:r>
        <w:rPr>
          <w:rFonts w:ascii="宋体" w:hAnsi="宋体" w:hint="eastAsia"/>
        </w:rPr>
        <w:t>月</w:t>
      </w:r>
      <w:r>
        <w:t>1</w:t>
      </w:r>
      <w:r>
        <w:rPr>
          <w:rFonts w:ascii="宋体" w:hAnsi="宋体" w:hint="eastAsia"/>
        </w:rPr>
        <w:t>日施行）；</w:t>
      </w:r>
    </w:p>
    <w:p w:rsidR="004E3021" w:rsidRDefault="00606E48">
      <w:pPr>
        <w:ind w:firstLine="480"/>
      </w:pPr>
      <w:r>
        <w:rPr>
          <w:rFonts w:ascii="宋体" w:hAnsi="宋体" w:hint="eastAsia"/>
        </w:rPr>
        <w:t>（</w:t>
      </w:r>
      <w:r>
        <w:t>9</w:t>
      </w:r>
      <w:r>
        <w:rPr>
          <w:rFonts w:ascii="宋体" w:hAnsi="宋体" w:hint="eastAsia"/>
        </w:rPr>
        <w:t>）《建设项目环境保护管理条例》（</w:t>
      </w:r>
      <w:r>
        <w:t>2017</w:t>
      </w:r>
      <w:r>
        <w:rPr>
          <w:rFonts w:ascii="宋体" w:hAnsi="宋体" w:hint="eastAsia"/>
        </w:rPr>
        <w:t>年</w:t>
      </w:r>
      <w:r>
        <w:t>10</w:t>
      </w:r>
      <w:r>
        <w:rPr>
          <w:rFonts w:ascii="宋体" w:hAnsi="宋体" w:hint="eastAsia"/>
        </w:rPr>
        <w:t>月</w:t>
      </w:r>
      <w:r>
        <w:t>1</w:t>
      </w:r>
      <w:r>
        <w:rPr>
          <w:rFonts w:ascii="宋体" w:hAnsi="宋体" w:hint="eastAsia"/>
        </w:rPr>
        <w:t>日施行）；</w:t>
      </w:r>
    </w:p>
    <w:p w:rsidR="004E3021" w:rsidRDefault="00606E48">
      <w:pPr>
        <w:ind w:firstLine="480"/>
      </w:pPr>
      <w:r>
        <w:rPr>
          <w:rFonts w:ascii="宋体" w:hAnsi="宋体" w:hint="eastAsia"/>
        </w:rPr>
        <w:t>（</w:t>
      </w:r>
      <w:r>
        <w:t>10</w:t>
      </w:r>
      <w:r>
        <w:rPr>
          <w:rFonts w:ascii="宋体" w:hAnsi="宋体" w:hint="eastAsia"/>
        </w:rPr>
        <w:t>）《建设项目环境影响评价分类管理名录（</w:t>
      </w:r>
      <w:r>
        <w:rPr>
          <w:rFonts w:hint="eastAsia"/>
        </w:rPr>
        <w:t>2021</w:t>
      </w:r>
      <w:r>
        <w:rPr>
          <w:rFonts w:ascii="宋体" w:hAnsi="宋体" w:hint="eastAsia"/>
        </w:rPr>
        <w:t>年版）》（</w:t>
      </w:r>
      <w:r>
        <w:t>2021</w:t>
      </w:r>
      <w:r>
        <w:rPr>
          <w:rFonts w:ascii="宋体" w:hAnsi="宋体" w:hint="eastAsia"/>
        </w:rPr>
        <w:t>年</w:t>
      </w:r>
      <w:r>
        <w:t>1</w:t>
      </w:r>
      <w:r>
        <w:rPr>
          <w:rFonts w:ascii="宋体" w:hAnsi="宋体" w:hint="eastAsia"/>
        </w:rPr>
        <w:t>月</w:t>
      </w:r>
      <w:r>
        <w:t>1</w:t>
      </w:r>
      <w:r>
        <w:rPr>
          <w:rFonts w:ascii="宋体" w:hAnsi="宋体" w:hint="eastAsia"/>
        </w:rPr>
        <w:t>日施行）；</w:t>
      </w:r>
    </w:p>
    <w:p w:rsidR="004E3021" w:rsidRDefault="00606E48">
      <w:pPr>
        <w:ind w:firstLine="480"/>
      </w:pPr>
      <w:r>
        <w:rPr>
          <w:rFonts w:ascii="宋体" w:hAnsi="宋体" w:hint="eastAsia"/>
        </w:rPr>
        <w:t>（</w:t>
      </w:r>
      <w:r>
        <w:t>11</w:t>
      </w:r>
      <w:r>
        <w:rPr>
          <w:rFonts w:ascii="宋体" w:hAnsi="宋体" w:hint="eastAsia"/>
        </w:rPr>
        <w:t>）《国务院关于印发水污染防治行动计划的通知》（国务院令</w:t>
      </w:r>
      <w:r>
        <w:rPr>
          <w:rFonts w:hint="eastAsia"/>
        </w:rPr>
        <w:t xml:space="preserve"> </w:t>
      </w:r>
      <w:r>
        <w:rPr>
          <w:rFonts w:ascii="宋体" w:hAnsi="宋体" w:hint="eastAsia"/>
        </w:rPr>
        <w:t>国发</w:t>
      </w:r>
      <w:r>
        <w:t>[2015]17</w:t>
      </w:r>
      <w:r>
        <w:rPr>
          <w:rFonts w:ascii="宋体" w:hAnsi="宋体" w:hint="eastAsia"/>
        </w:rPr>
        <w:t>号，</w:t>
      </w:r>
      <w:r>
        <w:rPr>
          <w:rFonts w:hint="eastAsia"/>
        </w:rPr>
        <w:t>2015</w:t>
      </w:r>
      <w:r>
        <w:rPr>
          <w:rFonts w:ascii="宋体" w:hAnsi="宋体" w:hint="eastAsia"/>
        </w:rPr>
        <w:t>年</w:t>
      </w:r>
      <w:r>
        <w:rPr>
          <w:rFonts w:hint="eastAsia"/>
        </w:rPr>
        <w:t>4</w:t>
      </w:r>
      <w:r>
        <w:rPr>
          <w:rFonts w:ascii="宋体" w:hAnsi="宋体" w:hint="eastAsia"/>
        </w:rPr>
        <w:t>月</w:t>
      </w:r>
      <w:r>
        <w:rPr>
          <w:rFonts w:hint="eastAsia"/>
        </w:rPr>
        <w:t>2</w:t>
      </w:r>
      <w:r>
        <w:rPr>
          <w:rFonts w:ascii="宋体" w:hAnsi="宋体" w:hint="eastAsia"/>
        </w:rPr>
        <w:t>日）；</w:t>
      </w:r>
    </w:p>
    <w:p w:rsidR="004E3021" w:rsidRDefault="00606E48">
      <w:pPr>
        <w:ind w:firstLine="480"/>
      </w:pPr>
      <w:r>
        <w:rPr>
          <w:rFonts w:ascii="宋体" w:hAnsi="宋体" w:hint="eastAsia"/>
        </w:rPr>
        <w:t>（</w:t>
      </w:r>
      <w:r>
        <w:rPr>
          <w:rFonts w:hint="eastAsia"/>
        </w:rPr>
        <w:t>1</w:t>
      </w:r>
      <w:r w:rsidR="00A9614F">
        <w:t>2</w:t>
      </w:r>
      <w:r>
        <w:rPr>
          <w:rFonts w:ascii="宋体" w:hAnsi="宋体" w:hint="eastAsia"/>
        </w:rPr>
        <w:t>）《土壤污染防治行动计划》（国务院令</w:t>
      </w:r>
      <w:r>
        <w:rPr>
          <w:rFonts w:hint="eastAsia"/>
        </w:rPr>
        <w:t xml:space="preserve"> </w:t>
      </w:r>
      <w:r>
        <w:rPr>
          <w:rFonts w:ascii="宋体" w:hAnsi="宋体" w:hint="eastAsia"/>
        </w:rPr>
        <w:t>国发</w:t>
      </w:r>
      <w:r>
        <w:rPr>
          <w:rFonts w:hint="eastAsia"/>
        </w:rPr>
        <w:t>[2016]31</w:t>
      </w:r>
      <w:r>
        <w:rPr>
          <w:rFonts w:ascii="宋体" w:hAnsi="宋体" w:hint="eastAsia"/>
        </w:rPr>
        <w:t>号，</w:t>
      </w:r>
      <w:r>
        <w:rPr>
          <w:rFonts w:hint="eastAsia"/>
        </w:rPr>
        <w:t>2016</w:t>
      </w:r>
      <w:r>
        <w:rPr>
          <w:rFonts w:ascii="宋体" w:hAnsi="宋体" w:hint="eastAsia"/>
        </w:rPr>
        <w:t>年</w:t>
      </w:r>
      <w:r>
        <w:rPr>
          <w:rFonts w:hint="eastAsia"/>
        </w:rPr>
        <w:t>5</w:t>
      </w:r>
      <w:r>
        <w:rPr>
          <w:rFonts w:ascii="宋体" w:hAnsi="宋体" w:hint="eastAsia"/>
        </w:rPr>
        <w:t>月</w:t>
      </w:r>
      <w:r>
        <w:rPr>
          <w:rFonts w:hint="eastAsia"/>
        </w:rPr>
        <w:t>28</w:t>
      </w:r>
      <w:r>
        <w:rPr>
          <w:rFonts w:ascii="宋体" w:hAnsi="宋体" w:hint="eastAsia"/>
        </w:rPr>
        <w:t>日）；</w:t>
      </w:r>
    </w:p>
    <w:p w:rsidR="004E3021" w:rsidRDefault="00606E48">
      <w:pPr>
        <w:ind w:firstLine="480"/>
      </w:pPr>
      <w:r>
        <w:rPr>
          <w:rFonts w:ascii="宋体" w:hAnsi="宋体" w:hint="eastAsia"/>
        </w:rPr>
        <w:t>（</w:t>
      </w:r>
      <w:r>
        <w:rPr>
          <w:rFonts w:hint="eastAsia"/>
        </w:rPr>
        <w:t>1</w:t>
      </w:r>
      <w:r w:rsidR="00A9614F">
        <w:t>3</w:t>
      </w:r>
      <w:r>
        <w:rPr>
          <w:rFonts w:ascii="宋体" w:hAnsi="宋体" w:hint="eastAsia"/>
        </w:rPr>
        <w:t>）《排污许可管理条例》（国务院</w:t>
      </w:r>
      <w:r>
        <w:rPr>
          <w:rFonts w:hint="eastAsia"/>
        </w:rPr>
        <w:t xml:space="preserve"> </w:t>
      </w:r>
      <w:r>
        <w:rPr>
          <w:rFonts w:ascii="宋体" w:hAnsi="宋体" w:hint="eastAsia"/>
        </w:rPr>
        <w:t>国令第</w:t>
      </w:r>
      <w:r>
        <w:rPr>
          <w:rFonts w:hint="eastAsia"/>
        </w:rPr>
        <w:t>736</w:t>
      </w:r>
      <w:r>
        <w:rPr>
          <w:rFonts w:ascii="宋体" w:hAnsi="宋体" w:hint="eastAsia"/>
        </w:rPr>
        <w:t>号，</w:t>
      </w:r>
      <w:r>
        <w:rPr>
          <w:rFonts w:hint="eastAsia"/>
        </w:rPr>
        <w:t>2021</w:t>
      </w:r>
      <w:r>
        <w:rPr>
          <w:rFonts w:ascii="宋体" w:hAnsi="宋体" w:hint="eastAsia"/>
        </w:rPr>
        <w:t>年</w:t>
      </w:r>
      <w:r>
        <w:rPr>
          <w:rFonts w:hint="eastAsia"/>
        </w:rPr>
        <w:t>1</w:t>
      </w:r>
      <w:r>
        <w:rPr>
          <w:rFonts w:ascii="宋体" w:hAnsi="宋体" w:hint="eastAsia"/>
        </w:rPr>
        <w:t>月</w:t>
      </w:r>
      <w:r>
        <w:rPr>
          <w:rFonts w:hint="eastAsia"/>
        </w:rPr>
        <w:t>24</w:t>
      </w:r>
      <w:r>
        <w:rPr>
          <w:rFonts w:ascii="宋体" w:hAnsi="宋体" w:hint="eastAsia"/>
        </w:rPr>
        <w:t>日）；</w:t>
      </w:r>
    </w:p>
    <w:p w:rsidR="004E3021" w:rsidRDefault="00606E48">
      <w:pPr>
        <w:ind w:firstLine="480"/>
      </w:pPr>
      <w:r>
        <w:rPr>
          <w:rFonts w:ascii="宋体" w:hAnsi="宋体" w:hint="eastAsia"/>
        </w:rPr>
        <w:t>（</w:t>
      </w:r>
      <w:r>
        <w:t>1</w:t>
      </w:r>
      <w:r w:rsidR="00A9614F">
        <w:t>4</w:t>
      </w:r>
      <w:r>
        <w:rPr>
          <w:rFonts w:ascii="宋体" w:hAnsi="宋体" w:hint="eastAsia"/>
        </w:rPr>
        <w:t>）《国家危险废物名录（</w:t>
      </w:r>
      <w:r>
        <w:rPr>
          <w:rFonts w:hint="eastAsia"/>
        </w:rPr>
        <w:t>202</w:t>
      </w:r>
      <w:r w:rsidR="0085002C">
        <w:t>5</w:t>
      </w:r>
      <w:r>
        <w:rPr>
          <w:rFonts w:ascii="宋体" w:hAnsi="宋体" w:hint="eastAsia"/>
        </w:rPr>
        <w:t>年版）》（</w:t>
      </w:r>
      <w:r w:rsidR="0085002C">
        <w:t>中华人民共和国生态环境部</w:t>
      </w:r>
      <w:r w:rsidR="0085002C">
        <w:rPr>
          <w:rFonts w:hint="eastAsia"/>
        </w:rPr>
        <w:t>等</w:t>
      </w:r>
      <w:r w:rsidR="0085002C">
        <w:rPr>
          <w:rFonts w:hint="eastAsia"/>
        </w:rPr>
        <w:t xml:space="preserve"> </w:t>
      </w:r>
      <w:r w:rsidR="0085002C">
        <w:rPr>
          <w:rFonts w:hint="eastAsia"/>
        </w:rPr>
        <w:t>第</w:t>
      </w:r>
      <w:r w:rsidR="0085002C">
        <w:t>36</w:t>
      </w:r>
      <w:r w:rsidR="0085002C">
        <w:rPr>
          <w:rFonts w:hint="eastAsia"/>
        </w:rPr>
        <w:t>号</w:t>
      </w:r>
      <w:r>
        <w:rPr>
          <w:rFonts w:ascii="宋体" w:hAnsi="宋体" w:hint="eastAsia"/>
        </w:rPr>
        <w:t>，</w:t>
      </w:r>
      <w:r>
        <w:rPr>
          <w:rFonts w:hint="eastAsia"/>
        </w:rPr>
        <w:t>202</w:t>
      </w:r>
      <w:r w:rsidR="0085002C">
        <w:t>4</w:t>
      </w:r>
      <w:r>
        <w:rPr>
          <w:rFonts w:ascii="宋体" w:hAnsi="宋体" w:hint="eastAsia"/>
        </w:rPr>
        <w:t>年</w:t>
      </w:r>
      <w:r>
        <w:rPr>
          <w:rFonts w:hint="eastAsia"/>
        </w:rPr>
        <w:t>1</w:t>
      </w:r>
      <w:r w:rsidR="0085002C">
        <w:t>1</w:t>
      </w:r>
      <w:r>
        <w:rPr>
          <w:rFonts w:ascii="宋体" w:hAnsi="宋体" w:hint="eastAsia"/>
        </w:rPr>
        <w:t>月</w:t>
      </w:r>
      <w:r w:rsidR="0085002C">
        <w:t>26</w:t>
      </w:r>
      <w:r>
        <w:rPr>
          <w:rFonts w:ascii="宋体" w:hAnsi="宋体"/>
        </w:rPr>
        <w:t>日施行）；</w:t>
      </w:r>
    </w:p>
    <w:p w:rsidR="004E3021" w:rsidRDefault="00606E48">
      <w:pPr>
        <w:ind w:firstLine="480"/>
      </w:pPr>
      <w:r>
        <w:rPr>
          <w:rFonts w:ascii="宋体" w:hAnsi="宋体" w:hint="eastAsia"/>
        </w:rPr>
        <w:t>（</w:t>
      </w:r>
      <w:r>
        <w:t>1</w:t>
      </w:r>
      <w:r w:rsidR="00A9614F">
        <w:t>5</w:t>
      </w:r>
      <w:r>
        <w:rPr>
          <w:rFonts w:ascii="宋体" w:hAnsi="宋体" w:hint="eastAsia"/>
        </w:rPr>
        <w:t>）《关于切实加强风险防范严格环境影响评价管理的的通知》（环境保护部</w:t>
      </w:r>
      <w:r>
        <w:t xml:space="preserve"> </w:t>
      </w:r>
      <w:r>
        <w:rPr>
          <w:rFonts w:ascii="宋体" w:hAnsi="宋体"/>
        </w:rPr>
        <w:t>环发</w:t>
      </w:r>
      <w:r>
        <w:t>[2012]98</w:t>
      </w:r>
      <w:r>
        <w:rPr>
          <w:rFonts w:ascii="宋体" w:hAnsi="宋体" w:hint="eastAsia"/>
        </w:rPr>
        <w:t>号，</w:t>
      </w:r>
      <w:r>
        <w:t>2012</w:t>
      </w:r>
      <w:r>
        <w:rPr>
          <w:rFonts w:ascii="宋体" w:hAnsi="宋体" w:hint="eastAsia"/>
        </w:rPr>
        <w:t>年</w:t>
      </w:r>
      <w:r>
        <w:t>8</w:t>
      </w:r>
      <w:r>
        <w:rPr>
          <w:rFonts w:ascii="宋体" w:hAnsi="宋体" w:hint="eastAsia"/>
        </w:rPr>
        <w:t>月</w:t>
      </w:r>
      <w:r>
        <w:t>8</w:t>
      </w:r>
      <w:r>
        <w:rPr>
          <w:rFonts w:ascii="宋体" w:hAnsi="宋体" w:hint="eastAsia"/>
        </w:rPr>
        <w:t>日）；</w:t>
      </w:r>
    </w:p>
    <w:p w:rsidR="004E3021" w:rsidRDefault="00606E48">
      <w:pPr>
        <w:ind w:firstLine="480"/>
      </w:pPr>
      <w:r>
        <w:rPr>
          <w:rFonts w:hint="eastAsia"/>
        </w:rPr>
        <w:t>（</w:t>
      </w:r>
      <w:r>
        <w:rPr>
          <w:rFonts w:hint="eastAsia"/>
        </w:rPr>
        <w:t>1</w:t>
      </w:r>
      <w:r w:rsidR="00A9614F">
        <w:t>6</w:t>
      </w:r>
      <w:r>
        <w:rPr>
          <w:rFonts w:hint="eastAsia"/>
        </w:rPr>
        <w:t>）《中共</w:t>
      </w:r>
      <w:r>
        <w:t>中央</w:t>
      </w:r>
      <w:r>
        <w:rPr>
          <w:rFonts w:hint="eastAsia"/>
        </w:rPr>
        <w:t xml:space="preserve"> </w:t>
      </w:r>
      <w:r>
        <w:rPr>
          <w:rFonts w:hint="eastAsia"/>
        </w:rPr>
        <w:t>国务院关于深入打好污染防治攻坚战的意见》（</w:t>
      </w:r>
      <w:r>
        <w:rPr>
          <w:rFonts w:hint="eastAsia"/>
        </w:rPr>
        <w:t>2021</w:t>
      </w:r>
      <w:r>
        <w:rPr>
          <w:rFonts w:hint="eastAsia"/>
        </w:rPr>
        <w:t>年</w:t>
      </w:r>
      <w:r>
        <w:rPr>
          <w:rFonts w:hint="eastAsia"/>
        </w:rPr>
        <w:t>11</w:t>
      </w:r>
      <w:r>
        <w:rPr>
          <w:rFonts w:hint="eastAsia"/>
        </w:rPr>
        <w:t>月</w:t>
      </w:r>
      <w:r>
        <w:rPr>
          <w:rFonts w:hint="eastAsia"/>
        </w:rPr>
        <w:t>2</w:t>
      </w:r>
      <w:r>
        <w:rPr>
          <w:rFonts w:hint="eastAsia"/>
        </w:rPr>
        <w:t>日</w:t>
      </w:r>
      <w:r>
        <w:t>公布</w:t>
      </w:r>
      <w:r>
        <w:rPr>
          <w:rFonts w:hint="eastAsia"/>
        </w:rPr>
        <w:t>）；</w:t>
      </w:r>
    </w:p>
    <w:p w:rsidR="004E3021" w:rsidRDefault="00606E48">
      <w:pPr>
        <w:ind w:firstLine="480"/>
      </w:pPr>
      <w:r>
        <w:rPr>
          <w:rFonts w:ascii="宋体" w:hAnsi="宋体" w:hint="eastAsia"/>
        </w:rPr>
        <w:lastRenderedPageBreak/>
        <w:t>（</w:t>
      </w:r>
      <w:r>
        <w:t>1</w:t>
      </w:r>
      <w:r w:rsidR="00A9614F">
        <w:t>7</w:t>
      </w:r>
      <w:r>
        <w:rPr>
          <w:rFonts w:ascii="宋体" w:hAnsi="宋体" w:hint="eastAsia"/>
        </w:rPr>
        <w:t>）《危险废物转移联单管理办法》（生态</w:t>
      </w:r>
      <w:r>
        <w:rPr>
          <w:rFonts w:ascii="宋体" w:hAnsi="宋体"/>
        </w:rPr>
        <w:t>环境部</w:t>
      </w:r>
      <w:r>
        <w:rPr>
          <w:rFonts w:ascii="宋体" w:hAnsi="宋体" w:hint="eastAsia"/>
        </w:rPr>
        <w:t xml:space="preserve"> 公</w:t>
      </w:r>
      <w:r>
        <w:rPr>
          <w:rFonts w:hint="eastAsia"/>
        </w:rPr>
        <w:t>安部</w:t>
      </w:r>
      <w:r>
        <w:rPr>
          <w:rFonts w:hint="eastAsia"/>
        </w:rPr>
        <w:t xml:space="preserve"> </w:t>
      </w:r>
      <w:r>
        <w:rPr>
          <w:rFonts w:hint="eastAsia"/>
        </w:rPr>
        <w:t>交通</w:t>
      </w:r>
      <w:r>
        <w:t>运输部</w:t>
      </w:r>
      <w:r>
        <w:rPr>
          <w:rFonts w:hint="eastAsia"/>
        </w:rPr>
        <w:t xml:space="preserve"> </w:t>
      </w:r>
      <w:r>
        <w:rPr>
          <w:rFonts w:hint="eastAsia"/>
        </w:rPr>
        <w:t>部令</w:t>
      </w:r>
      <w:r>
        <w:rPr>
          <w:rFonts w:hint="eastAsia"/>
        </w:rPr>
        <w:t>23</w:t>
      </w:r>
      <w:r>
        <w:rPr>
          <w:rFonts w:hint="eastAsia"/>
        </w:rPr>
        <w:t>号</w:t>
      </w:r>
      <w:r>
        <w:t>，</w:t>
      </w:r>
      <w:r>
        <w:rPr>
          <w:rFonts w:hint="eastAsia"/>
        </w:rPr>
        <w:t>202</w:t>
      </w:r>
      <w:r>
        <w:t>2</w:t>
      </w:r>
      <w:r>
        <w:rPr>
          <w:rFonts w:hint="eastAsia"/>
        </w:rPr>
        <w:t>年</w:t>
      </w:r>
      <w:r>
        <w:t>1</w:t>
      </w:r>
      <w:r>
        <w:rPr>
          <w:rFonts w:hint="eastAsia"/>
        </w:rPr>
        <w:t>月</w:t>
      </w:r>
      <w:r>
        <w:t>1</w:t>
      </w:r>
      <w:r>
        <w:rPr>
          <w:rFonts w:hint="eastAsia"/>
        </w:rPr>
        <w:t>日起</w:t>
      </w:r>
      <w:r>
        <w:t>施行</w:t>
      </w:r>
      <w:r>
        <w:rPr>
          <w:rFonts w:ascii="宋体" w:hAnsi="宋体"/>
        </w:rPr>
        <w:t>）</w:t>
      </w:r>
      <w:r>
        <w:rPr>
          <w:rFonts w:ascii="宋体" w:hAnsi="宋体" w:hint="eastAsia"/>
        </w:rPr>
        <w:t>；</w:t>
      </w:r>
    </w:p>
    <w:p w:rsidR="004E3021" w:rsidRDefault="00606E48">
      <w:pPr>
        <w:ind w:firstLine="480"/>
      </w:pPr>
      <w:r>
        <w:rPr>
          <w:rFonts w:ascii="宋体" w:hAnsi="宋体" w:hint="eastAsia"/>
        </w:rPr>
        <w:t>（</w:t>
      </w:r>
      <w:r w:rsidR="00A9614F">
        <w:rPr>
          <w:rFonts w:ascii="宋体" w:hAnsi="宋体" w:hint="eastAsia"/>
        </w:rPr>
        <w:t>1</w:t>
      </w:r>
      <w:r w:rsidR="00A9614F">
        <w:t>8</w:t>
      </w:r>
      <w:r>
        <w:rPr>
          <w:rFonts w:ascii="宋体" w:hAnsi="宋体" w:hint="eastAsia"/>
        </w:rPr>
        <w:t>）《关于印发</w:t>
      </w:r>
      <w:r>
        <w:t>&lt;</w:t>
      </w:r>
      <w:r>
        <w:rPr>
          <w:rFonts w:ascii="宋体" w:hAnsi="宋体" w:hint="eastAsia"/>
        </w:rPr>
        <w:t>建设项目主要污染物排放总量指标审核及管理暂行办法</w:t>
      </w:r>
      <w:r>
        <w:t>&gt;</w:t>
      </w:r>
      <w:r>
        <w:rPr>
          <w:rFonts w:ascii="宋体" w:hAnsi="宋体" w:hint="eastAsia"/>
        </w:rPr>
        <w:t>的通知》（环境保护部</w:t>
      </w:r>
      <w:r>
        <w:t xml:space="preserve"> </w:t>
      </w:r>
      <w:r>
        <w:rPr>
          <w:rFonts w:ascii="宋体" w:hAnsi="宋体"/>
        </w:rPr>
        <w:t>环发</w:t>
      </w:r>
      <w:r>
        <w:t>[2014]197</w:t>
      </w:r>
      <w:r>
        <w:rPr>
          <w:rFonts w:ascii="宋体" w:hAnsi="宋体" w:hint="eastAsia"/>
        </w:rPr>
        <w:t>号，</w:t>
      </w:r>
      <w:r>
        <w:t>2014</w:t>
      </w:r>
      <w:r>
        <w:rPr>
          <w:rFonts w:ascii="宋体" w:hAnsi="宋体" w:hint="eastAsia"/>
        </w:rPr>
        <w:t>年</w:t>
      </w:r>
      <w:r>
        <w:t>12</w:t>
      </w:r>
      <w:r>
        <w:rPr>
          <w:rFonts w:ascii="宋体" w:hAnsi="宋体" w:hint="eastAsia"/>
        </w:rPr>
        <w:t>月</w:t>
      </w:r>
      <w:r>
        <w:t>31</w:t>
      </w:r>
      <w:r>
        <w:rPr>
          <w:rFonts w:ascii="宋体" w:hAnsi="宋体" w:hint="eastAsia"/>
        </w:rPr>
        <w:t>日）；</w:t>
      </w:r>
    </w:p>
    <w:p w:rsidR="004E3021" w:rsidRDefault="00606E48">
      <w:pPr>
        <w:ind w:firstLine="480"/>
      </w:pPr>
      <w:r>
        <w:rPr>
          <w:rFonts w:ascii="宋体" w:hAnsi="宋体" w:hint="eastAsia"/>
        </w:rPr>
        <w:t>（</w:t>
      </w:r>
      <w:r w:rsidR="00A9614F">
        <w:t>19</w:t>
      </w:r>
      <w:r>
        <w:rPr>
          <w:rFonts w:ascii="宋体" w:hAnsi="宋体" w:hint="eastAsia"/>
        </w:rPr>
        <w:t>）《关于全面加强生态环境保护</w:t>
      </w:r>
      <w:r>
        <w:rPr>
          <w:rFonts w:hint="eastAsia"/>
        </w:rPr>
        <w:t xml:space="preserve"> </w:t>
      </w:r>
      <w:r>
        <w:rPr>
          <w:rFonts w:ascii="宋体" w:hAnsi="宋体" w:hint="eastAsia"/>
        </w:rPr>
        <w:t>坚决打好污染防治攻坚战的意见》（国务院，</w:t>
      </w:r>
      <w:r>
        <w:rPr>
          <w:rFonts w:hint="eastAsia"/>
        </w:rPr>
        <w:t>2018</w:t>
      </w:r>
      <w:r>
        <w:rPr>
          <w:rFonts w:ascii="宋体" w:hAnsi="宋体" w:hint="eastAsia"/>
        </w:rPr>
        <w:t>年</w:t>
      </w:r>
      <w:r>
        <w:rPr>
          <w:rFonts w:hint="eastAsia"/>
        </w:rPr>
        <w:t>6</w:t>
      </w:r>
      <w:r>
        <w:rPr>
          <w:rFonts w:ascii="宋体" w:hAnsi="宋体" w:hint="eastAsia"/>
        </w:rPr>
        <w:t>月</w:t>
      </w:r>
      <w:r>
        <w:rPr>
          <w:rFonts w:hint="eastAsia"/>
        </w:rPr>
        <w:t>16</w:t>
      </w:r>
      <w:r>
        <w:rPr>
          <w:rFonts w:ascii="宋体" w:hAnsi="宋体" w:hint="eastAsia"/>
        </w:rPr>
        <w:t>日发布）；</w:t>
      </w:r>
    </w:p>
    <w:p w:rsidR="004E3021" w:rsidRDefault="00606E48">
      <w:pPr>
        <w:ind w:firstLine="480"/>
      </w:pPr>
      <w:r>
        <w:rPr>
          <w:rFonts w:ascii="宋体" w:hAnsi="宋体" w:hint="eastAsia"/>
        </w:rPr>
        <w:t>（</w:t>
      </w:r>
      <w:r>
        <w:t>2</w:t>
      </w:r>
      <w:r w:rsidR="00A9614F">
        <w:t>0</w:t>
      </w:r>
      <w:r>
        <w:rPr>
          <w:rFonts w:ascii="宋体" w:hAnsi="宋体" w:hint="eastAsia"/>
        </w:rPr>
        <w:t>）《环境影响评价公众参与办法》（生态环境部</w:t>
      </w:r>
      <w:r>
        <w:t xml:space="preserve"> </w:t>
      </w:r>
      <w:r>
        <w:rPr>
          <w:rFonts w:ascii="宋体" w:hAnsi="宋体"/>
        </w:rPr>
        <w:t>部令第</w:t>
      </w:r>
      <w:r>
        <w:t>4</w:t>
      </w:r>
      <w:r>
        <w:rPr>
          <w:rFonts w:ascii="宋体" w:hAnsi="宋体" w:hint="eastAsia"/>
        </w:rPr>
        <w:t>号，</w:t>
      </w:r>
      <w:r>
        <w:t>2019</w:t>
      </w:r>
      <w:r>
        <w:rPr>
          <w:rFonts w:ascii="宋体" w:hAnsi="宋体" w:hint="eastAsia"/>
        </w:rPr>
        <w:t>年</w:t>
      </w:r>
      <w:r>
        <w:t>1</w:t>
      </w:r>
      <w:r>
        <w:rPr>
          <w:rFonts w:ascii="宋体" w:hAnsi="宋体" w:hint="eastAsia"/>
        </w:rPr>
        <w:t>月</w:t>
      </w:r>
      <w:r>
        <w:t>1</w:t>
      </w:r>
      <w:r>
        <w:rPr>
          <w:rFonts w:ascii="宋体" w:hAnsi="宋体" w:hint="eastAsia"/>
        </w:rPr>
        <w:t>日施行）；</w:t>
      </w:r>
    </w:p>
    <w:p w:rsidR="004E3021" w:rsidRDefault="00606E48">
      <w:pPr>
        <w:ind w:firstLine="480"/>
      </w:pPr>
      <w:r>
        <w:rPr>
          <w:rFonts w:ascii="宋体" w:hAnsi="宋体" w:hint="eastAsia"/>
        </w:rPr>
        <w:t>（</w:t>
      </w:r>
      <w:r>
        <w:t>2</w:t>
      </w:r>
      <w:r w:rsidR="00A9614F">
        <w:t>1</w:t>
      </w:r>
      <w:r>
        <w:rPr>
          <w:rFonts w:ascii="宋体" w:hAnsi="宋体" w:hint="eastAsia"/>
        </w:rPr>
        <w:t>）《环境保护综合名录（</w:t>
      </w:r>
      <w:r>
        <w:rPr>
          <w:rFonts w:hint="eastAsia"/>
        </w:rPr>
        <w:t>2021</w:t>
      </w:r>
      <w:r>
        <w:rPr>
          <w:rFonts w:ascii="宋体" w:hAnsi="宋体" w:hint="eastAsia"/>
        </w:rPr>
        <w:t>年版）》（</w:t>
      </w:r>
      <w:r>
        <w:rPr>
          <w:rFonts w:hint="eastAsia"/>
        </w:rPr>
        <w:t>生态</w:t>
      </w:r>
      <w:r>
        <w:t>环境部</w:t>
      </w:r>
      <w:r>
        <w:rPr>
          <w:rFonts w:hint="eastAsia"/>
        </w:rPr>
        <w:t xml:space="preserve"> 2021</w:t>
      </w:r>
      <w:r>
        <w:rPr>
          <w:rFonts w:hint="eastAsia"/>
        </w:rPr>
        <w:t>年</w:t>
      </w:r>
      <w:r>
        <w:rPr>
          <w:rFonts w:hint="eastAsia"/>
        </w:rPr>
        <w:t>11</w:t>
      </w:r>
      <w:r>
        <w:rPr>
          <w:rFonts w:hint="eastAsia"/>
        </w:rPr>
        <w:t>月</w:t>
      </w:r>
      <w:r>
        <w:rPr>
          <w:rFonts w:hint="eastAsia"/>
        </w:rPr>
        <w:t>3</w:t>
      </w:r>
      <w:r>
        <w:rPr>
          <w:rFonts w:hint="eastAsia"/>
        </w:rPr>
        <w:t>日）；</w:t>
      </w:r>
    </w:p>
    <w:p w:rsidR="004E3021" w:rsidRDefault="00606E48">
      <w:pPr>
        <w:ind w:firstLine="480"/>
      </w:pPr>
      <w:r>
        <w:rPr>
          <w:rFonts w:ascii="宋体" w:hAnsi="宋体" w:hint="eastAsia"/>
        </w:rPr>
        <w:t>（</w:t>
      </w:r>
      <w:r>
        <w:t>2</w:t>
      </w:r>
      <w:r w:rsidR="00A9614F">
        <w:t>2</w:t>
      </w:r>
      <w:r>
        <w:rPr>
          <w:rFonts w:ascii="宋体" w:hAnsi="宋体" w:hint="eastAsia"/>
        </w:rPr>
        <w:t>）《固定污染源排污许可分类管理名录（</w:t>
      </w:r>
      <w:r>
        <w:rPr>
          <w:rFonts w:hint="eastAsia"/>
        </w:rPr>
        <w:t>2019</w:t>
      </w:r>
      <w:r>
        <w:rPr>
          <w:rFonts w:ascii="宋体" w:hAnsi="宋体" w:hint="eastAsia"/>
        </w:rPr>
        <w:t>年版）》（生态环境部</w:t>
      </w:r>
      <w:r>
        <w:rPr>
          <w:rFonts w:hint="eastAsia"/>
        </w:rPr>
        <w:t xml:space="preserve"> </w:t>
      </w:r>
      <w:r>
        <w:rPr>
          <w:rFonts w:ascii="宋体" w:hAnsi="宋体" w:hint="eastAsia"/>
        </w:rPr>
        <w:t>部令第</w:t>
      </w:r>
      <w:r>
        <w:rPr>
          <w:rFonts w:hint="eastAsia"/>
        </w:rPr>
        <w:t>11</w:t>
      </w:r>
      <w:r>
        <w:rPr>
          <w:rFonts w:ascii="宋体" w:hAnsi="宋体" w:hint="eastAsia"/>
        </w:rPr>
        <w:t>号，</w:t>
      </w:r>
      <w:r>
        <w:rPr>
          <w:rFonts w:hint="eastAsia"/>
        </w:rPr>
        <w:t>20</w:t>
      </w:r>
      <w:r>
        <w:t>19</w:t>
      </w:r>
      <w:r>
        <w:rPr>
          <w:rFonts w:ascii="宋体" w:hAnsi="宋体" w:hint="eastAsia"/>
        </w:rPr>
        <w:t>年</w:t>
      </w:r>
      <w:r>
        <w:rPr>
          <w:rFonts w:hint="eastAsia"/>
        </w:rPr>
        <w:t>12</w:t>
      </w:r>
      <w:r>
        <w:rPr>
          <w:rFonts w:ascii="宋体" w:hAnsi="宋体" w:hint="eastAsia"/>
        </w:rPr>
        <w:t>月</w:t>
      </w:r>
      <w:r>
        <w:rPr>
          <w:rFonts w:hint="eastAsia"/>
        </w:rPr>
        <w:t>20</w:t>
      </w:r>
      <w:r>
        <w:rPr>
          <w:rFonts w:ascii="宋体" w:hAnsi="宋体" w:hint="eastAsia"/>
        </w:rPr>
        <w:t>日）；</w:t>
      </w:r>
    </w:p>
    <w:p w:rsidR="004E3021" w:rsidRDefault="00606E48">
      <w:pPr>
        <w:ind w:firstLine="480"/>
      </w:pPr>
      <w:r>
        <w:rPr>
          <w:rFonts w:ascii="宋体" w:hAnsi="宋体" w:hint="eastAsia"/>
        </w:rPr>
        <w:t>（</w:t>
      </w:r>
      <w:r>
        <w:t>2</w:t>
      </w:r>
      <w:r w:rsidR="00A9614F">
        <w:t>3</w:t>
      </w:r>
      <w:r>
        <w:rPr>
          <w:rFonts w:ascii="宋体" w:hAnsi="宋体" w:hint="eastAsia"/>
        </w:rPr>
        <w:t>）《国务院关于加快建立健全绿色低碳循环发展经济体系的指导意见》（国务院</w:t>
      </w:r>
      <w:r>
        <w:rPr>
          <w:rFonts w:hint="eastAsia"/>
        </w:rPr>
        <w:t xml:space="preserve"> </w:t>
      </w:r>
      <w:r>
        <w:rPr>
          <w:rFonts w:ascii="宋体" w:hAnsi="宋体" w:hint="eastAsia"/>
        </w:rPr>
        <w:t>国发</w:t>
      </w:r>
      <w:r>
        <w:t>[2021]4</w:t>
      </w:r>
      <w:r>
        <w:rPr>
          <w:rFonts w:ascii="宋体" w:hAnsi="宋体" w:hint="eastAsia"/>
        </w:rPr>
        <w:t>号，</w:t>
      </w:r>
      <w:r>
        <w:rPr>
          <w:rFonts w:hint="eastAsia"/>
        </w:rPr>
        <w:t>2021</w:t>
      </w:r>
      <w:r>
        <w:rPr>
          <w:rFonts w:ascii="宋体" w:hAnsi="宋体" w:hint="eastAsia"/>
        </w:rPr>
        <w:t>年</w:t>
      </w:r>
      <w:r>
        <w:rPr>
          <w:rFonts w:hint="eastAsia"/>
        </w:rPr>
        <w:t>2</w:t>
      </w:r>
      <w:r>
        <w:rPr>
          <w:rFonts w:ascii="宋体" w:hAnsi="宋体" w:hint="eastAsia"/>
        </w:rPr>
        <w:t>月</w:t>
      </w:r>
      <w:r>
        <w:rPr>
          <w:rFonts w:hint="eastAsia"/>
        </w:rPr>
        <w:t>22</w:t>
      </w:r>
      <w:r>
        <w:rPr>
          <w:rFonts w:ascii="宋体" w:hAnsi="宋体" w:hint="eastAsia"/>
        </w:rPr>
        <w:t>日发布）；</w:t>
      </w:r>
    </w:p>
    <w:p w:rsidR="004E3021" w:rsidRDefault="00606E48">
      <w:pPr>
        <w:ind w:firstLine="480"/>
      </w:pPr>
      <w:r>
        <w:rPr>
          <w:rFonts w:hint="eastAsia"/>
        </w:rPr>
        <w:t>（</w:t>
      </w:r>
      <w:r>
        <w:t>2</w:t>
      </w:r>
      <w:r w:rsidR="00A9614F">
        <w:t>4</w:t>
      </w:r>
      <w:r>
        <w:rPr>
          <w:rFonts w:hint="eastAsia"/>
        </w:rPr>
        <w:t>）《关于加强企业温室气体排放报告管理相关工作的通知》（环办气候</w:t>
      </w:r>
      <w:r>
        <w:t>[2021]9</w:t>
      </w:r>
      <w:r>
        <w:rPr>
          <w:rFonts w:hint="eastAsia"/>
        </w:rPr>
        <w:t>号，</w:t>
      </w:r>
      <w:r>
        <w:t>2021</w:t>
      </w:r>
      <w:r>
        <w:rPr>
          <w:rFonts w:hint="eastAsia"/>
        </w:rPr>
        <w:t>年</w:t>
      </w:r>
      <w:r>
        <w:t>3</w:t>
      </w:r>
      <w:r>
        <w:rPr>
          <w:rFonts w:hint="eastAsia"/>
        </w:rPr>
        <w:t>月</w:t>
      </w:r>
      <w:r>
        <w:t>28</w:t>
      </w:r>
      <w:r>
        <w:rPr>
          <w:rFonts w:hint="eastAsia"/>
        </w:rPr>
        <w:t>日发布）；</w:t>
      </w:r>
    </w:p>
    <w:p w:rsidR="004E3021" w:rsidRDefault="00606E48">
      <w:pPr>
        <w:ind w:firstLine="480"/>
      </w:pPr>
      <w:r>
        <w:rPr>
          <w:rFonts w:hint="eastAsia"/>
        </w:rPr>
        <w:t>（</w:t>
      </w:r>
      <w:r>
        <w:rPr>
          <w:rFonts w:hint="eastAsia"/>
        </w:rPr>
        <w:t>2</w:t>
      </w:r>
      <w:r w:rsidR="00A9614F">
        <w:t>5</w:t>
      </w:r>
      <w:r>
        <w:rPr>
          <w:rFonts w:hint="eastAsia"/>
        </w:rPr>
        <w:t>）《</w:t>
      </w:r>
      <w:r>
        <w:t>关于发布</w:t>
      </w:r>
      <w:r>
        <w:t>&lt;</w:t>
      </w:r>
      <w:r>
        <w:t>优先控制化学品名录（第一批）</w:t>
      </w:r>
      <w:r>
        <w:rPr>
          <w:rFonts w:hint="eastAsia"/>
        </w:rPr>
        <w:t>&gt;</w:t>
      </w:r>
      <w:r>
        <w:t>的公告</w:t>
      </w:r>
      <w:r>
        <w:rPr>
          <w:rFonts w:hint="eastAsia"/>
        </w:rPr>
        <w:t>》（原</w:t>
      </w:r>
      <w:r>
        <w:t>环境保护部</w:t>
      </w:r>
      <w:r>
        <w:t xml:space="preserve"> </w:t>
      </w:r>
      <w:r>
        <w:t>工业和信息化部</w:t>
      </w:r>
      <w:r>
        <w:t xml:space="preserve"> </w:t>
      </w:r>
      <w:r>
        <w:t>国家卫生和计划生育委员会</w:t>
      </w:r>
      <w:r>
        <w:t xml:space="preserve"> </w:t>
      </w:r>
      <w:r>
        <w:t>公告</w:t>
      </w:r>
      <w:r>
        <w:t>2017</w:t>
      </w:r>
      <w:r>
        <w:t>年</w:t>
      </w:r>
      <w:r>
        <w:t xml:space="preserve"> </w:t>
      </w:r>
      <w:r>
        <w:t>第</w:t>
      </w:r>
      <w:r>
        <w:t>83</w:t>
      </w:r>
      <w:r>
        <w:t>号</w:t>
      </w:r>
      <w:r>
        <w:rPr>
          <w:rFonts w:hint="eastAsia"/>
        </w:rPr>
        <w:t>，</w:t>
      </w:r>
      <w:r>
        <w:rPr>
          <w:rFonts w:hint="eastAsia"/>
        </w:rPr>
        <w:t>2017</w:t>
      </w:r>
      <w:r>
        <w:rPr>
          <w:rFonts w:hint="eastAsia"/>
        </w:rPr>
        <w:t>年</w:t>
      </w:r>
      <w:r>
        <w:rPr>
          <w:rFonts w:hint="eastAsia"/>
        </w:rPr>
        <w:t>12</w:t>
      </w:r>
      <w:r>
        <w:rPr>
          <w:rFonts w:hint="eastAsia"/>
        </w:rPr>
        <w:t>月</w:t>
      </w:r>
      <w:r>
        <w:rPr>
          <w:rFonts w:hint="eastAsia"/>
        </w:rPr>
        <w:t>28</w:t>
      </w:r>
      <w:r>
        <w:rPr>
          <w:rFonts w:hint="eastAsia"/>
        </w:rPr>
        <w:t>日）；</w:t>
      </w:r>
    </w:p>
    <w:p w:rsidR="004E3021" w:rsidRDefault="00606E48">
      <w:pPr>
        <w:ind w:firstLine="480"/>
      </w:pPr>
      <w:r>
        <w:rPr>
          <w:rFonts w:hint="eastAsia"/>
        </w:rPr>
        <w:t>（</w:t>
      </w:r>
      <w:r>
        <w:rPr>
          <w:rFonts w:hint="eastAsia"/>
        </w:rPr>
        <w:t>2</w:t>
      </w:r>
      <w:r w:rsidR="00A9614F">
        <w:t>6</w:t>
      </w:r>
      <w:r>
        <w:rPr>
          <w:rFonts w:hint="eastAsia"/>
        </w:rPr>
        <w:t>）《</w:t>
      </w:r>
      <w:r>
        <w:t>关于发布</w:t>
      </w:r>
      <w:r>
        <w:t>&lt;</w:t>
      </w:r>
      <w:r>
        <w:t>优先控制化学品名录（第</w:t>
      </w:r>
      <w:r>
        <w:rPr>
          <w:rFonts w:hint="eastAsia"/>
        </w:rPr>
        <w:t>二</w:t>
      </w:r>
      <w:r>
        <w:t>批）</w:t>
      </w:r>
      <w:r>
        <w:rPr>
          <w:rFonts w:hint="eastAsia"/>
        </w:rPr>
        <w:t>&gt;</w:t>
      </w:r>
      <w:r>
        <w:t>的公告</w:t>
      </w:r>
      <w:r>
        <w:rPr>
          <w:rFonts w:hint="eastAsia"/>
        </w:rPr>
        <w:t>》（生态</w:t>
      </w:r>
      <w:r>
        <w:t>环境部</w:t>
      </w:r>
      <w:r>
        <w:rPr>
          <w:rFonts w:hint="eastAsia"/>
        </w:rPr>
        <w:t xml:space="preserve"> </w:t>
      </w:r>
      <w:r>
        <w:rPr>
          <w:rFonts w:hint="eastAsia"/>
        </w:rPr>
        <w:t>工业和信息化部</w:t>
      </w:r>
      <w:r>
        <w:rPr>
          <w:rFonts w:hint="eastAsia"/>
        </w:rPr>
        <w:t xml:space="preserve">  </w:t>
      </w:r>
      <w:r>
        <w:rPr>
          <w:rFonts w:hint="eastAsia"/>
        </w:rPr>
        <w:t>卫生健康委</w:t>
      </w:r>
      <w:r>
        <w:rPr>
          <w:rFonts w:hint="eastAsia"/>
        </w:rPr>
        <w:t xml:space="preserve"> </w:t>
      </w:r>
      <w:r>
        <w:rPr>
          <w:rFonts w:hint="eastAsia"/>
        </w:rPr>
        <w:t>公告</w:t>
      </w:r>
      <w:r>
        <w:rPr>
          <w:rFonts w:hint="eastAsia"/>
        </w:rPr>
        <w:t>2020</w:t>
      </w:r>
      <w:r>
        <w:rPr>
          <w:rFonts w:hint="eastAsia"/>
        </w:rPr>
        <w:t>年</w:t>
      </w:r>
      <w:r>
        <w:rPr>
          <w:rFonts w:hint="eastAsia"/>
        </w:rPr>
        <w:t xml:space="preserve"> </w:t>
      </w:r>
      <w:r>
        <w:rPr>
          <w:rFonts w:hint="eastAsia"/>
        </w:rPr>
        <w:t>第</w:t>
      </w:r>
      <w:r>
        <w:rPr>
          <w:rFonts w:hint="eastAsia"/>
        </w:rPr>
        <w:t>47</w:t>
      </w:r>
      <w:r>
        <w:rPr>
          <w:rFonts w:hint="eastAsia"/>
        </w:rPr>
        <w:t>号，</w:t>
      </w:r>
      <w:r>
        <w:rPr>
          <w:rFonts w:hint="eastAsia"/>
        </w:rPr>
        <w:t>2020</w:t>
      </w:r>
      <w:r>
        <w:rPr>
          <w:rFonts w:hint="eastAsia"/>
        </w:rPr>
        <w:t>年</w:t>
      </w:r>
      <w:r>
        <w:rPr>
          <w:rFonts w:hint="eastAsia"/>
        </w:rPr>
        <w:t>11</w:t>
      </w:r>
      <w:r>
        <w:rPr>
          <w:rFonts w:hint="eastAsia"/>
        </w:rPr>
        <w:t>月</w:t>
      </w:r>
      <w:r>
        <w:rPr>
          <w:rFonts w:hint="eastAsia"/>
        </w:rPr>
        <w:t>2</w:t>
      </w:r>
      <w:r>
        <w:rPr>
          <w:rFonts w:hint="eastAsia"/>
        </w:rPr>
        <w:t>日</w:t>
      </w:r>
      <w:r>
        <w:t>）；</w:t>
      </w:r>
    </w:p>
    <w:p w:rsidR="004E3021" w:rsidRDefault="00606E48">
      <w:pPr>
        <w:ind w:firstLine="480"/>
      </w:pPr>
      <w:r>
        <w:rPr>
          <w:rFonts w:hint="eastAsia"/>
        </w:rPr>
        <w:t>（</w:t>
      </w:r>
      <w:r w:rsidR="00A9614F">
        <w:t>27</w:t>
      </w:r>
      <w:r>
        <w:rPr>
          <w:rFonts w:hint="eastAsia"/>
        </w:rPr>
        <w:t>）</w:t>
      </w:r>
      <w:r>
        <w:t>《关于发布</w:t>
      </w:r>
      <w:r>
        <w:rPr>
          <w:rFonts w:hint="eastAsia"/>
        </w:rPr>
        <w:t>&lt;</w:t>
      </w:r>
      <w:r>
        <w:t>有毒有害大气污染物名录（</w:t>
      </w:r>
      <w:r>
        <w:t>2018</w:t>
      </w:r>
      <w:r>
        <w:t>年）</w:t>
      </w:r>
      <w:r>
        <w:rPr>
          <w:rFonts w:hint="eastAsia"/>
        </w:rPr>
        <w:t>&gt;</w:t>
      </w:r>
      <w:r>
        <w:t>的公告》</w:t>
      </w:r>
      <w:r>
        <w:rPr>
          <w:rFonts w:hint="eastAsia"/>
        </w:rPr>
        <w:t>（</w:t>
      </w:r>
      <w:r>
        <w:t>生态环境部</w:t>
      </w:r>
      <w:r>
        <w:t xml:space="preserve"> </w:t>
      </w:r>
      <w:r>
        <w:t>卫生健康委员会</w:t>
      </w:r>
      <w:r>
        <w:t xml:space="preserve"> </w:t>
      </w:r>
      <w:r>
        <w:t>公告</w:t>
      </w:r>
      <w:r>
        <w:t>2019</w:t>
      </w:r>
      <w:r>
        <w:t>年</w:t>
      </w:r>
      <w:r>
        <w:t xml:space="preserve"> </w:t>
      </w:r>
      <w:r>
        <w:t>第</w:t>
      </w:r>
      <w:r>
        <w:t>4</w:t>
      </w:r>
      <w:r>
        <w:t>号</w:t>
      </w:r>
      <w:r>
        <w:rPr>
          <w:rFonts w:hint="eastAsia"/>
        </w:rPr>
        <w:t>，</w:t>
      </w:r>
      <w:r>
        <w:t>2019</w:t>
      </w:r>
      <w:r>
        <w:t>年</w:t>
      </w:r>
      <w:r>
        <w:t>1</w:t>
      </w:r>
      <w:r>
        <w:t>月</w:t>
      </w:r>
      <w:r>
        <w:t>25</w:t>
      </w:r>
      <w:r>
        <w:t>日</w:t>
      </w:r>
      <w:r>
        <w:rPr>
          <w:rFonts w:hint="eastAsia"/>
        </w:rPr>
        <w:t>）；</w:t>
      </w:r>
    </w:p>
    <w:p w:rsidR="004E3021" w:rsidRDefault="00606E48">
      <w:pPr>
        <w:ind w:firstLine="480"/>
      </w:pPr>
      <w:r>
        <w:rPr>
          <w:rFonts w:hint="eastAsia"/>
        </w:rPr>
        <w:t>（</w:t>
      </w:r>
      <w:r w:rsidR="00A9614F">
        <w:t>28</w:t>
      </w:r>
      <w:r>
        <w:rPr>
          <w:rFonts w:hint="eastAsia"/>
        </w:rPr>
        <w:t>）</w:t>
      </w:r>
      <w:r>
        <w:t>《关于发布</w:t>
      </w:r>
      <w:r>
        <w:rPr>
          <w:rFonts w:hint="eastAsia"/>
        </w:rPr>
        <w:t>&lt;</w:t>
      </w:r>
      <w:r>
        <w:t>有毒有害水污染物名录（第一批）</w:t>
      </w:r>
      <w:r>
        <w:rPr>
          <w:rFonts w:hint="eastAsia"/>
        </w:rPr>
        <w:t>&gt;</w:t>
      </w:r>
      <w:r>
        <w:t>的公告》</w:t>
      </w:r>
      <w:r>
        <w:rPr>
          <w:rFonts w:hint="eastAsia"/>
        </w:rPr>
        <w:t>（</w:t>
      </w:r>
      <w:r>
        <w:t>生态环境部</w:t>
      </w:r>
      <w:r>
        <w:t xml:space="preserve"> </w:t>
      </w:r>
      <w:r>
        <w:rPr>
          <w:rFonts w:hint="eastAsia"/>
        </w:rPr>
        <w:t>卫生</w:t>
      </w:r>
      <w:r>
        <w:t>健康委</w:t>
      </w:r>
      <w:r>
        <w:t xml:space="preserve"> </w:t>
      </w:r>
      <w:r>
        <w:t>公告</w:t>
      </w:r>
      <w:r>
        <w:t>2019</w:t>
      </w:r>
      <w:r>
        <w:t>年</w:t>
      </w:r>
      <w:r>
        <w:t xml:space="preserve"> </w:t>
      </w:r>
      <w:r>
        <w:t>第</w:t>
      </w:r>
      <w:r>
        <w:t>28</w:t>
      </w:r>
      <w:r>
        <w:t>号</w:t>
      </w:r>
      <w:r>
        <w:rPr>
          <w:rFonts w:hint="eastAsia"/>
        </w:rPr>
        <w:t>，</w:t>
      </w:r>
      <w:r>
        <w:t>2019</w:t>
      </w:r>
      <w:r>
        <w:t>年</w:t>
      </w:r>
      <w:r>
        <w:t>7</w:t>
      </w:r>
      <w:r>
        <w:t>月</w:t>
      </w:r>
      <w:r>
        <w:t>24</w:t>
      </w:r>
      <w:r>
        <w:t>日</w:t>
      </w:r>
      <w:r>
        <w:rPr>
          <w:rFonts w:hint="eastAsia"/>
        </w:rPr>
        <w:t>）；</w:t>
      </w:r>
    </w:p>
    <w:p w:rsidR="004E3021" w:rsidRDefault="00606E48">
      <w:pPr>
        <w:ind w:firstLine="480"/>
      </w:pPr>
      <w:r>
        <w:rPr>
          <w:rFonts w:hint="eastAsia"/>
        </w:rPr>
        <w:t>（</w:t>
      </w:r>
      <w:r w:rsidR="00A9614F">
        <w:t>29</w:t>
      </w:r>
      <w:r>
        <w:rPr>
          <w:rFonts w:hint="eastAsia"/>
        </w:rPr>
        <w:t>）</w:t>
      </w:r>
      <w:r>
        <w:t>《关于加强高耗能、高排放建设项目生态环境源头防控的指导意见》</w:t>
      </w:r>
      <w:r>
        <w:rPr>
          <w:rFonts w:hint="eastAsia"/>
        </w:rPr>
        <w:t>（</w:t>
      </w:r>
      <w:r>
        <w:t>生态环境部</w:t>
      </w:r>
      <w:r>
        <w:t xml:space="preserve"> </w:t>
      </w:r>
      <w:r>
        <w:t>环环评〔</w:t>
      </w:r>
      <w:r>
        <w:t>2021</w:t>
      </w:r>
      <w:r>
        <w:t>〕</w:t>
      </w:r>
      <w:r>
        <w:t>45</w:t>
      </w:r>
      <w:r>
        <w:t>号</w:t>
      </w:r>
      <w:r>
        <w:rPr>
          <w:rFonts w:hint="eastAsia"/>
        </w:rPr>
        <w:t>，</w:t>
      </w:r>
      <w:r>
        <w:t>2021</w:t>
      </w:r>
      <w:r>
        <w:t>年</w:t>
      </w:r>
      <w:r>
        <w:t>5</w:t>
      </w:r>
      <w:r>
        <w:t>月</w:t>
      </w:r>
      <w:r>
        <w:t>30</w:t>
      </w:r>
      <w:r>
        <w:t>日</w:t>
      </w:r>
      <w:r>
        <w:rPr>
          <w:rFonts w:hint="eastAsia"/>
        </w:rPr>
        <w:t>）；</w:t>
      </w:r>
    </w:p>
    <w:p w:rsidR="004E3021" w:rsidRDefault="00606E48">
      <w:pPr>
        <w:ind w:firstLine="480"/>
      </w:pPr>
      <w:r>
        <w:rPr>
          <w:rFonts w:hint="eastAsia"/>
        </w:rPr>
        <w:t>（</w:t>
      </w:r>
      <w:r>
        <w:rPr>
          <w:rFonts w:hint="eastAsia"/>
        </w:rPr>
        <w:t>3</w:t>
      </w:r>
      <w:r w:rsidR="00A9614F">
        <w:t>0</w:t>
      </w:r>
      <w:r>
        <w:rPr>
          <w:rFonts w:hint="eastAsia"/>
        </w:rPr>
        <w:t>）《关于印发</w:t>
      </w:r>
      <w:r>
        <w:t>&lt;</w:t>
      </w:r>
      <w:r>
        <w:rPr>
          <w:rFonts w:hint="eastAsia"/>
        </w:rPr>
        <w:t>“十四五”工业绿色发展规划</w:t>
      </w:r>
      <w:r>
        <w:t>&gt;</w:t>
      </w:r>
      <w:r>
        <w:rPr>
          <w:rFonts w:hint="eastAsia"/>
        </w:rPr>
        <w:t>的通知》（工信部规</w:t>
      </w:r>
      <w:r>
        <w:t>〔</w:t>
      </w:r>
      <w:r>
        <w:t>2021</w:t>
      </w:r>
      <w:r>
        <w:t>〕</w:t>
      </w:r>
      <w:r>
        <w:t>178</w:t>
      </w:r>
      <w:r>
        <w:t>号</w:t>
      </w:r>
      <w:r>
        <w:rPr>
          <w:rFonts w:hint="eastAsia"/>
        </w:rPr>
        <w:t>，</w:t>
      </w:r>
      <w:r>
        <w:rPr>
          <w:rFonts w:hint="eastAsia"/>
        </w:rPr>
        <w:t>2</w:t>
      </w:r>
      <w:r>
        <w:t>021</w:t>
      </w:r>
      <w:r>
        <w:rPr>
          <w:rFonts w:hint="eastAsia"/>
        </w:rPr>
        <w:t>年</w:t>
      </w:r>
      <w:r>
        <w:rPr>
          <w:rFonts w:hint="eastAsia"/>
        </w:rPr>
        <w:t>1</w:t>
      </w:r>
      <w:r>
        <w:t>2</w:t>
      </w:r>
      <w:r>
        <w:rPr>
          <w:rFonts w:hint="eastAsia"/>
        </w:rPr>
        <w:t>月</w:t>
      </w:r>
      <w:r>
        <w:rPr>
          <w:rFonts w:hint="eastAsia"/>
        </w:rPr>
        <w:t>3</w:t>
      </w:r>
      <w:r>
        <w:rPr>
          <w:rFonts w:hint="eastAsia"/>
        </w:rPr>
        <w:t>日）；</w:t>
      </w:r>
    </w:p>
    <w:p w:rsidR="004E3021" w:rsidRDefault="00606E48">
      <w:pPr>
        <w:ind w:firstLine="480"/>
      </w:pPr>
      <w:r>
        <w:rPr>
          <w:rFonts w:hint="eastAsia"/>
        </w:rPr>
        <w:t>（</w:t>
      </w:r>
      <w:r>
        <w:rPr>
          <w:rFonts w:hint="eastAsia"/>
        </w:rPr>
        <w:t>3</w:t>
      </w:r>
      <w:r w:rsidR="00A9614F">
        <w:t>1</w:t>
      </w:r>
      <w:r>
        <w:rPr>
          <w:rFonts w:hint="eastAsia"/>
        </w:rPr>
        <w:t>）《</w:t>
      </w:r>
      <w:r>
        <w:t>加强规划环境影响评价与建设项目环境影响评价联动工作的意见</w:t>
      </w:r>
      <w:r>
        <w:rPr>
          <w:rFonts w:hint="eastAsia"/>
        </w:rPr>
        <w:t>（试行）》（</w:t>
      </w:r>
      <w:r>
        <w:t>环境保护部办公厅文件</w:t>
      </w:r>
      <w:r>
        <w:t xml:space="preserve"> </w:t>
      </w:r>
      <w:r>
        <w:t>环办环评〔</w:t>
      </w:r>
      <w:r>
        <w:t>2016</w:t>
      </w:r>
      <w:r>
        <w:t>〕</w:t>
      </w:r>
      <w:r>
        <w:t>14</w:t>
      </w:r>
      <w:r>
        <w:t>号，</w:t>
      </w:r>
      <w:r>
        <w:t>2016</w:t>
      </w:r>
      <w:r>
        <w:t>年</w:t>
      </w:r>
      <w:r>
        <w:t>12</w:t>
      </w:r>
      <w:r>
        <w:t>月</w:t>
      </w:r>
      <w:r>
        <w:t>24</w:t>
      </w:r>
      <w:r>
        <w:t>日</w:t>
      </w:r>
      <w:r>
        <w:rPr>
          <w:rFonts w:hint="eastAsia"/>
        </w:rPr>
        <w:t>）；</w:t>
      </w:r>
    </w:p>
    <w:p w:rsidR="004E3021" w:rsidRDefault="00606E48">
      <w:pPr>
        <w:ind w:firstLine="480"/>
      </w:pPr>
      <w:r>
        <w:rPr>
          <w:rFonts w:hint="eastAsia"/>
        </w:rPr>
        <w:lastRenderedPageBreak/>
        <w:t>（</w:t>
      </w:r>
      <w:r>
        <w:rPr>
          <w:rFonts w:hint="eastAsia"/>
        </w:rPr>
        <w:t>3</w:t>
      </w:r>
      <w:r w:rsidR="00A9614F">
        <w:t>2</w:t>
      </w:r>
      <w:r>
        <w:rPr>
          <w:rFonts w:hint="eastAsia"/>
        </w:rPr>
        <w:t>）《长江经济带发展负面清单指南（试行，</w:t>
      </w:r>
      <w:r>
        <w:rPr>
          <w:rFonts w:hint="eastAsia"/>
        </w:rPr>
        <w:t>2</w:t>
      </w:r>
      <w:r>
        <w:t>022</w:t>
      </w:r>
      <w:r>
        <w:rPr>
          <w:rFonts w:hint="eastAsia"/>
        </w:rPr>
        <w:t>年版）》（推动</w:t>
      </w:r>
      <w:r>
        <w:t>长江经济</w:t>
      </w:r>
      <w:r>
        <w:rPr>
          <w:rFonts w:hint="eastAsia"/>
        </w:rPr>
        <w:t>带</w:t>
      </w:r>
      <w:r>
        <w:t>发展</w:t>
      </w:r>
      <w:r>
        <w:rPr>
          <w:rFonts w:hint="eastAsia"/>
        </w:rPr>
        <w:t>领导</w:t>
      </w:r>
      <w:r>
        <w:t>小组办公室</w:t>
      </w:r>
      <w:r>
        <w:rPr>
          <w:rFonts w:hint="eastAsia"/>
        </w:rPr>
        <w:t xml:space="preserve"> </w:t>
      </w:r>
      <w:r>
        <w:rPr>
          <w:rFonts w:hint="eastAsia"/>
        </w:rPr>
        <w:t>长江办</w:t>
      </w:r>
      <w:r>
        <w:rPr>
          <w:rFonts w:hint="eastAsia"/>
        </w:rPr>
        <w:t>[</w:t>
      </w:r>
      <w:r>
        <w:t>2022</w:t>
      </w:r>
      <w:r>
        <w:rPr>
          <w:rFonts w:hint="eastAsia"/>
        </w:rPr>
        <w:t>]</w:t>
      </w:r>
      <w:r>
        <w:t>7</w:t>
      </w:r>
      <w:r>
        <w:rPr>
          <w:rFonts w:hint="eastAsia"/>
        </w:rPr>
        <w:t>号</w:t>
      </w:r>
      <w:r>
        <w:t>，</w:t>
      </w:r>
      <w:r>
        <w:rPr>
          <w:rFonts w:hint="eastAsia"/>
        </w:rPr>
        <w:t>2022</w:t>
      </w:r>
      <w:r>
        <w:rPr>
          <w:rFonts w:hint="eastAsia"/>
        </w:rPr>
        <w:t>年</w:t>
      </w:r>
      <w:r>
        <w:rPr>
          <w:rFonts w:hint="eastAsia"/>
        </w:rPr>
        <w:t>2</w:t>
      </w:r>
      <w:r>
        <w:rPr>
          <w:rFonts w:hint="eastAsia"/>
        </w:rPr>
        <w:t>月</w:t>
      </w:r>
      <w:r>
        <w:rPr>
          <w:rFonts w:hint="eastAsia"/>
        </w:rPr>
        <w:t>16</w:t>
      </w:r>
      <w:r>
        <w:rPr>
          <w:rFonts w:hint="eastAsia"/>
        </w:rPr>
        <w:t>日）</w:t>
      </w:r>
      <w:r w:rsidR="00A9614F">
        <w:rPr>
          <w:rFonts w:hint="eastAsia"/>
        </w:rPr>
        <w:t>；</w:t>
      </w:r>
    </w:p>
    <w:p w:rsidR="00A9614F" w:rsidRPr="00A9614F" w:rsidRDefault="00A9614F" w:rsidP="00A9614F">
      <w:pPr>
        <w:pStyle w:val="affffffffa"/>
        <w:ind w:firstLine="480"/>
      </w:pPr>
      <w:r>
        <w:rPr>
          <w:rFonts w:hint="eastAsia"/>
        </w:rPr>
        <w:t>（</w:t>
      </w:r>
      <w:r>
        <w:rPr>
          <w:rFonts w:hint="eastAsia"/>
        </w:rPr>
        <w:t>3</w:t>
      </w:r>
      <w:r>
        <w:t>3</w:t>
      </w:r>
      <w:r>
        <w:rPr>
          <w:rFonts w:hint="eastAsia"/>
        </w:rPr>
        <w:t>）</w:t>
      </w:r>
      <w:r w:rsidRPr="00A9614F">
        <w:rPr>
          <w:rFonts w:hint="eastAsia"/>
        </w:rPr>
        <w:t>《市场准入负面清单（</w:t>
      </w:r>
      <w:r w:rsidRPr="00A9614F">
        <w:t>202</w:t>
      </w:r>
      <w:r w:rsidRPr="00A9614F">
        <w:rPr>
          <w:rFonts w:hint="eastAsia"/>
        </w:rPr>
        <w:t>5</w:t>
      </w:r>
      <w:r w:rsidRPr="00A9614F">
        <w:rPr>
          <w:rFonts w:hint="eastAsia"/>
        </w:rPr>
        <w:t>年版）》，发改体改规〔</w:t>
      </w:r>
      <w:r w:rsidRPr="00A9614F">
        <w:t>202</w:t>
      </w:r>
      <w:r w:rsidRPr="00A9614F">
        <w:rPr>
          <w:rFonts w:hint="eastAsia"/>
        </w:rPr>
        <w:t>5</w:t>
      </w:r>
      <w:r w:rsidRPr="00A9614F">
        <w:rPr>
          <w:rFonts w:hint="eastAsia"/>
        </w:rPr>
        <w:t>〕</w:t>
      </w:r>
      <w:r w:rsidRPr="00A9614F">
        <w:rPr>
          <w:rFonts w:hint="eastAsia"/>
        </w:rPr>
        <w:t>466</w:t>
      </w:r>
      <w:r w:rsidRPr="00A9614F">
        <w:rPr>
          <w:rFonts w:hint="eastAsia"/>
        </w:rPr>
        <w:t>号，</w:t>
      </w:r>
      <w:r w:rsidRPr="00A9614F">
        <w:t>2025</w:t>
      </w:r>
      <w:r w:rsidRPr="00A9614F">
        <w:t>年</w:t>
      </w:r>
      <w:r w:rsidRPr="00A9614F">
        <w:t>4</w:t>
      </w:r>
      <w:r w:rsidRPr="00A9614F">
        <w:t>月</w:t>
      </w:r>
      <w:r w:rsidRPr="00A9614F">
        <w:t>1</w:t>
      </w:r>
      <w:r w:rsidRPr="00A9614F">
        <w:rPr>
          <w:rFonts w:hint="eastAsia"/>
        </w:rPr>
        <w:t>6</w:t>
      </w:r>
      <w:r w:rsidRPr="00A9614F">
        <w:t>日</w:t>
      </w:r>
      <w:r w:rsidRPr="00A9614F">
        <w:rPr>
          <w:rFonts w:hint="eastAsia"/>
        </w:rPr>
        <w:t>；</w:t>
      </w:r>
    </w:p>
    <w:p w:rsidR="00A9614F" w:rsidRPr="00A9614F" w:rsidRDefault="00A9614F" w:rsidP="00A9614F">
      <w:pPr>
        <w:pStyle w:val="affffffffa"/>
        <w:ind w:firstLine="480"/>
      </w:pPr>
      <w:r>
        <w:rPr>
          <w:rFonts w:hint="eastAsia"/>
        </w:rPr>
        <w:t>（</w:t>
      </w:r>
      <w:r>
        <w:rPr>
          <w:rFonts w:hint="eastAsia"/>
        </w:rPr>
        <w:t>3</w:t>
      </w:r>
      <w:r>
        <w:t>4</w:t>
      </w:r>
      <w:r>
        <w:rPr>
          <w:rFonts w:hint="eastAsia"/>
        </w:rPr>
        <w:t>）</w:t>
      </w:r>
      <w:r w:rsidRPr="00A9614F">
        <w:rPr>
          <w:rFonts w:hint="eastAsia"/>
        </w:rPr>
        <w:t>《关于印发地下水污染防治实施方案的通知》（环土壤〔</w:t>
      </w:r>
      <w:r w:rsidRPr="00A9614F">
        <w:t>2019</w:t>
      </w:r>
      <w:r w:rsidRPr="00A9614F">
        <w:rPr>
          <w:rFonts w:hint="eastAsia"/>
        </w:rPr>
        <w:t>〕</w:t>
      </w:r>
      <w:r w:rsidRPr="00A9614F">
        <w:t>25</w:t>
      </w:r>
      <w:r w:rsidRPr="00A9614F">
        <w:rPr>
          <w:rFonts w:hint="eastAsia"/>
        </w:rPr>
        <w:t>号），</w:t>
      </w:r>
      <w:r w:rsidRPr="00A9614F">
        <w:t>2019</w:t>
      </w:r>
      <w:r w:rsidRPr="00A9614F">
        <w:rPr>
          <w:rFonts w:hint="eastAsia"/>
        </w:rPr>
        <w:t>年</w:t>
      </w:r>
      <w:r w:rsidRPr="00A9614F">
        <w:t>3</w:t>
      </w:r>
      <w:r w:rsidRPr="00A9614F">
        <w:rPr>
          <w:rFonts w:hint="eastAsia"/>
        </w:rPr>
        <w:t>月</w:t>
      </w:r>
      <w:r w:rsidRPr="00A9614F">
        <w:t>28</w:t>
      </w:r>
      <w:r w:rsidRPr="00A9614F">
        <w:rPr>
          <w:rFonts w:hint="eastAsia"/>
        </w:rPr>
        <w:t>日；</w:t>
      </w:r>
    </w:p>
    <w:p w:rsidR="00A9614F" w:rsidRDefault="00A9614F" w:rsidP="00A9614F">
      <w:pPr>
        <w:pStyle w:val="affffffffa"/>
        <w:ind w:firstLine="480"/>
      </w:pPr>
      <w:r>
        <w:rPr>
          <w:rFonts w:hint="eastAsia"/>
        </w:rPr>
        <w:t>（</w:t>
      </w:r>
      <w:r>
        <w:rPr>
          <w:rFonts w:hint="eastAsia"/>
        </w:rPr>
        <w:t>3</w:t>
      </w:r>
      <w:r>
        <w:t>5</w:t>
      </w:r>
      <w:r>
        <w:rPr>
          <w:rFonts w:hint="eastAsia"/>
        </w:rPr>
        <w:t>）《</w:t>
      </w:r>
      <w:r>
        <w:t>关于</w:t>
      </w:r>
      <w:r>
        <w:rPr>
          <w:rFonts w:hint="eastAsia"/>
        </w:rPr>
        <w:t>&lt;</w:t>
      </w:r>
      <w:r>
        <w:t>加强重点行业涉新污染物建设项目环境影响评价工作</w:t>
      </w:r>
      <w:r>
        <w:rPr>
          <w:rFonts w:hint="eastAsia"/>
        </w:rPr>
        <w:t>&gt;</w:t>
      </w:r>
      <w:r>
        <w:t>的意见》</w:t>
      </w:r>
      <w:r>
        <w:rPr>
          <w:rFonts w:hint="eastAsia"/>
        </w:rPr>
        <w:t>》</w:t>
      </w:r>
      <w:r>
        <w:t>（环环评〔</w:t>
      </w:r>
      <w:r>
        <w:t>2025</w:t>
      </w:r>
      <w:r>
        <w:t>〕</w:t>
      </w:r>
      <w:r>
        <w:t>28</w:t>
      </w:r>
      <w:r>
        <w:t>号），</w:t>
      </w:r>
      <w:r>
        <w:t>2025</w:t>
      </w:r>
      <w:r>
        <w:t>年</w:t>
      </w:r>
      <w:r>
        <w:t>4</w:t>
      </w:r>
      <w:r>
        <w:t>月</w:t>
      </w:r>
      <w:r>
        <w:t>10</w:t>
      </w:r>
      <w:r>
        <w:t>日</w:t>
      </w:r>
      <w:r>
        <w:rPr>
          <w:rFonts w:hint="eastAsia"/>
        </w:rPr>
        <w:t>；</w:t>
      </w:r>
    </w:p>
    <w:p w:rsidR="00A9614F" w:rsidRDefault="00A9614F" w:rsidP="00A9614F">
      <w:pPr>
        <w:pStyle w:val="affffffffa"/>
        <w:ind w:firstLine="480"/>
      </w:pPr>
      <w:r>
        <w:rPr>
          <w:rFonts w:hint="eastAsia"/>
        </w:rPr>
        <w:t>（</w:t>
      </w:r>
      <w:r>
        <w:rPr>
          <w:rFonts w:hint="eastAsia"/>
        </w:rPr>
        <w:t>3</w:t>
      </w:r>
      <w:r>
        <w:t>6</w:t>
      </w:r>
      <w:r>
        <w:rPr>
          <w:rFonts w:hint="eastAsia"/>
        </w:rPr>
        <w:t>）《国务院关于印发</w:t>
      </w:r>
      <w:r>
        <w:rPr>
          <w:rFonts w:hint="eastAsia"/>
        </w:rPr>
        <w:t>&lt;2024</w:t>
      </w:r>
      <w:r>
        <w:rPr>
          <w:rFonts w:hint="eastAsia"/>
        </w:rPr>
        <w:t>—</w:t>
      </w:r>
      <w:r>
        <w:rPr>
          <w:rFonts w:hint="eastAsia"/>
        </w:rPr>
        <w:t>2025</w:t>
      </w:r>
      <w:r>
        <w:rPr>
          <w:rFonts w:hint="eastAsia"/>
        </w:rPr>
        <w:t>年节能降碳行动方案</w:t>
      </w:r>
      <w:r>
        <w:rPr>
          <w:rFonts w:hint="eastAsia"/>
        </w:rPr>
        <w:t>&gt;</w:t>
      </w:r>
      <w:r>
        <w:rPr>
          <w:rFonts w:hint="eastAsia"/>
        </w:rPr>
        <w:t>的通知》（国发〔</w:t>
      </w:r>
      <w:r>
        <w:rPr>
          <w:rFonts w:hint="eastAsia"/>
        </w:rPr>
        <w:t>2024</w:t>
      </w:r>
      <w:r>
        <w:rPr>
          <w:rFonts w:hint="eastAsia"/>
        </w:rPr>
        <w:t>〕</w:t>
      </w:r>
      <w:r>
        <w:rPr>
          <w:rFonts w:hint="eastAsia"/>
        </w:rPr>
        <w:t>12</w:t>
      </w:r>
      <w:r>
        <w:rPr>
          <w:rFonts w:hint="eastAsia"/>
        </w:rPr>
        <w:t>号），</w:t>
      </w:r>
      <w:r>
        <w:rPr>
          <w:rFonts w:hint="eastAsia"/>
        </w:rPr>
        <w:t>2024</w:t>
      </w:r>
      <w:r>
        <w:rPr>
          <w:rFonts w:hint="eastAsia"/>
        </w:rPr>
        <w:t>年</w:t>
      </w:r>
      <w:r>
        <w:rPr>
          <w:rFonts w:hint="eastAsia"/>
        </w:rPr>
        <w:t>05</w:t>
      </w:r>
      <w:r>
        <w:rPr>
          <w:rFonts w:hint="eastAsia"/>
        </w:rPr>
        <w:t>月</w:t>
      </w:r>
      <w:r>
        <w:rPr>
          <w:rFonts w:hint="eastAsia"/>
        </w:rPr>
        <w:t>29</w:t>
      </w:r>
      <w:r>
        <w:rPr>
          <w:rFonts w:hint="eastAsia"/>
        </w:rPr>
        <w:t>日。</w:t>
      </w:r>
    </w:p>
    <w:p w:rsidR="004E3021" w:rsidRDefault="00606E48">
      <w:pPr>
        <w:pStyle w:val="afffffffffffffffff4"/>
      </w:pPr>
      <w:bookmarkStart w:id="29" w:name="_Toc100783953"/>
      <w:bookmarkStart w:id="30" w:name="_Toc101135781"/>
      <w:bookmarkStart w:id="31" w:name="_Toc108662547"/>
      <w:bookmarkStart w:id="32" w:name="_Toc221088712"/>
      <w:bookmarkStart w:id="33" w:name="_Toc221500927"/>
      <w:r>
        <w:t>2.1.2</w:t>
      </w:r>
      <w:r>
        <w:rPr>
          <w:rFonts w:hint="eastAsia"/>
        </w:rPr>
        <w:t>安徽省及地方有关法律、法规</w:t>
      </w:r>
      <w:bookmarkEnd w:id="29"/>
      <w:bookmarkEnd w:id="30"/>
      <w:bookmarkEnd w:id="31"/>
      <w:bookmarkEnd w:id="32"/>
      <w:bookmarkEnd w:id="33"/>
    </w:p>
    <w:p w:rsidR="004E3021" w:rsidRDefault="00606E48">
      <w:pPr>
        <w:ind w:firstLine="480"/>
      </w:pPr>
      <w:bookmarkStart w:id="34" w:name="_Toc100783954"/>
      <w:bookmarkStart w:id="35" w:name="_Toc101135782"/>
      <w:r>
        <w:rPr>
          <w:rFonts w:ascii="宋体" w:hAnsi="宋体" w:hint="eastAsia"/>
        </w:rPr>
        <w:t>（</w:t>
      </w:r>
      <w:r>
        <w:rPr>
          <w:rFonts w:hint="eastAsia"/>
        </w:rPr>
        <w:t>1</w:t>
      </w:r>
      <w:r>
        <w:rPr>
          <w:rFonts w:ascii="宋体" w:hAnsi="宋体" w:hint="eastAsia"/>
        </w:rPr>
        <w:t>）《安徽省环境保护条例》（</w:t>
      </w:r>
      <w:r>
        <w:rPr>
          <w:rFonts w:hint="eastAsia"/>
        </w:rPr>
        <w:t>2017</w:t>
      </w:r>
      <w:r>
        <w:rPr>
          <w:rFonts w:ascii="宋体" w:hAnsi="宋体" w:hint="eastAsia"/>
        </w:rPr>
        <w:t>年</w:t>
      </w:r>
      <w:r>
        <w:rPr>
          <w:rFonts w:hint="eastAsia"/>
        </w:rPr>
        <w:t>11</w:t>
      </w:r>
      <w:r>
        <w:rPr>
          <w:rFonts w:ascii="宋体" w:hAnsi="宋体" w:hint="eastAsia"/>
        </w:rPr>
        <w:t>月</w:t>
      </w:r>
      <w:r>
        <w:rPr>
          <w:rFonts w:hint="eastAsia"/>
        </w:rPr>
        <w:t>17</w:t>
      </w:r>
      <w:r>
        <w:rPr>
          <w:rFonts w:ascii="宋体" w:hAnsi="宋体" w:hint="eastAsia"/>
        </w:rPr>
        <w:t>日修订，</w:t>
      </w:r>
      <w:r>
        <w:rPr>
          <w:rFonts w:hint="eastAsia"/>
        </w:rPr>
        <w:t>20</w:t>
      </w:r>
      <w:r>
        <w:t>18</w:t>
      </w:r>
      <w:r>
        <w:rPr>
          <w:rFonts w:ascii="宋体" w:hAnsi="宋体" w:hint="eastAsia"/>
        </w:rPr>
        <w:t>年</w:t>
      </w:r>
      <w:r>
        <w:rPr>
          <w:rFonts w:hint="eastAsia"/>
        </w:rPr>
        <w:t>1</w:t>
      </w:r>
      <w:r>
        <w:rPr>
          <w:rFonts w:ascii="宋体" w:hAnsi="宋体" w:hint="eastAsia"/>
        </w:rPr>
        <w:t>月</w:t>
      </w:r>
      <w:r>
        <w:rPr>
          <w:rFonts w:hint="eastAsia"/>
        </w:rPr>
        <w:t>1</w:t>
      </w:r>
      <w:r>
        <w:rPr>
          <w:rFonts w:ascii="宋体" w:hAnsi="宋体" w:hint="eastAsia"/>
        </w:rPr>
        <w:t>日施行）；</w:t>
      </w:r>
    </w:p>
    <w:p w:rsidR="004E3021" w:rsidRDefault="00606E48">
      <w:pPr>
        <w:ind w:firstLine="480"/>
        <w:rPr>
          <w:rFonts w:ascii="宋体" w:hAnsi="宋体"/>
        </w:rPr>
      </w:pPr>
      <w:r>
        <w:rPr>
          <w:rFonts w:hint="eastAsia"/>
        </w:rPr>
        <w:t>（</w:t>
      </w:r>
      <w:r>
        <w:rPr>
          <w:rFonts w:hint="eastAsia"/>
        </w:rPr>
        <w:t>2</w:t>
      </w:r>
      <w:r>
        <w:rPr>
          <w:rFonts w:hint="eastAsia"/>
        </w:rPr>
        <w:t>）</w:t>
      </w:r>
      <w:r>
        <w:t>《安徽省环保厅关于加强土壤环境污染重点监管企业土壤环境监管的通知》</w:t>
      </w:r>
      <w:r>
        <w:rPr>
          <w:rFonts w:hint="eastAsia"/>
        </w:rPr>
        <w:t>（</w:t>
      </w:r>
      <w:r>
        <w:t>安徽省环保厅</w:t>
      </w:r>
      <w:r>
        <w:t xml:space="preserve"> </w:t>
      </w:r>
      <w:r>
        <w:t>皖环函〔</w:t>
      </w:r>
      <w:r>
        <w:t>2018</w:t>
      </w:r>
      <w:r>
        <w:t>〕</w:t>
      </w:r>
      <w:r>
        <w:t>955</w:t>
      </w:r>
      <w:r>
        <w:t>号</w:t>
      </w:r>
      <w:r>
        <w:rPr>
          <w:rFonts w:hint="eastAsia"/>
        </w:rPr>
        <w:t>，</w:t>
      </w:r>
      <w:r>
        <w:t>2018</w:t>
      </w:r>
      <w:r>
        <w:t>年</w:t>
      </w:r>
      <w:r>
        <w:t>7</w:t>
      </w:r>
      <w:r>
        <w:t>月</w:t>
      </w:r>
      <w:r>
        <w:t>23</w:t>
      </w:r>
      <w:r>
        <w:t>日</w:t>
      </w:r>
      <w:r>
        <w:rPr>
          <w:rFonts w:hint="eastAsia"/>
        </w:rPr>
        <w:t>）；</w:t>
      </w:r>
    </w:p>
    <w:p w:rsidR="004E3021" w:rsidRDefault="00606E48">
      <w:pPr>
        <w:ind w:firstLine="480"/>
        <w:rPr>
          <w:rFonts w:ascii="宋体" w:hAnsi="宋体"/>
        </w:rPr>
      </w:pPr>
      <w:r>
        <w:rPr>
          <w:rFonts w:hint="eastAsia"/>
        </w:rPr>
        <w:t>（</w:t>
      </w:r>
      <w:r>
        <w:rPr>
          <w:rFonts w:hint="eastAsia"/>
        </w:rPr>
        <w:t>3</w:t>
      </w:r>
      <w:r>
        <w:rPr>
          <w:rFonts w:hint="eastAsia"/>
        </w:rPr>
        <w:t>）</w:t>
      </w:r>
      <w:r>
        <w:t>《安徽省生态环境厅关于加强高耗能、高排放项目生态环境源头防控的实施意见的通知》</w:t>
      </w:r>
      <w:r>
        <w:rPr>
          <w:rFonts w:hint="eastAsia"/>
        </w:rPr>
        <w:t>（</w:t>
      </w:r>
      <w:r>
        <w:t>安徽省生态环境厅</w:t>
      </w:r>
      <w:r>
        <w:rPr>
          <w:rFonts w:hint="eastAsia"/>
        </w:rPr>
        <w:t>，</w:t>
      </w:r>
      <w:r>
        <w:t>2021</w:t>
      </w:r>
      <w:r>
        <w:t>年</w:t>
      </w:r>
      <w:r>
        <w:t>6</w:t>
      </w:r>
      <w:r>
        <w:t>月</w:t>
      </w:r>
      <w:r>
        <w:t>14</w:t>
      </w:r>
      <w:r>
        <w:t>日</w:t>
      </w:r>
      <w:r>
        <w:rPr>
          <w:rFonts w:hint="eastAsia"/>
        </w:rPr>
        <w:t>）；</w:t>
      </w:r>
    </w:p>
    <w:p w:rsidR="004E3021" w:rsidRDefault="00606E48">
      <w:pPr>
        <w:ind w:firstLine="480"/>
      </w:pPr>
      <w:r>
        <w:rPr>
          <w:rFonts w:ascii="宋体" w:hAnsi="宋体" w:hint="eastAsia"/>
        </w:rPr>
        <w:t>（</w:t>
      </w:r>
      <w:r>
        <w:t>4</w:t>
      </w:r>
      <w:r>
        <w:rPr>
          <w:rFonts w:ascii="宋体" w:hAnsi="宋体" w:hint="eastAsia"/>
        </w:rPr>
        <w:t>）《安徽省环保厅转发环保部办公厅关于切实加强环境影响评价监督管理工作的通知和关于印发建设项目环境影响评价政府信息公开指南（试行）的通知》（安徽省环保厅</w:t>
      </w:r>
      <w:r>
        <w:rPr>
          <w:rFonts w:hint="eastAsia"/>
        </w:rPr>
        <w:t xml:space="preserve"> </w:t>
      </w:r>
      <w:r>
        <w:rPr>
          <w:rFonts w:ascii="宋体" w:hAnsi="宋体" w:hint="eastAsia"/>
        </w:rPr>
        <w:t>皖环发</w:t>
      </w:r>
      <w:r>
        <w:rPr>
          <w:rFonts w:hint="eastAsia"/>
        </w:rPr>
        <w:t>[2013]1533</w:t>
      </w:r>
      <w:r>
        <w:rPr>
          <w:rFonts w:ascii="宋体" w:hAnsi="宋体" w:hint="eastAsia"/>
        </w:rPr>
        <w:t>号）；</w:t>
      </w:r>
    </w:p>
    <w:p w:rsidR="004E3021" w:rsidRDefault="00606E48">
      <w:pPr>
        <w:ind w:firstLine="480"/>
      </w:pPr>
      <w:r>
        <w:rPr>
          <w:rFonts w:ascii="宋体" w:hAnsi="宋体" w:hint="eastAsia"/>
        </w:rPr>
        <w:t>（</w:t>
      </w:r>
      <w:r>
        <w:t>5</w:t>
      </w:r>
      <w:r>
        <w:rPr>
          <w:rFonts w:ascii="宋体" w:hAnsi="宋体" w:hint="eastAsia"/>
        </w:rPr>
        <w:t>）《关于发布</w:t>
      </w:r>
      <w:r>
        <w:rPr>
          <w:rFonts w:hint="eastAsia"/>
        </w:rPr>
        <w:t>&lt;</w:t>
      </w:r>
      <w:r>
        <w:rPr>
          <w:rFonts w:ascii="宋体" w:hAnsi="宋体" w:hint="eastAsia"/>
        </w:rPr>
        <w:t>安徽省建设项目环境影响评价文件审批权限的规定（</w:t>
      </w:r>
      <w:r>
        <w:rPr>
          <w:rFonts w:hint="eastAsia"/>
        </w:rPr>
        <w:t>2019</w:t>
      </w:r>
      <w:r>
        <w:rPr>
          <w:rFonts w:ascii="宋体" w:hAnsi="宋体" w:hint="eastAsia"/>
        </w:rPr>
        <w:t>年本）</w:t>
      </w:r>
      <w:r>
        <w:rPr>
          <w:rFonts w:hint="eastAsia"/>
        </w:rPr>
        <w:t>&gt;</w:t>
      </w:r>
      <w:r>
        <w:rPr>
          <w:rFonts w:ascii="宋体" w:hAnsi="宋体" w:hint="eastAsia"/>
        </w:rPr>
        <w:t>的公告》（皖环函</w:t>
      </w:r>
      <w:r>
        <w:rPr>
          <w:rFonts w:hint="eastAsia"/>
        </w:rPr>
        <w:t>[</w:t>
      </w:r>
      <w:r>
        <w:t>2019</w:t>
      </w:r>
      <w:r>
        <w:rPr>
          <w:rFonts w:hint="eastAsia"/>
        </w:rPr>
        <w:t>]</w:t>
      </w:r>
      <w:r>
        <w:t>891</w:t>
      </w:r>
      <w:r>
        <w:rPr>
          <w:rFonts w:ascii="宋体" w:hAnsi="宋体" w:hint="eastAsia"/>
        </w:rPr>
        <w:t>号，</w:t>
      </w:r>
      <w:r>
        <w:rPr>
          <w:rFonts w:hint="eastAsia"/>
        </w:rPr>
        <w:t>2019</w:t>
      </w:r>
      <w:r>
        <w:rPr>
          <w:rFonts w:ascii="宋体" w:hAnsi="宋体" w:hint="eastAsia"/>
        </w:rPr>
        <w:t>年</w:t>
      </w:r>
      <w:r>
        <w:rPr>
          <w:rFonts w:hint="eastAsia"/>
        </w:rPr>
        <w:t>9</w:t>
      </w:r>
      <w:r>
        <w:rPr>
          <w:rFonts w:ascii="宋体" w:hAnsi="宋体" w:hint="eastAsia"/>
        </w:rPr>
        <w:t>月</w:t>
      </w:r>
      <w:r>
        <w:rPr>
          <w:rFonts w:hint="eastAsia"/>
        </w:rPr>
        <w:t>21</w:t>
      </w:r>
      <w:r>
        <w:rPr>
          <w:rFonts w:ascii="宋体" w:hAnsi="宋体" w:hint="eastAsia"/>
        </w:rPr>
        <w:t>日）；</w:t>
      </w:r>
    </w:p>
    <w:p w:rsidR="004E3021" w:rsidRDefault="00606E48">
      <w:pPr>
        <w:ind w:firstLine="480"/>
      </w:pPr>
      <w:r>
        <w:rPr>
          <w:rFonts w:ascii="宋体" w:hAnsi="宋体" w:hint="eastAsia"/>
        </w:rPr>
        <w:t>（</w:t>
      </w:r>
      <w:r>
        <w:t>6</w:t>
      </w:r>
      <w:r>
        <w:rPr>
          <w:rFonts w:ascii="宋体" w:hAnsi="宋体" w:hint="eastAsia"/>
        </w:rPr>
        <w:t>）《关于发布</w:t>
      </w:r>
      <w:r>
        <w:rPr>
          <w:rFonts w:hint="eastAsia"/>
        </w:rPr>
        <w:t>&lt;</w:t>
      </w:r>
      <w:r>
        <w:rPr>
          <w:rFonts w:ascii="宋体" w:hAnsi="宋体" w:hint="eastAsia"/>
        </w:rPr>
        <w:t>安徽省“十四五”危险废物 工业固体废物污染环境防治规划</w:t>
      </w:r>
      <w:r>
        <w:rPr>
          <w:rFonts w:hint="eastAsia"/>
        </w:rPr>
        <w:t>&gt;</w:t>
      </w:r>
      <w:r>
        <w:rPr>
          <w:rFonts w:ascii="宋体" w:hAnsi="宋体" w:hint="eastAsia"/>
        </w:rPr>
        <w:t>的通知》（皖环发</w:t>
      </w:r>
      <w:r>
        <w:rPr>
          <w:rFonts w:hint="eastAsia"/>
        </w:rPr>
        <w:t>[20</w:t>
      </w:r>
      <w:r>
        <w:t>21</w:t>
      </w:r>
      <w:r>
        <w:rPr>
          <w:rFonts w:hint="eastAsia"/>
        </w:rPr>
        <w:t>]</w:t>
      </w:r>
      <w:r>
        <w:t>40</w:t>
      </w:r>
      <w:r>
        <w:rPr>
          <w:rFonts w:ascii="宋体" w:hAnsi="宋体" w:hint="eastAsia"/>
        </w:rPr>
        <w:t>号，</w:t>
      </w:r>
      <w:r>
        <w:rPr>
          <w:rFonts w:hint="eastAsia"/>
        </w:rPr>
        <w:t>20</w:t>
      </w:r>
      <w:r>
        <w:t>21</w:t>
      </w:r>
      <w:r>
        <w:rPr>
          <w:rFonts w:ascii="宋体" w:hAnsi="宋体" w:hint="eastAsia"/>
        </w:rPr>
        <w:t>年</w:t>
      </w:r>
      <w:r>
        <w:t>9</w:t>
      </w:r>
      <w:r>
        <w:rPr>
          <w:rFonts w:ascii="宋体" w:hAnsi="宋体" w:hint="eastAsia"/>
        </w:rPr>
        <w:t>月</w:t>
      </w:r>
      <w:r>
        <w:t>16</w:t>
      </w:r>
      <w:r>
        <w:rPr>
          <w:rFonts w:ascii="宋体" w:hAnsi="宋体" w:hint="eastAsia"/>
        </w:rPr>
        <w:t>日）；</w:t>
      </w:r>
    </w:p>
    <w:p w:rsidR="004E3021" w:rsidRDefault="00606E48">
      <w:pPr>
        <w:ind w:firstLine="480"/>
      </w:pPr>
      <w:r>
        <w:rPr>
          <w:rFonts w:ascii="宋体" w:hAnsi="宋体" w:hint="eastAsia"/>
        </w:rPr>
        <w:t>（</w:t>
      </w:r>
      <w:r>
        <w:t>7</w:t>
      </w:r>
      <w:r>
        <w:rPr>
          <w:rFonts w:ascii="宋体" w:hAnsi="宋体" w:hint="eastAsia"/>
        </w:rPr>
        <w:t>）《安徽省淮河流域水污染防治条例》（安徽省人民代表大会常务委员会公告（第八号），</w:t>
      </w:r>
      <w:r>
        <w:rPr>
          <w:rFonts w:hint="eastAsia"/>
        </w:rPr>
        <w:t>2018</w:t>
      </w:r>
      <w:r>
        <w:rPr>
          <w:rFonts w:ascii="宋体" w:hAnsi="宋体" w:hint="eastAsia"/>
        </w:rPr>
        <w:t>年</w:t>
      </w:r>
      <w:r>
        <w:rPr>
          <w:rFonts w:hint="eastAsia"/>
        </w:rPr>
        <w:t>11</w:t>
      </w:r>
      <w:r>
        <w:rPr>
          <w:rFonts w:ascii="宋体" w:hAnsi="宋体" w:hint="eastAsia"/>
        </w:rPr>
        <w:t>月</w:t>
      </w:r>
      <w:r>
        <w:rPr>
          <w:rFonts w:hint="eastAsia"/>
        </w:rPr>
        <w:t>23</w:t>
      </w:r>
      <w:r>
        <w:rPr>
          <w:rFonts w:ascii="宋体" w:hAnsi="宋体" w:hint="eastAsia"/>
        </w:rPr>
        <w:t>日修订，</w:t>
      </w:r>
      <w:r>
        <w:rPr>
          <w:rFonts w:hint="eastAsia"/>
        </w:rPr>
        <w:t>2019</w:t>
      </w:r>
      <w:r>
        <w:rPr>
          <w:rFonts w:ascii="宋体" w:hAnsi="宋体" w:hint="eastAsia"/>
        </w:rPr>
        <w:t>年</w:t>
      </w:r>
      <w:r>
        <w:rPr>
          <w:rFonts w:hint="eastAsia"/>
        </w:rPr>
        <w:t>1</w:t>
      </w:r>
      <w:r>
        <w:rPr>
          <w:rFonts w:ascii="宋体" w:hAnsi="宋体" w:hint="eastAsia"/>
        </w:rPr>
        <w:t>月</w:t>
      </w:r>
      <w:r>
        <w:rPr>
          <w:rFonts w:hint="eastAsia"/>
        </w:rPr>
        <w:t>1</w:t>
      </w:r>
      <w:r>
        <w:rPr>
          <w:rFonts w:ascii="宋体" w:hAnsi="宋体" w:hint="eastAsia"/>
        </w:rPr>
        <w:t>日起施行）；</w:t>
      </w:r>
    </w:p>
    <w:p w:rsidR="004E3021" w:rsidRDefault="00606E48">
      <w:pPr>
        <w:ind w:firstLine="480"/>
      </w:pPr>
      <w:r>
        <w:rPr>
          <w:rFonts w:ascii="宋体" w:hAnsi="宋体" w:hint="eastAsia"/>
        </w:rPr>
        <w:t>（</w:t>
      </w:r>
      <w:r>
        <w:t>8</w:t>
      </w:r>
      <w:r>
        <w:rPr>
          <w:rFonts w:ascii="宋体" w:hAnsi="宋体" w:hint="eastAsia"/>
        </w:rPr>
        <w:t>）《安徽省大气办关于印发</w:t>
      </w:r>
      <w:r>
        <w:rPr>
          <w:rFonts w:hint="eastAsia"/>
        </w:rPr>
        <w:t>&lt;</w:t>
      </w:r>
      <w:r>
        <w:rPr>
          <w:rFonts w:ascii="宋体" w:hAnsi="宋体" w:hint="eastAsia"/>
        </w:rPr>
        <w:t>安徽省</w:t>
      </w:r>
      <w:r>
        <w:rPr>
          <w:rFonts w:hint="eastAsia"/>
        </w:rPr>
        <w:t>2021</w:t>
      </w:r>
      <w:r>
        <w:rPr>
          <w:rFonts w:ascii="宋体" w:hAnsi="宋体" w:hint="eastAsia"/>
        </w:rPr>
        <w:t>年应对气候变化和大气污染防治重点工作任务</w:t>
      </w:r>
      <w:r>
        <w:rPr>
          <w:rFonts w:hint="eastAsia"/>
        </w:rPr>
        <w:t>&gt;</w:t>
      </w:r>
      <w:r>
        <w:rPr>
          <w:rFonts w:ascii="宋体" w:hAnsi="宋体" w:hint="eastAsia"/>
        </w:rPr>
        <w:t>的通知》（皖大气办</w:t>
      </w:r>
      <w:r>
        <w:rPr>
          <w:rFonts w:hint="eastAsia"/>
        </w:rPr>
        <w:t>[2021]3</w:t>
      </w:r>
      <w:r>
        <w:rPr>
          <w:rFonts w:ascii="宋体" w:hAnsi="宋体" w:hint="eastAsia"/>
        </w:rPr>
        <w:t>号</w:t>
      </w:r>
      <w:r>
        <w:rPr>
          <w:rFonts w:hint="eastAsia"/>
        </w:rPr>
        <w:t>,</w:t>
      </w:r>
      <w:r>
        <w:t>2021</w:t>
      </w:r>
      <w:r>
        <w:rPr>
          <w:rFonts w:ascii="宋体" w:hAnsi="宋体" w:hint="eastAsia"/>
        </w:rPr>
        <w:t>年</w:t>
      </w:r>
      <w:r>
        <w:rPr>
          <w:rFonts w:hint="eastAsia"/>
        </w:rPr>
        <w:t>3</w:t>
      </w:r>
      <w:r>
        <w:rPr>
          <w:rFonts w:ascii="宋体" w:hAnsi="宋体" w:hint="eastAsia"/>
        </w:rPr>
        <w:t>月</w:t>
      </w:r>
      <w:r>
        <w:rPr>
          <w:rFonts w:hint="eastAsia"/>
        </w:rPr>
        <w:t>26</w:t>
      </w:r>
      <w:r>
        <w:rPr>
          <w:rFonts w:ascii="宋体" w:hAnsi="宋体" w:hint="eastAsia"/>
        </w:rPr>
        <w:t>日）；</w:t>
      </w:r>
    </w:p>
    <w:p w:rsidR="004E3021" w:rsidRDefault="00606E48">
      <w:pPr>
        <w:ind w:firstLine="480"/>
      </w:pPr>
      <w:r>
        <w:rPr>
          <w:rFonts w:ascii="宋体" w:hAnsi="宋体" w:hint="eastAsia"/>
        </w:rPr>
        <w:t>（</w:t>
      </w:r>
      <w:r>
        <w:t>9</w:t>
      </w:r>
      <w:r>
        <w:rPr>
          <w:rFonts w:ascii="宋体" w:hAnsi="宋体" w:hint="eastAsia"/>
        </w:rPr>
        <w:t>）《安徽省人民政府关于建立固体废物污染防控长效机制的意见》（安徽省人民政府</w:t>
      </w:r>
      <w:r>
        <w:rPr>
          <w:rFonts w:hint="eastAsia"/>
        </w:rPr>
        <w:t xml:space="preserve"> </w:t>
      </w:r>
      <w:r>
        <w:rPr>
          <w:rFonts w:ascii="宋体" w:hAnsi="宋体" w:hint="eastAsia"/>
        </w:rPr>
        <w:t>皖政</w:t>
      </w:r>
      <w:r>
        <w:rPr>
          <w:rFonts w:hint="eastAsia"/>
        </w:rPr>
        <w:t>[2018]51</w:t>
      </w:r>
      <w:r>
        <w:rPr>
          <w:rFonts w:ascii="宋体" w:hAnsi="宋体" w:hint="eastAsia"/>
        </w:rPr>
        <w:t>号，</w:t>
      </w:r>
      <w:r>
        <w:rPr>
          <w:rFonts w:hint="eastAsia"/>
        </w:rPr>
        <w:t>2018</w:t>
      </w:r>
      <w:r>
        <w:rPr>
          <w:rFonts w:ascii="宋体" w:hAnsi="宋体" w:hint="eastAsia"/>
        </w:rPr>
        <w:t>年</w:t>
      </w:r>
      <w:r>
        <w:t>6</w:t>
      </w:r>
      <w:r>
        <w:rPr>
          <w:rFonts w:ascii="宋体" w:hAnsi="宋体" w:hint="eastAsia"/>
        </w:rPr>
        <w:t>月</w:t>
      </w:r>
      <w:r>
        <w:rPr>
          <w:rFonts w:hint="eastAsia"/>
        </w:rPr>
        <w:t>2</w:t>
      </w:r>
      <w:r>
        <w:t>7</w:t>
      </w:r>
      <w:r>
        <w:rPr>
          <w:rFonts w:ascii="宋体" w:hAnsi="宋体" w:hint="eastAsia"/>
        </w:rPr>
        <w:t>日）；</w:t>
      </w:r>
    </w:p>
    <w:p w:rsidR="004E3021" w:rsidRDefault="00606E48">
      <w:pPr>
        <w:ind w:firstLine="480"/>
      </w:pPr>
      <w:r>
        <w:rPr>
          <w:rFonts w:ascii="宋体" w:hAnsi="宋体" w:hint="eastAsia"/>
        </w:rPr>
        <w:lastRenderedPageBreak/>
        <w:t>（</w:t>
      </w:r>
      <w:r>
        <w:rPr>
          <w:rFonts w:hint="eastAsia"/>
        </w:rPr>
        <w:t>1</w:t>
      </w:r>
      <w:r>
        <w:t>0</w:t>
      </w:r>
      <w:r>
        <w:rPr>
          <w:rFonts w:ascii="宋体" w:hAnsi="宋体" w:hint="eastAsia"/>
        </w:rPr>
        <w:t>）《安徽省环保厅关于进一步加强危险废物环境监督管理的通知》（安徽省环境保护厅文件</w:t>
      </w:r>
      <w:r>
        <w:rPr>
          <w:rFonts w:hint="eastAsia"/>
        </w:rPr>
        <w:t xml:space="preserve"> </w:t>
      </w:r>
      <w:r>
        <w:rPr>
          <w:rFonts w:ascii="宋体" w:hAnsi="宋体" w:hint="eastAsia"/>
        </w:rPr>
        <w:t>皖环发</w:t>
      </w:r>
      <w:r>
        <w:rPr>
          <w:rFonts w:hint="eastAsia"/>
        </w:rPr>
        <w:t>[2017]166</w:t>
      </w:r>
      <w:r>
        <w:rPr>
          <w:rFonts w:ascii="宋体" w:hAnsi="宋体" w:hint="eastAsia"/>
        </w:rPr>
        <w:t>号，</w:t>
      </w:r>
      <w:r>
        <w:rPr>
          <w:rFonts w:hint="eastAsia"/>
        </w:rPr>
        <w:t>2017</w:t>
      </w:r>
      <w:r>
        <w:rPr>
          <w:rFonts w:ascii="宋体" w:hAnsi="宋体" w:hint="eastAsia"/>
        </w:rPr>
        <w:t>年</w:t>
      </w:r>
      <w:r>
        <w:rPr>
          <w:rFonts w:hint="eastAsia"/>
        </w:rPr>
        <w:t>11</w:t>
      </w:r>
      <w:r>
        <w:rPr>
          <w:rFonts w:ascii="宋体" w:hAnsi="宋体" w:hint="eastAsia"/>
        </w:rPr>
        <w:t>月</w:t>
      </w:r>
      <w:r>
        <w:rPr>
          <w:rFonts w:hint="eastAsia"/>
        </w:rPr>
        <w:t>22</w:t>
      </w:r>
      <w:r>
        <w:rPr>
          <w:rFonts w:ascii="宋体" w:hAnsi="宋体" w:hint="eastAsia"/>
        </w:rPr>
        <w:t>日）；</w:t>
      </w:r>
    </w:p>
    <w:p w:rsidR="004E3021" w:rsidRDefault="00606E48">
      <w:pPr>
        <w:ind w:firstLine="480"/>
      </w:pPr>
      <w:r>
        <w:rPr>
          <w:rFonts w:ascii="宋体" w:hAnsi="宋体" w:hint="eastAsia"/>
        </w:rPr>
        <w:t>（</w:t>
      </w:r>
      <w:r>
        <w:rPr>
          <w:rFonts w:hint="eastAsia"/>
        </w:rPr>
        <w:t>1</w:t>
      </w:r>
      <w:r>
        <w:t>1</w:t>
      </w:r>
      <w:r>
        <w:rPr>
          <w:rFonts w:ascii="宋体" w:hAnsi="宋体" w:hint="eastAsia"/>
        </w:rPr>
        <w:t>）《安徽省生态环境厅关于统筹做好固定污染源排污许可日常管理工作的通知》（皖环发</w:t>
      </w:r>
      <w:r>
        <w:rPr>
          <w:rFonts w:hint="eastAsia"/>
        </w:rPr>
        <w:t>[</w:t>
      </w:r>
      <w:r>
        <w:t>2021</w:t>
      </w:r>
      <w:r>
        <w:rPr>
          <w:rFonts w:hint="eastAsia"/>
        </w:rPr>
        <w:t>]7</w:t>
      </w:r>
      <w:r>
        <w:rPr>
          <w:rFonts w:ascii="宋体" w:hAnsi="宋体" w:hint="eastAsia"/>
        </w:rPr>
        <w:t>号</w:t>
      </w:r>
      <w:r>
        <w:rPr>
          <w:rFonts w:hint="eastAsia"/>
        </w:rPr>
        <w:t>，</w:t>
      </w:r>
      <w:r>
        <w:rPr>
          <w:rFonts w:hint="eastAsia"/>
        </w:rPr>
        <w:t>2021</w:t>
      </w:r>
      <w:r>
        <w:rPr>
          <w:rFonts w:hint="eastAsia"/>
        </w:rPr>
        <w:t>年</w:t>
      </w:r>
      <w:r>
        <w:rPr>
          <w:rFonts w:hint="eastAsia"/>
        </w:rPr>
        <w:t>1</w:t>
      </w:r>
      <w:r>
        <w:rPr>
          <w:rFonts w:hint="eastAsia"/>
        </w:rPr>
        <w:t>月</w:t>
      </w:r>
      <w:r>
        <w:rPr>
          <w:rFonts w:hint="eastAsia"/>
        </w:rPr>
        <w:t>30</w:t>
      </w:r>
      <w:r>
        <w:rPr>
          <w:rFonts w:hint="eastAsia"/>
        </w:rPr>
        <w:t>日</w:t>
      </w:r>
      <w:r>
        <w:rPr>
          <w:rFonts w:ascii="宋体" w:hAnsi="宋体" w:hint="eastAsia"/>
        </w:rPr>
        <w:t>）；</w:t>
      </w:r>
    </w:p>
    <w:p w:rsidR="004E3021" w:rsidRDefault="00606E48">
      <w:pPr>
        <w:ind w:firstLine="480"/>
        <w:rPr>
          <w:rFonts w:ascii="宋体" w:hAnsi="宋体"/>
        </w:rPr>
      </w:pPr>
      <w:r>
        <w:rPr>
          <w:rFonts w:ascii="宋体" w:hAnsi="宋体" w:hint="eastAsia"/>
        </w:rPr>
        <w:t>（</w:t>
      </w:r>
      <w:r>
        <w:rPr>
          <w:rFonts w:hint="eastAsia"/>
        </w:rPr>
        <w:t>1</w:t>
      </w:r>
      <w:r>
        <w:t>2</w:t>
      </w:r>
      <w:r>
        <w:rPr>
          <w:rFonts w:ascii="宋体" w:hAnsi="宋体" w:hint="eastAsia"/>
        </w:rPr>
        <w:t>）《安徽省生态环境厅关于做好</w:t>
      </w:r>
      <w:r>
        <w:rPr>
          <w:rFonts w:hint="eastAsia"/>
        </w:rPr>
        <w:t>2020</w:t>
      </w:r>
      <w:r>
        <w:rPr>
          <w:rFonts w:ascii="宋体" w:hAnsi="宋体" w:hint="eastAsia"/>
        </w:rPr>
        <w:t>年度碳排放报告与核查相关工作的通知》（皖环函</w:t>
      </w:r>
      <w:r>
        <w:rPr>
          <w:rFonts w:hint="eastAsia"/>
        </w:rPr>
        <w:t>[</w:t>
      </w:r>
      <w:r>
        <w:t>2021</w:t>
      </w:r>
      <w:r>
        <w:rPr>
          <w:rFonts w:hint="eastAsia"/>
        </w:rPr>
        <w:t>]191</w:t>
      </w:r>
      <w:r>
        <w:rPr>
          <w:rFonts w:ascii="宋体" w:hAnsi="宋体" w:hint="eastAsia"/>
        </w:rPr>
        <w:t>号）；</w:t>
      </w:r>
    </w:p>
    <w:p w:rsidR="004E3021" w:rsidRDefault="00606E48">
      <w:pPr>
        <w:ind w:firstLine="480"/>
        <w:rPr>
          <w:rFonts w:ascii="宋体" w:hAnsi="宋体"/>
        </w:rPr>
      </w:pPr>
      <w:r>
        <w:rPr>
          <w:rFonts w:hint="eastAsia"/>
        </w:rPr>
        <w:t>（</w:t>
      </w:r>
      <w:r>
        <w:rPr>
          <w:rFonts w:hint="eastAsia"/>
        </w:rPr>
        <w:t>13</w:t>
      </w:r>
      <w:r>
        <w:rPr>
          <w:rFonts w:hint="eastAsia"/>
        </w:rPr>
        <w:t>）</w:t>
      </w:r>
      <w:r>
        <w:rPr>
          <w:rFonts w:ascii="宋体" w:hAnsi="宋体" w:hint="eastAsia"/>
        </w:rPr>
        <w:t>《安徽省“十四五”危险废物、工业固体废物污染环境防治规划》（皖环发</w:t>
      </w:r>
      <w:r>
        <w:rPr>
          <w:rFonts w:hint="eastAsia"/>
        </w:rPr>
        <w:t>[</w:t>
      </w:r>
      <w:r>
        <w:t>2021</w:t>
      </w:r>
      <w:r>
        <w:rPr>
          <w:rFonts w:hint="eastAsia"/>
        </w:rPr>
        <w:t>]</w:t>
      </w:r>
      <w:r>
        <w:t>40</w:t>
      </w:r>
      <w:r>
        <w:rPr>
          <w:rFonts w:ascii="宋体" w:hAnsi="宋体" w:hint="eastAsia"/>
        </w:rPr>
        <w:t>号，</w:t>
      </w:r>
      <w:r>
        <w:rPr>
          <w:rFonts w:hint="eastAsia"/>
        </w:rPr>
        <w:t>2021</w:t>
      </w:r>
      <w:r>
        <w:rPr>
          <w:rFonts w:ascii="宋体" w:hAnsi="宋体" w:hint="eastAsia"/>
        </w:rPr>
        <w:t>年</w:t>
      </w:r>
      <w:r>
        <w:rPr>
          <w:rFonts w:hint="eastAsia"/>
        </w:rPr>
        <w:t>9</w:t>
      </w:r>
      <w:r>
        <w:rPr>
          <w:rFonts w:ascii="宋体" w:hAnsi="宋体" w:hint="eastAsia"/>
        </w:rPr>
        <w:t>月</w:t>
      </w:r>
      <w:r>
        <w:rPr>
          <w:rFonts w:hint="eastAsia"/>
        </w:rPr>
        <w:t>16</w:t>
      </w:r>
      <w:r>
        <w:rPr>
          <w:rFonts w:ascii="宋体" w:hAnsi="宋体" w:hint="eastAsia"/>
        </w:rPr>
        <w:t>日）；</w:t>
      </w:r>
    </w:p>
    <w:p w:rsidR="004E3021" w:rsidRDefault="00606E48">
      <w:pPr>
        <w:ind w:firstLine="480"/>
      </w:pPr>
      <w:r>
        <w:rPr>
          <w:rFonts w:hint="eastAsia"/>
        </w:rPr>
        <w:t>（</w:t>
      </w:r>
      <w:r>
        <w:rPr>
          <w:rFonts w:hint="eastAsia"/>
        </w:rPr>
        <w:t>14</w:t>
      </w:r>
      <w:r>
        <w:rPr>
          <w:rFonts w:hint="eastAsia"/>
        </w:rPr>
        <w:t>）</w:t>
      </w:r>
      <w:r>
        <w:t>《安徽省生态环境厅关于加强化工行业建设项目环境管理的通知》</w:t>
      </w:r>
      <w:r>
        <w:rPr>
          <w:rFonts w:hint="eastAsia"/>
        </w:rPr>
        <w:t>（</w:t>
      </w:r>
      <w:r>
        <w:t>安徽省生态环境厅文件</w:t>
      </w:r>
      <w:r>
        <w:t xml:space="preserve"> </w:t>
      </w:r>
      <w:r>
        <w:t>皖政办〔</w:t>
      </w:r>
      <w:r>
        <w:t>2020</w:t>
      </w:r>
      <w:r>
        <w:t>〕</w:t>
      </w:r>
      <w:r>
        <w:t>73</w:t>
      </w:r>
      <w:r>
        <w:t>号</w:t>
      </w:r>
      <w:r>
        <w:rPr>
          <w:rFonts w:hint="eastAsia"/>
        </w:rPr>
        <w:t>，</w:t>
      </w:r>
      <w:r>
        <w:t>2020</w:t>
      </w:r>
      <w:r>
        <w:t>年</w:t>
      </w:r>
      <w:r>
        <w:t>12</w:t>
      </w:r>
      <w:r>
        <w:t>月</w:t>
      </w:r>
      <w:r>
        <w:t>2</w:t>
      </w:r>
      <w:r>
        <w:t>日</w:t>
      </w:r>
      <w:r>
        <w:rPr>
          <w:rFonts w:hint="eastAsia"/>
        </w:rPr>
        <w:t>）；</w:t>
      </w:r>
    </w:p>
    <w:p w:rsidR="004E3021" w:rsidRDefault="00606E48">
      <w:pPr>
        <w:ind w:firstLine="480"/>
      </w:pPr>
      <w:r>
        <w:rPr>
          <w:rFonts w:hint="eastAsia"/>
        </w:rPr>
        <w:t>（</w:t>
      </w:r>
      <w:r>
        <w:rPr>
          <w:rFonts w:hint="eastAsia"/>
        </w:rPr>
        <w:t>15</w:t>
      </w:r>
      <w:r>
        <w:rPr>
          <w:rFonts w:hint="eastAsia"/>
        </w:rPr>
        <w:t>）《关于进一步规范化工项目建设管理的通知》（安徽省经济和信息化厅</w:t>
      </w:r>
      <w:r>
        <w:rPr>
          <w:rFonts w:hint="eastAsia"/>
        </w:rPr>
        <w:t xml:space="preserve"> </w:t>
      </w:r>
      <w:r>
        <w:rPr>
          <w:rFonts w:hint="eastAsia"/>
        </w:rPr>
        <w:t>安徽省发展和改革委员会</w:t>
      </w:r>
      <w:r>
        <w:rPr>
          <w:rFonts w:hint="eastAsia"/>
        </w:rPr>
        <w:t xml:space="preserve"> </w:t>
      </w:r>
      <w:r>
        <w:rPr>
          <w:rFonts w:hint="eastAsia"/>
        </w:rPr>
        <w:t>安徽省自然资源厅</w:t>
      </w:r>
      <w:r>
        <w:rPr>
          <w:rFonts w:hint="eastAsia"/>
        </w:rPr>
        <w:t xml:space="preserve"> </w:t>
      </w:r>
      <w:r>
        <w:rPr>
          <w:rFonts w:hint="eastAsia"/>
        </w:rPr>
        <w:t>安徽省生态环境厅</w:t>
      </w:r>
      <w:r>
        <w:rPr>
          <w:rFonts w:hint="eastAsia"/>
        </w:rPr>
        <w:t xml:space="preserve"> </w:t>
      </w:r>
      <w:r>
        <w:rPr>
          <w:rFonts w:hint="eastAsia"/>
        </w:rPr>
        <w:t>安徽省应急管理厅</w:t>
      </w:r>
      <w:r>
        <w:rPr>
          <w:rFonts w:hint="eastAsia"/>
        </w:rPr>
        <w:t xml:space="preserve"> </w:t>
      </w:r>
      <w:r>
        <w:rPr>
          <w:rFonts w:hint="eastAsia"/>
        </w:rPr>
        <w:t>皖经信原材料函</w:t>
      </w:r>
      <w:r>
        <w:t>〔</w:t>
      </w:r>
      <w:r>
        <w:t>2022</w:t>
      </w:r>
      <w:r>
        <w:t>〕</w:t>
      </w:r>
      <w:r>
        <w:rPr>
          <w:rFonts w:hint="eastAsia"/>
        </w:rPr>
        <w:t>7</w:t>
      </w:r>
      <w:r>
        <w:t>3</w:t>
      </w:r>
      <w:r>
        <w:rPr>
          <w:rFonts w:hint="eastAsia"/>
        </w:rPr>
        <w:t>号，</w:t>
      </w:r>
      <w:r>
        <w:rPr>
          <w:rFonts w:hint="eastAsia"/>
        </w:rPr>
        <w:t>2</w:t>
      </w:r>
      <w:r>
        <w:t>022</w:t>
      </w:r>
      <w:r>
        <w:rPr>
          <w:rFonts w:hint="eastAsia"/>
        </w:rPr>
        <w:t>年</w:t>
      </w:r>
      <w:r>
        <w:t>6</w:t>
      </w:r>
      <w:r>
        <w:rPr>
          <w:rFonts w:hint="eastAsia"/>
        </w:rPr>
        <w:t>月</w:t>
      </w:r>
      <w:r>
        <w:rPr>
          <w:rFonts w:hint="eastAsia"/>
        </w:rPr>
        <w:t>15</w:t>
      </w:r>
      <w:r>
        <w:rPr>
          <w:rFonts w:hint="eastAsia"/>
        </w:rPr>
        <w:t>日）；</w:t>
      </w:r>
    </w:p>
    <w:p w:rsidR="004E3021" w:rsidRDefault="00606E48">
      <w:pPr>
        <w:ind w:firstLine="480"/>
      </w:pPr>
      <w:r>
        <w:rPr>
          <w:rFonts w:hint="eastAsia"/>
        </w:rPr>
        <w:t>（</w:t>
      </w:r>
      <w:r>
        <w:rPr>
          <w:rFonts w:hint="eastAsia"/>
        </w:rPr>
        <w:t>16</w:t>
      </w:r>
      <w:r>
        <w:rPr>
          <w:rFonts w:hint="eastAsia"/>
        </w:rPr>
        <w:t>）《关于进一步</w:t>
      </w:r>
      <w:r>
        <w:t>加强新上</w:t>
      </w:r>
      <w:r>
        <w:t>“</w:t>
      </w:r>
      <w:r>
        <w:rPr>
          <w:rFonts w:hint="eastAsia"/>
        </w:rPr>
        <w:t>两高</w:t>
      </w:r>
      <w:r>
        <w:t>”</w:t>
      </w:r>
      <w:r>
        <w:rPr>
          <w:rFonts w:hint="eastAsia"/>
        </w:rPr>
        <w:t>项目</w:t>
      </w:r>
      <w:r>
        <w:t>管理的通知</w:t>
      </w:r>
      <w:r>
        <w:rPr>
          <w:rFonts w:hint="eastAsia"/>
        </w:rPr>
        <w:t>》（安徽省节能减排及应对气候变化工作领导小组</w:t>
      </w:r>
      <w:r>
        <w:rPr>
          <w:rFonts w:hint="eastAsia"/>
        </w:rPr>
        <w:t xml:space="preserve"> </w:t>
      </w:r>
      <w:r>
        <w:rPr>
          <w:rFonts w:hint="eastAsia"/>
        </w:rPr>
        <w:t>皖节能</w:t>
      </w:r>
      <w:r>
        <w:t>〔</w:t>
      </w:r>
      <w:r>
        <w:t>2021</w:t>
      </w:r>
      <w:r>
        <w:t>〕</w:t>
      </w:r>
      <w:r>
        <w:t>3</w:t>
      </w:r>
      <w:r>
        <w:rPr>
          <w:rFonts w:hint="eastAsia"/>
        </w:rPr>
        <w:t>号，</w:t>
      </w:r>
      <w:r>
        <w:rPr>
          <w:rFonts w:hint="eastAsia"/>
        </w:rPr>
        <w:t>2</w:t>
      </w:r>
      <w:r>
        <w:t>022</w:t>
      </w:r>
      <w:r>
        <w:rPr>
          <w:rFonts w:hint="eastAsia"/>
        </w:rPr>
        <w:t>年</w:t>
      </w:r>
      <w:r>
        <w:t>12</w:t>
      </w:r>
      <w:r>
        <w:rPr>
          <w:rFonts w:hint="eastAsia"/>
        </w:rPr>
        <w:t>月</w:t>
      </w:r>
      <w:r>
        <w:t>31</w:t>
      </w:r>
      <w:r>
        <w:rPr>
          <w:rFonts w:hint="eastAsia"/>
        </w:rPr>
        <w:t>日）</w:t>
      </w:r>
    </w:p>
    <w:p w:rsidR="004E3021" w:rsidRDefault="00606E48">
      <w:pPr>
        <w:ind w:firstLine="480"/>
      </w:pPr>
      <w:r>
        <w:rPr>
          <w:rFonts w:hint="eastAsia"/>
        </w:rPr>
        <w:t>（</w:t>
      </w:r>
      <w:r>
        <w:rPr>
          <w:rFonts w:hint="eastAsia"/>
        </w:rPr>
        <w:t>17</w:t>
      </w:r>
      <w:r>
        <w:rPr>
          <w:rFonts w:hint="eastAsia"/>
        </w:rPr>
        <w:t>）《关于印发安徽省</w:t>
      </w:r>
      <w:r>
        <w:t>“</w:t>
      </w:r>
      <w:r>
        <w:rPr>
          <w:rFonts w:hint="eastAsia"/>
        </w:rPr>
        <w:t>两高</w:t>
      </w:r>
      <w:r>
        <w:t>”</w:t>
      </w:r>
      <w:r>
        <w:rPr>
          <w:rFonts w:hint="eastAsia"/>
        </w:rPr>
        <w:t>项目</w:t>
      </w:r>
      <w:r>
        <w:t>管理目录（</w:t>
      </w:r>
      <w:r>
        <w:rPr>
          <w:rFonts w:hint="eastAsia"/>
        </w:rPr>
        <w:t>试行</w:t>
      </w:r>
      <w:r>
        <w:t>）</w:t>
      </w:r>
      <w:r>
        <w:rPr>
          <w:rFonts w:hint="eastAsia"/>
        </w:rPr>
        <w:t>通知》（安徽省节能减排及应对气候变化工作领导小组</w:t>
      </w:r>
      <w:r>
        <w:rPr>
          <w:rFonts w:hint="eastAsia"/>
        </w:rPr>
        <w:t xml:space="preserve"> </w:t>
      </w:r>
      <w:r>
        <w:rPr>
          <w:rFonts w:hint="eastAsia"/>
        </w:rPr>
        <w:t>皖节能</w:t>
      </w:r>
      <w:r>
        <w:t>〔</w:t>
      </w:r>
      <w:r>
        <w:t>2022</w:t>
      </w:r>
      <w:r>
        <w:t>〕</w:t>
      </w:r>
      <w:r>
        <w:t>2</w:t>
      </w:r>
      <w:r>
        <w:rPr>
          <w:rFonts w:hint="eastAsia"/>
        </w:rPr>
        <w:t>号，</w:t>
      </w:r>
      <w:r>
        <w:rPr>
          <w:rFonts w:hint="eastAsia"/>
        </w:rPr>
        <w:t>2</w:t>
      </w:r>
      <w:r>
        <w:t>022</w:t>
      </w:r>
      <w:r>
        <w:rPr>
          <w:rFonts w:hint="eastAsia"/>
        </w:rPr>
        <w:t>年</w:t>
      </w:r>
      <w:r>
        <w:t>6</w:t>
      </w:r>
      <w:r>
        <w:rPr>
          <w:rFonts w:hint="eastAsia"/>
        </w:rPr>
        <w:t>月</w:t>
      </w:r>
      <w:r>
        <w:t>21</w:t>
      </w:r>
      <w:r>
        <w:rPr>
          <w:rFonts w:hint="eastAsia"/>
        </w:rPr>
        <w:t>日）；</w:t>
      </w:r>
    </w:p>
    <w:p w:rsidR="004E3021" w:rsidRDefault="00606E48">
      <w:pPr>
        <w:ind w:firstLine="480"/>
        <w:rPr>
          <w:rFonts w:ascii="宋体" w:hAnsi="宋体"/>
        </w:rPr>
      </w:pPr>
      <w:r>
        <w:rPr>
          <w:rFonts w:ascii="宋体" w:hAnsi="宋体" w:hint="eastAsia"/>
        </w:rPr>
        <w:t>（</w:t>
      </w:r>
      <w:r>
        <w:rPr>
          <w:rFonts w:hint="eastAsia"/>
        </w:rPr>
        <w:t>1</w:t>
      </w:r>
      <w:r>
        <w:t>8</w:t>
      </w:r>
      <w:r>
        <w:rPr>
          <w:rFonts w:ascii="宋体" w:hAnsi="宋体" w:hint="eastAsia"/>
        </w:rPr>
        <w:t>）《蚌埠市人民政府关于印发蚌埠市土壤污染防治工作方案的通知》（蚌埠市人民政府 蚌政</w:t>
      </w:r>
      <w:r>
        <w:rPr>
          <w:rFonts w:hint="eastAsia"/>
        </w:rPr>
        <w:t>[2016]68</w:t>
      </w:r>
      <w:r>
        <w:rPr>
          <w:rFonts w:ascii="宋体" w:hAnsi="宋体" w:hint="eastAsia"/>
        </w:rPr>
        <w:t>号）；</w:t>
      </w:r>
    </w:p>
    <w:p w:rsidR="004E3021" w:rsidRDefault="00606E48">
      <w:pPr>
        <w:ind w:firstLine="480"/>
        <w:rPr>
          <w:kern w:val="0"/>
        </w:rPr>
      </w:pPr>
      <w:r>
        <w:rPr>
          <w:rFonts w:hint="eastAsia"/>
        </w:rPr>
        <w:t>（</w:t>
      </w:r>
      <w:r>
        <w:rPr>
          <w:rFonts w:hint="eastAsia"/>
        </w:rPr>
        <w:t>19</w:t>
      </w:r>
      <w:r>
        <w:rPr>
          <w:rFonts w:hint="eastAsia"/>
        </w:rPr>
        <w:t>）《</w:t>
      </w:r>
      <w:r>
        <w:rPr>
          <w:rFonts w:hint="eastAsia"/>
          <w:kern w:val="0"/>
          <w:szCs w:val="20"/>
        </w:rPr>
        <w:t>关于印发蚌埠市化工园区项目准入条件（试行）的通知》（蚌</w:t>
      </w:r>
      <w:r>
        <w:rPr>
          <w:kern w:val="0"/>
          <w:szCs w:val="20"/>
        </w:rPr>
        <w:t>发改工高</w:t>
      </w:r>
      <w:r>
        <w:rPr>
          <w:rFonts w:hint="eastAsia"/>
          <w:kern w:val="0"/>
          <w:szCs w:val="20"/>
        </w:rPr>
        <w:t>[</w:t>
      </w:r>
      <w:r>
        <w:rPr>
          <w:kern w:val="0"/>
          <w:szCs w:val="20"/>
        </w:rPr>
        <w:t>2021</w:t>
      </w:r>
      <w:r>
        <w:rPr>
          <w:rFonts w:hint="eastAsia"/>
          <w:kern w:val="0"/>
          <w:szCs w:val="20"/>
        </w:rPr>
        <w:t>]</w:t>
      </w:r>
      <w:r>
        <w:rPr>
          <w:kern w:val="0"/>
          <w:szCs w:val="20"/>
        </w:rPr>
        <w:t>395</w:t>
      </w:r>
      <w:r>
        <w:rPr>
          <w:rFonts w:hint="eastAsia"/>
          <w:kern w:val="0"/>
          <w:szCs w:val="20"/>
        </w:rPr>
        <w:t>号，</w:t>
      </w:r>
      <w:r>
        <w:rPr>
          <w:rFonts w:hint="eastAsia"/>
          <w:kern w:val="0"/>
          <w:szCs w:val="20"/>
        </w:rPr>
        <w:t>2021</w:t>
      </w:r>
      <w:r>
        <w:rPr>
          <w:rFonts w:hint="eastAsia"/>
          <w:kern w:val="0"/>
          <w:szCs w:val="20"/>
        </w:rPr>
        <w:t>年</w:t>
      </w:r>
      <w:r>
        <w:rPr>
          <w:rFonts w:hint="eastAsia"/>
          <w:kern w:val="0"/>
          <w:szCs w:val="20"/>
        </w:rPr>
        <w:t>12</w:t>
      </w:r>
      <w:r>
        <w:rPr>
          <w:rFonts w:hint="eastAsia"/>
          <w:kern w:val="0"/>
          <w:szCs w:val="20"/>
        </w:rPr>
        <w:t>月</w:t>
      </w:r>
      <w:r>
        <w:rPr>
          <w:rFonts w:hint="eastAsia"/>
          <w:kern w:val="0"/>
          <w:szCs w:val="20"/>
        </w:rPr>
        <w:t>31</w:t>
      </w:r>
      <w:r>
        <w:rPr>
          <w:rFonts w:hint="eastAsia"/>
          <w:kern w:val="0"/>
          <w:szCs w:val="20"/>
        </w:rPr>
        <w:t>日）。</w:t>
      </w:r>
    </w:p>
    <w:p w:rsidR="004E3021" w:rsidRDefault="00606E48">
      <w:pPr>
        <w:spacing w:before="240" w:after="120"/>
        <w:ind w:firstLineChars="0" w:firstLine="0"/>
        <w:jc w:val="left"/>
        <w:outlineLvl w:val="2"/>
        <w:rPr>
          <w:rFonts w:eastAsia="黑体"/>
          <w:sz w:val="28"/>
          <w:szCs w:val="28"/>
        </w:rPr>
      </w:pPr>
      <w:bookmarkStart w:id="36" w:name="_Toc108662548"/>
      <w:bookmarkStart w:id="37" w:name="_Toc221088713"/>
      <w:bookmarkStart w:id="38" w:name="_Toc221500928"/>
      <w:r>
        <w:rPr>
          <w:rFonts w:eastAsia="黑体"/>
          <w:sz w:val="28"/>
          <w:szCs w:val="28"/>
        </w:rPr>
        <w:t>2.1.3</w:t>
      </w:r>
      <w:r>
        <w:rPr>
          <w:rFonts w:ascii="黑体" w:eastAsia="黑体" w:hAnsi="黑体" w:hint="eastAsia"/>
          <w:sz w:val="28"/>
          <w:szCs w:val="28"/>
        </w:rPr>
        <w:t>评价技术文件</w:t>
      </w:r>
      <w:bookmarkEnd w:id="34"/>
      <w:bookmarkEnd w:id="35"/>
      <w:bookmarkEnd w:id="36"/>
      <w:bookmarkEnd w:id="37"/>
      <w:bookmarkEnd w:id="38"/>
    </w:p>
    <w:p w:rsidR="004E3021" w:rsidRDefault="00606E48">
      <w:pPr>
        <w:ind w:firstLine="480"/>
      </w:pPr>
      <w:r>
        <w:rPr>
          <w:rFonts w:ascii="宋体" w:hAnsi="宋体" w:hint="eastAsia"/>
        </w:rPr>
        <w:t>（</w:t>
      </w:r>
      <w:r>
        <w:t>1</w:t>
      </w:r>
      <w:r>
        <w:rPr>
          <w:rFonts w:ascii="宋体" w:hAnsi="宋体" w:hint="eastAsia"/>
        </w:rPr>
        <w:t>）《建设项目环境影响评价技术导则 总纲》（</w:t>
      </w:r>
      <w:r>
        <w:t>HJ2.1-2016</w:t>
      </w:r>
      <w:r>
        <w:rPr>
          <w:rFonts w:ascii="宋体" w:hAnsi="宋体" w:hint="eastAsia"/>
        </w:rPr>
        <w:t>）；</w:t>
      </w:r>
    </w:p>
    <w:p w:rsidR="004E3021" w:rsidRDefault="00606E48">
      <w:pPr>
        <w:ind w:firstLine="480"/>
      </w:pPr>
      <w:r>
        <w:rPr>
          <w:rFonts w:ascii="宋体" w:hAnsi="宋体" w:hint="eastAsia"/>
        </w:rPr>
        <w:t>（</w:t>
      </w:r>
      <w:r>
        <w:t>2</w:t>
      </w:r>
      <w:r>
        <w:rPr>
          <w:rFonts w:ascii="宋体" w:hAnsi="宋体" w:hint="eastAsia"/>
        </w:rPr>
        <w:t>）《环境影响评价技术导则 大气环境》（</w:t>
      </w:r>
      <w:r>
        <w:t>HJ2.2-2018</w:t>
      </w:r>
      <w:r>
        <w:rPr>
          <w:rFonts w:ascii="宋体" w:hAnsi="宋体" w:hint="eastAsia"/>
        </w:rPr>
        <w:t>）；</w:t>
      </w:r>
    </w:p>
    <w:p w:rsidR="004E3021" w:rsidRDefault="00606E48">
      <w:pPr>
        <w:ind w:firstLine="480"/>
      </w:pPr>
      <w:r>
        <w:rPr>
          <w:rFonts w:ascii="宋体" w:hAnsi="宋体" w:hint="eastAsia"/>
        </w:rPr>
        <w:t>（</w:t>
      </w:r>
      <w:r>
        <w:t>3</w:t>
      </w:r>
      <w:r>
        <w:rPr>
          <w:rFonts w:ascii="宋体" w:hAnsi="宋体" w:hint="eastAsia"/>
        </w:rPr>
        <w:t>）《环境影响评价技术导则 地表水环境》（</w:t>
      </w:r>
      <w:r>
        <w:t>HJ2.3-2018</w:t>
      </w:r>
      <w:r>
        <w:rPr>
          <w:rFonts w:ascii="宋体" w:hAnsi="宋体" w:hint="eastAsia"/>
        </w:rPr>
        <w:t>）；</w:t>
      </w:r>
    </w:p>
    <w:p w:rsidR="004E3021" w:rsidRDefault="00606E48">
      <w:pPr>
        <w:ind w:firstLine="480"/>
      </w:pPr>
      <w:r>
        <w:rPr>
          <w:rFonts w:ascii="宋体" w:hAnsi="宋体" w:hint="eastAsia"/>
        </w:rPr>
        <w:t>（</w:t>
      </w:r>
      <w:r>
        <w:t>4</w:t>
      </w:r>
      <w:r>
        <w:rPr>
          <w:rFonts w:ascii="宋体" w:hAnsi="宋体" w:hint="eastAsia"/>
        </w:rPr>
        <w:t>）《环境影响评价技术导则 声环境》（</w:t>
      </w:r>
      <w:r>
        <w:t>HJ2.4-2021</w:t>
      </w:r>
      <w:r>
        <w:rPr>
          <w:rFonts w:ascii="宋体" w:hAnsi="宋体" w:hint="eastAsia"/>
        </w:rPr>
        <w:t>）；</w:t>
      </w:r>
    </w:p>
    <w:p w:rsidR="004E3021" w:rsidRDefault="00606E48">
      <w:pPr>
        <w:ind w:firstLine="480"/>
      </w:pPr>
      <w:r>
        <w:rPr>
          <w:rFonts w:ascii="宋体" w:hAnsi="宋体" w:hint="eastAsia"/>
        </w:rPr>
        <w:t>（</w:t>
      </w:r>
      <w:r>
        <w:t>5</w:t>
      </w:r>
      <w:r>
        <w:rPr>
          <w:rFonts w:ascii="宋体" w:hAnsi="宋体" w:hint="eastAsia"/>
        </w:rPr>
        <w:t>）《建设项目环境风险评价技术导则》（</w:t>
      </w:r>
      <w:r>
        <w:t>HJ169-2018</w:t>
      </w:r>
      <w:r>
        <w:rPr>
          <w:rFonts w:ascii="宋体" w:hAnsi="宋体" w:hint="eastAsia"/>
        </w:rPr>
        <w:t>）；</w:t>
      </w:r>
    </w:p>
    <w:p w:rsidR="004E3021" w:rsidRDefault="00606E48">
      <w:pPr>
        <w:ind w:firstLine="480"/>
      </w:pPr>
      <w:r>
        <w:rPr>
          <w:rFonts w:ascii="宋体" w:hAnsi="宋体" w:hint="eastAsia"/>
        </w:rPr>
        <w:t>（</w:t>
      </w:r>
      <w:r>
        <w:t>6</w:t>
      </w:r>
      <w:r>
        <w:rPr>
          <w:rFonts w:ascii="宋体" w:hAnsi="宋体" w:hint="eastAsia"/>
        </w:rPr>
        <w:t>）《环境影响评价技术导则 地下水环境》（</w:t>
      </w:r>
      <w:r>
        <w:t>HJ610-2016</w:t>
      </w:r>
      <w:r>
        <w:rPr>
          <w:rFonts w:ascii="宋体" w:hAnsi="宋体" w:hint="eastAsia"/>
        </w:rPr>
        <w:t>）；</w:t>
      </w:r>
    </w:p>
    <w:p w:rsidR="004E3021" w:rsidRDefault="00606E48">
      <w:pPr>
        <w:ind w:firstLine="480"/>
      </w:pPr>
      <w:r>
        <w:rPr>
          <w:rFonts w:ascii="宋体" w:hAnsi="宋体" w:hint="eastAsia"/>
        </w:rPr>
        <w:t>（</w:t>
      </w:r>
      <w:r>
        <w:t>7</w:t>
      </w:r>
      <w:r>
        <w:rPr>
          <w:rFonts w:ascii="宋体" w:hAnsi="宋体" w:hint="eastAsia"/>
        </w:rPr>
        <w:t>）《大气污染治理工程技术导则》（</w:t>
      </w:r>
      <w:r>
        <w:t>HJ2000-2010</w:t>
      </w:r>
      <w:r>
        <w:rPr>
          <w:rFonts w:ascii="宋体" w:hAnsi="宋体" w:hint="eastAsia"/>
        </w:rPr>
        <w:t>）；</w:t>
      </w:r>
    </w:p>
    <w:p w:rsidR="004E3021" w:rsidRDefault="00606E48">
      <w:pPr>
        <w:ind w:firstLine="480"/>
      </w:pPr>
      <w:r>
        <w:rPr>
          <w:rFonts w:ascii="宋体" w:hAnsi="宋体" w:hint="eastAsia"/>
        </w:rPr>
        <w:lastRenderedPageBreak/>
        <w:t>（</w:t>
      </w:r>
      <w:r>
        <w:t>8</w:t>
      </w:r>
      <w:r>
        <w:rPr>
          <w:rFonts w:ascii="宋体" w:hAnsi="宋体" w:hint="eastAsia"/>
        </w:rPr>
        <w:t>）《环境影响评价技术导则</w:t>
      </w:r>
      <w:r>
        <w:t xml:space="preserve"> </w:t>
      </w:r>
      <w:r>
        <w:rPr>
          <w:rFonts w:ascii="宋体" w:hAnsi="宋体" w:hint="eastAsia"/>
        </w:rPr>
        <w:t>土壤环境（试行）》（</w:t>
      </w:r>
      <w:r>
        <w:t>HJ964-2018</w:t>
      </w:r>
      <w:r>
        <w:rPr>
          <w:rFonts w:ascii="宋体" w:hAnsi="宋体" w:hint="eastAsia"/>
        </w:rPr>
        <w:t>）；</w:t>
      </w:r>
    </w:p>
    <w:p w:rsidR="004E3021" w:rsidRDefault="00606E48">
      <w:pPr>
        <w:ind w:firstLine="480"/>
      </w:pPr>
      <w:r>
        <w:rPr>
          <w:rFonts w:ascii="宋体" w:hAnsi="宋体" w:hint="eastAsia"/>
        </w:rPr>
        <w:t>（</w:t>
      </w:r>
      <w:r>
        <w:t>9</w:t>
      </w:r>
      <w:r>
        <w:rPr>
          <w:rFonts w:ascii="宋体" w:hAnsi="宋体" w:hint="eastAsia"/>
        </w:rPr>
        <w:t>）《危险废物贮存污染控制标准》</w:t>
      </w:r>
      <w:r w:rsidR="0085002C">
        <w:t>（</w:t>
      </w:r>
      <w:r w:rsidR="0085002C">
        <w:t>GB18597-2023</w:t>
      </w:r>
      <w:r w:rsidR="0085002C">
        <w:t>）</w:t>
      </w:r>
      <w:r>
        <w:rPr>
          <w:rFonts w:ascii="宋体" w:hAnsi="宋体" w:hint="eastAsia"/>
        </w:rPr>
        <w:t>；</w:t>
      </w:r>
    </w:p>
    <w:p w:rsidR="004E3021" w:rsidRDefault="00606E48">
      <w:pPr>
        <w:ind w:firstLine="480"/>
      </w:pPr>
      <w:r>
        <w:rPr>
          <w:rFonts w:ascii="宋体" w:hAnsi="宋体" w:hint="eastAsia"/>
        </w:rPr>
        <w:t>（</w:t>
      </w:r>
      <w:r>
        <w:rPr>
          <w:rFonts w:hint="eastAsia"/>
        </w:rPr>
        <w:t>1</w:t>
      </w:r>
      <w:r>
        <w:t>0</w:t>
      </w:r>
      <w:r>
        <w:rPr>
          <w:rFonts w:ascii="宋体" w:hAnsi="宋体" w:hint="eastAsia"/>
        </w:rPr>
        <w:t>）《一般工业固体废物贮存和填埋污染控制标准》（</w:t>
      </w:r>
      <w:r>
        <w:rPr>
          <w:rFonts w:hint="eastAsia"/>
        </w:rPr>
        <w:t>GB18599-2020</w:t>
      </w:r>
      <w:r>
        <w:rPr>
          <w:rFonts w:ascii="宋体" w:hAnsi="宋体" w:hint="eastAsia"/>
        </w:rPr>
        <w:t>）；</w:t>
      </w:r>
    </w:p>
    <w:p w:rsidR="004E3021" w:rsidRDefault="00606E48">
      <w:pPr>
        <w:ind w:firstLine="480"/>
      </w:pPr>
      <w:r>
        <w:t>（</w:t>
      </w:r>
      <w:r>
        <w:t>11</w:t>
      </w:r>
      <w:r>
        <w:t>）</w:t>
      </w:r>
      <w:r>
        <w:rPr>
          <w:rFonts w:ascii="宋体" w:hAnsi="宋体" w:hint="eastAsia"/>
        </w:rPr>
        <w:t>《排污许可证申请与核发技术规范 无机</w:t>
      </w:r>
      <w:r>
        <w:rPr>
          <w:rFonts w:ascii="宋体" w:hAnsi="宋体"/>
        </w:rPr>
        <w:t>化学</w:t>
      </w:r>
      <w:r>
        <w:rPr>
          <w:rFonts w:ascii="宋体" w:hAnsi="宋体" w:hint="eastAsia"/>
        </w:rPr>
        <w:t>工业》</w:t>
      </w:r>
      <w:r>
        <w:t>（</w:t>
      </w:r>
      <w:r>
        <w:t>HJ1035-2019</w:t>
      </w:r>
      <w:r>
        <w:t>）</w:t>
      </w:r>
      <w:r>
        <w:rPr>
          <w:rFonts w:ascii="宋体" w:hAnsi="宋体" w:hint="eastAsia"/>
        </w:rPr>
        <w:t>；</w:t>
      </w:r>
    </w:p>
    <w:p w:rsidR="004E3021" w:rsidRDefault="00606E48">
      <w:pPr>
        <w:ind w:firstLine="480"/>
        <w:rPr>
          <w:rFonts w:ascii="宋体" w:hAnsi="宋体"/>
        </w:rPr>
      </w:pPr>
      <w:r>
        <w:rPr>
          <w:rFonts w:ascii="宋体" w:hAnsi="宋体" w:hint="eastAsia"/>
        </w:rPr>
        <w:t>（</w:t>
      </w:r>
      <w:r>
        <w:t>12</w:t>
      </w:r>
      <w:r>
        <w:rPr>
          <w:rFonts w:ascii="宋体" w:hAnsi="宋体" w:hint="eastAsia"/>
        </w:rPr>
        <w:t>）《排污单位自行监测技术指南</w:t>
      </w:r>
      <w:r>
        <w:rPr>
          <w:rFonts w:hint="eastAsia"/>
        </w:rPr>
        <w:t>-</w:t>
      </w:r>
      <w:r>
        <w:rPr>
          <w:rFonts w:ascii="宋体" w:hAnsi="宋体" w:hint="eastAsia"/>
        </w:rPr>
        <w:t>总则》（</w:t>
      </w:r>
      <w:r>
        <w:rPr>
          <w:rFonts w:hint="eastAsia"/>
        </w:rPr>
        <w:t>HJ819-2017</w:t>
      </w:r>
      <w:r>
        <w:rPr>
          <w:rFonts w:ascii="宋体" w:hAnsi="宋体" w:hint="eastAsia"/>
        </w:rPr>
        <w:t>）；</w:t>
      </w:r>
    </w:p>
    <w:p w:rsidR="004E3021" w:rsidRDefault="00606E48">
      <w:pPr>
        <w:ind w:firstLine="480"/>
        <w:rPr>
          <w:rFonts w:ascii="宋体" w:hAnsi="宋体"/>
        </w:rPr>
      </w:pPr>
      <w:r>
        <w:rPr>
          <w:rFonts w:ascii="宋体" w:hAnsi="宋体" w:hint="eastAsia"/>
        </w:rPr>
        <w:t>（</w:t>
      </w:r>
      <w:r>
        <w:t>13</w:t>
      </w:r>
      <w:r>
        <w:rPr>
          <w:rFonts w:ascii="宋体" w:hAnsi="宋体" w:hint="eastAsia"/>
        </w:rPr>
        <w:t>）《排污单位自行监测技术指南</w:t>
      </w:r>
      <w:r>
        <w:rPr>
          <w:rFonts w:hint="eastAsia"/>
        </w:rPr>
        <w:t>-</w:t>
      </w:r>
      <w:r>
        <w:rPr>
          <w:rFonts w:ascii="宋体" w:hAnsi="宋体" w:hint="eastAsia"/>
        </w:rPr>
        <w:t>无机化学</w:t>
      </w:r>
      <w:r>
        <w:rPr>
          <w:rFonts w:ascii="宋体" w:hAnsi="宋体"/>
        </w:rPr>
        <w:t>工业</w:t>
      </w:r>
      <w:r>
        <w:rPr>
          <w:rFonts w:ascii="宋体" w:hAnsi="宋体" w:hint="eastAsia"/>
        </w:rPr>
        <w:t>》（</w:t>
      </w:r>
      <w:r>
        <w:rPr>
          <w:rFonts w:hint="eastAsia"/>
        </w:rPr>
        <w:t>HJ1138-2020</w:t>
      </w:r>
      <w:r>
        <w:rPr>
          <w:rFonts w:ascii="宋体" w:hAnsi="宋体" w:hint="eastAsia"/>
        </w:rPr>
        <w:t>）；</w:t>
      </w:r>
    </w:p>
    <w:p w:rsidR="004E3021" w:rsidRDefault="00606E48">
      <w:pPr>
        <w:ind w:firstLine="480"/>
      </w:pPr>
      <w:r>
        <w:rPr>
          <w:rFonts w:ascii="宋体" w:hAnsi="宋体" w:hint="eastAsia"/>
        </w:rPr>
        <w:t>（</w:t>
      </w:r>
      <w:r>
        <w:t>14</w:t>
      </w:r>
      <w:r>
        <w:rPr>
          <w:rFonts w:ascii="宋体" w:hAnsi="宋体" w:hint="eastAsia"/>
        </w:rPr>
        <w:t>）《工业其他行业企业温室气体排放核算方法与报告指南（试行）》。</w:t>
      </w:r>
    </w:p>
    <w:p w:rsidR="004E3021" w:rsidRDefault="00606E48">
      <w:pPr>
        <w:spacing w:before="240" w:after="120"/>
        <w:ind w:firstLineChars="0" w:firstLine="0"/>
        <w:jc w:val="left"/>
        <w:outlineLvl w:val="2"/>
        <w:rPr>
          <w:rFonts w:eastAsia="黑体"/>
          <w:sz w:val="28"/>
          <w:szCs w:val="28"/>
        </w:rPr>
      </w:pPr>
      <w:bookmarkStart w:id="39" w:name="_Toc108662549"/>
      <w:bookmarkStart w:id="40" w:name="_Toc101135783"/>
      <w:bookmarkStart w:id="41" w:name="_Toc100783955"/>
      <w:bookmarkStart w:id="42" w:name="_Toc221088714"/>
      <w:bookmarkStart w:id="43" w:name="_Toc221500929"/>
      <w:r>
        <w:rPr>
          <w:rFonts w:eastAsia="黑体"/>
          <w:sz w:val="28"/>
          <w:szCs w:val="28"/>
        </w:rPr>
        <w:t>2.1.4</w:t>
      </w:r>
      <w:r>
        <w:rPr>
          <w:rFonts w:ascii="黑体" w:eastAsia="黑体" w:hAnsi="黑体" w:hint="eastAsia"/>
          <w:sz w:val="28"/>
          <w:szCs w:val="28"/>
        </w:rPr>
        <w:t>项目相关文件及资料</w:t>
      </w:r>
      <w:bookmarkEnd w:id="39"/>
      <w:bookmarkEnd w:id="40"/>
      <w:bookmarkEnd w:id="41"/>
      <w:bookmarkEnd w:id="42"/>
      <w:bookmarkEnd w:id="43"/>
    </w:p>
    <w:p w:rsidR="0085002C" w:rsidRDefault="0085002C" w:rsidP="0085002C">
      <w:pPr>
        <w:ind w:firstLine="480"/>
      </w:pPr>
      <w:r>
        <w:t>（</w:t>
      </w:r>
      <w:r>
        <w:t>1</w:t>
      </w:r>
      <w:r>
        <w:t>）项目环境影响评价委托书；</w:t>
      </w:r>
    </w:p>
    <w:p w:rsidR="0085002C" w:rsidRDefault="0085002C" w:rsidP="0085002C">
      <w:pPr>
        <w:ind w:firstLine="480"/>
      </w:pPr>
      <w:r>
        <w:rPr>
          <w:bCs/>
        </w:rPr>
        <w:t>（</w:t>
      </w:r>
      <w:r>
        <w:rPr>
          <w:bCs/>
        </w:rPr>
        <w:t>2</w:t>
      </w:r>
      <w:r>
        <w:rPr>
          <w:bCs/>
        </w:rPr>
        <w:t>）</w:t>
      </w:r>
      <w:r>
        <w:t>项目备案</w:t>
      </w:r>
      <w:r>
        <w:rPr>
          <w:rFonts w:hint="eastAsia"/>
        </w:rPr>
        <w:t>文件</w:t>
      </w:r>
      <w:r>
        <w:t>；</w:t>
      </w:r>
    </w:p>
    <w:p w:rsidR="0085002C" w:rsidRDefault="0085002C" w:rsidP="0085002C">
      <w:pPr>
        <w:ind w:firstLine="480"/>
      </w:pPr>
      <w:r>
        <w:t>（</w:t>
      </w:r>
      <w:r>
        <w:t>3</w:t>
      </w:r>
      <w:r>
        <w:t>）</w:t>
      </w:r>
      <w:r>
        <w:rPr>
          <w:rFonts w:hint="eastAsia"/>
          <w:szCs w:val="21"/>
        </w:rPr>
        <w:t>建设单位提供的其他相关资料。</w:t>
      </w:r>
      <w:bookmarkStart w:id="44" w:name="pindex244"/>
      <w:bookmarkEnd w:id="44"/>
    </w:p>
    <w:p w:rsidR="004E3021" w:rsidRDefault="00606E48">
      <w:pPr>
        <w:pStyle w:val="afffffffffffffffff3"/>
      </w:pPr>
      <w:bookmarkStart w:id="45" w:name="_Toc221500930"/>
      <w:r>
        <w:rPr>
          <w:rFonts w:hint="eastAsia"/>
        </w:rPr>
        <w:t>2</w:t>
      </w:r>
      <w:r>
        <w:t>.2</w:t>
      </w:r>
      <w:r>
        <w:rPr>
          <w:rFonts w:ascii="黑体" w:hAnsi="黑体"/>
        </w:rPr>
        <w:t>评价因子与评价标准</w:t>
      </w:r>
      <w:bookmarkEnd w:id="45"/>
      <w:r>
        <w:rPr>
          <w:rFonts w:hint="eastAsia"/>
        </w:rPr>
        <w:t xml:space="preserve"> </w:t>
      </w:r>
      <w:r>
        <w:t xml:space="preserve">                                                                                                                                                                                                                                                                                                                                                                                                                                                                                                                                                                                                                                                                                                                                                                                                                                                                                                                                                                                                                                                                                                                                                             </w:t>
      </w:r>
    </w:p>
    <w:p w:rsidR="004E3021" w:rsidRDefault="00606E48">
      <w:pPr>
        <w:pStyle w:val="afffffffffffffffff4"/>
        <w:rPr>
          <w:rFonts w:ascii="黑体" w:hAnsi="黑体"/>
        </w:rPr>
      </w:pPr>
      <w:bookmarkStart w:id="46" w:name="_Toc108662551"/>
      <w:bookmarkStart w:id="47" w:name="_Toc101135785"/>
      <w:bookmarkStart w:id="48" w:name="_Toc100783957"/>
      <w:bookmarkStart w:id="49" w:name="_Toc221088716"/>
      <w:bookmarkStart w:id="50" w:name="_Toc221500931"/>
      <w:r>
        <w:rPr>
          <w:rFonts w:hint="eastAsia"/>
        </w:rPr>
        <w:t>2</w:t>
      </w:r>
      <w:r>
        <w:t>.2.1</w:t>
      </w:r>
      <w:r>
        <w:rPr>
          <w:rFonts w:ascii="黑体" w:hAnsi="黑体"/>
        </w:rPr>
        <w:t>环境影响因素识别</w:t>
      </w:r>
      <w:bookmarkEnd w:id="46"/>
      <w:bookmarkEnd w:id="47"/>
      <w:bookmarkEnd w:id="48"/>
      <w:bookmarkEnd w:id="49"/>
      <w:bookmarkEnd w:id="50"/>
    </w:p>
    <w:p w:rsidR="004E3021" w:rsidRDefault="00606E48">
      <w:pPr>
        <w:ind w:firstLine="480"/>
      </w:pPr>
      <w:r>
        <w:t>根据</w:t>
      </w:r>
      <w:r w:rsidR="00947F13">
        <w:rPr>
          <w:rFonts w:hint="eastAsia"/>
        </w:rPr>
        <w:t>本</w:t>
      </w:r>
      <w:r>
        <w:t>项目工程特点</w:t>
      </w:r>
      <w:r>
        <w:rPr>
          <w:rFonts w:hint="eastAsia"/>
        </w:rPr>
        <w:t>，</w:t>
      </w:r>
      <w:r>
        <w:t>通过分析识别环境影响因素</w:t>
      </w:r>
      <w:r>
        <w:rPr>
          <w:rFonts w:hint="eastAsia"/>
        </w:rPr>
        <w:t>，</w:t>
      </w:r>
      <w:r>
        <w:t>并依据污染物排放量大小</w:t>
      </w:r>
      <w:r>
        <w:rPr>
          <w:rFonts w:hint="eastAsia"/>
        </w:rPr>
        <w:t>，</w:t>
      </w:r>
      <w:r>
        <w:t>筛选各项评价因子</w:t>
      </w:r>
      <w:r>
        <w:rPr>
          <w:rFonts w:hint="eastAsia"/>
        </w:rPr>
        <w:t>。</w:t>
      </w:r>
    </w:p>
    <w:p w:rsidR="004E3021" w:rsidRDefault="00606E48">
      <w:pPr>
        <w:ind w:firstLine="480"/>
        <w:sectPr w:rsidR="004E3021">
          <w:pgSz w:w="11906" w:h="16838"/>
          <w:pgMar w:top="1440" w:right="1440" w:bottom="1440" w:left="1440" w:header="851" w:footer="992" w:gutter="0"/>
          <w:cols w:space="425"/>
          <w:docGrid w:type="lines" w:linePitch="326"/>
        </w:sectPr>
      </w:pPr>
      <w:r>
        <w:t>本项目环境影响因素识别见表</w:t>
      </w:r>
      <w:r>
        <w:rPr>
          <w:rFonts w:hint="eastAsia"/>
        </w:rPr>
        <w:t>2</w:t>
      </w:r>
      <w:r>
        <w:t>.2.1-1</w:t>
      </w:r>
      <w:r>
        <w:rPr>
          <w:rFonts w:hint="eastAsia"/>
        </w:rPr>
        <w:t>。</w:t>
      </w:r>
    </w:p>
    <w:p w:rsidR="004E3021" w:rsidRDefault="00606E48">
      <w:pPr>
        <w:pStyle w:val="afffff4"/>
      </w:pPr>
      <w:r>
        <w:lastRenderedPageBreak/>
        <w:t>表</w:t>
      </w:r>
      <w:r>
        <w:t xml:space="preserve">2.2.1-1  </w:t>
      </w:r>
      <w:r>
        <w:t>本项目环境影响因素识别表</w:t>
      </w:r>
    </w:p>
    <w:tbl>
      <w:tblPr>
        <w:tblW w:w="5000" w:type="pct"/>
        <w:jc w:val="center"/>
        <w:tblBorders>
          <w:top w:val="single" w:sz="12" w:space="0" w:color="auto"/>
          <w:bottom w:val="single" w:sz="12" w:space="0" w:color="auto"/>
          <w:insideH w:val="single" w:sz="2" w:space="0" w:color="auto"/>
          <w:insideV w:val="single" w:sz="4" w:space="0" w:color="auto"/>
        </w:tblBorders>
        <w:tblCellMar>
          <w:left w:w="0" w:type="dxa"/>
          <w:right w:w="0" w:type="dxa"/>
        </w:tblCellMar>
        <w:tblLook w:val="04A0" w:firstRow="1" w:lastRow="0" w:firstColumn="1" w:lastColumn="0" w:noHBand="0" w:noVBand="1"/>
      </w:tblPr>
      <w:tblGrid>
        <w:gridCol w:w="843"/>
        <w:gridCol w:w="1128"/>
        <w:gridCol w:w="1177"/>
        <w:gridCol w:w="1415"/>
        <w:gridCol w:w="1415"/>
        <w:gridCol w:w="1135"/>
        <w:gridCol w:w="1192"/>
        <w:gridCol w:w="1135"/>
        <w:gridCol w:w="1135"/>
        <w:gridCol w:w="1135"/>
        <w:gridCol w:w="2248"/>
      </w:tblGrid>
      <w:tr w:rsidR="004E3021" w:rsidRPr="00786124" w:rsidTr="00786124">
        <w:trPr>
          <w:trHeight w:val="340"/>
          <w:jc w:val="center"/>
        </w:trPr>
        <w:tc>
          <w:tcPr>
            <w:tcW w:w="0" w:type="auto"/>
            <w:gridSpan w:val="2"/>
            <w:vMerge w:val="restart"/>
            <w:tcBorders>
              <w:top w:val="single" w:sz="12" w:space="0" w:color="auto"/>
              <w:left w:val="nil"/>
              <w:bottom w:val="single" w:sz="2" w:space="0" w:color="auto"/>
              <w:right w:val="single" w:sz="4" w:space="0" w:color="auto"/>
              <w:tl2br w:val="single" w:sz="4" w:space="0" w:color="auto"/>
            </w:tcBorders>
            <w:vAlign w:val="center"/>
          </w:tcPr>
          <w:p w:rsidR="004E3021" w:rsidRPr="00786124" w:rsidRDefault="00606E48">
            <w:pPr>
              <w:pStyle w:val="afffffff2"/>
              <w:rPr>
                <w:b/>
                <w:sz w:val="21"/>
                <w:szCs w:val="21"/>
              </w:rPr>
            </w:pPr>
            <w:r w:rsidRPr="00786124">
              <w:rPr>
                <w:b/>
                <w:sz w:val="21"/>
                <w:szCs w:val="21"/>
              </w:rPr>
              <w:t xml:space="preserve">      </w:t>
            </w:r>
            <w:r w:rsidRPr="00786124">
              <w:rPr>
                <w:rFonts w:ascii="宋体" w:hAnsi="宋体"/>
                <w:b/>
                <w:sz w:val="21"/>
                <w:szCs w:val="21"/>
              </w:rPr>
              <w:t>环境因子</w:t>
            </w:r>
          </w:p>
          <w:p w:rsidR="004E3021" w:rsidRPr="00786124" w:rsidRDefault="00606E48">
            <w:pPr>
              <w:pStyle w:val="afffffff2"/>
              <w:rPr>
                <w:b/>
                <w:sz w:val="21"/>
                <w:szCs w:val="21"/>
              </w:rPr>
            </w:pPr>
            <w:r w:rsidRPr="00786124">
              <w:rPr>
                <w:rFonts w:ascii="宋体" w:hAnsi="宋体"/>
                <w:b/>
                <w:sz w:val="21"/>
                <w:szCs w:val="21"/>
              </w:rPr>
              <w:t>开发活动</w:t>
            </w:r>
          </w:p>
        </w:tc>
        <w:tc>
          <w:tcPr>
            <w:tcW w:w="0" w:type="auto"/>
            <w:gridSpan w:val="5"/>
            <w:tcBorders>
              <w:top w:val="single" w:sz="12" w:space="0" w:color="auto"/>
              <w:left w:val="single" w:sz="4" w:space="0" w:color="auto"/>
              <w:bottom w:val="single" w:sz="2" w:space="0" w:color="auto"/>
              <w:right w:val="single" w:sz="4" w:space="0" w:color="auto"/>
            </w:tcBorders>
            <w:vAlign w:val="center"/>
          </w:tcPr>
          <w:p w:rsidR="004E3021" w:rsidRPr="00786124" w:rsidRDefault="00606E48">
            <w:pPr>
              <w:pStyle w:val="afffffff2"/>
              <w:rPr>
                <w:b/>
                <w:sz w:val="21"/>
                <w:szCs w:val="21"/>
              </w:rPr>
            </w:pPr>
            <w:r w:rsidRPr="00786124">
              <w:rPr>
                <w:rFonts w:ascii="宋体" w:hAnsi="宋体"/>
                <w:b/>
                <w:sz w:val="21"/>
                <w:szCs w:val="21"/>
              </w:rPr>
              <w:t>自然环境</w:t>
            </w:r>
          </w:p>
        </w:tc>
        <w:tc>
          <w:tcPr>
            <w:tcW w:w="0" w:type="auto"/>
            <w:gridSpan w:val="4"/>
            <w:tcBorders>
              <w:top w:val="single" w:sz="12" w:space="0" w:color="auto"/>
              <w:left w:val="single" w:sz="4" w:space="0" w:color="auto"/>
              <w:bottom w:val="single" w:sz="2" w:space="0" w:color="auto"/>
              <w:right w:val="nil"/>
            </w:tcBorders>
            <w:vAlign w:val="center"/>
          </w:tcPr>
          <w:p w:rsidR="004E3021" w:rsidRPr="00786124" w:rsidRDefault="00606E48">
            <w:pPr>
              <w:pStyle w:val="afffffff2"/>
              <w:rPr>
                <w:b/>
                <w:sz w:val="21"/>
                <w:szCs w:val="21"/>
              </w:rPr>
            </w:pPr>
            <w:r w:rsidRPr="00786124">
              <w:rPr>
                <w:rFonts w:ascii="宋体" w:hAnsi="宋体"/>
                <w:b/>
                <w:sz w:val="21"/>
                <w:szCs w:val="21"/>
              </w:rPr>
              <w:t>生态环境</w:t>
            </w:r>
          </w:p>
        </w:tc>
      </w:tr>
      <w:tr w:rsidR="004E3021" w:rsidRPr="00786124" w:rsidTr="00786124">
        <w:trPr>
          <w:trHeight w:val="340"/>
          <w:jc w:val="center"/>
        </w:trPr>
        <w:tc>
          <w:tcPr>
            <w:tcW w:w="0" w:type="auto"/>
            <w:gridSpan w:val="2"/>
            <w:vMerge/>
            <w:tcBorders>
              <w:top w:val="single" w:sz="12" w:space="0" w:color="auto"/>
              <w:left w:val="nil"/>
              <w:bottom w:val="single" w:sz="2" w:space="0" w:color="auto"/>
              <w:right w:val="single" w:sz="4" w:space="0" w:color="auto"/>
              <w:tl2br w:val="single" w:sz="4" w:space="0" w:color="auto"/>
            </w:tcBorders>
            <w:vAlign w:val="center"/>
          </w:tcPr>
          <w:p w:rsidR="004E3021" w:rsidRPr="00786124" w:rsidRDefault="004E3021">
            <w:pPr>
              <w:pStyle w:val="afffffff2"/>
              <w:rPr>
                <w:b/>
                <w:sz w:val="21"/>
                <w:szCs w:val="21"/>
              </w:rPr>
            </w:pPr>
          </w:p>
        </w:tc>
        <w:tc>
          <w:tcPr>
            <w:tcW w:w="0" w:type="auto"/>
            <w:tcBorders>
              <w:top w:val="single" w:sz="2" w:space="0" w:color="auto"/>
              <w:left w:val="single" w:sz="4" w:space="0" w:color="auto"/>
              <w:bottom w:val="single" w:sz="2" w:space="0" w:color="auto"/>
              <w:right w:val="single" w:sz="4" w:space="0" w:color="auto"/>
            </w:tcBorders>
            <w:vAlign w:val="center"/>
          </w:tcPr>
          <w:p w:rsidR="004E3021" w:rsidRPr="00786124" w:rsidRDefault="00606E48">
            <w:pPr>
              <w:pStyle w:val="afffffff2"/>
              <w:rPr>
                <w:b/>
                <w:sz w:val="21"/>
                <w:szCs w:val="21"/>
              </w:rPr>
            </w:pPr>
            <w:r w:rsidRPr="00786124">
              <w:rPr>
                <w:rFonts w:ascii="宋体" w:hAnsi="宋体"/>
                <w:b/>
                <w:sz w:val="21"/>
                <w:szCs w:val="21"/>
              </w:rPr>
              <w:t>环境空气</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786124" w:rsidRDefault="00606E48">
            <w:pPr>
              <w:pStyle w:val="afffffff2"/>
              <w:rPr>
                <w:b/>
                <w:sz w:val="21"/>
                <w:szCs w:val="21"/>
              </w:rPr>
            </w:pPr>
            <w:r w:rsidRPr="00786124">
              <w:rPr>
                <w:rFonts w:ascii="宋体" w:hAnsi="宋体"/>
                <w:b/>
                <w:sz w:val="21"/>
                <w:szCs w:val="21"/>
              </w:rPr>
              <w:t>地表水环境</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786124" w:rsidRDefault="00606E48">
            <w:pPr>
              <w:pStyle w:val="afffffff2"/>
              <w:rPr>
                <w:b/>
                <w:sz w:val="21"/>
                <w:szCs w:val="21"/>
              </w:rPr>
            </w:pPr>
            <w:r w:rsidRPr="00786124">
              <w:rPr>
                <w:rFonts w:ascii="宋体" w:hAnsi="宋体"/>
                <w:b/>
                <w:sz w:val="21"/>
                <w:szCs w:val="21"/>
              </w:rPr>
              <w:t>地下水环境</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786124" w:rsidRDefault="00606E48">
            <w:pPr>
              <w:pStyle w:val="afffffff2"/>
              <w:rPr>
                <w:b/>
                <w:sz w:val="21"/>
                <w:szCs w:val="21"/>
              </w:rPr>
            </w:pPr>
            <w:r w:rsidRPr="00786124">
              <w:rPr>
                <w:rFonts w:ascii="宋体" w:hAnsi="宋体"/>
                <w:b/>
                <w:sz w:val="21"/>
                <w:szCs w:val="21"/>
              </w:rPr>
              <w:t>土壤环境</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786124" w:rsidRDefault="00606E48">
            <w:pPr>
              <w:pStyle w:val="afffffff2"/>
              <w:rPr>
                <w:b/>
                <w:sz w:val="21"/>
                <w:szCs w:val="21"/>
              </w:rPr>
            </w:pPr>
            <w:r w:rsidRPr="00786124">
              <w:rPr>
                <w:rFonts w:ascii="宋体" w:hAnsi="宋体"/>
                <w:b/>
                <w:sz w:val="21"/>
                <w:szCs w:val="21"/>
              </w:rPr>
              <w:t>声环境</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786124" w:rsidRDefault="00606E48">
            <w:pPr>
              <w:pStyle w:val="afffffff2"/>
              <w:rPr>
                <w:b/>
                <w:sz w:val="21"/>
                <w:szCs w:val="21"/>
              </w:rPr>
            </w:pPr>
            <w:r w:rsidRPr="00786124">
              <w:rPr>
                <w:rFonts w:ascii="宋体" w:hAnsi="宋体"/>
                <w:b/>
                <w:sz w:val="21"/>
                <w:szCs w:val="21"/>
              </w:rPr>
              <w:t>陆域生物</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786124" w:rsidRDefault="00606E48">
            <w:pPr>
              <w:pStyle w:val="afffffff2"/>
              <w:rPr>
                <w:b/>
                <w:sz w:val="21"/>
                <w:szCs w:val="21"/>
              </w:rPr>
            </w:pPr>
            <w:r w:rsidRPr="00786124">
              <w:rPr>
                <w:rFonts w:ascii="宋体" w:hAnsi="宋体"/>
                <w:b/>
                <w:sz w:val="21"/>
                <w:szCs w:val="21"/>
              </w:rPr>
              <w:t>水生生物</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786124" w:rsidRDefault="00606E48">
            <w:pPr>
              <w:pStyle w:val="afffffff2"/>
              <w:rPr>
                <w:b/>
                <w:sz w:val="21"/>
                <w:szCs w:val="21"/>
              </w:rPr>
            </w:pPr>
            <w:r w:rsidRPr="00786124">
              <w:rPr>
                <w:rFonts w:ascii="宋体" w:hAnsi="宋体"/>
                <w:b/>
                <w:sz w:val="21"/>
                <w:szCs w:val="21"/>
              </w:rPr>
              <w:t>渔业资源</w:t>
            </w:r>
          </w:p>
        </w:tc>
        <w:tc>
          <w:tcPr>
            <w:tcW w:w="0" w:type="auto"/>
            <w:tcBorders>
              <w:top w:val="single" w:sz="2" w:space="0" w:color="auto"/>
              <w:left w:val="single" w:sz="4" w:space="0" w:color="auto"/>
              <w:bottom w:val="single" w:sz="2" w:space="0" w:color="auto"/>
              <w:right w:val="nil"/>
            </w:tcBorders>
            <w:vAlign w:val="center"/>
          </w:tcPr>
          <w:p w:rsidR="004E3021" w:rsidRPr="00786124" w:rsidRDefault="00606E48">
            <w:pPr>
              <w:pStyle w:val="afffffff2"/>
              <w:rPr>
                <w:b/>
                <w:sz w:val="21"/>
                <w:szCs w:val="21"/>
              </w:rPr>
            </w:pPr>
            <w:r w:rsidRPr="00786124">
              <w:rPr>
                <w:rFonts w:ascii="宋体" w:hAnsi="宋体"/>
                <w:b/>
                <w:sz w:val="21"/>
                <w:szCs w:val="21"/>
              </w:rPr>
              <w:t>主要生态保护区域</w:t>
            </w:r>
          </w:p>
        </w:tc>
      </w:tr>
      <w:tr w:rsidR="004E3021" w:rsidRPr="0085002C">
        <w:trPr>
          <w:trHeight w:val="340"/>
          <w:jc w:val="center"/>
        </w:trPr>
        <w:tc>
          <w:tcPr>
            <w:tcW w:w="0" w:type="auto"/>
            <w:vMerge w:val="restart"/>
            <w:tcBorders>
              <w:top w:val="nil"/>
              <w:left w:val="nil"/>
              <w:bottom w:val="single" w:sz="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施工期</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施工废水</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-S1DNCR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nil"/>
            </w:tcBorders>
            <w:vAlign w:val="center"/>
          </w:tcPr>
          <w:p w:rsidR="004E3021" w:rsidRPr="0085002C" w:rsidRDefault="00606E48">
            <w:pPr>
              <w:pStyle w:val="afffffff2"/>
              <w:rPr>
                <w:sz w:val="21"/>
                <w:szCs w:val="21"/>
              </w:rPr>
            </w:pPr>
            <w:r w:rsidRPr="0085002C">
              <w:rPr>
                <w:sz w:val="21"/>
                <w:szCs w:val="21"/>
              </w:rPr>
              <w:t>—</w:t>
            </w:r>
          </w:p>
        </w:tc>
      </w:tr>
      <w:tr w:rsidR="004E3021" w:rsidRPr="0085002C">
        <w:trPr>
          <w:trHeight w:val="340"/>
          <w:jc w:val="center"/>
        </w:trPr>
        <w:tc>
          <w:tcPr>
            <w:tcW w:w="0" w:type="auto"/>
            <w:vMerge/>
            <w:tcBorders>
              <w:top w:val="nil"/>
              <w:left w:val="nil"/>
              <w:bottom w:val="single" w:sz="2" w:space="0" w:color="auto"/>
              <w:right w:val="single" w:sz="4" w:space="0" w:color="auto"/>
            </w:tcBorders>
            <w:vAlign w:val="center"/>
          </w:tcPr>
          <w:p w:rsidR="004E3021" w:rsidRPr="0085002C" w:rsidRDefault="004E3021">
            <w:pPr>
              <w:pStyle w:val="afffffff2"/>
              <w:rPr>
                <w:sz w:val="21"/>
                <w:szCs w:val="21"/>
              </w:rPr>
            </w:pP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施工扬尘</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-S1DNCR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nil"/>
            </w:tcBorders>
            <w:vAlign w:val="center"/>
          </w:tcPr>
          <w:p w:rsidR="004E3021" w:rsidRPr="0085002C" w:rsidRDefault="00606E48">
            <w:pPr>
              <w:pStyle w:val="afffffff2"/>
              <w:rPr>
                <w:sz w:val="21"/>
                <w:szCs w:val="21"/>
              </w:rPr>
            </w:pPr>
            <w:r w:rsidRPr="0085002C">
              <w:rPr>
                <w:sz w:val="21"/>
                <w:szCs w:val="21"/>
              </w:rPr>
              <w:t>—</w:t>
            </w:r>
          </w:p>
        </w:tc>
      </w:tr>
      <w:tr w:rsidR="004E3021" w:rsidRPr="0085002C">
        <w:trPr>
          <w:trHeight w:val="340"/>
          <w:jc w:val="center"/>
        </w:trPr>
        <w:tc>
          <w:tcPr>
            <w:tcW w:w="0" w:type="auto"/>
            <w:vMerge/>
            <w:tcBorders>
              <w:top w:val="nil"/>
              <w:left w:val="nil"/>
              <w:bottom w:val="single" w:sz="2" w:space="0" w:color="auto"/>
              <w:right w:val="single" w:sz="4" w:space="0" w:color="auto"/>
            </w:tcBorders>
            <w:vAlign w:val="center"/>
          </w:tcPr>
          <w:p w:rsidR="004E3021" w:rsidRPr="0085002C" w:rsidRDefault="004E3021">
            <w:pPr>
              <w:pStyle w:val="afffffff2"/>
              <w:rPr>
                <w:sz w:val="21"/>
                <w:szCs w:val="21"/>
              </w:rPr>
            </w:pP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施工噪声</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-S2DNCR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nil"/>
            </w:tcBorders>
            <w:vAlign w:val="center"/>
          </w:tcPr>
          <w:p w:rsidR="004E3021" w:rsidRPr="0085002C" w:rsidRDefault="00606E48">
            <w:pPr>
              <w:pStyle w:val="afffffff2"/>
              <w:rPr>
                <w:sz w:val="21"/>
                <w:szCs w:val="21"/>
              </w:rPr>
            </w:pPr>
            <w:r w:rsidRPr="0085002C">
              <w:rPr>
                <w:sz w:val="21"/>
                <w:szCs w:val="21"/>
              </w:rPr>
              <w:t>—</w:t>
            </w:r>
          </w:p>
        </w:tc>
      </w:tr>
      <w:tr w:rsidR="004E3021" w:rsidRPr="0085002C">
        <w:trPr>
          <w:trHeight w:val="340"/>
          <w:jc w:val="center"/>
        </w:trPr>
        <w:tc>
          <w:tcPr>
            <w:tcW w:w="0" w:type="auto"/>
            <w:vMerge/>
            <w:tcBorders>
              <w:top w:val="nil"/>
              <w:left w:val="nil"/>
              <w:bottom w:val="single" w:sz="2" w:space="0" w:color="auto"/>
              <w:right w:val="single" w:sz="4" w:space="0" w:color="auto"/>
            </w:tcBorders>
            <w:vAlign w:val="center"/>
          </w:tcPr>
          <w:p w:rsidR="004E3021" w:rsidRPr="0085002C" w:rsidRDefault="004E3021">
            <w:pPr>
              <w:pStyle w:val="afffffff2"/>
              <w:rPr>
                <w:sz w:val="21"/>
                <w:szCs w:val="21"/>
              </w:rPr>
            </w:pP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施工废渣</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-S1INCR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nil"/>
            </w:tcBorders>
            <w:vAlign w:val="center"/>
          </w:tcPr>
          <w:p w:rsidR="004E3021" w:rsidRPr="0085002C" w:rsidRDefault="00606E48">
            <w:pPr>
              <w:pStyle w:val="afffffff2"/>
              <w:rPr>
                <w:sz w:val="21"/>
                <w:szCs w:val="21"/>
              </w:rPr>
            </w:pPr>
            <w:r w:rsidRPr="0085002C">
              <w:rPr>
                <w:sz w:val="21"/>
                <w:szCs w:val="21"/>
              </w:rPr>
              <w:t>—</w:t>
            </w:r>
          </w:p>
        </w:tc>
      </w:tr>
      <w:tr w:rsidR="004E3021" w:rsidRPr="0085002C">
        <w:trPr>
          <w:trHeight w:val="340"/>
          <w:jc w:val="center"/>
        </w:trPr>
        <w:tc>
          <w:tcPr>
            <w:tcW w:w="0" w:type="auto"/>
            <w:vMerge/>
            <w:tcBorders>
              <w:top w:val="nil"/>
              <w:left w:val="nil"/>
              <w:bottom w:val="single" w:sz="2" w:space="0" w:color="auto"/>
              <w:right w:val="single" w:sz="4" w:space="0" w:color="auto"/>
            </w:tcBorders>
            <w:vAlign w:val="center"/>
          </w:tcPr>
          <w:p w:rsidR="004E3021" w:rsidRPr="0085002C" w:rsidRDefault="004E3021">
            <w:pPr>
              <w:pStyle w:val="afffffff2"/>
              <w:rPr>
                <w:sz w:val="21"/>
                <w:szCs w:val="21"/>
              </w:rPr>
            </w:pP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基坑开挖</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nil"/>
            </w:tcBorders>
            <w:vAlign w:val="center"/>
          </w:tcPr>
          <w:p w:rsidR="004E3021" w:rsidRPr="0085002C" w:rsidRDefault="00606E48">
            <w:pPr>
              <w:pStyle w:val="afffffff2"/>
              <w:rPr>
                <w:sz w:val="21"/>
                <w:szCs w:val="21"/>
              </w:rPr>
            </w:pPr>
            <w:r w:rsidRPr="0085002C">
              <w:rPr>
                <w:sz w:val="21"/>
                <w:szCs w:val="21"/>
              </w:rPr>
              <w:t>—</w:t>
            </w:r>
          </w:p>
        </w:tc>
      </w:tr>
      <w:tr w:rsidR="004E3021" w:rsidRPr="0085002C">
        <w:trPr>
          <w:trHeight w:val="340"/>
          <w:jc w:val="center"/>
        </w:trPr>
        <w:tc>
          <w:tcPr>
            <w:tcW w:w="0" w:type="auto"/>
            <w:vMerge w:val="restart"/>
            <w:tcBorders>
              <w:top w:val="nil"/>
              <w:left w:val="nil"/>
              <w:bottom w:val="single" w:sz="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运营期</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废水排放</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-L1DCR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-L1DCR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-L1ICR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-L1ICR</w:t>
            </w:r>
          </w:p>
        </w:tc>
        <w:tc>
          <w:tcPr>
            <w:tcW w:w="0" w:type="auto"/>
            <w:tcBorders>
              <w:top w:val="single" w:sz="2" w:space="0" w:color="auto"/>
              <w:left w:val="single" w:sz="4" w:space="0" w:color="auto"/>
              <w:bottom w:val="single" w:sz="2" w:space="0" w:color="auto"/>
              <w:right w:val="nil"/>
            </w:tcBorders>
            <w:vAlign w:val="center"/>
          </w:tcPr>
          <w:p w:rsidR="004E3021" w:rsidRPr="0085002C" w:rsidRDefault="00606E48">
            <w:pPr>
              <w:pStyle w:val="afffffff2"/>
              <w:rPr>
                <w:sz w:val="21"/>
                <w:szCs w:val="21"/>
              </w:rPr>
            </w:pPr>
            <w:r w:rsidRPr="0085002C">
              <w:rPr>
                <w:sz w:val="21"/>
                <w:szCs w:val="21"/>
              </w:rPr>
              <w:t>—</w:t>
            </w:r>
          </w:p>
        </w:tc>
      </w:tr>
      <w:tr w:rsidR="004E3021" w:rsidRPr="0085002C">
        <w:trPr>
          <w:trHeight w:val="326"/>
          <w:jc w:val="center"/>
        </w:trPr>
        <w:tc>
          <w:tcPr>
            <w:tcW w:w="0" w:type="auto"/>
            <w:vMerge/>
            <w:tcBorders>
              <w:top w:val="nil"/>
              <w:left w:val="nil"/>
              <w:bottom w:val="single" w:sz="2" w:space="0" w:color="auto"/>
              <w:right w:val="single" w:sz="4" w:space="0" w:color="auto"/>
            </w:tcBorders>
            <w:vAlign w:val="center"/>
          </w:tcPr>
          <w:p w:rsidR="004E3021" w:rsidRPr="0085002C" w:rsidRDefault="004E3021">
            <w:pPr>
              <w:pStyle w:val="afffffff2"/>
              <w:rPr>
                <w:sz w:val="21"/>
                <w:szCs w:val="21"/>
              </w:rPr>
            </w:pP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废气排放</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-L1DCR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-L1DCR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nil"/>
            </w:tcBorders>
            <w:vAlign w:val="center"/>
          </w:tcPr>
          <w:p w:rsidR="004E3021" w:rsidRPr="0085002C" w:rsidRDefault="00606E48">
            <w:pPr>
              <w:pStyle w:val="afffffff2"/>
              <w:rPr>
                <w:sz w:val="21"/>
                <w:szCs w:val="21"/>
              </w:rPr>
            </w:pPr>
            <w:r w:rsidRPr="0085002C">
              <w:rPr>
                <w:sz w:val="21"/>
                <w:szCs w:val="21"/>
              </w:rPr>
              <w:t>—</w:t>
            </w:r>
          </w:p>
        </w:tc>
      </w:tr>
      <w:tr w:rsidR="004E3021" w:rsidRPr="0085002C">
        <w:trPr>
          <w:trHeight w:val="326"/>
          <w:jc w:val="center"/>
        </w:trPr>
        <w:tc>
          <w:tcPr>
            <w:tcW w:w="0" w:type="auto"/>
            <w:vMerge/>
            <w:tcBorders>
              <w:top w:val="nil"/>
              <w:left w:val="nil"/>
              <w:bottom w:val="single" w:sz="2" w:space="0" w:color="auto"/>
              <w:right w:val="single" w:sz="4" w:space="0" w:color="auto"/>
            </w:tcBorders>
            <w:vAlign w:val="center"/>
          </w:tcPr>
          <w:p w:rsidR="004E3021" w:rsidRPr="0085002C" w:rsidRDefault="004E3021">
            <w:pPr>
              <w:pStyle w:val="afffffff2"/>
              <w:rPr>
                <w:sz w:val="21"/>
                <w:szCs w:val="21"/>
              </w:rPr>
            </w:pP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噪声排放</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-L1DNCR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nil"/>
            </w:tcBorders>
            <w:vAlign w:val="center"/>
          </w:tcPr>
          <w:p w:rsidR="004E3021" w:rsidRPr="0085002C" w:rsidRDefault="00606E48">
            <w:pPr>
              <w:pStyle w:val="afffffff2"/>
              <w:rPr>
                <w:sz w:val="21"/>
                <w:szCs w:val="21"/>
              </w:rPr>
            </w:pPr>
            <w:r w:rsidRPr="0085002C">
              <w:rPr>
                <w:sz w:val="21"/>
                <w:szCs w:val="21"/>
              </w:rPr>
              <w:t>—</w:t>
            </w:r>
          </w:p>
        </w:tc>
      </w:tr>
      <w:tr w:rsidR="004E3021" w:rsidRPr="0085002C">
        <w:trPr>
          <w:trHeight w:val="326"/>
          <w:jc w:val="center"/>
        </w:trPr>
        <w:tc>
          <w:tcPr>
            <w:tcW w:w="0" w:type="auto"/>
            <w:vMerge/>
            <w:tcBorders>
              <w:top w:val="nil"/>
              <w:left w:val="nil"/>
              <w:bottom w:val="single" w:sz="2" w:space="0" w:color="auto"/>
              <w:right w:val="single" w:sz="4" w:space="0" w:color="auto"/>
            </w:tcBorders>
            <w:vAlign w:val="center"/>
          </w:tcPr>
          <w:p w:rsidR="004E3021" w:rsidRPr="0085002C" w:rsidRDefault="004E3021">
            <w:pPr>
              <w:pStyle w:val="afffffff2"/>
              <w:rPr>
                <w:sz w:val="21"/>
                <w:szCs w:val="21"/>
              </w:rPr>
            </w:pP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固体废物</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-L1DCR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-L1DCR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-L1ICR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nil"/>
            </w:tcBorders>
            <w:vAlign w:val="center"/>
          </w:tcPr>
          <w:p w:rsidR="004E3021" w:rsidRPr="0085002C" w:rsidRDefault="00606E48">
            <w:pPr>
              <w:pStyle w:val="afffffff2"/>
              <w:rPr>
                <w:sz w:val="21"/>
                <w:szCs w:val="21"/>
              </w:rPr>
            </w:pPr>
            <w:r w:rsidRPr="0085002C">
              <w:rPr>
                <w:sz w:val="21"/>
                <w:szCs w:val="21"/>
              </w:rPr>
              <w:t>—</w:t>
            </w:r>
          </w:p>
        </w:tc>
      </w:tr>
      <w:tr w:rsidR="004E3021" w:rsidRPr="0085002C">
        <w:trPr>
          <w:trHeight w:val="326"/>
          <w:jc w:val="center"/>
        </w:trPr>
        <w:tc>
          <w:tcPr>
            <w:tcW w:w="0" w:type="auto"/>
            <w:vMerge/>
            <w:tcBorders>
              <w:top w:val="nil"/>
              <w:left w:val="nil"/>
              <w:bottom w:val="single" w:sz="2" w:space="0" w:color="auto"/>
              <w:right w:val="single" w:sz="4" w:space="0" w:color="auto"/>
            </w:tcBorders>
            <w:vAlign w:val="center"/>
          </w:tcPr>
          <w:p w:rsidR="004E3021" w:rsidRPr="0085002C" w:rsidRDefault="004E3021">
            <w:pPr>
              <w:pStyle w:val="afffffff2"/>
              <w:rPr>
                <w:sz w:val="21"/>
                <w:szCs w:val="21"/>
              </w:rPr>
            </w:pP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事故风险</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-S2DCR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-S2DCR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-S2ICR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-S2ICR</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nil"/>
            </w:tcBorders>
            <w:vAlign w:val="center"/>
          </w:tcPr>
          <w:p w:rsidR="004E3021" w:rsidRPr="0085002C" w:rsidRDefault="00606E48">
            <w:pPr>
              <w:pStyle w:val="afffffff2"/>
              <w:rPr>
                <w:sz w:val="21"/>
                <w:szCs w:val="21"/>
              </w:rPr>
            </w:pPr>
            <w:r w:rsidRPr="0085002C">
              <w:rPr>
                <w:sz w:val="21"/>
                <w:szCs w:val="21"/>
              </w:rPr>
              <w:t>—</w:t>
            </w:r>
          </w:p>
        </w:tc>
      </w:tr>
      <w:tr w:rsidR="004E3021" w:rsidRPr="0085002C">
        <w:trPr>
          <w:trHeight w:val="326"/>
          <w:jc w:val="center"/>
        </w:trPr>
        <w:tc>
          <w:tcPr>
            <w:tcW w:w="0" w:type="auto"/>
            <w:vMerge w:val="restart"/>
            <w:tcBorders>
              <w:top w:val="nil"/>
              <w:left w:val="nil"/>
              <w:bottom w:val="single" w:sz="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服务期</w:t>
            </w:r>
          </w:p>
          <w:p w:rsidR="004E3021" w:rsidRPr="0085002C" w:rsidRDefault="00606E48">
            <w:pPr>
              <w:pStyle w:val="afffffff2"/>
              <w:rPr>
                <w:sz w:val="21"/>
                <w:szCs w:val="21"/>
              </w:rPr>
            </w:pPr>
            <w:r w:rsidRPr="0085002C">
              <w:rPr>
                <w:rFonts w:ascii="宋体" w:hAnsi="宋体"/>
                <w:sz w:val="21"/>
                <w:szCs w:val="21"/>
              </w:rPr>
              <w:t>满后</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废水排放</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nil"/>
            </w:tcBorders>
            <w:vAlign w:val="center"/>
          </w:tcPr>
          <w:p w:rsidR="004E3021" w:rsidRPr="0085002C" w:rsidRDefault="00606E48">
            <w:pPr>
              <w:pStyle w:val="afffffff2"/>
              <w:rPr>
                <w:sz w:val="21"/>
                <w:szCs w:val="21"/>
              </w:rPr>
            </w:pPr>
            <w:r w:rsidRPr="0085002C">
              <w:rPr>
                <w:sz w:val="21"/>
                <w:szCs w:val="21"/>
              </w:rPr>
              <w:t>—</w:t>
            </w:r>
          </w:p>
        </w:tc>
      </w:tr>
      <w:tr w:rsidR="004E3021" w:rsidRPr="0085002C">
        <w:trPr>
          <w:trHeight w:val="326"/>
          <w:jc w:val="center"/>
        </w:trPr>
        <w:tc>
          <w:tcPr>
            <w:tcW w:w="0" w:type="auto"/>
            <w:vMerge/>
            <w:tcBorders>
              <w:top w:val="nil"/>
              <w:left w:val="nil"/>
              <w:bottom w:val="single" w:sz="2" w:space="0" w:color="auto"/>
              <w:right w:val="single" w:sz="4" w:space="0" w:color="auto"/>
            </w:tcBorders>
            <w:vAlign w:val="center"/>
          </w:tcPr>
          <w:p w:rsidR="004E3021" w:rsidRPr="0085002C" w:rsidRDefault="004E3021">
            <w:pPr>
              <w:pStyle w:val="afffffff2"/>
              <w:rPr>
                <w:sz w:val="21"/>
                <w:szCs w:val="21"/>
              </w:rPr>
            </w:pP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废气排放</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nil"/>
            </w:tcBorders>
            <w:vAlign w:val="center"/>
          </w:tcPr>
          <w:p w:rsidR="004E3021" w:rsidRPr="0085002C" w:rsidRDefault="00606E48">
            <w:pPr>
              <w:pStyle w:val="afffffff2"/>
              <w:rPr>
                <w:sz w:val="21"/>
                <w:szCs w:val="21"/>
              </w:rPr>
            </w:pPr>
            <w:r w:rsidRPr="0085002C">
              <w:rPr>
                <w:sz w:val="21"/>
                <w:szCs w:val="21"/>
              </w:rPr>
              <w:t>—</w:t>
            </w:r>
          </w:p>
        </w:tc>
      </w:tr>
      <w:tr w:rsidR="004E3021" w:rsidRPr="0085002C">
        <w:trPr>
          <w:trHeight w:val="326"/>
          <w:jc w:val="center"/>
        </w:trPr>
        <w:tc>
          <w:tcPr>
            <w:tcW w:w="0" w:type="auto"/>
            <w:vMerge/>
            <w:tcBorders>
              <w:top w:val="nil"/>
              <w:left w:val="nil"/>
              <w:bottom w:val="single" w:sz="2" w:space="0" w:color="auto"/>
              <w:right w:val="single" w:sz="4" w:space="0" w:color="auto"/>
            </w:tcBorders>
            <w:vAlign w:val="center"/>
          </w:tcPr>
          <w:p w:rsidR="004E3021" w:rsidRPr="0085002C" w:rsidRDefault="004E3021">
            <w:pPr>
              <w:pStyle w:val="afffffff2"/>
              <w:rPr>
                <w:sz w:val="21"/>
                <w:szCs w:val="21"/>
              </w:rPr>
            </w:pP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固体废物</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2" w:space="0" w:color="auto"/>
              <w:right w:val="nil"/>
            </w:tcBorders>
            <w:vAlign w:val="center"/>
          </w:tcPr>
          <w:p w:rsidR="004E3021" w:rsidRPr="0085002C" w:rsidRDefault="00606E48">
            <w:pPr>
              <w:pStyle w:val="afffffff2"/>
              <w:rPr>
                <w:sz w:val="21"/>
                <w:szCs w:val="21"/>
              </w:rPr>
            </w:pPr>
            <w:r w:rsidRPr="0085002C">
              <w:rPr>
                <w:sz w:val="21"/>
                <w:szCs w:val="21"/>
              </w:rPr>
              <w:t>—</w:t>
            </w:r>
          </w:p>
        </w:tc>
      </w:tr>
      <w:tr w:rsidR="004E3021" w:rsidRPr="0085002C">
        <w:trPr>
          <w:trHeight w:val="326"/>
          <w:jc w:val="center"/>
        </w:trPr>
        <w:tc>
          <w:tcPr>
            <w:tcW w:w="0" w:type="auto"/>
            <w:vMerge/>
            <w:tcBorders>
              <w:top w:val="nil"/>
              <w:left w:val="nil"/>
              <w:bottom w:val="single" w:sz="2" w:space="0" w:color="auto"/>
              <w:right w:val="single" w:sz="4" w:space="0" w:color="auto"/>
            </w:tcBorders>
            <w:vAlign w:val="center"/>
          </w:tcPr>
          <w:p w:rsidR="004E3021" w:rsidRPr="0085002C" w:rsidRDefault="004E3021">
            <w:pPr>
              <w:pStyle w:val="afffffff2"/>
              <w:rPr>
                <w:sz w:val="21"/>
                <w:szCs w:val="21"/>
              </w:rPr>
            </w:pPr>
          </w:p>
        </w:tc>
        <w:tc>
          <w:tcPr>
            <w:tcW w:w="0" w:type="auto"/>
            <w:tcBorders>
              <w:top w:val="single" w:sz="2" w:space="0" w:color="auto"/>
              <w:left w:val="single" w:sz="4" w:space="0" w:color="auto"/>
              <w:bottom w:val="single" w:sz="12" w:space="0" w:color="auto"/>
              <w:right w:val="single" w:sz="4" w:space="0" w:color="auto"/>
            </w:tcBorders>
            <w:vAlign w:val="center"/>
          </w:tcPr>
          <w:p w:rsidR="004E3021" w:rsidRPr="0085002C" w:rsidRDefault="00606E48">
            <w:pPr>
              <w:pStyle w:val="afffffff2"/>
              <w:rPr>
                <w:sz w:val="21"/>
                <w:szCs w:val="21"/>
              </w:rPr>
            </w:pPr>
            <w:r w:rsidRPr="0085002C">
              <w:rPr>
                <w:rFonts w:ascii="宋体" w:hAnsi="宋体"/>
                <w:sz w:val="21"/>
                <w:szCs w:val="21"/>
              </w:rPr>
              <w:t>事故风险</w:t>
            </w:r>
          </w:p>
        </w:tc>
        <w:tc>
          <w:tcPr>
            <w:tcW w:w="0" w:type="auto"/>
            <w:tcBorders>
              <w:top w:val="single" w:sz="2" w:space="0" w:color="auto"/>
              <w:left w:val="single" w:sz="4" w:space="0" w:color="auto"/>
              <w:bottom w:val="single" w:sz="1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1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1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1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1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1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1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12" w:space="0" w:color="auto"/>
              <w:right w:val="single" w:sz="4" w:space="0" w:color="auto"/>
            </w:tcBorders>
            <w:vAlign w:val="center"/>
          </w:tcPr>
          <w:p w:rsidR="004E3021" w:rsidRPr="0085002C" w:rsidRDefault="00606E48">
            <w:pPr>
              <w:pStyle w:val="afffffff2"/>
              <w:rPr>
                <w:sz w:val="21"/>
                <w:szCs w:val="21"/>
              </w:rPr>
            </w:pPr>
            <w:r w:rsidRPr="0085002C">
              <w:rPr>
                <w:sz w:val="21"/>
                <w:szCs w:val="21"/>
              </w:rPr>
              <w:t>—</w:t>
            </w:r>
          </w:p>
        </w:tc>
        <w:tc>
          <w:tcPr>
            <w:tcW w:w="0" w:type="auto"/>
            <w:tcBorders>
              <w:top w:val="single" w:sz="2" w:space="0" w:color="auto"/>
              <w:left w:val="single" w:sz="4" w:space="0" w:color="auto"/>
              <w:bottom w:val="single" w:sz="12" w:space="0" w:color="auto"/>
              <w:right w:val="nil"/>
            </w:tcBorders>
            <w:vAlign w:val="center"/>
          </w:tcPr>
          <w:p w:rsidR="004E3021" w:rsidRPr="0085002C" w:rsidRDefault="00606E48">
            <w:pPr>
              <w:pStyle w:val="afffffff2"/>
              <w:rPr>
                <w:sz w:val="21"/>
                <w:szCs w:val="21"/>
              </w:rPr>
            </w:pPr>
            <w:r w:rsidRPr="0085002C">
              <w:rPr>
                <w:sz w:val="21"/>
                <w:szCs w:val="21"/>
              </w:rPr>
              <w:t>—</w:t>
            </w:r>
          </w:p>
        </w:tc>
      </w:tr>
    </w:tbl>
    <w:p w:rsidR="004E3021" w:rsidRDefault="00606E48">
      <w:pPr>
        <w:pStyle w:val="afffffff2"/>
        <w:jc w:val="left"/>
      </w:pPr>
      <w:r>
        <w:t>注：识别定性时，可用</w:t>
      </w:r>
      <w:r>
        <w:t>“+”</w:t>
      </w:r>
      <w:r>
        <w:t>、</w:t>
      </w:r>
      <w:r>
        <w:t>“-”</w:t>
      </w:r>
      <w:r>
        <w:t>分别表示有利、不利影响；</w:t>
      </w:r>
      <w:r>
        <w:t>“L”</w:t>
      </w:r>
      <w:r>
        <w:t>、</w:t>
      </w:r>
      <w:r>
        <w:t>“S”</w:t>
      </w:r>
      <w:r>
        <w:t>分别表示长期、短期影响；</w:t>
      </w:r>
      <w:r>
        <w:t>“0”</w:t>
      </w:r>
      <w:r>
        <w:t>至</w:t>
      </w:r>
      <w:r>
        <w:t>“3”</w:t>
      </w:r>
      <w:r>
        <w:t>数值分别表示无影响、轻微影响、中等影响、重大影响；用</w:t>
      </w:r>
      <w:r>
        <w:t>“D”</w:t>
      </w:r>
      <w:r>
        <w:t>、</w:t>
      </w:r>
      <w:r>
        <w:t>“I”</w:t>
      </w:r>
      <w:r>
        <w:t>分别表示直接、间接影响；</w:t>
      </w:r>
      <w:r>
        <w:t>“C”</w:t>
      </w:r>
      <w:r>
        <w:t>、</w:t>
      </w:r>
      <w:r>
        <w:t>“NC”</w:t>
      </w:r>
      <w:r>
        <w:t>分别表示累积、非累积影响；</w:t>
      </w:r>
      <w:r>
        <w:t>“R”</w:t>
      </w:r>
      <w:r>
        <w:t>、</w:t>
      </w:r>
      <w:r>
        <w:t>“IR”</w:t>
      </w:r>
      <w:r>
        <w:t>分别表示可逆、不可逆影响。</w:t>
      </w:r>
    </w:p>
    <w:p w:rsidR="004E3021" w:rsidRDefault="004E3021">
      <w:pPr>
        <w:ind w:firstLineChars="0" w:firstLine="0"/>
      </w:pPr>
    </w:p>
    <w:p w:rsidR="004E3021" w:rsidRDefault="004E3021">
      <w:pPr>
        <w:ind w:firstLine="480"/>
      </w:pPr>
    </w:p>
    <w:p w:rsidR="004E3021" w:rsidRDefault="004E3021">
      <w:pPr>
        <w:ind w:firstLineChars="83" w:firstLine="199"/>
        <w:sectPr w:rsidR="004E3021">
          <w:pgSz w:w="16838" w:h="11906" w:orient="landscape"/>
          <w:pgMar w:top="1440" w:right="1440" w:bottom="1440" w:left="1440" w:header="851" w:footer="992" w:gutter="0"/>
          <w:cols w:space="425"/>
          <w:docGrid w:type="lines" w:linePitch="326"/>
        </w:sectPr>
      </w:pPr>
    </w:p>
    <w:p w:rsidR="004E3021" w:rsidRDefault="00606E48">
      <w:pPr>
        <w:pStyle w:val="afffffffffffffffff4"/>
      </w:pPr>
      <w:bookmarkStart w:id="51" w:name="_Toc100783958"/>
      <w:bookmarkStart w:id="52" w:name="_Toc101135786"/>
      <w:bookmarkStart w:id="53" w:name="_Toc108662552"/>
      <w:bookmarkStart w:id="54" w:name="_Toc221088717"/>
      <w:bookmarkStart w:id="55" w:name="_Toc221500932"/>
      <w:r>
        <w:rPr>
          <w:rFonts w:hint="eastAsia"/>
        </w:rPr>
        <w:lastRenderedPageBreak/>
        <w:t>2</w:t>
      </w:r>
      <w:r>
        <w:t>.2</w:t>
      </w:r>
      <w:r>
        <w:rPr>
          <w:rFonts w:hint="eastAsia"/>
        </w:rPr>
        <w:t>.</w:t>
      </w:r>
      <w:r>
        <w:t>2</w:t>
      </w:r>
      <w:r>
        <w:t>评价因子筛选</w:t>
      </w:r>
      <w:bookmarkEnd w:id="51"/>
      <w:bookmarkEnd w:id="52"/>
      <w:bookmarkEnd w:id="53"/>
      <w:bookmarkEnd w:id="54"/>
      <w:bookmarkEnd w:id="55"/>
    </w:p>
    <w:p w:rsidR="004E3021" w:rsidRDefault="00606E48">
      <w:pPr>
        <w:ind w:firstLine="480"/>
      </w:pPr>
      <w:r>
        <w:t>根据本项目的工程特点和污染源分析</w:t>
      </w:r>
      <w:r>
        <w:rPr>
          <w:rFonts w:hint="eastAsia"/>
        </w:rPr>
        <w:t>，</w:t>
      </w:r>
      <w:r>
        <w:t>在对工程运营期环境影响初步识别的基础上</w:t>
      </w:r>
      <w:r>
        <w:rPr>
          <w:rFonts w:hint="eastAsia"/>
        </w:rPr>
        <w:t>，</w:t>
      </w:r>
      <w:r>
        <w:t>评价因子筛选见下表</w:t>
      </w:r>
      <w:r>
        <w:rPr>
          <w:rFonts w:hint="eastAsia"/>
        </w:rPr>
        <w:t>2</w:t>
      </w:r>
      <w:r>
        <w:t>.2.2-1</w:t>
      </w:r>
      <w:r>
        <w:rPr>
          <w:rFonts w:hint="eastAsia"/>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rPr>
        <w:t xml:space="preserve">2.2.2-1  </w:t>
      </w:r>
      <w:r>
        <w:rPr>
          <w:rFonts w:ascii="黑体" w:eastAsia="黑体" w:hAnsi="黑体" w:hint="eastAsia"/>
        </w:rPr>
        <w:t>评价因子情况一览表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49"/>
        <w:gridCol w:w="478"/>
        <w:gridCol w:w="478"/>
        <w:gridCol w:w="3748"/>
        <w:gridCol w:w="2094"/>
        <w:gridCol w:w="1379"/>
      </w:tblGrid>
      <w:tr w:rsidR="0085002C" w:rsidRPr="0085002C" w:rsidTr="0085002C">
        <w:trPr>
          <w:trHeight w:val="50"/>
          <w:jc w:val="center"/>
        </w:trPr>
        <w:tc>
          <w:tcPr>
            <w:tcW w:w="470" w:type="pct"/>
            <w:vAlign w:val="center"/>
          </w:tcPr>
          <w:p w:rsidR="0085002C" w:rsidRPr="00786124" w:rsidRDefault="0085002C">
            <w:pPr>
              <w:pStyle w:val="afffffff2"/>
              <w:rPr>
                <w:b/>
                <w:sz w:val="21"/>
                <w:szCs w:val="21"/>
              </w:rPr>
            </w:pPr>
            <w:r w:rsidRPr="00786124">
              <w:rPr>
                <w:b/>
                <w:sz w:val="21"/>
                <w:szCs w:val="21"/>
              </w:rPr>
              <w:t>评价时段</w:t>
            </w:r>
          </w:p>
        </w:tc>
        <w:tc>
          <w:tcPr>
            <w:tcW w:w="529" w:type="pct"/>
            <w:gridSpan w:val="2"/>
            <w:vAlign w:val="center"/>
          </w:tcPr>
          <w:p w:rsidR="0085002C" w:rsidRPr="00786124" w:rsidRDefault="0085002C">
            <w:pPr>
              <w:pStyle w:val="afffffff2"/>
              <w:rPr>
                <w:b/>
                <w:sz w:val="21"/>
                <w:szCs w:val="21"/>
              </w:rPr>
            </w:pPr>
            <w:r w:rsidRPr="00786124">
              <w:rPr>
                <w:rFonts w:hint="eastAsia"/>
                <w:b/>
                <w:sz w:val="21"/>
                <w:szCs w:val="21"/>
              </w:rPr>
              <w:t>环境要素</w:t>
            </w:r>
          </w:p>
        </w:tc>
        <w:tc>
          <w:tcPr>
            <w:tcW w:w="2076" w:type="pct"/>
            <w:tcMar>
              <w:top w:w="0" w:type="dxa"/>
              <w:left w:w="0" w:type="dxa"/>
              <w:bottom w:w="0" w:type="dxa"/>
              <w:right w:w="0" w:type="dxa"/>
            </w:tcMar>
            <w:vAlign w:val="center"/>
          </w:tcPr>
          <w:p w:rsidR="0085002C" w:rsidRPr="00786124" w:rsidRDefault="0085002C">
            <w:pPr>
              <w:pStyle w:val="afffffff2"/>
              <w:rPr>
                <w:b/>
                <w:sz w:val="21"/>
                <w:szCs w:val="21"/>
              </w:rPr>
            </w:pPr>
            <w:r w:rsidRPr="00786124">
              <w:rPr>
                <w:b/>
                <w:sz w:val="21"/>
                <w:szCs w:val="21"/>
              </w:rPr>
              <w:t>现状评价因子</w:t>
            </w:r>
          </w:p>
        </w:tc>
        <w:tc>
          <w:tcPr>
            <w:tcW w:w="1160" w:type="pct"/>
            <w:vAlign w:val="center"/>
          </w:tcPr>
          <w:p w:rsidR="0085002C" w:rsidRPr="00786124" w:rsidRDefault="0085002C">
            <w:pPr>
              <w:pStyle w:val="afffffff2"/>
              <w:rPr>
                <w:b/>
                <w:sz w:val="21"/>
                <w:szCs w:val="21"/>
              </w:rPr>
            </w:pPr>
            <w:r w:rsidRPr="00786124">
              <w:rPr>
                <w:b/>
                <w:sz w:val="21"/>
                <w:szCs w:val="21"/>
              </w:rPr>
              <w:t>预测评价因子</w:t>
            </w:r>
          </w:p>
        </w:tc>
        <w:tc>
          <w:tcPr>
            <w:tcW w:w="764" w:type="pct"/>
            <w:vAlign w:val="center"/>
          </w:tcPr>
          <w:p w:rsidR="0085002C" w:rsidRPr="00786124" w:rsidRDefault="0085002C">
            <w:pPr>
              <w:pStyle w:val="afffffff2"/>
              <w:rPr>
                <w:b/>
                <w:sz w:val="21"/>
                <w:szCs w:val="21"/>
              </w:rPr>
            </w:pPr>
            <w:r w:rsidRPr="00786124">
              <w:rPr>
                <w:b/>
                <w:sz w:val="21"/>
                <w:szCs w:val="21"/>
              </w:rPr>
              <w:t>总量控制因子</w:t>
            </w:r>
          </w:p>
        </w:tc>
      </w:tr>
      <w:tr w:rsidR="0085002C" w:rsidRPr="0085002C" w:rsidTr="0085002C">
        <w:trPr>
          <w:trHeight w:val="855"/>
          <w:jc w:val="center"/>
        </w:trPr>
        <w:tc>
          <w:tcPr>
            <w:tcW w:w="470" w:type="pct"/>
            <w:vMerge w:val="restart"/>
            <w:vAlign w:val="center"/>
          </w:tcPr>
          <w:p w:rsidR="0085002C" w:rsidRPr="0085002C" w:rsidRDefault="0085002C">
            <w:pPr>
              <w:pStyle w:val="afffffff2"/>
              <w:rPr>
                <w:sz w:val="21"/>
                <w:szCs w:val="21"/>
              </w:rPr>
            </w:pPr>
            <w:r w:rsidRPr="0085002C">
              <w:rPr>
                <w:sz w:val="21"/>
                <w:szCs w:val="21"/>
              </w:rPr>
              <w:t>运</w:t>
            </w:r>
          </w:p>
          <w:p w:rsidR="0085002C" w:rsidRPr="0085002C" w:rsidRDefault="0085002C">
            <w:pPr>
              <w:pStyle w:val="afffffff2"/>
              <w:rPr>
                <w:sz w:val="21"/>
                <w:szCs w:val="21"/>
              </w:rPr>
            </w:pPr>
            <w:r w:rsidRPr="0085002C">
              <w:rPr>
                <w:sz w:val="21"/>
                <w:szCs w:val="21"/>
              </w:rPr>
              <w:t>营</w:t>
            </w:r>
          </w:p>
          <w:p w:rsidR="0085002C" w:rsidRPr="0085002C" w:rsidRDefault="0085002C">
            <w:pPr>
              <w:pStyle w:val="afffffff2"/>
              <w:rPr>
                <w:sz w:val="21"/>
                <w:szCs w:val="21"/>
              </w:rPr>
            </w:pPr>
            <w:r w:rsidRPr="0085002C">
              <w:rPr>
                <w:sz w:val="21"/>
                <w:szCs w:val="21"/>
              </w:rPr>
              <w:t>期</w:t>
            </w:r>
          </w:p>
        </w:tc>
        <w:tc>
          <w:tcPr>
            <w:tcW w:w="529" w:type="pct"/>
            <w:gridSpan w:val="2"/>
            <w:vAlign w:val="center"/>
          </w:tcPr>
          <w:p w:rsidR="0085002C" w:rsidRPr="0085002C" w:rsidRDefault="0085002C">
            <w:pPr>
              <w:pStyle w:val="afffffff2"/>
              <w:rPr>
                <w:sz w:val="21"/>
                <w:szCs w:val="21"/>
              </w:rPr>
            </w:pPr>
            <w:r w:rsidRPr="0085002C">
              <w:rPr>
                <w:sz w:val="21"/>
                <w:szCs w:val="21"/>
              </w:rPr>
              <w:t>地表水环境</w:t>
            </w:r>
          </w:p>
        </w:tc>
        <w:tc>
          <w:tcPr>
            <w:tcW w:w="2076" w:type="pct"/>
            <w:tcMar>
              <w:top w:w="0" w:type="dxa"/>
              <w:left w:w="0" w:type="dxa"/>
              <w:bottom w:w="0" w:type="dxa"/>
              <w:right w:w="0" w:type="dxa"/>
            </w:tcMar>
            <w:vAlign w:val="center"/>
          </w:tcPr>
          <w:p w:rsidR="0085002C" w:rsidRPr="0085002C" w:rsidRDefault="0085002C">
            <w:pPr>
              <w:pStyle w:val="afffffff2"/>
              <w:rPr>
                <w:sz w:val="21"/>
                <w:szCs w:val="21"/>
              </w:rPr>
            </w:pPr>
            <w:r w:rsidRPr="0085002C">
              <w:rPr>
                <w:rFonts w:hint="eastAsia"/>
                <w:bCs/>
                <w:sz w:val="21"/>
                <w:szCs w:val="21"/>
              </w:rPr>
              <w:t>pH</w:t>
            </w:r>
            <w:r w:rsidRPr="0085002C">
              <w:rPr>
                <w:bCs/>
                <w:sz w:val="21"/>
                <w:szCs w:val="21"/>
              </w:rPr>
              <w:t>、</w:t>
            </w:r>
            <w:r w:rsidRPr="0085002C">
              <w:rPr>
                <w:bCs/>
                <w:sz w:val="21"/>
                <w:szCs w:val="21"/>
              </w:rPr>
              <w:t>COD</w:t>
            </w:r>
            <w:r w:rsidRPr="0085002C">
              <w:rPr>
                <w:bCs/>
                <w:sz w:val="21"/>
                <w:szCs w:val="21"/>
              </w:rPr>
              <w:t>、</w:t>
            </w:r>
            <w:r w:rsidRPr="0085002C">
              <w:rPr>
                <w:bCs/>
                <w:sz w:val="21"/>
                <w:szCs w:val="21"/>
              </w:rPr>
              <w:t>BOD</w:t>
            </w:r>
            <w:r w:rsidRPr="0085002C">
              <w:rPr>
                <w:bCs/>
                <w:sz w:val="21"/>
                <w:szCs w:val="21"/>
                <w:vertAlign w:val="subscript"/>
              </w:rPr>
              <w:t>5</w:t>
            </w:r>
            <w:r w:rsidRPr="0085002C">
              <w:rPr>
                <w:bCs/>
                <w:sz w:val="21"/>
                <w:szCs w:val="21"/>
              </w:rPr>
              <w:t>、溶解氧、氨氮、总磷、总氮、铅、镍、砷、铜、锌、硫化物、氟化物、</w:t>
            </w:r>
            <w:r w:rsidRPr="0085002C">
              <w:rPr>
                <w:rFonts w:hint="eastAsia"/>
                <w:bCs/>
                <w:sz w:val="21"/>
                <w:szCs w:val="21"/>
              </w:rPr>
              <w:t>挥发酚、石油类、</w:t>
            </w:r>
            <w:r w:rsidRPr="0085002C">
              <w:rPr>
                <w:bCs/>
                <w:sz w:val="21"/>
                <w:szCs w:val="21"/>
              </w:rPr>
              <w:t>阴离子表面活性剂</w:t>
            </w:r>
          </w:p>
        </w:tc>
        <w:tc>
          <w:tcPr>
            <w:tcW w:w="1160" w:type="pct"/>
            <w:vAlign w:val="center"/>
          </w:tcPr>
          <w:p w:rsidR="0085002C" w:rsidRPr="0085002C" w:rsidRDefault="0085002C">
            <w:pPr>
              <w:pStyle w:val="afffffff2"/>
              <w:rPr>
                <w:sz w:val="21"/>
                <w:szCs w:val="21"/>
              </w:rPr>
            </w:pPr>
            <w:r w:rsidRPr="0085002C">
              <w:rPr>
                <w:sz w:val="21"/>
                <w:szCs w:val="21"/>
              </w:rPr>
              <w:t>/</w:t>
            </w:r>
          </w:p>
        </w:tc>
        <w:tc>
          <w:tcPr>
            <w:tcW w:w="764" w:type="pct"/>
            <w:vAlign w:val="center"/>
          </w:tcPr>
          <w:p w:rsidR="0085002C" w:rsidRPr="0085002C" w:rsidRDefault="0085002C">
            <w:pPr>
              <w:pStyle w:val="afffffff2"/>
              <w:rPr>
                <w:sz w:val="21"/>
                <w:szCs w:val="21"/>
              </w:rPr>
            </w:pPr>
            <w:r w:rsidRPr="0085002C">
              <w:rPr>
                <w:sz w:val="21"/>
                <w:szCs w:val="21"/>
              </w:rPr>
              <w:t>COD</w:t>
            </w:r>
            <w:r w:rsidRPr="0085002C">
              <w:rPr>
                <w:sz w:val="21"/>
                <w:szCs w:val="21"/>
              </w:rPr>
              <w:t>、氨氮</w:t>
            </w:r>
          </w:p>
        </w:tc>
      </w:tr>
      <w:tr w:rsidR="0085002C" w:rsidRPr="0085002C" w:rsidTr="0085002C">
        <w:trPr>
          <w:trHeight w:val="1051"/>
          <w:jc w:val="center"/>
        </w:trPr>
        <w:tc>
          <w:tcPr>
            <w:tcW w:w="470" w:type="pct"/>
            <w:vMerge/>
            <w:vAlign w:val="center"/>
          </w:tcPr>
          <w:p w:rsidR="0085002C" w:rsidRPr="0085002C" w:rsidRDefault="0085002C">
            <w:pPr>
              <w:pStyle w:val="afffffff2"/>
              <w:rPr>
                <w:sz w:val="21"/>
                <w:szCs w:val="21"/>
              </w:rPr>
            </w:pPr>
          </w:p>
        </w:tc>
        <w:tc>
          <w:tcPr>
            <w:tcW w:w="529" w:type="pct"/>
            <w:gridSpan w:val="2"/>
            <w:vAlign w:val="center"/>
          </w:tcPr>
          <w:p w:rsidR="0085002C" w:rsidRPr="0085002C" w:rsidRDefault="0085002C">
            <w:pPr>
              <w:pStyle w:val="afffffff2"/>
              <w:rPr>
                <w:sz w:val="21"/>
                <w:szCs w:val="21"/>
              </w:rPr>
            </w:pPr>
            <w:r w:rsidRPr="0085002C">
              <w:rPr>
                <w:sz w:val="21"/>
                <w:szCs w:val="21"/>
              </w:rPr>
              <w:t>地下水环境</w:t>
            </w:r>
          </w:p>
        </w:tc>
        <w:tc>
          <w:tcPr>
            <w:tcW w:w="2076" w:type="pct"/>
            <w:tcMar>
              <w:top w:w="0" w:type="dxa"/>
              <w:left w:w="0" w:type="dxa"/>
              <w:bottom w:w="0" w:type="dxa"/>
              <w:right w:w="0" w:type="dxa"/>
            </w:tcMar>
            <w:vAlign w:val="center"/>
          </w:tcPr>
          <w:p w:rsidR="0085002C" w:rsidRPr="0085002C" w:rsidRDefault="00D94ABD">
            <w:pPr>
              <w:pStyle w:val="afffffff2"/>
              <w:rPr>
                <w:sz w:val="21"/>
                <w:szCs w:val="21"/>
              </w:rPr>
            </w:pPr>
            <w:r w:rsidRPr="00D94ABD">
              <w:rPr>
                <w:rFonts w:hint="eastAsia"/>
                <w:sz w:val="21"/>
                <w:szCs w:val="21"/>
              </w:rPr>
              <w:t>pH</w:t>
            </w:r>
            <w:r w:rsidRPr="00D94ABD">
              <w:rPr>
                <w:rFonts w:hint="eastAsia"/>
                <w:sz w:val="21"/>
                <w:szCs w:val="21"/>
              </w:rPr>
              <w:t>、总硬度、溶解性总固体、氯化物、铁、锰、铜、锌、挥发酚、阴离子表面活性、耗氧量、氨氮、硫化物、镍、硝酸盐、亚硝酸盐、氰化物、氟化物、汞、砷、硒、镉、六价铬、铅、三氯甲烷、四氯化碳、苯、甲苯、</w:t>
            </w:r>
            <w:r w:rsidR="000D175E">
              <w:rPr>
                <w:rFonts w:hint="eastAsia"/>
                <w:sz w:val="21"/>
                <w:szCs w:val="21"/>
              </w:rPr>
              <w:t>二甲苯、</w:t>
            </w:r>
            <w:r w:rsidRPr="00D94ABD">
              <w:rPr>
                <w:rFonts w:hint="eastAsia"/>
                <w:sz w:val="21"/>
                <w:szCs w:val="21"/>
              </w:rPr>
              <w:t>总大肠杆菌、菌落总数、</w:t>
            </w:r>
            <w:r w:rsidRPr="00D94ABD">
              <w:rPr>
                <w:sz w:val="21"/>
                <w:szCs w:val="21"/>
              </w:rPr>
              <w:t>K</w:t>
            </w:r>
            <w:r w:rsidRPr="00D94ABD">
              <w:rPr>
                <w:sz w:val="21"/>
                <w:szCs w:val="21"/>
                <w:vertAlign w:val="superscript"/>
              </w:rPr>
              <w:t>+</w:t>
            </w:r>
            <w:r w:rsidRPr="00D94ABD">
              <w:rPr>
                <w:sz w:val="21"/>
                <w:szCs w:val="21"/>
              </w:rPr>
              <w:t>、</w:t>
            </w:r>
            <w:r w:rsidRPr="00D94ABD">
              <w:rPr>
                <w:sz w:val="21"/>
                <w:szCs w:val="21"/>
              </w:rPr>
              <w:t>Na</w:t>
            </w:r>
            <w:r w:rsidRPr="00D94ABD">
              <w:rPr>
                <w:sz w:val="21"/>
                <w:szCs w:val="21"/>
                <w:vertAlign w:val="superscript"/>
              </w:rPr>
              <w:t>+</w:t>
            </w:r>
            <w:r w:rsidRPr="00D94ABD">
              <w:rPr>
                <w:sz w:val="21"/>
                <w:szCs w:val="21"/>
              </w:rPr>
              <w:t>、</w:t>
            </w:r>
            <w:r w:rsidRPr="00D94ABD">
              <w:rPr>
                <w:sz w:val="21"/>
                <w:szCs w:val="21"/>
              </w:rPr>
              <w:t>Ca</w:t>
            </w:r>
            <w:r w:rsidRPr="00D94ABD">
              <w:rPr>
                <w:sz w:val="21"/>
                <w:szCs w:val="21"/>
                <w:vertAlign w:val="superscript"/>
              </w:rPr>
              <w:t>2+</w:t>
            </w:r>
            <w:r w:rsidRPr="00D94ABD">
              <w:rPr>
                <w:sz w:val="21"/>
                <w:szCs w:val="21"/>
              </w:rPr>
              <w:t>、</w:t>
            </w:r>
            <w:r w:rsidRPr="00D94ABD">
              <w:rPr>
                <w:sz w:val="21"/>
                <w:szCs w:val="21"/>
              </w:rPr>
              <w:t>Mg</w:t>
            </w:r>
            <w:r w:rsidRPr="00D94ABD">
              <w:rPr>
                <w:sz w:val="21"/>
                <w:szCs w:val="21"/>
                <w:vertAlign w:val="superscript"/>
              </w:rPr>
              <w:t>2+</w:t>
            </w:r>
            <w:r w:rsidRPr="00D94ABD">
              <w:rPr>
                <w:sz w:val="21"/>
                <w:szCs w:val="21"/>
              </w:rPr>
              <w:t>、</w:t>
            </w:r>
            <w:r w:rsidRPr="00D94ABD">
              <w:rPr>
                <w:sz w:val="21"/>
                <w:szCs w:val="21"/>
              </w:rPr>
              <w:t>CO</w:t>
            </w:r>
            <w:r w:rsidRPr="00D94ABD">
              <w:rPr>
                <w:sz w:val="21"/>
                <w:szCs w:val="21"/>
                <w:vertAlign w:val="subscript"/>
              </w:rPr>
              <w:t>3</w:t>
            </w:r>
            <w:r w:rsidRPr="00D94ABD">
              <w:rPr>
                <w:sz w:val="21"/>
                <w:szCs w:val="21"/>
                <w:vertAlign w:val="superscript"/>
              </w:rPr>
              <w:t>2-</w:t>
            </w:r>
            <w:r w:rsidRPr="00D94ABD">
              <w:rPr>
                <w:sz w:val="21"/>
                <w:szCs w:val="21"/>
              </w:rPr>
              <w:t>、</w:t>
            </w:r>
            <w:r w:rsidRPr="00D94ABD">
              <w:rPr>
                <w:sz w:val="21"/>
                <w:szCs w:val="21"/>
              </w:rPr>
              <w:t>HCO</w:t>
            </w:r>
            <w:r w:rsidRPr="00D94ABD">
              <w:rPr>
                <w:sz w:val="21"/>
                <w:szCs w:val="21"/>
                <w:vertAlign w:val="superscript"/>
              </w:rPr>
              <w:t>3-</w:t>
            </w:r>
            <w:r w:rsidRPr="00D94ABD">
              <w:rPr>
                <w:sz w:val="21"/>
                <w:szCs w:val="21"/>
              </w:rPr>
              <w:t>、</w:t>
            </w:r>
            <w:r w:rsidRPr="00D94ABD">
              <w:rPr>
                <w:sz w:val="21"/>
                <w:szCs w:val="21"/>
              </w:rPr>
              <w:t>Cl</w:t>
            </w:r>
            <w:r w:rsidRPr="00D94ABD">
              <w:rPr>
                <w:sz w:val="21"/>
                <w:szCs w:val="21"/>
                <w:vertAlign w:val="superscript"/>
              </w:rPr>
              <w:t>-</w:t>
            </w:r>
            <w:r w:rsidRPr="00D94ABD">
              <w:rPr>
                <w:sz w:val="21"/>
                <w:szCs w:val="21"/>
              </w:rPr>
              <w:t>、</w:t>
            </w:r>
            <w:r w:rsidRPr="00D94ABD">
              <w:rPr>
                <w:sz w:val="21"/>
                <w:szCs w:val="21"/>
              </w:rPr>
              <w:t>SO</w:t>
            </w:r>
            <w:r w:rsidRPr="00D94ABD">
              <w:rPr>
                <w:sz w:val="21"/>
                <w:szCs w:val="21"/>
                <w:vertAlign w:val="subscript"/>
              </w:rPr>
              <w:t>4</w:t>
            </w:r>
            <w:r w:rsidRPr="00D94ABD">
              <w:rPr>
                <w:sz w:val="21"/>
                <w:szCs w:val="21"/>
                <w:vertAlign w:val="superscript"/>
              </w:rPr>
              <w:t>2-</w:t>
            </w:r>
          </w:p>
        </w:tc>
        <w:tc>
          <w:tcPr>
            <w:tcW w:w="1160" w:type="pct"/>
            <w:vAlign w:val="center"/>
          </w:tcPr>
          <w:p w:rsidR="0085002C" w:rsidRPr="0085002C" w:rsidRDefault="0085002C" w:rsidP="00D94ABD">
            <w:pPr>
              <w:pStyle w:val="afffffff2"/>
              <w:rPr>
                <w:sz w:val="21"/>
                <w:szCs w:val="21"/>
              </w:rPr>
            </w:pPr>
            <w:r w:rsidRPr="0085002C">
              <w:rPr>
                <w:rFonts w:hint="eastAsia"/>
                <w:sz w:val="21"/>
                <w:szCs w:val="21"/>
              </w:rPr>
              <w:t>COD</w:t>
            </w:r>
          </w:p>
        </w:tc>
        <w:tc>
          <w:tcPr>
            <w:tcW w:w="764" w:type="pct"/>
            <w:vAlign w:val="center"/>
          </w:tcPr>
          <w:p w:rsidR="0085002C" w:rsidRPr="0085002C" w:rsidRDefault="0085002C">
            <w:pPr>
              <w:pStyle w:val="afffffff2"/>
              <w:rPr>
                <w:sz w:val="21"/>
                <w:szCs w:val="21"/>
              </w:rPr>
            </w:pPr>
            <w:r w:rsidRPr="0085002C">
              <w:rPr>
                <w:sz w:val="21"/>
                <w:szCs w:val="21"/>
              </w:rPr>
              <w:t>/</w:t>
            </w:r>
          </w:p>
        </w:tc>
      </w:tr>
      <w:tr w:rsidR="0085002C" w:rsidRPr="0085002C" w:rsidTr="0085002C">
        <w:trPr>
          <w:trHeight w:val="1311"/>
          <w:jc w:val="center"/>
        </w:trPr>
        <w:tc>
          <w:tcPr>
            <w:tcW w:w="470" w:type="pct"/>
            <w:vMerge/>
            <w:vAlign w:val="center"/>
          </w:tcPr>
          <w:p w:rsidR="0085002C" w:rsidRPr="0085002C" w:rsidRDefault="0085002C">
            <w:pPr>
              <w:pStyle w:val="afffffff2"/>
              <w:rPr>
                <w:sz w:val="21"/>
                <w:szCs w:val="21"/>
              </w:rPr>
            </w:pPr>
          </w:p>
        </w:tc>
        <w:tc>
          <w:tcPr>
            <w:tcW w:w="529" w:type="pct"/>
            <w:gridSpan w:val="2"/>
            <w:vAlign w:val="center"/>
          </w:tcPr>
          <w:p w:rsidR="0085002C" w:rsidRPr="0085002C" w:rsidRDefault="0085002C">
            <w:pPr>
              <w:pStyle w:val="afffffff2"/>
              <w:rPr>
                <w:sz w:val="21"/>
                <w:szCs w:val="21"/>
              </w:rPr>
            </w:pPr>
            <w:r w:rsidRPr="0085002C">
              <w:rPr>
                <w:sz w:val="21"/>
                <w:szCs w:val="21"/>
              </w:rPr>
              <w:t>大气环境</w:t>
            </w:r>
          </w:p>
        </w:tc>
        <w:tc>
          <w:tcPr>
            <w:tcW w:w="2076" w:type="pct"/>
            <w:tcMar>
              <w:top w:w="0" w:type="dxa"/>
              <w:left w:w="0" w:type="dxa"/>
              <w:bottom w:w="0" w:type="dxa"/>
              <w:right w:w="0" w:type="dxa"/>
            </w:tcMar>
            <w:vAlign w:val="center"/>
          </w:tcPr>
          <w:p w:rsidR="0085002C" w:rsidRPr="0085002C" w:rsidRDefault="0085002C">
            <w:pPr>
              <w:pStyle w:val="afffffff2"/>
              <w:rPr>
                <w:sz w:val="21"/>
                <w:szCs w:val="21"/>
              </w:rPr>
            </w:pPr>
            <w:r w:rsidRPr="0085002C">
              <w:rPr>
                <w:sz w:val="21"/>
                <w:szCs w:val="21"/>
              </w:rPr>
              <w:t>SO</w:t>
            </w:r>
            <w:r w:rsidRPr="0085002C">
              <w:rPr>
                <w:sz w:val="21"/>
                <w:szCs w:val="21"/>
                <w:vertAlign w:val="subscript"/>
              </w:rPr>
              <w:t>2</w:t>
            </w:r>
            <w:r w:rsidRPr="0085002C">
              <w:rPr>
                <w:sz w:val="21"/>
                <w:szCs w:val="21"/>
              </w:rPr>
              <w:t>、</w:t>
            </w:r>
            <w:r w:rsidRPr="0085002C">
              <w:rPr>
                <w:sz w:val="21"/>
                <w:szCs w:val="21"/>
              </w:rPr>
              <w:t>NO</w:t>
            </w:r>
            <w:r w:rsidRPr="0085002C">
              <w:rPr>
                <w:sz w:val="21"/>
                <w:szCs w:val="21"/>
                <w:vertAlign w:val="subscript"/>
              </w:rPr>
              <w:t>2</w:t>
            </w:r>
            <w:r w:rsidRPr="0085002C">
              <w:rPr>
                <w:sz w:val="21"/>
                <w:szCs w:val="21"/>
              </w:rPr>
              <w:t>、</w:t>
            </w:r>
            <w:r w:rsidRPr="0085002C">
              <w:rPr>
                <w:sz w:val="21"/>
                <w:szCs w:val="21"/>
              </w:rPr>
              <w:t>CO</w:t>
            </w:r>
            <w:r w:rsidRPr="0085002C">
              <w:rPr>
                <w:sz w:val="21"/>
                <w:szCs w:val="21"/>
              </w:rPr>
              <w:t>、</w:t>
            </w:r>
            <w:r w:rsidRPr="0085002C">
              <w:rPr>
                <w:sz w:val="21"/>
                <w:szCs w:val="21"/>
              </w:rPr>
              <w:t>O</w:t>
            </w:r>
            <w:r w:rsidRPr="0085002C">
              <w:rPr>
                <w:sz w:val="21"/>
                <w:szCs w:val="21"/>
                <w:vertAlign w:val="subscript"/>
              </w:rPr>
              <w:t>3</w:t>
            </w:r>
            <w:r w:rsidRPr="0085002C">
              <w:rPr>
                <w:sz w:val="21"/>
                <w:szCs w:val="21"/>
              </w:rPr>
              <w:t>、</w:t>
            </w:r>
            <w:r w:rsidRPr="0085002C">
              <w:rPr>
                <w:sz w:val="21"/>
                <w:szCs w:val="21"/>
              </w:rPr>
              <w:t>PM</w:t>
            </w:r>
            <w:r w:rsidRPr="0085002C">
              <w:rPr>
                <w:sz w:val="21"/>
                <w:szCs w:val="21"/>
                <w:vertAlign w:val="subscript"/>
              </w:rPr>
              <w:t>10</w:t>
            </w:r>
            <w:r w:rsidRPr="0085002C">
              <w:rPr>
                <w:sz w:val="21"/>
                <w:szCs w:val="21"/>
              </w:rPr>
              <w:t>、</w:t>
            </w:r>
            <w:r w:rsidRPr="0085002C">
              <w:rPr>
                <w:sz w:val="21"/>
                <w:szCs w:val="21"/>
              </w:rPr>
              <w:t>PM</w:t>
            </w:r>
            <w:r w:rsidRPr="0085002C">
              <w:rPr>
                <w:sz w:val="21"/>
                <w:szCs w:val="21"/>
                <w:vertAlign w:val="subscript"/>
              </w:rPr>
              <w:t>2.5</w:t>
            </w:r>
            <w:r w:rsidRPr="0085002C">
              <w:rPr>
                <w:sz w:val="21"/>
                <w:szCs w:val="21"/>
              </w:rPr>
              <w:t>、</w:t>
            </w:r>
            <w:r w:rsidR="00D94ABD" w:rsidRPr="00D94ABD">
              <w:rPr>
                <w:rFonts w:hint="eastAsia"/>
                <w:sz w:val="21"/>
                <w:szCs w:val="21"/>
              </w:rPr>
              <w:t>甲醇、非甲烷总烃、</w:t>
            </w:r>
            <w:r w:rsidR="00CD0AE7" w:rsidRPr="00CD0AE7">
              <w:rPr>
                <w:rFonts w:cs="Times New Roman"/>
                <w:kern w:val="0"/>
                <w:sz w:val="21"/>
                <w:szCs w:val="21"/>
              </w:rPr>
              <w:t>NH</w:t>
            </w:r>
            <w:r w:rsidR="00CD0AE7" w:rsidRPr="00CD0AE7">
              <w:rPr>
                <w:rFonts w:cs="Times New Roman"/>
                <w:kern w:val="0"/>
                <w:sz w:val="21"/>
                <w:szCs w:val="21"/>
                <w:vertAlign w:val="subscript"/>
              </w:rPr>
              <w:t>3</w:t>
            </w:r>
            <w:r w:rsidR="00CD0AE7" w:rsidRPr="00CD0AE7">
              <w:rPr>
                <w:rFonts w:cs="Times New Roman" w:hint="eastAsia"/>
                <w:kern w:val="0"/>
                <w:sz w:val="21"/>
                <w:szCs w:val="21"/>
              </w:rPr>
              <w:t>、</w:t>
            </w:r>
            <w:r w:rsidR="00D94ABD" w:rsidRPr="00D94ABD">
              <w:rPr>
                <w:rFonts w:hint="eastAsia"/>
                <w:sz w:val="21"/>
                <w:szCs w:val="21"/>
              </w:rPr>
              <w:t>H</w:t>
            </w:r>
            <w:r w:rsidR="00D94ABD" w:rsidRPr="00D94ABD">
              <w:rPr>
                <w:rFonts w:hint="eastAsia"/>
                <w:sz w:val="21"/>
                <w:szCs w:val="21"/>
                <w:vertAlign w:val="subscript"/>
              </w:rPr>
              <w:t>2</w:t>
            </w:r>
            <w:r w:rsidR="00D94ABD" w:rsidRPr="00D94ABD">
              <w:rPr>
                <w:rFonts w:hint="eastAsia"/>
                <w:sz w:val="21"/>
                <w:szCs w:val="21"/>
              </w:rPr>
              <w:t>S</w:t>
            </w:r>
            <w:r w:rsidR="00D94ABD" w:rsidRPr="00D94ABD">
              <w:rPr>
                <w:rFonts w:hint="eastAsia"/>
                <w:sz w:val="21"/>
                <w:szCs w:val="21"/>
              </w:rPr>
              <w:t>、</w:t>
            </w:r>
            <w:r w:rsidR="00D94ABD" w:rsidRPr="00D94ABD">
              <w:rPr>
                <w:rFonts w:hint="eastAsia"/>
                <w:sz w:val="21"/>
                <w:szCs w:val="21"/>
              </w:rPr>
              <w:t>TSP</w:t>
            </w:r>
          </w:p>
        </w:tc>
        <w:tc>
          <w:tcPr>
            <w:tcW w:w="1160" w:type="pct"/>
            <w:vAlign w:val="center"/>
          </w:tcPr>
          <w:p w:rsidR="0085002C" w:rsidRPr="0085002C" w:rsidRDefault="0085002C">
            <w:pPr>
              <w:pStyle w:val="afffffff2"/>
              <w:rPr>
                <w:sz w:val="21"/>
                <w:szCs w:val="21"/>
              </w:rPr>
            </w:pPr>
            <w:r w:rsidRPr="0085002C">
              <w:rPr>
                <w:sz w:val="21"/>
                <w:szCs w:val="21"/>
              </w:rPr>
              <w:t>PM</w:t>
            </w:r>
            <w:r w:rsidRPr="0085002C">
              <w:rPr>
                <w:sz w:val="21"/>
                <w:szCs w:val="21"/>
                <w:vertAlign w:val="subscript"/>
              </w:rPr>
              <w:t>10</w:t>
            </w:r>
            <w:r w:rsidRPr="0085002C">
              <w:rPr>
                <w:sz w:val="21"/>
                <w:szCs w:val="21"/>
              </w:rPr>
              <w:t>、</w:t>
            </w:r>
            <w:r w:rsidRPr="0085002C">
              <w:rPr>
                <w:sz w:val="21"/>
                <w:szCs w:val="21"/>
              </w:rPr>
              <w:t>PM</w:t>
            </w:r>
            <w:r w:rsidRPr="0085002C">
              <w:rPr>
                <w:sz w:val="21"/>
                <w:szCs w:val="21"/>
                <w:vertAlign w:val="subscript"/>
              </w:rPr>
              <w:t>2.5</w:t>
            </w:r>
            <w:r w:rsidRPr="0085002C">
              <w:rPr>
                <w:sz w:val="21"/>
                <w:szCs w:val="21"/>
              </w:rPr>
              <w:t>、</w:t>
            </w:r>
            <w:r w:rsidR="00D94ABD" w:rsidRPr="00BC1A7C">
              <w:rPr>
                <w:rFonts w:hint="eastAsia"/>
                <w:kern w:val="0"/>
                <w:sz w:val="21"/>
                <w:szCs w:val="21"/>
              </w:rPr>
              <w:t>甲醇、非甲烷总烃、</w:t>
            </w:r>
            <w:r w:rsidR="00CD0AE7" w:rsidRPr="00CD0AE7">
              <w:rPr>
                <w:rFonts w:cs="Times New Roman"/>
                <w:kern w:val="0"/>
                <w:sz w:val="21"/>
                <w:szCs w:val="21"/>
              </w:rPr>
              <w:t>NH</w:t>
            </w:r>
            <w:r w:rsidR="00CD0AE7" w:rsidRPr="00CD0AE7">
              <w:rPr>
                <w:rFonts w:cs="Times New Roman"/>
                <w:kern w:val="0"/>
                <w:sz w:val="21"/>
                <w:szCs w:val="21"/>
                <w:vertAlign w:val="subscript"/>
              </w:rPr>
              <w:t>3</w:t>
            </w:r>
            <w:r w:rsidR="00CD0AE7" w:rsidRPr="00CD0AE7">
              <w:rPr>
                <w:rFonts w:cs="Times New Roman" w:hint="eastAsia"/>
                <w:kern w:val="0"/>
                <w:sz w:val="21"/>
                <w:szCs w:val="21"/>
              </w:rPr>
              <w:t>、</w:t>
            </w:r>
            <w:r w:rsidR="00D94ABD" w:rsidRPr="00BC1A7C">
              <w:rPr>
                <w:rFonts w:hint="eastAsia"/>
                <w:kern w:val="0"/>
                <w:sz w:val="21"/>
                <w:szCs w:val="21"/>
              </w:rPr>
              <w:t>H</w:t>
            </w:r>
            <w:r w:rsidR="00D94ABD" w:rsidRPr="00BC1A7C">
              <w:rPr>
                <w:rFonts w:hint="eastAsia"/>
                <w:kern w:val="0"/>
                <w:sz w:val="21"/>
                <w:szCs w:val="21"/>
                <w:vertAlign w:val="subscript"/>
              </w:rPr>
              <w:t>2</w:t>
            </w:r>
            <w:r w:rsidR="00D94ABD" w:rsidRPr="00BC1A7C">
              <w:rPr>
                <w:rFonts w:hint="eastAsia"/>
                <w:kern w:val="0"/>
                <w:sz w:val="21"/>
                <w:szCs w:val="21"/>
              </w:rPr>
              <w:t>S</w:t>
            </w:r>
            <w:r w:rsidR="00D94ABD" w:rsidRPr="00BC1A7C">
              <w:rPr>
                <w:rFonts w:hint="eastAsia"/>
                <w:kern w:val="0"/>
                <w:sz w:val="21"/>
                <w:szCs w:val="21"/>
              </w:rPr>
              <w:t>、</w:t>
            </w:r>
            <w:r w:rsidR="00D94ABD" w:rsidRPr="00BC1A7C">
              <w:rPr>
                <w:rFonts w:hint="eastAsia"/>
                <w:kern w:val="0"/>
                <w:sz w:val="21"/>
                <w:szCs w:val="21"/>
              </w:rPr>
              <w:t>TSP</w:t>
            </w:r>
          </w:p>
        </w:tc>
        <w:tc>
          <w:tcPr>
            <w:tcW w:w="764" w:type="pct"/>
            <w:vAlign w:val="center"/>
          </w:tcPr>
          <w:p w:rsidR="0085002C" w:rsidRPr="0085002C" w:rsidRDefault="0085002C" w:rsidP="00D94ABD">
            <w:pPr>
              <w:pStyle w:val="afffffff2"/>
              <w:rPr>
                <w:sz w:val="21"/>
                <w:szCs w:val="21"/>
              </w:rPr>
            </w:pPr>
            <w:r w:rsidRPr="0085002C">
              <w:rPr>
                <w:rFonts w:hint="eastAsia"/>
                <w:sz w:val="21"/>
                <w:szCs w:val="21"/>
              </w:rPr>
              <w:t>烟（粉）尘、</w:t>
            </w:r>
            <w:r w:rsidRPr="0085002C">
              <w:rPr>
                <w:sz w:val="21"/>
                <w:szCs w:val="21"/>
              </w:rPr>
              <w:t>VOCs</w:t>
            </w:r>
          </w:p>
        </w:tc>
      </w:tr>
      <w:tr w:rsidR="0085002C" w:rsidRPr="0085002C" w:rsidTr="0085002C">
        <w:trPr>
          <w:trHeight w:val="269"/>
          <w:jc w:val="center"/>
        </w:trPr>
        <w:tc>
          <w:tcPr>
            <w:tcW w:w="470" w:type="pct"/>
            <w:vMerge/>
            <w:vAlign w:val="center"/>
          </w:tcPr>
          <w:p w:rsidR="0085002C" w:rsidRPr="0085002C" w:rsidRDefault="0085002C">
            <w:pPr>
              <w:pStyle w:val="afffffff2"/>
              <w:rPr>
                <w:sz w:val="21"/>
                <w:szCs w:val="21"/>
              </w:rPr>
            </w:pPr>
          </w:p>
        </w:tc>
        <w:tc>
          <w:tcPr>
            <w:tcW w:w="529" w:type="pct"/>
            <w:gridSpan w:val="2"/>
            <w:vAlign w:val="center"/>
          </w:tcPr>
          <w:p w:rsidR="0085002C" w:rsidRPr="0085002C" w:rsidRDefault="0085002C">
            <w:pPr>
              <w:pStyle w:val="afffffff2"/>
              <w:rPr>
                <w:sz w:val="21"/>
                <w:szCs w:val="21"/>
              </w:rPr>
            </w:pPr>
            <w:r w:rsidRPr="0085002C">
              <w:rPr>
                <w:sz w:val="21"/>
                <w:szCs w:val="21"/>
              </w:rPr>
              <w:t>声环境</w:t>
            </w:r>
          </w:p>
        </w:tc>
        <w:tc>
          <w:tcPr>
            <w:tcW w:w="2076" w:type="pct"/>
            <w:tcMar>
              <w:top w:w="0" w:type="dxa"/>
              <w:left w:w="0" w:type="dxa"/>
              <w:bottom w:w="0" w:type="dxa"/>
              <w:right w:w="0" w:type="dxa"/>
            </w:tcMar>
            <w:vAlign w:val="center"/>
          </w:tcPr>
          <w:p w:rsidR="0085002C" w:rsidRPr="0085002C" w:rsidRDefault="0085002C">
            <w:pPr>
              <w:pStyle w:val="afffffff2"/>
              <w:rPr>
                <w:sz w:val="21"/>
                <w:szCs w:val="21"/>
                <w:vertAlign w:val="subscript"/>
              </w:rPr>
            </w:pPr>
            <w:r w:rsidRPr="0085002C">
              <w:rPr>
                <w:sz w:val="21"/>
                <w:szCs w:val="21"/>
              </w:rPr>
              <w:t>昼间、夜间等效声级，</w:t>
            </w:r>
            <w:r w:rsidRPr="0085002C">
              <w:rPr>
                <w:sz w:val="21"/>
                <w:szCs w:val="21"/>
              </w:rPr>
              <w:t>L</w:t>
            </w:r>
            <w:r w:rsidRPr="0085002C">
              <w:rPr>
                <w:sz w:val="21"/>
                <w:szCs w:val="21"/>
                <w:vertAlign w:val="subscript"/>
              </w:rPr>
              <w:t>Aeq</w:t>
            </w:r>
          </w:p>
        </w:tc>
        <w:tc>
          <w:tcPr>
            <w:tcW w:w="1160" w:type="pct"/>
            <w:vAlign w:val="center"/>
          </w:tcPr>
          <w:p w:rsidR="0085002C" w:rsidRPr="0085002C" w:rsidRDefault="0085002C">
            <w:pPr>
              <w:pStyle w:val="afffffff2"/>
              <w:rPr>
                <w:sz w:val="21"/>
                <w:szCs w:val="21"/>
                <w:vertAlign w:val="subscript"/>
              </w:rPr>
            </w:pPr>
            <w:r w:rsidRPr="0085002C">
              <w:rPr>
                <w:sz w:val="21"/>
                <w:szCs w:val="21"/>
              </w:rPr>
              <w:t>昼间、夜间等效声级，</w:t>
            </w:r>
            <w:r w:rsidRPr="0085002C">
              <w:rPr>
                <w:sz w:val="21"/>
                <w:szCs w:val="21"/>
              </w:rPr>
              <w:t>L</w:t>
            </w:r>
            <w:r w:rsidRPr="0085002C">
              <w:rPr>
                <w:sz w:val="21"/>
                <w:szCs w:val="21"/>
                <w:vertAlign w:val="subscript"/>
              </w:rPr>
              <w:t>Aeq</w:t>
            </w:r>
          </w:p>
        </w:tc>
        <w:tc>
          <w:tcPr>
            <w:tcW w:w="764" w:type="pct"/>
            <w:vAlign w:val="center"/>
          </w:tcPr>
          <w:p w:rsidR="0085002C" w:rsidRPr="0085002C" w:rsidRDefault="0085002C">
            <w:pPr>
              <w:pStyle w:val="afffffff2"/>
              <w:rPr>
                <w:sz w:val="21"/>
                <w:szCs w:val="21"/>
              </w:rPr>
            </w:pPr>
            <w:r w:rsidRPr="0085002C">
              <w:rPr>
                <w:sz w:val="21"/>
                <w:szCs w:val="21"/>
              </w:rPr>
              <w:t>/</w:t>
            </w:r>
          </w:p>
        </w:tc>
      </w:tr>
      <w:tr w:rsidR="0085002C" w:rsidRPr="0085002C" w:rsidTr="0085002C">
        <w:trPr>
          <w:trHeight w:val="235"/>
          <w:jc w:val="center"/>
        </w:trPr>
        <w:tc>
          <w:tcPr>
            <w:tcW w:w="470" w:type="pct"/>
            <w:vMerge/>
            <w:vAlign w:val="center"/>
          </w:tcPr>
          <w:p w:rsidR="0085002C" w:rsidRPr="0085002C" w:rsidRDefault="0085002C">
            <w:pPr>
              <w:pStyle w:val="afffffff2"/>
              <w:rPr>
                <w:sz w:val="21"/>
                <w:szCs w:val="21"/>
              </w:rPr>
            </w:pPr>
          </w:p>
        </w:tc>
        <w:tc>
          <w:tcPr>
            <w:tcW w:w="529" w:type="pct"/>
            <w:gridSpan w:val="2"/>
            <w:vAlign w:val="center"/>
          </w:tcPr>
          <w:p w:rsidR="0085002C" w:rsidRPr="0085002C" w:rsidRDefault="0085002C">
            <w:pPr>
              <w:pStyle w:val="afffffff2"/>
              <w:rPr>
                <w:sz w:val="21"/>
                <w:szCs w:val="21"/>
              </w:rPr>
            </w:pPr>
            <w:r w:rsidRPr="0085002C">
              <w:rPr>
                <w:sz w:val="21"/>
                <w:szCs w:val="21"/>
              </w:rPr>
              <w:t>固体废物</w:t>
            </w:r>
          </w:p>
        </w:tc>
        <w:tc>
          <w:tcPr>
            <w:tcW w:w="2076" w:type="pct"/>
            <w:tcMar>
              <w:top w:w="0" w:type="dxa"/>
              <w:left w:w="0" w:type="dxa"/>
              <w:bottom w:w="0" w:type="dxa"/>
              <w:right w:w="0" w:type="dxa"/>
            </w:tcMar>
            <w:vAlign w:val="center"/>
          </w:tcPr>
          <w:p w:rsidR="0085002C" w:rsidRPr="0085002C" w:rsidRDefault="0085002C">
            <w:pPr>
              <w:pStyle w:val="afffffff2"/>
              <w:rPr>
                <w:sz w:val="21"/>
                <w:szCs w:val="21"/>
              </w:rPr>
            </w:pPr>
            <w:r w:rsidRPr="0085002C">
              <w:rPr>
                <w:sz w:val="21"/>
                <w:szCs w:val="21"/>
              </w:rPr>
              <w:t>/</w:t>
            </w:r>
          </w:p>
        </w:tc>
        <w:tc>
          <w:tcPr>
            <w:tcW w:w="1160" w:type="pct"/>
            <w:vAlign w:val="center"/>
          </w:tcPr>
          <w:p w:rsidR="0085002C" w:rsidRPr="0085002C" w:rsidRDefault="0085002C">
            <w:pPr>
              <w:pStyle w:val="afffffff2"/>
              <w:rPr>
                <w:sz w:val="21"/>
                <w:szCs w:val="21"/>
              </w:rPr>
            </w:pPr>
            <w:r w:rsidRPr="0085002C">
              <w:rPr>
                <w:sz w:val="21"/>
                <w:szCs w:val="21"/>
              </w:rPr>
              <w:t>危险废物、生活垃圾</w:t>
            </w:r>
          </w:p>
        </w:tc>
        <w:tc>
          <w:tcPr>
            <w:tcW w:w="764" w:type="pct"/>
            <w:vAlign w:val="center"/>
          </w:tcPr>
          <w:p w:rsidR="0085002C" w:rsidRPr="0085002C" w:rsidRDefault="0085002C">
            <w:pPr>
              <w:pStyle w:val="afffffff2"/>
              <w:rPr>
                <w:sz w:val="21"/>
                <w:szCs w:val="21"/>
              </w:rPr>
            </w:pPr>
            <w:r w:rsidRPr="0085002C">
              <w:rPr>
                <w:sz w:val="21"/>
                <w:szCs w:val="21"/>
              </w:rPr>
              <w:t>固废外排量</w:t>
            </w:r>
          </w:p>
        </w:tc>
      </w:tr>
      <w:tr w:rsidR="0085002C" w:rsidRPr="0085002C" w:rsidTr="0085002C">
        <w:trPr>
          <w:trHeight w:val="2520"/>
          <w:jc w:val="center"/>
        </w:trPr>
        <w:tc>
          <w:tcPr>
            <w:tcW w:w="470" w:type="pct"/>
            <w:vMerge/>
            <w:vAlign w:val="center"/>
          </w:tcPr>
          <w:p w:rsidR="0085002C" w:rsidRPr="0085002C" w:rsidRDefault="0085002C">
            <w:pPr>
              <w:pStyle w:val="afffffff2"/>
              <w:rPr>
                <w:sz w:val="21"/>
                <w:szCs w:val="21"/>
              </w:rPr>
            </w:pPr>
          </w:p>
        </w:tc>
        <w:tc>
          <w:tcPr>
            <w:tcW w:w="264" w:type="pct"/>
            <w:vMerge w:val="restart"/>
            <w:vAlign w:val="center"/>
          </w:tcPr>
          <w:p w:rsidR="0085002C" w:rsidRPr="0085002C" w:rsidRDefault="0085002C">
            <w:pPr>
              <w:pStyle w:val="afffffff2"/>
              <w:rPr>
                <w:sz w:val="21"/>
                <w:szCs w:val="21"/>
              </w:rPr>
            </w:pPr>
            <w:r w:rsidRPr="0085002C">
              <w:rPr>
                <w:sz w:val="21"/>
                <w:szCs w:val="21"/>
              </w:rPr>
              <w:t>土壤环境</w:t>
            </w:r>
          </w:p>
        </w:tc>
        <w:tc>
          <w:tcPr>
            <w:tcW w:w="265" w:type="pct"/>
            <w:vAlign w:val="center"/>
          </w:tcPr>
          <w:p w:rsidR="0085002C" w:rsidRPr="0085002C" w:rsidRDefault="0085002C">
            <w:pPr>
              <w:pStyle w:val="afffffff2"/>
              <w:rPr>
                <w:sz w:val="21"/>
                <w:szCs w:val="21"/>
              </w:rPr>
            </w:pPr>
            <w:r w:rsidRPr="0085002C">
              <w:rPr>
                <w:sz w:val="21"/>
                <w:szCs w:val="21"/>
              </w:rPr>
              <w:t>建设用地</w:t>
            </w:r>
          </w:p>
        </w:tc>
        <w:tc>
          <w:tcPr>
            <w:tcW w:w="2076" w:type="pct"/>
            <w:tcMar>
              <w:top w:w="0" w:type="dxa"/>
              <w:left w:w="0" w:type="dxa"/>
              <w:bottom w:w="0" w:type="dxa"/>
              <w:right w:w="0" w:type="dxa"/>
            </w:tcMar>
            <w:vAlign w:val="center"/>
          </w:tcPr>
          <w:p w:rsidR="0085002C" w:rsidRPr="0085002C" w:rsidRDefault="00D94ABD">
            <w:pPr>
              <w:pStyle w:val="afffffff2"/>
              <w:rPr>
                <w:sz w:val="21"/>
                <w:szCs w:val="21"/>
              </w:rPr>
            </w:pPr>
            <w:r w:rsidRPr="0075233C">
              <w:rPr>
                <w:rFonts w:hint="eastAsia"/>
                <w:kern w:val="0"/>
                <w:sz w:val="21"/>
                <w:szCs w:val="21"/>
              </w:rPr>
              <w:t>pH</w:t>
            </w:r>
            <w:r w:rsidRPr="0075233C">
              <w:rPr>
                <w:rFonts w:hint="eastAsia"/>
                <w:kern w:val="0"/>
                <w:sz w:val="21"/>
                <w:szCs w:val="21"/>
              </w:rPr>
              <w:t>、石油烃、</w:t>
            </w:r>
            <w:r w:rsidR="0085002C" w:rsidRPr="0085002C">
              <w:rPr>
                <w:sz w:val="21"/>
                <w:szCs w:val="21"/>
              </w:rPr>
              <w:t>铅、镉、汞、砷、镍、铬（六价）、铜、四氯化碳、氯仿、氯甲烷、</w:t>
            </w:r>
            <w:r w:rsidR="0085002C" w:rsidRPr="0085002C">
              <w:rPr>
                <w:sz w:val="21"/>
                <w:szCs w:val="21"/>
              </w:rPr>
              <w:t>1,1-</w:t>
            </w:r>
            <w:r w:rsidR="0085002C" w:rsidRPr="0085002C">
              <w:rPr>
                <w:sz w:val="21"/>
                <w:szCs w:val="21"/>
              </w:rPr>
              <w:t>二氯乙烷、</w:t>
            </w:r>
            <w:r w:rsidR="0085002C" w:rsidRPr="0085002C">
              <w:rPr>
                <w:sz w:val="21"/>
                <w:szCs w:val="21"/>
              </w:rPr>
              <w:t>1,2-</w:t>
            </w:r>
            <w:r w:rsidR="0085002C" w:rsidRPr="0085002C">
              <w:rPr>
                <w:sz w:val="21"/>
                <w:szCs w:val="21"/>
              </w:rPr>
              <w:t>二氯乙烷、</w:t>
            </w:r>
            <w:r w:rsidR="0085002C" w:rsidRPr="0085002C">
              <w:rPr>
                <w:sz w:val="21"/>
                <w:szCs w:val="21"/>
              </w:rPr>
              <w:t>1,1-</w:t>
            </w:r>
            <w:r w:rsidR="0085002C" w:rsidRPr="0085002C">
              <w:rPr>
                <w:sz w:val="21"/>
                <w:szCs w:val="21"/>
              </w:rPr>
              <w:t>二氯乙烯、顺</w:t>
            </w:r>
            <w:r w:rsidR="0085002C" w:rsidRPr="0085002C">
              <w:rPr>
                <w:sz w:val="21"/>
                <w:szCs w:val="21"/>
              </w:rPr>
              <w:t>-1,2-</w:t>
            </w:r>
            <w:r w:rsidR="0085002C" w:rsidRPr="0085002C">
              <w:rPr>
                <w:sz w:val="21"/>
                <w:szCs w:val="21"/>
              </w:rPr>
              <w:t>二氯乙烯、反</w:t>
            </w:r>
            <w:r w:rsidR="0085002C" w:rsidRPr="0085002C">
              <w:rPr>
                <w:sz w:val="21"/>
                <w:szCs w:val="21"/>
              </w:rPr>
              <w:t>-1,2-</w:t>
            </w:r>
            <w:r w:rsidR="0085002C" w:rsidRPr="0085002C">
              <w:rPr>
                <w:sz w:val="21"/>
                <w:szCs w:val="21"/>
              </w:rPr>
              <w:t>二氯乙烯、二氯甲烷、</w:t>
            </w:r>
            <w:r w:rsidR="0085002C" w:rsidRPr="0085002C">
              <w:rPr>
                <w:sz w:val="21"/>
                <w:szCs w:val="21"/>
              </w:rPr>
              <w:t>1,2-</w:t>
            </w:r>
            <w:r w:rsidR="0085002C" w:rsidRPr="0085002C">
              <w:rPr>
                <w:sz w:val="21"/>
                <w:szCs w:val="21"/>
              </w:rPr>
              <w:t>二氯丙烷、</w:t>
            </w:r>
            <w:r w:rsidR="0085002C" w:rsidRPr="0085002C">
              <w:rPr>
                <w:sz w:val="21"/>
                <w:szCs w:val="21"/>
              </w:rPr>
              <w:t>1,1,1,2-</w:t>
            </w:r>
            <w:r w:rsidR="0085002C" w:rsidRPr="0085002C">
              <w:rPr>
                <w:sz w:val="21"/>
                <w:szCs w:val="21"/>
              </w:rPr>
              <w:t>四氯乙烷、</w:t>
            </w:r>
            <w:r w:rsidR="0085002C" w:rsidRPr="0085002C">
              <w:rPr>
                <w:sz w:val="21"/>
                <w:szCs w:val="21"/>
              </w:rPr>
              <w:t>1,1,2,2-</w:t>
            </w:r>
            <w:r w:rsidR="0085002C" w:rsidRPr="0085002C">
              <w:rPr>
                <w:sz w:val="21"/>
                <w:szCs w:val="21"/>
              </w:rPr>
              <w:t>四氯乙烷、四氯乙烯、</w:t>
            </w:r>
            <w:r w:rsidR="0085002C" w:rsidRPr="0085002C">
              <w:rPr>
                <w:sz w:val="21"/>
                <w:szCs w:val="21"/>
              </w:rPr>
              <w:t>1,1,1-</w:t>
            </w:r>
            <w:r w:rsidR="0085002C" w:rsidRPr="0085002C">
              <w:rPr>
                <w:sz w:val="21"/>
                <w:szCs w:val="21"/>
              </w:rPr>
              <w:t>三氯乙烷、</w:t>
            </w:r>
            <w:r w:rsidR="0085002C" w:rsidRPr="0085002C">
              <w:rPr>
                <w:sz w:val="21"/>
                <w:szCs w:val="21"/>
              </w:rPr>
              <w:t>1,1,2-</w:t>
            </w:r>
            <w:r w:rsidR="0085002C" w:rsidRPr="0085002C">
              <w:rPr>
                <w:sz w:val="21"/>
                <w:szCs w:val="21"/>
              </w:rPr>
              <w:t>三氯乙烷、三氯乙烯、</w:t>
            </w:r>
            <w:r w:rsidR="0085002C" w:rsidRPr="0085002C">
              <w:rPr>
                <w:sz w:val="21"/>
                <w:szCs w:val="21"/>
              </w:rPr>
              <w:t>1,2,3-</w:t>
            </w:r>
            <w:r w:rsidR="0085002C" w:rsidRPr="0085002C">
              <w:rPr>
                <w:sz w:val="21"/>
                <w:szCs w:val="21"/>
              </w:rPr>
              <w:t>三氯丙烷、氯乙烯、苯、氯苯、</w:t>
            </w:r>
            <w:r w:rsidR="0085002C" w:rsidRPr="0085002C">
              <w:rPr>
                <w:sz w:val="21"/>
                <w:szCs w:val="21"/>
              </w:rPr>
              <w:t>1,2-</w:t>
            </w:r>
            <w:r w:rsidR="0085002C" w:rsidRPr="0085002C">
              <w:rPr>
                <w:sz w:val="21"/>
                <w:szCs w:val="21"/>
              </w:rPr>
              <w:t>二氯苯、</w:t>
            </w:r>
            <w:r w:rsidR="0085002C" w:rsidRPr="0085002C">
              <w:rPr>
                <w:sz w:val="21"/>
                <w:szCs w:val="21"/>
              </w:rPr>
              <w:t>1,4-</w:t>
            </w:r>
            <w:r w:rsidR="0085002C" w:rsidRPr="0085002C">
              <w:rPr>
                <w:sz w:val="21"/>
                <w:szCs w:val="21"/>
              </w:rPr>
              <w:t>二氯苯、乙苯、苯乙烯、甲苯、间二甲苯</w:t>
            </w:r>
            <w:r w:rsidR="0085002C" w:rsidRPr="0085002C">
              <w:rPr>
                <w:sz w:val="21"/>
                <w:szCs w:val="21"/>
              </w:rPr>
              <w:t>+</w:t>
            </w:r>
            <w:r w:rsidR="0085002C" w:rsidRPr="0085002C">
              <w:rPr>
                <w:sz w:val="21"/>
                <w:szCs w:val="21"/>
              </w:rPr>
              <w:t>对二甲苯、邻</w:t>
            </w:r>
            <w:r w:rsidR="0085002C" w:rsidRPr="0085002C">
              <w:rPr>
                <w:sz w:val="21"/>
                <w:szCs w:val="21"/>
              </w:rPr>
              <w:lastRenderedPageBreak/>
              <w:t>二甲苯、硝基苯、苯胺、二氯酚、苯并</w:t>
            </w:r>
            <w:r w:rsidR="0085002C" w:rsidRPr="0085002C">
              <w:rPr>
                <w:sz w:val="21"/>
                <w:szCs w:val="21"/>
              </w:rPr>
              <w:t>[a]</w:t>
            </w:r>
            <w:r w:rsidR="0085002C" w:rsidRPr="0085002C">
              <w:rPr>
                <w:sz w:val="21"/>
                <w:szCs w:val="21"/>
              </w:rPr>
              <w:t>蒽、苯并</w:t>
            </w:r>
            <w:r w:rsidR="0085002C" w:rsidRPr="0085002C">
              <w:rPr>
                <w:sz w:val="21"/>
                <w:szCs w:val="21"/>
              </w:rPr>
              <w:t>[a]</w:t>
            </w:r>
            <w:r w:rsidR="0085002C" w:rsidRPr="0085002C">
              <w:rPr>
                <w:sz w:val="21"/>
                <w:szCs w:val="21"/>
              </w:rPr>
              <w:t>芘、苯并</w:t>
            </w:r>
            <w:r w:rsidR="0085002C" w:rsidRPr="0085002C">
              <w:rPr>
                <w:sz w:val="21"/>
                <w:szCs w:val="21"/>
              </w:rPr>
              <w:t>[b]</w:t>
            </w:r>
            <w:r w:rsidR="0085002C" w:rsidRPr="0085002C">
              <w:rPr>
                <w:sz w:val="21"/>
                <w:szCs w:val="21"/>
              </w:rPr>
              <w:t>荧蒽、苯并</w:t>
            </w:r>
            <w:r w:rsidR="0085002C" w:rsidRPr="0085002C">
              <w:rPr>
                <w:sz w:val="21"/>
                <w:szCs w:val="21"/>
              </w:rPr>
              <w:t>[k]</w:t>
            </w:r>
            <w:r w:rsidR="0085002C" w:rsidRPr="0085002C">
              <w:rPr>
                <w:sz w:val="21"/>
                <w:szCs w:val="21"/>
              </w:rPr>
              <w:t>荧蒽、䓛、二苯并</w:t>
            </w:r>
            <w:r w:rsidR="0085002C" w:rsidRPr="0085002C">
              <w:rPr>
                <w:sz w:val="21"/>
                <w:szCs w:val="21"/>
              </w:rPr>
              <w:t>[a</w:t>
            </w:r>
            <w:r w:rsidR="0085002C" w:rsidRPr="0085002C">
              <w:rPr>
                <w:sz w:val="21"/>
                <w:szCs w:val="21"/>
              </w:rPr>
              <w:t>，</w:t>
            </w:r>
            <w:r w:rsidR="0085002C" w:rsidRPr="0085002C">
              <w:rPr>
                <w:sz w:val="21"/>
                <w:szCs w:val="21"/>
              </w:rPr>
              <w:t>h]</w:t>
            </w:r>
            <w:r w:rsidR="0085002C" w:rsidRPr="0085002C">
              <w:rPr>
                <w:sz w:val="21"/>
                <w:szCs w:val="21"/>
              </w:rPr>
              <w:t>蒽、茚并</w:t>
            </w:r>
            <w:r w:rsidR="0085002C" w:rsidRPr="0085002C">
              <w:rPr>
                <w:sz w:val="21"/>
                <w:szCs w:val="21"/>
              </w:rPr>
              <w:t>[1</w:t>
            </w:r>
            <w:r w:rsidR="0085002C" w:rsidRPr="0085002C">
              <w:rPr>
                <w:sz w:val="21"/>
                <w:szCs w:val="21"/>
              </w:rPr>
              <w:t>，</w:t>
            </w:r>
            <w:r w:rsidR="0085002C" w:rsidRPr="0085002C">
              <w:rPr>
                <w:sz w:val="21"/>
                <w:szCs w:val="21"/>
              </w:rPr>
              <w:t>2</w:t>
            </w:r>
            <w:r w:rsidR="0085002C" w:rsidRPr="0085002C">
              <w:rPr>
                <w:sz w:val="21"/>
                <w:szCs w:val="21"/>
              </w:rPr>
              <w:t>，</w:t>
            </w:r>
            <w:r w:rsidR="0085002C" w:rsidRPr="0085002C">
              <w:rPr>
                <w:sz w:val="21"/>
                <w:szCs w:val="21"/>
              </w:rPr>
              <w:t>3-c</w:t>
            </w:r>
            <w:r w:rsidR="0085002C" w:rsidRPr="0085002C">
              <w:rPr>
                <w:sz w:val="21"/>
                <w:szCs w:val="21"/>
              </w:rPr>
              <w:t>，</w:t>
            </w:r>
            <w:r w:rsidR="0085002C" w:rsidRPr="0085002C">
              <w:rPr>
                <w:sz w:val="21"/>
                <w:szCs w:val="21"/>
              </w:rPr>
              <w:t>d]</w:t>
            </w:r>
            <w:r w:rsidR="0085002C" w:rsidRPr="0085002C">
              <w:rPr>
                <w:sz w:val="21"/>
                <w:szCs w:val="21"/>
              </w:rPr>
              <w:t>芘、萘</w:t>
            </w:r>
          </w:p>
        </w:tc>
        <w:tc>
          <w:tcPr>
            <w:tcW w:w="1160" w:type="pct"/>
            <w:vMerge w:val="restart"/>
            <w:vAlign w:val="center"/>
          </w:tcPr>
          <w:p w:rsidR="0085002C" w:rsidRPr="0085002C" w:rsidRDefault="0085002C">
            <w:pPr>
              <w:pStyle w:val="afffffff2"/>
              <w:rPr>
                <w:sz w:val="21"/>
                <w:szCs w:val="21"/>
              </w:rPr>
            </w:pPr>
            <w:r w:rsidRPr="0085002C">
              <w:rPr>
                <w:rFonts w:hint="eastAsia"/>
                <w:sz w:val="21"/>
                <w:szCs w:val="21"/>
              </w:rPr>
              <w:lastRenderedPageBreak/>
              <w:t>/</w:t>
            </w:r>
          </w:p>
        </w:tc>
        <w:tc>
          <w:tcPr>
            <w:tcW w:w="764" w:type="pct"/>
            <w:vMerge w:val="restart"/>
            <w:vAlign w:val="center"/>
          </w:tcPr>
          <w:p w:rsidR="0085002C" w:rsidRPr="0085002C" w:rsidRDefault="0085002C">
            <w:pPr>
              <w:pStyle w:val="afffffff2"/>
              <w:rPr>
                <w:sz w:val="21"/>
                <w:szCs w:val="21"/>
              </w:rPr>
            </w:pPr>
            <w:r w:rsidRPr="0085002C">
              <w:rPr>
                <w:sz w:val="21"/>
                <w:szCs w:val="21"/>
              </w:rPr>
              <w:t>/</w:t>
            </w:r>
          </w:p>
        </w:tc>
      </w:tr>
      <w:tr w:rsidR="0085002C" w:rsidRPr="0085002C" w:rsidTr="0085002C">
        <w:trPr>
          <w:trHeight w:val="2520"/>
          <w:jc w:val="center"/>
        </w:trPr>
        <w:tc>
          <w:tcPr>
            <w:tcW w:w="470" w:type="pct"/>
            <w:vMerge/>
            <w:vAlign w:val="center"/>
          </w:tcPr>
          <w:p w:rsidR="0085002C" w:rsidRPr="0085002C" w:rsidRDefault="0085002C">
            <w:pPr>
              <w:pStyle w:val="afffffff2"/>
              <w:rPr>
                <w:sz w:val="21"/>
                <w:szCs w:val="21"/>
              </w:rPr>
            </w:pPr>
          </w:p>
        </w:tc>
        <w:tc>
          <w:tcPr>
            <w:tcW w:w="264" w:type="pct"/>
            <w:vMerge/>
            <w:vAlign w:val="center"/>
          </w:tcPr>
          <w:p w:rsidR="0085002C" w:rsidRPr="0085002C" w:rsidRDefault="0085002C">
            <w:pPr>
              <w:pStyle w:val="afffffff2"/>
              <w:rPr>
                <w:sz w:val="21"/>
                <w:szCs w:val="21"/>
              </w:rPr>
            </w:pPr>
          </w:p>
        </w:tc>
        <w:tc>
          <w:tcPr>
            <w:tcW w:w="265" w:type="pct"/>
            <w:vAlign w:val="center"/>
          </w:tcPr>
          <w:p w:rsidR="0085002C" w:rsidRPr="0085002C" w:rsidRDefault="0085002C">
            <w:pPr>
              <w:pStyle w:val="afffffff2"/>
              <w:rPr>
                <w:sz w:val="21"/>
                <w:szCs w:val="21"/>
              </w:rPr>
            </w:pPr>
            <w:r w:rsidRPr="0085002C">
              <w:rPr>
                <w:sz w:val="21"/>
                <w:szCs w:val="21"/>
              </w:rPr>
              <w:t>农用地</w:t>
            </w:r>
          </w:p>
        </w:tc>
        <w:tc>
          <w:tcPr>
            <w:tcW w:w="2076" w:type="pct"/>
            <w:tcMar>
              <w:top w:w="0" w:type="dxa"/>
              <w:left w:w="0" w:type="dxa"/>
              <w:bottom w:w="0" w:type="dxa"/>
              <w:right w:w="0" w:type="dxa"/>
            </w:tcMar>
            <w:vAlign w:val="center"/>
          </w:tcPr>
          <w:p w:rsidR="0085002C" w:rsidRPr="0085002C" w:rsidRDefault="0085002C">
            <w:pPr>
              <w:pStyle w:val="afffffff2"/>
              <w:rPr>
                <w:sz w:val="21"/>
                <w:szCs w:val="21"/>
              </w:rPr>
            </w:pPr>
            <w:r w:rsidRPr="0085002C">
              <w:rPr>
                <w:sz w:val="21"/>
                <w:szCs w:val="21"/>
              </w:rPr>
              <w:t>pH</w:t>
            </w:r>
            <w:r w:rsidRPr="0085002C">
              <w:rPr>
                <w:sz w:val="21"/>
                <w:szCs w:val="21"/>
              </w:rPr>
              <w:t>、镉、汞、砷、铅、铬、铜、镍、锌</w:t>
            </w:r>
          </w:p>
        </w:tc>
        <w:tc>
          <w:tcPr>
            <w:tcW w:w="1160" w:type="pct"/>
            <w:vMerge/>
            <w:vAlign w:val="center"/>
          </w:tcPr>
          <w:p w:rsidR="0085002C" w:rsidRPr="0085002C" w:rsidRDefault="0085002C">
            <w:pPr>
              <w:pStyle w:val="afffffff2"/>
              <w:rPr>
                <w:sz w:val="21"/>
                <w:szCs w:val="21"/>
              </w:rPr>
            </w:pPr>
          </w:p>
        </w:tc>
        <w:tc>
          <w:tcPr>
            <w:tcW w:w="764" w:type="pct"/>
            <w:vMerge/>
            <w:vAlign w:val="center"/>
          </w:tcPr>
          <w:p w:rsidR="0085002C" w:rsidRPr="0085002C" w:rsidRDefault="0085002C">
            <w:pPr>
              <w:pStyle w:val="afffffff2"/>
              <w:rPr>
                <w:sz w:val="21"/>
                <w:szCs w:val="21"/>
              </w:rPr>
            </w:pPr>
          </w:p>
        </w:tc>
      </w:tr>
    </w:tbl>
    <w:p w:rsidR="004E3021" w:rsidRDefault="00606E48">
      <w:pPr>
        <w:pStyle w:val="afffffffffffffffff4"/>
        <w:rPr>
          <w:rFonts w:ascii="黑体" w:hAnsi="黑体"/>
        </w:rPr>
      </w:pPr>
      <w:bookmarkStart w:id="56" w:name="_Toc100783959"/>
      <w:bookmarkStart w:id="57" w:name="_Toc108662553"/>
      <w:bookmarkStart w:id="58" w:name="_Toc101135787"/>
      <w:bookmarkStart w:id="59" w:name="_Toc221088718"/>
      <w:bookmarkStart w:id="60" w:name="_Toc221500933"/>
      <w:r>
        <w:rPr>
          <w:rFonts w:hint="eastAsia"/>
        </w:rPr>
        <w:t>2</w:t>
      </w:r>
      <w:r>
        <w:t>.2.3</w:t>
      </w:r>
      <w:r>
        <w:rPr>
          <w:rFonts w:ascii="黑体" w:hAnsi="黑体" w:hint="eastAsia"/>
        </w:rPr>
        <w:t>评价</w:t>
      </w:r>
      <w:r>
        <w:rPr>
          <w:rFonts w:ascii="黑体" w:hAnsi="黑体"/>
        </w:rPr>
        <w:t>标准</w:t>
      </w:r>
      <w:bookmarkEnd w:id="56"/>
      <w:bookmarkEnd w:id="57"/>
      <w:bookmarkEnd w:id="58"/>
      <w:bookmarkEnd w:id="59"/>
      <w:bookmarkEnd w:id="60"/>
    </w:p>
    <w:p w:rsidR="004E3021" w:rsidRDefault="00606E48">
      <w:pPr>
        <w:pStyle w:val="4a"/>
        <w:ind w:firstLineChars="50" w:firstLine="120"/>
      </w:pPr>
      <w:r>
        <w:rPr>
          <w:rFonts w:hint="eastAsia"/>
        </w:rPr>
        <w:t>2.2.3.1</w:t>
      </w:r>
      <w:r>
        <w:rPr>
          <w:rFonts w:hint="eastAsia"/>
        </w:rPr>
        <w:t>大气评价</w:t>
      </w:r>
      <w:r>
        <w:t>标准</w:t>
      </w:r>
    </w:p>
    <w:p w:rsidR="004E3021" w:rsidRDefault="00606E48">
      <w:pPr>
        <w:ind w:firstLine="480"/>
      </w:pPr>
      <w:r>
        <w:rPr>
          <w:rFonts w:ascii="宋体" w:hAnsi="宋体" w:hint="eastAsia"/>
        </w:rPr>
        <w:t>（</w:t>
      </w:r>
      <w:r>
        <w:rPr>
          <w:rFonts w:hint="eastAsia"/>
        </w:rPr>
        <w:t>1</w:t>
      </w:r>
      <w:r>
        <w:rPr>
          <w:rFonts w:ascii="宋体" w:hAnsi="宋体" w:hint="eastAsia"/>
        </w:rPr>
        <w:t>）环境质量标准</w:t>
      </w:r>
    </w:p>
    <w:p w:rsidR="004E3021" w:rsidRDefault="00606E48">
      <w:pPr>
        <w:ind w:firstLine="480"/>
      </w:pPr>
      <w:r>
        <w:rPr>
          <w:rFonts w:ascii="宋体" w:hAnsi="宋体" w:hint="eastAsia"/>
        </w:rPr>
        <w:t>区域</w:t>
      </w:r>
      <w:r>
        <w:t>SO</w:t>
      </w:r>
      <w:r>
        <w:rPr>
          <w:vertAlign w:val="subscript"/>
        </w:rPr>
        <w:t>2</w:t>
      </w:r>
      <w:r>
        <w:rPr>
          <w:rFonts w:ascii="宋体" w:hAnsi="宋体" w:hint="eastAsia"/>
        </w:rPr>
        <w:t>、</w:t>
      </w:r>
      <w:r>
        <w:t>NO</w:t>
      </w:r>
      <w:r>
        <w:rPr>
          <w:vertAlign w:val="subscript"/>
        </w:rPr>
        <w:t>2</w:t>
      </w:r>
      <w:r>
        <w:rPr>
          <w:rFonts w:ascii="宋体" w:hAnsi="宋体" w:hint="eastAsia"/>
        </w:rPr>
        <w:t>、</w:t>
      </w:r>
      <w:r>
        <w:t>PM</w:t>
      </w:r>
      <w:r>
        <w:rPr>
          <w:vertAlign w:val="subscript"/>
        </w:rPr>
        <w:t>10</w:t>
      </w:r>
      <w:r>
        <w:rPr>
          <w:rFonts w:ascii="宋体" w:hAnsi="宋体" w:hint="eastAsia"/>
        </w:rPr>
        <w:t>、</w:t>
      </w:r>
      <w:r>
        <w:t>PM</w:t>
      </w:r>
      <w:r>
        <w:rPr>
          <w:vertAlign w:val="subscript"/>
        </w:rPr>
        <w:t>2.5</w:t>
      </w:r>
      <w:r>
        <w:rPr>
          <w:rFonts w:ascii="宋体" w:hAnsi="宋体" w:hint="eastAsia"/>
        </w:rPr>
        <w:t>、</w:t>
      </w:r>
      <w:r>
        <w:t>CO</w:t>
      </w:r>
      <w:r>
        <w:rPr>
          <w:rFonts w:ascii="宋体" w:hAnsi="宋体" w:hint="eastAsia"/>
        </w:rPr>
        <w:t>、</w:t>
      </w:r>
      <w:r>
        <w:rPr>
          <w:rFonts w:hint="eastAsia"/>
        </w:rPr>
        <w:t>O</w:t>
      </w:r>
      <w:r>
        <w:rPr>
          <w:vertAlign w:val="subscript"/>
        </w:rPr>
        <w:t>3</w:t>
      </w:r>
      <w:r w:rsidR="00990EB0">
        <w:rPr>
          <w:rFonts w:hint="eastAsia"/>
        </w:rPr>
        <w:t>、</w:t>
      </w:r>
      <w:r w:rsidR="00990EB0">
        <w:rPr>
          <w:bCs/>
        </w:rPr>
        <w:t>TSP</w:t>
      </w:r>
      <w:r>
        <w:rPr>
          <w:rFonts w:ascii="宋体" w:hAnsi="宋体" w:hint="eastAsia"/>
        </w:rPr>
        <w:t>执行《环境空气质量标准》</w:t>
      </w:r>
      <w:r>
        <w:t>(GB3095</w:t>
      </w:r>
      <w:r>
        <w:rPr>
          <w:b/>
          <w:bCs/>
        </w:rPr>
        <w:t>-</w:t>
      </w:r>
      <w:r>
        <w:t>2012)</w:t>
      </w:r>
      <w:r>
        <w:rPr>
          <w:rFonts w:ascii="宋体" w:hAnsi="宋体" w:hint="eastAsia"/>
        </w:rPr>
        <w:t>二级标准及</w:t>
      </w:r>
      <w:r>
        <w:rPr>
          <w:rFonts w:ascii="宋体" w:hAnsi="宋体"/>
        </w:rPr>
        <w:t>修改单</w:t>
      </w:r>
      <w:r>
        <w:rPr>
          <w:rFonts w:ascii="宋体" w:hAnsi="宋体" w:hint="eastAsia"/>
        </w:rPr>
        <w:t>；</w:t>
      </w:r>
      <w:r w:rsidR="00CD0AE7">
        <w:rPr>
          <w:rFonts w:ascii="宋体" w:hAnsi="宋体" w:hint="eastAsia"/>
        </w:rPr>
        <w:t>氨、</w:t>
      </w:r>
      <w:r>
        <w:rPr>
          <w:rFonts w:ascii="宋体" w:hAnsi="宋体" w:hint="eastAsia"/>
        </w:rPr>
        <w:t>甲醇、硫化氢执行《环境影响评价技术导则</w:t>
      </w:r>
      <w:r>
        <w:rPr>
          <w:rFonts w:hint="eastAsia"/>
        </w:rPr>
        <w:t xml:space="preserve"> </w:t>
      </w:r>
      <w:r>
        <w:rPr>
          <w:rFonts w:hint="eastAsia"/>
        </w:rPr>
        <w:t>大气环境》（</w:t>
      </w:r>
      <w:r>
        <w:rPr>
          <w:rFonts w:hint="eastAsia"/>
        </w:rPr>
        <w:t>H</w:t>
      </w:r>
      <w:r>
        <w:t>J2.2-2018</w:t>
      </w:r>
      <w:r>
        <w:rPr>
          <w:rFonts w:ascii="宋体" w:hAnsi="宋体" w:hint="eastAsia"/>
        </w:rPr>
        <w:t>）附录</w:t>
      </w:r>
      <w:r>
        <w:rPr>
          <w:rFonts w:hint="eastAsia"/>
        </w:rPr>
        <w:t>D</w:t>
      </w:r>
      <w:r>
        <w:rPr>
          <w:rFonts w:ascii="宋体" w:hAnsi="宋体" w:hint="eastAsia"/>
        </w:rPr>
        <w:t>中标准限值</w:t>
      </w:r>
      <w:r>
        <w:rPr>
          <w:rFonts w:hint="eastAsia"/>
        </w:rPr>
        <w:t>；</w:t>
      </w:r>
      <w:r>
        <w:t>非甲烷总烃参考</w:t>
      </w:r>
      <w:r>
        <w:rPr>
          <w:rFonts w:hint="eastAsia"/>
        </w:rPr>
        <w:t>《大气污染物综合排放标准详解》；</w:t>
      </w:r>
      <w:r>
        <w:rPr>
          <w:rFonts w:ascii="宋体" w:hAnsi="宋体" w:hint="eastAsia"/>
        </w:rPr>
        <w:t>具体见表</w:t>
      </w:r>
      <w:r>
        <w:rPr>
          <w:rFonts w:hint="eastAsia"/>
        </w:rPr>
        <w:t>2</w:t>
      </w:r>
      <w:r>
        <w:t>.2.3-1</w:t>
      </w:r>
      <w:r>
        <w:rPr>
          <w:rFonts w:ascii="宋体" w:hAnsi="宋体" w:hint="eastAsia"/>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rPr>
        <w:t xml:space="preserve">2.2.3-1  </w:t>
      </w:r>
      <w:r>
        <w:rPr>
          <w:rFonts w:ascii="黑体" w:eastAsia="黑体" w:hAnsi="黑体" w:hint="eastAsia"/>
        </w:rPr>
        <w:t>环境空气质量标准</w:t>
      </w:r>
    </w:p>
    <w:tbl>
      <w:tblPr>
        <w:tblStyle w:val="afff"/>
        <w:tblW w:w="5000" w:type="pct"/>
        <w:tblLook w:val="04A0" w:firstRow="1" w:lastRow="0" w:firstColumn="1" w:lastColumn="0" w:noHBand="0" w:noVBand="1"/>
      </w:tblPr>
      <w:tblGrid>
        <w:gridCol w:w="1423"/>
        <w:gridCol w:w="1700"/>
        <w:gridCol w:w="1702"/>
        <w:gridCol w:w="1417"/>
        <w:gridCol w:w="2784"/>
      </w:tblGrid>
      <w:tr w:rsidR="004E3021" w:rsidRPr="00990EB0" w:rsidTr="00990EB0">
        <w:tc>
          <w:tcPr>
            <w:tcW w:w="788" w:type="pct"/>
            <w:vAlign w:val="center"/>
          </w:tcPr>
          <w:p w:rsidR="004E3021" w:rsidRPr="00990EB0" w:rsidRDefault="00606E48" w:rsidP="00990EB0">
            <w:pPr>
              <w:pStyle w:val="afffffff2"/>
              <w:rPr>
                <w:rFonts w:ascii="Times New Roman" w:hAnsi="Times New Roman" w:cs="Times New Roman"/>
                <w:b/>
                <w:kern w:val="0"/>
                <w:sz w:val="21"/>
                <w:szCs w:val="21"/>
              </w:rPr>
            </w:pPr>
            <w:r w:rsidRPr="00990EB0">
              <w:rPr>
                <w:rFonts w:ascii="Times New Roman" w:hAnsi="Times New Roman" w:cs="Times New Roman"/>
                <w:b/>
                <w:kern w:val="0"/>
                <w:sz w:val="21"/>
                <w:szCs w:val="21"/>
              </w:rPr>
              <w:t>污染物</w:t>
            </w:r>
          </w:p>
        </w:tc>
        <w:tc>
          <w:tcPr>
            <w:tcW w:w="942" w:type="pct"/>
            <w:vAlign w:val="center"/>
          </w:tcPr>
          <w:p w:rsidR="004E3021" w:rsidRPr="00990EB0" w:rsidRDefault="00606E48" w:rsidP="00990EB0">
            <w:pPr>
              <w:pStyle w:val="afffffff2"/>
              <w:rPr>
                <w:rFonts w:ascii="Times New Roman" w:hAnsi="Times New Roman" w:cs="Times New Roman"/>
                <w:b/>
                <w:kern w:val="0"/>
                <w:sz w:val="21"/>
                <w:szCs w:val="21"/>
              </w:rPr>
            </w:pPr>
            <w:r w:rsidRPr="00990EB0">
              <w:rPr>
                <w:rFonts w:ascii="Times New Roman" w:hAnsi="Times New Roman" w:cs="Times New Roman"/>
                <w:b/>
                <w:kern w:val="0"/>
                <w:sz w:val="21"/>
                <w:szCs w:val="21"/>
              </w:rPr>
              <w:t>取值时间</w:t>
            </w:r>
          </w:p>
        </w:tc>
        <w:tc>
          <w:tcPr>
            <w:tcW w:w="943" w:type="pct"/>
            <w:vAlign w:val="center"/>
          </w:tcPr>
          <w:p w:rsidR="004E3021" w:rsidRPr="00990EB0" w:rsidRDefault="00606E48" w:rsidP="00990EB0">
            <w:pPr>
              <w:pStyle w:val="afffffff2"/>
              <w:rPr>
                <w:rFonts w:ascii="Times New Roman" w:hAnsi="Times New Roman" w:cs="Times New Roman"/>
                <w:b/>
                <w:kern w:val="0"/>
                <w:sz w:val="21"/>
                <w:szCs w:val="21"/>
              </w:rPr>
            </w:pPr>
            <w:r w:rsidRPr="00990EB0">
              <w:rPr>
                <w:rFonts w:ascii="Times New Roman" w:hAnsi="Times New Roman" w:cs="Times New Roman"/>
                <w:b/>
                <w:kern w:val="0"/>
                <w:sz w:val="21"/>
                <w:szCs w:val="21"/>
              </w:rPr>
              <w:t>浓度限值</w:t>
            </w:r>
          </w:p>
        </w:tc>
        <w:tc>
          <w:tcPr>
            <w:tcW w:w="785" w:type="pct"/>
            <w:vAlign w:val="center"/>
          </w:tcPr>
          <w:p w:rsidR="004E3021" w:rsidRPr="00990EB0" w:rsidRDefault="00606E48" w:rsidP="00990EB0">
            <w:pPr>
              <w:pStyle w:val="afffffff2"/>
              <w:rPr>
                <w:rFonts w:ascii="Times New Roman" w:hAnsi="Times New Roman" w:cs="Times New Roman"/>
                <w:b/>
                <w:kern w:val="0"/>
                <w:sz w:val="21"/>
                <w:szCs w:val="21"/>
              </w:rPr>
            </w:pPr>
            <w:r w:rsidRPr="00990EB0">
              <w:rPr>
                <w:rFonts w:ascii="Times New Roman" w:hAnsi="Times New Roman" w:cs="Times New Roman"/>
                <w:b/>
                <w:kern w:val="0"/>
                <w:sz w:val="21"/>
                <w:szCs w:val="21"/>
              </w:rPr>
              <w:t>单位</w:t>
            </w:r>
          </w:p>
        </w:tc>
        <w:tc>
          <w:tcPr>
            <w:tcW w:w="1542" w:type="pct"/>
            <w:vAlign w:val="center"/>
          </w:tcPr>
          <w:p w:rsidR="004E3021" w:rsidRPr="00990EB0" w:rsidRDefault="00606E48" w:rsidP="00990EB0">
            <w:pPr>
              <w:pStyle w:val="afffffff2"/>
              <w:rPr>
                <w:rFonts w:ascii="Times New Roman" w:hAnsi="Times New Roman" w:cs="Times New Roman"/>
                <w:b/>
                <w:kern w:val="0"/>
                <w:sz w:val="21"/>
                <w:szCs w:val="21"/>
              </w:rPr>
            </w:pPr>
            <w:r w:rsidRPr="00990EB0">
              <w:rPr>
                <w:rFonts w:ascii="Times New Roman" w:hAnsi="Times New Roman" w:cs="Times New Roman"/>
                <w:b/>
                <w:kern w:val="0"/>
                <w:sz w:val="21"/>
                <w:szCs w:val="21"/>
              </w:rPr>
              <w:t>标准来源</w:t>
            </w:r>
          </w:p>
        </w:tc>
      </w:tr>
      <w:tr w:rsidR="00990EB0" w:rsidRPr="00990EB0" w:rsidTr="00990EB0">
        <w:tc>
          <w:tcPr>
            <w:tcW w:w="788" w:type="pct"/>
            <w:vMerge w:val="restar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SO</w:t>
            </w:r>
            <w:r w:rsidRPr="00990EB0">
              <w:rPr>
                <w:rFonts w:ascii="Times New Roman" w:hAnsi="Times New Roman" w:cs="Times New Roman"/>
                <w:kern w:val="0"/>
                <w:sz w:val="21"/>
                <w:szCs w:val="21"/>
                <w:vertAlign w:val="subscript"/>
              </w:rPr>
              <w:t>2</w:t>
            </w:r>
          </w:p>
        </w:tc>
        <w:tc>
          <w:tcPr>
            <w:tcW w:w="942"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1</w:t>
            </w:r>
            <w:r w:rsidRPr="00990EB0">
              <w:rPr>
                <w:rFonts w:ascii="Times New Roman" w:hAnsi="Times New Roman" w:cs="Times New Roman"/>
                <w:kern w:val="0"/>
                <w:sz w:val="21"/>
                <w:szCs w:val="21"/>
              </w:rPr>
              <w:t>小时平均</w:t>
            </w:r>
          </w:p>
        </w:tc>
        <w:tc>
          <w:tcPr>
            <w:tcW w:w="943"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500</w:t>
            </w:r>
          </w:p>
        </w:tc>
        <w:tc>
          <w:tcPr>
            <w:tcW w:w="785" w:type="pct"/>
            <w:vMerge w:val="restar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μg/m</w:t>
            </w:r>
            <w:r w:rsidRPr="00990EB0">
              <w:rPr>
                <w:rFonts w:ascii="Times New Roman" w:hAnsi="Times New Roman" w:cs="Times New Roman"/>
                <w:kern w:val="0"/>
                <w:sz w:val="21"/>
                <w:szCs w:val="21"/>
                <w:vertAlign w:val="superscript"/>
              </w:rPr>
              <w:t>3</w:t>
            </w:r>
          </w:p>
        </w:tc>
        <w:tc>
          <w:tcPr>
            <w:tcW w:w="1542" w:type="pct"/>
            <w:vMerge w:val="restar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《环境空气质量标准》</w:t>
            </w:r>
          </w:p>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w:t>
            </w:r>
            <w:r w:rsidRPr="00990EB0">
              <w:rPr>
                <w:rFonts w:ascii="Times New Roman" w:hAnsi="Times New Roman" w:cs="Times New Roman"/>
                <w:kern w:val="0"/>
                <w:sz w:val="21"/>
                <w:szCs w:val="21"/>
              </w:rPr>
              <w:t>GB3095-2012</w:t>
            </w:r>
            <w:r w:rsidRPr="00990EB0">
              <w:rPr>
                <w:rFonts w:ascii="Times New Roman" w:hAnsi="Times New Roman" w:cs="Times New Roman"/>
                <w:kern w:val="0"/>
                <w:sz w:val="21"/>
                <w:szCs w:val="21"/>
              </w:rPr>
              <w:t>）二级标准及修改单</w:t>
            </w:r>
          </w:p>
        </w:tc>
      </w:tr>
      <w:tr w:rsidR="00990EB0" w:rsidRPr="00990EB0" w:rsidTr="00990EB0">
        <w:tc>
          <w:tcPr>
            <w:tcW w:w="788"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942"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24</w:t>
            </w:r>
            <w:r w:rsidRPr="00990EB0">
              <w:rPr>
                <w:rFonts w:ascii="Times New Roman" w:hAnsi="Times New Roman" w:cs="Times New Roman"/>
                <w:kern w:val="0"/>
                <w:sz w:val="21"/>
                <w:szCs w:val="21"/>
              </w:rPr>
              <w:t>小时平均</w:t>
            </w:r>
          </w:p>
        </w:tc>
        <w:tc>
          <w:tcPr>
            <w:tcW w:w="943"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150</w:t>
            </w:r>
          </w:p>
        </w:tc>
        <w:tc>
          <w:tcPr>
            <w:tcW w:w="785"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1542" w:type="pct"/>
            <w:vMerge/>
            <w:vAlign w:val="center"/>
          </w:tcPr>
          <w:p w:rsidR="00990EB0" w:rsidRPr="00990EB0" w:rsidRDefault="00990EB0" w:rsidP="00990EB0">
            <w:pPr>
              <w:pStyle w:val="afffffff2"/>
              <w:rPr>
                <w:rFonts w:ascii="Times New Roman" w:hAnsi="Times New Roman" w:cs="Times New Roman"/>
                <w:kern w:val="0"/>
                <w:sz w:val="21"/>
                <w:szCs w:val="21"/>
              </w:rPr>
            </w:pPr>
          </w:p>
        </w:tc>
      </w:tr>
      <w:tr w:rsidR="00990EB0" w:rsidRPr="00990EB0" w:rsidTr="00990EB0">
        <w:tc>
          <w:tcPr>
            <w:tcW w:w="788"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942"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年平均</w:t>
            </w:r>
          </w:p>
        </w:tc>
        <w:tc>
          <w:tcPr>
            <w:tcW w:w="943"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60</w:t>
            </w:r>
          </w:p>
        </w:tc>
        <w:tc>
          <w:tcPr>
            <w:tcW w:w="785"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1542" w:type="pct"/>
            <w:vMerge/>
            <w:vAlign w:val="center"/>
          </w:tcPr>
          <w:p w:rsidR="00990EB0" w:rsidRPr="00990EB0" w:rsidRDefault="00990EB0" w:rsidP="00990EB0">
            <w:pPr>
              <w:pStyle w:val="afffffff2"/>
              <w:rPr>
                <w:rFonts w:ascii="Times New Roman" w:hAnsi="Times New Roman" w:cs="Times New Roman"/>
                <w:kern w:val="0"/>
                <w:sz w:val="21"/>
                <w:szCs w:val="21"/>
              </w:rPr>
            </w:pPr>
          </w:p>
        </w:tc>
      </w:tr>
      <w:tr w:rsidR="00990EB0" w:rsidRPr="00990EB0" w:rsidTr="00990EB0">
        <w:tc>
          <w:tcPr>
            <w:tcW w:w="788" w:type="pct"/>
            <w:vMerge w:val="restar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NO</w:t>
            </w:r>
            <w:r w:rsidRPr="00990EB0">
              <w:rPr>
                <w:rFonts w:ascii="Times New Roman" w:hAnsi="Times New Roman" w:cs="Times New Roman"/>
                <w:kern w:val="0"/>
                <w:sz w:val="21"/>
                <w:szCs w:val="21"/>
                <w:vertAlign w:val="subscript"/>
              </w:rPr>
              <w:t>2</w:t>
            </w:r>
          </w:p>
        </w:tc>
        <w:tc>
          <w:tcPr>
            <w:tcW w:w="942"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1</w:t>
            </w:r>
            <w:r w:rsidRPr="00990EB0">
              <w:rPr>
                <w:rFonts w:ascii="Times New Roman" w:hAnsi="Times New Roman" w:cs="Times New Roman"/>
                <w:kern w:val="0"/>
                <w:sz w:val="21"/>
                <w:szCs w:val="21"/>
              </w:rPr>
              <w:t>小时平均</w:t>
            </w:r>
          </w:p>
        </w:tc>
        <w:tc>
          <w:tcPr>
            <w:tcW w:w="943"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200</w:t>
            </w:r>
          </w:p>
        </w:tc>
        <w:tc>
          <w:tcPr>
            <w:tcW w:w="785"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1542" w:type="pct"/>
            <w:vMerge/>
            <w:vAlign w:val="center"/>
          </w:tcPr>
          <w:p w:rsidR="00990EB0" w:rsidRPr="00990EB0" w:rsidRDefault="00990EB0" w:rsidP="00990EB0">
            <w:pPr>
              <w:pStyle w:val="afffffff2"/>
              <w:rPr>
                <w:rFonts w:ascii="Times New Roman" w:hAnsi="Times New Roman" w:cs="Times New Roman"/>
                <w:kern w:val="0"/>
                <w:sz w:val="21"/>
                <w:szCs w:val="21"/>
              </w:rPr>
            </w:pPr>
          </w:p>
        </w:tc>
      </w:tr>
      <w:tr w:rsidR="00990EB0" w:rsidRPr="00990EB0" w:rsidTr="00990EB0">
        <w:tc>
          <w:tcPr>
            <w:tcW w:w="788"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942"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24</w:t>
            </w:r>
            <w:r w:rsidRPr="00990EB0">
              <w:rPr>
                <w:rFonts w:ascii="Times New Roman" w:hAnsi="Times New Roman" w:cs="Times New Roman"/>
                <w:kern w:val="0"/>
                <w:sz w:val="21"/>
                <w:szCs w:val="21"/>
              </w:rPr>
              <w:t>小时平均</w:t>
            </w:r>
          </w:p>
        </w:tc>
        <w:tc>
          <w:tcPr>
            <w:tcW w:w="943"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80</w:t>
            </w:r>
          </w:p>
        </w:tc>
        <w:tc>
          <w:tcPr>
            <w:tcW w:w="785"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1542" w:type="pct"/>
            <w:vMerge/>
            <w:vAlign w:val="center"/>
          </w:tcPr>
          <w:p w:rsidR="00990EB0" w:rsidRPr="00990EB0" w:rsidRDefault="00990EB0" w:rsidP="00990EB0">
            <w:pPr>
              <w:pStyle w:val="afffffff2"/>
              <w:rPr>
                <w:rFonts w:ascii="Times New Roman" w:hAnsi="Times New Roman" w:cs="Times New Roman"/>
                <w:kern w:val="0"/>
                <w:sz w:val="21"/>
                <w:szCs w:val="21"/>
              </w:rPr>
            </w:pPr>
          </w:p>
        </w:tc>
      </w:tr>
      <w:tr w:rsidR="00990EB0" w:rsidRPr="00990EB0" w:rsidTr="00990EB0">
        <w:tc>
          <w:tcPr>
            <w:tcW w:w="788"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942"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年平均</w:t>
            </w:r>
          </w:p>
        </w:tc>
        <w:tc>
          <w:tcPr>
            <w:tcW w:w="943"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40</w:t>
            </w:r>
          </w:p>
        </w:tc>
        <w:tc>
          <w:tcPr>
            <w:tcW w:w="785"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1542" w:type="pct"/>
            <w:vMerge/>
            <w:vAlign w:val="center"/>
          </w:tcPr>
          <w:p w:rsidR="00990EB0" w:rsidRPr="00990EB0" w:rsidRDefault="00990EB0" w:rsidP="00990EB0">
            <w:pPr>
              <w:pStyle w:val="afffffff2"/>
              <w:rPr>
                <w:rFonts w:ascii="Times New Roman" w:hAnsi="Times New Roman" w:cs="Times New Roman"/>
                <w:kern w:val="0"/>
                <w:sz w:val="21"/>
                <w:szCs w:val="21"/>
              </w:rPr>
            </w:pPr>
          </w:p>
        </w:tc>
      </w:tr>
      <w:tr w:rsidR="00990EB0" w:rsidRPr="00990EB0" w:rsidTr="00990EB0">
        <w:tc>
          <w:tcPr>
            <w:tcW w:w="788" w:type="pct"/>
            <w:vMerge w:val="restar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CO</w:t>
            </w:r>
          </w:p>
        </w:tc>
        <w:tc>
          <w:tcPr>
            <w:tcW w:w="942"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1</w:t>
            </w:r>
            <w:r w:rsidRPr="00990EB0">
              <w:rPr>
                <w:rFonts w:ascii="Times New Roman" w:hAnsi="Times New Roman" w:cs="Times New Roman"/>
                <w:kern w:val="0"/>
                <w:sz w:val="21"/>
                <w:szCs w:val="21"/>
              </w:rPr>
              <w:t>小时平均</w:t>
            </w:r>
          </w:p>
        </w:tc>
        <w:tc>
          <w:tcPr>
            <w:tcW w:w="943"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10</w:t>
            </w:r>
          </w:p>
        </w:tc>
        <w:tc>
          <w:tcPr>
            <w:tcW w:w="785" w:type="pct"/>
            <w:vMerge w:val="restar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mg/m</w:t>
            </w:r>
            <w:r w:rsidRPr="00990EB0">
              <w:rPr>
                <w:rFonts w:ascii="Times New Roman" w:hAnsi="Times New Roman" w:cs="Times New Roman"/>
                <w:kern w:val="0"/>
                <w:sz w:val="21"/>
                <w:szCs w:val="21"/>
                <w:vertAlign w:val="superscript"/>
              </w:rPr>
              <w:t>3</w:t>
            </w:r>
          </w:p>
        </w:tc>
        <w:tc>
          <w:tcPr>
            <w:tcW w:w="1542" w:type="pct"/>
            <w:vMerge/>
            <w:vAlign w:val="center"/>
          </w:tcPr>
          <w:p w:rsidR="00990EB0" w:rsidRPr="00990EB0" w:rsidRDefault="00990EB0" w:rsidP="00990EB0">
            <w:pPr>
              <w:pStyle w:val="afffffff2"/>
              <w:rPr>
                <w:rFonts w:ascii="Times New Roman" w:hAnsi="Times New Roman" w:cs="Times New Roman"/>
                <w:kern w:val="0"/>
                <w:sz w:val="21"/>
                <w:szCs w:val="21"/>
              </w:rPr>
            </w:pPr>
          </w:p>
        </w:tc>
      </w:tr>
      <w:tr w:rsidR="00990EB0" w:rsidRPr="00990EB0" w:rsidTr="00990EB0">
        <w:tc>
          <w:tcPr>
            <w:tcW w:w="788"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942"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24</w:t>
            </w:r>
            <w:r w:rsidRPr="00990EB0">
              <w:rPr>
                <w:rFonts w:ascii="Times New Roman" w:hAnsi="Times New Roman" w:cs="Times New Roman"/>
                <w:kern w:val="0"/>
                <w:sz w:val="21"/>
                <w:szCs w:val="21"/>
              </w:rPr>
              <w:t>小时平均</w:t>
            </w:r>
          </w:p>
        </w:tc>
        <w:tc>
          <w:tcPr>
            <w:tcW w:w="943"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4</w:t>
            </w:r>
          </w:p>
        </w:tc>
        <w:tc>
          <w:tcPr>
            <w:tcW w:w="785"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1542" w:type="pct"/>
            <w:vMerge/>
            <w:vAlign w:val="center"/>
          </w:tcPr>
          <w:p w:rsidR="00990EB0" w:rsidRPr="00990EB0" w:rsidRDefault="00990EB0" w:rsidP="00990EB0">
            <w:pPr>
              <w:pStyle w:val="afffffff2"/>
              <w:rPr>
                <w:rFonts w:ascii="Times New Roman" w:hAnsi="Times New Roman" w:cs="Times New Roman"/>
                <w:kern w:val="0"/>
                <w:sz w:val="21"/>
                <w:szCs w:val="21"/>
              </w:rPr>
            </w:pPr>
          </w:p>
        </w:tc>
      </w:tr>
      <w:tr w:rsidR="00990EB0" w:rsidRPr="00990EB0" w:rsidTr="00990EB0">
        <w:tc>
          <w:tcPr>
            <w:tcW w:w="788" w:type="pct"/>
            <w:vMerge w:val="restar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O</w:t>
            </w:r>
            <w:r w:rsidRPr="00990EB0">
              <w:rPr>
                <w:rFonts w:ascii="Times New Roman" w:hAnsi="Times New Roman" w:cs="Times New Roman"/>
                <w:kern w:val="0"/>
                <w:sz w:val="21"/>
                <w:szCs w:val="21"/>
                <w:vertAlign w:val="subscript"/>
              </w:rPr>
              <w:t>3</w:t>
            </w:r>
          </w:p>
        </w:tc>
        <w:tc>
          <w:tcPr>
            <w:tcW w:w="942"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1</w:t>
            </w:r>
            <w:r w:rsidRPr="00990EB0">
              <w:rPr>
                <w:rFonts w:ascii="Times New Roman" w:hAnsi="Times New Roman" w:cs="Times New Roman"/>
                <w:kern w:val="0"/>
                <w:sz w:val="21"/>
                <w:szCs w:val="21"/>
              </w:rPr>
              <w:t>小时平均</w:t>
            </w:r>
          </w:p>
        </w:tc>
        <w:tc>
          <w:tcPr>
            <w:tcW w:w="943"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200</w:t>
            </w:r>
          </w:p>
        </w:tc>
        <w:tc>
          <w:tcPr>
            <w:tcW w:w="785" w:type="pct"/>
            <w:vMerge w:val="restar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μg/m</w:t>
            </w:r>
            <w:r w:rsidRPr="00990EB0">
              <w:rPr>
                <w:rFonts w:ascii="Times New Roman" w:hAnsi="Times New Roman" w:cs="Times New Roman"/>
                <w:kern w:val="0"/>
                <w:sz w:val="21"/>
                <w:szCs w:val="21"/>
                <w:vertAlign w:val="superscript"/>
              </w:rPr>
              <w:t>3</w:t>
            </w:r>
          </w:p>
        </w:tc>
        <w:tc>
          <w:tcPr>
            <w:tcW w:w="1542" w:type="pct"/>
            <w:vMerge/>
            <w:vAlign w:val="center"/>
          </w:tcPr>
          <w:p w:rsidR="00990EB0" w:rsidRPr="00990EB0" w:rsidRDefault="00990EB0" w:rsidP="00990EB0">
            <w:pPr>
              <w:pStyle w:val="afffffff2"/>
              <w:rPr>
                <w:rFonts w:ascii="Times New Roman" w:hAnsi="Times New Roman" w:cs="Times New Roman"/>
                <w:kern w:val="0"/>
                <w:sz w:val="21"/>
                <w:szCs w:val="21"/>
              </w:rPr>
            </w:pPr>
          </w:p>
        </w:tc>
      </w:tr>
      <w:tr w:rsidR="00990EB0" w:rsidRPr="00990EB0" w:rsidTr="00990EB0">
        <w:tc>
          <w:tcPr>
            <w:tcW w:w="788"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942"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日最大</w:t>
            </w:r>
            <w:r w:rsidRPr="00990EB0">
              <w:rPr>
                <w:rFonts w:ascii="Times New Roman" w:hAnsi="Times New Roman" w:cs="Times New Roman"/>
                <w:kern w:val="0"/>
                <w:sz w:val="21"/>
                <w:szCs w:val="21"/>
              </w:rPr>
              <w:t>8</w:t>
            </w:r>
            <w:r w:rsidRPr="00990EB0">
              <w:rPr>
                <w:rFonts w:ascii="Times New Roman" w:hAnsi="Times New Roman" w:cs="Times New Roman"/>
                <w:kern w:val="0"/>
                <w:sz w:val="21"/>
                <w:szCs w:val="21"/>
              </w:rPr>
              <w:t>小时平均</w:t>
            </w:r>
          </w:p>
        </w:tc>
        <w:tc>
          <w:tcPr>
            <w:tcW w:w="943"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160</w:t>
            </w:r>
          </w:p>
        </w:tc>
        <w:tc>
          <w:tcPr>
            <w:tcW w:w="785"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1542" w:type="pct"/>
            <w:vMerge/>
            <w:vAlign w:val="center"/>
          </w:tcPr>
          <w:p w:rsidR="00990EB0" w:rsidRPr="00990EB0" w:rsidRDefault="00990EB0" w:rsidP="00990EB0">
            <w:pPr>
              <w:pStyle w:val="afffffff2"/>
              <w:rPr>
                <w:rFonts w:ascii="Times New Roman" w:hAnsi="Times New Roman" w:cs="Times New Roman"/>
                <w:kern w:val="0"/>
                <w:sz w:val="21"/>
                <w:szCs w:val="21"/>
              </w:rPr>
            </w:pPr>
          </w:p>
        </w:tc>
      </w:tr>
      <w:tr w:rsidR="00990EB0" w:rsidRPr="00990EB0" w:rsidTr="00990EB0">
        <w:tc>
          <w:tcPr>
            <w:tcW w:w="788" w:type="pct"/>
            <w:vMerge w:val="restar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lastRenderedPageBreak/>
              <w:t>PM</w:t>
            </w:r>
            <w:r w:rsidRPr="00990EB0">
              <w:rPr>
                <w:rFonts w:ascii="Times New Roman" w:hAnsi="Times New Roman" w:cs="Times New Roman"/>
                <w:kern w:val="0"/>
                <w:sz w:val="21"/>
                <w:szCs w:val="21"/>
                <w:vertAlign w:val="subscript"/>
              </w:rPr>
              <w:t>10</w:t>
            </w:r>
          </w:p>
        </w:tc>
        <w:tc>
          <w:tcPr>
            <w:tcW w:w="942"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24</w:t>
            </w:r>
            <w:r w:rsidRPr="00990EB0">
              <w:rPr>
                <w:rFonts w:ascii="Times New Roman" w:hAnsi="Times New Roman" w:cs="Times New Roman"/>
                <w:kern w:val="0"/>
                <w:sz w:val="21"/>
                <w:szCs w:val="21"/>
              </w:rPr>
              <w:t>小时平均</w:t>
            </w:r>
          </w:p>
        </w:tc>
        <w:tc>
          <w:tcPr>
            <w:tcW w:w="943"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150</w:t>
            </w:r>
          </w:p>
        </w:tc>
        <w:tc>
          <w:tcPr>
            <w:tcW w:w="785"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1542" w:type="pct"/>
            <w:vMerge/>
            <w:vAlign w:val="center"/>
          </w:tcPr>
          <w:p w:rsidR="00990EB0" w:rsidRPr="00990EB0" w:rsidRDefault="00990EB0" w:rsidP="00990EB0">
            <w:pPr>
              <w:pStyle w:val="afffffff2"/>
              <w:rPr>
                <w:rFonts w:ascii="Times New Roman" w:hAnsi="Times New Roman" w:cs="Times New Roman"/>
                <w:kern w:val="0"/>
                <w:sz w:val="21"/>
                <w:szCs w:val="21"/>
              </w:rPr>
            </w:pPr>
          </w:p>
        </w:tc>
      </w:tr>
      <w:tr w:rsidR="00990EB0" w:rsidRPr="00990EB0" w:rsidTr="00990EB0">
        <w:tc>
          <w:tcPr>
            <w:tcW w:w="788"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942"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年平均</w:t>
            </w:r>
          </w:p>
        </w:tc>
        <w:tc>
          <w:tcPr>
            <w:tcW w:w="943"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70</w:t>
            </w:r>
          </w:p>
        </w:tc>
        <w:tc>
          <w:tcPr>
            <w:tcW w:w="785"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1542" w:type="pct"/>
            <w:vMerge/>
            <w:vAlign w:val="center"/>
          </w:tcPr>
          <w:p w:rsidR="00990EB0" w:rsidRPr="00990EB0" w:rsidRDefault="00990EB0" w:rsidP="00990EB0">
            <w:pPr>
              <w:pStyle w:val="afffffff2"/>
              <w:rPr>
                <w:rFonts w:ascii="Times New Roman" w:hAnsi="Times New Roman" w:cs="Times New Roman"/>
                <w:kern w:val="0"/>
                <w:sz w:val="21"/>
                <w:szCs w:val="21"/>
              </w:rPr>
            </w:pPr>
          </w:p>
        </w:tc>
      </w:tr>
      <w:tr w:rsidR="00990EB0" w:rsidRPr="00990EB0" w:rsidTr="00990EB0">
        <w:tc>
          <w:tcPr>
            <w:tcW w:w="788" w:type="pct"/>
            <w:vMerge w:val="restar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PM</w:t>
            </w:r>
            <w:r w:rsidRPr="00990EB0">
              <w:rPr>
                <w:rFonts w:ascii="Times New Roman" w:hAnsi="Times New Roman" w:cs="Times New Roman"/>
                <w:kern w:val="0"/>
                <w:sz w:val="21"/>
                <w:szCs w:val="21"/>
                <w:vertAlign w:val="subscript"/>
              </w:rPr>
              <w:t>2.5</w:t>
            </w:r>
          </w:p>
        </w:tc>
        <w:tc>
          <w:tcPr>
            <w:tcW w:w="942"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24</w:t>
            </w:r>
            <w:r w:rsidRPr="00990EB0">
              <w:rPr>
                <w:rFonts w:ascii="Times New Roman" w:hAnsi="Times New Roman" w:cs="Times New Roman"/>
                <w:kern w:val="0"/>
                <w:sz w:val="21"/>
                <w:szCs w:val="21"/>
              </w:rPr>
              <w:t>小时平均</w:t>
            </w:r>
          </w:p>
        </w:tc>
        <w:tc>
          <w:tcPr>
            <w:tcW w:w="943"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75</w:t>
            </w:r>
          </w:p>
        </w:tc>
        <w:tc>
          <w:tcPr>
            <w:tcW w:w="785"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1542" w:type="pct"/>
            <w:vMerge/>
            <w:vAlign w:val="center"/>
          </w:tcPr>
          <w:p w:rsidR="00990EB0" w:rsidRPr="00990EB0" w:rsidRDefault="00990EB0" w:rsidP="00990EB0">
            <w:pPr>
              <w:pStyle w:val="afffffff2"/>
              <w:rPr>
                <w:rFonts w:ascii="Times New Roman" w:hAnsi="Times New Roman" w:cs="Times New Roman"/>
                <w:kern w:val="0"/>
                <w:sz w:val="21"/>
                <w:szCs w:val="21"/>
              </w:rPr>
            </w:pPr>
          </w:p>
        </w:tc>
      </w:tr>
      <w:tr w:rsidR="00990EB0" w:rsidRPr="00990EB0" w:rsidTr="00990EB0">
        <w:tc>
          <w:tcPr>
            <w:tcW w:w="788"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942"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年平均</w:t>
            </w:r>
          </w:p>
        </w:tc>
        <w:tc>
          <w:tcPr>
            <w:tcW w:w="943" w:type="pc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35</w:t>
            </w:r>
          </w:p>
        </w:tc>
        <w:tc>
          <w:tcPr>
            <w:tcW w:w="785"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1542" w:type="pct"/>
            <w:vMerge/>
            <w:vAlign w:val="center"/>
          </w:tcPr>
          <w:p w:rsidR="00990EB0" w:rsidRPr="00990EB0" w:rsidRDefault="00990EB0" w:rsidP="00990EB0">
            <w:pPr>
              <w:pStyle w:val="afffffff2"/>
              <w:rPr>
                <w:rFonts w:ascii="Times New Roman" w:hAnsi="Times New Roman" w:cs="Times New Roman"/>
                <w:kern w:val="0"/>
                <w:sz w:val="21"/>
                <w:szCs w:val="21"/>
              </w:rPr>
            </w:pPr>
          </w:p>
        </w:tc>
      </w:tr>
      <w:tr w:rsidR="00990EB0" w:rsidRPr="00990EB0" w:rsidTr="00990EB0">
        <w:tc>
          <w:tcPr>
            <w:tcW w:w="788" w:type="pct"/>
            <w:vMerge w:val="restart"/>
            <w:vAlign w:val="center"/>
          </w:tcPr>
          <w:p w:rsidR="00990EB0" w:rsidRPr="00990EB0" w:rsidRDefault="00990EB0" w:rsidP="00990EB0">
            <w:pPr>
              <w:pStyle w:val="afffffff2"/>
              <w:rPr>
                <w:rFonts w:ascii="Times New Roman" w:hAnsi="Times New Roman" w:cs="Times New Roman"/>
                <w:kern w:val="0"/>
                <w:sz w:val="21"/>
                <w:szCs w:val="21"/>
              </w:rPr>
            </w:pPr>
            <w:r w:rsidRPr="00990EB0">
              <w:rPr>
                <w:rFonts w:ascii="Times New Roman" w:hAnsi="Times New Roman" w:cs="Times New Roman"/>
                <w:sz w:val="21"/>
              </w:rPr>
              <w:t>TSP</w:t>
            </w:r>
          </w:p>
        </w:tc>
        <w:tc>
          <w:tcPr>
            <w:tcW w:w="942" w:type="pct"/>
            <w:vAlign w:val="center"/>
          </w:tcPr>
          <w:p w:rsidR="00990EB0" w:rsidRPr="00990EB0" w:rsidRDefault="00990EB0" w:rsidP="00990EB0">
            <w:pPr>
              <w:spacing w:line="360" w:lineRule="exact"/>
              <w:ind w:firstLineChars="0" w:firstLine="0"/>
              <w:jc w:val="center"/>
              <w:rPr>
                <w:rFonts w:ascii="Times New Roman" w:hAnsi="Times New Roman"/>
                <w:sz w:val="21"/>
              </w:rPr>
            </w:pPr>
            <w:r w:rsidRPr="00990EB0">
              <w:rPr>
                <w:rFonts w:ascii="Times New Roman" w:hAnsi="Times New Roman"/>
                <w:sz w:val="21"/>
              </w:rPr>
              <w:t>24</w:t>
            </w:r>
            <w:r w:rsidRPr="00990EB0">
              <w:rPr>
                <w:rFonts w:ascii="Times New Roman" w:hAnsi="Times New Roman"/>
                <w:sz w:val="21"/>
              </w:rPr>
              <w:t>小时平均</w:t>
            </w:r>
          </w:p>
        </w:tc>
        <w:tc>
          <w:tcPr>
            <w:tcW w:w="943" w:type="pct"/>
            <w:vAlign w:val="center"/>
          </w:tcPr>
          <w:p w:rsidR="00990EB0" w:rsidRPr="00990EB0" w:rsidRDefault="00990EB0" w:rsidP="00990EB0">
            <w:pPr>
              <w:spacing w:line="360" w:lineRule="exact"/>
              <w:ind w:firstLineChars="0" w:firstLine="0"/>
              <w:jc w:val="center"/>
              <w:rPr>
                <w:rFonts w:ascii="Times New Roman" w:hAnsi="Times New Roman"/>
                <w:sz w:val="21"/>
              </w:rPr>
            </w:pPr>
            <w:r w:rsidRPr="00990EB0">
              <w:rPr>
                <w:rFonts w:ascii="Times New Roman" w:hAnsi="Times New Roman"/>
                <w:sz w:val="21"/>
              </w:rPr>
              <w:t>300</w:t>
            </w:r>
          </w:p>
        </w:tc>
        <w:tc>
          <w:tcPr>
            <w:tcW w:w="785" w:type="pct"/>
            <w:vMerge/>
            <w:vAlign w:val="center"/>
          </w:tcPr>
          <w:p w:rsidR="00990EB0" w:rsidRPr="00990EB0" w:rsidRDefault="00990EB0" w:rsidP="00990EB0">
            <w:pPr>
              <w:pStyle w:val="afffffff2"/>
              <w:rPr>
                <w:rFonts w:cs="Times New Roman"/>
                <w:kern w:val="0"/>
                <w:sz w:val="21"/>
                <w:szCs w:val="21"/>
              </w:rPr>
            </w:pPr>
          </w:p>
        </w:tc>
        <w:tc>
          <w:tcPr>
            <w:tcW w:w="1542" w:type="pct"/>
            <w:vMerge/>
            <w:vAlign w:val="center"/>
          </w:tcPr>
          <w:p w:rsidR="00990EB0" w:rsidRPr="00990EB0" w:rsidRDefault="00990EB0" w:rsidP="00990EB0">
            <w:pPr>
              <w:pStyle w:val="afffffff2"/>
              <w:rPr>
                <w:rFonts w:cs="Times New Roman"/>
                <w:kern w:val="0"/>
                <w:sz w:val="21"/>
                <w:szCs w:val="21"/>
              </w:rPr>
            </w:pPr>
          </w:p>
        </w:tc>
      </w:tr>
      <w:tr w:rsidR="00990EB0" w:rsidRPr="00990EB0" w:rsidTr="00990EB0">
        <w:tc>
          <w:tcPr>
            <w:tcW w:w="788" w:type="pct"/>
            <w:vMerge/>
            <w:vAlign w:val="center"/>
          </w:tcPr>
          <w:p w:rsidR="00990EB0" w:rsidRPr="00990EB0" w:rsidRDefault="00990EB0" w:rsidP="00990EB0">
            <w:pPr>
              <w:pStyle w:val="afffffff2"/>
              <w:rPr>
                <w:rFonts w:ascii="Times New Roman" w:hAnsi="Times New Roman" w:cs="Times New Roman"/>
                <w:kern w:val="0"/>
                <w:sz w:val="21"/>
                <w:szCs w:val="21"/>
              </w:rPr>
            </w:pPr>
          </w:p>
        </w:tc>
        <w:tc>
          <w:tcPr>
            <w:tcW w:w="942" w:type="pct"/>
            <w:vAlign w:val="center"/>
          </w:tcPr>
          <w:p w:rsidR="00990EB0" w:rsidRPr="00990EB0" w:rsidRDefault="00990EB0" w:rsidP="00990EB0">
            <w:pPr>
              <w:spacing w:line="360" w:lineRule="exact"/>
              <w:ind w:firstLineChars="0" w:firstLine="0"/>
              <w:jc w:val="center"/>
              <w:rPr>
                <w:rFonts w:ascii="Times New Roman" w:hAnsi="Times New Roman"/>
                <w:sz w:val="21"/>
              </w:rPr>
            </w:pPr>
            <w:r w:rsidRPr="00990EB0">
              <w:rPr>
                <w:rFonts w:ascii="Times New Roman" w:hAnsi="Times New Roman"/>
                <w:sz w:val="21"/>
              </w:rPr>
              <w:t>年平均</w:t>
            </w:r>
          </w:p>
        </w:tc>
        <w:tc>
          <w:tcPr>
            <w:tcW w:w="943" w:type="pct"/>
            <w:vAlign w:val="center"/>
          </w:tcPr>
          <w:p w:rsidR="00990EB0" w:rsidRPr="00990EB0" w:rsidRDefault="00990EB0" w:rsidP="00990EB0">
            <w:pPr>
              <w:spacing w:line="360" w:lineRule="exact"/>
              <w:ind w:firstLineChars="0" w:firstLine="0"/>
              <w:jc w:val="center"/>
              <w:rPr>
                <w:rFonts w:ascii="Times New Roman" w:hAnsi="Times New Roman"/>
                <w:sz w:val="21"/>
              </w:rPr>
            </w:pPr>
            <w:r w:rsidRPr="00990EB0">
              <w:rPr>
                <w:rFonts w:ascii="Times New Roman" w:hAnsi="Times New Roman"/>
                <w:sz w:val="21"/>
              </w:rPr>
              <w:t>200</w:t>
            </w:r>
          </w:p>
        </w:tc>
        <w:tc>
          <w:tcPr>
            <w:tcW w:w="785" w:type="pct"/>
            <w:vMerge/>
            <w:vAlign w:val="center"/>
          </w:tcPr>
          <w:p w:rsidR="00990EB0" w:rsidRPr="00990EB0" w:rsidRDefault="00990EB0" w:rsidP="00990EB0">
            <w:pPr>
              <w:pStyle w:val="afffffff2"/>
              <w:rPr>
                <w:rFonts w:cs="Times New Roman"/>
                <w:kern w:val="0"/>
                <w:sz w:val="21"/>
                <w:szCs w:val="21"/>
              </w:rPr>
            </w:pPr>
          </w:p>
        </w:tc>
        <w:tc>
          <w:tcPr>
            <w:tcW w:w="1542" w:type="pct"/>
            <w:vMerge/>
            <w:vAlign w:val="center"/>
          </w:tcPr>
          <w:p w:rsidR="00990EB0" w:rsidRPr="00990EB0" w:rsidRDefault="00990EB0" w:rsidP="00990EB0">
            <w:pPr>
              <w:pStyle w:val="afffffff2"/>
              <w:rPr>
                <w:rFonts w:cs="Times New Roman"/>
                <w:kern w:val="0"/>
                <w:sz w:val="21"/>
                <w:szCs w:val="21"/>
              </w:rPr>
            </w:pPr>
          </w:p>
        </w:tc>
      </w:tr>
      <w:tr w:rsidR="004E3021" w:rsidRPr="00990EB0" w:rsidTr="00990EB0">
        <w:tc>
          <w:tcPr>
            <w:tcW w:w="788" w:type="pct"/>
            <w:vMerge w:val="restart"/>
            <w:vAlign w:val="center"/>
          </w:tcPr>
          <w:p w:rsidR="004E3021" w:rsidRPr="00990EB0" w:rsidRDefault="00606E48"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甲醇</w:t>
            </w:r>
          </w:p>
        </w:tc>
        <w:tc>
          <w:tcPr>
            <w:tcW w:w="942" w:type="pct"/>
            <w:vAlign w:val="center"/>
          </w:tcPr>
          <w:p w:rsidR="004E3021" w:rsidRPr="00990EB0" w:rsidRDefault="00606E48"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1</w:t>
            </w:r>
            <w:r w:rsidRPr="00990EB0">
              <w:rPr>
                <w:rFonts w:ascii="Times New Roman" w:hAnsi="Times New Roman" w:cs="Times New Roman"/>
                <w:kern w:val="0"/>
                <w:sz w:val="21"/>
                <w:szCs w:val="21"/>
              </w:rPr>
              <w:t>小时平均</w:t>
            </w:r>
          </w:p>
        </w:tc>
        <w:tc>
          <w:tcPr>
            <w:tcW w:w="943" w:type="pct"/>
            <w:vAlign w:val="center"/>
          </w:tcPr>
          <w:p w:rsidR="004E3021" w:rsidRPr="00990EB0" w:rsidRDefault="00606E48"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3000</w:t>
            </w:r>
          </w:p>
        </w:tc>
        <w:tc>
          <w:tcPr>
            <w:tcW w:w="785" w:type="pct"/>
            <w:vMerge/>
            <w:vAlign w:val="center"/>
          </w:tcPr>
          <w:p w:rsidR="004E3021" w:rsidRPr="00990EB0" w:rsidRDefault="004E3021" w:rsidP="00990EB0">
            <w:pPr>
              <w:pStyle w:val="afffffff2"/>
              <w:rPr>
                <w:rFonts w:ascii="Times New Roman" w:hAnsi="Times New Roman" w:cs="Times New Roman"/>
                <w:kern w:val="0"/>
                <w:sz w:val="21"/>
                <w:szCs w:val="21"/>
              </w:rPr>
            </w:pPr>
          </w:p>
        </w:tc>
        <w:tc>
          <w:tcPr>
            <w:tcW w:w="1542" w:type="pct"/>
            <w:vMerge w:val="restart"/>
            <w:vAlign w:val="center"/>
          </w:tcPr>
          <w:p w:rsidR="004E3021" w:rsidRPr="00990EB0" w:rsidRDefault="00606E48"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《环境影响评价技术导则</w:t>
            </w:r>
            <w:r w:rsidRPr="00990EB0">
              <w:rPr>
                <w:rFonts w:ascii="Times New Roman" w:hAnsi="Times New Roman" w:cs="Times New Roman"/>
                <w:kern w:val="0"/>
                <w:sz w:val="21"/>
                <w:szCs w:val="21"/>
              </w:rPr>
              <w:t xml:space="preserve"> </w:t>
            </w:r>
            <w:r w:rsidRPr="00990EB0">
              <w:rPr>
                <w:rFonts w:ascii="Times New Roman" w:hAnsi="Times New Roman" w:cs="Times New Roman"/>
                <w:kern w:val="0"/>
                <w:sz w:val="21"/>
                <w:szCs w:val="21"/>
              </w:rPr>
              <w:t>大气环境》（</w:t>
            </w:r>
            <w:r w:rsidRPr="00990EB0">
              <w:rPr>
                <w:rFonts w:ascii="Times New Roman" w:hAnsi="Times New Roman" w:cs="Times New Roman"/>
                <w:kern w:val="0"/>
                <w:sz w:val="21"/>
                <w:szCs w:val="21"/>
              </w:rPr>
              <w:t>HJ2.2-2018</w:t>
            </w:r>
            <w:r w:rsidRPr="00990EB0">
              <w:rPr>
                <w:rFonts w:ascii="Times New Roman" w:hAnsi="Times New Roman" w:cs="Times New Roman"/>
                <w:kern w:val="0"/>
                <w:sz w:val="21"/>
                <w:szCs w:val="21"/>
              </w:rPr>
              <w:t>）附录</w:t>
            </w:r>
            <w:r w:rsidRPr="00990EB0">
              <w:rPr>
                <w:rFonts w:ascii="Times New Roman" w:hAnsi="Times New Roman" w:cs="Times New Roman"/>
                <w:kern w:val="0"/>
                <w:sz w:val="21"/>
                <w:szCs w:val="21"/>
              </w:rPr>
              <w:t>D</w:t>
            </w:r>
            <w:r w:rsidRPr="00990EB0">
              <w:rPr>
                <w:rFonts w:ascii="Times New Roman" w:hAnsi="Times New Roman" w:cs="Times New Roman"/>
                <w:kern w:val="0"/>
                <w:sz w:val="21"/>
                <w:szCs w:val="21"/>
              </w:rPr>
              <w:t>其他污染物空气质量浓度参考限值</w:t>
            </w:r>
          </w:p>
        </w:tc>
      </w:tr>
      <w:tr w:rsidR="004E3021" w:rsidRPr="00990EB0" w:rsidTr="00990EB0">
        <w:tc>
          <w:tcPr>
            <w:tcW w:w="788" w:type="pct"/>
            <w:vMerge/>
            <w:vAlign w:val="center"/>
          </w:tcPr>
          <w:p w:rsidR="004E3021" w:rsidRPr="00990EB0" w:rsidRDefault="004E3021" w:rsidP="00990EB0">
            <w:pPr>
              <w:pStyle w:val="afffffff2"/>
              <w:rPr>
                <w:rFonts w:ascii="Times New Roman" w:hAnsi="Times New Roman" w:cs="Times New Roman"/>
                <w:kern w:val="0"/>
                <w:sz w:val="21"/>
                <w:szCs w:val="21"/>
              </w:rPr>
            </w:pPr>
          </w:p>
        </w:tc>
        <w:tc>
          <w:tcPr>
            <w:tcW w:w="942" w:type="pct"/>
            <w:vAlign w:val="center"/>
          </w:tcPr>
          <w:p w:rsidR="004E3021" w:rsidRPr="00990EB0" w:rsidRDefault="00606E48"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日平均</w:t>
            </w:r>
          </w:p>
        </w:tc>
        <w:tc>
          <w:tcPr>
            <w:tcW w:w="943" w:type="pct"/>
            <w:vAlign w:val="center"/>
          </w:tcPr>
          <w:p w:rsidR="004E3021" w:rsidRPr="00990EB0" w:rsidRDefault="00606E48"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1000</w:t>
            </w:r>
          </w:p>
        </w:tc>
        <w:tc>
          <w:tcPr>
            <w:tcW w:w="785" w:type="pct"/>
            <w:vMerge/>
            <w:vAlign w:val="center"/>
          </w:tcPr>
          <w:p w:rsidR="004E3021" w:rsidRPr="00990EB0" w:rsidRDefault="004E3021" w:rsidP="00990EB0">
            <w:pPr>
              <w:pStyle w:val="afffffff2"/>
              <w:rPr>
                <w:rFonts w:ascii="Times New Roman" w:hAnsi="Times New Roman" w:cs="Times New Roman"/>
                <w:kern w:val="0"/>
                <w:sz w:val="21"/>
                <w:szCs w:val="21"/>
              </w:rPr>
            </w:pPr>
          </w:p>
        </w:tc>
        <w:tc>
          <w:tcPr>
            <w:tcW w:w="1542" w:type="pct"/>
            <w:vMerge/>
            <w:vAlign w:val="center"/>
          </w:tcPr>
          <w:p w:rsidR="004E3021" w:rsidRPr="00990EB0" w:rsidRDefault="004E3021" w:rsidP="00990EB0">
            <w:pPr>
              <w:pStyle w:val="afffffff2"/>
              <w:rPr>
                <w:rFonts w:ascii="Times New Roman" w:hAnsi="Times New Roman" w:cs="Times New Roman"/>
                <w:kern w:val="0"/>
                <w:sz w:val="21"/>
                <w:szCs w:val="21"/>
              </w:rPr>
            </w:pPr>
          </w:p>
        </w:tc>
      </w:tr>
      <w:tr w:rsidR="00CD0AE7" w:rsidRPr="00990EB0" w:rsidTr="00990EB0">
        <w:tc>
          <w:tcPr>
            <w:tcW w:w="788" w:type="pct"/>
            <w:vAlign w:val="center"/>
          </w:tcPr>
          <w:p w:rsidR="00CD0AE7" w:rsidRPr="00CD0AE7" w:rsidRDefault="00CD0AE7" w:rsidP="00CD0AE7">
            <w:pPr>
              <w:pStyle w:val="afffffff2"/>
              <w:rPr>
                <w:rFonts w:ascii="Times New Roman" w:hAnsi="Times New Roman" w:cs="Times New Roman"/>
                <w:kern w:val="0"/>
                <w:sz w:val="21"/>
                <w:szCs w:val="21"/>
              </w:rPr>
            </w:pPr>
            <w:r w:rsidRPr="00CD0AE7">
              <w:rPr>
                <w:rFonts w:ascii="Times New Roman" w:hAnsi="Times New Roman" w:cs="Times New Roman"/>
                <w:kern w:val="0"/>
                <w:sz w:val="21"/>
                <w:szCs w:val="21"/>
              </w:rPr>
              <w:t>NH</w:t>
            </w:r>
            <w:r w:rsidRPr="00CD0AE7">
              <w:rPr>
                <w:rFonts w:ascii="Times New Roman" w:hAnsi="Times New Roman" w:cs="Times New Roman"/>
                <w:kern w:val="0"/>
                <w:sz w:val="21"/>
                <w:szCs w:val="21"/>
                <w:vertAlign w:val="subscript"/>
              </w:rPr>
              <w:t>3</w:t>
            </w:r>
          </w:p>
        </w:tc>
        <w:tc>
          <w:tcPr>
            <w:tcW w:w="942" w:type="pct"/>
            <w:vAlign w:val="center"/>
          </w:tcPr>
          <w:p w:rsidR="00CD0AE7" w:rsidRPr="00CD0AE7" w:rsidRDefault="00CD0AE7" w:rsidP="00CD0AE7">
            <w:pPr>
              <w:pStyle w:val="afffffff2"/>
              <w:rPr>
                <w:rFonts w:ascii="Times New Roman" w:hAnsi="Times New Roman" w:cs="Times New Roman"/>
                <w:kern w:val="0"/>
                <w:sz w:val="21"/>
                <w:szCs w:val="21"/>
              </w:rPr>
            </w:pPr>
            <w:r w:rsidRPr="00CD0AE7">
              <w:rPr>
                <w:rFonts w:ascii="Times New Roman" w:hAnsi="Times New Roman" w:cs="Times New Roman"/>
                <w:kern w:val="0"/>
                <w:sz w:val="21"/>
                <w:szCs w:val="21"/>
              </w:rPr>
              <w:t>1</w:t>
            </w:r>
            <w:r w:rsidRPr="00CD0AE7">
              <w:rPr>
                <w:rFonts w:ascii="Times New Roman" w:hAnsi="Times New Roman" w:cs="Times New Roman"/>
                <w:kern w:val="0"/>
                <w:sz w:val="21"/>
                <w:szCs w:val="21"/>
              </w:rPr>
              <w:t>小时平均</w:t>
            </w:r>
          </w:p>
        </w:tc>
        <w:tc>
          <w:tcPr>
            <w:tcW w:w="943" w:type="pct"/>
            <w:vAlign w:val="center"/>
          </w:tcPr>
          <w:p w:rsidR="00CD0AE7" w:rsidRPr="00CD0AE7" w:rsidRDefault="00CD0AE7" w:rsidP="00CD0AE7">
            <w:pPr>
              <w:pStyle w:val="afffffff2"/>
              <w:rPr>
                <w:rFonts w:ascii="Times New Roman" w:hAnsi="Times New Roman" w:cs="Times New Roman"/>
                <w:kern w:val="0"/>
                <w:sz w:val="21"/>
                <w:szCs w:val="21"/>
              </w:rPr>
            </w:pPr>
            <w:r w:rsidRPr="00CD0AE7">
              <w:rPr>
                <w:rFonts w:ascii="Times New Roman" w:hAnsi="Times New Roman" w:cs="Times New Roman" w:hint="eastAsia"/>
                <w:kern w:val="0"/>
                <w:sz w:val="21"/>
                <w:szCs w:val="21"/>
              </w:rPr>
              <w:t>200</w:t>
            </w:r>
          </w:p>
        </w:tc>
        <w:tc>
          <w:tcPr>
            <w:tcW w:w="785" w:type="pct"/>
            <w:vMerge/>
            <w:vAlign w:val="center"/>
          </w:tcPr>
          <w:p w:rsidR="00CD0AE7" w:rsidRPr="00990EB0" w:rsidRDefault="00CD0AE7" w:rsidP="00CD0AE7">
            <w:pPr>
              <w:pStyle w:val="afffffff2"/>
              <w:rPr>
                <w:rFonts w:cs="Times New Roman"/>
                <w:kern w:val="0"/>
                <w:sz w:val="21"/>
                <w:szCs w:val="21"/>
              </w:rPr>
            </w:pPr>
          </w:p>
        </w:tc>
        <w:tc>
          <w:tcPr>
            <w:tcW w:w="1542" w:type="pct"/>
            <w:vMerge/>
            <w:vAlign w:val="center"/>
          </w:tcPr>
          <w:p w:rsidR="00CD0AE7" w:rsidRPr="00990EB0" w:rsidRDefault="00CD0AE7" w:rsidP="00CD0AE7">
            <w:pPr>
              <w:pStyle w:val="afffffff2"/>
              <w:rPr>
                <w:rFonts w:cs="Times New Roman"/>
                <w:kern w:val="0"/>
                <w:sz w:val="21"/>
                <w:szCs w:val="21"/>
              </w:rPr>
            </w:pPr>
          </w:p>
        </w:tc>
      </w:tr>
      <w:tr w:rsidR="004E3021" w:rsidRPr="00990EB0" w:rsidTr="00990EB0">
        <w:tc>
          <w:tcPr>
            <w:tcW w:w="788" w:type="pct"/>
            <w:vAlign w:val="center"/>
          </w:tcPr>
          <w:p w:rsidR="004E3021" w:rsidRPr="00990EB0" w:rsidRDefault="00606E48"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H</w:t>
            </w:r>
            <w:r w:rsidRPr="00990EB0">
              <w:rPr>
                <w:rFonts w:ascii="Times New Roman" w:hAnsi="Times New Roman" w:cs="Times New Roman"/>
                <w:kern w:val="0"/>
                <w:sz w:val="21"/>
                <w:szCs w:val="21"/>
                <w:vertAlign w:val="subscript"/>
              </w:rPr>
              <w:t>2</w:t>
            </w:r>
            <w:r w:rsidRPr="00990EB0">
              <w:rPr>
                <w:rFonts w:ascii="Times New Roman" w:hAnsi="Times New Roman" w:cs="Times New Roman"/>
                <w:kern w:val="0"/>
                <w:sz w:val="21"/>
                <w:szCs w:val="21"/>
              </w:rPr>
              <w:t>S</w:t>
            </w:r>
          </w:p>
        </w:tc>
        <w:tc>
          <w:tcPr>
            <w:tcW w:w="942" w:type="pct"/>
            <w:vAlign w:val="center"/>
          </w:tcPr>
          <w:p w:rsidR="004E3021" w:rsidRPr="00990EB0" w:rsidRDefault="00606E48"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1</w:t>
            </w:r>
            <w:r w:rsidRPr="00990EB0">
              <w:rPr>
                <w:rFonts w:ascii="Times New Roman" w:hAnsi="Times New Roman" w:cs="Times New Roman"/>
                <w:kern w:val="0"/>
                <w:sz w:val="21"/>
                <w:szCs w:val="21"/>
              </w:rPr>
              <w:t>小时平均</w:t>
            </w:r>
          </w:p>
        </w:tc>
        <w:tc>
          <w:tcPr>
            <w:tcW w:w="943" w:type="pct"/>
            <w:vAlign w:val="center"/>
          </w:tcPr>
          <w:p w:rsidR="004E3021" w:rsidRPr="00990EB0" w:rsidRDefault="00606E48"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10</w:t>
            </w:r>
          </w:p>
        </w:tc>
        <w:tc>
          <w:tcPr>
            <w:tcW w:w="785" w:type="pct"/>
            <w:vMerge/>
            <w:vAlign w:val="center"/>
          </w:tcPr>
          <w:p w:rsidR="004E3021" w:rsidRPr="00990EB0" w:rsidRDefault="004E3021" w:rsidP="00990EB0">
            <w:pPr>
              <w:pStyle w:val="afffffff2"/>
              <w:rPr>
                <w:rFonts w:ascii="Times New Roman" w:hAnsi="Times New Roman" w:cs="Times New Roman"/>
                <w:kern w:val="0"/>
                <w:sz w:val="21"/>
                <w:szCs w:val="21"/>
              </w:rPr>
            </w:pPr>
          </w:p>
        </w:tc>
        <w:tc>
          <w:tcPr>
            <w:tcW w:w="1542" w:type="pct"/>
            <w:vMerge/>
            <w:vAlign w:val="center"/>
          </w:tcPr>
          <w:p w:rsidR="004E3021" w:rsidRPr="00990EB0" w:rsidRDefault="004E3021" w:rsidP="00990EB0">
            <w:pPr>
              <w:pStyle w:val="afffffff2"/>
              <w:rPr>
                <w:rFonts w:ascii="Times New Roman" w:hAnsi="Times New Roman" w:cs="Times New Roman"/>
                <w:kern w:val="0"/>
                <w:sz w:val="21"/>
                <w:szCs w:val="21"/>
              </w:rPr>
            </w:pPr>
          </w:p>
        </w:tc>
      </w:tr>
      <w:tr w:rsidR="004E3021" w:rsidRPr="00990EB0" w:rsidTr="00990EB0">
        <w:tc>
          <w:tcPr>
            <w:tcW w:w="788" w:type="pct"/>
            <w:vAlign w:val="center"/>
          </w:tcPr>
          <w:p w:rsidR="004E3021" w:rsidRPr="00990EB0" w:rsidRDefault="00606E48"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非甲烷总烃</w:t>
            </w:r>
          </w:p>
        </w:tc>
        <w:tc>
          <w:tcPr>
            <w:tcW w:w="942" w:type="pct"/>
            <w:vAlign w:val="center"/>
          </w:tcPr>
          <w:p w:rsidR="004E3021" w:rsidRPr="00990EB0" w:rsidRDefault="00606E48"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1</w:t>
            </w:r>
            <w:r w:rsidRPr="00990EB0">
              <w:rPr>
                <w:rFonts w:ascii="Times New Roman" w:hAnsi="Times New Roman" w:cs="Times New Roman"/>
                <w:kern w:val="0"/>
                <w:sz w:val="21"/>
                <w:szCs w:val="21"/>
              </w:rPr>
              <w:t>小时平均</w:t>
            </w:r>
          </w:p>
        </w:tc>
        <w:tc>
          <w:tcPr>
            <w:tcW w:w="943" w:type="pct"/>
            <w:vAlign w:val="center"/>
          </w:tcPr>
          <w:p w:rsidR="004E3021" w:rsidRPr="00990EB0" w:rsidRDefault="00606E48"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2000</w:t>
            </w:r>
          </w:p>
        </w:tc>
        <w:tc>
          <w:tcPr>
            <w:tcW w:w="785" w:type="pct"/>
            <w:vMerge/>
            <w:vAlign w:val="center"/>
          </w:tcPr>
          <w:p w:rsidR="004E3021" w:rsidRPr="00990EB0" w:rsidRDefault="004E3021" w:rsidP="00990EB0">
            <w:pPr>
              <w:pStyle w:val="afffffff2"/>
              <w:rPr>
                <w:rFonts w:ascii="Times New Roman" w:hAnsi="Times New Roman" w:cs="Times New Roman"/>
                <w:kern w:val="0"/>
                <w:sz w:val="21"/>
                <w:szCs w:val="21"/>
              </w:rPr>
            </w:pPr>
          </w:p>
        </w:tc>
        <w:tc>
          <w:tcPr>
            <w:tcW w:w="1542" w:type="pct"/>
            <w:vAlign w:val="center"/>
          </w:tcPr>
          <w:p w:rsidR="004E3021" w:rsidRPr="00990EB0" w:rsidRDefault="00606E48" w:rsidP="00990EB0">
            <w:pPr>
              <w:pStyle w:val="afffffff2"/>
              <w:rPr>
                <w:rFonts w:ascii="Times New Roman" w:hAnsi="Times New Roman" w:cs="Times New Roman"/>
                <w:kern w:val="0"/>
                <w:sz w:val="21"/>
                <w:szCs w:val="21"/>
              </w:rPr>
            </w:pPr>
            <w:r w:rsidRPr="00990EB0">
              <w:rPr>
                <w:rFonts w:ascii="Times New Roman" w:hAnsi="Times New Roman" w:cs="Times New Roman"/>
                <w:kern w:val="0"/>
                <w:sz w:val="21"/>
                <w:szCs w:val="21"/>
              </w:rPr>
              <w:t>参考《大气污染物综合排放标准详解》</w:t>
            </w:r>
          </w:p>
        </w:tc>
      </w:tr>
    </w:tbl>
    <w:p w:rsidR="004E3021" w:rsidRDefault="00606E48">
      <w:pPr>
        <w:ind w:firstLine="480"/>
      </w:pPr>
      <w:r>
        <w:t>（</w:t>
      </w:r>
      <w:r>
        <w:t>2</w:t>
      </w:r>
      <w:r>
        <w:t>）污染物排放标准</w:t>
      </w:r>
    </w:p>
    <w:p w:rsidR="004E3021" w:rsidRDefault="00606E48">
      <w:pPr>
        <w:pStyle w:val="1f9"/>
        <w:ind w:firstLine="480"/>
      </w:pPr>
      <w:r>
        <w:rPr>
          <w:rFonts w:ascii="宋体" w:hAnsi="宋体"/>
        </w:rPr>
        <w:t>本项目</w:t>
      </w:r>
      <w:r>
        <w:rPr>
          <w:rFonts w:ascii="宋体" w:hAnsi="宋体" w:hint="eastAsia"/>
        </w:rPr>
        <w:t>硅溶胶生产</w:t>
      </w:r>
      <w:r w:rsidR="00AE4898">
        <w:rPr>
          <w:rFonts w:ascii="宋体" w:hAnsi="宋体" w:hint="eastAsia"/>
        </w:rPr>
        <w:t>属于无机化学工业，其</w:t>
      </w:r>
      <w:r>
        <w:rPr>
          <w:rFonts w:ascii="宋体" w:hAnsi="宋体" w:hint="eastAsia"/>
        </w:rPr>
        <w:t>吸收</w:t>
      </w:r>
      <w:r>
        <w:rPr>
          <w:rFonts w:ascii="宋体" w:hAnsi="宋体"/>
        </w:rPr>
        <w:t>尾气</w:t>
      </w:r>
      <w:r>
        <w:rPr>
          <w:rFonts w:ascii="宋体" w:hAnsi="宋体" w:hint="eastAsia"/>
        </w:rPr>
        <w:t>中</w:t>
      </w:r>
      <w:r>
        <w:rPr>
          <w:rFonts w:ascii="宋体" w:hAnsi="宋体"/>
        </w:rPr>
        <w:t>氨</w:t>
      </w:r>
      <w:r>
        <w:rPr>
          <w:rFonts w:cs="Times New Roman"/>
        </w:rPr>
        <w:t>排放</w:t>
      </w:r>
      <w:r>
        <w:rPr>
          <w:rFonts w:ascii="宋体" w:hAnsi="宋体" w:hint="eastAsia"/>
        </w:rPr>
        <w:t>执行《无机化学</w:t>
      </w:r>
      <w:r>
        <w:rPr>
          <w:rFonts w:ascii="宋体" w:hAnsi="宋体"/>
        </w:rPr>
        <w:t>工业</w:t>
      </w:r>
      <w:r>
        <w:rPr>
          <w:rFonts w:ascii="宋体" w:hAnsi="宋体" w:hint="eastAsia"/>
        </w:rPr>
        <w:t>污染物</w:t>
      </w:r>
      <w:r>
        <w:rPr>
          <w:rFonts w:ascii="宋体" w:hAnsi="宋体"/>
        </w:rPr>
        <w:t>排放</w:t>
      </w:r>
      <w:r>
        <w:rPr>
          <w:rFonts w:ascii="宋体" w:hAnsi="宋体" w:hint="eastAsia"/>
        </w:rPr>
        <w:t>标准》（</w:t>
      </w:r>
      <w:r>
        <w:rPr>
          <w:rFonts w:hint="eastAsia"/>
        </w:rPr>
        <w:t>G</w:t>
      </w:r>
      <w:r>
        <w:t>B31573-2015</w:t>
      </w:r>
      <w:r>
        <w:rPr>
          <w:rFonts w:ascii="宋体" w:hAnsi="宋体" w:hint="eastAsia"/>
        </w:rPr>
        <w:t>）中</w:t>
      </w:r>
      <w:r>
        <w:rPr>
          <w:rFonts w:cs="Times New Roman" w:hint="eastAsia"/>
          <w:szCs w:val="20"/>
        </w:rPr>
        <w:t>表</w:t>
      </w:r>
      <w:r>
        <w:rPr>
          <w:rFonts w:cs="Times New Roman"/>
          <w:szCs w:val="20"/>
        </w:rPr>
        <w:t>4</w:t>
      </w:r>
      <w:r>
        <w:rPr>
          <w:rFonts w:cs="Times New Roman" w:hint="eastAsia"/>
          <w:szCs w:val="20"/>
        </w:rPr>
        <w:t>中大气污染物</w:t>
      </w:r>
      <w:r>
        <w:rPr>
          <w:rFonts w:cs="Times New Roman"/>
          <w:szCs w:val="20"/>
        </w:rPr>
        <w:t>特别</w:t>
      </w:r>
      <w:r>
        <w:rPr>
          <w:rFonts w:cs="Times New Roman" w:hint="eastAsia"/>
          <w:szCs w:val="20"/>
        </w:rPr>
        <w:t>排放限值</w:t>
      </w:r>
      <w:r>
        <w:rPr>
          <w:rFonts w:ascii="宋体" w:hAnsi="宋体" w:hint="eastAsia"/>
        </w:rPr>
        <w:t>；</w:t>
      </w:r>
      <w:r>
        <w:rPr>
          <w:rFonts w:ascii="宋体" w:hAnsi="宋体"/>
        </w:rPr>
        <w:t>甲醇排放执行</w:t>
      </w:r>
      <w:r>
        <w:rPr>
          <w:rFonts w:ascii="宋体" w:hAnsi="宋体" w:hint="eastAsia"/>
        </w:rPr>
        <w:t>《大气污染物综合排放标准》（</w:t>
      </w:r>
      <w:r>
        <w:rPr>
          <w:rFonts w:hint="eastAsia"/>
        </w:rPr>
        <w:t>G</w:t>
      </w:r>
      <w:r>
        <w:t>B16297-1996</w:t>
      </w:r>
      <w:r>
        <w:rPr>
          <w:rFonts w:ascii="宋体" w:hAnsi="宋体" w:hint="eastAsia"/>
        </w:rPr>
        <w:t>）中表</w:t>
      </w:r>
      <w:r>
        <w:rPr>
          <w:rFonts w:cs="Times New Roman"/>
        </w:rPr>
        <w:t>2</w:t>
      </w:r>
      <w:r>
        <w:rPr>
          <w:rFonts w:cs="Times New Roman" w:hint="eastAsia"/>
        </w:rPr>
        <w:t>的</w:t>
      </w:r>
      <w:r>
        <w:rPr>
          <w:rFonts w:cs="Times New Roman"/>
        </w:rPr>
        <w:t>排放限值；</w:t>
      </w:r>
      <w:r>
        <w:rPr>
          <w:rFonts w:cs="Times New Roman" w:hint="eastAsia"/>
        </w:rPr>
        <w:t>硅块</w:t>
      </w:r>
      <w:r>
        <w:rPr>
          <w:rFonts w:cs="Times New Roman"/>
        </w:rPr>
        <w:t>破碎和推粉废气中</w:t>
      </w:r>
      <w:r>
        <w:rPr>
          <w:rFonts w:cs="Times New Roman" w:hint="eastAsia"/>
        </w:rPr>
        <w:t>颗粒物</w:t>
      </w:r>
      <w:r>
        <w:rPr>
          <w:rFonts w:cs="Times New Roman"/>
        </w:rPr>
        <w:t>排放执行</w:t>
      </w:r>
      <w:r>
        <w:rPr>
          <w:rFonts w:ascii="宋体" w:hAnsi="宋体" w:hint="eastAsia"/>
        </w:rPr>
        <w:t>《大气污染物综合排放标准》（</w:t>
      </w:r>
      <w:r>
        <w:rPr>
          <w:rFonts w:hint="eastAsia"/>
        </w:rPr>
        <w:t>G</w:t>
      </w:r>
      <w:r>
        <w:t>B16297-1996</w:t>
      </w:r>
      <w:r>
        <w:rPr>
          <w:rFonts w:ascii="宋体" w:hAnsi="宋体" w:hint="eastAsia"/>
        </w:rPr>
        <w:t>）中表</w:t>
      </w:r>
      <w:r>
        <w:rPr>
          <w:rFonts w:hint="eastAsia"/>
        </w:rPr>
        <w:t>2</w:t>
      </w:r>
      <w:r>
        <w:rPr>
          <w:rFonts w:ascii="宋体" w:hAnsi="宋体" w:hint="eastAsia"/>
        </w:rPr>
        <w:t>的排放限值要求；</w:t>
      </w:r>
      <w:r w:rsidR="00627A20" w:rsidRPr="00627A20">
        <w:rPr>
          <w:rFonts w:cs="Times New Roman"/>
        </w:rPr>
        <w:t>KH-560</w:t>
      </w:r>
      <w:r w:rsidR="00627A20" w:rsidRPr="00627A20">
        <w:rPr>
          <w:rFonts w:cs="Times New Roman"/>
        </w:rPr>
        <w:t>及</w:t>
      </w:r>
      <w:r w:rsidR="00627A20" w:rsidRPr="00627A20">
        <w:rPr>
          <w:rFonts w:cs="Times New Roman"/>
        </w:rPr>
        <w:t>A-171</w:t>
      </w:r>
      <w:r w:rsidR="00627A20">
        <w:rPr>
          <w:rFonts w:ascii="宋体" w:hAnsi="宋体" w:hint="eastAsia"/>
        </w:rPr>
        <w:t>生产属于有机化学工业，其生产过程中产生的</w:t>
      </w:r>
      <w:r>
        <w:rPr>
          <w:rFonts w:ascii="宋体" w:hAnsi="宋体" w:hint="eastAsia"/>
        </w:rPr>
        <w:t>甲醇、</w:t>
      </w:r>
      <w:r>
        <w:rPr>
          <w:rFonts w:cs="Times New Roman" w:hint="eastAsia"/>
          <w:szCs w:val="20"/>
        </w:rPr>
        <w:t>VOCs</w:t>
      </w:r>
      <w:r>
        <w:rPr>
          <w:rFonts w:cs="Times New Roman" w:hint="eastAsia"/>
          <w:szCs w:val="20"/>
        </w:rPr>
        <w:t>有组织排放执行</w:t>
      </w:r>
      <w:r>
        <w:rPr>
          <w:rFonts w:hint="eastAsia"/>
        </w:rPr>
        <w:t>《固定源挥发性有机物综合排放标准》第</w:t>
      </w:r>
      <w:r>
        <w:rPr>
          <w:rFonts w:hint="eastAsia"/>
        </w:rPr>
        <w:t>3</w:t>
      </w:r>
      <w:r>
        <w:rPr>
          <w:rFonts w:hint="eastAsia"/>
        </w:rPr>
        <w:t>部分：有机化学品制造工业（</w:t>
      </w:r>
      <w:r>
        <w:rPr>
          <w:rFonts w:hint="eastAsia"/>
        </w:rPr>
        <w:t>DB</w:t>
      </w:r>
      <w:r>
        <w:t>34/4812.3-2024</w:t>
      </w:r>
      <w:r>
        <w:rPr>
          <w:rFonts w:hint="eastAsia"/>
        </w:rPr>
        <w:t>）</w:t>
      </w:r>
      <w:r>
        <w:rPr>
          <w:rFonts w:cs="Times New Roman" w:hint="eastAsia"/>
          <w:szCs w:val="20"/>
        </w:rPr>
        <w:t>；</w:t>
      </w:r>
      <w:r w:rsidR="004A3723">
        <w:rPr>
          <w:rFonts w:cs="Times New Roman" w:hint="eastAsia"/>
          <w:szCs w:val="20"/>
        </w:rPr>
        <w:t>污水处理设施氨、</w:t>
      </w:r>
      <w:r>
        <w:rPr>
          <w:rFonts w:hint="eastAsia"/>
        </w:rPr>
        <w:t>硫化氢无组织排放执行中《恶臭污染物排放标准》（</w:t>
      </w:r>
      <w:r>
        <w:t>GB14554-93</w:t>
      </w:r>
      <w:r>
        <w:rPr>
          <w:rFonts w:hint="eastAsia"/>
        </w:rPr>
        <w:t>）表</w:t>
      </w:r>
      <w:r>
        <w:rPr>
          <w:rFonts w:hint="eastAsia"/>
        </w:rPr>
        <w:t>1</w:t>
      </w:r>
      <w:r>
        <w:rPr>
          <w:rFonts w:hint="eastAsia"/>
        </w:rPr>
        <w:t>中无组织排放二级浓度限值。</w:t>
      </w:r>
      <w:r>
        <w:rPr>
          <w:rFonts w:cs="Times New Roman" w:hint="eastAsia"/>
          <w:szCs w:val="20"/>
        </w:rPr>
        <w:t>VOCs</w:t>
      </w:r>
      <w:r>
        <w:rPr>
          <w:rFonts w:cs="Times New Roman" w:hint="eastAsia"/>
          <w:szCs w:val="20"/>
        </w:rPr>
        <w:t>无组织排放执行</w:t>
      </w:r>
      <w:r>
        <w:rPr>
          <w:rFonts w:hint="eastAsia"/>
        </w:rPr>
        <w:t>《固定源挥发性有机物综合排放标准》第</w:t>
      </w:r>
      <w:r>
        <w:rPr>
          <w:rFonts w:hint="eastAsia"/>
        </w:rPr>
        <w:t>3</w:t>
      </w:r>
      <w:r>
        <w:rPr>
          <w:rFonts w:hint="eastAsia"/>
        </w:rPr>
        <w:t>部分：有机化学品制造工业（</w:t>
      </w:r>
      <w:r>
        <w:rPr>
          <w:rFonts w:hint="eastAsia"/>
        </w:rPr>
        <w:t>DB</w:t>
      </w:r>
      <w:r>
        <w:t>34/4812.3-2024</w:t>
      </w:r>
      <w:r>
        <w:rPr>
          <w:rFonts w:hint="eastAsia"/>
        </w:rPr>
        <w:t>）</w:t>
      </w:r>
      <w:r>
        <w:rPr>
          <w:rFonts w:cs="Times New Roman" w:hint="eastAsia"/>
          <w:szCs w:val="20"/>
        </w:rPr>
        <w:t>；</w:t>
      </w:r>
      <w:r>
        <w:rPr>
          <w:rFonts w:cs="Times New Roman" w:hint="eastAsia"/>
          <w:szCs w:val="20"/>
        </w:rPr>
        <w:t>VOCs</w:t>
      </w:r>
      <w:r>
        <w:rPr>
          <w:rFonts w:cs="Times New Roman" w:hint="eastAsia"/>
        </w:rPr>
        <w:t>厂界排放标准执行</w:t>
      </w:r>
      <w:r>
        <w:rPr>
          <w:rFonts w:cs="Times New Roman"/>
          <w:bCs/>
          <w:kern w:val="0"/>
          <w:szCs w:val="20"/>
        </w:rPr>
        <w:t>《大气污染物综合排放标准》（</w:t>
      </w:r>
      <w:r>
        <w:rPr>
          <w:rFonts w:cs="Times New Roman"/>
          <w:bCs/>
          <w:kern w:val="0"/>
          <w:szCs w:val="20"/>
        </w:rPr>
        <w:t>GB16297-1996</w:t>
      </w:r>
      <w:r>
        <w:rPr>
          <w:rFonts w:cs="Times New Roman"/>
          <w:bCs/>
          <w:kern w:val="0"/>
          <w:szCs w:val="20"/>
        </w:rPr>
        <w:t>）</w:t>
      </w:r>
      <w:r>
        <w:rPr>
          <w:rFonts w:cs="Times New Roman" w:hint="eastAsia"/>
          <w:bCs/>
          <w:kern w:val="0"/>
          <w:szCs w:val="20"/>
        </w:rPr>
        <w:t>中相关限值</w:t>
      </w:r>
      <w:r>
        <w:rPr>
          <w:rFonts w:ascii="宋体" w:hAnsi="宋体" w:hint="eastAsia"/>
        </w:rPr>
        <w:t>详见表</w:t>
      </w:r>
      <w:r>
        <w:rPr>
          <w:rFonts w:hint="eastAsia"/>
        </w:rPr>
        <w:t>2</w:t>
      </w:r>
      <w:r>
        <w:t>.2.3-2~3</w:t>
      </w:r>
      <w:r>
        <w:rPr>
          <w:rFonts w:ascii="宋体" w:hAnsi="宋体" w:hint="eastAsia"/>
        </w:rPr>
        <w:t>。</w:t>
      </w:r>
    </w:p>
    <w:p w:rsidR="004E3021" w:rsidRDefault="00606E48">
      <w:pPr>
        <w:pStyle w:val="afffff4"/>
        <w:rPr>
          <w:rFonts w:ascii="黑体" w:hAnsi="黑体"/>
        </w:rPr>
      </w:pPr>
      <w:r>
        <w:rPr>
          <w:rFonts w:hint="eastAsia"/>
        </w:rPr>
        <w:t>表</w:t>
      </w:r>
      <w:r>
        <w:t xml:space="preserve">2.2.3-2  </w:t>
      </w:r>
      <w:r>
        <w:rPr>
          <w:rFonts w:ascii="黑体" w:hAnsi="黑体" w:hint="eastAsia"/>
        </w:rPr>
        <w:t>各</w:t>
      </w:r>
      <w:r>
        <w:rPr>
          <w:rFonts w:ascii="黑体" w:hAnsi="黑体"/>
        </w:rPr>
        <w:t>污染物排放标准</w:t>
      </w:r>
    </w:p>
    <w:tbl>
      <w:tblPr>
        <w:tblStyle w:val="afff"/>
        <w:tblW w:w="5000" w:type="pct"/>
        <w:tblLook w:val="04A0" w:firstRow="1" w:lastRow="0" w:firstColumn="1" w:lastColumn="0" w:noHBand="0" w:noVBand="1"/>
      </w:tblPr>
      <w:tblGrid>
        <w:gridCol w:w="932"/>
        <w:gridCol w:w="1453"/>
        <w:gridCol w:w="1321"/>
        <w:gridCol w:w="1545"/>
        <w:gridCol w:w="1417"/>
        <w:gridCol w:w="2358"/>
      </w:tblGrid>
      <w:tr w:rsidR="004E3021" w:rsidRPr="00786124" w:rsidTr="00786124">
        <w:trPr>
          <w:trHeight w:val="349"/>
        </w:trPr>
        <w:tc>
          <w:tcPr>
            <w:tcW w:w="516" w:type="pct"/>
            <w:vMerge w:val="restart"/>
            <w:vAlign w:val="center"/>
          </w:tcPr>
          <w:p w:rsidR="004E3021" w:rsidRPr="00786124" w:rsidRDefault="00606E48" w:rsidP="00786124">
            <w:pPr>
              <w:pStyle w:val="afffffff2"/>
              <w:rPr>
                <w:rFonts w:ascii="Times New Roman" w:hAnsi="Times New Roman" w:cs="Times New Roman"/>
                <w:b/>
                <w:kern w:val="0"/>
                <w:sz w:val="21"/>
                <w:szCs w:val="21"/>
              </w:rPr>
            </w:pPr>
            <w:r w:rsidRPr="00786124">
              <w:rPr>
                <w:rFonts w:ascii="Times New Roman" w:hAnsi="Times New Roman" w:cs="Times New Roman"/>
                <w:b/>
                <w:kern w:val="0"/>
                <w:sz w:val="21"/>
                <w:szCs w:val="21"/>
              </w:rPr>
              <w:t>污染物名称</w:t>
            </w:r>
          </w:p>
        </w:tc>
        <w:tc>
          <w:tcPr>
            <w:tcW w:w="805" w:type="pct"/>
            <w:vMerge w:val="restart"/>
            <w:vAlign w:val="center"/>
          </w:tcPr>
          <w:p w:rsidR="004E3021" w:rsidRPr="00786124" w:rsidRDefault="00606E48" w:rsidP="00786124">
            <w:pPr>
              <w:pStyle w:val="afffffff2"/>
              <w:rPr>
                <w:rFonts w:ascii="Times New Roman" w:hAnsi="Times New Roman" w:cs="Times New Roman"/>
                <w:b/>
                <w:kern w:val="0"/>
                <w:sz w:val="21"/>
                <w:szCs w:val="21"/>
              </w:rPr>
            </w:pPr>
            <w:r w:rsidRPr="00786124">
              <w:rPr>
                <w:rFonts w:ascii="Times New Roman" w:hAnsi="Times New Roman" w:cs="Times New Roman"/>
                <w:b/>
                <w:kern w:val="0"/>
                <w:sz w:val="21"/>
                <w:szCs w:val="21"/>
              </w:rPr>
              <w:t>最高允许排放浓度（</w:t>
            </w:r>
            <w:r w:rsidRPr="00786124">
              <w:rPr>
                <w:rFonts w:ascii="Times New Roman" w:hAnsi="Times New Roman" w:cs="Times New Roman"/>
                <w:b/>
                <w:kern w:val="0"/>
                <w:sz w:val="21"/>
                <w:szCs w:val="21"/>
              </w:rPr>
              <w:t>mg/m</w:t>
            </w:r>
            <w:r w:rsidRPr="00786124">
              <w:rPr>
                <w:rFonts w:ascii="Times New Roman" w:hAnsi="Times New Roman" w:cs="Times New Roman"/>
                <w:b/>
                <w:kern w:val="0"/>
                <w:sz w:val="21"/>
                <w:szCs w:val="21"/>
                <w:vertAlign w:val="superscript"/>
              </w:rPr>
              <w:t>3</w:t>
            </w:r>
            <w:r w:rsidRPr="00786124">
              <w:rPr>
                <w:rFonts w:ascii="Times New Roman" w:hAnsi="Times New Roman" w:cs="Times New Roman"/>
                <w:b/>
                <w:kern w:val="0"/>
                <w:sz w:val="21"/>
                <w:szCs w:val="21"/>
              </w:rPr>
              <w:t>）</w:t>
            </w:r>
          </w:p>
        </w:tc>
        <w:tc>
          <w:tcPr>
            <w:tcW w:w="1588" w:type="pct"/>
            <w:gridSpan w:val="2"/>
            <w:vAlign w:val="center"/>
          </w:tcPr>
          <w:p w:rsidR="004E3021" w:rsidRPr="00786124" w:rsidRDefault="00606E48" w:rsidP="00786124">
            <w:pPr>
              <w:pStyle w:val="afffffff2"/>
              <w:rPr>
                <w:rFonts w:ascii="Times New Roman" w:hAnsi="Times New Roman" w:cs="Times New Roman"/>
                <w:b/>
                <w:kern w:val="0"/>
                <w:sz w:val="21"/>
                <w:szCs w:val="21"/>
              </w:rPr>
            </w:pPr>
            <w:r w:rsidRPr="00786124">
              <w:rPr>
                <w:rFonts w:ascii="Times New Roman" w:hAnsi="Times New Roman" w:cs="Times New Roman"/>
                <w:b/>
                <w:kern w:val="0"/>
                <w:sz w:val="21"/>
                <w:szCs w:val="21"/>
              </w:rPr>
              <w:t>最高允许排放速率（</w:t>
            </w:r>
            <w:r w:rsidRPr="00786124">
              <w:rPr>
                <w:rFonts w:ascii="Times New Roman" w:hAnsi="Times New Roman" w:cs="Times New Roman"/>
                <w:b/>
                <w:kern w:val="0"/>
                <w:sz w:val="21"/>
                <w:szCs w:val="21"/>
              </w:rPr>
              <w:t>kg/h</w:t>
            </w:r>
            <w:r w:rsidRPr="00786124">
              <w:rPr>
                <w:rFonts w:ascii="Times New Roman" w:hAnsi="Times New Roman" w:cs="Times New Roman"/>
                <w:b/>
                <w:kern w:val="0"/>
                <w:sz w:val="21"/>
                <w:szCs w:val="21"/>
              </w:rPr>
              <w:t>）</w:t>
            </w:r>
          </w:p>
        </w:tc>
        <w:tc>
          <w:tcPr>
            <w:tcW w:w="785" w:type="pct"/>
            <w:vMerge w:val="restart"/>
            <w:vAlign w:val="center"/>
          </w:tcPr>
          <w:p w:rsidR="004E3021" w:rsidRPr="00786124" w:rsidRDefault="00606E48" w:rsidP="00786124">
            <w:pPr>
              <w:pStyle w:val="afffffff2"/>
              <w:rPr>
                <w:rFonts w:ascii="Times New Roman" w:hAnsi="Times New Roman" w:cs="Times New Roman"/>
                <w:b/>
                <w:kern w:val="0"/>
                <w:sz w:val="21"/>
                <w:szCs w:val="21"/>
              </w:rPr>
            </w:pPr>
            <w:r w:rsidRPr="00786124">
              <w:rPr>
                <w:rFonts w:ascii="Times New Roman" w:hAnsi="Times New Roman" w:cs="Times New Roman"/>
                <w:b/>
                <w:kern w:val="0"/>
                <w:sz w:val="21"/>
                <w:szCs w:val="21"/>
              </w:rPr>
              <w:t>厂界标准值</w:t>
            </w:r>
          </w:p>
          <w:p w:rsidR="004E3021" w:rsidRPr="00786124" w:rsidRDefault="00606E48" w:rsidP="00786124">
            <w:pPr>
              <w:pStyle w:val="afffffff2"/>
              <w:rPr>
                <w:rFonts w:ascii="Times New Roman" w:hAnsi="Times New Roman" w:cs="Times New Roman"/>
                <w:b/>
                <w:kern w:val="0"/>
                <w:sz w:val="21"/>
                <w:szCs w:val="21"/>
              </w:rPr>
            </w:pPr>
            <w:r w:rsidRPr="00786124">
              <w:rPr>
                <w:rFonts w:ascii="Times New Roman" w:hAnsi="Times New Roman" w:cs="Times New Roman"/>
                <w:b/>
                <w:kern w:val="0"/>
                <w:sz w:val="21"/>
                <w:szCs w:val="21"/>
              </w:rPr>
              <w:t>（</w:t>
            </w:r>
            <w:r w:rsidRPr="00786124">
              <w:rPr>
                <w:rFonts w:ascii="Times New Roman" w:hAnsi="Times New Roman" w:cs="Times New Roman"/>
                <w:b/>
                <w:kern w:val="0"/>
                <w:sz w:val="21"/>
                <w:szCs w:val="21"/>
              </w:rPr>
              <w:t>mg/m</w:t>
            </w:r>
            <w:r w:rsidRPr="00786124">
              <w:rPr>
                <w:rFonts w:ascii="Times New Roman" w:hAnsi="Times New Roman" w:cs="Times New Roman"/>
                <w:b/>
                <w:kern w:val="0"/>
                <w:sz w:val="21"/>
                <w:szCs w:val="21"/>
                <w:vertAlign w:val="superscript"/>
              </w:rPr>
              <w:t>3</w:t>
            </w:r>
            <w:r w:rsidRPr="00786124">
              <w:rPr>
                <w:rFonts w:ascii="Times New Roman" w:hAnsi="Times New Roman" w:cs="Times New Roman"/>
                <w:b/>
                <w:kern w:val="0"/>
                <w:sz w:val="21"/>
                <w:szCs w:val="21"/>
              </w:rPr>
              <w:t>）</w:t>
            </w:r>
          </w:p>
        </w:tc>
        <w:tc>
          <w:tcPr>
            <w:tcW w:w="1306" w:type="pct"/>
            <w:vMerge w:val="restart"/>
            <w:vAlign w:val="center"/>
          </w:tcPr>
          <w:p w:rsidR="004E3021" w:rsidRPr="00786124" w:rsidRDefault="00606E48" w:rsidP="00786124">
            <w:pPr>
              <w:pStyle w:val="afffffff2"/>
              <w:rPr>
                <w:rFonts w:ascii="Times New Roman" w:hAnsi="Times New Roman" w:cs="Times New Roman"/>
                <w:b/>
                <w:kern w:val="0"/>
                <w:sz w:val="21"/>
                <w:szCs w:val="21"/>
              </w:rPr>
            </w:pPr>
            <w:r w:rsidRPr="00786124">
              <w:rPr>
                <w:rFonts w:ascii="Times New Roman" w:hAnsi="Times New Roman" w:cs="Times New Roman"/>
                <w:b/>
                <w:kern w:val="0"/>
                <w:sz w:val="21"/>
                <w:szCs w:val="21"/>
              </w:rPr>
              <w:t>标准来源</w:t>
            </w:r>
          </w:p>
        </w:tc>
      </w:tr>
      <w:tr w:rsidR="004E3021" w:rsidRPr="00786124" w:rsidTr="00786124">
        <w:trPr>
          <w:trHeight w:val="349"/>
        </w:trPr>
        <w:tc>
          <w:tcPr>
            <w:tcW w:w="516" w:type="pct"/>
            <w:vMerge/>
            <w:vAlign w:val="center"/>
          </w:tcPr>
          <w:p w:rsidR="004E3021" w:rsidRPr="00786124" w:rsidRDefault="004E3021" w:rsidP="00786124">
            <w:pPr>
              <w:pStyle w:val="afffffff2"/>
              <w:rPr>
                <w:rFonts w:ascii="Times New Roman" w:hAnsi="Times New Roman" w:cs="Times New Roman"/>
                <w:b/>
                <w:kern w:val="0"/>
                <w:sz w:val="21"/>
                <w:szCs w:val="21"/>
              </w:rPr>
            </w:pPr>
          </w:p>
        </w:tc>
        <w:tc>
          <w:tcPr>
            <w:tcW w:w="805" w:type="pct"/>
            <w:vMerge/>
            <w:vAlign w:val="center"/>
          </w:tcPr>
          <w:p w:rsidR="004E3021" w:rsidRPr="00786124" w:rsidRDefault="004E3021" w:rsidP="00786124">
            <w:pPr>
              <w:pStyle w:val="afffffff2"/>
              <w:rPr>
                <w:rFonts w:ascii="Times New Roman" w:hAnsi="Times New Roman" w:cs="Times New Roman"/>
                <w:b/>
                <w:kern w:val="0"/>
                <w:sz w:val="21"/>
                <w:szCs w:val="21"/>
              </w:rPr>
            </w:pPr>
          </w:p>
        </w:tc>
        <w:tc>
          <w:tcPr>
            <w:tcW w:w="732" w:type="pct"/>
            <w:vAlign w:val="center"/>
          </w:tcPr>
          <w:p w:rsidR="004E3021" w:rsidRPr="00786124" w:rsidRDefault="00606E48" w:rsidP="00786124">
            <w:pPr>
              <w:pStyle w:val="afffffff2"/>
              <w:rPr>
                <w:rFonts w:ascii="Times New Roman" w:hAnsi="Times New Roman" w:cs="Times New Roman"/>
                <w:b/>
                <w:kern w:val="0"/>
                <w:sz w:val="21"/>
                <w:szCs w:val="21"/>
              </w:rPr>
            </w:pPr>
            <w:r w:rsidRPr="00786124">
              <w:rPr>
                <w:rFonts w:ascii="Times New Roman" w:hAnsi="Times New Roman" w:cs="Times New Roman"/>
                <w:b/>
                <w:kern w:val="0"/>
                <w:sz w:val="21"/>
                <w:szCs w:val="21"/>
              </w:rPr>
              <w:t>排气筒高度（</w:t>
            </w:r>
            <w:r w:rsidRPr="00786124">
              <w:rPr>
                <w:rFonts w:ascii="Times New Roman" w:hAnsi="Times New Roman" w:cs="Times New Roman"/>
                <w:b/>
                <w:kern w:val="0"/>
                <w:sz w:val="21"/>
                <w:szCs w:val="21"/>
              </w:rPr>
              <w:t>m</w:t>
            </w:r>
            <w:r w:rsidRPr="00786124">
              <w:rPr>
                <w:rFonts w:ascii="Times New Roman" w:hAnsi="Times New Roman" w:cs="Times New Roman"/>
                <w:b/>
                <w:kern w:val="0"/>
                <w:sz w:val="21"/>
                <w:szCs w:val="21"/>
              </w:rPr>
              <w:t>）</w:t>
            </w:r>
          </w:p>
        </w:tc>
        <w:tc>
          <w:tcPr>
            <w:tcW w:w="856" w:type="pct"/>
            <w:vAlign w:val="center"/>
          </w:tcPr>
          <w:p w:rsidR="004E3021" w:rsidRPr="00786124" w:rsidRDefault="00606E48" w:rsidP="00786124">
            <w:pPr>
              <w:pStyle w:val="afffffff2"/>
              <w:rPr>
                <w:rFonts w:ascii="Times New Roman" w:hAnsi="Times New Roman" w:cs="Times New Roman"/>
                <w:b/>
                <w:kern w:val="0"/>
                <w:sz w:val="21"/>
                <w:szCs w:val="21"/>
              </w:rPr>
            </w:pPr>
            <w:r w:rsidRPr="00786124">
              <w:rPr>
                <w:rFonts w:ascii="Times New Roman" w:hAnsi="Times New Roman" w:cs="Times New Roman"/>
                <w:b/>
                <w:kern w:val="0"/>
                <w:sz w:val="21"/>
                <w:szCs w:val="21"/>
              </w:rPr>
              <w:t>/</w:t>
            </w:r>
          </w:p>
        </w:tc>
        <w:tc>
          <w:tcPr>
            <w:tcW w:w="785" w:type="pct"/>
            <w:vMerge/>
            <w:vAlign w:val="center"/>
          </w:tcPr>
          <w:p w:rsidR="004E3021" w:rsidRPr="00786124" w:rsidRDefault="004E3021" w:rsidP="00786124">
            <w:pPr>
              <w:pStyle w:val="afffffff2"/>
              <w:rPr>
                <w:rFonts w:ascii="Times New Roman" w:hAnsi="Times New Roman" w:cs="Times New Roman"/>
                <w:b/>
                <w:kern w:val="0"/>
                <w:sz w:val="21"/>
                <w:szCs w:val="21"/>
              </w:rPr>
            </w:pPr>
          </w:p>
        </w:tc>
        <w:tc>
          <w:tcPr>
            <w:tcW w:w="1306" w:type="pct"/>
            <w:vMerge/>
            <w:vAlign w:val="center"/>
          </w:tcPr>
          <w:p w:rsidR="004E3021" w:rsidRPr="00786124" w:rsidRDefault="004E3021" w:rsidP="00786124">
            <w:pPr>
              <w:pStyle w:val="afffffff2"/>
              <w:rPr>
                <w:rFonts w:ascii="Times New Roman" w:hAnsi="Times New Roman" w:cs="Times New Roman"/>
                <w:b/>
                <w:kern w:val="0"/>
                <w:sz w:val="21"/>
                <w:szCs w:val="21"/>
              </w:rPr>
            </w:pPr>
          </w:p>
        </w:tc>
      </w:tr>
      <w:tr w:rsidR="004E3021" w:rsidRPr="00786124" w:rsidTr="00786124">
        <w:trPr>
          <w:trHeight w:val="540"/>
        </w:trPr>
        <w:tc>
          <w:tcPr>
            <w:tcW w:w="516"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氨</w:t>
            </w:r>
          </w:p>
        </w:tc>
        <w:tc>
          <w:tcPr>
            <w:tcW w:w="805"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10</w:t>
            </w:r>
          </w:p>
        </w:tc>
        <w:tc>
          <w:tcPr>
            <w:tcW w:w="732"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20</w:t>
            </w:r>
          </w:p>
        </w:tc>
        <w:tc>
          <w:tcPr>
            <w:tcW w:w="856"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w:t>
            </w:r>
          </w:p>
        </w:tc>
        <w:tc>
          <w:tcPr>
            <w:tcW w:w="785"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0.3</w:t>
            </w:r>
          </w:p>
        </w:tc>
        <w:tc>
          <w:tcPr>
            <w:tcW w:w="1306"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《无机化学工业污染物排放标准》（</w:t>
            </w:r>
            <w:r w:rsidRPr="00786124">
              <w:rPr>
                <w:rFonts w:ascii="Times New Roman" w:hAnsi="Times New Roman" w:cs="Times New Roman"/>
                <w:kern w:val="0"/>
                <w:sz w:val="21"/>
                <w:szCs w:val="21"/>
              </w:rPr>
              <w:t>GB31573-2015</w:t>
            </w:r>
            <w:r w:rsidRPr="00786124">
              <w:rPr>
                <w:rFonts w:ascii="Times New Roman" w:hAnsi="Times New Roman" w:cs="Times New Roman"/>
                <w:kern w:val="0"/>
                <w:sz w:val="21"/>
                <w:szCs w:val="21"/>
              </w:rPr>
              <w:t>）</w:t>
            </w:r>
          </w:p>
        </w:tc>
      </w:tr>
      <w:tr w:rsidR="004E3021" w:rsidRPr="00786124" w:rsidTr="00786124">
        <w:trPr>
          <w:trHeight w:val="540"/>
        </w:trPr>
        <w:tc>
          <w:tcPr>
            <w:tcW w:w="516"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805"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732"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32.5</w:t>
            </w:r>
          </w:p>
        </w:tc>
        <w:tc>
          <w:tcPr>
            <w:tcW w:w="856"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w:t>
            </w:r>
          </w:p>
        </w:tc>
        <w:tc>
          <w:tcPr>
            <w:tcW w:w="785"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1306" w:type="pct"/>
            <w:vMerge/>
            <w:vAlign w:val="center"/>
          </w:tcPr>
          <w:p w:rsidR="004E3021" w:rsidRPr="00786124" w:rsidRDefault="004E3021" w:rsidP="00786124">
            <w:pPr>
              <w:pStyle w:val="afffffff2"/>
              <w:rPr>
                <w:rFonts w:ascii="Times New Roman" w:hAnsi="Times New Roman" w:cs="Times New Roman"/>
                <w:kern w:val="0"/>
                <w:sz w:val="21"/>
                <w:szCs w:val="21"/>
              </w:rPr>
            </w:pPr>
          </w:p>
        </w:tc>
      </w:tr>
      <w:tr w:rsidR="004E3021" w:rsidRPr="00786124" w:rsidTr="00786124">
        <w:tc>
          <w:tcPr>
            <w:tcW w:w="516"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颗粒物</w:t>
            </w:r>
          </w:p>
        </w:tc>
        <w:tc>
          <w:tcPr>
            <w:tcW w:w="805"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120</w:t>
            </w:r>
          </w:p>
        </w:tc>
        <w:tc>
          <w:tcPr>
            <w:tcW w:w="732"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20</w:t>
            </w:r>
          </w:p>
        </w:tc>
        <w:tc>
          <w:tcPr>
            <w:tcW w:w="856"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5.9</w:t>
            </w:r>
          </w:p>
        </w:tc>
        <w:tc>
          <w:tcPr>
            <w:tcW w:w="785"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1.0</w:t>
            </w:r>
          </w:p>
        </w:tc>
        <w:tc>
          <w:tcPr>
            <w:tcW w:w="1306"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《大气污染物综合排放标准》（</w:t>
            </w:r>
            <w:r w:rsidRPr="00786124">
              <w:rPr>
                <w:rFonts w:ascii="Times New Roman" w:hAnsi="Times New Roman" w:cs="Times New Roman"/>
                <w:kern w:val="0"/>
                <w:sz w:val="21"/>
                <w:szCs w:val="21"/>
              </w:rPr>
              <w:t>GB16297-1996</w:t>
            </w:r>
            <w:r w:rsidRPr="00786124">
              <w:rPr>
                <w:rFonts w:ascii="Times New Roman" w:hAnsi="Times New Roman" w:cs="Times New Roman"/>
                <w:kern w:val="0"/>
                <w:sz w:val="21"/>
                <w:szCs w:val="21"/>
              </w:rPr>
              <w:t>）</w:t>
            </w:r>
          </w:p>
        </w:tc>
      </w:tr>
      <w:tr w:rsidR="004E3021" w:rsidRPr="00786124" w:rsidTr="00786124">
        <w:tc>
          <w:tcPr>
            <w:tcW w:w="516"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805"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732"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32.5</w:t>
            </w:r>
          </w:p>
        </w:tc>
        <w:tc>
          <w:tcPr>
            <w:tcW w:w="856"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27</w:t>
            </w:r>
          </w:p>
        </w:tc>
        <w:tc>
          <w:tcPr>
            <w:tcW w:w="785"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1306" w:type="pct"/>
            <w:vMerge/>
            <w:vAlign w:val="center"/>
          </w:tcPr>
          <w:p w:rsidR="004E3021" w:rsidRPr="00786124" w:rsidRDefault="004E3021" w:rsidP="00786124">
            <w:pPr>
              <w:pStyle w:val="afffffff2"/>
              <w:rPr>
                <w:rFonts w:ascii="Times New Roman" w:hAnsi="Times New Roman" w:cs="Times New Roman"/>
                <w:kern w:val="0"/>
                <w:sz w:val="21"/>
                <w:szCs w:val="21"/>
              </w:rPr>
            </w:pPr>
          </w:p>
        </w:tc>
      </w:tr>
      <w:tr w:rsidR="004E3021" w:rsidRPr="00786124" w:rsidTr="00786124">
        <w:tc>
          <w:tcPr>
            <w:tcW w:w="516"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lastRenderedPageBreak/>
              <w:t>非甲烷总烃</w:t>
            </w:r>
          </w:p>
        </w:tc>
        <w:tc>
          <w:tcPr>
            <w:tcW w:w="805"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70</w:t>
            </w:r>
          </w:p>
        </w:tc>
        <w:tc>
          <w:tcPr>
            <w:tcW w:w="732"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18</w:t>
            </w:r>
          </w:p>
        </w:tc>
        <w:tc>
          <w:tcPr>
            <w:tcW w:w="856"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3.0</w:t>
            </w:r>
          </w:p>
        </w:tc>
        <w:tc>
          <w:tcPr>
            <w:tcW w:w="785"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w:t>
            </w:r>
          </w:p>
        </w:tc>
        <w:tc>
          <w:tcPr>
            <w:tcW w:w="1306"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《固定源挥发性有机物综合排放标准》第</w:t>
            </w:r>
            <w:r w:rsidRPr="00786124">
              <w:rPr>
                <w:rFonts w:ascii="Times New Roman" w:hAnsi="Times New Roman" w:cs="Times New Roman"/>
                <w:kern w:val="0"/>
                <w:sz w:val="21"/>
                <w:szCs w:val="21"/>
              </w:rPr>
              <w:t>3</w:t>
            </w:r>
            <w:r w:rsidRPr="00786124">
              <w:rPr>
                <w:rFonts w:ascii="Times New Roman" w:hAnsi="Times New Roman" w:cs="Times New Roman"/>
                <w:kern w:val="0"/>
                <w:sz w:val="21"/>
                <w:szCs w:val="21"/>
              </w:rPr>
              <w:t>部分：有机化学品制造工业（</w:t>
            </w:r>
            <w:r w:rsidRPr="00786124">
              <w:rPr>
                <w:rFonts w:ascii="Times New Roman" w:hAnsi="Times New Roman" w:cs="Times New Roman"/>
                <w:kern w:val="0"/>
                <w:sz w:val="21"/>
                <w:szCs w:val="21"/>
              </w:rPr>
              <w:t>DB34/4812.3-2024</w:t>
            </w:r>
            <w:r w:rsidRPr="00786124">
              <w:rPr>
                <w:rFonts w:ascii="Times New Roman" w:hAnsi="Times New Roman" w:cs="Times New Roman"/>
                <w:kern w:val="0"/>
                <w:sz w:val="21"/>
                <w:szCs w:val="21"/>
              </w:rPr>
              <w:t>）</w:t>
            </w:r>
          </w:p>
        </w:tc>
      </w:tr>
      <w:tr w:rsidR="004E3021" w:rsidRPr="00786124" w:rsidTr="00786124">
        <w:tc>
          <w:tcPr>
            <w:tcW w:w="516"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805"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732"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20</w:t>
            </w:r>
          </w:p>
        </w:tc>
        <w:tc>
          <w:tcPr>
            <w:tcW w:w="856"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785"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1306" w:type="pct"/>
            <w:vMerge/>
            <w:vAlign w:val="center"/>
          </w:tcPr>
          <w:p w:rsidR="004E3021" w:rsidRPr="00786124" w:rsidRDefault="004E3021" w:rsidP="00786124">
            <w:pPr>
              <w:pStyle w:val="afffffff2"/>
              <w:rPr>
                <w:rFonts w:ascii="Times New Roman" w:hAnsi="Times New Roman" w:cs="Times New Roman"/>
                <w:kern w:val="0"/>
                <w:sz w:val="21"/>
                <w:szCs w:val="21"/>
              </w:rPr>
            </w:pPr>
          </w:p>
        </w:tc>
      </w:tr>
      <w:tr w:rsidR="004E3021" w:rsidRPr="00786124" w:rsidTr="00786124">
        <w:tc>
          <w:tcPr>
            <w:tcW w:w="516"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805"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732"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32.5</w:t>
            </w:r>
          </w:p>
        </w:tc>
        <w:tc>
          <w:tcPr>
            <w:tcW w:w="856"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785"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1306" w:type="pct"/>
            <w:vMerge/>
            <w:vAlign w:val="center"/>
          </w:tcPr>
          <w:p w:rsidR="004E3021" w:rsidRPr="00786124" w:rsidRDefault="004E3021" w:rsidP="00786124">
            <w:pPr>
              <w:pStyle w:val="afffffff2"/>
              <w:rPr>
                <w:rFonts w:ascii="Times New Roman" w:hAnsi="Times New Roman" w:cs="Times New Roman"/>
                <w:kern w:val="0"/>
                <w:sz w:val="21"/>
                <w:szCs w:val="21"/>
              </w:rPr>
            </w:pPr>
          </w:p>
        </w:tc>
      </w:tr>
      <w:tr w:rsidR="004E3021" w:rsidRPr="00786124" w:rsidTr="00786124">
        <w:trPr>
          <w:trHeight w:val="180"/>
        </w:trPr>
        <w:tc>
          <w:tcPr>
            <w:tcW w:w="516"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甲醇</w:t>
            </w:r>
          </w:p>
        </w:tc>
        <w:tc>
          <w:tcPr>
            <w:tcW w:w="805"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50</w:t>
            </w:r>
          </w:p>
        </w:tc>
        <w:tc>
          <w:tcPr>
            <w:tcW w:w="732"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20</w:t>
            </w:r>
          </w:p>
        </w:tc>
        <w:tc>
          <w:tcPr>
            <w:tcW w:w="856"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w:t>
            </w:r>
          </w:p>
        </w:tc>
        <w:tc>
          <w:tcPr>
            <w:tcW w:w="785"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w:t>
            </w:r>
          </w:p>
        </w:tc>
        <w:tc>
          <w:tcPr>
            <w:tcW w:w="1306" w:type="pct"/>
            <w:vMerge/>
            <w:vAlign w:val="center"/>
          </w:tcPr>
          <w:p w:rsidR="004E3021" w:rsidRPr="00786124" w:rsidRDefault="004E3021" w:rsidP="00786124">
            <w:pPr>
              <w:pStyle w:val="afffffff2"/>
              <w:rPr>
                <w:rFonts w:ascii="Times New Roman" w:hAnsi="Times New Roman" w:cs="Times New Roman"/>
                <w:kern w:val="0"/>
                <w:sz w:val="21"/>
                <w:szCs w:val="21"/>
              </w:rPr>
            </w:pPr>
          </w:p>
        </w:tc>
      </w:tr>
      <w:tr w:rsidR="004E3021" w:rsidRPr="00786124" w:rsidTr="00786124">
        <w:trPr>
          <w:trHeight w:val="180"/>
        </w:trPr>
        <w:tc>
          <w:tcPr>
            <w:tcW w:w="516"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805"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732"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32.5</w:t>
            </w:r>
          </w:p>
        </w:tc>
        <w:tc>
          <w:tcPr>
            <w:tcW w:w="856"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w:t>
            </w:r>
          </w:p>
        </w:tc>
        <w:tc>
          <w:tcPr>
            <w:tcW w:w="785"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1306" w:type="pct"/>
            <w:vMerge/>
            <w:vAlign w:val="center"/>
          </w:tcPr>
          <w:p w:rsidR="004E3021" w:rsidRPr="00786124" w:rsidRDefault="004E3021" w:rsidP="00786124">
            <w:pPr>
              <w:pStyle w:val="afffffff2"/>
              <w:rPr>
                <w:rFonts w:ascii="Times New Roman" w:hAnsi="Times New Roman" w:cs="Times New Roman"/>
                <w:kern w:val="0"/>
                <w:sz w:val="21"/>
                <w:szCs w:val="21"/>
              </w:rPr>
            </w:pPr>
          </w:p>
        </w:tc>
      </w:tr>
      <w:tr w:rsidR="004A3723" w:rsidRPr="00786124" w:rsidTr="00786124">
        <w:trPr>
          <w:trHeight w:val="180"/>
        </w:trPr>
        <w:tc>
          <w:tcPr>
            <w:tcW w:w="516" w:type="pct"/>
            <w:vAlign w:val="center"/>
          </w:tcPr>
          <w:p w:rsidR="004A3723" w:rsidRPr="00786124" w:rsidRDefault="004A3723"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硫化氢</w:t>
            </w:r>
          </w:p>
        </w:tc>
        <w:tc>
          <w:tcPr>
            <w:tcW w:w="805" w:type="pct"/>
            <w:vAlign w:val="center"/>
          </w:tcPr>
          <w:p w:rsidR="004A3723" w:rsidRPr="00786124" w:rsidRDefault="004A3723"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w:t>
            </w:r>
          </w:p>
        </w:tc>
        <w:tc>
          <w:tcPr>
            <w:tcW w:w="732" w:type="pct"/>
            <w:vAlign w:val="center"/>
          </w:tcPr>
          <w:p w:rsidR="004A3723" w:rsidRPr="00786124" w:rsidRDefault="004A3723"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w:t>
            </w:r>
          </w:p>
        </w:tc>
        <w:tc>
          <w:tcPr>
            <w:tcW w:w="856" w:type="pct"/>
            <w:vAlign w:val="center"/>
          </w:tcPr>
          <w:p w:rsidR="004A3723" w:rsidRPr="00786124" w:rsidRDefault="004A3723"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w:t>
            </w:r>
          </w:p>
        </w:tc>
        <w:tc>
          <w:tcPr>
            <w:tcW w:w="785" w:type="pct"/>
            <w:vAlign w:val="center"/>
          </w:tcPr>
          <w:p w:rsidR="004A3723" w:rsidRPr="00786124" w:rsidRDefault="004A3723"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0.06</w:t>
            </w:r>
          </w:p>
        </w:tc>
        <w:tc>
          <w:tcPr>
            <w:tcW w:w="1306" w:type="pct"/>
            <w:vMerge w:val="restart"/>
            <w:vAlign w:val="center"/>
          </w:tcPr>
          <w:p w:rsidR="004A3723" w:rsidRPr="00786124" w:rsidRDefault="004A3723"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lang w:bidi="ar"/>
              </w:rPr>
              <w:t>《恶臭污染物排放标准》（</w:t>
            </w:r>
            <w:r w:rsidRPr="00786124">
              <w:rPr>
                <w:rFonts w:ascii="Times New Roman" w:hAnsi="Times New Roman" w:cs="Times New Roman"/>
                <w:kern w:val="0"/>
                <w:sz w:val="21"/>
                <w:szCs w:val="21"/>
                <w:lang w:bidi="ar"/>
              </w:rPr>
              <w:t>GB14554-93</w:t>
            </w:r>
            <w:r w:rsidRPr="00786124">
              <w:rPr>
                <w:rFonts w:ascii="Times New Roman" w:hAnsi="Times New Roman" w:cs="Times New Roman"/>
                <w:kern w:val="0"/>
                <w:sz w:val="21"/>
                <w:szCs w:val="21"/>
                <w:lang w:bidi="ar"/>
              </w:rPr>
              <w:t>）</w:t>
            </w:r>
          </w:p>
        </w:tc>
      </w:tr>
      <w:tr w:rsidR="004A3723" w:rsidRPr="00786124" w:rsidTr="00786124">
        <w:trPr>
          <w:trHeight w:val="180"/>
        </w:trPr>
        <w:tc>
          <w:tcPr>
            <w:tcW w:w="516" w:type="pct"/>
            <w:vAlign w:val="center"/>
          </w:tcPr>
          <w:p w:rsidR="004A3723" w:rsidRPr="004A3723" w:rsidRDefault="004A3723" w:rsidP="00786124">
            <w:pPr>
              <w:pStyle w:val="afffffff2"/>
              <w:rPr>
                <w:rFonts w:ascii="Times New Roman" w:hAnsi="Times New Roman" w:cs="Times New Roman"/>
                <w:kern w:val="0"/>
                <w:sz w:val="21"/>
                <w:szCs w:val="21"/>
              </w:rPr>
            </w:pPr>
            <w:r w:rsidRPr="004A3723">
              <w:rPr>
                <w:rFonts w:ascii="Times New Roman" w:hAnsi="Times New Roman" w:cs="Times New Roman" w:hint="eastAsia"/>
                <w:kern w:val="0"/>
                <w:sz w:val="21"/>
                <w:szCs w:val="21"/>
              </w:rPr>
              <w:t>氨</w:t>
            </w:r>
          </w:p>
        </w:tc>
        <w:tc>
          <w:tcPr>
            <w:tcW w:w="805" w:type="pct"/>
            <w:vAlign w:val="center"/>
          </w:tcPr>
          <w:p w:rsidR="004A3723" w:rsidRPr="004A3723" w:rsidRDefault="004A3723" w:rsidP="00786124">
            <w:pPr>
              <w:pStyle w:val="afffffff2"/>
              <w:rPr>
                <w:rFonts w:ascii="Times New Roman" w:hAnsi="Times New Roman" w:cs="Times New Roman"/>
                <w:kern w:val="0"/>
                <w:sz w:val="21"/>
                <w:szCs w:val="21"/>
              </w:rPr>
            </w:pPr>
            <w:r w:rsidRPr="004A3723">
              <w:rPr>
                <w:rFonts w:ascii="Times New Roman" w:hAnsi="Times New Roman" w:cs="Times New Roman" w:hint="eastAsia"/>
                <w:kern w:val="0"/>
                <w:sz w:val="21"/>
                <w:szCs w:val="21"/>
              </w:rPr>
              <w:t>/</w:t>
            </w:r>
          </w:p>
        </w:tc>
        <w:tc>
          <w:tcPr>
            <w:tcW w:w="732" w:type="pct"/>
            <w:vAlign w:val="center"/>
          </w:tcPr>
          <w:p w:rsidR="004A3723" w:rsidRPr="004A3723" w:rsidRDefault="004A3723" w:rsidP="00786124">
            <w:pPr>
              <w:pStyle w:val="afffffff2"/>
              <w:rPr>
                <w:rFonts w:ascii="Times New Roman" w:hAnsi="Times New Roman" w:cs="Times New Roman"/>
                <w:kern w:val="0"/>
                <w:sz w:val="21"/>
                <w:szCs w:val="21"/>
              </w:rPr>
            </w:pPr>
            <w:r w:rsidRPr="004A3723">
              <w:rPr>
                <w:rFonts w:ascii="Times New Roman" w:hAnsi="Times New Roman" w:cs="Times New Roman" w:hint="eastAsia"/>
                <w:kern w:val="0"/>
                <w:sz w:val="21"/>
                <w:szCs w:val="21"/>
              </w:rPr>
              <w:t>/</w:t>
            </w:r>
          </w:p>
        </w:tc>
        <w:tc>
          <w:tcPr>
            <w:tcW w:w="856" w:type="pct"/>
            <w:vAlign w:val="center"/>
          </w:tcPr>
          <w:p w:rsidR="004A3723" w:rsidRPr="004A3723" w:rsidRDefault="00BC6D5B"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w:t>
            </w:r>
          </w:p>
        </w:tc>
        <w:tc>
          <w:tcPr>
            <w:tcW w:w="785" w:type="pct"/>
            <w:vAlign w:val="center"/>
          </w:tcPr>
          <w:p w:rsidR="004A3723" w:rsidRPr="004A3723" w:rsidRDefault="00BC6D5B" w:rsidP="00786124">
            <w:pPr>
              <w:pStyle w:val="afffffff2"/>
              <w:rPr>
                <w:rFonts w:ascii="Times New Roman" w:hAnsi="Times New Roman" w:cs="Times New Roman"/>
                <w:kern w:val="0"/>
                <w:sz w:val="21"/>
                <w:szCs w:val="21"/>
              </w:rPr>
            </w:pPr>
            <w:r w:rsidRPr="004A3723">
              <w:rPr>
                <w:rFonts w:ascii="Times New Roman" w:hAnsi="Times New Roman" w:cs="Times New Roman" w:hint="eastAsia"/>
                <w:kern w:val="0"/>
                <w:sz w:val="21"/>
                <w:szCs w:val="21"/>
              </w:rPr>
              <w:t>1</w:t>
            </w:r>
            <w:r w:rsidRPr="004A3723">
              <w:rPr>
                <w:rFonts w:ascii="Times New Roman" w:hAnsi="Times New Roman" w:cs="Times New Roman"/>
                <w:kern w:val="0"/>
                <w:sz w:val="21"/>
                <w:szCs w:val="21"/>
              </w:rPr>
              <w:t>.5</w:t>
            </w:r>
          </w:p>
        </w:tc>
        <w:tc>
          <w:tcPr>
            <w:tcW w:w="1306" w:type="pct"/>
            <w:vMerge/>
            <w:vAlign w:val="center"/>
          </w:tcPr>
          <w:p w:rsidR="004A3723" w:rsidRPr="00786124" w:rsidRDefault="004A3723" w:rsidP="00786124">
            <w:pPr>
              <w:pStyle w:val="afffffff2"/>
              <w:rPr>
                <w:rFonts w:cs="Times New Roman"/>
                <w:kern w:val="0"/>
                <w:sz w:val="21"/>
                <w:szCs w:val="21"/>
                <w:lang w:bidi="ar"/>
              </w:rPr>
            </w:pPr>
          </w:p>
        </w:tc>
      </w:tr>
    </w:tbl>
    <w:p w:rsidR="004E3021" w:rsidRDefault="00606E48">
      <w:pPr>
        <w:spacing w:line="500" w:lineRule="exact"/>
        <w:ind w:firstLineChars="0" w:firstLine="0"/>
        <w:jc w:val="center"/>
        <w:rPr>
          <w:rFonts w:eastAsia="黑体"/>
        </w:rPr>
      </w:pPr>
      <w:r>
        <w:rPr>
          <w:rFonts w:eastAsia="黑体" w:hint="eastAsia"/>
        </w:rPr>
        <w:t>表</w:t>
      </w:r>
      <w:r>
        <w:rPr>
          <w:rFonts w:eastAsia="黑体" w:hint="eastAsia"/>
        </w:rPr>
        <w:t>2.2.</w:t>
      </w:r>
      <w:r>
        <w:rPr>
          <w:rFonts w:eastAsia="黑体"/>
        </w:rPr>
        <w:t xml:space="preserve">3-3  </w:t>
      </w:r>
      <w:r>
        <w:rPr>
          <w:rFonts w:eastAsia="黑体" w:hint="eastAsia"/>
        </w:rPr>
        <w:t>厂区内</w:t>
      </w:r>
      <w:r>
        <w:rPr>
          <w:rFonts w:eastAsia="黑体"/>
        </w:rPr>
        <w:t>VOCs</w:t>
      </w:r>
      <w:r>
        <w:rPr>
          <w:rFonts w:eastAsia="黑体" w:hint="eastAsia"/>
        </w:rPr>
        <w:t>无组织</w:t>
      </w:r>
      <w:r>
        <w:rPr>
          <w:rFonts w:eastAsia="黑体"/>
        </w:rPr>
        <w:t>排放</w:t>
      </w:r>
      <w:r>
        <w:rPr>
          <w:rFonts w:eastAsia="黑体" w:hint="eastAsia"/>
        </w:rPr>
        <w:t>限值</w:t>
      </w:r>
    </w:p>
    <w:tbl>
      <w:tblPr>
        <w:tblStyle w:val="afff"/>
        <w:tblW w:w="5000" w:type="pct"/>
        <w:tblLook w:val="04A0" w:firstRow="1" w:lastRow="0" w:firstColumn="1" w:lastColumn="0" w:noHBand="0" w:noVBand="1"/>
      </w:tblPr>
      <w:tblGrid>
        <w:gridCol w:w="1276"/>
        <w:gridCol w:w="2551"/>
        <w:gridCol w:w="2553"/>
        <w:gridCol w:w="2646"/>
      </w:tblGrid>
      <w:tr w:rsidR="004E3021" w:rsidRPr="00786124" w:rsidTr="00786124">
        <w:trPr>
          <w:trHeight w:val="360"/>
        </w:trPr>
        <w:tc>
          <w:tcPr>
            <w:tcW w:w="707" w:type="pct"/>
            <w:vMerge w:val="restart"/>
            <w:vAlign w:val="center"/>
          </w:tcPr>
          <w:p w:rsidR="004E3021" w:rsidRPr="00786124" w:rsidRDefault="00606E48" w:rsidP="00786124">
            <w:pPr>
              <w:pStyle w:val="afffffff2"/>
              <w:rPr>
                <w:rFonts w:ascii="Times New Roman" w:hAnsi="Times New Roman" w:cs="Times New Roman"/>
                <w:b/>
                <w:kern w:val="0"/>
                <w:sz w:val="21"/>
                <w:szCs w:val="21"/>
              </w:rPr>
            </w:pPr>
            <w:r w:rsidRPr="00786124">
              <w:rPr>
                <w:rFonts w:ascii="Times New Roman" w:hAnsi="Times New Roman" w:cs="Times New Roman"/>
                <w:b/>
                <w:kern w:val="0"/>
                <w:sz w:val="21"/>
                <w:szCs w:val="21"/>
              </w:rPr>
              <w:t>污染项目</w:t>
            </w:r>
          </w:p>
        </w:tc>
        <w:tc>
          <w:tcPr>
            <w:tcW w:w="1413" w:type="pct"/>
            <w:vMerge w:val="restart"/>
            <w:vAlign w:val="center"/>
          </w:tcPr>
          <w:p w:rsidR="004E3021" w:rsidRPr="00786124" w:rsidRDefault="00606E48" w:rsidP="00786124">
            <w:pPr>
              <w:pStyle w:val="afffffff2"/>
              <w:rPr>
                <w:rFonts w:ascii="Times New Roman" w:hAnsi="Times New Roman" w:cs="Times New Roman"/>
                <w:b/>
                <w:kern w:val="0"/>
                <w:sz w:val="21"/>
                <w:szCs w:val="21"/>
              </w:rPr>
            </w:pPr>
            <w:r w:rsidRPr="00786124">
              <w:rPr>
                <w:rFonts w:ascii="Times New Roman" w:hAnsi="Times New Roman" w:cs="Times New Roman"/>
                <w:b/>
                <w:kern w:val="0"/>
                <w:sz w:val="21"/>
                <w:szCs w:val="21"/>
              </w:rPr>
              <w:t>特别排放限值（</w:t>
            </w:r>
            <w:r w:rsidRPr="00786124">
              <w:rPr>
                <w:rFonts w:ascii="Times New Roman" w:hAnsi="Times New Roman" w:cs="Times New Roman"/>
                <w:b/>
                <w:kern w:val="0"/>
                <w:sz w:val="21"/>
                <w:szCs w:val="21"/>
              </w:rPr>
              <w:t>mg/m</w:t>
            </w:r>
            <w:r w:rsidRPr="00786124">
              <w:rPr>
                <w:rFonts w:ascii="Times New Roman" w:hAnsi="Times New Roman" w:cs="Times New Roman"/>
                <w:b/>
                <w:kern w:val="0"/>
                <w:sz w:val="21"/>
                <w:szCs w:val="21"/>
                <w:vertAlign w:val="superscript"/>
              </w:rPr>
              <w:t>3</w:t>
            </w:r>
            <w:r w:rsidRPr="00786124">
              <w:rPr>
                <w:rFonts w:ascii="Times New Roman" w:hAnsi="Times New Roman" w:cs="Times New Roman"/>
                <w:b/>
                <w:kern w:val="0"/>
                <w:sz w:val="21"/>
                <w:szCs w:val="21"/>
              </w:rPr>
              <w:t>）</w:t>
            </w:r>
          </w:p>
        </w:tc>
        <w:tc>
          <w:tcPr>
            <w:tcW w:w="1414" w:type="pct"/>
            <w:vMerge w:val="restart"/>
            <w:vAlign w:val="center"/>
          </w:tcPr>
          <w:p w:rsidR="004E3021" w:rsidRPr="00786124" w:rsidRDefault="00606E48" w:rsidP="00786124">
            <w:pPr>
              <w:pStyle w:val="afffffff2"/>
              <w:rPr>
                <w:rFonts w:ascii="Times New Roman" w:hAnsi="Times New Roman" w:cs="Times New Roman"/>
                <w:b/>
                <w:kern w:val="0"/>
                <w:sz w:val="21"/>
                <w:szCs w:val="21"/>
              </w:rPr>
            </w:pPr>
            <w:r w:rsidRPr="00786124">
              <w:rPr>
                <w:rFonts w:ascii="Times New Roman" w:hAnsi="Times New Roman" w:cs="Times New Roman"/>
                <w:b/>
                <w:kern w:val="0"/>
                <w:sz w:val="21"/>
                <w:szCs w:val="21"/>
              </w:rPr>
              <w:t>限值含义</w:t>
            </w:r>
          </w:p>
        </w:tc>
        <w:tc>
          <w:tcPr>
            <w:tcW w:w="1466" w:type="pct"/>
            <w:vMerge w:val="restart"/>
            <w:vAlign w:val="center"/>
          </w:tcPr>
          <w:p w:rsidR="004E3021" w:rsidRPr="00786124" w:rsidRDefault="00606E48" w:rsidP="00786124">
            <w:pPr>
              <w:pStyle w:val="afffffff2"/>
              <w:rPr>
                <w:rFonts w:ascii="Times New Roman" w:hAnsi="Times New Roman" w:cs="Times New Roman"/>
                <w:b/>
                <w:kern w:val="0"/>
                <w:sz w:val="21"/>
                <w:szCs w:val="21"/>
              </w:rPr>
            </w:pPr>
            <w:r w:rsidRPr="00786124">
              <w:rPr>
                <w:rFonts w:ascii="Times New Roman" w:hAnsi="Times New Roman" w:cs="Times New Roman"/>
                <w:b/>
                <w:kern w:val="0"/>
                <w:sz w:val="21"/>
                <w:szCs w:val="21"/>
              </w:rPr>
              <w:t>无组织排放监控位置</w:t>
            </w:r>
          </w:p>
        </w:tc>
      </w:tr>
      <w:tr w:rsidR="004E3021" w:rsidRPr="00786124" w:rsidTr="00786124">
        <w:trPr>
          <w:trHeight w:val="360"/>
        </w:trPr>
        <w:tc>
          <w:tcPr>
            <w:tcW w:w="707"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1413"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1414"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1466" w:type="pct"/>
            <w:vMerge/>
            <w:vAlign w:val="center"/>
          </w:tcPr>
          <w:p w:rsidR="004E3021" w:rsidRPr="00786124" w:rsidRDefault="004E3021" w:rsidP="00786124">
            <w:pPr>
              <w:pStyle w:val="afffffff2"/>
              <w:rPr>
                <w:rFonts w:ascii="Times New Roman" w:hAnsi="Times New Roman" w:cs="Times New Roman"/>
                <w:kern w:val="0"/>
                <w:sz w:val="21"/>
                <w:szCs w:val="21"/>
              </w:rPr>
            </w:pPr>
          </w:p>
        </w:tc>
      </w:tr>
      <w:tr w:rsidR="004E3021" w:rsidRPr="00786124" w:rsidTr="00786124">
        <w:tc>
          <w:tcPr>
            <w:tcW w:w="707"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NMHC</w:t>
            </w:r>
          </w:p>
        </w:tc>
        <w:tc>
          <w:tcPr>
            <w:tcW w:w="1413"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6</w:t>
            </w:r>
          </w:p>
        </w:tc>
        <w:tc>
          <w:tcPr>
            <w:tcW w:w="1414"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监控点处</w:t>
            </w:r>
            <w:r w:rsidRPr="00786124">
              <w:rPr>
                <w:rFonts w:ascii="Times New Roman" w:hAnsi="Times New Roman" w:cs="Times New Roman"/>
                <w:kern w:val="0"/>
                <w:sz w:val="21"/>
                <w:szCs w:val="21"/>
              </w:rPr>
              <w:t>1h</w:t>
            </w:r>
            <w:r w:rsidRPr="00786124">
              <w:rPr>
                <w:rFonts w:ascii="Times New Roman" w:hAnsi="Times New Roman" w:cs="Times New Roman"/>
                <w:kern w:val="0"/>
                <w:sz w:val="21"/>
                <w:szCs w:val="21"/>
              </w:rPr>
              <w:t>平均浓度值</w:t>
            </w:r>
          </w:p>
        </w:tc>
        <w:tc>
          <w:tcPr>
            <w:tcW w:w="1466" w:type="pct"/>
            <w:vMerge w:val="restar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在厂房外设置监控点</w:t>
            </w:r>
          </w:p>
        </w:tc>
      </w:tr>
      <w:tr w:rsidR="004E3021" w:rsidRPr="00786124" w:rsidTr="00786124">
        <w:tc>
          <w:tcPr>
            <w:tcW w:w="707" w:type="pct"/>
            <w:vMerge/>
            <w:vAlign w:val="center"/>
          </w:tcPr>
          <w:p w:rsidR="004E3021" w:rsidRPr="00786124" w:rsidRDefault="004E3021" w:rsidP="00786124">
            <w:pPr>
              <w:pStyle w:val="afffffff2"/>
              <w:rPr>
                <w:rFonts w:ascii="Times New Roman" w:hAnsi="Times New Roman" w:cs="Times New Roman"/>
                <w:kern w:val="0"/>
                <w:sz w:val="21"/>
                <w:szCs w:val="21"/>
              </w:rPr>
            </w:pPr>
          </w:p>
        </w:tc>
        <w:tc>
          <w:tcPr>
            <w:tcW w:w="1413"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20</w:t>
            </w:r>
          </w:p>
        </w:tc>
        <w:tc>
          <w:tcPr>
            <w:tcW w:w="1414" w:type="pct"/>
            <w:vAlign w:val="center"/>
          </w:tcPr>
          <w:p w:rsidR="004E3021" w:rsidRPr="00786124" w:rsidRDefault="00606E48" w:rsidP="00786124">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监控点出任意一次浓度值</w:t>
            </w:r>
          </w:p>
        </w:tc>
        <w:tc>
          <w:tcPr>
            <w:tcW w:w="1466" w:type="pct"/>
            <w:vMerge/>
            <w:vAlign w:val="center"/>
          </w:tcPr>
          <w:p w:rsidR="004E3021" w:rsidRPr="00786124" w:rsidRDefault="004E3021" w:rsidP="00786124">
            <w:pPr>
              <w:pStyle w:val="afffffff2"/>
              <w:rPr>
                <w:rFonts w:ascii="Times New Roman" w:hAnsi="Times New Roman" w:cs="Times New Roman"/>
                <w:kern w:val="0"/>
                <w:sz w:val="21"/>
                <w:szCs w:val="21"/>
              </w:rPr>
            </w:pPr>
          </w:p>
        </w:tc>
      </w:tr>
    </w:tbl>
    <w:p w:rsidR="004E3021" w:rsidRDefault="00606E48">
      <w:pPr>
        <w:pStyle w:val="afffff4"/>
        <w:ind w:firstLine="480"/>
        <w:rPr>
          <w:rFonts w:cs="Times New Roman"/>
        </w:rPr>
      </w:pPr>
      <w:r>
        <w:rPr>
          <w:rFonts w:cs="Times New Roman"/>
        </w:rPr>
        <w:t>表</w:t>
      </w:r>
      <w:r>
        <w:rPr>
          <w:rFonts w:cs="Times New Roman"/>
        </w:rPr>
        <w:t xml:space="preserve">2.2.3-4  </w:t>
      </w:r>
      <w:r>
        <w:rPr>
          <w:rFonts w:cs="Times New Roman" w:hint="eastAsia"/>
        </w:rPr>
        <w:t>厂界</w:t>
      </w:r>
      <w:r>
        <w:rPr>
          <w:rFonts w:cs="Times New Roman"/>
        </w:rPr>
        <w:t>废气排放标准一览表</w:t>
      </w:r>
    </w:p>
    <w:tbl>
      <w:tblPr>
        <w:tblW w:w="5000" w:type="pct"/>
        <w:jc w:val="center"/>
        <w:tblLook w:val="04A0" w:firstRow="1" w:lastRow="0" w:firstColumn="1" w:lastColumn="0" w:noHBand="0" w:noVBand="1"/>
      </w:tblPr>
      <w:tblGrid>
        <w:gridCol w:w="1763"/>
        <w:gridCol w:w="2764"/>
        <w:gridCol w:w="4499"/>
      </w:tblGrid>
      <w:tr w:rsidR="004E3021" w:rsidRPr="00786124">
        <w:trPr>
          <w:trHeight w:val="360"/>
          <w:jc w:val="center"/>
        </w:trPr>
        <w:tc>
          <w:tcPr>
            <w:tcW w:w="977" w:type="pct"/>
            <w:vMerge w:val="restart"/>
            <w:tcBorders>
              <w:top w:val="single" w:sz="12" w:space="0" w:color="auto"/>
              <w:left w:val="nil"/>
              <w:bottom w:val="single" w:sz="4" w:space="0" w:color="auto"/>
              <w:right w:val="single" w:sz="4" w:space="0" w:color="auto"/>
            </w:tcBorders>
            <w:vAlign w:val="center"/>
          </w:tcPr>
          <w:p w:rsidR="004E3021" w:rsidRPr="00786124" w:rsidRDefault="00606E48">
            <w:pPr>
              <w:pStyle w:val="afffffff2"/>
              <w:rPr>
                <w:b/>
                <w:kern w:val="0"/>
                <w:sz w:val="21"/>
                <w:szCs w:val="21"/>
              </w:rPr>
            </w:pPr>
            <w:r w:rsidRPr="00786124">
              <w:rPr>
                <w:b/>
                <w:kern w:val="0"/>
                <w:sz w:val="21"/>
                <w:szCs w:val="21"/>
              </w:rPr>
              <w:t>污染物名称</w:t>
            </w:r>
          </w:p>
        </w:tc>
        <w:tc>
          <w:tcPr>
            <w:tcW w:w="1531" w:type="pct"/>
            <w:vMerge w:val="restart"/>
            <w:tcBorders>
              <w:top w:val="single" w:sz="12" w:space="0" w:color="auto"/>
              <w:left w:val="single" w:sz="4" w:space="0" w:color="auto"/>
              <w:bottom w:val="single" w:sz="4" w:space="0" w:color="auto"/>
              <w:right w:val="single" w:sz="4" w:space="0" w:color="auto"/>
            </w:tcBorders>
            <w:vAlign w:val="center"/>
          </w:tcPr>
          <w:p w:rsidR="004E3021" w:rsidRPr="00786124" w:rsidRDefault="00606E48">
            <w:pPr>
              <w:pStyle w:val="afffffff2"/>
              <w:rPr>
                <w:b/>
                <w:kern w:val="0"/>
                <w:sz w:val="21"/>
                <w:szCs w:val="21"/>
              </w:rPr>
            </w:pPr>
            <w:r w:rsidRPr="00786124">
              <w:rPr>
                <w:rFonts w:hint="eastAsia"/>
                <w:b/>
                <w:kern w:val="0"/>
                <w:sz w:val="21"/>
                <w:szCs w:val="21"/>
              </w:rPr>
              <w:t>周界外浓度最高点</w:t>
            </w:r>
            <w:r w:rsidRPr="00786124">
              <w:rPr>
                <w:b/>
                <w:kern w:val="0"/>
                <w:sz w:val="21"/>
                <w:szCs w:val="21"/>
              </w:rPr>
              <w:t>（</w:t>
            </w:r>
            <w:r w:rsidRPr="00786124">
              <w:rPr>
                <w:b/>
                <w:kern w:val="0"/>
                <w:sz w:val="21"/>
                <w:szCs w:val="21"/>
              </w:rPr>
              <w:t>mg/m</w:t>
            </w:r>
            <w:r w:rsidRPr="00786124">
              <w:rPr>
                <w:b/>
                <w:kern w:val="0"/>
                <w:sz w:val="21"/>
                <w:szCs w:val="21"/>
                <w:vertAlign w:val="superscript"/>
              </w:rPr>
              <w:t>3</w:t>
            </w:r>
            <w:r w:rsidRPr="00786124">
              <w:rPr>
                <w:b/>
                <w:kern w:val="0"/>
                <w:sz w:val="21"/>
                <w:szCs w:val="21"/>
              </w:rPr>
              <w:t>）</w:t>
            </w:r>
          </w:p>
        </w:tc>
        <w:tc>
          <w:tcPr>
            <w:tcW w:w="2492" w:type="pct"/>
            <w:vMerge w:val="restart"/>
            <w:tcBorders>
              <w:top w:val="single" w:sz="12" w:space="0" w:color="auto"/>
              <w:left w:val="single" w:sz="4" w:space="0" w:color="auto"/>
              <w:bottom w:val="single" w:sz="4" w:space="0" w:color="auto"/>
              <w:right w:val="nil"/>
            </w:tcBorders>
            <w:vAlign w:val="center"/>
          </w:tcPr>
          <w:p w:rsidR="004E3021" w:rsidRPr="00786124" w:rsidRDefault="00606E48">
            <w:pPr>
              <w:pStyle w:val="afffffff2"/>
              <w:rPr>
                <w:b/>
                <w:kern w:val="0"/>
                <w:sz w:val="21"/>
                <w:szCs w:val="21"/>
              </w:rPr>
            </w:pPr>
            <w:r w:rsidRPr="00786124">
              <w:rPr>
                <w:b/>
                <w:kern w:val="0"/>
                <w:sz w:val="21"/>
                <w:szCs w:val="21"/>
              </w:rPr>
              <w:t>标准来源</w:t>
            </w:r>
          </w:p>
        </w:tc>
      </w:tr>
      <w:tr w:rsidR="004E3021" w:rsidRPr="00786124">
        <w:trPr>
          <w:trHeight w:val="360"/>
          <w:jc w:val="center"/>
        </w:trPr>
        <w:tc>
          <w:tcPr>
            <w:tcW w:w="977" w:type="pct"/>
            <w:vMerge/>
            <w:tcBorders>
              <w:top w:val="single" w:sz="12" w:space="0" w:color="auto"/>
              <w:left w:val="nil"/>
              <w:bottom w:val="single" w:sz="4" w:space="0" w:color="auto"/>
              <w:right w:val="single" w:sz="4" w:space="0" w:color="auto"/>
            </w:tcBorders>
            <w:vAlign w:val="center"/>
          </w:tcPr>
          <w:p w:rsidR="004E3021" w:rsidRPr="00786124" w:rsidRDefault="004E3021">
            <w:pPr>
              <w:pStyle w:val="afffffff2"/>
              <w:rPr>
                <w:bCs/>
                <w:kern w:val="0"/>
                <w:sz w:val="21"/>
                <w:szCs w:val="21"/>
              </w:rPr>
            </w:pPr>
          </w:p>
        </w:tc>
        <w:tc>
          <w:tcPr>
            <w:tcW w:w="1531" w:type="pct"/>
            <w:vMerge/>
            <w:tcBorders>
              <w:top w:val="single" w:sz="12" w:space="0" w:color="auto"/>
              <w:left w:val="single" w:sz="4" w:space="0" w:color="auto"/>
              <w:bottom w:val="single" w:sz="4" w:space="0" w:color="auto"/>
              <w:right w:val="single" w:sz="4" w:space="0" w:color="auto"/>
            </w:tcBorders>
            <w:vAlign w:val="center"/>
          </w:tcPr>
          <w:p w:rsidR="004E3021" w:rsidRPr="00786124" w:rsidRDefault="004E3021">
            <w:pPr>
              <w:pStyle w:val="afffffff2"/>
              <w:rPr>
                <w:bCs/>
                <w:kern w:val="0"/>
                <w:sz w:val="21"/>
                <w:szCs w:val="21"/>
              </w:rPr>
            </w:pPr>
          </w:p>
        </w:tc>
        <w:tc>
          <w:tcPr>
            <w:tcW w:w="2492" w:type="pct"/>
            <w:vMerge/>
            <w:tcBorders>
              <w:top w:val="single" w:sz="12" w:space="0" w:color="auto"/>
              <w:left w:val="single" w:sz="4" w:space="0" w:color="auto"/>
              <w:bottom w:val="single" w:sz="4" w:space="0" w:color="auto"/>
              <w:right w:val="nil"/>
            </w:tcBorders>
            <w:vAlign w:val="center"/>
          </w:tcPr>
          <w:p w:rsidR="004E3021" w:rsidRPr="00786124" w:rsidRDefault="004E3021">
            <w:pPr>
              <w:pStyle w:val="afffffff2"/>
              <w:rPr>
                <w:bCs/>
                <w:kern w:val="0"/>
                <w:sz w:val="21"/>
                <w:szCs w:val="21"/>
              </w:rPr>
            </w:pPr>
          </w:p>
        </w:tc>
      </w:tr>
      <w:tr w:rsidR="004E3021" w:rsidRPr="00786124">
        <w:trPr>
          <w:jc w:val="center"/>
        </w:trPr>
        <w:tc>
          <w:tcPr>
            <w:tcW w:w="977" w:type="pct"/>
            <w:tcBorders>
              <w:top w:val="single" w:sz="4" w:space="0" w:color="auto"/>
              <w:left w:val="nil"/>
              <w:bottom w:val="single" w:sz="4" w:space="0" w:color="auto"/>
              <w:right w:val="single" w:sz="4" w:space="0" w:color="auto"/>
            </w:tcBorders>
            <w:vAlign w:val="center"/>
          </w:tcPr>
          <w:p w:rsidR="004E3021" w:rsidRPr="00786124" w:rsidRDefault="00606E48">
            <w:pPr>
              <w:pStyle w:val="afffffff2"/>
              <w:rPr>
                <w:bCs/>
                <w:kern w:val="0"/>
                <w:sz w:val="21"/>
                <w:szCs w:val="21"/>
              </w:rPr>
            </w:pPr>
            <w:r w:rsidRPr="00786124">
              <w:rPr>
                <w:bCs/>
                <w:kern w:val="0"/>
                <w:sz w:val="21"/>
                <w:szCs w:val="21"/>
              </w:rPr>
              <w:t>非甲烷总烃</w:t>
            </w:r>
          </w:p>
        </w:tc>
        <w:tc>
          <w:tcPr>
            <w:tcW w:w="1531" w:type="pct"/>
            <w:tcBorders>
              <w:top w:val="single" w:sz="4" w:space="0" w:color="auto"/>
              <w:left w:val="single" w:sz="4" w:space="0" w:color="auto"/>
              <w:bottom w:val="single" w:sz="4" w:space="0" w:color="auto"/>
              <w:right w:val="single" w:sz="4" w:space="0" w:color="auto"/>
            </w:tcBorders>
            <w:vAlign w:val="center"/>
          </w:tcPr>
          <w:p w:rsidR="004E3021" w:rsidRPr="00786124" w:rsidRDefault="00606E48">
            <w:pPr>
              <w:pStyle w:val="afffffff2"/>
              <w:rPr>
                <w:bCs/>
                <w:kern w:val="0"/>
                <w:sz w:val="21"/>
                <w:szCs w:val="21"/>
              </w:rPr>
            </w:pPr>
            <w:r w:rsidRPr="00786124">
              <w:rPr>
                <w:bCs/>
                <w:kern w:val="0"/>
                <w:sz w:val="21"/>
                <w:szCs w:val="21"/>
              </w:rPr>
              <w:t>4.0</w:t>
            </w:r>
          </w:p>
        </w:tc>
        <w:tc>
          <w:tcPr>
            <w:tcW w:w="2492" w:type="pct"/>
            <w:vMerge w:val="restart"/>
            <w:tcBorders>
              <w:top w:val="single" w:sz="4" w:space="0" w:color="auto"/>
              <w:left w:val="single" w:sz="4" w:space="0" w:color="auto"/>
              <w:right w:val="nil"/>
            </w:tcBorders>
            <w:vAlign w:val="center"/>
          </w:tcPr>
          <w:p w:rsidR="004E3021" w:rsidRPr="00786124" w:rsidRDefault="00606E48">
            <w:pPr>
              <w:pStyle w:val="afffffff2"/>
              <w:rPr>
                <w:bCs/>
                <w:kern w:val="0"/>
                <w:sz w:val="21"/>
                <w:szCs w:val="21"/>
              </w:rPr>
            </w:pPr>
            <w:r w:rsidRPr="00786124">
              <w:rPr>
                <w:bCs/>
                <w:kern w:val="0"/>
                <w:sz w:val="21"/>
                <w:szCs w:val="21"/>
              </w:rPr>
              <w:t>《大气污染物综合排放标准》（</w:t>
            </w:r>
            <w:r w:rsidRPr="00786124">
              <w:rPr>
                <w:bCs/>
                <w:kern w:val="0"/>
                <w:sz w:val="21"/>
                <w:szCs w:val="21"/>
              </w:rPr>
              <w:t>GB16297-1996</w:t>
            </w:r>
            <w:r w:rsidRPr="00786124">
              <w:rPr>
                <w:bCs/>
                <w:kern w:val="0"/>
                <w:sz w:val="21"/>
                <w:szCs w:val="21"/>
              </w:rPr>
              <w:t>）</w:t>
            </w:r>
          </w:p>
        </w:tc>
      </w:tr>
      <w:tr w:rsidR="004E3021" w:rsidRPr="00786124">
        <w:trPr>
          <w:jc w:val="center"/>
        </w:trPr>
        <w:tc>
          <w:tcPr>
            <w:tcW w:w="977" w:type="pct"/>
            <w:tcBorders>
              <w:top w:val="single" w:sz="4" w:space="0" w:color="auto"/>
              <w:left w:val="nil"/>
              <w:bottom w:val="single" w:sz="12" w:space="0" w:color="auto"/>
              <w:right w:val="single" w:sz="4" w:space="0" w:color="auto"/>
            </w:tcBorders>
            <w:vAlign w:val="center"/>
          </w:tcPr>
          <w:p w:rsidR="004E3021" w:rsidRPr="00786124" w:rsidRDefault="00606E48">
            <w:pPr>
              <w:pStyle w:val="afffffff2"/>
              <w:rPr>
                <w:bCs/>
                <w:kern w:val="0"/>
                <w:sz w:val="21"/>
                <w:szCs w:val="21"/>
              </w:rPr>
            </w:pPr>
            <w:r w:rsidRPr="00786124">
              <w:rPr>
                <w:rFonts w:hint="eastAsia"/>
                <w:bCs/>
                <w:kern w:val="0"/>
                <w:sz w:val="21"/>
                <w:szCs w:val="21"/>
              </w:rPr>
              <w:t>甲醇</w:t>
            </w:r>
          </w:p>
        </w:tc>
        <w:tc>
          <w:tcPr>
            <w:tcW w:w="1531" w:type="pct"/>
            <w:tcBorders>
              <w:top w:val="single" w:sz="4" w:space="0" w:color="auto"/>
              <w:left w:val="single" w:sz="4" w:space="0" w:color="auto"/>
              <w:bottom w:val="single" w:sz="12" w:space="0" w:color="auto"/>
              <w:right w:val="single" w:sz="4" w:space="0" w:color="auto"/>
            </w:tcBorders>
            <w:vAlign w:val="center"/>
          </w:tcPr>
          <w:p w:rsidR="004E3021" w:rsidRPr="00786124" w:rsidRDefault="00606E48">
            <w:pPr>
              <w:pStyle w:val="afffffff2"/>
              <w:rPr>
                <w:bCs/>
                <w:kern w:val="0"/>
                <w:sz w:val="21"/>
                <w:szCs w:val="21"/>
              </w:rPr>
            </w:pPr>
            <w:r w:rsidRPr="00786124">
              <w:rPr>
                <w:bCs/>
                <w:kern w:val="0"/>
                <w:sz w:val="21"/>
                <w:szCs w:val="21"/>
              </w:rPr>
              <w:t>12</w:t>
            </w:r>
          </w:p>
        </w:tc>
        <w:tc>
          <w:tcPr>
            <w:tcW w:w="2492" w:type="pct"/>
            <w:vMerge/>
            <w:tcBorders>
              <w:left w:val="single" w:sz="4" w:space="0" w:color="auto"/>
              <w:bottom w:val="single" w:sz="12" w:space="0" w:color="auto"/>
              <w:right w:val="nil"/>
            </w:tcBorders>
            <w:vAlign w:val="center"/>
          </w:tcPr>
          <w:p w:rsidR="004E3021" w:rsidRPr="00786124" w:rsidRDefault="004E3021">
            <w:pPr>
              <w:pStyle w:val="afffffff2"/>
              <w:rPr>
                <w:bCs/>
                <w:kern w:val="0"/>
                <w:sz w:val="21"/>
                <w:szCs w:val="21"/>
              </w:rPr>
            </w:pPr>
          </w:p>
        </w:tc>
      </w:tr>
    </w:tbl>
    <w:p w:rsidR="004E3021" w:rsidRDefault="00606E48">
      <w:pPr>
        <w:pStyle w:val="4a"/>
      </w:pPr>
      <w:r>
        <w:rPr>
          <w:rFonts w:hint="eastAsia"/>
        </w:rPr>
        <w:t>2</w:t>
      </w:r>
      <w:r>
        <w:t>.2.3.2</w:t>
      </w:r>
      <w:r>
        <w:rPr>
          <w:rFonts w:hint="eastAsia"/>
        </w:rPr>
        <w:t>地表水评价标准</w:t>
      </w:r>
    </w:p>
    <w:p w:rsidR="004E3021" w:rsidRDefault="00606E48">
      <w:pPr>
        <w:ind w:firstLine="480"/>
      </w:pPr>
      <w:r>
        <w:t>（</w:t>
      </w:r>
      <w:r>
        <w:t>1</w:t>
      </w:r>
      <w:r>
        <w:t>）环境质量标准</w:t>
      </w:r>
    </w:p>
    <w:p w:rsidR="004E3021" w:rsidRDefault="00606E48">
      <w:pPr>
        <w:ind w:firstLine="480"/>
      </w:pPr>
      <w:r w:rsidRPr="00786124">
        <w:t>淮河（蚌埠段）水质执行《地表水环境质量标准》（</w:t>
      </w:r>
      <w:r w:rsidRPr="00786124">
        <w:t>GB3838-2002</w:t>
      </w:r>
      <w:r w:rsidRPr="00786124">
        <w:t>）中的</w:t>
      </w:r>
      <w:r w:rsidRPr="00786124">
        <w:t>Ⅲ</w:t>
      </w:r>
      <w:r w:rsidRPr="00786124">
        <w:t>类标准，沫冲引河和三铺大沟执行《地表水环境质量标准》（</w:t>
      </w:r>
      <w:r w:rsidRPr="00786124">
        <w:t>GB3838-2002</w:t>
      </w:r>
      <w:r w:rsidRPr="00786124">
        <w:t>）中的</w:t>
      </w:r>
      <w:r w:rsidRPr="00786124">
        <w:t>Ⅳ</w:t>
      </w:r>
      <w:r w:rsidRPr="00786124">
        <w:t>类标准，</w:t>
      </w:r>
      <w:r>
        <w:rPr>
          <w:rFonts w:ascii="宋体" w:hAnsi="宋体" w:hint="eastAsia"/>
        </w:rPr>
        <w:t>详见表</w:t>
      </w:r>
      <w:r>
        <w:t>2.2.3-</w:t>
      </w:r>
      <w:r w:rsidR="001D4C8B">
        <w:t>5</w:t>
      </w:r>
      <w:r>
        <w:rPr>
          <w:rFonts w:ascii="宋体" w:hAnsi="宋体" w:hint="eastAsia"/>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rPr>
        <w:t>2.2.3-</w:t>
      </w:r>
      <w:r w:rsidR="001D4C8B">
        <w:rPr>
          <w:rFonts w:eastAsia="黑体"/>
        </w:rPr>
        <w:t>5</w:t>
      </w:r>
      <w:r>
        <w:rPr>
          <w:rFonts w:eastAsia="黑体"/>
        </w:rPr>
        <w:t xml:space="preserve">  </w:t>
      </w:r>
      <w:r>
        <w:rPr>
          <w:rFonts w:ascii="黑体" w:eastAsia="黑体" w:hAnsi="黑体" w:hint="eastAsia"/>
        </w:rPr>
        <w:t>地表水环境质量标准值表  （单位：</w:t>
      </w:r>
      <w:r>
        <w:rPr>
          <w:rFonts w:eastAsia="黑体"/>
        </w:rPr>
        <w:t>mg/L</w:t>
      </w:r>
      <w:r>
        <w:rPr>
          <w:rFonts w:ascii="黑体" w:eastAsia="黑体" w:hAnsi="黑体" w:hint="eastAsia"/>
        </w:rPr>
        <w:t>，</w:t>
      </w:r>
      <w:r>
        <w:rPr>
          <w:rFonts w:eastAsia="黑体"/>
        </w:rPr>
        <w:t>pH</w:t>
      </w:r>
      <w:r>
        <w:rPr>
          <w:rFonts w:ascii="黑体" w:eastAsia="黑体" w:hAnsi="黑体" w:hint="eastAsia"/>
        </w:rPr>
        <w:t>无量纲）</w:t>
      </w:r>
    </w:p>
    <w:tbl>
      <w:tblPr>
        <w:tblStyle w:val="afff"/>
        <w:tblW w:w="5000" w:type="pct"/>
        <w:tblLayout w:type="fixed"/>
        <w:tblLook w:val="04A0" w:firstRow="1" w:lastRow="0" w:firstColumn="1" w:lastColumn="0" w:noHBand="0" w:noVBand="1"/>
      </w:tblPr>
      <w:tblGrid>
        <w:gridCol w:w="2713"/>
        <w:gridCol w:w="3219"/>
        <w:gridCol w:w="3094"/>
      </w:tblGrid>
      <w:tr w:rsidR="004E3021" w:rsidRPr="00786124" w:rsidTr="00786124">
        <w:trPr>
          <w:trHeight w:val="312"/>
        </w:trPr>
        <w:tc>
          <w:tcPr>
            <w:tcW w:w="2713" w:type="dxa"/>
          </w:tcPr>
          <w:p w:rsidR="004E3021" w:rsidRPr="001D4C8B" w:rsidRDefault="00606E48">
            <w:pPr>
              <w:pStyle w:val="afffffff2"/>
              <w:rPr>
                <w:rFonts w:ascii="Times New Roman" w:hAnsi="Times New Roman" w:cs="Times New Roman"/>
                <w:b/>
                <w:kern w:val="0"/>
                <w:sz w:val="21"/>
                <w:szCs w:val="21"/>
              </w:rPr>
            </w:pPr>
            <w:r w:rsidRPr="001D4C8B">
              <w:rPr>
                <w:rFonts w:ascii="Times New Roman" w:hAnsi="Times New Roman" w:cs="Times New Roman"/>
                <w:b/>
                <w:kern w:val="0"/>
                <w:sz w:val="21"/>
                <w:szCs w:val="21"/>
              </w:rPr>
              <w:t>污染物名称</w:t>
            </w:r>
          </w:p>
        </w:tc>
        <w:tc>
          <w:tcPr>
            <w:tcW w:w="3219" w:type="dxa"/>
          </w:tcPr>
          <w:p w:rsidR="004E3021" w:rsidRPr="001D4C8B" w:rsidRDefault="00606E48">
            <w:pPr>
              <w:pStyle w:val="afffffff2"/>
              <w:rPr>
                <w:rFonts w:ascii="Times New Roman" w:hAnsi="Times New Roman" w:cs="Times New Roman"/>
                <w:b/>
                <w:kern w:val="0"/>
                <w:sz w:val="21"/>
                <w:szCs w:val="21"/>
              </w:rPr>
            </w:pPr>
            <w:r w:rsidRPr="001D4C8B">
              <w:rPr>
                <w:rFonts w:ascii="Times New Roman" w:hAnsi="Times New Roman" w:cs="Times New Roman"/>
                <w:b/>
                <w:kern w:val="0"/>
                <w:sz w:val="21"/>
                <w:szCs w:val="21"/>
              </w:rPr>
              <w:t>III</w:t>
            </w:r>
            <w:r w:rsidRPr="001D4C8B">
              <w:rPr>
                <w:rFonts w:ascii="Times New Roman" w:hAnsi="Times New Roman" w:cs="Times New Roman"/>
                <w:b/>
                <w:kern w:val="0"/>
                <w:sz w:val="21"/>
                <w:szCs w:val="21"/>
              </w:rPr>
              <w:t>类</w:t>
            </w:r>
          </w:p>
        </w:tc>
        <w:tc>
          <w:tcPr>
            <w:tcW w:w="3094" w:type="dxa"/>
          </w:tcPr>
          <w:p w:rsidR="004E3021" w:rsidRPr="001D4C8B" w:rsidRDefault="00606E48">
            <w:pPr>
              <w:pStyle w:val="afffffff2"/>
              <w:rPr>
                <w:rFonts w:ascii="Times New Roman" w:hAnsi="Times New Roman" w:cs="Times New Roman"/>
                <w:b/>
                <w:kern w:val="0"/>
                <w:sz w:val="21"/>
                <w:szCs w:val="21"/>
              </w:rPr>
            </w:pPr>
            <w:r w:rsidRPr="001D4C8B">
              <w:rPr>
                <w:rFonts w:ascii="Times New Roman" w:hAnsi="Times New Roman" w:cs="Times New Roman"/>
                <w:b/>
                <w:kern w:val="0"/>
                <w:sz w:val="21"/>
                <w:szCs w:val="21"/>
              </w:rPr>
              <w:t>Ⅳ</w:t>
            </w:r>
            <w:r w:rsidRPr="001D4C8B">
              <w:rPr>
                <w:rFonts w:ascii="Times New Roman" w:hAnsi="Times New Roman" w:cs="Times New Roman"/>
                <w:b/>
                <w:kern w:val="0"/>
                <w:sz w:val="21"/>
                <w:szCs w:val="21"/>
              </w:rPr>
              <w:t>类</w:t>
            </w:r>
          </w:p>
        </w:tc>
      </w:tr>
      <w:tr w:rsidR="004E3021" w:rsidRPr="00786124" w:rsidTr="00786124">
        <w:trPr>
          <w:trHeight w:val="312"/>
        </w:trPr>
        <w:tc>
          <w:tcPr>
            <w:tcW w:w="2713"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pH</w:t>
            </w:r>
          </w:p>
        </w:tc>
        <w:tc>
          <w:tcPr>
            <w:tcW w:w="3219"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6~9</w:t>
            </w:r>
          </w:p>
        </w:tc>
        <w:tc>
          <w:tcPr>
            <w:tcW w:w="3094"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6~9</w:t>
            </w:r>
          </w:p>
        </w:tc>
      </w:tr>
      <w:tr w:rsidR="004E3021" w:rsidRPr="00786124" w:rsidTr="00786124">
        <w:trPr>
          <w:trHeight w:val="312"/>
        </w:trPr>
        <w:tc>
          <w:tcPr>
            <w:tcW w:w="2713"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COD</w:t>
            </w:r>
          </w:p>
        </w:tc>
        <w:tc>
          <w:tcPr>
            <w:tcW w:w="3219"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≤20</w:t>
            </w:r>
          </w:p>
        </w:tc>
        <w:tc>
          <w:tcPr>
            <w:tcW w:w="3094"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≤30</w:t>
            </w:r>
          </w:p>
        </w:tc>
      </w:tr>
      <w:tr w:rsidR="004E3021" w:rsidRPr="00786124" w:rsidTr="00786124">
        <w:trPr>
          <w:trHeight w:val="312"/>
        </w:trPr>
        <w:tc>
          <w:tcPr>
            <w:tcW w:w="2713"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BOD</w:t>
            </w:r>
            <w:r w:rsidRPr="00786124">
              <w:rPr>
                <w:rFonts w:ascii="Times New Roman" w:hAnsi="Times New Roman" w:cs="Times New Roman"/>
                <w:kern w:val="0"/>
                <w:sz w:val="21"/>
                <w:szCs w:val="21"/>
                <w:vertAlign w:val="subscript"/>
              </w:rPr>
              <w:t>5</w:t>
            </w:r>
          </w:p>
        </w:tc>
        <w:tc>
          <w:tcPr>
            <w:tcW w:w="3219"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≤4</w:t>
            </w:r>
          </w:p>
        </w:tc>
        <w:tc>
          <w:tcPr>
            <w:tcW w:w="3094"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≤6</w:t>
            </w:r>
          </w:p>
        </w:tc>
      </w:tr>
      <w:tr w:rsidR="004E3021" w:rsidRPr="00786124" w:rsidTr="00786124">
        <w:trPr>
          <w:trHeight w:val="312"/>
        </w:trPr>
        <w:tc>
          <w:tcPr>
            <w:tcW w:w="2713"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氨氮（</w:t>
            </w:r>
            <w:r w:rsidRPr="00786124">
              <w:rPr>
                <w:rFonts w:ascii="Times New Roman" w:hAnsi="Times New Roman" w:cs="Times New Roman"/>
                <w:kern w:val="0"/>
                <w:sz w:val="21"/>
                <w:szCs w:val="21"/>
              </w:rPr>
              <w:t>NH</w:t>
            </w:r>
            <w:r w:rsidRPr="00786124">
              <w:rPr>
                <w:rFonts w:ascii="Times New Roman" w:hAnsi="Times New Roman" w:cs="Times New Roman"/>
                <w:kern w:val="0"/>
                <w:sz w:val="21"/>
                <w:szCs w:val="21"/>
                <w:vertAlign w:val="subscript"/>
              </w:rPr>
              <w:t>3</w:t>
            </w:r>
            <w:r w:rsidRPr="00786124">
              <w:rPr>
                <w:rFonts w:ascii="Times New Roman" w:hAnsi="Times New Roman" w:cs="Times New Roman"/>
                <w:kern w:val="0"/>
                <w:sz w:val="21"/>
                <w:szCs w:val="21"/>
              </w:rPr>
              <w:t>-N</w:t>
            </w:r>
            <w:r w:rsidRPr="00786124">
              <w:rPr>
                <w:rFonts w:ascii="Times New Roman" w:hAnsi="Times New Roman" w:cs="Times New Roman"/>
                <w:kern w:val="0"/>
                <w:sz w:val="21"/>
                <w:szCs w:val="21"/>
              </w:rPr>
              <w:t>）</w:t>
            </w:r>
          </w:p>
        </w:tc>
        <w:tc>
          <w:tcPr>
            <w:tcW w:w="3219"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≤1.0</w:t>
            </w:r>
          </w:p>
        </w:tc>
        <w:tc>
          <w:tcPr>
            <w:tcW w:w="3094"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≤1.5</w:t>
            </w:r>
          </w:p>
        </w:tc>
      </w:tr>
      <w:tr w:rsidR="004E3021" w:rsidRPr="00786124" w:rsidTr="00786124">
        <w:trPr>
          <w:trHeight w:val="312"/>
        </w:trPr>
        <w:tc>
          <w:tcPr>
            <w:tcW w:w="2713" w:type="dxa"/>
          </w:tcPr>
          <w:p w:rsidR="004E3021" w:rsidRPr="00786124" w:rsidRDefault="001D4C8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总氮</w:t>
            </w:r>
          </w:p>
        </w:tc>
        <w:tc>
          <w:tcPr>
            <w:tcW w:w="3219"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≤1.0</w:t>
            </w:r>
          </w:p>
        </w:tc>
        <w:tc>
          <w:tcPr>
            <w:tcW w:w="3094"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≤1.5</w:t>
            </w:r>
          </w:p>
        </w:tc>
      </w:tr>
      <w:tr w:rsidR="004E3021" w:rsidRPr="00786124" w:rsidTr="00786124">
        <w:trPr>
          <w:trHeight w:val="312"/>
        </w:trPr>
        <w:tc>
          <w:tcPr>
            <w:tcW w:w="2713" w:type="dxa"/>
          </w:tcPr>
          <w:p w:rsidR="004E3021" w:rsidRPr="00786124" w:rsidRDefault="001D4C8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石油类</w:t>
            </w:r>
          </w:p>
        </w:tc>
        <w:tc>
          <w:tcPr>
            <w:tcW w:w="3219" w:type="dxa"/>
          </w:tcPr>
          <w:p w:rsidR="004E3021" w:rsidRPr="00786124" w:rsidRDefault="00606E48" w:rsidP="001D4C8B">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≤0.</w:t>
            </w:r>
            <w:r w:rsidR="001D4C8B">
              <w:rPr>
                <w:rFonts w:ascii="Times New Roman" w:hAnsi="Times New Roman" w:cs="Times New Roman"/>
                <w:kern w:val="0"/>
                <w:sz w:val="21"/>
                <w:szCs w:val="21"/>
              </w:rPr>
              <w:t>05</w:t>
            </w:r>
          </w:p>
        </w:tc>
        <w:tc>
          <w:tcPr>
            <w:tcW w:w="3094" w:type="dxa"/>
          </w:tcPr>
          <w:p w:rsidR="004E3021" w:rsidRPr="00786124" w:rsidRDefault="00606E48" w:rsidP="001D4C8B">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≤0.</w:t>
            </w:r>
            <w:r w:rsidR="001D4C8B">
              <w:rPr>
                <w:rFonts w:ascii="Times New Roman" w:hAnsi="Times New Roman" w:cs="Times New Roman"/>
                <w:kern w:val="0"/>
                <w:sz w:val="21"/>
                <w:szCs w:val="21"/>
              </w:rPr>
              <w:t>5</w:t>
            </w:r>
          </w:p>
        </w:tc>
      </w:tr>
      <w:tr w:rsidR="004E3021" w:rsidRPr="00786124" w:rsidTr="00786124">
        <w:trPr>
          <w:trHeight w:val="312"/>
        </w:trPr>
        <w:tc>
          <w:tcPr>
            <w:tcW w:w="2713" w:type="dxa"/>
          </w:tcPr>
          <w:p w:rsidR="004E3021" w:rsidRPr="00786124" w:rsidRDefault="001D4C8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阴离子表面活性剂</w:t>
            </w:r>
          </w:p>
        </w:tc>
        <w:tc>
          <w:tcPr>
            <w:tcW w:w="3219"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≤0.2</w:t>
            </w:r>
          </w:p>
        </w:tc>
        <w:tc>
          <w:tcPr>
            <w:tcW w:w="3094" w:type="dxa"/>
          </w:tcPr>
          <w:p w:rsidR="004E3021" w:rsidRPr="00786124" w:rsidRDefault="00606E48" w:rsidP="001D4C8B">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≤0.</w:t>
            </w:r>
            <w:r w:rsidR="001D4C8B">
              <w:rPr>
                <w:rFonts w:ascii="Times New Roman" w:hAnsi="Times New Roman" w:cs="Times New Roman"/>
                <w:kern w:val="0"/>
                <w:sz w:val="21"/>
                <w:szCs w:val="21"/>
              </w:rPr>
              <w:t>3</w:t>
            </w:r>
          </w:p>
        </w:tc>
      </w:tr>
      <w:tr w:rsidR="004E3021" w:rsidRPr="00786124" w:rsidTr="00786124">
        <w:trPr>
          <w:trHeight w:val="312"/>
        </w:trPr>
        <w:tc>
          <w:tcPr>
            <w:tcW w:w="2713"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溶解氧</w:t>
            </w:r>
          </w:p>
        </w:tc>
        <w:tc>
          <w:tcPr>
            <w:tcW w:w="3219"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≥5</w:t>
            </w:r>
          </w:p>
        </w:tc>
        <w:tc>
          <w:tcPr>
            <w:tcW w:w="3094" w:type="dxa"/>
          </w:tcPr>
          <w:p w:rsidR="004E3021" w:rsidRPr="00786124" w:rsidRDefault="00606E48">
            <w:pPr>
              <w:pStyle w:val="afffffff2"/>
              <w:rPr>
                <w:rFonts w:ascii="Times New Roman" w:hAnsi="Times New Roman" w:cs="Times New Roman"/>
                <w:kern w:val="0"/>
                <w:sz w:val="21"/>
                <w:szCs w:val="21"/>
              </w:rPr>
            </w:pPr>
            <w:r w:rsidRPr="00786124">
              <w:rPr>
                <w:rFonts w:ascii="Times New Roman" w:hAnsi="Times New Roman" w:cs="Times New Roman"/>
                <w:kern w:val="0"/>
                <w:sz w:val="21"/>
                <w:szCs w:val="21"/>
              </w:rPr>
              <w:t>≥3</w:t>
            </w:r>
          </w:p>
        </w:tc>
      </w:tr>
      <w:tr w:rsidR="00627A20" w:rsidRPr="00786124" w:rsidTr="00786124">
        <w:trPr>
          <w:trHeight w:val="312"/>
        </w:trPr>
        <w:tc>
          <w:tcPr>
            <w:tcW w:w="2713" w:type="dxa"/>
          </w:tcPr>
          <w:p w:rsidR="00627A20" w:rsidRPr="00786124" w:rsidRDefault="00627A20">
            <w:pPr>
              <w:pStyle w:val="afffffff2"/>
              <w:rPr>
                <w:rFonts w:cs="Times New Roman"/>
                <w:kern w:val="0"/>
                <w:sz w:val="21"/>
                <w:szCs w:val="21"/>
              </w:rPr>
            </w:pPr>
            <w:r>
              <w:rPr>
                <w:rFonts w:cs="Times New Roman" w:hint="eastAsia"/>
                <w:kern w:val="0"/>
                <w:sz w:val="21"/>
                <w:szCs w:val="21"/>
              </w:rPr>
              <w:t>总磷</w:t>
            </w:r>
          </w:p>
        </w:tc>
        <w:tc>
          <w:tcPr>
            <w:tcW w:w="3219" w:type="dxa"/>
          </w:tcPr>
          <w:p w:rsidR="00627A20" w:rsidRPr="00786124" w:rsidRDefault="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0.2</w:t>
            </w:r>
          </w:p>
        </w:tc>
        <w:tc>
          <w:tcPr>
            <w:tcW w:w="3094" w:type="dxa"/>
          </w:tcPr>
          <w:p w:rsidR="00627A20" w:rsidRPr="00786124" w:rsidRDefault="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0.3</w:t>
            </w:r>
          </w:p>
        </w:tc>
      </w:tr>
      <w:tr w:rsidR="00627A20" w:rsidRPr="00786124" w:rsidTr="00786124">
        <w:trPr>
          <w:trHeight w:val="312"/>
        </w:trPr>
        <w:tc>
          <w:tcPr>
            <w:tcW w:w="2713" w:type="dxa"/>
          </w:tcPr>
          <w:p w:rsidR="00627A20" w:rsidRPr="00786124" w:rsidRDefault="00627A20">
            <w:pPr>
              <w:pStyle w:val="afffffff2"/>
              <w:rPr>
                <w:rFonts w:cs="Times New Roman"/>
                <w:kern w:val="0"/>
                <w:sz w:val="21"/>
                <w:szCs w:val="21"/>
              </w:rPr>
            </w:pPr>
            <w:r>
              <w:rPr>
                <w:rFonts w:cs="Times New Roman" w:hint="eastAsia"/>
                <w:kern w:val="0"/>
                <w:sz w:val="21"/>
                <w:szCs w:val="21"/>
              </w:rPr>
              <w:t>硫化物</w:t>
            </w:r>
          </w:p>
        </w:tc>
        <w:tc>
          <w:tcPr>
            <w:tcW w:w="3219" w:type="dxa"/>
          </w:tcPr>
          <w:p w:rsidR="00627A20" w:rsidRPr="00786124" w:rsidRDefault="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0.2</w:t>
            </w:r>
          </w:p>
        </w:tc>
        <w:tc>
          <w:tcPr>
            <w:tcW w:w="3094" w:type="dxa"/>
          </w:tcPr>
          <w:p w:rsidR="00627A20" w:rsidRPr="00786124" w:rsidRDefault="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0.5</w:t>
            </w:r>
          </w:p>
        </w:tc>
      </w:tr>
      <w:tr w:rsidR="00627A20" w:rsidRPr="00786124" w:rsidTr="00786124">
        <w:trPr>
          <w:trHeight w:val="312"/>
        </w:trPr>
        <w:tc>
          <w:tcPr>
            <w:tcW w:w="2713" w:type="dxa"/>
          </w:tcPr>
          <w:p w:rsidR="00627A20" w:rsidRPr="00786124" w:rsidRDefault="00627A20" w:rsidP="00627A20">
            <w:pPr>
              <w:pStyle w:val="afffffff2"/>
              <w:rPr>
                <w:rFonts w:cs="Times New Roman"/>
                <w:kern w:val="0"/>
                <w:sz w:val="21"/>
                <w:szCs w:val="21"/>
              </w:rPr>
            </w:pPr>
            <w:r>
              <w:rPr>
                <w:rFonts w:cs="Times New Roman" w:hint="eastAsia"/>
                <w:kern w:val="0"/>
                <w:sz w:val="21"/>
                <w:szCs w:val="21"/>
              </w:rPr>
              <w:lastRenderedPageBreak/>
              <w:t>氟化物</w:t>
            </w:r>
          </w:p>
        </w:tc>
        <w:tc>
          <w:tcPr>
            <w:tcW w:w="3219" w:type="dxa"/>
          </w:tcPr>
          <w:p w:rsidR="00627A20" w:rsidRPr="00786124" w:rsidRDefault="00627A20" w:rsidP="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1.0</w:t>
            </w:r>
          </w:p>
        </w:tc>
        <w:tc>
          <w:tcPr>
            <w:tcW w:w="3094" w:type="dxa"/>
          </w:tcPr>
          <w:p w:rsidR="00627A20" w:rsidRPr="00786124" w:rsidRDefault="00627A20" w:rsidP="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1.5</w:t>
            </w:r>
          </w:p>
        </w:tc>
      </w:tr>
      <w:tr w:rsidR="00627A20" w:rsidRPr="00786124" w:rsidTr="00786124">
        <w:trPr>
          <w:trHeight w:val="312"/>
        </w:trPr>
        <w:tc>
          <w:tcPr>
            <w:tcW w:w="2713" w:type="dxa"/>
          </w:tcPr>
          <w:p w:rsidR="00627A20" w:rsidRPr="00786124" w:rsidRDefault="00627A20" w:rsidP="00627A20">
            <w:pPr>
              <w:pStyle w:val="afffffff2"/>
              <w:rPr>
                <w:rFonts w:cs="Times New Roman"/>
                <w:kern w:val="0"/>
                <w:sz w:val="21"/>
                <w:szCs w:val="21"/>
              </w:rPr>
            </w:pPr>
            <w:r>
              <w:rPr>
                <w:rFonts w:cs="Times New Roman" w:hint="eastAsia"/>
                <w:kern w:val="0"/>
                <w:sz w:val="21"/>
                <w:szCs w:val="21"/>
              </w:rPr>
              <w:t>挥发酚</w:t>
            </w:r>
          </w:p>
        </w:tc>
        <w:tc>
          <w:tcPr>
            <w:tcW w:w="3219" w:type="dxa"/>
          </w:tcPr>
          <w:p w:rsidR="00627A20" w:rsidRPr="00786124" w:rsidRDefault="00627A20" w:rsidP="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0.005</w:t>
            </w:r>
          </w:p>
        </w:tc>
        <w:tc>
          <w:tcPr>
            <w:tcW w:w="3094" w:type="dxa"/>
          </w:tcPr>
          <w:p w:rsidR="00627A20" w:rsidRPr="00786124" w:rsidRDefault="00627A20" w:rsidP="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0.01</w:t>
            </w:r>
          </w:p>
        </w:tc>
      </w:tr>
      <w:tr w:rsidR="00627A20" w:rsidRPr="00786124" w:rsidTr="00786124">
        <w:trPr>
          <w:trHeight w:val="312"/>
        </w:trPr>
        <w:tc>
          <w:tcPr>
            <w:tcW w:w="2713" w:type="dxa"/>
          </w:tcPr>
          <w:p w:rsidR="00627A20" w:rsidRPr="00786124" w:rsidRDefault="00627A20" w:rsidP="00627A20">
            <w:pPr>
              <w:pStyle w:val="afffffff2"/>
              <w:rPr>
                <w:rFonts w:cs="Times New Roman"/>
                <w:kern w:val="0"/>
                <w:sz w:val="21"/>
                <w:szCs w:val="21"/>
              </w:rPr>
            </w:pPr>
            <w:r>
              <w:rPr>
                <w:rFonts w:cs="Times New Roman" w:hint="eastAsia"/>
                <w:kern w:val="0"/>
                <w:sz w:val="21"/>
                <w:szCs w:val="21"/>
              </w:rPr>
              <w:t>铅</w:t>
            </w:r>
          </w:p>
        </w:tc>
        <w:tc>
          <w:tcPr>
            <w:tcW w:w="3219" w:type="dxa"/>
          </w:tcPr>
          <w:p w:rsidR="00627A20" w:rsidRPr="00786124" w:rsidRDefault="00627A20" w:rsidP="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0.05</w:t>
            </w:r>
          </w:p>
        </w:tc>
        <w:tc>
          <w:tcPr>
            <w:tcW w:w="3094" w:type="dxa"/>
          </w:tcPr>
          <w:p w:rsidR="00627A20" w:rsidRPr="00786124" w:rsidRDefault="00627A20" w:rsidP="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0.05</w:t>
            </w:r>
          </w:p>
        </w:tc>
      </w:tr>
      <w:tr w:rsidR="00627A20" w:rsidRPr="00786124" w:rsidTr="00786124">
        <w:trPr>
          <w:trHeight w:val="312"/>
        </w:trPr>
        <w:tc>
          <w:tcPr>
            <w:tcW w:w="2713" w:type="dxa"/>
          </w:tcPr>
          <w:p w:rsidR="00627A20" w:rsidRDefault="00627A20" w:rsidP="00627A20">
            <w:pPr>
              <w:pStyle w:val="afffffff2"/>
              <w:rPr>
                <w:rFonts w:cs="Times New Roman"/>
                <w:kern w:val="0"/>
                <w:sz w:val="21"/>
                <w:szCs w:val="21"/>
              </w:rPr>
            </w:pPr>
            <w:r>
              <w:rPr>
                <w:rFonts w:cs="Times New Roman" w:hint="eastAsia"/>
                <w:kern w:val="0"/>
                <w:sz w:val="21"/>
                <w:szCs w:val="21"/>
              </w:rPr>
              <w:t>镍</w:t>
            </w:r>
          </w:p>
        </w:tc>
        <w:tc>
          <w:tcPr>
            <w:tcW w:w="3219" w:type="dxa"/>
          </w:tcPr>
          <w:p w:rsidR="00627A20" w:rsidRPr="00786124" w:rsidRDefault="00627A20" w:rsidP="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0.02</w:t>
            </w:r>
          </w:p>
        </w:tc>
        <w:tc>
          <w:tcPr>
            <w:tcW w:w="3094" w:type="dxa"/>
          </w:tcPr>
          <w:p w:rsidR="00627A20" w:rsidRPr="00786124" w:rsidRDefault="00627A20" w:rsidP="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0.02</w:t>
            </w:r>
          </w:p>
        </w:tc>
      </w:tr>
      <w:tr w:rsidR="00627A20" w:rsidRPr="00786124" w:rsidTr="00786124">
        <w:trPr>
          <w:trHeight w:val="312"/>
        </w:trPr>
        <w:tc>
          <w:tcPr>
            <w:tcW w:w="2713" w:type="dxa"/>
          </w:tcPr>
          <w:p w:rsidR="00627A20" w:rsidRDefault="00627A20" w:rsidP="00627A20">
            <w:pPr>
              <w:pStyle w:val="afffffff2"/>
              <w:rPr>
                <w:rFonts w:cs="Times New Roman"/>
                <w:kern w:val="0"/>
                <w:sz w:val="21"/>
                <w:szCs w:val="21"/>
              </w:rPr>
            </w:pPr>
            <w:r>
              <w:rPr>
                <w:rFonts w:cs="Times New Roman" w:hint="eastAsia"/>
                <w:kern w:val="0"/>
                <w:sz w:val="21"/>
                <w:szCs w:val="21"/>
              </w:rPr>
              <w:t>砷</w:t>
            </w:r>
          </w:p>
        </w:tc>
        <w:tc>
          <w:tcPr>
            <w:tcW w:w="3219" w:type="dxa"/>
          </w:tcPr>
          <w:p w:rsidR="00627A20" w:rsidRPr="00786124" w:rsidRDefault="00627A20" w:rsidP="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0.05</w:t>
            </w:r>
          </w:p>
        </w:tc>
        <w:tc>
          <w:tcPr>
            <w:tcW w:w="3094" w:type="dxa"/>
          </w:tcPr>
          <w:p w:rsidR="00627A20" w:rsidRPr="00786124" w:rsidRDefault="00627A20" w:rsidP="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0.1</w:t>
            </w:r>
          </w:p>
        </w:tc>
      </w:tr>
      <w:tr w:rsidR="00627A20" w:rsidRPr="00786124" w:rsidTr="00786124">
        <w:trPr>
          <w:trHeight w:val="312"/>
        </w:trPr>
        <w:tc>
          <w:tcPr>
            <w:tcW w:w="2713" w:type="dxa"/>
          </w:tcPr>
          <w:p w:rsidR="00627A20" w:rsidRDefault="00627A20" w:rsidP="00627A20">
            <w:pPr>
              <w:pStyle w:val="afffffff2"/>
              <w:rPr>
                <w:rFonts w:cs="Times New Roman"/>
                <w:kern w:val="0"/>
                <w:sz w:val="21"/>
                <w:szCs w:val="21"/>
              </w:rPr>
            </w:pPr>
            <w:r>
              <w:rPr>
                <w:rFonts w:cs="Times New Roman" w:hint="eastAsia"/>
                <w:kern w:val="0"/>
                <w:sz w:val="21"/>
                <w:szCs w:val="21"/>
              </w:rPr>
              <w:t>铜</w:t>
            </w:r>
          </w:p>
        </w:tc>
        <w:tc>
          <w:tcPr>
            <w:tcW w:w="3219" w:type="dxa"/>
          </w:tcPr>
          <w:p w:rsidR="00627A20" w:rsidRPr="00786124" w:rsidRDefault="00627A20" w:rsidP="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1.0</w:t>
            </w:r>
          </w:p>
        </w:tc>
        <w:tc>
          <w:tcPr>
            <w:tcW w:w="3094" w:type="dxa"/>
          </w:tcPr>
          <w:p w:rsidR="00627A20" w:rsidRPr="00786124" w:rsidRDefault="00627A20" w:rsidP="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1.0</w:t>
            </w:r>
          </w:p>
        </w:tc>
      </w:tr>
      <w:tr w:rsidR="00627A20" w:rsidRPr="00786124" w:rsidTr="00786124">
        <w:trPr>
          <w:trHeight w:val="312"/>
        </w:trPr>
        <w:tc>
          <w:tcPr>
            <w:tcW w:w="2713" w:type="dxa"/>
          </w:tcPr>
          <w:p w:rsidR="00627A20" w:rsidRPr="00786124" w:rsidRDefault="00627A20" w:rsidP="00627A20">
            <w:pPr>
              <w:pStyle w:val="afffffff2"/>
              <w:rPr>
                <w:rFonts w:cs="Times New Roman"/>
                <w:kern w:val="0"/>
                <w:sz w:val="21"/>
                <w:szCs w:val="21"/>
              </w:rPr>
            </w:pPr>
            <w:r>
              <w:rPr>
                <w:rFonts w:cs="Times New Roman" w:hint="eastAsia"/>
                <w:kern w:val="0"/>
                <w:sz w:val="21"/>
                <w:szCs w:val="21"/>
              </w:rPr>
              <w:t>锌</w:t>
            </w:r>
          </w:p>
        </w:tc>
        <w:tc>
          <w:tcPr>
            <w:tcW w:w="3219" w:type="dxa"/>
          </w:tcPr>
          <w:p w:rsidR="00627A20" w:rsidRPr="00786124" w:rsidRDefault="00627A20" w:rsidP="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1.0</w:t>
            </w:r>
          </w:p>
        </w:tc>
        <w:tc>
          <w:tcPr>
            <w:tcW w:w="3094" w:type="dxa"/>
          </w:tcPr>
          <w:p w:rsidR="00627A20" w:rsidRPr="00786124" w:rsidRDefault="00627A20" w:rsidP="00627A20">
            <w:pPr>
              <w:pStyle w:val="afffffff2"/>
              <w:rPr>
                <w:rFonts w:cs="Times New Roman"/>
                <w:kern w:val="0"/>
                <w:sz w:val="21"/>
                <w:szCs w:val="21"/>
              </w:rPr>
            </w:pPr>
            <w:r w:rsidRPr="00786124">
              <w:rPr>
                <w:rFonts w:ascii="Times New Roman" w:hAnsi="Times New Roman" w:cs="Times New Roman"/>
                <w:kern w:val="0"/>
                <w:sz w:val="21"/>
                <w:szCs w:val="21"/>
              </w:rPr>
              <w:t>≤</w:t>
            </w:r>
            <w:r>
              <w:rPr>
                <w:rFonts w:ascii="Times New Roman" w:hAnsi="Times New Roman" w:cs="Times New Roman"/>
                <w:kern w:val="0"/>
                <w:sz w:val="21"/>
                <w:szCs w:val="21"/>
              </w:rPr>
              <w:t>2.0</w:t>
            </w:r>
          </w:p>
        </w:tc>
      </w:tr>
    </w:tbl>
    <w:p w:rsidR="004E3021" w:rsidRDefault="00606E48">
      <w:pPr>
        <w:ind w:firstLine="480"/>
      </w:pPr>
      <w:r>
        <w:t>（</w:t>
      </w:r>
      <w:r>
        <w:t>2</w:t>
      </w:r>
      <w:r>
        <w:t>）污染物排放标准</w:t>
      </w:r>
    </w:p>
    <w:p w:rsidR="004E3021" w:rsidRDefault="001D4C8B">
      <w:pPr>
        <w:ind w:firstLine="480"/>
      </w:pPr>
      <w:r>
        <w:rPr>
          <w:rFonts w:ascii="宋体" w:hAnsi="宋体" w:hint="eastAsia"/>
        </w:rPr>
        <w:t>本</w:t>
      </w:r>
      <w:r w:rsidR="00606E48">
        <w:rPr>
          <w:rFonts w:ascii="宋体" w:hAnsi="宋体"/>
        </w:rPr>
        <w:t>项目各类废水经厂内污水处理区处理达到沫河口园区污水处理厂接管标准</w:t>
      </w:r>
      <w:r w:rsidR="00606E48">
        <w:rPr>
          <w:rFonts w:ascii="宋体" w:hAnsi="宋体" w:hint="eastAsia"/>
        </w:rPr>
        <w:t>、《污水综合排放标准》（</w:t>
      </w:r>
      <w:r w:rsidR="00606E48">
        <w:rPr>
          <w:rFonts w:hint="eastAsia"/>
        </w:rPr>
        <w:t>G</w:t>
      </w:r>
      <w:r w:rsidR="00606E48">
        <w:t>B8978-1996</w:t>
      </w:r>
      <w:r w:rsidR="00606E48">
        <w:rPr>
          <w:rFonts w:ascii="宋体" w:hAnsi="宋体" w:hint="eastAsia"/>
        </w:rPr>
        <w:t>）中表</w:t>
      </w:r>
      <w:r w:rsidR="00606E48">
        <w:rPr>
          <w:rFonts w:hint="eastAsia"/>
        </w:rPr>
        <w:t>4</w:t>
      </w:r>
      <w:r w:rsidR="00606E48">
        <w:rPr>
          <w:rFonts w:ascii="宋体" w:hAnsi="宋体" w:hint="eastAsia"/>
        </w:rPr>
        <w:t>的三级标准和</w:t>
      </w:r>
      <w:r w:rsidR="00606E48">
        <w:rPr>
          <w:rFonts w:hint="eastAsia"/>
        </w:rPr>
        <w:t>《无机化学工业污染物排放标准》（</w:t>
      </w:r>
      <w:r w:rsidR="00606E48">
        <w:rPr>
          <w:rFonts w:hint="eastAsia"/>
        </w:rPr>
        <w:t>GB31573-2015</w:t>
      </w:r>
      <w:r w:rsidR="00606E48">
        <w:rPr>
          <w:rFonts w:hint="eastAsia"/>
        </w:rPr>
        <w:t>）水污染物间接排放限值</w:t>
      </w:r>
      <w:r w:rsidR="00606E48">
        <w:rPr>
          <w:rFonts w:ascii="宋体" w:hAnsi="宋体" w:hint="eastAsia"/>
        </w:rPr>
        <w:t>，尾水经沫河口污水处理厂处理后达到《城镇污水处理厂污染物排放标准》（</w:t>
      </w:r>
      <w:r w:rsidR="00606E48">
        <w:rPr>
          <w:rFonts w:hint="eastAsia"/>
        </w:rPr>
        <w:t>G</w:t>
      </w:r>
      <w:r w:rsidR="00606E48">
        <w:t>B18918-2002</w:t>
      </w:r>
      <w:r w:rsidR="00606E48">
        <w:rPr>
          <w:rFonts w:ascii="宋体" w:hAnsi="宋体" w:hint="eastAsia"/>
        </w:rPr>
        <w:t>）中一级</w:t>
      </w:r>
      <w:r w:rsidR="00606E48">
        <w:rPr>
          <w:rFonts w:hint="eastAsia"/>
        </w:rPr>
        <w:t>A</w:t>
      </w:r>
      <w:r w:rsidR="00606E48">
        <w:rPr>
          <w:rFonts w:ascii="宋体" w:hAnsi="宋体" w:hint="eastAsia"/>
        </w:rPr>
        <w:t>标准后排入沫冲引河</w:t>
      </w:r>
      <w:r w:rsidR="00627A20">
        <w:rPr>
          <w:rFonts w:ascii="宋体" w:hAnsi="宋体" w:hint="eastAsia"/>
        </w:rPr>
        <w:t>经三浦大沟</w:t>
      </w:r>
      <w:r w:rsidR="00606E48">
        <w:rPr>
          <w:rFonts w:ascii="宋体" w:hAnsi="宋体" w:hint="eastAsia"/>
        </w:rPr>
        <w:t>汇入淮河（蚌埠段）。具体排放标准见表</w:t>
      </w:r>
      <w:r w:rsidR="00606E48">
        <w:rPr>
          <w:rFonts w:hint="eastAsia"/>
        </w:rPr>
        <w:t>2</w:t>
      </w:r>
      <w:r w:rsidR="00606E48">
        <w:t>.2.3-</w:t>
      </w:r>
      <w:r>
        <w:t>6</w:t>
      </w:r>
      <w:r w:rsidR="00606E48">
        <w:rPr>
          <w:rFonts w:ascii="宋体" w:hAnsi="宋体" w:hint="eastAsia"/>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rPr>
        <w:t>2.2.3-</w:t>
      </w:r>
      <w:r w:rsidR="001D4C8B">
        <w:rPr>
          <w:rFonts w:eastAsia="黑体"/>
        </w:rPr>
        <w:t>6</w:t>
      </w:r>
      <w:r>
        <w:rPr>
          <w:rFonts w:eastAsia="黑体"/>
        </w:rPr>
        <w:t xml:space="preserve">  </w:t>
      </w:r>
      <w:r>
        <w:rPr>
          <w:rFonts w:ascii="黑体" w:eastAsia="黑体" w:hAnsi="黑体" w:hint="eastAsia"/>
        </w:rPr>
        <w:t>废水污染物排放标准主要指标值表（单位：</w:t>
      </w:r>
      <w:r>
        <w:rPr>
          <w:rFonts w:eastAsia="黑体"/>
        </w:rPr>
        <w:t>mg/L</w:t>
      </w:r>
      <w:r>
        <w:rPr>
          <w:rFonts w:ascii="黑体" w:eastAsia="黑体" w:hAnsi="黑体" w:hint="eastAsia"/>
        </w:rPr>
        <w:t>，</w:t>
      </w:r>
      <w:r>
        <w:rPr>
          <w:rFonts w:eastAsia="黑体"/>
        </w:rPr>
        <w:t>pH</w:t>
      </w:r>
      <w:r>
        <w:rPr>
          <w:rFonts w:ascii="黑体" w:eastAsia="黑体" w:hAnsi="黑体" w:hint="eastAsia"/>
        </w:rPr>
        <w:t>无量纲）</w:t>
      </w:r>
    </w:p>
    <w:tbl>
      <w:tblPr>
        <w:tblStyle w:val="afff"/>
        <w:tblW w:w="5000" w:type="pct"/>
        <w:tblLook w:val="04A0" w:firstRow="1" w:lastRow="0" w:firstColumn="1" w:lastColumn="0" w:noHBand="0" w:noVBand="1"/>
      </w:tblPr>
      <w:tblGrid>
        <w:gridCol w:w="562"/>
        <w:gridCol w:w="1626"/>
        <w:gridCol w:w="1005"/>
        <w:gridCol w:w="1469"/>
        <w:gridCol w:w="1350"/>
        <w:gridCol w:w="1350"/>
        <w:gridCol w:w="1664"/>
      </w:tblGrid>
      <w:tr w:rsidR="004E3021" w:rsidRPr="001D4C8B" w:rsidTr="001D4C8B">
        <w:trPr>
          <w:trHeight w:val="20"/>
        </w:trPr>
        <w:tc>
          <w:tcPr>
            <w:tcW w:w="311" w:type="pct"/>
            <w:vAlign w:val="center"/>
          </w:tcPr>
          <w:p w:rsidR="004E3021" w:rsidRPr="001D4C8B" w:rsidRDefault="00606E48" w:rsidP="001D4C8B">
            <w:pPr>
              <w:pStyle w:val="afffffff2"/>
              <w:rPr>
                <w:rFonts w:ascii="Times New Roman" w:hAnsi="Times New Roman" w:cs="Times New Roman"/>
                <w:b/>
                <w:kern w:val="0"/>
                <w:sz w:val="21"/>
                <w:szCs w:val="21"/>
              </w:rPr>
            </w:pPr>
            <w:r w:rsidRPr="001D4C8B">
              <w:rPr>
                <w:rFonts w:ascii="Times New Roman" w:hAnsi="Times New Roman" w:cs="Times New Roman"/>
                <w:b/>
                <w:kern w:val="0"/>
                <w:sz w:val="21"/>
                <w:szCs w:val="21"/>
              </w:rPr>
              <w:t>序号</w:t>
            </w:r>
          </w:p>
        </w:tc>
        <w:tc>
          <w:tcPr>
            <w:tcW w:w="900" w:type="pct"/>
            <w:vAlign w:val="center"/>
          </w:tcPr>
          <w:p w:rsidR="004E3021" w:rsidRPr="001D4C8B" w:rsidRDefault="00606E48" w:rsidP="001D4C8B">
            <w:pPr>
              <w:pStyle w:val="afffffff2"/>
              <w:rPr>
                <w:rFonts w:ascii="Times New Roman" w:hAnsi="Times New Roman" w:cs="Times New Roman"/>
                <w:b/>
                <w:kern w:val="0"/>
                <w:sz w:val="21"/>
                <w:szCs w:val="21"/>
              </w:rPr>
            </w:pPr>
            <w:r w:rsidRPr="001D4C8B">
              <w:rPr>
                <w:rFonts w:ascii="Times New Roman" w:hAnsi="Times New Roman" w:cs="Times New Roman"/>
                <w:b/>
                <w:kern w:val="0"/>
                <w:sz w:val="21"/>
                <w:szCs w:val="21"/>
              </w:rPr>
              <w:t>污染物</w:t>
            </w:r>
          </w:p>
        </w:tc>
        <w:tc>
          <w:tcPr>
            <w:tcW w:w="557" w:type="pct"/>
            <w:vAlign w:val="center"/>
          </w:tcPr>
          <w:p w:rsidR="004E3021" w:rsidRPr="001D4C8B" w:rsidRDefault="00606E48" w:rsidP="001D4C8B">
            <w:pPr>
              <w:pStyle w:val="afffffff2"/>
              <w:rPr>
                <w:rFonts w:ascii="Times New Roman" w:hAnsi="Times New Roman" w:cs="Times New Roman"/>
                <w:b/>
                <w:kern w:val="0"/>
                <w:sz w:val="21"/>
                <w:szCs w:val="21"/>
              </w:rPr>
            </w:pPr>
            <w:r w:rsidRPr="001D4C8B">
              <w:rPr>
                <w:rFonts w:ascii="Times New Roman" w:hAnsi="Times New Roman" w:cs="Times New Roman"/>
                <w:b/>
                <w:kern w:val="0"/>
                <w:sz w:val="21"/>
                <w:szCs w:val="21"/>
              </w:rPr>
              <w:t>污水处理厂接管标准</w:t>
            </w:r>
          </w:p>
        </w:tc>
        <w:tc>
          <w:tcPr>
            <w:tcW w:w="814" w:type="pct"/>
            <w:vAlign w:val="center"/>
          </w:tcPr>
          <w:p w:rsidR="004E3021" w:rsidRPr="001D4C8B" w:rsidRDefault="00606E48" w:rsidP="001D4C8B">
            <w:pPr>
              <w:pStyle w:val="afffffff2"/>
              <w:rPr>
                <w:rFonts w:ascii="Times New Roman" w:hAnsi="Times New Roman" w:cs="Times New Roman"/>
                <w:b/>
                <w:kern w:val="0"/>
                <w:sz w:val="21"/>
                <w:szCs w:val="21"/>
              </w:rPr>
            </w:pPr>
            <w:r w:rsidRPr="001D4C8B">
              <w:rPr>
                <w:rFonts w:ascii="Times New Roman" w:hAnsi="Times New Roman" w:cs="Times New Roman"/>
                <w:b/>
                <w:kern w:val="0"/>
                <w:sz w:val="21"/>
                <w:szCs w:val="21"/>
              </w:rPr>
              <w:t>GB8978-1996</w:t>
            </w:r>
            <w:r w:rsidRPr="001D4C8B">
              <w:rPr>
                <w:rFonts w:ascii="Times New Roman" w:hAnsi="Times New Roman" w:cs="Times New Roman"/>
                <w:b/>
                <w:kern w:val="0"/>
                <w:sz w:val="21"/>
                <w:szCs w:val="21"/>
              </w:rPr>
              <w:t>三级标准</w:t>
            </w:r>
          </w:p>
        </w:tc>
        <w:tc>
          <w:tcPr>
            <w:tcW w:w="748" w:type="pct"/>
            <w:vAlign w:val="center"/>
          </w:tcPr>
          <w:p w:rsidR="004E3021" w:rsidRPr="001D4C8B" w:rsidRDefault="00606E48" w:rsidP="001D4C8B">
            <w:pPr>
              <w:pStyle w:val="afffffff2"/>
              <w:rPr>
                <w:rFonts w:ascii="Times New Roman" w:hAnsi="Times New Roman" w:cs="Times New Roman"/>
                <w:b/>
                <w:kern w:val="0"/>
                <w:sz w:val="21"/>
                <w:szCs w:val="21"/>
              </w:rPr>
            </w:pPr>
            <w:r w:rsidRPr="001D4C8B">
              <w:rPr>
                <w:rFonts w:ascii="Times New Roman" w:hAnsi="Times New Roman" w:cs="Times New Roman"/>
                <w:b/>
                <w:kern w:val="0"/>
                <w:sz w:val="21"/>
                <w:szCs w:val="21"/>
              </w:rPr>
              <w:t>GB31573-2015</w:t>
            </w:r>
            <w:r w:rsidRPr="001D4C8B">
              <w:rPr>
                <w:rFonts w:ascii="Times New Roman" w:hAnsi="Times New Roman" w:cs="Times New Roman"/>
                <w:b/>
                <w:kern w:val="0"/>
                <w:sz w:val="21"/>
                <w:szCs w:val="21"/>
              </w:rPr>
              <w:t>间接排放标准</w:t>
            </w:r>
          </w:p>
        </w:tc>
        <w:tc>
          <w:tcPr>
            <w:tcW w:w="748" w:type="pct"/>
            <w:vAlign w:val="center"/>
          </w:tcPr>
          <w:p w:rsidR="004E3021" w:rsidRPr="001D4C8B" w:rsidRDefault="00606E48" w:rsidP="001D4C8B">
            <w:pPr>
              <w:pStyle w:val="afffffff2"/>
              <w:rPr>
                <w:rFonts w:ascii="Times New Roman" w:hAnsi="Times New Roman" w:cs="Times New Roman"/>
                <w:b/>
                <w:kern w:val="0"/>
                <w:sz w:val="21"/>
                <w:szCs w:val="21"/>
              </w:rPr>
            </w:pPr>
            <w:r w:rsidRPr="001D4C8B">
              <w:rPr>
                <w:rFonts w:ascii="Times New Roman" w:hAnsi="Times New Roman" w:cs="Times New Roman"/>
                <w:b/>
                <w:kern w:val="0"/>
                <w:sz w:val="21"/>
                <w:szCs w:val="21"/>
              </w:rPr>
              <w:t>废水总排口执行标准</w:t>
            </w:r>
          </w:p>
        </w:tc>
        <w:tc>
          <w:tcPr>
            <w:tcW w:w="923" w:type="pct"/>
            <w:vAlign w:val="center"/>
          </w:tcPr>
          <w:p w:rsidR="004E3021" w:rsidRPr="001D4C8B" w:rsidRDefault="00606E48" w:rsidP="001D4C8B">
            <w:pPr>
              <w:pStyle w:val="afffffff2"/>
              <w:rPr>
                <w:rFonts w:ascii="Times New Roman" w:hAnsi="Times New Roman" w:cs="Times New Roman"/>
                <w:b/>
                <w:kern w:val="0"/>
                <w:sz w:val="21"/>
                <w:szCs w:val="21"/>
              </w:rPr>
            </w:pPr>
            <w:r w:rsidRPr="001D4C8B">
              <w:rPr>
                <w:rFonts w:ascii="Times New Roman" w:hAnsi="Times New Roman" w:cs="Times New Roman"/>
                <w:b/>
                <w:kern w:val="0"/>
                <w:sz w:val="21"/>
                <w:szCs w:val="21"/>
              </w:rPr>
              <w:t>GB18918-2002</w:t>
            </w:r>
            <w:r w:rsidRPr="001D4C8B">
              <w:rPr>
                <w:rFonts w:ascii="Times New Roman" w:hAnsi="Times New Roman" w:cs="Times New Roman"/>
                <w:b/>
                <w:kern w:val="0"/>
                <w:sz w:val="21"/>
                <w:szCs w:val="21"/>
              </w:rPr>
              <w:t>一级</w:t>
            </w:r>
            <w:r w:rsidRPr="001D4C8B">
              <w:rPr>
                <w:rFonts w:ascii="Times New Roman" w:hAnsi="Times New Roman" w:cs="Times New Roman"/>
                <w:b/>
                <w:kern w:val="0"/>
                <w:sz w:val="21"/>
                <w:szCs w:val="21"/>
              </w:rPr>
              <w:t>A</w:t>
            </w:r>
            <w:r w:rsidRPr="001D4C8B">
              <w:rPr>
                <w:rFonts w:ascii="Times New Roman" w:hAnsi="Times New Roman" w:cs="Times New Roman"/>
                <w:b/>
                <w:kern w:val="0"/>
                <w:sz w:val="21"/>
                <w:szCs w:val="21"/>
              </w:rPr>
              <w:t>标准</w:t>
            </w:r>
          </w:p>
        </w:tc>
      </w:tr>
      <w:tr w:rsidR="004E3021" w:rsidRPr="001D4C8B" w:rsidTr="001D4C8B">
        <w:trPr>
          <w:trHeight w:val="20"/>
        </w:trPr>
        <w:tc>
          <w:tcPr>
            <w:tcW w:w="311"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w:t>
            </w:r>
          </w:p>
        </w:tc>
        <w:tc>
          <w:tcPr>
            <w:tcW w:w="90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pH</w:t>
            </w:r>
          </w:p>
        </w:tc>
        <w:tc>
          <w:tcPr>
            <w:tcW w:w="557"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6~9</w:t>
            </w:r>
          </w:p>
        </w:tc>
        <w:tc>
          <w:tcPr>
            <w:tcW w:w="81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6~9</w:t>
            </w:r>
          </w:p>
        </w:tc>
        <w:tc>
          <w:tcPr>
            <w:tcW w:w="748"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6~9</w:t>
            </w:r>
          </w:p>
        </w:tc>
        <w:tc>
          <w:tcPr>
            <w:tcW w:w="748"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6~9</w:t>
            </w:r>
          </w:p>
        </w:tc>
        <w:tc>
          <w:tcPr>
            <w:tcW w:w="923"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6~9</w:t>
            </w:r>
          </w:p>
        </w:tc>
      </w:tr>
      <w:tr w:rsidR="004E3021" w:rsidRPr="001D4C8B" w:rsidTr="001D4C8B">
        <w:trPr>
          <w:trHeight w:val="20"/>
        </w:trPr>
        <w:tc>
          <w:tcPr>
            <w:tcW w:w="311"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2</w:t>
            </w:r>
          </w:p>
        </w:tc>
        <w:tc>
          <w:tcPr>
            <w:tcW w:w="90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BOD</w:t>
            </w:r>
            <w:r w:rsidRPr="001D4C8B">
              <w:rPr>
                <w:rFonts w:ascii="Times New Roman" w:hAnsi="Times New Roman" w:cs="Times New Roman"/>
                <w:kern w:val="0"/>
                <w:sz w:val="21"/>
                <w:szCs w:val="21"/>
                <w:vertAlign w:val="subscript"/>
              </w:rPr>
              <w:t>5</w:t>
            </w:r>
          </w:p>
        </w:tc>
        <w:tc>
          <w:tcPr>
            <w:tcW w:w="557"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120</w:t>
            </w:r>
          </w:p>
        </w:tc>
        <w:tc>
          <w:tcPr>
            <w:tcW w:w="81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300</w:t>
            </w:r>
          </w:p>
        </w:tc>
        <w:tc>
          <w:tcPr>
            <w:tcW w:w="748"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w:t>
            </w:r>
          </w:p>
        </w:tc>
        <w:tc>
          <w:tcPr>
            <w:tcW w:w="748"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120</w:t>
            </w:r>
          </w:p>
        </w:tc>
        <w:tc>
          <w:tcPr>
            <w:tcW w:w="923"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w:t>
            </w:r>
          </w:p>
        </w:tc>
      </w:tr>
      <w:tr w:rsidR="004E3021" w:rsidRPr="001D4C8B" w:rsidTr="001D4C8B">
        <w:trPr>
          <w:trHeight w:val="20"/>
        </w:trPr>
        <w:tc>
          <w:tcPr>
            <w:tcW w:w="311"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3</w:t>
            </w:r>
          </w:p>
        </w:tc>
        <w:tc>
          <w:tcPr>
            <w:tcW w:w="90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COD</w:t>
            </w:r>
          </w:p>
        </w:tc>
        <w:tc>
          <w:tcPr>
            <w:tcW w:w="557"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500</w:t>
            </w:r>
          </w:p>
        </w:tc>
        <w:tc>
          <w:tcPr>
            <w:tcW w:w="81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500</w:t>
            </w:r>
          </w:p>
        </w:tc>
        <w:tc>
          <w:tcPr>
            <w:tcW w:w="748"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200</w:t>
            </w:r>
          </w:p>
        </w:tc>
        <w:tc>
          <w:tcPr>
            <w:tcW w:w="748"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200</w:t>
            </w:r>
          </w:p>
        </w:tc>
        <w:tc>
          <w:tcPr>
            <w:tcW w:w="923"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50</w:t>
            </w:r>
          </w:p>
        </w:tc>
      </w:tr>
      <w:tr w:rsidR="004E3021" w:rsidRPr="001D4C8B" w:rsidTr="001D4C8B">
        <w:trPr>
          <w:trHeight w:val="20"/>
        </w:trPr>
        <w:tc>
          <w:tcPr>
            <w:tcW w:w="311"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4</w:t>
            </w:r>
          </w:p>
        </w:tc>
        <w:tc>
          <w:tcPr>
            <w:tcW w:w="90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SS</w:t>
            </w:r>
          </w:p>
        </w:tc>
        <w:tc>
          <w:tcPr>
            <w:tcW w:w="557"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200</w:t>
            </w:r>
          </w:p>
        </w:tc>
        <w:tc>
          <w:tcPr>
            <w:tcW w:w="81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400</w:t>
            </w:r>
          </w:p>
        </w:tc>
        <w:tc>
          <w:tcPr>
            <w:tcW w:w="748"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100</w:t>
            </w:r>
          </w:p>
        </w:tc>
        <w:tc>
          <w:tcPr>
            <w:tcW w:w="748"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100</w:t>
            </w:r>
          </w:p>
        </w:tc>
        <w:tc>
          <w:tcPr>
            <w:tcW w:w="923"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w:t>
            </w:r>
          </w:p>
        </w:tc>
      </w:tr>
      <w:tr w:rsidR="004E3021" w:rsidRPr="001D4C8B" w:rsidTr="001D4C8B">
        <w:trPr>
          <w:trHeight w:val="20"/>
        </w:trPr>
        <w:tc>
          <w:tcPr>
            <w:tcW w:w="311"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5</w:t>
            </w:r>
          </w:p>
        </w:tc>
        <w:tc>
          <w:tcPr>
            <w:tcW w:w="90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氨氮</w:t>
            </w:r>
          </w:p>
        </w:tc>
        <w:tc>
          <w:tcPr>
            <w:tcW w:w="557"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30</w:t>
            </w:r>
          </w:p>
        </w:tc>
        <w:tc>
          <w:tcPr>
            <w:tcW w:w="81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w:t>
            </w:r>
          </w:p>
        </w:tc>
        <w:tc>
          <w:tcPr>
            <w:tcW w:w="748"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40</w:t>
            </w:r>
          </w:p>
        </w:tc>
        <w:tc>
          <w:tcPr>
            <w:tcW w:w="748"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30</w:t>
            </w:r>
          </w:p>
        </w:tc>
        <w:tc>
          <w:tcPr>
            <w:tcW w:w="923"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5</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8</w:t>
            </w:r>
            <w:r w:rsidRPr="001D4C8B">
              <w:rPr>
                <w:rFonts w:ascii="Times New Roman" w:hAnsi="Times New Roman" w:cs="Times New Roman"/>
                <w:kern w:val="0"/>
                <w:sz w:val="21"/>
                <w:szCs w:val="21"/>
              </w:rPr>
              <w:t>）</w:t>
            </w:r>
          </w:p>
        </w:tc>
      </w:tr>
      <w:tr w:rsidR="004E3021" w:rsidRPr="001D4C8B" w:rsidTr="001D4C8B">
        <w:trPr>
          <w:trHeight w:val="20"/>
        </w:trPr>
        <w:tc>
          <w:tcPr>
            <w:tcW w:w="311"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6</w:t>
            </w:r>
          </w:p>
        </w:tc>
        <w:tc>
          <w:tcPr>
            <w:tcW w:w="90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TP</w:t>
            </w:r>
          </w:p>
        </w:tc>
        <w:tc>
          <w:tcPr>
            <w:tcW w:w="557"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3.5</w:t>
            </w:r>
          </w:p>
        </w:tc>
        <w:tc>
          <w:tcPr>
            <w:tcW w:w="81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w:t>
            </w:r>
          </w:p>
        </w:tc>
        <w:tc>
          <w:tcPr>
            <w:tcW w:w="748"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2</w:t>
            </w:r>
          </w:p>
        </w:tc>
        <w:tc>
          <w:tcPr>
            <w:tcW w:w="748"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2</w:t>
            </w:r>
          </w:p>
        </w:tc>
        <w:tc>
          <w:tcPr>
            <w:tcW w:w="923"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0.5</w:t>
            </w:r>
          </w:p>
        </w:tc>
      </w:tr>
      <w:tr w:rsidR="004E3021" w:rsidRPr="001D4C8B" w:rsidTr="001D4C8B">
        <w:trPr>
          <w:trHeight w:val="20"/>
        </w:trPr>
        <w:tc>
          <w:tcPr>
            <w:tcW w:w="311"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7</w:t>
            </w:r>
          </w:p>
        </w:tc>
        <w:tc>
          <w:tcPr>
            <w:tcW w:w="900" w:type="pct"/>
            <w:vAlign w:val="center"/>
          </w:tcPr>
          <w:p w:rsidR="004E3021" w:rsidRPr="001D4C8B" w:rsidRDefault="001D4C8B" w:rsidP="001D4C8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动植物油</w:t>
            </w:r>
          </w:p>
        </w:tc>
        <w:tc>
          <w:tcPr>
            <w:tcW w:w="557" w:type="pct"/>
            <w:vAlign w:val="center"/>
          </w:tcPr>
          <w:p w:rsidR="004E3021" w:rsidRPr="001D4C8B" w:rsidRDefault="001D4C8B" w:rsidP="001D4C8B">
            <w:pPr>
              <w:pStyle w:val="afffffff2"/>
              <w:rPr>
                <w:rFonts w:ascii="Times New Roman" w:hAnsi="Times New Roman" w:cs="Times New Roman"/>
                <w:kern w:val="0"/>
                <w:sz w:val="21"/>
                <w:szCs w:val="21"/>
              </w:rPr>
            </w:pPr>
            <w:r>
              <w:rPr>
                <w:rFonts w:ascii="Times New Roman" w:hAnsi="Times New Roman" w:cs="Times New Roman"/>
                <w:kern w:val="0"/>
                <w:sz w:val="21"/>
                <w:szCs w:val="21"/>
              </w:rPr>
              <w:t>/</w:t>
            </w:r>
          </w:p>
        </w:tc>
        <w:tc>
          <w:tcPr>
            <w:tcW w:w="814" w:type="pct"/>
            <w:vAlign w:val="center"/>
          </w:tcPr>
          <w:p w:rsidR="004E3021" w:rsidRPr="001D4C8B" w:rsidRDefault="001D4C8B" w:rsidP="001D4C8B">
            <w:pPr>
              <w:pStyle w:val="afffffff2"/>
              <w:rPr>
                <w:rFonts w:ascii="Times New Roman" w:hAnsi="Times New Roman" w:cs="Times New Roman"/>
                <w:kern w:val="0"/>
                <w:sz w:val="21"/>
                <w:szCs w:val="21"/>
              </w:rPr>
            </w:pPr>
            <w:r>
              <w:rPr>
                <w:rFonts w:ascii="Times New Roman" w:hAnsi="Times New Roman" w:cs="Times New Roman"/>
                <w:kern w:val="0"/>
                <w:sz w:val="21"/>
                <w:szCs w:val="21"/>
              </w:rPr>
              <w:t>100</w:t>
            </w:r>
          </w:p>
        </w:tc>
        <w:tc>
          <w:tcPr>
            <w:tcW w:w="748" w:type="pct"/>
            <w:vAlign w:val="center"/>
          </w:tcPr>
          <w:p w:rsidR="004E3021" w:rsidRPr="001D4C8B" w:rsidRDefault="001D4C8B" w:rsidP="001D4C8B">
            <w:pPr>
              <w:pStyle w:val="afffffff2"/>
              <w:rPr>
                <w:rFonts w:ascii="Times New Roman" w:hAnsi="Times New Roman" w:cs="Times New Roman"/>
                <w:kern w:val="0"/>
                <w:sz w:val="21"/>
                <w:szCs w:val="21"/>
              </w:rPr>
            </w:pPr>
            <w:r>
              <w:rPr>
                <w:rFonts w:ascii="Times New Roman" w:hAnsi="Times New Roman" w:cs="Times New Roman"/>
                <w:kern w:val="0"/>
                <w:sz w:val="21"/>
                <w:szCs w:val="21"/>
              </w:rPr>
              <w:t>/</w:t>
            </w:r>
          </w:p>
        </w:tc>
        <w:tc>
          <w:tcPr>
            <w:tcW w:w="748" w:type="pct"/>
            <w:shd w:val="clear" w:color="auto" w:fill="A6A6A6" w:themeFill="background1" w:themeFillShade="A6"/>
            <w:vAlign w:val="center"/>
          </w:tcPr>
          <w:p w:rsidR="004E3021" w:rsidRPr="001D4C8B" w:rsidRDefault="001D4C8B" w:rsidP="001D4C8B">
            <w:pPr>
              <w:pStyle w:val="afffffff2"/>
              <w:rPr>
                <w:rFonts w:ascii="Times New Roman" w:hAnsi="Times New Roman" w:cs="Times New Roman"/>
                <w:kern w:val="0"/>
                <w:sz w:val="21"/>
                <w:szCs w:val="21"/>
              </w:rPr>
            </w:pPr>
            <w:r>
              <w:rPr>
                <w:rFonts w:ascii="Times New Roman" w:hAnsi="Times New Roman" w:cs="Times New Roman"/>
                <w:kern w:val="0"/>
                <w:sz w:val="21"/>
                <w:szCs w:val="21"/>
              </w:rPr>
              <w:t>100</w:t>
            </w:r>
          </w:p>
        </w:tc>
        <w:tc>
          <w:tcPr>
            <w:tcW w:w="923" w:type="pct"/>
            <w:vAlign w:val="center"/>
          </w:tcPr>
          <w:p w:rsidR="004E3021" w:rsidRPr="001D4C8B" w:rsidRDefault="001D4C8B" w:rsidP="001D4C8B">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p>
        </w:tc>
      </w:tr>
      <w:tr w:rsidR="004E3021" w:rsidRPr="001D4C8B" w:rsidTr="001D4C8B">
        <w:trPr>
          <w:trHeight w:val="20"/>
        </w:trPr>
        <w:tc>
          <w:tcPr>
            <w:tcW w:w="311"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8</w:t>
            </w:r>
          </w:p>
        </w:tc>
        <w:tc>
          <w:tcPr>
            <w:tcW w:w="90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总盐</w:t>
            </w:r>
          </w:p>
        </w:tc>
        <w:tc>
          <w:tcPr>
            <w:tcW w:w="557"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6000</w:t>
            </w:r>
          </w:p>
        </w:tc>
        <w:tc>
          <w:tcPr>
            <w:tcW w:w="81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w:t>
            </w:r>
          </w:p>
        </w:tc>
        <w:tc>
          <w:tcPr>
            <w:tcW w:w="748"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w:t>
            </w:r>
          </w:p>
        </w:tc>
        <w:tc>
          <w:tcPr>
            <w:tcW w:w="748"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6000</w:t>
            </w:r>
          </w:p>
        </w:tc>
        <w:tc>
          <w:tcPr>
            <w:tcW w:w="923"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w:t>
            </w:r>
          </w:p>
        </w:tc>
      </w:tr>
    </w:tbl>
    <w:p w:rsidR="004E3021" w:rsidRDefault="00606E48">
      <w:pPr>
        <w:pStyle w:val="4a"/>
        <w:rPr>
          <w:szCs w:val="24"/>
        </w:rPr>
      </w:pPr>
      <w:r>
        <w:rPr>
          <w:rFonts w:hint="eastAsia"/>
        </w:rPr>
        <w:t>2</w:t>
      </w:r>
      <w:r>
        <w:t>.2.3.3</w:t>
      </w:r>
      <w:r>
        <w:rPr>
          <w:rFonts w:hint="eastAsia"/>
        </w:rPr>
        <w:t>地下水评价标准</w:t>
      </w:r>
    </w:p>
    <w:p w:rsidR="004E3021" w:rsidRDefault="00606E48">
      <w:pPr>
        <w:ind w:firstLine="480"/>
      </w:pPr>
      <w:r>
        <w:t>地下水执行《地下水质量标准》（</w:t>
      </w:r>
      <w:r>
        <w:t>GB/T14848-2017</w:t>
      </w:r>
      <w:r>
        <w:t>）</w:t>
      </w:r>
      <w:r>
        <w:rPr>
          <w:rFonts w:hint="eastAsia"/>
        </w:rPr>
        <w:t>中的Ⅲ类标准</w:t>
      </w:r>
      <w:r>
        <w:t>，见表</w:t>
      </w:r>
      <w:r>
        <w:t>2.2.3-7</w:t>
      </w:r>
      <w:r>
        <w:rPr>
          <w:rFonts w:ascii="宋体" w:hAnsi="宋体" w:hint="eastAsia"/>
        </w:rPr>
        <w:t>。</w:t>
      </w:r>
    </w:p>
    <w:p w:rsidR="004E3021" w:rsidRDefault="00606E48">
      <w:pPr>
        <w:pStyle w:val="afffff4"/>
      </w:pPr>
      <w:r>
        <w:rPr>
          <w:rFonts w:hint="eastAsia"/>
        </w:rPr>
        <w:t>表</w:t>
      </w:r>
      <w:r>
        <w:t xml:space="preserve">2.2.3-7  </w:t>
      </w:r>
      <w:r>
        <w:rPr>
          <w:rFonts w:hint="eastAsia"/>
        </w:rPr>
        <w:t>地下水环境质量标准</w:t>
      </w:r>
    </w:p>
    <w:tbl>
      <w:tblPr>
        <w:tblStyle w:val="afff"/>
        <w:tblW w:w="5000" w:type="pct"/>
        <w:tblLook w:val="04A0" w:firstRow="1" w:lastRow="0" w:firstColumn="1" w:lastColumn="0" w:noHBand="0" w:noVBand="1"/>
      </w:tblPr>
      <w:tblGrid>
        <w:gridCol w:w="1840"/>
        <w:gridCol w:w="1159"/>
        <w:gridCol w:w="1556"/>
        <w:gridCol w:w="1305"/>
        <w:gridCol w:w="1668"/>
        <w:gridCol w:w="1498"/>
      </w:tblGrid>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b/>
                <w:kern w:val="0"/>
                <w:sz w:val="21"/>
                <w:szCs w:val="21"/>
              </w:rPr>
            </w:pPr>
            <w:r w:rsidRPr="001D4C8B">
              <w:rPr>
                <w:rFonts w:ascii="Times New Roman" w:hAnsi="Times New Roman" w:cs="Times New Roman"/>
                <w:b/>
                <w:kern w:val="0"/>
                <w:sz w:val="21"/>
                <w:szCs w:val="21"/>
              </w:rPr>
              <w:t>项目</w:t>
            </w:r>
            <w:r w:rsidRPr="001D4C8B">
              <w:rPr>
                <w:rFonts w:ascii="Times New Roman" w:hAnsi="Times New Roman" w:cs="Times New Roman"/>
                <w:b/>
                <w:kern w:val="0"/>
                <w:sz w:val="21"/>
                <w:szCs w:val="21"/>
              </w:rPr>
              <w:t>/</w:t>
            </w:r>
            <w:r w:rsidRPr="001D4C8B">
              <w:rPr>
                <w:rFonts w:ascii="Times New Roman" w:hAnsi="Times New Roman" w:cs="Times New Roman"/>
                <w:b/>
                <w:kern w:val="0"/>
                <w:sz w:val="21"/>
                <w:szCs w:val="21"/>
              </w:rPr>
              <w:t>类别</w:t>
            </w:r>
          </w:p>
        </w:tc>
        <w:tc>
          <w:tcPr>
            <w:tcW w:w="642" w:type="pct"/>
            <w:vAlign w:val="center"/>
          </w:tcPr>
          <w:p w:rsidR="004E3021" w:rsidRPr="001D4C8B" w:rsidRDefault="00606E48" w:rsidP="001D4C8B">
            <w:pPr>
              <w:pStyle w:val="afffffff2"/>
              <w:rPr>
                <w:rFonts w:ascii="Times New Roman" w:hAnsi="Times New Roman" w:cs="Times New Roman"/>
                <w:b/>
                <w:kern w:val="0"/>
                <w:sz w:val="21"/>
                <w:szCs w:val="21"/>
              </w:rPr>
            </w:pPr>
            <w:r w:rsidRPr="001D4C8B">
              <w:rPr>
                <w:rFonts w:ascii="Times New Roman" w:hAnsi="Times New Roman" w:cs="Times New Roman"/>
                <w:b/>
                <w:kern w:val="0"/>
                <w:sz w:val="21"/>
                <w:szCs w:val="21"/>
              </w:rPr>
              <w:t>Ⅰ</w:t>
            </w:r>
          </w:p>
        </w:tc>
        <w:tc>
          <w:tcPr>
            <w:tcW w:w="862" w:type="pct"/>
            <w:vAlign w:val="center"/>
          </w:tcPr>
          <w:p w:rsidR="004E3021" w:rsidRPr="001D4C8B" w:rsidRDefault="00606E48" w:rsidP="001D4C8B">
            <w:pPr>
              <w:pStyle w:val="afffffff2"/>
              <w:rPr>
                <w:rFonts w:ascii="Times New Roman" w:hAnsi="Times New Roman" w:cs="Times New Roman"/>
                <w:b/>
                <w:kern w:val="0"/>
                <w:sz w:val="21"/>
                <w:szCs w:val="21"/>
              </w:rPr>
            </w:pPr>
            <w:r w:rsidRPr="001D4C8B">
              <w:rPr>
                <w:rFonts w:ascii="Times New Roman" w:hAnsi="Times New Roman" w:cs="Times New Roman"/>
                <w:b/>
                <w:kern w:val="0"/>
                <w:sz w:val="21"/>
                <w:szCs w:val="21"/>
              </w:rPr>
              <w:t>Ⅱ</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b/>
                <w:kern w:val="0"/>
                <w:sz w:val="21"/>
                <w:szCs w:val="21"/>
              </w:rPr>
            </w:pPr>
            <w:r w:rsidRPr="001D4C8B">
              <w:rPr>
                <w:rFonts w:ascii="Times New Roman" w:hAnsi="Times New Roman" w:cs="Times New Roman"/>
                <w:b/>
                <w:kern w:val="0"/>
                <w:sz w:val="21"/>
                <w:szCs w:val="21"/>
              </w:rPr>
              <w:t>Ⅲ</w:t>
            </w:r>
          </w:p>
        </w:tc>
        <w:tc>
          <w:tcPr>
            <w:tcW w:w="924" w:type="pct"/>
            <w:vAlign w:val="center"/>
          </w:tcPr>
          <w:p w:rsidR="004E3021" w:rsidRPr="001D4C8B" w:rsidRDefault="00606E48" w:rsidP="001D4C8B">
            <w:pPr>
              <w:pStyle w:val="afffffff2"/>
              <w:rPr>
                <w:rFonts w:ascii="Times New Roman" w:hAnsi="Times New Roman" w:cs="Times New Roman"/>
                <w:b/>
                <w:kern w:val="0"/>
                <w:sz w:val="21"/>
                <w:szCs w:val="21"/>
              </w:rPr>
            </w:pPr>
            <w:r w:rsidRPr="001D4C8B">
              <w:rPr>
                <w:rFonts w:ascii="Times New Roman" w:hAnsi="Times New Roman" w:cs="Times New Roman"/>
                <w:b/>
                <w:kern w:val="0"/>
                <w:sz w:val="21"/>
                <w:szCs w:val="21"/>
              </w:rPr>
              <w:t>Ⅳ</w:t>
            </w:r>
          </w:p>
        </w:tc>
        <w:tc>
          <w:tcPr>
            <w:tcW w:w="830" w:type="pct"/>
            <w:vAlign w:val="center"/>
          </w:tcPr>
          <w:p w:rsidR="004E3021" w:rsidRPr="001D4C8B" w:rsidRDefault="00606E48" w:rsidP="001D4C8B">
            <w:pPr>
              <w:pStyle w:val="afffffff2"/>
              <w:rPr>
                <w:rFonts w:ascii="Times New Roman" w:hAnsi="Times New Roman" w:cs="Times New Roman"/>
                <w:b/>
                <w:kern w:val="0"/>
                <w:sz w:val="21"/>
                <w:szCs w:val="21"/>
              </w:rPr>
            </w:pPr>
            <w:r w:rsidRPr="001D4C8B">
              <w:rPr>
                <w:rFonts w:ascii="Times New Roman" w:hAnsi="Times New Roman" w:cs="Times New Roman"/>
                <w:b/>
                <w:kern w:val="0"/>
                <w:sz w:val="21"/>
                <w:szCs w:val="21"/>
              </w:rPr>
              <w:t>Ⅴ</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pH</w:t>
            </w:r>
          </w:p>
        </w:tc>
        <w:tc>
          <w:tcPr>
            <w:tcW w:w="2227" w:type="pct"/>
            <w:gridSpan w:val="3"/>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6.5≤pH≤8.5</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5.5≤pH&lt;6.5</w:t>
            </w:r>
          </w:p>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8.5&lt;pH≤9</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pH</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5.5</w:t>
            </w:r>
            <w:r w:rsidRPr="001D4C8B">
              <w:rPr>
                <w:rFonts w:ascii="Times New Roman" w:hAnsi="Times New Roman" w:cs="Times New Roman"/>
                <w:kern w:val="0"/>
                <w:sz w:val="21"/>
                <w:szCs w:val="21"/>
              </w:rPr>
              <w:t>或</w:t>
            </w:r>
          </w:p>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pH&gt;9</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lastRenderedPageBreak/>
              <w:t>总硬度（以</w:t>
            </w:r>
            <w:r w:rsidRPr="001D4C8B">
              <w:rPr>
                <w:rFonts w:ascii="Times New Roman" w:hAnsi="Times New Roman" w:cs="Times New Roman"/>
                <w:kern w:val="0"/>
                <w:sz w:val="21"/>
                <w:szCs w:val="21"/>
              </w:rPr>
              <w:t>CaCO</w:t>
            </w:r>
            <w:r w:rsidRPr="001D4C8B">
              <w:rPr>
                <w:rFonts w:ascii="Times New Roman" w:hAnsi="Times New Roman" w:cs="Times New Roman"/>
                <w:kern w:val="0"/>
                <w:sz w:val="21"/>
                <w:szCs w:val="21"/>
                <w:vertAlign w:val="subscript"/>
              </w:rPr>
              <w:t>3</w:t>
            </w:r>
            <w:r w:rsidRPr="001D4C8B">
              <w:rPr>
                <w:rFonts w:ascii="Times New Roman" w:hAnsi="Times New Roman" w:cs="Times New Roman"/>
                <w:kern w:val="0"/>
                <w:sz w:val="21"/>
                <w:szCs w:val="21"/>
              </w:rPr>
              <w:t>计）</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≤150</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≤300</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≤450</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≤650</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&gt;650</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溶解性总固体</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≤300</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≤500</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≤1000</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≤2000</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&gt;2000</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氯化物</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≤50</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≤150</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≤250</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≤350</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&gt;350</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铁</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≤0.1</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≤0.2</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≤0.3</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≤2.0</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&gt;2.0</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锰</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≤0.05</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≤0.05</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≤0.1</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≤1.5</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&gt;1.5</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铜</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≤0.01</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≤0.05</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≤1.5</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&gt;1.5</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锌</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≤0.05</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≤0.5</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≤5.0</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&gt;5.0</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铝</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≤0.01</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≤0.05</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≤0.2</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≤0.5</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&gt;0.5</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挥发性酚类（以苯酚计）</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≤0.001</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≤0.001</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≤0.002</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≤0.01</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&gt;0.01</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阴离子表面活性剂</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不得检出</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≤0.1</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≤0.3</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≤0.3</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&gt;0.3</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耗氧量（</w:t>
            </w:r>
            <w:r w:rsidRPr="001D4C8B">
              <w:rPr>
                <w:rFonts w:ascii="Times New Roman" w:hAnsi="Times New Roman" w:cs="Times New Roman"/>
                <w:kern w:val="0"/>
                <w:sz w:val="21"/>
                <w:szCs w:val="21"/>
              </w:rPr>
              <w:t>COD</w:t>
            </w:r>
            <w:r w:rsidRPr="001D4C8B">
              <w:rPr>
                <w:rFonts w:ascii="Times New Roman" w:hAnsi="Times New Roman" w:cs="Times New Roman"/>
                <w:kern w:val="0"/>
                <w:sz w:val="21"/>
                <w:szCs w:val="21"/>
                <w:vertAlign w:val="subscript"/>
              </w:rPr>
              <w:t>Mn</w:t>
            </w:r>
            <w:r w:rsidRPr="001D4C8B">
              <w:rPr>
                <w:rFonts w:ascii="Times New Roman" w:hAnsi="Times New Roman" w:cs="Times New Roman"/>
                <w:kern w:val="0"/>
                <w:sz w:val="21"/>
                <w:szCs w:val="21"/>
              </w:rPr>
              <w:t>法）</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≤2.0</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≤3.0</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&gt;10</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氨氮</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≤0.02</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≤0.10</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≤0.50</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≤1.50</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&gt;1.50</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硫化物</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≤0.005</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≤0.01</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≤0.02</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≤0.1</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&gt;0.1</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镍</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≤0.002</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≤0.002</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≤0.02</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≤0.1</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&gt;0.1</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硝酸盐</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≤2.0</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≤5.0</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≤20</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≤30</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&gt;30</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亚硝酸盐</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≤0.01</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≤0.1</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≤4.80</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&gt;4.80</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氰化物</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≤0.001</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≤0.01</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≤0.05</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≤0.1</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&gt;0.1</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氟化物</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≤2.0</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&gt;2.0</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汞</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≤0.0001</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≤0.0001</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≤0.001</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≤0.002</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&gt;0.002</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砷</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≤0.001</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≤0.001</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≤0.01</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≤0.05</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&gt;0.05</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硒</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≤0.01</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≤0.01</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≤0.01</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≤0.1</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&gt;0.1</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镉</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≤0.0001</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≤0.001</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≤0.005</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≤0.01</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&gt;0.01</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铬（六价）</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≤0.005</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≤0.01</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≤0.05</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≤0.1</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&gt;0.1</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铅</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mg/L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≤0.005</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≤0.005</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≤0.01</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≤0.1</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&gt;0.1</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三氯甲烷</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μg/L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≤0.5</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≤6</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≤60</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≤300</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&gt;300</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四氯化碳</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μg/L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≤0.6</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≤0.5</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≤2.0</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≤50</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&gt;50</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lastRenderedPageBreak/>
              <w:t>苯</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μg/L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≤0.5</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≤10.0</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≤120</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&gt;120</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甲苯</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w:t>
            </w:r>
            <w:r w:rsidRPr="001D4C8B">
              <w:rPr>
                <w:rFonts w:ascii="Times New Roman" w:hAnsi="Times New Roman" w:cs="Times New Roman"/>
                <w:kern w:val="0"/>
                <w:sz w:val="21"/>
                <w:szCs w:val="21"/>
              </w:rPr>
              <w:t>μg/L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≤0.5</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≤140</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≤700</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≤1400</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&gt;1400</w:t>
            </w:r>
          </w:p>
        </w:tc>
      </w:tr>
      <w:tr w:rsidR="000D175E" w:rsidRPr="001D4C8B" w:rsidTr="001D4C8B">
        <w:trPr>
          <w:trHeight w:val="20"/>
        </w:trPr>
        <w:tc>
          <w:tcPr>
            <w:tcW w:w="1019" w:type="pct"/>
            <w:vAlign w:val="center"/>
          </w:tcPr>
          <w:p w:rsidR="000D175E" w:rsidRPr="000D175E" w:rsidRDefault="000D175E" w:rsidP="000D175E">
            <w:pPr>
              <w:spacing w:line="360" w:lineRule="exact"/>
              <w:ind w:firstLineChars="0" w:firstLine="0"/>
              <w:jc w:val="center"/>
              <w:rPr>
                <w:rFonts w:ascii="Times New Roman" w:hAnsi="Times New Roman"/>
                <w:color w:val="000000" w:themeColor="text1"/>
                <w:sz w:val="21"/>
                <w:szCs w:val="21"/>
              </w:rPr>
            </w:pPr>
            <w:r w:rsidRPr="000D175E">
              <w:rPr>
                <w:rFonts w:ascii="Times New Roman" w:hAnsi="Times New Roman"/>
                <w:color w:val="000000" w:themeColor="text1"/>
                <w:sz w:val="21"/>
                <w:szCs w:val="21"/>
              </w:rPr>
              <w:t>二甲苯（</w:t>
            </w:r>
            <w:r w:rsidRPr="000D175E">
              <w:rPr>
                <w:rFonts w:ascii="Times New Roman" w:hAnsi="Times New Roman"/>
                <w:color w:val="000000" w:themeColor="text1"/>
                <w:sz w:val="21"/>
                <w:szCs w:val="21"/>
              </w:rPr>
              <w:t>µg/L</w:t>
            </w:r>
            <w:r w:rsidRPr="000D175E">
              <w:rPr>
                <w:rFonts w:ascii="Times New Roman" w:hAnsi="Times New Roman"/>
                <w:color w:val="000000" w:themeColor="text1"/>
                <w:sz w:val="21"/>
                <w:szCs w:val="21"/>
              </w:rPr>
              <w:t>）</w:t>
            </w:r>
          </w:p>
        </w:tc>
        <w:tc>
          <w:tcPr>
            <w:tcW w:w="642" w:type="pct"/>
            <w:vAlign w:val="center"/>
          </w:tcPr>
          <w:p w:rsidR="000D175E" w:rsidRPr="000D175E" w:rsidRDefault="000D175E" w:rsidP="000D175E">
            <w:pPr>
              <w:spacing w:line="360" w:lineRule="exact"/>
              <w:ind w:firstLineChars="0" w:firstLine="0"/>
              <w:jc w:val="center"/>
              <w:rPr>
                <w:rFonts w:ascii="Times New Roman" w:hAnsi="Times New Roman"/>
                <w:color w:val="000000" w:themeColor="text1"/>
                <w:sz w:val="21"/>
                <w:szCs w:val="21"/>
              </w:rPr>
            </w:pPr>
            <w:r w:rsidRPr="000D175E">
              <w:rPr>
                <w:rFonts w:ascii="Times New Roman" w:hAnsi="Times New Roman"/>
                <w:color w:val="000000" w:themeColor="text1"/>
                <w:sz w:val="21"/>
                <w:szCs w:val="21"/>
              </w:rPr>
              <w:t>≤0.5</w:t>
            </w:r>
          </w:p>
        </w:tc>
        <w:tc>
          <w:tcPr>
            <w:tcW w:w="862" w:type="pct"/>
            <w:vAlign w:val="center"/>
          </w:tcPr>
          <w:p w:rsidR="000D175E" w:rsidRPr="000D175E" w:rsidRDefault="000D175E" w:rsidP="000D175E">
            <w:pPr>
              <w:spacing w:line="360" w:lineRule="exact"/>
              <w:ind w:firstLineChars="0" w:firstLine="0"/>
              <w:jc w:val="center"/>
              <w:rPr>
                <w:rFonts w:ascii="Times New Roman" w:hAnsi="Times New Roman"/>
                <w:color w:val="000000" w:themeColor="text1"/>
                <w:sz w:val="21"/>
                <w:szCs w:val="21"/>
              </w:rPr>
            </w:pPr>
            <w:r w:rsidRPr="000D175E">
              <w:rPr>
                <w:rFonts w:ascii="Times New Roman" w:hAnsi="Times New Roman"/>
                <w:color w:val="000000" w:themeColor="text1"/>
                <w:sz w:val="21"/>
                <w:szCs w:val="21"/>
              </w:rPr>
              <w:t>≤100</w:t>
            </w:r>
          </w:p>
        </w:tc>
        <w:tc>
          <w:tcPr>
            <w:tcW w:w="723" w:type="pct"/>
            <w:shd w:val="clear" w:color="auto" w:fill="A6A6A6" w:themeFill="background1" w:themeFillShade="A6"/>
            <w:vAlign w:val="center"/>
          </w:tcPr>
          <w:p w:rsidR="000D175E" w:rsidRPr="000D175E" w:rsidRDefault="000D175E" w:rsidP="000D175E">
            <w:pPr>
              <w:spacing w:line="360" w:lineRule="exact"/>
              <w:ind w:firstLineChars="0" w:firstLine="0"/>
              <w:jc w:val="center"/>
              <w:rPr>
                <w:rFonts w:ascii="Times New Roman" w:hAnsi="Times New Roman"/>
                <w:color w:val="000000" w:themeColor="text1"/>
                <w:sz w:val="21"/>
                <w:szCs w:val="21"/>
              </w:rPr>
            </w:pPr>
            <w:r w:rsidRPr="000D175E">
              <w:rPr>
                <w:rFonts w:ascii="Times New Roman" w:hAnsi="Times New Roman"/>
                <w:color w:val="000000" w:themeColor="text1"/>
                <w:sz w:val="21"/>
                <w:szCs w:val="21"/>
              </w:rPr>
              <w:t>≤500</w:t>
            </w:r>
          </w:p>
        </w:tc>
        <w:tc>
          <w:tcPr>
            <w:tcW w:w="924" w:type="pct"/>
            <w:vAlign w:val="center"/>
          </w:tcPr>
          <w:p w:rsidR="000D175E" w:rsidRPr="000D175E" w:rsidRDefault="000D175E" w:rsidP="000D175E">
            <w:pPr>
              <w:spacing w:line="360" w:lineRule="exact"/>
              <w:ind w:firstLineChars="0" w:firstLine="0"/>
              <w:jc w:val="center"/>
              <w:rPr>
                <w:rFonts w:ascii="Times New Roman" w:hAnsi="Times New Roman"/>
                <w:color w:val="000000" w:themeColor="text1"/>
                <w:sz w:val="21"/>
                <w:szCs w:val="21"/>
              </w:rPr>
            </w:pPr>
            <w:r w:rsidRPr="000D175E">
              <w:rPr>
                <w:rFonts w:ascii="Times New Roman" w:hAnsi="Times New Roman"/>
                <w:color w:val="000000" w:themeColor="text1"/>
                <w:sz w:val="21"/>
                <w:szCs w:val="21"/>
              </w:rPr>
              <w:t>≤1000</w:t>
            </w:r>
          </w:p>
        </w:tc>
        <w:tc>
          <w:tcPr>
            <w:tcW w:w="830" w:type="pct"/>
            <w:vAlign w:val="center"/>
          </w:tcPr>
          <w:p w:rsidR="000D175E" w:rsidRPr="000D175E" w:rsidRDefault="000D175E" w:rsidP="000D175E">
            <w:pPr>
              <w:spacing w:line="360" w:lineRule="exact"/>
              <w:ind w:firstLineChars="0" w:firstLine="0"/>
              <w:jc w:val="center"/>
              <w:rPr>
                <w:rFonts w:ascii="Times New Roman" w:hAnsi="Times New Roman"/>
                <w:color w:val="000000" w:themeColor="text1"/>
                <w:sz w:val="21"/>
                <w:szCs w:val="21"/>
              </w:rPr>
            </w:pPr>
            <w:r w:rsidRPr="000D175E">
              <w:rPr>
                <w:rFonts w:ascii="Times New Roman" w:hAnsi="Times New Roman"/>
                <w:color w:val="000000" w:themeColor="text1"/>
                <w:sz w:val="21"/>
                <w:szCs w:val="21"/>
              </w:rPr>
              <w:t>&gt;1000</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总大肠菌群（</w:t>
            </w:r>
            <w:r w:rsidRPr="001D4C8B">
              <w:rPr>
                <w:rFonts w:ascii="Times New Roman" w:hAnsi="Times New Roman" w:cs="Times New Roman"/>
                <w:kern w:val="0"/>
                <w:sz w:val="21"/>
                <w:szCs w:val="21"/>
              </w:rPr>
              <w:t>MPN/100mL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≤3.0</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≤3.0</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≤3.0</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≤100</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&gt;100</w:t>
            </w:r>
          </w:p>
        </w:tc>
      </w:tr>
      <w:tr w:rsidR="004E3021" w:rsidRPr="001D4C8B" w:rsidTr="001D4C8B">
        <w:trPr>
          <w:trHeight w:val="20"/>
        </w:trPr>
        <w:tc>
          <w:tcPr>
            <w:tcW w:w="1019"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菌落总数（</w:t>
            </w:r>
            <w:r w:rsidRPr="001D4C8B">
              <w:rPr>
                <w:rFonts w:ascii="Times New Roman" w:hAnsi="Times New Roman" w:cs="Times New Roman"/>
                <w:kern w:val="0"/>
                <w:sz w:val="21"/>
                <w:szCs w:val="21"/>
              </w:rPr>
              <w:t>CFU/mL</w:t>
            </w:r>
            <w:r w:rsidRPr="001D4C8B">
              <w:rPr>
                <w:rFonts w:ascii="Times New Roman" w:hAnsi="Times New Roman" w:cs="Times New Roman"/>
                <w:kern w:val="0"/>
                <w:sz w:val="21"/>
                <w:szCs w:val="21"/>
              </w:rPr>
              <w:t>）</w:t>
            </w:r>
          </w:p>
        </w:tc>
        <w:tc>
          <w:tcPr>
            <w:tcW w:w="64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≤100</w:t>
            </w:r>
          </w:p>
        </w:tc>
        <w:tc>
          <w:tcPr>
            <w:tcW w:w="862"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≤100</w:t>
            </w:r>
          </w:p>
        </w:tc>
        <w:tc>
          <w:tcPr>
            <w:tcW w:w="723" w:type="pct"/>
            <w:shd w:val="clear" w:color="auto" w:fill="A6A6A6" w:themeFill="background1" w:themeFillShade="A6"/>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≤100</w:t>
            </w:r>
          </w:p>
        </w:tc>
        <w:tc>
          <w:tcPr>
            <w:tcW w:w="924"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≤1000</w:t>
            </w:r>
          </w:p>
        </w:tc>
        <w:tc>
          <w:tcPr>
            <w:tcW w:w="830" w:type="pct"/>
            <w:vAlign w:val="center"/>
          </w:tcPr>
          <w:p w:rsidR="004E3021" w:rsidRPr="001D4C8B" w:rsidRDefault="00606E48" w:rsidP="001D4C8B">
            <w:pPr>
              <w:pStyle w:val="afffffff2"/>
              <w:rPr>
                <w:rFonts w:ascii="Times New Roman" w:hAnsi="Times New Roman" w:cs="Times New Roman"/>
                <w:kern w:val="0"/>
                <w:sz w:val="21"/>
                <w:szCs w:val="21"/>
              </w:rPr>
            </w:pPr>
            <w:r w:rsidRPr="001D4C8B">
              <w:rPr>
                <w:rFonts w:ascii="Times New Roman" w:hAnsi="Times New Roman" w:cs="Times New Roman"/>
                <w:kern w:val="0"/>
                <w:sz w:val="21"/>
                <w:szCs w:val="21"/>
              </w:rPr>
              <w:t>&gt;1000</w:t>
            </w:r>
          </w:p>
        </w:tc>
      </w:tr>
    </w:tbl>
    <w:p w:rsidR="004E3021" w:rsidRDefault="00606E48">
      <w:pPr>
        <w:pStyle w:val="4a"/>
      </w:pPr>
      <w:r>
        <w:t>2.2.3.4</w:t>
      </w:r>
      <w:r>
        <w:t>噪声评价标准</w:t>
      </w:r>
    </w:p>
    <w:p w:rsidR="004E3021" w:rsidRDefault="00606E48">
      <w:pPr>
        <w:ind w:firstLine="480"/>
      </w:pPr>
      <w:r>
        <w:t>（</w:t>
      </w:r>
      <w:r>
        <w:t>1</w:t>
      </w:r>
      <w:r>
        <w:t>）质量标准</w:t>
      </w:r>
    </w:p>
    <w:p w:rsidR="004E3021" w:rsidRDefault="001D4C8B">
      <w:pPr>
        <w:ind w:firstLine="480"/>
      </w:pPr>
      <w:r>
        <w:rPr>
          <w:rFonts w:hint="eastAsia"/>
        </w:rPr>
        <w:t>本</w:t>
      </w:r>
      <w:r w:rsidR="00606E48">
        <w:t>项目所在地声环境执行</w:t>
      </w:r>
      <w:r w:rsidR="00606E48">
        <w:rPr>
          <w:rFonts w:hint="eastAsia"/>
        </w:rPr>
        <w:t>《声环境质量标准》（</w:t>
      </w:r>
      <w:r w:rsidR="00606E48">
        <w:rPr>
          <w:rFonts w:hint="eastAsia"/>
        </w:rPr>
        <w:t>G</w:t>
      </w:r>
      <w:r w:rsidR="00606E48">
        <w:t>B3096-2008</w:t>
      </w:r>
      <w:r w:rsidR="00606E48">
        <w:rPr>
          <w:rFonts w:hint="eastAsia"/>
        </w:rPr>
        <w:t>）</w:t>
      </w:r>
      <w:r w:rsidR="00606E48">
        <w:rPr>
          <w:rFonts w:hint="eastAsia"/>
        </w:rPr>
        <w:t>3</w:t>
      </w:r>
      <w:r w:rsidR="00606E48">
        <w:rPr>
          <w:rFonts w:hint="eastAsia"/>
        </w:rPr>
        <w:t>类区标准，具体详见表</w:t>
      </w:r>
      <w:r w:rsidR="00606E48">
        <w:rPr>
          <w:rFonts w:hint="eastAsia"/>
        </w:rPr>
        <w:t>2</w:t>
      </w:r>
      <w:r w:rsidR="00606E48">
        <w:t>.2.3-8</w:t>
      </w:r>
      <w:r w:rsidR="00606E48">
        <w:rPr>
          <w:rFonts w:hint="eastAsia"/>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rPr>
        <w:t xml:space="preserve">2.2.3-8  </w:t>
      </w:r>
      <w:r>
        <w:rPr>
          <w:rFonts w:ascii="黑体" w:eastAsia="黑体" w:hAnsi="黑体" w:hint="eastAsia"/>
        </w:rPr>
        <w:t>环境噪声标准限值</w:t>
      </w:r>
    </w:p>
    <w:tbl>
      <w:tblPr>
        <w:tblW w:w="9036" w:type="dxa"/>
        <w:jc w:val="center"/>
        <w:tblLayout w:type="fixed"/>
        <w:tblLook w:val="04A0" w:firstRow="1" w:lastRow="0" w:firstColumn="1" w:lastColumn="0" w:noHBand="0" w:noVBand="1"/>
      </w:tblPr>
      <w:tblGrid>
        <w:gridCol w:w="2043"/>
        <w:gridCol w:w="2333"/>
        <w:gridCol w:w="2331"/>
        <w:gridCol w:w="2329"/>
      </w:tblGrid>
      <w:tr w:rsidR="004E3021" w:rsidRPr="001D4C8B">
        <w:trPr>
          <w:trHeight w:val="269"/>
          <w:jc w:val="center"/>
        </w:trPr>
        <w:tc>
          <w:tcPr>
            <w:tcW w:w="4376" w:type="dxa"/>
            <w:gridSpan w:val="2"/>
            <w:tcBorders>
              <w:top w:val="single" w:sz="12" w:space="0" w:color="auto"/>
              <w:left w:val="nil"/>
              <w:bottom w:val="single" w:sz="4" w:space="0" w:color="auto"/>
              <w:right w:val="single" w:sz="4" w:space="0" w:color="auto"/>
            </w:tcBorders>
          </w:tcPr>
          <w:p w:rsidR="004E3021" w:rsidRPr="001D4C8B" w:rsidRDefault="00606E48">
            <w:pPr>
              <w:pStyle w:val="afffffff2"/>
              <w:rPr>
                <w:rFonts w:cs="Times New Roman"/>
                <w:b/>
                <w:kern w:val="0"/>
                <w:sz w:val="21"/>
                <w:szCs w:val="21"/>
              </w:rPr>
            </w:pPr>
            <w:r w:rsidRPr="001D4C8B">
              <w:rPr>
                <w:rFonts w:cs="Times New Roman"/>
                <w:b/>
                <w:kern w:val="0"/>
                <w:sz w:val="21"/>
                <w:szCs w:val="21"/>
              </w:rPr>
              <w:t>标准类别</w:t>
            </w:r>
          </w:p>
        </w:tc>
        <w:tc>
          <w:tcPr>
            <w:tcW w:w="2331" w:type="dxa"/>
            <w:tcBorders>
              <w:top w:val="single" w:sz="12" w:space="0" w:color="auto"/>
              <w:left w:val="nil"/>
              <w:bottom w:val="single" w:sz="4" w:space="0" w:color="auto"/>
              <w:right w:val="single" w:sz="4" w:space="0" w:color="auto"/>
            </w:tcBorders>
          </w:tcPr>
          <w:p w:rsidR="004E3021" w:rsidRPr="001D4C8B" w:rsidRDefault="00606E48">
            <w:pPr>
              <w:pStyle w:val="afffffff2"/>
              <w:rPr>
                <w:rFonts w:cs="Times New Roman"/>
                <w:b/>
                <w:kern w:val="0"/>
                <w:sz w:val="21"/>
                <w:szCs w:val="21"/>
              </w:rPr>
            </w:pPr>
            <w:r w:rsidRPr="001D4C8B">
              <w:rPr>
                <w:rFonts w:cs="Times New Roman"/>
                <w:b/>
                <w:kern w:val="0"/>
                <w:sz w:val="21"/>
                <w:szCs w:val="21"/>
              </w:rPr>
              <w:t>昼间</w:t>
            </w:r>
            <w:r w:rsidRPr="001D4C8B">
              <w:rPr>
                <w:rFonts w:cs="Times New Roman"/>
                <w:b/>
                <w:kern w:val="0"/>
                <w:sz w:val="21"/>
                <w:szCs w:val="21"/>
              </w:rPr>
              <w:t>dB</w:t>
            </w:r>
            <w:r w:rsidRPr="001D4C8B">
              <w:rPr>
                <w:rFonts w:cs="Times New Roman"/>
                <w:b/>
                <w:kern w:val="0"/>
                <w:sz w:val="21"/>
                <w:szCs w:val="21"/>
              </w:rPr>
              <w:t>（</w:t>
            </w:r>
            <w:r w:rsidRPr="001D4C8B">
              <w:rPr>
                <w:rFonts w:cs="Times New Roman"/>
                <w:b/>
                <w:kern w:val="0"/>
                <w:sz w:val="21"/>
                <w:szCs w:val="21"/>
              </w:rPr>
              <w:t>A</w:t>
            </w:r>
            <w:r w:rsidRPr="001D4C8B">
              <w:rPr>
                <w:rFonts w:cs="Times New Roman"/>
                <w:b/>
                <w:kern w:val="0"/>
                <w:sz w:val="21"/>
                <w:szCs w:val="21"/>
              </w:rPr>
              <w:t>）</w:t>
            </w:r>
          </w:p>
        </w:tc>
        <w:tc>
          <w:tcPr>
            <w:tcW w:w="2329" w:type="dxa"/>
            <w:tcBorders>
              <w:top w:val="single" w:sz="12" w:space="0" w:color="auto"/>
              <w:left w:val="nil"/>
              <w:bottom w:val="single" w:sz="4" w:space="0" w:color="auto"/>
              <w:right w:val="nil"/>
            </w:tcBorders>
          </w:tcPr>
          <w:p w:rsidR="004E3021" w:rsidRPr="001D4C8B" w:rsidRDefault="00606E48">
            <w:pPr>
              <w:pStyle w:val="afffffff2"/>
              <w:rPr>
                <w:rFonts w:cs="Times New Roman"/>
                <w:b/>
                <w:kern w:val="0"/>
                <w:sz w:val="21"/>
                <w:szCs w:val="21"/>
              </w:rPr>
            </w:pPr>
            <w:r w:rsidRPr="001D4C8B">
              <w:rPr>
                <w:rFonts w:cs="Times New Roman"/>
                <w:b/>
                <w:kern w:val="0"/>
                <w:sz w:val="21"/>
                <w:szCs w:val="21"/>
              </w:rPr>
              <w:t>夜间</w:t>
            </w:r>
            <w:r w:rsidRPr="001D4C8B">
              <w:rPr>
                <w:rFonts w:cs="Times New Roman"/>
                <w:b/>
                <w:kern w:val="0"/>
                <w:sz w:val="21"/>
                <w:szCs w:val="21"/>
              </w:rPr>
              <w:t>dB</w:t>
            </w:r>
            <w:r w:rsidRPr="001D4C8B">
              <w:rPr>
                <w:rFonts w:cs="Times New Roman"/>
                <w:b/>
                <w:kern w:val="0"/>
                <w:sz w:val="21"/>
                <w:szCs w:val="21"/>
              </w:rPr>
              <w:t>（</w:t>
            </w:r>
            <w:r w:rsidRPr="001D4C8B">
              <w:rPr>
                <w:rFonts w:cs="Times New Roman"/>
                <w:b/>
                <w:kern w:val="0"/>
                <w:sz w:val="21"/>
                <w:szCs w:val="21"/>
              </w:rPr>
              <w:t>A</w:t>
            </w:r>
            <w:r w:rsidRPr="001D4C8B">
              <w:rPr>
                <w:rFonts w:cs="Times New Roman"/>
                <w:b/>
                <w:kern w:val="0"/>
                <w:sz w:val="21"/>
                <w:szCs w:val="21"/>
              </w:rPr>
              <w:t>）</w:t>
            </w:r>
          </w:p>
        </w:tc>
      </w:tr>
      <w:tr w:rsidR="004E3021" w:rsidRPr="001D4C8B">
        <w:trPr>
          <w:trHeight w:val="258"/>
          <w:jc w:val="center"/>
        </w:trPr>
        <w:tc>
          <w:tcPr>
            <w:tcW w:w="2043" w:type="dxa"/>
            <w:tcBorders>
              <w:top w:val="single" w:sz="4" w:space="0" w:color="auto"/>
              <w:left w:val="nil"/>
              <w:bottom w:val="single" w:sz="4" w:space="0" w:color="auto"/>
              <w:right w:val="single" w:sz="4" w:space="0" w:color="auto"/>
            </w:tcBorders>
          </w:tcPr>
          <w:p w:rsidR="004E3021" w:rsidRPr="001D4C8B" w:rsidRDefault="00606E48">
            <w:pPr>
              <w:pStyle w:val="afffffff2"/>
              <w:rPr>
                <w:rFonts w:cs="Times New Roman"/>
                <w:kern w:val="0"/>
                <w:sz w:val="21"/>
                <w:szCs w:val="21"/>
              </w:rPr>
            </w:pPr>
            <w:r w:rsidRPr="001D4C8B">
              <w:rPr>
                <w:rFonts w:cs="Times New Roman"/>
                <w:kern w:val="0"/>
                <w:sz w:val="21"/>
                <w:szCs w:val="21"/>
              </w:rPr>
              <w:t>环境噪声</w:t>
            </w:r>
          </w:p>
        </w:tc>
        <w:tc>
          <w:tcPr>
            <w:tcW w:w="2333" w:type="dxa"/>
            <w:tcBorders>
              <w:top w:val="single" w:sz="4" w:space="0" w:color="auto"/>
              <w:left w:val="nil"/>
              <w:bottom w:val="single" w:sz="4" w:space="0" w:color="auto"/>
              <w:right w:val="single" w:sz="4" w:space="0" w:color="auto"/>
            </w:tcBorders>
          </w:tcPr>
          <w:p w:rsidR="004E3021" w:rsidRPr="001D4C8B" w:rsidRDefault="00606E48">
            <w:pPr>
              <w:pStyle w:val="afffffff2"/>
              <w:rPr>
                <w:rFonts w:cs="Times New Roman"/>
                <w:kern w:val="0"/>
                <w:sz w:val="21"/>
                <w:szCs w:val="21"/>
              </w:rPr>
            </w:pPr>
            <w:r w:rsidRPr="001D4C8B">
              <w:rPr>
                <w:rFonts w:cs="Times New Roman"/>
                <w:kern w:val="0"/>
                <w:sz w:val="21"/>
                <w:szCs w:val="21"/>
              </w:rPr>
              <w:t>3</w:t>
            </w:r>
            <w:r w:rsidRPr="001D4C8B">
              <w:rPr>
                <w:rFonts w:cs="Times New Roman"/>
                <w:kern w:val="0"/>
                <w:sz w:val="21"/>
                <w:szCs w:val="21"/>
              </w:rPr>
              <w:t>类标准</w:t>
            </w:r>
          </w:p>
        </w:tc>
        <w:tc>
          <w:tcPr>
            <w:tcW w:w="2331" w:type="dxa"/>
            <w:tcBorders>
              <w:top w:val="single" w:sz="4" w:space="0" w:color="auto"/>
              <w:left w:val="nil"/>
              <w:bottom w:val="single" w:sz="4" w:space="0" w:color="auto"/>
              <w:right w:val="single" w:sz="4" w:space="0" w:color="auto"/>
            </w:tcBorders>
          </w:tcPr>
          <w:p w:rsidR="004E3021" w:rsidRPr="001D4C8B" w:rsidRDefault="00606E48">
            <w:pPr>
              <w:pStyle w:val="afffffff2"/>
              <w:rPr>
                <w:rFonts w:cs="Times New Roman"/>
                <w:kern w:val="0"/>
                <w:sz w:val="21"/>
                <w:szCs w:val="21"/>
              </w:rPr>
            </w:pPr>
            <w:r w:rsidRPr="001D4C8B">
              <w:rPr>
                <w:rFonts w:cs="Times New Roman"/>
                <w:kern w:val="0"/>
                <w:sz w:val="21"/>
                <w:szCs w:val="21"/>
              </w:rPr>
              <w:t>65</w:t>
            </w:r>
          </w:p>
        </w:tc>
        <w:tc>
          <w:tcPr>
            <w:tcW w:w="2329" w:type="dxa"/>
            <w:tcBorders>
              <w:top w:val="single" w:sz="4" w:space="0" w:color="auto"/>
              <w:left w:val="nil"/>
              <w:bottom w:val="single" w:sz="4" w:space="0" w:color="auto"/>
              <w:right w:val="nil"/>
            </w:tcBorders>
          </w:tcPr>
          <w:p w:rsidR="004E3021" w:rsidRPr="001D4C8B" w:rsidRDefault="00606E48">
            <w:pPr>
              <w:pStyle w:val="afffffff2"/>
              <w:rPr>
                <w:rFonts w:cs="Times New Roman"/>
                <w:kern w:val="0"/>
                <w:sz w:val="21"/>
                <w:szCs w:val="21"/>
              </w:rPr>
            </w:pPr>
            <w:r w:rsidRPr="001D4C8B">
              <w:rPr>
                <w:rFonts w:cs="Times New Roman"/>
                <w:kern w:val="0"/>
                <w:sz w:val="21"/>
                <w:szCs w:val="21"/>
              </w:rPr>
              <w:t>55</w:t>
            </w:r>
          </w:p>
        </w:tc>
      </w:tr>
      <w:tr w:rsidR="004E3021" w:rsidRPr="001D4C8B">
        <w:trPr>
          <w:trHeight w:val="85"/>
          <w:jc w:val="center"/>
        </w:trPr>
        <w:tc>
          <w:tcPr>
            <w:tcW w:w="2043" w:type="dxa"/>
            <w:tcBorders>
              <w:top w:val="single" w:sz="4" w:space="0" w:color="auto"/>
              <w:left w:val="nil"/>
              <w:bottom w:val="single" w:sz="12" w:space="0" w:color="auto"/>
              <w:right w:val="single" w:sz="4" w:space="0" w:color="auto"/>
            </w:tcBorders>
          </w:tcPr>
          <w:p w:rsidR="004E3021" w:rsidRPr="001D4C8B" w:rsidRDefault="00606E48">
            <w:pPr>
              <w:pStyle w:val="afffffff2"/>
              <w:rPr>
                <w:rFonts w:cs="Times New Roman"/>
                <w:kern w:val="0"/>
                <w:sz w:val="21"/>
                <w:szCs w:val="21"/>
              </w:rPr>
            </w:pPr>
            <w:r w:rsidRPr="001D4C8B">
              <w:rPr>
                <w:rFonts w:cs="Times New Roman"/>
                <w:kern w:val="0"/>
                <w:sz w:val="21"/>
                <w:szCs w:val="21"/>
              </w:rPr>
              <w:t>标准来源</w:t>
            </w:r>
          </w:p>
        </w:tc>
        <w:tc>
          <w:tcPr>
            <w:tcW w:w="6993" w:type="dxa"/>
            <w:gridSpan w:val="3"/>
            <w:tcBorders>
              <w:top w:val="single" w:sz="4" w:space="0" w:color="auto"/>
              <w:left w:val="nil"/>
              <w:bottom w:val="single" w:sz="12" w:space="0" w:color="auto"/>
              <w:right w:val="nil"/>
            </w:tcBorders>
          </w:tcPr>
          <w:p w:rsidR="004E3021" w:rsidRPr="001D4C8B" w:rsidRDefault="00606E48">
            <w:pPr>
              <w:pStyle w:val="afffffff2"/>
              <w:rPr>
                <w:rFonts w:cs="Times New Roman"/>
                <w:kern w:val="0"/>
                <w:sz w:val="21"/>
                <w:szCs w:val="21"/>
              </w:rPr>
            </w:pPr>
            <w:r w:rsidRPr="001D4C8B">
              <w:rPr>
                <w:rFonts w:cs="Times New Roman"/>
                <w:kern w:val="0"/>
                <w:sz w:val="21"/>
                <w:szCs w:val="21"/>
              </w:rPr>
              <w:t>《声环境质量标准》（</w:t>
            </w:r>
            <w:r w:rsidRPr="001D4C8B">
              <w:rPr>
                <w:rFonts w:cs="Times New Roman"/>
                <w:kern w:val="0"/>
                <w:sz w:val="21"/>
                <w:szCs w:val="21"/>
              </w:rPr>
              <w:t>GB3096-2008</w:t>
            </w:r>
            <w:r w:rsidRPr="001D4C8B">
              <w:rPr>
                <w:rFonts w:cs="Times New Roman"/>
                <w:kern w:val="0"/>
                <w:sz w:val="21"/>
                <w:szCs w:val="21"/>
              </w:rPr>
              <w:t>）</w:t>
            </w:r>
          </w:p>
        </w:tc>
      </w:tr>
    </w:tbl>
    <w:p w:rsidR="004E3021" w:rsidRDefault="00606E48">
      <w:pPr>
        <w:spacing w:line="500" w:lineRule="exact"/>
        <w:ind w:firstLineChars="0"/>
      </w:pPr>
      <w:r>
        <w:t>（</w:t>
      </w:r>
      <w:r>
        <w:t>2</w:t>
      </w:r>
      <w:r>
        <w:t>）</w:t>
      </w:r>
      <w:r>
        <w:rPr>
          <w:rFonts w:ascii="宋体" w:hAnsi="宋体" w:hint="eastAsia"/>
        </w:rPr>
        <w:t>噪声排放标准</w:t>
      </w:r>
    </w:p>
    <w:p w:rsidR="004E3021" w:rsidRDefault="00606E48">
      <w:pPr>
        <w:ind w:firstLine="480"/>
      </w:pPr>
      <w:r>
        <w:rPr>
          <w:rFonts w:ascii="宋体" w:hAnsi="宋体" w:hint="eastAsia"/>
        </w:rPr>
        <w:t>项目运营期噪声厂界排放执行《工业企业厂界环境噪声排放标准》（</w:t>
      </w:r>
      <w:r>
        <w:t>GB12348-2008</w:t>
      </w:r>
      <w:r>
        <w:rPr>
          <w:rFonts w:ascii="宋体" w:hAnsi="宋体" w:hint="eastAsia"/>
        </w:rPr>
        <w:t>）</w:t>
      </w:r>
      <w:r>
        <w:t>3</w:t>
      </w:r>
      <w:r>
        <w:rPr>
          <w:rFonts w:ascii="宋体" w:hAnsi="宋体" w:hint="eastAsia"/>
        </w:rPr>
        <w:t>类排放限值，详见表</w:t>
      </w:r>
      <w:r>
        <w:t>2.2.3-9</w:t>
      </w:r>
      <w:r>
        <w:rPr>
          <w:rFonts w:ascii="宋体" w:hAnsi="宋体" w:hint="eastAsia"/>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rPr>
        <w:t xml:space="preserve">2.2.3-9  </w:t>
      </w:r>
      <w:r>
        <w:rPr>
          <w:rFonts w:ascii="黑体" w:eastAsia="黑体" w:hAnsi="黑体" w:hint="eastAsia"/>
        </w:rPr>
        <w:t>项目运营期噪声排放执行标准</w:t>
      </w:r>
    </w:p>
    <w:tbl>
      <w:tblPr>
        <w:tblW w:w="5000" w:type="pct"/>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25"/>
        <w:gridCol w:w="3605"/>
        <w:gridCol w:w="3596"/>
      </w:tblGrid>
      <w:tr w:rsidR="004E3021" w:rsidRPr="001D4C8B">
        <w:trPr>
          <w:cantSplit/>
        </w:trPr>
        <w:tc>
          <w:tcPr>
            <w:tcW w:w="1011" w:type="pct"/>
            <w:tcBorders>
              <w:top w:val="single" w:sz="12" w:space="0" w:color="auto"/>
              <w:left w:val="nil"/>
              <w:bottom w:val="single" w:sz="4" w:space="0" w:color="auto"/>
              <w:right w:val="single" w:sz="4" w:space="0" w:color="auto"/>
            </w:tcBorders>
            <w:vAlign w:val="center"/>
          </w:tcPr>
          <w:p w:rsidR="004E3021" w:rsidRPr="001D4C8B" w:rsidRDefault="00606E48">
            <w:pPr>
              <w:pStyle w:val="afffffff2"/>
              <w:rPr>
                <w:b/>
                <w:sz w:val="21"/>
                <w:szCs w:val="21"/>
              </w:rPr>
            </w:pPr>
            <w:r w:rsidRPr="001D4C8B">
              <w:rPr>
                <w:rFonts w:ascii="宋体" w:hAnsi="宋体" w:hint="eastAsia"/>
                <w:b/>
                <w:sz w:val="21"/>
                <w:szCs w:val="21"/>
              </w:rPr>
              <w:t>类别</w:t>
            </w:r>
          </w:p>
        </w:tc>
        <w:tc>
          <w:tcPr>
            <w:tcW w:w="1997" w:type="pct"/>
            <w:tcBorders>
              <w:top w:val="single" w:sz="12" w:space="0" w:color="auto"/>
              <w:left w:val="nil"/>
              <w:bottom w:val="single" w:sz="4" w:space="0" w:color="auto"/>
              <w:right w:val="single" w:sz="4" w:space="0" w:color="auto"/>
            </w:tcBorders>
            <w:vAlign w:val="center"/>
          </w:tcPr>
          <w:p w:rsidR="004E3021" w:rsidRPr="001D4C8B" w:rsidRDefault="00606E48">
            <w:pPr>
              <w:pStyle w:val="afffffff2"/>
              <w:rPr>
                <w:b/>
                <w:sz w:val="21"/>
                <w:szCs w:val="21"/>
              </w:rPr>
            </w:pPr>
            <w:r w:rsidRPr="001D4C8B">
              <w:rPr>
                <w:rFonts w:ascii="宋体" w:hAnsi="宋体" w:hint="eastAsia"/>
                <w:b/>
                <w:sz w:val="21"/>
                <w:szCs w:val="21"/>
              </w:rPr>
              <w:t>昼间</w:t>
            </w:r>
            <w:r w:rsidRPr="001D4C8B">
              <w:rPr>
                <w:b/>
                <w:sz w:val="21"/>
                <w:szCs w:val="21"/>
              </w:rPr>
              <w:t>dB</w:t>
            </w:r>
            <w:r w:rsidRPr="001D4C8B">
              <w:rPr>
                <w:rFonts w:ascii="宋体" w:hAnsi="宋体" w:hint="eastAsia"/>
                <w:b/>
                <w:sz w:val="21"/>
                <w:szCs w:val="21"/>
              </w:rPr>
              <w:t>（</w:t>
            </w:r>
            <w:r w:rsidRPr="001D4C8B">
              <w:rPr>
                <w:b/>
                <w:sz w:val="21"/>
                <w:szCs w:val="21"/>
              </w:rPr>
              <w:t>A</w:t>
            </w:r>
            <w:r w:rsidRPr="001D4C8B">
              <w:rPr>
                <w:rFonts w:ascii="宋体" w:hAnsi="宋体" w:hint="eastAsia"/>
                <w:b/>
                <w:sz w:val="21"/>
                <w:szCs w:val="21"/>
              </w:rPr>
              <w:t>）</w:t>
            </w:r>
          </w:p>
        </w:tc>
        <w:tc>
          <w:tcPr>
            <w:tcW w:w="1992" w:type="pct"/>
            <w:tcBorders>
              <w:top w:val="single" w:sz="12" w:space="0" w:color="auto"/>
              <w:left w:val="nil"/>
              <w:bottom w:val="single" w:sz="4" w:space="0" w:color="auto"/>
              <w:right w:val="nil"/>
            </w:tcBorders>
            <w:vAlign w:val="center"/>
          </w:tcPr>
          <w:p w:rsidR="004E3021" w:rsidRPr="001D4C8B" w:rsidRDefault="00606E48">
            <w:pPr>
              <w:pStyle w:val="afffffff2"/>
              <w:rPr>
                <w:b/>
                <w:sz w:val="21"/>
                <w:szCs w:val="21"/>
              </w:rPr>
            </w:pPr>
            <w:r w:rsidRPr="001D4C8B">
              <w:rPr>
                <w:rFonts w:ascii="宋体" w:hAnsi="宋体" w:hint="eastAsia"/>
                <w:b/>
                <w:sz w:val="21"/>
                <w:szCs w:val="21"/>
              </w:rPr>
              <w:t>夜间</w:t>
            </w:r>
            <w:r w:rsidRPr="001D4C8B">
              <w:rPr>
                <w:b/>
                <w:sz w:val="21"/>
                <w:szCs w:val="21"/>
              </w:rPr>
              <w:t>dB</w:t>
            </w:r>
            <w:r w:rsidRPr="001D4C8B">
              <w:rPr>
                <w:rFonts w:ascii="宋体" w:hAnsi="宋体" w:hint="eastAsia"/>
                <w:b/>
                <w:sz w:val="21"/>
                <w:szCs w:val="21"/>
              </w:rPr>
              <w:t>（</w:t>
            </w:r>
            <w:r w:rsidRPr="001D4C8B">
              <w:rPr>
                <w:b/>
                <w:sz w:val="21"/>
                <w:szCs w:val="21"/>
              </w:rPr>
              <w:t>A</w:t>
            </w:r>
            <w:r w:rsidRPr="001D4C8B">
              <w:rPr>
                <w:rFonts w:ascii="宋体" w:hAnsi="宋体" w:hint="eastAsia"/>
                <w:b/>
                <w:sz w:val="21"/>
                <w:szCs w:val="21"/>
              </w:rPr>
              <w:t>）</w:t>
            </w:r>
          </w:p>
        </w:tc>
      </w:tr>
      <w:tr w:rsidR="004E3021" w:rsidRPr="001D4C8B">
        <w:trPr>
          <w:cantSplit/>
        </w:trPr>
        <w:tc>
          <w:tcPr>
            <w:tcW w:w="1011" w:type="pct"/>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3</w:t>
            </w:r>
            <w:r w:rsidRPr="001D4C8B">
              <w:rPr>
                <w:rFonts w:ascii="宋体" w:hAnsi="宋体" w:hint="eastAsia"/>
                <w:sz w:val="21"/>
                <w:szCs w:val="21"/>
              </w:rPr>
              <w:t>类标准</w:t>
            </w:r>
          </w:p>
        </w:tc>
        <w:tc>
          <w:tcPr>
            <w:tcW w:w="1997" w:type="pct"/>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65</w:t>
            </w:r>
          </w:p>
        </w:tc>
        <w:tc>
          <w:tcPr>
            <w:tcW w:w="1992" w:type="pct"/>
            <w:tcBorders>
              <w:top w:val="single" w:sz="4" w:space="0" w:color="auto"/>
              <w:left w:val="nil"/>
              <w:bottom w:val="single" w:sz="4" w:space="0" w:color="auto"/>
              <w:right w:val="nil"/>
            </w:tcBorders>
            <w:vAlign w:val="center"/>
          </w:tcPr>
          <w:p w:rsidR="004E3021" w:rsidRPr="001D4C8B" w:rsidRDefault="00606E48">
            <w:pPr>
              <w:pStyle w:val="afffffff2"/>
              <w:rPr>
                <w:sz w:val="21"/>
                <w:szCs w:val="21"/>
              </w:rPr>
            </w:pPr>
            <w:r w:rsidRPr="001D4C8B">
              <w:rPr>
                <w:sz w:val="21"/>
                <w:szCs w:val="21"/>
              </w:rPr>
              <w:t>55</w:t>
            </w:r>
          </w:p>
        </w:tc>
      </w:tr>
      <w:tr w:rsidR="004E3021" w:rsidRPr="001D4C8B">
        <w:trPr>
          <w:cantSplit/>
        </w:trPr>
        <w:tc>
          <w:tcPr>
            <w:tcW w:w="1011" w:type="pct"/>
            <w:tcBorders>
              <w:top w:val="single" w:sz="4" w:space="0" w:color="auto"/>
              <w:left w:val="nil"/>
              <w:bottom w:val="single" w:sz="12" w:space="0" w:color="auto"/>
              <w:right w:val="single" w:sz="4" w:space="0" w:color="auto"/>
            </w:tcBorders>
            <w:vAlign w:val="center"/>
          </w:tcPr>
          <w:p w:rsidR="004E3021" w:rsidRPr="001D4C8B" w:rsidRDefault="00606E48">
            <w:pPr>
              <w:pStyle w:val="afffffff2"/>
              <w:rPr>
                <w:sz w:val="21"/>
                <w:szCs w:val="21"/>
              </w:rPr>
            </w:pPr>
            <w:r w:rsidRPr="001D4C8B">
              <w:rPr>
                <w:rFonts w:ascii="宋体" w:hAnsi="宋体" w:hint="eastAsia"/>
                <w:sz w:val="21"/>
                <w:szCs w:val="21"/>
              </w:rPr>
              <w:t>标准来源</w:t>
            </w:r>
          </w:p>
        </w:tc>
        <w:tc>
          <w:tcPr>
            <w:tcW w:w="3989" w:type="pct"/>
            <w:gridSpan w:val="2"/>
            <w:tcBorders>
              <w:top w:val="single" w:sz="4" w:space="0" w:color="auto"/>
              <w:left w:val="nil"/>
              <w:bottom w:val="single" w:sz="12" w:space="0" w:color="auto"/>
              <w:right w:val="nil"/>
            </w:tcBorders>
            <w:vAlign w:val="center"/>
          </w:tcPr>
          <w:p w:rsidR="004E3021" w:rsidRPr="001D4C8B" w:rsidRDefault="00606E48">
            <w:pPr>
              <w:pStyle w:val="afffffff2"/>
              <w:rPr>
                <w:sz w:val="21"/>
                <w:szCs w:val="21"/>
              </w:rPr>
            </w:pPr>
            <w:r w:rsidRPr="001D4C8B">
              <w:rPr>
                <w:rFonts w:ascii="宋体" w:hAnsi="宋体" w:hint="eastAsia"/>
                <w:sz w:val="21"/>
                <w:szCs w:val="21"/>
              </w:rPr>
              <w:t>《工业企业厂界环境噪声排放标准》（</w:t>
            </w:r>
            <w:r w:rsidRPr="001D4C8B">
              <w:rPr>
                <w:sz w:val="21"/>
                <w:szCs w:val="21"/>
              </w:rPr>
              <w:t>GB12348-2008</w:t>
            </w:r>
            <w:r w:rsidRPr="001D4C8B">
              <w:rPr>
                <w:rFonts w:ascii="宋体" w:hAnsi="宋体" w:hint="eastAsia"/>
                <w:sz w:val="21"/>
                <w:szCs w:val="21"/>
              </w:rPr>
              <w:t>）</w:t>
            </w:r>
          </w:p>
        </w:tc>
      </w:tr>
    </w:tbl>
    <w:p w:rsidR="004E3021" w:rsidRDefault="00606E48">
      <w:pPr>
        <w:ind w:firstLine="480"/>
      </w:pPr>
      <w:r>
        <w:rPr>
          <w:rFonts w:ascii="宋体" w:hAnsi="宋体" w:hint="eastAsia"/>
        </w:rPr>
        <w:t>建设期施工作业现场噪声排放执行《建筑施工场界环境噪声排放标准》（</w:t>
      </w:r>
      <w:r>
        <w:t>GB12523-20</w:t>
      </w:r>
      <w:r w:rsidR="00627A20">
        <w:t>25</w:t>
      </w:r>
      <w:r>
        <w:rPr>
          <w:rFonts w:ascii="宋体" w:hAnsi="宋体" w:hint="eastAsia"/>
        </w:rPr>
        <w:t>），详见表</w:t>
      </w:r>
      <w:r>
        <w:t>2.2.3-10</w:t>
      </w:r>
      <w:r>
        <w:rPr>
          <w:rFonts w:ascii="宋体" w:hAnsi="宋体" w:hint="eastAsia"/>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rPr>
        <w:t xml:space="preserve">2.2.3-10 </w:t>
      </w:r>
      <w:r>
        <w:rPr>
          <w:rFonts w:ascii="黑体" w:eastAsia="黑体" w:hAnsi="黑体" w:hint="eastAsia"/>
        </w:rPr>
        <w:t>项目施工期噪声排放执行标准</w:t>
      </w:r>
    </w:p>
    <w:tbl>
      <w:tblPr>
        <w:tblW w:w="5000" w:type="pct"/>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59"/>
        <w:gridCol w:w="3944"/>
        <w:gridCol w:w="2623"/>
      </w:tblGrid>
      <w:tr w:rsidR="004E3021" w:rsidRPr="001D4C8B">
        <w:trPr>
          <w:cantSplit/>
        </w:trPr>
        <w:tc>
          <w:tcPr>
            <w:tcW w:w="1362" w:type="pct"/>
            <w:tcBorders>
              <w:top w:val="single" w:sz="12" w:space="0" w:color="auto"/>
              <w:left w:val="nil"/>
              <w:bottom w:val="single" w:sz="4" w:space="0" w:color="auto"/>
              <w:right w:val="single" w:sz="4" w:space="0" w:color="auto"/>
            </w:tcBorders>
            <w:vAlign w:val="center"/>
          </w:tcPr>
          <w:p w:rsidR="004E3021" w:rsidRPr="001D4C8B" w:rsidRDefault="00606E48">
            <w:pPr>
              <w:pStyle w:val="afffffff2"/>
              <w:rPr>
                <w:b/>
                <w:sz w:val="21"/>
                <w:szCs w:val="21"/>
              </w:rPr>
            </w:pPr>
            <w:r w:rsidRPr="001D4C8B">
              <w:rPr>
                <w:rFonts w:hint="eastAsia"/>
                <w:b/>
                <w:sz w:val="21"/>
                <w:szCs w:val="21"/>
              </w:rPr>
              <w:t>类别</w:t>
            </w:r>
          </w:p>
        </w:tc>
        <w:tc>
          <w:tcPr>
            <w:tcW w:w="2185" w:type="pct"/>
            <w:tcBorders>
              <w:top w:val="single" w:sz="12" w:space="0" w:color="auto"/>
              <w:left w:val="nil"/>
              <w:bottom w:val="single" w:sz="4" w:space="0" w:color="auto"/>
              <w:right w:val="single" w:sz="4" w:space="0" w:color="auto"/>
            </w:tcBorders>
            <w:vAlign w:val="center"/>
          </w:tcPr>
          <w:p w:rsidR="004E3021" w:rsidRPr="001D4C8B" w:rsidRDefault="00606E48">
            <w:pPr>
              <w:pStyle w:val="afffffff2"/>
              <w:rPr>
                <w:b/>
                <w:sz w:val="21"/>
                <w:szCs w:val="21"/>
              </w:rPr>
            </w:pPr>
            <w:r w:rsidRPr="001D4C8B">
              <w:rPr>
                <w:rFonts w:hint="eastAsia"/>
                <w:b/>
                <w:sz w:val="21"/>
                <w:szCs w:val="21"/>
              </w:rPr>
              <w:t>昼间</w:t>
            </w:r>
            <w:r w:rsidRPr="001D4C8B">
              <w:rPr>
                <w:b/>
                <w:sz w:val="21"/>
                <w:szCs w:val="21"/>
              </w:rPr>
              <w:t>dB</w:t>
            </w:r>
            <w:r w:rsidRPr="001D4C8B">
              <w:rPr>
                <w:rFonts w:hint="eastAsia"/>
                <w:b/>
                <w:sz w:val="21"/>
                <w:szCs w:val="21"/>
              </w:rPr>
              <w:t>（</w:t>
            </w:r>
            <w:r w:rsidRPr="001D4C8B">
              <w:rPr>
                <w:b/>
                <w:sz w:val="21"/>
                <w:szCs w:val="21"/>
              </w:rPr>
              <w:t>A</w:t>
            </w:r>
            <w:r w:rsidRPr="001D4C8B">
              <w:rPr>
                <w:rFonts w:hint="eastAsia"/>
                <w:b/>
                <w:sz w:val="21"/>
                <w:szCs w:val="21"/>
              </w:rPr>
              <w:t>）</w:t>
            </w:r>
          </w:p>
        </w:tc>
        <w:tc>
          <w:tcPr>
            <w:tcW w:w="1453" w:type="pct"/>
            <w:tcBorders>
              <w:top w:val="single" w:sz="12" w:space="0" w:color="auto"/>
              <w:left w:val="nil"/>
              <w:bottom w:val="single" w:sz="4" w:space="0" w:color="auto"/>
              <w:right w:val="nil"/>
            </w:tcBorders>
            <w:vAlign w:val="center"/>
          </w:tcPr>
          <w:p w:rsidR="004E3021" w:rsidRPr="001D4C8B" w:rsidRDefault="00606E48">
            <w:pPr>
              <w:pStyle w:val="afffffff2"/>
              <w:rPr>
                <w:b/>
                <w:sz w:val="21"/>
                <w:szCs w:val="21"/>
              </w:rPr>
            </w:pPr>
            <w:r w:rsidRPr="001D4C8B">
              <w:rPr>
                <w:rFonts w:hint="eastAsia"/>
                <w:b/>
                <w:sz w:val="21"/>
                <w:szCs w:val="21"/>
              </w:rPr>
              <w:t>夜间</w:t>
            </w:r>
            <w:r w:rsidRPr="001D4C8B">
              <w:rPr>
                <w:b/>
                <w:sz w:val="21"/>
                <w:szCs w:val="21"/>
              </w:rPr>
              <w:t>dB</w:t>
            </w:r>
            <w:r w:rsidRPr="001D4C8B">
              <w:rPr>
                <w:rFonts w:hint="eastAsia"/>
                <w:b/>
                <w:sz w:val="21"/>
                <w:szCs w:val="21"/>
              </w:rPr>
              <w:t>（</w:t>
            </w:r>
            <w:r w:rsidRPr="001D4C8B">
              <w:rPr>
                <w:b/>
                <w:sz w:val="21"/>
                <w:szCs w:val="21"/>
              </w:rPr>
              <w:t>A</w:t>
            </w:r>
            <w:r w:rsidRPr="001D4C8B">
              <w:rPr>
                <w:rFonts w:hint="eastAsia"/>
                <w:b/>
                <w:sz w:val="21"/>
                <w:szCs w:val="21"/>
              </w:rPr>
              <w:t>）</w:t>
            </w:r>
          </w:p>
        </w:tc>
      </w:tr>
      <w:tr w:rsidR="004E3021" w:rsidRPr="001D4C8B">
        <w:trPr>
          <w:cantSplit/>
        </w:trPr>
        <w:tc>
          <w:tcPr>
            <w:tcW w:w="1362" w:type="pct"/>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w:t>
            </w:r>
          </w:p>
        </w:tc>
        <w:tc>
          <w:tcPr>
            <w:tcW w:w="2185" w:type="pct"/>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70</w:t>
            </w:r>
          </w:p>
        </w:tc>
        <w:tc>
          <w:tcPr>
            <w:tcW w:w="1453" w:type="pct"/>
            <w:tcBorders>
              <w:top w:val="single" w:sz="4" w:space="0" w:color="auto"/>
              <w:left w:val="nil"/>
              <w:bottom w:val="single" w:sz="4" w:space="0" w:color="auto"/>
              <w:right w:val="nil"/>
            </w:tcBorders>
            <w:vAlign w:val="center"/>
          </w:tcPr>
          <w:p w:rsidR="004E3021" w:rsidRPr="001D4C8B" w:rsidRDefault="00606E48">
            <w:pPr>
              <w:pStyle w:val="afffffff2"/>
              <w:rPr>
                <w:sz w:val="21"/>
                <w:szCs w:val="21"/>
              </w:rPr>
            </w:pPr>
            <w:r w:rsidRPr="001D4C8B">
              <w:rPr>
                <w:sz w:val="21"/>
                <w:szCs w:val="21"/>
              </w:rPr>
              <w:t>55</w:t>
            </w:r>
          </w:p>
        </w:tc>
      </w:tr>
      <w:tr w:rsidR="004E3021" w:rsidRPr="001D4C8B">
        <w:trPr>
          <w:cantSplit/>
        </w:trPr>
        <w:tc>
          <w:tcPr>
            <w:tcW w:w="1362" w:type="pct"/>
            <w:tcBorders>
              <w:top w:val="single" w:sz="4" w:space="0" w:color="auto"/>
              <w:left w:val="nil"/>
              <w:bottom w:val="single" w:sz="12" w:space="0" w:color="auto"/>
              <w:right w:val="single" w:sz="4" w:space="0" w:color="auto"/>
            </w:tcBorders>
            <w:vAlign w:val="center"/>
          </w:tcPr>
          <w:p w:rsidR="004E3021" w:rsidRPr="001D4C8B" w:rsidRDefault="00606E48">
            <w:pPr>
              <w:pStyle w:val="afffffff2"/>
              <w:rPr>
                <w:sz w:val="21"/>
                <w:szCs w:val="21"/>
              </w:rPr>
            </w:pPr>
            <w:r w:rsidRPr="001D4C8B">
              <w:rPr>
                <w:rFonts w:hint="eastAsia"/>
                <w:sz w:val="21"/>
                <w:szCs w:val="21"/>
              </w:rPr>
              <w:t>标准来源</w:t>
            </w:r>
          </w:p>
        </w:tc>
        <w:tc>
          <w:tcPr>
            <w:tcW w:w="3638" w:type="pct"/>
            <w:gridSpan w:val="2"/>
            <w:tcBorders>
              <w:top w:val="single" w:sz="4" w:space="0" w:color="auto"/>
              <w:left w:val="nil"/>
              <w:bottom w:val="single" w:sz="12" w:space="0" w:color="auto"/>
              <w:right w:val="nil"/>
            </w:tcBorders>
            <w:vAlign w:val="center"/>
          </w:tcPr>
          <w:p w:rsidR="004E3021" w:rsidRPr="001D4C8B" w:rsidRDefault="00606E48" w:rsidP="00627A20">
            <w:pPr>
              <w:pStyle w:val="afffffff2"/>
              <w:rPr>
                <w:sz w:val="21"/>
                <w:szCs w:val="21"/>
              </w:rPr>
            </w:pPr>
            <w:r w:rsidRPr="001D4C8B">
              <w:rPr>
                <w:rFonts w:hint="eastAsia"/>
                <w:sz w:val="21"/>
                <w:szCs w:val="21"/>
              </w:rPr>
              <w:t>《建筑施工场界环境噪声排放标准》（</w:t>
            </w:r>
            <w:r w:rsidRPr="001D4C8B">
              <w:rPr>
                <w:sz w:val="21"/>
                <w:szCs w:val="21"/>
              </w:rPr>
              <w:t>GB12523-20</w:t>
            </w:r>
            <w:r w:rsidR="00627A20">
              <w:rPr>
                <w:sz w:val="21"/>
                <w:szCs w:val="21"/>
              </w:rPr>
              <w:t>25</w:t>
            </w:r>
            <w:r w:rsidRPr="001D4C8B">
              <w:rPr>
                <w:rFonts w:hint="eastAsia"/>
                <w:sz w:val="21"/>
                <w:szCs w:val="21"/>
              </w:rPr>
              <w:t>）</w:t>
            </w:r>
          </w:p>
        </w:tc>
      </w:tr>
    </w:tbl>
    <w:p w:rsidR="004E3021" w:rsidRDefault="00606E48">
      <w:pPr>
        <w:ind w:firstLineChars="0" w:firstLine="0"/>
        <w:rPr>
          <w:sz w:val="18"/>
          <w:szCs w:val="18"/>
        </w:rPr>
      </w:pPr>
      <w:r>
        <w:rPr>
          <w:rFonts w:ascii="宋体" w:hAnsi="宋体" w:hint="eastAsia"/>
          <w:kern w:val="0"/>
          <w:sz w:val="18"/>
          <w:szCs w:val="18"/>
        </w:rPr>
        <w:t>注：夜间噪声最大声级超过限值的幅度不得高于</w:t>
      </w:r>
      <w:r>
        <w:rPr>
          <w:kern w:val="0"/>
          <w:sz w:val="18"/>
          <w:szCs w:val="18"/>
        </w:rPr>
        <w:t>15dB</w:t>
      </w:r>
      <w:r>
        <w:rPr>
          <w:rFonts w:ascii="宋体" w:hAnsi="宋体" w:hint="eastAsia"/>
          <w:kern w:val="0"/>
          <w:sz w:val="18"/>
          <w:szCs w:val="18"/>
        </w:rPr>
        <w:t>（</w:t>
      </w:r>
      <w:r>
        <w:rPr>
          <w:kern w:val="0"/>
          <w:sz w:val="18"/>
          <w:szCs w:val="18"/>
        </w:rPr>
        <w:t>A</w:t>
      </w:r>
      <w:r>
        <w:rPr>
          <w:rFonts w:ascii="宋体" w:hAnsi="宋体" w:hint="eastAsia"/>
          <w:kern w:val="0"/>
          <w:sz w:val="18"/>
          <w:szCs w:val="18"/>
        </w:rPr>
        <w:t>）。</w:t>
      </w:r>
    </w:p>
    <w:p w:rsidR="004E3021" w:rsidRDefault="00606E48">
      <w:pPr>
        <w:pStyle w:val="4a"/>
      </w:pPr>
      <w:r>
        <w:rPr>
          <w:rFonts w:hint="eastAsia"/>
        </w:rPr>
        <w:t>2</w:t>
      </w:r>
      <w:r>
        <w:t>.2.3.5</w:t>
      </w:r>
      <w:r>
        <w:rPr>
          <w:rFonts w:hint="eastAsia"/>
        </w:rPr>
        <w:t>土壤评价标准</w:t>
      </w:r>
    </w:p>
    <w:p w:rsidR="004E3021" w:rsidRDefault="00606E48">
      <w:pPr>
        <w:ind w:firstLine="480"/>
      </w:pPr>
      <w:r>
        <w:rPr>
          <w:rFonts w:ascii="宋体" w:hAnsi="宋体"/>
        </w:rPr>
        <w:t>区域建设用地土壤执行</w:t>
      </w:r>
      <w:r>
        <w:rPr>
          <w:rFonts w:ascii="宋体" w:hAnsi="宋体" w:hint="eastAsia"/>
        </w:rPr>
        <w:t>《土壤环境质量</w:t>
      </w:r>
      <w:r>
        <w:rPr>
          <w:rFonts w:hint="eastAsia"/>
        </w:rPr>
        <w:t xml:space="preserve"> </w:t>
      </w:r>
      <w:r>
        <w:rPr>
          <w:rFonts w:hint="eastAsia"/>
        </w:rPr>
        <w:t>建设用地土壤污染风险管控标准（试行）》（</w:t>
      </w:r>
      <w:r>
        <w:rPr>
          <w:rFonts w:hint="eastAsia"/>
        </w:rPr>
        <w:t>G</w:t>
      </w:r>
      <w:r>
        <w:t>B36600-2018</w:t>
      </w:r>
      <w:r>
        <w:rPr>
          <w:rFonts w:ascii="宋体" w:hAnsi="宋体" w:hint="eastAsia"/>
        </w:rPr>
        <w:t>）中第二类用地筛选值要求；农用地土壤执行《土壤环境质量</w:t>
      </w:r>
      <w:r>
        <w:rPr>
          <w:rFonts w:hint="eastAsia"/>
        </w:rPr>
        <w:t xml:space="preserve"> </w:t>
      </w:r>
      <w:r>
        <w:rPr>
          <w:rFonts w:hint="eastAsia"/>
        </w:rPr>
        <w:t>农用地</w:t>
      </w:r>
      <w:r>
        <w:rPr>
          <w:rFonts w:hint="eastAsia"/>
        </w:rPr>
        <w:lastRenderedPageBreak/>
        <w:t>土壤污染风险管控标准（试行）》（</w:t>
      </w:r>
      <w:r>
        <w:rPr>
          <w:rFonts w:hint="eastAsia"/>
        </w:rPr>
        <w:t>G</w:t>
      </w:r>
      <w:r>
        <w:t>B15618-2018</w:t>
      </w:r>
      <w:r>
        <w:rPr>
          <w:rFonts w:ascii="宋体" w:hAnsi="宋体" w:hint="eastAsia"/>
        </w:rPr>
        <w:t>）中风险筛选值要求。具体见表</w:t>
      </w:r>
      <w:r>
        <w:rPr>
          <w:rFonts w:hint="eastAsia"/>
        </w:rPr>
        <w:t>2</w:t>
      </w:r>
      <w:r>
        <w:t>.2.3-11</w:t>
      </w:r>
      <w:r>
        <w:rPr>
          <w:rFonts w:hint="eastAsia"/>
        </w:rPr>
        <w:t>~</w:t>
      </w:r>
      <w:r>
        <w:t>12</w:t>
      </w:r>
      <w:r>
        <w:rPr>
          <w:rFonts w:ascii="宋体" w:hAnsi="宋体" w:hint="eastAsia"/>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rPr>
        <w:t xml:space="preserve">2.2.3-11  </w:t>
      </w:r>
      <w:r>
        <w:rPr>
          <w:rFonts w:ascii="黑体" w:eastAsia="黑体" w:hAnsi="黑体" w:hint="eastAsia"/>
        </w:rPr>
        <w:t>建设用地土壤评价标准（单位：</w:t>
      </w:r>
      <w:r>
        <w:rPr>
          <w:rFonts w:eastAsia="黑体"/>
        </w:rPr>
        <w:t>mg/kg</w:t>
      </w:r>
      <w:r>
        <w:rPr>
          <w:rFonts w:ascii="黑体" w:eastAsia="黑体" w:hAnsi="黑体" w:hint="eastAsia"/>
        </w:rPr>
        <w:t>）</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46"/>
        <w:gridCol w:w="1730"/>
        <w:gridCol w:w="1288"/>
        <w:gridCol w:w="1288"/>
        <w:gridCol w:w="1288"/>
        <w:gridCol w:w="1288"/>
        <w:gridCol w:w="1289"/>
      </w:tblGrid>
      <w:tr w:rsidR="004E3021" w:rsidRPr="001D4C8B">
        <w:trPr>
          <w:trHeight w:val="180"/>
        </w:trPr>
        <w:tc>
          <w:tcPr>
            <w:tcW w:w="846" w:type="dxa"/>
            <w:vMerge w:val="restart"/>
            <w:tcBorders>
              <w:top w:val="single" w:sz="12" w:space="0" w:color="auto"/>
              <w:left w:val="nil"/>
              <w:bottom w:val="single" w:sz="4" w:space="0" w:color="auto"/>
              <w:right w:val="single" w:sz="4" w:space="0" w:color="auto"/>
            </w:tcBorders>
            <w:vAlign w:val="center"/>
          </w:tcPr>
          <w:p w:rsidR="004E3021" w:rsidRPr="001D4C8B" w:rsidRDefault="00606E48">
            <w:pPr>
              <w:pStyle w:val="afffffff2"/>
              <w:rPr>
                <w:rFonts w:cs="Times New Roman"/>
                <w:b/>
                <w:sz w:val="21"/>
                <w:szCs w:val="21"/>
              </w:rPr>
            </w:pPr>
            <w:r w:rsidRPr="001D4C8B">
              <w:rPr>
                <w:rFonts w:cs="Times New Roman"/>
                <w:b/>
                <w:sz w:val="21"/>
                <w:szCs w:val="21"/>
              </w:rPr>
              <w:t>序号</w:t>
            </w:r>
          </w:p>
        </w:tc>
        <w:tc>
          <w:tcPr>
            <w:tcW w:w="1730" w:type="dxa"/>
            <w:vMerge w:val="restart"/>
            <w:tcBorders>
              <w:top w:val="single" w:sz="12" w:space="0" w:color="auto"/>
              <w:left w:val="nil"/>
              <w:bottom w:val="single" w:sz="4" w:space="0" w:color="auto"/>
              <w:right w:val="single" w:sz="4" w:space="0" w:color="auto"/>
            </w:tcBorders>
            <w:vAlign w:val="center"/>
          </w:tcPr>
          <w:p w:rsidR="004E3021" w:rsidRPr="001D4C8B" w:rsidRDefault="00606E48">
            <w:pPr>
              <w:pStyle w:val="afffffff2"/>
              <w:rPr>
                <w:rFonts w:cs="Times New Roman"/>
                <w:b/>
                <w:sz w:val="21"/>
                <w:szCs w:val="21"/>
              </w:rPr>
            </w:pPr>
            <w:r w:rsidRPr="001D4C8B">
              <w:rPr>
                <w:rFonts w:cs="Times New Roman"/>
                <w:b/>
                <w:sz w:val="21"/>
                <w:szCs w:val="21"/>
              </w:rPr>
              <w:t>污染物项目</w:t>
            </w:r>
          </w:p>
        </w:tc>
        <w:tc>
          <w:tcPr>
            <w:tcW w:w="1288" w:type="dxa"/>
            <w:vMerge w:val="restart"/>
            <w:tcBorders>
              <w:top w:val="single" w:sz="12" w:space="0" w:color="auto"/>
              <w:left w:val="nil"/>
              <w:bottom w:val="single" w:sz="4" w:space="0" w:color="auto"/>
              <w:right w:val="single" w:sz="4" w:space="0" w:color="auto"/>
            </w:tcBorders>
            <w:vAlign w:val="center"/>
          </w:tcPr>
          <w:p w:rsidR="004E3021" w:rsidRPr="001D4C8B" w:rsidRDefault="00606E48">
            <w:pPr>
              <w:pStyle w:val="afffffff2"/>
              <w:rPr>
                <w:rFonts w:cs="Times New Roman"/>
                <w:b/>
                <w:sz w:val="21"/>
                <w:szCs w:val="21"/>
              </w:rPr>
            </w:pPr>
            <w:r w:rsidRPr="001D4C8B">
              <w:rPr>
                <w:rFonts w:cs="Times New Roman"/>
                <w:b/>
                <w:sz w:val="21"/>
                <w:szCs w:val="21"/>
              </w:rPr>
              <w:t>CAS</w:t>
            </w:r>
            <w:r w:rsidRPr="001D4C8B">
              <w:rPr>
                <w:rFonts w:cs="Times New Roman"/>
                <w:b/>
                <w:sz w:val="21"/>
                <w:szCs w:val="21"/>
              </w:rPr>
              <w:t>编号</w:t>
            </w:r>
          </w:p>
        </w:tc>
        <w:tc>
          <w:tcPr>
            <w:tcW w:w="2576" w:type="dxa"/>
            <w:gridSpan w:val="2"/>
            <w:tcBorders>
              <w:top w:val="single" w:sz="12" w:space="0" w:color="auto"/>
              <w:left w:val="nil"/>
              <w:bottom w:val="single" w:sz="4" w:space="0" w:color="auto"/>
              <w:right w:val="single" w:sz="4" w:space="0" w:color="auto"/>
            </w:tcBorders>
            <w:vAlign w:val="center"/>
          </w:tcPr>
          <w:p w:rsidR="004E3021" w:rsidRPr="001D4C8B" w:rsidRDefault="00606E48">
            <w:pPr>
              <w:pStyle w:val="afffffff2"/>
              <w:rPr>
                <w:rFonts w:cs="Times New Roman"/>
                <w:b/>
                <w:sz w:val="21"/>
                <w:szCs w:val="21"/>
              </w:rPr>
            </w:pPr>
            <w:r w:rsidRPr="001D4C8B">
              <w:rPr>
                <w:rFonts w:cs="Times New Roman"/>
                <w:b/>
                <w:sz w:val="21"/>
                <w:szCs w:val="21"/>
              </w:rPr>
              <w:t>筛选值</w:t>
            </w:r>
          </w:p>
        </w:tc>
        <w:tc>
          <w:tcPr>
            <w:tcW w:w="2577" w:type="dxa"/>
            <w:gridSpan w:val="2"/>
            <w:tcBorders>
              <w:top w:val="single" w:sz="12" w:space="0" w:color="auto"/>
              <w:left w:val="nil"/>
              <w:bottom w:val="single" w:sz="4" w:space="0" w:color="auto"/>
              <w:right w:val="nil"/>
            </w:tcBorders>
            <w:vAlign w:val="center"/>
          </w:tcPr>
          <w:p w:rsidR="004E3021" w:rsidRPr="001D4C8B" w:rsidRDefault="00606E48">
            <w:pPr>
              <w:pStyle w:val="afffffff2"/>
              <w:rPr>
                <w:rFonts w:cs="Times New Roman"/>
                <w:b/>
                <w:sz w:val="21"/>
                <w:szCs w:val="21"/>
              </w:rPr>
            </w:pPr>
            <w:r w:rsidRPr="001D4C8B">
              <w:rPr>
                <w:rFonts w:cs="Times New Roman"/>
                <w:b/>
                <w:sz w:val="21"/>
                <w:szCs w:val="21"/>
              </w:rPr>
              <w:t>管制值</w:t>
            </w:r>
          </w:p>
        </w:tc>
      </w:tr>
      <w:tr w:rsidR="004E3021" w:rsidRPr="001D4C8B">
        <w:trPr>
          <w:trHeight w:val="180"/>
        </w:trPr>
        <w:tc>
          <w:tcPr>
            <w:tcW w:w="0" w:type="auto"/>
            <w:vMerge/>
            <w:tcBorders>
              <w:top w:val="single" w:sz="12" w:space="0" w:color="auto"/>
              <w:left w:val="nil"/>
              <w:bottom w:val="single" w:sz="4" w:space="0" w:color="auto"/>
              <w:right w:val="single" w:sz="4" w:space="0" w:color="auto"/>
            </w:tcBorders>
            <w:vAlign w:val="center"/>
          </w:tcPr>
          <w:p w:rsidR="004E3021" w:rsidRPr="001D4C8B" w:rsidRDefault="004E3021">
            <w:pPr>
              <w:pStyle w:val="afffffff2"/>
              <w:rPr>
                <w:rFonts w:cs="Times New Roman"/>
                <w:b/>
                <w:sz w:val="21"/>
                <w:szCs w:val="21"/>
              </w:rPr>
            </w:pPr>
          </w:p>
        </w:tc>
        <w:tc>
          <w:tcPr>
            <w:tcW w:w="0" w:type="auto"/>
            <w:vMerge/>
            <w:tcBorders>
              <w:top w:val="single" w:sz="12" w:space="0" w:color="auto"/>
              <w:left w:val="nil"/>
              <w:bottom w:val="single" w:sz="4" w:space="0" w:color="auto"/>
              <w:right w:val="single" w:sz="4" w:space="0" w:color="auto"/>
            </w:tcBorders>
            <w:vAlign w:val="center"/>
          </w:tcPr>
          <w:p w:rsidR="004E3021" w:rsidRPr="001D4C8B" w:rsidRDefault="004E3021">
            <w:pPr>
              <w:pStyle w:val="afffffff2"/>
              <w:rPr>
                <w:rFonts w:cs="Times New Roman"/>
                <w:b/>
                <w:sz w:val="21"/>
                <w:szCs w:val="21"/>
              </w:rPr>
            </w:pPr>
          </w:p>
        </w:tc>
        <w:tc>
          <w:tcPr>
            <w:tcW w:w="0" w:type="auto"/>
            <w:vMerge/>
            <w:tcBorders>
              <w:top w:val="single" w:sz="12" w:space="0" w:color="auto"/>
              <w:left w:val="nil"/>
              <w:bottom w:val="single" w:sz="4" w:space="0" w:color="auto"/>
              <w:right w:val="single" w:sz="4" w:space="0" w:color="auto"/>
            </w:tcBorders>
            <w:vAlign w:val="center"/>
          </w:tcPr>
          <w:p w:rsidR="004E3021" w:rsidRPr="001D4C8B" w:rsidRDefault="004E3021">
            <w:pPr>
              <w:pStyle w:val="afffffff2"/>
              <w:rPr>
                <w:rFonts w:cs="Times New Roman"/>
                <w:b/>
                <w:sz w:val="21"/>
                <w:szCs w:val="21"/>
              </w:rPr>
            </w:pP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b/>
                <w:sz w:val="21"/>
                <w:szCs w:val="21"/>
              </w:rPr>
            </w:pPr>
            <w:r w:rsidRPr="001D4C8B">
              <w:rPr>
                <w:rFonts w:cs="Times New Roman"/>
                <w:b/>
                <w:sz w:val="21"/>
                <w:szCs w:val="21"/>
              </w:rPr>
              <w:t>第一类用地</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b/>
                <w:sz w:val="21"/>
                <w:szCs w:val="21"/>
              </w:rPr>
            </w:pPr>
            <w:r w:rsidRPr="001D4C8B">
              <w:rPr>
                <w:rFonts w:cs="Times New Roman"/>
                <w:b/>
                <w:sz w:val="21"/>
                <w:szCs w:val="21"/>
              </w:rPr>
              <w:t>第二类用地</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b/>
                <w:sz w:val="21"/>
                <w:szCs w:val="21"/>
              </w:rPr>
            </w:pPr>
            <w:r w:rsidRPr="001D4C8B">
              <w:rPr>
                <w:rFonts w:cs="Times New Roman"/>
                <w:b/>
                <w:sz w:val="21"/>
                <w:szCs w:val="21"/>
              </w:rPr>
              <w:t>第一类用地</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b/>
                <w:sz w:val="21"/>
                <w:szCs w:val="21"/>
              </w:rPr>
            </w:pPr>
            <w:r w:rsidRPr="001D4C8B">
              <w:rPr>
                <w:rFonts w:cs="Times New Roman"/>
                <w:b/>
                <w:sz w:val="21"/>
                <w:szCs w:val="21"/>
              </w:rPr>
              <w:t>第二类用地</w:t>
            </w:r>
          </w:p>
        </w:tc>
      </w:tr>
      <w:tr w:rsidR="004E3021" w:rsidRPr="001D4C8B">
        <w:tc>
          <w:tcPr>
            <w:tcW w:w="9017" w:type="dxa"/>
            <w:gridSpan w:val="7"/>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重金属和和无机物</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砷</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7440-38-2</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20</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60</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120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140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镉</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7440-43-9</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20</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65</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47</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172</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铬（六价）</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18540-29-9</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3.0</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5.7</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78</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4</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铜</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7440-50-8</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2000</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18000</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8000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36000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铅</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7439-92-1</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400</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800</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800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2500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6</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汞</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7439-97-6</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8</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38</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33</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82</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镍</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7440-02-0</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150</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900</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600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2000</w:t>
            </w:r>
          </w:p>
        </w:tc>
      </w:tr>
      <w:tr w:rsidR="004E3021" w:rsidRPr="001D4C8B">
        <w:tc>
          <w:tcPr>
            <w:tcW w:w="9017" w:type="dxa"/>
            <w:gridSpan w:val="7"/>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挥发性有机物</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8</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四氯化碳</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56-23-5</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0.9</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2.8</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9</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36</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9</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氯仿</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67-66-3</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0.3</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0.9</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10</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氯甲烷</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74-87-3</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12</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37</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21</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120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11</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1,1-</w:t>
            </w:r>
            <w:r w:rsidRPr="001D4C8B">
              <w:rPr>
                <w:rFonts w:cs="Times New Roman"/>
                <w:sz w:val="21"/>
                <w:szCs w:val="21"/>
              </w:rPr>
              <w:t>二氯乙烷</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75-34-3</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9</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100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12</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1,2-</w:t>
            </w:r>
            <w:r w:rsidRPr="001D4C8B">
              <w:rPr>
                <w:rFonts w:cs="Times New Roman"/>
                <w:sz w:val="21"/>
                <w:szCs w:val="21"/>
              </w:rPr>
              <w:t>二氯乙烷</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107-06-2</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0.52</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5</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6</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21</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13</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1,1-</w:t>
            </w:r>
            <w:r w:rsidRPr="001D4C8B">
              <w:rPr>
                <w:rFonts w:cs="Times New Roman"/>
                <w:sz w:val="21"/>
                <w:szCs w:val="21"/>
              </w:rPr>
              <w:t>二氯乙烯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75-35-4</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12</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66</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40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200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14</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顺</w:t>
            </w:r>
            <w:r w:rsidRPr="001D4C8B">
              <w:rPr>
                <w:rFonts w:cs="Times New Roman"/>
                <w:sz w:val="21"/>
                <w:szCs w:val="21"/>
              </w:rPr>
              <w:t>-1,2-</w:t>
            </w:r>
            <w:r w:rsidRPr="001D4C8B">
              <w:rPr>
                <w:rFonts w:cs="Times New Roman"/>
                <w:sz w:val="21"/>
                <w:szCs w:val="21"/>
              </w:rPr>
              <w:t>二氯乙烯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156-59-2</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66</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596</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200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2000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15</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反</w:t>
            </w:r>
            <w:r w:rsidRPr="001D4C8B">
              <w:rPr>
                <w:rFonts w:cs="Times New Roman"/>
                <w:sz w:val="21"/>
                <w:szCs w:val="21"/>
              </w:rPr>
              <w:t>-1,2-</w:t>
            </w:r>
            <w:r w:rsidRPr="001D4C8B">
              <w:rPr>
                <w:rFonts w:cs="Times New Roman"/>
                <w:sz w:val="21"/>
                <w:szCs w:val="21"/>
              </w:rPr>
              <w:t>二氯乙烯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156-60-5</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10</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54</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31</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163</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16</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二氯甲烷</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75-09-2</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94</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616</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300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2000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17</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1,2-</w:t>
            </w:r>
            <w:r w:rsidRPr="001D4C8B">
              <w:rPr>
                <w:rFonts w:cs="Times New Roman"/>
                <w:sz w:val="21"/>
                <w:szCs w:val="21"/>
              </w:rPr>
              <w:t>二氯丙烯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78-87-5</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5</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47</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18</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1,1,1,2-</w:t>
            </w:r>
            <w:r w:rsidRPr="001D4C8B">
              <w:rPr>
                <w:rFonts w:cs="Times New Roman"/>
                <w:sz w:val="21"/>
                <w:szCs w:val="21"/>
              </w:rPr>
              <w:t>四氯乙烷</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630-20-6</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2.6</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10</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26</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100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19</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1,1,2,2-</w:t>
            </w:r>
            <w:r w:rsidRPr="001D4C8B">
              <w:rPr>
                <w:rFonts w:cs="Times New Roman"/>
                <w:sz w:val="21"/>
                <w:szCs w:val="21"/>
              </w:rPr>
              <w:t>四氯乙烷</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79-34-5</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1.6</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6.8</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14</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50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20</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四氯乙烯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127-18-4</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11</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53</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34</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183</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21</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1,1,1-</w:t>
            </w:r>
            <w:r w:rsidRPr="001D4C8B">
              <w:rPr>
                <w:rFonts w:cs="Times New Roman"/>
                <w:sz w:val="21"/>
                <w:szCs w:val="21"/>
              </w:rPr>
              <w:t>三氯乙烷</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71-55-6</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701</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840</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840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840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22</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1,1,2-</w:t>
            </w:r>
            <w:r w:rsidRPr="001D4C8B">
              <w:rPr>
                <w:rFonts w:cs="Times New Roman"/>
                <w:sz w:val="21"/>
                <w:szCs w:val="21"/>
              </w:rPr>
              <w:t>三氯乙烷</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79-00-5</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0.6</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2.8</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15</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23</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三氯乙烯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79-01-6</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0.7</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2.8</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20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24</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1,2,3-</w:t>
            </w:r>
            <w:r w:rsidRPr="001D4C8B">
              <w:rPr>
                <w:rFonts w:cs="Times New Roman"/>
                <w:sz w:val="21"/>
                <w:szCs w:val="21"/>
              </w:rPr>
              <w:t>三氯丙烷</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96-18-4</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0.05</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0.5</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0.5</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5</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25</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氯乙烯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75-01-4</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0.12</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0.43</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1.2</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4.3</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26</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71-43-2</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4</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40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27</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氯苯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108-90-7</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68</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270</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200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1000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28</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1,2-</w:t>
            </w:r>
            <w:r w:rsidRPr="001D4C8B">
              <w:rPr>
                <w:rFonts w:cs="Times New Roman"/>
                <w:sz w:val="21"/>
                <w:szCs w:val="21"/>
              </w:rPr>
              <w:t>二氯苯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95-50-1</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560</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560</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560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560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29</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1,4-</w:t>
            </w:r>
            <w:r w:rsidRPr="001D4C8B">
              <w:rPr>
                <w:rFonts w:cs="Times New Roman"/>
                <w:sz w:val="21"/>
                <w:szCs w:val="21"/>
              </w:rPr>
              <w:t>二氯苯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106-46-7</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5.6</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20</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56</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200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lastRenderedPageBreak/>
              <w:t>30</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乙苯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100-41-4</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7.2</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28</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72</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280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31</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苯乙烯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100-42-5</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1290</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1290</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1290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1290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32</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甲苯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108-88-3</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1200</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1200</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1200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1200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33</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间二甲苯</w:t>
            </w:r>
            <w:r w:rsidRPr="001D4C8B">
              <w:rPr>
                <w:rFonts w:cs="Times New Roman"/>
                <w:sz w:val="21"/>
                <w:szCs w:val="21"/>
              </w:rPr>
              <w:t>+</w:t>
            </w:r>
            <w:r w:rsidRPr="001D4C8B">
              <w:rPr>
                <w:rFonts w:cs="Times New Roman"/>
                <w:sz w:val="21"/>
                <w:szCs w:val="21"/>
              </w:rPr>
              <w:t>对二甲苯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108-38-3</w:t>
            </w:r>
            <w:r w:rsidRPr="001D4C8B">
              <w:rPr>
                <w:rFonts w:cs="Times New Roman"/>
                <w:sz w:val="21"/>
                <w:szCs w:val="21"/>
              </w:rPr>
              <w:t>、</w:t>
            </w:r>
          </w:p>
          <w:p w:rsidR="004E3021" w:rsidRPr="001D4C8B" w:rsidRDefault="00606E48">
            <w:pPr>
              <w:pStyle w:val="afffffff2"/>
              <w:rPr>
                <w:rFonts w:cs="Times New Roman"/>
                <w:sz w:val="21"/>
                <w:szCs w:val="21"/>
              </w:rPr>
            </w:pPr>
            <w:r w:rsidRPr="001D4C8B">
              <w:rPr>
                <w:rFonts w:cs="Times New Roman"/>
                <w:sz w:val="21"/>
                <w:szCs w:val="21"/>
              </w:rPr>
              <w:t>106-42-3</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163</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570</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500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570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34</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邻二甲苯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95-47-6</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222</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640</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640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640</w:t>
            </w:r>
          </w:p>
        </w:tc>
      </w:tr>
      <w:tr w:rsidR="004E3021" w:rsidRPr="001D4C8B">
        <w:tc>
          <w:tcPr>
            <w:tcW w:w="9017" w:type="dxa"/>
            <w:gridSpan w:val="7"/>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半挥发性有机物</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35</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硝基苯</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98-95-3</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34</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76</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190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760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36</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苯胺</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62-53-3</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92</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260</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211</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663</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37</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w:t>
            </w:r>
            <w:r w:rsidRPr="001D4C8B">
              <w:rPr>
                <w:rFonts w:cs="Times New Roman"/>
                <w:sz w:val="21"/>
                <w:szCs w:val="21"/>
              </w:rPr>
              <w:t>氯酚</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95-57-8</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250</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2256</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500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4500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38</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苯并</w:t>
            </w:r>
            <w:r w:rsidRPr="001D4C8B">
              <w:rPr>
                <w:rFonts w:cs="Times New Roman"/>
                <w:sz w:val="21"/>
                <w:szCs w:val="21"/>
              </w:rPr>
              <w:t>[a]</w:t>
            </w:r>
            <w:r w:rsidRPr="001D4C8B">
              <w:rPr>
                <w:rFonts w:cs="Times New Roman"/>
                <w:sz w:val="21"/>
                <w:szCs w:val="21"/>
              </w:rPr>
              <w:t>蒽</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56-55-3</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5.5</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15</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55</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151</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39</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苯并</w:t>
            </w:r>
            <w:r w:rsidRPr="001D4C8B">
              <w:rPr>
                <w:rFonts w:cs="Times New Roman"/>
                <w:sz w:val="21"/>
                <w:szCs w:val="21"/>
              </w:rPr>
              <w:t>[a]</w:t>
            </w:r>
            <w:r w:rsidRPr="001D4C8B">
              <w:rPr>
                <w:rFonts w:cs="Times New Roman"/>
                <w:sz w:val="21"/>
                <w:szCs w:val="21"/>
              </w:rPr>
              <w:t>芘</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50-32-8</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0.55</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1.5</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5.5</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15</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40</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苯并</w:t>
            </w:r>
            <w:r w:rsidRPr="001D4C8B">
              <w:rPr>
                <w:rFonts w:cs="Times New Roman"/>
                <w:sz w:val="21"/>
                <w:szCs w:val="21"/>
              </w:rPr>
              <w:t>[b]</w:t>
            </w:r>
            <w:r w:rsidRPr="001D4C8B">
              <w:rPr>
                <w:rFonts w:cs="Times New Roman"/>
                <w:sz w:val="21"/>
                <w:szCs w:val="21"/>
              </w:rPr>
              <w:t>荧蒽</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205-99-2</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5.5</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15</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55</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151</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41</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苯并</w:t>
            </w:r>
            <w:r w:rsidRPr="001D4C8B">
              <w:rPr>
                <w:rFonts w:cs="Times New Roman"/>
                <w:sz w:val="21"/>
                <w:szCs w:val="21"/>
              </w:rPr>
              <w:t>[k]</w:t>
            </w:r>
            <w:r w:rsidRPr="001D4C8B">
              <w:rPr>
                <w:rFonts w:cs="Times New Roman"/>
                <w:sz w:val="21"/>
                <w:szCs w:val="21"/>
              </w:rPr>
              <w:t>荧蒽</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207-08-9</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55</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151</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550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1500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42</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䓛</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218-01-9</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490</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1293</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4900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12900</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43</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二苯并</w:t>
            </w:r>
            <w:r w:rsidRPr="001D4C8B">
              <w:rPr>
                <w:rFonts w:cs="Times New Roman"/>
                <w:sz w:val="21"/>
                <w:szCs w:val="21"/>
              </w:rPr>
              <w:t>[a</w:t>
            </w:r>
            <w:r w:rsidRPr="001D4C8B">
              <w:rPr>
                <w:rFonts w:cs="Times New Roman"/>
                <w:sz w:val="21"/>
                <w:szCs w:val="21"/>
              </w:rPr>
              <w:t>，</w:t>
            </w:r>
            <w:r w:rsidRPr="001D4C8B">
              <w:rPr>
                <w:rFonts w:cs="Times New Roman"/>
                <w:sz w:val="21"/>
                <w:szCs w:val="21"/>
              </w:rPr>
              <w:t>h]</w:t>
            </w:r>
            <w:r w:rsidRPr="001D4C8B">
              <w:rPr>
                <w:rFonts w:cs="Times New Roman"/>
                <w:sz w:val="21"/>
                <w:szCs w:val="21"/>
              </w:rPr>
              <w:t>蒽</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53-70-3</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0.55</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1.5</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5.5</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15</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44</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茚并</w:t>
            </w:r>
            <w:r w:rsidRPr="001D4C8B">
              <w:rPr>
                <w:rFonts w:cs="Times New Roman"/>
                <w:sz w:val="21"/>
                <w:szCs w:val="21"/>
              </w:rPr>
              <w:t>[1</w:t>
            </w:r>
            <w:r w:rsidRPr="001D4C8B">
              <w:rPr>
                <w:rFonts w:cs="Times New Roman"/>
                <w:sz w:val="21"/>
                <w:szCs w:val="21"/>
              </w:rPr>
              <w:t>，</w:t>
            </w:r>
            <w:r w:rsidRPr="001D4C8B">
              <w:rPr>
                <w:rFonts w:cs="Times New Roman"/>
                <w:sz w:val="21"/>
                <w:szCs w:val="21"/>
              </w:rPr>
              <w:t>2</w:t>
            </w:r>
            <w:r w:rsidRPr="001D4C8B">
              <w:rPr>
                <w:rFonts w:cs="Times New Roman"/>
                <w:sz w:val="21"/>
                <w:szCs w:val="21"/>
              </w:rPr>
              <w:t>，</w:t>
            </w:r>
            <w:r w:rsidRPr="001D4C8B">
              <w:rPr>
                <w:rFonts w:cs="Times New Roman"/>
                <w:sz w:val="21"/>
                <w:szCs w:val="21"/>
              </w:rPr>
              <w:t>3-c</w:t>
            </w:r>
            <w:r w:rsidRPr="001D4C8B">
              <w:rPr>
                <w:rFonts w:cs="Times New Roman"/>
                <w:sz w:val="21"/>
                <w:szCs w:val="21"/>
              </w:rPr>
              <w:t>，</w:t>
            </w:r>
            <w:r w:rsidRPr="001D4C8B">
              <w:rPr>
                <w:rFonts w:cs="Times New Roman"/>
                <w:sz w:val="21"/>
                <w:szCs w:val="21"/>
              </w:rPr>
              <w:t>d]</w:t>
            </w:r>
            <w:r w:rsidRPr="001D4C8B">
              <w:rPr>
                <w:rFonts w:cs="Times New Roman"/>
                <w:sz w:val="21"/>
                <w:szCs w:val="21"/>
              </w:rPr>
              <w:t>芘</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193-39-5</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5.5</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15</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55</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151</w:t>
            </w:r>
          </w:p>
        </w:tc>
      </w:tr>
      <w:tr w:rsidR="004E3021" w:rsidRPr="001D4C8B" w:rsidTr="001D4C8B">
        <w:tc>
          <w:tcPr>
            <w:tcW w:w="84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45</w:t>
            </w:r>
          </w:p>
        </w:tc>
        <w:tc>
          <w:tcPr>
            <w:tcW w:w="1730"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萘</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91-20-3</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25</w:t>
            </w:r>
          </w:p>
        </w:tc>
        <w:tc>
          <w:tcPr>
            <w:tcW w:w="1288"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D4C8B" w:rsidRDefault="00606E48">
            <w:pPr>
              <w:pStyle w:val="afffffff2"/>
              <w:rPr>
                <w:rFonts w:cs="Times New Roman"/>
                <w:sz w:val="21"/>
                <w:szCs w:val="21"/>
              </w:rPr>
            </w:pPr>
            <w:r w:rsidRPr="001D4C8B">
              <w:rPr>
                <w:rFonts w:cs="Times New Roman"/>
                <w:sz w:val="21"/>
                <w:szCs w:val="21"/>
              </w:rPr>
              <w:t>70</w:t>
            </w:r>
          </w:p>
        </w:tc>
        <w:tc>
          <w:tcPr>
            <w:tcW w:w="1288"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rFonts w:cs="Times New Roman"/>
                <w:sz w:val="21"/>
                <w:szCs w:val="21"/>
              </w:rPr>
            </w:pPr>
            <w:r w:rsidRPr="001D4C8B">
              <w:rPr>
                <w:rFonts w:cs="Times New Roman"/>
                <w:sz w:val="21"/>
                <w:szCs w:val="21"/>
              </w:rPr>
              <w:t>255</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rFonts w:cs="Times New Roman"/>
                <w:sz w:val="21"/>
                <w:szCs w:val="21"/>
              </w:rPr>
            </w:pPr>
            <w:r w:rsidRPr="001D4C8B">
              <w:rPr>
                <w:rFonts w:cs="Times New Roman"/>
                <w:sz w:val="21"/>
                <w:szCs w:val="21"/>
              </w:rPr>
              <w:t>700</w:t>
            </w:r>
          </w:p>
        </w:tc>
      </w:tr>
      <w:tr w:rsidR="001D4C8B" w:rsidRPr="001D4C8B" w:rsidTr="001D4C8B">
        <w:tc>
          <w:tcPr>
            <w:tcW w:w="846" w:type="dxa"/>
            <w:tcBorders>
              <w:top w:val="single" w:sz="4" w:space="0" w:color="auto"/>
              <w:left w:val="nil"/>
              <w:bottom w:val="single" w:sz="12" w:space="0" w:color="auto"/>
              <w:right w:val="single" w:sz="4" w:space="0" w:color="auto"/>
            </w:tcBorders>
            <w:vAlign w:val="center"/>
          </w:tcPr>
          <w:p w:rsidR="001D4C8B" w:rsidRPr="001D4C8B" w:rsidRDefault="001D4C8B" w:rsidP="001D4C8B">
            <w:pPr>
              <w:widowControl/>
              <w:spacing w:line="360" w:lineRule="exact"/>
              <w:ind w:firstLineChars="0" w:firstLine="0"/>
              <w:jc w:val="center"/>
              <w:rPr>
                <w:sz w:val="21"/>
                <w:szCs w:val="21"/>
              </w:rPr>
            </w:pPr>
            <w:r w:rsidRPr="001D4C8B">
              <w:rPr>
                <w:sz w:val="21"/>
                <w:szCs w:val="21"/>
              </w:rPr>
              <w:t>46</w:t>
            </w:r>
          </w:p>
        </w:tc>
        <w:tc>
          <w:tcPr>
            <w:tcW w:w="1730" w:type="dxa"/>
            <w:tcBorders>
              <w:top w:val="single" w:sz="4" w:space="0" w:color="auto"/>
              <w:left w:val="nil"/>
              <w:bottom w:val="single" w:sz="12" w:space="0" w:color="auto"/>
              <w:right w:val="single" w:sz="4" w:space="0" w:color="auto"/>
            </w:tcBorders>
            <w:vAlign w:val="center"/>
          </w:tcPr>
          <w:p w:rsidR="001D4C8B" w:rsidRPr="001D4C8B" w:rsidRDefault="001D4C8B" w:rsidP="001D4C8B">
            <w:pPr>
              <w:widowControl/>
              <w:spacing w:line="360" w:lineRule="exact"/>
              <w:ind w:firstLineChars="0" w:firstLine="0"/>
              <w:jc w:val="center"/>
              <w:rPr>
                <w:sz w:val="21"/>
                <w:szCs w:val="21"/>
              </w:rPr>
            </w:pPr>
            <w:r w:rsidRPr="001D4C8B">
              <w:rPr>
                <w:sz w:val="21"/>
                <w:szCs w:val="21"/>
              </w:rPr>
              <w:t>石油烃</w:t>
            </w:r>
          </w:p>
        </w:tc>
        <w:tc>
          <w:tcPr>
            <w:tcW w:w="1288" w:type="dxa"/>
            <w:tcBorders>
              <w:top w:val="single" w:sz="4" w:space="0" w:color="auto"/>
              <w:left w:val="nil"/>
              <w:bottom w:val="single" w:sz="12" w:space="0" w:color="auto"/>
              <w:right w:val="single" w:sz="4" w:space="0" w:color="auto"/>
            </w:tcBorders>
            <w:vAlign w:val="center"/>
          </w:tcPr>
          <w:p w:rsidR="001D4C8B" w:rsidRPr="001D4C8B" w:rsidRDefault="001D4C8B" w:rsidP="001D4C8B">
            <w:pPr>
              <w:widowControl/>
              <w:spacing w:line="360" w:lineRule="exact"/>
              <w:ind w:firstLineChars="0" w:firstLine="0"/>
              <w:jc w:val="center"/>
              <w:rPr>
                <w:sz w:val="21"/>
                <w:szCs w:val="21"/>
              </w:rPr>
            </w:pPr>
            <w:r w:rsidRPr="001D4C8B">
              <w:rPr>
                <w:sz w:val="21"/>
                <w:szCs w:val="21"/>
              </w:rPr>
              <w:t>-</w:t>
            </w:r>
          </w:p>
        </w:tc>
        <w:tc>
          <w:tcPr>
            <w:tcW w:w="1288" w:type="dxa"/>
            <w:tcBorders>
              <w:top w:val="single" w:sz="4" w:space="0" w:color="auto"/>
              <w:left w:val="nil"/>
              <w:bottom w:val="single" w:sz="12" w:space="0" w:color="auto"/>
              <w:right w:val="single" w:sz="4" w:space="0" w:color="auto"/>
            </w:tcBorders>
            <w:vAlign w:val="center"/>
          </w:tcPr>
          <w:p w:rsidR="001D4C8B" w:rsidRPr="001D4C8B" w:rsidRDefault="001D4C8B" w:rsidP="001D4C8B">
            <w:pPr>
              <w:widowControl/>
              <w:spacing w:line="360" w:lineRule="exact"/>
              <w:ind w:firstLineChars="0" w:firstLine="0"/>
              <w:jc w:val="center"/>
              <w:rPr>
                <w:sz w:val="21"/>
                <w:szCs w:val="21"/>
              </w:rPr>
            </w:pPr>
            <w:r w:rsidRPr="001D4C8B">
              <w:rPr>
                <w:sz w:val="21"/>
                <w:szCs w:val="21"/>
              </w:rPr>
              <w:t>826</w:t>
            </w:r>
          </w:p>
        </w:tc>
        <w:tc>
          <w:tcPr>
            <w:tcW w:w="1288" w:type="dxa"/>
            <w:tcBorders>
              <w:top w:val="single" w:sz="4" w:space="0" w:color="auto"/>
              <w:left w:val="nil"/>
              <w:bottom w:val="single" w:sz="12" w:space="0" w:color="auto"/>
              <w:right w:val="single" w:sz="4" w:space="0" w:color="auto"/>
            </w:tcBorders>
            <w:shd w:val="clear" w:color="auto" w:fill="A6A6A6" w:themeFill="background1" w:themeFillShade="A6"/>
            <w:vAlign w:val="center"/>
          </w:tcPr>
          <w:p w:rsidR="001D4C8B" w:rsidRPr="001D4C8B" w:rsidRDefault="001D4C8B" w:rsidP="001D4C8B">
            <w:pPr>
              <w:widowControl/>
              <w:spacing w:line="360" w:lineRule="exact"/>
              <w:ind w:firstLineChars="0" w:firstLine="0"/>
              <w:jc w:val="center"/>
              <w:rPr>
                <w:sz w:val="21"/>
                <w:szCs w:val="21"/>
              </w:rPr>
            </w:pPr>
            <w:r w:rsidRPr="001D4C8B">
              <w:rPr>
                <w:sz w:val="21"/>
                <w:szCs w:val="21"/>
              </w:rPr>
              <w:t>4500</w:t>
            </w:r>
          </w:p>
        </w:tc>
        <w:tc>
          <w:tcPr>
            <w:tcW w:w="1288" w:type="dxa"/>
            <w:tcBorders>
              <w:top w:val="single" w:sz="4" w:space="0" w:color="auto"/>
              <w:left w:val="nil"/>
              <w:bottom w:val="single" w:sz="12" w:space="0" w:color="auto"/>
              <w:right w:val="single" w:sz="4" w:space="0" w:color="auto"/>
            </w:tcBorders>
            <w:vAlign w:val="center"/>
          </w:tcPr>
          <w:p w:rsidR="001D4C8B" w:rsidRPr="001D4C8B" w:rsidRDefault="001D4C8B" w:rsidP="001D4C8B">
            <w:pPr>
              <w:pStyle w:val="afffffff2"/>
              <w:rPr>
                <w:rFonts w:cs="Times New Roman"/>
                <w:sz w:val="21"/>
                <w:szCs w:val="21"/>
              </w:rPr>
            </w:pPr>
            <w:r w:rsidRPr="001D4C8B">
              <w:rPr>
                <w:rFonts w:cs="Times New Roman"/>
                <w:sz w:val="21"/>
                <w:szCs w:val="21"/>
              </w:rPr>
              <w:t>5000</w:t>
            </w:r>
          </w:p>
        </w:tc>
        <w:tc>
          <w:tcPr>
            <w:tcW w:w="1289" w:type="dxa"/>
            <w:tcBorders>
              <w:top w:val="single" w:sz="4" w:space="0" w:color="auto"/>
              <w:left w:val="nil"/>
              <w:bottom w:val="single" w:sz="12" w:space="0" w:color="auto"/>
              <w:right w:val="nil"/>
            </w:tcBorders>
            <w:vAlign w:val="center"/>
          </w:tcPr>
          <w:p w:rsidR="001D4C8B" w:rsidRPr="001D4C8B" w:rsidRDefault="001D4C8B" w:rsidP="001D4C8B">
            <w:pPr>
              <w:pStyle w:val="afffffff2"/>
              <w:rPr>
                <w:rFonts w:cs="Times New Roman"/>
                <w:sz w:val="21"/>
                <w:szCs w:val="21"/>
              </w:rPr>
            </w:pPr>
            <w:r w:rsidRPr="001D4C8B">
              <w:rPr>
                <w:rFonts w:cs="Times New Roman"/>
                <w:sz w:val="21"/>
                <w:szCs w:val="21"/>
              </w:rPr>
              <w:t>9000</w:t>
            </w:r>
          </w:p>
        </w:tc>
      </w:tr>
    </w:tbl>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rPr>
        <w:t xml:space="preserve">2.2.3-12  </w:t>
      </w:r>
      <w:r>
        <w:rPr>
          <w:rFonts w:ascii="黑体" w:eastAsia="黑体" w:hAnsi="黑体" w:hint="eastAsia"/>
        </w:rPr>
        <w:t>农用地土壤污染风险筛选值（单位：</w:t>
      </w:r>
      <w:r>
        <w:rPr>
          <w:rFonts w:eastAsia="黑体"/>
        </w:rPr>
        <w:t>mg/kg</w:t>
      </w:r>
      <w:r>
        <w:rPr>
          <w:rFonts w:ascii="黑体" w:eastAsia="黑体" w:hAnsi="黑体" w:hint="eastAsia"/>
        </w:rPr>
        <w:t>）</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51"/>
        <w:gridCol w:w="1276"/>
        <w:gridCol w:w="1275"/>
        <w:gridCol w:w="1276"/>
        <w:gridCol w:w="1559"/>
        <w:gridCol w:w="1491"/>
        <w:gridCol w:w="1289"/>
      </w:tblGrid>
      <w:tr w:rsidR="004E3021" w:rsidRPr="001D4C8B">
        <w:trPr>
          <w:trHeight w:val="175"/>
        </w:trPr>
        <w:tc>
          <w:tcPr>
            <w:tcW w:w="851" w:type="dxa"/>
            <w:vMerge w:val="restart"/>
            <w:tcBorders>
              <w:top w:val="single" w:sz="12" w:space="0" w:color="auto"/>
              <w:left w:val="nil"/>
              <w:bottom w:val="single" w:sz="4" w:space="0" w:color="auto"/>
              <w:right w:val="single" w:sz="4" w:space="0" w:color="auto"/>
            </w:tcBorders>
            <w:vAlign w:val="center"/>
          </w:tcPr>
          <w:p w:rsidR="004E3021" w:rsidRPr="001D4C8B" w:rsidRDefault="00606E48">
            <w:pPr>
              <w:pStyle w:val="afffffff2"/>
              <w:rPr>
                <w:b/>
                <w:sz w:val="21"/>
                <w:szCs w:val="21"/>
              </w:rPr>
            </w:pPr>
            <w:r w:rsidRPr="001D4C8B">
              <w:rPr>
                <w:b/>
                <w:sz w:val="21"/>
                <w:szCs w:val="21"/>
              </w:rPr>
              <w:t>序号</w:t>
            </w:r>
          </w:p>
        </w:tc>
        <w:tc>
          <w:tcPr>
            <w:tcW w:w="2551" w:type="dxa"/>
            <w:gridSpan w:val="2"/>
            <w:vMerge w:val="restart"/>
            <w:tcBorders>
              <w:top w:val="single" w:sz="12" w:space="0" w:color="auto"/>
              <w:left w:val="nil"/>
              <w:bottom w:val="single" w:sz="4" w:space="0" w:color="auto"/>
              <w:right w:val="single" w:sz="4" w:space="0" w:color="auto"/>
            </w:tcBorders>
            <w:vAlign w:val="center"/>
          </w:tcPr>
          <w:p w:rsidR="004E3021" w:rsidRPr="001D4C8B" w:rsidRDefault="00606E48">
            <w:pPr>
              <w:pStyle w:val="afffffff2"/>
              <w:rPr>
                <w:b/>
                <w:sz w:val="21"/>
                <w:szCs w:val="21"/>
              </w:rPr>
            </w:pPr>
            <w:r w:rsidRPr="001D4C8B">
              <w:rPr>
                <w:b/>
                <w:sz w:val="21"/>
                <w:szCs w:val="21"/>
              </w:rPr>
              <w:t>污染物项目</w:t>
            </w:r>
          </w:p>
        </w:tc>
        <w:tc>
          <w:tcPr>
            <w:tcW w:w="5615" w:type="dxa"/>
            <w:gridSpan w:val="4"/>
            <w:tcBorders>
              <w:top w:val="single" w:sz="12" w:space="0" w:color="auto"/>
              <w:left w:val="nil"/>
              <w:bottom w:val="single" w:sz="4" w:space="0" w:color="auto"/>
              <w:right w:val="nil"/>
            </w:tcBorders>
            <w:vAlign w:val="center"/>
          </w:tcPr>
          <w:p w:rsidR="004E3021" w:rsidRPr="001D4C8B" w:rsidRDefault="00606E48">
            <w:pPr>
              <w:pStyle w:val="afffffff2"/>
              <w:rPr>
                <w:b/>
                <w:sz w:val="21"/>
                <w:szCs w:val="21"/>
              </w:rPr>
            </w:pPr>
            <w:r w:rsidRPr="001D4C8B">
              <w:rPr>
                <w:b/>
                <w:sz w:val="21"/>
                <w:szCs w:val="21"/>
              </w:rPr>
              <w:t>风险筛选值</w:t>
            </w:r>
          </w:p>
        </w:tc>
      </w:tr>
      <w:tr w:rsidR="004E3021" w:rsidRPr="001D4C8B">
        <w:trPr>
          <w:trHeight w:val="174"/>
        </w:trPr>
        <w:tc>
          <w:tcPr>
            <w:tcW w:w="0" w:type="auto"/>
            <w:vMerge/>
            <w:tcBorders>
              <w:top w:val="single" w:sz="12" w:space="0" w:color="auto"/>
              <w:left w:val="nil"/>
              <w:bottom w:val="single" w:sz="4" w:space="0" w:color="auto"/>
              <w:right w:val="single" w:sz="4" w:space="0" w:color="auto"/>
            </w:tcBorders>
            <w:vAlign w:val="center"/>
          </w:tcPr>
          <w:p w:rsidR="004E3021" w:rsidRPr="001D4C8B" w:rsidRDefault="004E3021">
            <w:pPr>
              <w:pStyle w:val="afffffff2"/>
              <w:rPr>
                <w:b/>
                <w:sz w:val="21"/>
                <w:szCs w:val="21"/>
              </w:rPr>
            </w:pPr>
          </w:p>
        </w:tc>
        <w:tc>
          <w:tcPr>
            <w:tcW w:w="0" w:type="auto"/>
            <w:gridSpan w:val="2"/>
            <w:vMerge/>
            <w:tcBorders>
              <w:top w:val="single" w:sz="12" w:space="0" w:color="auto"/>
              <w:left w:val="nil"/>
              <w:bottom w:val="single" w:sz="4" w:space="0" w:color="auto"/>
              <w:right w:val="single" w:sz="4" w:space="0" w:color="auto"/>
            </w:tcBorders>
            <w:vAlign w:val="center"/>
          </w:tcPr>
          <w:p w:rsidR="004E3021" w:rsidRPr="001D4C8B" w:rsidRDefault="004E3021">
            <w:pPr>
              <w:pStyle w:val="afffffff2"/>
              <w:rPr>
                <w:b/>
                <w:sz w:val="21"/>
                <w:szCs w:val="21"/>
              </w:rPr>
            </w:pPr>
          </w:p>
        </w:tc>
        <w:tc>
          <w:tcPr>
            <w:tcW w:w="127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b/>
                <w:sz w:val="21"/>
                <w:szCs w:val="21"/>
              </w:rPr>
            </w:pPr>
            <w:r w:rsidRPr="001D4C8B">
              <w:rPr>
                <w:b/>
                <w:sz w:val="21"/>
                <w:szCs w:val="21"/>
              </w:rPr>
              <w:t>pH≤5.5</w:t>
            </w:r>
          </w:p>
        </w:tc>
        <w:tc>
          <w:tcPr>
            <w:tcW w:w="1559"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b/>
                <w:sz w:val="21"/>
                <w:szCs w:val="21"/>
              </w:rPr>
            </w:pPr>
            <w:r w:rsidRPr="001D4C8B">
              <w:rPr>
                <w:b/>
                <w:sz w:val="21"/>
                <w:szCs w:val="21"/>
              </w:rPr>
              <w:t>5.5</w:t>
            </w:r>
            <w:r w:rsidRPr="001D4C8B">
              <w:rPr>
                <w:b/>
                <w:sz w:val="21"/>
                <w:szCs w:val="21"/>
              </w:rPr>
              <w:t>＜</w:t>
            </w:r>
            <w:r w:rsidRPr="001D4C8B">
              <w:rPr>
                <w:b/>
                <w:sz w:val="21"/>
                <w:szCs w:val="21"/>
              </w:rPr>
              <w:t>pH≤6.5</w:t>
            </w:r>
          </w:p>
        </w:tc>
        <w:tc>
          <w:tcPr>
            <w:tcW w:w="1491"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b/>
                <w:sz w:val="21"/>
                <w:szCs w:val="21"/>
              </w:rPr>
            </w:pPr>
            <w:r w:rsidRPr="001D4C8B">
              <w:rPr>
                <w:b/>
                <w:sz w:val="21"/>
                <w:szCs w:val="21"/>
              </w:rPr>
              <w:t>6.5</w:t>
            </w:r>
            <w:r w:rsidRPr="001D4C8B">
              <w:rPr>
                <w:b/>
                <w:sz w:val="21"/>
                <w:szCs w:val="21"/>
              </w:rPr>
              <w:t>＜</w:t>
            </w:r>
            <w:r w:rsidRPr="001D4C8B">
              <w:rPr>
                <w:b/>
                <w:sz w:val="21"/>
                <w:szCs w:val="21"/>
              </w:rPr>
              <w:t>pH≤7.5</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b/>
                <w:sz w:val="21"/>
                <w:szCs w:val="21"/>
              </w:rPr>
            </w:pPr>
            <w:r w:rsidRPr="001D4C8B">
              <w:rPr>
                <w:b/>
                <w:sz w:val="21"/>
                <w:szCs w:val="21"/>
              </w:rPr>
              <w:t>pH</w:t>
            </w:r>
            <w:r w:rsidRPr="001D4C8B">
              <w:rPr>
                <w:b/>
                <w:sz w:val="21"/>
                <w:szCs w:val="21"/>
              </w:rPr>
              <w:t>＞</w:t>
            </w:r>
            <w:r w:rsidRPr="001D4C8B">
              <w:rPr>
                <w:b/>
                <w:sz w:val="21"/>
                <w:szCs w:val="21"/>
              </w:rPr>
              <w:t>7.5</w:t>
            </w:r>
          </w:p>
        </w:tc>
      </w:tr>
      <w:tr w:rsidR="004E3021" w:rsidRPr="001D4C8B">
        <w:tc>
          <w:tcPr>
            <w:tcW w:w="851" w:type="dxa"/>
            <w:vMerge w:val="restart"/>
            <w:tcBorders>
              <w:top w:val="nil"/>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1</w:t>
            </w:r>
          </w:p>
        </w:tc>
        <w:tc>
          <w:tcPr>
            <w:tcW w:w="1276" w:type="dxa"/>
            <w:vMerge w:val="restart"/>
            <w:tcBorders>
              <w:top w:val="nil"/>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镉</w:t>
            </w:r>
          </w:p>
        </w:tc>
        <w:tc>
          <w:tcPr>
            <w:tcW w:w="1275"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水田</w:t>
            </w:r>
          </w:p>
        </w:tc>
        <w:tc>
          <w:tcPr>
            <w:tcW w:w="127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0.3</w:t>
            </w:r>
          </w:p>
        </w:tc>
        <w:tc>
          <w:tcPr>
            <w:tcW w:w="1559"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0.4</w:t>
            </w:r>
          </w:p>
        </w:tc>
        <w:tc>
          <w:tcPr>
            <w:tcW w:w="1491"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0.6</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sz w:val="21"/>
                <w:szCs w:val="21"/>
              </w:rPr>
            </w:pPr>
            <w:r w:rsidRPr="001D4C8B">
              <w:rPr>
                <w:sz w:val="21"/>
                <w:szCs w:val="21"/>
              </w:rPr>
              <w:t>0.8</w:t>
            </w:r>
          </w:p>
        </w:tc>
      </w:tr>
      <w:tr w:rsidR="004E3021" w:rsidRPr="001D4C8B">
        <w:tc>
          <w:tcPr>
            <w:tcW w:w="0" w:type="auto"/>
            <w:vMerge/>
            <w:tcBorders>
              <w:top w:val="nil"/>
              <w:left w:val="nil"/>
              <w:bottom w:val="single" w:sz="4" w:space="0" w:color="auto"/>
              <w:right w:val="single" w:sz="4" w:space="0" w:color="auto"/>
            </w:tcBorders>
            <w:vAlign w:val="center"/>
          </w:tcPr>
          <w:p w:rsidR="004E3021" w:rsidRPr="001D4C8B" w:rsidRDefault="004E3021">
            <w:pPr>
              <w:pStyle w:val="afffffff2"/>
              <w:rPr>
                <w:sz w:val="21"/>
                <w:szCs w:val="21"/>
              </w:rPr>
            </w:pPr>
          </w:p>
        </w:tc>
        <w:tc>
          <w:tcPr>
            <w:tcW w:w="0" w:type="auto"/>
            <w:vMerge/>
            <w:tcBorders>
              <w:top w:val="nil"/>
              <w:left w:val="nil"/>
              <w:bottom w:val="single" w:sz="4" w:space="0" w:color="auto"/>
              <w:right w:val="single" w:sz="4" w:space="0" w:color="auto"/>
            </w:tcBorders>
            <w:vAlign w:val="center"/>
          </w:tcPr>
          <w:p w:rsidR="004E3021" w:rsidRPr="001D4C8B" w:rsidRDefault="004E3021">
            <w:pPr>
              <w:pStyle w:val="afffffff2"/>
              <w:rPr>
                <w:sz w:val="21"/>
                <w:szCs w:val="21"/>
              </w:rPr>
            </w:pPr>
          </w:p>
        </w:tc>
        <w:tc>
          <w:tcPr>
            <w:tcW w:w="1275"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其他</w:t>
            </w:r>
          </w:p>
        </w:tc>
        <w:tc>
          <w:tcPr>
            <w:tcW w:w="127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0.3</w:t>
            </w:r>
          </w:p>
        </w:tc>
        <w:tc>
          <w:tcPr>
            <w:tcW w:w="1559"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0.3</w:t>
            </w:r>
          </w:p>
        </w:tc>
        <w:tc>
          <w:tcPr>
            <w:tcW w:w="1491"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0.3</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sz w:val="21"/>
                <w:szCs w:val="21"/>
              </w:rPr>
            </w:pPr>
            <w:r w:rsidRPr="001D4C8B">
              <w:rPr>
                <w:sz w:val="21"/>
                <w:szCs w:val="21"/>
              </w:rPr>
              <w:t>0.6</w:t>
            </w:r>
          </w:p>
        </w:tc>
      </w:tr>
      <w:tr w:rsidR="004E3021" w:rsidRPr="001D4C8B">
        <w:tc>
          <w:tcPr>
            <w:tcW w:w="851" w:type="dxa"/>
            <w:vMerge w:val="restart"/>
            <w:tcBorders>
              <w:top w:val="nil"/>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2</w:t>
            </w:r>
          </w:p>
        </w:tc>
        <w:tc>
          <w:tcPr>
            <w:tcW w:w="1276" w:type="dxa"/>
            <w:vMerge w:val="restart"/>
            <w:tcBorders>
              <w:top w:val="nil"/>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汞</w:t>
            </w:r>
          </w:p>
        </w:tc>
        <w:tc>
          <w:tcPr>
            <w:tcW w:w="1275"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水田</w:t>
            </w:r>
          </w:p>
        </w:tc>
        <w:tc>
          <w:tcPr>
            <w:tcW w:w="127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0.5</w:t>
            </w:r>
          </w:p>
        </w:tc>
        <w:tc>
          <w:tcPr>
            <w:tcW w:w="1559"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0.5</w:t>
            </w:r>
          </w:p>
        </w:tc>
        <w:tc>
          <w:tcPr>
            <w:tcW w:w="1491"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0.6</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sz w:val="21"/>
                <w:szCs w:val="21"/>
              </w:rPr>
            </w:pPr>
            <w:r w:rsidRPr="001D4C8B">
              <w:rPr>
                <w:sz w:val="21"/>
                <w:szCs w:val="21"/>
              </w:rPr>
              <w:t>1.0</w:t>
            </w:r>
          </w:p>
        </w:tc>
      </w:tr>
      <w:tr w:rsidR="004E3021" w:rsidRPr="001D4C8B">
        <w:tc>
          <w:tcPr>
            <w:tcW w:w="0" w:type="auto"/>
            <w:vMerge/>
            <w:tcBorders>
              <w:top w:val="nil"/>
              <w:left w:val="nil"/>
              <w:bottom w:val="single" w:sz="4" w:space="0" w:color="auto"/>
              <w:right w:val="single" w:sz="4" w:space="0" w:color="auto"/>
            </w:tcBorders>
            <w:vAlign w:val="center"/>
          </w:tcPr>
          <w:p w:rsidR="004E3021" w:rsidRPr="001D4C8B" w:rsidRDefault="004E3021">
            <w:pPr>
              <w:pStyle w:val="afffffff2"/>
              <w:rPr>
                <w:sz w:val="21"/>
                <w:szCs w:val="21"/>
              </w:rPr>
            </w:pPr>
          </w:p>
        </w:tc>
        <w:tc>
          <w:tcPr>
            <w:tcW w:w="0" w:type="auto"/>
            <w:vMerge/>
            <w:tcBorders>
              <w:top w:val="nil"/>
              <w:left w:val="nil"/>
              <w:bottom w:val="single" w:sz="4" w:space="0" w:color="auto"/>
              <w:right w:val="single" w:sz="4" w:space="0" w:color="auto"/>
            </w:tcBorders>
            <w:vAlign w:val="center"/>
          </w:tcPr>
          <w:p w:rsidR="004E3021" w:rsidRPr="001D4C8B" w:rsidRDefault="004E3021">
            <w:pPr>
              <w:pStyle w:val="afffffff2"/>
              <w:rPr>
                <w:sz w:val="21"/>
                <w:szCs w:val="21"/>
              </w:rPr>
            </w:pPr>
          </w:p>
        </w:tc>
        <w:tc>
          <w:tcPr>
            <w:tcW w:w="1275"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其他</w:t>
            </w:r>
          </w:p>
        </w:tc>
        <w:tc>
          <w:tcPr>
            <w:tcW w:w="127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1.3</w:t>
            </w:r>
          </w:p>
        </w:tc>
        <w:tc>
          <w:tcPr>
            <w:tcW w:w="1559"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1.8</w:t>
            </w:r>
          </w:p>
        </w:tc>
        <w:tc>
          <w:tcPr>
            <w:tcW w:w="1491"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2.4</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sz w:val="21"/>
                <w:szCs w:val="21"/>
              </w:rPr>
            </w:pPr>
            <w:r w:rsidRPr="001D4C8B">
              <w:rPr>
                <w:sz w:val="21"/>
                <w:szCs w:val="21"/>
              </w:rPr>
              <w:t>3.4</w:t>
            </w:r>
          </w:p>
        </w:tc>
      </w:tr>
      <w:tr w:rsidR="004E3021" w:rsidRPr="001D4C8B">
        <w:tc>
          <w:tcPr>
            <w:tcW w:w="851" w:type="dxa"/>
            <w:vMerge w:val="restart"/>
            <w:tcBorders>
              <w:top w:val="nil"/>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3</w:t>
            </w:r>
          </w:p>
        </w:tc>
        <w:tc>
          <w:tcPr>
            <w:tcW w:w="1276" w:type="dxa"/>
            <w:vMerge w:val="restart"/>
            <w:tcBorders>
              <w:top w:val="nil"/>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砷</w:t>
            </w:r>
          </w:p>
        </w:tc>
        <w:tc>
          <w:tcPr>
            <w:tcW w:w="1275"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水田</w:t>
            </w:r>
          </w:p>
        </w:tc>
        <w:tc>
          <w:tcPr>
            <w:tcW w:w="127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30</w:t>
            </w:r>
          </w:p>
        </w:tc>
        <w:tc>
          <w:tcPr>
            <w:tcW w:w="1559"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30</w:t>
            </w:r>
          </w:p>
        </w:tc>
        <w:tc>
          <w:tcPr>
            <w:tcW w:w="1491"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25</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sz w:val="21"/>
                <w:szCs w:val="21"/>
              </w:rPr>
            </w:pPr>
            <w:r w:rsidRPr="001D4C8B">
              <w:rPr>
                <w:sz w:val="21"/>
                <w:szCs w:val="21"/>
              </w:rPr>
              <w:t>20</w:t>
            </w:r>
          </w:p>
        </w:tc>
      </w:tr>
      <w:tr w:rsidR="004E3021" w:rsidRPr="001D4C8B">
        <w:tc>
          <w:tcPr>
            <w:tcW w:w="0" w:type="auto"/>
            <w:vMerge/>
            <w:tcBorders>
              <w:top w:val="nil"/>
              <w:left w:val="nil"/>
              <w:bottom w:val="single" w:sz="4" w:space="0" w:color="auto"/>
              <w:right w:val="single" w:sz="4" w:space="0" w:color="auto"/>
            </w:tcBorders>
            <w:vAlign w:val="center"/>
          </w:tcPr>
          <w:p w:rsidR="004E3021" w:rsidRPr="001D4C8B" w:rsidRDefault="004E3021">
            <w:pPr>
              <w:pStyle w:val="afffffff2"/>
              <w:rPr>
                <w:sz w:val="21"/>
                <w:szCs w:val="21"/>
              </w:rPr>
            </w:pPr>
          </w:p>
        </w:tc>
        <w:tc>
          <w:tcPr>
            <w:tcW w:w="0" w:type="auto"/>
            <w:vMerge/>
            <w:tcBorders>
              <w:top w:val="nil"/>
              <w:left w:val="nil"/>
              <w:bottom w:val="single" w:sz="4" w:space="0" w:color="auto"/>
              <w:right w:val="single" w:sz="4" w:space="0" w:color="auto"/>
            </w:tcBorders>
            <w:vAlign w:val="center"/>
          </w:tcPr>
          <w:p w:rsidR="004E3021" w:rsidRPr="001D4C8B" w:rsidRDefault="004E3021">
            <w:pPr>
              <w:pStyle w:val="afffffff2"/>
              <w:rPr>
                <w:sz w:val="21"/>
                <w:szCs w:val="21"/>
              </w:rPr>
            </w:pPr>
          </w:p>
        </w:tc>
        <w:tc>
          <w:tcPr>
            <w:tcW w:w="1275"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其他</w:t>
            </w:r>
          </w:p>
        </w:tc>
        <w:tc>
          <w:tcPr>
            <w:tcW w:w="127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40</w:t>
            </w:r>
          </w:p>
        </w:tc>
        <w:tc>
          <w:tcPr>
            <w:tcW w:w="1559"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40</w:t>
            </w:r>
          </w:p>
        </w:tc>
        <w:tc>
          <w:tcPr>
            <w:tcW w:w="1491"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30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sz w:val="21"/>
                <w:szCs w:val="21"/>
              </w:rPr>
            </w:pPr>
            <w:r w:rsidRPr="001D4C8B">
              <w:rPr>
                <w:sz w:val="21"/>
                <w:szCs w:val="21"/>
              </w:rPr>
              <w:t>25</w:t>
            </w:r>
          </w:p>
        </w:tc>
      </w:tr>
      <w:tr w:rsidR="004E3021" w:rsidRPr="001D4C8B">
        <w:tc>
          <w:tcPr>
            <w:tcW w:w="851" w:type="dxa"/>
            <w:vMerge w:val="restart"/>
            <w:tcBorders>
              <w:top w:val="nil"/>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4</w:t>
            </w:r>
          </w:p>
        </w:tc>
        <w:tc>
          <w:tcPr>
            <w:tcW w:w="1276" w:type="dxa"/>
            <w:vMerge w:val="restart"/>
            <w:tcBorders>
              <w:top w:val="nil"/>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铅</w:t>
            </w:r>
          </w:p>
        </w:tc>
        <w:tc>
          <w:tcPr>
            <w:tcW w:w="1275"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水田</w:t>
            </w:r>
          </w:p>
        </w:tc>
        <w:tc>
          <w:tcPr>
            <w:tcW w:w="127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80</w:t>
            </w:r>
          </w:p>
        </w:tc>
        <w:tc>
          <w:tcPr>
            <w:tcW w:w="1559"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100</w:t>
            </w:r>
          </w:p>
        </w:tc>
        <w:tc>
          <w:tcPr>
            <w:tcW w:w="1491"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140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sz w:val="21"/>
                <w:szCs w:val="21"/>
              </w:rPr>
            </w:pPr>
            <w:r w:rsidRPr="001D4C8B">
              <w:rPr>
                <w:sz w:val="21"/>
                <w:szCs w:val="21"/>
              </w:rPr>
              <w:t>240</w:t>
            </w:r>
          </w:p>
        </w:tc>
      </w:tr>
      <w:tr w:rsidR="004E3021" w:rsidRPr="001D4C8B">
        <w:tc>
          <w:tcPr>
            <w:tcW w:w="0" w:type="auto"/>
            <w:vMerge/>
            <w:tcBorders>
              <w:top w:val="nil"/>
              <w:left w:val="nil"/>
              <w:bottom w:val="single" w:sz="4" w:space="0" w:color="auto"/>
              <w:right w:val="single" w:sz="4" w:space="0" w:color="auto"/>
            </w:tcBorders>
            <w:vAlign w:val="center"/>
          </w:tcPr>
          <w:p w:rsidR="004E3021" w:rsidRPr="001D4C8B" w:rsidRDefault="004E3021">
            <w:pPr>
              <w:pStyle w:val="afffffff2"/>
              <w:rPr>
                <w:sz w:val="21"/>
                <w:szCs w:val="21"/>
              </w:rPr>
            </w:pPr>
          </w:p>
        </w:tc>
        <w:tc>
          <w:tcPr>
            <w:tcW w:w="0" w:type="auto"/>
            <w:vMerge/>
            <w:tcBorders>
              <w:top w:val="nil"/>
              <w:left w:val="nil"/>
              <w:bottom w:val="single" w:sz="4" w:space="0" w:color="auto"/>
              <w:right w:val="single" w:sz="4" w:space="0" w:color="auto"/>
            </w:tcBorders>
            <w:vAlign w:val="center"/>
          </w:tcPr>
          <w:p w:rsidR="004E3021" w:rsidRPr="001D4C8B" w:rsidRDefault="004E3021">
            <w:pPr>
              <w:pStyle w:val="afffffff2"/>
              <w:rPr>
                <w:sz w:val="21"/>
                <w:szCs w:val="21"/>
              </w:rPr>
            </w:pPr>
          </w:p>
        </w:tc>
        <w:tc>
          <w:tcPr>
            <w:tcW w:w="1275"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其他</w:t>
            </w:r>
          </w:p>
        </w:tc>
        <w:tc>
          <w:tcPr>
            <w:tcW w:w="127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70</w:t>
            </w:r>
          </w:p>
        </w:tc>
        <w:tc>
          <w:tcPr>
            <w:tcW w:w="1559"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90</w:t>
            </w:r>
          </w:p>
        </w:tc>
        <w:tc>
          <w:tcPr>
            <w:tcW w:w="1491"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120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sz w:val="21"/>
                <w:szCs w:val="21"/>
              </w:rPr>
            </w:pPr>
            <w:r w:rsidRPr="001D4C8B">
              <w:rPr>
                <w:sz w:val="21"/>
                <w:szCs w:val="21"/>
              </w:rPr>
              <w:t>170</w:t>
            </w:r>
          </w:p>
        </w:tc>
      </w:tr>
      <w:tr w:rsidR="004E3021" w:rsidRPr="001D4C8B">
        <w:tc>
          <w:tcPr>
            <w:tcW w:w="851" w:type="dxa"/>
            <w:vMerge w:val="restart"/>
            <w:tcBorders>
              <w:top w:val="nil"/>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5</w:t>
            </w:r>
          </w:p>
        </w:tc>
        <w:tc>
          <w:tcPr>
            <w:tcW w:w="1276" w:type="dxa"/>
            <w:vMerge w:val="restart"/>
            <w:tcBorders>
              <w:top w:val="nil"/>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铬</w:t>
            </w:r>
          </w:p>
        </w:tc>
        <w:tc>
          <w:tcPr>
            <w:tcW w:w="1275"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水田</w:t>
            </w:r>
          </w:p>
        </w:tc>
        <w:tc>
          <w:tcPr>
            <w:tcW w:w="127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250</w:t>
            </w:r>
          </w:p>
        </w:tc>
        <w:tc>
          <w:tcPr>
            <w:tcW w:w="1559"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250</w:t>
            </w:r>
          </w:p>
        </w:tc>
        <w:tc>
          <w:tcPr>
            <w:tcW w:w="1491"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300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sz w:val="21"/>
                <w:szCs w:val="21"/>
              </w:rPr>
            </w:pPr>
            <w:r w:rsidRPr="001D4C8B">
              <w:rPr>
                <w:sz w:val="21"/>
                <w:szCs w:val="21"/>
              </w:rPr>
              <w:t>350</w:t>
            </w:r>
          </w:p>
        </w:tc>
      </w:tr>
      <w:tr w:rsidR="004E3021" w:rsidRPr="001D4C8B">
        <w:tc>
          <w:tcPr>
            <w:tcW w:w="0" w:type="auto"/>
            <w:vMerge/>
            <w:tcBorders>
              <w:top w:val="nil"/>
              <w:left w:val="nil"/>
              <w:bottom w:val="single" w:sz="4" w:space="0" w:color="auto"/>
              <w:right w:val="single" w:sz="4" w:space="0" w:color="auto"/>
            </w:tcBorders>
            <w:vAlign w:val="center"/>
          </w:tcPr>
          <w:p w:rsidR="004E3021" w:rsidRPr="001D4C8B" w:rsidRDefault="004E3021">
            <w:pPr>
              <w:pStyle w:val="afffffff2"/>
              <w:rPr>
                <w:sz w:val="21"/>
                <w:szCs w:val="21"/>
              </w:rPr>
            </w:pPr>
          </w:p>
        </w:tc>
        <w:tc>
          <w:tcPr>
            <w:tcW w:w="0" w:type="auto"/>
            <w:vMerge/>
            <w:tcBorders>
              <w:top w:val="nil"/>
              <w:left w:val="nil"/>
              <w:bottom w:val="single" w:sz="4" w:space="0" w:color="auto"/>
              <w:right w:val="single" w:sz="4" w:space="0" w:color="auto"/>
            </w:tcBorders>
            <w:vAlign w:val="center"/>
          </w:tcPr>
          <w:p w:rsidR="004E3021" w:rsidRPr="001D4C8B" w:rsidRDefault="004E3021">
            <w:pPr>
              <w:pStyle w:val="afffffff2"/>
              <w:rPr>
                <w:sz w:val="21"/>
                <w:szCs w:val="21"/>
              </w:rPr>
            </w:pPr>
          </w:p>
        </w:tc>
        <w:tc>
          <w:tcPr>
            <w:tcW w:w="1275"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其他</w:t>
            </w:r>
          </w:p>
        </w:tc>
        <w:tc>
          <w:tcPr>
            <w:tcW w:w="127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150</w:t>
            </w:r>
          </w:p>
        </w:tc>
        <w:tc>
          <w:tcPr>
            <w:tcW w:w="1559"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150</w:t>
            </w:r>
          </w:p>
        </w:tc>
        <w:tc>
          <w:tcPr>
            <w:tcW w:w="1491"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200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sz w:val="21"/>
                <w:szCs w:val="21"/>
              </w:rPr>
            </w:pPr>
            <w:r w:rsidRPr="001D4C8B">
              <w:rPr>
                <w:sz w:val="21"/>
                <w:szCs w:val="21"/>
              </w:rPr>
              <w:t>250</w:t>
            </w:r>
          </w:p>
        </w:tc>
      </w:tr>
      <w:tr w:rsidR="004E3021" w:rsidRPr="001D4C8B">
        <w:tc>
          <w:tcPr>
            <w:tcW w:w="851" w:type="dxa"/>
            <w:vMerge w:val="restart"/>
            <w:tcBorders>
              <w:top w:val="nil"/>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6</w:t>
            </w:r>
          </w:p>
        </w:tc>
        <w:tc>
          <w:tcPr>
            <w:tcW w:w="1276" w:type="dxa"/>
            <w:vMerge w:val="restart"/>
            <w:tcBorders>
              <w:top w:val="nil"/>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铜</w:t>
            </w:r>
          </w:p>
        </w:tc>
        <w:tc>
          <w:tcPr>
            <w:tcW w:w="1275"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水田</w:t>
            </w:r>
          </w:p>
        </w:tc>
        <w:tc>
          <w:tcPr>
            <w:tcW w:w="127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150</w:t>
            </w:r>
          </w:p>
        </w:tc>
        <w:tc>
          <w:tcPr>
            <w:tcW w:w="1559"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150</w:t>
            </w:r>
          </w:p>
        </w:tc>
        <w:tc>
          <w:tcPr>
            <w:tcW w:w="1491"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200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sz w:val="21"/>
                <w:szCs w:val="21"/>
              </w:rPr>
            </w:pPr>
            <w:r w:rsidRPr="001D4C8B">
              <w:rPr>
                <w:sz w:val="21"/>
                <w:szCs w:val="21"/>
              </w:rPr>
              <w:t>200</w:t>
            </w:r>
          </w:p>
        </w:tc>
      </w:tr>
      <w:tr w:rsidR="004E3021" w:rsidRPr="001D4C8B">
        <w:tc>
          <w:tcPr>
            <w:tcW w:w="0" w:type="auto"/>
            <w:vMerge/>
            <w:tcBorders>
              <w:top w:val="nil"/>
              <w:left w:val="nil"/>
              <w:bottom w:val="single" w:sz="4" w:space="0" w:color="auto"/>
              <w:right w:val="single" w:sz="4" w:space="0" w:color="auto"/>
            </w:tcBorders>
            <w:vAlign w:val="center"/>
          </w:tcPr>
          <w:p w:rsidR="004E3021" w:rsidRPr="001D4C8B" w:rsidRDefault="004E3021">
            <w:pPr>
              <w:pStyle w:val="afffffff2"/>
              <w:rPr>
                <w:sz w:val="21"/>
                <w:szCs w:val="21"/>
              </w:rPr>
            </w:pPr>
          </w:p>
        </w:tc>
        <w:tc>
          <w:tcPr>
            <w:tcW w:w="0" w:type="auto"/>
            <w:vMerge/>
            <w:tcBorders>
              <w:top w:val="nil"/>
              <w:left w:val="nil"/>
              <w:bottom w:val="single" w:sz="4" w:space="0" w:color="auto"/>
              <w:right w:val="single" w:sz="4" w:space="0" w:color="auto"/>
            </w:tcBorders>
            <w:vAlign w:val="center"/>
          </w:tcPr>
          <w:p w:rsidR="004E3021" w:rsidRPr="001D4C8B" w:rsidRDefault="004E3021">
            <w:pPr>
              <w:pStyle w:val="afffffff2"/>
              <w:rPr>
                <w:sz w:val="21"/>
                <w:szCs w:val="21"/>
              </w:rPr>
            </w:pPr>
          </w:p>
        </w:tc>
        <w:tc>
          <w:tcPr>
            <w:tcW w:w="1275"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其他</w:t>
            </w:r>
          </w:p>
        </w:tc>
        <w:tc>
          <w:tcPr>
            <w:tcW w:w="127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50</w:t>
            </w:r>
          </w:p>
        </w:tc>
        <w:tc>
          <w:tcPr>
            <w:tcW w:w="1559"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50</w:t>
            </w:r>
          </w:p>
        </w:tc>
        <w:tc>
          <w:tcPr>
            <w:tcW w:w="1491"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100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sz w:val="21"/>
                <w:szCs w:val="21"/>
              </w:rPr>
            </w:pPr>
            <w:r w:rsidRPr="001D4C8B">
              <w:rPr>
                <w:sz w:val="21"/>
                <w:szCs w:val="21"/>
              </w:rPr>
              <w:t>100</w:t>
            </w:r>
          </w:p>
        </w:tc>
      </w:tr>
      <w:tr w:rsidR="004E3021" w:rsidRPr="001D4C8B">
        <w:tc>
          <w:tcPr>
            <w:tcW w:w="851"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7</w:t>
            </w:r>
          </w:p>
        </w:tc>
        <w:tc>
          <w:tcPr>
            <w:tcW w:w="2551" w:type="dxa"/>
            <w:gridSpan w:val="2"/>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镍</w:t>
            </w:r>
          </w:p>
        </w:tc>
        <w:tc>
          <w:tcPr>
            <w:tcW w:w="1276"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60</w:t>
            </w:r>
          </w:p>
        </w:tc>
        <w:tc>
          <w:tcPr>
            <w:tcW w:w="1559"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70</w:t>
            </w:r>
          </w:p>
        </w:tc>
        <w:tc>
          <w:tcPr>
            <w:tcW w:w="1491" w:type="dxa"/>
            <w:tcBorders>
              <w:top w:val="single" w:sz="4" w:space="0" w:color="auto"/>
              <w:left w:val="nil"/>
              <w:bottom w:val="single" w:sz="4" w:space="0" w:color="auto"/>
              <w:right w:val="single" w:sz="4" w:space="0" w:color="auto"/>
            </w:tcBorders>
            <w:vAlign w:val="center"/>
          </w:tcPr>
          <w:p w:rsidR="004E3021" w:rsidRPr="001D4C8B" w:rsidRDefault="00606E48">
            <w:pPr>
              <w:pStyle w:val="afffffff2"/>
              <w:rPr>
                <w:sz w:val="21"/>
                <w:szCs w:val="21"/>
              </w:rPr>
            </w:pPr>
            <w:r w:rsidRPr="001D4C8B">
              <w:rPr>
                <w:sz w:val="21"/>
                <w:szCs w:val="21"/>
              </w:rPr>
              <w:t>100</w:t>
            </w:r>
          </w:p>
        </w:tc>
        <w:tc>
          <w:tcPr>
            <w:tcW w:w="1289" w:type="dxa"/>
            <w:tcBorders>
              <w:top w:val="single" w:sz="4" w:space="0" w:color="auto"/>
              <w:left w:val="nil"/>
              <w:bottom w:val="single" w:sz="4" w:space="0" w:color="auto"/>
              <w:right w:val="nil"/>
            </w:tcBorders>
            <w:vAlign w:val="center"/>
          </w:tcPr>
          <w:p w:rsidR="004E3021" w:rsidRPr="001D4C8B" w:rsidRDefault="00606E48">
            <w:pPr>
              <w:pStyle w:val="afffffff2"/>
              <w:rPr>
                <w:sz w:val="21"/>
                <w:szCs w:val="21"/>
              </w:rPr>
            </w:pPr>
            <w:r w:rsidRPr="001D4C8B">
              <w:rPr>
                <w:sz w:val="21"/>
                <w:szCs w:val="21"/>
              </w:rPr>
              <w:t>190</w:t>
            </w:r>
          </w:p>
        </w:tc>
      </w:tr>
      <w:tr w:rsidR="004E3021" w:rsidRPr="001D4C8B">
        <w:tc>
          <w:tcPr>
            <w:tcW w:w="851" w:type="dxa"/>
            <w:tcBorders>
              <w:top w:val="single" w:sz="4" w:space="0" w:color="auto"/>
              <w:left w:val="nil"/>
              <w:bottom w:val="single" w:sz="12" w:space="0" w:color="auto"/>
              <w:right w:val="single" w:sz="4" w:space="0" w:color="auto"/>
            </w:tcBorders>
            <w:vAlign w:val="center"/>
          </w:tcPr>
          <w:p w:rsidR="004E3021" w:rsidRPr="001D4C8B" w:rsidRDefault="00606E48">
            <w:pPr>
              <w:pStyle w:val="afffffff2"/>
              <w:rPr>
                <w:sz w:val="21"/>
                <w:szCs w:val="21"/>
              </w:rPr>
            </w:pPr>
            <w:r w:rsidRPr="001D4C8B">
              <w:rPr>
                <w:sz w:val="21"/>
                <w:szCs w:val="21"/>
              </w:rPr>
              <w:t>8</w:t>
            </w:r>
          </w:p>
        </w:tc>
        <w:tc>
          <w:tcPr>
            <w:tcW w:w="2551" w:type="dxa"/>
            <w:gridSpan w:val="2"/>
            <w:tcBorders>
              <w:top w:val="single" w:sz="4" w:space="0" w:color="auto"/>
              <w:left w:val="nil"/>
              <w:bottom w:val="single" w:sz="12" w:space="0" w:color="auto"/>
              <w:right w:val="single" w:sz="4" w:space="0" w:color="auto"/>
            </w:tcBorders>
            <w:vAlign w:val="center"/>
          </w:tcPr>
          <w:p w:rsidR="004E3021" w:rsidRPr="001D4C8B" w:rsidRDefault="00606E48">
            <w:pPr>
              <w:pStyle w:val="afffffff2"/>
              <w:rPr>
                <w:sz w:val="21"/>
                <w:szCs w:val="21"/>
              </w:rPr>
            </w:pPr>
            <w:r w:rsidRPr="001D4C8B">
              <w:rPr>
                <w:sz w:val="21"/>
                <w:szCs w:val="21"/>
              </w:rPr>
              <w:t>锌</w:t>
            </w:r>
          </w:p>
        </w:tc>
        <w:tc>
          <w:tcPr>
            <w:tcW w:w="1276" w:type="dxa"/>
            <w:tcBorders>
              <w:top w:val="single" w:sz="4" w:space="0" w:color="auto"/>
              <w:left w:val="nil"/>
              <w:bottom w:val="single" w:sz="12" w:space="0" w:color="auto"/>
              <w:right w:val="single" w:sz="4" w:space="0" w:color="auto"/>
            </w:tcBorders>
            <w:vAlign w:val="center"/>
          </w:tcPr>
          <w:p w:rsidR="004E3021" w:rsidRPr="001D4C8B" w:rsidRDefault="00606E48">
            <w:pPr>
              <w:pStyle w:val="afffffff2"/>
              <w:rPr>
                <w:sz w:val="21"/>
                <w:szCs w:val="21"/>
              </w:rPr>
            </w:pPr>
            <w:r w:rsidRPr="001D4C8B">
              <w:rPr>
                <w:sz w:val="21"/>
                <w:szCs w:val="21"/>
              </w:rPr>
              <w:t>200</w:t>
            </w:r>
          </w:p>
        </w:tc>
        <w:tc>
          <w:tcPr>
            <w:tcW w:w="1559" w:type="dxa"/>
            <w:tcBorders>
              <w:top w:val="single" w:sz="4" w:space="0" w:color="auto"/>
              <w:left w:val="nil"/>
              <w:bottom w:val="single" w:sz="12" w:space="0" w:color="auto"/>
              <w:right w:val="single" w:sz="4" w:space="0" w:color="auto"/>
            </w:tcBorders>
            <w:vAlign w:val="center"/>
          </w:tcPr>
          <w:p w:rsidR="004E3021" w:rsidRPr="001D4C8B" w:rsidRDefault="00606E48">
            <w:pPr>
              <w:pStyle w:val="afffffff2"/>
              <w:rPr>
                <w:sz w:val="21"/>
                <w:szCs w:val="21"/>
              </w:rPr>
            </w:pPr>
            <w:r w:rsidRPr="001D4C8B">
              <w:rPr>
                <w:sz w:val="21"/>
                <w:szCs w:val="21"/>
              </w:rPr>
              <w:t>200</w:t>
            </w:r>
          </w:p>
        </w:tc>
        <w:tc>
          <w:tcPr>
            <w:tcW w:w="1491" w:type="dxa"/>
            <w:tcBorders>
              <w:top w:val="single" w:sz="4" w:space="0" w:color="auto"/>
              <w:left w:val="nil"/>
              <w:bottom w:val="single" w:sz="12" w:space="0" w:color="auto"/>
              <w:right w:val="single" w:sz="4" w:space="0" w:color="auto"/>
            </w:tcBorders>
            <w:vAlign w:val="center"/>
          </w:tcPr>
          <w:p w:rsidR="004E3021" w:rsidRPr="001D4C8B" w:rsidRDefault="00606E48">
            <w:pPr>
              <w:pStyle w:val="afffffff2"/>
              <w:rPr>
                <w:sz w:val="21"/>
                <w:szCs w:val="21"/>
              </w:rPr>
            </w:pPr>
            <w:r w:rsidRPr="001D4C8B">
              <w:rPr>
                <w:sz w:val="21"/>
                <w:szCs w:val="21"/>
              </w:rPr>
              <w:t>250</w:t>
            </w:r>
          </w:p>
        </w:tc>
        <w:tc>
          <w:tcPr>
            <w:tcW w:w="1289" w:type="dxa"/>
            <w:tcBorders>
              <w:top w:val="single" w:sz="4" w:space="0" w:color="auto"/>
              <w:left w:val="nil"/>
              <w:bottom w:val="single" w:sz="12" w:space="0" w:color="auto"/>
              <w:right w:val="nil"/>
            </w:tcBorders>
            <w:vAlign w:val="center"/>
          </w:tcPr>
          <w:p w:rsidR="004E3021" w:rsidRPr="001D4C8B" w:rsidRDefault="00606E48">
            <w:pPr>
              <w:pStyle w:val="afffffff2"/>
              <w:rPr>
                <w:sz w:val="21"/>
                <w:szCs w:val="21"/>
              </w:rPr>
            </w:pPr>
            <w:r w:rsidRPr="001D4C8B">
              <w:rPr>
                <w:sz w:val="21"/>
                <w:szCs w:val="21"/>
              </w:rPr>
              <w:t>300</w:t>
            </w:r>
          </w:p>
        </w:tc>
      </w:tr>
    </w:tbl>
    <w:p w:rsidR="004E3021" w:rsidRDefault="00606E48">
      <w:pPr>
        <w:pStyle w:val="4a"/>
        <w:rPr>
          <w:bCs/>
          <w:color w:val="000000" w:themeColor="text1"/>
          <w:szCs w:val="24"/>
        </w:rPr>
      </w:pPr>
      <w:r>
        <w:lastRenderedPageBreak/>
        <w:t>2.2.3.6</w:t>
      </w:r>
      <w:r>
        <w:rPr>
          <w:rFonts w:hint="eastAsia"/>
          <w:bCs/>
          <w:color w:val="000000" w:themeColor="text1"/>
          <w:szCs w:val="24"/>
        </w:rPr>
        <w:t>固体</w:t>
      </w:r>
      <w:r>
        <w:rPr>
          <w:bCs/>
          <w:color w:val="000000" w:themeColor="text1"/>
          <w:szCs w:val="24"/>
        </w:rPr>
        <w:t>废</w:t>
      </w:r>
      <w:r>
        <w:rPr>
          <w:rFonts w:hint="eastAsia"/>
          <w:bCs/>
          <w:color w:val="000000" w:themeColor="text1"/>
          <w:szCs w:val="24"/>
        </w:rPr>
        <w:t>物控制标准</w:t>
      </w:r>
    </w:p>
    <w:p w:rsidR="004E3021" w:rsidRDefault="007E4B6D">
      <w:pPr>
        <w:ind w:firstLine="480"/>
      </w:pPr>
      <w:r>
        <w:rPr>
          <w:kern w:val="0"/>
          <w:lang w:val="zh-CN" w:bidi="zh-CN"/>
        </w:rPr>
        <w:t>一般工业固体废物和危险固废的暂存及污染控制分别按安徽省实施《中华人民共和国固体废物污染环境防治法》办法（省人大常委会公告第四十六号）、《危险废物贮存污染控制标准》（</w:t>
      </w:r>
      <w:r>
        <w:rPr>
          <w:kern w:val="0"/>
          <w:lang w:val="zh-CN" w:bidi="zh-CN"/>
        </w:rPr>
        <w:t>GB18597-2023</w:t>
      </w:r>
      <w:r>
        <w:rPr>
          <w:kern w:val="0"/>
          <w:lang w:val="zh-CN" w:bidi="zh-CN"/>
        </w:rPr>
        <w:t>）进行暂存、控制</w:t>
      </w:r>
      <w:r w:rsidR="00606E48">
        <w:rPr>
          <w:rFonts w:ascii="宋体" w:hAnsi="宋体" w:hint="eastAsia"/>
        </w:rPr>
        <w:t>。</w:t>
      </w:r>
    </w:p>
    <w:p w:rsidR="004E3021" w:rsidRDefault="00606E48">
      <w:pPr>
        <w:pStyle w:val="afffffffffffffffff3"/>
      </w:pPr>
      <w:bookmarkStart w:id="61" w:name="_Toc221500934"/>
      <w:r>
        <w:rPr>
          <w:rFonts w:hint="eastAsia"/>
        </w:rPr>
        <w:t>2</w:t>
      </w:r>
      <w:r>
        <w:t>.3</w:t>
      </w:r>
      <w:r>
        <w:t>评价</w:t>
      </w:r>
      <w:r>
        <w:rPr>
          <w:rFonts w:hint="eastAsia"/>
        </w:rPr>
        <w:t>工作等级</w:t>
      </w:r>
      <w:r>
        <w:t>和评价重点</w:t>
      </w:r>
      <w:bookmarkEnd w:id="61"/>
    </w:p>
    <w:p w:rsidR="004E3021" w:rsidRDefault="00606E48">
      <w:pPr>
        <w:spacing w:before="240" w:after="120"/>
        <w:ind w:firstLineChars="0" w:firstLine="0"/>
        <w:jc w:val="left"/>
        <w:outlineLvl w:val="2"/>
        <w:rPr>
          <w:rFonts w:eastAsia="黑体"/>
          <w:sz w:val="28"/>
          <w:szCs w:val="28"/>
        </w:rPr>
      </w:pPr>
      <w:bookmarkStart w:id="62" w:name="_Toc101135789"/>
      <w:bookmarkStart w:id="63" w:name="_Toc108662555"/>
      <w:bookmarkStart w:id="64" w:name="_Toc100783961"/>
      <w:bookmarkStart w:id="65" w:name="_Toc221088720"/>
      <w:bookmarkStart w:id="66" w:name="_Toc221500935"/>
      <w:r>
        <w:rPr>
          <w:rFonts w:eastAsia="黑体"/>
          <w:sz w:val="28"/>
          <w:szCs w:val="28"/>
        </w:rPr>
        <w:t>2.3.1</w:t>
      </w:r>
      <w:r>
        <w:rPr>
          <w:rFonts w:ascii="黑体" w:eastAsia="黑体" w:hAnsi="黑体" w:hint="eastAsia"/>
          <w:sz w:val="28"/>
          <w:szCs w:val="28"/>
        </w:rPr>
        <w:t>评价工作等级</w:t>
      </w:r>
      <w:bookmarkEnd w:id="62"/>
      <w:bookmarkEnd w:id="63"/>
      <w:bookmarkEnd w:id="64"/>
      <w:bookmarkEnd w:id="65"/>
      <w:bookmarkEnd w:id="66"/>
    </w:p>
    <w:p w:rsidR="004E3021" w:rsidRDefault="00606E48">
      <w:pPr>
        <w:ind w:firstLine="480"/>
      </w:pPr>
      <w:r>
        <w:rPr>
          <w:rFonts w:ascii="宋体" w:hAnsi="宋体" w:hint="eastAsia"/>
        </w:rPr>
        <w:t>根据</w:t>
      </w:r>
      <w:r w:rsidR="00947F13">
        <w:rPr>
          <w:rFonts w:ascii="宋体" w:hAnsi="宋体" w:hint="eastAsia"/>
        </w:rPr>
        <w:t>本</w:t>
      </w:r>
      <w:r>
        <w:rPr>
          <w:rFonts w:ascii="宋体" w:hAnsi="宋体" w:hint="eastAsia"/>
        </w:rPr>
        <w:t>项目污染物排放特征、项目所在地区的地形特点和环境功能区划，按照《环境影响评价技术导则》所规定的方法，确定本次环境影响评价的等级。</w:t>
      </w:r>
    </w:p>
    <w:p w:rsidR="004E3021" w:rsidRDefault="00606E48">
      <w:pPr>
        <w:pStyle w:val="4a"/>
      </w:pPr>
      <w:r>
        <w:rPr>
          <w:rFonts w:hint="eastAsia"/>
        </w:rPr>
        <w:t>2</w:t>
      </w:r>
      <w:r>
        <w:t>.3.1.1</w:t>
      </w:r>
      <w:r>
        <w:rPr>
          <w:rFonts w:hint="eastAsia"/>
        </w:rPr>
        <w:t>大气环境影响评价等级</w:t>
      </w:r>
    </w:p>
    <w:p w:rsidR="004E3021" w:rsidRDefault="00606E48">
      <w:pPr>
        <w:ind w:firstLine="480"/>
      </w:pPr>
      <w:r>
        <w:rPr>
          <w:rFonts w:ascii="宋体" w:hAnsi="宋体" w:hint="eastAsia"/>
        </w:rPr>
        <w:t>按照《环境影响评价技术导则</w:t>
      </w:r>
      <w:r>
        <w:t xml:space="preserve">  </w:t>
      </w:r>
      <w:r>
        <w:rPr>
          <w:rFonts w:ascii="宋体" w:hAnsi="宋体"/>
        </w:rPr>
        <w:t>大气环境》（</w:t>
      </w:r>
      <w:r>
        <w:t>HJ2.2-2018</w:t>
      </w:r>
      <w:r>
        <w:rPr>
          <w:rFonts w:ascii="宋体" w:hAnsi="宋体" w:hint="eastAsia"/>
        </w:rPr>
        <w:t>），根据项目污染源调查结果，分别计算项目排放主要污染物的最大地面空气质量浓度占标率</w:t>
      </w:r>
      <w:r>
        <w:t>P</w:t>
      </w:r>
      <w:r>
        <w:rPr>
          <w:vertAlign w:val="subscript"/>
        </w:rPr>
        <w:t>i</w:t>
      </w:r>
      <w:r>
        <w:rPr>
          <w:rFonts w:ascii="宋体" w:hAnsi="宋体" w:hint="eastAsia"/>
        </w:rPr>
        <w:t>（第</w:t>
      </w:r>
      <w:r>
        <w:t>i</w:t>
      </w:r>
      <w:r>
        <w:rPr>
          <w:rFonts w:ascii="宋体" w:hAnsi="宋体" w:hint="eastAsia"/>
        </w:rPr>
        <w:t>个污染物，简称“最大浓度占标率”），及第</w:t>
      </w:r>
      <w:r>
        <w:t>i</w:t>
      </w:r>
      <w:r>
        <w:rPr>
          <w:rFonts w:ascii="宋体" w:hAnsi="宋体" w:hint="eastAsia"/>
        </w:rPr>
        <w:t>个污染物的地面空气质量浓度达到标准值的</w:t>
      </w:r>
      <w:r>
        <w:t>10%</w:t>
      </w:r>
      <w:r>
        <w:rPr>
          <w:rFonts w:ascii="宋体" w:hAnsi="宋体" w:hint="eastAsia"/>
        </w:rPr>
        <w:t>时所对应的最远距离</w:t>
      </w:r>
      <w:r>
        <w:t>D</w:t>
      </w:r>
      <w:r>
        <w:rPr>
          <w:vertAlign w:val="subscript"/>
        </w:rPr>
        <w:t>10%</w:t>
      </w:r>
      <w:r>
        <w:rPr>
          <w:rFonts w:ascii="宋体" w:hAnsi="宋体" w:hint="eastAsia"/>
        </w:rPr>
        <w:t>，其中</w:t>
      </w:r>
      <w:r>
        <w:t>P</w:t>
      </w:r>
      <w:r>
        <w:rPr>
          <w:vertAlign w:val="subscript"/>
        </w:rPr>
        <w:t>i</w:t>
      </w:r>
      <w:r>
        <w:rPr>
          <w:rFonts w:ascii="宋体" w:hAnsi="宋体" w:hint="eastAsia"/>
        </w:rPr>
        <w:t>定义为：</w:t>
      </w:r>
    </w:p>
    <w:p w:rsidR="004E3021" w:rsidRDefault="00606E48">
      <w:pPr>
        <w:ind w:firstLineChars="0" w:firstLine="0"/>
        <w:jc w:val="center"/>
        <w:rPr>
          <w:b/>
        </w:rPr>
      </w:pPr>
      <w:r>
        <w:rPr>
          <w:b/>
        </w:rPr>
        <w:t>P</w:t>
      </w:r>
      <w:r>
        <w:rPr>
          <w:b/>
          <w:vertAlign w:val="subscript"/>
        </w:rPr>
        <w:t>i</w:t>
      </w:r>
      <w:r>
        <w:rPr>
          <w:rFonts w:ascii="宋体" w:hAnsi="宋体" w:hint="eastAsia"/>
          <w:b/>
        </w:rPr>
        <w:t>＝（</w:t>
      </w:r>
      <w:r>
        <w:rPr>
          <w:b/>
        </w:rPr>
        <w:t>C</w:t>
      </w:r>
      <w:r>
        <w:rPr>
          <w:b/>
          <w:vertAlign w:val="subscript"/>
        </w:rPr>
        <w:t>i</w:t>
      </w:r>
      <w:r>
        <w:rPr>
          <w:b/>
        </w:rPr>
        <w:t>/C</w:t>
      </w:r>
      <w:r>
        <w:rPr>
          <w:b/>
          <w:vertAlign w:val="subscript"/>
        </w:rPr>
        <w:t>0i</w:t>
      </w:r>
      <w:r>
        <w:rPr>
          <w:rFonts w:ascii="宋体" w:hAnsi="宋体" w:hint="eastAsia"/>
          <w:b/>
        </w:rPr>
        <w:t>）</w:t>
      </w:r>
      <w:r>
        <w:rPr>
          <w:b/>
        </w:rPr>
        <w:t>×100%</w:t>
      </w:r>
    </w:p>
    <w:p w:rsidR="004E3021" w:rsidRDefault="00606E48">
      <w:pPr>
        <w:ind w:firstLine="480"/>
      </w:pPr>
      <w:r>
        <w:rPr>
          <w:rFonts w:ascii="宋体" w:hAnsi="宋体"/>
        </w:rPr>
        <w:t>式中：</w:t>
      </w:r>
    </w:p>
    <w:p w:rsidR="004E3021" w:rsidRDefault="00606E48">
      <w:pPr>
        <w:ind w:firstLine="482"/>
      </w:pPr>
      <w:r>
        <w:rPr>
          <w:b/>
          <w:i/>
        </w:rPr>
        <w:t>P</w:t>
      </w:r>
      <w:r>
        <w:rPr>
          <w:b/>
          <w:i/>
          <w:vertAlign w:val="subscript"/>
        </w:rPr>
        <w:t>i</w:t>
      </w:r>
      <w:r>
        <w:rPr>
          <w:rFonts w:ascii="宋体" w:hAnsi="宋体"/>
        </w:rPr>
        <w:t>－第</w:t>
      </w:r>
      <w:r>
        <w:t>i</w:t>
      </w:r>
      <w:r>
        <w:rPr>
          <w:rFonts w:ascii="宋体" w:hAnsi="宋体"/>
        </w:rPr>
        <w:t>个污染物的最大地面空气质量浓度占标率，</w:t>
      </w:r>
      <w:r>
        <w:t>%</w:t>
      </w:r>
      <w:r>
        <w:rPr>
          <w:rFonts w:ascii="宋体" w:hAnsi="宋体"/>
        </w:rPr>
        <w:t>；</w:t>
      </w:r>
    </w:p>
    <w:p w:rsidR="004E3021" w:rsidRDefault="00606E48">
      <w:pPr>
        <w:ind w:firstLine="482"/>
      </w:pPr>
      <w:r>
        <w:rPr>
          <w:b/>
          <w:i/>
        </w:rPr>
        <w:t>C</w:t>
      </w:r>
      <w:r>
        <w:rPr>
          <w:b/>
          <w:i/>
          <w:vertAlign w:val="subscript"/>
        </w:rPr>
        <w:t>i</w:t>
      </w:r>
      <w:r>
        <w:rPr>
          <w:rFonts w:ascii="宋体" w:hAnsi="宋体"/>
        </w:rPr>
        <w:t>－采用估算模式计算出的第</w:t>
      </w:r>
      <w:r>
        <w:t>i</w:t>
      </w:r>
      <w:r>
        <w:rPr>
          <w:rFonts w:ascii="宋体" w:hAnsi="宋体"/>
        </w:rPr>
        <w:t>个污染物的最大</w:t>
      </w:r>
      <w:r>
        <w:t>1h</w:t>
      </w:r>
      <w:r>
        <w:rPr>
          <w:rFonts w:ascii="宋体" w:hAnsi="宋体"/>
        </w:rPr>
        <w:t>地面空气质量浓度，</w:t>
      </w:r>
      <w:r>
        <w:t>mg/m</w:t>
      </w:r>
      <w:r>
        <w:rPr>
          <w:vertAlign w:val="superscript"/>
        </w:rPr>
        <w:t>3</w:t>
      </w:r>
      <w:r>
        <w:rPr>
          <w:rFonts w:ascii="宋体" w:hAnsi="宋体"/>
        </w:rPr>
        <w:t>；</w:t>
      </w:r>
    </w:p>
    <w:p w:rsidR="004E3021" w:rsidRDefault="00606E48">
      <w:pPr>
        <w:ind w:firstLine="482"/>
      </w:pPr>
      <w:r>
        <w:rPr>
          <w:b/>
          <w:i/>
        </w:rPr>
        <w:t>C</w:t>
      </w:r>
      <w:r>
        <w:rPr>
          <w:b/>
          <w:i/>
          <w:vertAlign w:val="subscript"/>
        </w:rPr>
        <w:t>0i</w:t>
      </w:r>
      <w:r>
        <w:rPr>
          <w:rFonts w:ascii="宋体" w:hAnsi="宋体"/>
        </w:rPr>
        <w:t>－第</w:t>
      </w:r>
      <w:r>
        <w:t>i</w:t>
      </w:r>
      <w:r>
        <w:rPr>
          <w:rFonts w:ascii="宋体" w:hAnsi="宋体"/>
        </w:rPr>
        <w:t>个污染物的环境空气质量浓度标准，</w:t>
      </w:r>
      <w:r>
        <w:t>mg/m</w:t>
      </w:r>
      <w:r>
        <w:rPr>
          <w:vertAlign w:val="superscript"/>
        </w:rPr>
        <w:t>3</w:t>
      </w:r>
      <w:r>
        <w:rPr>
          <w:rFonts w:ascii="宋体" w:hAnsi="宋体"/>
        </w:rPr>
        <w:t>。一般选用</w:t>
      </w:r>
      <w:r>
        <w:t>GB3095</w:t>
      </w:r>
      <w:r>
        <w:rPr>
          <w:rFonts w:ascii="宋体" w:hAnsi="宋体"/>
        </w:rPr>
        <w:t>中</w:t>
      </w:r>
      <w:r>
        <w:t>1h</w:t>
      </w:r>
      <w:r>
        <w:rPr>
          <w:rFonts w:ascii="宋体" w:hAnsi="宋体"/>
        </w:rPr>
        <w:t>平均质量浓度的二级浓度限值，如项目位于一类环境空气功能区，应选择相应的一级浓度限值；对该标准中未包含的污染物，使用</w:t>
      </w:r>
      <w:r>
        <w:t>5.2</w:t>
      </w:r>
      <w:r>
        <w:rPr>
          <w:rFonts w:ascii="宋体" w:hAnsi="宋体"/>
        </w:rPr>
        <w:t>确定的各评价因子</w:t>
      </w:r>
      <w:r>
        <w:t>1h</w:t>
      </w:r>
      <w:r>
        <w:rPr>
          <w:rFonts w:ascii="宋体" w:hAnsi="宋体"/>
        </w:rPr>
        <w:t>平均质量浓度限值。对仅有</w:t>
      </w:r>
      <w:r>
        <w:t>8h</w:t>
      </w:r>
      <w:r>
        <w:rPr>
          <w:rFonts w:ascii="宋体" w:hAnsi="宋体"/>
        </w:rPr>
        <w:t>平均质量浓度限值、日平均质量浓度限值或年平均质量浓度限值的，可分别按</w:t>
      </w:r>
      <w:r>
        <w:t>2</w:t>
      </w:r>
      <w:r>
        <w:rPr>
          <w:rFonts w:ascii="宋体" w:hAnsi="宋体"/>
        </w:rPr>
        <w:t>倍、</w:t>
      </w:r>
      <w:r>
        <w:t>3</w:t>
      </w:r>
      <w:r>
        <w:rPr>
          <w:rFonts w:ascii="宋体" w:hAnsi="宋体"/>
        </w:rPr>
        <w:t>倍、</w:t>
      </w:r>
      <w:r>
        <w:t>6</w:t>
      </w:r>
      <w:r>
        <w:rPr>
          <w:rFonts w:ascii="宋体" w:hAnsi="宋体"/>
        </w:rPr>
        <w:t>倍折算为</w:t>
      </w:r>
      <w:r>
        <w:t>1h</w:t>
      </w:r>
      <w:r>
        <w:rPr>
          <w:rFonts w:ascii="宋体" w:hAnsi="宋体"/>
        </w:rPr>
        <w:t>平均质量浓度限值。</w:t>
      </w:r>
    </w:p>
    <w:p w:rsidR="004E3021" w:rsidRDefault="00606E48">
      <w:pPr>
        <w:ind w:firstLine="480"/>
      </w:pPr>
      <w:r>
        <w:rPr>
          <w:rFonts w:ascii="宋体" w:hAnsi="宋体"/>
        </w:rPr>
        <w:t>评价工作等级的判定依据见表</w:t>
      </w:r>
      <w:r>
        <w:t>2.3.1-1</w:t>
      </w:r>
      <w:r>
        <w:rPr>
          <w:rFonts w:ascii="宋体" w:hAnsi="宋体"/>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rPr>
        <w:t xml:space="preserve">2.3.1-1   </w:t>
      </w:r>
      <w:r>
        <w:rPr>
          <w:rFonts w:ascii="黑体" w:eastAsia="黑体" w:hAnsi="黑体" w:hint="eastAsia"/>
        </w:rPr>
        <w:t>评价工作等级</w:t>
      </w:r>
    </w:p>
    <w:tbl>
      <w:tblPr>
        <w:tblW w:w="9242"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3048"/>
        <w:gridCol w:w="6194"/>
      </w:tblGrid>
      <w:tr w:rsidR="004E3021" w:rsidRPr="005A3F4E">
        <w:tc>
          <w:tcPr>
            <w:tcW w:w="3048" w:type="dxa"/>
          </w:tcPr>
          <w:p w:rsidR="004E3021" w:rsidRPr="005A3F4E" w:rsidRDefault="00606E48">
            <w:pPr>
              <w:pStyle w:val="afffffff2"/>
              <w:rPr>
                <w:b/>
                <w:sz w:val="21"/>
                <w:szCs w:val="21"/>
              </w:rPr>
            </w:pPr>
            <w:r w:rsidRPr="005A3F4E">
              <w:rPr>
                <w:b/>
                <w:sz w:val="21"/>
                <w:szCs w:val="21"/>
              </w:rPr>
              <w:t>评价工作等级</w:t>
            </w:r>
          </w:p>
        </w:tc>
        <w:tc>
          <w:tcPr>
            <w:tcW w:w="6194" w:type="dxa"/>
          </w:tcPr>
          <w:p w:rsidR="004E3021" w:rsidRPr="005A3F4E" w:rsidRDefault="00606E48">
            <w:pPr>
              <w:pStyle w:val="afffffff2"/>
              <w:rPr>
                <w:b/>
                <w:sz w:val="21"/>
                <w:szCs w:val="21"/>
              </w:rPr>
            </w:pPr>
            <w:r w:rsidRPr="005A3F4E">
              <w:rPr>
                <w:b/>
                <w:sz w:val="21"/>
                <w:szCs w:val="21"/>
              </w:rPr>
              <w:t>评价工作等级判据</w:t>
            </w:r>
          </w:p>
        </w:tc>
      </w:tr>
      <w:tr w:rsidR="004E3021" w:rsidRPr="005A3F4E">
        <w:tc>
          <w:tcPr>
            <w:tcW w:w="3048" w:type="dxa"/>
          </w:tcPr>
          <w:p w:rsidR="004E3021" w:rsidRPr="005A3F4E" w:rsidRDefault="00606E48">
            <w:pPr>
              <w:pStyle w:val="afffffff2"/>
              <w:rPr>
                <w:sz w:val="21"/>
                <w:szCs w:val="21"/>
              </w:rPr>
            </w:pPr>
            <w:r w:rsidRPr="005A3F4E">
              <w:rPr>
                <w:sz w:val="21"/>
                <w:szCs w:val="21"/>
              </w:rPr>
              <w:t>一级</w:t>
            </w:r>
          </w:p>
        </w:tc>
        <w:tc>
          <w:tcPr>
            <w:tcW w:w="6194" w:type="dxa"/>
          </w:tcPr>
          <w:p w:rsidR="004E3021" w:rsidRPr="005A3F4E" w:rsidRDefault="00606E48">
            <w:pPr>
              <w:pStyle w:val="afffffff2"/>
              <w:rPr>
                <w:sz w:val="21"/>
                <w:szCs w:val="21"/>
              </w:rPr>
            </w:pPr>
            <w:r w:rsidRPr="005A3F4E">
              <w:rPr>
                <w:sz w:val="21"/>
                <w:szCs w:val="21"/>
              </w:rPr>
              <w:t>Pmax≥10%</w:t>
            </w:r>
          </w:p>
        </w:tc>
      </w:tr>
      <w:tr w:rsidR="004E3021" w:rsidRPr="005A3F4E">
        <w:tc>
          <w:tcPr>
            <w:tcW w:w="3048" w:type="dxa"/>
          </w:tcPr>
          <w:p w:rsidR="004E3021" w:rsidRPr="005A3F4E" w:rsidRDefault="00606E48">
            <w:pPr>
              <w:pStyle w:val="afffffff2"/>
              <w:rPr>
                <w:sz w:val="21"/>
                <w:szCs w:val="21"/>
              </w:rPr>
            </w:pPr>
            <w:r w:rsidRPr="005A3F4E">
              <w:rPr>
                <w:sz w:val="21"/>
                <w:szCs w:val="21"/>
              </w:rPr>
              <w:t>二级</w:t>
            </w:r>
          </w:p>
        </w:tc>
        <w:tc>
          <w:tcPr>
            <w:tcW w:w="6194" w:type="dxa"/>
          </w:tcPr>
          <w:p w:rsidR="004E3021" w:rsidRPr="005A3F4E" w:rsidRDefault="00606E48">
            <w:pPr>
              <w:pStyle w:val="afffffff2"/>
              <w:rPr>
                <w:sz w:val="21"/>
                <w:szCs w:val="21"/>
              </w:rPr>
            </w:pPr>
            <w:r w:rsidRPr="005A3F4E">
              <w:rPr>
                <w:sz w:val="21"/>
                <w:szCs w:val="21"/>
              </w:rPr>
              <w:t>1%≤Pmax</w:t>
            </w:r>
            <w:r w:rsidRPr="005A3F4E">
              <w:rPr>
                <w:sz w:val="21"/>
                <w:szCs w:val="21"/>
              </w:rPr>
              <w:t>＜</w:t>
            </w:r>
            <w:r w:rsidRPr="005A3F4E">
              <w:rPr>
                <w:sz w:val="21"/>
                <w:szCs w:val="21"/>
              </w:rPr>
              <w:t>10%</w:t>
            </w:r>
          </w:p>
        </w:tc>
      </w:tr>
      <w:tr w:rsidR="004E3021" w:rsidRPr="005A3F4E">
        <w:tc>
          <w:tcPr>
            <w:tcW w:w="3048" w:type="dxa"/>
          </w:tcPr>
          <w:p w:rsidR="004E3021" w:rsidRPr="005A3F4E" w:rsidRDefault="00606E48">
            <w:pPr>
              <w:pStyle w:val="afffffff2"/>
              <w:rPr>
                <w:sz w:val="21"/>
                <w:szCs w:val="21"/>
              </w:rPr>
            </w:pPr>
            <w:r w:rsidRPr="005A3F4E">
              <w:rPr>
                <w:sz w:val="21"/>
                <w:szCs w:val="21"/>
              </w:rPr>
              <w:lastRenderedPageBreak/>
              <w:t>三级</w:t>
            </w:r>
          </w:p>
        </w:tc>
        <w:tc>
          <w:tcPr>
            <w:tcW w:w="6194" w:type="dxa"/>
          </w:tcPr>
          <w:p w:rsidR="004E3021" w:rsidRPr="005A3F4E" w:rsidRDefault="00606E48">
            <w:pPr>
              <w:pStyle w:val="afffffff2"/>
              <w:rPr>
                <w:sz w:val="21"/>
                <w:szCs w:val="21"/>
              </w:rPr>
            </w:pPr>
            <w:r w:rsidRPr="005A3F4E">
              <w:rPr>
                <w:sz w:val="21"/>
                <w:szCs w:val="21"/>
              </w:rPr>
              <w:t xml:space="preserve">Pmax&lt;1% </w:t>
            </w:r>
          </w:p>
        </w:tc>
      </w:tr>
    </w:tbl>
    <w:p w:rsidR="001E21A1" w:rsidRDefault="00606E48">
      <w:pPr>
        <w:ind w:firstLine="480"/>
        <w:rPr>
          <w:rFonts w:ascii="宋体" w:hAnsi="宋体"/>
        </w:rPr>
      </w:pPr>
      <w:r>
        <w:rPr>
          <w:rFonts w:ascii="宋体" w:hAnsi="宋体" w:hint="eastAsia"/>
        </w:rPr>
        <w:t>估算模型参数表见表</w:t>
      </w:r>
      <w:r>
        <w:t>2.3.1-2</w:t>
      </w:r>
      <w:r>
        <w:rPr>
          <w:rFonts w:ascii="宋体" w:hAnsi="宋体" w:hint="eastAsia"/>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rPr>
        <w:t xml:space="preserve">2.3.1-2  </w:t>
      </w:r>
      <w:r>
        <w:rPr>
          <w:rFonts w:ascii="黑体" w:eastAsia="黑体" w:hAnsi="黑体" w:hint="eastAsia"/>
        </w:rPr>
        <w:t>估算模型参数表</w:t>
      </w:r>
    </w:p>
    <w:tbl>
      <w:tblPr>
        <w:tblStyle w:val="afff"/>
        <w:tblW w:w="0" w:type="auto"/>
        <w:tblLook w:val="04A0" w:firstRow="1" w:lastRow="0" w:firstColumn="1" w:lastColumn="0" w:noHBand="0" w:noVBand="1"/>
      </w:tblPr>
      <w:tblGrid>
        <w:gridCol w:w="3116"/>
        <w:gridCol w:w="3116"/>
        <w:gridCol w:w="2785"/>
      </w:tblGrid>
      <w:tr w:rsidR="004E3021" w:rsidRPr="001E21A1" w:rsidTr="001E21A1">
        <w:tc>
          <w:tcPr>
            <w:tcW w:w="6232" w:type="dxa"/>
            <w:gridSpan w:val="2"/>
          </w:tcPr>
          <w:p w:rsidR="004E3021" w:rsidRPr="001E21A1" w:rsidRDefault="00606E48">
            <w:pPr>
              <w:pStyle w:val="afffffff2"/>
              <w:rPr>
                <w:rFonts w:ascii="Times New Roman" w:hAnsi="Times New Roman" w:cs="Times New Roman"/>
                <w:b/>
                <w:kern w:val="0"/>
                <w:sz w:val="21"/>
                <w:szCs w:val="21"/>
              </w:rPr>
            </w:pPr>
            <w:r w:rsidRPr="001E21A1">
              <w:rPr>
                <w:rFonts w:ascii="Times New Roman" w:hAnsi="Times New Roman" w:cs="Times New Roman"/>
                <w:b/>
                <w:kern w:val="0"/>
                <w:sz w:val="21"/>
                <w:szCs w:val="21"/>
              </w:rPr>
              <w:t>参数</w:t>
            </w:r>
          </w:p>
        </w:tc>
        <w:tc>
          <w:tcPr>
            <w:tcW w:w="2785" w:type="dxa"/>
          </w:tcPr>
          <w:p w:rsidR="004E3021" w:rsidRPr="001E21A1" w:rsidRDefault="00606E48">
            <w:pPr>
              <w:pStyle w:val="afffffff2"/>
              <w:rPr>
                <w:rFonts w:ascii="Times New Roman" w:hAnsi="Times New Roman" w:cs="Times New Roman"/>
                <w:b/>
                <w:kern w:val="0"/>
                <w:sz w:val="21"/>
                <w:szCs w:val="21"/>
              </w:rPr>
            </w:pPr>
            <w:r w:rsidRPr="001E21A1">
              <w:rPr>
                <w:rFonts w:ascii="Times New Roman" w:hAnsi="Times New Roman" w:cs="Times New Roman"/>
                <w:b/>
                <w:kern w:val="0"/>
                <w:sz w:val="21"/>
                <w:szCs w:val="21"/>
              </w:rPr>
              <w:t>取值</w:t>
            </w:r>
          </w:p>
        </w:tc>
      </w:tr>
      <w:tr w:rsidR="004E3021" w:rsidRPr="001E21A1" w:rsidTr="001E21A1">
        <w:tc>
          <w:tcPr>
            <w:tcW w:w="3116" w:type="dxa"/>
            <w:vMerge w:val="restart"/>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城市</w:t>
            </w:r>
            <w:r w:rsidRPr="001E21A1">
              <w:rPr>
                <w:rFonts w:ascii="Times New Roman" w:hAnsi="Times New Roman" w:cs="Times New Roman"/>
                <w:kern w:val="0"/>
                <w:sz w:val="21"/>
                <w:szCs w:val="21"/>
              </w:rPr>
              <w:t>/</w:t>
            </w:r>
            <w:r w:rsidRPr="001E21A1">
              <w:rPr>
                <w:rFonts w:ascii="Times New Roman" w:hAnsi="Times New Roman" w:cs="Times New Roman"/>
                <w:kern w:val="0"/>
                <w:sz w:val="21"/>
                <w:szCs w:val="21"/>
              </w:rPr>
              <w:t>农村选项</w:t>
            </w:r>
          </w:p>
        </w:tc>
        <w:tc>
          <w:tcPr>
            <w:tcW w:w="3116"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城市</w:t>
            </w:r>
            <w:r w:rsidRPr="001E21A1">
              <w:rPr>
                <w:rFonts w:ascii="Times New Roman" w:hAnsi="Times New Roman" w:cs="Times New Roman"/>
                <w:kern w:val="0"/>
                <w:sz w:val="21"/>
                <w:szCs w:val="21"/>
              </w:rPr>
              <w:t>/</w:t>
            </w:r>
            <w:r w:rsidRPr="001E21A1">
              <w:rPr>
                <w:rFonts w:ascii="Times New Roman" w:hAnsi="Times New Roman" w:cs="Times New Roman"/>
                <w:kern w:val="0"/>
                <w:sz w:val="21"/>
                <w:szCs w:val="21"/>
              </w:rPr>
              <w:t>农村</w:t>
            </w:r>
          </w:p>
        </w:tc>
        <w:tc>
          <w:tcPr>
            <w:tcW w:w="2785"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农村</w:t>
            </w:r>
          </w:p>
        </w:tc>
      </w:tr>
      <w:tr w:rsidR="004E3021" w:rsidRPr="001E21A1" w:rsidTr="001E21A1">
        <w:tc>
          <w:tcPr>
            <w:tcW w:w="0" w:type="auto"/>
            <w:vMerge/>
          </w:tcPr>
          <w:p w:rsidR="004E3021" w:rsidRPr="001E21A1" w:rsidRDefault="004E3021">
            <w:pPr>
              <w:pStyle w:val="afffffff2"/>
              <w:rPr>
                <w:rFonts w:ascii="Times New Roman" w:hAnsi="Times New Roman" w:cs="Times New Roman"/>
                <w:kern w:val="0"/>
                <w:sz w:val="21"/>
                <w:szCs w:val="21"/>
              </w:rPr>
            </w:pPr>
          </w:p>
        </w:tc>
        <w:tc>
          <w:tcPr>
            <w:tcW w:w="3116"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人口数（城市选项时）</w:t>
            </w:r>
          </w:p>
        </w:tc>
        <w:tc>
          <w:tcPr>
            <w:tcW w:w="2785"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w:t>
            </w:r>
          </w:p>
        </w:tc>
      </w:tr>
      <w:tr w:rsidR="004E3021" w:rsidRPr="001E21A1" w:rsidTr="001E21A1">
        <w:tc>
          <w:tcPr>
            <w:tcW w:w="6232" w:type="dxa"/>
            <w:gridSpan w:val="2"/>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最高环境温度</w:t>
            </w:r>
            <w:r w:rsidRPr="001E21A1">
              <w:rPr>
                <w:rFonts w:ascii="Times New Roman" w:hAnsi="Times New Roman" w:cs="Times New Roman"/>
                <w:kern w:val="0"/>
                <w:sz w:val="21"/>
                <w:szCs w:val="21"/>
              </w:rPr>
              <w:t>/℃</w:t>
            </w:r>
          </w:p>
        </w:tc>
        <w:tc>
          <w:tcPr>
            <w:tcW w:w="2785"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40.5</w:t>
            </w:r>
          </w:p>
        </w:tc>
      </w:tr>
      <w:tr w:rsidR="004E3021" w:rsidRPr="001E21A1" w:rsidTr="001E21A1">
        <w:tc>
          <w:tcPr>
            <w:tcW w:w="6232" w:type="dxa"/>
            <w:gridSpan w:val="2"/>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最低环境温度</w:t>
            </w:r>
            <w:r w:rsidRPr="001E21A1">
              <w:rPr>
                <w:rFonts w:ascii="Times New Roman" w:hAnsi="Times New Roman" w:cs="Times New Roman"/>
                <w:kern w:val="0"/>
                <w:sz w:val="21"/>
                <w:szCs w:val="21"/>
              </w:rPr>
              <w:t>/℃</w:t>
            </w:r>
          </w:p>
        </w:tc>
        <w:tc>
          <w:tcPr>
            <w:tcW w:w="2785"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-24.3</w:t>
            </w:r>
          </w:p>
        </w:tc>
      </w:tr>
      <w:tr w:rsidR="004E3021" w:rsidRPr="001E21A1" w:rsidTr="001E21A1">
        <w:tc>
          <w:tcPr>
            <w:tcW w:w="6232" w:type="dxa"/>
            <w:gridSpan w:val="2"/>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土地利用类型</w:t>
            </w:r>
          </w:p>
        </w:tc>
        <w:tc>
          <w:tcPr>
            <w:tcW w:w="2785"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农用地</w:t>
            </w:r>
          </w:p>
        </w:tc>
      </w:tr>
      <w:tr w:rsidR="004E3021" w:rsidRPr="001E21A1" w:rsidTr="001E21A1">
        <w:tc>
          <w:tcPr>
            <w:tcW w:w="6232" w:type="dxa"/>
            <w:gridSpan w:val="2"/>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区域湿度条件</w:t>
            </w:r>
          </w:p>
        </w:tc>
        <w:tc>
          <w:tcPr>
            <w:tcW w:w="2785"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中等湿度</w:t>
            </w:r>
          </w:p>
        </w:tc>
      </w:tr>
      <w:tr w:rsidR="004E3021" w:rsidRPr="001E21A1" w:rsidTr="001E21A1">
        <w:tc>
          <w:tcPr>
            <w:tcW w:w="3116" w:type="dxa"/>
            <w:vMerge w:val="restart"/>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是否考虑地形</w:t>
            </w:r>
          </w:p>
        </w:tc>
        <w:tc>
          <w:tcPr>
            <w:tcW w:w="3116"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考虑地形</w:t>
            </w:r>
          </w:p>
        </w:tc>
        <w:tc>
          <w:tcPr>
            <w:tcW w:w="2785"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是</w:t>
            </w:r>
            <w:r w:rsidRPr="001E21A1">
              <w:rPr>
                <w:rFonts w:ascii="Times New Roman" w:hAnsi="Times New Roman" w:cs="Times New Roman"/>
                <w:kern w:val="0"/>
                <w:sz w:val="21"/>
                <w:szCs w:val="21"/>
              </w:rPr>
              <w:t xml:space="preserve">√          </w:t>
            </w:r>
            <w:r w:rsidRPr="001E21A1">
              <w:rPr>
                <w:rFonts w:ascii="Times New Roman" w:hAnsi="Times New Roman" w:cs="Times New Roman"/>
                <w:kern w:val="0"/>
                <w:sz w:val="21"/>
                <w:szCs w:val="21"/>
              </w:rPr>
              <w:t>否</w:t>
            </w:r>
          </w:p>
        </w:tc>
      </w:tr>
      <w:tr w:rsidR="004E3021" w:rsidRPr="001E21A1" w:rsidTr="001E21A1">
        <w:tc>
          <w:tcPr>
            <w:tcW w:w="0" w:type="auto"/>
            <w:vMerge/>
          </w:tcPr>
          <w:p w:rsidR="004E3021" w:rsidRPr="001E21A1" w:rsidRDefault="004E3021">
            <w:pPr>
              <w:pStyle w:val="afffffff2"/>
              <w:rPr>
                <w:rFonts w:ascii="Times New Roman" w:hAnsi="Times New Roman" w:cs="Times New Roman"/>
                <w:kern w:val="0"/>
                <w:sz w:val="21"/>
                <w:szCs w:val="21"/>
              </w:rPr>
            </w:pPr>
          </w:p>
        </w:tc>
        <w:tc>
          <w:tcPr>
            <w:tcW w:w="3116"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地形数据分辨率</w:t>
            </w:r>
            <w:r w:rsidRPr="001E21A1">
              <w:rPr>
                <w:rFonts w:ascii="Times New Roman" w:hAnsi="Times New Roman" w:cs="Times New Roman"/>
                <w:kern w:val="0"/>
                <w:sz w:val="21"/>
                <w:szCs w:val="21"/>
              </w:rPr>
              <w:t>/m</w:t>
            </w:r>
          </w:p>
        </w:tc>
        <w:tc>
          <w:tcPr>
            <w:tcW w:w="2785"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90m</w:t>
            </w:r>
          </w:p>
        </w:tc>
      </w:tr>
      <w:tr w:rsidR="004E3021" w:rsidRPr="001E21A1" w:rsidTr="001E21A1">
        <w:tc>
          <w:tcPr>
            <w:tcW w:w="3116" w:type="dxa"/>
            <w:vMerge w:val="restart"/>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是否考虑岸线熏烟</w:t>
            </w:r>
          </w:p>
        </w:tc>
        <w:tc>
          <w:tcPr>
            <w:tcW w:w="3116"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考虑岸线熏烟</w:t>
            </w:r>
          </w:p>
        </w:tc>
        <w:tc>
          <w:tcPr>
            <w:tcW w:w="2785"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是</w:t>
            </w:r>
            <w:r w:rsidRPr="001E21A1">
              <w:rPr>
                <w:rFonts w:ascii="Times New Roman" w:hAnsi="Times New Roman" w:cs="Times New Roman"/>
                <w:kern w:val="0"/>
                <w:sz w:val="21"/>
                <w:szCs w:val="21"/>
              </w:rPr>
              <w:t xml:space="preserve">           </w:t>
            </w:r>
            <w:r w:rsidRPr="001E21A1">
              <w:rPr>
                <w:rFonts w:ascii="Times New Roman" w:hAnsi="Times New Roman" w:cs="Times New Roman"/>
                <w:kern w:val="0"/>
                <w:sz w:val="21"/>
                <w:szCs w:val="21"/>
              </w:rPr>
              <w:t>否</w:t>
            </w:r>
            <w:r w:rsidRPr="001E21A1">
              <w:rPr>
                <w:rFonts w:ascii="Times New Roman" w:hAnsi="Times New Roman" w:cs="Times New Roman"/>
                <w:kern w:val="0"/>
                <w:sz w:val="21"/>
                <w:szCs w:val="21"/>
              </w:rPr>
              <w:t>√</w:t>
            </w:r>
          </w:p>
        </w:tc>
      </w:tr>
      <w:tr w:rsidR="004E3021" w:rsidRPr="001E21A1" w:rsidTr="001E21A1">
        <w:tc>
          <w:tcPr>
            <w:tcW w:w="0" w:type="auto"/>
            <w:vMerge/>
          </w:tcPr>
          <w:p w:rsidR="004E3021" w:rsidRPr="001E21A1" w:rsidRDefault="004E3021">
            <w:pPr>
              <w:pStyle w:val="afffffff2"/>
              <w:rPr>
                <w:rFonts w:ascii="Times New Roman" w:hAnsi="Times New Roman" w:cs="Times New Roman"/>
                <w:kern w:val="0"/>
                <w:sz w:val="21"/>
                <w:szCs w:val="21"/>
              </w:rPr>
            </w:pPr>
          </w:p>
        </w:tc>
        <w:tc>
          <w:tcPr>
            <w:tcW w:w="3116"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岸线距离</w:t>
            </w:r>
            <w:r w:rsidRPr="001E21A1">
              <w:rPr>
                <w:rFonts w:ascii="Times New Roman" w:hAnsi="Times New Roman" w:cs="Times New Roman"/>
                <w:kern w:val="0"/>
                <w:sz w:val="21"/>
                <w:szCs w:val="21"/>
              </w:rPr>
              <w:t>/km</w:t>
            </w:r>
          </w:p>
        </w:tc>
        <w:tc>
          <w:tcPr>
            <w:tcW w:w="2785"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w:t>
            </w:r>
          </w:p>
        </w:tc>
      </w:tr>
      <w:tr w:rsidR="004E3021" w:rsidRPr="001E21A1" w:rsidTr="001E21A1">
        <w:tc>
          <w:tcPr>
            <w:tcW w:w="0" w:type="auto"/>
            <w:vMerge/>
          </w:tcPr>
          <w:p w:rsidR="004E3021" w:rsidRPr="001E21A1" w:rsidRDefault="004E3021">
            <w:pPr>
              <w:pStyle w:val="afffffff2"/>
              <w:rPr>
                <w:rFonts w:ascii="Times New Roman" w:hAnsi="Times New Roman" w:cs="Times New Roman"/>
                <w:kern w:val="0"/>
                <w:sz w:val="21"/>
                <w:szCs w:val="21"/>
              </w:rPr>
            </w:pPr>
          </w:p>
        </w:tc>
        <w:tc>
          <w:tcPr>
            <w:tcW w:w="3116"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岸线方向</w:t>
            </w:r>
            <w:r w:rsidRPr="001E21A1">
              <w:rPr>
                <w:rFonts w:ascii="Times New Roman" w:hAnsi="Times New Roman" w:cs="Times New Roman"/>
                <w:kern w:val="0"/>
                <w:sz w:val="21"/>
                <w:szCs w:val="21"/>
              </w:rPr>
              <w:t>/°</w:t>
            </w:r>
          </w:p>
        </w:tc>
        <w:tc>
          <w:tcPr>
            <w:tcW w:w="2785" w:type="dxa"/>
          </w:tcPr>
          <w:p w:rsidR="004E3021" w:rsidRPr="001E21A1" w:rsidRDefault="00606E48">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w:t>
            </w:r>
          </w:p>
        </w:tc>
      </w:tr>
    </w:tbl>
    <w:p w:rsidR="004E3021" w:rsidRDefault="00606E48">
      <w:pPr>
        <w:pStyle w:val="afffffff2"/>
        <w:ind w:firstLine="480"/>
        <w:jc w:val="left"/>
        <w:rPr>
          <w:rFonts w:cs="Times New Roman"/>
        </w:rPr>
      </w:pPr>
      <w:r>
        <w:rPr>
          <w:rFonts w:ascii="宋体" w:hAnsi="宋体" w:hint="eastAsia"/>
        </w:rPr>
        <w:t>注：①本项目周边</w:t>
      </w:r>
      <w:r>
        <w:rPr>
          <w:rFonts w:hint="eastAsia"/>
        </w:rPr>
        <w:t>3km</w:t>
      </w:r>
      <w:r>
        <w:rPr>
          <w:rFonts w:ascii="宋体" w:hAnsi="宋体" w:hint="eastAsia"/>
        </w:rPr>
        <w:t>范围内城市建成区或规划区面积不到一半，因此选择农村；</w:t>
      </w:r>
    </w:p>
    <w:p w:rsidR="004E3021" w:rsidRDefault="00606E48">
      <w:pPr>
        <w:pStyle w:val="afffffff2"/>
        <w:ind w:firstLineChars="200" w:firstLine="360"/>
        <w:jc w:val="left"/>
      </w:pPr>
      <w:r>
        <w:rPr>
          <w:rFonts w:ascii="宋体" w:hAnsi="宋体" w:hint="eastAsia"/>
        </w:rPr>
        <w:t>②潮湿气候划分根据中国干湿地区划分图进行确定，本项目为半湿润区，参数选择中等湿度气候；</w:t>
      </w:r>
    </w:p>
    <w:p w:rsidR="004E3021" w:rsidRDefault="00606E48">
      <w:pPr>
        <w:pStyle w:val="afffffff2"/>
        <w:ind w:firstLineChars="200" w:firstLine="360"/>
        <w:jc w:val="left"/>
      </w:pPr>
      <w:r>
        <w:rPr>
          <w:rFonts w:ascii="宋体" w:hAnsi="宋体" w:hint="eastAsia"/>
        </w:rPr>
        <w:t>③根据《环境影响评价技术导则</w:t>
      </w:r>
      <w:r>
        <w:t xml:space="preserve"> </w:t>
      </w:r>
      <w:r>
        <w:rPr>
          <w:rFonts w:ascii="宋体" w:hAnsi="宋体"/>
        </w:rPr>
        <w:t>大气环境》（</w:t>
      </w:r>
      <w:r>
        <w:t>HJ2.2-2018</w:t>
      </w:r>
      <w:r>
        <w:rPr>
          <w:rFonts w:ascii="宋体" w:hAnsi="宋体" w:hint="eastAsia"/>
        </w:rPr>
        <w:t>）：当建设项目处于大型水体（海或湖）岸边</w:t>
      </w:r>
      <w:r>
        <w:t>3km</w:t>
      </w:r>
      <w:r>
        <w:rPr>
          <w:rFonts w:ascii="宋体" w:hAnsi="宋体" w:hint="eastAsia"/>
        </w:rPr>
        <w:t>范围内时，应首先采用附录</w:t>
      </w:r>
      <w:r>
        <w:t>A</w:t>
      </w:r>
      <w:r>
        <w:rPr>
          <w:rFonts w:ascii="宋体" w:hAnsi="宋体" w:hint="eastAsia"/>
        </w:rPr>
        <w:t>估算模型判定是否会发生熏烟现象。本项目</w:t>
      </w:r>
      <w:r>
        <w:t>3km</w:t>
      </w:r>
      <w:r>
        <w:rPr>
          <w:rFonts w:ascii="宋体" w:hAnsi="宋体" w:hint="eastAsia"/>
        </w:rPr>
        <w:t>范围内无大型海或湖，不考虑熏烟现象。</w:t>
      </w:r>
    </w:p>
    <w:p w:rsidR="004E3021" w:rsidRDefault="00606E48">
      <w:pPr>
        <w:ind w:firstLine="480"/>
        <w:rPr>
          <w:rFonts w:ascii="宋体" w:hAnsi="宋体"/>
        </w:rPr>
      </w:pPr>
      <w:r>
        <w:rPr>
          <w:rFonts w:ascii="宋体" w:hAnsi="宋体" w:hint="eastAsia"/>
        </w:rPr>
        <w:t>估算数值计算各污染物参数见表</w:t>
      </w:r>
      <w:r>
        <w:t>2.3.1-3</w:t>
      </w:r>
      <w:r>
        <w:rPr>
          <w:rFonts w:ascii="宋体" w:hAnsi="宋体" w:hint="eastAsia"/>
        </w:rPr>
        <w:t>。</w:t>
      </w:r>
    </w:p>
    <w:p w:rsidR="004E3021" w:rsidRDefault="00606E48">
      <w:pPr>
        <w:spacing w:line="500" w:lineRule="exact"/>
        <w:ind w:firstLineChars="0" w:firstLine="0"/>
        <w:jc w:val="center"/>
        <w:rPr>
          <w:rFonts w:ascii="黑体" w:eastAsia="黑体" w:hAnsi="黑体"/>
        </w:rPr>
      </w:pPr>
      <w:r>
        <w:rPr>
          <w:rFonts w:ascii="黑体" w:eastAsia="黑体" w:hAnsi="黑体" w:hint="eastAsia"/>
        </w:rPr>
        <w:t>表</w:t>
      </w:r>
      <w:r>
        <w:rPr>
          <w:rFonts w:eastAsia="黑体"/>
        </w:rPr>
        <w:t xml:space="preserve">2.3.1-3   </w:t>
      </w:r>
      <w:r>
        <w:rPr>
          <w:rFonts w:ascii="黑体" w:eastAsia="黑体" w:hAnsi="黑体"/>
        </w:rPr>
        <w:t>大气污染因子最大地面浓度占标率计算表</w:t>
      </w:r>
    </w:p>
    <w:tbl>
      <w:tblPr>
        <w:tblW w:w="8614" w:type="dxa"/>
        <w:tblInd w:w="96" w:type="dxa"/>
        <w:tblBorders>
          <w:top w:val="single" w:sz="12" w:space="0" w:color="000000"/>
          <w:bottom w:val="single" w:sz="12" w:space="0" w:color="000000"/>
          <w:insideH w:val="single" w:sz="4" w:space="0" w:color="000000"/>
          <w:insideV w:val="single" w:sz="4" w:space="0" w:color="000000"/>
        </w:tblBorders>
        <w:tblLook w:val="04A0" w:firstRow="1" w:lastRow="0" w:firstColumn="1" w:lastColumn="0" w:noHBand="0" w:noVBand="1"/>
      </w:tblPr>
      <w:tblGrid>
        <w:gridCol w:w="1180"/>
        <w:gridCol w:w="1418"/>
        <w:gridCol w:w="2138"/>
        <w:gridCol w:w="1122"/>
        <w:gridCol w:w="1669"/>
        <w:gridCol w:w="1087"/>
      </w:tblGrid>
      <w:tr w:rsidR="004E3021" w:rsidRPr="00C81F57" w:rsidTr="00C81F57">
        <w:trPr>
          <w:trHeight w:val="288"/>
        </w:trPr>
        <w:tc>
          <w:tcPr>
            <w:tcW w:w="1180" w:type="dxa"/>
            <w:vMerge w:val="restart"/>
            <w:tcBorders>
              <w:tl2br w:val="nil"/>
              <w:tr2bl w:val="nil"/>
            </w:tcBorders>
            <w:shd w:val="clear" w:color="auto" w:fill="auto"/>
            <w:noWrap/>
            <w:vAlign w:val="center"/>
          </w:tcPr>
          <w:p w:rsidR="004E3021" w:rsidRPr="00C81F57" w:rsidRDefault="00606E48">
            <w:pPr>
              <w:pStyle w:val="afffffff2"/>
              <w:rPr>
                <w:b/>
                <w:sz w:val="21"/>
                <w:szCs w:val="21"/>
              </w:rPr>
            </w:pPr>
            <w:r w:rsidRPr="00C81F57">
              <w:rPr>
                <w:rFonts w:hint="eastAsia"/>
                <w:b/>
                <w:sz w:val="21"/>
                <w:szCs w:val="21"/>
              </w:rPr>
              <w:t>污染源</w:t>
            </w:r>
          </w:p>
        </w:tc>
        <w:tc>
          <w:tcPr>
            <w:tcW w:w="1418" w:type="dxa"/>
            <w:vMerge w:val="restart"/>
            <w:tcBorders>
              <w:tl2br w:val="nil"/>
              <w:tr2bl w:val="nil"/>
            </w:tcBorders>
            <w:shd w:val="clear" w:color="auto" w:fill="auto"/>
            <w:noWrap/>
            <w:vAlign w:val="center"/>
          </w:tcPr>
          <w:p w:rsidR="004E3021" w:rsidRPr="00C81F57" w:rsidRDefault="00606E48">
            <w:pPr>
              <w:pStyle w:val="afffffff2"/>
              <w:rPr>
                <w:b/>
                <w:sz w:val="21"/>
                <w:szCs w:val="21"/>
              </w:rPr>
            </w:pPr>
            <w:r w:rsidRPr="00C81F57">
              <w:rPr>
                <w:rFonts w:hint="eastAsia"/>
                <w:b/>
                <w:sz w:val="21"/>
                <w:szCs w:val="21"/>
              </w:rPr>
              <w:t>污染物</w:t>
            </w:r>
          </w:p>
        </w:tc>
        <w:tc>
          <w:tcPr>
            <w:tcW w:w="4929" w:type="dxa"/>
            <w:gridSpan w:val="3"/>
            <w:tcBorders>
              <w:tl2br w:val="nil"/>
              <w:tr2bl w:val="nil"/>
            </w:tcBorders>
            <w:shd w:val="clear" w:color="auto" w:fill="auto"/>
            <w:noWrap/>
            <w:vAlign w:val="center"/>
          </w:tcPr>
          <w:p w:rsidR="004E3021" w:rsidRPr="00C81F57" w:rsidRDefault="00606E48">
            <w:pPr>
              <w:pStyle w:val="afffffff2"/>
              <w:rPr>
                <w:b/>
                <w:sz w:val="21"/>
                <w:szCs w:val="21"/>
              </w:rPr>
            </w:pPr>
            <w:r w:rsidRPr="00C81F57">
              <w:rPr>
                <w:rFonts w:hint="eastAsia"/>
                <w:b/>
                <w:sz w:val="21"/>
                <w:szCs w:val="21"/>
              </w:rPr>
              <w:t>下风向最大落地浓度</w:t>
            </w:r>
          </w:p>
        </w:tc>
        <w:tc>
          <w:tcPr>
            <w:tcW w:w="1087" w:type="dxa"/>
            <w:vMerge w:val="restart"/>
            <w:tcBorders>
              <w:tl2br w:val="nil"/>
              <w:tr2bl w:val="nil"/>
            </w:tcBorders>
            <w:shd w:val="clear" w:color="auto" w:fill="auto"/>
            <w:noWrap/>
            <w:vAlign w:val="center"/>
          </w:tcPr>
          <w:p w:rsidR="004E3021" w:rsidRPr="00C81F57" w:rsidRDefault="00606E48" w:rsidP="00C81F57">
            <w:pPr>
              <w:pStyle w:val="afffffff2"/>
              <w:rPr>
                <w:rFonts w:eastAsia="等线"/>
                <w:b/>
                <w:color w:val="000000"/>
                <w:sz w:val="21"/>
                <w:szCs w:val="21"/>
                <w:lang w:bidi="ar"/>
              </w:rPr>
            </w:pPr>
            <w:r w:rsidRPr="00C81F57">
              <w:rPr>
                <w:rFonts w:hint="eastAsia"/>
                <w:b/>
                <w:sz w:val="21"/>
                <w:szCs w:val="21"/>
              </w:rPr>
              <w:t>D10%</w:t>
            </w:r>
            <w:r w:rsidRPr="00C81F57">
              <w:rPr>
                <w:rFonts w:hint="eastAsia"/>
                <w:b/>
                <w:sz w:val="21"/>
                <w:szCs w:val="21"/>
              </w:rPr>
              <w:t>出现的距离</w:t>
            </w:r>
            <w:r w:rsidRPr="00C81F57">
              <w:rPr>
                <w:rFonts w:hint="eastAsia"/>
                <w:b/>
                <w:sz w:val="21"/>
                <w:szCs w:val="21"/>
              </w:rPr>
              <w:t>/m</w:t>
            </w:r>
          </w:p>
        </w:tc>
      </w:tr>
      <w:tr w:rsidR="004E3021" w:rsidRPr="00C81F57" w:rsidTr="00C81F57">
        <w:trPr>
          <w:trHeight w:val="288"/>
        </w:trPr>
        <w:tc>
          <w:tcPr>
            <w:tcW w:w="1180" w:type="dxa"/>
            <w:vMerge/>
            <w:tcBorders>
              <w:tl2br w:val="nil"/>
              <w:tr2bl w:val="nil"/>
            </w:tcBorders>
            <w:shd w:val="clear" w:color="auto" w:fill="auto"/>
            <w:noWrap/>
            <w:vAlign w:val="center"/>
          </w:tcPr>
          <w:p w:rsidR="004E3021" w:rsidRPr="00C81F57" w:rsidRDefault="004E3021">
            <w:pPr>
              <w:pStyle w:val="afffffff2"/>
              <w:rPr>
                <w:b/>
                <w:sz w:val="21"/>
                <w:szCs w:val="21"/>
              </w:rPr>
            </w:pPr>
          </w:p>
        </w:tc>
        <w:tc>
          <w:tcPr>
            <w:tcW w:w="1418" w:type="dxa"/>
            <w:vMerge/>
            <w:tcBorders>
              <w:tl2br w:val="nil"/>
              <w:tr2bl w:val="nil"/>
            </w:tcBorders>
            <w:shd w:val="clear" w:color="auto" w:fill="auto"/>
            <w:noWrap/>
            <w:vAlign w:val="center"/>
          </w:tcPr>
          <w:p w:rsidR="004E3021" w:rsidRPr="00C81F57" w:rsidRDefault="004E3021">
            <w:pPr>
              <w:pStyle w:val="afffffff2"/>
              <w:rPr>
                <w:b/>
                <w:sz w:val="21"/>
                <w:szCs w:val="21"/>
              </w:rPr>
            </w:pPr>
          </w:p>
        </w:tc>
        <w:tc>
          <w:tcPr>
            <w:tcW w:w="2138" w:type="dxa"/>
            <w:tcBorders>
              <w:tl2br w:val="nil"/>
              <w:tr2bl w:val="nil"/>
            </w:tcBorders>
            <w:shd w:val="clear" w:color="auto" w:fill="auto"/>
            <w:noWrap/>
            <w:vAlign w:val="center"/>
          </w:tcPr>
          <w:p w:rsidR="004E3021" w:rsidRPr="00C81F57" w:rsidRDefault="00606E48">
            <w:pPr>
              <w:pStyle w:val="afffffff2"/>
              <w:rPr>
                <w:b/>
                <w:sz w:val="21"/>
                <w:szCs w:val="21"/>
              </w:rPr>
            </w:pPr>
            <w:r w:rsidRPr="00C81F57">
              <w:rPr>
                <w:b/>
                <w:sz w:val="21"/>
                <w:szCs w:val="21"/>
              </w:rPr>
              <w:t>下风向预测最大落地浓度</w:t>
            </w:r>
            <w:r w:rsidRPr="00C81F57">
              <w:rPr>
                <w:b/>
                <w:sz w:val="21"/>
                <w:szCs w:val="21"/>
              </w:rPr>
              <w:t>ci/</w:t>
            </w:r>
            <w:r w:rsidRPr="00C81F57">
              <w:rPr>
                <w:b/>
                <w:sz w:val="21"/>
                <w:szCs w:val="21"/>
              </w:rPr>
              <w:t>（</w:t>
            </w:r>
            <w:r w:rsidRPr="00C81F57">
              <w:rPr>
                <w:b/>
                <w:sz w:val="21"/>
                <w:szCs w:val="21"/>
              </w:rPr>
              <w:t>mg/m</w:t>
            </w:r>
            <w:r w:rsidRPr="00C81F57">
              <w:rPr>
                <w:b/>
                <w:sz w:val="21"/>
                <w:szCs w:val="21"/>
                <w:vertAlign w:val="superscript"/>
              </w:rPr>
              <w:t>3</w:t>
            </w:r>
            <w:r w:rsidRPr="00C81F57">
              <w:rPr>
                <w:b/>
                <w:sz w:val="21"/>
                <w:szCs w:val="21"/>
              </w:rPr>
              <w:t>）</w:t>
            </w:r>
          </w:p>
        </w:tc>
        <w:tc>
          <w:tcPr>
            <w:tcW w:w="1122" w:type="dxa"/>
            <w:tcBorders>
              <w:tl2br w:val="nil"/>
              <w:tr2bl w:val="nil"/>
            </w:tcBorders>
            <w:shd w:val="clear" w:color="auto" w:fill="auto"/>
            <w:noWrap/>
            <w:vAlign w:val="center"/>
          </w:tcPr>
          <w:p w:rsidR="004E3021" w:rsidRPr="00C81F57" w:rsidRDefault="00606E48">
            <w:pPr>
              <w:pStyle w:val="afffffff2"/>
              <w:rPr>
                <w:b/>
                <w:sz w:val="21"/>
                <w:szCs w:val="21"/>
              </w:rPr>
            </w:pPr>
            <w:r w:rsidRPr="00C81F57">
              <w:rPr>
                <w:b/>
                <w:sz w:val="21"/>
                <w:szCs w:val="21"/>
              </w:rPr>
              <w:t>浓度占标率</w:t>
            </w:r>
            <w:r w:rsidRPr="00C81F57">
              <w:rPr>
                <w:b/>
                <w:sz w:val="21"/>
                <w:szCs w:val="21"/>
              </w:rPr>
              <w:t>Pi/%</w:t>
            </w:r>
          </w:p>
        </w:tc>
        <w:tc>
          <w:tcPr>
            <w:tcW w:w="1669" w:type="dxa"/>
            <w:tcBorders>
              <w:tl2br w:val="nil"/>
              <w:tr2bl w:val="nil"/>
            </w:tcBorders>
            <w:shd w:val="clear" w:color="auto" w:fill="auto"/>
            <w:noWrap/>
            <w:vAlign w:val="center"/>
          </w:tcPr>
          <w:p w:rsidR="004E3021" w:rsidRPr="00C81F57" w:rsidRDefault="00606E48">
            <w:pPr>
              <w:pStyle w:val="afffffff2"/>
              <w:rPr>
                <w:b/>
                <w:sz w:val="21"/>
                <w:szCs w:val="21"/>
              </w:rPr>
            </w:pPr>
            <w:r w:rsidRPr="00C81F57">
              <w:rPr>
                <w:b/>
                <w:sz w:val="21"/>
                <w:szCs w:val="21"/>
              </w:rPr>
              <w:t>最大落地浓度出现的距离</w:t>
            </w:r>
            <w:r w:rsidRPr="00C81F57">
              <w:rPr>
                <w:b/>
                <w:sz w:val="21"/>
                <w:szCs w:val="21"/>
              </w:rPr>
              <w:t>D/m</w:t>
            </w:r>
          </w:p>
        </w:tc>
        <w:tc>
          <w:tcPr>
            <w:tcW w:w="1087" w:type="dxa"/>
            <w:vMerge/>
            <w:tcBorders>
              <w:tl2br w:val="nil"/>
              <w:tr2bl w:val="nil"/>
            </w:tcBorders>
            <w:shd w:val="clear" w:color="auto" w:fill="auto"/>
            <w:noWrap/>
            <w:vAlign w:val="center"/>
          </w:tcPr>
          <w:p w:rsidR="004E3021" w:rsidRPr="00C81F57" w:rsidRDefault="004E3021">
            <w:pPr>
              <w:pStyle w:val="afffffff2"/>
              <w:rPr>
                <w:rFonts w:eastAsia="等线"/>
                <w:b/>
                <w:color w:val="000000"/>
                <w:sz w:val="21"/>
                <w:szCs w:val="21"/>
                <w:lang w:bidi="ar"/>
              </w:rPr>
            </w:pPr>
          </w:p>
        </w:tc>
      </w:tr>
      <w:tr w:rsidR="004E3021" w:rsidRPr="005A3F4E" w:rsidTr="00C81F57">
        <w:trPr>
          <w:trHeight w:val="276"/>
        </w:trPr>
        <w:tc>
          <w:tcPr>
            <w:tcW w:w="1180" w:type="dxa"/>
            <w:vMerge w:val="restart"/>
            <w:tcBorders>
              <w:tl2br w:val="nil"/>
              <w:tr2bl w:val="nil"/>
            </w:tcBorders>
            <w:shd w:val="clear" w:color="auto" w:fill="auto"/>
            <w:noWrap/>
            <w:vAlign w:val="center"/>
          </w:tcPr>
          <w:p w:rsidR="004E3021" w:rsidRPr="005A3F4E" w:rsidRDefault="00606E48">
            <w:pPr>
              <w:pStyle w:val="afffffff2"/>
              <w:rPr>
                <w:sz w:val="21"/>
                <w:szCs w:val="21"/>
              </w:rPr>
            </w:pPr>
            <w:r w:rsidRPr="005A3F4E">
              <w:rPr>
                <w:sz w:val="21"/>
                <w:szCs w:val="21"/>
              </w:rPr>
              <w:t>DA018</w:t>
            </w:r>
          </w:p>
        </w:tc>
        <w:tc>
          <w:tcPr>
            <w:tcW w:w="1418" w:type="dxa"/>
            <w:tcBorders>
              <w:tl2br w:val="nil"/>
              <w:tr2bl w:val="nil"/>
            </w:tcBorders>
            <w:shd w:val="clear" w:color="auto" w:fill="auto"/>
            <w:noWrap/>
            <w:vAlign w:val="center"/>
          </w:tcPr>
          <w:p w:rsidR="004E3021" w:rsidRPr="005A3F4E" w:rsidRDefault="00606E48">
            <w:pPr>
              <w:pStyle w:val="afffffff2"/>
              <w:rPr>
                <w:sz w:val="21"/>
                <w:szCs w:val="21"/>
              </w:rPr>
            </w:pPr>
            <w:r w:rsidRPr="005A3F4E">
              <w:rPr>
                <w:sz w:val="21"/>
                <w:szCs w:val="21"/>
              </w:rPr>
              <w:t>PM</w:t>
            </w:r>
            <w:r w:rsidRPr="005A3F4E">
              <w:rPr>
                <w:sz w:val="21"/>
                <w:szCs w:val="21"/>
                <w:vertAlign w:val="subscript"/>
              </w:rPr>
              <w:t>10</w:t>
            </w:r>
          </w:p>
        </w:tc>
        <w:tc>
          <w:tcPr>
            <w:tcW w:w="2138" w:type="dxa"/>
            <w:tcBorders>
              <w:tl2br w:val="nil"/>
              <w:tr2bl w:val="nil"/>
            </w:tcBorders>
            <w:shd w:val="clear" w:color="auto" w:fill="auto"/>
            <w:noWrap/>
            <w:vAlign w:val="center"/>
          </w:tcPr>
          <w:p w:rsidR="004E3021" w:rsidRPr="005A3F4E" w:rsidRDefault="005A3F4E">
            <w:pPr>
              <w:pStyle w:val="afffffff2"/>
              <w:rPr>
                <w:sz w:val="21"/>
                <w:szCs w:val="21"/>
              </w:rPr>
            </w:pPr>
            <w:r>
              <w:rPr>
                <w:sz w:val="21"/>
                <w:szCs w:val="21"/>
              </w:rPr>
              <w:t>2.47</w:t>
            </w:r>
            <w:r w:rsidR="00606E48" w:rsidRPr="005A3F4E">
              <w:rPr>
                <w:sz w:val="21"/>
                <w:szCs w:val="21"/>
              </w:rPr>
              <w:t>E-02</w:t>
            </w:r>
          </w:p>
        </w:tc>
        <w:tc>
          <w:tcPr>
            <w:tcW w:w="1122" w:type="dxa"/>
            <w:tcBorders>
              <w:tl2br w:val="nil"/>
              <w:tr2bl w:val="nil"/>
            </w:tcBorders>
            <w:shd w:val="clear" w:color="auto" w:fill="auto"/>
            <w:noWrap/>
            <w:vAlign w:val="center"/>
          </w:tcPr>
          <w:p w:rsidR="004E3021" w:rsidRPr="005A3F4E" w:rsidRDefault="005A3F4E">
            <w:pPr>
              <w:pStyle w:val="afffffff2"/>
              <w:rPr>
                <w:sz w:val="21"/>
                <w:szCs w:val="21"/>
              </w:rPr>
            </w:pPr>
            <w:r>
              <w:rPr>
                <w:sz w:val="21"/>
                <w:szCs w:val="21"/>
              </w:rPr>
              <w:t>5.49</w:t>
            </w:r>
          </w:p>
        </w:tc>
        <w:tc>
          <w:tcPr>
            <w:tcW w:w="1669" w:type="dxa"/>
            <w:vMerge w:val="restart"/>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w:t>
            </w:r>
          </w:p>
        </w:tc>
        <w:tc>
          <w:tcPr>
            <w:tcW w:w="0" w:type="auto"/>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w:t>
            </w:r>
          </w:p>
        </w:tc>
      </w:tr>
      <w:tr w:rsidR="004E3021" w:rsidRPr="005A3F4E" w:rsidTr="00C81F57">
        <w:trPr>
          <w:trHeight w:val="276"/>
        </w:trPr>
        <w:tc>
          <w:tcPr>
            <w:tcW w:w="1180"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1418" w:type="dxa"/>
            <w:tcBorders>
              <w:tl2br w:val="nil"/>
              <w:tr2bl w:val="nil"/>
            </w:tcBorders>
            <w:shd w:val="clear" w:color="auto" w:fill="auto"/>
            <w:noWrap/>
            <w:vAlign w:val="center"/>
          </w:tcPr>
          <w:p w:rsidR="004E3021" w:rsidRPr="005A3F4E" w:rsidRDefault="00606E48">
            <w:pPr>
              <w:pStyle w:val="afffffff2"/>
              <w:rPr>
                <w:sz w:val="21"/>
                <w:szCs w:val="21"/>
              </w:rPr>
            </w:pPr>
            <w:r w:rsidRPr="005A3F4E">
              <w:rPr>
                <w:sz w:val="21"/>
                <w:szCs w:val="21"/>
              </w:rPr>
              <w:t>PM</w:t>
            </w:r>
            <w:r w:rsidRPr="005A3F4E">
              <w:rPr>
                <w:sz w:val="21"/>
                <w:szCs w:val="21"/>
                <w:vertAlign w:val="subscript"/>
              </w:rPr>
              <w:t>2.5</w:t>
            </w:r>
          </w:p>
        </w:tc>
        <w:tc>
          <w:tcPr>
            <w:tcW w:w="2138" w:type="dxa"/>
            <w:tcBorders>
              <w:tl2br w:val="nil"/>
              <w:tr2bl w:val="nil"/>
            </w:tcBorders>
            <w:shd w:val="clear" w:color="auto" w:fill="auto"/>
            <w:noWrap/>
            <w:vAlign w:val="center"/>
          </w:tcPr>
          <w:p w:rsidR="004E3021" w:rsidRPr="005A3F4E" w:rsidRDefault="005A3F4E" w:rsidP="00DF2A9A">
            <w:pPr>
              <w:pStyle w:val="afffffff2"/>
              <w:rPr>
                <w:sz w:val="21"/>
                <w:szCs w:val="21"/>
              </w:rPr>
            </w:pPr>
            <w:r>
              <w:rPr>
                <w:sz w:val="21"/>
                <w:szCs w:val="21"/>
              </w:rPr>
              <w:t>1.23</w:t>
            </w:r>
            <w:r w:rsidR="00606E48" w:rsidRPr="005A3F4E">
              <w:rPr>
                <w:sz w:val="21"/>
                <w:szCs w:val="21"/>
              </w:rPr>
              <w:t>E-0</w:t>
            </w:r>
            <w:r w:rsidR="00DF2A9A">
              <w:rPr>
                <w:sz w:val="21"/>
                <w:szCs w:val="21"/>
              </w:rPr>
              <w:t>2</w:t>
            </w:r>
          </w:p>
        </w:tc>
        <w:tc>
          <w:tcPr>
            <w:tcW w:w="1122" w:type="dxa"/>
            <w:tcBorders>
              <w:tl2br w:val="nil"/>
              <w:tr2bl w:val="nil"/>
            </w:tcBorders>
            <w:shd w:val="clear" w:color="auto" w:fill="auto"/>
            <w:noWrap/>
            <w:vAlign w:val="center"/>
          </w:tcPr>
          <w:p w:rsidR="004E3021" w:rsidRPr="005A3F4E" w:rsidRDefault="005A3F4E">
            <w:pPr>
              <w:pStyle w:val="afffffff2"/>
              <w:rPr>
                <w:sz w:val="21"/>
                <w:szCs w:val="21"/>
              </w:rPr>
            </w:pPr>
            <w:r>
              <w:rPr>
                <w:sz w:val="21"/>
                <w:szCs w:val="21"/>
              </w:rPr>
              <w:t>5.49</w:t>
            </w:r>
          </w:p>
        </w:tc>
        <w:tc>
          <w:tcPr>
            <w:tcW w:w="1669"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0" w:type="auto"/>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w:t>
            </w:r>
          </w:p>
        </w:tc>
      </w:tr>
      <w:tr w:rsidR="004E3021" w:rsidRPr="005A3F4E" w:rsidTr="00C81F57">
        <w:trPr>
          <w:trHeight w:val="276"/>
        </w:trPr>
        <w:tc>
          <w:tcPr>
            <w:tcW w:w="1180" w:type="dxa"/>
            <w:vMerge w:val="restart"/>
            <w:tcBorders>
              <w:tl2br w:val="nil"/>
              <w:tr2bl w:val="nil"/>
            </w:tcBorders>
            <w:shd w:val="clear" w:color="auto" w:fill="auto"/>
            <w:noWrap/>
            <w:vAlign w:val="center"/>
          </w:tcPr>
          <w:p w:rsidR="004E3021" w:rsidRPr="005A3F4E" w:rsidRDefault="00606E48">
            <w:pPr>
              <w:pStyle w:val="afffffff2"/>
              <w:rPr>
                <w:sz w:val="21"/>
                <w:szCs w:val="21"/>
              </w:rPr>
            </w:pPr>
            <w:r w:rsidRPr="005A3F4E">
              <w:rPr>
                <w:sz w:val="21"/>
                <w:szCs w:val="21"/>
              </w:rPr>
              <w:t>DA020</w:t>
            </w:r>
          </w:p>
        </w:tc>
        <w:tc>
          <w:tcPr>
            <w:tcW w:w="1418" w:type="dxa"/>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非甲烷</w:t>
            </w:r>
            <w:r w:rsidRPr="005A3F4E">
              <w:rPr>
                <w:sz w:val="21"/>
                <w:szCs w:val="21"/>
              </w:rPr>
              <w:t>总烃</w:t>
            </w:r>
          </w:p>
        </w:tc>
        <w:tc>
          <w:tcPr>
            <w:tcW w:w="2138" w:type="dxa"/>
            <w:tcBorders>
              <w:tl2br w:val="nil"/>
              <w:tr2bl w:val="nil"/>
            </w:tcBorders>
            <w:shd w:val="clear" w:color="auto" w:fill="auto"/>
            <w:noWrap/>
            <w:vAlign w:val="center"/>
          </w:tcPr>
          <w:p w:rsidR="004E3021" w:rsidRPr="005A3F4E" w:rsidRDefault="005A3F4E" w:rsidP="005A3F4E">
            <w:pPr>
              <w:pStyle w:val="afffffff2"/>
              <w:rPr>
                <w:sz w:val="21"/>
                <w:szCs w:val="21"/>
              </w:rPr>
            </w:pPr>
            <w:r>
              <w:rPr>
                <w:rFonts w:hint="eastAsia"/>
                <w:sz w:val="21"/>
                <w:szCs w:val="21"/>
              </w:rPr>
              <w:t>1</w:t>
            </w:r>
            <w:r>
              <w:rPr>
                <w:sz w:val="21"/>
                <w:szCs w:val="21"/>
              </w:rPr>
              <w:t>.61</w:t>
            </w:r>
            <w:r w:rsidRPr="005A3F4E">
              <w:rPr>
                <w:sz w:val="21"/>
                <w:szCs w:val="21"/>
              </w:rPr>
              <w:t>E-0</w:t>
            </w:r>
            <w:r>
              <w:rPr>
                <w:sz w:val="21"/>
                <w:szCs w:val="21"/>
              </w:rPr>
              <w:t>5</w:t>
            </w:r>
          </w:p>
        </w:tc>
        <w:tc>
          <w:tcPr>
            <w:tcW w:w="1122" w:type="dxa"/>
            <w:tcBorders>
              <w:tl2br w:val="nil"/>
              <w:tr2bl w:val="nil"/>
            </w:tcBorders>
            <w:shd w:val="clear" w:color="auto" w:fill="auto"/>
            <w:noWrap/>
            <w:vAlign w:val="center"/>
          </w:tcPr>
          <w:p w:rsidR="004E3021" w:rsidRPr="005A3F4E" w:rsidRDefault="00606E48" w:rsidP="00DF2A9A">
            <w:pPr>
              <w:pStyle w:val="afffffff2"/>
              <w:rPr>
                <w:sz w:val="21"/>
                <w:szCs w:val="21"/>
              </w:rPr>
            </w:pPr>
            <w:r w:rsidRPr="005A3F4E">
              <w:rPr>
                <w:sz w:val="21"/>
                <w:szCs w:val="21"/>
              </w:rPr>
              <w:t>0.0</w:t>
            </w:r>
            <w:r w:rsidR="00DF2A9A">
              <w:rPr>
                <w:sz w:val="21"/>
                <w:szCs w:val="21"/>
              </w:rPr>
              <w:t>008</w:t>
            </w:r>
          </w:p>
        </w:tc>
        <w:tc>
          <w:tcPr>
            <w:tcW w:w="1669" w:type="dxa"/>
            <w:vMerge w:val="restart"/>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w:t>
            </w:r>
          </w:p>
        </w:tc>
        <w:tc>
          <w:tcPr>
            <w:tcW w:w="0" w:type="auto"/>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w:t>
            </w:r>
          </w:p>
        </w:tc>
      </w:tr>
      <w:tr w:rsidR="004E3021" w:rsidRPr="005A3F4E" w:rsidTr="00C81F57">
        <w:trPr>
          <w:trHeight w:val="276"/>
        </w:trPr>
        <w:tc>
          <w:tcPr>
            <w:tcW w:w="1180"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1418" w:type="dxa"/>
            <w:tcBorders>
              <w:tl2br w:val="nil"/>
              <w:tr2bl w:val="nil"/>
            </w:tcBorders>
            <w:shd w:val="clear" w:color="auto" w:fill="auto"/>
            <w:noWrap/>
            <w:vAlign w:val="center"/>
          </w:tcPr>
          <w:p w:rsidR="004E3021" w:rsidRPr="005A3F4E" w:rsidRDefault="00606E48">
            <w:pPr>
              <w:pStyle w:val="afffffff2"/>
              <w:rPr>
                <w:sz w:val="21"/>
                <w:szCs w:val="21"/>
              </w:rPr>
            </w:pPr>
            <w:r w:rsidRPr="005A3F4E">
              <w:rPr>
                <w:sz w:val="21"/>
                <w:szCs w:val="21"/>
              </w:rPr>
              <w:t>甲醇</w:t>
            </w:r>
          </w:p>
        </w:tc>
        <w:tc>
          <w:tcPr>
            <w:tcW w:w="2138" w:type="dxa"/>
            <w:tcBorders>
              <w:tl2br w:val="nil"/>
              <w:tr2bl w:val="nil"/>
            </w:tcBorders>
            <w:shd w:val="clear" w:color="auto" w:fill="auto"/>
            <w:noWrap/>
            <w:vAlign w:val="center"/>
          </w:tcPr>
          <w:p w:rsidR="004E3021" w:rsidRPr="005A3F4E" w:rsidRDefault="005A3F4E" w:rsidP="005A3F4E">
            <w:pPr>
              <w:pStyle w:val="afffffff2"/>
              <w:rPr>
                <w:sz w:val="21"/>
                <w:szCs w:val="21"/>
              </w:rPr>
            </w:pPr>
            <w:r>
              <w:rPr>
                <w:rFonts w:hint="eastAsia"/>
                <w:sz w:val="21"/>
                <w:szCs w:val="21"/>
              </w:rPr>
              <w:t>1</w:t>
            </w:r>
            <w:r>
              <w:rPr>
                <w:sz w:val="21"/>
                <w:szCs w:val="21"/>
              </w:rPr>
              <w:t>.54</w:t>
            </w:r>
            <w:r w:rsidRPr="005A3F4E">
              <w:rPr>
                <w:sz w:val="21"/>
                <w:szCs w:val="21"/>
              </w:rPr>
              <w:t>E-0</w:t>
            </w:r>
            <w:r>
              <w:rPr>
                <w:sz w:val="21"/>
                <w:szCs w:val="21"/>
              </w:rPr>
              <w:t>4</w:t>
            </w:r>
          </w:p>
        </w:tc>
        <w:tc>
          <w:tcPr>
            <w:tcW w:w="1122" w:type="dxa"/>
            <w:tcBorders>
              <w:tl2br w:val="nil"/>
              <w:tr2bl w:val="nil"/>
            </w:tcBorders>
            <w:shd w:val="clear" w:color="auto" w:fill="auto"/>
            <w:noWrap/>
            <w:vAlign w:val="center"/>
          </w:tcPr>
          <w:p w:rsidR="004E3021" w:rsidRPr="005A3F4E" w:rsidRDefault="00606E48" w:rsidP="00DF2A9A">
            <w:pPr>
              <w:pStyle w:val="afffffff2"/>
              <w:rPr>
                <w:sz w:val="21"/>
                <w:szCs w:val="21"/>
              </w:rPr>
            </w:pPr>
            <w:r w:rsidRPr="005A3F4E">
              <w:rPr>
                <w:sz w:val="21"/>
                <w:szCs w:val="21"/>
              </w:rPr>
              <w:t>0.0</w:t>
            </w:r>
            <w:r w:rsidR="00DF2A9A">
              <w:rPr>
                <w:sz w:val="21"/>
                <w:szCs w:val="21"/>
              </w:rPr>
              <w:t>05</w:t>
            </w:r>
          </w:p>
        </w:tc>
        <w:tc>
          <w:tcPr>
            <w:tcW w:w="1669"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0" w:type="auto"/>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w:t>
            </w:r>
          </w:p>
        </w:tc>
      </w:tr>
      <w:tr w:rsidR="005A3F4E" w:rsidRPr="005A3F4E" w:rsidTr="00C81F57">
        <w:trPr>
          <w:trHeight w:val="276"/>
        </w:trPr>
        <w:tc>
          <w:tcPr>
            <w:tcW w:w="1180" w:type="dxa"/>
            <w:vMerge w:val="restart"/>
            <w:tcBorders>
              <w:tl2br w:val="nil"/>
              <w:tr2bl w:val="nil"/>
            </w:tcBorders>
            <w:shd w:val="clear" w:color="auto" w:fill="auto"/>
            <w:noWrap/>
            <w:vAlign w:val="center"/>
          </w:tcPr>
          <w:p w:rsidR="005A3F4E" w:rsidRPr="005A3F4E" w:rsidRDefault="005A3F4E" w:rsidP="005A3F4E">
            <w:pPr>
              <w:pStyle w:val="afffffff2"/>
              <w:rPr>
                <w:sz w:val="21"/>
                <w:szCs w:val="21"/>
              </w:rPr>
            </w:pPr>
            <w:r w:rsidRPr="005A3F4E">
              <w:rPr>
                <w:sz w:val="21"/>
                <w:szCs w:val="21"/>
              </w:rPr>
              <w:t>DA021</w:t>
            </w:r>
          </w:p>
        </w:tc>
        <w:tc>
          <w:tcPr>
            <w:tcW w:w="1418" w:type="dxa"/>
            <w:tcBorders>
              <w:tl2br w:val="nil"/>
              <w:tr2bl w:val="nil"/>
            </w:tcBorders>
            <w:shd w:val="clear" w:color="auto" w:fill="auto"/>
            <w:noWrap/>
            <w:vAlign w:val="center"/>
          </w:tcPr>
          <w:p w:rsidR="005A3F4E" w:rsidRPr="005A3F4E" w:rsidRDefault="005A3F4E" w:rsidP="005A3F4E">
            <w:pPr>
              <w:pStyle w:val="afffffff2"/>
              <w:rPr>
                <w:sz w:val="21"/>
                <w:szCs w:val="21"/>
              </w:rPr>
            </w:pPr>
            <w:r w:rsidRPr="005A3F4E">
              <w:rPr>
                <w:sz w:val="21"/>
                <w:szCs w:val="21"/>
              </w:rPr>
              <w:t>PM</w:t>
            </w:r>
            <w:r w:rsidRPr="005A3F4E">
              <w:rPr>
                <w:sz w:val="21"/>
                <w:szCs w:val="21"/>
                <w:vertAlign w:val="subscript"/>
              </w:rPr>
              <w:t>10</w:t>
            </w:r>
          </w:p>
        </w:tc>
        <w:tc>
          <w:tcPr>
            <w:tcW w:w="2138" w:type="dxa"/>
            <w:tcBorders>
              <w:tl2br w:val="nil"/>
              <w:tr2bl w:val="nil"/>
            </w:tcBorders>
            <w:shd w:val="clear" w:color="auto" w:fill="auto"/>
            <w:noWrap/>
            <w:vAlign w:val="center"/>
          </w:tcPr>
          <w:p w:rsidR="005A3F4E" w:rsidRPr="005A3F4E" w:rsidRDefault="005A3F4E" w:rsidP="005A3F4E">
            <w:pPr>
              <w:pStyle w:val="afffffff2"/>
              <w:rPr>
                <w:sz w:val="21"/>
                <w:szCs w:val="21"/>
              </w:rPr>
            </w:pPr>
            <w:r>
              <w:rPr>
                <w:sz w:val="21"/>
                <w:szCs w:val="21"/>
              </w:rPr>
              <w:t>7.45</w:t>
            </w:r>
            <w:r w:rsidRPr="005A3F4E">
              <w:rPr>
                <w:sz w:val="21"/>
                <w:szCs w:val="21"/>
              </w:rPr>
              <w:t>E-0</w:t>
            </w:r>
            <w:r>
              <w:rPr>
                <w:sz w:val="21"/>
                <w:szCs w:val="21"/>
              </w:rPr>
              <w:t>5</w:t>
            </w:r>
          </w:p>
        </w:tc>
        <w:tc>
          <w:tcPr>
            <w:tcW w:w="1122" w:type="dxa"/>
            <w:tcBorders>
              <w:tl2br w:val="nil"/>
              <w:tr2bl w:val="nil"/>
            </w:tcBorders>
            <w:shd w:val="clear" w:color="auto" w:fill="auto"/>
            <w:noWrap/>
            <w:vAlign w:val="center"/>
          </w:tcPr>
          <w:p w:rsidR="005A3F4E" w:rsidRPr="005A3F4E" w:rsidRDefault="005A3F4E" w:rsidP="00DF2A9A">
            <w:pPr>
              <w:pStyle w:val="afffffff2"/>
              <w:rPr>
                <w:sz w:val="21"/>
                <w:szCs w:val="21"/>
              </w:rPr>
            </w:pPr>
            <w:r>
              <w:rPr>
                <w:sz w:val="21"/>
                <w:szCs w:val="21"/>
              </w:rPr>
              <w:t>0.0</w:t>
            </w:r>
            <w:r w:rsidR="00DF2A9A">
              <w:rPr>
                <w:sz w:val="21"/>
                <w:szCs w:val="21"/>
              </w:rPr>
              <w:t>17</w:t>
            </w:r>
          </w:p>
        </w:tc>
        <w:tc>
          <w:tcPr>
            <w:tcW w:w="1669" w:type="dxa"/>
            <w:vMerge w:val="restart"/>
            <w:tcBorders>
              <w:tl2br w:val="nil"/>
              <w:tr2bl w:val="nil"/>
            </w:tcBorders>
            <w:shd w:val="clear" w:color="auto" w:fill="auto"/>
            <w:noWrap/>
            <w:vAlign w:val="center"/>
          </w:tcPr>
          <w:p w:rsidR="005A3F4E" w:rsidRPr="005A3F4E" w:rsidRDefault="005A3F4E" w:rsidP="005A3F4E">
            <w:pPr>
              <w:pStyle w:val="afffffff2"/>
              <w:rPr>
                <w:sz w:val="21"/>
                <w:szCs w:val="21"/>
              </w:rPr>
            </w:pPr>
            <w:r w:rsidRPr="005A3F4E">
              <w:rPr>
                <w:rFonts w:hint="eastAsia"/>
                <w:sz w:val="21"/>
                <w:szCs w:val="21"/>
              </w:rPr>
              <w:t>/</w:t>
            </w:r>
          </w:p>
        </w:tc>
        <w:tc>
          <w:tcPr>
            <w:tcW w:w="0" w:type="auto"/>
            <w:tcBorders>
              <w:tl2br w:val="nil"/>
              <w:tr2bl w:val="nil"/>
            </w:tcBorders>
            <w:shd w:val="clear" w:color="auto" w:fill="auto"/>
            <w:noWrap/>
            <w:vAlign w:val="center"/>
          </w:tcPr>
          <w:p w:rsidR="005A3F4E" w:rsidRPr="005A3F4E" w:rsidRDefault="005A3F4E" w:rsidP="005A3F4E">
            <w:pPr>
              <w:pStyle w:val="afffffff2"/>
              <w:rPr>
                <w:sz w:val="21"/>
                <w:szCs w:val="21"/>
              </w:rPr>
            </w:pPr>
            <w:r w:rsidRPr="005A3F4E">
              <w:rPr>
                <w:rFonts w:hint="eastAsia"/>
                <w:sz w:val="21"/>
                <w:szCs w:val="21"/>
              </w:rPr>
              <w:t>/</w:t>
            </w:r>
          </w:p>
        </w:tc>
      </w:tr>
      <w:tr w:rsidR="005A3F4E" w:rsidRPr="005A3F4E" w:rsidTr="00C81F57">
        <w:trPr>
          <w:trHeight w:val="276"/>
        </w:trPr>
        <w:tc>
          <w:tcPr>
            <w:tcW w:w="1180" w:type="dxa"/>
            <w:vMerge/>
            <w:tcBorders>
              <w:tl2br w:val="nil"/>
              <w:tr2bl w:val="nil"/>
            </w:tcBorders>
            <w:shd w:val="clear" w:color="auto" w:fill="auto"/>
            <w:noWrap/>
            <w:vAlign w:val="center"/>
          </w:tcPr>
          <w:p w:rsidR="005A3F4E" w:rsidRPr="005A3F4E" w:rsidRDefault="005A3F4E" w:rsidP="005A3F4E">
            <w:pPr>
              <w:pStyle w:val="afffffff2"/>
              <w:rPr>
                <w:sz w:val="21"/>
                <w:szCs w:val="21"/>
              </w:rPr>
            </w:pPr>
          </w:p>
        </w:tc>
        <w:tc>
          <w:tcPr>
            <w:tcW w:w="1418" w:type="dxa"/>
            <w:tcBorders>
              <w:tl2br w:val="nil"/>
              <w:tr2bl w:val="nil"/>
            </w:tcBorders>
            <w:shd w:val="clear" w:color="auto" w:fill="auto"/>
            <w:noWrap/>
            <w:vAlign w:val="center"/>
          </w:tcPr>
          <w:p w:rsidR="005A3F4E" w:rsidRPr="005A3F4E" w:rsidRDefault="005A3F4E" w:rsidP="005A3F4E">
            <w:pPr>
              <w:pStyle w:val="afffffff2"/>
              <w:rPr>
                <w:sz w:val="21"/>
                <w:szCs w:val="21"/>
              </w:rPr>
            </w:pPr>
            <w:r w:rsidRPr="005A3F4E">
              <w:rPr>
                <w:sz w:val="21"/>
                <w:szCs w:val="21"/>
              </w:rPr>
              <w:t>PM</w:t>
            </w:r>
            <w:r w:rsidRPr="005A3F4E">
              <w:rPr>
                <w:sz w:val="21"/>
                <w:szCs w:val="21"/>
                <w:vertAlign w:val="subscript"/>
              </w:rPr>
              <w:t>2.5</w:t>
            </w:r>
          </w:p>
        </w:tc>
        <w:tc>
          <w:tcPr>
            <w:tcW w:w="2138" w:type="dxa"/>
            <w:tcBorders>
              <w:tl2br w:val="nil"/>
              <w:tr2bl w:val="nil"/>
            </w:tcBorders>
            <w:shd w:val="clear" w:color="auto" w:fill="auto"/>
            <w:noWrap/>
            <w:vAlign w:val="center"/>
          </w:tcPr>
          <w:p w:rsidR="005A3F4E" w:rsidRPr="005A3F4E" w:rsidRDefault="005A3F4E" w:rsidP="005A3F4E">
            <w:pPr>
              <w:pStyle w:val="afffffff2"/>
              <w:rPr>
                <w:sz w:val="21"/>
                <w:szCs w:val="21"/>
              </w:rPr>
            </w:pPr>
            <w:r>
              <w:rPr>
                <w:sz w:val="21"/>
                <w:szCs w:val="21"/>
              </w:rPr>
              <w:t>3.72</w:t>
            </w:r>
            <w:r w:rsidRPr="005A3F4E">
              <w:rPr>
                <w:sz w:val="21"/>
                <w:szCs w:val="21"/>
              </w:rPr>
              <w:t>E-0</w:t>
            </w:r>
            <w:r>
              <w:rPr>
                <w:sz w:val="21"/>
                <w:szCs w:val="21"/>
              </w:rPr>
              <w:t>5</w:t>
            </w:r>
          </w:p>
        </w:tc>
        <w:tc>
          <w:tcPr>
            <w:tcW w:w="1122" w:type="dxa"/>
            <w:tcBorders>
              <w:tl2br w:val="nil"/>
              <w:tr2bl w:val="nil"/>
            </w:tcBorders>
            <w:shd w:val="clear" w:color="auto" w:fill="auto"/>
            <w:noWrap/>
            <w:vAlign w:val="center"/>
          </w:tcPr>
          <w:p w:rsidR="005A3F4E" w:rsidRPr="005A3F4E" w:rsidRDefault="005A3F4E" w:rsidP="00DF2A9A">
            <w:pPr>
              <w:pStyle w:val="afffffff2"/>
              <w:rPr>
                <w:sz w:val="21"/>
                <w:szCs w:val="21"/>
              </w:rPr>
            </w:pPr>
            <w:r>
              <w:rPr>
                <w:sz w:val="21"/>
                <w:szCs w:val="21"/>
              </w:rPr>
              <w:t>0.0</w:t>
            </w:r>
            <w:r w:rsidR="00DF2A9A">
              <w:rPr>
                <w:sz w:val="21"/>
                <w:szCs w:val="21"/>
              </w:rPr>
              <w:t>17</w:t>
            </w:r>
          </w:p>
        </w:tc>
        <w:tc>
          <w:tcPr>
            <w:tcW w:w="1669" w:type="dxa"/>
            <w:vMerge/>
            <w:tcBorders>
              <w:tl2br w:val="nil"/>
              <w:tr2bl w:val="nil"/>
            </w:tcBorders>
            <w:shd w:val="clear" w:color="auto" w:fill="auto"/>
            <w:noWrap/>
            <w:vAlign w:val="center"/>
          </w:tcPr>
          <w:p w:rsidR="005A3F4E" w:rsidRPr="005A3F4E" w:rsidRDefault="005A3F4E" w:rsidP="005A3F4E">
            <w:pPr>
              <w:pStyle w:val="afffffff2"/>
              <w:rPr>
                <w:sz w:val="21"/>
                <w:szCs w:val="21"/>
              </w:rPr>
            </w:pPr>
          </w:p>
        </w:tc>
        <w:tc>
          <w:tcPr>
            <w:tcW w:w="0" w:type="auto"/>
            <w:tcBorders>
              <w:tl2br w:val="nil"/>
              <w:tr2bl w:val="nil"/>
            </w:tcBorders>
            <w:shd w:val="clear" w:color="auto" w:fill="auto"/>
            <w:noWrap/>
            <w:vAlign w:val="center"/>
          </w:tcPr>
          <w:p w:rsidR="005A3F4E" w:rsidRPr="005A3F4E" w:rsidRDefault="00E2424D" w:rsidP="005A3F4E">
            <w:pPr>
              <w:pStyle w:val="afffffff2"/>
              <w:rPr>
                <w:sz w:val="21"/>
                <w:szCs w:val="21"/>
              </w:rPr>
            </w:pPr>
            <w:r w:rsidRPr="005A3F4E">
              <w:rPr>
                <w:rFonts w:hint="eastAsia"/>
                <w:sz w:val="21"/>
                <w:szCs w:val="21"/>
              </w:rPr>
              <w:t>/</w:t>
            </w:r>
          </w:p>
        </w:tc>
      </w:tr>
      <w:tr w:rsidR="005A3F4E" w:rsidRPr="005A3F4E" w:rsidTr="00C81F57">
        <w:trPr>
          <w:trHeight w:val="276"/>
        </w:trPr>
        <w:tc>
          <w:tcPr>
            <w:tcW w:w="1180" w:type="dxa"/>
            <w:vMerge/>
            <w:tcBorders>
              <w:tl2br w:val="nil"/>
              <w:tr2bl w:val="nil"/>
            </w:tcBorders>
            <w:shd w:val="clear" w:color="auto" w:fill="auto"/>
            <w:noWrap/>
            <w:vAlign w:val="center"/>
          </w:tcPr>
          <w:p w:rsidR="005A3F4E" w:rsidRPr="005A3F4E" w:rsidRDefault="005A3F4E" w:rsidP="005A3F4E">
            <w:pPr>
              <w:pStyle w:val="afffffff2"/>
              <w:rPr>
                <w:sz w:val="21"/>
                <w:szCs w:val="21"/>
              </w:rPr>
            </w:pPr>
          </w:p>
        </w:tc>
        <w:tc>
          <w:tcPr>
            <w:tcW w:w="1418" w:type="dxa"/>
            <w:tcBorders>
              <w:tl2br w:val="nil"/>
              <w:tr2bl w:val="nil"/>
            </w:tcBorders>
            <w:shd w:val="clear" w:color="auto" w:fill="auto"/>
            <w:noWrap/>
            <w:vAlign w:val="center"/>
          </w:tcPr>
          <w:p w:rsidR="005A3F4E" w:rsidRPr="005A3F4E" w:rsidRDefault="005A3F4E" w:rsidP="005A3F4E">
            <w:pPr>
              <w:pStyle w:val="afffffff2"/>
              <w:rPr>
                <w:sz w:val="21"/>
                <w:szCs w:val="21"/>
              </w:rPr>
            </w:pPr>
            <w:r w:rsidRPr="005A3F4E">
              <w:rPr>
                <w:rFonts w:hint="eastAsia"/>
                <w:sz w:val="21"/>
                <w:szCs w:val="21"/>
              </w:rPr>
              <w:t>非甲烷</w:t>
            </w:r>
            <w:r w:rsidRPr="005A3F4E">
              <w:rPr>
                <w:sz w:val="21"/>
                <w:szCs w:val="21"/>
              </w:rPr>
              <w:t>总烃</w:t>
            </w:r>
          </w:p>
        </w:tc>
        <w:tc>
          <w:tcPr>
            <w:tcW w:w="2138" w:type="dxa"/>
            <w:tcBorders>
              <w:tl2br w:val="nil"/>
              <w:tr2bl w:val="nil"/>
            </w:tcBorders>
            <w:shd w:val="clear" w:color="auto" w:fill="auto"/>
            <w:noWrap/>
            <w:vAlign w:val="center"/>
          </w:tcPr>
          <w:p w:rsidR="005A3F4E" w:rsidRPr="005A3F4E" w:rsidRDefault="005A3F4E" w:rsidP="005A3F4E">
            <w:pPr>
              <w:pStyle w:val="afffffff2"/>
              <w:rPr>
                <w:sz w:val="21"/>
                <w:szCs w:val="21"/>
              </w:rPr>
            </w:pPr>
            <w:r>
              <w:rPr>
                <w:sz w:val="21"/>
                <w:szCs w:val="21"/>
              </w:rPr>
              <w:t>8.19</w:t>
            </w:r>
            <w:r w:rsidRPr="005A3F4E">
              <w:rPr>
                <w:sz w:val="21"/>
                <w:szCs w:val="21"/>
              </w:rPr>
              <w:t>E-0</w:t>
            </w:r>
            <w:r>
              <w:rPr>
                <w:sz w:val="21"/>
                <w:szCs w:val="21"/>
              </w:rPr>
              <w:t>4</w:t>
            </w:r>
          </w:p>
        </w:tc>
        <w:tc>
          <w:tcPr>
            <w:tcW w:w="1122" w:type="dxa"/>
            <w:tcBorders>
              <w:tl2br w:val="nil"/>
              <w:tr2bl w:val="nil"/>
            </w:tcBorders>
            <w:shd w:val="clear" w:color="auto" w:fill="auto"/>
            <w:noWrap/>
            <w:vAlign w:val="center"/>
          </w:tcPr>
          <w:p w:rsidR="005A3F4E" w:rsidRPr="005A3F4E" w:rsidRDefault="005A3F4E" w:rsidP="00DF2A9A">
            <w:pPr>
              <w:pStyle w:val="afffffff2"/>
              <w:rPr>
                <w:sz w:val="21"/>
                <w:szCs w:val="21"/>
              </w:rPr>
            </w:pPr>
            <w:r w:rsidRPr="005A3F4E">
              <w:rPr>
                <w:sz w:val="21"/>
                <w:szCs w:val="21"/>
              </w:rPr>
              <w:t>0.</w:t>
            </w:r>
            <w:r>
              <w:rPr>
                <w:sz w:val="21"/>
                <w:szCs w:val="21"/>
              </w:rPr>
              <w:t>0</w:t>
            </w:r>
            <w:r w:rsidR="00DF2A9A">
              <w:rPr>
                <w:sz w:val="21"/>
                <w:szCs w:val="21"/>
              </w:rPr>
              <w:t>41</w:t>
            </w:r>
          </w:p>
        </w:tc>
        <w:tc>
          <w:tcPr>
            <w:tcW w:w="1669" w:type="dxa"/>
            <w:vMerge/>
            <w:tcBorders>
              <w:tl2br w:val="nil"/>
              <w:tr2bl w:val="nil"/>
            </w:tcBorders>
            <w:shd w:val="clear" w:color="auto" w:fill="auto"/>
            <w:noWrap/>
            <w:vAlign w:val="center"/>
          </w:tcPr>
          <w:p w:rsidR="005A3F4E" w:rsidRPr="005A3F4E" w:rsidRDefault="005A3F4E" w:rsidP="005A3F4E">
            <w:pPr>
              <w:pStyle w:val="afffffff2"/>
              <w:rPr>
                <w:sz w:val="21"/>
                <w:szCs w:val="21"/>
              </w:rPr>
            </w:pPr>
          </w:p>
        </w:tc>
        <w:tc>
          <w:tcPr>
            <w:tcW w:w="0" w:type="auto"/>
            <w:tcBorders>
              <w:tl2br w:val="nil"/>
              <w:tr2bl w:val="nil"/>
            </w:tcBorders>
            <w:shd w:val="clear" w:color="auto" w:fill="auto"/>
            <w:noWrap/>
            <w:vAlign w:val="center"/>
          </w:tcPr>
          <w:p w:rsidR="005A3F4E" w:rsidRPr="005A3F4E" w:rsidRDefault="00E2424D" w:rsidP="005A3F4E">
            <w:pPr>
              <w:pStyle w:val="afffffff2"/>
              <w:rPr>
                <w:sz w:val="21"/>
                <w:szCs w:val="21"/>
              </w:rPr>
            </w:pPr>
            <w:r w:rsidRPr="005A3F4E">
              <w:rPr>
                <w:rFonts w:hint="eastAsia"/>
                <w:sz w:val="21"/>
                <w:szCs w:val="21"/>
              </w:rPr>
              <w:t>/</w:t>
            </w:r>
          </w:p>
        </w:tc>
      </w:tr>
      <w:tr w:rsidR="004E3021" w:rsidRPr="005A3F4E" w:rsidTr="00C81F57">
        <w:trPr>
          <w:trHeight w:val="276"/>
        </w:trPr>
        <w:tc>
          <w:tcPr>
            <w:tcW w:w="1180"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1418" w:type="dxa"/>
            <w:tcBorders>
              <w:tl2br w:val="nil"/>
              <w:tr2bl w:val="nil"/>
            </w:tcBorders>
            <w:shd w:val="clear" w:color="auto" w:fill="auto"/>
            <w:noWrap/>
            <w:vAlign w:val="center"/>
          </w:tcPr>
          <w:p w:rsidR="004E3021" w:rsidRPr="005A3F4E" w:rsidRDefault="00606E48">
            <w:pPr>
              <w:pStyle w:val="afffffff2"/>
              <w:rPr>
                <w:sz w:val="21"/>
                <w:szCs w:val="21"/>
              </w:rPr>
            </w:pPr>
            <w:r w:rsidRPr="005A3F4E">
              <w:rPr>
                <w:sz w:val="21"/>
                <w:szCs w:val="21"/>
              </w:rPr>
              <w:t>氨</w:t>
            </w:r>
          </w:p>
        </w:tc>
        <w:tc>
          <w:tcPr>
            <w:tcW w:w="2138" w:type="dxa"/>
            <w:tcBorders>
              <w:tl2br w:val="nil"/>
              <w:tr2bl w:val="nil"/>
            </w:tcBorders>
            <w:shd w:val="clear" w:color="auto" w:fill="auto"/>
            <w:noWrap/>
            <w:vAlign w:val="center"/>
          </w:tcPr>
          <w:p w:rsidR="004E3021" w:rsidRPr="005A3F4E" w:rsidRDefault="005A3F4E" w:rsidP="005A3F4E">
            <w:pPr>
              <w:pStyle w:val="afffffff2"/>
              <w:rPr>
                <w:sz w:val="21"/>
                <w:szCs w:val="21"/>
              </w:rPr>
            </w:pPr>
            <w:r>
              <w:rPr>
                <w:sz w:val="21"/>
                <w:szCs w:val="21"/>
              </w:rPr>
              <w:t>7.45</w:t>
            </w:r>
            <w:r w:rsidRPr="005A3F4E">
              <w:rPr>
                <w:sz w:val="21"/>
                <w:szCs w:val="21"/>
              </w:rPr>
              <w:t>E-0</w:t>
            </w:r>
            <w:r>
              <w:rPr>
                <w:sz w:val="21"/>
                <w:szCs w:val="21"/>
              </w:rPr>
              <w:t>5</w:t>
            </w:r>
          </w:p>
        </w:tc>
        <w:tc>
          <w:tcPr>
            <w:tcW w:w="1122" w:type="dxa"/>
            <w:tcBorders>
              <w:tl2br w:val="nil"/>
              <w:tr2bl w:val="nil"/>
            </w:tcBorders>
            <w:shd w:val="clear" w:color="auto" w:fill="auto"/>
            <w:noWrap/>
            <w:vAlign w:val="center"/>
          </w:tcPr>
          <w:p w:rsidR="004E3021" w:rsidRPr="005A3F4E" w:rsidRDefault="00606E48" w:rsidP="00DF2A9A">
            <w:pPr>
              <w:pStyle w:val="afffffff2"/>
              <w:rPr>
                <w:sz w:val="21"/>
                <w:szCs w:val="21"/>
              </w:rPr>
            </w:pPr>
            <w:r w:rsidRPr="005A3F4E">
              <w:rPr>
                <w:sz w:val="21"/>
                <w:szCs w:val="21"/>
              </w:rPr>
              <w:t>0.0</w:t>
            </w:r>
            <w:r w:rsidR="00DF2A9A">
              <w:rPr>
                <w:sz w:val="21"/>
                <w:szCs w:val="21"/>
              </w:rPr>
              <w:t>37</w:t>
            </w:r>
          </w:p>
        </w:tc>
        <w:tc>
          <w:tcPr>
            <w:tcW w:w="1669"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0" w:type="auto"/>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w:t>
            </w:r>
          </w:p>
        </w:tc>
      </w:tr>
      <w:tr w:rsidR="004E3021" w:rsidRPr="005A3F4E" w:rsidTr="00C81F57">
        <w:trPr>
          <w:trHeight w:val="276"/>
        </w:trPr>
        <w:tc>
          <w:tcPr>
            <w:tcW w:w="1180"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1418" w:type="dxa"/>
            <w:tcBorders>
              <w:tl2br w:val="nil"/>
              <w:tr2bl w:val="nil"/>
            </w:tcBorders>
            <w:shd w:val="clear" w:color="auto" w:fill="auto"/>
            <w:noWrap/>
            <w:vAlign w:val="center"/>
          </w:tcPr>
          <w:p w:rsidR="004E3021" w:rsidRPr="005A3F4E" w:rsidRDefault="00606E48">
            <w:pPr>
              <w:pStyle w:val="afffffff2"/>
              <w:rPr>
                <w:sz w:val="21"/>
                <w:szCs w:val="21"/>
              </w:rPr>
            </w:pPr>
            <w:r w:rsidRPr="005A3F4E">
              <w:rPr>
                <w:sz w:val="21"/>
                <w:szCs w:val="21"/>
              </w:rPr>
              <w:t>甲醇</w:t>
            </w:r>
          </w:p>
        </w:tc>
        <w:tc>
          <w:tcPr>
            <w:tcW w:w="2138" w:type="dxa"/>
            <w:tcBorders>
              <w:tl2br w:val="nil"/>
              <w:tr2bl w:val="nil"/>
            </w:tcBorders>
            <w:shd w:val="clear" w:color="auto" w:fill="auto"/>
            <w:noWrap/>
            <w:vAlign w:val="center"/>
          </w:tcPr>
          <w:p w:rsidR="004E3021" w:rsidRPr="005A3F4E" w:rsidRDefault="005A3F4E" w:rsidP="005A3F4E">
            <w:pPr>
              <w:pStyle w:val="afffffff2"/>
              <w:rPr>
                <w:sz w:val="21"/>
                <w:szCs w:val="21"/>
              </w:rPr>
            </w:pPr>
            <w:r>
              <w:rPr>
                <w:sz w:val="21"/>
                <w:szCs w:val="21"/>
              </w:rPr>
              <w:t>7.45</w:t>
            </w:r>
            <w:r w:rsidRPr="005A3F4E">
              <w:rPr>
                <w:sz w:val="21"/>
                <w:szCs w:val="21"/>
              </w:rPr>
              <w:t>E-0</w:t>
            </w:r>
            <w:r>
              <w:rPr>
                <w:sz w:val="21"/>
                <w:szCs w:val="21"/>
              </w:rPr>
              <w:t>4</w:t>
            </w:r>
          </w:p>
        </w:tc>
        <w:tc>
          <w:tcPr>
            <w:tcW w:w="1122" w:type="dxa"/>
            <w:tcBorders>
              <w:tl2br w:val="nil"/>
              <w:tr2bl w:val="nil"/>
            </w:tcBorders>
            <w:shd w:val="clear" w:color="auto" w:fill="auto"/>
            <w:noWrap/>
            <w:vAlign w:val="center"/>
          </w:tcPr>
          <w:p w:rsidR="004E3021" w:rsidRPr="005A3F4E" w:rsidRDefault="00606E48" w:rsidP="005A3F4E">
            <w:pPr>
              <w:pStyle w:val="afffffff2"/>
              <w:rPr>
                <w:sz w:val="21"/>
                <w:szCs w:val="21"/>
              </w:rPr>
            </w:pPr>
            <w:r w:rsidRPr="005A3F4E">
              <w:rPr>
                <w:sz w:val="21"/>
                <w:szCs w:val="21"/>
              </w:rPr>
              <w:t>0.</w:t>
            </w:r>
            <w:r w:rsidR="005A3F4E">
              <w:rPr>
                <w:sz w:val="21"/>
                <w:szCs w:val="21"/>
              </w:rPr>
              <w:t>02</w:t>
            </w:r>
            <w:r w:rsidR="00DF2A9A">
              <w:rPr>
                <w:sz w:val="21"/>
                <w:szCs w:val="21"/>
              </w:rPr>
              <w:t>5</w:t>
            </w:r>
          </w:p>
        </w:tc>
        <w:tc>
          <w:tcPr>
            <w:tcW w:w="1669"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0" w:type="auto"/>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w:t>
            </w:r>
          </w:p>
        </w:tc>
      </w:tr>
      <w:tr w:rsidR="004E3021" w:rsidRPr="005A3F4E" w:rsidTr="00C81F57">
        <w:trPr>
          <w:trHeight w:val="276"/>
        </w:trPr>
        <w:tc>
          <w:tcPr>
            <w:tcW w:w="1180" w:type="dxa"/>
            <w:vMerge w:val="restart"/>
            <w:tcBorders>
              <w:tl2br w:val="nil"/>
              <w:tr2bl w:val="nil"/>
            </w:tcBorders>
            <w:shd w:val="clear" w:color="auto" w:fill="auto"/>
            <w:noWrap/>
            <w:vAlign w:val="center"/>
          </w:tcPr>
          <w:p w:rsidR="004E3021" w:rsidRPr="005A3F4E" w:rsidRDefault="00606E48">
            <w:pPr>
              <w:pStyle w:val="afffffff2"/>
              <w:rPr>
                <w:sz w:val="21"/>
                <w:szCs w:val="21"/>
              </w:rPr>
            </w:pPr>
            <w:r w:rsidRPr="005A3F4E">
              <w:rPr>
                <w:sz w:val="21"/>
                <w:szCs w:val="21"/>
              </w:rPr>
              <w:t>DA022</w:t>
            </w:r>
          </w:p>
        </w:tc>
        <w:tc>
          <w:tcPr>
            <w:tcW w:w="1418" w:type="dxa"/>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非甲烷</w:t>
            </w:r>
            <w:r w:rsidRPr="005A3F4E">
              <w:rPr>
                <w:sz w:val="21"/>
                <w:szCs w:val="21"/>
              </w:rPr>
              <w:t>总烃</w:t>
            </w:r>
          </w:p>
        </w:tc>
        <w:tc>
          <w:tcPr>
            <w:tcW w:w="2138" w:type="dxa"/>
            <w:tcBorders>
              <w:tl2br w:val="nil"/>
              <w:tr2bl w:val="nil"/>
            </w:tcBorders>
            <w:shd w:val="clear" w:color="auto" w:fill="auto"/>
            <w:noWrap/>
            <w:vAlign w:val="center"/>
          </w:tcPr>
          <w:p w:rsidR="004E3021" w:rsidRPr="005A3F4E" w:rsidRDefault="00E2424D" w:rsidP="00E2424D">
            <w:pPr>
              <w:pStyle w:val="afffffff2"/>
              <w:rPr>
                <w:sz w:val="21"/>
                <w:szCs w:val="21"/>
              </w:rPr>
            </w:pPr>
            <w:r>
              <w:rPr>
                <w:sz w:val="21"/>
                <w:szCs w:val="21"/>
              </w:rPr>
              <w:t>1.11</w:t>
            </w:r>
            <w:r w:rsidRPr="005A3F4E">
              <w:rPr>
                <w:sz w:val="21"/>
                <w:szCs w:val="21"/>
              </w:rPr>
              <w:t>E-0</w:t>
            </w:r>
            <w:r>
              <w:rPr>
                <w:sz w:val="21"/>
                <w:szCs w:val="21"/>
              </w:rPr>
              <w:t>4</w:t>
            </w:r>
          </w:p>
        </w:tc>
        <w:tc>
          <w:tcPr>
            <w:tcW w:w="1122" w:type="dxa"/>
            <w:tcBorders>
              <w:tl2br w:val="nil"/>
              <w:tr2bl w:val="nil"/>
            </w:tcBorders>
            <w:shd w:val="clear" w:color="auto" w:fill="auto"/>
            <w:noWrap/>
            <w:vAlign w:val="center"/>
          </w:tcPr>
          <w:p w:rsidR="004E3021" w:rsidRPr="005A3F4E" w:rsidRDefault="00606E48" w:rsidP="00DF2A9A">
            <w:pPr>
              <w:pStyle w:val="afffffff2"/>
              <w:rPr>
                <w:sz w:val="21"/>
                <w:szCs w:val="21"/>
              </w:rPr>
            </w:pPr>
            <w:r w:rsidRPr="005A3F4E">
              <w:rPr>
                <w:sz w:val="21"/>
                <w:szCs w:val="21"/>
              </w:rPr>
              <w:t>0.0</w:t>
            </w:r>
            <w:r w:rsidR="00DF2A9A">
              <w:rPr>
                <w:sz w:val="21"/>
                <w:szCs w:val="21"/>
              </w:rPr>
              <w:t>06</w:t>
            </w:r>
          </w:p>
        </w:tc>
        <w:tc>
          <w:tcPr>
            <w:tcW w:w="1669" w:type="dxa"/>
            <w:vMerge w:val="restart"/>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w:t>
            </w:r>
          </w:p>
        </w:tc>
        <w:tc>
          <w:tcPr>
            <w:tcW w:w="0" w:type="auto"/>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w:t>
            </w:r>
          </w:p>
        </w:tc>
      </w:tr>
      <w:tr w:rsidR="004E3021" w:rsidRPr="005A3F4E" w:rsidTr="00C81F57">
        <w:trPr>
          <w:trHeight w:val="276"/>
        </w:trPr>
        <w:tc>
          <w:tcPr>
            <w:tcW w:w="1180"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1418" w:type="dxa"/>
            <w:tcBorders>
              <w:tl2br w:val="nil"/>
              <w:tr2bl w:val="nil"/>
            </w:tcBorders>
            <w:shd w:val="clear" w:color="auto" w:fill="auto"/>
            <w:noWrap/>
            <w:vAlign w:val="center"/>
          </w:tcPr>
          <w:p w:rsidR="004E3021" w:rsidRPr="005A3F4E" w:rsidRDefault="00606E48">
            <w:pPr>
              <w:pStyle w:val="afffffff2"/>
              <w:rPr>
                <w:sz w:val="21"/>
                <w:szCs w:val="21"/>
              </w:rPr>
            </w:pPr>
            <w:r w:rsidRPr="005A3F4E">
              <w:rPr>
                <w:sz w:val="21"/>
                <w:szCs w:val="21"/>
              </w:rPr>
              <w:t>氨</w:t>
            </w:r>
          </w:p>
        </w:tc>
        <w:tc>
          <w:tcPr>
            <w:tcW w:w="2138" w:type="dxa"/>
            <w:tcBorders>
              <w:tl2br w:val="nil"/>
              <w:tr2bl w:val="nil"/>
            </w:tcBorders>
            <w:shd w:val="clear" w:color="auto" w:fill="auto"/>
            <w:noWrap/>
            <w:vAlign w:val="center"/>
          </w:tcPr>
          <w:p w:rsidR="004E3021" w:rsidRPr="005A3F4E" w:rsidRDefault="00E2424D">
            <w:pPr>
              <w:pStyle w:val="afffffff2"/>
              <w:rPr>
                <w:sz w:val="21"/>
                <w:szCs w:val="21"/>
              </w:rPr>
            </w:pPr>
            <w:r>
              <w:rPr>
                <w:sz w:val="21"/>
                <w:szCs w:val="21"/>
              </w:rPr>
              <w:t>3.34</w:t>
            </w:r>
            <w:r w:rsidRPr="005A3F4E">
              <w:rPr>
                <w:sz w:val="21"/>
                <w:szCs w:val="21"/>
              </w:rPr>
              <w:t>E-0</w:t>
            </w:r>
            <w:r>
              <w:rPr>
                <w:sz w:val="21"/>
                <w:szCs w:val="21"/>
              </w:rPr>
              <w:t>5</w:t>
            </w:r>
          </w:p>
        </w:tc>
        <w:tc>
          <w:tcPr>
            <w:tcW w:w="1122" w:type="dxa"/>
            <w:tcBorders>
              <w:tl2br w:val="nil"/>
              <w:tr2bl w:val="nil"/>
            </w:tcBorders>
            <w:shd w:val="clear" w:color="auto" w:fill="auto"/>
            <w:noWrap/>
            <w:vAlign w:val="center"/>
          </w:tcPr>
          <w:p w:rsidR="004E3021" w:rsidRPr="005A3F4E" w:rsidRDefault="00606E48" w:rsidP="00DF2A9A">
            <w:pPr>
              <w:pStyle w:val="afffffff2"/>
              <w:rPr>
                <w:sz w:val="21"/>
                <w:szCs w:val="21"/>
              </w:rPr>
            </w:pPr>
            <w:r w:rsidRPr="005A3F4E">
              <w:rPr>
                <w:sz w:val="21"/>
                <w:szCs w:val="21"/>
              </w:rPr>
              <w:t>0.</w:t>
            </w:r>
            <w:r w:rsidR="00DF2A9A">
              <w:rPr>
                <w:sz w:val="21"/>
                <w:szCs w:val="21"/>
              </w:rPr>
              <w:t>0</w:t>
            </w:r>
            <w:r w:rsidRPr="005A3F4E">
              <w:rPr>
                <w:sz w:val="21"/>
                <w:szCs w:val="21"/>
              </w:rPr>
              <w:t>1</w:t>
            </w:r>
            <w:r w:rsidR="00DF2A9A">
              <w:rPr>
                <w:sz w:val="21"/>
                <w:szCs w:val="21"/>
              </w:rPr>
              <w:t>7</w:t>
            </w:r>
          </w:p>
        </w:tc>
        <w:tc>
          <w:tcPr>
            <w:tcW w:w="1669"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0" w:type="auto"/>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w:t>
            </w:r>
          </w:p>
        </w:tc>
      </w:tr>
      <w:tr w:rsidR="004E3021" w:rsidRPr="005A3F4E" w:rsidTr="00C81F57">
        <w:trPr>
          <w:trHeight w:val="276"/>
        </w:trPr>
        <w:tc>
          <w:tcPr>
            <w:tcW w:w="1180"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1418" w:type="dxa"/>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甲醇</w:t>
            </w:r>
          </w:p>
        </w:tc>
        <w:tc>
          <w:tcPr>
            <w:tcW w:w="2138" w:type="dxa"/>
            <w:tcBorders>
              <w:tl2br w:val="nil"/>
              <w:tr2bl w:val="nil"/>
            </w:tcBorders>
            <w:shd w:val="clear" w:color="auto" w:fill="auto"/>
            <w:noWrap/>
            <w:vAlign w:val="center"/>
          </w:tcPr>
          <w:p w:rsidR="004E3021" w:rsidRPr="005A3F4E" w:rsidRDefault="00E2424D">
            <w:pPr>
              <w:pStyle w:val="afffffff2"/>
              <w:rPr>
                <w:sz w:val="21"/>
                <w:szCs w:val="21"/>
              </w:rPr>
            </w:pPr>
            <w:r>
              <w:rPr>
                <w:sz w:val="21"/>
                <w:szCs w:val="21"/>
              </w:rPr>
              <w:t>1.11</w:t>
            </w:r>
            <w:r w:rsidRPr="005A3F4E">
              <w:rPr>
                <w:sz w:val="21"/>
                <w:szCs w:val="21"/>
              </w:rPr>
              <w:t>E-0</w:t>
            </w:r>
            <w:r>
              <w:rPr>
                <w:sz w:val="21"/>
                <w:szCs w:val="21"/>
              </w:rPr>
              <w:t>4</w:t>
            </w:r>
          </w:p>
        </w:tc>
        <w:tc>
          <w:tcPr>
            <w:tcW w:w="1122" w:type="dxa"/>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0</w:t>
            </w:r>
            <w:r w:rsidR="00DF2A9A">
              <w:rPr>
                <w:sz w:val="21"/>
                <w:szCs w:val="21"/>
              </w:rPr>
              <w:t>.004</w:t>
            </w:r>
          </w:p>
        </w:tc>
        <w:tc>
          <w:tcPr>
            <w:tcW w:w="1669"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0" w:type="auto"/>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w:t>
            </w:r>
          </w:p>
        </w:tc>
      </w:tr>
      <w:tr w:rsidR="00E2424D" w:rsidRPr="005A3F4E" w:rsidTr="00C81F57">
        <w:trPr>
          <w:trHeight w:val="276"/>
        </w:trPr>
        <w:tc>
          <w:tcPr>
            <w:tcW w:w="1180" w:type="dxa"/>
            <w:vMerge w:val="restart"/>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sz w:val="21"/>
                <w:szCs w:val="21"/>
              </w:rPr>
              <w:t>DA0</w:t>
            </w:r>
            <w:r>
              <w:rPr>
                <w:sz w:val="21"/>
                <w:szCs w:val="21"/>
              </w:rPr>
              <w:t>3</w:t>
            </w:r>
            <w:r w:rsidRPr="005A3F4E">
              <w:rPr>
                <w:sz w:val="21"/>
                <w:szCs w:val="21"/>
              </w:rPr>
              <w:t>4</w:t>
            </w:r>
          </w:p>
        </w:tc>
        <w:tc>
          <w:tcPr>
            <w:tcW w:w="1418" w:type="dxa"/>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rFonts w:hint="eastAsia"/>
                <w:sz w:val="21"/>
                <w:szCs w:val="21"/>
              </w:rPr>
              <w:t>非甲烷</w:t>
            </w:r>
            <w:r w:rsidRPr="005A3F4E">
              <w:rPr>
                <w:sz w:val="21"/>
                <w:szCs w:val="21"/>
              </w:rPr>
              <w:t>总烃</w:t>
            </w:r>
          </w:p>
        </w:tc>
        <w:tc>
          <w:tcPr>
            <w:tcW w:w="2138" w:type="dxa"/>
            <w:tcBorders>
              <w:tl2br w:val="nil"/>
              <w:tr2bl w:val="nil"/>
            </w:tcBorders>
            <w:shd w:val="clear" w:color="auto" w:fill="auto"/>
            <w:noWrap/>
            <w:vAlign w:val="center"/>
          </w:tcPr>
          <w:p w:rsidR="00E2424D" w:rsidRPr="005A3F4E" w:rsidRDefault="00E2424D" w:rsidP="00E2424D">
            <w:pPr>
              <w:pStyle w:val="afffffff2"/>
              <w:rPr>
                <w:sz w:val="21"/>
                <w:szCs w:val="21"/>
              </w:rPr>
            </w:pPr>
            <w:r>
              <w:rPr>
                <w:sz w:val="21"/>
                <w:szCs w:val="21"/>
              </w:rPr>
              <w:t>6.93</w:t>
            </w:r>
            <w:r w:rsidRPr="005A3F4E">
              <w:rPr>
                <w:sz w:val="21"/>
                <w:szCs w:val="21"/>
              </w:rPr>
              <w:t>E-0</w:t>
            </w:r>
            <w:r>
              <w:rPr>
                <w:sz w:val="21"/>
                <w:szCs w:val="21"/>
              </w:rPr>
              <w:t>4</w:t>
            </w:r>
          </w:p>
        </w:tc>
        <w:tc>
          <w:tcPr>
            <w:tcW w:w="1122" w:type="dxa"/>
            <w:tcBorders>
              <w:tl2br w:val="nil"/>
              <w:tr2bl w:val="nil"/>
            </w:tcBorders>
            <w:shd w:val="clear" w:color="auto" w:fill="auto"/>
            <w:noWrap/>
            <w:vAlign w:val="center"/>
          </w:tcPr>
          <w:p w:rsidR="00E2424D" w:rsidRPr="005A3F4E" w:rsidRDefault="00E2424D" w:rsidP="00DF2A9A">
            <w:pPr>
              <w:pStyle w:val="afffffff2"/>
              <w:rPr>
                <w:sz w:val="21"/>
                <w:szCs w:val="21"/>
              </w:rPr>
            </w:pPr>
            <w:r w:rsidRPr="005A3F4E">
              <w:rPr>
                <w:sz w:val="21"/>
                <w:szCs w:val="21"/>
              </w:rPr>
              <w:t>0.0</w:t>
            </w:r>
            <w:r w:rsidR="00DF2A9A">
              <w:rPr>
                <w:sz w:val="21"/>
                <w:szCs w:val="21"/>
              </w:rPr>
              <w:t>35</w:t>
            </w:r>
          </w:p>
        </w:tc>
        <w:tc>
          <w:tcPr>
            <w:tcW w:w="1669" w:type="dxa"/>
            <w:vMerge w:val="restart"/>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rFonts w:hint="eastAsia"/>
                <w:sz w:val="21"/>
                <w:szCs w:val="21"/>
              </w:rPr>
              <w:t>/</w:t>
            </w:r>
          </w:p>
        </w:tc>
        <w:tc>
          <w:tcPr>
            <w:tcW w:w="0" w:type="auto"/>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rFonts w:hint="eastAsia"/>
                <w:sz w:val="21"/>
                <w:szCs w:val="21"/>
              </w:rPr>
              <w:t>/</w:t>
            </w:r>
          </w:p>
        </w:tc>
      </w:tr>
      <w:tr w:rsidR="00E2424D" w:rsidRPr="005A3F4E" w:rsidTr="00C81F57">
        <w:trPr>
          <w:trHeight w:val="276"/>
        </w:trPr>
        <w:tc>
          <w:tcPr>
            <w:tcW w:w="1180" w:type="dxa"/>
            <w:vMerge/>
            <w:tcBorders>
              <w:tl2br w:val="nil"/>
              <w:tr2bl w:val="nil"/>
            </w:tcBorders>
            <w:shd w:val="clear" w:color="auto" w:fill="auto"/>
            <w:noWrap/>
            <w:vAlign w:val="center"/>
          </w:tcPr>
          <w:p w:rsidR="00E2424D" w:rsidRPr="005A3F4E" w:rsidRDefault="00E2424D" w:rsidP="00E2424D">
            <w:pPr>
              <w:pStyle w:val="afffffff2"/>
              <w:rPr>
                <w:sz w:val="21"/>
                <w:szCs w:val="21"/>
              </w:rPr>
            </w:pPr>
          </w:p>
        </w:tc>
        <w:tc>
          <w:tcPr>
            <w:tcW w:w="1418" w:type="dxa"/>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sz w:val="21"/>
                <w:szCs w:val="21"/>
              </w:rPr>
              <w:t>甲醇</w:t>
            </w:r>
          </w:p>
        </w:tc>
        <w:tc>
          <w:tcPr>
            <w:tcW w:w="2138" w:type="dxa"/>
            <w:tcBorders>
              <w:tl2br w:val="nil"/>
              <w:tr2bl w:val="nil"/>
            </w:tcBorders>
            <w:shd w:val="clear" w:color="auto" w:fill="auto"/>
            <w:noWrap/>
            <w:vAlign w:val="center"/>
          </w:tcPr>
          <w:p w:rsidR="00E2424D" w:rsidRPr="005A3F4E" w:rsidRDefault="00E2424D" w:rsidP="00E2424D">
            <w:pPr>
              <w:pStyle w:val="afffffff2"/>
              <w:rPr>
                <w:sz w:val="21"/>
                <w:szCs w:val="21"/>
              </w:rPr>
            </w:pPr>
            <w:r>
              <w:rPr>
                <w:sz w:val="21"/>
                <w:szCs w:val="21"/>
              </w:rPr>
              <w:t>1.73</w:t>
            </w:r>
            <w:r w:rsidRPr="005A3F4E">
              <w:rPr>
                <w:sz w:val="21"/>
                <w:szCs w:val="21"/>
              </w:rPr>
              <w:t>E-0</w:t>
            </w:r>
            <w:r>
              <w:rPr>
                <w:sz w:val="21"/>
                <w:szCs w:val="21"/>
              </w:rPr>
              <w:t>4</w:t>
            </w:r>
          </w:p>
        </w:tc>
        <w:tc>
          <w:tcPr>
            <w:tcW w:w="1122" w:type="dxa"/>
            <w:tcBorders>
              <w:tl2br w:val="nil"/>
              <w:tr2bl w:val="nil"/>
            </w:tcBorders>
            <w:shd w:val="clear" w:color="auto" w:fill="auto"/>
            <w:noWrap/>
            <w:vAlign w:val="center"/>
          </w:tcPr>
          <w:p w:rsidR="00E2424D" w:rsidRPr="005A3F4E" w:rsidRDefault="00E2424D" w:rsidP="00DF2A9A">
            <w:pPr>
              <w:pStyle w:val="afffffff2"/>
              <w:rPr>
                <w:sz w:val="21"/>
                <w:szCs w:val="21"/>
              </w:rPr>
            </w:pPr>
            <w:r w:rsidRPr="005A3F4E">
              <w:rPr>
                <w:sz w:val="21"/>
                <w:szCs w:val="21"/>
              </w:rPr>
              <w:t>0.</w:t>
            </w:r>
            <w:r>
              <w:rPr>
                <w:sz w:val="21"/>
                <w:szCs w:val="21"/>
              </w:rPr>
              <w:t>0</w:t>
            </w:r>
            <w:r w:rsidR="00DF2A9A">
              <w:rPr>
                <w:sz w:val="21"/>
                <w:szCs w:val="21"/>
              </w:rPr>
              <w:t>06</w:t>
            </w:r>
          </w:p>
        </w:tc>
        <w:tc>
          <w:tcPr>
            <w:tcW w:w="1669" w:type="dxa"/>
            <w:vMerge/>
            <w:tcBorders>
              <w:tl2br w:val="nil"/>
              <w:tr2bl w:val="nil"/>
            </w:tcBorders>
            <w:shd w:val="clear" w:color="auto" w:fill="auto"/>
            <w:noWrap/>
            <w:vAlign w:val="center"/>
          </w:tcPr>
          <w:p w:rsidR="00E2424D" w:rsidRPr="005A3F4E" w:rsidRDefault="00E2424D" w:rsidP="00E2424D">
            <w:pPr>
              <w:pStyle w:val="afffffff2"/>
              <w:rPr>
                <w:sz w:val="21"/>
                <w:szCs w:val="21"/>
              </w:rPr>
            </w:pPr>
          </w:p>
        </w:tc>
        <w:tc>
          <w:tcPr>
            <w:tcW w:w="0" w:type="auto"/>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rFonts w:hint="eastAsia"/>
                <w:sz w:val="21"/>
                <w:szCs w:val="21"/>
              </w:rPr>
              <w:t>/</w:t>
            </w:r>
          </w:p>
        </w:tc>
      </w:tr>
      <w:tr w:rsidR="00E2424D" w:rsidRPr="005A3F4E" w:rsidTr="00C81F57">
        <w:trPr>
          <w:trHeight w:val="276"/>
        </w:trPr>
        <w:tc>
          <w:tcPr>
            <w:tcW w:w="1180" w:type="dxa"/>
            <w:vMerge w:val="restart"/>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sz w:val="21"/>
                <w:szCs w:val="21"/>
              </w:rPr>
              <w:t>DA0</w:t>
            </w:r>
            <w:r>
              <w:rPr>
                <w:sz w:val="21"/>
                <w:szCs w:val="21"/>
              </w:rPr>
              <w:t>3</w:t>
            </w:r>
            <w:r w:rsidRPr="005A3F4E">
              <w:rPr>
                <w:sz w:val="21"/>
                <w:szCs w:val="21"/>
              </w:rPr>
              <w:t>5</w:t>
            </w:r>
          </w:p>
        </w:tc>
        <w:tc>
          <w:tcPr>
            <w:tcW w:w="1418" w:type="dxa"/>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rFonts w:hint="eastAsia"/>
                <w:sz w:val="21"/>
                <w:szCs w:val="21"/>
              </w:rPr>
              <w:t>非甲烷</w:t>
            </w:r>
            <w:r w:rsidRPr="005A3F4E">
              <w:rPr>
                <w:sz w:val="21"/>
                <w:szCs w:val="21"/>
              </w:rPr>
              <w:t>总烃</w:t>
            </w:r>
          </w:p>
        </w:tc>
        <w:tc>
          <w:tcPr>
            <w:tcW w:w="2138" w:type="dxa"/>
            <w:tcBorders>
              <w:tl2br w:val="nil"/>
              <w:tr2bl w:val="nil"/>
            </w:tcBorders>
            <w:shd w:val="clear" w:color="auto" w:fill="auto"/>
            <w:noWrap/>
            <w:vAlign w:val="center"/>
          </w:tcPr>
          <w:p w:rsidR="00E2424D" w:rsidRPr="005A3F4E" w:rsidRDefault="00E2424D" w:rsidP="00E2424D">
            <w:pPr>
              <w:pStyle w:val="afffffff2"/>
              <w:rPr>
                <w:sz w:val="21"/>
                <w:szCs w:val="21"/>
              </w:rPr>
            </w:pPr>
            <w:r>
              <w:rPr>
                <w:sz w:val="21"/>
                <w:szCs w:val="21"/>
              </w:rPr>
              <w:t>2.55</w:t>
            </w:r>
            <w:r w:rsidRPr="005A3F4E">
              <w:rPr>
                <w:sz w:val="21"/>
                <w:szCs w:val="21"/>
              </w:rPr>
              <w:t>E-0</w:t>
            </w:r>
            <w:r>
              <w:rPr>
                <w:sz w:val="21"/>
                <w:szCs w:val="21"/>
              </w:rPr>
              <w:t>3</w:t>
            </w:r>
          </w:p>
        </w:tc>
        <w:tc>
          <w:tcPr>
            <w:tcW w:w="1122" w:type="dxa"/>
            <w:tcBorders>
              <w:tl2br w:val="nil"/>
              <w:tr2bl w:val="nil"/>
            </w:tcBorders>
            <w:shd w:val="clear" w:color="auto" w:fill="auto"/>
            <w:noWrap/>
            <w:vAlign w:val="center"/>
          </w:tcPr>
          <w:p w:rsidR="00E2424D" w:rsidRPr="005A3F4E" w:rsidRDefault="00E2424D" w:rsidP="00DF2A9A">
            <w:pPr>
              <w:pStyle w:val="afffffff2"/>
              <w:rPr>
                <w:sz w:val="21"/>
                <w:szCs w:val="21"/>
              </w:rPr>
            </w:pPr>
            <w:r w:rsidRPr="005A3F4E">
              <w:rPr>
                <w:sz w:val="21"/>
                <w:szCs w:val="21"/>
              </w:rPr>
              <w:t>0.</w:t>
            </w:r>
            <w:r w:rsidR="00DF2A9A">
              <w:rPr>
                <w:sz w:val="21"/>
                <w:szCs w:val="21"/>
              </w:rPr>
              <w:t>128</w:t>
            </w:r>
          </w:p>
        </w:tc>
        <w:tc>
          <w:tcPr>
            <w:tcW w:w="1669" w:type="dxa"/>
            <w:vMerge w:val="restart"/>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rFonts w:hint="eastAsia"/>
                <w:sz w:val="21"/>
                <w:szCs w:val="21"/>
              </w:rPr>
              <w:t>/</w:t>
            </w:r>
          </w:p>
        </w:tc>
        <w:tc>
          <w:tcPr>
            <w:tcW w:w="0" w:type="auto"/>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rFonts w:hint="eastAsia"/>
                <w:sz w:val="21"/>
                <w:szCs w:val="21"/>
              </w:rPr>
              <w:t>/</w:t>
            </w:r>
          </w:p>
        </w:tc>
      </w:tr>
      <w:tr w:rsidR="00E2424D" w:rsidRPr="005A3F4E" w:rsidTr="00C81F57">
        <w:trPr>
          <w:trHeight w:val="276"/>
        </w:trPr>
        <w:tc>
          <w:tcPr>
            <w:tcW w:w="1180" w:type="dxa"/>
            <w:vMerge/>
            <w:tcBorders>
              <w:tl2br w:val="nil"/>
              <w:tr2bl w:val="nil"/>
            </w:tcBorders>
            <w:shd w:val="clear" w:color="auto" w:fill="auto"/>
            <w:noWrap/>
            <w:vAlign w:val="center"/>
          </w:tcPr>
          <w:p w:rsidR="00E2424D" w:rsidRPr="005A3F4E" w:rsidRDefault="00E2424D" w:rsidP="00E2424D">
            <w:pPr>
              <w:pStyle w:val="afffffff2"/>
              <w:rPr>
                <w:sz w:val="21"/>
                <w:szCs w:val="21"/>
              </w:rPr>
            </w:pPr>
          </w:p>
        </w:tc>
        <w:tc>
          <w:tcPr>
            <w:tcW w:w="1418" w:type="dxa"/>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sz w:val="21"/>
                <w:szCs w:val="21"/>
              </w:rPr>
              <w:t>甲醇</w:t>
            </w:r>
          </w:p>
        </w:tc>
        <w:tc>
          <w:tcPr>
            <w:tcW w:w="2138" w:type="dxa"/>
            <w:tcBorders>
              <w:tl2br w:val="nil"/>
              <w:tr2bl w:val="nil"/>
            </w:tcBorders>
            <w:shd w:val="clear" w:color="auto" w:fill="auto"/>
            <w:noWrap/>
            <w:vAlign w:val="center"/>
          </w:tcPr>
          <w:p w:rsidR="00E2424D" w:rsidRPr="005A3F4E" w:rsidRDefault="00E2424D" w:rsidP="00E2424D">
            <w:pPr>
              <w:pStyle w:val="afffffff2"/>
              <w:rPr>
                <w:sz w:val="21"/>
                <w:szCs w:val="21"/>
              </w:rPr>
            </w:pPr>
            <w:r>
              <w:rPr>
                <w:sz w:val="21"/>
                <w:szCs w:val="21"/>
              </w:rPr>
              <w:t>2.24</w:t>
            </w:r>
            <w:r w:rsidRPr="005A3F4E">
              <w:rPr>
                <w:sz w:val="21"/>
                <w:szCs w:val="21"/>
              </w:rPr>
              <w:t>E-0</w:t>
            </w:r>
            <w:r>
              <w:rPr>
                <w:sz w:val="21"/>
                <w:szCs w:val="21"/>
              </w:rPr>
              <w:t>3</w:t>
            </w:r>
          </w:p>
        </w:tc>
        <w:tc>
          <w:tcPr>
            <w:tcW w:w="1122" w:type="dxa"/>
            <w:tcBorders>
              <w:tl2br w:val="nil"/>
              <w:tr2bl w:val="nil"/>
            </w:tcBorders>
            <w:shd w:val="clear" w:color="auto" w:fill="auto"/>
            <w:noWrap/>
            <w:vAlign w:val="center"/>
          </w:tcPr>
          <w:p w:rsidR="00E2424D" w:rsidRPr="005A3F4E" w:rsidRDefault="00E2424D" w:rsidP="00DF2A9A">
            <w:pPr>
              <w:pStyle w:val="afffffff2"/>
              <w:rPr>
                <w:sz w:val="21"/>
                <w:szCs w:val="21"/>
              </w:rPr>
            </w:pPr>
            <w:r w:rsidRPr="005A3F4E">
              <w:rPr>
                <w:sz w:val="21"/>
                <w:szCs w:val="21"/>
              </w:rPr>
              <w:t>0.</w:t>
            </w:r>
            <w:r>
              <w:rPr>
                <w:sz w:val="21"/>
                <w:szCs w:val="21"/>
              </w:rPr>
              <w:t>0</w:t>
            </w:r>
            <w:r w:rsidR="00DF2A9A">
              <w:rPr>
                <w:sz w:val="21"/>
                <w:szCs w:val="21"/>
              </w:rPr>
              <w:t>75</w:t>
            </w:r>
          </w:p>
        </w:tc>
        <w:tc>
          <w:tcPr>
            <w:tcW w:w="1669" w:type="dxa"/>
            <w:vMerge/>
            <w:tcBorders>
              <w:tl2br w:val="nil"/>
              <w:tr2bl w:val="nil"/>
            </w:tcBorders>
            <w:shd w:val="clear" w:color="auto" w:fill="auto"/>
            <w:noWrap/>
            <w:vAlign w:val="center"/>
          </w:tcPr>
          <w:p w:rsidR="00E2424D" w:rsidRPr="005A3F4E" w:rsidRDefault="00E2424D" w:rsidP="00E2424D">
            <w:pPr>
              <w:pStyle w:val="afffffff2"/>
              <w:rPr>
                <w:sz w:val="21"/>
                <w:szCs w:val="21"/>
              </w:rPr>
            </w:pPr>
          </w:p>
        </w:tc>
        <w:tc>
          <w:tcPr>
            <w:tcW w:w="0" w:type="auto"/>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rFonts w:hint="eastAsia"/>
                <w:sz w:val="21"/>
                <w:szCs w:val="21"/>
              </w:rPr>
              <w:t>/</w:t>
            </w:r>
          </w:p>
        </w:tc>
      </w:tr>
      <w:tr w:rsidR="00E2424D" w:rsidRPr="005A3F4E" w:rsidTr="00C81F57">
        <w:trPr>
          <w:trHeight w:val="276"/>
        </w:trPr>
        <w:tc>
          <w:tcPr>
            <w:tcW w:w="1180" w:type="dxa"/>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sz w:val="21"/>
                <w:szCs w:val="21"/>
              </w:rPr>
              <w:t>DA0</w:t>
            </w:r>
            <w:r>
              <w:rPr>
                <w:sz w:val="21"/>
                <w:szCs w:val="21"/>
              </w:rPr>
              <w:t>36</w:t>
            </w:r>
          </w:p>
        </w:tc>
        <w:tc>
          <w:tcPr>
            <w:tcW w:w="1418" w:type="dxa"/>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rFonts w:hint="eastAsia"/>
                <w:sz w:val="21"/>
                <w:szCs w:val="21"/>
              </w:rPr>
              <w:t>非甲烷</w:t>
            </w:r>
            <w:r w:rsidRPr="005A3F4E">
              <w:rPr>
                <w:sz w:val="21"/>
                <w:szCs w:val="21"/>
              </w:rPr>
              <w:t>总烃</w:t>
            </w:r>
          </w:p>
        </w:tc>
        <w:tc>
          <w:tcPr>
            <w:tcW w:w="2138" w:type="dxa"/>
            <w:tcBorders>
              <w:tl2br w:val="nil"/>
              <w:tr2bl w:val="nil"/>
            </w:tcBorders>
            <w:shd w:val="clear" w:color="auto" w:fill="auto"/>
            <w:noWrap/>
            <w:vAlign w:val="center"/>
          </w:tcPr>
          <w:p w:rsidR="00E2424D" w:rsidRPr="005A3F4E" w:rsidRDefault="00E2424D" w:rsidP="00E2424D">
            <w:pPr>
              <w:pStyle w:val="afffffff2"/>
              <w:rPr>
                <w:sz w:val="21"/>
                <w:szCs w:val="21"/>
              </w:rPr>
            </w:pPr>
            <w:r>
              <w:rPr>
                <w:sz w:val="21"/>
                <w:szCs w:val="21"/>
              </w:rPr>
              <w:t>8.24</w:t>
            </w:r>
            <w:r w:rsidRPr="005A3F4E">
              <w:rPr>
                <w:sz w:val="21"/>
                <w:szCs w:val="21"/>
              </w:rPr>
              <w:t>E-0</w:t>
            </w:r>
            <w:r>
              <w:rPr>
                <w:sz w:val="21"/>
                <w:szCs w:val="21"/>
              </w:rPr>
              <w:t>4</w:t>
            </w:r>
          </w:p>
        </w:tc>
        <w:tc>
          <w:tcPr>
            <w:tcW w:w="1122" w:type="dxa"/>
            <w:tcBorders>
              <w:tl2br w:val="nil"/>
              <w:tr2bl w:val="nil"/>
            </w:tcBorders>
            <w:shd w:val="clear" w:color="auto" w:fill="auto"/>
            <w:noWrap/>
            <w:vAlign w:val="center"/>
          </w:tcPr>
          <w:p w:rsidR="00E2424D" w:rsidRPr="005A3F4E" w:rsidRDefault="00E2424D" w:rsidP="00DF2A9A">
            <w:pPr>
              <w:pStyle w:val="afffffff2"/>
              <w:rPr>
                <w:sz w:val="21"/>
                <w:szCs w:val="21"/>
              </w:rPr>
            </w:pPr>
            <w:r w:rsidRPr="005A3F4E">
              <w:rPr>
                <w:sz w:val="21"/>
                <w:szCs w:val="21"/>
              </w:rPr>
              <w:t>0.0</w:t>
            </w:r>
            <w:r w:rsidR="00DF2A9A">
              <w:rPr>
                <w:sz w:val="21"/>
                <w:szCs w:val="21"/>
              </w:rPr>
              <w:t>41</w:t>
            </w:r>
          </w:p>
        </w:tc>
        <w:tc>
          <w:tcPr>
            <w:tcW w:w="1669" w:type="dxa"/>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rFonts w:hint="eastAsia"/>
                <w:sz w:val="21"/>
                <w:szCs w:val="21"/>
              </w:rPr>
              <w:t>/</w:t>
            </w:r>
          </w:p>
        </w:tc>
        <w:tc>
          <w:tcPr>
            <w:tcW w:w="0" w:type="auto"/>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rFonts w:hint="eastAsia"/>
                <w:sz w:val="21"/>
                <w:szCs w:val="21"/>
              </w:rPr>
              <w:t>/</w:t>
            </w:r>
          </w:p>
        </w:tc>
      </w:tr>
      <w:tr w:rsidR="004E3021" w:rsidRPr="005A3F4E" w:rsidTr="00C81F57">
        <w:trPr>
          <w:trHeight w:val="276"/>
        </w:trPr>
        <w:tc>
          <w:tcPr>
            <w:tcW w:w="1180" w:type="dxa"/>
            <w:vMerge w:val="restart"/>
            <w:tcBorders>
              <w:tl2br w:val="nil"/>
              <w:tr2bl w:val="nil"/>
            </w:tcBorders>
            <w:shd w:val="clear" w:color="auto" w:fill="auto"/>
            <w:noWrap/>
            <w:vAlign w:val="center"/>
          </w:tcPr>
          <w:p w:rsidR="004E3021" w:rsidRPr="005A3F4E" w:rsidRDefault="00606E48">
            <w:pPr>
              <w:pStyle w:val="afffffff2"/>
              <w:rPr>
                <w:sz w:val="21"/>
                <w:szCs w:val="21"/>
              </w:rPr>
            </w:pPr>
            <w:r w:rsidRPr="005A3F4E">
              <w:rPr>
                <w:sz w:val="21"/>
                <w:szCs w:val="21"/>
              </w:rPr>
              <w:t>硅粉车间</w:t>
            </w:r>
          </w:p>
        </w:tc>
        <w:tc>
          <w:tcPr>
            <w:tcW w:w="1418" w:type="dxa"/>
            <w:tcBorders>
              <w:tl2br w:val="nil"/>
              <w:tr2bl w:val="nil"/>
            </w:tcBorders>
            <w:shd w:val="clear" w:color="auto" w:fill="auto"/>
            <w:noWrap/>
            <w:vAlign w:val="center"/>
          </w:tcPr>
          <w:p w:rsidR="004E3021" w:rsidRPr="005A3F4E" w:rsidRDefault="00606E48">
            <w:pPr>
              <w:pStyle w:val="afffffff2"/>
              <w:rPr>
                <w:sz w:val="21"/>
                <w:szCs w:val="21"/>
              </w:rPr>
            </w:pPr>
            <w:r w:rsidRPr="005A3F4E">
              <w:rPr>
                <w:sz w:val="21"/>
                <w:szCs w:val="21"/>
              </w:rPr>
              <w:t>PM</w:t>
            </w:r>
            <w:r w:rsidRPr="005A3F4E">
              <w:rPr>
                <w:sz w:val="21"/>
                <w:szCs w:val="21"/>
                <w:vertAlign w:val="subscript"/>
              </w:rPr>
              <w:t>10</w:t>
            </w:r>
          </w:p>
        </w:tc>
        <w:tc>
          <w:tcPr>
            <w:tcW w:w="2138" w:type="dxa"/>
            <w:tcBorders>
              <w:tl2br w:val="nil"/>
              <w:tr2bl w:val="nil"/>
            </w:tcBorders>
            <w:shd w:val="clear" w:color="auto" w:fill="auto"/>
            <w:noWrap/>
            <w:vAlign w:val="center"/>
          </w:tcPr>
          <w:p w:rsidR="004E3021" w:rsidRPr="005A3F4E" w:rsidRDefault="00E2424D">
            <w:pPr>
              <w:pStyle w:val="afffffff2"/>
              <w:rPr>
                <w:sz w:val="21"/>
                <w:szCs w:val="21"/>
              </w:rPr>
            </w:pPr>
            <w:r>
              <w:rPr>
                <w:rFonts w:hint="eastAsia"/>
                <w:sz w:val="21"/>
                <w:szCs w:val="21"/>
              </w:rPr>
              <w:t>2</w:t>
            </w:r>
            <w:r>
              <w:rPr>
                <w:sz w:val="21"/>
                <w:szCs w:val="21"/>
              </w:rPr>
              <w:t>.73</w:t>
            </w:r>
            <w:r w:rsidRPr="005A3F4E">
              <w:rPr>
                <w:sz w:val="21"/>
                <w:szCs w:val="21"/>
              </w:rPr>
              <w:t>E-0</w:t>
            </w:r>
            <w:r>
              <w:rPr>
                <w:sz w:val="21"/>
                <w:szCs w:val="21"/>
              </w:rPr>
              <w:t>1</w:t>
            </w:r>
          </w:p>
        </w:tc>
        <w:tc>
          <w:tcPr>
            <w:tcW w:w="1122" w:type="dxa"/>
            <w:tcBorders>
              <w:tl2br w:val="nil"/>
              <w:tr2bl w:val="nil"/>
            </w:tcBorders>
            <w:shd w:val="clear" w:color="auto" w:fill="auto"/>
            <w:noWrap/>
            <w:vAlign w:val="center"/>
          </w:tcPr>
          <w:p w:rsidR="004E3021" w:rsidRPr="005A3F4E" w:rsidRDefault="00DF2A9A">
            <w:pPr>
              <w:pStyle w:val="afffffff2"/>
              <w:rPr>
                <w:sz w:val="21"/>
                <w:szCs w:val="21"/>
              </w:rPr>
            </w:pPr>
            <w:r>
              <w:rPr>
                <w:sz w:val="21"/>
                <w:szCs w:val="21"/>
              </w:rPr>
              <w:t>60.67</w:t>
            </w:r>
          </w:p>
        </w:tc>
        <w:tc>
          <w:tcPr>
            <w:tcW w:w="1669" w:type="dxa"/>
            <w:vMerge w:val="restart"/>
            <w:tcBorders>
              <w:tl2br w:val="nil"/>
              <w:tr2bl w:val="nil"/>
            </w:tcBorders>
            <w:shd w:val="clear" w:color="auto" w:fill="auto"/>
            <w:noWrap/>
            <w:vAlign w:val="center"/>
          </w:tcPr>
          <w:p w:rsidR="004E3021" w:rsidRPr="005A3F4E" w:rsidRDefault="00DF2A9A">
            <w:pPr>
              <w:pStyle w:val="afffffff2"/>
              <w:rPr>
                <w:sz w:val="21"/>
                <w:szCs w:val="21"/>
              </w:rPr>
            </w:pPr>
            <w:r>
              <w:rPr>
                <w:sz w:val="21"/>
                <w:szCs w:val="21"/>
              </w:rPr>
              <w:t>1125</w:t>
            </w:r>
          </w:p>
        </w:tc>
        <w:tc>
          <w:tcPr>
            <w:tcW w:w="0" w:type="auto"/>
            <w:tcBorders>
              <w:tl2br w:val="nil"/>
              <w:tr2bl w:val="nil"/>
            </w:tcBorders>
            <w:shd w:val="clear" w:color="auto" w:fill="auto"/>
            <w:noWrap/>
            <w:vAlign w:val="center"/>
          </w:tcPr>
          <w:p w:rsidR="004E3021" w:rsidRPr="005A3F4E" w:rsidRDefault="00DF2A9A">
            <w:pPr>
              <w:pStyle w:val="afffffff2"/>
              <w:rPr>
                <w:sz w:val="21"/>
                <w:szCs w:val="21"/>
              </w:rPr>
            </w:pPr>
            <w:r>
              <w:rPr>
                <w:sz w:val="21"/>
                <w:szCs w:val="21"/>
              </w:rPr>
              <w:t>1125</w:t>
            </w:r>
          </w:p>
        </w:tc>
      </w:tr>
      <w:tr w:rsidR="004E3021" w:rsidRPr="005A3F4E" w:rsidTr="00C81F57">
        <w:trPr>
          <w:trHeight w:val="276"/>
        </w:trPr>
        <w:tc>
          <w:tcPr>
            <w:tcW w:w="1180"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1418" w:type="dxa"/>
            <w:tcBorders>
              <w:tl2br w:val="nil"/>
              <w:tr2bl w:val="nil"/>
            </w:tcBorders>
            <w:shd w:val="clear" w:color="auto" w:fill="auto"/>
            <w:noWrap/>
            <w:vAlign w:val="center"/>
          </w:tcPr>
          <w:p w:rsidR="004E3021" w:rsidRPr="005A3F4E" w:rsidRDefault="00606E48">
            <w:pPr>
              <w:pStyle w:val="afffffff2"/>
              <w:rPr>
                <w:sz w:val="21"/>
                <w:szCs w:val="21"/>
              </w:rPr>
            </w:pPr>
            <w:r w:rsidRPr="005A3F4E">
              <w:rPr>
                <w:sz w:val="21"/>
                <w:szCs w:val="21"/>
              </w:rPr>
              <w:t>PM</w:t>
            </w:r>
            <w:r w:rsidRPr="005A3F4E">
              <w:rPr>
                <w:sz w:val="21"/>
                <w:szCs w:val="21"/>
                <w:vertAlign w:val="subscript"/>
              </w:rPr>
              <w:t>2.5</w:t>
            </w:r>
          </w:p>
        </w:tc>
        <w:tc>
          <w:tcPr>
            <w:tcW w:w="2138" w:type="dxa"/>
            <w:tcBorders>
              <w:tl2br w:val="nil"/>
              <w:tr2bl w:val="nil"/>
            </w:tcBorders>
            <w:shd w:val="clear" w:color="auto" w:fill="auto"/>
            <w:noWrap/>
            <w:vAlign w:val="center"/>
          </w:tcPr>
          <w:p w:rsidR="004E3021" w:rsidRPr="005A3F4E" w:rsidRDefault="00E2424D">
            <w:pPr>
              <w:pStyle w:val="afffffff2"/>
              <w:rPr>
                <w:sz w:val="21"/>
                <w:szCs w:val="21"/>
              </w:rPr>
            </w:pPr>
            <w:r>
              <w:rPr>
                <w:rFonts w:hint="eastAsia"/>
                <w:sz w:val="21"/>
                <w:szCs w:val="21"/>
              </w:rPr>
              <w:t>1</w:t>
            </w:r>
            <w:r>
              <w:rPr>
                <w:sz w:val="21"/>
                <w:szCs w:val="21"/>
              </w:rPr>
              <w:t>.36</w:t>
            </w:r>
            <w:r w:rsidRPr="005A3F4E">
              <w:rPr>
                <w:sz w:val="21"/>
                <w:szCs w:val="21"/>
              </w:rPr>
              <w:t>E-0</w:t>
            </w:r>
            <w:r>
              <w:rPr>
                <w:sz w:val="21"/>
                <w:szCs w:val="21"/>
              </w:rPr>
              <w:t>1</w:t>
            </w:r>
          </w:p>
        </w:tc>
        <w:tc>
          <w:tcPr>
            <w:tcW w:w="1122" w:type="dxa"/>
            <w:tcBorders>
              <w:tl2br w:val="nil"/>
              <w:tr2bl w:val="nil"/>
            </w:tcBorders>
            <w:shd w:val="clear" w:color="auto" w:fill="auto"/>
            <w:noWrap/>
            <w:vAlign w:val="center"/>
          </w:tcPr>
          <w:p w:rsidR="00DF2A9A" w:rsidRPr="005A3F4E" w:rsidRDefault="00DF2A9A" w:rsidP="00DF2A9A">
            <w:pPr>
              <w:pStyle w:val="afffffff2"/>
              <w:rPr>
                <w:sz w:val="21"/>
                <w:szCs w:val="21"/>
              </w:rPr>
            </w:pPr>
            <w:r>
              <w:rPr>
                <w:sz w:val="21"/>
                <w:szCs w:val="21"/>
              </w:rPr>
              <w:t>60. 67</w:t>
            </w:r>
          </w:p>
        </w:tc>
        <w:tc>
          <w:tcPr>
            <w:tcW w:w="1669"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0" w:type="auto"/>
            <w:tcBorders>
              <w:tl2br w:val="nil"/>
              <w:tr2bl w:val="nil"/>
            </w:tcBorders>
            <w:shd w:val="clear" w:color="auto" w:fill="auto"/>
            <w:noWrap/>
            <w:vAlign w:val="center"/>
          </w:tcPr>
          <w:p w:rsidR="004E3021" w:rsidRPr="005A3F4E" w:rsidRDefault="00DF2A9A">
            <w:pPr>
              <w:pStyle w:val="afffffff2"/>
              <w:rPr>
                <w:sz w:val="21"/>
                <w:szCs w:val="21"/>
              </w:rPr>
            </w:pPr>
            <w:r>
              <w:rPr>
                <w:sz w:val="21"/>
                <w:szCs w:val="21"/>
              </w:rPr>
              <w:t>1125</w:t>
            </w:r>
          </w:p>
        </w:tc>
      </w:tr>
      <w:tr w:rsidR="00E2424D" w:rsidRPr="005A3F4E" w:rsidTr="00C81F57">
        <w:trPr>
          <w:trHeight w:val="276"/>
        </w:trPr>
        <w:tc>
          <w:tcPr>
            <w:tcW w:w="1180" w:type="dxa"/>
            <w:vMerge w:val="restart"/>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sz w:val="21"/>
                <w:szCs w:val="21"/>
              </w:rPr>
              <w:t>合成精馏车间</w:t>
            </w:r>
          </w:p>
        </w:tc>
        <w:tc>
          <w:tcPr>
            <w:tcW w:w="1418" w:type="dxa"/>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sz w:val="21"/>
                <w:szCs w:val="21"/>
              </w:rPr>
              <w:t>PM</w:t>
            </w:r>
            <w:r w:rsidRPr="005A3F4E">
              <w:rPr>
                <w:sz w:val="21"/>
                <w:szCs w:val="21"/>
                <w:vertAlign w:val="subscript"/>
              </w:rPr>
              <w:t>10</w:t>
            </w:r>
          </w:p>
        </w:tc>
        <w:tc>
          <w:tcPr>
            <w:tcW w:w="2138" w:type="dxa"/>
            <w:tcBorders>
              <w:tl2br w:val="nil"/>
              <w:tr2bl w:val="nil"/>
            </w:tcBorders>
            <w:shd w:val="clear" w:color="auto" w:fill="auto"/>
            <w:noWrap/>
            <w:vAlign w:val="center"/>
          </w:tcPr>
          <w:p w:rsidR="00E2424D" w:rsidRPr="005A3F4E" w:rsidRDefault="00E2424D" w:rsidP="00E2424D">
            <w:pPr>
              <w:pStyle w:val="afffffff2"/>
              <w:rPr>
                <w:sz w:val="21"/>
                <w:szCs w:val="21"/>
              </w:rPr>
            </w:pPr>
            <w:r>
              <w:rPr>
                <w:rFonts w:hint="eastAsia"/>
                <w:sz w:val="21"/>
                <w:szCs w:val="21"/>
              </w:rPr>
              <w:t>4</w:t>
            </w:r>
            <w:r>
              <w:rPr>
                <w:sz w:val="21"/>
                <w:szCs w:val="21"/>
              </w:rPr>
              <w:t>.17</w:t>
            </w:r>
            <w:r w:rsidRPr="005A3F4E">
              <w:rPr>
                <w:sz w:val="21"/>
                <w:szCs w:val="21"/>
              </w:rPr>
              <w:t>E-0</w:t>
            </w:r>
            <w:r>
              <w:rPr>
                <w:sz w:val="21"/>
                <w:szCs w:val="21"/>
              </w:rPr>
              <w:t>3</w:t>
            </w:r>
          </w:p>
        </w:tc>
        <w:tc>
          <w:tcPr>
            <w:tcW w:w="1122" w:type="dxa"/>
            <w:tcBorders>
              <w:tl2br w:val="nil"/>
              <w:tr2bl w:val="nil"/>
            </w:tcBorders>
            <w:shd w:val="clear" w:color="auto" w:fill="auto"/>
            <w:noWrap/>
            <w:vAlign w:val="center"/>
          </w:tcPr>
          <w:p w:rsidR="00E2424D" w:rsidRPr="005A3F4E" w:rsidRDefault="00DF2A9A" w:rsidP="00E2424D">
            <w:pPr>
              <w:pStyle w:val="afffffff2"/>
              <w:rPr>
                <w:sz w:val="21"/>
                <w:szCs w:val="21"/>
              </w:rPr>
            </w:pPr>
            <w:r>
              <w:rPr>
                <w:sz w:val="21"/>
                <w:szCs w:val="21"/>
              </w:rPr>
              <w:t>0.93</w:t>
            </w:r>
          </w:p>
        </w:tc>
        <w:tc>
          <w:tcPr>
            <w:tcW w:w="1669" w:type="dxa"/>
            <w:vMerge w:val="restart"/>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rFonts w:hint="eastAsia"/>
                <w:sz w:val="21"/>
                <w:szCs w:val="21"/>
              </w:rPr>
              <w:t>/</w:t>
            </w:r>
          </w:p>
        </w:tc>
        <w:tc>
          <w:tcPr>
            <w:tcW w:w="0" w:type="auto"/>
            <w:tcBorders>
              <w:tl2br w:val="nil"/>
              <w:tr2bl w:val="nil"/>
            </w:tcBorders>
            <w:shd w:val="clear" w:color="auto" w:fill="auto"/>
            <w:noWrap/>
            <w:vAlign w:val="center"/>
          </w:tcPr>
          <w:p w:rsidR="00E2424D" w:rsidRPr="005A3F4E" w:rsidRDefault="00E2424D" w:rsidP="00E2424D">
            <w:pPr>
              <w:pStyle w:val="afffffff2"/>
              <w:rPr>
                <w:sz w:val="21"/>
                <w:szCs w:val="21"/>
              </w:rPr>
            </w:pPr>
            <w:r w:rsidRPr="005A3F4E">
              <w:rPr>
                <w:rFonts w:hint="eastAsia"/>
                <w:sz w:val="21"/>
                <w:szCs w:val="21"/>
              </w:rPr>
              <w:t>/</w:t>
            </w:r>
          </w:p>
        </w:tc>
      </w:tr>
      <w:tr w:rsidR="00DF2A9A" w:rsidRPr="005A3F4E" w:rsidTr="00C81F57">
        <w:trPr>
          <w:trHeight w:val="276"/>
        </w:trPr>
        <w:tc>
          <w:tcPr>
            <w:tcW w:w="1180" w:type="dxa"/>
            <w:vMerge/>
            <w:tcBorders>
              <w:tl2br w:val="nil"/>
              <w:tr2bl w:val="nil"/>
            </w:tcBorders>
            <w:shd w:val="clear" w:color="auto" w:fill="auto"/>
            <w:noWrap/>
            <w:vAlign w:val="center"/>
          </w:tcPr>
          <w:p w:rsidR="00DF2A9A" w:rsidRPr="005A3F4E" w:rsidRDefault="00DF2A9A" w:rsidP="00DF2A9A">
            <w:pPr>
              <w:pStyle w:val="afffffff2"/>
              <w:rPr>
                <w:sz w:val="21"/>
                <w:szCs w:val="21"/>
              </w:rPr>
            </w:pPr>
          </w:p>
        </w:tc>
        <w:tc>
          <w:tcPr>
            <w:tcW w:w="1418" w:type="dxa"/>
            <w:tcBorders>
              <w:tl2br w:val="nil"/>
              <w:tr2bl w:val="nil"/>
            </w:tcBorders>
            <w:shd w:val="clear" w:color="auto" w:fill="auto"/>
            <w:noWrap/>
            <w:vAlign w:val="center"/>
          </w:tcPr>
          <w:p w:rsidR="00DF2A9A" w:rsidRPr="005A3F4E" w:rsidRDefault="00DF2A9A" w:rsidP="00DF2A9A">
            <w:pPr>
              <w:pStyle w:val="afffffff2"/>
              <w:rPr>
                <w:sz w:val="21"/>
                <w:szCs w:val="21"/>
              </w:rPr>
            </w:pPr>
            <w:r w:rsidRPr="005A3F4E">
              <w:rPr>
                <w:sz w:val="21"/>
                <w:szCs w:val="21"/>
              </w:rPr>
              <w:t>PM</w:t>
            </w:r>
            <w:r w:rsidRPr="005A3F4E">
              <w:rPr>
                <w:sz w:val="21"/>
                <w:szCs w:val="21"/>
                <w:vertAlign w:val="subscript"/>
              </w:rPr>
              <w:t>2.5</w:t>
            </w:r>
          </w:p>
        </w:tc>
        <w:tc>
          <w:tcPr>
            <w:tcW w:w="2138" w:type="dxa"/>
            <w:tcBorders>
              <w:tl2br w:val="nil"/>
              <w:tr2bl w:val="nil"/>
            </w:tcBorders>
            <w:shd w:val="clear" w:color="auto" w:fill="auto"/>
            <w:noWrap/>
            <w:vAlign w:val="center"/>
          </w:tcPr>
          <w:p w:rsidR="00DF2A9A" w:rsidRPr="005A3F4E" w:rsidRDefault="00DF2A9A" w:rsidP="00DF2A9A">
            <w:pPr>
              <w:pStyle w:val="afffffff2"/>
              <w:rPr>
                <w:sz w:val="21"/>
                <w:szCs w:val="21"/>
              </w:rPr>
            </w:pPr>
            <w:r>
              <w:rPr>
                <w:rFonts w:hint="eastAsia"/>
                <w:sz w:val="21"/>
                <w:szCs w:val="21"/>
              </w:rPr>
              <w:t>2</w:t>
            </w:r>
            <w:r>
              <w:rPr>
                <w:sz w:val="21"/>
                <w:szCs w:val="21"/>
              </w:rPr>
              <w:t>.09</w:t>
            </w:r>
            <w:r w:rsidRPr="005A3F4E">
              <w:rPr>
                <w:sz w:val="21"/>
                <w:szCs w:val="21"/>
              </w:rPr>
              <w:t>E-0</w:t>
            </w:r>
            <w:r>
              <w:rPr>
                <w:sz w:val="21"/>
                <w:szCs w:val="21"/>
              </w:rPr>
              <w:t>3</w:t>
            </w:r>
          </w:p>
        </w:tc>
        <w:tc>
          <w:tcPr>
            <w:tcW w:w="1122" w:type="dxa"/>
            <w:tcBorders>
              <w:tl2br w:val="nil"/>
              <w:tr2bl w:val="nil"/>
            </w:tcBorders>
            <w:shd w:val="clear" w:color="auto" w:fill="auto"/>
            <w:noWrap/>
            <w:vAlign w:val="center"/>
          </w:tcPr>
          <w:p w:rsidR="00DF2A9A" w:rsidRPr="005A3F4E" w:rsidRDefault="00DF2A9A" w:rsidP="00DF2A9A">
            <w:pPr>
              <w:pStyle w:val="afffffff2"/>
              <w:rPr>
                <w:sz w:val="21"/>
                <w:szCs w:val="21"/>
              </w:rPr>
            </w:pPr>
            <w:r>
              <w:rPr>
                <w:sz w:val="21"/>
                <w:szCs w:val="21"/>
              </w:rPr>
              <w:t>0.93</w:t>
            </w:r>
          </w:p>
        </w:tc>
        <w:tc>
          <w:tcPr>
            <w:tcW w:w="1669" w:type="dxa"/>
            <w:vMerge/>
            <w:tcBorders>
              <w:tl2br w:val="nil"/>
              <w:tr2bl w:val="nil"/>
            </w:tcBorders>
            <w:shd w:val="clear" w:color="auto" w:fill="auto"/>
            <w:noWrap/>
            <w:vAlign w:val="center"/>
          </w:tcPr>
          <w:p w:rsidR="00DF2A9A" w:rsidRPr="005A3F4E" w:rsidRDefault="00DF2A9A" w:rsidP="00DF2A9A">
            <w:pPr>
              <w:pStyle w:val="afffffff2"/>
              <w:rPr>
                <w:sz w:val="21"/>
                <w:szCs w:val="21"/>
              </w:rPr>
            </w:pPr>
          </w:p>
        </w:tc>
        <w:tc>
          <w:tcPr>
            <w:tcW w:w="0" w:type="auto"/>
            <w:tcBorders>
              <w:tl2br w:val="nil"/>
              <w:tr2bl w:val="nil"/>
            </w:tcBorders>
            <w:shd w:val="clear" w:color="auto" w:fill="auto"/>
            <w:noWrap/>
            <w:vAlign w:val="center"/>
          </w:tcPr>
          <w:p w:rsidR="00DF2A9A" w:rsidRPr="005A3F4E" w:rsidRDefault="00DF2A9A" w:rsidP="00DF2A9A">
            <w:pPr>
              <w:pStyle w:val="afffffff2"/>
              <w:rPr>
                <w:sz w:val="21"/>
                <w:szCs w:val="21"/>
              </w:rPr>
            </w:pPr>
            <w:r w:rsidRPr="005A3F4E">
              <w:rPr>
                <w:rFonts w:hint="eastAsia"/>
                <w:sz w:val="21"/>
                <w:szCs w:val="21"/>
              </w:rPr>
              <w:t>/</w:t>
            </w:r>
          </w:p>
        </w:tc>
      </w:tr>
      <w:tr w:rsidR="00DF2A9A" w:rsidRPr="005A3F4E" w:rsidTr="00C81F57">
        <w:trPr>
          <w:trHeight w:val="276"/>
        </w:trPr>
        <w:tc>
          <w:tcPr>
            <w:tcW w:w="1180" w:type="dxa"/>
            <w:vMerge/>
            <w:tcBorders>
              <w:tl2br w:val="nil"/>
              <w:tr2bl w:val="nil"/>
            </w:tcBorders>
            <w:shd w:val="clear" w:color="auto" w:fill="auto"/>
            <w:noWrap/>
            <w:vAlign w:val="center"/>
          </w:tcPr>
          <w:p w:rsidR="00DF2A9A" w:rsidRPr="005A3F4E" w:rsidRDefault="00DF2A9A" w:rsidP="00DF2A9A">
            <w:pPr>
              <w:pStyle w:val="afffffff2"/>
              <w:rPr>
                <w:sz w:val="21"/>
                <w:szCs w:val="21"/>
              </w:rPr>
            </w:pPr>
          </w:p>
        </w:tc>
        <w:tc>
          <w:tcPr>
            <w:tcW w:w="1418" w:type="dxa"/>
            <w:tcBorders>
              <w:tl2br w:val="nil"/>
              <w:tr2bl w:val="nil"/>
            </w:tcBorders>
            <w:shd w:val="clear" w:color="auto" w:fill="auto"/>
            <w:noWrap/>
            <w:vAlign w:val="center"/>
          </w:tcPr>
          <w:p w:rsidR="00DF2A9A" w:rsidRPr="005A3F4E" w:rsidRDefault="00DF2A9A" w:rsidP="00DF2A9A">
            <w:pPr>
              <w:pStyle w:val="afffffff2"/>
              <w:rPr>
                <w:sz w:val="21"/>
                <w:szCs w:val="21"/>
              </w:rPr>
            </w:pPr>
            <w:r w:rsidRPr="005A3F4E">
              <w:rPr>
                <w:rFonts w:hint="eastAsia"/>
                <w:sz w:val="21"/>
                <w:szCs w:val="21"/>
              </w:rPr>
              <w:t>非甲烷</w:t>
            </w:r>
            <w:r w:rsidRPr="005A3F4E">
              <w:rPr>
                <w:sz w:val="21"/>
                <w:szCs w:val="21"/>
              </w:rPr>
              <w:t>总烃</w:t>
            </w:r>
          </w:p>
        </w:tc>
        <w:tc>
          <w:tcPr>
            <w:tcW w:w="2138" w:type="dxa"/>
            <w:tcBorders>
              <w:tl2br w:val="nil"/>
              <w:tr2bl w:val="nil"/>
            </w:tcBorders>
            <w:shd w:val="clear" w:color="auto" w:fill="auto"/>
            <w:noWrap/>
            <w:vAlign w:val="center"/>
          </w:tcPr>
          <w:p w:rsidR="00DF2A9A" w:rsidRPr="005A3F4E" w:rsidRDefault="00DF2A9A" w:rsidP="00DF2A9A">
            <w:pPr>
              <w:pStyle w:val="afffffff2"/>
              <w:rPr>
                <w:sz w:val="21"/>
                <w:szCs w:val="21"/>
              </w:rPr>
            </w:pPr>
            <w:r>
              <w:rPr>
                <w:rFonts w:hint="eastAsia"/>
                <w:sz w:val="21"/>
                <w:szCs w:val="21"/>
              </w:rPr>
              <w:t>1</w:t>
            </w:r>
            <w:r>
              <w:rPr>
                <w:sz w:val="21"/>
                <w:szCs w:val="21"/>
              </w:rPr>
              <w:t>.12</w:t>
            </w:r>
            <w:r w:rsidRPr="005A3F4E">
              <w:rPr>
                <w:sz w:val="21"/>
                <w:szCs w:val="21"/>
              </w:rPr>
              <w:t>E-0</w:t>
            </w:r>
            <w:r>
              <w:rPr>
                <w:sz w:val="21"/>
                <w:szCs w:val="21"/>
              </w:rPr>
              <w:t>2</w:t>
            </w:r>
          </w:p>
        </w:tc>
        <w:tc>
          <w:tcPr>
            <w:tcW w:w="1122" w:type="dxa"/>
            <w:tcBorders>
              <w:tl2br w:val="nil"/>
              <w:tr2bl w:val="nil"/>
            </w:tcBorders>
            <w:shd w:val="clear" w:color="auto" w:fill="auto"/>
            <w:noWrap/>
            <w:vAlign w:val="center"/>
          </w:tcPr>
          <w:p w:rsidR="00DF2A9A" w:rsidRPr="005A3F4E" w:rsidRDefault="00DF2A9A" w:rsidP="00DF2A9A">
            <w:pPr>
              <w:pStyle w:val="afffffff2"/>
              <w:rPr>
                <w:sz w:val="21"/>
                <w:szCs w:val="21"/>
              </w:rPr>
            </w:pPr>
            <w:r>
              <w:rPr>
                <w:sz w:val="21"/>
                <w:szCs w:val="21"/>
              </w:rPr>
              <w:t>0.56</w:t>
            </w:r>
          </w:p>
        </w:tc>
        <w:tc>
          <w:tcPr>
            <w:tcW w:w="1669" w:type="dxa"/>
            <w:vMerge/>
            <w:tcBorders>
              <w:tl2br w:val="nil"/>
              <w:tr2bl w:val="nil"/>
            </w:tcBorders>
            <w:shd w:val="clear" w:color="auto" w:fill="auto"/>
            <w:noWrap/>
            <w:vAlign w:val="center"/>
          </w:tcPr>
          <w:p w:rsidR="00DF2A9A" w:rsidRPr="005A3F4E" w:rsidRDefault="00DF2A9A" w:rsidP="00DF2A9A">
            <w:pPr>
              <w:pStyle w:val="afffffff2"/>
              <w:rPr>
                <w:sz w:val="21"/>
                <w:szCs w:val="21"/>
              </w:rPr>
            </w:pPr>
          </w:p>
        </w:tc>
        <w:tc>
          <w:tcPr>
            <w:tcW w:w="0" w:type="auto"/>
            <w:tcBorders>
              <w:tl2br w:val="nil"/>
              <w:tr2bl w:val="nil"/>
            </w:tcBorders>
            <w:shd w:val="clear" w:color="auto" w:fill="auto"/>
            <w:noWrap/>
            <w:vAlign w:val="center"/>
          </w:tcPr>
          <w:p w:rsidR="00DF2A9A" w:rsidRPr="005A3F4E" w:rsidRDefault="00DF2A9A" w:rsidP="00DF2A9A">
            <w:pPr>
              <w:pStyle w:val="afffffff2"/>
              <w:rPr>
                <w:sz w:val="21"/>
                <w:szCs w:val="21"/>
              </w:rPr>
            </w:pPr>
            <w:r w:rsidRPr="005A3F4E">
              <w:rPr>
                <w:rFonts w:hint="eastAsia"/>
                <w:sz w:val="21"/>
                <w:szCs w:val="21"/>
              </w:rPr>
              <w:t>/</w:t>
            </w:r>
          </w:p>
        </w:tc>
      </w:tr>
      <w:tr w:rsidR="004E3021" w:rsidRPr="005A3F4E" w:rsidTr="00C81F57">
        <w:trPr>
          <w:trHeight w:val="276"/>
        </w:trPr>
        <w:tc>
          <w:tcPr>
            <w:tcW w:w="1180"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1418" w:type="dxa"/>
            <w:tcBorders>
              <w:tl2br w:val="nil"/>
              <w:tr2bl w:val="nil"/>
            </w:tcBorders>
            <w:shd w:val="clear" w:color="auto" w:fill="auto"/>
            <w:noWrap/>
            <w:vAlign w:val="center"/>
          </w:tcPr>
          <w:p w:rsidR="004E3021" w:rsidRPr="005A3F4E" w:rsidRDefault="00606E48">
            <w:pPr>
              <w:pStyle w:val="afffffff2"/>
              <w:rPr>
                <w:sz w:val="21"/>
                <w:szCs w:val="21"/>
              </w:rPr>
            </w:pPr>
            <w:r w:rsidRPr="005A3F4E">
              <w:rPr>
                <w:sz w:val="21"/>
                <w:szCs w:val="21"/>
              </w:rPr>
              <w:t>甲醇</w:t>
            </w:r>
          </w:p>
        </w:tc>
        <w:tc>
          <w:tcPr>
            <w:tcW w:w="2138" w:type="dxa"/>
            <w:tcBorders>
              <w:tl2br w:val="nil"/>
              <w:tr2bl w:val="nil"/>
            </w:tcBorders>
            <w:shd w:val="clear" w:color="auto" w:fill="auto"/>
            <w:noWrap/>
            <w:vAlign w:val="center"/>
          </w:tcPr>
          <w:p w:rsidR="004E3021" w:rsidRPr="005A3F4E" w:rsidRDefault="00E2424D">
            <w:pPr>
              <w:pStyle w:val="afffffff2"/>
              <w:rPr>
                <w:sz w:val="21"/>
                <w:szCs w:val="21"/>
              </w:rPr>
            </w:pPr>
            <w:r>
              <w:rPr>
                <w:rFonts w:hint="eastAsia"/>
                <w:sz w:val="21"/>
                <w:szCs w:val="21"/>
              </w:rPr>
              <w:t>6</w:t>
            </w:r>
            <w:r>
              <w:rPr>
                <w:sz w:val="21"/>
                <w:szCs w:val="21"/>
              </w:rPr>
              <w:t>.83</w:t>
            </w:r>
            <w:r w:rsidRPr="005A3F4E">
              <w:rPr>
                <w:sz w:val="21"/>
                <w:szCs w:val="21"/>
              </w:rPr>
              <w:t>E-0</w:t>
            </w:r>
            <w:r>
              <w:rPr>
                <w:sz w:val="21"/>
                <w:szCs w:val="21"/>
              </w:rPr>
              <w:t>3</w:t>
            </w:r>
          </w:p>
        </w:tc>
        <w:tc>
          <w:tcPr>
            <w:tcW w:w="1122" w:type="dxa"/>
            <w:tcBorders>
              <w:tl2br w:val="nil"/>
              <w:tr2bl w:val="nil"/>
            </w:tcBorders>
            <w:shd w:val="clear" w:color="auto" w:fill="auto"/>
            <w:noWrap/>
            <w:vAlign w:val="center"/>
          </w:tcPr>
          <w:p w:rsidR="004E3021" w:rsidRPr="005A3F4E" w:rsidRDefault="00DF2A9A">
            <w:pPr>
              <w:pStyle w:val="afffffff2"/>
              <w:rPr>
                <w:sz w:val="21"/>
                <w:szCs w:val="21"/>
              </w:rPr>
            </w:pPr>
            <w:r>
              <w:rPr>
                <w:sz w:val="21"/>
                <w:szCs w:val="21"/>
              </w:rPr>
              <w:t>0.23</w:t>
            </w:r>
          </w:p>
        </w:tc>
        <w:tc>
          <w:tcPr>
            <w:tcW w:w="1669"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0" w:type="auto"/>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w:t>
            </w:r>
          </w:p>
        </w:tc>
      </w:tr>
      <w:tr w:rsidR="004E3021" w:rsidRPr="005A3F4E" w:rsidTr="00C81F57">
        <w:trPr>
          <w:trHeight w:val="276"/>
        </w:trPr>
        <w:tc>
          <w:tcPr>
            <w:tcW w:w="1180" w:type="dxa"/>
            <w:vMerge w:val="restart"/>
            <w:tcBorders>
              <w:tl2br w:val="nil"/>
              <w:tr2bl w:val="nil"/>
            </w:tcBorders>
            <w:shd w:val="clear" w:color="auto" w:fill="auto"/>
            <w:noWrap/>
            <w:vAlign w:val="center"/>
          </w:tcPr>
          <w:p w:rsidR="004E3021" w:rsidRPr="005A3F4E" w:rsidRDefault="00E2424D">
            <w:pPr>
              <w:pStyle w:val="afffffff2"/>
              <w:rPr>
                <w:sz w:val="21"/>
                <w:szCs w:val="21"/>
              </w:rPr>
            </w:pPr>
            <w:r>
              <w:rPr>
                <w:rFonts w:hint="eastAsia"/>
                <w:sz w:val="21"/>
                <w:szCs w:val="21"/>
              </w:rPr>
              <w:t>乙炔</w:t>
            </w:r>
            <w:r w:rsidR="00606E48" w:rsidRPr="005A3F4E">
              <w:rPr>
                <w:sz w:val="21"/>
                <w:szCs w:val="21"/>
              </w:rPr>
              <w:t>车间</w:t>
            </w:r>
          </w:p>
        </w:tc>
        <w:tc>
          <w:tcPr>
            <w:tcW w:w="1418" w:type="dxa"/>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非甲烷</w:t>
            </w:r>
            <w:r w:rsidRPr="005A3F4E">
              <w:rPr>
                <w:sz w:val="21"/>
                <w:szCs w:val="21"/>
              </w:rPr>
              <w:t>总烃</w:t>
            </w:r>
          </w:p>
        </w:tc>
        <w:tc>
          <w:tcPr>
            <w:tcW w:w="2138" w:type="dxa"/>
            <w:tcBorders>
              <w:tl2br w:val="nil"/>
              <w:tr2bl w:val="nil"/>
            </w:tcBorders>
            <w:shd w:val="clear" w:color="auto" w:fill="auto"/>
            <w:noWrap/>
            <w:vAlign w:val="center"/>
          </w:tcPr>
          <w:p w:rsidR="004E3021" w:rsidRPr="005A3F4E" w:rsidRDefault="00E2424D">
            <w:pPr>
              <w:pStyle w:val="afffffff2"/>
              <w:rPr>
                <w:sz w:val="21"/>
                <w:szCs w:val="21"/>
              </w:rPr>
            </w:pPr>
            <w:r>
              <w:rPr>
                <w:sz w:val="21"/>
                <w:szCs w:val="21"/>
              </w:rPr>
              <w:t>4.88</w:t>
            </w:r>
            <w:r w:rsidRPr="005A3F4E">
              <w:rPr>
                <w:sz w:val="21"/>
                <w:szCs w:val="21"/>
              </w:rPr>
              <w:t>E-0</w:t>
            </w:r>
            <w:r>
              <w:rPr>
                <w:sz w:val="21"/>
                <w:szCs w:val="21"/>
              </w:rPr>
              <w:t>3</w:t>
            </w:r>
          </w:p>
        </w:tc>
        <w:tc>
          <w:tcPr>
            <w:tcW w:w="1122" w:type="dxa"/>
            <w:tcBorders>
              <w:tl2br w:val="nil"/>
              <w:tr2bl w:val="nil"/>
            </w:tcBorders>
            <w:shd w:val="clear" w:color="auto" w:fill="auto"/>
            <w:noWrap/>
            <w:vAlign w:val="center"/>
          </w:tcPr>
          <w:p w:rsidR="004E3021" w:rsidRPr="005A3F4E" w:rsidRDefault="00DF2A9A">
            <w:pPr>
              <w:pStyle w:val="afffffff2"/>
              <w:rPr>
                <w:sz w:val="21"/>
                <w:szCs w:val="21"/>
              </w:rPr>
            </w:pPr>
            <w:r>
              <w:rPr>
                <w:sz w:val="21"/>
                <w:szCs w:val="21"/>
              </w:rPr>
              <w:t>0.244</w:t>
            </w:r>
          </w:p>
        </w:tc>
        <w:tc>
          <w:tcPr>
            <w:tcW w:w="1669" w:type="dxa"/>
            <w:vMerge w:val="restart"/>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w:t>
            </w:r>
          </w:p>
        </w:tc>
        <w:tc>
          <w:tcPr>
            <w:tcW w:w="0" w:type="auto"/>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w:t>
            </w:r>
          </w:p>
        </w:tc>
      </w:tr>
      <w:tr w:rsidR="004E3021" w:rsidRPr="005A3F4E" w:rsidTr="00C81F57">
        <w:trPr>
          <w:trHeight w:val="276"/>
        </w:trPr>
        <w:tc>
          <w:tcPr>
            <w:tcW w:w="1180"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1418" w:type="dxa"/>
            <w:tcBorders>
              <w:tl2br w:val="nil"/>
              <w:tr2bl w:val="nil"/>
            </w:tcBorders>
            <w:shd w:val="clear" w:color="auto" w:fill="auto"/>
            <w:noWrap/>
            <w:vAlign w:val="center"/>
          </w:tcPr>
          <w:p w:rsidR="004E3021" w:rsidRPr="005A3F4E" w:rsidRDefault="00E2424D">
            <w:pPr>
              <w:pStyle w:val="afffffff2"/>
              <w:rPr>
                <w:sz w:val="21"/>
                <w:szCs w:val="21"/>
              </w:rPr>
            </w:pPr>
            <w:r>
              <w:rPr>
                <w:rFonts w:hint="eastAsia"/>
                <w:sz w:val="21"/>
                <w:szCs w:val="21"/>
              </w:rPr>
              <w:t>硫化氢</w:t>
            </w:r>
          </w:p>
        </w:tc>
        <w:tc>
          <w:tcPr>
            <w:tcW w:w="2138" w:type="dxa"/>
            <w:tcBorders>
              <w:tl2br w:val="nil"/>
              <w:tr2bl w:val="nil"/>
            </w:tcBorders>
            <w:shd w:val="clear" w:color="auto" w:fill="auto"/>
            <w:noWrap/>
            <w:vAlign w:val="center"/>
          </w:tcPr>
          <w:p w:rsidR="004E3021" w:rsidRPr="005A3F4E" w:rsidRDefault="00E2424D" w:rsidP="00E2424D">
            <w:pPr>
              <w:pStyle w:val="afffffff2"/>
              <w:rPr>
                <w:sz w:val="21"/>
                <w:szCs w:val="21"/>
              </w:rPr>
            </w:pPr>
            <w:r>
              <w:rPr>
                <w:sz w:val="21"/>
                <w:szCs w:val="21"/>
              </w:rPr>
              <w:t>6.97</w:t>
            </w:r>
            <w:r w:rsidRPr="005A3F4E">
              <w:rPr>
                <w:sz w:val="21"/>
                <w:szCs w:val="21"/>
              </w:rPr>
              <w:t>E-0</w:t>
            </w:r>
            <w:r>
              <w:rPr>
                <w:sz w:val="21"/>
                <w:szCs w:val="21"/>
              </w:rPr>
              <w:t>6</w:t>
            </w:r>
          </w:p>
        </w:tc>
        <w:tc>
          <w:tcPr>
            <w:tcW w:w="1122" w:type="dxa"/>
            <w:tcBorders>
              <w:tl2br w:val="nil"/>
              <w:tr2bl w:val="nil"/>
            </w:tcBorders>
            <w:shd w:val="clear" w:color="auto" w:fill="auto"/>
            <w:noWrap/>
            <w:vAlign w:val="center"/>
          </w:tcPr>
          <w:p w:rsidR="004E3021" w:rsidRPr="005A3F4E" w:rsidRDefault="00DF2A9A" w:rsidP="00DF2A9A">
            <w:pPr>
              <w:pStyle w:val="afffffff2"/>
              <w:rPr>
                <w:sz w:val="21"/>
                <w:szCs w:val="21"/>
              </w:rPr>
            </w:pPr>
            <w:r>
              <w:rPr>
                <w:sz w:val="21"/>
                <w:szCs w:val="21"/>
              </w:rPr>
              <w:t>0.07</w:t>
            </w:r>
          </w:p>
        </w:tc>
        <w:tc>
          <w:tcPr>
            <w:tcW w:w="1669" w:type="dxa"/>
            <w:vMerge/>
            <w:tcBorders>
              <w:tl2br w:val="nil"/>
              <w:tr2bl w:val="nil"/>
            </w:tcBorders>
            <w:shd w:val="clear" w:color="auto" w:fill="auto"/>
            <w:noWrap/>
            <w:vAlign w:val="center"/>
          </w:tcPr>
          <w:p w:rsidR="004E3021" w:rsidRPr="005A3F4E" w:rsidRDefault="004E3021">
            <w:pPr>
              <w:pStyle w:val="afffffff2"/>
              <w:rPr>
                <w:sz w:val="21"/>
                <w:szCs w:val="21"/>
              </w:rPr>
            </w:pPr>
          </w:p>
        </w:tc>
        <w:tc>
          <w:tcPr>
            <w:tcW w:w="0" w:type="auto"/>
            <w:tcBorders>
              <w:tl2br w:val="nil"/>
              <w:tr2bl w:val="nil"/>
            </w:tcBorders>
            <w:shd w:val="clear" w:color="auto" w:fill="auto"/>
            <w:noWrap/>
            <w:vAlign w:val="center"/>
          </w:tcPr>
          <w:p w:rsidR="004E3021" w:rsidRPr="005A3F4E" w:rsidRDefault="00606E48">
            <w:pPr>
              <w:pStyle w:val="afffffff2"/>
              <w:rPr>
                <w:sz w:val="21"/>
                <w:szCs w:val="21"/>
              </w:rPr>
            </w:pPr>
            <w:r w:rsidRPr="005A3F4E">
              <w:rPr>
                <w:rFonts w:hint="eastAsia"/>
                <w:sz w:val="21"/>
                <w:szCs w:val="21"/>
              </w:rPr>
              <w:t>/</w:t>
            </w:r>
          </w:p>
        </w:tc>
      </w:tr>
      <w:tr w:rsidR="00DF2A9A" w:rsidRPr="005A3F4E" w:rsidTr="00C81F57">
        <w:trPr>
          <w:trHeight w:val="276"/>
        </w:trPr>
        <w:tc>
          <w:tcPr>
            <w:tcW w:w="1180" w:type="dxa"/>
            <w:vMerge w:val="restart"/>
            <w:tcBorders>
              <w:tl2br w:val="nil"/>
              <w:tr2bl w:val="nil"/>
            </w:tcBorders>
            <w:shd w:val="clear" w:color="auto" w:fill="auto"/>
            <w:noWrap/>
            <w:vAlign w:val="center"/>
          </w:tcPr>
          <w:p w:rsidR="00DF2A9A" w:rsidRPr="005A3F4E" w:rsidRDefault="00DF2A9A" w:rsidP="00DF2A9A">
            <w:pPr>
              <w:pStyle w:val="afffffff2"/>
              <w:rPr>
                <w:sz w:val="21"/>
                <w:szCs w:val="21"/>
              </w:rPr>
            </w:pPr>
            <w:r>
              <w:rPr>
                <w:rFonts w:cs="Times New Roman" w:hint="eastAsia"/>
                <w:kern w:val="0"/>
                <w:sz w:val="21"/>
                <w:szCs w:val="21"/>
              </w:rPr>
              <w:t>污水处理设施</w:t>
            </w:r>
          </w:p>
        </w:tc>
        <w:tc>
          <w:tcPr>
            <w:tcW w:w="1418" w:type="dxa"/>
            <w:tcBorders>
              <w:tl2br w:val="nil"/>
              <w:tr2bl w:val="nil"/>
            </w:tcBorders>
            <w:shd w:val="clear" w:color="auto" w:fill="auto"/>
            <w:noWrap/>
            <w:vAlign w:val="center"/>
          </w:tcPr>
          <w:p w:rsidR="00DF2A9A" w:rsidRDefault="00DF2A9A" w:rsidP="00DF2A9A">
            <w:pPr>
              <w:pStyle w:val="afffffff2"/>
              <w:rPr>
                <w:sz w:val="21"/>
                <w:szCs w:val="21"/>
              </w:rPr>
            </w:pPr>
            <w:r w:rsidRPr="005A3F4E">
              <w:rPr>
                <w:rFonts w:hint="eastAsia"/>
                <w:sz w:val="21"/>
                <w:szCs w:val="21"/>
              </w:rPr>
              <w:t>非甲烷</w:t>
            </w:r>
            <w:r w:rsidRPr="005A3F4E">
              <w:rPr>
                <w:sz w:val="21"/>
                <w:szCs w:val="21"/>
              </w:rPr>
              <w:t>总烃</w:t>
            </w:r>
          </w:p>
        </w:tc>
        <w:tc>
          <w:tcPr>
            <w:tcW w:w="2138" w:type="dxa"/>
            <w:tcBorders>
              <w:tl2br w:val="nil"/>
              <w:tr2bl w:val="nil"/>
            </w:tcBorders>
            <w:shd w:val="clear" w:color="auto" w:fill="auto"/>
            <w:noWrap/>
            <w:vAlign w:val="center"/>
          </w:tcPr>
          <w:p w:rsidR="00DF2A9A" w:rsidRPr="005A3F4E" w:rsidRDefault="00DF2A9A" w:rsidP="00DF2A9A">
            <w:pPr>
              <w:pStyle w:val="afffffff2"/>
              <w:rPr>
                <w:sz w:val="21"/>
                <w:szCs w:val="21"/>
              </w:rPr>
            </w:pPr>
            <w:r>
              <w:rPr>
                <w:rFonts w:hint="eastAsia"/>
                <w:sz w:val="21"/>
                <w:szCs w:val="21"/>
              </w:rPr>
              <w:t>6</w:t>
            </w:r>
            <w:r>
              <w:rPr>
                <w:sz w:val="21"/>
                <w:szCs w:val="21"/>
              </w:rPr>
              <w:t>.58</w:t>
            </w:r>
            <w:r w:rsidRPr="005A3F4E">
              <w:rPr>
                <w:sz w:val="21"/>
                <w:szCs w:val="21"/>
              </w:rPr>
              <w:t>E-0</w:t>
            </w:r>
            <w:r>
              <w:rPr>
                <w:sz w:val="21"/>
                <w:szCs w:val="21"/>
              </w:rPr>
              <w:t>3</w:t>
            </w:r>
          </w:p>
        </w:tc>
        <w:tc>
          <w:tcPr>
            <w:tcW w:w="1122" w:type="dxa"/>
            <w:tcBorders>
              <w:tl2br w:val="nil"/>
              <w:tr2bl w:val="nil"/>
            </w:tcBorders>
            <w:shd w:val="clear" w:color="auto" w:fill="auto"/>
            <w:noWrap/>
            <w:vAlign w:val="center"/>
          </w:tcPr>
          <w:p w:rsidR="00DF2A9A" w:rsidRPr="005A3F4E" w:rsidRDefault="00DF2A9A" w:rsidP="00DF2A9A">
            <w:pPr>
              <w:pStyle w:val="afffffff2"/>
              <w:rPr>
                <w:sz w:val="21"/>
                <w:szCs w:val="21"/>
              </w:rPr>
            </w:pPr>
            <w:r>
              <w:rPr>
                <w:rFonts w:hint="eastAsia"/>
                <w:sz w:val="21"/>
                <w:szCs w:val="21"/>
              </w:rPr>
              <w:t>0</w:t>
            </w:r>
            <w:r>
              <w:rPr>
                <w:sz w:val="21"/>
                <w:szCs w:val="21"/>
              </w:rPr>
              <w:t>.33</w:t>
            </w:r>
          </w:p>
        </w:tc>
        <w:tc>
          <w:tcPr>
            <w:tcW w:w="1669" w:type="dxa"/>
            <w:tcBorders>
              <w:tl2br w:val="nil"/>
              <w:tr2bl w:val="nil"/>
            </w:tcBorders>
            <w:shd w:val="clear" w:color="auto" w:fill="auto"/>
            <w:noWrap/>
            <w:vAlign w:val="center"/>
          </w:tcPr>
          <w:p w:rsidR="00DF2A9A" w:rsidRPr="005A3F4E" w:rsidRDefault="00DF2A9A" w:rsidP="00DF2A9A">
            <w:pPr>
              <w:pStyle w:val="afffffff2"/>
              <w:rPr>
                <w:sz w:val="21"/>
                <w:szCs w:val="21"/>
              </w:rPr>
            </w:pPr>
            <w:r w:rsidRPr="005A3F4E">
              <w:rPr>
                <w:rFonts w:hint="eastAsia"/>
                <w:sz w:val="21"/>
                <w:szCs w:val="21"/>
              </w:rPr>
              <w:t>/</w:t>
            </w:r>
          </w:p>
        </w:tc>
        <w:tc>
          <w:tcPr>
            <w:tcW w:w="0" w:type="auto"/>
            <w:tcBorders>
              <w:tl2br w:val="nil"/>
              <w:tr2bl w:val="nil"/>
            </w:tcBorders>
            <w:shd w:val="clear" w:color="auto" w:fill="auto"/>
            <w:noWrap/>
            <w:vAlign w:val="center"/>
          </w:tcPr>
          <w:p w:rsidR="00DF2A9A" w:rsidRPr="005A3F4E" w:rsidRDefault="00DF2A9A" w:rsidP="00DF2A9A">
            <w:pPr>
              <w:pStyle w:val="afffffff2"/>
              <w:rPr>
                <w:sz w:val="21"/>
                <w:szCs w:val="21"/>
              </w:rPr>
            </w:pPr>
            <w:r w:rsidRPr="005A3F4E">
              <w:rPr>
                <w:rFonts w:hint="eastAsia"/>
                <w:sz w:val="21"/>
                <w:szCs w:val="21"/>
              </w:rPr>
              <w:t>/</w:t>
            </w:r>
          </w:p>
        </w:tc>
      </w:tr>
      <w:tr w:rsidR="00DF2A9A" w:rsidRPr="005A3F4E" w:rsidTr="00C81F57">
        <w:trPr>
          <w:trHeight w:val="276"/>
        </w:trPr>
        <w:tc>
          <w:tcPr>
            <w:tcW w:w="1180" w:type="dxa"/>
            <w:vMerge/>
            <w:tcBorders>
              <w:tl2br w:val="nil"/>
              <w:tr2bl w:val="nil"/>
            </w:tcBorders>
            <w:shd w:val="clear" w:color="auto" w:fill="auto"/>
            <w:noWrap/>
            <w:vAlign w:val="center"/>
          </w:tcPr>
          <w:p w:rsidR="00DF2A9A" w:rsidRPr="005A3F4E" w:rsidRDefault="00DF2A9A" w:rsidP="00DF2A9A">
            <w:pPr>
              <w:pStyle w:val="afffffff2"/>
              <w:rPr>
                <w:sz w:val="21"/>
                <w:szCs w:val="21"/>
              </w:rPr>
            </w:pPr>
          </w:p>
        </w:tc>
        <w:tc>
          <w:tcPr>
            <w:tcW w:w="1418" w:type="dxa"/>
            <w:tcBorders>
              <w:tl2br w:val="nil"/>
              <w:tr2bl w:val="nil"/>
            </w:tcBorders>
            <w:shd w:val="clear" w:color="auto" w:fill="auto"/>
            <w:noWrap/>
            <w:vAlign w:val="center"/>
          </w:tcPr>
          <w:p w:rsidR="00DF2A9A" w:rsidRDefault="00DF2A9A" w:rsidP="00DF2A9A">
            <w:pPr>
              <w:pStyle w:val="afffffff2"/>
              <w:rPr>
                <w:sz w:val="21"/>
                <w:szCs w:val="21"/>
              </w:rPr>
            </w:pPr>
            <w:r>
              <w:rPr>
                <w:rFonts w:hint="eastAsia"/>
                <w:sz w:val="21"/>
                <w:szCs w:val="21"/>
              </w:rPr>
              <w:t>氨</w:t>
            </w:r>
          </w:p>
        </w:tc>
        <w:tc>
          <w:tcPr>
            <w:tcW w:w="2138" w:type="dxa"/>
            <w:tcBorders>
              <w:tl2br w:val="nil"/>
              <w:tr2bl w:val="nil"/>
            </w:tcBorders>
            <w:shd w:val="clear" w:color="auto" w:fill="auto"/>
            <w:noWrap/>
            <w:vAlign w:val="center"/>
          </w:tcPr>
          <w:p w:rsidR="00DF2A9A" w:rsidRPr="005A3F4E" w:rsidRDefault="00DF2A9A" w:rsidP="00DF2A9A">
            <w:pPr>
              <w:pStyle w:val="afffffff2"/>
              <w:rPr>
                <w:sz w:val="21"/>
                <w:szCs w:val="21"/>
              </w:rPr>
            </w:pPr>
            <w:r>
              <w:rPr>
                <w:sz w:val="21"/>
                <w:szCs w:val="21"/>
              </w:rPr>
              <w:t>1.87</w:t>
            </w:r>
            <w:r w:rsidRPr="005A3F4E">
              <w:rPr>
                <w:sz w:val="21"/>
                <w:szCs w:val="21"/>
              </w:rPr>
              <w:t>E-0</w:t>
            </w:r>
            <w:r>
              <w:rPr>
                <w:sz w:val="21"/>
                <w:szCs w:val="21"/>
              </w:rPr>
              <w:t>4</w:t>
            </w:r>
          </w:p>
        </w:tc>
        <w:tc>
          <w:tcPr>
            <w:tcW w:w="1122" w:type="dxa"/>
            <w:tcBorders>
              <w:tl2br w:val="nil"/>
              <w:tr2bl w:val="nil"/>
            </w:tcBorders>
            <w:shd w:val="clear" w:color="auto" w:fill="auto"/>
            <w:noWrap/>
            <w:vAlign w:val="center"/>
          </w:tcPr>
          <w:p w:rsidR="00DF2A9A" w:rsidRPr="005A3F4E" w:rsidRDefault="00DF2A9A" w:rsidP="00DF2A9A">
            <w:pPr>
              <w:pStyle w:val="afffffff2"/>
              <w:rPr>
                <w:sz w:val="21"/>
                <w:szCs w:val="21"/>
              </w:rPr>
            </w:pPr>
            <w:r>
              <w:rPr>
                <w:rFonts w:hint="eastAsia"/>
                <w:sz w:val="21"/>
                <w:szCs w:val="21"/>
              </w:rPr>
              <w:t>0</w:t>
            </w:r>
            <w:r>
              <w:rPr>
                <w:sz w:val="21"/>
                <w:szCs w:val="21"/>
              </w:rPr>
              <w:t>.09</w:t>
            </w:r>
          </w:p>
        </w:tc>
        <w:tc>
          <w:tcPr>
            <w:tcW w:w="1669" w:type="dxa"/>
            <w:tcBorders>
              <w:tl2br w:val="nil"/>
              <w:tr2bl w:val="nil"/>
            </w:tcBorders>
            <w:shd w:val="clear" w:color="auto" w:fill="auto"/>
            <w:noWrap/>
            <w:vAlign w:val="center"/>
          </w:tcPr>
          <w:p w:rsidR="00DF2A9A" w:rsidRPr="005A3F4E" w:rsidRDefault="00DF2A9A" w:rsidP="00DF2A9A">
            <w:pPr>
              <w:pStyle w:val="afffffff2"/>
              <w:rPr>
                <w:sz w:val="21"/>
                <w:szCs w:val="21"/>
              </w:rPr>
            </w:pPr>
            <w:r w:rsidRPr="005A3F4E">
              <w:rPr>
                <w:rFonts w:hint="eastAsia"/>
                <w:sz w:val="21"/>
                <w:szCs w:val="21"/>
              </w:rPr>
              <w:t>/</w:t>
            </w:r>
          </w:p>
        </w:tc>
        <w:tc>
          <w:tcPr>
            <w:tcW w:w="0" w:type="auto"/>
            <w:tcBorders>
              <w:tl2br w:val="nil"/>
              <w:tr2bl w:val="nil"/>
            </w:tcBorders>
            <w:shd w:val="clear" w:color="auto" w:fill="auto"/>
            <w:noWrap/>
            <w:vAlign w:val="center"/>
          </w:tcPr>
          <w:p w:rsidR="00DF2A9A" w:rsidRPr="005A3F4E" w:rsidRDefault="00DF2A9A" w:rsidP="00DF2A9A">
            <w:pPr>
              <w:pStyle w:val="afffffff2"/>
              <w:rPr>
                <w:sz w:val="21"/>
                <w:szCs w:val="21"/>
              </w:rPr>
            </w:pPr>
            <w:r w:rsidRPr="005A3F4E">
              <w:rPr>
                <w:rFonts w:hint="eastAsia"/>
                <w:sz w:val="21"/>
                <w:szCs w:val="21"/>
              </w:rPr>
              <w:t>/</w:t>
            </w:r>
          </w:p>
        </w:tc>
      </w:tr>
      <w:tr w:rsidR="00DF2A9A" w:rsidRPr="005A3F4E" w:rsidTr="00C81F57">
        <w:trPr>
          <w:trHeight w:val="276"/>
        </w:trPr>
        <w:tc>
          <w:tcPr>
            <w:tcW w:w="1180" w:type="dxa"/>
            <w:vMerge/>
            <w:tcBorders>
              <w:tl2br w:val="nil"/>
              <w:tr2bl w:val="nil"/>
            </w:tcBorders>
            <w:shd w:val="clear" w:color="auto" w:fill="auto"/>
            <w:noWrap/>
            <w:vAlign w:val="center"/>
          </w:tcPr>
          <w:p w:rsidR="00DF2A9A" w:rsidRPr="005A3F4E" w:rsidRDefault="00DF2A9A" w:rsidP="00DF2A9A">
            <w:pPr>
              <w:pStyle w:val="afffffff2"/>
              <w:rPr>
                <w:sz w:val="21"/>
                <w:szCs w:val="21"/>
              </w:rPr>
            </w:pPr>
          </w:p>
        </w:tc>
        <w:tc>
          <w:tcPr>
            <w:tcW w:w="1418" w:type="dxa"/>
            <w:tcBorders>
              <w:tl2br w:val="nil"/>
              <w:tr2bl w:val="nil"/>
            </w:tcBorders>
            <w:shd w:val="clear" w:color="auto" w:fill="auto"/>
            <w:noWrap/>
            <w:vAlign w:val="center"/>
          </w:tcPr>
          <w:p w:rsidR="00DF2A9A" w:rsidRDefault="00DF2A9A" w:rsidP="00DF2A9A">
            <w:pPr>
              <w:pStyle w:val="afffffff2"/>
              <w:rPr>
                <w:sz w:val="21"/>
                <w:szCs w:val="21"/>
              </w:rPr>
            </w:pPr>
            <w:r>
              <w:rPr>
                <w:rFonts w:hint="eastAsia"/>
                <w:sz w:val="21"/>
                <w:szCs w:val="21"/>
              </w:rPr>
              <w:t>硫化氢</w:t>
            </w:r>
          </w:p>
        </w:tc>
        <w:tc>
          <w:tcPr>
            <w:tcW w:w="2138" w:type="dxa"/>
            <w:tcBorders>
              <w:tl2br w:val="nil"/>
              <w:tr2bl w:val="nil"/>
            </w:tcBorders>
            <w:shd w:val="clear" w:color="auto" w:fill="auto"/>
            <w:noWrap/>
            <w:vAlign w:val="center"/>
          </w:tcPr>
          <w:p w:rsidR="00DF2A9A" w:rsidRPr="005A3F4E" w:rsidRDefault="00DF2A9A" w:rsidP="00DF2A9A">
            <w:pPr>
              <w:pStyle w:val="afffffff2"/>
              <w:rPr>
                <w:sz w:val="21"/>
                <w:szCs w:val="21"/>
              </w:rPr>
            </w:pPr>
            <w:r>
              <w:rPr>
                <w:sz w:val="21"/>
                <w:szCs w:val="21"/>
              </w:rPr>
              <w:t>5.36</w:t>
            </w:r>
            <w:r w:rsidRPr="005A3F4E">
              <w:rPr>
                <w:sz w:val="21"/>
                <w:szCs w:val="21"/>
              </w:rPr>
              <w:t>E-0</w:t>
            </w:r>
            <w:r>
              <w:rPr>
                <w:sz w:val="21"/>
                <w:szCs w:val="21"/>
              </w:rPr>
              <w:t>5</w:t>
            </w:r>
          </w:p>
        </w:tc>
        <w:tc>
          <w:tcPr>
            <w:tcW w:w="1122" w:type="dxa"/>
            <w:tcBorders>
              <w:tl2br w:val="nil"/>
              <w:tr2bl w:val="nil"/>
            </w:tcBorders>
            <w:shd w:val="clear" w:color="auto" w:fill="auto"/>
            <w:noWrap/>
            <w:vAlign w:val="center"/>
          </w:tcPr>
          <w:p w:rsidR="00DF2A9A" w:rsidRPr="005A3F4E" w:rsidRDefault="00DF2A9A" w:rsidP="00DF2A9A">
            <w:pPr>
              <w:pStyle w:val="afffffff2"/>
              <w:rPr>
                <w:sz w:val="21"/>
                <w:szCs w:val="21"/>
              </w:rPr>
            </w:pPr>
            <w:r>
              <w:rPr>
                <w:rFonts w:hint="eastAsia"/>
                <w:sz w:val="21"/>
                <w:szCs w:val="21"/>
              </w:rPr>
              <w:t>0</w:t>
            </w:r>
            <w:r>
              <w:rPr>
                <w:sz w:val="21"/>
                <w:szCs w:val="21"/>
              </w:rPr>
              <w:t>.54</w:t>
            </w:r>
          </w:p>
        </w:tc>
        <w:tc>
          <w:tcPr>
            <w:tcW w:w="1669" w:type="dxa"/>
            <w:tcBorders>
              <w:tl2br w:val="nil"/>
              <w:tr2bl w:val="nil"/>
            </w:tcBorders>
            <w:shd w:val="clear" w:color="auto" w:fill="auto"/>
            <w:noWrap/>
            <w:vAlign w:val="center"/>
          </w:tcPr>
          <w:p w:rsidR="00DF2A9A" w:rsidRPr="005A3F4E" w:rsidRDefault="00DF2A9A" w:rsidP="00DF2A9A">
            <w:pPr>
              <w:pStyle w:val="afffffff2"/>
              <w:rPr>
                <w:sz w:val="21"/>
                <w:szCs w:val="21"/>
              </w:rPr>
            </w:pPr>
            <w:r w:rsidRPr="005A3F4E">
              <w:rPr>
                <w:rFonts w:hint="eastAsia"/>
                <w:sz w:val="21"/>
                <w:szCs w:val="21"/>
              </w:rPr>
              <w:t>/</w:t>
            </w:r>
          </w:p>
        </w:tc>
        <w:tc>
          <w:tcPr>
            <w:tcW w:w="0" w:type="auto"/>
            <w:tcBorders>
              <w:tl2br w:val="nil"/>
              <w:tr2bl w:val="nil"/>
            </w:tcBorders>
            <w:shd w:val="clear" w:color="auto" w:fill="auto"/>
            <w:noWrap/>
            <w:vAlign w:val="center"/>
          </w:tcPr>
          <w:p w:rsidR="00DF2A9A" w:rsidRPr="005A3F4E" w:rsidRDefault="00DF2A9A" w:rsidP="00DF2A9A">
            <w:pPr>
              <w:pStyle w:val="afffffff2"/>
              <w:rPr>
                <w:sz w:val="21"/>
                <w:szCs w:val="21"/>
              </w:rPr>
            </w:pPr>
            <w:r w:rsidRPr="005A3F4E">
              <w:rPr>
                <w:rFonts w:hint="eastAsia"/>
                <w:sz w:val="21"/>
                <w:szCs w:val="21"/>
              </w:rPr>
              <w:t>/</w:t>
            </w:r>
          </w:p>
        </w:tc>
      </w:tr>
    </w:tbl>
    <w:p w:rsidR="004E3021" w:rsidRDefault="00606E48">
      <w:pPr>
        <w:ind w:firstLine="480"/>
      </w:pPr>
      <w:r>
        <w:rPr>
          <w:rFonts w:ascii="宋体" w:hAnsi="宋体" w:hint="eastAsia"/>
        </w:rPr>
        <w:t>由表</w:t>
      </w:r>
      <w:r>
        <w:t>2.3.1-3</w:t>
      </w:r>
      <w:r>
        <w:rPr>
          <w:rFonts w:ascii="宋体" w:hAnsi="宋体" w:hint="eastAsia"/>
        </w:rPr>
        <w:t>可知，</w:t>
      </w:r>
      <w:r>
        <w:rPr>
          <w:rFonts w:hint="eastAsia"/>
        </w:rPr>
        <w:t>硅粉车间</w:t>
      </w:r>
      <w:r>
        <w:rPr>
          <w:rFonts w:hint="eastAsia"/>
        </w:rPr>
        <w:t>PM</w:t>
      </w:r>
      <w:r>
        <w:rPr>
          <w:rFonts w:hint="eastAsia"/>
          <w:vertAlign w:val="subscript"/>
        </w:rPr>
        <w:t>10</w:t>
      </w:r>
      <w:r>
        <w:rPr>
          <w:rFonts w:hint="eastAsia"/>
        </w:rPr>
        <w:t>、</w:t>
      </w:r>
      <w:r>
        <w:rPr>
          <w:rFonts w:hint="eastAsia"/>
        </w:rPr>
        <w:t>PM</w:t>
      </w:r>
      <w:r>
        <w:rPr>
          <w:rFonts w:hint="eastAsia"/>
          <w:vertAlign w:val="subscript"/>
        </w:rPr>
        <w:t>2.5</w:t>
      </w:r>
      <w:r>
        <w:t>的排放，占标率</w:t>
      </w:r>
      <w:r>
        <w:t>P</w:t>
      </w:r>
      <w:r>
        <w:rPr>
          <w:vertAlign w:val="subscript"/>
        </w:rPr>
        <w:t>max</w:t>
      </w:r>
      <w:r>
        <w:t>：</w:t>
      </w:r>
      <w:r w:rsidR="00DF2A9A">
        <w:t>60.67</w:t>
      </w:r>
      <w:r>
        <w:t>%&gt;10%</w:t>
      </w:r>
      <w:r>
        <w:rPr>
          <w:rFonts w:ascii="宋体" w:hAnsi="宋体" w:hint="eastAsia"/>
        </w:rPr>
        <w:t>。</w:t>
      </w:r>
    </w:p>
    <w:p w:rsidR="004E3021" w:rsidRDefault="00606E48">
      <w:pPr>
        <w:ind w:firstLine="480"/>
      </w:pPr>
      <w:r>
        <w:rPr>
          <w:rFonts w:ascii="宋体" w:hAnsi="宋体" w:hint="eastAsia"/>
        </w:rPr>
        <w:t>根据</w:t>
      </w:r>
      <w:r>
        <w:t>HJ2.2</w:t>
      </w:r>
      <w:r>
        <w:rPr>
          <w:rFonts w:ascii="宋体" w:hAnsi="宋体" w:hint="eastAsia"/>
        </w:rPr>
        <w:t>和表</w:t>
      </w:r>
      <w:r>
        <w:t>2.3.1-1</w:t>
      </w:r>
      <w:r>
        <w:rPr>
          <w:rFonts w:ascii="宋体" w:hAnsi="宋体" w:hint="eastAsia"/>
        </w:rPr>
        <w:t>评价工作等级判据，综合确定本项目大气环境影响评价工作等级为</w:t>
      </w:r>
      <w:r>
        <w:rPr>
          <w:rFonts w:hint="eastAsia"/>
        </w:rPr>
        <w:t>一级</w:t>
      </w:r>
      <w:r>
        <w:rPr>
          <w:rFonts w:ascii="宋体" w:hAnsi="宋体" w:hint="eastAsia"/>
        </w:rPr>
        <w:t>。</w:t>
      </w:r>
    </w:p>
    <w:p w:rsidR="004E3021" w:rsidRDefault="00606E48">
      <w:pPr>
        <w:pStyle w:val="4a"/>
      </w:pPr>
      <w:r>
        <w:rPr>
          <w:rFonts w:hint="eastAsia"/>
        </w:rPr>
        <w:t>2</w:t>
      </w:r>
      <w:r>
        <w:t>.3.1.2</w:t>
      </w:r>
      <w:r>
        <w:t>地表水环境影响评价等级</w:t>
      </w:r>
    </w:p>
    <w:p w:rsidR="00C81F57" w:rsidRDefault="001E21A1">
      <w:pPr>
        <w:ind w:firstLine="480"/>
        <w:sectPr w:rsidR="00C81F57">
          <w:pgSz w:w="11906" w:h="16838"/>
          <w:pgMar w:top="1440" w:right="1440" w:bottom="1440" w:left="1440" w:header="851" w:footer="992" w:gutter="0"/>
          <w:cols w:space="425"/>
          <w:docGrid w:type="lines" w:linePitch="326"/>
        </w:sectPr>
      </w:pPr>
      <w:r>
        <w:rPr>
          <w:rFonts w:ascii="宋体" w:hAnsi="宋体" w:hint="eastAsia"/>
        </w:rPr>
        <w:t>本</w:t>
      </w:r>
      <w:r w:rsidR="00606E48">
        <w:rPr>
          <w:rFonts w:ascii="宋体" w:hAnsi="宋体" w:hint="eastAsia"/>
        </w:rPr>
        <w:t>项目废水主要有生产废水、初期雨水及生活污水等，其中综合废水产生量为</w:t>
      </w:r>
      <w:r w:rsidR="00DF2A9A" w:rsidRPr="00DF2A9A">
        <w:rPr>
          <w:rFonts w:hint="eastAsia"/>
        </w:rPr>
        <w:t>1</w:t>
      </w:r>
      <w:r w:rsidR="00DF2A9A" w:rsidRPr="00DF2A9A">
        <w:t>53863.239</w:t>
      </w:r>
      <w:r w:rsidR="00606E48">
        <w:rPr>
          <w:rFonts w:hint="eastAsia"/>
        </w:rPr>
        <w:t>t/a</w:t>
      </w:r>
      <w:r w:rsidR="00606E48">
        <w:rPr>
          <w:rFonts w:ascii="宋体" w:hAnsi="宋体" w:hint="eastAsia"/>
        </w:rPr>
        <w:t>，经厂区污水处理区处理达到</w:t>
      </w:r>
      <w:r w:rsidR="00606E48">
        <w:rPr>
          <w:rFonts w:ascii="宋体" w:hAnsi="宋体"/>
        </w:rPr>
        <w:t>沫河口园区污水处理厂接管标准</w:t>
      </w:r>
      <w:r w:rsidR="00606E48">
        <w:rPr>
          <w:rFonts w:ascii="宋体" w:hAnsi="宋体" w:hint="eastAsia"/>
        </w:rPr>
        <w:t>、《污水综合排放标准》（</w:t>
      </w:r>
      <w:r w:rsidR="00606E48">
        <w:rPr>
          <w:rFonts w:hint="eastAsia"/>
        </w:rPr>
        <w:t>G</w:t>
      </w:r>
      <w:r w:rsidR="00606E48">
        <w:t>B8978-1996</w:t>
      </w:r>
      <w:r w:rsidR="00606E48">
        <w:rPr>
          <w:rFonts w:ascii="宋体" w:hAnsi="宋体" w:hint="eastAsia"/>
        </w:rPr>
        <w:t>）中表</w:t>
      </w:r>
      <w:r w:rsidR="00606E48">
        <w:rPr>
          <w:rFonts w:hint="eastAsia"/>
        </w:rPr>
        <w:t>4</w:t>
      </w:r>
      <w:r w:rsidR="00606E48">
        <w:rPr>
          <w:rFonts w:ascii="宋体" w:hAnsi="宋体" w:hint="eastAsia"/>
        </w:rPr>
        <w:t>的三级标准和</w:t>
      </w:r>
      <w:r w:rsidR="00606E48">
        <w:rPr>
          <w:rFonts w:hint="eastAsia"/>
        </w:rPr>
        <w:t>《无机化学工业污染物排放标准》（</w:t>
      </w:r>
      <w:r w:rsidR="00606E48">
        <w:rPr>
          <w:rFonts w:hint="eastAsia"/>
        </w:rPr>
        <w:t>GB31573-2015</w:t>
      </w:r>
      <w:r w:rsidR="00606E48">
        <w:rPr>
          <w:rFonts w:hint="eastAsia"/>
        </w:rPr>
        <w:t>）水污染物间接排放限值</w:t>
      </w:r>
      <w:r w:rsidR="00606E48">
        <w:rPr>
          <w:rFonts w:ascii="宋体" w:hAnsi="宋体" w:hint="eastAsia"/>
        </w:rPr>
        <w:t>后接管沫河口污水处理厂，尾水排入沫冲引河并</w:t>
      </w:r>
      <w:r w:rsidR="00C81F57">
        <w:rPr>
          <w:rFonts w:ascii="宋体" w:hAnsi="宋体" w:hint="eastAsia"/>
        </w:rPr>
        <w:t>经三浦大沟</w:t>
      </w:r>
      <w:r w:rsidR="00606E48">
        <w:rPr>
          <w:rFonts w:ascii="宋体" w:hAnsi="宋体" w:hint="eastAsia"/>
        </w:rPr>
        <w:t>汇入淮河。本项目为间接排放，对照《环境影响评价技术导则</w:t>
      </w:r>
      <w:r w:rsidR="00606E48">
        <w:t xml:space="preserve"> </w:t>
      </w:r>
      <w:r w:rsidR="00606E48">
        <w:rPr>
          <w:rFonts w:ascii="宋体" w:hAnsi="宋体"/>
        </w:rPr>
        <w:t>地</w:t>
      </w:r>
      <w:r w:rsidR="00606E48">
        <w:rPr>
          <w:rFonts w:ascii="宋体" w:hAnsi="宋体" w:hint="eastAsia"/>
        </w:rPr>
        <w:t>表水环境》（</w:t>
      </w:r>
      <w:r w:rsidR="00606E48">
        <w:t>HJ2.3-2018</w:t>
      </w:r>
      <w:r w:rsidR="00606E48">
        <w:rPr>
          <w:rFonts w:ascii="宋体" w:hAnsi="宋体" w:hint="eastAsia"/>
        </w:rPr>
        <w:t>）表</w:t>
      </w:r>
      <w:r w:rsidR="00606E48">
        <w:rPr>
          <w:rFonts w:hint="eastAsia"/>
        </w:rPr>
        <w:t>1</w:t>
      </w:r>
      <w:r w:rsidR="00606E48">
        <w:rPr>
          <w:rFonts w:ascii="宋体" w:hAnsi="宋体" w:hint="eastAsia"/>
        </w:rPr>
        <w:t>中水污染影响型建设项目评价等级判定，本项目地表水环境影响评价工作等级为三级</w:t>
      </w:r>
      <w:r w:rsidR="00606E48">
        <w:t>B</w:t>
      </w:r>
      <w:r w:rsidR="00606E48">
        <w:rPr>
          <w:rFonts w:ascii="宋体" w:hAnsi="宋体" w:hint="eastAsia"/>
        </w:rPr>
        <w:t>，具体判定结果见表</w:t>
      </w:r>
      <w:r w:rsidR="00606E48">
        <w:rPr>
          <w:rFonts w:hint="eastAsia"/>
        </w:rPr>
        <w:t>2</w:t>
      </w:r>
      <w:r w:rsidR="00606E48">
        <w:t>.3.1-4</w:t>
      </w:r>
      <w:r w:rsidR="00606E48">
        <w:rPr>
          <w:rFonts w:hint="eastAsia"/>
        </w:rPr>
        <w:t>。</w:t>
      </w:r>
    </w:p>
    <w:p w:rsidR="004E3021" w:rsidRDefault="00606E48">
      <w:pPr>
        <w:spacing w:line="500" w:lineRule="exact"/>
        <w:ind w:firstLineChars="0" w:firstLine="0"/>
        <w:jc w:val="center"/>
        <w:rPr>
          <w:rFonts w:eastAsia="黑体"/>
        </w:rPr>
      </w:pPr>
      <w:r>
        <w:rPr>
          <w:rFonts w:ascii="黑体" w:eastAsia="黑体" w:hAnsi="黑体" w:hint="eastAsia"/>
        </w:rPr>
        <w:lastRenderedPageBreak/>
        <w:t>表</w:t>
      </w:r>
      <w:r>
        <w:rPr>
          <w:rFonts w:eastAsia="黑体"/>
        </w:rPr>
        <w:t xml:space="preserve">2.3.1-4  </w:t>
      </w:r>
      <w:r>
        <w:rPr>
          <w:rFonts w:ascii="黑体" w:eastAsia="黑体" w:hAnsi="黑体" w:hint="eastAsia"/>
        </w:rPr>
        <w:t>地表水环境评价工作等级判定表</w:t>
      </w:r>
    </w:p>
    <w:tbl>
      <w:tblPr>
        <w:tblStyle w:val="afff"/>
        <w:tblW w:w="5000" w:type="pct"/>
        <w:tblLayout w:type="fixed"/>
        <w:tblLook w:val="04A0" w:firstRow="1" w:lastRow="0" w:firstColumn="1" w:lastColumn="0" w:noHBand="0" w:noVBand="1"/>
      </w:tblPr>
      <w:tblGrid>
        <w:gridCol w:w="2269"/>
        <w:gridCol w:w="2835"/>
        <w:gridCol w:w="3922"/>
      </w:tblGrid>
      <w:tr w:rsidR="004E3021" w:rsidRPr="001E21A1" w:rsidTr="001E21A1">
        <w:trPr>
          <w:trHeight w:val="349"/>
        </w:trPr>
        <w:tc>
          <w:tcPr>
            <w:tcW w:w="2269" w:type="dxa"/>
            <w:vMerge w:val="restart"/>
            <w:vAlign w:val="center"/>
          </w:tcPr>
          <w:p w:rsidR="004E3021" w:rsidRPr="001E21A1" w:rsidRDefault="00606E48" w:rsidP="001E21A1">
            <w:pPr>
              <w:pStyle w:val="afffffff2"/>
              <w:rPr>
                <w:rFonts w:ascii="Times New Roman" w:hAnsi="Times New Roman" w:cs="Times New Roman"/>
                <w:b/>
                <w:kern w:val="0"/>
                <w:sz w:val="21"/>
                <w:szCs w:val="21"/>
              </w:rPr>
            </w:pPr>
            <w:r w:rsidRPr="001E21A1">
              <w:rPr>
                <w:rFonts w:ascii="Times New Roman" w:hAnsi="Times New Roman" w:cs="Times New Roman"/>
                <w:b/>
                <w:kern w:val="0"/>
                <w:sz w:val="21"/>
                <w:szCs w:val="21"/>
              </w:rPr>
              <w:t>评价等级</w:t>
            </w:r>
          </w:p>
        </w:tc>
        <w:tc>
          <w:tcPr>
            <w:tcW w:w="6757" w:type="dxa"/>
            <w:gridSpan w:val="2"/>
            <w:vAlign w:val="center"/>
          </w:tcPr>
          <w:p w:rsidR="004E3021" w:rsidRPr="001E21A1" w:rsidRDefault="00606E48" w:rsidP="001E21A1">
            <w:pPr>
              <w:pStyle w:val="afffffff2"/>
              <w:rPr>
                <w:rFonts w:ascii="Times New Roman" w:hAnsi="Times New Roman" w:cs="Times New Roman"/>
                <w:b/>
                <w:kern w:val="0"/>
                <w:sz w:val="21"/>
                <w:szCs w:val="21"/>
              </w:rPr>
            </w:pPr>
            <w:r w:rsidRPr="001E21A1">
              <w:rPr>
                <w:rFonts w:ascii="Times New Roman" w:hAnsi="Times New Roman" w:cs="Times New Roman"/>
                <w:b/>
                <w:kern w:val="0"/>
                <w:sz w:val="21"/>
                <w:szCs w:val="21"/>
              </w:rPr>
              <w:t>判定依据</w:t>
            </w:r>
          </w:p>
        </w:tc>
      </w:tr>
      <w:tr w:rsidR="004E3021" w:rsidRPr="001E21A1" w:rsidTr="001E21A1">
        <w:trPr>
          <w:trHeight w:val="349"/>
        </w:trPr>
        <w:tc>
          <w:tcPr>
            <w:tcW w:w="2269" w:type="dxa"/>
            <w:vMerge/>
            <w:vAlign w:val="center"/>
          </w:tcPr>
          <w:p w:rsidR="004E3021" w:rsidRPr="001E21A1" w:rsidRDefault="004E3021" w:rsidP="001E21A1">
            <w:pPr>
              <w:pStyle w:val="afffffff2"/>
              <w:rPr>
                <w:rFonts w:ascii="Times New Roman" w:hAnsi="Times New Roman" w:cs="Times New Roman"/>
                <w:b/>
                <w:kern w:val="0"/>
                <w:sz w:val="21"/>
                <w:szCs w:val="21"/>
              </w:rPr>
            </w:pPr>
          </w:p>
        </w:tc>
        <w:tc>
          <w:tcPr>
            <w:tcW w:w="2835" w:type="dxa"/>
            <w:vAlign w:val="center"/>
          </w:tcPr>
          <w:p w:rsidR="004E3021" w:rsidRPr="001E21A1" w:rsidRDefault="00606E48" w:rsidP="001E21A1">
            <w:pPr>
              <w:pStyle w:val="afffffff2"/>
              <w:rPr>
                <w:rFonts w:ascii="Times New Roman" w:hAnsi="Times New Roman" w:cs="Times New Roman"/>
                <w:b/>
                <w:kern w:val="0"/>
                <w:sz w:val="21"/>
                <w:szCs w:val="21"/>
              </w:rPr>
            </w:pPr>
            <w:r w:rsidRPr="001E21A1">
              <w:rPr>
                <w:rFonts w:ascii="Times New Roman" w:hAnsi="Times New Roman" w:cs="Times New Roman"/>
                <w:b/>
                <w:kern w:val="0"/>
                <w:sz w:val="21"/>
                <w:szCs w:val="21"/>
              </w:rPr>
              <w:t>排放方式</w:t>
            </w:r>
          </w:p>
        </w:tc>
        <w:tc>
          <w:tcPr>
            <w:tcW w:w="3922" w:type="dxa"/>
            <w:vAlign w:val="center"/>
          </w:tcPr>
          <w:p w:rsidR="004E3021" w:rsidRPr="001E21A1" w:rsidRDefault="00606E48" w:rsidP="001E21A1">
            <w:pPr>
              <w:pStyle w:val="afffffff2"/>
              <w:rPr>
                <w:rFonts w:ascii="Times New Roman" w:hAnsi="Times New Roman" w:cs="Times New Roman"/>
                <w:b/>
                <w:kern w:val="0"/>
                <w:sz w:val="21"/>
                <w:szCs w:val="21"/>
              </w:rPr>
            </w:pPr>
            <w:r w:rsidRPr="001E21A1">
              <w:rPr>
                <w:rFonts w:ascii="Times New Roman" w:hAnsi="Times New Roman" w:cs="Times New Roman"/>
                <w:b/>
                <w:kern w:val="0"/>
                <w:sz w:val="21"/>
                <w:szCs w:val="21"/>
              </w:rPr>
              <w:t>废水排放量</w:t>
            </w:r>
            <w:r w:rsidRPr="001E21A1">
              <w:rPr>
                <w:rFonts w:ascii="Times New Roman" w:hAnsi="Times New Roman" w:cs="Times New Roman"/>
                <w:b/>
                <w:kern w:val="0"/>
                <w:sz w:val="21"/>
                <w:szCs w:val="21"/>
              </w:rPr>
              <w:t>Q/</w:t>
            </w:r>
            <w:r w:rsidRPr="001E21A1">
              <w:rPr>
                <w:rFonts w:ascii="Times New Roman" w:hAnsi="Times New Roman" w:cs="Times New Roman"/>
                <w:b/>
                <w:kern w:val="0"/>
                <w:sz w:val="21"/>
                <w:szCs w:val="21"/>
              </w:rPr>
              <w:t>（</w:t>
            </w:r>
            <w:r w:rsidRPr="001E21A1">
              <w:rPr>
                <w:rFonts w:ascii="Times New Roman" w:hAnsi="Times New Roman" w:cs="Times New Roman"/>
                <w:b/>
                <w:kern w:val="0"/>
                <w:sz w:val="21"/>
                <w:szCs w:val="21"/>
              </w:rPr>
              <w:t>m</w:t>
            </w:r>
            <w:r w:rsidRPr="001E21A1">
              <w:rPr>
                <w:rFonts w:ascii="Times New Roman" w:hAnsi="Times New Roman" w:cs="Times New Roman"/>
                <w:b/>
                <w:kern w:val="0"/>
                <w:sz w:val="21"/>
                <w:szCs w:val="21"/>
                <w:vertAlign w:val="superscript"/>
              </w:rPr>
              <w:t>3</w:t>
            </w:r>
            <w:r w:rsidRPr="001E21A1">
              <w:rPr>
                <w:rFonts w:ascii="Times New Roman" w:hAnsi="Times New Roman" w:cs="Times New Roman"/>
                <w:b/>
                <w:kern w:val="0"/>
                <w:sz w:val="21"/>
                <w:szCs w:val="21"/>
              </w:rPr>
              <w:t>/d</w:t>
            </w:r>
            <w:r w:rsidRPr="001E21A1">
              <w:rPr>
                <w:rFonts w:ascii="Times New Roman" w:hAnsi="Times New Roman" w:cs="Times New Roman"/>
                <w:b/>
                <w:kern w:val="0"/>
                <w:sz w:val="21"/>
                <w:szCs w:val="21"/>
              </w:rPr>
              <w:t>）；</w:t>
            </w:r>
          </w:p>
          <w:p w:rsidR="004E3021" w:rsidRPr="001E21A1" w:rsidRDefault="00606E48" w:rsidP="001E21A1">
            <w:pPr>
              <w:pStyle w:val="afffffff2"/>
              <w:rPr>
                <w:rFonts w:ascii="Times New Roman" w:hAnsi="Times New Roman" w:cs="Times New Roman"/>
                <w:b/>
                <w:kern w:val="0"/>
                <w:sz w:val="21"/>
                <w:szCs w:val="21"/>
              </w:rPr>
            </w:pPr>
            <w:r w:rsidRPr="001E21A1">
              <w:rPr>
                <w:rFonts w:ascii="Times New Roman" w:hAnsi="Times New Roman" w:cs="Times New Roman"/>
                <w:b/>
                <w:kern w:val="0"/>
                <w:sz w:val="21"/>
                <w:szCs w:val="21"/>
              </w:rPr>
              <w:t>水污染物当量数</w:t>
            </w:r>
            <w:r w:rsidRPr="001E21A1">
              <w:rPr>
                <w:rFonts w:ascii="Times New Roman" w:hAnsi="Times New Roman" w:cs="Times New Roman"/>
                <w:b/>
                <w:kern w:val="0"/>
                <w:sz w:val="21"/>
                <w:szCs w:val="21"/>
              </w:rPr>
              <w:t>W/</w:t>
            </w:r>
            <w:r w:rsidRPr="001E21A1">
              <w:rPr>
                <w:rFonts w:ascii="Times New Roman" w:hAnsi="Times New Roman" w:cs="Times New Roman"/>
                <w:b/>
                <w:kern w:val="0"/>
                <w:sz w:val="21"/>
                <w:szCs w:val="21"/>
              </w:rPr>
              <w:t>（无量纲）</w:t>
            </w:r>
          </w:p>
        </w:tc>
      </w:tr>
      <w:tr w:rsidR="004E3021" w:rsidRPr="001E21A1" w:rsidTr="001E21A1">
        <w:trPr>
          <w:trHeight w:val="329"/>
        </w:trPr>
        <w:tc>
          <w:tcPr>
            <w:tcW w:w="2269"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一级</w:t>
            </w:r>
          </w:p>
        </w:tc>
        <w:tc>
          <w:tcPr>
            <w:tcW w:w="2835"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直接排放</w:t>
            </w:r>
          </w:p>
        </w:tc>
        <w:tc>
          <w:tcPr>
            <w:tcW w:w="3922"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Q≥20000</w:t>
            </w:r>
            <w:r w:rsidRPr="001E21A1">
              <w:rPr>
                <w:rFonts w:ascii="Times New Roman" w:hAnsi="Times New Roman" w:cs="Times New Roman"/>
                <w:kern w:val="0"/>
                <w:sz w:val="21"/>
                <w:szCs w:val="21"/>
              </w:rPr>
              <w:t>或</w:t>
            </w:r>
            <w:r w:rsidRPr="001E21A1">
              <w:rPr>
                <w:rFonts w:ascii="Times New Roman" w:hAnsi="Times New Roman" w:cs="Times New Roman"/>
                <w:kern w:val="0"/>
                <w:sz w:val="21"/>
                <w:szCs w:val="21"/>
              </w:rPr>
              <w:t>W≥600000</w:t>
            </w:r>
          </w:p>
        </w:tc>
      </w:tr>
      <w:tr w:rsidR="004E3021" w:rsidRPr="001E21A1" w:rsidTr="001E21A1">
        <w:trPr>
          <w:trHeight w:val="329"/>
        </w:trPr>
        <w:tc>
          <w:tcPr>
            <w:tcW w:w="2269"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二级</w:t>
            </w:r>
          </w:p>
        </w:tc>
        <w:tc>
          <w:tcPr>
            <w:tcW w:w="2835"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直接排放</w:t>
            </w:r>
          </w:p>
        </w:tc>
        <w:tc>
          <w:tcPr>
            <w:tcW w:w="3922"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其他</w:t>
            </w:r>
          </w:p>
        </w:tc>
      </w:tr>
      <w:tr w:rsidR="004E3021" w:rsidRPr="001E21A1" w:rsidTr="001E21A1">
        <w:trPr>
          <w:trHeight w:val="329"/>
        </w:trPr>
        <w:tc>
          <w:tcPr>
            <w:tcW w:w="2269"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三级</w:t>
            </w:r>
            <w:r w:rsidRPr="001E21A1">
              <w:rPr>
                <w:rFonts w:ascii="Times New Roman" w:hAnsi="Times New Roman" w:cs="Times New Roman"/>
                <w:kern w:val="0"/>
                <w:sz w:val="21"/>
                <w:szCs w:val="21"/>
              </w:rPr>
              <w:t>A</w:t>
            </w:r>
          </w:p>
        </w:tc>
        <w:tc>
          <w:tcPr>
            <w:tcW w:w="2835"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直接排放</w:t>
            </w:r>
          </w:p>
        </w:tc>
        <w:tc>
          <w:tcPr>
            <w:tcW w:w="3922"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Q</w:t>
            </w:r>
            <w:r w:rsidRPr="001E21A1">
              <w:rPr>
                <w:rFonts w:ascii="Times New Roman" w:hAnsi="Times New Roman" w:cs="Times New Roman"/>
                <w:kern w:val="0"/>
                <w:sz w:val="21"/>
                <w:szCs w:val="21"/>
              </w:rPr>
              <w:t>＜</w:t>
            </w:r>
            <w:r w:rsidRPr="001E21A1">
              <w:rPr>
                <w:rFonts w:ascii="Times New Roman" w:hAnsi="Times New Roman" w:cs="Times New Roman"/>
                <w:kern w:val="0"/>
                <w:sz w:val="21"/>
                <w:szCs w:val="21"/>
              </w:rPr>
              <w:t>200</w:t>
            </w:r>
            <w:r w:rsidRPr="001E21A1">
              <w:rPr>
                <w:rFonts w:ascii="Times New Roman" w:hAnsi="Times New Roman" w:cs="Times New Roman"/>
                <w:kern w:val="0"/>
                <w:sz w:val="21"/>
                <w:szCs w:val="21"/>
              </w:rPr>
              <w:t>且</w:t>
            </w:r>
            <w:r w:rsidRPr="001E21A1">
              <w:rPr>
                <w:rFonts w:ascii="Times New Roman" w:hAnsi="Times New Roman" w:cs="Times New Roman"/>
                <w:kern w:val="0"/>
                <w:sz w:val="21"/>
                <w:szCs w:val="21"/>
              </w:rPr>
              <w:t>W</w:t>
            </w:r>
            <w:r w:rsidRPr="001E21A1">
              <w:rPr>
                <w:rFonts w:ascii="Times New Roman" w:hAnsi="Times New Roman" w:cs="Times New Roman"/>
                <w:kern w:val="0"/>
                <w:sz w:val="21"/>
                <w:szCs w:val="21"/>
              </w:rPr>
              <w:t>＜</w:t>
            </w:r>
            <w:r w:rsidRPr="001E21A1">
              <w:rPr>
                <w:rFonts w:ascii="Times New Roman" w:hAnsi="Times New Roman" w:cs="Times New Roman"/>
                <w:kern w:val="0"/>
                <w:sz w:val="21"/>
                <w:szCs w:val="21"/>
              </w:rPr>
              <w:t>6000</w:t>
            </w:r>
          </w:p>
        </w:tc>
      </w:tr>
      <w:tr w:rsidR="004E3021" w:rsidRPr="001E21A1" w:rsidTr="001E21A1">
        <w:trPr>
          <w:trHeight w:val="329"/>
        </w:trPr>
        <w:tc>
          <w:tcPr>
            <w:tcW w:w="2269" w:type="dxa"/>
            <w:shd w:val="clear" w:color="auto" w:fill="A6A6A6" w:themeFill="background1" w:themeFillShade="A6"/>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三级</w:t>
            </w:r>
            <w:r w:rsidRPr="001E21A1">
              <w:rPr>
                <w:rFonts w:ascii="Times New Roman" w:hAnsi="Times New Roman" w:cs="Times New Roman"/>
                <w:kern w:val="0"/>
                <w:sz w:val="21"/>
                <w:szCs w:val="21"/>
              </w:rPr>
              <w:t>B</w:t>
            </w:r>
          </w:p>
        </w:tc>
        <w:tc>
          <w:tcPr>
            <w:tcW w:w="2835" w:type="dxa"/>
            <w:shd w:val="clear" w:color="auto" w:fill="A6A6A6" w:themeFill="background1" w:themeFillShade="A6"/>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间接排放</w:t>
            </w:r>
          </w:p>
        </w:tc>
        <w:tc>
          <w:tcPr>
            <w:tcW w:w="3922" w:type="dxa"/>
            <w:shd w:val="clear" w:color="auto" w:fill="A6A6A6" w:themeFill="background1" w:themeFillShade="A6"/>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w:t>
            </w:r>
          </w:p>
        </w:tc>
      </w:tr>
    </w:tbl>
    <w:p w:rsidR="004E3021" w:rsidRDefault="00606E48">
      <w:pPr>
        <w:pStyle w:val="4a"/>
      </w:pPr>
      <w:r>
        <w:rPr>
          <w:rFonts w:hint="eastAsia"/>
        </w:rPr>
        <w:t>2</w:t>
      </w:r>
      <w:r>
        <w:t>.3.1.3</w:t>
      </w:r>
      <w:r>
        <w:t>声环境影响评价等级</w:t>
      </w:r>
    </w:p>
    <w:p w:rsidR="004E3021" w:rsidRDefault="001E21A1">
      <w:pPr>
        <w:ind w:firstLine="480"/>
      </w:pPr>
      <w:r>
        <w:rPr>
          <w:rFonts w:ascii="宋体" w:hAnsi="宋体" w:hint="eastAsia"/>
        </w:rPr>
        <w:t>本</w:t>
      </w:r>
      <w:r w:rsidR="00606E48">
        <w:rPr>
          <w:rFonts w:ascii="宋体" w:hAnsi="宋体"/>
        </w:rPr>
        <w:t>项目位于</w:t>
      </w:r>
      <w:r w:rsidR="00606E48">
        <w:rPr>
          <w:rFonts w:hint="eastAsia"/>
        </w:rPr>
        <w:t>蚌埠精细化工高新技术产业基地</w:t>
      </w:r>
      <w:r w:rsidR="00606E48">
        <w:rPr>
          <w:rFonts w:ascii="宋体" w:hAnsi="宋体" w:hint="eastAsia"/>
        </w:rPr>
        <w:t>内，所在地为声环境功能区规定的</w:t>
      </w:r>
      <w:r w:rsidR="00606E48">
        <w:rPr>
          <w:rFonts w:hint="eastAsia"/>
        </w:rPr>
        <w:t>3</w:t>
      </w:r>
      <w:r w:rsidR="00606E48">
        <w:rPr>
          <w:rFonts w:ascii="宋体" w:hAnsi="宋体" w:hint="eastAsia"/>
        </w:rPr>
        <w:t>类区，项目建设前后敏感目标噪声级增加量小于</w:t>
      </w:r>
      <w:r w:rsidR="00606E48">
        <w:rPr>
          <w:rFonts w:hint="eastAsia"/>
        </w:rPr>
        <w:t>3d</w:t>
      </w:r>
      <w:r w:rsidR="00606E48">
        <w:t>B</w:t>
      </w:r>
      <w:r w:rsidR="00606E48">
        <w:rPr>
          <w:rFonts w:ascii="宋体" w:hAnsi="宋体" w:hint="eastAsia"/>
        </w:rPr>
        <w:t>（</w:t>
      </w:r>
      <w:r w:rsidR="00606E48">
        <w:rPr>
          <w:rFonts w:hint="eastAsia"/>
        </w:rPr>
        <w:t>A</w:t>
      </w:r>
      <w:r w:rsidR="00606E48">
        <w:rPr>
          <w:rFonts w:ascii="宋体" w:hAnsi="宋体" w:hint="eastAsia"/>
        </w:rPr>
        <w:t>），且影响人口数量变化不大，根据《环境影响评价技术导则 声环境》（</w:t>
      </w:r>
      <w:r w:rsidR="00606E48">
        <w:rPr>
          <w:rFonts w:hint="eastAsia"/>
        </w:rPr>
        <w:t>H</w:t>
      </w:r>
      <w:r w:rsidR="00606E48">
        <w:t>J2.4-2021</w:t>
      </w:r>
      <w:r w:rsidR="00606E48">
        <w:rPr>
          <w:rFonts w:ascii="宋体" w:hAnsi="宋体" w:hint="eastAsia"/>
        </w:rPr>
        <w:t>），判定本项目声环境影响评价工作等级为三级。</w:t>
      </w:r>
    </w:p>
    <w:p w:rsidR="004E3021" w:rsidRDefault="00606E48">
      <w:pPr>
        <w:pStyle w:val="4a"/>
      </w:pPr>
      <w:r>
        <w:rPr>
          <w:rFonts w:hint="eastAsia"/>
        </w:rPr>
        <w:t>2</w:t>
      </w:r>
      <w:r>
        <w:t>.3.1.4</w:t>
      </w:r>
      <w:r>
        <w:rPr>
          <w:rFonts w:ascii="黑体" w:hAnsi="黑体"/>
        </w:rPr>
        <w:t>地下水评价等级</w:t>
      </w:r>
    </w:p>
    <w:p w:rsidR="004E3021" w:rsidRDefault="00606E48">
      <w:pPr>
        <w:ind w:firstLine="480"/>
      </w:pPr>
      <w:r>
        <w:rPr>
          <w:rFonts w:ascii="宋体" w:hAnsi="宋体" w:hint="eastAsia"/>
        </w:rPr>
        <w:t>根据《环境影响评价技术导则</w:t>
      </w:r>
      <w:r>
        <w:rPr>
          <w:rFonts w:hint="eastAsia"/>
        </w:rPr>
        <w:t xml:space="preserve"> </w:t>
      </w:r>
      <w:r>
        <w:rPr>
          <w:rFonts w:hint="eastAsia"/>
        </w:rPr>
        <w:t>地下水环境》（</w:t>
      </w:r>
      <w:r>
        <w:rPr>
          <w:rFonts w:hint="eastAsia"/>
        </w:rPr>
        <w:t>H</w:t>
      </w:r>
      <w:r>
        <w:t>J610-2016</w:t>
      </w:r>
      <w:r>
        <w:rPr>
          <w:rFonts w:ascii="宋体" w:hAnsi="宋体" w:hint="eastAsia"/>
        </w:rPr>
        <w:t>），地下水评价等级的确定主要依据项目类型和建设项目地下水环境敏感程度等参数进行确定，详见表</w:t>
      </w:r>
      <w:r>
        <w:rPr>
          <w:rFonts w:hint="eastAsia"/>
        </w:rPr>
        <w:t>2</w:t>
      </w:r>
      <w:r>
        <w:t>.3.1-5</w:t>
      </w:r>
      <w:r>
        <w:rPr>
          <w:rFonts w:hint="eastAsia"/>
        </w:rPr>
        <w:t>~</w:t>
      </w:r>
      <w:r>
        <w:t>6</w:t>
      </w:r>
      <w:r>
        <w:rPr>
          <w:rFonts w:ascii="宋体" w:hAnsi="宋体" w:hint="eastAsia"/>
        </w:rPr>
        <w:t>。</w:t>
      </w:r>
    </w:p>
    <w:p w:rsidR="004E3021" w:rsidRDefault="00606E48">
      <w:pPr>
        <w:pStyle w:val="afffff4"/>
        <w:rPr>
          <w:rFonts w:ascii="黑体" w:hAnsi="黑体"/>
        </w:rPr>
      </w:pPr>
      <w:r>
        <w:rPr>
          <w:rFonts w:ascii="黑体" w:hAnsi="黑体" w:hint="eastAsia"/>
        </w:rPr>
        <w:t>表</w:t>
      </w:r>
      <w:r>
        <w:t xml:space="preserve">2.3.1-5  </w:t>
      </w:r>
      <w:r>
        <w:rPr>
          <w:rFonts w:ascii="黑体" w:hAnsi="黑体" w:hint="eastAsia"/>
        </w:rPr>
        <w:t>项目类型划分</w:t>
      </w:r>
    </w:p>
    <w:tbl>
      <w:tblPr>
        <w:tblW w:w="0" w:type="auto"/>
        <w:tblLook w:val="04A0" w:firstRow="1" w:lastRow="0" w:firstColumn="1" w:lastColumn="0" w:noHBand="0" w:noVBand="1"/>
      </w:tblPr>
      <w:tblGrid>
        <w:gridCol w:w="1504"/>
        <w:gridCol w:w="1504"/>
        <w:gridCol w:w="1504"/>
        <w:gridCol w:w="1504"/>
        <w:gridCol w:w="1505"/>
        <w:gridCol w:w="1505"/>
      </w:tblGrid>
      <w:tr w:rsidR="004E3021" w:rsidRPr="001E21A1">
        <w:tc>
          <w:tcPr>
            <w:tcW w:w="1504" w:type="dxa"/>
            <w:vMerge w:val="restart"/>
            <w:tcBorders>
              <w:top w:val="single" w:sz="12" w:space="0" w:color="auto"/>
              <w:left w:val="nil"/>
              <w:bottom w:val="single" w:sz="4" w:space="0" w:color="auto"/>
              <w:right w:val="single" w:sz="4" w:space="0" w:color="auto"/>
              <w:tl2br w:val="single" w:sz="4" w:space="0" w:color="auto"/>
            </w:tcBorders>
            <w:vAlign w:val="center"/>
          </w:tcPr>
          <w:p w:rsidR="004E3021" w:rsidRPr="001E21A1" w:rsidRDefault="00E4143C">
            <w:pPr>
              <w:pStyle w:val="afffffff2"/>
              <w:rPr>
                <w:b/>
                <w:kern w:val="0"/>
                <w:sz w:val="21"/>
                <w:szCs w:val="21"/>
              </w:rPr>
            </w:pPr>
            <w:r>
              <w:rPr>
                <w:b/>
                <w:kern w:val="0"/>
                <w:sz w:val="21"/>
                <w:szCs w:val="21"/>
              </w:rPr>
              <w:t xml:space="preserve">    </w:t>
            </w:r>
            <w:r w:rsidR="00606E48" w:rsidRPr="001E21A1">
              <w:rPr>
                <w:rFonts w:ascii="宋体" w:hAnsi="宋体" w:hint="eastAsia"/>
                <w:b/>
                <w:kern w:val="0"/>
                <w:sz w:val="21"/>
                <w:szCs w:val="21"/>
              </w:rPr>
              <w:t>环评类别</w:t>
            </w:r>
          </w:p>
          <w:p w:rsidR="004E3021" w:rsidRPr="001E21A1" w:rsidRDefault="00606E48">
            <w:pPr>
              <w:pStyle w:val="afffffff2"/>
              <w:rPr>
                <w:b/>
                <w:kern w:val="0"/>
                <w:sz w:val="21"/>
                <w:szCs w:val="21"/>
              </w:rPr>
            </w:pPr>
            <w:r w:rsidRPr="001E21A1">
              <w:rPr>
                <w:rFonts w:ascii="宋体" w:hAnsi="宋体"/>
                <w:b/>
                <w:kern w:val="0"/>
                <w:sz w:val="21"/>
                <w:szCs w:val="21"/>
              </w:rPr>
              <w:t>行业类别</w:t>
            </w:r>
          </w:p>
        </w:tc>
        <w:tc>
          <w:tcPr>
            <w:tcW w:w="1504" w:type="dxa"/>
            <w:vMerge w:val="restart"/>
            <w:tcBorders>
              <w:top w:val="single" w:sz="12" w:space="0" w:color="auto"/>
              <w:left w:val="single" w:sz="4" w:space="0" w:color="auto"/>
              <w:bottom w:val="single" w:sz="4" w:space="0" w:color="auto"/>
              <w:right w:val="single" w:sz="4" w:space="0" w:color="auto"/>
            </w:tcBorders>
            <w:vAlign w:val="center"/>
          </w:tcPr>
          <w:p w:rsidR="004E3021" w:rsidRPr="001E21A1" w:rsidRDefault="00606E48">
            <w:pPr>
              <w:pStyle w:val="afffffff2"/>
              <w:rPr>
                <w:b/>
                <w:kern w:val="0"/>
                <w:sz w:val="21"/>
                <w:szCs w:val="21"/>
              </w:rPr>
            </w:pPr>
            <w:r w:rsidRPr="001E21A1">
              <w:rPr>
                <w:rFonts w:ascii="宋体" w:hAnsi="宋体" w:hint="eastAsia"/>
                <w:b/>
                <w:kern w:val="0"/>
                <w:sz w:val="21"/>
                <w:szCs w:val="21"/>
              </w:rPr>
              <w:t>报告书</w:t>
            </w:r>
          </w:p>
        </w:tc>
        <w:tc>
          <w:tcPr>
            <w:tcW w:w="1504" w:type="dxa"/>
            <w:vMerge w:val="restart"/>
            <w:tcBorders>
              <w:top w:val="single" w:sz="12" w:space="0" w:color="auto"/>
              <w:left w:val="single" w:sz="4" w:space="0" w:color="auto"/>
              <w:bottom w:val="single" w:sz="4" w:space="0" w:color="auto"/>
              <w:right w:val="single" w:sz="4" w:space="0" w:color="auto"/>
            </w:tcBorders>
            <w:vAlign w:val="center"/>
          </w:tcPr>
          <w:p w:rsidR="004E3021" w:rsidRPr="001E21A1" w:rsidRDefault="00606E48">
            <w:pPr>
              <w:pStyle w:val="afffffff2"/>
              <w:rPr>
                <w:b/>
                <w:kern w:val="0"/>
                <w:sz w:val="21"/>
                <w:szCs w:val="21"/>
              </w:rPr>
            </w:pPr>
            <w:r w:rsidRPr="001E21A1">
              <w:rPr>
                <w:rFonts w:ascii="宋体" w:hAnsi="宋体" w:hint="eastAsia"/>
                <w:b/>
                <w:kern w:val="0"/>
                <w:sz w:val="21"/>
                <w:szCs w:val="21"/>
              </w:rPr>
              <w:t>报告表</w:t>
            </w:r>
          </w:p>
        </w:tc>
        <w:tc>
          <w:tcPr>
            <w:tcW w:w="3009" w:type="dxa"/>
            <w:gridSpan w:val="2"/>
            <w:tcBorders>
              <w:top w:val="single" w:sz="12" w:space="0" w:color="auto"/>
              <w:left w:val="single" w:sz="4" w:space="0" w:color="auto"/>
              <w:bottom w:val="single" w:sz="4" w:space="0" w:color="auto"/>
              <w:right w:val="single" w:sz="4" w:space="0" w:color="auto"/>
            </w:tcBorders>
            <w:vAlign w:val="center"/>
          </w:tcPr>
          <w:p w:rsidR="004E3021" w:rsidRPr="001E21A1" w:rsidRDefault="00606E48">
            <w:pPr>
              <w:pStyle w:val="afffffff2"/>
              <w:rPr>
                <w:b/>
                <w:kern w:val="0"/>
                <w:sz w:val="21"/>
                <w:szCs w:val="21"/>
              </w:rPr>
            </w:pPr>
            <w:r w:rsidRPr="001E21A1">
              <w:rPr>
                <w:rFonts w:ascii="宋体" w:hAnsi="宋体" w:hint="eastAsia"/>
                <w:b/>
                <w:kern w:val="0"/>
                <w:sz w:val="21"/>
                <w:szCs w:val="21"/>
              </w:rPr>
              <w:t>地下水环境影响评价项目类别</w:t>
            </w:r>
          </w:p>
        </w:tc>
        <w:tc>
          <w:tcPr>
            <w:tcW w:w="1505" w:type="dxa"/>
            <w:vMerge w:val="restart"/>
            <w:tcBorders>
              <w:top w:val="single" w:sz="12" w:space="0" w:color="auto"/>
              <w:left w:val="single" w:sz="4" w:space="0" w:color="auto"/>
              <w:bottom w:val="single" w:sz="4" w:space="0" w:color="auto"/>
              <w:right w:val="nil"/>
            </w:tcBorders>
            <w:vAlign w:val="center"/>
          </w:tcPr>
          <w:p w:rsidR="004E3021" w:rsidRPr="001E21A1" w:rsidRDefault="00606E48">
            <w:pPr>
              <w:pStyle w:val="afffffff2"/>
              <w:rPr>
                <w:b/>
                <w:kern w:val="0"/>
                <w:sz w:val="21"/>
                <w:szCs w:val="21"/>
              </w:rPr>
            </w:pPr>
            <w:r w:rsidRPr="001E21A1">
              <w:rPr>
                <w:rFonts w:ascii="宋体" w:hAnsi="宋体" w:hint="eastAsia"/>
                <w:b/>
                <w:kern w:val="0"/>
                <w:sz w:val="21"/>
                <w:szCs w:val="21"/>
              </w:rPr>
              <w:t>项目属性</w:t>
            </w:r>
          </w:p>
        </w:tc>
      </w:tr>
      <w:tr w:rsidR="004E3021" w:rsidRPr="001E21A1">
        <w:tc>
          <w:tcPr>
            <w:tcW w:w="0" w:type="auto"/>
            <w:vMerge/>
            <w:tcBorders>
              <w:top w:val="single" w:sz="4" w:space="0" w:color="auto"/>
              <w:left w:val="nil"/>
              <w:bottom w:val="single" w:sz="4" w:space="0" w:color="auto"/>
              <w:right w:val="single" w:sz="4" w:space="0" w:color="auto"/>
              <w:tl2br w:val="single" w:sz="4" w:space="0" w:color="auto"/>
            </w:tcBorders>
            <w:vAlign w:val="center"/>
          </w:tcPr>
          <w:p w:rsidR="004E3021" w:rsidRPr="001E21A1" w:rsidRDefault="004E3021">
            <w:pPr>
              <w:pStyle w:val="afffffff2"/>
              <w:rPr>
                <w:kern w:val="0"/>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1E21A1" w:rsidRDefault="004E3021">
            <w:pPr>
              <w:pStyle w:val="afffffff2"/>
              <w:rPr>
                <w:kern w:val="0"/>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1E21A1" w:rsidRDefault="004E3021">
            <w:pPr>
              <w:pStyle w:val="afffffff2"/>
              <w:rPr>
                <w:kern w:val="0"/>
                <w:sz w:val="21"/>
                <w:szCs w:val="21"/>
              </w:rPr>
            </w:pPr>
          </w:p>
        </w:tc>
        <w:tc>
          <w:tcPr>
            <w:tcW w:w="1504" w:type="dxa"/>
            <w:tcBorders>
              <w:top w:val="single" w:sz="4" w:space="0" w:color="auto"/>
              <w:left w:val="single" w:sz="4" w:space="0" w:color="auto"/>
              <w:bottom w:val="single" w:sz="4" w:space="0" w:color="auto"/>
              <w:right w:val="single" w:sz="4" w:space="0" w:color="auto"/>
            </w:tcBorders>
            <w:vAlign w:val="center"/>
          </w:tcPr>
          <w:p w:rsidR="004E3021" w:rsidRPr="001E21A1" w:rsidRDefault="00606E48">
            <w:pPr>
              <w:pStyle w:val="afffffff2"/>
              <w:rPr>
                <w:b/>
                <w:kern w:val="0"/>
                <w:sz w:val="21"/>
                <w:szCs w:val="21"/>
              </w:rPr>
            </w:pPr>
            <w:r w:rsidRPr="001E21A1">
              <w:rPr>
                <w:rFonts w:ascii="宋体" w:hAnsi="宋体" w:hint="eastAsia"/>
                <w:b/>
                <w:kern w:val="0"/>
                <w:sz w:val="21"/>
                <w:szCs w:val="21"/>
              </w:rPr>
              <w:t>报告书</w:t>
            </w:r>
          </w:p>
        </w:tc>
        <w:tc>
          <w:tcPr>
            <w:tcW w:w="1505" w:type="dxa"/>
            <w:tcBorders>
              <w:top w:val="single" w:sz="4" w:space="0" w:color="auto"/>
              <w:left w:val="single" w:sz="4" w:space="0" w:color="auto"/>
              <w:bottom w:val="single" w:sz="4" w:space="0" w:color="auto"/>
              <w:right w:val="single" w:sz="4" w:space="0" w:color="auto"/>
            </w:tcBorders>
            <w:vAlign w:val="center"/>
          </w:tcPr>
          <w:p w:rsidR="004E3021" w:rsidRPr="001E21A1" w:rsidRDefault="00606E48">
            <w:pPr>
              <w:pStyle w:val="afffffff2"/>
              <w:rPr>
                <w:b/>
                <w:kern w:val="0"/>
                <w:sz w:val="21"/>
                <w:szCs w:val="21"/>
              </w:rPr>
            </w:pPr>
            <w:r w:rsidRPr="001E21A1">
              <w:rPr>
                <w:rFonts w:ascii="宋体" w:hAnsi="宋体" w:hint="eastAsia"/>
                <w:b/>
                <w:kern w:val="0"/>
                <w:sz w:val="21"/>
                <w:szCs w:val="21"/>
              </w:rPr>
              <w:t>报告表</w:t>
            </w:r>
          </w:p>
        </w:tc>
        <w:tc>
          <w:tcPr>
            <w:tcW w:w="0" w:type="auto"/>
            <w:vMerge/>
            <w:tcBorders>
              <w:top w:val="single" w:sz="4" w:space="0" w:color="auto"/>
              <w:left w:val="single" w:sz="4" w:space="0" w:color="auto"/>
              <w:bottom w:val="single" w:sz="4" w:space="0" w:color="auto"/>
              <w:right w:val="nil"/>
            </w:tcBorders>
            <w:vAlign w:val="center"/>
          </w:tcPr>
          <w:p w:rsidR="004E3021" w:rsidRPr="001E21A1" w:rsidRDefault="004E3021">
            <w:pPr>
              <w:pStyle w:val="afffffff2"/>
              <w:rPr>
                <w:kern w:val="0"/>
                <w:sz w:val="21"/>
                <w:szCs w:val="21"/>
              </w:rPr>
            </w:pPr>
          </w:p>
        </w:tc>
      </w:tr>
      <w:tr w:rsidR="004E3021" w:rsidRPr="001E21A1">
        <w:tc>
          <w:tcPr>
            <w:tcW w:w="7521" w:type="dxa"/>
            <w:gridSpan w:val="5"/>
            <w:tcBorders>
              <w:top w:val="single" w:sz="4" w:space="0" w:color="auto"/>
              <w:left w:val="nil"/>
              <w:bottom w:val="single" w:sz="4" w:space="0" w:color="auto"/>
              <w:right w:val="single" w:sz="4" w:space="0" w:color="auto"/>
            </w:tcBorders>
            <w:vAlign w:val="center"/>
          </w:tcPr>
          <w:p w:rsidR="004E3021" w:rsidRPr="001E21A1" w:rsidRDefault="00606E48">
            <w:pPr>
              <w:pStyle w:val="afffffff2"/>
              <w:rPr>
                <w:kern w:val="0"/>
                <w:sz w:val="21"/>
                <w:szCs w:val="21"/>
              </w:rPr>
            </w:pPr>
            <w:r w:rsidRPr="001E21A1">
              <w:rPr>
                <w:rFonts w:hint="eastAsia"/>
                <w:kern w:val="0"/>
                <w:sz w:val="21"/>
                <w:szCs w:val="21"/>
              </w:rPr>
              <w:t>L</w:t>
            </w:r>
            <w:r w:rsidRPr="001E21A1">
              <w:rPr>
                <w:rFonts w:hint="eastAsia"/>
                <w:kern w:val="0"/>
                <w:sz w:val="21"/>
                <w:szCs w:val="21"/>
              </w:rPr>
              <w:t>、石化、化工</w:t>
            </w:r>
          </w:p>
        </w:tc>
        <w:tc>
          <w:tcPr>
            <w:tcW w:w="1505" w:type="dxa"/>
            <w:vMerge w:val="restart"/>
            <w:tcBorders>
              <w:top w:val="single" w:sz="4" w:space="0" w:color="auto"/>
              <w:left w:val="single" w:sz="4" w:space="0" w:color="auto"/>
              <w:bottom w:val="single" w:sz="4" w:space="0" w:color="auto"/>
              <w:right w:val="nil"/>
            </w:tcBorders>
            <w:vAlign w:val="center"/>
          </w:tcPr>
          <w:p w:rsidR="004E3021" w:rsidRPr="001E21A1" w:rsidRDefault="00606E48">
            <w:pPr>
              <w:pStyle w:val="afffffff2"/>
              <w:rPr>
                <w:kern w:val="0"/>
                <w:sz w:val="21"/>
                <w:szCs w:val="21"/>
              </w:rPr>
            </w:pPr>
            <w:r w:rsidRPr="001E21A1">
              <w:rPr>
                <w:rFonts w:ascii="宋体" w:hAnsi="宋体" w:hint="eastAsia"/>
                <w:kern w:val="0"/>
                <w:sz w:val="21"/>
                <w:szCs w:val="21"/>
              </w:rPr>
              <w:t>项目属于</w:t>
            </w:r>
            <w:r w:rsidRPr="001E21A1">
              <w:rPr>
                <w:rFonts w:cs="Times New Roman"/>
                <w:kern w:val="0"/>
                <w:sz w:val="21"/>
                <w:szCs w:val="21"/>
              </w:rPr>
              <w:t>Ⅰ</w:t>
            </w:r>
            <w:r w:rsidRPr="001E21A1">
              <w:rPr>
                <w:rFonts w:ascii="宋体" w:hAnsi="宋体" w:hint="eastAsia"/>
                <w:kern w:val="0"/>
                <w:sz w:val="21"/>
                <w:szCs w:val="21"/>
              </w:rPr>
              <w:t>类项目</w:t>
            </w:r>
          </w:p>
        </w:tc>
      </w:tr>
      <w:tr w:rsidR="004E3021" w:rsidRPr="001E21A1">
        <w:tc>
          <w:tcPr>
            <w:tcW w:w="1504" w:type="dxa"/>
            <w:tcBorders>
              <w:top w:val="single" w:sz="4" w:space="0" w:color="auto"/>
              <w:left w:val="nil"/>
              <w:bottom w:val="single" w:sz="12" w:space="0" w:color="auto"/>
              <w:right w:val="single" w:sz="4" w:space="0" w:color="auto"/>
            </w:tcBorders>
            <w:vAlign w:val="center"/>
          </w:tcPr>
          <w:p w:rsidR="004E3021" w:rsidRPr="001E21A1" w:rsidRDefault="00606E48">
            <w:pPr>
              <w:pStyle w:val="afffffff2"/>
              <w:rPr>
                <w:kern w:val="0"/>
                <w:sz w:val="21"/>
                <w:szCs w:val="21"/>
              </w:rPr>
            </w:pPr>
            <w:r w:rsidRPr="001E21A1">
              <w:rPr>
                <w:rFonts w:hint="eastAsia"/>
                <w:kern w:val="0"/>
                <w:sz w:val="21"/>
                <w:szCs w:val="21"/>
              </w:rPr>
              <w:t>8</w:t>
            </w:r>
            <w:r w:rsidRPr="001E21A1">
              <w:rPr>
                <w:kern w:val="0"/>
                <w:sz w:val="21"/>
                <w:szCs w:val="21"/>
              </w:rPr>
              <w:t>5</w:t>
            </w:r>
            <w:r w:rsidRPr="001E21A1">
              <w:rPr>
                <w:rFonts w:hint="eastAsia"/>
                <w:kern w:val="0"/>
                <w:sz w:val="21"/>
                <w:szCs w:val="21"/>
              </w:rPr>
              <w:t>、</w:t>
            </w:r>
            <w:r w:rsidRPr="001E21A1">
              <w:rPr>
                <w:kern w:val="0"/>
                <w:sz w:val="21"/>
                <w:szCs w:val="21"/>
              </w:rPr>
              <w:t>基本化学原料制造</w:t>
            </w:r>
          </w:p>
        </w:tc>
        <w:tc>
          <w:tcPr>
            <w:tcW w:w="1504" w:type="dxa"/>
            <w:tcBorders>
              <w:top w:val="single" w:sz="4" w:space="0" w:color="auto"/>
              <w:left w:val="single" w:sz="4" w:space="0" w:color="auto"/>
              <w:bottom w:val="single" w:sz="12" w:space="0" w:color="auto"/>
              <w:right w:val="single" w:sz="4" w:space="0" w:color="auto"/>
            </w:tcBorders>
            <w:vAlign w:val="center"/>
          </w:tcPr>
          <w:p w:rsidR="004E3021" w:rsidRPr="001E21A1" w:rsidRDefault="00606E48">
            <w:pPr>
              <w:pStyle w:val="afffffff2"/>
              <w:rPr>
                <w:kern w:val="0"/>
                <w:sz w:val="21"/>
                <w:szCs w:val="21"/>
              </w:rPr>
            </w:pPr>
            <w:r w:rsidRPr="001E21A1">
              <w:rPr>
                <w:kern w:val="0"/>
                <w:sz w:val="21"/>
                <w:szCs w:val="21"/>
              </w:rPr>
              <w:t>除单纯混合和分装外的</w:t>
            </w:r>
          </w:p>
        </w:tc>
        <w:tc>
          <w:tcPr>
            <w:tcW w:w="1504" w:type="dxa"/>
            <w:tcBorders>
              <w:top w:val="single" w:sz="4" w:space="0" w:color="auto"/>
              <w:left w:val="single" w:sz="4" w:space="0" w:color="auto"/>
              <w:bottom w:val="single" w:sz="12" w:space="0" w:color="auto"/>
              <w:right w:val="single" w:sz="4" w:space="0" w:color="auto"/>
            </w:tcBorders>
            <w:vAlign w:val="center"/>
          </w:tcPr>
          <w:p w:rsidR="004E3021" w:rsidRPr="001E21A1" w:rsidRDefault="00606E48">
            <w:pPr>
              <w:pStyle w:val="afffffff2"/>
              <w:rPr>
                <w:kern w:val="0"/>
                <w:sz w:val="21"/>
                <w:szCs w:val="21"/>
              </w:rPr>
            </w:pPr>
            <w:r w:rsidRPr="001E21A1">
              <w:rPr>
                <w:kern w:val="0"/>
                <w:sz w:val="21"/>
                <w:szCs w:val="21"/>
              </w:rPr>
              <w:t>单纯混合或分装的</w:t>
            </w:r>
          </w:p>
        </w:tc>
        <w:tc>
          <w:tcPr>
            <w:tcW w:w="1504" w:type="dxa"/>
            <w:tcBorders>
              <w:top w:val="single" w:sz="4" w:space="0" w:color="auto"/>
              <w:left w:val="single" w:sz="4" w:space="0" w:color="auto"/>
              <w:bottom w:val="single" w:sz="12" w:space="0" w:color="auto"/>
              <w:right w:val="single" w:sz="4" w:space="0" w:color="auto"/>
            </w:tcBorders>
            <w:vAlign w:val="center"/>
          </w:tcPr>
          <w:p w:rsidR="004E3021" w:rsidRPr="001E21A1" w:rsidRDefault="00606E48">
            <w:pPr>
              <w:pStyle w:val="afffffff2"/>
              <w:rPr>
                <w:kern w:val="0"/>
                <w:sz w:val="21"/>
                <w:szCs w:val="21"/>
              </w:rPr>
            </w:pPr>
            <w:r w:rsidRPr="001E21A1">
              <w:rPr>
                <w:kern w:val="0"/>
                <w:sz w:val="21"/>
                <w:szCs w:val="21"/>
              </w:rPr>
              <w:t>Ⅰ</w:t>
            </w:r>
          </w:p>
        </w:tc>
        <w:tc>
          <w:tcPr>
            <w:tcW w:w="1505" w:type="dxa"/>
            <w:tcBorders>
              <w:top w:val="single" w:sz="4" w:space="0" w:color="auto"/>
              <w:left w:val="single" w:sz="4" w:space="0" w:color="auto"/>
              <w:bottom w:val="single" w:sz="12" w:space="0" w:color="auto"/>
              <w:right w:val="single" w:sz="4" w:space="0" w:color="auto"/>
            </w:tcBorders>
            <w:vAlign w:val="center"/>
          </w:tcPr>
          <w:p w:rsidR="004E3021" w:rsidRPr="001E21A1" w:rsidRDefault="00606E48">
            <w:pPr>
              <w:pStyle w:val="afffffff2"/>
              <w:rPr>
                <w:kern w:val="0"/>
                <w:sz w:val="21"/>
                <w:szCs w:val="21"/>
              </w:rPr>
            </w:pPr>
            <w:r w:rsidRPr="001E21A1">
              <w:rPr>
                <w:kern w:val="0"/>
                <w:sz w:val="21"/>
                <w:szCs w:val="21"/>
              </w:rPr>
              <w:t>Ⅱ</w:t>
            </w:r>
          </w:p>
        </w:tc>
        <w:tc>
          <w:tcPr>
            <w:tcW w:w="0" w:type="auto"/>
            <w:vMerge/>
            <w:tcBorders>
              <w:top w:val="single" w:sz="4" w:space="0" w:color="auto"/>
              <w:left w:val="single" w:sz="4" w:space="0" w:color="auto"/>
              <w:bottom w:val="single" w:sz="12" w:space="0" w:color="auto"/>
              <w:right w:val="nil"/>
            </w:tcBorders>
            <w:vAlign w:val="center"/>
          </w:tcPr>
          <w:p w:rsidR="004E3021" w:rsidRPr="001E21A1" w:rsidRDefault="004E3021">
            <w:pPr>
              <w:pStyle w:val="afffffff2"/>
              <w:rPr>
                <w:kern w:val="0"/>
                <w:sz w:val="21"/>
                <w:szCs w:val="21"/>
              </w:rPr>
            </w:pPr>
          </w:p>
        </w:tc>
      </w:tr>
    </w:tbl>
    <w:p w:rsidR="004E3021" w:rsidRDefault="00606E48">
      <w:pPr>
        <w:pStyle w:val="afffff4"/>
      </w:pPr>
      <w:r>
        <w:rPr>
          <w:rFonts w:hint="eastAsia"/>
        </w:rPr>
        <w:t>表</w:t>
      </w:r>
      <w:r>
        <w:t xml:space="preserve">2.3.1-6 </w:t>
      </w:r>
      <w:r>
        <w:rPr>
          <w:rFonts w:hint="eastAsia"/>
        </w:rPr>
        <w:t>地下水环境敏感程度分级表</w:t>
      </w:r>
    </w:p>
    <w:tbl>
      <w:tblPr>
        <w:tblStyle w:val="afff"/>
        <w:tblW w:w="0" w:type="auto"/>
        <w:tblLook w:val="04A0" w:firstRow="1" w:lastRow="0" w:firstColumn="1" w:lastColumn="0" w:noHBand="0" w:noVBand="1"/>
      </w:tblPr>
      <w:tblGrid>
        <w:gridCol w:w="2127"/>
        <w:gridCol w:w="6899"/>
      </w:tblGrid>
      <w:tr w:rsidR="004E3021" w:rsidRPr="001E21A1" w:rsidTr="001E21A1">
        <w:tc>
          <w:tcPr>
            <w:tcW w:w="2127" w:type="dxa"/>
            <w:vAlign w:val="center"/>
          </w:tcPr>
          <w:p w:rsidR="004E3021" w:rsidRPr="001E21A1" w:rsidRDefault="00606E48" w:rsidP="001E21A1">
            <w:pPr>
              <w:pStyle w:val="afffffff2"/>
              <w:rPr>
                <w:rFonts w:ascii="Times New Roman" w:hAnsi="Times New Roman" w:cs="Times New Roman"/>
                <w:b/>
                <w:kern w:val="0"/>
                <w:sz w:val="21"/>
                <w:szCs w:val="21"/>
              </w:rPr>
            </w:pPr>
            <w:r w:rsidRPr="001E21A1">
              <w:rPr>
                <w:rFonts w:ascii="Times New Roman" w:hAnsi="Times New Roman" w:cs="Times New Roman"/>
                <w:b/>
                <w:kern w:val="0"/>
                <w:sz w:val="21"/>
                <w:szCs w:val="21"/>
              </w:rPr>
              <w:t>敏感程度</w:t>
            </w:r>
          </w:p>
        </w:tc>
        <w:tc>
          <w:tcPr>
            <w:tcW w:w="6899" w:type="dxa"/>
            <w:vAlign w:val="center"/>
          </w:tcPr>
          <w:p w:rsidR="004E3021" w:rsidRPr="001E21A1" w:rsidRDefault="00606E48" w:rsidP="001E21A1">
            <w:pPr>
              <w:pStyle w:val="afffffff2"/>
              <w:rPr>
                <w:rFonts w:ascii="Times New Roman" w:hAnsi="Times New Roman" w:cs="Times New Roman"/>
                <w:b/>
                <w:kern w:val="0"/>
                <w:sz w:val="21"/>
                <w:szCs w:val="21"/>
              </w:rPr>
            </w:pPr>
            <w:r w:rsidRPr="001E21A1">
              <w:rPr>
                <w:rFonts w:ascii="Times New Roman" w:hAnsi="Times New Roman" w:cs="Times New Roman"/>
                <w:b/>
                <w:kern w:val="0"/>
                <w:sz w:val="21"/>
                <w:szCs w:val="21"/>
              </w:rPr>
              <w:t>地下水环境敏感特征</w:t>
            </w:r>
          </w:p>
        </w:tc>
      </w:tr>
      <w:tr w:rsidR="004E3021" w:rsidRPr="001E21A1" w:rsidTr="001E21A1">
        <w:tc>
          <w:tcPr>
            <w:tcW w:w="2127"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敏感</w:t>
            </w:r>
          </w:p>
        </w:tc>
        <w:tc>
          <w:tcPr>
            <w:tcW w:w="6899"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rsidR="004E3021" w:rsidRPr="001E21A1" w:rsidTr="001E21A1">
        <w:tc>
          <w:tcPr>
            <w:tcW w:w="2127"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较敏感</w:t>
            </w:r>
          </w:p>
        </w:tc>
        <w:tc>
          <w:tcPr>
            <w:tcW w:w="6899"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集中式饮用水水源（包括已建成的在用、备用、应急水源，在建和规划的饮用水水源）准保护区以外的补给径流区；未划定准保护区的集中水式饮用水水源，其保护区以外的补给径流区；分散式饮用水水源地。</w:t>
            </w:r>
          </w:p>
        </w:tc>
      </w:tr>
      <w:tr w:rsidR="004E3021" w:rsidRPr="001E21A1" w:rsidTr="001E21A1">
        <w:tc>
          <w:tcPr>
            <w:tcW w:w="2127" w:type="dxa"/>
            <w:shd w:val="clear" w:color="auto" w:fill="A6A6A6" w:themeFill="background1" w:themeFillShade="A6"/>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不敏感</w:t>
            </w:r>
          </w:p>
        </w:tc>
        <w:tc>
          <w:tcPr>
            <w:tcW w:w="6899" w:type="dxa"/>
            <w:shd w:val="clear" w:color="auto" w:fill="A6A6A6" w:themeFill="background1" w:themeFillShade="A6"/>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上述地区以外的其他地区</w:t>
            </w:r>
          </w:p>
        </w:tc>
      </w:tr>
      <w:tr w:rsidR="004E3021" w:rsidRPr="001E21A1" w:rsidTr="001E21A1">
        <w:tc>
          <w:tcPr>
            <w:tcW w:w="9026" w:type="dxa"/>
            <w:gridSpan w:val="2"/>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lastRenderedPageBreak/>
              <w:t>注：</w:t>
            </w:r>
            <w:r w:rsidRPr="001E21A1">
              <w:rPr>
                <w:rFonts w:ascii="Times New Roman" w:hAnsi="Times New Roman" w:cs="Times New Roman"/>
                <w:kern w:val="0"/>
                <w:sz w:val="21"/>
                <w:szCs w:val="21"/>
              </w:rPr>
              <w:t>a“</w:t>
            </w:r>
            <w:r w:rsidRPr="001E21A1">
              <w:rPr>
                <w:rFonts w:ascii="Times New Roman" w:hAnsi="Times New Roman" w:cs="Times New Roman"/>
                <w:kern w:val="0"/>
                <w:sz w:val="21"/>
                <w:szCs w:val="21"/>
              </w:rPr>
              <w:t>环境敏感区</w:t>
            </w:r>
            <w:r w:rsidRPr="001E21A1">
              <w:rPr>
                <w:rFonts w:ascii="Times New Roman" w:hAnsi="Times New Roman" w:cs="Times New Roman"/>
                <w:kern w:val="0"/>
                <w:sz w:val="21"/>
                <w:szCs w:val="21"/>
              </w:rPr>
              <w:t>”</w:t>
            </w:r>
            <w:r w:rsidRPr="001E21A1">
              <w:rPr>
                <w:rFonts w:ascii="Times New Roman" w:hAnsi="Times New Roman" w:cs="Times New Roman"/>
                <w:kern w:val="0"/>
                <w:sz w:val="21"/>
                <w:szCs w:val="21"/>
              </w:rPr>
              <w:t>是指《建设项目环境影响评价分类管理名录》中所界定的涉及地下水的环境敏感区。</w:t>
            </w:r>
          </w:p>
        </w:tc>
      </w:tr>
    </w:tbl>
    <w:p w:rsidR="004E3021" w:rsidRDefault="00947F13">
      <w:pPr>
        <w:ind w:firstLine="480"/>
      </w:pPr>
      <w:r>
        <w:rPr>
          <w:rFonts w:hint="eastAsia"/>
        </w:rPr>
        <w:t>本</w:t>
      </w:r>
      <w:r w:rsidR="00606E48">
        <w:t>项目属于</w:t>
      </w:r>
      <w:r w:rsidR="00606E48">
        <w:rPr>
          <w:rFonts w:hint="eastAsia"/>
        </w:rPr>
        <w:t>“</w:t>
      </w:r>
      <w:r w:rsidR="00606E48">
        <w:t>L</w:t>
      </w:r>
      <w:r w:rsidR="00606E48">
        <w:t>、石油化工</w:t>
      </w:r>
      <w:r w:rsidR="00606E48">
        <w:t xml:space="preserve"> 85</w:t>
      </w:r>
      <w:r w:rsidR="00606E48">
        <w:t>、石化、化工中除单纯混合和分装外</w:t>
      </w:r>
      <w:r w:rsidR="00606E48">
        <w:rPr>
          <w:rFonts w:hint="eastAsia"/>
        </w:rPr>
        <w:t>”</w:t>
      </w:r>
      <w:r w:rsidR="00606E48">
        <w:t>的，根据导则判别属于</w:t>
      </w:r>
      <w:r w:rsidR="00606E48" w:rsidRPr="00FC2085">
        <w:t>Ⅰ</w:t>
      </w:r>
      <w:r w:rsidR="00606E48">
        <w:t>类项目；项目位于蚌埠</w:t>
      </w:r>
      <w:r w:rsidR="00606E48">
        <w:rPr>
          <w:rFonts w:hint="eastAsia"/>
        </w:rPr>
        <w:t>沫河口精细化工高新技术产业基地内，周边无集中式饮用水源、特殊地下资源等，因而</w:t>
      </w:r>
      <w:r w:rsidR="00FC2085">
        <w:rPr>
          <w:rFonts w:hint="eastAsia"/>
        </w:rPr>
        <w:t>本</w:t>
      </w:r>
      <w:r w:rsidR="00606E48">
        <w:rPr>
          <w:rFonts w:hint="eastAsia"/>
        </w:rPr>
        <w:t>项目位于不敏感区。依据以上判定，确定项目地下水评价工作等级为二级。详见表</w:t>
      </w:r>
      <w:r w:rsidR="00606E48">
        <w:rPr>
          <w:rFonts w:hint="eastAsia"/>
        </w:rPr>
        <w:t>2</w:t>
      </w:r>
      <w:r w:rsidR="00606E48">
        <w:t>.3.1-7</w:t>
      </w:r>
      <w:r w:rsidR="00606E48">
        <w:rPr>
          <w:rFonts w:hint="eastAsia"/>
        </w:rPr>
        <w:t>。</w:t>
      </w:r>
    </w:p>
    <w:p w:rsidR="004E3021" w:rsidRDefault="00606E48">
      <w:pPr>
        <w:spacing w:line="500" w:lineRule="exact"/>
        <w:ind w:firstLineChars="0" w:firstLine="0"/>
        <w:jc w:val="center"/>
        <w:rPr>
          <w:rFonts w:ascii="黑体" w:eastAsia="黑体" w:hAnsi="黑体"/>
        </w:rPr>
      </w:pPr>
      <w:r>
        <w:rPr>
          <w:rFonts w:ascii="黑体" w:eastAsia="黑体" w:hAnsi="黑体" w:hint="eastAsia"/>
        </w:rPr>
        <w:t>表</w:t>
      </w:r>
      <w:r>
        <w:rPr>
          <w:rFonts w:eastAsia="黑体"/>
        </w:rPr>
        <w:t xml:space="preserve">2.3.1-7  </w:t>
      </w:r>
      <w:r>
        <w:rPr>
          <w:rFonts w:ascii="黑体" w:eastAsia="黑体" w:hAnsi="黑体" w:hint="eastAsia"/>
        </w:rPr>
        <w:t>评价工作等级分级表</w:t>
      </w:r>
    </w:p>
    <w:tbl>
      <w:tblPr>
        <w:tblStyle w:val="afff"/>
        <w:tblW w:w="0" w:type="auto"/>
        <w:tblLook w:val="04A0" w:firstRow="1" w:lastRow="0" w:firstColumn="1" w:lastColumn="0" w:noHBand="0" w:noVBand="1"/>
      </w:tblPr>
      <w:tblGrid>
        <w:gridCol w:w="2256"/>
        <w:gridCol w:w="2256"/>
        <w:gridCol w:w="2257"/>
        <w:gridCol w:w="2257"/>
      </w:tblGrid>
      <w:tr w:rsidR="004E3021" w:rsidRPr="001E21A1" w:rsidTr="001E21A1">
        <w:tc>
          <w:tcPr>
            <w:tcW w:w="2256" w:type="dxa"/>
            <w:tcBorders>
              <w:top w:val="single" w:sz="12" w:space="0" w:color="auto"/>
              <w:bottom w:val="single" w:sz="4" w:space="0" w:color="auto"/>
              <w:tl2br w:val="single" w:sz="4" w:space="0" w:color="auto"/>
            </w:tcBorders>
            <w:vAlign w:val="center"/>
          </w:tcPr>
          <w:p w:rsidR="004E3021" w:rsidRPr="00E13009" w:rsidRDefault="00606E48" w:rsidP="001E21A1">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项目类别</w:t>
            </w:r>
          </w:p>
          <w:p w:rsidR="004E3021" w:rsidRPr="00E13009" w:rsidRDefault="00606E48" w:rsidP="001E21A1">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环境敏感程度</w:t>
            </w:r>
          </w:p>
        </w:tc>
        <w:tc>
          <w:tcPr>
            <w:tcW w:w="2256" w:type="dxa"/>
            <w:vAlign w:val="center"/>
          </w:tcPr>
          <w:p w:rsidR="004E3021" w:rsidRPr="00E13009" w:rsidRDefault="00606E48" w:rsidP="001E21A1">
            <w:pPr>
              <w:pStyle w:val="afffffff2"/>
              <w:rPr>
                <w:rFonts w:ascii="Times New Roman" w:hAnsi="Times New Roman" w:cs="Times New Roman"/>
                <w:b/>
                <w:kern w:val="0"/>
                <w:sz w:val="21"/>
                <w:szCs w:val="21"/>
              </w:rPr>
            </w:pPr>
            <w:r w:rsidRPr="00E13009">
              <w:rPr>
                <w:rFonts w:ascii="Times New Roman" w:eastAsia="微软雅黑" w:hAnsi="Times New Roman" w:cs="Times New Roman"/>
                <w:b/>
                <w:kern w:val="0"/>
                <w:sz w:val="21"/>
                <w:szCs w:val="21"/>
              </w:rPr>
              <w:t>Ⅰ</w:t>
            </w:r>
            <w:r w:rsidRPr="00E13009">
              <w:rPr>
                <w:rFonts w:ascii="Times New Roman" w:hAnsi="Times New Roman" w:cs="Times New Roman"/>
                <w:b/>
                <w:kern w:val="0"/>
                <w:sz w:val="21"/>
                <w:szCs w:val="21"/>
              </w:rPr>
              <w:t>类项目</w:t>
            </w:r>
          </w:p>
        </w:tc>
        <w:tc>
          <w:tcPr>
            <w:tcW w:w="2257" w:type="dxa"/>
            <w:vAlign w:val="center"/>
          </w:tcPr>
          <w:p w:rsidR="004E3021" w:rsidRPr="00E13009" w:rsidRDefault="00606E48" w:rsidP="001E21A1">
            <w:pPr>
              <w:pStyle w:val="afffffff2"/>
              <w:rPr>
                <w:rFonts w:ascii="Times New Roman" w:hAnsi="Times New Roman" w:cs="Times New Roman"/>
                <w:b/>
                <w:kern w:val="0"/>
                <w:sz w:val="21"/>
                <w:szCs w:val="21"/>
              </w:rPr>
            </w:pPr>
            <w:r w:rsidRPr="00E13009">
              <w:rPr>
                <w:rFonts w:ascii="Times New Roman" w:eastAsia="微软雅黑" w:hAnsi="Times New Roman" w:cs="Times New Roman"/>
                <w:b/>
                <w:kern w:val="0"/>
                <w:sz w:val="21"/>
                <w:szCs w:val="21"/>
              </w:rPr>
              <w:t>Ⅱ</w:t>
            </w:r>
            <w:r w:rsidRPr="00E13009">
              <w:rPr>
                <w:rFonts w:ascii="Times New Roman" w:hAnsi="Times New Roman" w:cs="Times New Roman"/>
                <w:b/>
                <w:kern w:val="0"/>
                <w:sz w:val="21"/>
                <w:szCs w:val="21"/>
              </w:rPr>
              <w:t>类项目</w:t>
            </w:r>
          </w:p>
        </w:tc>
        <w:tc>
          <w:tcPr>
            <w:tcW w:w="2257" w:type="dxa"/>
            <w:vAlign w:val="center"/>
          </w:tcPr>
          <w:p w:rsidR="004E3021" w:rsidRPr="00E13009" w:rsidRDefault="00606E48" w:rsidP="001E21A1">
            <w:pPr>
              <w:pStyle w:val="afffffff2"/>
              <w:rPr>
                <w:rFonts w:ascii="Times New Roman" w:hAnsi="Times New Roman" w:cs="Times New Roman"/>
                <w:b/>
                <w:kern w:val="0"/>
                <w:sz w:val="21"/>
                <w:szCs w:val="21"/>
              </w:rPr>
            </w:pPr>
            <w:r w:rsidRPr="00E13009">
              <w:rPr>
                <w:rFonts w:ascii="Times New Roman" w:eastAsia="微软雅黑" w:hAnsi="Times New Roman" w:cs="Times New Roman"/>
                <w:b/>
                <w:kern w:val="0"/>
                <w:sz w:val="21"/>
                <w:szCs w:val="21"/>
              </w:rPr>
              <w:t>Ⅲ</w:t>
            </w:r>
            <w:r w:rsidRPr="00E13009">
              <w:rPr>
                <w:rFonts w:ascii="Times New Roman" w:hAnsi="Times New Roman" w:cs="Times New Roman"/>
                <w:b/>
                <w:kern w:val="0"/>
                <w:sz w:val="21"/>
                <w:szCs w:val="21"/>
              </w:rPr>
              <w:t>类项目</w:t>
            </w:r>
          </w:p>
        </w:tc>
      </w:tr>
      <w:tr w:rsidR="004E3021" w:rsidRPr="001E21A1" w:rsidTr="001E21A1">
        <w:tc>
          <w:tcPr>
            <w:tcW w:w="2256" w:type="dxa"/>
            <w:tcBorders>
              <w:top w:val="single" w:sz="4" w:space="0" w:color="auto"/>
            </w:tcBorders>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敏感</w:t>
            </w:r>
          </w:p>
        </w:tc>
        <w:tc>
          <w:tcPr>
            <w:tcW w:w="2256"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一</w:t>
            </w:r>
          </w:p>
        </w:tc>
        <w:tc>
          <w:tcPr>
            <w:tcW w:w="2257"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一</w:t>
            </w:r>
          </w:p>
        </w:tc>
        <w:tc>
          <w:tcPr>
            <w:tcW w:w="2257"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二</w:t>
            </w:r>
          </w:p>
        </w:tc>
      </w:tr>
      <w:tr w:rsidR="004E3021" w:rsidRPr="001E21A1" w:rsidTr="001E21A1">
        <w:tc>
          <w:tcPr>
            <w:tcW w:w="2256"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较敏感</w:t>
            </w:r>
          </w:p>
        </w:tc>
        <w:tc>
          <w:tcPr>
            <w:tcW w:w="2256"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一</w:t>
            </w:r>
          </w:p>
        </w:tc>
        <w:tc>
          <w:tcPr>
            <w:tcW w:w="2257"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二</w:t>
            </w:r>
          </w:p>
        </w:tc>
        <w:tc>
          <w:tcPr>
            <w:tcW w:w="2257"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三</w:t>
            </w:r>
          </w:p>
        </w:tc>
      </w:tr>
      <w:tr w:rsidR="004E3021" w:rsidRPr="001E21A1" w:rsidTr="001E21A1">
        <w:tc>
          <w:tcPr>
            <w:tcW w:w="2256"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不敏感</w:t>
            </w:r>
          </w:p>
        </w:tc>
        <w:tc>
          <w:tcPr>
            <w:tcW w:w="2256" w:type="dxa"/>
            <w:shd w:val="clear" w:color="auto" w:fill="A6A6A6" w:themeFill="background1" w:themeFillShade="A6"/>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二</w:t>
            </w:r>
          </w:p>
        </w:tc>
        <w:tc>
          <w:tcPr>
            <w:tcW w:w="2257"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三</w:t>
            </w:r>
          </w:p>
        </w:tc>
        <w:tc>
          <w:tcPr>
            <w:tcW w:w="2257" w:type="dxa"/>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三</w:t>
            </w:r>
          </w:p>
        </w:tc>
      </w:tr>
    </w:tbl>
    <w:p w:rsidR="004E3021" w:rsidRDefault="00606E48">
      <w:pPr>
        <w:pStyle w:val="4a"/>
      </w:pPr>
      <w:r>
        <w:rPr>
          <w:rFonts w:hint="eastAsia"/>
        </w:rPr>
        <w:t>2</w:t>
      </w:r>
      <w:r>
        <w:t>.3.1.5</w:t>
      </w:r>
      <w:r>
        <w:rPr>
          <w:rFonts w:ascii="黑体" w:hAnsi="黑体"/>
        </w:rPr>
        <w:t>风险评价等级</w:t>
      </w:r>
    </w:p>
    <w:p w:rsidR="004E3021" w:rsidRDefault="00606E48">
      <w:pPr>
        <w:ind w:firstLineChars="0" w:firstLine="0"/>
        <w:rPr>
          <w:b/>
        </w:rPr>
      </w:pPr>
      <w:r>
        <w:rPr>
          <w:b/>
        </w:rPr>
        <w:t>2.3.1.5.1</w:t>
      </w:r>
      <w:r>
        <w:rPr>
          <w:b/>
        </w:rPr>
        <w:t>危险物质及工艺系统危险性</w:t>
      </w:r>
      <w:r>
        <w:rPr>
          <w:b/>
        </w:rPr>
        <w:t>P</w:t>
      </w:r>
      <w:r>
        <w:rPr>
          <w:b/>
        </w:rPr>
        <w:t>的分级确定</w:t>
      </w:r>
    </w:p>
    <w:p w:rsidR="004E3021" w:rsidRDefault="00606E48">
      <w:pPr>
        <w:ind w:firstLine="480"/>
      </w:pPr>
      <w:r>
        <w:rPr>
          <w:rFonts w:ascii="宋体" w:hAnsi="宋体" w:hint="eastAsia"/>
        </w:rPr>
        <w:t>根据《建设项目环境风险评价技术导则》</w:t>
      </w:r>
      <w:r>
        <w:rPr>
          <w:rFonts w:hint="eastAsia"/>
        </w:rPr>
        <w:t>(HJ169-2018)</w:t>
      </w:r>
      <w:r>
        <w:rPr>
          <w:rFonts w:ascii="宋体" w:hAnsi="宋体" w:hint="eastAsia"/>
        </w:rPr>
        <w:t>，危险物质及工艺系统危害性</w:t>
      </w:r>
      <w:r>
        <w:rPr>
          <w:rFonts w:hint="eastAsia"/>
        </w:rPr>
        <w:t>(P)</w:t>
      </w:r>
      <w:r>
        <w:rPr>
          <w:rFonts w:ascii="宋体" w:hAnsi="宋体" w:hint="eastAsia"/>
        </w:rPr>
        <w:t>应根据危险物质数量与临界量的比值</w:t>
      </w:r>
      <w:r>
        <w:rPr>
          <w:rFonts w:hint="eastAsia"/>
        </w:rPr>
        <w:t>(Q)</w:t>
      </w:r>
      <w:r>
        <w:rPr>
          <w:rFonts w:ascii="宋体" w:hAnsi="宋体" w:hint="eastAsia"/>
        </w:rPr>
        <w:t>和行业及生产工艺</w:t>
      </w:r>
      <w:r>
        <w:rPr>
          <w:rFonts w:hint="eastAsia"/>
        </w:rPr>
        <w:t>(M)</w:t>
      </w:r>
      <w:r>
        <w:rPr>
          <w:rFonts w:ascii="宋体" w:hAnsi="宋体" w:hint="eastAsia"/>
        </w:rPr>
        <w:t>共同确定。</w:t>
      </w:r>
    </w:p>
    <w:p w:rsidR="004E3021" w:rsidRDefault="00606E48">
      <w:pPr>
        <w:ind w:firstLine="480"/>
      </w:pPr>
      <w:r>
        <w:t>（</w:t>
      </w:r>
      <w:r>
        <w:t>1</w:t>
      </w:r>
      <w:r>
        <w:t>）危险物质数量与临界量比值（</w:t>
      </w:r>
      <w:r>
        <w:t>Q</w:t>
      </w:r>
      <w:r>
        <w:t>）</w:t>
      </w:r>
    </w:p>
    <w:p w:rsidR="004E3021" w:rsidRDefault="00606E48">
      <w:pPr>
        <w:ind w:firstLine="480"/>
      </w:pPr>
      <w:r>
        <w:rPr>
          <w:rFonts w:ascii="宋体" w:hAnsi="宋体"/>
        </w:rPr>
        <w:t>本项目涉及的</w:t>
      </w:r>
      <w:r>
        <w:rPr>
          <w:rFonts w:ascii="宋体" w:hAnsi="宋体" w:hint="eastAsia"/>
        </w:rPr>
        <w:t>危险物质</w:t>
      </w:r>
      <w:r>
        <w:rPr>
          <w:rFonts w:ascii="宋体" w:hAnsi="宋体"/>
        </w:rPr>
        <w:t>在厂界内的最大存量</w:t>
      </w:r>
      <w:r>
        <w:rPr>
          <w:rFonts w:ascii="宋体" w:hAnsi="宋体" w:hint="eastAsia"/>
        </w:rPr>
        <w:t>及</w:t>
      </w:r>
      <w:r>
        <w:rPr>
          <w:rFonts w:ascii="宋体" w:hAnsi="宋体"/>
        </w:rPr>
        <w:t>临界量</w:t>
      </w:r>
      <w:r>
        <w:rPr>
          <w:rFonts w:ascii="宋体" w:hAnsi="宋体" w:hint="eastAsia"/>
        </w:rPr>
        <w:t>见</w:t>
      </w:r>
      <w:r>
        <w:rPr>
          <w:rFonts w:ascii="宋体" w:hAnsi="宋体"/>
        </w:rPr>
        <w:t>表</w:t>
      </w:r>
      <w:r>
        <w:t>2.3.1-8</w:t>
      </w:r>
      <w:r>
        <w:rPr>
          <w:rFonts w:ascii="宋体" w:hAnsi="宋体"/>
        </w:rPr>
        <w:t>中。</w:t>
      </w:r>
    </w:p>
    <w:p w:rsidR="004E3021" w:rsidRDefault="00606E48">
      <w:pPr>
        <w:ind w:firstLine="480"/>
      </w:pPr>
      <w:r>
        <w:rPr>
          <w:rFonts w:ascii="宋体" w:hAnsi="宋体"/>
        </w:rPr>
        <w:t>当</w:t>
      </w:r>
      <w:r>
        <w:rPr>
          <w:rFonts w:ascii="宋体" w:hAnsi="宋体" w:hint="eastAsia"/>
        </w:rPr>
        <w:t>只涉及</w:t>
      </w:r>
      <w:r>
        <w:rPr>
          <w:rFonts w:ascii="宋体" w:hAnsi="宋体"/>
        </w:rPr>
        <w:t>一种危险物质时，</w:t>
      </w:r>
      <w:r>
        <w:rPr>
          <w:rFonts w:ascii="宋体" w:hAnsi="宋体" w:hint="eastAsia"/>
        </w:rPr>
        <w:t>计算该</w:t>
      </w:r>
      <w:r>
        <w:rPr>
          <w:rFonts w:ascii="宋体" w:hAnsi="宋体"/>
        </w:rPr>
        <w:t>物质的</w:t>
      </w:r>
      <w:r>
        <w:rPr>
          <w:rFonts w:ascii="宋体" w:hAnsi="宋体" w:hint="eastAsia"/>
        </w:rPr>
        <w:t>总量</w:t>
      </w:r>
      <w:r>
        <w:rPr>
          <w:rFonts w:ascii="宋体" w:hAnsi="宋体"/>
        </w:rPr>
        <w:t>与其临界量比值，即为</w:t>
      </w:r>
      <w:r>
        <w:rPr>
          <w:rFonts w:hint="eastAsia"/>
          <w:i/>
        </w:rPr>
        <w:t>Q</w:t>
      </w:r>
      <w:r>
        <w:rPr>
          <w:rFonts w:ascii="宋体" w:hAnsi="宋体"/>
        </w:rPr>
        <w:t>。</w:t>
      </w:r>
    </w:p>
    <w:p w:rsidR="004E3021" w:rsidRDefault="00606E48">
      <w:pPr>
        <w:ind w:firstLine="480"/>
      </w:pPr>
      <w:r>
        <w:rPr>
          <w:rFonts w:ascii="宋体" w:hAnsi="宋体"/>
        </w:rPr>
        <w:t>当</w:t>
      </w:r>
      <w:r>
        <w:rPr>
          <w:rFonts w:ascii="宋体" w:hAnsi="宋体" w:hint="eastAsia"/>
        </w:rPr>
        <w:t>存在多种</w:t>
      </w:r>
      <w:r>
        <w:rPr>
          <w:rFonts w:ascii="宋体" w:hAnsi="宋体"/>
        </w:rPr>
        <w:t>危险物质时，</w:t>
      </w:r>
      <w:r>
        <w:rPr>
          <w:rFonts w:ascii="宋体" w:hAnsi="宋体" w:hint="eastAsia"/>
        </w:rPr>
        <w:t>按照</w:t>
      </w:r>
      <w:r>
        <w:rPr>
          <w:rFonts w:ascii="宋体" w:hAnsi="宋体"/>
        </w:rPr>
        <w:t>下列公式</w:t>
      </w:r>
      <w:r>
        <w:rPr>
          <w:rFonts w:ascii="宋体" w:hAnsi="宋体" w:hint="eastAsia"/>
        </w:rPr>
        <w:t>计算危险物质</w:t>
      </w:r>
      <w:r>
        <w:rPr>
          <w:rFonts w:ascii="宋体" w:hAnsi="宋体"/>
        </w:rPr>
        <w:t>数量与临界量比值（</w:t>
      </w:r>
      <w:r>
        <w:rPr>
          <w:rFonts w:hint="eastAsia"/>
          <w:i/>
        </w:rPr>
        <w:t>Q</w:t>
      </w:r>
      <w:r>
        <w:rPr>
          <w:rFonts w:ascii="宋体" w:hAnsi="宋体"/>
        </w:rPr>
        <w:t>）。</w:t>
      </w:r>
    </w:p>
    <w:p w:rsidR="004E3021" w:rsidRDefault="00606E48">
      <w:pPr>
        <w:spacing w:beforeLines="100" w:before="326"/>
        <w:ind w:firstLine="480"/>
        <w:jc w:val="center"/>
      </w:pPr>
      <w:r>
        <w:rPr>
          <w:noProof/>
        </w:rPr>
        <w:drawing>
          <wp:inline distT="0" distB="0" distL="0" distR="0">
            <wp:extent cx="1676400" cy="523875"/>
            <wp:effectExtent l="0" t="0" r="0" b="9525"/>
            <wp:docPr id="13" name="图片 13" descr="C:\Users\ADMINI~1\AppData\Local\Temp\ksohtml\wps4C6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I~1\AppData\Local\Temp\ksohtml\wps4C6E.tmp.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1676400" cy="523875"/>
                    </a:xfrm>
                    <a:prstGeom prst="rect">
                      <a:avLst/>
                    </a:prstGeom>
                    <a:noFill/>
                    <a:ln>
                      <a:noFill/>
                    </a:ln>
                  </pic:spPr>
                </pic:pic>
              </a:graphicData>
            </a:graphic>
          </wp:inline>
        </w:drawing>
      </w:r>
      <w:r>
        <w:t xml:space="preserve"> </w:t>
      </w:r>
    </w:p>
    <w:p w:rsidR="004E3021" w:rsidRDefault="00606E48">
      <w:pPr>
        <w:ind w:firstLine="480"/>
      </w:pPr>
      <w:r>
        <w:rPr>
          <w:rFonts w:ascii="宋体" w:hAnsi="宋体"/>
        </w:rPr>
        <w:t>式中：</w:t>
      </w:r>
      <w:r>
        <w:rPr>
          <w:i/>
        </w:rPr>
        <w:t>q</w:t>
      </w:r>
      <w:r>
        <w:rPr>
          <w:i/>
          <w:vertAlign w:val="subscript"/>
        </w:rPr>
        <w:t>1</w:t>
      </w:r>
      <w:r>
        <w:rPr>
          <w:rFonts w:ascii="宋体" w:hAnsi="宋体"/>
          <w:i/>
        </w:rPr>
        <w:t>、</w:t>
      </w:r>
      <w:r>
        <w:rPr>
          <w:i/>
        </w:rPr>
        <w:t>q</w:t>
      </w:r>
      <w:r>
        <w:rPr>
          <w:i/>
          <w:vertAlign w:val="subscript"/>
        </w:rPr>
        <w:t>2</w:t>
      </w:r>
      <w:r>
        <w:rPr>
          <w:rFonts w:ascii="宋体" w:hAnsi="宋体"/>
          <w:i/>
        </w:rPr>
        <w:t>、</w:t>
      </w:r>
      <w:r>
        <w:rPr>
          <w:i/>
        </w:rPr>
        <w:t>q</w:t>
      </w:r>
      <w:r>
        <w:rPr>
          <w:i/>
          <w:vertAlign w:val="subscript"/>
        </w:rPr>
        <w:t>n</w:t>
      </w:r>
      <w:r>
        <w:t>——</w:t>
      </w:r>
      <w:r>
        <w:rPr>
          <w:rFonts w:ascii="宋体" w:hAnsi="宋体"/>
        </w:rPr>
        <w:t>每种危险物质</w:t>
      </w:r>
      <w:r>
        <w:rPr>
          <w:rFonts w:ascii="宋体" w:hAnsi="宋体" w:hint="eastAsia"/>
        </w:rPr>
        <w:t>的最大</w:t>
      </w:r>
      <w:r>
        <w:rPr>
          <w:rFonts w:ascii="宋体" w:hAnsi="宋体"/>
        </w:rPr>
        <w:t>存在</w:t>
      </w:r>
      <w:r>
        <w:rPr>
          <w:rFonts w:ascii="宋体" w:hAnsi="宋体" w:hint="eastAsia"/>
        </w:rPr>
        <w:t>总</w:t>
      </w:r>
      <w:r>
        <w:rPr>
          <w:rFonts w:ascii="宋体" w:hAnsi="宋体"/>
        </w:rPr>
        <w:t>量，</w:t>
      </w:r>
      <w:r>
        <w:t>t</w:t>
      </w:r>
      <w:r>
        <w:rPr>
          <w:rFonts w:ascii="宋体" w:hAnsi="宋体"/>
        </w:rPr>
        <w:t>；</w:t>
      </w:r>
    </w:p>
    <w:p w:rsidR="004E3021" w:rsidRDefault="00606E48">
      <w:pPr>
        <w:ind w:firstLineChars="300" w:firstLine="720"/>
      </w:pPr>
      <w:r>
        <w:rPr>
          <w:i/>
        </w:rPr>
        <w:t>Q</w:t>
      </w:r>
      <w:r>
        <w:rPr>
          <w:i/>
          <w:vertAlign w:val="subscript"/>
        </w:rPr>
        <w:t>1</w:t>
      </w:r>
      <w:r>
        <w:rPr>
          <w:rFonts w:ascii="宋体" w:hAnsi="宋体"/>
          <w:i/>
        </w:rPr>
        <w:t>、</w:t>
      </w:r>
      <w:r>
        <w:rPr>
          <w:i/>
        </w:rPr>
        <w:t>Q</w:t>
      </w:r>
      <w:r>
        <w:rPr>
          <w:i/>
          <w:vertAlign w:val="subscript"/>
        </w:rPr>
        <w:t>2</w:t>
      </w:r>
      <w:r>
        <w:rPr>
          <w:rFonts w:ascii="宋体" w:hAnsi="宋体"/>
          <w:i/>
        </w:rPr>
        <w:t>、</w:t>
      </w:r>
      <w:r>
        <w:rPr>
          <w:i/>
        </w:rPr>
        <w:t>Q</w:t>
      </w:r>
      <w:r>
        <w:rPr>
          <w:i/>
          <w:vertAlign w:val="subscript"/>
        </w:rPr>
        <w:t>n</w:t>
      </w:r>
      <w:r>
        <w:t>——</w:t>
      </w:r>
      <w:r>
        <w:rPr>
          <w:rFonts w:ascii="宋体" w:hAnsi="宋体"/>
        </w:rPr>
        <w:t>各危险物质</w:t>
      </w:r>
      <w:r>
        <w:rPr>
          <w:rFonts w:ascii="宋体" w:hAnsi="宋体" w:hint="eastAsia"/>
        </w:rPr>
        <w:t>的</w:t>
      </w:r>
      <w:r>
        <w:rPr>
          <w:rFonts w:ascii="宋体" w:hAnsi="宋体"/>
        </w:rPr>
        <w:t>临界量，</w:t>
      </w:r>
      <w:r>
        <w:t>t</w:t>
      </w:r>
      <w:r>
        <w:rPr>
          <w:rFonts w:ascii="宋体" w:hAnsi="宋体"/>
        </w:rPr>
        <w:t>。</w:t>
      </w:r>
    </w:p>
    <w:p w:rsidR="004E3021" w:rsidRDefault="00606E48">
      <w:pPr>
        <w:ind w:firstLineChars="300" w:firstLine="720"/>
      </w:pPr>
      <w:r>
        <w:rPr>
          <w:rFonts w:ascii="宋体" w:hAnsi="宋体" w:hint="eastAsia"/>
        </w:rPr>
        <w:t>当</w:t>
      </w:r>
      <w:r>
        <w:rPr>
          <w:rFonts w:hint="eastAsia"/>
          <w:i/>
        </w:rPr>
        <w:t>Q</w:t>
      </w:r>
      <w:r>
        <w:rPr>
          <w:rFonts w:ascii="宋体" w:hAnsi="宋体" w:hint="eastAsia"/>
        </w:rPr>
        <w:t>＜</w:t>
      </w:r>
      <w:r>
        <w:rPr>
          <w:rFonts w:hint="eastAsia"/>
        </w:rPr>
        <w:t>1</w:t>
      </w:r>
      <w:r>
        <w:rPr>
          <w:rFonts w:ascii="宋体" w:hAnsi="宋体" w:hint="eastAsia"/>
        </w:rPr>
        <w:t>时</w:t>
      </w:r>
      <w:r>
        <w:rPr>
          <w:rFonts w:ascii="宋体" w:hAnsi="宋体"/>
        </w:rPr>
        <w:t>，该项目环境风险潜势为</w:t>
      </w:r>
      <w:r>
        <w:rPr>
          <w:rFonts w:hint="eastAsia"/>
        </w:rPr>
        <w:t>I</w:t>
      </w:r>
      <w:r>
        <w:rPr>
          <w:rFonts w:ascii="宋体" w:hAnsi="宋体" w:hint="eastAsia"/>
        </w:rPr>
        <w:t>。</w:t>
      </w:r>
    </w:p>
    <w:p w:rsidR="004E3021" w:rsidRDefault="00606E48">
      <w:pPr>
        <w:ind w:firstLine="480"/>
        <w:rPr>
          <w:rFonts w:ascii="宋体" w:hAnsi="宋体"/>
        </w:rPr>
      </w:pPr>
      <w:r>
        <w:rPr>
          <w:rFonts w:ascii="宋体" w:hAnsi="宋体" w:hint="eastAsia"/>
        </w:rPr>
        <w:t>当</w:t>
      </w:r>
      <w:r>
        <w:rPr>
          <w:rFonts w:hint="eastAsia"/>
          <w:i/>
        </w:rPr>
        <w:t>Q</w:t>
      </w:r>
      <w:r>
        <w:rPr>
          <w:rFonts w:ascii="宋体" w:hAnsi="宋体" w:hint="eastAsia"/>
        </w:rPr>
        <w:t>≥</w:t>
      </w:r>
      <w:r>
        <w:rPr>
          <w:rFonts w:hint="eastAsia"/>
        </w:rPr>
        <w:t>1</w:t>
      </w:r>
      <w:r>
        <w:rPr>
          <w:rFonts w:ascii="宋体" w:hAnsi="宋体" w:hint="eastAsia"/>
        </w:rPr>
        <w:t>时</w:t>
      </w:r>
      <w:r>
        <w:rPr>
          <w:rFonts w:ascii="宋体" w:hAnsi="宋体"/>
        </w:rPr>
        <w:t>，将</w:t>
      </w:r>
      <w:r>
        <w:rPr>
          <w:rFonts w:hint="eastAsia"/>
          <w:i/>
        </w:rPr>
        <w:t>Q</w:t>
      </w:r>
      <w:r>
        <w:rPr>
          <w:rFonts w:ascii="宋体" w:hAnsi="宋体" w:hint="eastAsia"/>
        </w:rPr>
        <w:t>值</w:t>
      </w:r>
      <w:r>
        <w:rPr>
          <w:rFonts w:ascii="宋体" w:hAnsi="宋体"/>
        </w:rPr>
        <w:t>划分为：（</w:t>
      </w:r>
      <w:r>
        <w:rPr>
          <w:rFonts w:hint="eastAsia"/>
        </w:rPr>
        <w:t>1</w:t>
      </w:r>
      <w:r>
        <w:rPr>
          <w:rFonts w:ascii="宋体" w:hAnsi="宋体"/>
        </w:rPr>
        <w:t>）</w:t>
      </w:r>
      <w:r>
        <w:rPr>
          <w:rFonts w:hint="eastAsia"/>
        </w:rPr>
        <w:t>1</w:t>
      </w:r>
      <w:r>
        <w:rPr>
          <w:rFonts w:ascii="宋体" w:hAnsi="宋体" w:hint="eastAsia"/>
        </w:rPr>
        <w:t>≤</w:t>
      </w:r>
      <w:r>
        <w:rPr>
          <w:rFonts w:hint="eastAsia"/>
          <w:i/>
        </w:rPr>
        <w:t>Q</w:t>
      </w:r>
      <w:r>
        <w:rPr>
          <w:rFonts w:ascii="宋体" w:hAnsi="宋体" w:hint="eastAsia"/>
        </w:rPr>
        <w:t>＜</w:t>
      </w:r>
      <w:r>
        <w:rPr>
          <w:rFonts w:hint="eastAsia"/>
        </w:rPr>
        <w:t>10</w:t>
      </w:r>
      <w:r>
        <w:rPr>
          <w:rFonts w:ascii="宋体" w:hAnsi="宋体" w:hint="eastAsia"/>
        </w:rPr>
        <w:t>；</w:t>
      </w:r>
      <w:r>
        <w:rPr>
          <w:rFonts w:ascii="宋体" w:hAnsi="宋体"/>
        </w:rPr>
        <w:t>（</w:t>
      </w:r>
      <w:r>
        <w:rPr>
          <w:rFonts w:hint="eastAsia"/>
        </w:rPr>
        <w:t>2</w:t>
      </w:r>
      <w:r>
        <w:rPr>
          <w:rFonts w:ascii="宋体" w:hAnsi="宋体"/>
        </w:rPr>
        <w:t>）</w:t>
      </w:r>
      <w:r>
        <w:rPr>
          <w:rFonts w:hint="eastAsia"/>
        </w:rPr>
        <w:t>10</w:t>
      </w:r>
      <w:r>
        <w:rPr>
          <w:rFonts w:ascii="宋体" w:hAnsi="宋体" w:hint="eastAsia"/>
        </w:rPr>
        <w:t>≤</w:t>
      </w:r>
      <w:r>
        <w:rPr>
          <w:rFonts w:hint="eastAsia"/>
          <w:i/>
        </w:rPr>
        <w:t>Q</w:t>
      </w:r>
      <w:r>
        <w:rPr>
          <w:rFonts w:ascii="宋体" w:hAnsi="宋体" w:hint="eastAsia"/>
        </w:rPr>
        <w:t>＜</w:t>
      </w:r>
      <w:r>
        <w:rPr>
          <w:rFonts w:hint="eastAsia"/>
        </w:rPr>
        <w:t>100</w:t>
      </w:r>
      <w:r>
        <w:rPr>
          <w:rFonts w:ascii="宋体" w:hAnsi="宋体" w:hint="eastAsia"/>
        </w:rPr>
        <w:t>；</w:t>
      </w:r>
      <w:r>
        <w:rPr>
          <w:rFonts w:ascii="宋体" w:hAnsi="宋体"/>
        </w:rPr>
        <w:t>（</w:t>
      </w:r>
      <w:r>
        <w:rPr>
          <w:rFonts w:hint="eastAsia"/>
        </w:rPr>
        <w:t>3</w:t>
      </w:r>
      <w:r>
        <w:rPr>
          <w:rFonts w:ascii="宋体" w:hAnsi="宋体"/>
        </w:rPr>
        <w:t>）</w:t>
      </w:r>
      <w:r>
        <w:rPr>
          <w:rFonts w:hint="eastAsia"/>
          <w:i/>
        </w:rPr>
        <w:t>Q</w:t>
      </w:r>
      <w:r>
        <w:rPr>
          <w:rFonts w:ascii="宋体" w:hAnsi="宋体" w:hint="eastAsia"/>
        </w:rPr>
        <w:t>≥</w:t>
      </w:r>
      <w:r>
        <w:rPr>
          <w:rFonts w:hint="eastAsia"/>
        </w:rPr>
        <w:t>100</w:t>
      </w:r>
      <w:r>
        <w:rPr>
          <w:rFonts w:ascii="宋体" w:hAnsi="宋体" w:hint="eastAsia"/>
        </w:rPr>
        <w:t>。</w:t>
      </w:r>
    </w:p>
    <w:p w:rsidR="004E3021" w:rsidRDefault="00606E48">
      <w:pPr>
        <w:ind w:firstLine="480"/>
      </w:pPr>
      <w:r>
        <w:rPr>
          <w:rFonts w:hint="eastAsia"/>
        </w:rPr>
        <w:t>经对照《建设项目环境风险评价技术导则》</w:t>
      </w:r>
      <w:r>
        <w:t>（</w:t>
      </w:r>
      <w:r>
        <w:rPr>
          <w:rFonts w:eastAsia="TimesNewRomanPSMT"/>
        </w:rPr>
        <w:t>HJ 169-2018</w:t>
      </w:r>
      <w:r>
        <w:t>）附录</w:t>
      </w:r>
      <w:r>
        <w:rPr>
          <w:rFonts w:eastAsia="TimesNewRomanPSMT"/>
        </w:rPr>
        <w:t>B</w:t>
      </w:r>
      <w:r>
        <w:rPr>
          <w:rFonts w:hint="eastAsia"/>
        </w:rPr>
        <w:t>，本项目涉及的危险物质判别情况见</w:t>
      </w:r>
      <w:r>
        <w:t>表</w:t>
      </w:r>
      <w:r>
        <w:rPr>
          <w:rFonts w:hint="eastAsia"/>
        </w:rPr>
        <w:t>2.3.1-8</w:t>
      </w:r>
      <w:r>
        <w:rPr>
          <w:rFonts w:hint="eastAsia"/>
        </w:rPr>
        <w:t>。</w:t>
      </w:r>
    </w:p>
    <w:p w:rsidR="00E4143C" w:rsidRPr="00E4143C" w:rsidRDefault="00E4143C" w:rsidP="00E4143C">
      <w:pPr>
        <w:pStyle w:val="a0"/>
        <w:ind w:firstLine="480"/>
      </w:pPr>
    </w:p>
    <w:p w:rsidR="004E3021" w:rsidRDefault="00606E48">
      <w:pPr>
        <w:spacing w:line="500" w:lineRule="exact"/>
        <w:ind w:firstLineChars="0" w:firstLine="0"/>
        <w:jc w:val="center"/>
        <w:rPr>
          <w:rFonts w:eastAsia="黑体"/>
        </w:rPr>
      </w:pPr>
      <w:r>
        <w:rPr>
          <w:rFonts w:ascii="黑体" w:eastAsia="黑体" w:hAnsi="黑体" w:hint="eastAsia"/>
        </w:rPr>
        <w:lastRenderedPageBreak/>
        <w:t>表</w:t>
      </w:r>
      <w:r>
        <w:rPr>
          <w:rFonts w:eastAsia="黑体"/>
        </w:rPr>
        <w:t xml:space="preserve">2.3.1-8  </w:t>
      </w:r>
      <w:r>
        <w:rPr>
          <w:rFonts w:eastAsia="黑体" w:hint="eastAsia"/>
        </w:rPr>
        <w:t>Q</w:t>
      </w:r>
      <w:r>
        <w:rPr>
          <w:rFonts w:ascii="黑体" w:eastAsia="黑体" w:hAnsi="黑体" w:hint="eastAsia"/>
        </w:rPr>
        <w:t>值</w:t>
      </w:r>
      <w:r>
        <w:rPr>
          <w:rFonts w:ascii="黑体" w:eastAsia="黑体" w:hAnsi="黑体"/>
        </w:rPr>
        <w:t>确定表</w:t>
      </w:r>
    </w:p>
    <w:tbl>
      <w:tblPr>
        <w:tblW w:w="5000" w:type="pct"/>
        <w:jc w:val="center"/>
        <w:tblLayout w:type="fixed"/>
        <w:tblLook w:val="04A0" w:firstRow="1" w:lastRow="0" w:firstColumn="1" w:lastColumn="0" w:noHBand="0" w:noVBand="1"/>
      </w:tblPr>
      <w:tblGrid>
        <w:gridCol w:w="568"/>
        <w:gridCol w:w="672"/>
        <w:gridCol w:w="36"/>
        <w:gridCol w:w="850"/>
        <w:gridCol w:w="995"/>
        <w:gridCol w:w="1132"/>
        <w:gridCol w:w="1134"/>
        <w:gridCol w:w="847"/>
        <w:gridCol w:w="1135"/>
        <w:gridCol w:w="854"/>
        <w:gridCol w:w="803"/>
      </w:tblGrid>
      <w:tr w:rsidR="004C6B8D" w:rsidRPr="004C6B8D" w:rsidTr="00E4143C">
        <w:trPr>
          <w:trHeight w:val="22"/>
          <w:jc w:val="center"/>
        </w:trPr>
        <w:tc>
          <w:tcPr>
            <w:tcW w:w="315" w:type="pct"/>
            <w:tcBorders>
              <w:top w:val="single" w:sz="12" w:space="0" w:color="auto"/>
              <w:left w:val="nil"/>
              <w:bottom w:val="single" w:sz="4" w:space="0" w:color="auto"/>
              <w:right w:val="single" w:sz="4" w:space="0" w:color="auto"/>
            </w:tcBorders>
            <w:vAlign w:val="center"/>
          </w:tcPr>
          <w:p w:rsidR="00FC2085" w:rsidRPr="004C6B8D" w:rsidRDefault="00FC2085" w:rsidP="00FC2085">
            <w:pPr>
              <w:widowControl/>
              <w:spacing w:line="360" w:lineRule="exact"/>
              <w:ind w:firstLineChars="0" w:firstLine="0"/>
              <w:jc w:val="center"/>
              <w:rPr>
                <w:b/>
                <w:kern w:val="0"/>
                <w:sz w:val="21"/>
                <w:szCs w:val="21"/>
              </w:rPr>
            </w:pPr>
            <w:r w:rsidRPr="004C6B8D">
              <w:rPr>
                <w:rFonts w:ascii="宋体" w:hAnsi="宋体" w:hint="eastAsia"/>
                <w:b/>
                <w:kern w:val="0"/>
                <w:sz w:val="21"/>
                <w:szCs w:val="21"/>
              </w:rPr>
              <w:t>序号</w:t>
            </w:r>
          </w:p>
        </w:tc>
        <w:tc>
          <w:tcPr>
            <w:tcW w:w="392" w:type="pct"/>
            <w:gridSpan w:val="2"/>
            <w:tcBorders>
              <w:top w:val="single" w:sz="12" w:space="0" w:color="auto"/>
              <w:left w:val="single" w:sz="4" w:space="0" w:color="auto"/>
              <w:bottom w:val="single" w:sz="4" w:space="0" w:color="auto"/>
              <w:right w:val="single" w:sz="4" w:space="0" w:color="auto"/>
            </w:tcBorders>
            <w:vAlign w:val="center"/>
          </w:tcPr>
          <w:p w:rsidR="00FC2085" w:rsidRPr="004C6B8D" w:rsidRDefault="00FC2085" w:rsidP="00FC2085">
            <w:pPr>
              <w:widowControl/>
              <w:spacing w:line="360" w:lineRule="exact"/>
              <w:ind w:firstLineChars="0" w:firstLine="0"/>
              <w:jc w:val="center"/>
              <w:rPr>
                <w:rFonts w:ascii="宋体" w:hAnsi="宋体"/>
                <w:b/>
                <w:kern w:val="0"/>
                <w:sz w:val="21"/>
                <w:szCs w:val="21"/>
              </w:rPr>
            </w:pPr>
            <w:r w:rsidRPr="004C6B8D">
              <w:rPr>
                <w:rFonts w:ascii="宋体" w:hAnsi="宋体" w:hint="eastAsia"/>
                <w:b/>
                <w:kern w:val="0"/>
                <w:sz w:val="21"/>
                <w:szCs w:val="21"/>
              </w:rPr>
              <w:t>项目名称</w:t>
            </w:r>
          </w:p>
        </w:tc>
        <w:tc>
          <w:tcPr>
            <w:tcW w:w="1022" w:type="pct"/>
            <w:gridSpan w:val="2"/>
            <w:tcBorders>
              <w:top w:val="single" w:sz="12" w:space="0" w:color="auto"/>
              <w:left w:val="single" w:sz="4" w:space="0" w:color="auto"/>
              <w:bottom w:val="single" w:sz="4" w:space="0" w:color="auto"/>
              <w:right w:val="single" w:sz="4" w:space="0" w:color="auto"/>
            </w:tcBorders>
            <w:noWrap/>
            <w:vAlign w:val="center"/>
          </w:tcPr>
          <w:p w:rsidR="00FC2085" w:rsidRPr="004C6B8D" w:rsidRDefault="00FC2085" w:rsidP="00FC2085">
            <w:pPr>
              <w:widowControl/>
              <w:spacing w:line="360" w:lineRule="exact"/>
              <w:ind w:firstLineChars="0" w:firstLine="0"/>
              <w:jc w:val="center"/>
              <w:rPr>
                <w:b/>
                <w:kern w:val="0"/>
                <w:sz w:val="21"/>
                <w:szCs w:val="21"/>
              </w:rPr>
            </w:pPr>
            <w:r w:rsidRPr="004C6B8D">
              <w:rPr>
                <w:rFonts w:ascii="宋体" w:hAnsi="宋体"/>
                <w:b/>
                <w:kern w:val="0"/>
                <w:sz w:val="21"/>
                <w:szCs w:val="21"/>
              </w:rPr>
              <w:t>化学品名称</w:t>
            </w:r>
          </w:p>
        </w:tc>
        <w:tc>
          <w:tcPr>
            <w:tcW w:w="627" w:type="pct"/>
            <w:tcBorders>
              <w:top w:val="single" w:sz="12" w:space="0" w:color="auto"/>
              <w:left w:val="single" w:sz="4" w:space="0" w:color="auto"/>
              <w:bottom w:val="single" w:sz="4" w:space="0" w:color="auto"/>
              <w:right w:val="single" w:sz="4" w:space="0" w:color="auto"/>
            </w:tcBorders>
            <w:vAlign w:val="center"/>
          </w:tcPr>
          <w:p w:rsidR="00FC2085" w:rsidRPr="004C6B8D" w:rsidRDefault="00FC2085" w:rsidP="00FC2085">
            <w:pPr>
              <w:widowControl/>
              <w:spacing w:line="360" w:lineRule="exact"/>
              <w:ind w:firstLineChars="0" w:firstLine="0"/>
              <w:jc w:val="center"/>
              <w:rPr>
                <w:b/>
                <w:kern w:val="0"/>
                <w:sz w:val="21"/>
                <w:szCs w:val="21"/>
              </w:rPr>
            </w:pPr>
            <w:r w:rsidRPr="004C6B8D">
              <w:rPr>
                <w:b/>
                <w:kern w:val="0"/>
                <w:sz w:val="21"/>
                <w:szCs w:val="21"/>
              </w:rPr>
              <w:t>CAS</w:t>
            </w:r>
            <w:r w:rsidRPr="004C6B8D">
              <w:rPr>
                <w:rFonts w:ascii="宋体" w:hAnsi="宋体"/>
                <w:b/>
                <w:kern w:val="0"/>
                <w:sz w:val="21"/>
                <w:szCs w:val="21"/>
              </w:rPr>
              <w:t>号</w:t>
            </w:r>
          </w:p>
        </w:tc>
        <w:tc>
          <w:tcPr>
            <w:tcW w:w="628" w:type="pct"/>
            <w:tcBorders>
              <w:top w:val="single" w:sz="12" w:space="0" w:color="auto"/>
              <w:left w:val="single" w:sz="4" w:space="0" w:color="auto"/>
              <w:bottom w:val="single" w:sz="4" w:space="0" w:color="auto"/>
              <w:right w:val="single" w:sz="4" w:space="0" w:color="auto"/>
            </w:tcBorders>
            <w:vAlign w:val="center"/>
          </w:tcPr>
          <w:p w:rsidR="00FC2085" w:rsidRPr="004C6B8D" w:rsidRDefault="00FC2085" w:rsidP="00FC2085">
            <w:pPr>
              <w:widowControl/>
              <w:spacing w:line="360" w:lineRule="exact"/>
              <w:ind w:firstLineChars="0" w:firstLine="0"/>
              <w:jc w:val="center"/>
              <w:rPr>
                <w:rFonts w:ascii="宋体" w:hAnsi="宋体"/>
                <w:b/>
                <w:kern w:val="0"/>
                <w:sz w:val="21"/>
                <w:szCs w:val="21"/>
              </w:rPr>
            </w:pPr>
            <w:r w:rsidRPr="004C6B8D">
              <w:rPr>
                <w:rFonts w:ascii="宋体" w:hAnsi="宋体" w:hint="eastAsia"/>
                <w:b/>
                <w:kern w:val="0"/>
                <w:sz w:val="21"/>
                <w:szCs w:val="21"/>
              </w:rPr>
              <w:t>最大暂存量</w:t>
            </w:r>
            <w:r w:rsidRPr="004C6B8D">
              <w:rPr>
                <w:rFonts w:hint="eastAsia"/>
                <w:b/>
                <w:kern w:val="0"/>
                <w:sz w:val="21"/>
                <w:szCs w:val="21"/>
              </w:rPr>
              <w:t>q</w:t>
            </w:r>
            <w:r w:rsidRPr="004C6B8D">
              <w:rPr>
                <w:b/>
                <w:kern w:val="0"/>
                <w:sz w:val="21"/>
                <w:szCs w:val="21"/>
              </w:rPr>
              <w:t>n/t</w:t>
            </w:r>
          </w:p>
        </w:tc>
        <w:tc>
          <w:tcPr>
            <w:tcW w:w="469" w:type="pct"/>
            <w:tcBorders>
              <w:top w:val="single" w:sz="12" w:space="0" w:color="auto"/>
              <w:left w:val="single" w:sz="4" w:space="0" w:color="auto"/>
              <w:bottom w:val="single" w:sz="4" w:space="0" w:color="auto"/>
              <w:right w:val="single" w:sz="4" w:space="0" w:color="auto"/>
            </w:tcBorders>
            <w:vAlign w:val="center"/>
          </w:tcPr>
          <w:p w:rsidR="00FC2085" w:rsidRPr="004C6B8D" w:rsidRDefault="00FC2085" w:rsidP="00FC2085">
            <w:pPr>
              <w:widowControl/>
              <w:spacing w:line="360" w:lineRule="exact"/>
              <w:ind w:firstLineChars="0" w:firstLine="0"/>
              <w:jc w:val="center"/>
              <w:rPr>
                <w:rFonts w:ascii="宋体" w:hAnsi="宋体"/>
                <w:b/>
                <w:kern w:val="0"/>
                <w:sz w:val="21"/>
                <w:szCs w:val="21"/>
              </w:rPr>
            </w:pPr>
            <w:r w:rsidRPr="004C6B8D">
              <w:rPr>
                <w:rFonts w:ascii="宋体" w:hAnsi="宋体" w:hint="eastAsia"/>
                <w:b/>
                <w:kern w:val="0"/>
                <w:sz w:val="21"/>
                <w:szCs w:val="21"/>
              </w:rPr>
              <w:t>在线量</w:t>
            </w:r>
            <w:r w:rsidRPr="004C6B8D">
              <w:rPr>
                <w:rFonts w:hint="eastAsia"/>
                <w:b/>
                <w:kern w:val="0"/>
                <w:sz w:val="21"/>
                <w:szCs w:val="21"/>
              </w:rPr>
              <w:t>q</w:t>
            </w:r>
            <w:r w:rsidRPr="004C6B8D">
              <w:rPr>
                <w:b/>
                <w:kern w:val="0"/>
                <w:sz w:val="21"/>
                <w:szCs w:val="21"/>
              </w:rPr>
              <w:t>n/t</w:t>
            </w:r>
          </w:p>
        </w:tc>
        <w:tc>
          <w:tcPr>
            <w:tcW w:w="629" w:type="pct"/>
            <w:tcBorders>
              <w:top w:val="single" w:sz="12" w:space="0" w:color="auto"/>
              <w:left w:val="single" w:sz="4" w:space="0" w:color="auto"/>
              <w:bottom w:val="single" w:sz="4" w:space="0" w:color="auto"/>
              <w:right w:val="single" w:sz="4" w:space="0" w:color="auto"/>
            </w:tcBorders>
            <w:noWrap/>
            <w:vAlign w:val="center"/>
          </w:tcPr>
          <w:p w:rsidR="00FC2085" w:rsidRPr="004C6B8D" w:rsidRDefault="00FC2085" w:rsidP="00FC2085">
            <w:pPr>
              <w:widowControl/>
              <w:spacing w:line="360" w:lineRule="exact"/>
              <w:ind w:firstLineChars="0" w:firstLine="0"/>
              <w:jc w:val="center"/>
              <w:rPr>
                <w:rFonts w:ascii="宋体" w:hAnsi="宋体"/>
                <w:b/>
                <w:kern w:val="0"/>
                <w:sz w:val="21"/>
                <w:szCs w:val="21"/>
              </w:rPr>
            </w:pPr>
            <w:r w:rsidRPr="004C6B8D">
              <w:rPr>
                <w:rFonts w:ascii="宋体" w:hAnsi="宋体"/>
                <w:b/>
                <w:kern w:val="0"/>
                <w:sz w:val="21"/>
                <w:szCs w:val="21"/>
              </w:rPr>
              <w:t>最大</w:t>
            </w:r>
            <w:r w:rsidRPr="004C6B8D">
              <w:rPr>
                <w:rFonts w:ascii="宋体" w:hAnsi="宋体" w:hint="eastAsia"/>
                <w:b/>
                <w:kern w:val="0"/>
                <w:sz w:val="21"/>
                <w:szCs w:val="21"/>
              </w:rPr>
              <w:t>存在</w:t>
            </w:r>
          </w:p>
          <w:p w:rsidR="00FC2085" w:rsidRPr="004C6B8D" w:rsidRDefault="00FC2085" w:rsidP="00FC2085">
            <w:pPr>
              <w:widowControl/>
              <w:spacing w:line="360" w:lineRule="exact"/>
              <w:ind w:firstLineChars="0" w:firstLine="0"/>
              <w:jc w:val="center"/>
              <w:rPr>
                <w:b/>
                <w:kern w:val="0"/>
                <w:sz w:val="21"/>
                <w:szCs w:val="21"/>
              </w:rPr>
            </w:pPr>
            <w:r w:rsidRPr="004C6B8D">
              <w:rPr>
                <w:rFonts w:ascii="宋体" w:hAnsi="宋体" w:hint="eastAsia"/>
                <w:b/>
                <w:kern w:val="0"/>
                <w:sz w:val="21"/>
                <w:szCs w:val="21"/>
              </w:rPr>
              <w:t>总量</w:t>
            </w:r>
            <w:r w:rsidRPr="004C6B8D">
              <w:rPr>
                <w:rFonts w:hint="eastAsia"/>
                <w:b/>
                <w:kern w:val="0"/>
                <w:sz w:val="21"/>
                <w:szCs w:val="21"/>
              </w:rPr>
              <w:t>q</w:t>
            </w:r>
            <w:r w:rsidRPr="004C6B8D">
              <w:rPr>
                <w:b/>
                <w:kern w:val="0"/>
                <w:sz w:val="21"/>
                <w:szCs w:val="21"/>
              </w:rPr>
              <w:t>n/t</w:t>
            </w:r>
          </w:p>
        </w:tc>
        <w:tc>
          <w:tcPr>
            <w:tcW w:w="473" w:type="pct"/>
            <w:tcBorders>
              <w:top w:val="single" w:sz="12" w:space="0" w:color="auto"/>
              <w:left w:val="single" w:sz="4" w:space="0" w:color="auto"/>
              <w:bottom w:val="single" w:sz="4" w:space="0" w:color="auto"/>
              <w:right w:val="single" w:sz="4" w:space="0" w:color="auto"/>
            </w:tcBorders>
            <w:vAlign w:val="center"/>
          </w:tcPr>
          <w:p w:rsidR="00FC2085" w:rsidRPr="004C6B8D" w:rsidRDefault="00FC2085" w:rsidP="00FC2085">
            <w:pPr>
              <w:widowControl/>
              <w:spacing w:line="360" w:lineRule="exact"/>
              <w:ind w:firstLineChars="0" w:firstLine="0"/>
              <w:jc w:val="center"/>
              <w:rPr>
                <w:b/>
                <w:kern w:val="0"/>
                <w:sz w:val="21"/>
                <w:szCs w:val="21"/>
              </w:rPr>
            </w:pPr>
            <w:r w:rsidRPr="004C6B8D">
              <w:rPr>
                <w:rFonts w:ascii="宋体" w:hAnsi="宋体" w:hint="eastAsia"/>
                <w:b/>
                <w:kern w:val="0"/>
                <w:sz w:val="21"/>
                <w:szCs w:val="21"/>
              </w:rPr>
              <w:t>临界量</w:t>
            </w:r>
            <w:r w:rsidRPr="004C6B8D">
              <w:rPr>
                <w:rFonts w:hint="eastAsia"/>
                <w:b/>
                <w:kern w:val="0"/>
                <w:sz w:val="21"/>
                <w:szCs w:val="21"/>
              </w:rPr>
              <w:t>Q</w:t>
            </w:r>
            <w:r w:rsidRPr="004C6B8D">
              <w:rPr>
                <w:b/>
                <w:kern w:val="0"/>
                <w:sz w:val="21"/>
                <w:szCs w:val="21"/>
              </w:rPr>
              <w:t>n/t</w:t>
            </w:r>
          </w:p>
        </w:tc>
        <w:tc>
          <w:tcPr>
            <w:tcW w:w="445" w:type="pct"/>
            <w:tcBorders>
              <w:top w:val="single" w:sz="12" w:space="0" w:color="auto"/>
              <w:left w:val="single" w:sz="4" w:space="0" w:color="auto"/>
              <w:bottom w:val="single" w:sz="4" w:space="0" w:color="auto"/>
              <w:right w:val="nil"/>
            </w:tcBorders>
            <w:vAlign w:val="center"/>
          </w:tcPr>
          <w:p w:rsidR="00FC2085" w:rsidRPr="004C6B8D" w:rsidRDefault="00FC2085" w:rsidP="00FC2085">
            <w:pPr>
              <w:widowControl/>
              <w:spacing w:line="360" w:lineRule="exact"/>
              <w:ind w:firstLineChars="0" w:firstLine="0"/>
              <w:jc w:val="center"/>
              <w:rPr>
                <w:b/>
                <w:kern w:val="0"/>
                <w:sz w:val="21"/>
                <w:szCs w:val="21"/>
              </w:rPr>
            </w:pPr>
            <w:r w:rsidRPr="004C6B8D">
              <w:rPr>
                <w:rFonts w:hint="eastAsia"/>
                <w:b/>
                <w:kern w:val="0"/>
                <w:sz w:val="21"/>
                <w:szCs w:val="21"/>
              </w:rPr>
              <w:t>Q</w:t>
            </w:r>
            <w:r w:rsidRPr="004C6B8D">
              <w:rPr>
                <w:rFonts w:ascii="宋体" w:hAnsi="宋体" w:hint="eastAsia"/>
                <w:b/>
                <w:kern w:val="0"/>
                <w:sz w:val="21"/>
                <w:szCs w:val="21"/>
              </w:rPr>
              <w:t>值</w:t>
            </w:r>
          </w:p>
        </w:tc>
      </w:tr>
      <w:tr w:rsidR="004C6B8D" w:rsidRPr="004C6B8D" w:rsidTr="00E4143C">
        <w:trPr>
          <w:trHeight w:val="20"/>
          <w:jc w:val="center"/>
        </w:trPr>
        <w:tc>
          <w:tcPr>
            <w:tcW w:w="315" w:type="pct"/>
            <w:tcBorders>
              <w:top w:val="single" w:sz="4" w:space="0" w:color="auto"/>
              <w:left w:val="nil"/>
              <w:bottom w:val="single" w:sz="4" w:space="0" w:color="auto"/>
              <w:right w:val="single" w:sz="4" w:space="0" w:color="auto"/>
            </w:tcBorders>
            <w:vAlign w:val="center"/>
          </w:tcPr>
          <w:p w:rsidR="004C6B8D" w:rsidRPr="004C6B8D" w:rsidRDefault="00CD2C2C" w:rsidP="004C6B8D">
            <w:pPr>
              <w:widowControl/>
              <w:spacing w:line="360" w:lineRule="exact"/>
              <w:ind w:firstLineChars="0" w:firstLine="0"/>
              <w:jc w:val="center"/>
              <w:rPr>
                <w:kern w:val="0"/>
                <w:sz w:val="21"/>
                <w:szCs w:val="21"/>
              </w:rPr>
            </w:pPr>
            <w:r>
              <w:rPr>
                <w:kern w:val="0"/>
                <w:sz w:val="21"/>
                <w:szCs w:val="21"/>
              </w:rPr>
              <w:t>1</w:t>
            </w:r>
          </w:p>
        </w:tc>
        <w:tc>
          <w:tcPr>
            <w:tcW w:w="392" w:type="pct"/>
            <w:gridSpan w:val="2"/>
            <w:vMerge w:val="restart"/>
            <w:tcBorders>
              <w:top w:val="single" w:sz="4" w:space="0" w:color="auto"/>
              <w:left w:val="single" w:sz="4" w:space="0" w:color="auto"/>
              <w:right w:val="single" w:sz="4" w:space="0" w:color="auto"/>
            </w:tcBorders>
            <w:vAlign w:val="center"/>
          </w:tcPr>
          <w:p w:rsidR="004C6B8D" w:rsidRPr="004C6B8D" w:rsidRDefault="004C6B8D" w:rsidP="004C6B8D">
            <w:pPr>
              <w:widowControl/>
              <w:autoSpaceDE w:val="0"/>
              <w:ind w:firstLineChars="0" w:firstLine="0"/>
              <w:jc w:val="center"/>
              <w:textAlignment w:val="top"/>
              <w:rPr>
                <w:spacing w:val="-2"/>
                <w:kern w:val="0"/>
                <w:sz w:val="21"/>
                <w:szCs w:val="21"/>
              </w:rPr>
            </w:pPr>
            <w:r w:rsidRPr="004C6B8D">
              <w:rPr>
                <w:rFonts w:hint="eastAsia"/>
                <w:spacing w:val="-2"/>
                <w:kern w:val="0"/>
                <w:sz w:val="21"/>
                <w:szCs w:val="21"/>
              </w:rPr>
              <w:t>本项目</w:t>
            </w:r>
          </w:p>
        </w:tc>
        <w:tc>
          <w:tcPr>
            <w:tcW w:w="1022" w:type="pct"/>
            <w:gridSpan w:val="2"/>
            <w:tcBorders>
              <w:top w:val="single" w:sz="4" w:space="0" w:color="auto"/>
              <w:left w:val="single" w:sz="4" w:space="0" w:color="auto"/>
              <w:bottom w:val="single" w:sz="4" w:space="0" w:color="auto"/>
              <w:right w:val="single" w:sz="4" w:space="0" w:color="auto"/>
            </w:tcBorders>
            <w:noWrap/>
            <w:vAlign w:val="center"/>
          </w:tcPr>
          <w:p w:rsidR="004C6B8D" w:rsidRPr="004C6B8D" w:rsidRDefault="004C6B8D" w:rsidP="004C6B8D">
            <w:pPr>
              <w:widowControl/>
              <w:spacing w:line="360" w:lineRule="exact"/>
              <w:ind w:firstLineChars="0" w:firstLine="0"/>
              <w:jc w:val="center"/>
              <w:rPr>
                <w:sz w:val="21"/>
                <w:szCs w:val="21"/>
              </w:rPr>
            </w:pPr>
            <w:r w:rsidRPr="004C6B8D">
              <w:rPr>
                <w:rFonts w:hint="eastAsia"/>
                <w:sz w:val="21"/>
                <w:szCs w:val="21"/>
              </w:rPr>
              <w:t>甲醇</w:t>
            </w:r>
          </w:p>
        </w:tc>
        <w:tc>
          <w:tcPr>
            <w:tcW w:w="627" w:type="pct"/>
            <w:tcBorders>
              <w:top w:val="single" w:sz="4" w:space="0" w:color="auto"/>
              <w:left w:val="single" w:sz="4" w:space="0" w:color="auto"/>
              <w:bottom w:val="single" w:sz="4" w:space="0" w:color="auto"/>
              <w:right w:val="single" w:sz="4" w:space="0" w:color="auto"/>
            </w:tcBorders>
            <w:vAlign w:val="center"/>
          </w:tcPr>
          <w:p w:rsidR="004C6B8D" w:rsidRPr="004C6B8D" w:rsidRDefault="004C6B8D" w:rsidP="004C6B8D">
            <w:pPr>
              <w:widowControl/>
              <w:spacing w:line="360" w:lineRule="exact"/>
              <w:ind w:firstLineChars="0" w:firstLine="0"/>
              <w:jc w:val="center"/>
              <w:rPr>
                <w:sz w:val="21"/>
                <w:szCs w:val="21"/>
              </w:rPr>
            </w:pPr>
            <w:r w:rsidRPr="004C6B8D">
              <w:rPr>
                <w:rFonts w:hint="eastAsia"/>
                <w:sz w:val="21"/>
                <w:szCs w:val="21"/>
              </w:rPr>
              <w:t>67-56-1</w:t>
            </w:r>
          </w:p>
        </w:tc>
        <w:tc>
          <w:tcPr>
            <w:tcW w:w="628" w:type="pct"/>
            <w:tcBorders>
              <w:top w:val="single" w:sz="4" w:space="0" w:color="auto"/>
              <w:left w:val="single" w:sz="4" w:space="0" w:color="auto"/>
              <w:bottom w:val="single" w:sz="4" w:space="0" w:color="auto"/>
              <w:right w:val="single" w:sz="4" w:space="0" w:color="auto"/>
            </w:tcBorders>
            <w:vAlign w:val="center"/>
          </w:tcPr>
          <w:p w:rsidR="004C6B8D" w:rsidRPr="004C6B8D" w:rsidRDefault="004C6B8D" w:rsidP="004C6B8D">
            <w:pPr>
              <w:widowControl/>
              <w:spacing w:line="360" w:lineRule="exact"/>
              <w:ind w:firstLineChars="0" w:firstLine="0"/>
              <w:jc w:val="center"/>
              <w:rPr>
                <w:sz w:val="21"/>
                <w:szCs w:val="21"/>
              </w:rPr>
            </w:pPr>
            <w:r>
              <w:rPr>
                <w:sz w:val="21"/>
                <w:szCs w:val="21"/>
              </w:rPr>
              <w:t>322</w:t>
            </w:r>
          </w:p>
        </w:tc>
        <w:tc>
          <w:tcPr>
            <w:tcW w:w="469" w:type="pct"/>
            <w:tcBorders>
              <w:top w:val="single" w:sz="4" w:space="0" w:color="auto"/>
              <w:left w:val="single" w:sz="4" w:space="0" w:color="auto"/>
              <w:bottom w:val="single" w:sz="4" w:space="0" w:color="auto"/>
              <w:right w:val="single" w:sz="4" w:space="0" w:color="auto"/>
            </w:tcBorders>
            <w:vAlign w:val="center"/>
          </w:tcPr>
          <w:p w:rsidR="004C6B8D" w:rsidRPr="004C6B8D" w:rsidRDefault="004C6B8D" w:rsidP="004C6B8D">
            <w:pPr>
              <w:widowControl/>
              <w:spacing w:line="360" w:lineRule="exact"/>
              <w:ind w:firstLineChars="0" w:firstLine="0"/>
              <w:jc w:val="center"/>
              <w:rPr>
                <w:sz w:val="21"/>
                <w:szCs w:val="21"/>
              </w:rPr>
            </w:pPr>
            <w:r w:rsidRPr="004C6B8D">
              <w:rPr>
                <w:sz w:val="21"/>
                <w:szCs w:val="21"/>
              </w:rPr>
              <w:t>94.6</w:t>
            </w:r>
          </w:p>
        </w:tc>
        <w:tc>
          <w:tcPr>
            <w:tcW w:w="629" w:type="pct"/>
            <w:tcBorders>
              <w:top w:val="single" w:sz="4" w:space="0" w:color="auto"/>
              <w:left w:val="single" w:sz="4" w:space="0" w:color="auto"/>
              <w:bottom w:val="single" w:sz="4" w:space="0" w:color="auto"/>
              <w:right w:val="single" w:sz="4" w:space="0" w:color="auto"/>
            </w:tcBorders>
            <w:noWrap/>
            <w:vAlign w:val="center"/>
          </w:tcPr>
          <w:p w:rsidR="004C6B8D" w:rsidRPr="004C6B8D" w:rsidRDefault="004C6B8D" w:rsidP="006B5C39">
            <w:pPr>
              <w:widowControl/>
              <w:spacing w:line="360" w:lineRule="exact"/>
              <w:ind w:firstLineChars="0" w:firstLine="0"/>
              <w:jc w:val="center"/>
              <w:rPr>
                <w:sz w:val="21"/>
                <w:szCs w:val="21"/>
              </w:rPr>
            </w:pPr>
            <w:r w:rsidRPr="004C6B8D">
              <w:rPr>
                <w:sz w:val="21"/>
                <w:szCs w:val="21"/>
              </w:rPr>
              <w:t>4</w:t>
            </w:r>
            <w:r w:rsidR="006B5C39">
              <w:rPr>
                <w:sz w:val="21"/>
                <w:szCs w:val="21"/>
              </w:rPr>
              <w:t>16</w:t>
            </w:r>
            <w:r w:rsidRPr="004C6B8D">
              <w:rPr>
                <w:sz w:val="21"/>
                <w:szCs w:val="21"/>
              </w:rPr>
              <w:t>.6</w:t>
            </w:r>
          </w:p>
        </w:tc>
        <w:tc>
          <w:tcPr>
            <w:tcW w:w="473" w:type="pct"/>
            <w:tcBorders>
              <w:top w:val="single" w:sz="4" w:space="0" w:color="auto"/>
              <w:left w:val="single" w:sz="4" w:space="0" w:color="auto"/>
              <w:bottom w:val="single" w:sz="4" w:space="0" w:color="auto"/>
              <w:right w:val="single" w:sz="4" w:space="0" w:color="auto"/>
            </w:tcBorders>
            <w:vAlign w:val="center"/>
          </w:tcPr>
          <w:p w:rsidR="004C6B8D" w:rsidRPr="004C6B8D" w:rsidRDefault="004C6B8D" w:rsidP="004C6B8D">
            <w:pPr>
              <w:widowControl/>
              <w:spacing w:line="360" w:lineRule="exact"/>
              <w:ind w:firstLineChars="0" w:firstLine="0"/>
              <w:jc w:val="center"/>
              <w:rPr>
                <w:sz w:val="21"/>
                <w:szCs w:val="21"/>
              </w:rPr>
            </w:pPr>
            <w:r w:rsidRPr="004C6B8D">
              <w:rPr>
                <w:rFonts w:hint="eastAsia"/>
                <w:sz w:val="21"/>
                <w:szCs w:val="21"/>
              </w:rPr>
              <w:t>10</w:t>
            </w:r>
          </w:p>
        </w:tc>
        <w:tc>
          <w:tcPr>
            <w:tcW w:w="445" w:type="pct"/>
            <w:tcBorders>
              <w:top w:val="single" w:sz="4" w:space="0" w:color="auto"/>
              <w:left w:val="single" w:sz="4" w:space="0" w:color="auto"/>
              <w:bottom w:val="single" w:sz="4" w:space="0" w:color="auto"/>
              <w:right w:val="nil"/>
            </w:tcBorders>
            <w:vAlign w:val="center"/>
          </w:tcPr>
          <w:p w:rsidR="004C6B8D" w:rsidRPr="004C6B8D" w:rsidRDefault="004C6B8D" w:rsidP="006B5C39">
            <w:pPr>
              <w:widowControl/>
              <w:spacing w:line="360" w:lineRule="exact"/>
              <w:ind w:firstLineChars="0" w:firstLine="0"/>
              <w:jc w:val="center"/>
              <w:rPr>
                <w:sz w:val="21"/>
                <w:szCs w:val="21"/>
              </w:rPr>
            </w:pPr>
            <w:r w:rsidRPr="004C6B8D">
              <w:rPr>
                <w:sz w:val="21"/>
                <w:szCs w:val="21"/>
              </w:rPr>
              <w:t>4</w:t>
            </w:r>
            <w:r w:rsidR="006B5C39">
              <w:rPr>
                <w:sz w:val="21"/>
                <w:szCs w:val="21"/>
              </w:rPr>
              <w:t>1</w:t>
            </w:r>
            <w:r w:rsidRPr="004C6B8D">
              <w:rPr>
                <w:sz w:val="21"/>
                <w:szCs w:val="21"/>
              </w:rPr>
              <w:t>.</w:t>
            </w:r>
            <w:r w:rsidR="006B5C39">
              <w:rPr>
                <w:sz w:val="21"/>
                <w:szCs w:val="21"/>
              </w:rPr>
              <w:t>6</w:t>
            </w:r>
            <w:r w:rsidRPr="004C6B8D">
              <w:rPr>
                <w:sz w:val="21"/>
                <w:szCs w:val="21"/>
              </w:rPr>
              <w:t>6</w:t>
            </w:r>
          </w:p>
        </w:tc>
      </w:tr>
      <w:tr w:rsidR="006B5C39" w:rsidRPr="004C6B8D" w:rsidTr="00E4143C">
        <w:trPr>
          <w:trHeight w:val="20"/>
          <w:jc w:val="center"/>
        </w:trPr>
        <w:tc>
          <w:tcPr>
            <w:tcW w:w="315" w:type="pct"/>
            <w:tcBorders>
              <w:top w:val="single" w:sz="4" w:space="0" w:color="auto"/>
              <w:left w:val="nil"/>
              <w:bottom w:val="single" w:sz="4" w:space="0" w:color="auto"/>
              <w:right w:val="single" w:sz="4" w:space="0" w:color="auto"/>
            </w:tcBorders>
            <w:vAlign w:val="center"/>
          </w:tcPr>
          <w:p w:rsidR="006B5C39" w:rsidRPr="004C6B8D" w:rsidRDefault="00CD2C2C" w:rsidP="006B5C39">
            <w:pPr>
              <w:widowControl/>
              <w:spacing w:line="360" w:lineRule="exact"/>
              <w:ind w:firstLineChars="0" w:firstLine="0"/>
              <w:jc w:val="center"/>
              <w:rPr>
                <w:kern w:val="0"/>
                <w:sz w:val="21"/>
                <w:szCs w:val="21"/>
              </w:rPr>
            </w:pPr>
            <w:r>
              <w:rPr>
                <w:kern w:val="0"/>
                <w:sz w:val="21"/>
                <w:szCs w:val="21"/>
              </w:rPr>
              <w:t>2</w:t>
            </w:r>
          </w:p>
        </w:tc>
        <w:tc>
          <w:tcPr>
            <w:tcW w:w="392" w:type="pct"/>
            <w:gridSpan w:val="2"/>
            <w:vMerge/>
            <w:tcBorders>
              <w:left w:val="single" w:sz="4" w:space="0" w:color="auto"/>
              <w:right w:val="single" w:sz="4" w:space="0" w:color="auto"/>
            </w:tcBorders>
            <w:vAlign w:val="center"/>
          </w:tcPr>
          <w:p w:rsidR="006B5C39" w:rsidRPr="004C6B8D" w:rsidRDefault="006B5C39" w:rsidP="006B5C39">
            <w:pPr>
              <w:widowControl/>
              <w:autoSpaceDE w:val="0"/>
              <w:ind w:firstLineChars="0" w:firstLine="0"/>
              <w:jc w:val="center"/>
              <w:textAlignment w:val="top"/>
              <w:rPr>
                <w:spacing w:val="-2"/>
                <w:kern w:val="0"/>
                <w:sz w:val="21"/>
                <w:szCs w:val="21"/>
              </w:rPr>
            </w:pPr>
          </w:p>
        </w:tc>
        <w:tc>
          <w:tcPr>
            <w:tcW w:w="1022" w:type="pct"/>
            <w:gridSpan w:val="2"/>
            <w:tcBorders>
              <w:top w:val="single" w:sz="4" w:space="0" w:color="auto"/>
              <w:left w:val="single" w:sz="4" w:space="0" w:color="auto"/>
              <w:bottom w:val="single" w:sz="4" w:space="0" w:color="auto"/>
              <w:right w:val="single" w:sz="4" w:space="0" w:color="auto"/>
            </w:tcBorders>
            <w:noWrap/>
            <w:vAlign w:val="center"/>
          </w:tcPr>
          <w:p w:rsidR="006B5C39" w:rsidRPr="006B5C39" w:rsidRDefault="006B5C39" w:rsidP="006B5C39">
            <w:pPr>
              <w:widowControl/>
              <w:spacing w:line="360" w:lineRule="exact"/>
              <w:ind w:firstLineChars="0" w:firstLine="0"/>
              <w:jc w:val="center"/>
              <w:rPr>
                <w:sz w:val="21"/>
                <w:szCs w:val="21"/>
                <w:vertAlign w:val="superscript"/>
              </w:rPr>
            </w:pPr>
            <w:r w:rsidRPr="006B5C39">
              <w:rPr>
                <w:rFonts w:hint="eastAsia"/>
                <w:sz w:val="21"/>
                <w:szCs w:val="21"/>
              </w:rPr>
              <w:t>氨水（折纯）</w:t>
            </w:r>
          </w:p>
        </w:tc>
        <w:tc>
          <w:tcPr>
            <w:tcW w:w="627"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rPr>
            </w:pPr>
            <w:r w:rsidRPr="006B5C39">
              <w:rPr>
                <w:rFonts w:hint="eastAsia"/>
                <w:sz w:val="21"/>
                <w:szCs w:val="21"/>
              </w:rPr>
              <w:t>1336-21-</w:t>
            </w:r>
            <w:r w:rsidRPr="006B5C39">
              <w:rPr>
                <w:sz w:val="21"/>
                <w:szCs w:val="21"/>
              </w:rPr>
              <w:t>6</w:t>
            </w:r>
          </w:p>
        </w:tc>
        <w:tc>
          <w:tcPr>
            <w:tcW w:w="628"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rPr>
            </w:pPr>
            <w:r w:rsidRPr="006B5C39">
              <w:rPr>
                <w:sz w:val="21"/>
                <w:szCs w:val="21"/>
              </w:rPr>
              <w:t>1.60</w:t>
            </w:r>
          </w:p>
        </w:tc>
        <w:tc>
          <w:tcPr>
            <w:tcW w:w="469"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rPr>
            </w:pPr>
            <w:r w:rsidRPr="006B5C39">
              <w:rPr>
                <w:sz w:val="21"/>
                <w:szCs w:val="21"/>
              </w:rPr>
              <w:t>0.80</w:t>
            </w:r>
          </w:p>
        </w:tc>
        <w:tc>
          <w:tcPr>
            <w:tcW w:w="629" w:type="pct"/>
            <w:tcBorders>
              <w:top w:val="single" w:sz="4" w:space="0" w:color="auto"/>
              <w:left w:val="single" w:sz="4" w:space="0" w:color="auto"/>
              <w:bottom w:val="single" w:sz="4" w:space="0" w:color="auto"/>
              <w:right w:val="single" w:sz="4" w:space="0" w:color="auto"/>
            </w:tcBorders>
            <w:noWrap/>
            <w:vAlign w:val="center"/>
          </w:tcPr>
          <w:p w:rsidR="006B5C39" w:rsidRPr="006B5C39" w:rsidRDefault="006B5C39" w:rsidP="006B5C39">
            <w:pPr>
              <w:widowControl/>
              <w:spacing w:line="360" w:lineRule="exact"/>
              <w:ind w:firstLineChars="0" w:firstLine="0"/>
              <w:jc w:val="center"/>
              <w:rPr>
                <w:sz w:val="21"/>
                <w:szCs w:val="21"/>
              </w:rPr>
            </w:pPr>
            <w:r w:rsidRPr="006B5C39">
              <w:rPr>
                <w:sz w:val="21"/>
                <w:szCs w:val="21"/>
              </w:rPr>
              <w:t>2.40</w:t>
            </w:r>
          </w:p>
        </w:tc>
        <w:tc>
          <w:tcPr>
            <w:tcW w:w="473"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rPr>
            </w:pPr>
            <w:r w:rsidRPr="006B5C39">
              <w:rPr>
                <w:rFonts w:hint="eastAsia"/>
                <w:sz w:val="21"/>
                <w:szCs w:val="21"/>
              </w:rPr>
              <w:t>10</w:t>
            </w:r>
          </w:p>
        </w:tc>
        <w:tc>
          <w:tcPr>
            <w:tcW w:w="445" w:type="pct"/>
            <w:tcBorders>
              <w:top w:val="single" w:sz="4" w:space="0" w:color="auto"/>
              <w:left w:val="single" w:sz="4" w:space="0" w:color="auto"/>
              <w:bottom w:val="single" w:sz="4" w:space="0" w:color="auto"/>
              <w:right w:val="nil"/>
            </w:tcBorders>
            <w:vAlign w:val="center"/>
          </w:tcPr>
          <w:p w:rsidR="006B5C39" w:rsidRPr="006B5C39" w:rsidRDefault="006B5C39" w:rsidP="006B5C39">
            <w:pPr>
              <w:widowControl/>
              <w:spacing w:line="360" w:lineRule="exact"/>
              <w:ind w:firstLineChars="0" w:firstLine="0"/>
              <w:jc w:val="center"/>
              <w:rPr>
                <w:sz w:val="21"/>
                <w:szCs w:val="21"/>
              </w:rPr>
            </w:pPr>
            <w:r w:rsidRPr="006B5C39">
              <w:rPr>
                <w:sz w:val="21"/>
                <w:szCs w:val="21"/>
              </w:rPr>
              <w:t>2.40</w:t>
            </w:r>
          </w:p>
        </w:tc>
      </w:tr>
      <w:tr w:rsidR="006B5C39" w:rsidRPr="004C6B8D" w:rsidTr="00E4143C">
        <w:trPr>
          <w:trHeight w:val="20"/>
          <w:jc w:val="center"/>
        </w:trPr>
        <w:tc>
          <w:tcPr>
            <w:tcW w:w="315" w:type="pct"/>
            <w:tcBorders>
              <w:top w:val="single" w:sz="4" w:space="0" w:color="auto"/>
              <w:left w:val="nil"/>
              <w:bottom w:val="single" w:sz="4" w:space="0" w:color="auto"/>
              <w:right w:val="single" w:sz="4" w:space="0" w:color="auto"/>
            </w:tcBorders>
            <w:vAlign w:val="center"/>
          </w:tcPr>
          <w:p w:rsidR="006B5C39" w:rsidRPr="004C6B8D" w:rsidRDefault="00D63FD0" w:rsidP="006B5C39">
            <w:pPr>
              <w:widowControl/>
              <w:spacing w:line="360" w:lineRule="exact"/>
              <w:ind w:firstLineChars="0" w:firstLine="0"/>
              <w:jc w:val="center"/>
              <w:rPr>
                <w:kern w:val="0"/>
                <w:sz w:val="21"/>
                <w:szCs w:val="21"/>
              </w:rPr>
            </w:pPr>
            <w:r>
              <w:rPr>
                <w:rFonts w:hint="eastAsia"/>
                <w:kern w:val="0"/>
                <w:sz w:val="21"/>
                <w:szCs w:val="21"/>
              </w:rPr>
              <w:t>3</w:t>
            </w:r>
          </w:p>
        </w:tc>
        <w:tc>
          <w:tcPr>
            <w:tcW w:w="392" w:type="pct"/>
            <w:gridSpan w:val="2"/>
            <w:vMerge/>
            <w:tcBorders>
              <w:left w:val="single" w:sz="4" w:space="0" w:color="auto"/>
              <w:right w:val="single" w:sz="4" w:space="0" w:color="auto"/>
            </w:tcBorders>
            <w:vAlign w:val="center"/>
          </w:tcPr>
          <w:p w:rsidR="006B5C39" w:rsidRPr="004C6B8D" w:rsidRDefault="006B5C39" w:rsidP="006B5C39">
            <w:pPr>
              <w:widowControl/>
              <w:autoSpaceDE w:val="0"/>
              <w:ind w:firstLineChars="0" w:firstLine="0"/>
              <w:jc w:val="center"/>
              <w:textAlignment w:val="top"/>
              <w:rPr>
                <w:spacing w:val="-2"/>
                <w:kern w:val="0"/>
                <w:sz w:val="21"/>
                <w:szCs w:val="21"/>
              </w:rPr>
            </w:pPr>
          </w:p>
        </w:tc>
        <w:tc>
          <w:tcPr>
            <w:tcW w:w="1022" w:type="pct"/>
            <w:gridSpan w:val="2"/>
            <w:tcBorders>
              <w:top w:val="single" w:sz="4" w:space="0" w:color="auto"/>
              <w:left w:val="single" w:sz="4" w:space="0" w:color="auto"/>
              <w:bottom w:val="single" w:sz="4" w:space="0" w:color="auto"/>
              <w:right w:val="single" w:sz="4" w:space="0" w:color="auto"/>
            </w:tcBorders>
            <w:noWrap/>
            <w:vAlign w:val="center"/>
          </w:tcPr>
          <w:p w:rsidR="006B5C39" w:rsidRPr="006B5C39" w:rsidRDefault="006B5C39" w:rsidP="006B5C39">
            <w:pPr>
              <w:pStyle w:val="afffffff2"/>
              <w:rPr>
                <w:sz w:val="21"/>
                <w:szCs w:val="21"/>
                <w:vertAlign w:val="superscript"/>
              </w:rPr>
            </w:pPr>
            <w:r w:rsidRPr="006B5C39">
              <w:rPr>
                <w:rFonts w:hint="eastAsia"/>
                <w:sz w:val="21"/>
                <w:szCs w:val="21"/>
              </w:rPr>
              <w:t>烯丙基缩水甘油醚</w:t>
            </w:r>
            <w:r w:rsidRPr="006B5C39">
              <w:rPr>
                <w:sz w:val="21"/>
                <w:szCs w:val="21"/>
                <w:vertAlign w:val="superscript"/>
              </w:rPr>
              <w:t>1</w:t>
            </w:r>
          </w:p>
        </w:tc>
        <w:tc>
          <w:tcPr>
            <w:tcW w:w="627"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rPr>
            </w:pPr>
            <w:r w:rsidRPr="006B5C39">
              <w:rPr>
                <w:rFonts w:hint="eastAsia"/>
                <w:sz w:val="21"/>
                <w:szCs w:val="21"/>
              </w:rPr>
              <w:t>106-92-3</w:t>
            </w:r>
          </w:p>
        </w:tc>
        <w:tc>
          <w:tcPr>
            <w:tcW w:w="628"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rPr>
            </w:pPr>
            <w:r>
              <w:rPr>
                <w:sz w:val="21"/>
                <w:szCs w:val="21"/>
              </w:rPr>
              <w:t>56</w:t>
            </w:r>
          </w:p>
        </w:tc>
        <w:tc>
          <w:tcPr>
            <w:tcW w:w="469"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rPr>
            </w:pPr>
            <w:r w:rsidRPr="006B5C39">
              <w:rPr>
                <w:sz w:val="21"/>
                <w:szCs w:val="21"/>
              </w:rPr>
              <w:t>8</w:t>
            </w:r>
          </w:p>
        </w:tc>
        <w:tc>
          <w:tcPr>
            <w:tcW w:w="629" w:type="pct"/>
            <w:tcBorders>
              <w:top w:val="single" w:sz="4" w:space="0" w:color="auto"/>
              <w:left w:val="single" w:sz="4" w:space="0" w:color="auto"/>
              <w:bottom w:val="single" w:sz="4" w:space="0" w:color="auto"/>
              <w:right w:val="single" w:sz="4" w:space="0" w:color="auto"/>
            </w:tcBorders>
            <w:noWrap/>
            <w:vAlign w:val="center"/>
          </w:tcPr>
          <w:p w:rsidR="006B5C39" w:rsidRPr="006B5C39" w:rsidRDefault="006B5C39" w:rsidP="006B5C39">
            <w:pPr>
              <w:widowControl/>
              <w:spacing w:line="360" w:lineRule="exact"/>
              <w:ind w:firstLineChars="0" w:firstLine="0"/>
              <w:jc w:val="center"/>
              <w:rPr>
                <w:sz w:val="21"/>
                <w:szCs w:val="21"/>
              </w:rPr>
            </w:pPr>
            <w:r>
              <w:rPr>
                <w:sz w:val="21"/>
                <w:szCs w:val="21"/>
              </w:rPr>
              <w:t>64</w:t>
            </w:r>
          </w:p>
        </w:tc>
        <w:tc>
          <w:tcPr>
            <w:tcW w:w="473"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rPr>
            </w:pPr>
            <w:r w:rsidRPr="006B5C39">
              <w:rPr>
                <w:sz w:val="21"/>
                <w:szCs w:val="21"/>
              </w:rPr>
              <w:t>50</w:t>
            </w:r>
          </w:p>
        </w:tc>
        <w:tc>
          <w:tcPr>
            <w:tcW w:w="445" w:type="pct"/>
            <w:tcBorders>
              <w:top w:val="single" w:sz="4" w:space="0" w:color="auto"/>
              <w:left w:val="single" w:sz="4" w:space="0" w:color="auto"/>
              <w:bottom w:val="single" w:sz="4" w:space="0" w:color="auto"/>
              <w:right w:val="nil"/>
            </w:tcBorders>
            <w:vAlign w:val="center"/>
          </w:tcPr>
          <w:p w:rsidR="006B5C39" w:rsidRPr="006B5C39" w:rsidRDefault="006B5C39" w:rsidP="006B5C39">
            <w:pPr>
              <w:widowControl/>
              <w:spacing w:line="360" w:lineRule="exact"/>
              <w:ind w:firstLineChars="0" w:firstLine="0"/>
              <w:jc w:val="center"/>
              <w:rPr>
                <w:sz w:val="21"/>
                <w:szCs w:val="21"/>
              </w:rPr>
            </w:pPr>
            <w:r w:rsidRPr="006B5C39">
              <w:rPr>
                <w:sz w:val="21"/>
                <w:szCs w:val="21"/>
              </w:rPr>
              <w:t>1.</w:t>
            </w:r>
            <w:r>
              <w:rPr>
                <w:sz w:val="21"/>
                <w:szCs w:val="21"/>
              </w:rPr>
              <w:t>28</w:t>
            </w:r>
          </w:p>
        </w:tc>
      </w:tr>
      <w:tr w:rsidR="006B5C39" w:rsidRPr="006B5C39" w:rsidTr="00E4143C">
        <w:trPr>
          <w:trHeight w:val="20"/>
          <w:jc w:val="center"/>
        </w:trPr>
        <w:tc>
          <w:tcPr>
            <w:tcW w:w="315" w:type="pct"/>
            <w:tcBorders>
              <w:top w:val="single" w:sz="4" w:space="0" w:color="auto"/>
              <w:left w:val="nil"/>
              <w:bottom w:val="single" w:sz="4" w:space="0" w:color="auto"/>
              <w:right w:val="single" w:sz="4" w:space="0" w:color="auto"/>
            </w:tcBorders>
            <w:vAlign w:val="center"/>
          </w:tcPr>
          <w:p w:rsidR="006B5C39" w:rsidRPr="004C6B8D" w:rsidRDefault="00CD2C2C" w:rsidP="006B5C39">
            <w:pPr>
              <w:widowControl/>
              <w:spacing w:line="360" w:lineRule="exact"/>
              <w:ind w:firstLineChars="0" w:firstLine="0"/>
              <w:jc w:val="center"/>
              <w:rPr>
                <w:kern w:val="0"/>
                <w:sz w:val="21"/>
                <w:szCs w:val="21"/>
              </w:rPr>
            </w:pPr>
            <w:r>
              <w:rPr>
                <w:kern w:val="0"/>
                <w:sz w:val="21"/>
                <w:szCs w:val="21"/>
              </w:rPr>
              <w:t>4</w:t>
            </w:r>
          </w:p>
        </w:tc>
        <w:tc>
          <w:tcPr>
            <w:tcW w:w="392" w:type="pct"/>
            <w:gridSpan w:val="2"/>
            <w:vMerge/>
            <w:tcBorders>
              <w:left w:val="single" w:sz="4" w:space="0" w:color="auto"/>
              <w:right w:val="single" w:sz="4" w:space="0" w:color="auto"/>
            </w:tcBorders>
            <w:vAlign w:val="center"/>
          </w:tcPr>
          <w:p w:rsidR="006B5C39" w:rsidRPr="004C6B8D" w:rsidRDefault="006B5C39" w:rsidP="006B5C39">
            <w:pPr>
              <w:widowControl/>
              <w:autoSpaceDE w:val="0"/>
              <w:ind w:firstLineChars="0" w:firstLine="0"/>
              <w:jc w:val="center"/>
              <w:textAlignment w:val="top"/>
              <w:rPr>
                <w:spacing w:val="-2"/>
                <w:kern w:val="0"/>
                <w:sz w:val="21"/>
                <w:szCs w:val="21"/>
              </w:rPr>
            </w:pPr>
          </w:p>
        </w:tc>
        <w:tc>
          <w:tcPr>
            <w:tcW w:w="1022" w:type="pct"/>
            <w:gridSpan w:val="2"/>
            <w:tcBorders>
              <w:top w:val="single" w:sz="4" w:space="0" w:color="auto"/>
              <w:left w:val="single" w:sz="4" w:space="0" w:color="auto"/>
              <w:bottom w:val="single" w:sz="4" w:space="0" w:color="auto"/>
              <w:right w:val="single" w:sz="4" w:space="0" w:color="auto"/>
            </w:tcBorders>
            <w:noWrap/>
            <w:vAlign w:val="center"/>
          </w:tcPr>
          <w:p w:rsidR="006B5C39" w:rsidRPr="006B5C39" w:rsidRDefault="006B5C39" w:rsidP="006B5C39">
            <w:pPr>
              <w:widowControl/>
              <w:spacing w:line="360" w:lineRule="exact"/>
              <w:ind w:firstLineChars="0" w:firstLine="0"/>
              <w:jc w:val="center"/>
              <w:rPr>
                <w:sz w:val="21"/>
                <w:szCs w:val="21"/>
                <w:vertAlign w:val="superscript"/>
              </w:rPr>
            </w:pPr>
            <w:r w:rsidRPr="006B5C39">
              <w:rPr>
                <w:rFonts w:hint="eastAsia"/>
                <w:sz w:val="21"/>
                <w:szCs w:val="21"/>
              </w:rPr>
              <w:t>硫酸</w:t>
            </w:r>
            <w:r w:rsidRPr="006B5C39">
              <w:rPr>
                <w:rFonts w:hint="eastAsia"/>
                <w:sz w:val="21"/>
                <w:szCs w:val="21"/>
                <w:vertAlign w:val="superscript"/>
              </w:rPr>
              <w:t>3</w:t>
            </w:r>
          </w:p>
        </w:tc>
        <w:tc>
          <w:tcPr>
            <w:tcW w:w="627"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rPr>
            </w:pPr>
            <w:r w:rsidRPr="006B5C39">
              <w:rPr>
                <w:rFonts w:hint="eastAsia"/>
                <w:sz w:val="21"/>
                <w:szCs w:val="21"/>
              </w:rPr>
              <w:t>7664-93-9</w:t>
            </w:r>
          </w:p>
        </w:tc>
        <w:tc>
          <w:tcPr>
            <w:tcW w:w="628"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rPr>
            </w:pPr>
            <w:r w:rsidRPr="006B5C39">
              <w:rPr>
                <w:rFonts w:hint="eastAsia"/>
                <w:sz w:val="21"/>
                <w:szCs w:val="21"/>
              </w:rPr>
              <w:t>14.5</w:t>
            </w:r>
          </w:p>
        </w:tc>
        <w:tc>
          <w:tcPr>
            <w:tcW w:w="469"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rPr>
            </w:pPr>
            <w:r w:rsidRPr="006B5C39">
              <w:rPr>
                <w:rFonts w:hint="eastAsia"/>
                <w:sz w:val="21"/>
                <w:szCs w:val="21"/>
              </w:rPr>
              <w:t>0.1</w:t>
            </w:r>
          </w:p>
        </w:tc>
        <w:tc>
          <w:tcPr>
            <w:tcW w:w="629" w:type="pct"/>
            <w:tcBorders>
              <w:top w:val="single" w:sz="4" w:space="0" w:color="auto"/>
              <w:left w:val="single" w:sz="4" w:space="0" w:color="auto"/>
              <w:bottom w:val="single" w:sz="4" w:space="0" w:color="auto"/>
              <w:right w:val="single" w:sz="4" w:space="0" w:color="auto"/>
            </w:tcBorders>
            <w:noWrap/>
            <w:vAlign w:val="center"/>
          </w:tcPr>
          <w:p w:rsidR="006B5C39" w:rsidRPr="006B5C39" w:rsidRDefault="006B5C39" w:rsidP="006B5C39">
            <w:pPr>
              <w:widowControl/>
              <w:spacing w:line="360" w:lineRule="exact"/>
              <w:ind w:firstLineChars="0" w:firstLine="0"/>
              <w:jc w:val="center"/>
              <w:rPr>
                <w:sz w:val="21"/>
                <w:szCs w:val="21"/>
              </w:rPr>
            </w:pPr>
            <w:r w:rsidRPr="006B5C39">
              <w:rPr>
                <w:rFonts w:hint="eastAsia"/>
                <w:sz w:val="21"/>
                <w:szCs w:val="21"/>
              </w:rPr>
              <w:t>1</w:t>
            </w:r>
            <w:r w:rsidRPr="006B5C39">
              <w:rPr>
                <w:sz w:val="21"/>
                <w:szCs w:val="21"/>
              </w:rPr>
              <w:t>4</w:t>
            </w:r>
            <w:r w:rsidRPr="006B5C39">
              <w:rPr>
                <w:rFonts w:hint="eastAsia"/>
                <w:sz w:val="21"/>
                <w:szCs w:val="21"/>
              </w:rPr>
              <w:t>.6</w:t>
            </w:r>
          </w:p>
        </w:tc>
        <w:tc>
          <w:tcPr>
            <w:tcW w:w="473"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rPr>
            </w:pPr>
            <w:r w:rsidRPr="006B5C39">
              <w:rPr>
                <w:rFonts w:hint="eastAsia"/>
                <w:sz w:val="21"/>
                <w:szCs w:val="21"/>
              </w:rPr>
              <w:t>10</w:t>
            </w:r>
          </w:p>
        </w:tc>
        <w:tc>
          <w:tcPr>
            <w:tcW w:w="445" w:type="pct"/>
            <w:tcBorders>
              <w:top w:val="single" w:sz="4" w:space="0" w:color="auto"/>
              <w:left w:val="single" w:sz="4" w:space="0" w:color="auto"/>
              <w:bottom w:val="single" w:sz="4" w:space="0" w:color="auto"/>
              <w:right w:val="nil"/>
            </w:tcBorders>
            <w:vAlign w:val="center"/>
          </w:tcPr>
          <w:p w:rsidR="006B5C39" w:rsidRPr="006B5C39" w:rsidRDefault="006B5C39" w:rsidP="006B5C39">
            <w:pPr>
              <w:widowControl/>
              <w:spacing w:line="360" w:lineRule="exact"/>
              <w:ind w:firstLineChars="0" w:firstLine="0"/>
              <w:jc w:val="center"/>
              <w:rPr>
                <w:sz w:val="21"/>
                <w:szCs w:val="21"/>
              </w:rPr>
            </w:pPr>
            <w:r w:rsidRPr="006B5C39">
              <w:rPr>
                <w:sz w:val="21"/>
                <w:szCs w:val="21"/>
              </w:rPr>
              <w:t>1.46</w:t>
            </w:r>
          </w:p>
        </w:tc>
      </w:tr>
      <w:tr w:rsidR="00D63FD0" w:rsidRPr="006B5C39" w:rsidTr="00E4143C">
        <w:trPr>
          <w:trHeight w:val="20"/>
          <w:jc w:val="center"/>
        </w:trPr>
        <w:tc>
          <w:tcPr>
            <w:tcW w:w="315" w:type="pct"/>
            <w:tcBorders>
              <w:top w:val="single" w:sz="4" w:space="0" w:color="auto"/>
              <w:left w:val="nil"/>
              <w:bottom w:val="single" w:sz="4" w:space="0" w:color="auto"/>
              <w:right w:val="single" w:sz="4" w:space="0" w:color="auto"/>
            </w:tcBorders>
            <w:vAlign w:val="center"/>
          </w:tcPr>
          <w:p w:rsidR="00D63FD0" w:rsidRDefault="00CD2C2C" w:rsidP="006B5C39">
            <w:pPr>
              <w:widowControl/>
              <w:spacing w:line="360" w:lineRule="exact"/>
              <w:ind w:firstLineChars="0" w:firstLine="0"/>
              <w:jc w:val="center"/>
              <w:rPr>
                <w:kern w:val="0"/>
                <w:sz w:val="21"/>
                <w:szCs w:val="21"/>
              </w:rPr>
            </w:pPr>
            <w:r>
              <w:rPr>
                <w:kern w:val="0"/>
                <w:sz w:val="21"/>
                <w:szCs w:val="21"/>
              </w:rPr>
              <w:t>5</w:t>
            </w:r>
          </w:p>
        </w:tc>
        <w:tc>
          <w:tcPr>
            <w:tcW w:w="392" w:type="pct"/>
            <w:gridSpan w:val="2"/>
            <w:vMerge/>
            <w:tcBorders>
              <w:left w:val="single" w:sz="4" w:space="0" w:color="auto"/>
              <w:right w:val="single" w:sz="4" w:space="0" w:color="auto"/>
            </w:tcBorders>
            <w:vAlign w:val="center"/>
          </w:tcPr>
          <w:p w:rsidR="00D63FD0" w:rsidRPr="004C6B8D" w:rsidRDefault="00D63FD0" w:rsidP="006B5C39">
            <w:pPr>
              <w:widowControl/>
              <w:autoSpaceDE w:val="0"/>
              <w:ind w:firstLineChars="0" w:firstLine="0"/>
              <w:jc w:val="center"/>
              <w:textAlignment w:val="top"/>
              <w:rPr>
                <w:spacing w:val="-2"/>
                <w:kern w:val="0"/>
                <w:sz w:val="21"/>
                <w:szCs w:val="21"/>
              </w:rPr>
            </w:pPr>
          </w:p>
        </w:tc>
        <w:tc>
          <w:tcPr>
            <w:tcW w:w="1022" w:type="pct"/>
            <w:gridSpan w:val="2"/>
            <w:tcBorders>
              <w:top w:val="single" w:sz="4" w:space="0" w:color="auto"/>
              <w:left w:val="single" w:sz="4" w:space="0" w:color="auto"/>
              <w:bottom w:val="single" w:sz="4" w:space="0" w:color="auto"/>
              <w:right w:val="single" w:sz="4" w:space="0" w:color="auto"/>
            </w:tcBorders>
            <w:noWrap/>
            <w:vAlign w:val="center"/>
          </w:tcPr>
          <w:p w:rsidR="00D63FD0" w:rsidRPr="006B5C39" w:rsidRDefault="00D63FD0" w:rsidP="006B5C39">
            <w:pPr>
              <w:widowControl/>
              <w:spacing w:line="360" w:lineRule="exact"/>
              <w:ind w:firstLineChars="0" w:firstLine="0"/>
              <w:jc w:val="center"/>
              <w:rPr>
                <w:sz w:val="21"/>
                <w:szCs w:val="21"/>
              </w:rPr>
            </w:pPr>
            <w:r>
              <w:rPr>
                <w:rFonts w:hint="eastAsia"/>
                <w:sz w:val="21"/>
                <w:szCs w:val="21"/>
              </w:rPr>
              <w:t>乙炔</w:t>
            </w:r>
          </w:p>
        </w:tc>
        <w:tc>
          <w:tcPr>
            <w:tcW w:w="627" w:type="pct"/>
            <w:tcBorders>
              <w:top w:val="single" w:sz="4" w:space="0" w:color="auto"/>
              <w:left w:val="single" w:sz="4" w:space="0" w:color="auto"/>
              <w:bottom w:val="single" w:sz="4" w:space="0" w:color="auto"/>
              <w:right w:val="single" w:sz="4" w:space="0" w:color="auto"/>
            </w:tcBorders>
            <w:vAlign w:val="center"/>
          </w:tcPr>
          <w:p w:rsidR="00D63FD0" w:rsidRPr="006B5C39" w:rsidRDefault="00D63FD0" w:rsidP="006B5C39">
            <w:pPr>
              <w:widowControl/>
              <w:spacing w:line="360" w:lineRule="exact"/>
              <w:ind w:firstLineChars="0" w:firstLine="0"/>
              <w:jc w:val="center"/>
              <w:rPr>
                <w:sz w:val="21"/>
                <w:szCs w:val="21"/>
              </w:rPr>
            </w:pPr>
            <w:r>
              <w:rPr>
                <w:rFonts w:hint="eastAsia"/>
                <w:sz w:val="21"/>
                <w:szCs w:val="21"/>
              </w:rPr>
              <w:t>76</w:t>
            </w:r>
            <w:r>
              <w:rPr>
                <w:sz w:val="21"/>
                <w:szCs w:val="21"/>
              </w:rPr>
              <w:t>-86-2</w:t>
            </w:r>
          </w:p>
        </w:tc>
        <w:tc>
          <w:tcPr>
            <w:tcW w:w="628" w:type="pct"/>
            <w:tcBorders>
              <w:top w:val="single" w:sz="4" w:space="0" w:color="auto"/>
              <w:left w:val="single" w:sz="4" w:space="0" w:color="auto"/>
              <w:bottom w:val="single" w:sz="4" w:space="0" w:color="auto"/>
              <w:right w:val="single" w:sz="4" w:space="0" w:color="auto"/>
            </w:tcBorders>
            <w:vAlign w:val="center"/>
          </w:tcPr>
          <w:p w:rsidR="00D63FD0" w:rsidRPr="006B5C39" w:rsidRDefault="00D63FD0" w:rsidP="006B5C39">
            <w:pPr>
              <w:widowControl/>
              <w:spacing w:line="360" w:lineRule="exact"/>
              <w:ind w:firstLineChars="0" w:firstLine="0"/>
              <w:jc w:val="center"/>
              <w:rPr>
                <w:sz w:val="21"/>
                <w:szCs w:val="21"/>
              </w:rPr>
            </w:pPr>
            <w:r>
              <w:rPr>
                <w:rFonts w:hint="eastAsia"/>
                <w:sz w:val="21"/>
                <w:szCs w:val="21"/>
              </w:rPr>
              <w:t>2</w:t>
            </w:r>
            <w:r>
              <w:rPr>
                <w:sz w:val="21"/>
                <w:szCs w:val="21"/>
              </w:rPr>
              <w:t>.36</w:t>
            </w:r>
          </w:p>
        </w:tc>
        <w:tc>
          <w:tcPr>
            <w:tcW w:w="469" w:type="pct"/>
            <w:tcBorders>
              <w:top w:val="single" w:sz="4" w:space="0" w:color="auto"/>
              <w:left w:val="single" w:sz="4" w:space="0" w:color="auto"/>
              <w:bottom w:val="single" w:sz="4" w:space="0" w:color="auto"/>
              <w:right w:val="single" w:sz="4" w:space="0" w:color="auto"/>
            </w:tcBorders>
            <w:vAlign w:val="center"/>
          </w:tcPr>
          <w:p w:rsidR="00D63FD0" w:rsidRPr="006B5C39" w:rsidRDefault="00D63FD0" w:rsidP="006B5C39">
            <w:pPr>
              <w:widowControl/>
              <w:spacing w:line="360" w:lineRule="exact"/>
              <w:ind w:firstLineChars="0" w:firstLine="0"/>
              <w:jc w:val="center"/>
              <w:rPr>
                <w:sz w:val="21"/>
                <w:szCs w:val="21"/>
              </w:rPr>
            </w:pPr>
            <w:r>
              <w:rPr>
                <w:rFonts w:hint="eastAsia"/>
                <w:sz w:val="21"/>
                <w:szCs w:val="21"/>
              </w:rPr>
              <w:t>0.</w:t>
            </w:r>
            <w:r>
              <w:rPr>
                <w:sz w:val="21"/>
                <w:szCs w:val="21"/>
              </w:rPr>
              <w:t>10</w:t>
            </w:r>
          </w:p>
        </w:tc>
        <w:tc>
          <w:tcPr>
            <w:tcW w:w="629" w:type="pct"/>
            <w:tcBorders>
              <w:top w:val="single" w:sz="4" w:space="0" w:color="auto"/>
              <w:left w:val="single" w:sz="4" w:space="0" w:color="auto"/>
              <w:bottom w:val="single" w:sz="4" w:space="0" w:color="auto"/>
              <w:right w:val="single" w:sz="4" w:space="0" w:color="auto"/>
            </w:tcBorders>
            <w:noWrap/>
            <w:vAlign w:val="center"/>
          </w:tcPr>
          <w:p w:rsidR="00D63FD0" w:rsidRPr="006B5C39" w:rsidRDefault="00D63FD0" w:rsidP="006B5C39">
            <w:pPr>
              <w:widowControl/>
              <w:spacing w:line="360" w:lineRule="exact"/>
              <w:ind w:firstLineChars="0" w:firstLine="0"/>
              <w:jc w:val="center"/>
              <w:rPr>
                <w:sz w:val="21"/>
                <w:szCs w:val="21"/>
              </w:rPr>
            </w:pPr>
            <w:r>
              <w:rPr>
                <w:rFonts w:hint="eastAsia"/>
                <w:sz w:val="21"/>
                <w:szCs w:val="21"/>
              </w:rPr>
              <w:t>2</w:t>
            </w:r>
            <w:r>
              <w:rPr>
                <w:sz w:val="21"/>
                <w:szCs w:val="21"/>
              </w:rPr>
              <w:t>.46</w:t>
            </w:r>
          </w:p>
        </w:tc>
        <w:tc>
          <w:tcPr>
            <w:tcW w:w="473" w:type="pct"/>
            <w:tcBorders>
              <w:top w:val="single" w:sz="4" w:space="0" w:color="auto"/>
              <w:left w:val="single" w:sz="4" w:space="0" w:color="auto"/>
              <w:bottom w:val="single" w:sz="4" w:space="0" w:color="auto"/>
              <w:right w:val="single" w:sz="4" w:space="0" w:color="auto"/>
            </w:tcBorders>
            <w:vAlign w:val="center"/>
          </w:tcPr>
          <w:p w:rsidR="00D63FD0" w:rsidRPr="006B5C39" w:rsidRDefault="00D63FD0" w:rsidP="006B5C39">
            <w:pPr>
              <w:widowControl/>
              <w:spacing w:line="360" w:lineRule="exact"/>
              <w:ind w:firstLineChars="0" w:firstLine="0"/>
              <w:jc w:val="center"/>
              <w:rPr>
                <w:sz w:val="21"/>
                <w:szCs w:val="21"/>
              </w:rPr>
            </w:pPr>
            <w:r>
              <w:rPr>
                <w:rFonts w:hint="eastAsia"/>
                <w:sz w:val="21"/>
                <w:szCs w:val="21"/>
              </w:rPr>
              <w:t>10</w:t>
            </w:r>
          </w:p>
        </w:tc>
        <w:tc>
          <w:tcPr>
            <w:tcW w:w="445" w:type="pct"/>
            <w:tcBorders>
              <w:top w:val="single" w:sz="4" w:space="0" w:color="auto"/>
              <w:left w:val="single" w:sz="4" w:space="0" w:color="auto"/>
              <w:bottom w:val="single" w:sz="4" w:space="0" w:color="auto"/>
              <w:right w:val="nil"/>
            </w:tcBorders>
            <w:vAlign w:val="center"/>
          </w:tcPr>
          <w:p w:rsidR="00D63FD0" w:rsidRPr="006B5C39" w:rsidRDefault="00D63FD0" w:rsidP="006B5C39">
            <w:pPr>
              <w:widowControl/>
              <w:spacing w:line="360" w:lineRule="exact"/>
              <w:ind w:firstLineChars="0" w:firstLine="0"/>
              <w:jc w:val="center"/>
              <w:rPr>
                <w:sz w:val="21"/>
                <w:szCs w:val="21"/>
              </w:rPr>
            </w:pPr>
            <w:r>
              <w:rPr>
                <w:rFonts w:hint="eastAsia"/>
                <w:sz w:val="21"/>
                <w:szCs w:val="21"/>
              </w:rPr>
              <w:t>0</w:t>
            </w:r>
            <w:r>
              <w:rPr>
                <w:sz w:val="21"/>
                <w:szCs w:val="21"/>
              </w:rPr>
              <w:t>.25</w:t>
            </w:r>
          </w:p>
        </w:tc>
      </w:tr>
      <w:tr w:rsidR="006B5C39" w:rsidRPr="006B5C39" w:rsidTr="00E4143C">
        <w:trPr>
          <w:trHeight w:val="20"/>
          <w:jc w:val="center"/>
        </w:trPr>
        <w:tc>
          <w:tcPr>
            <w:tcW w:w="315" w:type="pct"/>
            <w:tcBorders>
              <w:top w:val="single" w:sz="4" w:space="0" w:color="auto"/>
              <w:left w:val="nil"/>
              <w:bottom w:val="single" w:sz="4" w:space="0" w:color="auto"/>
              <w:right w:val="single" w:sz="4" w:space="0" w:color="auto"/>
            </w:tcBorders>
            <w:vAlign w:val="center"/>
          </w:tcPr>
          <w:p w:rsidR="006B5C39" w:rsidRPr="004C6B8D" w:rsidRDefault="00CD2C2C" w:rsidP="00D63FD0">
            <w:pPr>
              <w:widowControl/>
              <w:spacing w:line="360" w:lineRule="exact"/>
              <w:ind w:firstLineChars="0" w:firstLine="0"/>
              <w:jc w:val="center"/>
              <w:rPr>
                <w:kern w:val="0"/>
                <w:sz w:val="21"/>
                <w:szCs w:val="21"/>
              </w:rPr>
            </w:pPr>
            <w:r>
              <w:rPr>
                <w:kern w:val="0"/>
                <w:sz w:val="21"/>
                <w:szCs w:val="21"/>
              </w:rPr>
              <w:t>6</w:t>
            </w:r>
          </w:p>
        </w:tc>
        <w:tc>
          <w:tcPr>
            <w:tcW w:w="392" w:type="pct"/>
            <w:gridSpan w:val="2"/>
            <w:vMerge/>
            <w:tcBorders>
              <w:left w:val="single" w:sz="4" w:space="0" w:color="auto"/>
              <w:right w:val="single" w:sz="4" w:space="0" w:color="auto"/>
            </w:tcBorders>
            <w:vAlign w:val="center"/>
          </w:tcPr>
          <w:p w:rsidR="006B5C39" w:rsidRPr="004C6B8D" w:rsidRDefault="006B5C39" w:rsidP="006B5C39">
            <w:pPr>
              <w:widowControl/>
              <w:autoSpaceDE w:val="0"/>
              <w:ind w:firstLineChars="0" w:firstLine="0"/>
              <w:jc w:val="center"/>
              <w:textAlignment w:val="top"/>
              <w:rPr>
                <w:spacing w:val="-2"/>
                <w:kern w:val="0"/>
                <w:sz w:val="21"/>
                <w:szCs w:val="21"/>
              </w:rPr>
            </w:pPr>
          </w:p>
        </w:tc>
        <w:tc>
          <w:tcPr>
            <w:tcW w:w="471" w:type="pct"/>
            <w:tcBorders>
              <w:top w:val="single" w:sz="4" w:space="0" w:color="auto"/>
              <w:left w:val="single" w:sz="4" w:space="0" w:color="auto"/>
              <w:bottom w:val="single" w:sz="4" w:space="0" w:color="auto"/>
              <w:right w:val="single" w:sz="4" w:space="0" w:color="auto"/>
            </w:tcBorders>
            <w:noWrap/>
            <w:vAlign w:val="center"/>
          </w:tcPr>
          <w:p w:rsidR="006B5C39" w:rsidRPr="006B5C39" w:rsidRDefault="006B5C39" w:rsidP="006B5C39">
            <w:pPr>
              <w:pStyle w:val="afffffff2"/>
              <w:rPr>
                <w:sz w:val="21"/>
                <w:szCs w:val="21"/>
              </w:rPr>
            </w:pPr>
            <w:r w:rsidRPr="006B5C39">
              <w:rPr>
                <w:rFonts w:hint="eastAsia"/>
                <w:sz w:val="21"/>
                <w:szCs w:val="21"/>
              </w:rPr>
              <w:t>固废</w:t>
            </w:r>
          </w:p>
        </w:tc>
        <w:tc>
          <w:tcPr>
            <w:tcW w:w="551"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vertAlign w:val="superscript"/>
              </w:rPr>
            </w:pPr>
            <w:r w:rsidRPr="006B5C39">
              <w:rPr>
                <w:rFonts w:hint="eastAsia"/>
                <w:sz w:val="21"/>
                <w:szCs w:val="21"/>
              </w:rPr>
              <w:t>硫酸铵</w:t>
            </w:r>
            <w:r w:rsidRPr="006B5C39">
              <w:rPr>
                <w:rFonts w:hint="eastAsia"/>
                <w:sz w:val="21"/>
                <w:szCs w:val="21"/>
                <w:vertAlign w:val="superscript"/>
              </w:rPr>
              <w:t>3</w:t>
            </w:r>
          </w:p>
        </w:tc>
        <w:tc>
          <w:tcPr>
            <w:tcW w:w="627"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rPr>
            </w:pPr>
            <w:r w:rsidRPr="006B5C39">
              <w:rPr>
                <w:rFonts w:hint="eastAsia"/>
                <w:sz w:val="21"/>
                <w:szCs w:val="21"/>
              </w:rPr>
              <w:t>7783-20-2</w:t>
            </w:r>
          </w:p>
        </w:tc>
        <w:tc>
          <w:tcPr>
            <w:tcW w:w="628"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rPr>
            </w:pPr>
            <w:r w:rsidRPr="006B5C39">
              <w:rPr>
                <w:rFonts w:hint="eastAsia"/>
                <w:sz w:val="21"/>
                <w:szCs w:val="21"/>
              </w:rPr>
              <w:t>33.5</w:t>
            </w:r>
          </w:p>
        </w:tc>
        <w:tc>
          <w:tcPr>
            <w:tcW w:w="469"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rPr>
            </w:pPr>
            <w:r w:rsidRPr="006B5C39">
              <w:rPr>
                <w:rFonts w:hint="eastAsia"/>
                <w:sz w:val="21"/>
                <w:szCs w:val="21"/>
              </w:rPr>
              <w:t>0.1</w:t>
            </w:r>
          </w:p>
        </w:tc>
        <w:tc>
          <w:tcPr>
            <w:tcW w:w="629" w:type="pct"/>
            <w:tcBorders>
              <w:top w:val="single" w:sz="4" w:space="0" w:color="auto"/>
              <w:left w:val="single" w:sz="4" w:space="0" w:color="auto"/>
              <w:bottom w:val="single" w:sz="4" w:space="0" w:color="auto"/>
              <w:right w:val="single" w:sz="4" w:space="0" w:color="auto"/>
            </w:tcBorders>
            <w:noWrap/>
            <w:vAlign w:val="center"/>
          </w:tcPr>
          <w:p w:rsidR="006B5C39" w:rsidRPr="006B5C39" w:rsidRDefault="006B5C39" w:rsidP="006B5C39">
            <w:pPr>
              <w:widowControl/>
              <w:spacing w:line="360" w:lineRule="exact"/>
              <w:ind w:firstLineChars="0" w:firstLine="0"/>
              <w:jc w:val="center"/>
              <w:rPr>
                <w:sz w:val="21"/>
                <w:szCs w:val="21"/>
              </w:rPr>
            </w:pPr>
            <w:r w:rsidRPr="006B5C39">
              <w:rPr>
                <w:rFonts w:hint="eastAsia"/>
                <w:sz w:val="21"/>
                <w:szCs w:val="21"/>
              </w:rPr>
              <w:t>33.6</w:t>
            </w:r>
          </w:p>
        </w:tc>
        <w:tc>
          <w:tcPr>
            <w:tcW w:w="473" w:type="pct"/>
            <w:tcBorders>
              <w:top w:val="single" w:sz="4" w:space="0" w:color="auto"/>
              <w:left w:val="single" w:sz="4" w:space="0" w:color="auto"/>
              <w:bottom w:val="single" w:sz="4" w:space="0" w:color="auto"/>
              <w:right w:val="single" w:sz="4" w:space="0" w:color="auto"/>
            </w:tcBorders>
            <w:vAlign w:val="center"/>
          </w:tcPr>
          <w:p w:rsidR="006B5C39" w:rsidRPr="006B5C39" w:rsidRDefault="006B5C39" w:rsidP="006B5C39">
            <w:pPr>
              <w:widowControl/>
              <w:spacing w:line="360" w:lineRule="exact"/>
              <w:ind w:firstLineChars="0" w:firstLine="0"/>
              <w:jc w:val="center"/>
              <w:rPr>
                <w:sz w:val="21"/>
                <w:szCs w:val="21"/>
              </w:rPr>
            </w:pPr>
            <w:r w:rsidRPr="006B5C39">
              <w:rPr>
                <w:rFonts w:hint="eastAsia"/>
                <w:sz w:val="21"/>
                <w:szCs w:val="21"/>
              </w:rPr>
              <w:t>10</w:t>
            </w:r>
          </w:p>
        </w:tc>
        <w:tc>
          <w:tcPr>
            <w:tcW w:w="445" w:type="pct"/>
            <w:tcBorders>
              <w:top w:val="single" w:sz="4" w:space="0" w:color="auto"/>
              <w:left w:val="single" w:sz="4" w:space="0" w:color="auto"/>
              <w:bottom w:val="single" w:sz="4" w:space="0" w:color="auto"/>
              <w:right w:val="nil"/>
            </w:tcBorders>
            <w:vAlign w:val="center"/>
          </w:tcPr>
          <w:p w:rsidR="006B5C39" w:rsidRPr="006B5C39" w:rsidRDefault="006B5C39" w:rsidP="006B5C39">
            <w:pPr>
              <w:widowControl/>
              <w:spacing w:line="360" w:lineRule="exact"/>
              <w:ind w:firstLineChars="0" w:firstLine="0"/>
              <w:jc w:val="center"/>
              <w:rPr>
                <w:sz w:val="21"/>
                <w:szCs w:val="21"/>
              </w:rPr>
            </w:pPr>
            <w:r w:rsidRPr="006B5C39">
              <w:rPr>
                <w:rFonts w:hint="eastAsia"/>
                <w:sz w:val="21"/>
                <w:szCs w:val="21"/>
              </w:rPr>
              <w:t>3</w:t>
            </w:r>
            <w:r w:rsidRPr="006B5C39">
              <w:rPr>
                <w:sz w:val="21"/>
                <w:szCs w:val="21"/>
              </w:rPr>
              <w:t>.36</w:t>
            </w:r>
          </w:p>
        </w:tc>
      </w:tr>
      <w:tr w:rsidR="00CD2C2C" w:rsidRPr="006B5C39" w:rsidTr="00787497">
        <w:trPr>
          <w:trHeight w:val="20"/>
          <w:jc w:val="center"/>
        </w:trPr>
        <w:tc>
          <w:tcPr>
            <w:tcW w:w="315" w:type="pct"/>
            <w:tcBorders>
              <w:top w:val="single" w:sz="4" w:space="0" w:color="auto"/>
              <w:left w:val="nil"/>
              <w:bottom w:val="single" w:sz="4" w:space="0" w:color="auto"/>
              <w:right w:val="single" w:sz="4" w:space="0" w:color="auto"/>
            </w:tcBorders>
            <w:vAlign w:val="center"/>
          </w:tcPr>
          <w:p w:rsidR="00CD2C2C" w:rsidRDefault="00CD2C2C" w:rsidP="00D63FD0">
            <w:pPr>
              <w:widowControl/>
              <w:spacing w:line="360" w:lineRule="exact"/>
              <w:ind w:firstLineChars="0" w:firstLine="0"/>
              <w:jc w:val="center"/>
              <w:rPr>
                <w:kern w:val="0"/>
                <w:sz w:val="21"/>
                <w:szCs w:val="21"/>
              </w:rPr>
            </w:pPr>
            <w:r>
              <w:rPr>
                <w:rFonts w:hint="eastAsia"/>
                <w:kern w:val="0"/>
                <w:sz w:val="21"/>
                <w:szCs w:val="21"/>
              </w:rPr>
              <w:t>7</w:t>
            </w:r>
          </w:p>
        </w:tc>
        <w:tc>
          <w:tcPr>
            <w:tcW w:w="392" w:type="pct"/>
            <w:gridSpan w:val="2"/>
            <w:tcBorders>
              <w:left w:val="single" w:sz="4" w:space="0" w:color="auto"/>
              <w:right w:val="single" w:sz="4" w:space="0" w:color="auto"/>
            </w:tcBorders>
            <w:vAlign w:val="center"/>
          </w:tcPr>
          <w:p w:rsidR="00CD2C2C" w:rsidRPr="004C6B8D" w:rsidRDefault="00CD2C2C" w:rsidP="006B5C39">
            <w:pPr>
              <w:widowControl/>
              <w:autoSpaceDE w:val="0"/>
              <w:ind w:firstLineChars="0" w:firstLine="0"/>
              <w:jc w:val="center"/>
              <w:textAlignment w:val="top"/>
              <w:rPr>
                <w:spacing w:val="-2"/>
                <w:kern w:val="0"/>
                <w:sz w:val="21"/>
                <w:szCs w:val="21"/>
              </w:rPr>
            </w:pPr>
          </w:p>
        </w:tc>
        <w:tc>
          <w:tcPr>
            <w:tcW w:w="1" w:type="pct"/>
            <w:gridSpan w:val="2"/>
            <w:tcBorders>
              <w:top w:val="single" w:sz="4" w:space="0" w:color="auto"/>
              <w:left w:val="single" w:sz="4" w:space="0" w:color="auto"/>
              <w:bottom w:val="single" w:sz="4" w:space="0" w:color="auto"/>
              <w:right w:val="single" w:sz="4" w:space="0" w:color="auto"/>
            </w:tcBorders>
            <w:noWrap/>
            <w:vAlign w:val="center"/>
          </w:tcPr>
          <w:p w:rsidR="00CD2C2C" w:rsidRPr="006B5C39" w:rsidRDefault="00CD2C2C" w:rsidP="006B5C39">
            <w:pPr>
              <w:widowControl/>
              <w:spacing w:line="360" w:lineRule="exact"/>
              <w:ind w:firstLineChars="0" w:firstLine="0"/>
              <w:jc w:val="center"/>
              <w:rPr>
                <w:sz w:val="21"/>
                <w:szCs w:val="21"/>
              </w:rPr>
            </w:pPr>
            <w:r>
              <w:rPr>
                <w:rFonts w:hint="eastAsia"/>
                <w:sz w:val="21"/>
                <w:szCs w:val="21"/>
              </w:rPr>
              <w:t>危险废物</w:t>
            </w:r>
          </w:p>
        </w:tc>
        <w:tc>
          <w:tcPr>
            <w:tcW w:w="627" w:type="pct"/>
            <w:tcBorders>
              <w:top w:val="single" w:sz="4" w:space="0" w:color="auto"/>
              <w:left w:val="single" w:sz="4" w:space="0" w:color="auto"/>
              <w:bottom w:val="single" w:sz="4" w:space="0" w:color="auto"/>
              <w:right w:val="single" w:sz="4" w:space="0" w:color="auto"/>
            </w:tcBorders>
            <w:vAlign w:val="center"/>
          </w:tcPr>
          <w:p w:rsidR="00CD2C2C" w:rsidRPr="006B5C39" w:rsidRDefault="00CD2C2C" w:rsidP="006B5C39">
            <w:pPr>
              <w:widowControl/>
              <w:spacing w:line="360" w:lineRule="exact"/>
              <w:ind w:firstLineChars="0" w:firstLine="0"/>
              <w:jc w:val="center"/>
              <w:rPr>
                <w:sz w:val="21"/>
                <w:szCs w:val="21"/>
              </w:rPr>
            </w:pPr>
            <w:r>
              <w:rPr>
                <w:rFonts w:hint="eastAsia"/>
                <w:sz w:val="21"/>
                <w:szCs w:val="21"/>
              </w:rPr>
              <w:t>/</w:t>
            </w:r>
          </w:p>
        </w:tc>
        <w:tc>
          <w:tcPr>
            <w:tcW w:w="628" w:type="pct"/>
            <w:tcBorders>
              <w:top w:val="single" w:sz="4" w:space="0" w:color="auto"/>
              <w:left w:val="single" w:sz="4" w:space="0" w:color="auto"/>
              <w:bottom w:val="single" w:sz="4" w:space="0" w:color="auto"/>
              <w:right w:val="single" w:sz="4" w:space="0" w:color="auto"/>
            </w:tcBorders>
            <w:vAlign w:val="center"/>
          </w:tcPr>
          <w:p w:rsidR="00CD2C2C" w:rsidRPr="006B5C39" w:rsidRDefault="00CD2C2C" w:rsidP="006B5C39">
            <w:pPr>
              <w:widowControl/>
              <w:spacing w:line="360" w:lineRule="exact"/>
              <w:ind w:firstLineChars="0" w:firstLine="0"/>
              <w:jc w:val="center"/>
              <w:rPr>
                <w:sz w:val="21"/>
                <w:szCs w:val="21"/>
              </w:rPr>
            </w:pPr>
            <w:r>
              <w:rPr>
                <w:rFonts w:hint="eastAsia"/>
                <w:sz w:val="21"/>
                <w:szCs w:val="21"/>
              </w:rPr>
              <w:t>4</w:t>
            </w:r>
            <w:r>
              <w:rPr>
                <w:sz w:val="21"/>
                <w:szCs w:val="21"/>
              </w:rPr>
              <w:t>40.406</w:t>
            </w:r>
          </w:p>
        </w:tc>
        <w:tc>
          <w:tcPr>
            <w:tcW w:w="469" w:type="pct"/>
            <w:tcBorders>
              <w:top w:val="single" w:sz="4" w:space="0" w:color="auto"/>
              <w:left w:val="single" w:sz="4" w:space="0" w:color="auto"/>
              <w:bottom w:val="single" w:sz="4" w:space="0" w:color="auto"/>
              <w:right w:val="single" w:sz="4" w:space="0" w:color="auto"/>
            </w:tcBorders>
            <w:vAlign w:val="center"/>
          </w:tcPr>
          <w:p w:rsidR="00CD2C2C" w:rsidRPr="006B5C39" w:rsidRDefault="00CD2C2C" w:rsidP="006B5C39">
            <w:pPr>
              <w:widowControl/>
              <w:spacing w:line="360" w:lineRule="exact"/>
              <w:ind w:firstLineChars="0" w:firstLine="0"/>
              <w:jc w:val="center"/>
              <w:rPr>
                <w:sz w:val="21"/>
                <w:szCs w:val="21"/>
              </w:rPr>
            </w:pPr>
            <w:r>
              <w:rPr>
                <w:rFonts w:hint="eastAsia"/>
                <w:sz w:val="21"/>
                <w:szCs w:val="21"/>
              </w:rPr>
              <w:t>/</w:t>
            </w:r>
          </w:p>
        </w:tc>
        <w:tc>
          <w:tcPr>
            <w:tcW w:w="629" w:type="pct"/>
            <w:tcBorders>
              <w:top w:val="single" w:sz="4" w:space="0" w:color="auto"/>
              <w:left w:val="single" w:sz="4" w:space="0" w:color="auto"/>
              <w:bottom w:val="single" w:sz="4" w:space="0" w:color="auto"/>
              <w:right w:val="single" w:sz="4" w:space="0" w:color="auto"/>
            </w:tcBorders>
            <w:noWrap/>
            <w:vAlign w:val="center"/>
          </w:tcPr>
          <w:p w:rsidR="00CD2C2C" w:rsidRPr="006B5C39" w:rsidRDefault="00CD2C2C" w:rsidP="006B5C39">
            <w:pPr>
              <w:widowControl/>
              <w:spacing w:line="360" w:lineRule="exact"/>
              <w:ind w:firstLineChars="0" w:firstLine="0"/>
              <w:jc w:val="center"/>
              <w:rPr>
                <w:sz w:val="21"/>
                <w:szCs w:val="21"/>
              </w:rPr>
            </w:pPr>
            <w:r>
              <w:rPr>
                <w:rFonts w:hint="eastAsia"/>
                <w:sz w:val="21"/>
                <w:szCs w:val="21"/>
              </w:rPr>
              <w:t>4</w:t>
            </w:r>
            <w:r>
              <w:rPr>
                <w:sz w:val="21"/>
                <w:szCs w:val="21"/>
              </w:rPr>
              <w:t>40.406</w:t>
            </w:r>
          </w:p>
        </w:tc>
        <w:tc>
          <w:tcPr>
            <w:tcW w:w="473" w:type="pct"/>
            <w:tcBorders>
              <w:top w:val="single" w:sz="4" w:space="0" w:color="auto"/>
              <w:left w:val="single" w:sz="4" w:space="0" w:color="auto"/>
              <w:bottom w:val="single" w:sz="4" w:space="0" w:color="auto"/>
              <w:right w:val="single" w:sz="4" w:space="0" w:color="auto"/>
            </w:tcBorders>
            <w:vAlign w:val="center"/>
          </w:tcPr>
          <w:p w:rsidR="00CD2C2C" w:rsidRPr="006B5C39" w:rsidRDefault="00CD2C2C" w:rsidP="006B5C39">
            <w:pPr>
              <w:widowControl/>
              <w:spacing w:line="360" w:lineRule="exact"/>
              <w:ind w:firstLineChars="0" w:firstLine="0"/>
              <w:jc w:val="center"/>
              <w:rPr>
                <w:sz w:val="21"/>
                <w:szCs w:val="21"/>
              </w:rPr>
            </w:pPr>
            <w:r>
              <w:rPr>
                <w:rFonts w:hint="eastAsia"/>
                <w:sz w:val="21"/>
                <w:szCs w:val="21"/>
              </w:rPr>
              <w:t>50</w:t>
            </w:r>
          </w:p>
        </w:tc>
        <w:tc>
          <w:tcPr>
            <w:tcW w:w="445" w:type="pct"/>
            <w:tcBorders>
              <w:top w:val="single" w:sz="4" w:space="0" w:color="auto"/>
              <w:left w:val="single" w:sz="4" w:space="0" w:color="auto"/>
              <w:bottom w:val="single" w:sz="4" w:space="0" w:color="auto"/>
              <w:right w:val="nil"/>
            </w:tcBorders>
            <w:vAlign w:val="center"/>
          </w:tcPr>
          <w:p w:rsidR="00CD2C2C" w:rsidRPr="006B5C39" w:rsidRDefault="00CD2C2C" w:rsidP="006B5C39">
            <w:pPr>
              <w:widowControl/>
              <w:spacing w:line="360" w:lineRule="exact"/>
              <w:ind w:firstLineChars="0" w:firstLine="0"/>
              <w:jc w:val="center"/>
              <w:rPr>
                <w:sz w:val="21"/>
                <w:szCs w:val="21"/>
              </w:rPr>
            </w:pPr>
            <w:r>
              <w:rPr>
                <w:rFonts w:hint="eastAsia"/>
                <w:sz w:val="21"/>
                <w:szCs w:val="21"/>
              </w:rPr>
              <w:t>8</w:t>
            </w:r>
            <w:r>
              <w:rPr>
                <w:sz w:val="21"/>
                <w:szCs w:val="21"/>
              </w:rPr>
              <w:t>.81</w:t>
            </w:r>
          </w:p>
        </w:tc>
      </w:tr>
      <w:tr w:rsidR="00FC2085" w:rsidRPr="004C6B8D" w:rsidTr="00E4143C">
        <w:trPr>
          <w:trHeight w:val="332"/>
          <w:jc w:val="center"/>
        </w:trPr>
        <w:tc>
          <w:tcPr>
            <w:tcW w:w="4555" w:type="pct"/>
            <w:gridSpan w:val="10"/>
            <w:tcBorders>
              <w:top w:val="single" w:sz="4" w:space="0" w:color="auto"/>
              <w:left w:val="nil"/>
              <w:bottom w:val="single" w:sz="4" w:space="0" w:color="auto"/>
              <w:right w:val="single" w:sz="4" w:space="0" w:color="auto"/>
            </w:tcBorders>
            <w:vAlign w:val="center"/>
          </w:tcPr>
          <w:p w:rsidR="00FC2085" w:rsidRPr="004C6B8D" w:rsidRDefault="00FC2085" w:rsidP="00FC2085">
            <w:pPr>
              <w:widowControl/>
              <w:spacing w:line="360" w:lineRule="exact"/>
              <w:ind w:firstLineChars="0" w:firstLine="0"/>
              <w:jc w:val="center"/>
              <w:rPr>
                <w:kern w:val="0"/>
                <w:sz w:val="21"/>
                <w:szCs w:val="21"/>
              </w:rPr>
            </w:pPr>
            <w:r w:rsidRPr="004C6B8D">
              <w:rPr>
                <w:rFonts w:hint="eastAsia"/>
                <w:kern w:val="0"/>
                <w:sz w:val="21"/>
                <w:szCs w:val="21"/>
              </w:rPr>
              <w:t>Q</w:t>
            </w:r>
            <w:r w:rsidRPr="004C6B8D">
              <w:rPr>
                <w:rFonts w:ascii="宋体" w:hAnsi="宋体" w:hint="eastAsia"/>
                <w:kern w:val="0"/>
                <w:sz w:val="21"/>
                <w:szCs w:val="21"/>
              </w:rPr>
              <w:t>值合计</w:t>
            </w:r>
          </w:p>
        </w:tc>
        <w:tc>
          <w:tcPr>
            <w:tcW w:w="445" w:type="pct"/>
            <w:tcBorders>
              <w:top w:val="single" w:sz="4" w:space="0" w:color="auto"/>
              <w:left w:val="single" w:sz="4" w:space="0" w:color="auto"/>
              <w:bottom w:val="single" w:sz="4" w:space="0" w:color="auto"/>
              <w:right w:val="nil"/>
            </w:tcBorders>
            <w:vAlign w:val="center"/>
          </w:tcPr>
          <w:p w:rsidR="00FC2085" w:rsidRPr="004C6B8D" w:rsidRDefault="00E4143C" w:rsidP="00CD2C2C">
            <w:pPr>
              <w:pStyle w:val="afffffff2"/>
              <w:rPr>
                <w:kern w:val="0"/>
                <w:sz w:val="21"/>
                <w:szCs w:val="21"/>
              </w:rPr>
            </w:pPr>
            <w:r>
              <w:rPr>
                <w:kern w:val="0"/>
                <w:sz w:val="21"/>
                <w:szCs w:val="21"/>
              </w:rPr>
              <w:t>5</w:t>
            </w:r>
            <w:r w:rsidR="00CD2C2C">
              <w:rPr>
                <w:kern w:val="0"/>
                <w:sz w:val="21"/>
                <w:szCs w:val="21"/>
              </w:rPr>
              <w:t>9.22</w:t>
            </w:r>
          </w:p>
        </w:tc>
      </w:tr>
      <w:tr w:rsidR="00FC2085" w:rsidRPr="004C6B8D" w:rsidTr="004C6B8D">
        <w:trPr>
          <w:trHeight w:val="20"/>
          <w:jc w:val="center"/>
        </w:trPr>
        <w:tc>
          <w:tcPr>
            <w:tcW w:w="687" w:type="pct"/>
            <w:gridSpan w:val="2"/>
            <w:tcBorders>
              <w:top w:val="single" w:sz="4" w:space="0" w:color="auto"/>
              <w:left w:val="nil"/>
              <w:bottom w:val="single" w:sz="12" w:space="0" w:color="auto"/>
              <w:right w:val="nil"/>
            </w:tcBorders>
            <w:vAlign w:val="center"/>
          </w:tcPr>
          <w:p w:rsidR="00FC2085" w:rsidRPr="004C6B8D" w:rsidRDefault="00FC2085" w:rsidP="00E4143C">
            <w:pPr>
              <w:widowControl/>
              <w:spacing w:line="360" w:lineRule="exact"/>
              <w:ind w:firstLineChars="0" w:firstLine="0"/>
              <w:rPr>
                <w:rFonts w:ascii="宋体" w:hAnsi="宋体"/>
                <w:kern w:val="0"/>
                <w:sz w:val="21"/>
                <w:szCs w:val="21"/>
              </w:rPr>
            </w:pPr>
          </w:p>
        </w:tc>
        <w:tc>
          <w:tcPr>
            <w:tcW w:w="4313" w:type="pct"/>
            <w:gridSpan w:val="9"/>
            <w:tcBorders>
              <w:top w:val="single" w:sz="4" w:space="0" w:color="auto"/>
              <w:left w:val="nil"/>
              <w:bottom w:val="single" w:sz="12" w:space="0" w:color="auto"/>
              <w:right w:val="nil"/>
            </w:tcBorders>
            <w:vAlign w:val="center"/>
          </w:tcPr>
          <w:p w:rsidR="00FC2085" w:rsidRPr="004C6B8D" w:rsidRDefault="00FC2085" w:rsidP="00FC2085">
            <w:pPr>
              <w:widowControl/>
              <w:spacing w:line="360" w:lineRule="exact"/>
              <w:ind w:firstLineChars="0" w:firstLine="0"/>
              <w:jc w:val="center"/>
              <w:rPr>
                <w:kern w:val="0"/>
                <w:sz w:val="21"/>
                <w:szCs w:val="21"/>
              </w:rPr>
            </w:pPr>
            <w:r w:rsidRPr="004C6B8D">
              <w:rPr>
                <w:rFonts w:ascii="宋体" w:hAnsi="宋体" w:hint="eastAsia"/>
                <w:kern w:val="0"/>
                <w:sz w:val="21"/>
                <w:szCs w:val="21"/>
              </w:rPr>
              <w:t>备注</w:t>
            </w:r>
            <w:r w:rsidRPr="004C6B8D">
              <w:rPr>
                <w:rFonts w:ascii="宋体" w:hAnsi="宋体"/>
                <w:kern w:val="0"/>
                <w:sz w:val="21"/>
                <w:szCs w:val="21"/>
              </w:rPr>
              <w:t>：</w:t>
            </w:r>
            <w:r w:rsidRPr="004C6B8D">
              <w:rPr>
                <w:rFonts w:hint="eastAsia"/>
                <w:kern w:val="0"/>
                <w:sz w:val="21"/>
                <w:szCs w:val="21"/>
              </w:rPr>
              <w:t>1</w:t>
            </w:r>
            <w:r w:rsidRPr="004C6B8D">
              <w:rPr>
                <w:rFonts w:ascii="宋体" w:hAnsi="宋体" w:hint="eastAsia"/>
                <w:kern w:val="0"/>
                <w:sz w:val="21"/>
                <w:szCs w:val="21"/>
              </w:rPr>
              <w:t>：</w:t>
            </w:r>
            <w:r w:rsidRPr="004C6B8D">
              <w:rPr>
                <w:rFonts w:ascii="宋体" w:hAnsi="宋体"/>
                <w:kern w:val="0"/>
                <w:sz w:val="21"/>
                <w:szCs w:val="21"/>
              </w:rPr>
              <w:t>参照健康危险毒性物质（</w:t>
            </w:r>
            <w:r w:rsidRPr="004C6B8D">
              <w:rPr>
                <w:rFonts w:ascii="宋体" w:hAnsi="宋体" w:hint="eastAsia"/>
                <w:kern w:val="0"/>
                <w:sz w:val="21"/>
                <w:szCs w:val="21"/>
              </w:rPr>
              <w:t>类别</w:t>
            </w:r>
            <w:r w:rsidRPr="004C6B8D">
              <w:rPr>
                <w:rFonts w:hint="eastAsia"/>
                <w:kern w:val="0"/>
                <w:sz w:val="21"/>
                <w:szCs w:val="21"/>
              </w:rPr>
              <w:t>2</w:t>
            </w:r>
            <w:r w:rsidRPr="004C6B8D">
              <w:rPr>
                <w:rFonts w:ascii="宋体" w:hAnsi="宋体" w:hint="eastAsia"/>
                <w:kern w:val="0"/>
                <w:sz w:val="21"/>
                <w:szCs w:val="21"/>
              </w:rPr>
              <w:t>，</w:t>
            </w:r>
            <w:r w:rsidRPr="004C6B8D">
              <w:rPr>
                <w:rFonts w:ascii="宋体" w:hAnsi="宋体"/>
                <w:kern w:val="0"/>
                <w:sz w:val="21"/>
                <w:szCs w:val="21"/>
              </w:rPr>
              <w:t>类别</w:t>
            </w:r>
            <w:r w:rsidRPr="004C6B8D">
              <w:rPr>
                <w:rFonts w:hint="eastAsia"/>
                <w:kern w:val="0"/>
                <w:sz w:val="21"/>
                <w:szCs w:val="21"/>
              </w:rPr>
              <w:t>3</w:t>
            </w:r>
            <w:r w:rsidRPr="004C6B8D">
              <w:rPr>
                <w:rFonts w:ascii="宋体" w:hAnsi="宋体"/>
                <w:kern w:val="0"/>
                <w:sz w:val="21"/>
                <w:szCs w:val="21"/>
              </w:rPr>
              <w:t>）</w:t>
            </w:r>
            <w:r w:rsidRPr="004C6B8D">
              <w:rPr>
                <w:rFonts w:ascii="宋体" w:hAnsi="宋体" w:hint="eastAsia"/>
                <w:kern w:val="0"/>
                <w:sz w:val="21"/>
                <w:szCs w:val="21"/>
              </w:rPr>
              <w:t>的</w:t>
            </w:r>
            <w:r w:rsidRPr="004C6B8D">
              <w:rPr>
                <w:rFonts w:ascii="宋体" w:hAnsi="宋体"/>
                <w:kern w:val="0"/>
                <w:sz w:val="21"/>
                <w:szCs w:val="21"/>
              </w:rPr>
              <w:t>临界量计</w:t>
            </w:r>
          </w:p>
          <w:p w:rsidR="00FC2085" w:rsidRPr="004C6B8D" w:rsidRDefault="00FC2085" w:rsidP="00FC2085">
            <w:pPr>
              <w:widowControl/>
              <w:spacing w:line="360" w:lineRule="exact"/>
              <w:ind w:firstLineChars="0" w:firstLine="0"/>
              <w:jc w:val="center"/>
              <w:rPr>
                <w:rFonts w:ascii="宋体" w:hAnsi="宋体"/>
                <w:kern w:val="0"/>
                <w:sz w:val="21"/>
                <w:szCs w:val="21"/>
              </w:rPr>
            </w:pPr>
            <w:r w:rsidRPr="004C6B8D">
              <w:rPr>
                <w:rFonts w:hint="eastAsia"/>
                <w:kern w:val="0"/>
                <w:sz w:val="21"/>
                <w:szCs w:val="21"/>
              </w:rPr>
              <w:t>2</w:t>
            </w:r>
            <w:r w:rsidRPr="004C6B8D">
              <w:rPr>
                <w:rFonts w:ascii="宋体" w:hAnsi="宋体" w:hint="eastAsia"/>
                <w:kern w:val="0"/>
                <w:sz w:val="21"/>
                <w:szCs w:val="21"/>
              </w:rPr>
              <w:t>：</w:t>
            </w:r>
            <w:r w:rsidRPr="004C6B8D">
              <w:rPr>
                <w:rFonts w:ascii="宋体" w:hAnsi="宋体"/>
                <w:kern w:val="0"/>
                <w:sz w:val="21"/>
                <w:szCs w:val="21"/>
              </w:rPr>
              <w:t>参照油类物质</w:t>
            </w:r>
            <w:r w:rsidRPr="004C6B8D">
              <w:rPr>
                <w:rFonts w:ascii="宋体" w:hAnsi="宋体" w:hint="eastAsia"/>
                <w:kern w:val="0"/>
                <w:sz w:val="21"/>
                <w:szCs w:val="21"/>
              </w:rPr>
              <w:t>临界量</w:t>
            </w:r>
            <w:r w:rsidRPr="004C6B8D">
              <w:rPr>
                <w:rFonts w:ascii="宋体" w:hAnsi="宋体"/>
                <w:kern w:val="0"/>
                <w:sz w:val="21"/>
                <w:szCs w:val="21"/>
              </w:rPr>
              <w:t>计</w:t>
            </w:r>
          </w:p>
          <w:p w:rsidR="00FC2085" w:rsidRPr="004C6B8D" w:rsidRDefault="00FC2085" w:rsidP="00FC2085">
            <w:pPr>
              <w:widowControl/>
              <w:spacing w:line="360" w:lineRule="exact"/>
              <w:ind w:firstLineChars="0" w:firstLine="0"/>
              <w:jc w:val="center"/>
              <w:rPr>
                <w:kern w:val="0"/>
                <w:sz w:val="21"/>
                <w:szCs w:val="21"/>
              </w:rPr>
            </w:pPr>
            <w:r w:rsidRPr="004C6B8D">
              <w:rPr>
                <w:kern w:val="0"/>
                <w:sz w:val="21"/>
                <w:szCs w:val="21"/>
              </w:rPr>
              <w:t>3</w:t>
            </w:r>
            <w:r w:rsidRPr="004C6B8D">
              <w:rPr>
                <w:kern w:val="0"/>
                <w:sz w:val="21"/>
                <w:szCs w:val="21"/>
              </w:rPr>
              <w:t>：</w:t>
            </w:r>
            <w:r w:rsidRPr="004C6B8D">
              <w:rPr>
                <w:rFonts w:ascii="宋体" w:hAnsi="宋体" w:hint="eastAsia"/>
                <w:kern w:val="0"/>
                <w:sz w:val="21"/>
                <w:szCs w:val="21"/>
              </w:rPr>
              <w:t>本项目</w:t>
            </w:r>
            <w:r w:rsidRPr="004C6B8D">
              <w:rPr>
                <w:rFonts w:ascii="宋体" w:hAnsi="宋体"/>
                <w:kern w:val="0"/>
                <w:sz w:val="21"/>
                <w:szCs w:val="21"/>
              </w:rPr>
              <w:t>涉及</w:t>
            </w:r>
            <w:r w:rsidRPr="004C6B8D">
              <w:rPr>
                <w:rFonts w:ascii="宋体" w:hAnsi="宋体" w:hint="eastAsia"/>
                <w:kern w:val="0"/>
                <w:sz w:val="21"/>
                <w:szCs w:val="21"/>
              </w:rPr>
              <w:t>的危险</w:t>
            </w:r>
            <w:r w:rsidRPr="004C6B8D">
              <w:rPr>
                <w:rFonts w:ascii="宋体" w:hAnsi="宋体"/>
                <w:kern w:val="0"/>
                <w:sz w:val="21"/>
                <w:szCs w:val="21"/>
              </w:rPr>
              <w:t>物质，</w:t>
            </w:r>
            <w:r w:rsidRPr="004C6B8D">
              <w:rPr>
                <w:rFonts w:ascii="宋体" w:hAnsi="宋体" w:hint="eastAsia"/>
                <w:kern w:val="0"/>
                <w:sz w:val="21"/>
                <w:szCs w:val="21"/>
              </w:rPr>
              <w:t>最大</w:t>
            </w:r>
            <w:r w:rsidRPr="004C6B8D">
              <w:rPr>
                <w:rFonts w:ascii="宋体" w:hAnsi="宋体"/>
                <w:kern w:val="0"/>
                <w:sz w:val="21"/>
                <w:szCs w:val="21"/>
              </w:rPr>
              <w:t>暂存量为全厂</w:t>
            </w:r>
            <w:r w:rsidRPr="004C6B8D">
              <w:rPr>
                <w:rFonts w:ascii="宋体" w:hAnsi="宋体" w:hint="eastAsia"/>
                <w:kern w:val="0"/>
                <w:sz w:val="21"/>
                <w:szCs w:val="21"/>
              </w:rPr>
              <w:t>最大</w:t>
            </w:r>
            <w:r w:rsidRPr="004C6B8D">
              <w:rPr>
                <w:rFonts w:ascii="宋体" w:hAnsi="宋体"/>
                <w:kern w:val="0"/>
                <w:sz w:val="21"/>
                <w:szCs w:val="21"/>
              </w:rPr>
              <w:t>暂存量</w:t>
            </w:r>
          </w:p>
        </w:tc>
      </w:tr>
    </w:tbl>
    <w:p w:rsidR="004E3021" w:rsidRDefault="00606E48">
      <w:pPr>
        <w:ind w:firstLine="480"/>
      </w:pPr>
      <w:r>
        <w:rPr>
          <w:rFonts w:ascii="宋体" w:hAnsi="宋体" w:hint="eastAsia"/>
        </w:rPr>
        <w:t>经识别</w:t>
      </w:r>
      <w:r>
        <w:rPr>
          <w:rFonts w:ascii="宋体" w:hAnsi="宋体"/>
        </w:rPr>
        <w:t>，</w:t>
      </w:r>
      <w:r w:rsidR="006B5C39">
        <w:rPr>
          <w:rFonts w:ascii="宋体" w:hAnsi="宋体" w:hint="eastAsia"/>
        </w:rPr>
        <w:t>全厂</w:t>
      </w:r>
      <w:r>
        <w:rPr>
          <w:rFonts w:hint="eastAsia"/>
        </w:rPr>
        <w:t>Q</w:t>
      </w:r>
      <w:r>
        <w:rPr>
          <w:rFonts w:ascii="宋体" w:hAnsi="宋体" w:hint="eastAsia"/>
        </w:rPr>
        <w:t>值</w:t>
      </w:r>
      <w:r>
        <w:rPr>
          <w:rFonts w:ascii="宋体" w:hAnsi="宋体"/>
        </w:rPr>
        <w:t>为</w:t>
      </w:r>
      <w:r w:rsidR="00E4143C">
        <w:t>5</w:t>
      </w:r>
      <w:r w:rsidR="00CD2C2C">
        <w:t>9.22</w:t>
      </w:r>
      <w:r>
        <w:rPr>
          <w:rFonts w:ascii="宋体" w:hAnsi="宋体" w:hint="eastAsia"/>
        </w:rPr>
        <w:t>，</w:t>
      </w:r>
      <w:r w:rsidR="006B5C39" w:rsidRPr="00E3492A">
        <w:rPr>
          <w:lang w:val="zh-CN"/>
        </w:rPr>
        <w:t>处于</w:t>
      </w:r>
      <w:r w:rsidR="00E4143C" w:rsidRPr="00E4143C">
        <w:rPr>
          <w:rFonts w:hint="eastAsia"/>
        </w:rPr>
        <w:t>10</w:t>
      </w:r>
      <w:r w:rsidR="00E4143C" w:rsidRPr="00E4143C">
        <w:rPr>
          <w:rFonts w:hint="eastAsia"/>
        </w:rPr>
        <w:t>≤</w:t>
      </w:r>
      <w:r w:rsidR="00E4143C" w:rsidRPr="00E4143C">
        <w:rPr>
          <w:rFonts w:hint="eastAsia"/>
          <w:i/>
        </w:rPr>
        <w:t>Q</w:t>
      </w:r>
      <w:r w:rsidR="00E4143C" w:rsidRPr="00E4143C">
        <w:rPr>
          <w:rFonts w:hint="eastAsia"/>
        </w:rPr>
        <w:t>＜</w:t>
      </w:r>
      <w:r w:rsidR="00E4143C" w:rsidRPr="00E4143C">
        <w:rPr>
          <w:rFonts w:hint="eastAsia"/>
        </w:rPr>
        <w:t>100</w:t>
      </w:r>
      <w:r w:rsidR="006B5C39">
        <w:rPr>
          <w:rFonts w:hint="eastAsia"/>
          <w:lang w:val="zh-CN"/>
        </w:rPr>
        <w:t>范围内</w:t>
      </w:r>
      <w:r>
        <w:rPr>
          <w:rFonts w:ascii="宋体" w:hAnsi="宋体" w:hint="eastAsia"/>
        </w:rPr>
        <w:t>。</w:t>
      </w:r>
    </w:p>
    <w:p w:rsidR="004E3021" w:rsidRDefault="00606E48">
      <w:pPr>
        <w:ind w:firstLine="480"/>
      </w:pPr>
      <w:r>
        <w:t>（</w:t>
      </w:r>
      <w:r>
        <w:t>2</w:t>
      </w:r>
      <w:r>
        <w:t>）行业及生产工艺（</w:t>
      </w:r>
      <w:r>
        <w:t>M</w:t>
      </w:r>
      <w:r>
        <w:t>）</w:t>
      </w:r>
    </w:p>
    <w:p w:rsidR="004E3021" w:rsidRDefault="00606E48">
      <w:pPr>
        <w:ind w:firstLine="480"/>
      </w:pPr>
      <w:r>
        <w:rPr>
          <w:rFonts w:ascii="宋体" w:hAnsi="宋体"/>
        </w:rPr>
        <w:t>采用评分法对企业生产工艺过程风险防控措施及突发环境事件发生情况进行评估，将各项指标分值累加，确定企业生产工艺过程与环境风险控制水平（</w:t>
      </w:r>
      <w:r>
        <w:t>M</w:t>
      </w:r>
      <w:r>
        <w:rPr>
          <w:rFonts w:ascii="宋体" w:hAnsi="宋体"/>
        </w:rPr>
        <w:t>）。</w:t>
      </w:r>
    </w:p>
    <w:p w:rsidR="004E3021" w:rsidRDefault="00606E48">
      <w:pPr>
        <w:ind w:firstLine="480"/>
      </w:pPr>
      <w:r>
        <w:rPr>
          <w:rFonts w:ascii="宋体" w:hAnsi="宋体"/>
        </w:rPr>
        <w:t>生产工艺过程含有风险工艺和设备情况对企业生产工艺过程含有风险工艺和设备情况的评估按照工艺单元进行，具有多套工艺单元的企业，对每套工艺单元分别评分并求和，将</w:t>
      </w:r>
      <w:r>
        <w:t>M</w:t>
      </w:r>
      <w:r>
        <w:rPr>
          <w:rFonts w:ascii="宋体" w:hAnsi="宋体"/>
        </w:rPr>
        <w:t>划分为（</w:t>
      </w:r>
      <w:r>
        <w:t>M</w:t>
      </w:r>
      <w:r>
        <w:rPr>
          <w:rFonts w:ascii="宋体" w:hAnsi="宋体"/>
        </w:rPr>
        <w:t>）＞</w:t>
      </w:r>
      <w:r>
        <w:t>20</w:t>
      </w:r>
      <w:r>
        <w:rPr>
          <w:rFonts w:ascii="宋体" w:hAnsi="宋体"/>
        </w:rPr>
        <w:t>；（</w:t>
      </w:r>
      <w:r>
        <w:t>2</w:t>
      </w:r>
      <w:r>
        <w:rPr>
          <w:rFonts w:ascii="宋体" w:hAnsi="宋体"/>
        </w:rPr>
        <w:t>）</w:t>
      </w:r>
      <w:r>
        <w:t>10</w:t>
      </w:r>
      <w:r>
        <w:rPr>
          <w:rFonts w:ascii="宋体" w:hAnsi="宋体"/>
        </w:rPr>
        <w:t>＜</w:t>
      </w:r>
      <w:r>
        <w:t>M≤20</w:t>
      </w:r>
      <w:r>
        <w:rPr>
          <w:rFonts w:ascii="宋体" w:hAnsi="宋体"/>
        </w:rPr>
        <w:t>；（</w:t>
      </w:r>
      <w:r>
        <w:t>3</w:t>
      </w:r>
      <w:r>
        <w:rPr>
          <w:rFonts w:ascii="宋体" w:hAnsi="宋体"/>
        </w:rPr>
        <w:t>）</w:t>
      </w:r>
      <w:r>
        <w:t>5</w:t>
      </w:r>
      <w:r>
        <w:rPr>
          <w:rFonts w:ascii="宋体" w:hAnsi="宋体"/>
        </w:rPr>
        <w:t>＜</w:t>
      </w:r>
      <w:r>
        <w:t>M≤10</w:t>
      </w:r>
      <w:r>
        <w:rPr>
          <w:rFonts w:ascii="宋体" w:hAnsi="宋体"/>
        </w:rPr>
        <w:t>；（</w:t>
      </w:r>
      <w:r>
        <w:t>4</w:t>
      </w:r>
      <w:r>
        <w:rPr>
          <w:rFonts w:ascii="宋体" w:hAnsi="宋体"/>
        </w:rPr>
        <w:t>）</w:t>
      </w:r>
      <w:r>
        <w:t>M=5</w:t>
      </w:r>
      <w:r>
        <w:rPr>
          <w:rFonts w:ascii="宋体" w:hAnsi="宋体"/>
        </w:rPr>
        <w:t>，分别以</w:t>
      </w:r>
      <w:r>
        <w:t>M1</w:t>
      </w:r>
      <w:r>
        <w:rPr>
          <w:rFonts w:ascii="宋体" w:hAnsi="宋体"/>
        </w:rPr>
        <w:t>、</w:t>
      </w:r>
      <w:r>
        <w:t>M2</w:t>
      </w:r>
      <w:r>
        <w:rPr>
          <w:rFonts w:ascii="宋体" w:hAnsi="宋体"/>
        </w:rPr>
        <w:t>、</w:t>
      </w:r>
      <w:r>
        <w:t>M3</w:t>
      </w:r>
      <w:r>
        <w:rPr>
          <w:rFonts w:ascii="宋体" w:hAnsi="宋体"/>
        </w:rPr>
        <w:t>、</w:t>
      </w:r>
      <w:r>
        <w:t>M4</w:t>
      </w:r>
      <w:r>
        <w:rPr>
          <w:rFonts w:ascii="宋体" w:hAnsi="宋体"/>
        </w:rPr>
        <w:t>表示。</w:t>
      </w:r>
    </w:p>
    <w:p w:rsidR="004E3021" w:rsidRDefault="00606E48">
      <w:pPr>
        <w:spacing w:line="500" w:lineRule="exact"/>
        <w:ind w:firstLineChars="0" w:firstLine="0"/>
        <w:jc w:val="center"/>
        <w:rPr>
          <w:rFonts w:eastAsia="黑体"/>
        </w:rPr>
      </w:pPr>
      <w:r>
        <w:rPr>
          <w:rFonts w:ascii="黑体" w:eastAsia="黑体" w:hAnsi="黑体"/>
        </w:rPr>
        <w:t>表</w:t>
      </w:r>
      <w:r>
        <w:rPr>
          <w:rFonts w:eastAsia="黑体"/>
        </w:rPr>
        <w:t xml:space="preserve">2.3.1-9  </w:t>
      </w:r>
      <w:r>
        <w:rPr>
          <w:rFonts w:ascii="黑体" w:eastAsia="黑体" w:hAnsi="黑体"/>
        </w:rPr>
        <w:t>企业生产工艺过程评估</w:t>
      </w:r>
    </w:p>
    <w:tbl>
      <w:tblPr>
        <w:tblW w:w="5000" w:type="pct"/>
        <w:jc w:val="center"/>
        <w:tblLook w:val="04A0" w:firstRow="1" w:lastRow="0" w:firstColumn="1" w:lastColumn="0" w:noHBand="0" w:noVBand="1"/>
      </w:tblPr>
      <w:tblGrid>
        <w:gridCol w:w="1116"/>
        <w:gridCol w:w="4222"/>
        <w:gridCol w:w="1159"/>
        <w:gridCol w:w="1493"/>
        <w:gridCol w:w="1036"/>
      </w:tblGrid>
      <w:tr w:rsidR="004E3021" w:rsidRPr="00E13009">
        <w:trPr>
          <w:jc w:val="center"/>
        </w:trPr>
        <w:tc>
          <w:tcPr>
            <w:tcW w:w="618" w:type="pct"/>
            <w:tcBorders>
              <w:top w:val="single" w:sz="12" w:space="0" w:color="auto"/>
              <w:left w:val="nil"/>
              <w:bottom w:val="single" w:sz="4" w:space="0" w:color="auto"/>
              <w:right w:val="single" w:sz="4" w:space="0" w:color="auto"/>
            </w:tcBorders>
            <w:vAlign w:val="center"/>
          </w:tcPr>
          <w:p w:rsidR="004E3021" w:rsidRPr="00E13009" w:rsidRDefault="00606E48">
            <w:pPr>
              <w:pStyle w:val="afffffff2"/>
              <w:rPr>
                <w:b/>
                <w:kern w:val="0"/>
                <w:sz w:val="21"/>
                <w:szCs w:val="21"/>
              </w:rPr>
            </w:pPr>
            <w:r w:rsidRPr="00E13009">
              <w:rPr>
                <w:b/>
                <w:kern w:val="0"/>
                <w:sz w:val="21"/>
                <w:szCs w:val="21"/>
              </w:rPr>
              <w:t>行业</w:t>
            </w:r>
          </w:p>
        </w:tc>
        <w:tc>
          <w:tcPr>
            <w:tcW w:w="2339" w:type="pct"/>
            <w:tcBorders>
              <w:top w:val="single" w:sz="12" w:space="0" w:color="auto"/>
              <w:left w:val="single" w:sz="4" w:space="0" w:color="auto"/>
              <w:bottom w:val="single" w:sz="4" w:space="0" w:color="auto"/>
              <w:right w:val="single" w:sz="4" w:space="0" w:color="auto"/>
            </w:tcBorders>
            <w:vAlign w:val="center"/>
          </w:tcPr>
          <w:p w:rsidR="004E3021" w:rsidRPr="00E13009" w:rsidRDefault="00606E48">
            <w:pPr>
              <w:pStyle w:val="afffffff2"/>
              <w:rPr>
                <w:b/>
                <w:kern w:val="0"/>
                <w:sz w:val="21"/>
                <w:szCs w:val="21"/>
              </w:rPr>
            </w:pPr>
            <w:r w:rsidRPr="00E13009">
              <w:rPr>
                <w:b/>
                <w:kern w:val="0"/>
                <w:sz w:val="21"/>
                <w:szCs w:val="21"/>
              </w:rPr>
              <w:t>评估依据</w:t>
            </w:r>
          </w:p>
        </w:tc>
        <w:tc>
          <w:tcPr>
            <w:tcW w:w="642" w:type="pct"/>
            <w:tcBorders>
              <w:top w:val="single" w:sz="12" w:space="0" w:color="auto"/>
              <w:left w:val="single" w:sz="4" w:space="0" w:color="auto"/>
              <w:bottom w:val="single" w:sz="4" w:space="0" w:color="auto"/>
              <w:right w:val="single" w:sz="4" w:space="0" w:color="auto"/>
            </w:tcBorders>
            <w:vAlign w:val="center"/>
          </w:tcPr>
          <w:p w:rsidR="004E3021" w:rsidRPr="00E13009" w:rsidRDefault="00606E48">
            <w:pPr>
              <w:pStyle w:val="afffffff2"/>
              <w:rPr>
                <w:b/>
                <w:kern w:val="0"/>
                <w:sz w:val="21"/>
                <w:szCs w:val="21"/>
              </w:rPr>
            </w:pPr>
            <w:r w:rsidRPr="00E13009">
              <w:rPr>
                <w:b/>
                <w:kern w:val="0"/>
                <w:sz w:val="21"/>
                <w:szCs w:val="21"/>
              </w:rPr>
              <w:t>分值</w:t>
            </w:r>
          </w:p>
        </w:tc>
        <w:tc>
          <w:tcPr>
            <w:tcW w:w="827" w:type="pct"/>
            <w:tcBorders>
              <w:top w:val="single" w:sz="12" w:space="0" w:color="auto"/>
              <w:left w:val="single" w:sz="4" w:space="0" w:color="auto"/>
              <w:bottom w:val="single" w:sz="4" w:space="0" w:color="auto"/>
              <w:right w:val="single" w:sz="4" w:space="0" w:color="auto"/>
            </w:tcBorders>
            <w:vAlign w:val="center"/>
          </w:tcPr>
          <w:p w:rsidR="004E3021" w:rsidRPr="00E13009" w:rsidRDefault="00606E48">
            <w:pPr>
              <w:pStyle w:val="afffffff2"/>
              <w:rPr>
                <w:b/>
                <w:kern w:val="0"/>
                <w:sz w:val="21"/>
                <w:szCs w:val="21"/>
              </w:rPr>
            </w:pPr>
            <w:r w:rsidRPr="00E13009">
              <w:rPr>
                <w:b/>
                <w:spacing w:val="-4"/>
                <w:kern w:val="0"/>
                <w:sz w:val="21"/>
                <w:szCs w:val="21"/>
              </w:rPr>
              <w:t>企业</w:t>
            </w:r>
            <w:r w:rsidRPr="00E13009">
              <w:rPr>
                <w:rFonts w:hint="eastAsia"/>
                <w:b/>
                <w:spacing w:val="-4"/>
                <w:kern w:val="0"/>
                <w:sz w:val="21"/>
                <w:szCs w:val="21"/>
              </w:rPr>
              <w:t>情况</w:t>
            </w:r>
          </w:p>
        </w:tc>
        <w:tc>
          <w:tcPr>
            <w:tcW w:w="574" w:type="pct"/>
            <w:tcBorders>
              <w:top w:val="single" w:sz="12" w:space="0" w:color="auto"/>
              <w:left w:val="single" w:sz="4" w:space="0" w:color="auto"/>
              <w:bottom w:val="single" w:sz="4" w:space="0" w:color="auto"/>
              <w:right w:val="nil"/>
            </w:tcBorders>
            <w:vAlign w:val="center"/>
          </w:tcPr>
          <w:p w:rsidR="004E3021" w:rsidRPr="00E13009" w:rsidRDefault="00606E48">
            <w:pPr>
              <w:pStyle w:val="afffffff2"/>
              <w:rPr>
                <w:b/>
                <w:kern w:val="0"/>
                <w:sz w:val="21"/>
                <w:szCs w:val="21"/>
              </w:rPr>
            </w:pPr>
            <w:r w:rsidRPr="00E13009">
              <w:rPr>
                <w:b/>
                <w:spacing w:val="-4"/>
                <w:kern w:val="0"/>
                <w:sz w:val="21"/>
                <w:szCs w:val="21"/>
              </w:rPr>
              <w:t>企业得分</w:t>
            </w:r>
          </w:p>
        </w:tc>
      </w:tr>
      <w:tr w:rsidR="004E3021" w:rsidRPr="00E13009">
        <w:trPr>
          <w:jc w:val="center"/>
        </w:trPr>
        <w:tc>
          <w:tcPr>
            <w:tcW w:w="618" w:type="pct"/>
            <w:vMerge w:val="restart"/>
            <w:tcBorders>
              <w:top w:val="single" w:sz="4" w:space="0" w:color="auto"/>
              <w:left w:val="nil"/>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石化、化工、医药、轻工、化纤、有色冶炼等</w:t>
            </w:r>
          </w:p>
        </w:tc>
        <w:tc>
          <w:tcPr>
            <w:tcW w:w="2339"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642"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10/</w:t>
            </w:r>
            <w:r w:rsidRPr="00E13009">
              <w:rPr>
                <w:kern w:val="0"/>
                <w:sz w:val="21"/>
                <w:szCs w:val="21"/>
              </w:rPr>
              <w:t>套</w:t>
            </w:r>
          </w:p>
        </w:tc>
        <w:tc>
          <w:tcPr>
            <w:tcW w:w="827"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w:t>
            </w:r>
          </w:p>
        </w:tc>
        <w:tc>
          <w:tcPr>
            <w:tcW w:w="574" w:type="pct"/>
            <w:tcBorders>
              <w:top w:val="single" w:sz="4" w:space="0" w:color="auto"/>
              <w:left w:val="single" w:sz="4" w:space="0" w:color="auto"/>
              <w:bottom w:val="single" w:sz="4" w:space="0" w:color="auto"/>
              <w:right w:val="nil"/>
            </w:tcBorders>
            <w:vAlign w:val="center"/>
          </w:tcPr>
          <w:p w:rsidR="004E3021" w:rsidRPr="00E13009" w:rsidRDefault="00606E48">
            <w:pPr>
              <w:pStyle w:val="afffffff2"/>
              <w:rPr>
                <w:kern w:val="0"/>
                <w:sz w:val="21"/>
                <w:szCs w:val="21"/>
              </w:rPr>
            </w:pPr>
            <w:r w:rsidRPr="00E13009">
              <w:rPr>
                <w:kern w:val="0"/>
                <w:sz w:val="21"/>
                <w:szCs w:val="21"/>
              </w:rPr>
              <w:t>0</w:t>
            </w:r>
          </w:p>
        </w:tc>
      </w:tr>
      <w:tr w:rsidR="004E3021" w:rsidRPr="00E13009">
        <w:trPr>
          <w:jc w:val="center"/>
        </w:trPr>
        <w:tc>
          <w:tcPr>
            <w:tcW w:w="0" w:type="auto"/>
            <w:vMerge/>
            <w:tcBorders>
              <w:top w:val="single" w:sz="4" w:space="0" w:color="auto"/>
              <w:left w:val="nil"/>
              <w:bottom w:val="single" w:sz="4" w:space="0" w:color="auto"/>
              <w:right w:val="single" w:sz="4" w:space="0" w:color="auto"/>
            </w:tcBorders>
            <w:vAlign w:val="center"/>
          </w:tcPr>
          <w:p w:rsidR="004E3021" w:rsidRPr="00E13009" w:rsidRDefault="004E3021">
            <w:pPr>
              <w:pStyle w:val="afffffff2"/>
              <w:rPr>
                <w:kern w:val="0"/>
                <w:sz w:val="21"/>
                <w:szCs w:val="21"/>
              </w:rPr>
            </w:pPr>
          </w:p>
        </w:tc>
        <w:tc>
          <w:tcPr>
            <w:tcW w:w="2339"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无机酸制酸工艺、焦化工艺</w:t>
            </w:r>
          </w:p>
        </w:tc>
        <w:tc>
          <w:tcPr>
            <w:tcW w:w="642"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5/</w:t>
            </w:r>
            <w:r w:rsidRPr="00E13009">
              <w:rPr>
                <w:kern w:val="0"/>
                <w:sz w:val="21"/>
                <w:szCs w:val="21"/>
              </w:rPr>
              <w:t>套</w:t>
            </w:r>
          </w:p>
        </w:tc>
        <w:tc>
          <w:tcPr>
            <w:tcW w:w="827"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w:t>
            </w:r>
          </w:p>
        </w:tc>
        <w:tc>
          <w:tcPr>
            <w:tcW w:w="574" w:type="pct"/>
            <w:tcBorders>
              <w:top w:val="single" w:sz="4" w:space="0" w:color="auto"/>
              <w:left w:val="single" w:sz="4" w:space="0" w:color="auto"/>
              <w:bottom w:val="single" w:sz="4" w:space="0" w:color="auto"/>
              <w:right w:val="nil"/>
            </w:tcBorders>
            <w:vAlign w:val="center"/>
          </w:tcPr>
          <w:p w:rsidR="004E3021" w:rsidRPr="00E13009" w:rsidRDefault="00606E48">
            <w:pPr>
              <w:pStyle w:val="afffffff2"/>
              <w:rPr>
                <w:kern w:val="0"/>
                <w:sz w:val="21"/>
                <w:szCs w:val="21"/>
              </w:rPr>
            </w:pPr>
            <w:r w:rsidRPr="00E13009">
              <w:rPr>
                <w:kern w:val="0"/>
                <w:sz w:val="21"/>
                <w:szCs w:val="21"/>
              </w:rPr>
              <w:t>0</w:t>
            </w:r>
          </w:p>
        </w:tc>
      </w:tr>
      <w:tr w:rsidR="004E3021" w:rsidRPr="00E13009">
        <w:trPr>
          <w:jc w:val="center"/>
        </w:trPr>
        <w:tc>
          <w:tcPr>
            <w:tcW w:w="0" w:type="auto"/>
            <w:vMerge/>
            <w:tcBorders>
              <w:top w:val="single" w:sz="4" w:space="0" w:color="auto"/>
              <w:left w:val="nil"/>
              <w:bottom w:val="single" w:sz="4" w:space="0" w:color="auto"/>
              <w:right w:val="single" w:sz="4" w:space="0" w:color="auto"/>
            </w:tcBorders>
            <w:vAlign w:val="center"/>
          </w:tcPr>
          <w:p w:rsidR="004E3021" w:rsidRPr="00E13009" w:rsidRDefault="004E3021">
            <w:pPr>
              <w:pStyle w:val="afffffff2"/>
              <w:rPr>
                <w:kern w:val="0"/>
                <w:sz w:val="21"/>
                <w:szCs w:val="21"/>
              </w:rPr>
            </w:pPr>
          </w:p>
        </w:tc>
        <w:tc>
          <w:tcPr>
            <w:tcW w:w="2339"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其他高温或高压，且涉及危险物质的工艺过程</w:t>
            </w:r>
            <w:r w:rsidRPr="00E13009">
              <w:rPr>
                <w:kern w:val="0"/>
                <w:sz w:val="21"/>
                <w:szCs w:val="21"/>
                <w:vertAlign w:val="superscript"/>
              </w:rPr>
              <w:t>a</w:t>
            </w:r>
            <w:r w:rsidRPr="00E13009">
              <w:rPr>
                <w:kern w:val="0"/>
                <w:sz w:val="21"/>
                <w:szCs w:val="21"/>
              </w:rPr>
              <w:t>、危险物质贮存罐区</w:t>
            </w:r>
          </w:p>
        </w:tc>
        <w:tc>
          <w:tcPr>
            <w:tcW w:w="642"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5/</w:t>
            </w:r>
            <w:r w:rsidRPr="00E13009">
              <w:rPr>
                <w:kern w:val="0"/>
                <w:sz w:val="21"/>
                <w:szCs w:val="21"/>
              </w:rPr>
              <w:t>套（罐区）</w:t>
            </w:r>
          </w:p>
        </w:tc>
        <w:tc>
          <w:tcPr>
            <w:tcW w:w="827"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rsidP="001E21A1">
            <w:pPr>
              <w:pStyle w:val="afffffff2"/>
              <w:rPr>
                <w:kern w:val="0"/>
                <w:sz w:val="21"/>
                <w:szCs w:val="21"/>
              </w:rPr>
            </w:pPr>
            <w:r w:rsidRPr="00E13009">
              <w:rPr>
                <w:rFonts w:hint="eastAsia"/>
                <w:kern w:val="0"/>
                <w:sz w:val="21"/>
                <w:szCs w:val="21"/>
              </w:rPr>
              <w:t>一个原料</w:t>
            </w:r>
            <w:r w:rsidRPr="00E13009">
              <w:rPr>
                <w:kern w:val="0"/>
                <w:sz w:val="21"/>
                <w:szCs w:val="21"/>
              </w:rPr>
              <w:t>产品罐区</w:t>
            </w:r>
            <w:r w:rsidR="00E4143C">
              <w:rPr>
                <w:rFonts w:hint="eastAsia"/>
                <w:kern w:val="0"/>
                <w:sz w:val="21"/>
                <w:szCs w:val="21"/>
              </w:rPr>
              <w:t>，一个中间罐区</w:t>
            </w:r>
          </w:p>
        </w:tc>
        <w:tc>
          <w:tcPr>
            <w:tcW w:w="574" w:type="pct"/>
            <w:tcBorders>
              <w:top w:val="single" w:sz="4" w:space="0" w:color="auto"/>
              <w:left w:val="single" w:sz="4" w:space="0" w:color="auto"/>
              <w:bottom w:val="single" w:sz="4" w:space="0" w:color="auto"/>
              <w:right w:val="nil"/>
            </w:tcBorders>
            <w:vAlign w:val="center"/>
          </w:tcPr>
          <w:p w:rsidR="004E3021" w:rsidRPr="00E13009" w:rsidRDefault="00E4143C">
            <w:pPr>
              <w:pStyle w:val="afffffff2"/>
              <w:rPr>
                <w:kern w:val="0"/>
                <w:sz w:val="21"/>
                <w:szCs w:val="21"/>
              </w:rPr>
            </w:pPr>
            <w:r>
              <w:rPr>
                <w:kern w:val="0"/>
                <w:sz w:val="21"/>
                <w:szCs w:val="21"/>
              </w:rPr>
              <w:t>10</w:t>
            </w:r>
          </w:p>
        </w:tc>
      </w:tr>
      <w:tr w:rsidR="004E3021" w:rsidRPr="00E13009">
        <w:trPr>
          <w:jc w:val="center"/>
        </w:trPr>
        <w:tc>
          <w:tcPr>
            <w:tcW w:w="618" w:type="pct"/>
            <w:tcBorders>
              <w:top w:val="single" w:sz="4" w:space="0" w:color="auto"/>
              <w:left w:val="nil"/>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管道、港口</w:t>
            </w:r>
            <w:r w:rsidRPr="00E13009">
              <w:rPr>
                <w:kern w:val="0"/>
                <w:sz w:val="21"/>
                <w:szCs w:val="21"/>
              </w:rPr>
              <w:t>/</w:t>
            </w:r>
            <w:r w:rsidRPr="00E13009">
              <w:rPr>
                <w:kern w:val="0"/>
                <w:sz w:val="21"/>
                <w:szCs w:val="21"/>
              </w:rPr>
              <w:t>码头等</w:t>
            </w:r>
          </w:p>
        </w:tc>
        <w:tc>
          <w:tcPr>
            <w:tcW w:w="2339"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涉及危险物质管道运输项目、港口</w:t>
            </w:r>
            <w:r w:rsidRPr="00E13009">
              <w:rPr>
                <w:kern w:val="0"/>
                <w:sz w:val="21"/>
                <w:szCs w:val="21"/>
              </w:rPr>
              <w:t>/</w:t>
            </w:r>
            <w:r w:rsidRPr="00E13009">
              <w:rPr>
                <w:kern w:val="0"/>
                <w:sz w:val="21"/>
                <w:szCs w:val="21"/>
              </w:rPr>
              <w:t>码头等</w:t>
            </w:r>
          </w:p>
        </w:tc>
        <w:tc>
          <w:tcPr>
            <w:tcW w:w="642"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10</w:t>
            </w:r>
          </w:p>
        </w:tc>
        <w:tc>
          <w:tcPr>
            <w:tcW w:w="827"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w:t>
            </w:r>
          </w:p>
        </w:tc>
        <w:tc>
          <w:tcPr>
            <w:tcW w:w="574" w:type="pct"/>
            <w:tcBorders>
              <w:top w:val="single" w:sz="4" w:space="0" w:color="auto"/>
              <w:left w:val="single" w:sz="4" w:space="0" w:color="auto"/>
              <w:bottom w:val="single" w:sz="4" w:space="0" w:color="auto"/>
              <w:right w:val="nil"/>
            </w:tcBorders>
            <w:vAlign w:val="center"/>
          </w:tcPr>
          <w:p w:rsidR="004E3021" w:rsidRPr="00E13009" w:rsidRDefault="00606E48">
            <w:pPr>
              <w:pStyle w:val="afffffff2"/>
              <w:rPr>
                <w:kern w:val="0"/>
                <w:sz w:val="21"/>
                <w:szCs w:val="21"/>
              </w:rPr>
            </w:pPr>
            <w:r w:rsidRPr="00E13009">
              <w:rPr>
                <w:kern w:val="0"/>
                <w:sz w:val="21"/>
                <w:szCs w:val="21"/>
              </w:rPr>
              <w:t>0</w:t>
            </w:r>
          </w:p>
        </w:tc>
      </w:tr>
      <w:tr w:rsidR="004E3021" w:rsidRPr="00E13009">
        <w:trPr>
          <w:jc w:val="center"/>
        </w:trPr>
        <w:tc>
          <w:tcPr>
            <w:tcW w:w="618" w:type="pct"/>
            <w:tcBorders>
              <w:top w:val="single" w:sz="4" w:space="0" w:color="auto"/>
              <w:left w:val="nil"/>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石油天然气</w:t>
            </w:r>
          </w:p>
        </w:tc>
        <w:tc>
          <w:tcPr>
            <w:tcW w:w="2339"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石油、天然气、页岩气开采（含净化），气库（不含加气站的气库），油库（不含加气站的油库）、油气管线</w:t>
            </w:r>
            <w:r w:rsidRPr="00E13009">
              <w:rPr>
                <w:kern w:val="0"/>
                <w:sz w:val="21"/>
                <w:szCs w:val="21"/>
                <w:vertAlign w:val="superscript"/>
              </w:rPr>
              <w:t>b</w:t>
            </w:r>
            <w:r w:rsidRPr="00E13009">
              <w:rPr>
                <w:kern w:val="0"/>
                <w:sz w:val="21"/>
                <w:szCs w:val="21"/>
              </w:rPr>
              <w:t>（不含城镇燃气管线）</w:t>
            </w:r>
          </w:p>
        </w:tc>
        <w:tc>
          <w:tcPr>
            <w:tcW w:w="642"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10</w:t>
            </w:r>
          </w:p>
        </w:tc>
        <w:tc>
          <w:tcPr>
            <w:tcW w:w="827"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w:t>
            </w:r>
          </w:p>
        </w:tc>
        <w:tc>
          <w:tcPr>
            <w:tcW w:w="574" w:type="pct"/>
            <w:tcBorders>
              <w:top w:val="single" w:sz="4" w:space="0" w:color="auto"/>
              <w:left w:val="single" w:sz="4" w:space="0" w:color="auto"/>
              <w:bottom w:val="single" w:sz="4" w:space="0" w:color="auto"/>
              <w:right w:val="nil"/>
            </w:tcBorders>
            <w:vAlign w:val="center"/>
          </w:tcPr>
          <w:p w:rsidR="004E3021" w:rsidRPr="00E13009" w:rsidRDefault="00606E48">
            <w:pPr>
              <w:pStyle w:val="afffffff2"/>
              <w:rPr>
                <w:kern w:val="0"/>
                <w:sz w:val="21"/>
                <w:szCs w:val="21"/>
              </w:rPr>
            </w:pPr>
            <w:r w:rsidRPr="00E13009">
              <w:rPr>
                <w:kern w:val="0"/>
                <w:sz w:val="21"/>
                <w:szCs w:val="21"/>
              </w:rPr>
              <w:t>0</w:t>
            </w:r>
          </w:p>
        </w:tc>
      </w:tr>
      <w:tr w:rsidR="004E3021" w:rsidRPr="00E13009">
        <w:trPr>
          <w:trHeight w:val="90"/>
          <w:jc w:val="center"/>
        </w:trPr>
        <w:tc>
          <w:tcPr>
            <w:tcW w:w="618" w:type="pct"/>
            <w:tcBorders>
              <w:top w:val="single" w:sz="4" w:space="0" w:color="auto"/>
              <w:left w:val="nil"/>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其他</w:t>
            </w:r>
          </w:p>
        </w:tc>
        <w:tc>
          <w:tcPr>
            <w:tcW w:w="2339"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涉及危险物质使用、贮存的项目</w:t>
            </w:r>
          </w:p>
        </w:tc>
        <w:tc>
          <w:tcPr>
            <w:tcW w:w="642"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5</w:t>
            </w:r>
          </w:p>
        </w:tc>
        <w:tc>
          <w:tcPr>
            <w:tcW w:w="827"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rFonts w:hint="eastAsia"/>
                <w:kern w:val="0"/>
                <w:sz w:val="21"/>
                <w:szCs w:val="21"/>
              </w:rPr>
              <w:t>/</w:t>
            </w:r>
          </w:p>
        </w:tc>
        <w:tc>
          <w:tcPr>
            <w:tcW w:w="574" w:type="pct"/>
            <w:tcBorders>
              <w:top w:val="single" w:sz="4" w:space="0" w:color="auto"/>
              <w:left w:val="single" w:sz="4" w:space="0" w:color="auto"/>
              <w:bottom w:val="single" w:sz="4" w:space="0" w:color="auto"/>
              <w:right w:val="nil"/>
            </w:tcBorders>
            <w:vAlign w:val="center"/>
          </w:tcPr>
          <w:p w:rsidR="004E3021" w:rsidRPr="00E13009" w:rsidRDefault="00606E48">
            <w:pPr>
              <w:pStyle w:val="afffffff2"/>
              <w:rPr>
                <w:kern w:val="0"/>
                <w:sz w:val="21"/>
                <w:szCs w:val="21"/>
              </w:rPr>
            </w:pPr>
            <w:r w:rsidRPr="00E13009">
              <w:rPr>
                <w:kern w:val="0"/>
                <w:sz w:val="21"/>
                <w:szCs w:val="21"/>
              </w:rPr>
              <w:t>0</w:t>
            </w:r>
          </w:p>
        </w:tc>
      </w:tr>
      <w:tr w:rsidR="004E3021" w:rsidRPr="00E13009">
        <w:trPr>
          <w:jc w:val="center"/>
        </w:trPr>
        <w:tc>
          <w:tcPr>
            <w:tcW w:w="4426" w:type="pct"/>
            <w:gridSpan w:val="4"/>
            <w:tcBorders>
              <w:top w:val="single" w:sz="4" w:space="0" w:color="auto"/>
              <w:left w:val="nil"/>
              <w:bottom w:val="single" w:sz="4" w:space="0" w:color="auto"/>
              <w:right w:val="single" w:sz="4" w:space="0" w:color="auto"/>
            </w:tcBorders>
            <w:vAlign w:val="center"/>
          </w:tcPr>
          <w:p w:rsidR="004E3021" w:rsidRPr="00E13009" w:rsidRDefault="00606E48">
            <w:pPr>
              <w:pStyle w:val="afffffff2"/>
              <w:rPr>
                <w:kern w:val="0"/>
                <w:sz w:val="21"/>
                <w:szCs w:val="21"/>
              </w:rPr>
            </w:pPr>
            <w:r w:rsidRPr="00E13009">
              <w:rPr>
                <w:kern w:val="0"/>
                <w:sz w:val="21"/>
                <w:szCs w:val="21"/>
              </w:rPr>
              <w:t>合计</w:t>
            </w:r>
          </w:p>
        </w:tc>
        <w:tc>
          <w:tcPr>
            <w:tcW w:w="574" w:type="pct"/>
            <w:tcBorders>
              <w:top w:val="single" w:sz="4" w:space="0" w:color="auto"/>
              <w:left w:val="single" w:sz="4" w:space="0" w:color="auto"/>
              <w:bottom w:val="single" w:sz="4" w:space="0" w:color="auto"/>
              <w:right w:val="nil"/>
            </w:tcBorders>
            <w:vAlign w:val="center"/>
          </w:tcPr>
          <w:p w:rsidR="004E3021" w:rsidRPr="00E13009" w:rsidRDefault="00E4143C">
            <w:pPr>
              <w:pStyle w:val="afffffff2"/>
              <w:rPr>
                <w:kern w:val="0"/>
                <w:sz w:val="21"/>
                <w:szCs w:val="21"/>
              </w:rPr>
            </w:pPr>
            <w:r>
              <w:rPr>
                <w:kern w:val="0"/>
                <w:sz w:val="21"/>
                <w:szCs w:val="21"/>
              </w:rPr>
              <w:t>10</w:t>
            </w:r>
          </w:p>
        </w:tc>
      </w:tr>
      <w:tr w:rsidR="004E3021" w:rsidRPr="00E13009">
        <w:trPr>
          <w:jc w:val="center"/>
        </w:trPr>
        <w:tc>
          <w:tcPr>
            <w:tcW w:w="5000" w:type="pct"/>
            <w:gridSpan w:val="5"/>
            <w:tcBorders>
              <w:top w:val="single" w:sz="4" w:space="0" w:color="auto"/>
              <w:left w:val="nil"/>
              <w:bottom w:val="single" w:sz="12" w:space="0" w:color="auto"/>
              <w:right w:val="nil"/>
            </w:tcBorders>
            <w:vAlign w:val="center"/>
          </w:tcPr>
          <w:p w:rsidR="004E3021" w:rsidRPr="00E13009" w:rsidRDefault="00606E48">
            <w:pPr>
              <w:pStyle w:val="afffffff2"/>
              <w:rPr>
                <w:kern w:val="0"/>
                <w:sz w:val="21"/>
                <w:szCs w:val="21"/>
              </w:rPr>
            </w:pPr>
            <w:r w:rsidRPr="00E13009">
              <w:rPr>
                <w:kern w:val="0"/>
                <w:sz w:val="21"/>
                <w:szCs w:val="21"/>
              </w:rPr>
              <w:t xml:space="preserve">a </w:t>
            </w:r>
            <w:r w:rsidRPr="00E13009">
              <w:rPr>
                <w:kern w:val="0"/>
                <w:sz w:val="21"/>
                <w:szCs w:val="21"/>
              </w:rPr>
              <w:t>高温指工艺温度</w:t>
            </w:r>
            <w:r w:rsidRPr="00E13009">
              <w:rPr>
                <w:kern w:val="0"/>
                <w:sz w:val="21"/>
                <w:szCs w:val="21"/>
              </w:rPr>
              <w:t>≥300</w:t>
            </w:r>
            <w:r w:rsidRPr="00E13009">
              <w:rPr>
                <w:rFonts w:hint="eastAsia"/>
                <w:kern w:val="0"/>
                <w:sz w:val="21"/>
                <w:szCs w:val="21"/>
              </w:rPr>
              <w:t>℃</w:t>
            </w:r>
            <w:r w:rsidRPr="00E13009">
              <w:rPr>
                <w:kern w:val="0"/>
                <w:sz w:val="21"/>
                <w:szCs w:val="21"/>
              </w:rPr>
              <w:t>，高压指压力容器的设计压力（</w:t>
            </w:r>
            <w:r w:rsidRPr="00E13009">
              <w:rPr>
                <w:kern w:val="0"/>
                <w:sz w:val="21"/>
                <w:szCs w:val="21"/>
              </w:rPr>
              <w:t>P</w:t>
            </w:r>
            <w:r w:rsidRPr="00E13009">
              <w:rPr>
                <w:kern w:val="0"/>
                <w:sz w:val="21"/>
                <w:szCs w:val="21"/>
              </w:rPr>
              <w:t>）</w:t>
            </w:r>
            <w:r w:rsidRPr="00E13009">
              <w:rPr>
                <w:kern w:val="0"/>
                <w:sz w:val="21"/>
                <w:szCs w:val="21"/>
              </w:rPr>
              <w:t>≥10.0MPa</w:t>
            </w:r>
            <w:r w:rsidRPr="00E13009">
              <w:rPr>
                <w:kern w:val="0"/>
                <w:sz w:val="21"/>
                <w:szCs w:val="21"/>
              </w:rPr>
              <w:t>；</w:t>
            </w:r>
          </w:p>
          <w:p w:rsidR="004E3021" w:rsidRPr="00E13009" w:rsidRDefault="00606E48">
            <w:pPr>
              <w:pStyle w:val="afffffff2"/>
              <w:rPr>
                <w:kern w:val="0"/>
                <w:sz w:val="21"/>
                <w:szCs w:val="21"/>
              </w:rPr>
            </w:pPr>
            <w:r w:rsidRPr="00E13009">
              <w:rPr>
                <w:kern w:val="0"/>
                <w:sz w:val="21"/>
                <w:szCs w:val="21"/>
              </w:rPr>
              <w:t xml:space="preserve">b </w:t>
            </w:r>
            <w:r w:rsidRPr="00E13009">
              <w:rPr>
                <w:kern w:val="0"/>
                <w:sz w:val="21"/>
                <w:szCs w:val="21"/>
              </w:rPr>
              <w:t>长输管道运输项目应按站场、管线分段进行评价。</w:t>
            </w:r>
          </w:p>
        </w:tc>
      </w:tr>
    </w:tbl>
    <w:p w:rsidR="004E3021" w:rsidRDefault="00606E48">
      <w:pPr>
        <w:ind w:firstLine="480"/>
      </w:pPr>
      <w:r>
        <w:rPr>
          <w:rFonts w:ascii="宋体" w:hAnsi="宋体"/>
        </w:rPr>
        <w:t>本项目涉及的其他涉及高温或高压和涉及危险物质使用、贮存的项目，共计分值</w:t>
      </w:r>
      <w:r w:rsidR="00E4143C">
        <w:t>10</w:t>
      </w:r>
      <w:r w:rsidR="006B5C39">
        <w:rPr>
          <w:rFonts w:ascii="宋体" w:hAnsi="宋体"/>
        </w:rPr>
        <w:t>分</w:t>
      </w:r>
      <w:r>
        <w:rPr>
          <w:rFonts w:ascii="宋体" w:hAnsi="宋体"/>
        </w:rPr>
        <w:t>，以</w:t>
      </w:r>
      <w:r>
        <w:t>M</w:t>
      </w:r>
      <w:r w:rsidR="00E4143C">
        <w:t>3</w:t>
      </w:r>
      <w:r>
        <w:rPr>
          <w:rFonts w:ascii="宋体" w:hAnsi="宋体"/>
        </w:rPr>
        <w:t>表示</w:t>
      </w:r>
      <w:r>
        <w:rPr>
          <w:rFonts w:ascii="宋体" w:hAnsi="宋体" w:hint="eastAsia"/>
        </w:rPr>
        <w:t>。</w:t>
      </w:r>
    </w:p>
    <w:p w:rsidR="004E3021" w:rsidRDefault="00606E48">
      <w:pPr>
        <w:ind w:firstLine="480"/>
      </w:pPr>
      <w:r>
        <w:t>（</w:t>
      </w:r>
      <w:r>
        <w:t>3</w:t>
      </w:r>
      <w:r>
        <w:t>）危险物质及工艺系统危险性（</w:t>
      </w:r>
      <w:r>
        <w:t>P</w:t>
      </w:r>
      <w:r>
        <w:t>）分级</w:t>
      </w:r>
    </w:p>
    <w:p w:rsidR="004E3021" w:rsidRDefault="00606E48">
      <w:pPr>
        <w:ind w:firstLineChars="300" w:firstLine="720"/>
      </w:pPr>
      <w:r>
        <w:rPr>
          <w:rFonts w:ascii="宋体" w:hAnsi="宋体" w:hint="eastAsia"/>
        </w:rPr>
        <w:t>根据表</w:t>
      </w:r>
      <w:r>
        <w:t>2.3.1-8</w:t>
      </w:r>
      <w:r>
        <w:rPr>
          <w:rFonts w:ascii="宋体" w:hAnsi="宋体" w:hint="eastAsia"/>
        </w:rPr>
        <w:t>和</w:t>
      </w:r>
      <w:r>
        <w:rPr>
          <w:rFonts w:ascii="宋体" w:hAnsi="宋体"/>
        </w:rPr>
        <w:t>表</w:t>
      </w:r>
      <w:r>
        <w:t>2.3.1-9</w:t>
      </w:r>
      <w:r>
        <w:rPr>
          <w:rFonts w:ascii="宋体" w:hAnsi="宋体" w:hint="eastAsia"/>
        </w:rPr>
        <w:t>，</w:t>
      </w:r>
      <w:r>
        <w:rPr>
          <w:rFonts w:ascii="宋体" w:hAnsi="宋体"/>
        </w:rPr>
        <w:t>按照《</w:t>
      </w:r>
      <w:r>
        <w:rPr>
          <w:rFonts w:ascii="宋体" w:hAnsi="宋体" w:hint="eastAsia"/>
        </w:rPr>
        <w:t>建设项目</w:t>
      </w:r>
      <w:r>
        <w:rPr>
          <w:rFonts w:ascii="宋体" w:hAnsi="宋体"/>
        </w:rPr>
        <w:t>环境风险评价技术导则》</w:t>
      </w:r>
      <w:r>
        <w:rPr>
          <w:rFonts w:ascii="宋体" w:hAnsi="宋体" w:hint="eastAsia"/>
        </w:rPr>
        <w:t>（</w:t>
      </w:r>
      <w:r>
        <w:rPr>
          <w:rFonts w:hint="eastAsia"/>
        </w:rPr>
        <w:t>HJ169-2018</w:t>
      </w:r>
      <w:r>
        <w:rPr>
          <w:rFonts w:ascii="宋体" w:hAnsi="宋体" w:hint="eastAsia"/>
        </w:rPr>
        <w:t>）附录</w:t>
      </w:r>
      <w:r>
        <w:rPr>
          <w:rFonts w:hint="eastAsia"/>
        </w:rPr>
        <w:t>C</w:t>
      </w:r>
      <w:r>
        <w:rPr>
          <w:rFonts w:ascii="宋体" w:hAnsi="宋体" w:hint="eastAsia"/>
        </w:rPr>
        <w:t>中表</w:t>
      </w:r>
      <w:r>
        <w:rPr>
          <w:rFonts w:hint="eastAsia"/>
        </w:rPr>
        <w:t>C.</w:t>
      </w:r>
      <w:r>
        <w:t>2</w:t>
      </w:r>
      <w:r>
        <w:rPr>
          <w:rFonts w:ascii="宋体" w:hAnsi="宋体" w:hint="eastAsia"/>
        </w:rPr>
        <w:t>要求</w:t>
      </w:r>
      <w:r>
        <w:rPr>
          <w:rFonts w:ascii="宋体" w:hAnsi="宋体"/>
        </w:rPr>
        <w:t>，确定本项目危险物质及工艺系统危险性等级（</w:t>
      </w:r>
      <w:r>
        <w:rPr>
          <w:rFonts w:hint="eastAsia"/>
        </w:rPr>
        <w:t>P</w:t>
      </w:r>
      <w:r>
        <w:rPr>
          <w:rFonts w:ascii="宋体" w:hAnsi="宋体"/>
        </w:rPr>
        <w:t>）</w:t>
      </w:r>
      <w:r>
        <w:rPr>
          <w:rFonts w:ascii="宋体" w:hAnsi="宋体" w:hint="eastAsia"/>
        </w:rPr>
        <w:t>为</w:t>
      </w:r>
      <w:r>
        <w:rPr>
          <w:rFonts w:hint="eastAsia"/>
        </w:rPr>
        <w:t>P</w:t>
      </w:r>
      <w:r w:rsidR="006B5C39">
        <w:t>3</w:t>
      </w:r>
      <w:r>
        <w:rPr>
          <w:rFonts w:ascii="宋体" w:hAnsi="宋体" w:hint="eastAsia"/>
        </w:rPr>
        <w:t>等级，</w:t>
      </w:r>
      <w:r>
        <w:rPr>
          <w:rFonts w:ascii="宋体" w:hAnsi="宋体"/>
        </w:rPr>
        <w:t>见表</w:t>
      </w:r>
      <w:r>
        <w:t>2.3.1-10</w:t>
      </w:r>
      <w:r>
        <w:rPr>
          <w:rFonts w:ascii="宋体" w:hAnsi="宋体" w:hint="eastAsia"/>
        </w:rPr>
        <w:t>。</w:t>
      </w:r>
    </w:p>
    <w:p w:rsidR="004E3021" w:rsidRDefault="00606E48">
      <w:pPr>
        <w:spacing w:line="500" w:lineRule="exact"/>
        <w:ind w:firstLineChars="0" w:firstLine="0"/>
        <w:jc w:val="center"/>
      </w:pPr>
      <w:r>
        <w:rPr>
          <w:rFonts w:ascii="黑体" w:eastAsia="黑体" w:hAnsi="黑体" w:hint="eastAsia"/>
        </w:rPr>
        <w:t>表</w:t>
      </w:r>
      <w:r>
        <w:rPr>
          <w:rFonts w:eastAsia="黑体"/>
        </w:rPr>
        <w:t xml:space="preserve">2.3.1-10  </w:t>
      </w:r>
      <w:r>
        <w:rPr>
          <w:rFonts w:ascii="黑体" w:eastAsia="黑体" w:hAnsi="黑体" w:hint="eastAsia"/>
        </w:rPr>
        <w:t>本项目</w:t>
      </w:r>
      <w:r>
        <w:rPr>
          <w:rFonts w:ascii="黑体" w:eastAsia="黑体" w:hAnsi="黑体"/>
        </w:rPr>
        <w:t>危险物质及工艺系统危险性等级判断表</w:t>
      </w:r>
    </w:p>
    <w:tbl>
      <w:tblPr>
        <w:tblW w:w="5000" w:type="pct"/>
        <w:jc w:val="center"/>
        <w:tblLook w:val="04A0" w:firstRow="1" w:lastRow="0" w:firstColumn="1" w:lastColumn="0" w:noHBand="0" w:noVBand="1"/>
      </w:tblPr>
      <w:tblGrid>
        <w:gridCol w:w="1984"/>
        <w:gridCol w:w="1843"/>
        <w:gridCol w:w="1599"/>
        <w:gridCol w:w="1800"/>
        <w:gridCol w:w="1800"/>
      </w:tblGrid>
      <w:tr w:rsidR="004E3021" w:rsidRPr="006B5C39">
        <w:trPr>
          <w:jc w:val="center"/>
        </w:trPr>
        <w:tc>
          <w:tcPr>
            <w:tcW w:w="1984" w:type="dxa"/>
            <w:tcBorders>
              <w:top w:val="single" w:sz="12" w:space="0" w:color="auto"/>
              <w:left w:val="nil"/>
              <w:bottom w:val="single" w:sz="4" w:space="0" w:color="auto"/>
              <w:right w:val="single" w:sz="4" w:space="0" w:color="auto"/>
            </w:tcBorders>
            <w:vAlign w:val="center"/>
          </w:tcPr>
          <w:p w:rsidR="004E3021" w:rsidRPr="006B5C39" w:rsidRDefault="00606E48">
            <w:pPr>
              <w:pStyle w:val="afffffff2"/>
              <w:rPr>
                <w:b/>
                <w:kern w:val="0"/>
                <w:sz w:val="21"/>
                <w:szCs w:val="21"/>
              </w:rPr>
            </w:pPr>
            <w:r w:rsidRPr="006B5C39">
              <w:rPr>
                <w:rFonts w:hint="eastAsia"/>
                <w:b/>
                <w:kern w:val="0"/>
                <w:sz w:val="21"/>
                <w:szCs w:val="21"/>
              </w:rPr>
              <w:t>危险物质</w:t>
            </w:r>
            <w:r w:rsidRPr="006B5C39">
              <w:rPr>
                <w:b/>
                <w:kern w:val="0"/>
                <w:sz w:val="21"/>
                <w:szCs w:val="21"/>
              </w:rPr>
              <w:t>数量与临界量比值（</w:t>
            </w:r>
            <w:r w:rsidRPr="006B5C39">
              <w:rPr>
                <w:rFonts w:hint="eastAsia"/>
                <w:b/>
                <w:kern w:val="0"/>
                <w:sz w:val="21"/>
                <w:szCs w:val="21"/>
              </w:rPr>
              <w:t>Q</w:t>
            </w:r>
            <w:r w:rsidRPr="006B5C39">
              <w:rPr>
                <w:b/>
                <w:kern w:val="0"/>
                <w:sz w:val="21"/>
                <w:szCs w:val="21"/>
              </w:rPr>
              <w:t>）</w:t>
            </w:r>
          </w:p>
        </w:tc>
        <w:tc>
          <w:tcPr>
            <w:tcW w:w="1843" w:type="dxa"/>
            <w:tcBorders>
              <w:top w:val="single" w:sz="12" w:space="0" w:color="auto"/>
              <w:left w:val="single" w:sz="4" w:space="0" w:color="auto"/>
              <w:bottom w:val="single" w:sz="4" w:space="0" w:color="auto"/>
              <w:right w:val="single" w:sz="4" w:space="0" w:color="auto"/>
            </w:tcBorders>
            <w:vAlign w:val="center"/>
          </w:tcPr>
          <w:p w:rsidR="004E3021" w:rsidRPr="006B5C39" w:rsidRDefault="00606E48">
            <w:pPr>
              <w:pStyle w:val="afffffff2"/>
              <w:rPr>
                <w:b/>
                <w:kern w:val="0"/>
                <w:sz w:val="21"/>
                <w:szCs w:val="21"/>
              </w:rPr>
            </w:pPr>
            <w:r w:rsidRPr="006B5C39">
              <w:rPr>
                <w:rFonts w:hint="eastAsia"/>
                <w:b/>
                <w:kern w:val="0"/>
                <w:sz w:val="21"/>
                <w:szCs w:val="21"/>
              </w:rPr>
              <w:t>M1</w:t>
            </w:r>
          </w:p>
        </w:tc>
        <w:tc>
          <w:tcPr>
            <w:tcW w:w="1599" w:type="dxa"/>
            <w:tcBorders>
              <w:top w:val="single" w:sz="12" w:space="0" w:color="auto"/>
              <w:left w:val="single" w:sz="4" w:space="0" w:color="auto"/>
              <w:bottom w:val="single" w:sz="4" w:space="0" w:color="auto"/>
              <w:right w:val="single" w:sz="4" w:space="0" w:color="auto"/>
            </w:tcBorders>
            <w:vAlign w:val="center"/>
          </w:tcPr>
          <w:p w:rsidR="004E3021" w:rsidRPr="006B5C39" w:rsidRDefault="00606E48">
            <w:pPr>
              <w:pStyle w:val="afffffff2"/>
              <w:rPr>
                <w:b/>
                <w:kern w:val="0"/>
                <w:sz w:val="21"/>
                <w:szCs w:val="21"/>
              </w:rPr>
            </w:pPr>
            <w:r w:rsidRPr="006B5C39">
              <w:rPr>
                <w:rFonts w:hint="eastAsia"/>
                <w:b/>
                <w:kern w:val="0"/>
                <w:sz w:val="21"/>
                <w:szCs w:val="21"/>
              </w:rPr>
              <w:t>M2</w:t>
            </w:r>
          </w:p>
        </w:tc>
        <w:tc>
          <w:tcPr>
            <w:tcW w:w="1800" w:type="dxa"/>
            <w:tcBorders>
              <w:top w:val="single" w:sz="12" w:space="0" w:color="auto"/>
              <w:left w:val="single" w:sz="4" w:space="0" w:color="auto"/>
              <w:bottom w:val="single" w:sz="4" w:space="0" w:color="auto"/>
              <w:right w:val="single" w:sz="4" w:space="0" w:color="auto"/>
            </w:tcBorders>
            <w:vAlign w:val="center"/>
          </w:tcPr>
          <w:p w:rsidR="004E3021" w:rsidRPr="006B5C39" w:rsidRDefault="00606E48">
            <w:pPr>
              <w:pStyle w:val="afffffff2"/>
              <w:rPr>
                <w:b/>
                <w:kern w:val="0"/>
                <w:sz w:val="21"/>
                <w:szCs w:val="21"/>
              </w:rPr>
            </w:pPr>
            <w:r w:rsidRPr="006B5C39">
              <w:rPr>
                <w:rFonts w:hint="eastAsia"/>
                <w:b/>
                <w:kern w:val="0"/>
                <w:sz w:val="21"/>
                <w:szCs w:val="21"/>
              </w:rPr>
              <w:t>M3</w:t>
            </w:r>
          </w:p>
        </w:tc>
        <w:tc>
          <w:tcPr>
            <w:tcW w:w="1800" w:type="dxa"/>
            <w:tcBorders>
              <w:top w:val="single" w:sz="12" w:space="0" w:color="auto"/>
              <w:left w:val="single" w:sz="4" w:space="0" w:color="auto"/>
              <w:bottom w:val="single" w:sz="4" w:space="0" w:color="auto"/>
              <w:right w:val="nil"/>
            </w:tcBorders>
            <w:vAlign w:val="center"/>
          </w:tcPr>
          <w:p w:rsidR="004E3021" w:rsidRPr="006B5C39" w:rsidRDefault="00606E48">
            <w:pPr>
              <w:pStyle w:val="afffffff2"/>
              <w:rPr>
                <w:b/>
                <w:kern w:val="0"/>
                <w:sz w:val="21"/>
                <w:szCs w:val="21"/>
              </w:rPr>
            </w:pPr>
            <w:r w:rsidRPr="006B5C39">
              <w:rPr>
                <w:rFonts w:hint="eastAsia"/>
                <w:b/>
                <w:kern w:val="0"/>
                <w:sz w:val="21"/>
                <w:szCs w:val="21"/>
              </w:rPr>
              <w:t>M4</w:t>
            </w:r>
          </w:p>
        </w:tc>
      </w:tr>
      <w:tr w:rsidR="004E3021" w:rsidRPr="006B5C39" w:rsidTr="00E4143C">
        <w:trPr>
          <w:jc w:val="center"/>
        </w:trPr>
        <w:tc>
          <w:tcPr>
            <w:tcW w:w="1984" w:type="dxa"/>
            <w:tcBorders>
              <w:top w:val="single" w:sz="4" w:space="0" w:color="auto"/>
              <w:left w:val="nil"/>
              <w:bottom w:val="single" w:sz="4" w:space="0" w:color="auto"/>
              <w:right w:val="single" w:sz="4" w:space="0" w:color="auto"/>
            </w:tcBorders>
            <w:vAlign w:val="center"/>
          </w:tcPr>
          <w:p w:rsidR="004E3021" w:rsidRPr="006B5C39" w:rsidRDefault="00606E48">
            <w:pPr>
              <w:pStyle w:val="afffffff2"/>
              <w:rPr>
                <w:kern w:val="0"/>
                <w:sz w:val="21"/>
                <w:szCs w:val="21"/>
              </w:rPr>
            </w:pPr>
            <w:r w:rsidRPr="006B5C39">
              <w:rPr>
                <w:rFonts w:hint="eastAsia"/>
                <w:kern w:val="0"/>
                <w:sz w:val="21"/>
                <w:szCs w:val="21"/>
              </w:rPr>
              <w:t>Q</w:t>
            </w:r>
            <w:r w:rsidRPr="006B5C39">
              <w:rPr>
                <w:rFonts w:hint="eastAsia"/>
                <w:kern w:val="0"/>
                <w:sz w:val="21"/>
                <w:szCs w:val="21"/>
              </w:rPr>
              <w:t>≥</w:t>
            </w:r>
            <w:r w:rsidRPr="006B5C39">
              <w:rPr>
                <w:rFonts w:hint="eastAsia"/>
                <w:kern w:val="0"/>
                <w:sz w:val="21"/>
                <w:szCs w:val="21"/>
              </w:rPr>
              <w:t>100</w:t>
            </w:r>
          </w:p>
        </w:tc>
        <w:tc>
          <w:tcPr>
            <w:tcW w:w="1843" w:type="dxa"/>
            <w:tcBorders>
              <w:top w:val="single" w:sz="4" w:space="0" w:color="auto"/>
              <w:left w:val="single" w:sz="4" w:space="0" w:color="auto"/>
              <w:bottom w:val="single" w:sz="4" w:space="0" w:color="auto"/>
              <w:right w:val="single" w:sz="4" w:space="0" w:color="auto"/>
            </w:tcBorders>
            <w:vAlign w:val="center"/>
          </w:tcPr>
          <w:p w:rsidR="004E3021" w:rsidRPr="006B5C39" w:rsidRDefault="00606E48">
            <w:pPr>
              <w:pStyle w:val="afffffff2"/>
              <w:rPr>
                <w:kern w:val="0"/>
                <w:sz w:val="21"/>
                <w:szCs w:val="21"/>
              </w:rPr>
            </w:pPr>
            <w:r w:rsidRPr="006B5C39">
              <w:rPr>
                <w:rFonts w:hint="eastAsia"/>
                <w:kern w:val="0"/>
                <w:sz w:val="21"/>
                <w:szCs w:val="21"/>
              </w:rPr>
              <w:t>P1</w:t>
            </w:r>
          </w:p>
        </w:tc>
        <w:tc>
          <w:tcPr>
            <w:tcW w:w="1599" w:type="dxa"/>
            <w:tcBorders>
              <w:top w:val="single" w:sz="4" w:space="0" w:color="auto"/>
              <w:left w:val="single" w:sz="4" w:space="0" w:color="auto"/>
              <w:bottom w:val="single" w:sz="4" w:space="0" w:color="auto"/>
              <w:right w:val="single" w:sz="4" w:space="0" w:color="auto"/>
            </w:tcBorders>
            <w:vAlign w:val="center"/>
          </w:tcPr>
          <w:p w:rsidR="004E3021" w:rsidRPr="006B5C39" w:rsidRDefault="00606E48">
            <w:pPr>
              <w:pStyle w:val="afffffff2"/>
              <w:rPr>
                <w:kern w:val="0"/>
                <w:sz w:val="21"/>
                <w:szCs w:val="21"/>
              </w:rPr>
            </w:pPr>
            <w:r w:rsidRPr="006B5C39">
              <w:rPr>
                <w:rFonts w:hint="eastAsia"/>
                <w:kern w:val="0"/>
                <w:sz w:val="21"/>
                <w:szCs w:val="21"/>
              </w:rPr>
              <w:t>P1</w:t>
            </w:r>
          </w:p>
        </w:tc>
        <w:tc>
          <w:tcPr>
            <w:tcW w:w="1800" w:type="dxa"/>
            <w:tcBorders>
              <w:top w:val="single" w:sz="4" w:space="0" w:color="auto"/>
              <w:left w:val="single" w:sz="4" w:space="0" w:color="auto"/>
              <w:bottom w:val="single" w:sz="4" w:space="0" w:color="auto"/>
              <w:right w:val="single" w:sz="4" w:space="0" w:color="auto"/>
            </w:tcBorders>
            <w:vAlign w:val="center"/>
          </w:tcPr>
          <w:p w:rsidR="004E3021" w:rsidRPr="006B5C39" w:rsidRDefault="00606E48">
            <w:pPr>
              <w:pStyle w:val="afffffff2"/>
              <w:rPr>
                <w:kern w:val="0"/>
                <w:sz w:val="21"/>
                <w:szCs w:val="21"/>
              </w:rPr>
            </w:pPr>
            <w:r w:rsidRPr="006B5C39">
              <w:rPr>
                <w:rFonts w:hint="eastAsia"/>
                <w:kern w:val="0"/>
                <w:sz w:val="21"/>
                <w:szCs w:val="21"/>
              </w:rPr>
              <w:t>P2</w:t>
            </w:r>
          </w:p>
        </w:tc>
        <w:tc>
          <w:tcPr>
            <w:tcW w:w="1800" w:type="dxa"/>
            <w:tcBorders>
              <w:top w:val="single" w:sz="4" w:space="0" w:color="auto"/>
              <w:left w:val="single" w:sz="4" w:space="0" w:color="auto"/>
              <w:bottom w:val="single" w:sz="4" w:space="0" w:color="auto"/>
              <w:right w:val="nil"/>
            </w:tcBorders>
            <w:shd w:val="clear" w:color="auto" w:fill="FFFFFF" w:themeFill="background1"/>
            <w:vAlign w:val="center"/>
          </w:tcPr>
          <w:p w:rsidR="004E3021" w:rsidRPr="006B5C39" w:rsidRDefault="00606E48">
            <w:pPr>
              <w:pStyle w:val="afffffff2"/>
              <w:rPr>
                <w:kern w:val="0"/>
                <w:sz w:val="21"/>
                <w:szCs w:val="21"/>
              </w:rPr>
            </w:pPr>
            <w:r w:rsidRPr="006B5C39">
              <w:rPr>
                <w:rFonts w:hint="eastAsia"/>
                <w:kern w:val="0"/>
                <w:sz w:val="21"/>
                <w:szCs w:val="21"/>
              </w:rPr>
              <w:t>P3</w:t>
            </w:r>
          </w:p>
        </w:tc>
      </w:tr>
      <w:tr w:rsidR="004E3021" w:rsidRPr="006B5C39" w:rsidTr="00E4143C">
        <w:trPr>
          <w:jc w:val="center"/>
        </w:trPr>
        <w:tc>
          <w:tcPr>
            <w:tcW w:w="1984" w:type="dxa"/>
            <w:tcBorders>
              <w:top w:val="single" w:sz="4" w:space="0" w:color="auto"/>
              <w:left w:val="nil"/>
              <w:bottom w:val="single" w:sz="4" w:space="0" w:color="auto"/>
              <w:right w:val="single" w:sz="4" w:space="0" w:color="auto"/>
            </w:tcBorders>
            <w:vAlign w:val="center"/>
          </w:tcPr>
          <w:p w:rsidR="004E3021" w:rsidRPr="006B5C39" w:rsidRDefault="00606E48">
            <w:pPr>
              <w:pStyle w:val="afffffff2"/>
              <w:rPr>
                <w:kern w:val="0"/>
                <w:sz w:val="21"/>
                <w:szCs w:val="21"/>
              </w:rPr>
            </w:pPr>
            <w:r w:rsidRPr="006B5C39">
              <w:rPr>
                <w:rFonts w:hint="eastAsia"/>
                <w:kern w:val="0"/>
                <w:sz w:val="21"/>
                <w:szCs w:val="21"/>
              </w:rPr>
              <w:t>10</w:t>
            </w:r>
            <w:r w:rsidRPr="006B5C39">
              <w:rPr>
                <w:rFonts w:hint="eastAsia"/>
                <w:kern w:val="0"/>
                <w:sz w:val="21"/>
                <w:szCs w:val="21"/>
              </w:rPr>
              <w:t>≤</w:t>
            </w:r>
            <w:r w:rsidRPr="006B5C39">
              <w:rPr>
                <w:rFonts w:hint="eastAsia"/>
                <w:kern w:val="0"/>
                <w:sz w:val="21"/>
                <w:szCs w:val="21"/>
              </w:rPr>
              <w:t>Q</w:t>
            </w:r>
            <w:r w:rsidRPr="006B5C39">
              <w:rPr>
                <w:rFonts w:hint="eastAsia"/>
                <w:kern w:val="0"/>
                <w:sz w:val="21"/>
                <w:szCs w:val="21"/>
              </w:rPr>
              <w:t>＜</w:t>
            </w:r>
            <w:r w:rsidRPr="006B5C39">
              <w:rPr>
                <w:rFonts w:hint="eastAsia"/>
                <w:kern w:val="0"/>
                <w:sz w:val="21"/>
                <w:szCs w:val="21"/>
              </w:rPr>
              <w:t>100</w:t>
            </w:r>
          </w:p>
        </w:tc>
        <w:tc>
          <w:tcPr>
            <w:tcW w:w="1843" w:type="dxa"/>
            <w:tcBorders>
              <w:top w:val="single" w:sz="4" w:space="0" w:color="auto"/>
              <w:left w:val="single" w:sz="4" w:space="0" w:color="auto"/>
              <w:bottom w:val="single" w:sz="4" w:space="0" w:color="auto"/>
              <w:right w:val="single" w:sz="4" w:space="0" w:color="auto"/>
            </w:tcBorders>
            <w:vAlign w:val="center"/>
          </w:tcPr>
          <w:p w:rsidR="004E3021" w:rsidRPr="006B5C39" w:rsidRDefault="00606E48">
            <w:pPr>
              <w:pStyle w:val="afffffff2"/>
              <w:rPr>
                <w:kern w:val="0"/>
                <w:sz w:val="21"/>
                <w:szCs w:val="21"/>
              </w:rPr>
            </w:pPr>
            <w:r w:rsidRPr="006B5C39">
              <w:rPr>
                <w:rFonts w:hint="eastAsia"/>
                <w:kern w:val="0"/>
                <w:sz w:val="21"/>
                <w:szCs w:val="21"/>
              </w:rPr>
              <w:t>P1</w:t>
            </w:r>
          </w:p>
        </w:tc>
        <w:tc>
          <w:tcPr>
            <w:tcW w:w="1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E3021" w:rsidRPr="006B5C39" w:rsidRDefault="00606E48">
            <w:pPr>
              <w:pStyle w:val="afffffff2"/>
              <w:rPr>
                <w:kern w:val="0"/>
                <w:sz w:val="21"/>
                <w:szCs w:val="21"/>
              </w:rPr>
            </w:pPr>
            <w:r w:rsidRPr="006B5C39">
              <w:rPr>
                <w:rFonts w:hint="eastAsia"/>
                <w:kern w:val="0"/>
                <w:sz w:val="21"/>
                <w:szCs w:val="21"/>
              </w:rPr>
              <w:t>P2</w:t>
            </w:r>
          </w:p>
        </w:tc>
        <w:tc>
          <w:tcPr>
            <w:tcW w:w="180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4E3021" w:rsidRPr="006B5C39" w:rsidRDefault="00606E48">
            <w:pPr>
              <w:pStyle w:val="afffffff2"/>
              <w:rPr>
                <w:kern w:val="0"/>
                <w:sz w:val="21"/>
                <w:szCs w:val="21"/>
              </w:rPr>
            </w:pPr>
            <w:r w:rsidRPr="006B5C39">
              <w:rPr>
                <w:rFonts w:hint="eastAsia"/>
                <w:kern w:val="0"/>
                <w:sz w:val="21"/>
                <w:szCs w:val="21"/>
              </w:rPr>
              <w:t>P3</w:t>
            </w:r>
          </w:p>
        </w:tc>
        <w:tc>
          <w:tcPr>
            <w:tcW w:w="1800" w:type="dxa"/>
            <w:tcBorders>
              <w:top w:val="single" w:sz="4" w:space="0" w:color="auto"/>
              <w:left w:val="single" w:sz="4" w:space="0" w:color="auto"/>
              <w:bottom w:val="single" w:sz="4" w:space="0" w:color="auto"/>
              <w:right w:val="nil"/>
            </w:tcBorders>
            <w:vAlign w:val="center"/>
          </w:tcPr>
          <w:p w:rsidR="004E3021" w:rsidRPr="006B5C39" w:rsidRDefault="00606E48">
            <w:pPr>
              <w:pStyle w:val="afffffff2"/>
              <w:rPr>
                <w:kern w:val="0"/>
                <w:sz w:val="21"/>
                <w:szCs w:val="21"/>
              </w:rPr>
            </w:pPr>
            <w:r w:rsidRPr="006B5C39">
              <w:rPr>
                <w:rFonts w:hint="eastAsia"/>
                <w:kern w:val="0"/>
                <w:sz w:val="21"/>
                <w:szCs w:val="21"/>
              </w:rPr>
              <w:t>P4</w:t>
            </w:r>
          </w:p>
        </w:tc>
      </w:tr>
      <w:tr w:rsidR="004E3021" w:rsidRPr="006B5C39">
        <w:trPr>
          <w:jc w:val="center"/>
        </w:trPr>
        <w:tc>
          <w:tcPr>
            <w:tcW w:w="1984" w:type="dxa"/>
            <w:tcBorders>
              <w:top w:val="single" w:sz="4" w:space="0" w:color="auto"/>
              <w:left w:val="nil"/>
              <w:bottom w:val="single" w:sz="12" w:space="0" w:color="auto"/>
              <w:right w:val="single" w:sz="4" w:space="0" w:color="auto"/>
            </w:tcBorders>
            <w:vAlign w:val="center"/>
          </w:tcPr>
          <w:p w:rsidR="004E3021" w:rsidRPr="006B5C39" w:rsidRDefault="00606E48">
            <w:pPr>
              <w:pStyle w:val="afffffff2"/>
              <w:rPr>
                <w:kern w:val="0"/>
                <w:sz w:val="21"/>
                <w:szCs w:val="21"/>
              </w:rPr>
            </w:pPr>
            <w:r w:rsidRPr="006B5C39">
              <w:rPr>
                <w:rFonts w:hint="eastAsia"/>
                <w:kern w:val="0"/>
                <w:sz w:val="21"/>
                <w:szCs w:val="21"/>
              </w:rPr>
              <w:t>1</w:t>
            </w:r>
            <w:r w:rsidRPr="006B5C39">
              <w:rPr>
                <w:rFonts w:hint="eastAsia"/>
                <w:kern w:val="0"/>
                <w:sz w:val="21"/>
                <w:szCs w:val="21"/>
              </w:rPr>
              <w:t>≤</w:t>
            </w:r>
            <w:r w:rsidRPr="006B5C39">
              <w:rPr>
                <w:rFonts w:hint="eastAsia"/>
                <w:kern w:val="0"/>
                <w:sz w:val="21"/>
                <w:szCs w:val="21"/>
              </w:rPr>
              <w:t>Q</w:t>
            </w:r>
            <w:r w:rsidRPr="006B5C39">
              <w:rPr>
                <w:rFonts w:hint="eastAsia"/>
                <w:kern w:val="0"/>
                <w:sz w:val="21"/>
                <w:szCs w:val="21"/>
              </w:rPr>
              <w:t>＜</w:t>
            </w:r>
            <w:r w:rsidRPr="006B5C39">
              <w:rPr>
                <w:rFonts w:hint="eastAsia"/>
                <w:kern w:val="0"/>
                <w:sz w:val="21"/>
                <w:szCs w:val="21"/>
              </w:rPr>
              <w:t>10</w:t>
            </w:r>
          </w:p>
        </w:tc>
        <w:tc>
          <w:tcPr>
            <w:tcW w:w="1843" w:type="dxa"/>
            <w:tcBorders>
              <w:top w:val="single" w:sz="4" w:space="0" w:color="auto"/>
              <w:left w:val="single" w:sz="4" w:space="0" w:color="auto"/>
              <w:bottom w:val="single" w:sz="12" w:space="0" w:color="auto"/>
              <w:right w:val="single" w:sz="4" w:space="0" w:color="auto"/>
            </w:tcBorders>
            <w:vAlign w:val="center"/>
          </w:tcPr>
          <w:p w:rsidR="004E3021" w:rsidRPr="006B5C39" w:rsidRDefault="00606E48">
            <w:pPr>
              <w:pStyle w:val="afffffff2"/>
              <w:rPr>
                <w:kern w:val="0"/>
                <w:sz w:val="21"/>
                <w:szCs w:val="21"/>
              </w:rPr>
            </w:pPr>
            <w:r w:rsidRPr="006B5C39">
              <w:rPr>
                <w:rFonts w:hint="eastAsia"/>
                <w:kern w:val="0"/>
                <w:sz w:val="21"/>
                <w:szCs w:val="21"/>
              </w:rPr>
              <w:t>P2</w:t>
            </w:r>
          </w:p>
        </w:tc>
        <w:tc>
          <w:tcPr>
            <w:tcW w:w="1599" w:type="dxa"/>
            <w:tcBorders>
              <w:top w:val="single" w:sz="4" w:space="0" w:color="auto"/>
              <w:left w:val="single" w:sz="4" w:space="0" w:color="auto"/>
              <w:bottom w:val="single" w:sz="12" w:space="0" w:color="auto"/>
              <w:right w:val="single" w:sz="4" w:space="0" w:color="auto"/>
            </w:tcBorders>
            <w:vAlign w:val="center"/>
          </w:tcPr>
          <w:p w:rsidR="004E3021" w:rsidRPr="006B5C39" w:rsidRDefault="00606E48">
            <w:pPr>
              <w:pStyle w:val="afffffff2"/>
              <w:rPr>
                <w:kern w:val="0"/>
                <w:sz w:val="21"/>
                <w:szCs w:val="21"/>
              </w:rPr>
            </w:pPr>
            <w:r w:rsidRPr="006B5C39">
              <w:rPr>
                <w:rFonts w:hint="eastAsia"/>
                <w:kern w:val="0"/>
                <w:sz w:val="21"/>
                <w:szCs w:val="21"/>
              </w:rPr>
              <w:t>P3</w:t>
            </w:r>
          </w:p>
        </w:tc>
        <w:tc>
          <w:tcPr>
            <w:tcW w:w="1800" w:type="dxa"/>
            <w:tcBorders>
              <w:top w:val="single" w:sz="4" w:space="0" w:color="auto"/>
              <w:left w:val="single" w:sz="4" w:space="0" w:color="auto"/>
              <w:bottom w:val="single" w:sz="12" w:space="0" w:color="auto"/>
              <w:right w:val="single" w:sz="4" w:space="0" w:color="auto"/>
            </w:tcBorders>
            <w:vAlign w:val="center"/>
          </w:tcPr>
          <w:p w:rsidR="004E3021" w:rsidRPr="006B5C39" w:rsidRDefault="00606E48">
            <w:pPr>
              <w:pStyle w:val="afffffff2"/>
              <w:rPr>
                <w:kern w:val="0"/>
                <w:sz w:val="21"/>
                <w:szCs w:val="21"/>
              </w:rPr>
            </w:pPr>
            <w:r w:rsidRPr="006B5C39">
              <w:rPr>
                <w:rFonts w:hint="eastAsia"/>
                <w:kern w:val="0"/>
                <w:sz w:val="21"/>
                <w:szCs w:val="21"/>
              </w:rPr>
              <w:t>P4</w:t>
            </w:r>
          </w:p>
        </w:tc>
        <w:tc>
          <w:tcPr>
            <w:tcW w:w="1800" w:type="dxa"/>
            <w:tcBorders>
              <w:top w:val="single" w:sz="4" w:space="0" w:color="auto"/>
              <w:left w:val="single" w:sz="4" w:space="0" w:color="auto"/>
              <w:bottom w:val="single" w:sz="12" w:space="0" w:color="auto"/>
              <w:right w:val="nil"/>
            </w:tcBorders>
            <w:vAlign w:val="center"/>
          </w:tcPr>
          <w:p w:rsidR="004E3021" w:rsidRPr="006B5C39" w:rsidRDefault="00606E48">
            <w:pPr>
              <w:pStyle w:val="afffffff2"/>
              <w:rPr>
                <w:kern w:val="0"/>
                <w:sz w:val="21"/>
                <w:szCs w:val="21"/>
              </w:rPr>
            </w:pPr>
            <w:r w:rsidRPr="006B5C39">
              <w:rPr>
                <w:rFonts w:hint="eastAsia"/>
                <w:kern w:val="0"/>
                <w:sz w:val="21"/>
                <w:szCs w:val="21"/>
              </w:rPr>
              <w:t>P4</w:t>
            </w:r>
          </w:p>
        </w:tc>
      </w:tr>
    </w:tbl>
    <w:p w:rsidR="004E3021" w:rsidRDefault="00606E48">
      <w:pPr>
        <w:ind w:firstLineChars="0" w:firstLine="0"/>
        <w:rPr>
          <w:b/>
        </w:rPr>
      </w:pPr>
      <w:r>
        <w:rPr>
          <w:b/>
        </w:rPr>
        <w:t>2.3.1.5.2</w:t>
      </w:r>
      <w:r>
        <w:rPr>
          <w:b/>
        </w:rPr>
        <w:t>环境敏感程度</w:t>
      </w:r>
      <w:r>
        <w:rPr>
          <w:b/>
        </w:rPr>
        <w:t>E</w:t>
      </w:r>
      <w:r>
        <w:rPr>
          <w:b/>
        </w:rPr>
        <w:t>等级</w:t>
      </w:r>
    </w:p>
    <w:p w:rsidR="004E3021" w:rsidRDefault="00606E48">
      <w:pPr>
        <w:ind w:firstLine="480"/>
      </w:pPr>
      <w:r>
        <w:t>按照《建设项目环境风险评价技术导则》（</w:t>
      </w:r>
      <w:r>
        <w:t>HJ169-2018</w:t>
      </w:r>
      <w:r>
        <w:t>）附录</w:t>
      </w:r>
      <w:r>
        <w:t>D</w:t>
      </w:r>
      <w:r>
        <w:t>分别确定本项目的大气、地表水、地下水各要素的环境敏感程度。</w:t>
      </w:r>
    </w:p>
    <w:p w:rsidR="004E3021" w:rsidRDefault="00606E48">
      <w:pPr>
        <w:ind w:firstLine="482"/>
        <w:rPr>
          <w:b/>
          <w:bCs/>
        </w:rPr>
      </w:pPr>
      <w:r>
        <w:rPr>
          <w:b/>
          <w:bCs/>
        </w:rPr>
        <w:t>（</w:t>
      </w:r>
      <w:r>
        <w:rPr>
          <w:b/>
          <w:bCs/>
        </w:rPr>
        <w:t>1</w:t>
      </w:r>
      <w:r>
        <w:rPr>
          <w:b/>
          <w:bCs/>
        </w:rPr>
        <w:t>）大气环境敏感程度</w:t>
      </w:r>
    </w:p>
    <w:p w:rsidR="00E4143C" w:rsidRDefault="00606E48">
      <w:pPr>
        <w:ind w:firstLine="480"/>
        <w:rPr>
          <w:rFonts w:ascii="宋体" w:hAnsi="宋体"/>
        </w:rPr>
        <w:sectPr w:rsidR="00E4143C">
          <w:pgSz w:w="11906" w:h="16838"/>
          <w:pgMar w:top="1440" w:right="1440" w:bottom="1440" w:left="1440" w:header="851" w:footer="992" w:gutter="0"/>
          <w:cols w:space="425"/>
          <w:docGrid w:type="lines" w:linePitch="326"/>
        </w:sectPr>
      </w:pPr>
      <w:r>
        <w:rPr>
          <w:rFonts w:ascii="宋体" w:hAnsi="宋体"/>
        </w:rPr>
        <w:t>依据保护目标环境敏感性及人口密度划分环境风险受体的敏感性，共分为三种类型，</w:t>
      </w:r>
      <w:r>
        <w:t>E1</w:t>
      </w:r>
      <w:r>
        <w:rPr>
          <w:rFonts w:ascii="宋体" w:hAnsi="宋体"/>
        </w:rPr>
        <w:t>为环境高度敏感区，</w:t>
      </w:r>
      <w:r>
        <w:t>E2</w:t>
      </w:r>
      <w:r>
        <w:rPr>
          <w:rFonts w:ascii="宋体" w:hAnsi="宋体"/>
        </w:rPr>
        <w:t>为环境中度敏感区，</w:t>
      </w:r>
      <w:r>
        <w:t>E3</w:t>
      </w:r>
      <w:r>
        <w:rPr>
          <w:rFonts w:ascii="宋体" w:hAnsi="宋体"/>
        </w:rPr>
        <w:t>为环境低度敏感区，分级原则见</w:t>
      </w:r>
      <w:r>
        <w:rPr>
          <w:rFonts w:ascii="宋体" w:hAnsi="宋体" w:hint="eastAsia"/>
        </w:rPr>
        <w:t>表</w:t>
      </w:r>
      <w:r>
        <w:t>2.3.1-11</w:t>
      </w:r>
      <w:r>
        <w:rPr>
          <w:rFonts w:ascii="宋体" w:hAnsi="宋体"/>
        </w:rPr>
        <w:t>。</w:t>
      </w:r>
    </w:p>
    <w:p w:rsidR="004E3021" w:rsidRDefault="00606E48">
      <w:pPr>
        <w:spacing w:line="500" w:lineRule="exact"/>
        <w:ind w:firstLineChars="0" w:firstLine="0"/>
        <w:jc w:val="center"/>
        <w:rPr>
          <w:rFonts w:ascii="黑体" w:eastAsia="黑体" w:hAnsi="黑体"/>
        </w:rPr>
      </w:pPr>
      <w:r>
        <w:rPr>
          <w:rFonts w:ascii="黑体" w:eastAsia="黑体" w:hAnsi="黑体"/>
        </w:rPr>
        <w:lastRenderedPageBreak/>
        <w:t>表</w:t>
      </w:r>
      <w:r>
        <w:rPr>
          <w:rFonts w:eastAsia="黑体"/>
        </w:rPr>
        <w:t xml:space="preserve">2.3.1-11  </w:t>
      </w:r>
      <w:r>
        <w:rPr>
          <w:rFonts w:ascii="黑体" w:eastAsia="黑体" w:hAnsi="黑体"/>
        </w:rPr>
        <w:t>大气环境</w:t>
      </w:r>
      <w:r>
        <w:rPr>
          <w:rFonts w:ascii="黑体" w:eastAsia="黑体" w:hAnsi="黑体" w:hint="eastAsia"/>
        </w:rPr>
        <w:t>敏感性(E)分级原则一览表</w:t>
      </w:r>
    </w:p>
    <w:tbl>
      <w:tblPr>
        <w:tblStyle w:val="afff"/>
        <w:tblW w:w="5000" w:type="pct"/>
        <w:tblLook w:val="04A0" w:firstRow="1" w:lastRow="0" w:firstColumn="1" w:lastColumn="0" w:noHBand="0" w:noVBand="1"/>
      </w:tblPr>
      <w:tblGrid>
        <w:gridCol w:w="821"/>
        <w:gridCol w:w="8205"/>
      </w:tblGrid>
      <w:tr w:rsidR="004E3021" w:rsidRPr="006B5C39" w:rsidTr="001E21A1">
        <w:trPr>
          <w:trHeight w:val="340"/>
        </w:trPr>
        <w:tc>
          <w:tcPr>
            <w:tcW w:w="455" w:type="pct"/>
            <w:vAlign w:val="center"/>
          </w:tcPr>
          <w:p w:rsidR="004E3021" w:rsidRPr="006B5C39" w:rsidRDefault="00606E48" w:rsidP="001E21A1">
            <w:pPr>
              <w:widowControl/>
              <w:spacing w:line="360" w:lineRule="exact"/>
              <w:ind w:firstLineChars="0" w:firstLine="0"/>
              <w:jc w:val="center"/>
              <w:rPr>
                <w:rFonts w:ascii="Times New Roman" w:hAnsi="Times New Roman"/>
                <w:b/>
                <w:kern w:val="0"/>
                <w:sz w:val="21"/>
                <w:szCs w:val="21"/>
              </w:rPr>
            </w:pPr>
            <w:r w:rsidRPr="006B5C39">
              <w:rPr>
                <w:rFonts w:ascii="Times New Roman" w:hAnsi="Times New Roman"/>
                <w:b/>
                <w:kern w:val="0"/>
                <w:sz w:val="21"/>
                <w:szCs w:val="21"/>
              </w:rPr>
              <w:t>类别</w:t>
            </w:r>
          </w:p>
        </w:tc>
        <w:tc>
          <w:tcPr>
            <w:tcW w:w="4545" w:type="pct"/>
            <w:vAlign w:val="center"/>
          </w:tcPr>
          <w:p w:rsidR="004E3021" w:rsidRPr="006B5C39" w:rsidRDefault="00606E48" w:rsidP="001E21A1">
            <w:pPr>
              <w:widowControl/>
              <w:spacing w:line="360" w:lineRule="exact"/>
              <w:ind w:firstLineChars="0" w:firstLine="0"/>
              <w:jc w:val="center"/>
              <w:rPr>
                <w:rFonts w:ascii="Times New Roman" w:hAnsi="Times New Roman"/>
                <w:b/>
                <w:kern w:val="0"/>
                <w:sz w:val="21"/>
                <w:szCs w:val="21"/>
              </w:rPr>
            </w:pPr>
            <w:r w:rsidRPr="006B5C39">
              <w:rPr>
                <w:rFonts w:ascii="Times New Roman" w:hAnsi="Times New Roman"/>
                <w:b/>
                <w:kern w:val="0"/>
                <w:sz w:val="21"/>
                <w:szCs w:val="21"/>
              </w:rPr>
              <w:t>环境风险受体情况</w:t>
            </w:r>
          </w:p>
        </w:tc>
      </w:tr>
      <w:tr w:rsidR="004E3021" w:rsidRPr="006B5C39" w:rsidTr="001E21A1">
        <w:trPr>
          <w:trHeight w:val="340"/>
        </w:trPr>
        <w:tc>
          <w:tcPr>
            <w:tcW w:w="455" w:type="pct"/>
            <w:shd w:val="clear" w:color="auto" w:fill="A6A6A6" w:themeFill="background1" w:themeFillShade="A6"/>
            <w:vAlign w:val="center"/>
          </w:tcPr>
          <w:p w:rsidR="004E3021" w:rsidRPr="006B5C39" w:rsidRDefault="00606E48" w:rsidP="001E21A1">
            <w:pPr>
              <w:widowControl/>
              <w:spacing w:line="360" w:lineRule="exact"/>
              <w:ind w:firstLineChars="0" w:firstLine="0"/>
              <w:jc w:val="center"/>
              <w:rPr>
                <w:rFonts w:ascii="Times New Roman" w:hAnsi="Times New Roman"/>
                <w:kern w:val="0"/>
                <w:sz w:val="21"/>
                <w:szCs w:val="21"/>
              </w:rPr>
            </w:pPr>
            <w:r w:rsidRPr="006B5C39">
              <w:rPr>
                <w:rFonts w:ascii="Times New Roman" w:hAnsi="Times New Roman"/>
                <w:kern w:val="0"/>
                <w:sz w:val="21"/>
                <w:szCs w:val="21"/>
              </w:rPr>
              <w:t>E1</w:t>
            </w:r>
          </w:p>
        </w:tc>
        <w:tc>
          <w:tcPr>
            <w:tcW w:w="4545" w:type="pct"/>
            <w:shd w:val="clear" w:color="auto" w:fill="A6A6A6" w:themeFill="background1" w:themeFillShade="A6"/>
            <w:vAlign w:val="center"/>
          </w:tcPr>
          <w:p w:rsidR="004E3021" w:rsidRPr="006B5C39" w:rsidRDefault="00606E48" w:rsidP="001E21A1">
            <w:pPr>
              <w:widowControl/>
              <w:spacing w:line="360" w:lineRule="exact"/>
              <w:ind w:firstLineChars="0" w:firstLine="0"/>
              <w:jc w:val="center"/>
              <w:rPr>
                <w:rFonts w:ascii="Times New Roman" w:hAnsi="Times New Roman"/>
                <w:kern w:val="0"/>
                <w:sz w:val="21"/>
                <w:szCs w:val="21"/>
              </w:rPr>
            </w:pPr>
            <w:r w:rsidRPr="006B5C39">
              <w:rPr>
                <w:rFonts w:ascii="Times New Roman" w:hAnsi="Times New Roman"/>
                <w:kern w:val="0"/>
                <w:sz w:val="21"/>
                <w:szCs w:val="21"/>
              </w:rPr>
              <w:t>周边</w:t>
            </w:r>
            <w:r w:rsidRPr="006B5C39">
              <w:rPr>
                <w:rFonts w:ascii="Times New Roman" w:hAnsi="Times New Roman"/>
                <w:kern w:val="0"/>
                <w:sz w:val="21"/>
                <w:szCs w:val="21"/>
              </w:rPr>
              <w:t>5km</w:t>
            </w:r>
            <w:r w:rsidRPr="006B5C39">
              <w:rPr>
                <w:rFonts w:ascii="Times New Roman" w:hAnsi="Times New Roman"/>
                <w:kern w:val="0"/>
                <w:sz w:val="21"/>
                <w:szCs w:val="21"/>
              </w:rPr>
              <w:t>范围内居住区、医疗卫生、文化教育、科研、行政办公等机构人口总数大于</w:t>
            </w:r>
            <w:r w:rsidRPr="006B5C39">
              <w:rPr>
                <w:rFonts w:ascii="Times New Roman" w:hAnsi="Times New Roman"/>
                <w:kern w:val="0"/>
                <w:sz w:val="21"/>
                <w:szCs w:val="21"/>
              </w:rPr>
              <w:t>5</w:t>
            </w:r>
            <w:r w:rsidRPr="006B5C39">
              <w:rPr>
                <w:rFonts w:ascii="Times New Roman" w:hAnsi="Times New Roman"/>
                <w:kern w:val="0"/>
                <w:sz w:val="21"/>
                <w:szCs w:val="21"/>
              </w:rPr>
              <w:t>万人，或其他需要特殊保护区域；或周边</w:t>
            </w:r>
            <w:r w:rsidRPr="006B5C39">
              <w:rPr>
                <w:rFonts w:ascii="Times New Roman" w:hAnsi="Times New Roman"/>
                <w:kern w:val="0"/>
                <w:sz w:val="21"/>
                <w:szCs w:val="21"/>
              </w:rPr>
              <w:t>500m</w:t>
            </w:r>
            <w:r w:rsidRPr="006B5C39">
              <w:rPr>
                <w:rFonts w:ascii="Times New Roman" w:hAnsi="Times New Roman"/>
                <w:kern w:val="0"/>
                <w:sz w:val="21"/>
                <w:szCs w:val="21"/>
              </w:rPr>
              <w:t>范围内人口总数大于</w:t>
            </w:r>
            <w:r w:rsidRPr="006B5C39">
              <w:rPr>
                <w:rFonts w:ascii="Times New Roman" w:hAnsi="Times New Roman"/>
                <w:kern w:val="0"/>
                <w:sz w:val="21"/>
                <w:szCs w:val="21"/>
              </w:rPr>
              <w:t>1000</w:t>
            </w:r>
            <w:r w:rsidRPr="006B5C39">
              <w:rPr>
                <w:rFonts w:ascii="Times New Roman" w:hAnsi="Times New Roman"/>
                <w:kern w:val="0"/>
                <w:sz w:val="21"/>
                <w:szCs w:val="21"/>
              </w:rPr>
              <w:t>人；油气、化学品输送管线管段周边</w:t>
            </w:r>
            <w:r w:rsidRPr="006B5C39">
              <w:rPr>
                <w:rFonts w:ascii="Times New Roman" w:hAnsi="Times New Roman"/>
                <w:kern w:val="0"/>
                <w:sz w:val="21"/>
                <w:szCs w:val="21"/>
              </w:rPr>
              <w:t>200m</w:t>
            </w:r>
            <w:r w:rsidRPr="006B5C39">
              <w:rPr>
                <w:rFonts w:ascii="Times New Roman" w:hAnsi="Times New Roman"/>
                <w:kern w:val="0"/>
                <w:sz w:val="21"/>
                <w:szCs w:val="21"/>
              </w:rPr>
              <w:t>范围内，每千米管段人口数大于</w:t>
            </w:r>
            <w:r w:rsidRPr="006B5C39">
              <w:rPr>
                <w:rFonts w:ascii="Times New Roman" w:hAnsi="Times New Roman"/>
                <w:kern w:val="0"/>
                <w:sz w:val="21"/>
                <w:szCs w:val="21"/>
              </w:rPr>
              <w:t>200</w:t>
            </w:r>
            <w:r w:rsidRPr="006B5C39">
              <w:rPr>
                <w:rFonts w:ascii="Times New Roman" w:hAnsi="Times New Roman"/>
                <w:kern w:val="0"/>
                <w:sz w:val="21"/>
                <w:szCs w:val="21"/>
              </w:rPr>
              <w:t>人</w:t>
            </w:r>
          </w:p>
        </w:tc>
      </w:tr>
      <w:tr w:rsidR="004E3021" w:rsidRPr="006B5C39" w:rsidTr="001E21A1">
        <w:trPr>
          <w:trHeight w:val="340"/>
        </w:trPr>
        <w:tc>
          <w:tcPr>
            <w:tcW w:w="455" w:type="pct"/>
            <w:vAlign w:val="center"/>
          </w:tcPr>
          <w:p w:rsidR="004E3021" w:rsidRPr="006B5C39" w:rsidRDefault="00606E48" w:rsidP="001E21A1">
            <w:pPr>
              <w:widowControl/>
              <w:spacing w:line="360" w:lineRule="exact"/>
              <w:ind w:firstLineChars="0" w:firstLine="0"/>
              <w:jc w:val="center"/>
              <w:rPr>
                <w:rFonts w:ascii="Times New Roman" w:hAnsi="Times New Roman"/>
                <w:kern w:val="0"/>
                <w:sz w:val="21"/>
                <w:szCs w:val="21"/>
              </w:rPr>
            </w:pPr>
            <w:r w:rsidRPr="006B5C39">
              <w:rPr>
                <w:rFonts w:ascii="Times New Roman" w:hAnsi="Times New Roman"/>
                <w:kern w:val="0"/>
                <w:sz w:val="21"/>
                <w:szCs w:val="21"/>
              </w:rPr>
              <w:t>E2</w:t>
            </w:r>
          </w:p>
        </w:tc>
        <w:tc>
          <w:tcPr>
            <w:tcW w:w="4545" w:type="pct"/>
            <w:vAlign w:val="center"/>
          </w:tcPr>
          <w:p w:rsidR="004E3021" w:rsidRPr="006B5C39" w:rsidRDefault="00606E48" w:rsidP="001E21A1">
            <w:pPr>
              <w:widowControl/>
              <w:spacing w:line="360" w:lineRule="exact"/>
              <w:ind w:firstLineChars="0" w:firstLine="0"/>
              <w:jc w:val="center"/>
              <w:rPr>
                <w:rFonts w:ascii="Times New Roman" w:hAnsi="Times New Roman"/>
                <w:kern w:val="0"/>
                <w:sz w:val="21"/>
                <w:szCs w:val="21"/>
              </w:rPr>
            </w:pPr>
            <w:r w:rsidRPr="006B5C39">
              <w:rPr>
                <w:rFonts w:ascii="Times New Roman" w:hAnsi="Times New Roman"/>
                <w:kern w:val="0"/>
                <w:sz w:val="21"/>
                <w:szCs w:val="21"/>
              </w:rPr>
              <w:t>周边</w:t>
            </w:r>
            <w:r w:rsidRPr="006B5C39">
              <w:rPr>
                <w:rFonts w:ascii="Times New Roman" w:hAnsi="Times New Roman"/>
                <w:kern w:val="0"/>
                <w:sz w:val="21"/>
                <w:szCs w:val="21"/>
              </w:rPr>
              <w:t>5km</w:t>
            </w:r>
            <w:r w:rsidRPr="006B5C39">
              <w:rPr>
                <w:rFonts w:ascii="Times New Roman" w:hAnsi="Times New Roman"/>
                <w:kern w:val="0"/>
                <w:sz w:val="21"/>
                <w:szCs w:val="21"/>
              </w:rPr>
              <w:t>范围内居住区、医疗卫生、文化教育、科研、行政办公等机构人口总数大于</w:t>
            </w:r>
            <w:r w:rsidRPr="006B5C39">
              <w:rPr>
                <w:rFonts w:ascii="Times New Roman" w:hAnsi="Times New Roman"/>
                <w:kern w:val="0"/>
                <w:sz w:val="21"/>
                <w:szCs w:val="21"/>
              </w:rPr>
              <w:t>1</w:t>
            </w:r>
            <w:r w:rsidRPr="006B5C39">
              <w:rPr>
                <w:rFonts w:ascii="Times New Roman" w:hAnsi="Times New Roman"/>
                <w:kern w:val="0"/>
                <w:sz w:val="21"/>
                <w:szCs w:val="21"/>
              </w:rPr>
              <w:t>万人，小于</w:t>
            </w:r>
            <w:r w:rsidRPr="006B5C39">
              <w:rPr>
                <w:rFonts w:ascii="Times New Roman" w:hAnsi="Times New Roman"/>
                <w:kern w:val="0"/>
                <w:sz w:val="21"/>
                <w:szCs w:val="21"/>
              </w:rPr>
              <w:t>5</w:t>
            </w:r>
            <w:r w:rsidRPr="006B5C39">
              <w:rPr>
                <w:rFonts w:ascii="Times New Roman" w:hAnsi="Times New Roman"/>
                <w:kern w:val="0"/>
                <w:sz w:val="21"/>
                <w:szCs w:val="21"/>
              </w:rPr>
              <w:t>万人；或周边</w:t>
            </w:r>
            <w:r w:rsidRPr="006B5C39">
              <w:rPr>
                <w:rFonts w:ascii="Times New Roman" w:hAnsi="Times New Roman"/>
                <w:kern w:val="0"/>
                <w:sz w:val="21"/>
                <w:szCs w:val="21"/>
              </w:rPr>
              <w:t>500m</w:t>
            </w:r>
            <w:r w:rsidRPr="006B5C39">
              <w:rPr>
                <w:rFonts w:ascii="Times New Roman" w:hAnsi="Times New Roman"/>
                <w:kern w:val="0"/>
                <w:sz w:val="21"/>
                <w:szCs w:val="21"/>
              </w:rPr>
              <w:t>范围内人口总数大于</w:t>
            </w:r>
            <w:r w:rsidRPr="006B5C39">
              <w:rPr>
                <w:rFonts w:ascii="Times New Roman" w:hAnsi="Times New Roman"/>
                <w:kern w:val="0"/>
                <w:sz w:val="21"/>
                <w:szCs w:val="21"/>
              </w:rPr>
              <w:t>500</w:t>
            </w:r>
            <w:r w:rsidRPr="006B5C39">
              <w:rPr>
                <w:rFonts w:ascii="Times New Roman" w:hAnsi="Times New Roman"/>
                <w:kern w:val="0"/>
                <w:sz w:val="21"/>
                <w:szCs w:val="21"/>
              </w:rPr>
              <w:t>人，小于</w:t>
            </w:r>
            <w:r w:rsidRPr="006B5C39">
              <w:rPr>
                <w:rFonts w:ascii="Times New Roman" w:hAnsi="Times New Roman"/>
                <w:kern w:val="0"/>
                <w:sz w:val="21"/>
                <w:szCs w:val="21"/>
              </w:rPr>
              <w:t>1000</w:t>
            </w:r>
            <w:r w:rsidRPr="006B5C39">
              <w:rPr>
                <w:rFonts w:ascii="Times New Roman" w:hAnsi="Times New Roman"/>
                <w:kern w:val="0"/>
                <w:sz w:val="21"/>
                <w:szCs w:val="21"/>
              </w:rPr>
              <w:t>人；油气、化学品输送管线管段周边</w:t>
            </w:r>
            <w:r w:rsidRPr="006B5C39">
              <w:rPr>
                <w:rFonts w:ascii="Times New Roman" w:hAnsi="Times New Roman"/>
                <w:kern w:val="0"/>
                <w:sz w:val="21"/>
                <w:szCs w:val="21"/>
              </w:rPr>
              <w:t>200m</w:t>
            </w:r>
            <w:r w:rsidRPr="006B5C39">
              <w:rPr>
                <w:rFonts w:ascii="Times New Roman" w:hAnsi="Times New Roman"/>
                <w:kern w:val="0"/>
                <w:sz w:val="21"/>
                <w:szCs w:val="21"/>
              </w:rPr>
              <w:t>范围内，每千米管段人口数大于</w:t>
            </w:r>
            <w:r w:rsidRPr="006B5C39">
              <w:rPr>
                <w:rFonts w:ascii="Times New Roman" w:hAnsi="Times New Roman"/>
                <w:kern w:val="0"/>
                <w:sz w:val="21"/>
                <w:szCs w:val="21"/>
              </w:rPr>
              <w:t>100</w:t>
            </w:r>
            <w:r w:rsidRPr="006B5C39">
              <w:rPr>
                <w:rFonts w:ascii="Times New Roman" w:hAnsi="Times New Roman"/>
                <w:kern w:val="0"/>
                <w:sz w:val="21"/>
                <w:szCs w:val="21"/>
              </w:rPr>
              <w:t>人，小于</w:t>
            </w:r>
            <w:r w:rsidRPr="006B5C39">
              <w:rPr>
                <w:rFonts w:ascii="Times New Roman" w:hAnsi="Times New Roman"/>
                <w:kern w:val="0"/>
                <w:sz w:val="21"/>
                <w:szCs w:val="21"/>
              </w:rPr>
              <w:t>200</w:t>
            </w:r>
            <w:r w:rsidRPr="006B5C39">
              <w:rPr>
                <w:rFonts w:ascii="Times New Roman" w:hAnsi="Times New Roman"/>
                <w:kern w:val="0"/>
                <w:sz w:val="21"/>
                <w:szCs w:val="21"/>
              </w:rPr>
              <w:t>人</w:t>
            </w:r>
          </w:p>
        </w:tc>
      </w:tr>
      <w:tr w:rsidR="004E3021" w:rsidRPr="006B5C39" w:rsidTr="001E21A1">
        <w:trPr>
          <w:trHeight w:val="340"/>
        </w:trPr>
        <w:tc>
          <w:tcPr>
            <w:tcW w:w="455" w:type="pct"/>
            <w:vAlign w:val="center"/>
          </w:tcPr>
          <w:p w:rsidR="004E3021" w:rsidRPr="006B5C39" w:rsidRDefault="00606E48" w:rsidP="001E21A1">
            <w:pPr>
              <w:widowControl/>
              <w:spacing w:line="360" w:lineRule="exact"/>
              <w:ind w:firstLineChars="0" w:firstLine="0"/>
              <w:jc w:val="center"/>
              <w:rPr>
                <w:rFonts w:ascii="Times New Roman" w:hAnsi="Times New Roman"/>
                <w:kern w:val="0"/>
                <w:sz w:val="21"/>
                <w:szCs w:val="21"/>
              </w:rPr>
            </w:pPr>
            <w:r w:rsidRPr="006B5C39">
              <w:rPr>
                <w:rFonts w:ascii="Times New Roman" w:hAnsi="Times New Roman"/>
                <w:kern w:val="0"/>
                <w:sz w:val="21"/>
                <w:szCs w:val="21"/>
              </w:rPr>
              <w:t>E3</w:t>
            </w:r>
          </w:p>
        </w:tc>
        <w:tc>
          <w:tcPr>
            <w:tcW w:w="4545" w:type="pct"/>
            <w:vAlign w:val="center"/>
          </w:tcPr>
          <w:p w:rsidR="004E3021" w:rsidRPr="006B5C39" w:rsidRDefault="00606E48" w:rsidP="001E21A1">
            <w:pPr>
              <w:widowControl/>
              <w:spacing w:line="360" w:lineRule="exact"/>
              <w:ind w:firstLineChars="0" w:firstLine="0"/>
              <w:jc w:val="center"/>
              <w:rPr>
                <w:rFonts w:ascii="Times New Roman" w:hAnsi="Times New Roman"/>
                <w:kern w:val="0"/>
                <w:sz w:val="21"/>
                <w:szCs w:val="21"/>
              </w:rPr>
            </w:pPr>
            <w:r w:rsidRPr="006B5C39">
              <w:rPr>
                <w:rFonts w:ascii="Times New Roman" w:hAnsi="Times New Roman"/>
                <w:kern w:val="0"/>
                <w:sz w:val="21"/>
                <w:szCs w:val="21"/>
              </w:rPr>
              <w:t>周边</w:t>
            </w:r>
            <w:r w:rsidRPr="006B5C39">
              <w:rPr>
                <w:rFonts w:ascii="Times New Roman" w:hAnsi="Times New Roman"/>
                <w:kern w:val="0"/>
                <w:sz w:val="21"/>
                <w:szCs w:val="21"/>
              </w:rPr>
              <w:t>5km</w:t>
            </w:r>
            <w:r w:rsidRPr="006B5C39">
              <w:rPr>
                <w:rFonts w:ascii="Times New Roman" w:hAnsi="Times New Roman"/>
                <w:kern w:val="0"/>
                <w:sz w:val="21"/>
                <w:szCs w:val="21"/>
              </w:rPr>
              <w:t>范围内居住区、医疗卫生、文化教育、科研、行政办公等机构人口总数小于</w:t>
            </w:r>
            <w:r w:rsidRPr="006B5C39">
              <w:rPr>
                <w:rFonts w:ascii="Times New Roman" w:hAnsi="Times New Roman"/>
                <w:kern w:val="0"/>
                <w:sz w:val="21"/>
                <w:szCs w:val="21"/>
              </w:rPr>
              <w:t>1</w:t>
            </w:r>
            <w:r w:rsidRPr="006B5C39">
              <w:rPr>
                <w:rFonts w:ascii="Times New Roman" w:hAnsi="Times New Roman"/>
                <w:kern w:val="0"/>
                <w:sz w:val="21"/>
                <w:szCs w:val="21"/>
              </w:rPr>
              <w:t>万人；或周边</w:t>
            </w:r>
            <w:r w:rsidRPr="006B5C39">
              <w:rPr>
                <w:rFonts w:ascii="Times New Roman" w:hAnsi="Times New Roman"/>
                <w:kern w:val="0"/>
                <w:sz w:val="21"/>
                <w:szCs w:val="21"/>
              </w:rPr>
              <w:t>500m</w:t>
            </w:r>
            <w:r w:rsidRPr="006B5C39">
              <w:rPr>
                <w:rFonts w:ascii="Times New Roman" w:hAnsi="Times New Roman"/>
                <w:kern w:val="0"/>
                <w:sz w:val="21"/>
                <w:szCs w:val="21"/>
              </w:rPr>
              <w:t>范围内人口总数小于</w:t>
            </w:r>
            <w:r w:rsidRPr="006B5C39">
              <w:rPr>
                <w:rFonts w:ascii="Times New Roman" w:hAnsi="Times New Roman"/>
                <w:kern w:val="0"/>
                <w:sz w:val="21"/>
                <w:szCs w:val="21"/>
              </w:rPr>
              <w:t>500</w:t>
            </w:r>
            <w:r w:rsidRPr="006B5C39">
              <w:rPr>
                <w:rFonts w:ascii="Times New Roman" w:hAnsi="Times New Roman"/>
                <w:kern w:val="0"/>
                <w:sz w:val="21"/>
                <w:szCs w:val="21"/>
              </w:rPr>
              <w:t>人油气、化学品输送管线管段周边</w:t>
            </w:r>
            <w:r w:rsidRPr="006B5C39">
              <w:rPr>
                <w:rFonts w:ascii="Times New Roman" w:hAnsi="Times New Roman"/>
                <w:kern w:val="0"/>
                <w:sz w:val="21"/>
                <w:szCs w:val="21"/>
              </w:rPr>
              <w:t>200m</w:t>
            </w:r>
            <w:r w:rsidRPr="006B5C39">
              <w:rPr>
                <w:rFonts w:ascii="Times New Roman" w:hAnsi="Times New Roman"/>
                <w:kern w:val="0"/>
                <w:sz w:val="21"/>
                <w:szCs w:val="21"/>
              </w:rPr>
              <w:t>范围内，每千米管段人口数小于</w:t>
            </w:r>
            <w:r w:rsidRPr="006B5C39">
              <w:rPr>
                <w:rFonts w:ascii="Times New Roman" w:hAnsi="Times New Roman"/>
                <w:kern w:val="0"/>
                <w:sz w:val="21"/>
                <w:szCs w:val="21"/>
              </w:rPr>
              <w:t>100</w:t>
            </w:r>
            <w:r w:rsidRPr="006B5C39">
              <w:rPr>
                <w:rFonts w:ascii="Times New Roman" w:hAnsi="Times New Roman"/>
                <w:kern w:val="0"/>
                <w:sz w:val="21"/>
                <w:szCs w:val="21"/>
              </w:rPr>
              <w:t>人</w:t>
            </w:r>
          </w:p>
        </w:tc>
      </w:tr>
    </w:tbl>
    <w:p w:rsidR="004E3021" w:rsidRDefault="00606E48">
      <w:pPr>
        <w:ind w:firstLine="480"/>
      </w:pPr>
      <w:r>
        <w:rPr>
          <w:rFonts w:ascii="宋体" w:hAnsi="宋体" w:hint="eastAsia"/>
        </w:rPr>
        <w:t>本项目周边</w:t>
      </w:r>
      <w:r>
        <w:t>5km</w:t>
      </w:r>
      <w:r>
        <w:rPr>
          <w:rFonts w:ascii="宋体" w:hAnsi="宋体" w:hint="eastAsia"/>
        </w:rPr>
        <w:t>范围内总人口数</w:t>
      </w:r>
      <w:r>
        <w:rPr>
          <w:rFonts w:hint="eastAsia"/>
        </w:rPr>
        <w:t>4</w:t>
      </w:r>
      <w:r>
        <w:t>2</w:t>
      </w:r>
      <w:r w:rsidR="00C31861">
        <w:t>276</w:t>
      </w:r>
      <w:r>
        <w:rPr>
          <w:rFonts w:hint="eastAsia"/>
        </w:rPr>
        <w:t>人</w:t>
      </w:r>
      <w:r>
        <w:rPr>
          <w:rFonts w:ascii="宋体" w:hAnsi="宋体" w:hint="eastAsia"/>
        </w:rPr>
        <w:t>，周边</w:t>
      </w:r>
      <w:r>
        <w:t>500m</w:t>
      </w:r>
      <w:r>
        <w:rPr>
          <w:rFonts w:ascii="宋体" w:hAnsi="宋体" w:hint="eastAsia"/>
        </w:rPr>
        <w:t>范围内总人口数</w:t>
      </w:r>
      <w:r>
        <w:rPr>
          <w:rFonts w:hint="eastAsia"/>
        </w:rPr>
        <w:t>1</w:t>
      </w:r>
      <w:r>
        <w:t>879</w:t>
      </w:r>
      <w:r>
        <w:rPr>
          <w:rFonts w:ascii="宋体" w:hAnsi="宋体" w:hint="eastAsia"/>
        </w:rPr>
        <w:t>人，无其他需要特殊保护区域。根据表</w:t>
      </w:r>
      <w:r>
        <w:rPr>
          <w:rFonts w:hint="eastAsia"/>
        </w:rPr>
        <w:t>5.6.2</w:t>
      </w:r>
      <w:r>
        <w:t>-4</w:t>
      </w:r>
      <w:r>
        <w:rPr>
          <w:rFonts w:ascii="宋体" w:hAnsi="宋体" w:hint="eastAsia"/>
        </w:rPr>
        <w:t>可知，判断本项目大气环境敏感程度为</w:t>
      </w:r>
      <w:r>
        <w:t>E1</w:t>
      </w:r>
      <w:r>
        <w:rPr>
          <w:rFonts w:ascii="宋体" w:hAnsi="宋体" w:hint="eastAsia"/>
        </w:rPr>
        <w:t>。</w:t>
      </w:r>
    </w:p>
    <w:p w:rsidR="004E3021" w:rsidRDefault="00606E48">
      <w:pPr>
        <w:ind w:firstLine="482"/>
        <w:rPr>
          <w:b/>
        </w:rPr>
      </w:pPr>
      <w:r>
        <w:rPr>
          <w:b/>
        </w:rPr>
        <w:t>（</w:t>
      </w:r>
      <w:r>
        <w:rPr>
          <w:b/>
        </w:rPr>
        <w:t>2</w:t>
      </w:r>
      <w:r>
        <w:rPr>
          <w:b/>
        </w:rPr>
        <w:t>）地表水环境敏感程度</w:t>
      </w:r>
    </w:p>
    <w:p w:rsidR="004E3021" w:rsidRDefault="00606E48">
      <w:pPr>
        <w:ind w:firstLine="480"/>
        <w:rPr>
          <w:rFonts w:ascii="宋体" w:hAnsi="宋体"/>
        </w:rPr>
      </w:pPr>
      <w:r>
        <w:rPr>
          <w:rFonts w:ascii="宋体" w:hAnsi="宋体" w:hint="eastAsia"/>
        </w:rPr>
        <w:t>根据《建设项目环境风险评价技术导则》</w:t>
      </w:r>
      <w:r>
        <w:rPr>
          <w:rFonts w:hint="eastAsia"/>
        </w:rPr>
        <w:t>(</w:t>
      </w:r>
      <w:r>
        <w:t>HJ169-2018</w:t>
      </w:r>
      <w:r>
        <w:rPr>
          <w:rFonts w:hint="eastAsia"/>
        </w:rPr>
        <w:t>)</w:t>
      </w:r>
      <w:r>
        <w:rPr>
          <w:rFonts w:ascii="宋体" w:hAnsi="宋体" w:hint="eastAsia"/>
        </w:rPr>
        <w:t>，</w:t>
      </w:r>
      <w:r>
        <w:rPr>
          <w:rFonts w:ascii="宋体" w:hAnsi="宋体"/>
        </w:rPr>
        <w:t>地表水功能敏感性分区见表</w:t>
      </w:r>
      <w:r>
        <w:t>2.3.1-12</w:t>
      </w:r>
      <w:r>
        <w:rPr>
          <w:rFonts w:ascii="宋体" w:hAnsi="宋体"/>
        </w:rPr>
        <w:t>。</w:t>
      </w:r>
    </w:p>
    <w:p w:rsidR="004E3021" w:rsidRDefault="00606E48">
      <w:pPr>
        <w:spacing w:line="500" w:lineRule="exact"/>
        <w:ind w:firstLineChars="0" w:firstLine="0"/>
        <w:jc w:val="center"/>
        <w:rPr>
          <w:rFonts w:eastAsia="黑体"/>
        </w:rPr>
      </w:pPr>
      <w:r>
        <w:rPr>
          <w:rFonts w:ascii="黑体" w:eastAsia="黑体" w:hAnsi="黑体"/>
        </w:rPr>
        <w:t>表</w:t>
      </w:r>
      <w:r>
        <w:rPr>
          <w:rFonts w:eastAsia="黑体"/>
        </w:rPr>
        <w:t xml:space="preserve">2.3.1-12  </w:t>
      </w:r>
      <w:r>
        <w:rPr>
          <w:rFonts w:ascii="黑体" w:eastAsia="黑体" w:hAnsi="黑体" w:hint="eastAsia"/>
        </w:rPr>
        <w:t>地表水功能敏感性分区</w:t>
      </w:r>
    </w:p>
    <w:tbl>
      <w:tblPr>
        <w:tblW w:w="5000" w:type="pct"/>
        <w:jc w:val="center"/>
        <w:tblLook w:val="04A0" w:firstRow="1" w:lastRow="0" w:firstColumn="1" w:lastColumn="0" w:noHBand="0" w:noVBand="1"/>
      </w:tblPr>
      <w:tblGrid>
        <w:gridCol w:w="1166"/>
        <w:gridCol w:w="7860"/>
      </w:tblGrid>
      <w:tr w:rsidR="004E3021" w:rsidRPr="001E21A1">
        <w:trPr>
          <w:trHeight w:val="102"/>
          <w:jc w:val="center"/>
        </w:trPr>
        <w:tc>
          <w:tcPr>
            <w:tcW w:w="646" w:type="pct"/>
            <w:tcBorders>
              <w:top w:val="single" w:sz="12" w:space="0" w:color="auto"/>
              <w:left w:val="nil"/>
              <w:bottom w:val="single" w:sz="4" w:space="0" w:color="auto"/>
              <w:right w:val="single" w:sz="4" w:space="0" w:color="auto"/>
            </w:tcBorders>
            <w:vAlign w:val="center"/>
          </w:tcPr>
          <w:p w:rsidR="004E3021" w:rsidRPr="00E13009" w:rsidRDefault="00606E48">
            <w:pPr>
              <w:widowControl/>
              <w:spacing w:line="360" w:lineRule="exact"/>
              <w:ind w:firstLineChars="0" w:firstLine="0"/>
              <w:jc w:val="center"/>
              <w:rPr>
                <w:b/>
                <w:kern w:val="0"/>
                <w:sz w:val="21"/>
                <w:szCs w:val="21"/>
              </w:rPr>
            </w:pPr>
            <w:r w:rsidRPr="00E13009">
              <w:rPr>
                <w:rFonts w:ascii="宋体" w:hAnsi="宋体"/>
                <w:b/>
                <w:kern w:val="0"/>
                <w:sz w:val="21"/>
                <w:szCs w:val="21"/>
              </w:rPr>
              <w:t>类型</w:t>
            </w:r>
          </w:p>
        </w:tc>
        <w:tc>
          <w:tcPr>
            <w:tcW w:w="4354" w:type="pct"/>
            <w:tcBorders>
              <w:top w:val="single" w:sz="12" w:space="0" w:color="auto"/>
              <w:left w:val="single" w:sz="4" w:space="0" w:color="auto"/>
              <w:bottom w:val="single" w:sz="4" w:space="0" w:color="auto"/>
              <w:right w:val="nil"/>
            </w:tcBorders>
            <w:vAlign w:val="center"/>
          </w:tcPr>
          <w:p w:rsidR="004E3021" w:rsidRPr="00E13009" w:rsidRDefault="00606E48">
            <w:pPr>
              <w:widowControl/>
              <w:spacing w:line="360" w:lineRule="exact"/>
              <w:ind w:firstLineChars="0" w:firstLine="0"/>
              <w:jc w:val="center"/>
              <w:rPr>
                <w:b/>
                <w:kern w:val="0"/>
                <w:sz w:val="21"/>
                <w:szCs w:val="21"/>
              </w:rPr>
            </w:pPr>
            <w:r w:rsidRPr="00E13009">
              <w:rPr>
                <w:rFonts w:ascii="宋体" w:hAnsi="宋体"/>
                <w:b/>
                <w:kern w:val="0"/>
                <w:sz w:val="21"/>
                <w:szCs w:val="21"/>
              </w:rPr>
              <w:t>地表水环境敏感性分区</w:t>
            </w:r>
          </w:p>
        </w:tc>
      </w:tr>
      <w:tr w:rsidR="004E3021" w:rsidRPr="001E21A1">
        <w:trPr>
          <w:trHeight w:val="678"/>
          <w:jc w:val="center"/>
        </w:trPr>
        <w:tc>
          <w:tcPr>
            <w:tcW w:w="646" w:type="pct"/>
            <w:tcBorders>
              <w:top w:val="single" w:sz="4" w:space="0" w:color="auto"/>
              <w:left w:val="nil"/>
              <w:bottom w:val="single" w:sz="4" w:space="0" w:color="auto"/>
              <w:right w:val="single" w:sz="4" w:space="0" w:color="auto"/>
            </w:tcBorders>
            <w:vAlign w:val="center"/>
          </w:tcPr>
          <w:p w:rsidR="004E3021" w:rsidRPr="001E21A1" w:rsidRDefault="00606E48">
            <w:pPr>
              <w:widowControl/>
              <w:spacing w:line="360" w:lineRule="exact"/>
              <w:ind w:firstLineChars="0" w:firstLine="0"/>
              <w:jc w:val="center"/>
              <w:rPr>
                <w:kern w:val="0"/>
                <w:sz w:val="21"/>
                <w:szCs w:val="21"/>
              </w:rPr>
            </w:pPr>
            <w:r w:rsidRPr="001E21A1">
              <w:rPr>
                <w:rFonts w:ascii="宋体" w:hAnsi="宋体"/>
                <w:kern w:val="0"/>
                <w:sz w:val="21"/>
                <w:szCs w:val="21"/>
              </w:rPr>
              <w:t>敏感</w:t>
            </w:r>
            <w:r w:rsidRPr="001E21A1">
              <w:rPr>
                <w:kern w:val="0"/>
                <w:sz w:val="21"/>
                <w:szCs w:val="21"/>
              </w:rPr>
              <w:t>F1</w:t>
            </w:r>
          </w:p>
        </w:tc>
        <w:tc>
          <w:tcPr>
            <w:tcW w:w="4354" w:type="pct"/>
            <w:tcBorders>
              <w:top w:val="single" w:sz="4" w:space="0" w:color="auto"/>
              <w:left w:val="single" w:sz="4" w:space="0" w:color="auto"/>
              <w:bottom w:val="single" w:sz="4" w:space="0" w:color="auto"/>
              <w:right w:val="nil"/>
            </w:tcBorders>
            <w:vAlign w:val="center"/>
          </w:tcPr>
          <w:p w:rsidR="004E3021" w:rsidRPr="00E4143C" w:rsidRDefault="00606E48">
            <w:pPr>
              <w:widowControl/>
              <w:spacing w:line="360" w:lineRule="exact"/>
              <w:ind w:firstLineChars="0" w:firstLine="0"/>
              <w:jc w:val="center"/>
              <w:rPr>
                <w:kern w:val="0"/>
                <w:sz w:val="21"/>
                <w:szCs w:val="21"/>
              </w:rPr>
            </w:pPr>
            <w:r w:rsidRPr="00E4143C">
              <w:rPr>
                <w:kern w:val="0"/>
                <w:sz w:val="21"/>
                <w:szCs w:val="21"/>
              </w:rPr>
              <w:t>排放点进入地表水水域功能为</w:t>
            </w:r>
            <w:r w:rsidRPr="00E4143C">
              <w:rPr>
                <w:kern w:val="0"/>
                <w:sz w:val="21"/>
                <w:szCs w:val="21"/>
              </w:rPr>
              <w:t>Ⅱ</w:t>
            </w:r>
            <w:r w:rsidRPr="00E4143C">
              <w:rPr>
                <w:kern w:val="0"/>
                <w:sz w:val="21"/>
                <w:szCs w:val="21"/>
              </w:rPr>
              <w:t>类及以上，或海水水质分类第一类；或以发生事故时，危险物质泄漏到排放点算起，排放到受纳水体河流最大流速时，</w:t>
            </w:r>
            <w:r w:rsidRPr="00E4143C">
              <w:rPr>
                <w:kern w:val="0"/>
                <w:sz w:val="21"/>
                <w:szCs w:val="21"/>
              </w:rPr>
              <w:t>24</w:t>
            </w:r>
            <w:r w:rsidRPr="00E4143C">
              <w:rPr>
                <w:kern w:val="0"/>
                <w:sz w:val="21"/>
                <w:szCs w:val="21"/>
              </w:rPr>
              <w:t>小时流经范围跨越国界的；</w:t>
            </w:r>
          </w:p>
        </w:tc>
      </w:tr>
      <w:tr w:rsidR="004E3021" w:rsidRPr="001E21A1">
        <w:trPr>
          <w:trHeight w:val="340"/>
          <w:jc w:val="center"/>
        </w:trPr>
        <w:tc>
          <w:tcPr>
            <w:tcW w:w="646" w:type="pct"/>
            <w:tcBorders>
              <w:top w:val="single" w:sz="4" w:space="0" w:color="auto"/>
              <w:left w:val="nil"/>
              <w:bottom w:val="single" w:sz="4" w:space="0" w:color="auto"/>
              <w:right w:val="single" w:sz="4" w:space="0" w:color="auto"/>
            </w:tcBorders>
            <w:vAlign w:val="center"/>
          </w:tcPr>
          <w:p w:rsidR="004E3021" w:rsidRPr="001E21A1" w:rsidRDefault="00606E48">
            <w:pPr>
              <w:widowControl/>
              <w:spacing w:line="360" w:lineRule="exact"/>
              <w:ind w:firstLineChars="0" w:firstLine="0"/>
              <w:jc w:val="center"/>
              <w:rPr>
                <w:kern w:val="0"/>
                <w:sz w:val="21"/>
                <w:szCs w:val="21"/>
              </w:rPr>
            </w:pPr>
            <w:r w:rsidRPr="001E21A1">
              <w:rPr>
                <w:rFonts w:ascii="宋体" w:hAnsi="宋体"/>
                <w:kern w:val="0"/>
                <w:sz w:val="21"/>
                <w:szCs w:val="21"/>
              </w:rPr>
              <w:t>较敏感</w:t>
            </w:r>
            <w:r w:rsidRPr="001E21A1">
              <w:rPr>
                <w:kern w:val="0"/>
                <w:sz w:val="21"/>
                <w:szCs w:val="21"/>
              </w:rPr>
              <w:t>F2</w:t>
            </w:r>
          </w:p>
        </w:tc>
        <w:tc>
          <w:tcPr>
            <w:tcW w:w="4354" w:type="pct"/>
            <w:tcBorders>
              <w:top w:val="single" w:sz="4" w:space="0" w:color="auto"/>
              <w:left w:val="single" w:sz="4" w:space="0" w:color="auto"/>
              <w:bottom w:val="single" w:sz="4" w:space="0" w:color="auto"/>
              <w:right w:val="nil"/>
            </w:tcBorders>
            <w:vAlign w:val="center"/>
          </w:tcPr>
          <w:p w:rsidR="004E3021" w:rsidRPr="00E4143C" w:rsidRDefault="00606E48">
            <w:pPr>
              <w:widowControl/>
              <w:spacing w:line="360" w:lineRule="exact"/>
              <w:ind w:firstLineChars="0" w:firstLine="0"/>
              <w:jc w:val="center"/>
              <w:rPr>
                <w:kern w:val="0"/>
                <w:sz w:val="21"/>
                <w:szCs w:val="21"/>
              </w:rPr>
            </w:pPr>
            <w:r w:rsidRPr="00E4143C">
              <w:rPr>
                <w:kern w:val="0"/>
                <w:sz w:val="21"/>
                <w:szCs w:val="21"/>
              </w:rPr>
              <w:t>排放点进入地表水水域功能为</w:t>
            </w:r>
            <w:r w:rsidRPr="00E4143C">
              <w:rPr>
                <w:kern w:val="0"/>
                <w:sz w:val="21"/>
                <w:szCs w:val="21"/>
              </w:rPr>
              <w:t>Ⅲ</w:t>
            </w:r>
            <w:r w:rsidRPr="00E4143C">
              <w:rPr>
                <w:kern w:val="0"/>
                <w:sz w:val="21"/>
                <w:szCs w:val="21"/>
              </w:rPr>
              <w:t>类，或海水水质分类为第二类；或以发生事故时，危险物质泄漏到排放点算起，排放到受纳水体河流最大流速时，</w:t>
            </w:r>
            <w:r w:rsidRPr="00E4143C">
              <w:rPr>
                <w:kern w:val="0"/>
                <w:sz w:val="21"/>
                <w:szCs w:val="21"/>
              </w:rPr>
              <w:t>24</w:t>
            </w:r>
            <w:r w:rsidRPr="00E4143C">
              <w:rPr>
                <w:kern w:val="0"/>
                <w:sz w:val="21"/>
                <w:szCs w:val="21"/>
              </w:rPr>
              <w:t>小时流经范围跨越省界的；</w:t>
            </w:r>
          </w:p>
        </w:tc>
      </w:tr>
      <w:tr w:rsidR="004E3021" w:rsidRPr="001E21A1" w:rsidTr="001E21A1">
        <w:trPr>
          <w:trHeight w:val="340"/>
          <w:jc w:val="center"/>
        </w:trPr>
        <w:tc>
          <w:tcPr>
            <w:tcW w:w="646" w:type="pct"/>
            <w:tcBorders>
              <w:top w:val="single" w:sz="4" w:space="0" w:color="auto"/>
              <w:left w:val="nil"/>
              <w:bottom w:val="single" w:sz="12" w:space="0" w:color="auto"/>
              <w:right w:val="single" w:sz="4" w:space="0" w:color="auto"/>
            </w:tcBorders>
            <w:shd w:val="clear" w:color="auto" w:fill="A6A6A6" w:themeFill="background1" w:themeFillShade="A6"/>
            <w:vAlign w:val="center"/>
          </w:tcPr>
          <w:p w:rsidR="004E3021" w:rsidRPr="001E21A1" w:rsidRDefault="00606E48">
            <w:pPr>
              <w:widowControl/>
              <w:spacing w:line="360" w:lineRule="exact"/>
              <w:ind w:firstLineChars="0" w:firstLine="0"/>
              <w:jc w:val="center"/>
              <w:rPr>
                <w:kern w:val="0"/>
                <w:sz w:val="21"/>
                <w:szCs w:val="21"/>
              </w:rPr>
            </w:pPr>
            <w:r w:rsidRPr="001E21A1">
              <w:rPr>
                <w:rFonts w:ascii="宋体" w:hAnsi="宋体"/>
                <w:kern w:val="0"/>
                <w:sz w:val="21"/>
                <w:szCs w:val="21"/>
              </w:rPr>
              <w:t>低敏感</w:t>
            </w:r>
            <w:r w:rsidRPr="001E21A1">
              <w:rPr>
                <w:kern w:val="0"/>
                <w:sz w:val="21"/>
                <w:szCs w:val="21"/>
              </w:rPr>
              <w:t>F3</w:t>
            </w:r>
          </w:p>
        </w:tc>
        <w:tc>
          <w:tcPr>
            <w:tcW w:w="4354" w:type="pct"/>
            <w:tcBorders>
              <w:top w:val="single" w:sz="4" w:space="0" w:color="auto"/>
              <w:left w:val="single" w:sz="4" w:space="0" w:color="auto"/>
              <w:bottom w:val="single" w:sz="12" w:space="0" w:color="auto"/>
              <w:right w:val="nil"/>
            </w:tcBorders>
            <w:shd w:val="clear" w:color="auto" w:fill="A6A6A6" w:themeFill="background1" w:themeFillShade="A6"/>
            <w:vAlign w:val="center"/>
          </w:tcPr>
          <w:p w:rsidR="004E3021" w:rsidRPr="001E21A1" w:rsidRDefault="00606E48">
            <w:pPr>
              <w:widowControl/>
              <w:spacing w:line="360" w:lineRule="exact"/>
              <w:ind w:firstLineChars="0" w:firstLine="0"/>
              <w:jc w:val="center"/>
              <w:rPr>
                <w:kern w:val="0"/>
                <w:sz w:val="21"/>
                <w:szCs w:val="21"/>
              </w:rPr>
            </w:pPr>
            <w:r w:rsidRPr="001E21A1">
              <w:rPr>
                <w:rFonts w:ascii="宋体" w:hAnsi="宋体"/>
                <w:kern w:val="0"/>
                <w:sz w:val="21"/>
                <w:szCs w:val="21"/>
              </w:rPr>
              <w:t>上述地区之外的其他地区</w:t>
            </w:r>
          </w:p>
        </w:tc>
      </w:tr>
    </w:tbl>
    <w:p w:rsidR="004E3021" w:rsidRDefault="00606E48">
      <w:pPr>
        <w:ind w:firstLine="480"/>
      </w:pPr>
      <w:r>
        <w:rPr>
          <w:rFonts w:ascii="宋体" w:hAnsi="宋体" w:hint="eastAsia"/>
        </w:rPr>
        <w:t>项目</w:t>
      </w:r>
      <w:r>
        <w:rPr>
          <w:rFonts w:ascii="宋体" w:hAnsi="宋体"/>
        </w:rPr>
        <w:t>周边</w:t>
      </w:r>
      <w:r>
        <w:rPr>
          <w:rFonts w:ascii="宋体" w:hAnsi="宋体" w:hint="eastAsia"/>
        </w:rPr>
        <w:t>沫冲引河</w:t>
      </w:r>
      <w:r>
        <w:rPr>
          <w:rFonts w:ascii="宋体" w:hAnsi="宋体"/>
        </w:rPr>
        <w:t>水功能区划</w:t>
      </w:r>
      <w:r>
        <w:rPr>
          <w:rFonts w:ascii="宋体" w:hAnsi="宋体" w:hint="eastAsia"/>
        </w:rPr>
        <w:t>为</w:t>
      </w:r>
      <w:r w:rsidRPr="001E21A1">
        <w:t>Ⅳ</w:t>
      </w:r>
      <w:r>
        <w:rPr>
          <w:rFonts w:ascii="宋体" w:hAnsi="宋体"/>
        </w:rPr>
        <w:t>类</w:t>
      </w:r>
      <w:r>
        <w:rPr>
          <w:rFonts w:ascii="宋体" w:hAnsi="宋体" w:hint="eastAsia"/>
        </w:rPr>
        <w:t>，且以发生事故时，危险物质泄漏到排放点算起，排放到沫冲引河最大流速时，</w:t>
      </w:r>
      <w:r>
        <w:rPr>
          <w:rFonts w:hint="eastAsia"/>
        </w:rPr>
        <w:t>24h</w:t>
      </w:r>
      <w:r>
        <w:rPr>
          <w:rFonts w:ascii="宋体" w:hAnsi="宋体" w:hint="eastAsia"/>
        </w:rPr>
        <w:t>流经范围不会跨省。根据上表可知，区域地表水沫冲引河水功能敏感性分区为</w:t>
      </w:r>
      <w:r>
        <w:rPr>
          <w:rFonts w:hint="eastAsia"/>
        </w:rPr>
        <w:t>F</w:t>
      </w:r>
      <w:r>
        <w:t>3</w:t>
      </w:r>
      <w:r>
        <w:rPr>
          <w:rFonts w:ascii="宋体" w:hAnsi="宋体" w:hint="eastAsia"/>
        </w:rPr>
        <w:t>。</w:t>
      </w:r>
    </w:p>
    <w:p w:rsidR="00E4143C" w:rsidRDefault="00606E48">
      <w:pPr>
        <w:ind w:firstLine="480"/>
        <w:rPr>
          <w:rFonts w:ascii="宋体" w:hAnsi="宋体"/>
        </w:rPr>
        <w:sectPr w:rsidR="00E4143C">
          <w:pgSz w:w="11906" w:h="16838"/>
          <w:pgMar w:top="1440" w:right="1440" w:bottom="1440" w:left="1440" w:header="851" w:footer="992" w:gutter="0"/>
          <w:cols w:space="425"/>
          <w:docGrid w:type="lines" w:linePitch="326"/>
        </w:sectPr>
      </w:pPr>
      <w:r>
        <w:rPr>
          <w:rFonts w:ascii="宋体" w:hAnsi="宋体" w:hint="eastAsia"/>
        </w:rPr>
        <w:t>地表水</w:t>
      </w:r>
      <w:r>
        <w:rPr>
          <w:rFonts w:ascii="宋体" w:hAnsi="宋体"/>
        </w:rPr>
        <w:t>环境敏感目标分级</w:t>
      </w:r>
      <w:r>
        <w:rPr>
          <w:rFonts w:ascii="宋体" w:hAnsi="宋体" w:hint="eastAsia"/>
        </w:rPr>
        <w:t>见</w:t>
      </w:r>
      <w:r>
        <w:rPr>
          <w:rFonts w:ascii="宋体" w:hAnsi="宋体"/>
        </w:rPr>
        <w:t>表</w:t>
      </w:r>
      <w:r>
        <w:t>2.3.1-13</w:t>
      </w:r>
      <w:r>
        <w:rPr>
          <w:rFonts w:ascii="宋体" w:hAnsi="宋体" w:hint="eastAsia"/>
        </w:rPr>
        <w:t>。</w:t>
      </w:r>
    </w:p>
    <w:p w:rsidR="004E3021" w:rsidRDefault="00606E48">
      <w:pPr>
        <w:spacing w:line="500" w:lineRule="exact"/>
        <w:ind w:firstLineChars="0" w:firstLine="0"/>
        <w:jc w:val="center"/>
        <w:rPr>
          <w:rFonts w:eastAsia="黑体"/>
        </w:rPr>
      </w:pPr>
      <w:r>
        <w:rPr>
          <w:rFonts w:ascii="黑体" w:eastAsia="黑体" w:hAnsi="黑体"/>
        </w:rPr>
        <w:lastRenderedPageBreak/>
        <w:t>表</w:t>
      </w:r>
      <w:r>
        <w:rPr>
          <w:rFonts w:eastAsia="黑体"/>
        </w:rPr>
        <w:t xml:space="preserve">2.3.1-13  </w:t>
      </w:r>
      <w:r>
        <w:rPr>
          <w:rFonts w:ascii="黑体" w:eastAsia="黑体" w:hAnsi="黑体" w:hint="eastAsia"/>
        </w:rPr>
        <w:t>环境敏感目标分级</w:t>
      </w:r>
    </w:p>
    <w:tbl>
      <w:tblPr>
        <w:tblW w:w="5000" w:type="pct"/>
        <w:jc w:val="center"/>
        <w:tblLook w:val="04A0" w:firstRow="1" w:lastRow="0" w:firstColumn="1" w:lastColumn="0" w:noHBand="0" w:noVBand="1"/>
      </w:tblPr>
      <w:tblGrid>
        <w:gridCol w:w="1166"/>
        <w:gridCol w:w="7860"/>
      </w:tblGrid>
      <w:tr w:rsidR="004E3021" w:rsidRPr="001E21A1">
        <w:trPr>
          <w:trHeight w:val="123"/>
          <w:jc w:val="center"/>
        </w:trPr>
        <w:tc>
          <w:tcPr>
            <w:tcW w:w="646" w:type="pct"/>
            <w:tcBorders>
              <w:top w:val="single" w:sz="12" w:space="0" w:color="auto"/>
              <w:left w:val="nil"/>
              <w:bottom w:val="single" w:sz="4" w:space="0" w:color="auto"/>
              <w:right w:val="single" w:sz="4" w:space="0" w:color="auto"/>
            </w:tcBorders>
            <w:vAlign w:val="center"/>
          </w:tcPr>
          <w:p w:rsidR="004E3021" w:rsidRPr="00E13009" w:rsidRDefault="00606E48">
            <w:pPr>
              <w:widowControl/>
              <w:spacing w:line="360" w:lineRule="exact"/>
              <w:ind w:firstLineChars="0" w:firstLine="0"/>
              <w:jc w:val="center"/>
              <w:rPr>
                <w:b/>
                <w:kern w:val="0"/>
                <w:sz w:val="21"/>
                <w:szCs w:val="21"/>
              </w:rPr>
            </w:pPr>
            <w:r w:rsidRPr="00E13009">
              <w:rPr>
                <w:rFonts w:ascii="宋体" w:hAnsi="宋体"/>
                <w:b/>
                <w:kern w:val="0"/>
                <w:sz w:val="21"/>
                <w:szCs w:val="21"/>
              </w:rPr>
              <w:t>类型</w:t>
            </w:r>
          </w:p>
        </w:tc>
        <w:tc>
          <w:tcPr>
            <w:tcW w:w="4354" w:type="pct"/>
            <w:tcBorders>
              <w:top w:val="single" w:sz="12" w:space="0" w:color="auto"/>
              <w:left w:val="single" w:sz="4" w:space="0" w:color="auto"/>
              <w:bottom w:val="single" w:sz="4" w:space="0" w:color="auto"/>
              <w:right w:val="nil"/>
            </w:tcBorders>
            <w:vAlign w:val="center"/>
          </w:tcPr>
          <w:p w:rsidR="004E3021" w:rsidRPr="00E13009" w:rsidRDefault="00606E48">
            <w:pPr>
              <w:widowControl/>
              <w:spacing w:line="360" w:lineRule="exact"/>
              <w:ind w:firstLineChars="0" w:firstLine="0"/>
              <w:jc w:val="center"/>
              <w:rPr>
                <w:b/>
                <w:kern w:val="0"/>
                <w:sz w:val="21"/>
                <w:szCs w:val="21"/>
              </w:rPr>
            </w:pPr>
            <w:r w:rsidRPr="00E13009">
              <w:rPr>
                <w:rFonts w:ascii="宋体" w:hAnsi="宋体" w:hint="eastAsia"/>
                <w:b/>
                <w:kern w:val="0"/>
                <w:sz w:val="21"/>
                <w:szCs w:val="21"/>
              </w:rPr>
              <w:t>环境敏感目标</w:t>
            </w:r>
          </w:p>
        </w:tc>
      </w:tr>
      <w:tr w:rsidR="004E3021" w:rsidRPr="001E21A1" w:rsidTr="00E4143C">
        <w:trPr>
          <w:trHeight w:val="1820"/>
          <w:jc w:val="center"/>
        </w:trPr>
        <w:tc>
          <w:tcPr>
            <w:tcW w:w="646" w:type="pct"/>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E21A1" w:rsidRDefault="00606E48">
            <w:pPr>
              <w:widowControl/>
              <w:spacing w:line="360" w:lineRule="exact"/>
              <w:ind w:firstLineChars="0" w:firstLine="0"/>
              <w:jc w:val="center"/>
              <w:rPr>
                <w:kern w:val="0"/>
                <w:sz w:val="21"/>
                <w:szCs w:val="21"/>
              </w:rPr>
            </w:pPr>
            <w:r w:rsidRPr="001E21A1">
              <w:rPr>
                <w:rFonts w:hint="eastAsia"/>
                <w:kern w:val="0"/>
                <w:sz w:val="21"/>
                <w:szCs w:val="21"/>
              </w:rPr>
              <w:t>S</w:t>
            </w:r>
            <w:r w:rsidRPr="001E21A1">
              <w:rPr>
                <w:kern w:val="0"/>
                <w:sz w:val="21"/>
                <w:szCs w:val="21"/>
              </w:rPr>
              <w:t>1</w:t>
            </w:r>
          </w:p>
        </w:tc>
        <w:tc>
          <w:tcPr>
            <w:tcW w:w="4354" w:type="pct"/>
            <w:tcBorders>
              <w:top w:val="single" w:sz="4" w:space="0" w:color="auto"/>
              <w:left w:val="single" w:sz="4" w:space="0" w:color="auto"/>
              <w:bottom w:val="single" w:sz="4" w:space="0" w:color="auto"/>
              <w:right w:val="nil"/>
            </w:tcBorders>
            <w:shd w:val="clear" w:color="auto" w:fill="A6A6A6" w:themeFill="background1" w:themeFillShade="A6"/>
            <w:vAlign w:val="center"/>
          </w:tcPr>
          <w:p w:rsidR="004E3021" w:rsidRPr="001E21A1" w:rsidRDefault="00606E48">
            <w:pPr>
              <w:widowControl/>
              <w:spacing w:line="360" w:lineRule="exact"/>
              <w:ind w:firstLineChars="0" w:firstLine="0"/>
              <w:jc w:val="center"/>
              <w:rPr>
                <w:kern w:val="0"/>
                <w:sz w:val="21"/>
                <w:szCs w:val="21"/>
              </w:rPr>
            </w:pPr>
            <w:r w:rsidRPr="001E21A1">
              <w:rPr>
                <w:rFonts w:ascii="宋体" w:hAnsi="宋体" w:hint="eastAsia"/>
                <w:kern w:val="0"/>
                <w:sz w:val="21"/>
                <w:szCs w:val="21"/>
              </w:rPr>
              <w:t>发生事故时，危险物质泄漏到内陆水体的排放点下游</w:t>
            </w:r>
            <w:r w:rsidRPr="001E21A1">
              <w:rPr>
                <w:rFonts w:hint="eastAsia"/>
                <w:kern w:val="0"/>
                <w:sz w:val="21"/>
                <w:szCs w:val="21"/>
              </w:rPr>
              <w:t>(</w:t>
            </w:r>
            <w:r w:rsidRPr="001E21A1">
              <w:rPr>
                <w:rFonts w:ascii="宋体" w:hAnsi="宋体" w:hint="eastAsia"/>
                <w:kern w:val="0"/>
                <w:sz w:val="21"/>
                <w:szCs w:val="21"/>
              </w:rPr>
              <w:t>顺水流向</w:t>
            </w:r>
            <w:r w:rsidRPr="001E21A1">
              <w:rPr>
                <w:rFonts w:hint="eastAsia"/>
                <w:kern w:val="0"/>
                <w:sz w:val="21"/>
                <w:szCs w:val="21"/>
              </w:rPr>
              <w:t>)</w:t>
            </w:r>
            <w:r w:rsidRPr="001E21A1">
              <w:rPr>
                <w:kern w:val="0"/>
                <w:sz w:val="21"/>
                <w:szCs w:val="21"/>
              </w:rPr>
              <w:t>10km</w:t>
            </w:r>
            <w:r w:rsidRPr="001E21A1">
              <w:rPr>
                <w:rFonts w:ascii="宋体" w:hAnsi="宋体"/>
                <w:kern w:val="0"/>
                <w:sz w:val="21"/>
                <w:szCs w:val="21"/>
              </w:rPr>
              <w:t>范围内，近岸海域一个潮周期水质点可能达到的最大水平距离的两倍范围内，有如下一类或多类环境风险受体</w:t>
            </w:r>
            <w:r w:rsidRPr="001E21A1">
              <w:rPr>
                <w:rFonts w:ascii="宋体" w:hAnsi="宋体" w:hint="eastAsia"/>
                <w:kern w:val="0"/>
                <w:sz w:val="21"/>
                <w:szCs w:val="21"/>
              </w:rPr>
              <w:t>：</w:t>
            </w:r>
            <w:r w:rsidRPr="001E21A1">
              <w:rPr>
                <w:rFonts w:ascii="宋体" w:hAnsi="宋体"/>
                <w:kern w:val="0"/>
                <w:sz w:val="21"/>
                <w:szCs w:val="21"/>
              </w:rPr>
              <w:t>集中式地表水自来水水源保护区</w:t>
            </w:r>
            <w:r w:rsidRPr="001E21A1">
              <w:rPr>
                <w:kern w:val="0"/>
                <w:sz w:val="21"/>
                <w:szCs w:val="21"/>
              </w:rPr>
              <w:t>(</w:t>
            </w:r>
            <w:r w:rsidRPr="001E21A1">
              <w:rPr>
                <w:rFonts w:ascii="宋体" w:hAnsi="宋体"/>
                <w:kern w:val="0"/>
                <w:sz w:val="21"/>
                <w:szCs w:val="21"/>
              </w:rPr>
              <w:t>包括一级保护区、二级保护区及准保护区</w:t>
            </w:r>
            <w:r w:rsidRPr="001E21A1">
              <w:rPr>
                <w:kern w:val="0"/>
                <w:sz w:val="21"/>
                <w:szCs w:val="21"/>
              </w:rPr>
              <w:t>)</w:t>
            </w:r>
            <w:r w:rsidRPr="001E21A1">
              <w:rPr>
                <w:rFonts w:ascii="宋体" w:hAnsi="宋体"/>
                <w:kern w:val="0"/>
                <w:sz w:val="21"/>
                <w:szCs w:val="21"/>
              </w:rPr>
              <w:t>；农村及分散式自来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rsidR="004E3021" w:rsidRPr="001E21A1">
        <w:trPr>
          <w:trHeight w:val="916"/>
          <w:jc w:val="center"/>
        </w:trPr>
        <w:tc>
          <w:tcPr>
            <w:tcW w:w="646" w:type="pct"/>
            <w:tcBorders>
              <w:top w:val="single" w:sz="4" w:space="0" w:color="auto"/>
              <w:left w:val="nil"/>
              <w:bottom w:val="single" w:sz="4" w:space="0" w:color="auto"/>
              <w:right w:val="single" w:sz="4" w:space="0" w:color="auto"/>
            </w:tcBorders>
            <w:vAlign w:val="center"/>
          </w:tcPr>
          <w:p w:rsidR="004E3021" w:rsidRPr="001E21A1" w:rsidRDefault="00606E48">
            <w:pPr>
              <w:widowControl/>
              <w:spacing w:line="360" w:lineRule="exact"/>
              <w:ind w:firstLineChars="0" w:firstLine="0"/>
              <w:jc w:val="center"/>
              <w:rPr>
                <w:kern w:val="0"/>
                <w:sz w:val="21"/>
                <w:szCs w:val="21"/>
              </w:rPr>
            </w:pPr>
            <w:r w:rsidRPr="001E21A1">
              <w:rPr>
                <w:rFonts w:hint="eastAsia"/>
                <w:kern w:val="0"/>
                <w:sz w:val="21"/>
                <w:szCs w:val="21"/>
              </w:rPr>
              <w:t>S</w:t>
            </w:r>
            <w:r w:rsidRPr="001E21A1">
              <w:rPr>
                <w:kern w:val="0"/>
                <w:sz w:val="21"/>
                <w:szCs w:val="21"/>
              </w:rPr>
              <w:t>2</w:t>
            </w:r>
          </w:p>
        </w:tc>
        <w:tc>
          <w:tcPr>
            <w:tcW w:w="4354" w:type="pct"/>
            <w:tcBorders>
              <w:top w:val="single" w:sz="4" w:space="0" w:color="auto"/>
              <w:left w:val="single" w:sz="4" w:space="0" w:color="auto"/>
              <w:bottom w:val="single" w:sz="4" w:space="0" w:color="auto"/>
              <w:right w:val="nil"/>
            </w:tcBorders>
            <w:vAlign w:val="center"/>
          </w:tcPr>
          <w:p w:rsidR="004E3021" w:rsidRPr="001E21A1" w:rsidRDefault="00606E48">
            <w:pPr>
              <w:widowControl/>
              <w:spacing w:line="360" w:lineRule="exact"/>
              <w:ind w:firstLineChars="0" w:firstLine="0"/>
              <w:jc w:val="center"/>
              <w:rPr>
                <w:kern w:val="0"/>
                <w:sz w:val="21"/>
                <w:szCs w:val="21"/>
              </w:rPr>
            </w:pPr>
            <w:r w:rsidRPr="001E21A1">
              <w:rPr>
                <w:rFonts w:ascii="宋体" w:hAnsi="宋体" w:hint="eastAsia"/>
                <w:kern w:val="0"/>
                <w:sz w:val="21"/>
                <w:szCs w:val="21"/>
              </w:rPr>
              <w:t>发生事故时，危险物质泄漏到内陆水体的排放点下游</w:t>
            </w:r>
            <w:r w:rsidRPr="001E21A1">
              <w:rPr>
                <w:rFonts w:hint="eastAsia"/>
                <w:kern w:val="0"/>
                <w:sz w:val="21"/>
                <w:szCs w:val="21"/>
              </w:rPr>
              <w:t>(</w:t>
            </w:r>
            <w:r w:rsidRPr="001E21A1">
              <w:rPr>
                <w:rFonts w:ascii="宋体" w:hAnsi="宋体" w:hint="eastAsia"/>
                <w:kern w:val="0"/>
                <w:sz w:val="21"/>
                <w:szCs w:val="21"/>
              </w:rPr>
              <w:t>顺水方向</w:t>
            </w:r>
            <w:r w:rsidRPr="001E21A1">
              <w:rPr>
                <w:rFonts w:hint="eastAsia"/>
                <w:kern w:val="0"/>
                <w:sz w:val="21"/>
                <w:szCs w:val="21"/>
              </w:rPr>
              <w:t>)</w:t>
            </w:r>
            <w:r w:rsidRPr="001E21A1">
              <w:rPr>
                <w:kern w:val="0"/>
                <w:sz w:val="21"/>
                <w:szCs w:val="21"/>
              </w:rPr>
              <w:t>10km</w:t>
            </w:r>
            <w:r w:rsidRPr="001E21A1">
              <w:rPr>
                <w:rFonts w:ascii="宋体" w:hAnsi="宋体"/>
                <w:kern w:val="0"/>
                <w:sz w:val="21"/>
                <w:szCs w:val="21"/>
              </w:rPr>
              <w:t>范围内、近岸海域一个潮周期水质点可能达到的最大水平距离的两倍范围内，有如下一类或多类环境风险受体的</w:t>
            </w:r>
            <w:r w:rsidRPr="001E21A1">
              <w:rPr>
                <w:rFonts w:ascii="宋体" w:hAnsi="宋体" w:hint="eastAsia"/>
                <w:kern w:val="0"/>
                <w:sz w:val="21"/>
                <w:szCs w:val="21"/>
              </w:rPr>
              <w:t>：</w:t>
            </w:r>
            <w:r w:rsidRPr="001E21A1">
              <w:rPr>
                <w:rFonts w:ascii="宋体" w:hAnsi="宋体"/>
                <w:kern w:val="0"/>
                <w:sz w:val="21"/>
                <w:szCs w:val="21"/>
              </w:rPr>
              <w:t>水产养殖区；天然渔场；森林公园；地质公园；海滨风景游览区；具</w:t>
            </w:r>
            <w:r w:rsidRPr="001E21A1">
              <w:rPr>
                <w:rFonts w:ascii="宋体" w:hAnsi="宋体" w:hint="eastAsia"/>
                <w:kern w:val="0"/>
                <w:sz w:val="21"/>
                <w:szCs w:val="21"/>
              </w:rPr>
              <w:t>有重要经济价值的海洋生物生存区域。</w:t>
            </w:r>
          </w:p>
        </w:tc>
      </w:tr>
      <w:tr w:rsidR="004E3021" w:rsidRPr="001E21A1" w:rsidTr="00E4143C">
        <w:trPr>
          <w:trHeight w:val="340"/>
          <w:jc w:val="center"/>
        </w:trPr>
        <w:tc>
          <w:tcPr>
            <w:tcW w:w="646" w:type="pct"/>
            <w:tcBorders>
              <w:top w:val="single" w:sz="4" w:space="0" w:color="auto"/>
              <w:left w:val="nil"/>
              <w:bottom w:val="single" w:sz="12" w:space="0" w:color="auto"/>
              <w:right w:val="single" w:sz="4" w:space="0" w:color="auto"/>
            </w:tcBorders>
            <w:shd w:val="clear" w:color="auto" w:fill="FFFFFF" w:themeFill="background1"/>
            <w:vAlign w:val="center"/>
          </w:tcPr>
          <w:p w:rsidR="004E3021" w:rsidRPr="001E21A1" w:rsidRDefault="00606E48">
            <w:pPr>
              <w:widowControl/>
              <w:spacing w:line="360" w:lineRule="exact"/>
              <w:ind w:firstLineChars="0" w:firstLine="0"/>
              <w:jc w:val="center"/>
              <w:rPr>
                <w:kern w:val="0"/>
                <w:sz w:val="21"/>
                <w:szCs w:val="21"/>
              </w:rPr>
            </w:pPr>
            <w:r w:rsidRPr="001E21A1">
              <w:rPr>
                <w:rFonts w:hint="eastAsia"/>
                <w:kern w:val="0"/>
                <w:sz w:val="21"/>
                <w:szCs w:val="21"/>
              </w:rPr>
              <w:t>S</w:t>
            </w:r>
            <w:r w:rsidRPr="001E21A1">
              <w:rPr>
                <w:kern w:val="0"/>
                <w:sz w:val="21"/>
                <w:szCs w:val="21"/>
              </w:rPr>
              <w:t>3</w:t>
            </w:r>
          </w:p>
        </w:tc>
        <w:tc>
          <w:tcPr>
            <w:tcW w:w="4354" w:type="pct"/>
            <w:tcBorders>
              <w:top w:val="single" w:sz="4" w:space="0" w:color="auto"/>
              <w:left w:val="single" w:sz="4" w:space="0" w:color="auto"/>
              <w:bottom w:val="single" w:sz="12" w:space="0" w:color="auto"/>
              <w:right w:val="nil"/>
            </w:tcBorders>
            <w:shd w:val="clear" w:color="auto" w:fill="FFFFFF" w:themeFill="background1"/>
            <w:vAlign w:val="center"/>
          </w:tcPr>
          <w:p w:rsidR="004E3021" w:rsidRPr="001E21A1" w:rsidRDefault="00606E48">
            <w:pPr>
              <w:widowControl/>
              <w:spacing w:line="360" w:lineRule="exact"/>
              <w:ind w:firstLineChars="0" w:firstLine="0"/>
              <w:jc w:val="center"/>
              <w:rPr>
                <w:kern w:val="0"/>
                <w:sz w:val="21"/>
                <w:szCs w:val="21"/>
              </w:rPr>
            </w:pPr>
            <w:r w:rsidRPr="001E21A1">
              <w:rPr>
                <w:rFonts w:ascii="宋体" w:hAnsi="宋体" w:hint="eastAsia"/>
                <w:kern w:val="0"/>
                <w:sz w:val="21"/>
                <w:szCs w:val="21"/>
              </w:rPr>
              <w:t>排放点下游</w:t>
            </w:r>
            <w:r w:rsidRPr="001E21A1">
              <w:rPr>
                <w:rFonts w:hint="eastAsia"/>
                <w:kern w:val="0"/>
                <w:sz w:val="21"/>
                <w:szCs w:val="21"/>
              </w:rPr>
              <w:t>(</w:t>
            </w:r>
            <w:r w:rsidRPr="001E21A1">
              <w:rPr>
                <w:rFonts w:ascii="宋体" w:hAnsi="宋体" w:hint="eastAsia"/>
                <w:kern w:val="0"/>
                <w:sz w:val="21"/>
                <w:szCs w:val="21"/>
              </w:rPr>
              <w:t>顺水流向</w:t>
            </w:r>
            <w:r w:rsidRPr="001E21A1">
              <w:rPr>
                <w:rFonts w:hint="eastAsia"/>
                <w:kern w:val="0"/>
                <w:sz w:val="21"/>
                <w:szCs w:val="21"/>
              </w:rPr>
              <w:t>)</w:t>
            </w:r>
            <w:r w:rsidRPr="001E21A1">
              <w:rPr>
                <w:kern w:val="0"/>
                <w:sz w:val="21"/>
                <w:szCs w:val="21"/>
              </w:rPr>
              <w:t>10km</w:t>
            </w:r>
            <w:r w:rsidRPr="001E21A1">
              <w:rPr>
                <w:rFonts w:ascii="宋体" w:hAnsi="宋体"/>
                <w:kern w:val="0"/>
                <w:sz w:val="21"/>
                <w:szCs w:val="21"/>
              </w:rPr>
              <w:t>范围内，近岸海域一个潮周期水质点可能达到的最大水平距离的两倍范围内</w:t>
            </w:r>
            <w:r w:rsidRPr="001E21A1">
              <w:rPr>
                <w:rFonts w:ascii="宋体" w:hAnsi="宋体" w:hint="eastAsia"/>
                <w:kern w:val="0"/>
                <w:sz w:val="21"/>
                <w:szCs w:val="21"/>
              </w:rPr>
              <w:t>无上述类型</w:t>
            </w:r>
            <w:r w:rsidRPr="001E21A1">
              <w:rPr>
                <w:kern w:val="0"/>
                <w:sz w:val="21"/>
                <w:szCs w:val="21"/>
              </w:rPr>
              <w:t>1</w:t>
            </w:r>
            <w:r w:rsidRPr="001E21A1">
              <w:rPr>
                <w:rFonts w:ascii="宋体" w:hAnsi="宋体"/>
                <w:kern w:val="0"/>
                <w:sz w:val="21"/>
                <w:szCs w:val="21"/>
              </w:rPr>
              <w:t>和类型</w:t>
            </w:r>
            <w:r w:rsidRPr="001E21A1">
              <w:rPr>
                <w:kern w:val="0"/>
                <w:sz w:val="21"/>
                <w:szCs w:val="21"/>
              </w:rPr>
              <w:t>2</w:t>
            </w:r>
            <w:r w:rsidRPr="001E21A1">
              <w:rPr>
                <w:rFonts w:ascii="宋体" w:hAnsi="宋体"/>
                <w:kern w:val="0"/>
                <w:sz w:val="21"/>
                <w:szCs w:val="21"/>
              </w:rPr>
              <w:t>包括的敏感保护目标。</w:t>
            </w:r>
          </w:p>
        </w:tc>
      </w:tr>
    </w:tbl>
    <w:p w:rsidR="004E3021" w:rsidRDefault="00606E48">
      <w:pPr>
        <w:ind w:firstLine="480"/>
      </w:pPr>
      <w:r>
        <w:rPr>
          <w:rFonts w:ascii="宋体" w:hAnsi="宋体"/>
        </w:rPr>
        <w:t>企业雨水排口下游</w:t>
      </w:r>
      <w:r>
        <w:t>10</w:t>
      </w:r>
      <w:r>
        <w:rPr>
          <w:rFonts w:ascii="宋体" w:hAnsi="宋体"/>
        </w:rPr>
        <w:t>公里</w:t>
      </w:r>
      <w:r>
        <w:rPr>
          <w:rFonts w:ascii="宋体" w:hAnsi="宋体" w:hint="eastAsia"/>
        </w:rPr>
        <w:t>流经</w:t>
      </w:r>
      <w:r>
        <w:rPr>
          <w:rFonts w:ascii="宋体" w:hAnsi="宋体"/>
        </w:rPr>
        <w:t>范围内</w:t>
      </w:r>
      <w:r w:rsidR="00EF1EBC">
        <w:rPr>
          <w:rFonts w:ascii="宋体" w:hAnsi="宋体" w:hint="eastAsia"/>
        </w:rPr>
        <w:t>存在</w:t>
      </w:r>
      <w:r w:rsidR="00EF1EBC" w:rsidRPr="00EF1EBC">
        <w:rPr>
          <w:rFonts w:ascii="宋体" w:hAnsi="宋体" w:hint="eastAsia"/>
        </w:rPr>
        <w:t>凤阳县经开区二水厂取水口</w:t>
      </w:r>
      <w:r>
        <w:rPr>
          <w:rFonts w:ascii="宋体" w:hAnsi="宋体"/>
        </w:rPr>
        <w:t>。</w:t>
      </w:r>
      <w:r>
        <w:rPr>
          <w:rFonts w:ascii="宋体" w:hAnsi="宋体" w:hint="eastAsia"/>
        </w:rPr>
        <w:t>根据上表可知，区域地表水环境保护目标分级为</w:t>
      </w:r>
      <w:r>
        <w:rPr>
          <w:rFonts w:hint="eastAsia"/>
        </w:rPr>
        <w:t>S</w:t>
      </w:r>
      <w:r w:rsidR="00EF1EBC">
        <w:t>1</w:t>
      </w:r>
      <w:r>
        <w:rPr>
          <w:rFonts w:ascii="宋体" w:hAnsi="宋体" w:hint="eastAsia"/>
        </w:rPr>
        <w:t>。</w:t>
      </w:r>
    </w:p>
    <w:p w:rsidR="004E3021" w:rsidRDefault="00606E48">
      <w:pPr>
        <w:ind w:firstLine="480"/>
      </w:pPr>
      <w:r>
        <w:rPr>
          <w:rFonts w:ascii="宋体" w:hAnsi="宋体"/>
        </w:rPr>
        <w:t>依据事故情况下危险物质泄漏到水体排放点受纳地表水体功能敏感性与下游环境敏感目标，</w:t>
      </w:r>
      <w:r>
        <w:rPr>
          <w:rFonts w:ascii="宋体" w:hAnsi="宋体" w:hint="eastAsia"/>
        </w:rPr>
        <w:t>地表水环境敏感程度</w:t>
      </w:r>
      <w:r>
        <w:rPr>
          <w:rFonts w:ascii="宋体" w:hAnsi="宋体"/>
        </w:rPr>
        <w:t>共分为三种类型，</w:t>
      </w:r>
      <w:r>
        <w:t>E1</w:t>
      </w:r>
      <w:r>
        <w:rPr>
          <w:rFonts w:ascii="宋体" w:hAnsi="宋体"/>
        </w:rPr>
        <w:t>为环境高度敏感区，</w:t>
      </w:r>
      <w:r>
        <w:t>E2</w:t>
      </w:r>
      <w:r>
        <w:rPr>
          <w:rFonts w:ascii="宋体" w:hAnsi="宋体"/>
        </w:rPr>
        <w:t>为环境中度敏感区，</w:t>
      </w:r>
      <w:r>
        <w:t>E3</w:t>
      </w:r>
      <w:r>
        <w:rPr>
          <w:rFonts w:ascii="宋体" w:hAnsi="宋体"/>
        </w:rPr>
        <w:t>为环境低度敏感区，分级原则见表</w:t>
      </w:r>
      <w:r>
        <w:t>2.3.1-14</w:t>
      </w:r>
      <w:r>
        <w:rPr>
          <w:rFonts w:ascii="宋体" w:hAnsi="宋体"/>
        </w:rPr>
        <w:t>。</w:t>
      </w:r>
    </w:p>
    <w:p w:rsidR="004E3021" w:rsidRDefault="00606E48">
      <w:pPr>
        <w:spacing w:line="500" w:lineRule="exact"/>
        <w:ind w:firstLineChars="0" w:firstLine="0"/>
        <w:jc w:val="center"/>
        <w:rPr>
          <w:rFonts w:eastAsia="黑体"/>
        </w:rPr>
      </w:pPr>
      <w:r>
        <w:rPr>
          <w:rFonts w:ascii="黑体" w:eastAsia="黑体" w:hAnsi="黑体"/>
        </w:rPr>
        <w:t>表</w:t>
      </w:r>
      <w:r>
        <w:rPr>
          <w:rFonts w:eastAsia="黑体"/>
        </w:rPr>
        <w:t xml:space="preserve">2.3.1-14 </w:t>
      </w:r>
      <w:r>
        <w:rPr>
          <w:rFonts w:ascii="黑体" w:eastAsia="黑体" w:hAnsi="黑体" w:hint="eastAsia"/>
        </w:rPr>
        <w:t>地表水环境敏感程度分级</w:t>
      </w:r>
    </w:p>
    <w:tbl>
      <w:tblPr>
        <w:tblW w:w="5000" w:type="pct"/>
        <w:jc w:val="center"/>
        <w:tblLook w:val="04A0" w:firstRow="1" w:lastRow="0" w:firstColumn="1" w:lastColumn="0" w:noHBand="0" w:noVBand="1"/>
      </w:tblPr>
      <w:tblGrid>
        <w:gridCol w:w="3962"/>
        <w:gridCol w:w="1688"/>
        <w:gridCol w:w="1688"/>
        <w:gridCol w:w="1688"/>
      </w:tblGrid>
      <w:tr w:rsidR="004E3021" w:rsidRPr="00E13009">
        <w:trPr>
          <w:trHeight w:val="311"/>
          <w:jc w:val="center"/>
        </w:trPr>
        <w:tc>
          <w:tcPr>
            <w:tcW w:w="2195" w:type="pct"/>
            <w:vMerge w:val="restart"/>
            <w:tcBorders>
              <w:top w:val="single" w:sz="12" w:space="0" w:color="auto"/>
              <w:left w:val="nil"/>
              <w:bottom w:val="single" w:sz="4" w:space="0" w:color="auto"/>
              <w:right w:val="single" w:sz="4" w:space="0" w:color="auto"/>
            </w:tcBorders>
            <w:vAlign w:val="center"/>
          </w:tcPr>
          <w:p w:rsidR="004E3021" w:rsidRPr="00E13009" w:rsidRDefault="00606E48">
            <w:pPr>
              <w:pStyle w:val="afffffff2"/>
              <w:rPr>
                <w:b/>
                <w:kern w:val="0"/>
                <w:sz w:val="21"/>
                <w:szCs w:val="21"/>
              </w:rPr>
            </w:pPr>
            <w:r w:rsidRPr="00E13009">
              <w:rPr>
                <w:rFonts w:hint="eastAsia"/>
                <w:b/>
                <w:kern w:val="0"/>
                <w:sz w:val="21"/>
                <w:szCs w:val="21"/>
              </w:rPr>
              <w:t>环境敏感目标</w:t>
            </w:r>
          </w:p>
        </w:tc>
        <w:tc>
          <w:tcPr>
            <w:tcW w:w="2805" w:type="pct"/>
            <w:gridSpan w:val="3"/>
            <w:tcBorders>
              <w:top w:val="single" w:sz="12" w:space="0" w:color="auto"/>
              <w:left w:val="single" w:sz="4" w:space="0" w:color="auto"/>
              <w:bottom w:val="single" w:sz="4" w:space="0" w:color="auto"/>
              <w:right w:val="nil"/>
            </w:tcBorders>
            <w:vAlign w:val="center"/>
          </w:tcPr>
          <w:p w:rsidR="004E3021" w:rsidRPr="00E13009" w:rsidRDefault="00606E48">
            <w:pPr>
              <w:pStyle w:val="afffffff2"/>
              <w:rPr>
                <w:b/>
                <w:kern w:val="0"/>
                <w:sz w:val="21"/>
                <w:szCs w:val="21"/>
              </w:rPr>
            </w:pPr>
            <w:r w:rsidRPr="00E13009">
              <w:rPr>
                <w:rFonts w:hint="eastAsia"/>
                <w:b/>
                <w:kern w:val="0"/>
                <w:sz w:val="21"/>
                <w:szCs w:val="21"/>
              </w:rPr>
              <w:t>地表水功能敏感性</w:t>
            </w:r>
          </w:p>
        </w:tc>
      </w:tr>
      <w:tr w:rsidR="004E3021" w:rsidRPr="00E13009">
        <w:trPr>
          <w:trHeight w:val="109"/>
          <w:jc w:val="center"/>
        </w:trPr>
        <w:tc>
          <w:tcPr>
            <w:tcW w:w="0" w:type="auto"/>
            <w:vMerge/>
            <w:tcBorders>
              <w:top w:val="single" w:sz="12" w:space="0" w:color="auto"/>
              <w:left w:val="nil"/>
              <w:bottom w:val="single" w:sz="4" w:space="0" w:color="auto"/>
              <w:right w:val="single" w:sz="4" w:space="0" w:color="auto"/>
            </w:tcBorders>
            <w:vAlign w:val="center"/>
          </w:tcPr>
          <w:p w:rsidR="004E3021" w:rsidRPr="00E13009" w:rsidRDefault="004E3021">
            <w:pPr>
              <w:pStyle w:val="afffffff2"/>
              <w:rPr>
                <w:b/>
                <w:kern w:val="0"/>
                <w:sz w:val="21"/>
                <w:szCs w:val="21"/>
              </w:rPr>
            </w:pPr>
          </w:p>
        </w:tc>
        <w:tc>
          <w:tcPr>
            <w:tcW w:w="935"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b/>
                <w:kern w:val="0"/>
                <w:sz w:val="21"/>
                <w:szCs w:val="21"/>
              </w:rPr>
            </w:pPr>
            <w:r w:rsidRPr="00E13009">
              <w:rPr>
                <w:b/>
                <w:kern w:val="0"/>
                <w:sz w:val="21"/>
                <w:szCs w:val="21"/>
              </w:rPr>
              <w:t>F1</w:t>
            </w:r>
          </w:p>
        </w:tc>
        <w:tc>
          <w:tcPr>
            <w:tcW w:w="935" w:type="pct"/>
            <w:tcBorders>
              <w:top w:val="single" w:sz="4" w:space="0" w:color="auto"/>
              <w:left w:val="single" w:sz="4" w:space="0" w:color="auto"/>
              <w:bottom w:val="single" w:sz="4" w:space="0" w:color="auto"/>
              <w:right w:val="single" w:sz="4" w:space="0" w:color="auto"/>
            </w:tcBorders>
            <w:vAlign w:val="center"/>
          </w:tcPr>
          <w:p w:rsidR="004E3021" w:rsidRPr="00E13009" w:rsidRDefault="00606E48">
            <w:pPr>
              <w:pStyle w:val="afffffff2"/>
              <w:rPr>
                <w:b/>
                <w:kern w:val="0"/>
                <w:sz w:val="21"/>
                <w:szCs w:val="21"/>
              </w:rPr>
            </w:pPr>
            <w:r w:rsidRPr="00E13009">
              <w:rPr>
                <w:b/>
                <w:kern w:val="0"/>
                <w:sz w:val="21"/>
                <w:szCs w:val="21"/>
              </w:rPr>
              <w:t>F2</w:t>
            </w:r>
          </w:p>
        </w:tc>
        <w:tc>
          <w:tcPr>
            <w:tcW w:w="935" w:type="pct"/>
            <w:tcBorders>
              <w:top w:val="single" w:sz="4" w:space="0" w:color="auto"/>
              <w:left w:val="single" w:sz="4" w:space="0" w:color="auto"/>
              <w:bottom w:val="single" w:sz="4" w:space="0" w:color="auto"/>
              <w:right w:val="nil"/>
            </w:tcBorders>
            <w:vAlign w:val="center"/>
          </w:tcPr>
          <w:p w:rsidR="004E3021" w:rsidRPr="00E13009" w:rsidRDefault="00606E48">
            <w:pPr>
              <w:pStyle w:val="afffffff2"/>
              <w:rPr>
                <w:b/>
                <w:kern w:val="0"/>
                <w:sz w:val="21"/>
                <w:szCs w:val="21"/>
              </w:rPr>
            </w:pPr>
            <w:r w:rsidRPr="00E13009">
              <w:rPr>
                <w:b/>
                <w:kern w:val="0"/>
                <w:sz w:val="21"/>
                <w:szCs w:val="21"/>
              </w:rPr>
              <w:t>F3</w:t>
            </w:r>
          </w:p>
        </w:tc>
      </w:tr>
      <w:tr w:rsidR="004E3021" w:rsidRPr="001E21A1" w:rsidTr="00EF1EBC">
        <w:trPr>
          <w:trHeight w:val="283"/>
          <w:jc w:val="center"/>
        </w:trPr>
        <w:tc>
          <w:tcPr>
            <w:tcW w:w="2195" w:type="pct"/>
            <w:tcBorders>
              <w:top w:val="single" w:sz="4" w:space="0" w:color="auto"/>
              <w:left w:val="nil"/>
              <w:bottom w:val="single" w:sz="4" w:space="0" w:color="auto"/>
              <w:right w:val="single" w:sz="4" w:space="0" w:color="auto"/>
            </w:tcBorders>
            <w:vAlign w:val="center"/>
          </w:tcPr>
          <w:p w:rsidR="004E3021" w:rsidRPr="001E21A1" w:rsidRDefault="00606E48">
            <w:pPr>
              <w:pStyle w:val="afffffff2"/>
              <w:rPr>
                <w:kern w:val="0"/>
                <w:sz w:val="21"/>
                <w:szCs w:val="21"/>
              </w:rPr>
            </w:pPr>
            <w:r w:rsidRPr="001E21A1">
              <w:rPr>
                <w:kern w:val="0"/>
                <w:sz w:val="21"/>
                <w:szCs w:val="21"/>
              </w:rPr>
              <w:t>S1</w:t>
            </w:r>
          </w:p>
        </w:tc>
        <w:tc>
          <w:tcPr>
            <w:tcW w:w="935" w:type="pct"/>
            <w:tcBorders>
              <w:top w:val="single" w:sz="4" w:space="0" w:color="auto"/>
              <w:left w:val="single" w:sz="4" w:space="0" w:color="auto"/>
              <w:bottom w:val="single" w:sz="4" w:space="0" w:color="auto"/>
              <w:right w:val="single" w:sz="4" w:space="0" w:color="auto"/>
            </w:tcBorders>
            <w:vAlign w:val="center"/>
          </w:tcPr>
          <w:p w:rsidR="004E3021" w:rsidRPr="001E21A1" w:rsidRDefault="00606E48">
            <w:pPr>
              <w:pStyle w:val="afffffff2"/>
              <w:rPr>
                <w:kern w:val="0"/>
                <w:sz w:val="21"/>
                <w:szCs w:val="21"/>
              </w:rPr>
            </w:pPr>
            <w:r w:rsidRPr="001E21A1">
              <w:rPr>
                <w:kern w:val="0"/>
                <w:sz w:val="21"/>
                <w:szCs w:val="21"/>
              </w:rPr>
              <w:t>E1</w:t>
            </w:r>
          </w:p>
        </w:tc>
        <w:tc>
          <w:tcPr>
            <w:tcW w:w="935" w:type="pct"/>
            <w:tcBorders>
              <w:top w:val="single" w:sz="4" w:space="0" w:color="auto"/>
              <w:left w:val="single" w:sz="4" w:space="0" w:color="auto"/>
              <w:bottom w:val="single" w:sz="4" w:space="0" w:color="auto"/>
              <w:right w:val="single" w:sz="4" w:space="0" w:color="auto"/>
            </w:tcBorders>
            <w:vAlign w:val="center"/>
          </w:tcPr>
          <w:p w:rsidR="004E3021" w:rsidRPr="001E21A1" w:rsidRDefault="00606E48">
            <w:pPr>
              <w:pStyle w:val="afffffff2"/>
              <w:rPr>
                <w:kern w:val="0"/>
                <w:sz w:val="21"/>
                <w:szCs w:val="21"/>
              </w:rPr>
            </w:pPr>
            <w:r w:rsidRPr="001E21A1">
              <w:rPr>
                <w:kern w:val="0"/>
                <w:sz w:val="21"/>
                <w:szCs w:val="21"/>
              </w:rPr>
              <w:t>E1</w:t>
            </w:r>
          </w:p>
        </w:tc>
        <w:tc>
          <w:tcPr>
            <w:tcW w:w="935" w:type="pct"/>
            <w:tcBorders>
              <w:top w:val="single" w:sz="4" w:space="0" w:color="auto"/>
              <w:left w:val="single" w:sz="4" w:space="0" w:color="auto"/>
              <w:bottom w:val="single" w:sz="4" w:space="0" w:color="auto"/>
              <w:right w:val="nil"/>
            </w:tcBorders>
            <w:shd w:val="clear" w:color="auto" w:fill="A6A6A6" w:themeFill="background1" w:themeFillShade="A6"/>
            <w:vAlign w:val="center"/>
          </w:tcPr>
          <w:p w:rsidR="004E3021" w:rsidRPr="001E21A1" w:rsidRDefault="00606E48">
            <w:pPr>
              <w:pStyle w:val="afffffff2"/>
              <w:rPr>
                <w:kern w:val="0"/>
                <w:sz w:val="21"/>
                <w:szCs w:val="21"/>
              </w:rPr>
            </w:pPr>
            <w:r w:rsidRPr="001E21A1">
              <w:rPr>
                <w:kern w:val="0"/>
                <w:sz w:val="21"/>
                <w:szCs w:val="21"/>
              </w:rPr>
              <w:t>E2</w:t>
            </w:r>
          </w:p>
        </w:tc>
      </w:tr>
      <w:tr w:rsidR="004E3021" w:rsidRPr="001E21A1">
        <w:trPr>
          <w:trHeight w:val="273"/>
          <w:jc w:val="center"/>
        </w:trPr>
        <w:tc>
          <w:tcPr>
            <w:tcW w:w="2195" w:type="pct"/>
            <w:tcBorders>
              <w:top w:val="single" w:sz="4" w:space="0" w:color="auto"/>
              <w:left w:val="nil"/>
              <w:bottom w:val="single" w:sz="4" w:space="0" w:color="auto"/>
              <w:right w:val="single" w:sz="4" w:space="0" w:color="auto"/>
            </w:tcBorders>
            <w:vAlign w:val="center"/>
          </w:tcPr>
          <w:p w:rsidR="004E3021" w:rsidRPr="001E21A1" w:rsidRDefault="00606E48">
            <w:pPr>
              <w:pStyle w:val="afffffff2"/>
              <w:rPr>
                <w:kern w:val="0"/>
                <w:sz w:val="21"/>
                <w:szCs w:val="21"/>
              </w:rPr>
            </w:pPr>
            <w:r w:rsidRPr="001E21A1">
              <w:rPr>
                <w:kern w:val="0"/>
                <w:sz w:val="21"/>
                <w:szCs w:val="21"/>
              </w:rPr>
              <w:t>S2</w:t>
            </w:r>
          </w:p>
        </w:tc>
        <w:tc>
          <w:tcPr>
            <w:tcW w:w="935" w:type="pct"/>
            <w:tcBorders>
              <w:top w:val="single" w:sz="4" w:space="0" w:color="auto"/>
              <w:left w:val="single" w:sz="4" w:space="0" w:color="auto"/>
              <w:bottom w:val="single" w:sz="4" w:space="0" w:color="auto"/>
              <w:right w:val="single" w:sz="4" w:space="0" w:color="auto"/>
            </w:tcBorders>
            <w:vAlign w:val="center"/>
          </w:tcPr>
          <w:p w:rsidR="004E3021" w:rsidRPr="001E21A1" w:rsidRDefault="00606E48">
            <w:pPr>
              <w:pStyle w:val="afffffff2"/>
              <w:rPr>
                <w:kern w:val="0"/>
                <w:sz w:val="21"/>
                <w:szCs w:val="21"/>
              </w:rPr>
            </w:pPr>
            <w:r w:rsidRPr="001E21A1">
              <w:rPr>
                <w:kern w:val="0"/>
                <w:sz w:val="21"/>
                <w:szCs w:val="21"/>
              </w:rPr>
              <w:t>E1</w:t>
            </w:r>
          </w:p>
        </w:tc>
        <w:tc>
          <w:tcPr>
            <w:tcW w:w="935" w:type="pct"/>
            <w:tcBorders>
              <w:top w:val="single" w:sz="4" w:space="0" w:color="auto"/>
              <w:left w:val="single" w:sz="4" w:space="0" w:color="auto"/>
              <w:bottom w:val="single" w:sz="4" w:space="0" w:color="auto"/>
              <w:right w:val="single" w:sz="4" w:space="0" w:color="auto"/>
            </w:tcBorders>
            <w:vAlign w:val="center"/>
          </w:tcPr>
          <w:p w:rsidR="004E3021" w:rsidRPr="001E21A1" w:rsidRDefault="00606E48">
            <w:pPr>
              <w:pStyle w:val="afffffff2"/>
              <w:rPr>
                <w:kern w:val="0"/>
                <w:sz w:val="21"/>
                <w:szCs w:val="21"/>
              </w:rPr>
            </w:pPr>
            <w:r w:rsidRPr="001E21A1">
              <w:rPr>
                <w:kern w:val="0"/>
                <w:sz w:val="21"/>
                <w:szCs w:val="21"/>
              </w:rPr>
              <w:t>E2</w:t>
            </w:r>
          </w:p>
        </w:tc>
        <w:tc>
          <w:tcPr>
            <w:tcW w:w="935" w:type="pct"/>
            <w:tcBorders>
              <w:top w:val="single" w:sz="4" w:space="0" w:color="auto"/>
              <w:left w:val="single" w:sz="4" w:space="0" w:color="auto"/>
              <w:bottom w:val="single" w:sz="4" w:space="0" w:color="auto"/>
              <w:right w:val="nil"/>
            </w:tcBorders>
            <w:vAlign w:val="center"/>
          </w:tcPr>
          <w:p w:rsidR="004E3021" w:rsidRPr="001E21A1" w:rsidRDefault="00606E48">
            <w:pPr>
              <w:pStyle w:val="afffffff2"/>
              <w:rPr>
                <w:kern w:val="0"/>
                <w:sz w:val="21"/>
                <w:szCs w:val="21"/>
              </w:rPr>
            </w:pPr>
            <w:r w:rsidRPr="001E21A1">
              <w:rPr>
                <w:kern w:val="0"/>
                <w:sz w:val="21"/>
                <w:szCs w:val="21"/>
              </w:rPr>
              <w:t>E3</w:t>
            </w:r>
          </w:p>
        </w:tc>
      </w:tr>
      <w:tr w:rsidR="004E3021" w:rsidRPr="001E21A1" w:rsidTr="00EF1EBC">
        <w:trPr>
          <w:trHeight w:val="277"/>
          <w:jc w:val="center"/>
        </w:trPr>
        <w:tc>
          <w:tcPr>
            <w:tcW w:w="2195" w:type="pct"/>
            <w:tcBorders>
              <w:top w:val="single" w:sz="4" w:space="0" w:color="auto"/>
              <w:left w:val="nil"/>
              <w:bottom w:val="single" w:sz="12" w:space="0" w:color="auto"/>
              <w:right w:val="single" w:sz="4" w:space="0" w:color="auto"/>
            </w:tcBorders>
            <w:vAlign w:val="center"/>
          </w:tcPr>
          <w:p w:rsidR="004E3021" w:rsidRPr="001E21A1" w:rsidRDefault="00606E48">
            <w:pPr>
              <w:pStyle w:val="afffffff2"/>
              <w:rPr>
                <w:kern w:val="0"/>
                <w:sz w:val="21"/>
                <w:szCs w:val="21"/>
              </w:rPr>
            </w:pPr>
            <w:r w:rsidRPr="001E21A1">
              <w:rPr>
                <w:kern w:val="0"/>
                <w:sz w:val="21"/>
                <w:szCs w:val="21"/>
              </w:rPr>
              <w:t>S3</w:t>
            </w:r>
          </w:p>
        </w:tc>
        <w:tc>
          <w:tcPr>
            <w:tcW w:w="935" w:type="pct"/>
            <w:tcBorders>
              <w:top w:val="single" w:sz="4" w:space="0" w:color="auto"/>
              <w:left w:val="single" w:sz="4" w:space="0" w:color="auto"/>
              <w:bottom w:val="single" w:sz="12" w:space="0" w:color="auto"/>
              <w:right w:val="single" w:sz="4" w:space="0" w:color="auto"/>
            </w:tcBorders>
            <w:vAlign w:val="center"/>
          </w:tcPr>
          <w:p w:rsidR="004E3021" w:rsidRPr="001E21A1" w:rsidRDefault="00606E48">
            <w:pPr>
              <w:pStyle w:val="afffffff2"/>
              <w:rPr>
                <w:kern w:val="0"/>
                <w:sz w:val="21"/>
                <w:szCs w:val="21"/>
              </w:rPr>
            </w:pPr>
            <w:r w:rsidRPr="001E21A1">
              <w:rPr>
                <w:kern w:val="0"/>
                <w:sz w:val="21"/>
                <w:szCs w:val="21"/>
              </w:rPr>
              <w:t>E1</w:t>
            </w:r>
          </w:p>
        </w:tc>
        <w:tc>
          <w:tcPr>
            <w:tcW w:w="935" w:type="pct"/>
            <w:tcBorders>
              <w:top w:val="single" w:sz="4" w:space="0" w:color="auto"/>
              <w:left w:val="single" w:sz="4" w:space="0" w:color="auto"/>
              <w:bottom w:val="single" w:sz="12" w:space="0" w:color="auto"/>
              <w:right w:val="single" w:sz="4" w:space="0" w:color="auto"/>
            </w:tcBorders>
            <w:vAlign w:val="center"/>
          </w:tcPr>
          <w:p w:rsidR="004E3021" w:rsidRPr="001E21A1" w:rsidRDefault="00606E48">
            <w:pPr>
              <w:pStyle w:val="afffffff2"/>
              <w:rPr>
                <w:kern w:val="0"/>
                <w:sz w:val="21"/>
                <w:szCs w:val="21"/>
              </w:rPr>
            </w:pPr>
            <w:r w:rsidRPr="001E21A1">
              <w:rPr>
                <w:kern w:val="0"/>
                <w:sz w:val="21"/>
                <w:szCs w:val="21"/>
              </w:rPr>
              <w:t>E2</w:t>
            </w:r>
          </w:p>
        </w:tc>
        <w:tc>
          <w:tcPr>
            <w:tcW w:w="935" w:type="pct"/>
            <w:tcBorders>
              <w:top w:val="single" w:sz="4" w:space="0" w:color="auto"/>
              <w:left w:val="single" w:sz="4" w:space="0" w:color="auto"/>
              <w:bottom w:val="single" w:sz="12" w:space="0" w:color="auto"/>
              <w:right w:val="nil"/>
            </w:tcBorders>
            <w:shd w:val="clear" w:color="auto" w:fill="FFFFFF" w:themeFill="background1"/>
            <w:vAlign w:val="center"/>
          </w:tcPr>
          <w:p w:rsidR="004E3021" w:rsidRPr="001E21A1" w:rsidRDefault="00606E48">
            <w:pPr>
              <w:pStyle w:val="afffffff2"/>
              <w:rPr>
                <w:kern w:val="0"/>
                <w:sz w:val="21"/>
                <w:szCs w:val="21"/>
              </w:rPr>
            </w:pPr>
            <w:r w:rsidRPr="001E21A1">
              <w:rPr>
                <w:kern w:val="0"/>
                <w:sz w:val="21"/>
                <w:szCs w:val="21"/>
              </w:rPr>
              <w:t>E3</w:t>
            </w:r>
          </w:p>
        </w:tc>
      </w:tr>
    </w:tbl>
    <w:p w:rsidR="004E3021" w:rsidRDefault="00606E48">
      <w:pPr>
        <w:ind w:firstLine="480"/>
        <w:rPr>
          <w:b/>
          <w:bCs/>
          <w:color w:val="0000FF"/>
        </w:rPr>
      </w:pPr>
      <w:r>
        <w:rPr>
          <w:rFonts w:hint="eastAsia"/>
        </w:rPr>
        <w:t>由环境敏感目标分级、地表水功能敏感性分区可知，地表水环境敏感程度为</w:t>
      </w:r>
      <w:r>
        <w:t>E</w:t>
      </w:r>
      <w:r w:rsidR="00EF1EBC">
        <w:t>2</w:t>
      </w:r>
      <w:r>
        <w:rPr>
          <w:rFonts w:hint="eastAsia"/>
        </w:rPr>
        <w:t>。</w:t>
      </w:r>
    </w:p>
    <w:p w:rsidR="004E3021" w:rsidRDefault="00606E48">
      <w:pPr>
        <w:ind w:firstLine="482"/>
        <w:rPr>
          <w:b/>
        </w:rPr>
      </w:pPr>
      <w:r>
        <w:rPr>
          <w:b/>
        </w:rPr>
        <w:t>（</w:t>
      </w:r>
      <w:r>
        <w:rPr>
          <w:b/>
        </w:rPr>
        <w:t>3</w:t>
      </w:r>
      <w:r>
        <w:rPr>
          <w:b/>
        </w:rPr>
        <w:t>）地下水环境敏感程度</w:t>
      </w:r>
    </w:p>
    <w:p w:rsidR="00EF1EBC" w:rsidRDefault="00606E48">
      <w:pPr>
        <w:ind w:firstLine="480"/>
        <w:rPr>
          <w:rFonts w:ascii="宋体" w:hAnsi="宋体"/>
        </w:rPr>
        <w:sectPr w:rsidR="00EF1EBC">
          <w:pgSz w:w="11906" w:h="16838"/>
          <w:pgMar w:top="1440" w:right="1440" w:bottom="1440" w:left="1440" w:header="851" w:footer="992" w:gutter="0"/>
          <w:cols w:space="425"/>
          <w:docGrid w:type="lines" w:linePitch="326"/>
        </w:sectPr>
      </w:pPr>
      <w:r>
        <w:rPr>
          <w:rFonts w:ascii="宋体" w:hAnsi="宋体" w:hint="eastAsia"/>
        </w:rPr>
        <w:t>根据《建设项目环境风险评价技术导则》</w:t>
      </w:r>
      <w:r>
        <w:rPr>
          <w:rFonts w:hint="eastAsia"/>
        </w:rPr>
        <w:t>(</w:t>
      </w:r>
      <w:r>
        <w:t>HJ169-2018</w:t>
      </w:r>
      <w:r>
        <w:rPr>
          <w:rFonts w:hint="eastAsia"/>
        </w:rPr>
        <w:t>)</w:t>
      </w:r>
      <w:r>
        <w:rPr>
          <w:rFonts w:ascii="宋体" w:hAnsi="宋体" w:hint="eastAsia"/>
        </w:rPr>
        <w:t>，地下水</w:t>
      </w:r>
      <w:r>
        <w:rPr>
          <w:rFonts w:ascii="宋体" w:hAnsi="宋体"/>
        </w:rPr>
        <w:t>功能敏感性分区和</w:t>
      </w:r>
      <w:r>
        <w:rPr>
          <w:rFonts w:ascii="宋体" w:hAnsi="宋体" w:hint="eastAsia"/>
        </w:rPr>
        <w:t>包气带防污性能</w:t>
      </w:r>
      <w:r>
        <w:rPr>
          <w:rFonts w:ascii="宋体" w:hAnsi="宋体"/>
        </w:rPr>
        <w:t>分级分别见表</w:t>
      </w:r>
      <w:r>
        <w:t>2.3.1-15</w:t>
      </w:r>
      <w:r>
        <w:rPr>
          <w:rFonts w:ascii="宋体" w:hAnsi="宋体" w:hint="eastAsia"/>
        </w:rPr>
        <w:t>及</w:t>
      </w:r>
      <w:r>
        <w:rPr>
          <w:rFonts w:ascii="宋体" w:hAnsi="宋体"/>
        </w:rPr>
        <w:t>表</w:t>
      </w:r>
      <w:r>
        <w:t>2.3.1-16</w:t>
      </w:r>
      <w:r>
        <w:rPr>
          <w:rFonts w:ascii="宋体" w:hAnsi="宋体"/>
        </w:rPr>
        <w:t>。</w:t>
      </w:r>
      <w:r>
        <w:rPr>
          <w:rFonts w:ascii="宋体" w:hAnsi="宋体" w:hint="eastAsia"/>
        </w:rPr>
        <w:t>当同一建设项目涉及两个</w:t>
      </w:r>
      <w:r>
        <w:rPr>
          <w:rFonts w:hint="eastAsia"/>
        </w:rPr>
        <w:t>G</w:t>
      </w:r>
      <w:r>
        <w:rPr>
          <w:rFonts w:ascii="宋体" w:hAnsi="宋体" w:hint="eastAsia"/>
        </w:rPr>
        <w:t>分区或</w:t>
      </w:r>
      <w:r>
        <w:rPr>
          <w:rFonts w:hint="eastAsia"/>
        </w:rPr>
        <w:t>D</w:t>
      </w:r>
      <w:r>
        <w:rPr>
          <w:rFonts w:ascii="宋体" w:hAnsi="宋体" w:hint="eastAsia"/>
        </w:rPr>
        <w:t>分级及以上时，取相对高值。</w:t>
      </w:r>
    </w:p>
    <w:p w:rsidR="004E3021" w:rsidRDefault="00606E48">
      <w:pPr>
        <w:spacing w:line="500" w:lineRule="exact"/>
        <w:ind w:firstLineChars="0" w:firstLine="0"/>
        <w:jc w:val="center"/>
        <w:rPr>
          <w:rFonts w:eastAsia="黑体"/>
        </w:rPr>
      </w:pPr>
      <w:r>
        <w:rPr>
          <w:rFonts w:ascii="黑体" w:eastAsia="黑体" w:hAnsi="黑体"/>
        </w:rPr>
        <w:lastRenderedPageBreak/>
        <w:t>表</w:t>
      </w:r>
      <w:r>
        <w:rPr>
          <w:rFonts w:eastAsia="黑体"/>
        </w:rPr>
        <w:t xml:space="preserve">2.3.1-15  </w:t>
      </w:r>
      <w:r>
        <w:rPr>
          <w:rFonts w:ascii="黑体" w:eastAsia="黑体" w:hAnsi="黑体" w:hint="eastAsia"/>
        </w:rPr>
        <w:t>地下水功能敏感性分区</w:t>
      </w:r>
    </w:p>
    <w:tbl>
      <w:tblPr>
        <w:tblW w:w="5000" w:type="pct"/>
        <w:jc w:val="center"/>
        <w:tblLook w:val="04A0" w:firstRow="1" w:lastRow="0" w:firstColumn="1" w:lastColumn="0" w:noHBand="0" w:noVBand="1"/>
      </w:tblPr>
      <w:tblGrid>
        <w:gridCol w:w="1224"/>
        <w:gridCol w:w="7802"/>
      </w:tblGrid>
      <w:tr w:rsidR="004E3021" w:rsidRPr="001E21A1">
        <w:trPr>
          <w:trHeight w:val="176"/>
          <w:jc w:val="center"/>
        </w:trPr>
        <w:tc>
          <w:tcPr>
            <w:tcW w:w="673" w:type="pct"/>
            <w:tcBorders>
              <w:top w:val="single" w:sz="12" w:space="0" w:color="auto"/>
              <w:left w:val="nil"/>
              <w:bottom w:val="single" w:sz="4" w:space="0" w:color="auto"/>
              <w:right w:val="single" w:sz="4" w:space="0" w:color="auto"/>
            </w:tcBorders>
            <w:vAlign w:val="center"/>
          </w:tcPr>
          <w:p w:rsidR="004E3021" w:rsidRPr="001E21A1" w:rsidRDefault="00606E48">
            <w:pPr>
              <w:pStyle w:val="afffffff2"/>
              <w:rPr>
                <w:b/>
                <w:kern w:val="0"/>
                <w:sz w:val="21"/>
                <w:szCs w:val="21"/>
              </w:rPr>
            </w:pPr>
            <w:r w:rsidRPr="001E21A1">
              <w:rPr>
                <w:rFonts w:hint="eastAsia"/>
                <w:b/>
                <w:kern w:val="0"/>
                <w:sz w:val="21"/>
                <w:szCs w:val="21"/>
              </w:rPr>
              <w:t>敏感性</w:t>
            </w:r>
          </w:p>
        </w:tc>
        <w:tc>
          <w:tcPr>
            <w:tcW w:w="4327" w:type="pct"/>
            <w:tcBorders>
              <w:top w:val="single" w:sz="12" w:space="0" w:color="auto"/>
              <w:left w:val="single" w:sz="4" w:space="0" w:color="auto"/>
              <w:bottom w:val="single" w:sz="4" w:space="0" w:color="auto"/>
              <w:right w:val="nil"/>
            </w:tcBorders>
            <w:vAlign w:val="center"/>
          </w:tcPr>
          <w:p w:rsidR="004E3021" w:rsidRPr="001E21A1" w:rsidRDefault="00606E48">
            <w:pPr>
              <w:pStyle w:val="afffffff2"/>
              <w:rPr>
                <w:b/>
                <w:kern w:val="0"/>
                <w:sz w:val="21"/>
                <w:szCs w:val="21"/>
              </w:rPr>
            </w:pPr>
            <w:r w:rsidRPr="001E21A1">
              <w:rPr>
                <w:rFonts w:hint="eastAsia"/>
                <w:b/>
                <w:kern w:val="0"/>
                <w:sz w:val="21"/>
                <w:szCs w:val="21"/>
              </w:rPr>
              <w:t>地下水环境敏感特征</w:t>
            </w:r>
          </w:p>
        </w:tc>
      </w:tr>
      <w:tr w:rsidR="004E3021" w:rsidRPr="001E21A1">
        <w:trPr>
          <w:trHeight w:val="611"/>
          <w:jc w:val="center"/>
        </w:trPr>
        <w:tc>
          <w:tcPr>
            <w:tcW w:w="673" w:type="pct"/>
            <w:tcBorders>
              <w:top w:val="single" w:sz="4" w:space="0" w:color="auto"/>
              <w:left w:val="nil"/>
              <w:bottom w:val="single" w:sz="4" w:space="0" w:color="auto"/>
              <w:right w:val="single" w:sz="4" w:space="0" w:color="auto"/>
            </w:tcBorders>
            <w:vAlign w:val="center"/>
          </w:tcPr>
          <w:p w:rsidR="004E3021" w:rsidRPr="001E21A1" w:rsidRDefault="00606E48">
            <w:pPr>
              <w:pStyle w:val="afffffff2"/>
              <w:rPr>
                <w:kern w:val="0"/>
                <w:sz w:val="21"/>
                <w:szCs w:val="21"/>
              </w:rPr>
            </w:pPr>
            <w:r w:rsidRPr="001E21A1">
              <w:rPr>
                <w:rFonts w:hint="eastAsia"/>
                <w:kern w:val="0"/>
                <w:sz w:val="21"/>
                <w:szCs w:val="21"/>
              </w:rPr>
              <w:t>敏感</w:t>
            </w:r>
            <w:r w:rsidRPr="001E21A1">
              <w:rPr>
                <w:kern w:val="0"/>
                <w:sz w:val="21"/>
                <w:szCs w:val="21"/>
              </w:rPr>
              <w:t>G1</w:t>
            </w:r>
          </w:p>
        </w:tc>
        <w:tc>
          <w:tcPr>
            <w:tcW w:w="4327" w:type="pct"/>
            <w:tcBorders>
              <w:top w:val="single" w:sz="4" w:space="0" w:color="auto"/>
              <w:left w:val="single" w:sz="4" w:space="0" w:color="auto"/>
              <w:bottom w:val="single" w:sz="4" w:space="0" w:color="auto"/>
              <w:right w:val="nil"/>
            </w:tcBorders>
            <w:vAlign w:val="center"/>
          </w:tcPr>
          <w:p w:rsidR="004E3021" w:rsidRPr="001E21A1" w:rsidRDefault="00606E48">
            <w:pPr>
              <w:pStyle w:val="afffffff2"/>
              <w:rPr>
                <w:kern w:val="0"/>
                <w:sz w:val="21"/>
                <w:szCs w:val="21"/>
              </w:rPr>
            </w:pPr>
            <w:r w:rsidRPr="001E21A1">
              <w:rPr>
                <w:rFonts w:hint="eastAsia"/>
                <w:kern w:val="0"/>
                <w:sz w:val="21"/>
                <w:szCs w:val="21"/>
              </w:rPr>
              <w:t>集中式自来水水源</w:t>
            </w:r>
            <w:r w:rsidRPr="001E21A1">
              <w:rPr>
                <w:rFonts w:hint="eastAsia"/>
                <w:kern w:val="0"/>
                <w:sz w:val="21"/>
                <w:szCs w:val="21"/>
              </w:rPr>
              <w:t>(</w:t>
            </w:r>
            <w:r w:rsidRPr="001E21A1">
              <w:rPr>
                <w:rFonts w:hint="eastAsia"/>
                <w:kern w:val="0"/>
                <w:sz w:val="21"/>
                <w:szCs w:val="21"/>
              </w:rPr>
              <w:t>包括已建成的在用、备用、应急水源，在建和规划的自来水水源</w:t>
            </w:r>
            <w:r w:rsidRPr="001E21A1">
              <w:rPr>
                <w:rFonts w:hint="eastAsia"/>
                <w:kern w:val="0"/>
                <w:sz w:val="21"/>
                <w:szCs w:val="21"/>
              </w:rPr>
              <w:t>)</w:t>
            </w:r>
            <w:r w:rsidRPr="001E21A1">
              <w:rPr>
                <w:rFonts w:hint="eastAsia"/>
                <w:kern w:val="0"/>
                <w:sz w:val="21"/>
                <w:szCs w:val="21"/>
              </w:rPr>
              <w:t>准保护区；除集中式自来水源以外的国家或地方政府设定的地下环境相关的其他保护区，如热水、矿泉水、温泉等特殊地下水资源保护区</w:t>
            </w:r>
          </w:p>
        </w:tc>
      </w:tr>
      <w:tr w:rsidR="004E3021" w:rsidRPr="001E21A1">
        <w:trPr>
          <w:trHeight w:val="906"/>
          <w:jc w:val="center"/>
        </w:trPr>
        <w:tc>
          <w:tcPr>
            <w:tcW w:w="673" w:type="pct"/>
            <w:tcBorders>
              <w:top w:val="single" w:sz="4" w:space="0" w:color="auto"/>
              <w:left w:val="nil"/>
              <w:bottom w:val="single" w:sz="4" w:space="0" w:color="auto"/>
              <w:right w:val="single" w:sz="4" w:space="0" w:color="auto"/>
            </w:tcBorders>
            <w:vAlign w:val="center"/>
          </w:tcPr>
          <w:p w:rsidR="004E3021" w:rsidRPr="001E21A1" w:rsidRDefault="00606E48">
            <w:pPr>
              <w:pStyle w:val="afffffff2"/>
              <w:rPr>
                <w:kern w:val="0"/>
                <w:sz w:val="21"/>
                <w:szCs w:val="21"/>
              </w:rPr>
            </w:pPr>
            <w:r w:rsidRPr="001E21A1">
              <w:rPr>
                <w:rFonts w:hint="eastAsia"/>
                <w:kern w:val="0"/>
                <w:sz w:val="21"/>
                <w:szCs w:val="21"/>
              </w:rPr>
              <w:t>较敏感</w:t>
            </w:r>
            <w:r w:rsidRPr="001E21A1">
              <w:rPr>
                <w:kern w:val="0"/>
                <w:sz w:val="21"/>
                <w:szCs w:val="21"/>
              </w:rPr>
              <w:t>G2</w:t>
            </w:r>
          </w:p>
        </w:tc>
        <w:tc>
          <w:tcPr>
            <w:tcW w:w="4327" w:type="pct"/>
            <w:tcBorders>
              <w:top w:val="single" w:sz="4" w:space="0" w:color="auto"/>
              <w:left w:val="single" w:sz="4" w:space="0" w:color="auto"/>
              <w:bottom w:val="single" w:sz="4" w:space="0" w:color="auto"/>
              <w:right w:val="nil"/>
            </w:tcBorders>
            <w:vAlign w:val="center"/>
          </w:tcPr>
          <w:p w:rsidR="004E3021" w:rsidRPr="001E21A1" w:rsidRDefault="00606E48">
            <w:pPr>
              <w:pStyle w:val="afffffff2"/>
              <w:rPr>
                <w:kern w:val="0"/>
                <w:sz w:val="21"/>
                <w:szCs w:val="21"/>
              </w:rPr>
            </w:pPr>
            <w:r w:rsidRPr="001E21A1">
              <w:rPr>
                <w:rFonts w:hint="eastAsia"/>
                <w:kern w:val="0"/>
                <w:sz w:val="21"/>
                <w:szCs w:val="21"/>
              </w:rPr>
              <w:t>集中式自来水源</w:t>
            </w:r>
            <w:r w:rsidRPr="001E21A1">
              <w:rPr>
                <w:rFonts w:hint="eastAsia"/>
                <w:kern w:val="0"/>
                <w:sz w:val="21"/>
                <w:szCs w:val="21"/>
              </w:rPr>
              <w:t>(</w:t>
            </w:r>
            <w:r w:rsidRPr="001E21A1">
              <w:rPr>
                <w:rFonts w:hint="eastAsia"/>
                <w:kern w:val="0"/>
                <w:sz w:val="21"/>
                <w:szCs w:val="21"/>
              </w:rPr>
              <w:t>包括已建成的在用、备用、应急水源，在建和规划的自来水源</w:t>
            </w:r>
            <w:r w:rsidRPr="001E21A1">
              <w:rPr>
                <w:rFonts w:hint="eastAsia"/>
                <w:kern w:val="0"/>
                <w:sz w:val="21"/>
                <w:szCs w:val="21"/>
              </w:rPr>
              <w:t>)</w:t>
            </w:r>
            <w:r w:rsidRPr="001E21A1">
              <w:rPr>
                <w:rFonts w:hint="eastAsia"/>
                <w:kern w:val="0"/>
                <w:sz w:val="21"/>
                <w:szCs w:val="21"/>
              </w:rPr>
              <w:t>准保护区以外的补给径流区；未划定准保护区的集，中式自来水水源，其保护区以外的补给径流区；分散式自来水水源地；特殊地下水资源</w:t>
            </w:r>
            <w:r w:rsidRPr="001E21A1">
              <w:rPr>
                <w:rFonts w:hint="eastAsia"/>
                <w:kern w:val="0"/>
                <w:sz w:val="21"/>
                <w:szCs w:val="21"/>
              </w:rPr>
              <w:t>(</w:t>
            </w:r>
            <w:r w:rsidRPr="001E21A1">
              <w:rPr>
                <w:rFonts w:hint="eastAsia"/>
                <w:kern w:val="0"/>
                <w:sz w:val="21"/>
                <w:szCs w:val="21"/>
              </w:rPr>
              <w:t>如热水、矿泉水、温泉等</w:t>
            </w:r>
            <w:r w:rsidRPr="001E21A1">
              <w:rPr>
                <w:rFonts w:hint="eastAsia"/>
                <w:kern w:val="0"/>
                <w:sz w:val="21"/>
                <w:szCs w:val="21"/>
              </w:rPr>
              <w:t>)</w:t>
            </w:r>
            <w:r w:rsidRPr="001E21A1">
              <w:rPr>
                <w:rFonts w:hint="eastAsia"/>
                <w:kern w:val="0"/>
                <w:sz w:val="21"/>
                <w:szCs w:val="21"/>
              </w:rPr>
              <w:t>保护区以外的分布区等其他未列入上述敏感分级的环境敏感区</w:t>
            </w:r>
            <w:r w:rsidRPr="001E21A1">
              <w:rPr>
                <w:rFonts w:hint="eastAsia"/>
                <w:kern w:val="0"/>
                <w:sz w:val="21"/>
                <w:szCs w:val="21"/>
                <w:vertAlign w:val="superscript"/>
              </w:rPr>
              <w:t>a</w:t>
            </w:r>
          </w:p>
        </w:tc>
      </w:tr>
      <w:tr w:rsidR="004E3021" w:rsidRPr="001E21A1" w:rsidTr="001E21A1">
        <w:trPr>
          <w:trHeight w:val="99"/>
          <w:jc w:val="center"/>
        </w:trPr>
        <w:tc>
          <w:tcPr>
            <w:tcW w:w="673" w:type="pct"/>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E21A1" w:rsidRDefault="00606E48">
            <w:pPr>
              <w:pStyle w:val="afffffff2"/>
              <w:rPr>
                <w:kern w:val="0"/>
                <w:sz w:val="21"/>
                <w:szCs w:val="21"/>
              </w:rPr>
            </w:pPr>
            <w:r w:rsidRPr="001E21A1">
              <w:rPr>
                <w:rFonts w:hint="eastAsia"/>
                <w:kern w:val="0"/>
                <w:sz w:val="21"/>
                <w:szCs w:val="21"/>
              </w:rPr>
              <w:t>不敏感</w:t>
            </w:r>
            <w:r w:rsidRPr="001E21A1">
              <w:rPr>
                <w:kern w:val="0"/>
                <w:sz w:val="21"/>
                <w:szCs w:val="21"/>
              </w:rPr>
              <w:t>G3</w:t>
            </w:r>
          </w:p>
        </w:tc>
        <w:tc>
          <w:tcPr>
            <w:tcW w:w="4327" w:type="pct"/>
            <w:tcBorders>
              <w:top w:val="single" w:sz="4" w:space="0" w:color="auto"/>
              <w:left w:val="single" w:sz="4" w:space="0" w:color="auto"/>
              <w:bottom w:val="single" w:sz="4" w:space="0" w:color="auto"/>
              <w:right w:val="nil"/>
            </w:tcBorders>
            <w:shd w:val="clear" w:color="auto" w:fill="A6A6A6" w:themeFill="background1" w:themeFillShade="A6"/>
            <w:vAlign w:val="center"/>
          </w:tcPr>
          <w:p w:rsidR="004E3021" w:rsidRPr="001E21A1" w:rsidRDefault="00606E48">
            <w:pPr>
              <w:pStyle w:val="afffffff2"/>
              <w:rPr>
                <w:kern w:val="0"/>
                <w:sz w:val="21"/>
                <w:szCs w:val="21"/>
              </w:rPr>
            </w:pPr>
            <w:r w:rsidRPr="001E21A1">
              <w:rPr>
                <w:rFonts w:hint="eastAsia"/>
                <w:kern w:val="0"/>
                <w:sz w:val="21"/>
                <w:szCs w:val="21"/>
              </w:rPr>
              <w:t>上述地区之外的其他地区</w:t>
            </w:r>
          </w:p>
        </w:tc>
      </w:tr>
      <w:tr w:rsidR="004E3021" w:rsidRPr="001E21A1">
        <w:trPr>
          <w:trHeight w:val="231"/>
          <w:jc w:val="center"/>
        </w:trPr>
        <w:tc>
          <w:tcPr>
            <w:tcW w:w="5000" w:type="pct"/>
            <w:gridSpan w:val="2"/>
            <w:tcBorders>
              <w:top w:val="single" w:sz="4" w:space="0" w:color="auto"/>
              <w:left w:val="nil"/>
              <w:bottom w:val="single" w:sz="12" w:space="0" w:color="auto"/>
              <w:right w:val="nil"/>
            </w:tcBorders>
            <w:noWrap/>
            <w:vAlign w:val="center"/>
          </w:tcPr>
          <w:p w:rsidR="004E3021" w:rsidRPr="001E21A1" w:rsidRDefault="00606E48">
            <w:pPr>
              <w:pStyle w:val="afffffff2"/>
              <w:rPr>
                <w:kern w:val="0"/>
                <w:sz w:val="21"/>
                <w:szCs w:val="21"/>
              </w:rPr>
            </w:pPr>
            <w:r w:rsidRPr="001E21A1">
              <w:rPr>
                <w:rFonts w:hint="eastAsia"/>
                <w:kern w:val="0"/>
                <w:sz w:val="21"/>
                <w:szCs w:val="21"/>
              </w:rPr>
              <w:t>a</w:t>
            </w:r>
            <w:r w:rsidRPr="001E21A1">
              <w:rPr>
                <w:rFonts w:hint="eastAsia"/>
                <w:kern w:val="0"/>
                <w:sz w:val="21"/>
                <w:szCs w:val="21"/>
              </w:rPr>
              <w:t>：“环境敏感区”是指《建设项目环境影响评价分类管理名录》中所界定的涉及地下水的环境敏感区</w:t>
            </w:r>
          </w:p>
        </w:tc>
      </w:tr>
    </w:tbl>
    <w:p w:rsidR="004E3021" w:rsidRDefault="00606E48">
      <w:pPr>
        <w:ind w:firstLine="480"/>
      </w:pPr>
      <w:r>
        <w:rPr>
          <w:rFonts w:hint="eastAsia"/>
        </w:rPr>
        <w:t>经调查</w:t>
      </w:r>
      <w:r>
        <w:t>，</w:t>
      </w:r>
      <w:r>
        <w:rPr>
          <w:rFonts w:hint="eastAsia"/>
        </w:rPr>
        <w:t>项目所在地</w:t>
      </w:r>
      <w:r>
        <w:t>不在</w:t>
      </w:r>
      <w:r>
        <w:rPr>
          <w:rFonts w:hint="eastAsia"/>
        </w:rPr>
        <w:t>集中式自来水水源准保护区</w:t>
      </w:r>
      <w:r>
        <w:t>、补给径流区</w:t>
      </w:r>
      <w:r>
        <w:rPr>
          <w:rFonts w:hint="eastAsia"/>
        </w:rPr>
        <w:t>；附近村庄均已接通自来水，居民饮用水无取用地下水，</w:t>
      </w:r>
      <w:r>
        <w:t>不属于</w:t>
      </w:r>
      <w:r>
        <w:rPr>
          <w:rFonts w:hint="eastAsia"/>
        </w:rPr>
        <w:t>分散式自来水水源地；</w:t>
      </w:r>
      <w:r>
        <w:t>也不属于</w:t>
      </w:r>
      <w:r>
        <w:rPr>
          <w:rFonts w:hint="eastAsia"/>
        </w:rPr>
        <w:t>特殊地下水资源保护区。根据上表可知，本项目地下水功能敏感性为</w:t>
      </w:r>
      <w:r>
        <w:t>G3</w:t>
      </w:r>
      <w:r>
        <w:rPr>
          <w:rFonts w:hint="eastAsia"/>
        </w:rPr>
        <w:t>。</w:t>
      </w:r>
    </w:p>
    <w:p w:rsidR="004E3021" w:rsidRDefault="00606E48">
      <w:pPr>
        <w:spacing w:line="500" w:lineRule="exact"/>
        <w:ind w:firstLineChars="0" w:firstLine="0"/>
        <w:jc w:val="center"/>
        <w:rPr>
          <w:rFonts w:eastAsia="黑体"/>
        </w:rPr>
      </w:pPr>
      <w:r>
        <w:rPr>
          <w:rFonts w:ascii="黑体" w:eastAsia="黑体" w:hAnsi="黑体"/>
        </w:rPr>
        <w:t>表</w:t>
      </w:r>
      <w:r>
        <w:rPr>
          <w:rFonts w:eastAsia="黑体"/>
        </w:rPr>
        <w:t xml:space="preserve">2.3.1-16 </w:t>
      </w:r>
      <w:r>
        <w:rPr>
          <w:rFonts w:ascii="黑体" w:eastAsia="黑体" w:hAnsi="黑体" w:hint="eastAsia"/>
        </w:rPr>
        <w:t>包气带防污性能分级</w:t>
      </w:r>
    </w:p>
    <w:tbl>
      <w:tblPr>
        <w:tblW w:w="5000" w:type="pct"/>
        <w:jc w:val="center"/>
        <w:tblLook w:val="04A0" w:firstRow="1" w:lastRow="0" w:firstColumn="1" w:lastColumn="0" w:noHBand="0" w:noVBand="1"/>
      </w:tblPr>
      <w:tblGrid>
        <w:gridCol w:w="1166"/>
        <w:gridCol w:w="7860"/>
      </w:tblGrid>
      <w:tr w:rsidR="004E3021" w:rsidRPr="001E21A1">
        <w:trPr>
          <w:trHeight w:val="44"/>
          <w:jc w:val="center"/>
        </w:trPr>
        <w:tc>
          <w:tcPr>
            <w:tcW w:w="646" w:type="pct"/>
            <w:tcBorders>
              <w:top w:val="single" w:sz="12" w:space="0" w:color="auto"/>
              <w:left w:val="nil"/>
              <w:bottom w:val="single" w:sz="4" w:space="0" w:color="auto"/>
              <w:right w:val="single" w:sz="4" w:space="0" w:color="auto"/>
            </w:tcBorders>
            <w:vAlign w:val="center"/>
          </w:tcPr>
          <w:p w:rsidR="004E3021" w:rsidRPr="001E21A1" w:rsidRDefault="00606E48">
            <w:pPr>
              <w:pStyle w:val="afffffff2"/>
              <w:rPr>
                <w:b/>
                <w:kern w:val="0"/>
                <w:sz w:val="21"/>
                <w:szCs w:val="21"/>
              </w:rPr>
            </w:pPr>
            <w:r w:rsidRPr="001E21A1">
              <w:rPr>
                <w:b/>
                <w:kern w:val="0"/>
                <w:sz w:val="21"/>
                <w:szCs w:val="21"/>
              </w:rPr>
              <w:t>分级</w:t>
            </w:r>
          </w:p>
        </w:tc>
        <w:tc>
          <w:tcPr>
            <w:tcW w:w="4354" w:type="pct"/>
            <w:tcBorders>
              <w:top w:val="single" w:sz="12" w:space="0" w:color="auto"/>
              <w:left w:val="single" w:sz="4" w:space="0" w:color="auto"/>
              <w:bottom w:val="single" w:sz="4" w:space="0" w:color="auto"/>
              <w:right w:val="nil"/>
            </w:tcBorders>
            <w:vAlign w:val="center"/>
          </w:tcPr>
          <w:p w:rsidR="004E3021" w:rsidRPr="001E21A1" w:rsidRDefault="00606E48">
            <w:pPr>
              <w:pStyle w:val="afffffff2"/>
              <w:rPr>
                <w:b/>
                <w:kern w:val="0"/>
                <w:sz w:val="21"/>
                <w:szCs w:val="21"/>
              </w:rPr>
            </w:pPr>
            <w:r w:rsidRPr="001E21A1">
              <w:rPr>
                <w:b/>
                <w:kern w:val="0"/>
                <w:sz w:val="21"/>
                <w:szCs w:val="21"/>
              </w:rPr>
              <w:t>包气带岩土的渗透性能</w:t>
            </w:r>
          </w:p>
        </w:tc>
      </w:tr>
      <w:tr w:rsidR="004E3021" w:rsidRPr="001E21A1">
        <w:trPr>
          <w:trHeight w:val="141"/>
          <w:jc w:val="center"/>
        </w:trPr>
        <w:tc>
          <w:tcPr>
            <w:tcW w:w="646" w:type="pct"/>
            <w:tcBorders>
              <w:top w:val="single" w:sz="4" w:space="0" w:color="auto"/>
              <w:left w:val="nil"/>
              <w:bottom w:val="single" w:sz="4" w:space="0" w:color="auto"/>
              <w:right w:val="single" w:sz="4" w:space="0" w:color="auto"/>
            </w:tcBorders>
            <w:vAlign w:val="center"/>
          </w:tcPr>
          <w:p w:rsidR="004E3021" w:rsidRPr="001E21A1" w:rsidRDefault="00606E48">
            <w:pPr>
              <w:pStyle w:val="afffffff2"/>
              <w:rPr>
                <w:kern w:val="0"/>
                <w:sz w:val="21"/>
                <w:szCs w:val="21"/>
              </w:rPr>
            </w:pPr>
            <w:r w:rsidRPr="001E21A1">
              <w:rPr>
                <w:kern w:val="0"/>
                <w:sz w:val="21"/>
                <w:szCs w:val="21"/>
              </w:rPr>
              <w:t>D3</w:t>
            </w:r>
          </w:p>
        </w:tc>
        <w:tc>
          <w:tcPr>
            <w:tcW w:w="4354" w:type="pct"/>
            <w:tcBorders>
              <w:top w:val="single" w:sz="4" w:space="0" w:color="auto"/>
              <w:left w:val="single" w:sz="4" w:space="0" w:color="auto"/>
              <w:bottom w:val="single" w:sz="4" w:space="0" w:color="auto"/>
              <w:right w:val="nil"/>
            </w:tcBorders>
            <w:vAlign w:val="center"/>
          </w:tcPr>
          <w:p w:rsidR="004E3021" w:rsidRPr="001E21A1" w:rsidRDefault="00606E48">
            <w:pPr>
              <w:pStyle w:val="afffffff2"/>
              <w:rPr>
                <w:kern w:val="0"/>
                <w:sz w:val="21"/>
                <w:szCs w:val="21"/>
              </w:rPr>
            </w:pPr>
            <w:r w:rsidRPr="001E21A1">
              <w:rPr>
                <w:kern w:val="0"/>
                <w:sz w:val="21"/>
                <w:szCs w:val="21"/>
              </w:rPr>
              <w:t>Mb≥1.0m</w:t>
            </w:r>
            <w:r w:rsidRPr="001E21A1">
              <w:rPr>
                <w:kern w:val="0"/>
                <w:sz w:val="21"/>
                <w:szCs w:val="21"/>
              </w:rPr>
              <w:t>，</w:t>
            </w:r>
            <w:r w:rsidRPr="001E21A1">
              <w:rPr>
                <w:kern w:val="0"/>
                <w:sz w:val="21"/>
                <w:szCs w:val="21"/>
              </w:rPr>
              <w:t>K≤1.0×10</w:t>
            </w:r>
            <w:r w:rsidRPr="001E21A1">
              <w:rPr>
                <w:kern w:val="0"/>
                <w:sz w:val="21"/>
                <w:szCs w:val="21"/>
                <w:vertAlign w:val="superscript"/>
              </w:rPr>
              <w:t>-6</w:t>
            </w:r>
            <w:r w:rsidRPr="001E21A1">
              <w:rPr>
                <w:kern w:val="0"/>
                <w:sz w:val="21"/>
                <w:szCs w:val="21"/>
              </w:rPr>
              <w:t>cm/s</w:t>
            </w:r>
            <w:r w:rsidRPr="001E21A1">
              <w:rPr>
                <w:kern w:val="0"/>
                <w:sz w:val="21"/>
                <w:szCs w:val="21"/>
              </w:rPr>
              <w:t>，且分布连续、稳定</w:t>
            </w:r>
          </w:p>
        </w:tc>
      </w:tr>
      <w:tr w:rsidR="004E3021" w:rsidRPr="001E21A1" w:rsidTr="001E21A1">
        <w:trPr>
          <w:trHeight w:val="429"/>
          <w:jc w:val="center"/>
        </w:trPr>
        <w:tc>
          <w:tcPr>
            <w:tcW w:w="646" w:type="pct"/>
            <w:tcBorders>
              <w:top w:val="single" w:sz="4" w:space="0" w:color="auto"/>
              <w:left w:val="nil"/>
              <w:bottom w:val="single" w:sz="4" w:space="0" w:color="auto"/>
              <w:right w:val="single" w:sz="4" w:space="0" w:color="auto"/>
            </w:tcBorders>
            <w:shd w:val="clear" w:color="auto" w:fill="A6A6A6" w:themeFill="background1" w:themeFillShade="A6"/>
            <w:vAlign w:val="center"/>
          </w:tcPr>
          <w:p w:rsidR="004E3021" w:rsidRPr="001E21A1" w:rsidRDefault="00606E48">
            <w:pPr>
              <w:pStyle w:val="afffffff2"/>
              <w:rPr>
                <w:kern w:val="0"/>
                <w:sz w:val="21"/>
                <w:szCs w:val="21"/>
              </w:rPr>
            </w:pPr>
            <w:r w:rsidRPr="001E21A1">
              <w:rPr>
                <w:kern w:val="0"/>
                <w:sz w:val="21"/>
                <w:szCs w:val="21"/>
              </w:rPr>
              <w:t>D2</w:t>
            </w:r>
          </w:p>
        </w:tc>
        <w:tc>
          <w:tcPr>
            <w:tcW w:w="4354" w:type="pct"/>
            <w:tcBorders>
              <w:top w:val="single" w:sz="4" w:space="0" w:color="auto"/>
              <w:left w:val="single" w:sz="4" w:space="0" w:color="auto"/>
              <w:bottom w:val="single" w:sz="4" w:space="0" w:color="auto"/>
              <w:right w:val="nil"/>
            </w:tcBorders>
            <w:shd w:val="clear" w:color="auto" w:fill="A6A6A6" w:themeFill="background1" w:themeFillShade="A6"/>
            <w:vAlign w:val="center"/>
          </w:tcPr>
          <w:p w:rsidR="004E3021" w:rsidRPr="001E21A1" w:rsidRDefault="00606E48">
            <w:pPr>
              <w:pStyle w:val="afffffff2"/>
              <w:rPr>
                <w:kern w:val="0"/>
                <w:sz w:val="21"/>
                <w:szCs w:val="21"/>
              </w:rPr>
            </w:pPr>
            <w:r w:rsidRPr="001E21A1">
              <w:rPr>
                <w:kern w:val="0"/>
                <w:sz w:val="21"/>
                <w:szCs w:val="21"/>
              </w:rPr>
              <w:t>0.5m≤Mb</w:t>
            </w:r>
            <w:r w:rsidRPr="001E21A1">
              <w:rPr>
                <w:kern w:val="0"/>
                <w:sz w:val="21"/>
                <w:szCs w:val="21"/>
              </w:rPr>
              <w:t>＜</w:t>
            </w:r>
            <w:r w:rsidRPr="001E21A1">
              <w:rPr>
                <w:kern w:val="0"/>
                <w:sz w:val="21"/>
                <w:szCs w:val="21"/>
              </w:rPr>
              <w:t>1.0m</w:t>
            </w:r>
            <w:r w:rsidRPr="001E21A1">
              <w:rPr>
                <w:kern w:val="0"/>
                <w:sz w:val="21"/>
                <w:szCs w:val="21"/>
              </w:rPr>
              <w:t>，</w:t>
            </w:r>
            <w:r w:rsidRPr="001E21A1">
              <w:rPr>
                <w:kern w:val="0"/>
                <w:sz w:val="21"/>
                <w:szCs w:val="21"/>
              </w:rPr>
              <w:t>K≤1.0×10</w:t>
            </w:r>
            <w:r w:rsidRPr="001E21A1">
              <w:rPr>
                <w:kern w:val="0"/>
                <w:sz w:val="21"/>
                <w:szCs w:val="21"/>
                <w:vertAlign w:val="superscript"/>
              </w:rPr>
              <w:t>-6</w:t>
            </w:r>
            <w:r w:rsidRPr="001E21A1">
              <w:rPr>
                <w:kern w:val="0"/>
                <w:sz w:val="21"/>
                <w:szCs w:val="21"/>
              </w:rPr>
              <w:t>cm/s</w:t>
            </w:r>
            <w:r w:rsidRPr="001E21A1">
              <w:rPr>
                <w:kern w:val="0"/>
                <w:sz w:val="21"/>
                <w:szCs w:val="21"/>
              </w:rPr>
              <w:t>，且分布连续、稳定</w:t>
            </w:r>
          </w:p>
          <w:p w:rsidR="004E3021" w:rsidRPr="001E21A1" w:rsidRDefault="00606E48">
            <w:pPr>
              <w:pStyle w:val="afffffff2"/>
              <w:rPr>
                <w:kern w:val="0"/>
                <w:sz w:val="21"/>
                <w:szCs w:val="21"/>
              </w:rPr>
            </w:pPr>
            <w:r w:rsidRPr="001E21A1">
              <w:rPr>
                <w:kern w:val="0"/>
                <w:sz w:val="21"/>
                <w:szCs w:val="21"/>
              </w:rPr>
              <w:t>Mb≥1.0m</w:t>
            </w:r>
            <w:r w:rsidRPr="001E21A1">
              <w:rPr>
                <w:kern w:val="0"/>
                <w:sz w:val="21"/>
                <w:szCs w:val="21"/>
              </w:rPr>
              <w:t>，</w:t>
            </w:r>
            <w:r w:rsidRPr="001E21A1">
              <w:rPr>
                <w:kern w:val="0"/>
                <w:sz w:val="21"/>
                <w:szCs w:val="21"/>
              </w:rPr>
              <w:t>1.0×10</w:t>
            </w:r>
            <w:r w:rsidRPr="001E21A1">
              <w:rPr>
                <w:kern w:val="0"/>
                <w:sz w:val="21"/>
                <w:szCs w:val="21"/>
                <w:vertAlign w:val="superscript"/>
              </w:rPr>
              <w:t>-6</w:t>
            </w:r>
            <w:r w:rsidRPr="001E21A1">
              <w:rPr>
                <w:kern w:val="0"/>
                <w:sz w:val="21"/>
                <w:szCs w:val="21"/>
              </w:rPr>
              <w:t>cm/s</w:t>
            </w:r>
            <w:r w:rsidRPr="001E21A1">
              <w:rPr>
                <w:kern w:val="0"/>
                <w:sz w:val="21"/>
                <w:szCs w:val="21"/>
              </w:rPr>
              <w:t>＜</w:t>
            </w:r>
            <w:r w:rsidRPr="001E21A1">
              <w:rPr>
                <w:kern w:val="0"/>
                <w:sz w:val="21"/>
                <w:szCs w:val="21"/>
              </w:rPr>
              <w:t>K≤1.0×10</w:t>
            </w:r>
            <w:r w:rsidRPr="001E21A1">
              <w:rPr>
                <w:kern w:val="0"/>
                <w:sz w:val="21"/>
                <w:szCs w:val="21"/>
                <w:vertAlign w:val="superscript"/>
              </w:rPr>
              <w:t>-4</w:t>
            </w:r>
            <w:r w:rsidRPr="001E21A1">
              <w:rPr>
                <w:kern w:val="0"/>
                <w:sz w:val="21"/>
                <w:szCs w:val="21"/>
              </w:rPr>
              <w:t>cm/s</w:t>
            </w:r>
            <w:r w:rsidRPr="001E21A1">
              <w:rPr>
                <w:kern w:val="0"/>
                <w:sz w:val="21"/>
                <w:szCs w:val="21"/>
              </w:rPr>
              <w:t>，且分布连续、稳定</w:t>
            </w:r>
          </w:p>
        </w:tc>
      </w:tr>
      <w:tr w:rsidR="004E3021" w:rsidRPr="001E21A1">
        <w:trPr>
          <w:trHeight w:val="153"/>
          <w:jc w:val="center"/>
        </w:trPr>
        <w:tc>
          <w:tcPr>
            <w:tcW w:w="646" w:type="pct"/>
            <w:tcBorders>
              <w:top w:val="single" w:sz="4" w:space="0" w:color="auto"/>
              <w:left w:val="nil"/>
              <w:bottom w:val="single" w:sz="4" w:space="0" w:color="auto"/>
              <w:right w:val="single" w:sz="4" w:space="0" w:color="auto"/>
            </w:tcBorders>
            <w:vAlign w:val="center"/>
          </w:tcPr>
          <w:p w:rsidR="004E3021" w:rsidRPr="001E21A1" w:rsidRDefault="00606E48">
            <w:pPr>
              <w:pStyle w:val="afffffff2"/>
              <w:rPr>
                <w:kern w:val="0"/>
                <w:sz w:val="21"/>
                <w:szCs w:val="21"/>
              </w:rPr>
            </w:pPr>
            <w:r w:rsidRPr="001E21A1">
              <w:rPr>
                <w:kern w:val="0"/>
                <w:sz w:val="21"/>
                <w:szCs w:val="21"/>
              </w:rPr>
              <w:t>D1</w:t>
            </w:r>
          </w:p>
        </w:tc>
        <w:tc>
          <w:tcPr>
            <w:tcW w:w="4354" w:type="pct"/>
            <w:tcBorders>
              <w:top w:val="single" w:sz="4" w:space="0" w:color="auto"/>
              <w:left w:val="single" w:sz="4" w:space="0" w:color="auto"/>
              <w:bottom w:val="single" w:sz="4" w:space="0" w:color="auto"/>
              <w:right w:val="nil"/>
            </w:tcBorders>
            <w:vAlign w:val="center"/>
          </w:tcPr>
          <w:p w:rsidR="004E3021" w:rsidRPr="001E21A1" w:rsidRDefault="00606E48">
            <w:pPr>
              <w:pStyle w:val="afffffff2"/>
              <w:rPr>
                <w:kern w:val="0"/>
                <w:sz w:val="21"/>
                <w:szCs w:val="21"/>
              </w:rPr>
            </w:pPr>
            <w:r w:rsidRPr="001E21A1">
              <w:rPr>
                <w:kern w:val="0"/>
                <w:sz w:val="21"/>
                <w:szCs w:val="21"/>
              </w:rPr>
              <w:t>岩土层不满足上述</w:t>
            </w:r>
            <w:r w:rsidRPr="001E21A1">
              <w:rPr>
                <w:kern w:val="0"/>
                <w:sz w:val="21"/>
                <w:szCs w:val="21"/>
              </w:rPr>
              <w:t>“D2”</w:t>
            </w:r>
            <w:r w:rsidRPr="001E21A1">
              <w:rPr>
                <w:kern w:val="0"/>
                <w:sz w:val="21"/>
                <w:szCs w:val="21"/>
              </w:rPr>
              <w:t>和</w:t>
            </w:r>
            <w:r w:rsidRPr="001E21A1">
              <w:rPr>
                <w:kern w:val="0"/>
                <w:sz w:val="21"/>
                <w:szCs w:val="21"/>
              </w:rPr>
              <w:t>“D3”</w:t>
            </w:r>
            <w:r w:rsidRPr="001E21A1">
              <w:rPr>
                <w:kern w:val="0"/>
                <w:sz w:val="21"/>
                <w:szCs w:val="21"/>
              </w:rPr>
              <w:t>条件</w:t>
            </w:r>
          </w:p>
        </w:tc>
      </w:tr>
      <w:tr w:rsidR="004E3021" w:rsidRPr="001E21A1">
        <w:trPr>
          <w:trHeight w:val="144"/>
          <w:jc w:val="center"/>
        </w:trPr>
        <w:tc>
          <w:tcPr>
            <w:tcW w:w="5000" w:type="pct"/>
            <w:gridSpan w:val="2"/>
            <w:tcBorders>
              <w:top w:val="single" w:sz="4" w:space="0" w:color="auto"/>
              <w:left w:val="nil"/>
              <w:bottom w:val="single" w:sz="12" w:space="0" w:color="auto"/>
              <w:right w:val="nil"/>
            </w:tcBorders>
            <w:noWrap/>
            <w:vAlign w:val="center"/>
          </w:tcPr>
          <w:p w:rsidR="004E3021" w:rsidRPr="001E21A1" w:rsidRDefault="00606E48">
            <w:pPr>
              <w:pStyle w:val="afffffff2"/>
              <w:rPr>
                <w:kern w:val="0"/>
                <w:sz w:val="21"/>
                <w:szCs w:val="21"/>
              </w:rPr>
            </w:pPr>
            <w:r w:rsidRPr="001E21A1">
              <w:rPr>
                <w:kern w:val="0"/>
                <w:sz w:val="21"/>
                <w:szCs w:val="21"/>
              </w:rPr>
              <w:t>Mb:</w:t>
            </w:r>
            <w:r w:rsidRPr="001E21A1">
              <w:rPr>
                <w:kern w:val="0"/>
                <w:sz w:val="21"/>
                <w:szCs w:val="21"/>
              </w:rPr>
              <w:t>岩土层单层厚度。</w:t>
            </w:r>
            <w:r w:rsidRPr="001E21A1">
              <w:rPr>
                <w:kern w:val="0"/>
                <w:sz w:val="21"/>
                <w:szCs w:val="21"/>
              </w:rPr>
              <w:t>K</w:t>
            </w:r>
            <w:r w:rsidRPr="001E21A1">
              <w:rPr>
                <w:kern w:val="0"/>
                <w:sz w:val="21"/>
                <w:szCs w:val="21"/>
              </w:rPr>
              <w:t>：渗透系数</w:t>
            </w:r>
          </w:p>
        </w:tc>
      </w:tr>
    </w:tbl>
    <w:p w:rsidR="004E3021" w:rsidRDefault="00606E48">
      <w:pPr>
        <w:ind w:firstLine="480"/>
      </w:pPr>
      <w:r>
        <w:rPr>
          <w:rFonts w:ascii="宋体" w:hAnsi="宋体" w:hint="eastAsia"/>
        </w:rPr>
        <w:t>经调查</w:t>
      </w:r>
      <w:r>
        <w:rPr>
          <w:rFonts w:ascii="宋体" w:hAnsi="宋体"/>
        </w:rPr>
        <w:t>，</w:t>
      </w:r>
      <w:r>
        <w:rPr>
          <w:rFonts w:ascii="宋体" w:hAnsi="宋体" w:hint="eastAsia"/>
        </w:rPr>
        <w:t>项目</w:t>
      </w:r>
      <w:r>
        <w:rPr>
          <w:rFonts w:ascii="宋体" w:hAnsi="宋体"/>
        </w:rPr>
        <w:t>包气带防污性能为</w:t>
      </w:r>
      <w:r>
        <w:t>Mb≥1.0m</w:t>
      </w:r>
      <w:r>
        <w:rPr>
          <w:rFonts w:ascii="宋体" w:hAnsi="宋体" w:hint="eastAsia"/>
          <w:bCs/>
        </w:rPr>
        <w:t>、</w:t>
      </w:r>
      <w:r>
        <w:rPr>
          <w:rFonts w:hint="eastAsia"/>
          <w:bCs/>
        </w:rPr>
        <w:t>10</w:t>
      </w:r>
      <w:r>
        <w:rPr>
          <w:rFonts w:hint="eastAsia"/>
          <w:bCs/>
          <w:vertAlign w:val="superscript"/>
        </w:rPr>
        <w:t>-</w:t>
      </w:r>
      <w:r>
        <w:rPr>
          <w:bCs/>
          <w:vertAlign w:val="superscript"/>
        </w:rPr>
        <w:t>6</w:t>
      </w:r>
      <w:r>
        <w:rPr>
          <w:rFonts w:hint="eastAsia"/>
          <w:bCs/>
        </w:rPr>
        <w:t>cm/s</w:t>
      </w:r>
      <w:r>
        <w:rPr>
          <w:rFonts w:ascii="宋体" w:hAnsi="宋体"/>
          <w:bCs/>
        </w:rPr>
        <w:t>＜</w:t>
      </w:r>
      <w:r>
        <w:rPr>
          <w:rFonts w:hint="eastAsia"/>
          <w:bCs/>
        </w:rPr>
        <w:t>K</w:t>
      </w:r>
      <w:r>
        <w:rPr>
          <w:rFonts w:ascii="宋体" w:hAnsi="宋体" w:hint="eastAsia"/>
          <w:bCs/>
        </w:rPr>
        <w:t>≤</w:t>
      </w:r>
      <w:r>
        <w:rPr>
          <w:rFonts w:hint="eastAsia"/>
          <w:bCs/>
        </w:rPr>
        <w:t>10</w:t>
      </w:r>
      <w:r>
        <w:rPr>
          <w:rFonts w:hint="eastAsia"/>
          <w:bCs/>
          <w:vertAlign w:val="superscript"/>
        </w:rPr>
        <w:t>-4</w:t>
      </w:r>
      <w:r>
        <w:rPr>
          <w:rFonts w:hint="eastAsia"/>
          <w:bCs/>
        </w:rPr>
        <w:t>cm/s</w:t>
      </w:r>
      <w:r>
        <w:rPr>
          <w:rFonts w:ascii="宋体" w:hAnsi="宋体" w:hint="eastAsia"/>
          <w:bCs/>
        </w:rPr>
        <w:t>。</w:t>
      </w:r>
      <w:r>
        <w:rPr>
          <w:rFonts w:ascii="宋体" w:hAnsi="宋体" w:hint="eastAsia"/>
        </w:rPr>
        <w:t>本项目地下水包气带防污性能分级为</w:t>
      </w:r>
      <w:r>
        <w:t>D2</w:t>
      </w:r>
      <w:r>
        <w:rPr>
          <w:rFonts w:ascii="宋体" w:hAnsi="宋体" w:hint="eastAsia"/>
        </w:rPr>
        <w:t>。</w:t>
      </w:r>
    </w:p>
    <w:p w:rsidR="004E3021" w:rsidRDefault="00606E48">
      <w:pPr>
        <w:ind w:firstLine="480"/>
      </w:pPr>
      <w:r>
        <w:rPr>
          <w:rFonts w:ascii="宋体" w:hAnsi="宋体"/>
        </w:rPr>
        <w:t>依据地下水功能敏感性与包气带防污性能，地下水环境敏感程度共分为三种类型，</w:t>
      </w:r>
      <w:r>
        <w:t>E1</w:t>
      </w:r>
      <w:r>
        <w:rPr>
          <w:rFonts w:ascii="宋体" w:hAnsi="宋体"/>
        </w:rPr>
        <w:t>为环境高度敏感区，</w:t>
      </w:r>
      <w:r>
        <w:t>E2</w:t>
      </w:r>
      <w:r>
        <w:rPr>
          <w:rFonts w:ascii="宋体" w:hAnsi="宋体"/>
        </w:rPr>
        <w:t>为环境中度敏感区，</w:t>
      </w:r>
      <w:r>
        <w:t>E3</w:t>
      </w:r>
      <w:r>
        <w:rPr>
          <w:rFonts w:ascii="宋体" w:hAnsi="宋体"/>
        </w:rPr>
        <w:t>为环境低度敏感区，分级原则见下表。</w:t>
      </w:r>
    </w:p>
    <w:p w:rsidR="004E3021" w:rsidRDefault="00606E48">
      <w:pPr>
        <w:pStyle w:val="afffff4"/>
      </w:pPr>
      <w:r>
        <w:t>表</w:t>
      </w:r>
      <w:r>
        <w:t xml:space="preserve">2.3.1-17  </w:t>
      </w:r>
      <w:r>
        <w:rPr>
          <w:rFonts w:hint="eastAsia"/>
        </w:rPr>
        <w:t>地下水环境敏感程度分级</w:t>
      </w:r>
    </w:p>
    <w:tbl>
      <w:tblPr>
        <w:tblW w:w="5000" w:type="pct"/>
        <w:jc w:val="center"/>
        <w:tblLook w:val="04A0" w:firstRow="1" w:lastRow="0" w:firstColumn="1" w:lastColumn="0" w:noHBand="0" w:noVBand="1"/>
      </w:tblPr>
      <w:tblGrid>
        <w:gridCol w:w="3401"/>
        <w:gridCol w:w="1843"/>
        <w:gridCol w:w="1984"/>
        <w:gridCol w:w="1798"/>
      </w:tblGrid>
      <w:tr w:rsidR="004E3021" w:rsidRPr="001E21A1">
        <w:trPr>
          <w:trHeight w:val="217"/>
          <w:jc w:val="center"/>
        </w:trPr>
        <w:tc>
          <w:tcPr>
            <w:tcW w:w="1884" w:type="pct"/>
            <w:vMerge w:val="restart"/>
            <w:tcBorders>
              <w:top w:val="single" w:sz="12" w:space="0" w:color="auto"/>
              <w:left w:val="nil"/>
              <w:bottom w:val="single" w:sz="4" w:space="0" w:color="auto"/>
              <w:right w:val="single" w:sz="4" w:space="0" w:color="auto"/>
            </w:tcBorders>
            <w:vAlign w:val="center"/>
          </w:tcPr>
          <w:p w:rsidR="004E3021" w:rsidRPr="00E13009" w:rsidRDefault="00606E48">
            <w:pPr>
              <w:pStyle w:val="afffffff2"/>
              <w:rPr>
                <w:b/>
                <w:kern w:val="0"/>
                <w:sz w:val="21"/>
                <w:szCs w:val="21"/>
              </w:rPr>
            </w:pPr>
            <w:r w:rsidRPr="00E13009">
              <w:rPr>
                <w:rFonts w:hint="eastAsia"/>
                <w:b/>
                <w:kern w:val="0"/>
                <w:sz w:val="21"/>
                <w:szCs w:val="21"/>
              </w:rPr>
              <w:t>包气带防污性能</w:t>
            </w:r>
          </w:p>
        </w:tc>
        <w:tc>
          <w:tcPr>
            <w:tcW w:w="3116" w:type="pct"/>
            <w:gridSpan w:val="3"/>
            <w:tcBorders>
              <w:top w:val="single" w:sz="12" w:space="0" w:color="auto"/>
              <w:left w:val="single" w:sz="4" w:space="0" w:color="auto"/>
              <w:bottom w:val="single" w:sz="4" w:space="0" w:color="auto"/>
              <w:right w:val="nil"/>
            </w:tcBorders>
            <w:vAlign w:val="center"/>
          </w:tcPr>
          <w:p w:rsidR="004E3021" w:rsidRPr="00E13009" w:rsidRDefault="00606E48">
            <w:pPr>
              <w:pStyle w:val="afffffff2"/>
              <w:rPr>
                <w:b/>
                <w:kern w:val="0"/>
                <w:sz w:val="21"/>
                <w:szCs w:val="21"/>
              </w:rPr>
            </w:pPr>
            <w:r w:rsidRPr="00E13009">
              <w:rPr>
                <w:rFonts w:hint="eastAsia"/>
                <w:b/>
                <w:kern w:val="0"/>
                <w:sz w:val="21"/>
                <w:szCs w:val="21"/>
              </w:rPr>
              <w:t>地下水功能敏感性</w:t>
            </w:r>
          </w:p>
        </w:tc>
      </w:tr>
      <w:tr w:rsidR="004E3021" w:rsidRPr="001E21A1">
        <w:trPr>
          <w:trHeight w:val="157"/>
          <w:jc w:val="center"/>
        </w:trPr>
        <w:tc>
          <w:tcPr>
            <w:tcW w:w="0" w:type="auto"/>
            <w:vMerge/>
            <w:tcBorders>
              <w:top w:val="single" w:sz="12" w:space="0" w:color="auto"/>
              <w:left w:val="nil"/>
              <w:bottom w:val="single" w:sz="4" w:space="0" w:color="auto"/>
              <w:right w:val="single" w:sz="4" w:space="0" w:color="auto"/>
            </w:tcBorders>
            <w:vAlign w:val="center"/>
          </w:tcPr>
          <w:p w:rsidR="004E3021" w:rsidRPr="001E21A1" w:rsidRDefault="004E3021">
            <w:pPr>
              <w:pStyle w:val="afffffff2"/>
              <w:rPr>
                <w:kern w:val="0"/>
                <w:sz w:val="21"/>
                <w:szCs w:val="21"/>
              </w:rPr>
            </w:pPr>
          </w:p>
        </w:tc>
        <w:tc>
          <w:tcPr>
            <w:tcW w:w="1021" w:type="pct"/>
            <w:tcBorders>
              <w:top w:val="single" w:sz="4" w:space="0" w:color="auto"/>
              <w:left w:val="single" w:sz="4" w:space="0" w:color="auto"/>
              <w:bottom w:val="single" w:sz="4" w:space="0" w:color="auto"/>
              <w:right w:val="single" w:sz="4" w:space="0" w:color="auto"/>
            </w:tcBorders>
            <w:vAlign w:val="center"/>
          </w:tcPr>
          <w:p w:rsidR="004E3021" w:rsidRPr="001E21A1" w:rsidRDefault="00606E48">
            <w:pPr>
              <w:pStyle w:val="afffffff2"/>
              <w:rPr>
                <w:rFonts w:eastAsia="等线"/>
                <w:kern w:val="0"/>
                <w:sz w:val="21"/>
                <w:szCs w:val="21"/>
              </w:rPr>
            </w:pPr>
            <w:r w:rsidRPr="001E21A1">
              <w:rPr>
                <w:rFonts w:eastAsia="等线" w:hint="eastAsia"/>
                <w:kern w:val="0"/>
                <w:sz w:val="21"/>
                <w:szCs w:val="21"/>
              </w:rPr>
              <w:t>G</w:t>
            </w:r>
            <w:r w:rsidRPr="001E21A1">
              <w:rPr>
                <w:rFonts w:eastAsia="等线"/>
                <w:kern w:val="0"/>
                <w:sz w:val="21"/>
                <w:szCs w:val="21"/>
              </w:rPr>
              <w:t>1</w:t>
            </w:r>
          </w:p>
        </w:tc>
        <w:tc>
          <w:tcPr>
            <w:tcW w:w="1099" w:type="pct"/>
            <w:tcBorders>
              <w:top w:val="single" w:sz="4" w:space="0" w:color="auto"/>
              <w:left w:val="single" w:sz="4" w:space="0" w:color="auto"/>
              <w:bottom w:val="single" w:sz="4" w:space="0" w:color="auto"/>
              <w:right w:val="single" w:sz="4" w:space="0" w:color="auto"/>
            </w:tcBorders>
            <w:vAlign w:val="center"/>
          </w:tcPr>
          <w:p w:rsidR="004E3021" w:rsidRPr="001E21A1" w:rsidRDefault="00606E48">
            <w:pPr>
              <w:pStyle w:val="afffffff2"/>
              <w:rPr>
                <w:rFonts w:eastAsia="等线"/>
                <w:kern w:val="0"/>
                <w:sz w:val="21"/>
                <w:szCs w:val="21"/>
              </w:rPr>
            </w:pPr>
            <w:r w:rsidRPr="001E21A1">
              <w:rPr>
                <w:rFonts w:eastAsia="等线" w:hint="eastAsia"/>
                <w:kern w:val="0"/>
                <w:sz w:val="21"/>
                <w:szCs w:val="21"/>
              </w:rPr>
              <w:t>G</w:t>
            </w:r>
            <w:r w:rsidRPr="001E21A1">
              <w:rPr>
                <w:rFonts w:eastAsia="等线"/>
                <w:kern w:val="0"/>
                <w:sz w:val="21"/>
                <w:szCs w:val="21"/>
              </w:rPr>
              <w:t>2</w:t>
            </w:r>
          </w:p>
        </w:tc>
        <w:tc>
          <w:tcPr>
            <w:tcW w:w="995" w:type="pct"/>
            <w:tcBorders>
              <w:top w:val="single" w:sz="4" w:space="0" w:color="auto"/>
              <w:left w:val="single" w:sz="4" w:space="0" w:color="auto"/>
              <w:bottom w:val="single" w:sz="4" w:space="0" w:color="auto"/>
              <w:right w:val="nil"/>
            </w:tcBorders>
            <w:vAlign w:val="center"/>
          </w:tcPr>
          <w:p w:rsidR="004E3021" w:rsidRPr="001E21A1" w:rsidRDefault="00606E48">
            <w:pPr>
              <w:pStyle w:val="afffffff2"/>
              <w:rPr>
                <w:rFonts w:eastAsia="等线"/>
                <w:kern w:val="0"/>
                <w:sz w:val="21"/>
                <w:szCs w:val="21"/>
              </w:rPr>
            </w:pPr>
            <w:r w:rsidRPr="001E21A1">
              <w:rPr>
                <w:rFonts w:eastAsia="等线" w:hint="eastAsia"/>
                <w:kern w:val="0"/>
                <w:sz w:val="21"/>
                <w:szCs w:val="21"/>
              </w:rPr>
              <w:t>G</w:t>
            </w:r>
            <w:r w:rsidRPr="001E21A1">
              <w:rPr>
                <w:rFonts w:eastAsia="等线"/>
                <w:kern w:val="0"/>
                <w:sz w:val="21"/>
                <w:szCs w:val="21"/>
              </w:rPr>
              <w:t>3</w:t>
            </w:r>
          </w:p>
        </w:tc>
      </w:tr>
      <w:tr w:rsidR="004E3021" w:rsidRPr="001E21A1">
        <w:trPr>
          <w:trHeight w:val="103"/>
          <w:jc w:val="center"/>
        </w:trPr>
        <w:tc>
          <w:tcPr>
            <w:tcW w:w="1884" w:type="pct"/>
            <w:tcBorders>
              <w:top w:val="single" w:sz="4" w:space="0" w:color="auto"/>
              <w:left w:val="nil"/>
              <w:bottom w:val="single" w:sz="4" w:space="0" w:color="auto"/>
              <w:right w:val="single" w:sz="4" w:space="0" w:color="auto"/>
            </w:tcBorders>
            <w:vAlign w:val="center"/>
          </w:tcPr>
          <w:p w:rsidR="004E3021" w:rsidRPr="001E21A1" w:rsidRDefault="00606E48">
            <w:pPr>
              <w:pStyle w:val="afffffff2"/>
              <w:rPr>
                <w:rFonts w:eastAsia="等线"/>
                <w:kern w:val="0"/>
                <w:sz w:val="21"/>
                <w:szCs w:val="21"/>
              </w:rPr>
            </w:pPr>
            <w:r w:rsidRPr="001E21A1">
              <w:rPr>
                <w:rFonts w:eastAsia="等线" w:hint="eastAsia"/>
                <w:kern w:val="0"/>
                <w:sz w:val="21"/>
                <w:szCs w:val="21"/>
              </w:rPr>
              <w:t>D</w:t>
            </w:r>
            <w:r w:rsidRPr="001E21A1">
              <w:rPr>
                <w:rFonts w:eastAsia="等线"/>
                <w:kern w:val="0"/>
                <w:sz w:val="21"/>
                <w:szCs w:val="21"/>
              </w:rPr>
              <w:t>1</w:t>
            </w:r>
          </w:p>
        </w:tc>
        <w:tc>
          <w:tcPr>
            <w:tcW w:w="1021" w:type="pct"/>
            <w:tcBorders>
              <w:top w:val="single" w:sz="4" w:space="0" w:color="auto"/>
              <w:left w:val="single" w:sz="4" w:space="0" w:color="auto"/>
              <w:bottom w:val="single" w:sz="4" w:space="0" w:color="auto"/>
              <w:right w:val="single" w:sz="4" w:space="0" w:color="auto"/>
            </w:tcBorders>
            <w:vAlign w:val="center"/>
          </w:tcPr>
          <w:p w:rsidR="004E3021" w:rsidRPr="001E21A1" w:rsidRDefault="00606E48">
            <w:pPr>
              <w:pStyle w:val="afffffff2"/>
              <w:rPr>
                <w:rFonts w:eastAsia="等线"/>
                <w:kern w:val="0"/>
                <w:sz w:val="21"/>
                <w:szCs w:val="21"/>
              </w:rPr>
            </w:pPr>
            <w:r w:rsidRPr="001E21A1">
              <w:rPr>
                <w:rFonts w:eastAsia="等线"/>
                <w:kern w:val="0"/>
                <w:sz w:val="21"/>
                <w:szCs w:val="21"/>
              </w:rPr>
              <w:t>E1</w:t>
            </w:r>
          </w:p>
        </w:tc>
        <w:tc>
          <w:tcPr>
            <w:tcW w:w="1099" w:type="pct"/>
            <w:tcBorders>
              <w:top w:val="single" w:sz="4" w:space="0" w:color="auto"/>
              <w:left w:val="single" w:sz="4" w:space="0" w:color="auto"/>
              <w:bottom w:val="single" w:sz="4" w:space="0" w:color="auto"/>
              <w:right w:val="single" w:sz="4" w:space="0" w:color="auto"/>
            </w:tcBorders>
            <w:vAlign w:val="center"/>
          </w:tcPr>
          <w:p w:rsidR="004E3021" w:rsidRPr="001E21A1" w:rsidRDefault="00606E48">
            <w:pPr>
              <w:pStyle w:val="afffffff2"/>
              <w:rPr>
                <w:rFonts w:eastAsia="等线"/>
                <w:kern w:val="0"/>
                <w:sz w:val="21"/>
                <w:szCs w:val="21"/>
              </w:rPr>
            </w:pPr>
            <w:r w:rsidRPr="001E21A1">
              <w:rPr>
                <w:rFonts w:eastAsia="等线"/>
                <w:kern w:val="0"/>
                <w:sz w:val="21"/>
                <w:szCs w:val="21"/>
              </w:rPr>
              <w:t>E1</w:t>
            </w:r>
          </w:p>
        </w:tc>
        <w:tc>
          <w:tcPr>
            <w:tcW w:w="995" w:type="pct"/>
            <w:tcBorders>
              <w:top w:val="single" w:sz="4" w:space="0" w:color="auto"/>
              <w:left w:val="single" w:sz="4" w:space="0" w:color="auto"/>
              <w:bottom w:val="single" w:sz="4" w:space="0" w:color="auto"/>
              <w:right w:val="nil"/>
            </w:tcBorders>
            <w:vAlign w:val="center"/>
          </w:tcPr>
          <w:p w:rsidR="004E3021" w:rsidRPr="001E21A1" w:rsidRDefault="00606E48">
            <w:pPr>
              <w:pStyle w:val="afffffff2"/>
              <w:rPr>
                <w:rFonts w:eastAsia="等线"/>
                <w:kern w:val="0"/>
                <w:sz w:val="21"/>
                <w:szCs w:val="21"/>
              </w:rPr>
            </w:pPr>
            <w:r w:rsidRPr="001E21A1">
              <w:rPr>
                <w:rFonts w:eastAsia="等线"/>
                <w:kern w:val="0"/>
                <w:sz w:val="21"/>
                <w:szCs w:val="21"/>
              </w:rPr>
              <w:t>E2</w:t>
            </w:r>
          </w:p>
        </w:tc>
      </w:tr>
      <w:tr w:rsidR="004E3021" w:rsidRPr="001E21A1" w:rsidTr="00CD2C2C">
        <w:trPr>
          <w:trHeight w:val="150"/>
          <w:jc w:val="center"/>
        </w:trPr>
        <w:tc>
          <w:tcPr>
            <w:tcW w:w="1884" w:type="pct"/>
            <w:tcBorders>
              <w:top w:val="single" w:sz="4" w:space="0" w:color="auto"/>
              <w:left w:val="nil"/>
              <w:bottom w:val="single" w:sz="4" w:space="0" w:color="auto"/>
              <w:right w:val="single" w:sz="4" w:space="0" w:color="auto"/>
            </w:tcBorders>
            <w:vAlign w:val="center"/>
          </w:tcPr>
          <w:p w:rsidR="004E3021" w:rsidRPr="001E21A1" w:rsidRDefault="00606E48">
            <w:pPr>
              <w:pStyle w:val="afffffff2"/>
              <w:rPr>
                <w:rFonts w:eastAsia="等线"/>
                <w:kern w:val="0"/>
                <w:sz w:val="21"/>
                <w:szCs w:val="21"/>
              </w:rPr>
            </w:pPr>
            <w:r w:rsidRPr="001E21A1">
              <w:rPr>
                <w:rFonts w:eastAsia="等线" w:hint="eastAsia"/>
                <w:kern w:val="0"/>
                <w:sz w:val="21"/>
                <w:szCs w:val="21"/>
              </w:rPr>
              <w:t>D</w:t>
            </w:r>
            <w:r w:rsidRPr="001E21A1">
              <w:rPr>
                <w:rFonts w:eastAsia="等线"/>
                <w:kern w:val="0"/>
                <w:sz w:val="21"/>
                <w:szCs w:val="21"/>
              </w:rPr>
              <w:t>2</w:t>
            </w:r>
          </w:p>
        </w:tc>
        <w:tc>
          <w:tcPr>
            <w:tcW w:w="1021" w:type="pct"/>
            <w:tcBorders>
              <w:top w:val="single" w:sz="4" w:space="0" w:color="auto"/>
              <w:left w:val="single" w:sz="4" w:space="0" w:color="auto"/>
              <w:bottom w:val="single" w:sz="4" w:space="0" w:color="auto"/>
              <w:right w:val="single" w:sz="4" w:space="0" w:color="auto"/>
            </w:tcBorders>
            <w:vAlign w:val="center"/>
          </w:tcPr>
          <w:p w:rsidR="004E3021" w:rsidRPr="001E21A1" w:rsidRDefault="00606E48">
            <w:pPr>
              <w:pStyle w:val="afffffff2"/>
              <w:rPr>
                <w:rFonts w:eastAsia="等线"/>
                <w:kern w:val="0"/>
                <w:sz w:val="21"/>
                <w:szCs w:val="21"/>
              </w:rPr>
            </w:pPr>
            <w:r w:rsidRPr="001E21A1">
              <w:rPr>
                <w:rFonts w:eastAsia="等线"/>
                <w:kern w:val="0"/>
                <w:sz w:val="21"/>
                <w:szCs w:val="21"/>
              </w:rPr>
              <w:t>E1</w:t>
            </w:r>
          </w:p>
        </w:tc>
        <w:tc>
          <w:tcPr>
            <w:tcW w:w="1099" w:type="pct"/>
            <w:tcBorders>
              <w:top w:val="single" w:sz="4" w:space="0" w:color="auto"/>
              <w:left w:val="single" w:sz="4" w:space="0" w:color="auto"/>
              <w:bottom w:val="single" w:sz="4" w:space="0" w:color="auto"/>
              <w:right w:val="single" w:sz="4" w:space="0" w:color="auto"/>
            </w:tcBorders>
            <w:vAlign w:val="center"/>
          </w:tcPr>
          <w:p w:rsidR="004E3021" w:rsidRPr="001E21A1" w:rsidRDefault="00606E48">
            <w:pPr>
              <w:pStyle w:val="afffffff2"/>
              <w:rPr>
                <w:rFonts w:eastAsia="等线"/>
                <w:kern w:val="0"/>
                <w:sz w:val="21"/>
                <w:szCs w:val="21"/>
              </w:rPr>
            </w:pPr>
            <w:r w:rsidRPr="001E21A1">
              <w:rPr>
                <w:rFonts w:eastAsia="等线"/>
                <w:kern w:val="0"/>
                <w:sz w:val="21"/>
                <w:szCs w:val="21"/>
              </w:rPr>
              <w:t>E2</w:t>
            </w:r>
          </w:p>
        </w:tc>
        <w:tc>
          <w:tcPr>
            <w:tcW w:w="995" w:type="pct"/>
            <w:tcBorders>
              <w:top w:val="single" w:sz="4" w:space="0" w:color="auto"/>
              <w:left w:val="single" w:sz="4" w:space="0" w:color="auto"/>
              <w:bottom w:val="single" w:sz="4" w:space="0" w:color="auto"/>
              <w:right w:val="nil"/>
            </w:tcBorders>
            <w:shd w:val="clear" w:color="auto" w:fill="A6A6A6" w:themeFill="background1" w:themeFillShade="A6"/>
            <w:vAlign w:val="center"/>
          </w:tcPr>
          <w:p w:rsidR="004E3021" w:rsidRPr="001E21A1" w:rsidRDefault="00606E48">
            <w:pPr>
              <w:pStyle w:val="afffffff2"/>
              <w:rPr>
                <w:rFonts w:eastAsia="等线"/>
                <w:kern w:val="0"/>
                <w:sz w:val="21"/>
                <w:szCs w:val="21"/>
              </w:rPr>
            </w:pPr>
            <w:r w:rsidRPr="001E21A1">
              <w:rPr>
                <w:rFonts w:eastAsia="等线"/>
                <w:kern w:val="0"/>
                <w:sz w:val="21"/>
                <w:szCs w:val="21"/>
              </w:rPr>
              <w:t>E3</w:t>
            </w:r>
          </w:p>
        </w:tc>
      </w:tr>
      <w:tr w:rsidR="004E3021" w:rsidRPr="001E21A1" w:rsidTr="00CD2C2C">
        <w:trPr>
          <w:trHeight w:val="167"/>
          <w:jc w:val="center"/>
        </w:trPr>
        <w:tc>
          <w:tcPr>
            <w:tcW w:w="1884" w:type="pct"/>
            <w:tcBorders>
              <w:top w:val="single" w:sz="4" w:space="0" w:color="auto"/>
              <w:left w:val="nil"/>
              <w:bottom w:val="single" w:sz="12" w:space="0" w:color="auto"/>
              <w:right w:val="single" w:sz="4" w:space="0" w:color="auto"/>
            </w:tcBorders>
            <w:vAlign w:val="center"/>
          </w:tcPr>
          <w:p w:rsidR="004E3021" w:rsidRPr="001E21A1" w:rsidRDefault="00606E48">
            <w:pPr>
              <w:pStyle w:val="afffffff2"/>
              <w:rPr>
                <w:rFonts w:eastAsia="等线"/>
                <w:kern w:val="0"/>
                <w:sz w:val="21"/>
                <w:szCs w:val="21"/>
              </w:rPr>
            </w:pPr>
            <w:r w:rsidRPr="001E21A1">
              <w:rPr>
                <w:rFonts w:eastAsia="等线" w:hint="eastAsia"/>
                <w:kern w:val="0"/>
                <w:sz w:val="21"/>
                <w:szCs w:val="21"/>
              </w:rPr>
              <w:t>D</w:t>
            </w:r>
            <w:r w:rsidRPr="001E21A1">
              <w:rPr>
                <w:rFonts w:eastAsia="等线"/>
                <w:kern w:val="0"/>
                <w:sz w:val="21"/>
                <w:szCs w:val="21"/>
              </w:rPr>
              <w:t>3</w:t>
            </w:r>
          </w:p>
        </w:tc>
        <w:tc>
          <w:tcPr>
            <w:tcW w:w="1021" w:type="pct"/>
            <w:tcBorders>
              <w:top w:val="single" w:sz="4" w:space="0" w:color="auto"/>
              <w:left w:val="single" w:sz="4" w:space="0" w:color="auto"/>
              <w:bottom w:val="single" w:sz="12" w:space="0" w:color="auto"/>
              <w:right w:val="single" w:sz="4" w:space="0" w:color="auto"/>
            </w:tcBorders>
            <w:vAlign w:val="center"/>
          </w:tcPr>
          <w:p w:rsidR="004E3021" w:rsidRPr="001E21A1" w:rsidRDefault="00606E48">
            <w:pPr>
              <w:pStyle w:val="afffffff2"/>
              <w:rPr>
                <w:rFonts w:eastAsia="等线"/>
                <w:kern w:val="0"/>
                <w:sz w:val="21"/>
                <w:szCs w:val="21"/>
              </w:rPr>
            </w:pPr>
            <w:r w:rsidRPr="001E21A1">
              <w:rPr>
                <w:rFonts w:eastAsia="等线"/>
                <w:kern w:val="0"/>
                <w:sz w:val="21"/>
                <w:szCs w:val="21"/>
              </w:rPr>
              <w:t>E1</w:t>
            </w:r>
          </w:p>
        </w:tc>
        <w:tc>
          <w:tcPr>
            <w:tcW w:w="1099" w:type="pct"/>
            <w:tcBorders>
              <w:top w:val="single" w:sz="4" w:space="0" w:color="auto"/>
              <w:left w:val="single" w:sz="4" w:space="0" w:color="auto"/>
              <w:bottom w:val="single" w:sz="12" w:space="0" w:color="auto"/>
              <w:right w:val="single" w:sz="4" w:space="0" w:color="auto"/>
            </w:tcBorders>
            <w:vAlign w:val="center"/>
          </w:tcPr>
          <w:p w:rsidR="004E3021" w:rsidRPr="001E21A1" w:rsidRDefault="00606E48">
            <w:pPr>
              <w:pStyle w:val="afffffff2"/>
              <w:rPr>
                <w:rFonts w:eastAsia="等线"/>
                <w:kern w:val="0"/>
                <w:sz w:val="21"/>
                <w:szCs w:val="21"/>
              </w:rPr>
            </w:pPr>
            <w:r w:rsidRPr="001E21A1">
              <w:rPr>
                <w:rFonts w:eastAsia="等线"/>
                <w:kern w:val="0"/>
                <w:sz w:val="21"/>
                <w:szCs w:val="21"/>
              </w:rPr>
              <w:t>E2</w:t>
            </w:r>
          </w:p>
        </w:tc>
        <w:tc>
          <w:tcPr>
            <w:tcW w:w="995" w:type="pct"/>
            <w:tcBorders>
              <w:top w:val="single" w:sz="4" w:space="0" w:color="auto"/>
              <w:left w:val="single" w:sz="4" w:space="0" w:color="auto"/>
              <w:bottom w:val="single" w:sz="12" w:space="0" w:color="auto"/>
              <w:right w:val="nil"/>
            </w:tcBorders>
            <w:shd w:val="clear" w:color="auto" w:fill="FFFFFF" w:themeFill="background1"/>
            <w:vAlign w:val="center"/>
          </w:tcPr>
          <w:p w:rsidR="004E3021" w:rsidRPr="001E21A1" w:rsidRDefault="00606E48">
            <w:pPr>
              <w:pStyle w:val="afffffff2"/>
              <w:rPr>
                <w:rFonts w:eastAsia="等线"/>
                <w:kern w:val="0"/>
                <w:sz w:val="21"/>
                <w:szCs w:val="21"/>
              </w:rPr>
            </w:pPr>
            <w:r w:rsidRPr="001E21A1">
              <w:rPr>
                <w:rFonts w:eastAsia="等线"/>
                <w:kern w:val="0"/>
                <w:sz w:val="21"/>
                <w:szCs w:val="21"/>
              </w:rPr>
              <w:t>E3</w:t>
            </w:r>
          </w:p>
        </w:tc>
      </w:tr>
    </w:tbl>
    <w:p w:rsidR="004E3021" w:rsidRDefault="00606E48">
      <w:pPr>
        <w:ind w:firstLine="480"/>
        <w:rPr>
          <w:b/>
          <w:bCs/>
          <w:color w:val="0000FF"/>
        </w:rPr>
      </w:pPr>
      <w:r>
        <w:rPr>
          <w:rFonts w:hint="eastAsia"/>
        </w:rPr>
        <w:t>由区域地下水功能敏感性分区和包气带防污性能分级可知，区域地下水环境环境敏</w:t>
      </w:r>
      <w:r>
        <w:rPr>
          <w:rFonts w:hint="eastAsia"/>
        </w:rPr>
        <w:lastRenderedPageBreak/>
        <w:t>感程度判定为</w:t>
      </w:r>
      <w:r>
        <w:t>E3</w:t>
      </w:r>
      <w:r>
        <w:rPr>
          <w:rFonts w:hint="eastAsia"/>
        </w:rPr>
        <w:t>。</w:t>
      </w:r>
    </w:p>
    <w:p w:rsidR="004E3021" w:rsidRDefault="00606E48">
      <w:pPr>
        <w:ind w:firstLineChars="0" w:firstLine="0"/>
        <w:rPr>
          <w:b/>
        </w:rPr>
      </w:pPr>
      <w:r>
        <w:rPr>
          <w:b/>
        </w:rPr>
        <w:t>2.3.1.5.3</w:t>
      </w:r>
      <w:r>
        <w:rPr>
          <w:b/>
        </w:rPr>
        <w:t>环境风险潜势判断</w:t>
      </w:r>
    </w:p>
    <w:p w:rsidR="004E3021" w:rsidRDefault="00606E48">
      <w:pPr>
        <w:ind w:firstLine="480"/>
      </w:pPr>
      <w:r w:rsidRPr="001E21A1">
        <w:t>根据《建设项目环境风险评价技术导则》</w:t>
      </w:r>
      <w:r w:rsidRPr="001E21A1">
        <w:t>(HJ169-2018)</w:t>
      </w:r>
      <w:r w:rsidRPr="001E21A1">
        <w:t>划分依据，本项目大气环境风险潜势为</w:t>
      </w:r>
      <w:r w:rsidRPr="001E21A1">
        <w:t>Ⅳ</w:t>
      </w:r>
      <w:r w:rsidRPr="001E21A1">
        <w:t>级，地表水环境风险潜势为</w:t>
      </w:r>
      <w:r w:rsidRPr="001E21A1">
        <w:t>Ⅲ</w:t>
      </w:r>
      <w:r w:rsidRPr="001E21A1">
        <w:t>级，地下水环境风险潜势为</w:t>
      </w:r>
      <w:r w:rsidRPr="001E21A1">
        <w:t>Ⅲ</w:t>
      </w:r>
      <w:r w:rsidRPr="001E21A1">
        <w:t>级。</w:t>
      </w:r>
      <w:r w:rsidR="00947F13">
        <w:rPr>
          <w:rFonts w:hint="eastAsia"/>
        </w:rPr>
        <w:t>本</w:t>
      </w:r>
      <w:r>
        <w:rPr>
          <w:rFonts w:ascii="宋体" w:hAnsi="宋体"/>
        </w:rPr>
        <w:t>项目环境风险潜势划分结果见表</w:t>
      </w:r>
      <w:r>
        <w:t>2.3.1-18</w:t>
      </w:r>
      <w:r>
        <w:rPr>
          <w:rFonts w:ascii="宋体" w:hAnsi="宋体"/>
        </w:rPr>
        <w:t>。</w:t>
      </w:r>
    </w:p>
    <w:p w:rsidR="004E3021" w:rsidRDefault="00606E48">
      <w:pPr>
        <w:pStyle w:val="afffff4"/>
      </w:pPr>
      <w:r>
        <w:rPr>
          <w:rFonts w:ascii="黑体" w:hAnsi="黑体"/>
        </w:rPr>
        <w:t>表</w:t>
      </w:r>
      <w:r>
        <w:t xml:space="preserve">2.3.1-18  </w:t>
      </w:r>
      <w:r w:rsidR="00947F13">
        <w:rPr>
          <w:rFonts w:hint="eastAsia"/>
        </w:rPr>
        <w:t>本</w:t>
      </w:r>
      <w:r>
        <w:rPr>
          <w:rFonts w:ascii="黑体" w:hAnsi="黑体"/>
        </w:rPr>
        <w:t>项目</w:t>
      </w:r>
      <w:r>
        <w:rPr>
          <w:rFonts w:ascii="黑体" w:hAnsi="黑体" w:hint="eastAsia"/>
        </w:rPr>
        <w:t>环境风险</w:t>
      </w:r>
      <w:r>
        <w:rPr>
          <w:rFonts w:ascii="黑体" w:hAnsi="黑体"/>
        </w:rPr>
        <w:t>潜势划分</w:t>
      </w:r>
    </w:p>
    <w:tbl>
      <w:tblPr>
        <w:tblStyle w:val="afff"/>
        <w:tblW w:w="5000" w:type="pct"/>
        <w:tblLook w:val="04A0" w:firstRow="1" w:lastRow="0" w:firstColumn="1" w:lastColumn="0" w:noHBand="0" w:noVBand="1"/>
      </w:tblPr>
      <w:tblGrid>
        <w:gridCol w:w="708"/>
        <w:gridCol w:w="2033"/>
        <w:gridCol w:w="1571"/>
        <w:gridCol w:w="1572"/>
        <w:gridCol w:w="1571"/>
        <w:gridCol w:w="1571"/>
      </w:tblGrid>
      <w:tr w:rsidR="004E3021" w:rsidRPr="001E21A1" w:rsidTr="001E21A1">
        <w:trPr>
          <w:trHeight w:val="195"/>
        </w:trPr>
        <w:tc>
          <w:tcPr>
            <w:tcW w:w="393" w:type="pct"/>
            <w:vMerge w:val="restart"/>
            <w:vAlign w:val="center"/>
          </w:tcPr>
          <w:p w:rsidR="004E3021" w:rsidRPr="00E13009" w:rsidRDefault="00606E48" w:rsidP="001E21A1">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类别</w:t>
            </w:r>
          </w:p>
        </w:tc>
        <w:tc>
          <w:tcPr>
            <w:tcW w:w="1126" w:type="pct"/>
            <w:vMerge w:val="restart"/>
            <w:vAlign w:val="center"/>
          </w:tcPr>
          <w:p w:rsidR="004E3021" w:rsidRPr="00E13009" w:rsidRDefault="00606E48" w:rsidP="001E21A1">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环境敏感程度</w:t>
            </w:r>
            <w:r w:rsidRPr="00E13009">
              <w:rPr>
                <w:rFonts w:ascii="Times New Roman" w:hAnsi="Times New Roman" w:cs="Times New Roman"/>
                <w:b/>
                <w:kern w:val="0"/>
                <w:sz w:val="21"/>
                <w:szCs w:val="21"/>
              </w:rPr>
              <w:t>E</w:t>
            </w:r>
          </w:p>
        </w:tc>
        <w:tc>
          <w:tcPr>
            <w:tcW w:w="3482" w:type="pct"/>
            <w:gridSpan w:val="4"/>
            <w:vAlign w:val="center"/>
          </w:tcPr>
          <w:p w:rsidR="004E3021" w:rsidRPr="00E13009" w:rsidRDefault="00606E48" w:rsidP="001E21A1">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危险物质及工艺系统危害性</w:t>
            </w:r>
            <w:r w:rsidRPr="00E13009">
              <w:rPr>
                <w:rFonts w:ascii="Times New Roman" w:hAnsi="Times New Roman" w:cs="Times New Roman"/>
                <w:b/>
                <w:kern w:val="0"/>
                <w:sz w:val="21"/>
                <w:szCs w:val="21"/>
              </w:rPr>
              <w:t>P</w:t>
            </w:r>
          </w:p>
        </w:tc>
      </w:tr>
      <w:tr w:rsidR="004E3021" w:rsidRPr="001E21A1" w:rsidTr="001E21A1">
        <w:trPr>
          <w:trHeight w:val="191"/>
        </w:trPr>
        <w:tc>
          <w:tcPr>
            <w:tcW w:w="0" w:type="auto"/>
            <w:vMerge/>
            <w:vAlign w:val="center"/>
          </w:tcPr>
          <w:p w:rsidR="004E3021" w:rsidRPr="00E13009" w:rsidRDefault="004E3021" w:rsidP="001E21A1">
            <w:pPr>
              <w:pStyle w:val="afffffff2"/>
              <w:rPr>
                <w:rFonts w:ascii="Times New Roman" w:hAnsi="Times New Roman" w:cs="Times New Roman"/>
                <w:b/>
                <w:kern w:val="0"/>
                <w:sz w:val="21"/>
                <w:szCs w:val="21"/>
              </w:rPr>
            </w:pPr>
          </w:p>
        </w:tc>
        <w:tc>
          <w:tcPr>
            <w:tcW w:w="0" w:type="auto"/>
            <w:vMerge/>
            <w:vAlign w:val="center"/>
          </w:tcPr>
          <w:p w:rsidR="004E3021" w:rsidRPr="00E13009" w:rsidRDefault="004E3021" w:rsidP="001E21A1">
            <w:pPr>
              <w:pStyle w:val="afffffff2"/>
              <w:rPr>
                <w:rFonts w:ascii="Times New Roman" w:hAnsi="Times New Roman" w:cs="Times New Roman"/>
                <w:b/>
                <w:kern w:val="0"/>
                <w:sz w:val="21"/>
                <w:szCs w:val="21"/>
              </w:rPr>
            </w:pPr>
          </w:p>
        </w:tc>
        <w:tc>
          <w:tcPr>
            <w:tcW w:w="870" w:type="pct"/>
            <w:vAlign w:val="center"/>
          </w:tcPr>
          <w:p w:rsidR="004E3021" w:rsidRPr="00E13009" w:rsidRDefault="00606E48" w:rsidP="001E21A1">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极高危害</w:t>
            </w:r>
            <w:r w:rsidRPr="00E13009">
              <w:rPr>
                <w:rFonts w:ascii="Times New Roman" w:hAnsi="Times New Roman" w:cs="Times New Roman"/>
                <w:b/>
                <w:kern w:val="0"/>
                <w:sz w:val="21"/>
                <w:szCs w:val="21"/>
              </w:rPr>
              <w:t>P1</w:t>
            </w:r>
          </w:p>
        </w:tc>
        <w:tc>
          <w:tcPr>
            <w:tcW w:w="871" w:type="pct"/>
            <w:vAlign w:val="center"/>
          </w:tcPr>
          <w:p w:rsidR="004E3021" w:rsidRPr="00E13009" w:rsidRDefault="00606E48" w:rsidP="001E21A1">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高度危害</w:t>
            </w:r>
            <w:r w:rsidRPr="00E13009">
              <w:rPr>
                <w:rFonts w:ascii="Times New Roman" w:hAnsi="Times New Roman" w:cs="Times New Roman"/>
                <w:b/>
                <w:kern w:val="0"/>
                <w:sz w:val="21"/>
                <w:szCs w:val="21"/>
              </w:rPr>
              <w:t>P2</w:t>
            </w:r>
          </w:p>
        </w:tc>
        <w:tc>
          <w:tcPr>
            <w:tcW w:w="870" w:type="pct"/>
            <w:vAlign w:val="center"/>
          </w:tcPr>
          <w:p w:rsidR="004E3021" w:rsidRPr="00E13009" w:rsidRDefault="00606E48" w:rsidP="001E21A1">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中度危害</w:t>
            </w:r>
            <w:r w:rsidRPr="00E13009">
              <w:rPr>
                <w:rFonts w:ascii="Times New Roman" w:hAnsi="Times New Roman" w:cs="Times New Roman"/>
                <w:b/>
                <w:kern w:val="0"/>
                <w:sz w:val="21"/>
                <w:szCs w:val="21"/>
              </w:rPr>
              <w:t>P3</w:t>
            </w:r>
          </w:p>
        </w:tc>
        <w:tc>
          <w:tcPr>
            <w:tcW w:w="870" w:type="pct"/>
            <w:vAlign w:val="center"/>
          </w:tcPr>
          <w:p w:rsidR="004E3021" w:rsidRPr="00E13009" w:rsidRDefault="00606E48" w:rsidP="001E21A1">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轻度危害</w:t>
            </w:r>
            <w:r w:rsidRPr="00E13009">
              <w:rPr>
                <w:rFonts w:ascii="Times New Roman" w:hAnsi="Times New Roman" w:cs="Times New Roman"/>
                <w:b/>
                <w:kern w:val="0"/>
                <w:sz w:val="21"/>
                <w:szCs w:val="21"/>
              </w:rPr>
              <w:t>P4</w:t>
            </w:r>
          </w:p>
        </w:tc>
      </w:tr>
      <w:tr w:rsidR="004E3021" w:rsidRPr="001E21A1" w:rsidTr="00DE2F8A">
        <w:trPr>
          <w:trHeight w:val="195"/>
        </w:trPr>
        <w:tc>
          <w:tcPr>
            <w:tcW w:w="393" w:type="pct"/>
            <w:vMerge w:val="restar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环境空气</w:t>
            </w:r>
          </w:p>
        </w:tc>
        <w:tc>
          <w:tcPr>
            <w:tcW w:w="1126"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环境高度敏感区</w:t>
            </w:r>
            <w:r w:rsidRPr="001E21A1">
              <w:rPr>
                <w:rFonts w:ascii="Times New Roman" w:hAnsi="Times New Roman" w:cs="Times New Roman"/>
                <w:kern w:val="0"/>
                <w:sz w:val="21"/>
                <w:szCs w:val="21"/>
              </w:rPr>
              <w:t>E1</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Ⅳ</w:t>
            </w:r>
            <w:r w:rsidRPr="001E21A1">
              <w:rPr>
                <w:rFonts w:ascii="Times New Roman" w:hAnsi="Times New Roman" w:cs="Times New Roman"/>
                <w:kern w:val="0"/>
                <w:sz w:val="21"/>
                <w:szCs w:val="21"/>
              </w:rPr>
              <w:t>+</w:t>
            </w:r>
          </w:p>
        </w:tc>
        <w:tc>
          <w:tcPr>
            <w:tcW w:w="871" w:type="pct"/>
            <w:shd w:val="clear" w:color="auto" w:fill="FFFFFF" w:themeFill="background1"/>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Ⅳ</w:t>
            </w:r>
          </w:p>
        </w:tc>
        <w:tc>
          <w:tcPr>
            <w:tcW w:w="870" w:type="pct"/>
            <w:shd w:val="clear" w:color="auto" w:fill="A6A6A6" w:themeFill="background1" w:themeFillShade="A6"/>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r>
      <w:tr w:rsidR="004E3021" w:rsidRPr="001E21A1" w:rsidTr="00DE2F8A">
        <w:trPr>
          <w:trHeight w:val="185"/>
        </w:trPr>
        <w:tc>
          <w:tcPr>
            <w:tcW w:w="0" w:type="auto"/>
            <w:vMerge/>
            <w:vAlign w:val="center"/>
          </w:tcPr>
          <w:p w:rsidR="004E3021" w:rsidRPr="001E21A1" w:rsidRDefault="004E3021" w:rsidP="001E21A1">
            <w:pPr>
              <w:pStyle w:val="afffffff2"/>
              <w:rPr>
                <w:rFonts w:ascii="Times New Roman" w:hAnsi="Times New Roman" w:cs="Times New Roman"/>
                <w:kern w:val="0"/>
                <w:sz w:val="21"/>
                <w:szCs w:val="21"/>
              </w:rPr>
            </w:pPr>
          </w:p>
        </w:tc>
        <w:tc>
          <w:tcPr>
            <w:tcW w:w="1126"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环境中度敏感区</w:t>
            </w:r>
            <w:r w:rsidRPr="001E21A1">
              <w:rPr>
                <w:rFonts w:ascii="Times New Roman" w:hAnsi="Times New Roman" w:cs="Times New Roman"/>
                <w:kern w:val="0"/>
                <w:sz w:val="21"/>
                <w:szCs w:val="21"/>
              </w:rPr>
              <w:t>E2</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Ⅳ</w:t>
            </w:r>
          </w:p>
        </w:tc>
        <w:tc>
          <w:tcPr>
            <w:tcW w:w="871" w:type="pct"/>
            <w:shd w:val="clear" w:color="auto" w:fill="FFFFFF" w:themeFill="background1"/>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Ⅱ</w:t>
            </w:r>
          </w:p>
        </w:tc>
      </w:tr>
      <w:tr w:rsidR="004E3021" w:rsidRPr="001E21A1" w:rsidTr="00DE2F8A">
        <w:trPr>
          <w:trHeight w:val="189"/>
        </w:trPr>
        <w:tc>
          <w:tcPr>
            <w:tcW w:w="0" w:type="auto"/>
            <w:vMerge/>
            <w:vAlign w:val="center"/>
          </w:tcPr>
          <w:p w:rsidR="004E3021" w:rsidRPr="001E21A1" w:rsidRDefault="004E3021" w:rsidP="001E21A1">
            <w:pPr>
              <w:pStyle w:val="afffffff2"/>
              <w:rPr>
                <w:rFonts w:ascii="Times New Roman" w:hAnsi="Times New Roman" w:cs="Times New Roman"/>
                <w:kern w:val="0"/>
                <w:sz w:val="21"/>
                <w:szCs w:val="21"/>
              </w:rPr>
            </w:pPr>
          </w:p>
        </w:tc>
        <w:tc>
          <w:tcPr>
            <w:tcW w:w="1126"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环境轻度敏感区</w:t>
            </w:r>
            <w:r w:rsidRPr="001E21A1">
              <w:rPr>
                <w:rFonts w:ascii="Times New Roman" w:hAnsi="Times New Roman" w:cs="Times New Roman"/>
                <w:kern w:val="0"/>
                <w:sz w:val="21"/>
                <w:szCs w:val="21"/>
              </w:rPr>
              <w:t>E3</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c>
          <w:tcPr>
            <w:tcW w:w="871" w:type="pct"/>
            <w:shd w:val="clear" w:color="auto" w:fill="FFFFFF" w:themeFill="background1"/>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Ⅱ</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Ⅰ</w:t>
            </w:r>
          </w:p>
        </w:tc>
      </w:tr>
      <w:tr w:rsidR="004E3021" w:rsidRPr="001E21A1" w:rsidTr="00DE2F8A">
        <w:trPr>
          <w:trHeight w:val="70"/>
        </w:trPr>
        <w:tc>
          <w:tcPr>
            <w:tcW w:w="393" w:type="pct"/>
            <w:vMerge w:val="restar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地表水</w:t>
            </w:r>
          </w:p>
        </w:tc>
        <w:tc>
          <w:tcPr>
            <w:tcW w:w="1126"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环境高度敏感区</w:t>
            </w:r>
            <w:r w:rsidRPr="001E21A1">
              <w:rPr>
                <w:rFonts w:ascii="Times New Roman" w:hAnsi="Times New Roman" w:cs="Times New Roman"/>
                <w:kern w:val="0"/>
                <w:sz w:val="21"/>
                <w:szCs w:val="21"/>
              </w:rPr>
              <w:t>E1</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Ⅳ</w:t>
            </w:r>
            <w:r w:rsidRPr="001E21A1">
              <w:rPr>
                <w:rFonts w:ascii="Times New Roman" w:hAnsi="Times New Roman" w:cs="Times New Roman"/>
                <w:kern w:val="0"/>
                <w:sz w:val="21"/>
                <w:szCs w:val="21"/>
              </w:rPr>
              <w:t>+</w:t>
            </w:r>
          </w:p>
        </w:tc>
        <w:tc>
          <w:tcPr>
            <w:tcW w:w="871" w:type="pct"/>
            <w:shd w:val="clear" w:color="auto" w:fill="FFFFFF" w:themeFill="background1"/>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Ⅳ</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r>
      <w:tr w:rsidR="004E3021" w:rsidRPr="001E21A1" w:rsidTr="00CD2C2C">
        <w:trPr>
          <w:trHeight w:val="197"/>
        </w:trPr>
        <w:tc>
          <w:tcPr>
            <w:tcW w:w="0" w:type="auto"/>
            <w:vMerge/>
            <w:vAlign w:val="center"/>
          </w:tcPr>
          <w:p w:rsidR="004E3021" w:rsidRPr="001E21A1" w:rsidRDefault="004E3021" w:rsidP="001E21A1">
            <w:pPr>
              <w:pStyle w:val="afffffff2"/>
              <w:rPr>
                <w:rFonts w:ascii="Times New Roman" w:hAnsi="Times New Roman" w:cs="Times New Roman"/>
                <w:kern w:val="0"/>
                <w:sz w:val="21"/>
                <w:szCs w:val="21"/>
              </w:rPr>
            </w:pPr>
          </w:p>
        </w:tc>
        <w:tc>
          <w:tcPr>
            <w:tcW w:w="1126"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环境中度敏感区</w:t>
            </w:r>
            <w:r w:rsidRPr="001E21A1">
              <w:rPr>
                <w:rFonts w:ascii="Times New Roman" w:hAnsi="Times New Roman" w:cs="Times New Roman"/>
                <w:kern w:val="0"/>
                <w:sz w:val="21"/>
                <w:szCs w:val="21"/>
              </w:rPr>
              <w:t>E2</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Ⅳ</w:t>
            </w:r>
          </w:p>
        </w:tc>
        <w:tc>
          <w:tcPr>
            <w:tcW w:w="871" w:type="pct"/>
            <w:shd w:val="clear" w:color="auto" w:fill="FFFFFF" w:themeFill="background1"/>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c>
          <w:tcPr>
            <w:tcW w:w="870" w:type="pct"/>
            <w:shd w:val="clear" w:color="auto" w:fill="A6A6A6" w:themeFill="background1" w:themeFillShade="A6"/>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Ⅱ</w:t>
            </w:r>
          </w:p>
        </w:tc>
      </w:tr>
      <w:tr w:rsidR="004E3021" w:rsidRPr="001E21A1" w:rsidTr="00CD2C2C">
        <w:trPr>
          <w:trHeight w:val="201"/>
        </w:trPr>
        <w:tc>
          <w:tcPr>
            <w:tcW w:w="0" w:type="auto"/>
            <w:vMerge/>
            <w:vAlign w:val="center"/>
          </w:tcPr>
          <w:p w:rsidR="004E3021" w:rsidRPr="001E21A1" w:rsidRDefault="004E3021" w:rsidP="001E21A1">
            <w:pPr>
              <w:pStyle w:val="afffffff2"/>
              <w:rPr>
                <w:rFonts w:ascii="Times New Roman" w:hAnsi="Times New Roman" w:cs="Times New Roman"/>
                <w:kern w:val="0"/>
                <w:sz w:val="21"/>
                <w:szCs w:val="21"/>
              </w:rPr>
            </w:pPr>
          </w:p>
        </w:tc>
        <w:tc>
          <w:tcPr>
            <w:tcW w:w="1126"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环境轻度敏感区</w:t>
            </w:r>
            <w:r w:rsidRPr="001E21A1">
              <w:rPr>
                <w:rFonts w:ascii="Times New Roman" w:hAnsi="Times New Roman" w:cs="Times New Roman"/>
                <w:kern w:val="0"/>
                <w:sz w:val="21"/>
                <w:szCs w:val="21"/>
              </w:rPr>
              <w:t>E3</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c>
          <w:tcPr>
            <w:tcW w:w="871" w:type="pct"/>
            <w:shd w:val="clear" w:color="auto" w:fill="FFFFFF" w:themeFill="background1"/>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c>
          <w:tcPr>
            <w:tcW w:w="870" w:type="pct"/>
            <w:shd w:val="clear" w:color="auto" w:fill="auto"/>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Ⅱ</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Ⅰ</w:t>
            </w:r>
          </w:p>
        </w:tc>
      </w:tr>
      <w:tr w:rsidR="004E3021" w:rsidRPr="001E21A1" w:rsidTr="00DE2F8A">
        <w:trPr>
          <w:trHeight w:val="70"/>
        </w:trPr>
        <w:tc>
          <w:tcPr>
            <w:tcW w:w="393" w:type="pct"/>
            <w:vMerge w:val="restar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地下水</w:t>
            </w:r>
          </w:p>
        </w:tc>
        <w:tc>
          <w:tcPr>
            <w:tcW w:w="1126"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环境高度敏感区</w:t>
            </w:r>
            <w:r w:rsidRPr="001E21A1">
              <w:rPr>
                <w:rFonts w:ascii="Times New Roman" w:hAnsi="Times New Roman" w:cs="Times New Roman"/>
                <w:kern w:val="0"/>
                <w:sz w:val="21"/>
                <w:szCs w:val="21"/>
              </w:rPr>
              <w:t>E1</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Ⅳ</w:t>
            </w:r>
            <w:r w:rsidRPr="001E21A1">
              <w:rPr>
                <w:rFonts w:ascii="Times New Roman" w:hAnsi="Times New Roman" w:cs="Times New Roman"/>
                <w:kern w:val="0"/>
                <w:sz w:val="21"/>
                <w:szCs w:val="21"/>
              </w:rPr>
              <w:t>+</w:t>
            </w:r>
          </w:p>
        </w:tc>
        <w:tc>
          <w:tcPr>
            <w:tcW w:w="871" w:type="pct"/>
            <w:shd w:val="clear" w:color="auto" w:fill="FFFFFF" w:themeFill="background1"/>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Ⅳ</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r>
      <w:tr w:rsidR="004E3021" w:rsidRPr="001E21A1" w:rsidTr="00CD2C2C">
        <w:trPr>
          <w:trHeight w:val="195"/>
        </w:trPr>
        <w:tc>
          <w:tcPr>
            <w:tcW w:w="0" w:type="auto"/>
            <w:vMerge/>
            <w:vAlign w:val="center"/>
          </w:tcPr>
          <w:p w:rsidR="004E3021" w:rsidRPr="001E21A1" w:rsidRDefault="004E3021" w:rsidP="001E21A1">
            <w:pPr>
              <w:pStyle w:val="afffffff2"/>
              <w:rPr>
                <w:rFonts w:ascii="Times New Roman" w:hAnsi="Times New Roman" w:cs="Times New Roman"/>
                <w:kern w:val="0"/>
                <w:sz w:val="21"/>
                <w:szCs w:val="21"/>
              </w:rPr>
            </w:pPr>
          </w:p>
        </w:tc>
        <w:tc>
          <w:tcPr>
            <w:tcW w:w="1126"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环境中度敏感区</w:t>
            </w:r>
            <w:r w:rsidRPr="001E21A1">
              <w:rPr>
                <w:rFonts w:ascii="Times New Roman" w:hAnsi="Times New Roman" w:cs="Times New Roman"/>
                <w:kern w:val="0"/>
                <w:sz w:val="21"/>
                <w:szCs w:val="21"/>
              </w:rPr>
              <w:t>E2</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Ⅳ</w:t>
            </w:r>
          </w:p>
        </w:tc>
        <w:tc>
          <w:tcPr>
            <w:tcW w:w="871" w:type="pct"/>
            <w:shd w:val="clear" w:color="auto" w:fill="FFFFFF" w:themeFill="background1"/>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c>
          <w:tcPr>
            <w:tcW w:w="870" w:type="pct"/>
            <w:shd w:val="clear" w:color="auto" w:fill="FFFFFF" w:themeFill="background1"/>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Ⅱ</w:t>
            </w:r>
          </w:p>
        </w:tc>
      </w:tr>
      <w:tr w:rsidR="004E3021" w:rsidRPr="001E21A1" w:rsidTr="00CD2C2C">
        <w:trPr>
          <w:trHeight w:val="199"/>
        </w:trPr>
        <w:tc>
          <w:tcPr>
            <w:tcW w:w="0" w:type="auto"/>
            <w:vMerge/>
            <w:vAlign w:val="center"/>
          </w:tcPr>
          <w:p w:rsidR="004E3021" w:rsidRPr="001E21A1" w:rsidRDefault="004E3021" w:rsidP="001E21A1">
            <w:pPr>
              <w:pStyle w:val="afffffff2"/>
              <w:rPr>
                <w:rFonts w:ascii="Times New Roman" w:hAnsi="Times New Roman" w:cs="Times New Roman"/>
                <w:kern w:val="0"/>
                <w:sz w:val="21"/>
                <w:szCs w:val="21"/>
              </w:rPr>
            </w:pPr>
          </w:p>
        </w:tc>
        <w:tc>
          <w:tcPr>
            <w:tcW w:w="1126"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环境轻度敏感区</w:t>
            </w:r>
            <w:r w:rsidRPr="001E21A1">
              <w:rPr>
                <w:rFonts w:ascii="Times New Roman" w:hAnsi="Times New Roman" w:cs="Times New Roman"/>
                <w:kern w:val="0"/>
                <w:sz w:val="21"/>
                <w:szCs w:val="21"/>
              </w:rPr>
              <w:t>E3</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c>
          <w:tcPr>
            <w:tcW w:w="871" w:type="pct"/>
            <w:shd w:val="clear" w:color="auto" w:fill="FFFFFF" w:themeFill="background1"/>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eastAsia="微软雅黑" w:hAnsi="Times New Roman" w:cs="Times New Roman"/>
                <w:kern w:val="0"/>
                <w:sz w:val="21"/>
                <w:szCs w:val="21"/>
              </w:rPr>
              <w:t>Ⅲ</w:t>
            </w:r>
          </w:p>
        </w:tc>
        <w:tc>
          <w:tcPr>
            <w:tcW w:w="870" w:type="pct"/>
            <w:shd w:val="clear" w:color="auto" w:fill="A6A6A6" w:themeFill="background1" w:themeFillShade="A6"/>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Ⅱ</w:t>
            </w:r>
          </w:p>
        </w:tc>
        <w:tc>
          <w:tcPr>
            <w:tcW w:w="870" w:type="pct"/>
            <w:vAlign w:val="center"/>
          </w:tcPr>
          <w:p w:rsidR="004E3021" w:rsidRPr="001E21A1" w:rsidRDefault="00606E48" w:rsidP="001E21A1">
            <w:pPr>
              <w:pStyle w:val="afffffff2"/>
              <w:rPr>
                <w:rFonts w:ascii="Times New Roman" w:hAnsi="Times New Roman" w:cs="Times New Roman"/>
                <w:kern w:val="0"/>
                <w:sz w:val="21"/>
                <w:szCs w:val="21"/>
              </w:rPr>
            </w:pPr>
            <w:r w:rsidRPr="001E21A1">
              <w:rPr>
                <w:rFonts w:ascii="Times New Roman" w:hAnsi="Times New Roman" w:cs="Times New Roman"/>
                <w:kern w:val="0"/>
                <w:sz w:val="21"/>
                <w:szCs w:val="21"/>
              </w:rPr>
              <w:t>Ⅰ</w:t>
            </w:r>
          </w:p>
        </w:tc>
      </w:tr>
    </w:tbl>
    <w:p w:rsidR="004E3021" w:rsidRDefault="00606E48">
      <w:pPr>
        <w:ind w:firstLineChars="0" w:firstLine="0"/>
        <w:rPr>
          <w:b/>
        </w:rPr>
      </w:pPr>
      <w:r>
        <w:rPr>
          <w:rFonts w:hint="eastAsia"/>
          <w:b/>
        </w:rPr>
        <w:t>2.3.</w:t>
      </w:r>
      <w:r>
        <w:rPr>
          <w:b/>
        </w:rPr>
        <w:t>1</w:t>
      </w:r>
      <w:r>
        <w:rPr>
          <w:rFonts w:hint="eastAsia"/>
          <w:b/>
        </w:rPr>
        <w:t>.5.4</w:t>
      </w:r>
      <w:r>
        <w:rPr>
          <w:rFonts w:hint="eastAsia"/>
          <w:b/>
        </w:rPr>
        <w:t>环境</w:t>
      </w:r>
      <w:r>
        <w:rPr>
          <w:b/>
        </w:rPr>
        <w:t>风险等级</w:t>
      </w:r>
    </w:p>
    <w:p w:rsidR="004E3021" w:rsidRDefault="00606E48">
      <w:pPr>
        <w:ind w:firstLine="480"/>
        <w:contextualSpacing/>
        <w:rPr>
          <w:rFonts w:hAnsi="宋体"/>
          <w:kern w:val="18"/>
        </w:rPr>
      </w:pPr>
      <w:r>
        <w:rPr>
          <w:rFonts w:hAnsi="宋体" w:hint="eastAsia"/>
          <w:kern w:val="18"/>
        </w:rPr>
        <w:t>《建设项目环境风险评价技术导则》（</w:t>
      </w:r>
      <w:r>
        <w:rPr>
          <w:rFonts w:hAnsi="宋体" w:hint="eastAsia"/>
          <w:kern w:val="18"/>
        </w:rPr>
        <w:t>HJ/T169-2018</w:t>
      </w:r>
      <w:r>
        <w:rPr>
          <w:rFonts w:hAnsi="宋体" w:hint="eastAsia"/>
          <w:kern w:val="18"/>
        </w:rPr>
        <w:t>）给出的评价工作等级确定原则见表</w:t>
      </w:r>
      <w:r>
        <w:rPr>
          <w:rFonts w:hAnsi="宋体"/>
          <w:kern w:val="18"/>
        </w:rPr>
        <w:t>2.3.1-19</w:t>
      </w:r>
      <w:r>
        <w:rPr>
          <w:rFonts w:hAnsi="宋体" w:hint="eastAsia"/>
          <w:kern w:val="18"/>
        </w:rPr>
        <w:t>。</w:t>
      </w:r>
    </w:p>
    <w:p w:rsidR="004E3021" w:rsidRDefault="00606E48">
      <w:pPr>
        <w:pStyle w:val="afffff4"/>
      </w:pPr>
      <w:r>
        <w:rPr>
          <w:rFonts w:hint="eastAsia"/>
        </w:rPr>
        <w:t>表</w:t>
      </w:r>
      <w:r>
        <w:t>2.3.1-19</w:t>
      </w:r>
      <w:r>
        <w:rPr>
          <w:rFonts w:hint="eastAsia"/>
        </w:rPr>
        <w:t xml:space="preserve"> </w:t>
      </w:r>
      <w:r>
        <w:rPr>
          <w:rFonts w:hint="eastAsia"/>
        </w:rPr>
        <w:t>评价工作等级划分</w:t>
      </w:r>
    </w:p>
    <w:tbl>
      <w:tblPr>
        <w:tblStyle w:val="afff"/>
        <w:tblW w:w="5000" w:type="pct"/>
        <w:tblLook w:val="04A0" w:firstRow="1" w:lastRow="0" w:firstColumn="1" w:lastColumn="0" w:noHBand="0" w:noVBand="1"/>
      </w:tblPr>
      <w:tblGrid>
        <w:gridCol w:w="1420"/>
        <w:gridCol w:w="2129"/>
        <w:gridCol w:w="1277"/>
        <w:gridCol w:w="1415"/>
        <w:gridCol w:w="1213"/>
        <w:gridCol w:w="1572"/>
      </w:tblGrid>
      <w:tr w:rsidR="00DE2F8A" w:rsidRPr="00DE2F8A" w:rsidTr="00DE2F8A">
        <w:trPr>
          <w:trHeight w:val="340"/>
        </w:trPr>
        <w:tc>
          <w:tcPr>
            <w:tcW w:w="786" w:type="pct"/>
            <w:vAlign w:val="center"/>
          </w:tcPr>
          <w:p w:rsidR="00DE2F8A" w:rsidRPr="00DE2F8A" w:rsidRDefault="00DE2F8A" w:rsidP="00DE2F8A">
            <w:pPr>
              <w:widowControl/>
              <w:spacing w:line="360" w:lineRule="exact"/>
              <w:ind w:firstLineChars="0" w:firstLine="0"/>
              <w:jc w:val="center"/>
              <w:rPr>
                <w:rFonts w:ascii="Times New Roman" w:hAnsi="Times New Roman"/>
                <w:b/>
                <w:kern w:val="0"/>
                <w:sz w:val="21"/>
                <w:szCs w:val="21"/>
              </w:rPr>
            </w:pPr>
            <w:r w:rsidRPr="00DE2F8A">
              <w:rPr>
                <w:rFonts w:ascii="Times New Roman" w:hAnsi="Times New Roman"/>
                <w:b/>
                <w:kern w:val="0"/>
                <w:sz w:val="21"/>
                <w:szCs w:val="21"/>
              </w:rPr>
              <w:t>类别</w:t>
            </w:r>
          </w:p>
        </w:tc>
        <w:tc>
          <w:tcPr>
            <w:tcW w:w="1178" w:type="pct"/>
            <w:vAlign w:val="center"/>
          </w:tcPr>
          <w:p w:rsidR="00DE2F8A" w:rsidRPr="00DE2F8A" w:rsidRDefault="00DE2F8A" w:rsidP="00DE2F8A">
            <w:pPr>
              <w:widowControl/>
              <w:spacing w:line="360" w:lineRule="exact"/>
              <w:ind w:firstLineChars="0" w:firstLine="0"/>
              <w:jc w:val="center"/>
              <w:rPr>
                <w:rFonts w:ascii="Times New Roman" w:hAnsi="Times New Roman"/>
                <w:b/>
                <w:kern w:val="0"/>
                <w:sz w:val="21"/>
                <w:szCs w:val="21"/>
              </w:rPr>
            </w:pPr>
            <w:r w:rsidRPr="00DE2F8A">
              <w:rPr>
                <w:rFonts w:ascii="Times New Roman" w:hAnsi="Times New Roman"/>
                <w:b/>
                <w:kern w:val="0"/>
                <w:sz w:val="21"/>
                <w:szCs w:val="21"/>
              </w:rPr>
              <w:t>环境风险潜势</w:t>
            </w:r>
          </w:p>
        </w:tc>
        <w:tc>
          <w:tcPr>
            <w:tcW w:w="707" w:type="pct"/>
            <w:vAlign w:val="center"/>
          </w:tcPr>
          <w:p w:rsidR="00DE2F8A" w:rsidRPr="00DE2F8A" w:rsidRDefault="00DE2F8A" w:rsidP="00DE2F8A">
            <w:pPr>
              <w:widowControl/>
              <w:spacing w:line="360" w:lineRule="exact"/>
              <w:ind w:firstLineChars="0" w:firstLine="0"/>
              <w:jc w:val="center"/>
              <w:rPr>
                <w:rFonts w:ascii="Times New Roman" w:hAnsi="Times New Roman"/>
                <w:b/>
                <w:kern w:val="0"/>
                <w:sz w:val="21"/>
                <w:szCs w:val="21"/>
              </w:rPr>
            </w:pPr>
            <w:r w:rsidRPr="00DE2F8A">
              <w:rPr>
                <w:rFonts w:ascii="Times New Roman" w:eastAsia="微软雅黑" w:hAnsi="Times New Roman"/>
                <w:b/>
                <w:kern w:val="0"/>
                <w:sz w:val="21"/>
                <w:szCs w:val="21"/>
              </w:rPr>
              <w:t>Ⅳ</w:t>
            </w:r>
            <w:r w:rsidRPr="00DE2F8A">
              <w:rPr>
                <w:rFonts w:ascii="Times New Roman" w:hAnsi="Times New Roman"/>
                <w:b/>
                <w:kern w:val="0"/>
                <w:sz w:val="21"/>
                <w:szCs w:val="21"/>
              </w:rPr>
              <w:t>+</w:t>
            </w:r>
            <w:r w:rsidRPr="00DE2F8A">
              <w:rPr>
                <w:rFonts w:ascii="Times New Roman" w:hAnsi="Times New Roman"/>
                <w:b/>
                <w:kern w:val="0"/>
                <w:sz w:val="21"/>
                <w:szCs w:val="21"/>
              </w:rPr>
              <w:t>、</w:t>
            </w:r>
            <w:r w:rsidRPr="00DE2F8A">
              <w:rPr>
                <w:rFonts w:ascii="Times New Roman" w:eastAsia="微软雅黑" w:hAnsi="Times New Roman"/>
                <w:b/>
                <w:kern w:val="0"/>
                <w:sz w:val="21"/>
                <w:szCs w:val="21"/>
              </w:rPr>
              <w:t>Ⅳ</w:t>
            </w:r>
          </w:p>
        </w:tc>
        <w:tc>
          <w:tcPr>
            <w:tcW w:w="784" w:type="pct"/>
            <w:vAlign w:val="center"/>
          </w:tcPr>
          <w:p w:rsidR="00DE2F8A" w:rsidRPr="00DE2F8A" w:rsidRDefault="00DE2F8A" w:rsidP="00DE2F8A">
            <w:pPr>
              <w:widowControl/>
              <w:spacing w:line="360" w:lineRule="exact"/>
              <w:ind w:firstLineChars="0" w:firstLine="0"/>
              <w:jc w:val="center"/>
              <w:rPr>
                <w:rFonts w:ascii="Times New Roman" w:hAnsi="Times New Roman"/>
                <w:b/>
                <w:kern w:val="0"/>
                <w:sz w:val="21"/>
                <w:szCs w:val="21"/>
              </w:rPr>
            </w:pPr>
            <w:r w:rsidRPr="00DE2F8A">
              <w:rPr>
                <w:rFonts w:ascii="Times New Roman" w:eastAsia="微软雅黑" w:hAnsi="Times New Roman"/>
                <w:b/>
                <w:kern w:val="0"/>
                <w:sz w:val="21"/>
                <w:szCs w:val="21"/>
              </w:rPr>
              <w:t>Ⅲ</w:t>
            </w:r>
          </w:p>
        </w:tc>
        <w:tc>
          <w:tcPr>
            <w:tcW w:w="672" w:type="pct"/>
            <w:vAlign w:val="center"/>
          </w:tcPr>
          <w:p w:rsidR="00DE2F8A" w:rsidRPr="00DE2F8A" w:rsidRDefault="00DE2F8A" w:rsidP="00DE2F8A">
            <w:pPr>
              <w:widowControl/>
              <w:spacing w:line="360" w:lineRule="exact"/>
              <w:ind w:firstLineChars="0" w:firstLine="0"/>
              <w:jc w:val="center"/>
              <w:rPr>
                <w:rFonts w:ascii="Times New Roman" w:hAnsi="Times New Roman"/>
                <w:b/>
                <w:kern w:val="0"/>
                <w:sz w:val="21"/>
                <w:szCs w:val="21"/>
              </w:rPr>
            </w:pPr>
            <w:r w:rsidRPr="00DE2F8A">
              <w:rPr>
                <w:rFonts w:ascii="Times New Roman" w:eastAsia="微软雅黑" w:hAnsi="Times New Roman"/>
                <w:b/>
                <w:kern w:val="0"/>
                <w:sz w:val="21"/>
                <w:szCs w:val="21"/>
              </w:rPr>
              <w:t>Ⅱ</w:t>
            </w:r>
          </w:p>
        </w:tc>
        <w:tc>
          <w:tcPr>
            <w:tcW w:w="870" w:type="pct"/>
            <w:vAlign w:val="center"/>
          </w:tcPr>
          <w:p w:rsidR="00DE2F8A" w:rsidRPr="00DE2F8A" w:rsidRDefault="00DE2F8A" w:rsidP="00DE2F8A">
            <w:pPr>
              <w:widowControl/>
              <w:spacing w:line="360" w:lineRule="exact"/>
              <w:ind w:firstLineChars="0" w:firstLine="0"/>
              <w:jc w:val="center"/>
              <w:rPr>
                <w:rFonts w:ascii="Times New Roman" w:hAnsi="Times New Roman"/>
                <w:b/>
                <w:kern w:val="0"/>
                <w:sz w:val="21"/>
                <w:szCs w:val="21"/>
              </w:rPr>
            </w:pPr>
            <w:r w:rsidRPr="00DE2F8A">
              <w:rPr>
                <w:rFonts w:ascii="Times New Roman" w:eastAsia="微软雅黑" w:hAnsi="Times New Roman"/>
                <w:b/>
                <w:kern w:val="0"/>
                <w:sz w:val="21"/>
                <w:szCs w:val="21"/>
              </w:rPr>
              <w:t>Ⅰ</w:t>
            </w:r>
          </w:p>
        </w:tc>
      </w:tr>
      <w:tr w:rsidR="00DE2F8A" w:rsidRPr="00DE2F8A" w:rsidTr="00DE2F8A">
        <w:trPr>
          <w:trHeight w:val="340"/>
        </w:trPr>
        <w:tc>
          <w:tcPr>
            <w:tcW w:w="786" w:type="pct"/>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环境空气</w:t>
            </w:r>
          </w:p>
        </w:tc>
        <w:tc>
          <w:tcPr>
            <w:tcW w:w="1178" w:type="pct"/>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评价工作等级</w:t>
            </w:r>
          </w:p>
        </w:tc>
        <w:tc>
          <w:tcPr>
            <w:tcW w:w="707" w:type="pct"/>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一级</w:t>
            </w:r>
          </w:p>
        </w:tc>
        <w:tc>
          <w:tcPr>
            <w:tcW w:w="784" w:type="pct"/>
            <w:shd w:val="clear" w:color="auto" w:fill="A6A6A6" w:themeFill="background1" w:themeFillShade="A6"/>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二级</w:t>
            </w:r>
          </w:p>
        </w:tc>
        <w:tc>
          <w:tcPr>
            <w:tcW w:w="672" w:type="pct"/>
            <w:shd w:val="clear" w:color="auto" w:fill="FFFFFF" w:themeFill="background1"/>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三级</w:t>
            </w:r>
          </w:p>
        </w:tc>
        <w:tc>
          <w:tcPr>
            <w:tcW w:w="870" w:type="pct"/>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简单分析</w:t>
            </w:r>
          </w:p>
        </w:tc>
      </w:tr>
      <w:tr w:rsidR="00DE2F8A" w:rsidRPr="00DE2F8A" w:rsidTr="00EF1EBC">
        <w:trPr>
          <w:trHeight w:val="340"/>
        </w:trPr>
        <w:tc>
          <w:tcPr>
            <w:tcW w:w="786" w:type="pct"/>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地表水环境</w:t>
            </w:r>
          </w:p>
        </w:tc>
        <w:tc>
          <w:tcPr>
            <w:tcW w:w="1178" w:type="pct"/>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评价工作等级</w:t>
            </w:r>
          </w:p>
        </w:tc>
        <w:tc>
          <w:tcPr>
            <w:tcW w:w="707" w:type="pct"/>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一级</w:t>
            </w:r>
          </w:p>
        </w:tc>
        <w:tc>
          <w:tcPr>
            <w:tcW w:w="784" w:type="pct"/>
            <w:shd w:val="clear" w:color="auto" w:fill="A6A6A6" w:themeFill="background1" w:themeFillShade="A6"/>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二级</w:t>
            </w:r>
          </w:p>
        </w:tc>
        <w:tc>
          <w:tcPr>
            <w:tcW w:w="672" w:type="pct"/>
            <w:shd w:val="clear" w:color="auto" w:fill="FFFFFF" w:themeFill="background1"/>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三级</w:t>
            </w:r>
          </w:p>
        </w:tc>
        <w:tc>
          <w:tcPr>
            <w:tcW w:w="870" w:type="pct"/>
            <w:shd w:val="clear" w:color="auto" w:fill="FFFFFF" w:themeFill="background1"/>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简单分析</w:t>
            </w:r>
          </w:p>
        </w:tc>
      </w:tr>
      <w:tr w:rsidR="00DE2F8A" w:rsidRPr="00DE2F8A" w:rsidTr="00DE2F8A">
        <w:trPr>
          <w:trHeight w:val="340"/>
        </w:trPr>
        <w:tc>
          <w:tcPr>
            <w:tcW w:w="786" w:type="pct"/>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地下水环境</w:t>
            </w:r>
          </w:p>
        </w:tc>
        <w:tc>
          <w:tcPr>
            <w:tcW w:w="1178" w:type="pct"/>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评价工作等级</w:t>
            </w:r>
          </w:p>
        </w:tc>
        <w:tc>
          <w:tcPr>
            <w:tcW w:w="707" w:type="pct"/>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一级</w:t>
            </w:r>
          </w:p>
        </w:tc>
        <w:tc>
          <w:tcPr>
            <w:tcW w:w="784" w:type="pct"/>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二级</w:t>
            </w:r>
          </w:p>
        </w:tc>
        <w:tc>
          <w:tcPr>
            <w:tcW w:w="672" w:type="pct"/>
            <w:shd w:val="clear" w:color="auto" w:fill="A6A6A6" w:themeFill="background1" w:themeFillShade="A6"/>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三级</w:t>
            </w:r>
          </w:p>
        </w:tc>
        <w:tc>
          <w:tcPr>
            <w:tcW w:w="870" w:type="pct"/>
            <w:shd w:val="clear" w:color="auto" w:fill="FFFFFF" w:themeFill="background1"/>
            <w:vAlign w:val="center"/>
          </w:tcPr>
          <w:p w:rsidR="00DE2F8A" w:rsidRPr="00DE2F8A" w:rsidRDefault="00DE2F8A"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简单分析</w:t>
            </w:r>
          </w:p>
        </w:tc>
      </w:tr>
    </w:tbl>
    <w:p w:rsidR="004E3021" w:rsidRDefault="00606E48">
      <w:pPr>
        <w:ind w:firstLine="480"/>
        <w:contextualSpacing/>
        <w:rPr>
          <w:rFonts w:hAnsi="宋体"/>
          <w:kern w:val="18"/>
        </w:rPr>
      </w:pPr>
      <w:r>
        <w:rPr>
          <w:rFonts w:hAnsi="宋体" w:hint="eastAsia"/>
          <w:kern w:val="18"/>
        </w:rPr>
        <w:t>由上表可知：本项目大气</w:t>
      </w:r>
      <w:r w:rsidR="00EF1EBC">
        <w:rPr>
          <w:rFonts w:hAnsi="宋体" w:hint="eastAsia"/>
          <w:kern w:val="18"/>
        </w:rPr>
        <w:t>和地表水</w:t>
      </w:r>
      <w:r>
        <w:rPr>
          <w:rFonts w:hAnsi="宋体" w:hint="eastAsia"/>
          <w:kern w:val="18"/>
        </w:rPr>
        <w:t>风险评价等级为</w:t>
      </w:r>
      <w:r w:rsidR="00DE2F8A">
        <w:rPr>
          <w:rFonts w:hAnsi="宋体" w:hint="eastAsia"/>
          <w:kern w:val="18"/>
        </w:rPr>
        <w:t>二</w:t>
      </w:r>
      <w:r>
        <w:rPr>
          <w:rFonts w:hAnsi="宋体" w:hint="eastAsia"/>
          <w:kern w:val="18"/>
        </w:rPr>
        <w:t>级、</w:t>
      </w:r>
      <w:r>
        <w:rPr>
          <w:rFonts w:hAnsi="宋体"/>
          <w:kern w:val="18"/>
        </w:rPr>
        <w:t>地下水</w:t>
      </w:r>
      <w:r>
        <w:rPr>
          <w:rFonts w:hAnsi="宋体" w:hint="eastAsia"/>
          <w:kern w:val="18"/>
        </w:rPr>
        <w:t>风险评价等级为</w:t>
      </w:r>
      <w:r w:rsidR="00DE2F8A">
        <w:rPr>
          <w:rFonts w:hAnsi="宋体" w:hint="eastAsia"/>
          <w:kern w:val="18"/>
        </w:rPr>
        <w:t>三</w:t>
      </w:r>
      <w:r>
        <w:rPr>
          <w:rFonts w:hAnsi="宋体" w:hint="eastAsia"/>
          <w:kern w:val="18"/>
        </w:rPr>
        <w:t>级，因此本项目风险评价等级为</w:t>
      </w:r>
      <w:r w:rsidR="00DE2F8A">
        <w:rPr>
          <w:rFonts w:hAnsi="宋体" w:hint="eastAsia"/>
          <w:kern w:val="18"/>
        </w:rPr>
        <w:t>二</w:t>
      </w:r>
      <w:r>
        <w:rPr>
          <w:rFonts w:hAnsi="宋体" w:hint="eastAsia"/>
          <w:kern w:val="18"/>
        </w:rPr>
        <w:t>级。</w:t>
      </w:r>
    </w:p>
    <w:p w:rsidR="004E3021" w:rsidRDefault="00606E48">
      <w:pPr>
        <w:pStyle w:val="4a"/>
      </w:pPr>
      <w:r>
        <w:rPr>
          <w:rFonts w:hint="eastAsia"/>
        </w:rPr>
        <w:t>2</w:t>
      </w:r>
      <w:r>
        <w:t>.3.1.6</w:t>
      </w:r>
      <w:r>
        <w:rPr>
          <w:rFonts w:ascii="黑体" w:hAnsi="黑体"/>
        </w:rPr>
        <w:t>土壤评价等级</w:t>
      </w:r>
    </w:p>
    <w:p w:rsidR="004E3021" w:rsidRDefault="00606E48">
      <w:pPr>
        <w:pStyle w:val="afffffc"/>
        <w:ind w:firstLine="480"/>
      </w:pPr>
      <w:r>
        <w:rPr>
          <w:rFonts w:ascii="宋体" w:hAnsi="宋体"/>
        </w:rPr>
        <w:t>根据</w:t>
      </w:r>
      <w:r>
        <w:rPr>
          <w:rFonts w:ascii="宋体" w:hAnsi="宋体" w:hint="eastAsia"/>
        </w:rPr>
        <w:t>《环境影响评价技术导则</w:t>
      </w:r>
      <w:r>
        <w:rPr>
          <w:rFonts w:hint="eastAsia"/>
        </w:rPr>
        <w:t xml:space="preserve"> </w:t>
      </w:r>
      <w:r>
        <w:rPr>
          <w:rFonts w:hint="eastAsia"/>
        </w:rPr>
        <w:t>土壤环境（试行）》（</w:t>
      </w:r>
      <w:r>
        <w:rPr>
          <w:rFonts w:hint="eastAsia"/>
        </w:rPr>
        <w:t>H</w:t>
      </w:r>
      <w:r>
        <w:t>J964-2018</w:t>
      </w:r>
      <w:r>
        <w:rPr>
          <w:rFonts w:ascii="宋体" w:hAnsi="宋体" w:hint="eastAsia"/>
        </w:rPr>
        <w:t>），本项目属于污染影响型，土壤评价等级的确定主要依据项目类别和建设项目土壤环境敏感程度等参数进行确定，详见表</w:t>
      </w:r>
      <w:r>
        <w:rPr>
          <w:rFonts w:hint="eastAsia"/>
        </w:rPr>
        <w:t>2</w:t>
      </w:r>
      <w:r>
        <w:t>.3.1-20~22</w:t>
      </w:r>
      <w:r>
        <w:rPr>
          <w:rFonts w:ascii="宋体" w:hAnsi="宋体" w:hint="eastAsia"/>
        </w:rPr>
        <w:t>。</w:t>
      </w:r>
    </w:p>
    <w:p w:rsidR="004E3021" w:rsidRDefault="00606E48">
      <w:pPr>
        <w:pStyle w:val="afffff4"/>
        <w:rPr>
          <w:rFonts w:ascii="黑体" w:hAnsi="黑体"/>
        </w:rPr>
      </w:pPr>
      <w:r>
        <w:rPr>
          <w:rFonts w:ascii="黑体" w:hAnsi="黑体" w:hint="eastAsia"/>
        </w:rPr>
        <w:lastRenderedPageBreak/>
        <w:t>表</w:t>
      </w:r>
      <w:r>
        <w:t xml:space="preserve">2.3.1-20  </w:t>
      </w:r>
      <w:r>
        <w:rPr>
          <w:rFonts w:ascii="黑体" w:hAnsi="黑体"/>
        </w:rPr>
        <w:t>项目类别划分</w:t>
      </w:r>
    </w:p>
    <w:tbl>
      <w:tblPr>
        <w:tblW w:w="5000" w:type="pct"/>
        <w:jc w:val="center"/>
        <w:tblLook w:val="04A0" w:firstRow="1" w:lastRow="0" w:firstColumn="1" w:lastColumn="0" w:noHBand="0" w:noVBand="1"/>
      </w:tblPr>
      <w:tblGrid>
        <w:gridCol w:w="995"/>
        <w:gridCol w:w="3683"/>
        <w:gridCol w:w="1417"/>
        <w:gridCol w:w="717"/>
        <w:gridCol w:w="847"/>
        <w:gridCol w:w="1367"/>
      </w:tblGrid>
      <w:tr w:rsidR="004E3021" w:rsidRPr="00E13009">
        <w:trPr>
          <w:jc w:val="center"/>
        </w:trPr>
        <w:tc>
          <w:tcPr>
            <w:tcW w:w="552" w:type="pct"/>
            <w:vMerge w:val="restart"/>
            <w:tcBorders>
              <w:top w:val="single" w:sz="12" w:space="0" w:color="auto"/>
              <w:left w:val="nil"/>
              <w:bottom w:val="single" w:sz="4" w:space="0" w:color="auto"/>
              <w:right w:val="single" w:sz="4" w:space="0" w:color="auto"/>
            </w:tcBorders>
            <w:vAlign w:val="center"/>
          </w:tcPr>
          <w:p w:rsidR="004E3021" w:rsidRPr="00E13009" w:rsidRDefault="00606E48">
            <w:pPr>
              <w:pStyle w:val="afffffff2"/>
              <w:rPr>
                <w:rFonts w:cs="Times New Roman"/>
                <w:b/>
                <w:kern w:val="0"/>
                <w:sz w:val="21"/>
                <w:szCs w:val="21"/>
              </w:rPr>
            </w:pPr>
            <w:r w:rsidRPr="00E13009">
              <w:rPr>
                <w:rFonts w:cs="Times New Roman"/>
                <w:b/>
                <w:kern w:val="0"/>
                <w:sz w:val="21"/>
                <w:szCs w:val="21"/>
              </w:rPr>
              <w:t>行业类别</w:t>
            </w:r>
          </w:p>
        </w:tc>
        <w:tc>
          <w:tcPr>
            <w:tcW w:w="3691" w:type="pct"/>
            <w:gridSpan w:val="4"/>
            <w:tcBorders>
              <w:top w:val="single" w:sz="12" w:space="0" w:color="auto"/>
              <w:left w:val="nil"/>
              <w:bottom w:val="single" w:sz="4" w:space="0" w:color="auto"/>
              <w:right w:val="single" w:sz="4" w:space="0" w:color="auto"/>
            </w:tcBorders>
            <w:vAlign w:val="center"/>
          </w:tcPr>
          <w:p w:rsidR="004E3021" w:rsidRPr="00E13009" w:rsidRDefault="00606E48">
            <w:pPr>
              <w:pStyle w:val="afffffff2"/>
              <w:rPr>
                <w:rFonts w:cs="Times New Roman"/>
                <w:b/>
                <w:kern w:val="0"/>
                <w:sz w:val="21"/>
                <w:szCs w:val="21"/>
              </w:rPr>
            </w:pPr>
            <w:r w:rsidRPr="00E13009">
              <w:rPr>
                <w:rFonts w:cs="Times New Roman"/>
                <w:b/>
                <w:kern w:val="0"/>
                <w:sz w:val="21"/>
                <w:szCs w:val="21"/>
              </w:rPr>
              <w:t>项目类别</w:t>
            </w:r>
          </w:p>
        </w:tc>
        <w:tc>
          <w:tcPr>
            <w:tcW w:w="757" w:type="pct"/>
            <w:vMerge w:val="restart"/>
            <w:tcBorders>
              <w:top w:val="single" w:sz="12" w:space="0" w:color="auto"/>
              <w:left w:val="nil"/>
              <w:bottom w:val="single" w:sz="4" w:space="0" w:color="auto"/>
              <w:right w:val="nil"/>
            </w:tcBorders>
            <w:vAlign w:val="center"/>
          </w:tcPr>
          <w:p w:rsidR="004E3021" w:rsidRPr="00E13009" w:rsidRDefault="00606E48">
            <w:pPr>
              <w:pStyle w:val="afffffff2"/>
              <w:rPr>
                <w:rFonts w:cs="Times New Roman"/>
                <w:b/>
                <w:kern w:val="0"/>
                <w:sz w:val="21"/>
                <w:szCs w:val="21"/>
              </w:rPr>
            </w:pPr>
            <w:r w:rsidRPr="00E13009">
              <w:rPr>
                <w:rFonts w:cs="Times New Roman"/>
                <w:b/>
                <w:kern w:val="0"/>
                <w:sz w:val="21"/>
                <w:szCs w:val="21"/>
              </w:rPr>
              <w:t>本项目类别</w:t>
            </w:r>
          </w:p>
        </w:tc>
      </w:tr>
      <w:tr w:rsidR="004E3021" w:rsidRPr="00E13009">
        <w:trPr>
          <w:jc w:val="center"/>
        </w:trPr>
        <w:tc>
          <w:tcPr>
            <w:tcW w:w="0" w:type="auto"/>
            <w:vMerge/>
            <w:tcBorders>
              <w:top w:val="single" w:sz="12" w:space="0" w:color="auto"/>
              <w:left w:val="nil"/>
              <w:bottom w:val="single" w:sz="4" w:space="0" w:color="auto"/>
              <w:right w:val="single" w:sz="4" w:space="0" w:color="auto"/>
            </w:tcBorders>
            <w:vAlign w:val="center"/>
          </w:tcPr>
          <w:p w:rsidR="004E3021" w:rsidRPr="00E13009" w:rsidRDefault="004E3021">
            <w:pPr>
              <w:pStyle w:val="afffffff2"/>
              <w:rPr>
                <w:rFonts w:cs="Times New Roman"/>
                <w:b/>
                <w:kern w:val="0"/>
                <w:sz w:val="21"/>
                <w:szCs w:val="21"/>
              </w:rPr>
            </w:pPr>
          </w:p>
        </w:tc>
        <w:tc>
          <w:tcPr>
            <w:tcW w:w="2040" w:type="pct"/>
            <w:tcBorders>
              <w:top w:val="single" w:sz="4" w:space="0" w:color="auto"/>
              <w:left w:val="nil"/>
              <w:bottom w:val="single" w:sz="4" w:space="0" w:color="auto"/>
              <w:right w:val="single" w:sz="4" w:space="0" w:color="auto"/>
            </w:tcBorders>
            <w:vAlign w:val="center"/>
          </w:tcPr>
          <w:p w:rsidR="004E3021" w:rsidRPr="00E13009" w:rsidRDefault="00606E48">
            <w:pPr>
              <w:pStyle w:val="afffffff2"/>
              <w:rPr>
                <w:rFonts w:cs="Times New Roman"/>
                <w:b/>
                <w:kern w:val="0"/>
                <w:sz w:val="21"/>
                <w:szCs w:val="21"/>
              </w:rPr>
            </w:pPr>
            <w:r w:rsidRPr="00E13009">
              <w:rPr>
                <w:rFonts w:cs="Times New Roman"/>
                <w:b/>
                <w:kern w:val="0"/>
                <w:sz w:val="21"/>
                <w:szCs w:val="21"/>
              </w:rPr>
              <w:t>I</w:t>
            </w:r>
            <w:r w:rsidRPr="00E13009">
              <w:rPr>
                <w:rFonts w:cs="Times New Roman"/>
                <w:b/>
                <w:kern w:val="0"/>
                <w:sz w:val="21"/>
                <w:szCs w:val="21"/>
              </w:rPr>
              <w:t>类</w:t>
            </w:r>
          </w:p>
        </w:tc>
        <w:tc>
          <w:tcPr>
            <w:tcW w:w="785" w:type="pct"/>
            <w:tcBorders>
              <w:top w:val="single" w:sz="4" w:space="0" w:color="auto"/>
              <w:left w:val="nil"/>
              <w:bottom w:val="single" w:sz="4" w:space="0" w:color="auto"/>
              <w:right w:val="single" w:sz="4" w:space="0" w:color="auto"/>
            </w:tcBorders>
            <w:vAlign w:val="center"/>
          </w:tcPr>
          <w:p w:rsidR="004E3021" w:rsidRPr="00E13009" w:rsidRDefault="00606E48">
            <w:pPr>
              <w:pStyle w:val="afffffff2"/>
              <w:rPr>
                <w:rFonts w:cs="Times New Roman"/>
                <w:b/>
                <w:kern w:val="0"/>
                <w:sz w:val="21"/>
                <w:szCs w:val="21"/>
              </w:rPr>
            </w:pPr>
            <w:r w:rsidRPr="00E13009">
              <w:rPr>
                <w:rFonts w:cs="Times New Roman"/>
                <w:b/>
                <w:kern w:val="0"/>
                <w:sz w:val="21"/>
                <w:szCs w:val="21"/>
              </w:rPr>
              <w:t>II</w:t>
            </w:r>
            <w:r w:rsidRPr="00E13009">
              <w:rPr>
                <w:rFonts w:cs="Times New Roman"/>
                <w:b/>
                <w:kern w:val="0"/>
                <w:sz w:val="21"/>
                <w:szCs w:val="21"/>
              </w:rPr>
              <w:t>类</w:t>
            </w:r>
          </w:p>
        </w:tc>
        <w:tc>
          <w:tcPr>
            <w:tcW w:w="397" w:type="pct"/>
            <w:tcBorders>
              <w:top w:val="single" w:sz="4" w:space="0" w:color="auto"/>
              <w:left w:val="nil"/>
              <w:bottom w:val="single" w:sz="4" w:space="0" w:color="auto"/>
              <w:right w:val="single" w:sz="4" w:space="0" w:color="auto"/>
            </w:tcBorders>
            <w:vAlign w:val="center"/>
          </w:tcPr>
          <w:p w:rsidR="004E3021" w:rsidRPr="00E13009" w:rsidRDefault="00606E48">
            <w:pPr>
              <w:pStyle w:val="afffffff2"/>
              <w:rPr>
                <w:rFonts w:cs="Times New Roman"/>
                <w:b/>
                <w:kern w:val="0"/>
                <w:sz w:val="21"/>
                <w:szCs w:val="21"/>
              </w:rPr>
            </w:pPr>
            <w:r w:rsidRPr="00E13009">
              <w:rPr>
                <w:rFonts w:cs="Times New Roman"/>
                <w:b/>
                <w:kern w:val="0"/>
                <w:sz w:val="21"/>
                <w:szCs w:val="21"/>
              </w:rPr>
              <w:t>III</w:t>
            </w:r>
            <w:r w:rsidRPr="00E13009">
              <w:rPr>
                <w:rFonts w:cs="Times New Roman"/>
                <w:b/>
                <w:kern w:val="0"/>
                <w:sz w:val="21"/>
                <w:szCs w:val="21"/>
              </w:rPr>
              <w:t>类</w:t>
            </w:r>
          </w:p>
        </w:tc>
        <w:tc>
          <w:tcPr>
            <w:tcW w:w="469" w:type="pct"/>
            <w:tcBorders>
              <w:top w:val="single" w:sz="4" w:space="0" w:color="auto"/>
              <w:left w:val="nil"/>
              <w:bottom w:val="single" w:sz="4" w:space="0" w:color="auto"/>
              <w:right w:val="single" w:sz="4" w:space="0" w:color="auto"/>
            </w:tcBorders>
            <w:vAlign w:val="center"/>
          </w:tcPr>
          <w:p w:rsidR="004E3021" w:rsidRPr="00E13009" w:rsidRDefault="00606E48">
            <w:pPr>
              <w:pStyle w:val="afffffff2"/>
              <w:rPr>
                <w:rFonts w:cs="Times New Roman"/>
                <w:b/>
                <w:kern w:val="0"/>
                <w:sz w:val="21"/>
                <w:szCs w:val="21"/>
              </w:rPr>
            </w:pPr>
            <w:r w:rsidRPr="00E13009">
              <w:rPr>
                <w:rFonts w:cs="Times New Roman"/>
                <w:b/>
                <w:kern w:val="0"/>
                <w:sz w:val="21"/>
                <w:szCs w:val="21"/>
              </w:rPr>
              <w:t>IV</w:t>
            </w:r>
            <w:r w:rsidRPr="00E13009">
              <w:rPr>
                <w:rFonts w:cs="Times New Roman"/>
                <w:b/>
                <w:kern w:val="0"/>
                <w:sz w:val="21"/>
                <w:szCs w:val="21"/>
              </w:rPr>
              <w:t>类</w:t>
            </w:r>
          </w:p>
        </w:tc>
        <w:tc>
          <w:tcPr>
            <w:tcW w:w="0" w:type="auto"/>
            <w:vMerge/>
            <w:tcBorders>
              <w:top w:val="single" w:sz="12" w:space="0" w:color="auto"/>
              <w:left w:val="nil"/>
              <w:bottom w:val="single" w:sz="4" w:space="0" w:color="auto"/>
              <w:right w:val="nil"/>
            </w:tcBorders>
            <w:vAlign w:val="center"/>
          </w:tcPr>
          <w:p w:rsidR="004E3021" w:rsidRPr="00E13009" w:rsidRDefault="004E3021">
            <w:pPr>
              <w:pStyle w:val="afffffff2"/>
              <w:rPr>
                <w:rFonts w:cs="Times New Roman"/>
                <w:b/>
                <w:kern w:val="0"/>
                <w:sz w:val="21"/>
                <w:szCs w:val="21"/>
              </w:rPr>
            </w:pPr>
          </w:p>
        </w:tc>
      </w:tr>
      <w:tr w:rsidR="004E3021" w:rsidRPr="00E13009" w:rsidTr="00E13009">
        <w:trPr>
          <w:trHeight w:val="1546"/>
          <w:jc w:val="center"/>
        </w:trPr>
        <w:tc>
          <w:tcPr>
            <w:tcW w:w="552" w:type="pct"/>
            <w:tcBorders>
              <w:top w:val="single" w:sz="4" w:space="0" w:color="auto"/>
              <w:left w:val="nil"/>
              <w:bottom w:val="single" w:sz="12" w:space="0" w:color="auto"/>
              <w:right w:val="single" w:sz="4" w:space="0" w:color="auto"/>
            </w:tcBorders>
            <w:vAlign w:val="center"/>
          </w:tcPr>
          <w:p w:rsidR="004E3021" w:rsidRPr="00E13009" w:rsidRDefault="00606E48">
            <w:pPr>
              <w:pStyle w:val="afffffff2"/>
              <w:rPr>
                <w:rFonts w:cs="Times New Roman"/>
                <w:kern w:val="0"/>
                <w:sz w:val="21"/>
                <w:szCs w:val="21"/>
              </w:rPr>
            </w:pPr>
            <w:r w:rsidRPr="00E13009">
              <w:rPr>
                <w:rFonts w:cs="Times New Roman"/>
                <w:kern w:val="0"/>
                <w:sz w:val="21"/>
                <w:szCs w:val="21"/>
              </w:rPr>
              <w:t>制造业</w:t>
            </w:r>
          </w:p>
        </w:tc>
        <w:tc>
          <w:tcPr>
            <w:tcW w:w="2040" w:type="pct"/>
            <w:tcBorders>
              <w:top w:val="single" w:sz="4" w:space="0" w:color="auto"/>
              <w:left w:val="nil"/>
              <w:bottom w:val="single" w:sz="12" w:space="0" w:color="auto"/>
              <w:right w:val="single" w:sz="4" w:space="0" w:color="auto"/>
            </w:tcBorders>
            <w:shd w:val="clear" w:color="auto" w:fill="A6A6A6" w:themeFill="background1" w:themeFillShade="A6"/>
            <w:vAlign w:val="center"/>
          </w:tcPr>
          <w:p w:rsidR="004E3021" w:rsidRPr="00E13009" w:rsidRDefault="00606E48">
            <w:pPr>
              <w:pStyle w:val="afffffff2"/>
              <w:rPr>
                <w:rFonts w:cs="Times New Roman"/>
                <w:kern w:val="0"/>
                <w:sz w:val="21"/>
                <w:szCs w:val="21"/>
              </w:rPr>
            </w:pPr>
            <w:r w:rsidRPr="00E13009">
              <w:rPr>
                <w:rFonts w:cs="Times New Roman"/>
                <w:kern w:val="0"/>
                <w:sz w:val="21"/>
                <w:szCs w:val="21"/>
              </w:rPr>
              <w:t>石油加工；化学原料和化学制品制造；农药制造；涂料、染料、颜料、油墨及其类似产品制造；合成材料制造；炸药、火工及焰火产品制造；水处理剂等制造；化学药品制造；生物、生化制品制造</w:t>
            </w:r>
          </w:p>
        </w:tc>
        <w:tc>
          <w:tcPr>
            <w:tcW w:w="785" w:type="pct"/>
            <w:tcBorders>
              <w:top w:val="single" w:sz="4" w:space="0" w:color="auto"/>
              <w:left w:val="nil"/>
              <w:bottom w:val="single" w:sz="12" w:space="0" w:color="auto"/>
              <w:right w:val="single" w:sz="4" w:space="0" w:color="auto"/>
            </w:tcBorders>
            <w:vAlign w:val="center"/>
          </w:tcPr>
          <w:p w:rsidR="004E3021" w:rsidRPr="00E13009" w:rsidRDefault="00606E48">
            <w:pPr>
              <w:pStyle w:val="afffffff2"/>
              <w:rPr>
                <w:rFonts w:cs="Times New Roman"/>
                <w:kern w:val="0"/>
                <w:sz w:val="21"/>
                <w:szCs w:val="21"/>
              </w:rPr>
            </w:pPr>
            <w:r w:rsidRPr="00E13009">
              <w:rPr>
                <w:rFonts w:cs="Times New Roman"/>
                <w:kern w:val="0"/>
                <w:sz w:val="21"/>
                <w:szCs w:val="21"/>
              </w:rPr>
              <w:t>半导体材料、日用化学品制造；化学肥料肥料制造</w:t>
            </w:r>
          </w:p>
        </w:tc>
        <w:tc>
          <w:tcPr>
            <w:tcW w:w="397" w:type="pct"/>
            <w:tcBorders>
              <w:top w:val="single" w:sz="4" w:space="0" w:color="auto"/>
              <w:left w:val="nil"/>
              <w:bottom w:val="single" w:sz="12" w:space="0" w:color="auto"/>
              <w:right w:val="single" w:sz="4" w:space="0" w:color="auto"/>
            </w:tcBorders>
            <w:vAlign w:val="center"/>
          </w:tcPr>
          <w:p w:rsidR="004E3021" w:rsidRPr="00E13009" w:rsidRDefault="00606E48">
            <w:pPr>
              <w:pStyle w:val="afffffff2"/>
              <w:rPr>
                <w:rFonts w:cs="Times New Roman"/>
                <w:kern w:val="0"/>
                <w:sz w:val="21"/>
                <w:szCs w:val="21"/>
              </w:rPr>
            </w:pPr>
            <w:r w:rsidRPr="00E13009">
              <w:rPr>
                <w:rFonts w:cs="Times New Roman"/>
                <w:kern w:val="0"/>
                <w:sz w:val="21"/>
                <w:szCs w:val="21"/>
              </w:rPr>
              <w:t>其他</w:t>
            </w:r>
          </w:p>
        </w:tc>
        <w:tc>
          <w:tcPr>
            <w:tcW w:w="469" w:type="pct"/>
            <w:tcBorders>
              <w:top w:val="single" w:sz="4" w:space="0" w:color="auto"/>
              <w:left w:val="nil"/>
              <w:bottom w:val="single" w:sz="12" w:space="0" w:color="auto"/>
              <w:right w:val="single" w:sz="4" w:space="0" w:color="auto"/>
            </w:tcBorders>
            <w:vAlign w:val="center"/>
          </w:tcPr>
          <w:p w:rsidR="004E3021" w:rsidRPr="00E13009" w:rsidRDefault="00606E48">
            <w:pPr>
              <w:pStyle w:val="afffffff2"/>
              <w:rPr>
                <w:rFonts w:cs="Times New Roman"/>
                <w:kern w:val="0"/>
                <w:sz w:val="21"/>
                <w:szCs w:val="21"/>
              </w:rPr>
            </w:pPr>
            <w:r w:rsidRPr="00E13009">
              <w:rPr>
                <w:rFonts w:cs="Times New Roman"/>
                <w:kern w:val="0"/>
                <w:sz w:val="21"/>
                <w:szCs w:val="21"/>
              </w:rPr>
              <w:t>/</w:t>
            </w:r>
          </w:p>
        </w:tc>
        <w:tc>
          <w:tcPr>
            <w:tcW w:w="757" w:type="pct"/>
            <w:tcBorders>
              <w:top w:val="single" w:sz="4" w:space="0" w:color="auto"/>
              <w:left w:val="nil"/>
              <w:bottom w:val="single" w:sz="12" w:space="0" w:color="auto"/>
              <w:right w:val="nil"/>
            </w:tcBorders>
            <w:vAlign w:val="center"/>
          </w:tcPr>
          <w:p w:rsidR="004E3021" w:rsidRPr="00E13009" w:rsidRDefault="00606E48">
            <w:pPr>
              <w:pStyle w:val="afffffff2"/>
              <w:rPr>
                <w:rFonts w:cs="Times New Roman"/>
                <w:kern w:val="0"/>
                <w:sz w:val="21"/>
                <w:szCs w:val="21"/>
              </w:rPr>
            </w:pPr>
            <w:r w:rsidRPr="00E13009">
              <w:rPr>
                <w:rFonts w:cs="Times New Roman"/>
                <w:kern w:val="0"/>
                <w:sz w:val="21"/>
                <w:szCs w:val="21"/>
              </w:rPr>
              <w:t>本项目属于</w:t>
            </w:r>
            <w:r w:rsidRPr="00E13009">
              <w:rPr>
                <w:rFonts w:cs="Times New Roman"/>
                <w:kern w:val="0"/>
                <w:sz w:val="21"/>
                <w:szCs w:val="21"/>
              </w:rPr>
              <w:t>I</w:t>
            </w:r>
            <w:r w:rsidRPr="00E13009">
              <w:rPr>
                <w:rFonts w:cs="Times New Roman"/>
                <w:kern w:val="0"/>
                <w:sz w:val="21"/>
                <w:szCs w:val="21"/>
              </w:rPr>
              <w:t>类</w:t>
            </w:r>
          </w:p>
        </w:tc>
      </w:tr>
    </w:tbl>
    <w:p w:rsidR="004E3021" w:rsidRDefault="00606E48">
      <w:pPr>
        <w:pStyle w:val="afffff4"/>
      </w:pPr>
      <w:r>
        <w:rPr>
          <w:rFonts w:hint="eastAsia"/>
        </w:rPr>
        <w:t>表</w:t>
      </w:r>
      <w:r>
        <w:t xml:space="preserve">2.3.1-21  </w:t>
      </w:r>
      <w:r>
        <w:t>土壤环境敏感程度分级表</w:t>
      </w:r>
    </w:p>
    <w:tbl>
      <w:tblPr>
        <w:tblStyle w:val="afff"/>
        <w:tblW w:w="0" w:type="auto"/>
        <w:tblLook w:val="04A0" w:firstRow="1" w:lastRow="0" w:firstColumn="1" w:lastColumn="0" w:noHBand="0" w:noVBand="1"/>
      </w:tblPr>
      <w:tblGrid>
        <w:gridCol w:w="1413"/>
        <w:gridCol w:w="5812"/>
        <w:gridCol w:w="1792"/>
      </w:tblGrid>
      <w:tr w:rsidR="004E3021" w:rsidRPr="00E13009" w:rsidTr="00E13009">
        <w:trPr>
          <w:trHeight w:val="55"/>
        </w:trPr>
        <w:tc>
          <w:tcPr>
            <w:tcW w:w="141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敏感程度</w:t>
            </w:r>
          </w:p>
        </w:tc>
        <w:tc>
          <w:tcPr>
            <w:tcW w:w="5812"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判别依据</w:t>
            </w:r>
          </w:p>
        </w:tc>
        <w:tc>
          <w:tcPr>
            <w:tcW w:w="1792"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本项目属性</w:t>
            </w:r>
          </w:p>
        </w:tc>
      </w:tr>
      <w:tr w:rsidR="004E3021" w:rsidRPr="00E13009" w:rsidTr="00E13009">
        <w:trPr>
          <w:trHeight w:val="535"/>
        </w:trPr>
        <w:tc>
          <w:tcPr>
            <w:tcW w:w="1413" w:type="dxa"/>
            <w:shd w:val="clear" w:color="auto" w:fill="A6A6A6" w:themeFill="background1" w:themeFillShade="A6"/>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敏感</w:t>
            </w:r>
          </w:p>
        </w:tc>
        <w:tc>
          <w:tcPr>
            <w:tcW w:w="5812" w:type="dxa"/>
            <w:shd w:val="clear" w:color="auto" w:fill="A6A6A6" w:themeFill="background1" w:themeFillShade="A6"/>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建设项目周边存在耕地、园地、牧草地、自来水源地或居民区、学校、医院、疗养院、养老院等土壤环境敏感目标的</w:t>
            </w:r>
          </w:p>
        </w:tc>
        <w:tc>
          <w:tcPr>
            <w:tcW w:w="1792" w:type="dxa"/>
            <w:vMerge w:val="restart"/>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本项目为敏感</w:t>
            </w:r>
          </w:p>
        </w:tc>
      </w:tr>
      <w:tr w:rsidR="004E3021" w:rsidRPr="00E13009" w:rsidTr="00E13009">
        <w:trPr>
          <w:trHeight w:val="70"/>
        </w:trPr>
        <w:tc>
          <w:tcPr>
            <w:tcW w:w="141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较敏感</w:t>
            </w:r>
          </w:p>
        </w:tc>
        <w:tc>
          <w:tcPr>
            <w:tcW w:w="5812"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建设项目周边存在其他土壤环境敏感目标的</w:t>
            </w:r>
          </w:p>
        </w:tc>
        <w:tc>
          <w:tcPr>
            <w:tcW w:w="0" w:type="auto"/>
            <w:vMerge/>
            <w:vAlign w:val="center"/>
          </w:tcPr>
          <w:p w:rsidR="004E3021" w:rsidRPr="00E13009" w:rsidRDefault="004E3021" w:rsidP="00E13009">
            <w:pPr>
              <w:pStyle w:val="afffffff2"/>
              <w:rPr>
                <w:rFonts w:ascii="Times New Roman" w:hAnsi="Times New Roman" w:cs="Times New Roman"/>
                <w:kern w:val="0"/>
                <w:sz w:val="21"/>
                <w:szCs w:val="21"/>
              </w:rPr>
            </w:pPr>
          </w:p>
        </w:tc>
      </w:tr>
      <w:tr w:rsidR="004E3021" w:rsidRPr="00E13009" w:rsidTr="00E13009">
        <w:tc>
          <w:tcPr>
            <w:tcW w:w="141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不敏感</w:t>
            </w:r>
          </w:p>
        </w:tc>
        <w:tc>
          <w:tcPr>
            <w:tcW w:w="5812"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其他情况</w:t>
            </w:r>
          </w:p>
        </w:tc>
        <w:tc>
          <w:tcPr>
            <w:tcW w:w="0" w:type="auto"/>
            <w:vMerge/>
            <w:vAlign w:val="center"/>
          </w:tcPr>
          <w:p w:rsidR="004E3021" w:rsidRPr="00E13009" w:rsidRDefault="004E3021" w:rsidP="00E13009">
            <w:pPr>
              <w:pStyle w:val="afffffff2"/>
              <w:rPr>
                <w:rFonts w:ascii="Times New Roman" w:hAnsi="Times New Roman" w:cs="Times New Roman"/>
                <w:kern w:val="0"/>
                <w:sz w:val="21"/>
                <w:szCs w:val="21"/>
              </w:rPr>
            </w:pPr>
          </w:p>
        </w:tc>
      </w:tr>
    </w:tbl>
    <w:p w:rsidR="004E3021" w:rsidRDefault="00606E48">
      <w:pPr>
        <w:ind w:firstLine="480"/>
      </w:pPr>
      <w:r>
        <w:rPr>
          <w:rFonts w:ascii="宋体" w:hAnsi="宋体" w:hint="eastAsia"/>
          <w:bCs/>
        </w:rPr>
        <w:t>根据《环境影响评价技术导则</w:t>
      </w:r>
      <w:r>
        <w:rPr>
          <w:rFonts w:hint="eastAsia"/>
          <w:bCs/>
        </w:rPr>
        <w:t xml:space="preserve">  </w:t>
      </w:r>
      <w:r>
        <w:rPr>
          <w:rFonts w:ascii="宋体" w:hAnsi="宋体" w:hint="eastAsia"/>
          <w:bCs/>
        </w:rPr>
        <w:t>土壤环境》（</w:t>
      </w:r>
      <w:r>
        <w:rPr>
          <w:bCs/>
        </w:rPr>
        <w:t>HJ964-2018</w:t>
      </w:r>
      <w:r>
        <w:rPr>
          <w:rFonts w:ascii="宋体" w:hAnsi="宋体" w:hint="eastAsia"/>
          <w:bCs/>
        </w:rPr>
        <w:t>）可知本项目为污染影响型，且建设项目占地规模</w:t>
      </w:r>
      <w:r>
        <w:rPr>
          <w:bCs/>
        </w:rPr>
        <w:t>100.246</w:t>
      </w:r>
      <w:r>
        <w:rPr>
          <w:rFonts w:ascii="宋体" w:hAnsi="宋体" w:hint="eastAsia"/>
          <w:bCs/>
        </w:rPr>
        <w:t>亩（</w:t>
      </w:r>
      <w:r>
        <w:rPr>
          <w:bCs/>
        </w:rPr>
        <w:t>5hm</w:t>
      </w:r>
      <w:r>
        <w:rPr>
          <w:bCs/>
          <w:vertAlign w:val="superscript"/>
        </w:rPr>
        <w:t>2</w:t>
      </w:r>
      <w:r>
        <w:rPr>
          <w:rFonts w:ascii="宋体" w:hAnsi="宋体" w:hint="eastAsia"/>
          <w:bCs/>
        </w:rPr>
        <w:t>＜</w:t>
      </w:r>
      <w:r>
        <w:rPr>
          <w:bCs/>
        </w:rPr>
        <w:t>6.68hm</w:t>
      </w:r>
      <w:r>
        <w:rPr>
          <w:bCs/>
          <w:vertAlign w:val="superscript"/>
        </w:rPr>
        <w:t>2</w:t>
      </w:r>
      <w:r>
        <w:rPr>
          <w:rFonts w:ascii="宋体" w:hAnsi="宋体" w:hint="eastAsia"/>
          <w:bCs/>
        </w:rPr>
        <w:t>＜</w:t>
      </w:r>
      <w:r>
        <w:rPr>
          <w:bCs/>
        </w:rPr>
        <w:t>50hm</w:t>
      </w:r>
      <w:r>
        <w:rPr>
          <w:bCs/>
          <w:vertAlign w:val="superscript"/>
        </w:rPr>
        <w:t>2</w:t>
      </w:r>
      <w:r>
        <w:rPr>
          <w:rFonts w:ascii="宋体" w:hAnsi="宋体" w:hint="eastAsia"/>
          <w:bCs/>
        </w:rPr>
        <w:t>），为中型占地规模。本项目行业类别为，属于“</w:t>
      </w:r>
      <w:r>
        <w:t>I</w:t>
      </w:r>
      <w:r>
        <w:rPr>
          <w:rFonts w:ascii="宋体" w:hAnsi="宋体" w:hint="eastAsia"/>
          <w:bCs/>
        </w:rPr>
        <w:t>类”项目类别，建设</w:t>
      </w:r>
      <w:r>
        <w:rPr>
          <w:rFonts w:ascii="宋体" w:hAnsi="宋体"/>
          <w:bCs/>
        </w:rPr>
        <w:t>项目周边存在耕地</w:t>
      </w:r>
      <w:r>
        <w:rPr>
          <w:rFonts w:ascii="宋体" w:hAnsi="宋体" w:hint="eastAsia"/>
          <w:bCs/>
        </w:rPr>
        <w:t>，故土壤环境敏感程度为敏感。对照《环境影响评价技术导则</w:t>
      </w:r>
      <w:r>
        <w:rPr>
          <w:rFonts w:hint="eastAsia"/>
          <w:bCs/>
        </w:rPr>
        <w:t xml:space="preserve"> </w:t>
      </w:r>
      <w:r>
        <w:rPr>
          <w:rFonts w:ascii="宋体" w:hAnsi="宋体" w:hint="eastAsia"/>
          <w:bCs/>
        </w:rPr>
        <w:t>土壤环境（试行）》（</w:t>
      </w:r>
      <w:r>
        <w:rPr>
          <w:bCs/>
        </w:rPr>
        <w:t>HJ964-2018</w:t>
      </w:r>
      <w:r>
        <w:rPr>
          <w:rFonts w:ascii="宋体" w:hAnsi="宋体" w:hint="eastAsia"/>
          <w:bCs/>
        </w:rPr>
        <w:t>）可知建设项目土壤环境影响评价工作等级为一级</w:t>
      </w:r>
      <w:r>
        <w:rPr>
          <w:rFonts w:ascii="宋体" w:hAnsi="宋体" w:hint="eastAsia"/>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rPr>
        <w:t xml:space="preserve">2.3.1-22  </w:t>
      </w:r>
      <w:r>
        <w:rPr>
          <w:rFonts w:ascii="黑体" w:eastAsia="黑体" w:hAnsi="黑体"/>
        </w:rPr>
        <w:t>土壤评价工作等级划分表</w:t>
      </w:r>
    </w:p>
    <w:tbl>
      <w:tblPr>
        <w:tblStyle w:val="afff"/>
        <w:tblW w:w="0" w:type="auto"/>
        <w:tblLook w:val="04A0" w:firstRow="1" w:lastRow="0" w:firstColumn="1" w:lastColumn="0" w:noHBand="0" w:noVBand="1"/>
      </w:tblPr>
      <w:tblGrid>
        <w:gridCol w:w="902"/>
        <w:gridCol w:w="902"/>
        <w:gridCol w:w="902"/>
        <w:gridCol w:w="902"/>
        <w:gridCol w:w="903"/>
        <w:gridCol w:w="903"/>
        <w:gridCol w:w="903"/>
        <w:gridCol w:w="903"/>
        <w:gridCol w:w="903"/>
        <w:gridCol w:w="903"/>
      </w:tblGrid>
      <w:tr w:rsidR="004E3021" w:rsidRPr="00E13009" w:rsidTr="00E13009">
        <w:tc>
          <w:tcPr>
            <w:tcW w:w="902" w:type="dxa"/>
            <w:vMerge w:val="restart"/>
            <w:vAlign w:val="center"/>
          </w:tcPr>
          <w:p w:rsidR="004E3021" w:rsidRPr="00E13009" w:rsidRDefault="00E13009" w:rsidP="00E13009">
            <w:pPr>
              <w:pStyle w:val="afffffff2"/>
              <w:rPr>
                <w:rFonts w:ascii="Times New Roman" w:hAnsi="Times New Roman" w:cs="Times New Roman"/>
                <w:b/>
                <w:kern w:val="0"/>
                <w:sz w:val="21"/>
                <w:szCs w:val="21"/>
              </w:rPr>
            </w:pPr>
            <w:r w:rsidRPr="00E13009">
              <w:rPr>
                <w:rFonts w:ascii="Times New Roman" w:hAnsi="Times New Roman" w:cs="Times New Roman" w:hint="eastAsia"/>
                <w:b/>
                <w:kern w:val="0"/>
                <w:sz w:val="21"/>
                <w:szCs w:val="21"/>
              </w:rPr>
              <w:t>敏感程度</w:t>
            </w:r>
          </w:p>
        </w:tc>
        <w:tc>
          <w:tcPr>
            <w:tcW w:w="2706" w:type="dxa"/>
            <w:gridSpan w:val="3"/>
            <w:vAlign w:val="center"/>
          </w:tcPr>
          <w:p w:rsidR="004E3021" w:rsidRPr="00E13009" w:rsidRDefault="00606E48" w:rsidP="00E13009">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Ⅰ</w:t>
            </w:r>
          </w:p>
        </w:tc>
        <w:tc>
          <w:tcPr>
            <w:tcW w:w="2709" w:type="dxa"/>
            <w:gridSpan w:val="3"/>
            <w:vAlign w:val="center"/>
          </w:tcPr>
          <w:p w:rsidR="004E3021" w:rsidRPr="00E13009" w:rsidRDefault="00606E48" w:rsidP="00E13009">
            <w:pPr>
              <w:pStyle w:val="afffffff2"/>
              <w:rPr>
                <w:rFonts w:ascii="Times New Roman" w:hAnsi="Times New Roman" w:cs="Times New Roman"/>
                <w:b/>
                <w:kern w:val="0"/>
                <w:sz w:val="21"/>
                <w:szCs w:val="21"/>
              </w:rPr>
            </w:pPr>
            <w:r w:rsidRPr="00E13009">
              <w:rPr>
                <w:rFonts w:ascii="Times New Roman" w:eastAsia="微软雅黑" w:hAnsi="Times New Roman" w:cs="Times New Roman"/>
                <w:b/>
                <w:kern w:val="0"/>
                <w:sz w:val="21"/>
                <w:szCs w:val="21"/>
              </w:rPr>
              <w:t>Ⅱ</w:t>
            </w:r>
          </w:p>
        </w:tc>
        <w:tc>
          <w:tcPr>
            <w:tcW w:w="2709" w:type="dxa"/>
            <w:gridSpan w:val="3"/>
            <w:vAlign w:val="center"/>
          </w:tcPr>
          <w:p w:rsidR="004E3021" w:rsidRPr="00E13009" w:rsidRDefault="00606E48" w:rsidP="00E13009">
            <w:pPr>
              <w:pStyle w:val="afffffff2"/>
              <w:rPr>
                <w:rFonts w:ascii="Times New Roman" w:hAnsi="Times New Roman" w:cs="Times New Roman"/>
                <w:b/>
                <w:kern w:val="0"/>
                <w:sz w:val="21"/>
                <w:szCs w:val="21"/>
              </w:rPr>
            </w:pPr>
            <w:r w:rsidRPr="00E13009">
              <w:rPr>
                <w:rFonts w:ascii="Times New Roman" w:eastAsia="微软雅黑" w:hAnsi="Times New Roman" w:cs="Times New Roman"/>
                <w:b/>
                <w:kern w:val="0"/>
                <w:sz w:val="21"/>
                <w:szCs w:val="21"/>
              </w:rPr>
              <w:t>Ⅲ</w:t>
            </w:r>
          </w:p>
        </w:tc>
      </w:tr>
      <w:tr w:rsidR="004E3021" w:rsidRPr="00E13009" w:rsidTr="00E13009">
        <w:tc>
          <w:tcPr>
            <w:tcW w:w="0" w:type="auto"/>
            <w:vMerge/>
            <w:vAlign w:val="center"/>
          </w:tcPr>
          <w:p w:rsidR="004E3021" w:rsidRPr="00E13009" w:rsidRDefault="004E3021" w:rsidP="00E13009">
            <w:pPr>
              <w:pStyle w:val="afffffff2"/>
              <w:rPr>
                <w:rFonts w:ascii="Times New Roman" w:hAnsi="Times New Roman" w:cs="Times New Roman"/>
                <w:b/>
                <w:kern w:val="0"/>
                <w:sz w:val="21"/>
                <w:szCs w:val="21"/>
              </w:rPr>
            </w:pPr>
          </w:p>
        </w:tc>
        <w:tc>
          <w:tcPr>
            <w:tcW w:w="902" w:type="dxa"/>
            <w:vAlign w:val="center"/>
          </w:tcPr>
          <w:p w:rsidR="004E3021" w:rsidRPr="00E13009" w:rsidRDefault="00606E48" w:rsidP="00E13009">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大</w:t>
            </w:r>
          </w:p>
        </w:tc>
        <w:tc>
          <w:tcPr>
            <w:tcW w:w="902" w:type="dxa"/>
            <w:vAlign w:val="center"/>
          </w:tcPr>
          <w:p w:rsidR="004E3021" w:rsidRPr="00E13009" w:rsidRDefault="00606E48" w:rsidP="00E13009">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中</w:t>
            </w:r>
          </w:p>
        </w:tc>
        <w:tc>
          <w:tcPr>
            <w:tcW w:w="902" w:type="dxa"/>
            <w:vAlign w:val="center"/>
          </w:tcPr>
          <w:p w:rsidR="004E3021" w:rsidRPr="00E13009" w:rsidRDefault="00606E48" w:rsidP="00E13009">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小</w:t>
            </w:r>
          </w:p>
        </w:tc>
        <w:tc>
          <w:tcPr>
            <w:tcW w:w="903" w:type="dxa"/>
            <w:vAlign w:val="center"/>
          </w:tcPr>
          <w:p w:rsidR="004E3021" w:rsidRPr="00E13009" w:rsidRDefault="00606E48" w:rsidP="00E13009">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大</w:t>
            </w:r>
          </w:p>
        </w:tc>
        <w:tc>
          <w:tcPr>
            <w:tcW w:w="903" w:type="dxa"/>
            <w:vAlign w:val="center"/>
          </w:tcPr>
          <w:p w:rsidR="004E3021" w:rsidRPr="00E13009" w:rsidRDefault="00606E48" w:rsidP="00E13009">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中</w:t>
            </w:r>
          </w:p>
        </w:tc>
        <w:tc>
          <w:tcPr>
            <w:tcW w:w="903" w:type="dxa"/>
            <w:vAlign w:val="center"/>
          </w:tcPr>
          <w:p w:rsidR="004E3021" w:rsidRPr="00E13009" w:rsidRDefault="00606E48" w:rsidP="00E13009">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小</w:t>
            </w:r>
          </w:p>
        </w:tc>
        <w:tc>
          <w:tcPr>
            <w:tcW w:w="903" w:type="dxa"/>
            <w:vAlign w:val="center"/>
          </w:tcPr>
          <w:p w:rsidR="004E3021" w:rsidRPr="00E13009" w:rsidRDefault="00606E48" w:rsidP="00E13009">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大</w:t>
            </w:r>
          </w:p>
        </w:tc>
        <w:tc>
          <w:tcPr>
            <w:tcW w:w="903" w:type="dxa"/>
            <w:vAlign w:val="center"/>
          </w:tcPr>
          <w:p w:rsidR="004E3021" w:rsidRPr="00E13009" w:rsidRDefault="00606E48" w:rsidP="00E13009">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中</w:t>
            </w:r>
          </w:p>
        </w:tc>
        <w:tc>
          <w:tcPr>
            <w:tcW w:w="903" w:type="dxa"/>
            <w:vAlign w:val="center"/>
          </w:tcPr>
          <w:p w:rsidR="004E3021" w:rsidRPr="00E13009" w:rsidRDefault="00606E48" w:rsidP="00E13009">
            <w:pPr>
              <w:pStyle w:val="afffffff2"/>
              <w:rPr>
                <w:rFonts w:ascii="Times New Roman" w:hAnsi="Times New Roman" w:cs="Times New Roman"/>
                <w:b/>
                <w:kern w:val="0"/>
                <w:sz w:val="21"/>
                <w:szCs w:val="21"/>
              </w:rPr>
            </w:pPr>
            <w:r w:rsidRPr="00E13009">
              <w:rPr>
                <w:rFonts w:ascii="Times New Roman" w:hAnsi="Times New Roman" w:cs="Times New Roman"/>
                <w:b/>
                <w:kern w:val="0"/>
                <w:sz w:val="21"/>
                <w:szCs w:val="21"/>
              </w:rPr>
              <w:t>小</w:t>
            </w:r>
          </w:p>
        </w:tc>
      </w:tr>
      <w:tr w:rsidR="004E3021" w:rsidRPr="00E13009" w:rsidTr="00AB41E0">
        <w:tc>
          <w:tcPr>
            <w:tcW w:w="902"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敏感</w:t>
            </w:r>
          </w:p>
        </w:tc>
        <w:tc>
          <w:tcPr>
            <w:tcW w:w="902"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一级</w:t>
            </w:r>
          </w:p>
        </w:tc>
        <w:tc>
          <w:tcPr>
            <w:tcW w:w="902" w:type="dxa"/>
            <w:shd w:val="clear" w:color="auto" w:fill="A6A6A6" w:themeFill="background1" w:themeFillShade="A6"/>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一级</w:t>
            </w:r>
          </w:p>
        </w:tc>
        <w:tc>
          <w:tcPr>
            <w:tcW w:w="902"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一级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二级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二级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三级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三级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三级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三级</w:t>
            </w:r>
          </w:p>
        </w:tc>
      </w:tr>
      <w:tr w:rsidR="004E3021" w:rsidRPr="00E13009" w:rsidTr="00E13009">
        <w:tc>
          <w:tcPr>
            <w:tcW w:w="902"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较敏感</w:t>
            </w:r>
          </w:p>
        </w:tc>
        <w:tc>
          <w:tcPr>
            <w:tcW w:w="902"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一级</w:t>
            </w:r>
          </w:p>
        </w:tc>
        <w:tc>
          <w:tcPr>
            <w:tcW w:w="902"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一级</w:t>
            </w:r>
          </w:p>
        </w:tc>
        <w:tc>
          <w:tcPr>
            <w:tcW w:w="902"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二级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二级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二级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三级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三级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三级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w:t>
            </w:r>
          </w:p>
        </w:tc>
      </w:tr>
      <w:tr w:rsidR="004E3021" w:rsidRPr="00E13009" w:rsidTr="00E13009">
        <w:tc>
          <w:tcPr>
            <w:tcW w:w="902"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不敏感</w:t>
            </w:r>
          </w:p>
        </w:tc>
        <w:tc>
          <w:tcPr>
            <w:tcW w:w="902"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一级</w:t>
            </w:r>
          </w:p>
        </w:tc>
        <w:tc>
          <w:tcPr>
            <w:tcW w:w="902"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二级</w:t>
            </w:r>
          </w:p>
        </w:tc>
        <w:tc>
          <w:tcPr>
            <w:tcW w:w="902"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二级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二级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三级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三级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三级</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w:t>
            </w:r>
          </w:p>
        </w:tc>
        <w:tc>
          <w:tcPr>
            <w:tcW w:w="903" w:type="dxa"/>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w:t>
            </w:r>
          </w:p>
        </w:tc>
      </w:tr>
      <w:tr w:rsidR="004E3021" w:rsidRPr="00E13009" w:rsidTr="00E13009">
        <w:tc>
          <w:tcPr>
            <w:tcW w:w="9026" w:type="dxa"/>
            <w:gridSpan w:val="10"/>
            <w:vAlign w:val="center"/>
          </w:tcPr>
          <w:p w:rsidR="004E3021" w:rsidRPr="00E13009" w:rsidRDefault="00606E48" w:rsidP="00E13009">
            <w:pPr>
              <w:pStyle w:val="afffffff2"/>
              <w:rPr>
                <w:rFonts w:ascii="Times New Roman" w:hAnsi="Times New Roman" w:cs="Times New Roman"/>
                <w:kern w:val="0"/>
                <w:sz w:val="21"/>
                <w:szCs w:val="21"/>
              </w:rPr>
            </w:pPr>
            <w:r w:rsidRPr="00E13009">
              <w:rPr>
                <w:rFonts w:ascii="Times New Roman" w:hAnsi="Times New Roman" w:cs="Times New Roman"/>
                <w:kern w:val="0"/>
                <w:sz w:val="21"/>
                <w:szCs w:val="21"/>
              </w:rPr>
              <w:t>注：</w:t>
            </w:r>
            <w:r w:rsidRPr="00E13009">
              <w:rPr>
                <w:rFonts w:ascii="Times New Roman" w:hAnsi="Times New Roman" w:cs="Times New Roman"/>
                <w:kern w:val="0"/>
                <w:sz w:val="21"/>
                <w:szCs w:val="21"/>
              </w:rPr>
              <w:t>“/”</w:t>
            </w:r>
            <w:r w:rsidRPr="00E13009">
              <w:rPr>
                <w:rFonts w:ascii="Times New Roman" w:hAnsi="Times New Roman" w:cs="Times New Roman"/>
                <w:kern w:val="0"/>
                <w:sz w:val="21"/>
                <w:szCs w:val="21"/>
              </w:rPr>
              <w:t>可不开展土壤环境影响评价工作。</w:t>
            </w:r>
          </w:p>
        </w:tc>
      </w:tr>
    </w:tbl>
    <w:p w:rsidR="004E3021" w:rsidRDefault="00606E48">
      <w:pPr>
        <w:pStyle w:val="4a"/>
      </w:pPr>
      <w:r>
        <w:rPr>
          <w:rFonts w:hint="eastAsia"/>
        </w:rPr>
        <w:t>2</w:t>
      </w:r>
      <w:r>
        <w:t>.3.1.7</w:t>
      </w:r>
      <w:r>
        <w:rPr>
          <w:rFonts w:ascii="黑体" w:hAnsi="黑体"/>
        </w:rPr>
        <w:t>生态评价等级</w:t>
      </w:r>
    </w:p>
    <w:p w:rsidR="00AB41E0" w:rsidRDefault="00AB41E0" w:rsidP="00AB41E0">
      <w:pPr>
        <w:ind w:firstLine="480"/>
      </w:pPr>
      <w:r>
        <w:rPr>
          <w:bCs/>
          <w:kern w:val="0"/>
          <w:lang w:val="zh-CN" w:bidi="zh-CN"/>
        </w:rPr>
        <w:t>项目所在地区不属于生态敏感区，生态敏感程度为一般区域。项目位于</w:t>
      </w:r>
      <w:r>
        <w:rPr>
          <w:rFonts w:hint="eastAsia"/>
        </w:rPr>
        <w:t>蚌埠精细化工高新技术产业基地内</w:t>
      </w:r>
      <w:r>
        <w:rPr>
          <w:bCs/>
          <w:kern w:val="0"/>
          <w:lang w:val="zh-CN" w:bidi="zh-CN"/>
        </w:rPr>
        <w:t>，根据《环境影响评价技术导则</w:t>
      </w:r>
      <w:r>
        <w:rPr>
          <w:bCs/>
          <w:kern w:val="0"/>
          <w:lang w:val="zh-CN" w:bidi="zh-CN"/>
        </w:rPr>
        <w:t xml:space="preserve"> </w:t>
      </w:r>
      <w:r>
        <w:rPr>
          <w:bCs/>
          <w:kern w:val="0"/>
          <w:lang w:val="zh-CN" w:bidi="zh-CN"/>
        </w:rPr>
        <w:t>生态影响》（</w:t>
      </w:r>
      <w:r>
        <w:rPr>
          <w:bCs/>
          <w:kern w:val="0"/>
          <w:lang w:val="zh-CN" w:bidi="zh-CN"/>
        </w:rPr>
        <w:t>HJ19-2022</w:t>
      </w:r>
      <w:r>
        <w:rPr>
          <w:bCs/>
          <w:kern w:val="0"/>
          <w:lang w:val="zh-CN" w:bidi="zh-CN"/>
        </w:rPr>
        <w:t>），本项目位于已批准规划环评的产业园区内且符合规划环评要求、不涉及生态敏感区的污染影响类建设项目，可不确定评价等级，因此本项目直接进行生态影响简单分析</w:t>
      </w:r>
      <w:r>
        <w:rPr>
          <w:rFonts w:hint="eastAsia"/>
          <w:bCs/>
          <w:kern w:val="0"/>
          <w:lang w:val="zh-CN" w:bidi="zh-CN"/>
        </w:rPr>
        <w:t>。</w:t>
      </w:r>
    </w:p>
    <w:p w:rsidR="004E3021" w:rsidRDefault="00606E48">
      <w:pPr>
        <w:pStyle w:val="afffffffffffffffff4"/>
      </w:pPr>
      <w:bookmarkStart w:id="67" w:name="_Toc108662556"/>
      <w:bookmarkStart w:id="68" w:name="_Toc101135790"/>
      <w:bookmarkStart w:id="69" w:name="_Toc100783962"/>
      <w:bookmarkStart w:id="70" w:name="_Toc221088721"/>
      <w:bookmarkStart w:id="71" w:name="_Toc221500936"/>
      <w:r>
        <w:rPr>
          <w:rFonts w:hint="eastAsia"/>
        </w:rPr>
        <w:lastRenderedPageBreak/>
        <w:t>2.3.2</w:t>
      </w:r>
      <w:r>
        <w:rPr>
          <w:rFonts w:hint="eastAsia"/>
        </w:rPr>
        <w:t>评价</w:t>
      </w:r>
      <w:r>
        <w:t>重点</w:t>
      </w:r>
      <w:bookmarkEnd w:id="67"/>
      <w:bookmarkEnd w:id="68"/>
      <w:bookmarkEnd w:id="69"/>
      <w:bookmarkEnd w:id="70"/>
      <w:bookmarkEnd w:id="71"/>
    </w:p>
    <w:p w:rsidR="004E3021" w:rsidRDefault="00606E48">
      <w:pPr>
        <w:ind w:firstLine="480"/>
        <w:contextualSpacing/>
      </w:pPr>
      <w:r>
        <w:t>根据项目建设特点、产排污特征、区域环境功能要求和区域基础设施条件，确定本环评的工作重点是工程分析</w:t>
      </w:r>
      <w:r>
        <w:rPr>
          <w:rFonts w:hint="eastAsia"/>
        </w:rPr>
        <w:t>、</w:t>
      </w:r>
      <w:r>
        <w:t>项目环境影响预测及评价、环境保护措施及其经济、技术论证。</w:t>
      </w:r>
    </w:p>
    <w:p w:rsidR="004E3021" w:rsidRDefault="00606E48">
      <w:pPr>
        <w:ind w:firstLine="480"/>
        <w:contextualSpacing/>
      </w:pPr>
      <w:r>
        <w:t>（</w:t>
      </w:r>
      <w:r>
        <w:t>1</w:t>
      </w:r>
      <w:r>
        <w:t>）工程分析：调查分析工艺流程及排污环节，核实污染源、污染因子和污染源强、排污特征，核算项目的污染物产生量、削减量、排放量，以及污染物排放总量控制指标建议值。</w:t>
      </w:r>
    </w:p>
    <w:p w:rsidR="004E3021" w:rsidRDefault="00606E48">
      <w:pPr>
        <w:ind w:firstLine="480"/>
        <w:contextualSpacing/>
      </w:pPr>
      <w:r>
        <w:t>（</w:t>
      </w:r>
      <w:r>
        <w:t>2</w:t>
      </w:r>
      <w:r>
        <w:t>）环境影响预测与评价：通过预测及分析，评价项目污染物排放对环境的影响程度，并根据评价结果提出环境影响缓减措施。</w:t>
      </w:r>
    </w:p>
    <w:p w:rsidR="004E3021" w:rsidRDefault="00606E48">
      <w:pPr>
        <w:ind w:firstLine="480"/>
      </w:pPr>
      <w:r>
        <w:rPr>
          <w:rFonts w:hint="eastAsia"/>
        </w:rPr>
        <w:t>（</w:t>
      </w:r>
      <w:r>
        <w:t>3</w:t>
      </w:r>
      <w:r>
        <w:rPr>
          <w:rFonts w:hint="eastAsia"/>
        </w:rPr>
        <w:t>）</w:t>
      </w:r>
      <w:r>
        <w:t>环境保护措施及其经济、技术论证：对项目拟采用的废气、废水、固体废物、噪声污染控制方案进行分析，论证污染物稳定达标排放的可行性，提出污染控制缓减措施和建议</w:t>
      </w:r>
      <w:r>
        <w:rPr>
          <w:rFonts w:hint="eastAsia"/>
        </w:rPr>
        <w:t>。</w:t>
      </w:r>
    </w:p>
    <w:p w:rsidR="004E3021" w:rsidRDefault="00606E48">
      <w:pPr>
        <w:pStyle w:val="afffffffffffffffff3"/>
      </w:pPr>
      <w:bookmarkStart w:id="72" w:name="_Toc221500937"/>
      <w:r>
        <w:rPr>
          <w:rFonts w:hint="eastAsia"/>
        </w:rPr>
        <w:t>2</w:t>
      </w:r>
      <w:r>
        <w:t>.4</w:t>
      </w:r>
      <w:r>
        <w:t>评价范围及环境敏感区</w:t>
      </w:r>
      <w:bookmarkEnd w:id="72"/>
    </w:p>
    <w:p w:rsidR="004E3021" w:rsidRDefault="00606E48">
      <w:pPr>
        <w:pStyle w:val="afffffffffffffffff4"/>
      </w:pPr>
      <w:bookmarkStart w:id="73" w:name="_Toc101135792"/>
      <w:bookmarkStart w:id="74" w:name="_Toc100783964"/>
      <w:bookmarkStart w:id="75" w:name="_Toc108662558"/>
      <w:bookmarkStart w:id="76" w:name="_Toc221088723"/>
      <w:bookmarkStart w:id="77" w:name="_Toc221500938"/>
      <w:r>
        <w:rPr>
          <w:rFonts w:hint="eastAsia"/>
        </w:rPr>
        <w:t>2</w:t>
      </w:r>
      <w:r>
        <w:t>.4.1</w:t>
      </w:r>
      <w:r>
        <w:rPr>
          <w:rFonts w:ascii="黑体" w:hAnsi="黑体"/>
        </w:rPr>
        <w:t>评价范围</w:t>
      </w:r>
      <w:bookmarkEnd w:id="73"/>
      <w:bookmarkEnd w:id="74"/>
      <w:bookmarkEnd w:id="75"/>
      <w:bookmarkEnd w:id="76"/>
      <w:bookmarkEnd w:id="77"/>
    </w:p>
    <w:p w:rsidR="004E3021" w:rsidRDefault="00606E48">
      <w:pPr>
        <w:pStyle w:val="afffffc"/>
        <w:ind w:firstLine="480"/>
      </w:pPr>
      <w:r>
        <w:rPr>
          <w:rFonts w:ascii="宋体" w:hAnsi="宋体" w:hint="eastAsia"/>
        </w:rPr>
        <w:t>根据</w:t>
      </w:r>
      <w:r w:rsidR="00AB41E0">
        <w:rPr>
          <w:rFonts w:ascii="宋体" w:hAnsi="宋体" w:hint="eastAsia"/>
        </w:rPr>
        <w:t>本</w:t>
      </w:r>
      <w:r>
        <w:rPr>
          <w:rFonts w:ascii="宋体" w:hAnsi="宋体" w:hint="eastAsia"/>
        </w:rPr>
        <w:t>项目污染物排放特点及当地气象条件、自然环境状况，结合各导则的要求，确定各环境要素评价范围见表</w:t>
      </w:r>
      <w:r>
        <w:rPr>
          <w:rFonts w:hint="eastAsia"/>
        </w:rPr>
        <w:t>2</w:t>
      </w:r>
      <w:r>
        <w:t>.4.1-1</w:t>
      </w:r>
      <w:r>
        <w:rPr>
          <w:rFonts w:ascii="宋体" w:hAnsi="宋体" w:hint="eastAsia"/>
        </w:rPr>
        <w:t>。</w:t>
      </w:r>
    </w:p>
    <w:p w:rsidR="004E3021" w:rsidRDefault="00606E48">
      <w:pPr>
        <w:pStyle w:val="afffff4"/>
      </w:pPr>
      <w:r>
        <w:t>表</w:t>
      </w:r>
      <w:r>
        <w:t xml:space="preserve">2.4.1-1  </w:t>
      </w:r>
      <w:r w:rsidR="00AB41E0">
        <w:rPr>
          <w:rFonts w:hint="eastAsia"/>
        </w:rPr>
        <w:t>本</w:t>
      </w:r>
      <w:r>
        <w:t>项目环境影响评价范围表</w:t>
      </w:r>
    </w:p>
    <w:tbl>
      <w:tblPr>
        <w:tblStyle w:val="afff"/>
        <w:tblW w:w="0" w:type="auto"/>
        <w:tblLook w:val="04A0" w:firstRow="1" w:lastRow="0" w:firstColumn="1" w:lastColumn="0" w:noHBand="0" w:noVBand="1"/>
      </w:tblPr>
      <w:tblGrid>
        <w:gridCol w:w="2268"/>
        <w:gridCol w:w="6758"/>
      </w:tblGrid>
      <w:tr w:rsidR="004E3021" w:rsidRPr="00AB41E0" w:rsidTr="00AB41E0">
        <w:tc>
          <w:tcPr>
            <w:tcW w:w="2268"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评价内容</w:t>
            </w:r>
          </w:p>
        </w:tc>
        <w:tc>
          <w:tcPr>
            <w:tcW w:w="6758"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评价范围</w:t>
            </w:r>
          </w:p>
        </w:tc>
      </w:tr>
      <w:tr w:rsidR="004E3021" w:rsidRPr="00AB41E0" w:rsidTr="00AB41E0">
        <w:tc>
          <w:tcPr>
            <w:tcW w:w="2268"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大气环境影响评价</w:t>
            </w:r>
          </w:p>
        </w:tc>
        <w:tc>
          <w:tcPr>
            <w:tcW w:w="6758"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以厂区为中心，边长</w:t>
            </w:r>
            <w:r w:rsidRPr="00AB41E0">
              <w:rPr>
                <w:rFonts w:ascii="Times New Roman" w:hAnsi="Times New Roman" w:cs="Times New Roman"/>
                <w:kern w:val="0"/>
                <w:sz w:val="21"/>
                <w:szCs w:val="21"/>
              </w:rPr>
              <w:t>5km</w:t>
            </w:r>
            <w:r w:rsidRPr="00AB41E0">
              <w:rPr>
                <w:rFonts w:ascii="Times New Roman" w:hAnsi="Times New Roman" w:cs="Times New Roman"/>
                <w:kern w:val="0"/>
                <w:sz w:val="21"/>
                <w:szCs w:val="21"/>
              </w:rPr>
              <w:t>的矩形区域</w:t>
            </w:r>
          </w:p>
        </w:tc>
      </w:tr>
      <w:tr w:rsidR="004E3021" w:rsidRPr="00AB41E0" w:rsidTr="00AB41E0">
        <w:tc>
          <w:tcPr>
            <w:tcW w:w="2268"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地表水环境影响评价</w:t>
            </w:r>
          </w:p>
        </w:tc>
        <w:tc>
          <w:tcPr>
            <w:tcW w:w="6758"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沫河口污水厂排污口上游</w:t>
            </w:r>
            <w:r w:rsidRPr="00AB41E0">
              <w:rPr>
                <w:rFonts w:ascii="Times New Roman" w:hAnsi="Times New Roman" w:cs="Times New Roman"/>
                <w:kern w:val="0"/>
                <w:sz w:val="21"/>
                <w:szCs w:val="21"/>
              </w:rPr>
              <w:t>500m</w:t>
            </w:r>
            <w:r w:rsidRPr="00AB41E0">
              <w:rPr>
                <w:rFonts w:ascii="Times New Roman" w:hAnsi="Times New Roman" w:cs="Times New Roman"/>
                <w:kern w:val="0"/>
                <w:sz w:val="21"/>
                <w:szCs w:val="21"/>
              </w:rPr>
              <w:t>至三铺大沟入淮河口下游</w:t>
            </w:r>
            <w:r w:rsidRPr="00AB41E0">
              <w:rPr>
                <w:rFonts w:ascii="Times New Roman" w:hAnsi="Times New Roman" w:cs="Times New Roman"/>
                <w:kern w:val="0"/>
                <w:sz w:val="21"/>
                <w:szCs w:val="21"/>
              </w:rPr>
              <w:t>5000m</w:t>
            </w:r>
            <w:r w:rsidRPr="00AB41E0">
              <w:rPr>
                <w:rFonts w:ascii="Times New Roman" w:hAnsi="Times New Roman" w:cs="Times New Roman"/>
                <w:kern w:val="0"/>
                <w:sz w:val="21"/>
                <w:szCs w:val="21"/>
              </w:rPr>
              <w:t>河段</w:t>
            </w:r>
          </w:p>
        </w:tc>
      </w:tr>
      <w:tr w:rsidR="004E3021" w:rsidRPr="00AB41E0" w:rsidTr="00AB41E0">
        <w:tc>
          <w:tcPr>
            <w:tcW w:w="2268"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声环境影响评价</w:t>
            </w:r>
          </w:p>
        </w:tc>
        <w:tc>
          <w:tcPr>
            <w:tcW w:w="6758"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厂界外</w:t>
            </w:r>
            <w:r w:rsidRPr="00AB41E0">
              <w:rPr>
                <w:rFonts w:ascii="Times New Roman" w:hAnsi="Times New Roman" w:cs="Times New Roman"/>
                <w:kern w:val="0"/>
                <w:sz w:val="21"/>
                <w:szCs w:val="21"/>
              </w:rPr>
              <w:t>200m</w:t>
            </w:r>
            <w:r w:rsidRPr="00AB41E0">
              <w:rPr>
                <w:rFonts w:ascii="Times New Roman" w:hAnsi="Times New Roman" w:cs="Times New Roman"/>
                <w:kern w:val="0"/>
                <w:sz w:val="21"/>
                <w:szCs w:val="21"/>
              </w:rPr>
              <w:t>范围</w:t>
            </w:r>
          </w:p>
        </w:tc>
      </w:tr>
      <w:tr w:rsidR="004E3021" w:rsidRPr="00AB41E0" w:rsidTr="00AB41E0">
        <w:tc>
          <w:tcPr>
            <w:tcW w:w="2268"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地下水环境影响评价</w:t>
            </w:r>
          </w:p>
        </w:tc>
        <w:tc>
          <w:tcPr>
            <w:tcW w:w="6758"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color w:val="000000" w:themeColor="text1"/>
                <w:kern w:val="0"/>
                <w:sz w:val="21"/>
                <w:szCs w:val="21"/>
              </w:rPr>
              <w:t>厂区外独立水文地质单元（</w:t>
            </w:r>
            <w:r w:rsidRPr="00AB41E0">
              <w:rPr>
                <w:rFonts w:ascii="Times New Roman" w:hAnsi="Times New Roman" w:cs="Times New Roman"/>
                <w:color w:val="000000" w:themeColor="text1"/>
                <w:kern w:val="0"/>
                <w:sz w:val="21"/>
                <w:szCs w:val="21"/>
              </w:rPr>
              <w:t>19.33km</w:t>
            </w:r>
            <w:r w:rsidRPr="00AB41E0">
              <w:rPr>
                <w:rFonts w:ascii="Times New Roman" w:hAnsi="Times New Roman" w:cs="Times New Roman"/>
                <w:color w:val="000000" w:themeColor="text1"/>
                <w:kern w:val="0"/>
                <w:sz w:val="21"/>
                <w:szCs w:val="21"/>
                <w:vertAlign w:val="superscript"/>
              </w:rPr>
              <w:t>2</w:t>
            </w:r>
            <w:r w:rsidRPr="00AB41E0">
              <w:rPr>
                <w:rFonts w:ascii="Times New Roman" w:hAnsi="Times New Roman" w:cs="Times New Roman"/>
                <w:color w:val="000000" w:themeColor="text1"/>
                <w:kern w:val="0"/>
                <w:sz w:val="21"/>
                <w:szCs w:val="21"/>
              </w:rPr>
              <w:t>）的浅层地下水</w:t>
            </w:r>
          </w:p>
        </w:tc>
      </w:tr>
      <w:tr w:rsidR="004E3021" w:rsidRPr="00AB41E0" w:rsidTr="00AB41E0">
        <w:tc>
          <w:tcPr>
            <w:tcW w:w="2268"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土壤环境影响评价</w:t>
            </w:r>
          </w:p>
        </w:tc>
        <w:tc>
          <w:tcPr>
            <w:tcW w:w="6758"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color w:val="000000" w:themeColor="text1"/>
                <w:kern w:val="0"/>
                <w:sz w:val="21"/>
                <w:szCs w:val="21"/>
              </w:rPr>
              <w:t>占地范围内及占地范围外</w:t>
            </w:r>
            <w:r w:rsidRPr="00AB41E0">
              <w:rPr>
                <w:rFonts w:ascii="Times New Roman" w:hAnsi="Times New Roman" w:cs="Times New Roman"/>
                <w:color w:val="000000" w:themeColor="text1"/>
                <w:kern w:val="0"/>
                <w:sz w:val="21"/>
                <w:szCs w:val="21"/>
              </w:rPr>
              <w:t>1000m</w:t>
            </w:r>
            <w:r w:rsidRPr="00AB41E0">
              <w:rPr>
                <w:rFonts w:ascii="Times New Roman" w:hAnsi="Times New Roman" w:cs="Times New Roman"/>
                <w:color w:val="000000" w:themeColor="text1"/>
                <w:kern w:val="0"/>
                <w:sz w:val="21"/>
                <w:szCs w:val="21"/>
              </w:rPr>
              <w:t>区域</w:t>
            </w:r>
          </w:p>
        </w:tc>
      </w:tr>
      <w:tr w:rsidR="004E3021" w:rsidRPr="00AB41E0" w:rsidTr="00AB41E0">
        <w:tc>
          <w:tcPr>
            <w:tcW w:w="2268"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风险评价</w:t>
            </w:r>
          </w:p>
        </w:tc>
        <w:tc>
          <w:tcPr>
            <w:tcW w:w="6758" w:type="dxa"/>
            <w:vAlign w:val="center"/>
          </w:tcPr>
          <w:p w:rsidR="004E3021" w:rsidRPr="00AB41E0" w:rsidRDefault="00606E48" w:rsidP="00AB41E0">
            <w:pPr>
              <w:pStyle w:val="afffffff2"/>
              <w:rPr>
                <w:rFonts w:ascii="Times New Roman" w:hAnsi="Times New Roman" w:cs="Times New Roman"/>
                <w:color w:val="000000" w:themeColor="text1"/>
                <w:kern w:val="0"/>
                <w:sz w:val="21"/>
                <w:szCs w:val="21"/>
              </w:rPr>
            </w:pPr>
            <w:r w:rsidRPr="00AB41E0">
              <w:rPr>
                <w:rFonts w:ascii="Times New Roman" w:hAnsi="Times New Roman" w:cs="Times New Roman"/>
                <w:color w:val="000000" w:themeColor="text1"/>
                <w:kern w:val="0"/>
                <w:sz w:val="21"/>
                <w:szCs w:val="21"/>
              </w:rPr>
              <w:t>大气环境风险评价范围：距项目边界</w:t>
            </w:r>
            <w:r w:rsidRPr="00AB41E0">
              <w:rPr>
                <w:rFonts w:ascii="Times New Roman" w:hAnsi="Times New Roman" w:cs="Times New Roman"/>
                <w:color w:val="000000" w:themeColor="text1"/>
                <w:kern w:val="0"/>
                <w:sz w:val="21"/>
                <w:szCs w:val="21"/>
              </w:rPr>
              <w:t>5km</w:t>
            </w:r>
            <w:r w:rsidRPr="00AB41E0">
              <w:rPr>
                <w:rFonts w:ascii="Times New Roman" w:hAnsi="Times New Roman" w:cs="Times New Roman"/>
                <w:color w:val="000000" w:themeColor="text1"/>
                <w:kern w:val="0"/>
                <w:sz w:val="21"/>
                <w:szCs w:val="21"/>
              </w:rPr>
              <w:t>；</w:t>
            </w:r>
          </w:p>
          <w:p w:rsidR="004E3021" w:rsidRPr="00AB41E0" w:rsidRDefault="00606E48" w:rsidP="00AB41E0">
            <w:pPr>
              <w:pStyle w:val="afffffff2"/>
              <w:rPr>
                <w:rFonts w:ascii="Times New Roman" w:hAnsi="Times New Roman" w:cs="Times New Roman"/>
                <w:color w:val="000000" w:themeColor="text1"/>
                <w:kern w:val="0"/>
                <w:sz w:val="21"/>
                <w:szCs w:val="21"/>
              </w:rPr>
            </w:pPr>
            <w:r w:rsidRPr="00AB41E0">
              <w:rPr>
                <w:rFonts w:ascii="Times New Roman" w:hAnsi="Times New Roman" w:cs="Times New Roman"/>
                <w:color w:val="000000" w:themeColor="text1"/>
                <w:kern w:val="0"/>
                <w:sz w:val="21"/>
                <w:szCs w:val="21"/>
              </w:rPr>
              <w:t>地表水环境</w:t>
            </w:r>
            <w:r w:rsidR="00B57765">
              <w:rPr>
                <w:rFonts w:ascii="Times New Roman" w:hAnsi="Times New Roman" w:cs="Times New Roman" w:hint="eastAsia"/>
                <w:color w:val="000000" w:themeColor="text1"/>
                <w:kern w:val="0"/>
                <w:sz w:val="21"/>
                <w:szCs w:val="21"/>
              </w:rPr>
              <w:t>风险</w:t>
            </w:r>
            <w:r w:rsidRPr="00AB41E0">
              <w:rPr>
                <w:rFonts w:ascii="Times New Roman" w:hAnsi="Times New Roman" w:cs="Times New Roman"/>
                <w:color w:val="000000" w:themeColor="text1"/>
                <w:kern w:val="0"/>
                <w:sz w:val="21"/>
                <w:szCs w:val="21"/>
              </w:rPr>
              <w:t>评价范围：雨水入河口下游</w:t>
            </w:r>
            <w:r w:rsidRPr="00AB41E0">
              <w:rPr>
                <w:rFonts w:ascii="Times New Roman" w:hAnsi="Times New Roman" w:cs="Times New Roman"/>
                <w:color w:val="000000" w:themeColor="text1"/>
                <w:kern w:val="0"/>
                <w:sz w:val="21"/>
                <w:szCs w:val="21"/>
              </w:rPr>
              <w:t>5000m</w:t>
            </w:r>
            <w:r w:rsidRPr="00AB41E0">
              <w:rPr>
                <w:rFonts w:ascii="Times New Roman" w:hAnsi="Times New Roman" w:cs="Times New Roman"/>
                <w:color w:val="000000" w:themeColor="text1"/>
                <w:kern w:val="0"/>
                <w:sz w:val="21"/>
                <w:szCs w:val="21"/>
              </w:rPr>
              <w:t>河段</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color w:val="000000" w:themeColor="text1"/>
                <w:kern w:val="0"/>
                <w:sz w:val="21"/>
                <w:szCs w:val="21"/>
              </w:rPr>
              <w:t>地下水环境风险评价范围：厂区外独立水文地质单元（</w:t>
            </w:r>
            <w:r w:rsidRPr="00AB41E0">
              <w:rPr>
                <w:rFonts w:ascii="Times New Roman" w:hAnsi="Times New Roman" w:cs="Times New Roman"/>
                <w:color w:val="000000" w:themeColor="text1"/>
                <w:kern w:val="0"/>
                <w:sz w:val="21"/>
                <w:szCs w:val="21"/>
              </w:rPr>
              <w:t>19.33km</w:t>
            </w:r>
            <w:r w:rsidRPr="00AB41E0">
              <w:rPr>
                <w:rFonts w:ascii="Times New Roman" w:hAnsi="Times New Roman" w:cs="Times New Roman"/>
                <w:color w:val="000000" w:themeColor="text1"/>
                <w:kern w:val="0"/>
                <w:sz w:val="21"/>
                <w:szCs w:val="21"/>
                <w:vertAlign w:val="superscript"/>
              </w:rPr>
              <w:t>2</w:t>
            </w:r>
            <w:r w:rsidRPr="00AB41E0">
              <w:rPr>
                <w:rFonts w:ascii="Times New Roman" w:hAnsi="Times New Roman" w:cs="Times New Roman"/>
                <w:color w:val="000000" w:themeColor="text1"/>
                <w:kern w:val="0"/>
                <w:sz w:val="21"/>
                <w:szCs w:val="21"/>
              </w:rPr>
              <w:t>）的浅层地下水</w:t>
            </w:r>
          </w:p>
        </w:tc>
      </w:tr>
      <w:tr w:rsidR="00AB41E0" w:rsidRPr="00AB41E0" w:rsidTr="00AB41E0">
        <w:tc>
          <w:tcPr>
            <w:tcW w:w="2268" w:type="dxa"/>
            <w:vAlign w:val="center"/>
          </w:tcPr>
          <w:p w:rsidR="00AB41E0" w:rsidRDefault="00AB41E0" w:rsidP="00AB41E0">
            <w:pPr>
              <w:widowControl/>
              <w:spacing w:line="360" w:lineRule="exact"/>
              <w:ind w:firstLineChars="0" w:firstLine="0"/>
              <w:jc w:val="center"/>
              <w:rPr>
                <w:sz w:val="21"/>
              </w:rPr>
            </w:pPr>
            <w:r>
              <w:rPr>
                <w:sz w:val="21"/>
              </w:rPr>
              <w:t>生态环境</w:t>
            </w:r>
          </w:p>
        </w:tc>
        <w:tc>
          <w:tcPr>
            <w:tcW w:w="6758" w:type="dxa"/>
            <w:vAlign w:val="center"/>
          </w:tcPr>
          <w:p w:rsidR="00AB41E0" w:rsidRDefault="00AB41E0" w:rsidP="00AB41E0">
            <w:pPr>
              <w:widowControl/>
              <w:spacing w:line="360" w:lineRule="exact"/>
              <w:ind w:firstLineChars="0" w:firstLine="0"/>
              <w:jc w:val="center"/>
              <w:rPr>
                <w:sz w:val="21"/>
              </w:rPr>
            </w:pPr>
            <w:r>
              <w:rPr>
                <w:sz w:val="21"/>
                <w:szCs w:val="21"/>
              </w:rPr>
              <w:t>项目厂址所占范围</w:t>
            </w:r>
          </w:p>
        </w:tc>
      </w:tr>
    </w:tbl>
    <w:p w:rsidR="004E3021" w:rsidRDefault="00606E48">
      <w:pPr>
        <w:pStyle w:val="afffffffffffffffff4"/>
        <w:rPr>
          <w:rFonts w:cs="Times New Roman"/>
        </w:rPr>
      </w:pPr>
      <w:bookmarkStart w:id="78" w:name="_Toc100783965"/>
      <w:bookmarkStart w:id="79" w:name="_Toc108662559"/>
      <w:bookmarkStart w:id="80" w:name="_Toc101135793"/>
      <w:bookmarkStart w:id="81" w:name="_Toc221088724"/>
      <w:bookmarkStart w:id="82" w:name="_Toc221500939"/>
      <w:r>
        <w:rPr>
          <w:rFonts w:hint="eastAsia"/>
        </w:rPr>
        <w:lastRenderedPageBreak/>
        <w:t>2</w:t>
      </w:r>
      <w:r>
        <w:t>.4.2</w:t>
      </w:r>
      <w:r>
        <w:rPr>
          <w:rFonts w:ascii="黑体" w:hAnsi="黑体"/>
        </w:rPr>
        <w:t>环境保护目标</w:t>
      </w:r>
      <w:bookmarkEnd w:id="78"/>
      <w:bookmarkEnd w:id="79"/>
      <w:bookmarkEnd w:id="80"/>
      <w:bookmarkEnd w:id="81"/>
      <w:bookmarkEnd w:id="82"/>
    </w:p>
    <w:p w:rsidR="004E3021" w:rsidRDefault="00AB41E0">
      <w:pPr>
        <w:pStyle w:val="afffffc"/>
        <w:ind w:firstLine="480"/>
        <w:rPr>
          <w:rFonts w:ascii="宋体" w:hAnsi="宋体"/>
        </w:rPr>
        <w:sectPr w:rsidR="004E3021">
          <w:pgSz w:w="11906" w:h="16838"/>
          <w:pgMar w:top="1440" w:right="1440" w:bottom="1440" w:left="1440" w:header="851" w:footer="992" w:gutter="0"/>
          <w:cols w:space="425"/>
          <w:docGrid w:type="lines" w:linePitch="326"/>
        </w:sectPr>
      </w:pPr>
      <w:r>
        <w:rPr>
          <w:rFonts w:ascii="宋体" w:hAnsi="宋体" w:hint="eastAsia"/>
        </w:rPr>
        <w:t>本</w:t>
      </w:r>
      <w:r w:rsidR="00606E48">
        <w:rPr>
          <w:rFonts w:ascii="宋体" w:hAnsi="宋体" w:hint="eastAsia"/>
        </w:rPr>
        <w:t>项目选址于</w:t>
      </w:r>
      <w:r w:rsidR="00606E48">
        <w:rPr>
          <w:rFonts w:hint="eastAsia"/>
        </w:rPr>
        <w:t>蚌埠精细化工高新技术产业基地</w:t>
      </w:r>
      <w:r w:rsidR="00606E48">
        <w:rPr>
          <w:rFonts w:ascii="宋体" w:hAnsi="宋体" w:hint="eastAsia"/>
        </w:rPr>
        <w:t>，经调查，周边主要环境敏感目标见表</w:t>
      </w:r>
      <w:r w:rsidR="00606E48">
        <w:rPr>
          <w:rFonts w:hint="eastAsia"/>
        </w:rPr>
        <w:t>2</w:t>
      </w:r>
      <w:r w:rsidR="00606E48">
        <w:t>.4.2-1</w:t>
      </w:r>
      <w:r w:rsidR="00606E48">
        <w:rPr>
          <w:rFonts w:ascii="宋体" w:hAnsi="宋体"/>
        </w:rPr>
        <w:t>及附图</w:t>
      </w:r>
      <w:r w:rsidR="00606E48">
        <w:rPr>
          <w:rFonts w:hint="eastAsia"/>
        </w:rPr>
        <w:t>2</w:t>
      </w:r>
      <w:r w:rsidR="00606E48">
        <w:t>.4.2-1</w:t>
      </w:r>
      <w:r w:rsidR="00606E48">
        <w:rPr>
          <w:rFonts w:ascii="宋体" w:hAnsi="宋体" w:hint="eastAsia"/>
        </w:rPr>
        <w:t>。</w:t>
      </w:r>
    </w:p>
    <w:p w:rsidR="004E3021" w:rsidRDefault="00606E48">
      <w:pPr>
        <w:pStyle w:val="afffff4"/>
      </w:pPr>
      <w:r>
        <w:lastRenderedPageBreak/>
        <w:t>表</w:t>
      </w:r>
      <w:r>
        <w:t xml:space="preserve">2.4.2-1  </w:t>
      </w:r>
      <w:r>
        <w:t>环境敏感区域和保护目标</w:t>
      </w:r>
    </w:p>
    <w:tbl>
      <w:tblPr>
        <w:tblStyle w:val="afff"/>
        <w:tblW w:w="14173" w:type="dxa"/>
        <w:jc w:val="center"/>
        <w:tblLayout w:type="fixed"/>
        <w:tblLook w:val="04A0" w:firstRow="1" w:lastRow="0" w:firstColumn="1" w:lastColumn="0" w:noHBand="0" w:noVBand="1"/>
      </w:tblPr>
      <w:tblGrid>
        <w:gridCol w:w="1465"/>
        <w:gridCol w:w="1586"/>
        <w:gridCol w:w="353"/>
        <w:gridCol w:w="1522"/>
        <w:gridCol w:w="1297"/>
        <w:gridCol w:w="1254"/>
        <w:gridCol w:w="1922"/>
        <w:gridCol w:w="2758"/>
        <w:gridCol w:w="850"/>
        <w:gridCol w:w="1166"/>
      </w:tblGrid>
      <w:tr w:rsidR="00DE2F8A" w:rsidRPr="00DE2F8A" w:rsidTr="00DE2F8A">
        <w:trPr>
          <w:jc w:val="center"/>
        </w:trPr>
        <w:tc>
          <w:tcPr>
            <w:tcW w:w="1465" w:type="dxa"/>
            <w:vMerge w:val="restart"/>
            <w:tcBorders>
              <w:top w:val="single" w:sz="12" w:space="0" w:color="auto"/>
              <w:left w:val="nil"/>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b/>
                <w:bCs/>
                <w:kern w:val="0"/>
                <w:sz w:val="21"/>
                <w:szCs w:val="21"/>
              </w:rPr>
            </w:pPr>
            <w:r w:rsidRPr="00DE2F8A">
              <w:rPr>
                <w:rFonts w:ascii="宋体" w:hAnsi="宋体" w:cs="Times New Roman" w:hint="eastAsia"/>
                <w:b/>
                <w:bCs/>
                <w:sz w:val="21"/>
                <w:szCs w:val="21"/>
              </w:rPr>
              <w:t>环境要素</w:t>
            </w:r>
          </w:p>
        </w:tc>
        <w:tc>
          <w:tcPr>
            <w:tcW w:w="1939" w:type="dxa"/>
            <w:gridSpan w:val="2"/>
            <w:vMerge w:val="restart"/>
            <w:tcBorders>
              <w:top w:val="single" w:sz="12"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b/>
                <w:bCs/>
                <w:sz w:val="21"/>
                <w:szCs w:val="21"/>
              </w:rPr>
            </w:pPr>
            <w:r w:rsidRPr="00DE2F8A">
              <w:rPr>
                <w:rFonts w:ascii="宋体" w:hAnsi="宋体" w:cs="Times New Roman" w:hint="eastAsia"/>
                <w:b/>
                <w:bCs/>
                <w:sz w:val="21"/>
                <w:szCs w:val="21"/>
              </w:rPr>
              <w:t>名称</w:t>
            </w:r>
          </w:p>
        </w:tc>
        <w:tc>
          <w:tcPr>
            <w:tcW w:w="2819" w:type="dxa"/>
            <w:gridSpan w:val="2"/>
            <w:tcBorders>
              <w:top w:val="single" w:sz="12"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b/>
                <w:bCs/>
                <w:sz w:val="21"/>
                <w:szCs w:val="21"/>
              </w:rPr>
            </w:pPr>
            <w:r w:rsidRPr="00DE2F8A">
              <w:rPr>
                <w:rFonts w:ascii="宋体" w:hAnsi="宋体" w:cs="Times New Roman" w:hint="eastAsia"/>
                <w:b/>
                <w:bCs/>
                <w:sz w:val="21"/>
                <w:szCs w:val="21"/>
              </w:rPr>
              <w:t>坐标</w:t>
            </w:r>
            <w:r w:rsidRPr="00DE2F8A">
              <w:rPr>
                <w:rFonts w:ascii="Times New Roman" w:hAnsi="Times New Roman" w:cs="Times New Roman" w:hint="eastAsia"/>
                <w:b/>
                <w:bCs/>
                <w:sz w:val="21"/>
                <w:szCs w:val="21"/>
              </w:rPr>
              <w:t>/m</w:t>
            </w:r>
          </w:p>
        </w:tc>
        <w:tc>
          <w:tcPr>
            <w:tcW w:w="1254" w:type="dxa"/>
            <w:vMerge w:val="restart"/>
            <w:tcBorders>
              <w:top w:val="single" w:sz="12"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b/>
                <w:bCs/>
                <w:sz w:val="21"/>
                <w:szCs w:val="21"/>
              </w:rPr>
            </w:pPr>
            <w:r w:rsidRPr="00DE2F8A">
              <w:rPr>
                <w:rFonts w:ascii="宋体" w:hAnsi="宋体" w:cs="Times New Roman" w:hint="eastAsia"/>
                <w:b/>
                <w:bCs/>
                <w:sz w:val="21"/>
                <w:szCs w:val="21"/>
              </w:rPr>
              <w:t>保护对象</w:t>
            </w:r>
          </w:p>
        </w:tc>
        <w:tc>
          <w:tcPr>
            <w:tcW w:w="1922" w:type="dxa"/>
            <w:vMerge w:val="restart"/>
            <w:tcBorders>
              <w:top w:val="single" w:sz="12"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b/>
                <w:bCs/>
                <w:sz w:val="21"/>
                <w:szCs w:val="21"/>
              </w:rPr>
            </w:pPr>
            <w:r w:rsidRPr="00DE2F8A">
              <w:rPr>
                <w:rFonts w:ascii="宋体" w:hAnsi="宋体" w:cs="Times New Roman" w:hint="eastAsia"/>
                <w:b/>
                <w:bCs/>
                <w:sz w:val="21"/>
                <w:szCs w:val="21"/>
              </w:rPr>
              <w:t>保护内容</w:t>
            </w:r>
          </w:p>
        </w:tc>
        <w:tc>
          <w:tcPr>
            <w:tcW w:w="2758" w:type="dxa"/>
            <w:vMerge w:val="restart"/>
            <w:tcBorders>
              <w:top w:val="single" w:sz="12"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b/>
                <w:bCs/>
                <w:sz w:val="21"/>
                <w:szCs w:val="21"/>
              </w:rPr>
            </w:pPr>
            <w:r w:rsidRPr="00DE2F8A">
              <w:rPr>
                <w:rFonts w:ascii="宋体" w:hAnsi="宋体" w:cs="Times New Roman" w:hint="eastAsia"/>
                <w:b/>
                <w:bCs/>
                <w:sz w:val="21"/>
                <w:szCs w:val="21"/>
              </w:rPr>
              <w:t>环境功能区</w:t>
            </w:r>
          </w:p>
        </w:tc>
        <w:tc>
          <w:tcPr>
            <w:tcW w:w="850" w:type="dxa"/>
            <w:vMerge w:val="restart"/>
            <w:tcBorders>
              <w:top w:val="single" w:sz="12"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b/>
                <w:bCs/>
                <w:sz w:val="21"/>
                <w:szCs w:val="21"/>
              </w:rPr>
            </w:pPr>
            <w:r w:rsidRPr="00DE2F8A">
              <w:rPr>
                <w:rFonts w:ascii="宋体" w:hAnsi="宋体" w:cs="Times New Roman" w:hint="eastAsia"/>
                <w:b/>
                <w:bCs/>
                <w:sz w:val="21"/>
                <w:szCs w:val="21"/>
              </w:rPr>
              <w:t>相对厂址方位</w:t>
            </w:r>
          </w:p>
        </w:tc>
        <w:tc>
          <w:tcPr>
            <w:tcW w:w="1166" w:type="dxa"/>
            <w:vMerge w:val="restart"/>
            <w:tcBorders>
              <w:top w:val="single" w:sz="12" w:space="0" w:color="auto"/>
              <w:left w:val="single" w:sz="4" w:space="0" w:color="auto"/>
              <w:bottom w:val="single" w:sz="4" w:space="0" w:color="auto"/>
              <w:right w:val="nil"/>
            </w:tcBorders>
            <w:vAlign w:val="center"/>
            <w:hideMark/>
          </w:tcPr>
          <w:p w:rsidR="00DE2F8A" w:rsidRPr="00DE2F8A" w:rsidRDefault="00DE2F8A" w:rsidP="00DE2F8A">
            <w:pPr>
              <w:pStyle w:val="afffffff2"/>
              <w:autoSpaceDE w:val="0"/>
              <w:rPr>
                <w:rFonts w:ascii="Times New Roman" w:hAnsi="Times New Roman" w:cs="Times New Roman"/>
                <w:b/>
                <w:bCs/>
                <w:sz w:val="21"/>
                <w:szCs w:val="21"/>
              </w:rPr>
            </w:pPr>
            <w:r w:rsidRPr="00DE2F8A">
              <w:rPr>
                <w:rFonts w:ascii="宋体" w:hAnsi="宋体" w:cs="Times New Roman" w:hint="eastAsia"/>
                <w:b/>
                <w:bCs/>
                <w:sz w:val="21"/>
                <w:szCs w:val="21"/>
              </w:rPr>
              <w:t>相对厂界距离</w:t>
            </w:r>
            <w:r w:rsidRPr="00DE2F8A">
              <w:rPr>
                <w:rFonts w:ascii="Times New Roman" w:hAnsi="Times New Roman" w:cs="Times New Roman" w:hint="eastAsia"/>
                <w:b/>
                <w:bCs/>
                <w:sz w:val="21"/>
                <w:szCs w:val="21"/>
              </w:rPr>
              <w:t>/m</w:t>
            </w:r>
          </w:p>
        </w:tc>
      </w:tr>
      <w:tr w:rsidR="00DE2F8A" w:rsidRPr="00DE2F8A" w:rsidTr="00C31861">
        <w:trPr>
          <w:jc w:val="center"/>
        </w:trPr>
        <w:tc>
          <w:tcPr>
            <w:tcW w:w="1465" w:type="dxa"/>
            <w:vMerge/>
            <w:tcBorders>
              <w:top w:val="single" w:sz="12" w:space="0" w:color="auto"/>
              <w:left w:val="nil"/>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b/>
                <w:bCs/>
                <w:spacing w:val="-2"/>
                <w:kern w:val="0"/>
                <w:sz w:val="21"/>
                <w:szCs w:val="21"/>
              </w:rPr>
            </w:pPr>
          </w:p>
        </w:tc>
        <w:tc>
          <w:tcPr>
            <w:tcW w:w="1939" w:type="dxa"/>
            <w:gridSpan w:val="2"/>
            <w:vMerge/>
            <w:tcBorders>
              <w:top w:val="single" w:sz="12"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b/>
                <w:bCs/>
                <w:spacing w:val="-2"/>
                <w:kern w:val="0"/>
                <w:sz w:val="21"/>
                <w:szCs w:val="21"/>
              </w:rPr>
            </w:pPr>
          </w:p>
        </w:tc>
        <w:tc>
          <w:tcPr>
            <w:tcW w:w="15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b/>
                <w:bCs/>
                <w:sz w:val="21"/>
                <w:szCs w:val="21"/>
              </w:rPr>
            </w:pPr>
            <w:r w:rsidRPr="00DE2F8A">
              <w:rPr>
                <w:rFonts w:ascii="Times New Roman" w:hAnsi="Times New Roman" w:cs="Times New Roman" w:hint="eastAsia"/>
                <w:b/>
                <w:bCs/>
                <w:sz w:val="21"/>
                <w:szCs w:val="21"/>
              </w:rPr>
              <w:t>X</w:t>
            </w:r>
          </w:p>
        </w:tc>
        <w:tc>
          <w:tcPr>
            <w:tcW w:w="1297"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b/>
                <w:bCs/>
                <w:sz w:val="21"/>
                <w:szCs w:val="21"/>
              </w:rPr>
            </w:pPr>
            <w:r w:rsidRPr="00DE2F8A">
              <w:rPr>
                <w:rFonts w:ascii="Times New Roman" w:hAnsi="Times New Roman" w:cs="Times New Roman" w:hint="eastAsia"/>
                <w:b/>
                <w:bCs/>
                <w:sz w:val="21"/>
                <w:szCs w:val="21"/>
              </w:rPr>
              <w:t>Y</w:t>
            </w:r>
          </w:p>
        </w:tc>
        <w:tc>
          <w:tcPr>
            <w:tcW w:w="1254" w:type="dxa"/>
            <w:vMerge/>
            <w:tcBorders>
              <w:top w:val="single" w:sz="12"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b/>
                <w:bCs/>
                <w:spacing w:val="-2"/>
                <w:kern w:val="0"/>
                <w:sz w:val="21"/>
                <w:szCs w:val="21"/>
              </w:rPr>
            </w:pPr>
          </w:p>
        </w:tc>
        <w:tc>
          <w:tcPr>
            <w:tcW w:w="1922" w:type="dxa"/>
            <w:vMerge/>
            <w:tcBorders>
              <w:top w:val="single" w:sz="12"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b/>
                <w:bCs/>
                <w:spacing w:val="-2"/>
                <w:kern w:val="0"/>
                <w:sz w:val="21"/>
                <w:szCs w:val="21"/>
              </w:rPr>
            </w:pPr>
          </w:p>
        </w:tc>
        <w:tc>
          <w:tcPr>
            <w:tcW w:w="2758" w:type="dxa"/>
            <w:vMerge/>
            <w:tcBorders>
              <w:top w:val="single" w:sz="12"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b/>
                <w:bCs/>
                <w:spacing w:val="-2"/>
                <w:kern w:val="0"/>
                <w:sz w:val="21"/>
                <w:szCs w:val="21"/>
              </w:rPr>
            </w:pPr>
          </w:p>
        </w:tc>
        <w:tc>
          <w:tcPr>
            <w:tcW w:w="850" w:type="dxa"/>
            <w:vMerge/>
            <w:tcBorders>
              <w:top w:val="single" w:sz="12"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b/>
                <w:bCs/>
                <w:spacing w:val="-2"/>
                <w:kern w:val="0"/>
                <w:sz w:val="21"/>
                <w:szCs w:val="21"/>
              </w:rPr>
            </w:pPr>
          </w:p>
        </w:tc>
        <w:tc>
          <w:tcPr>
            <w:tcW w:w="1166" w:type="dxa"/>
            <w:vMerge/>
            <w:tcBorders>
              <w:top w:val="single" w:sz="12" w:space="0" w:color="auto"/>
              <w:left w:val="single" w:sz="4" w:space="0" w:color="auto"/>
              <w:bottom w:val="single" w:sz="4" w:space="0" w:color="auto"/>
              <w:right w:val="nil"/>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b/>
                <w:bCs/>
                <w:spacing w:val="-2"/>
                <w:kern w:val="0"/>
                <w:sz w:val="21"/>
                <w:szCs w:val="21"/>
              </w:rPr>
            </w:pPr>
          </w:p>
        </w:tc>
      </w:tr>
      <w:tr w:rsidR="00DE2F8A" w:rsidRPr="00DE2F8A" w:rsidTr="00DE2F8A">
        <w:trPr>
          <w:jc w:val="center"/>
        </w:trPr>
        <w:tc>
          <w:tcPr>
            <w:tcW w:w="1465" w:type="dxa"/>
            <w:vMerge w:val="restart"/>
            <w:tcBorders>
              <w:top w:val="single" w:sz="4" w:space="0" w:color="auto"/>
              <w:left w:val="nil"/>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大气环境</w:t>
            </w:r>
          </w:p>
        </w:tc>
        <w:tc>
          <w:tcPr>
            <w:tcW w:w="1939" w:type="dxa"/>
            <w:gridSpan w:val="2"/>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汤陈村</w:t>
            </w:r>
          </w:p>
        </w:tc>
        <w:tc>
          <w:tcPr>
            <w:tcW w:w="15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-1954</w:t>
            </w:r>
          </w:p>
        </w:tc>
        <w:tc>
          <w:tcPr>
            <w:tcW w:w="1297"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-1257</w:t>
            </w:r>
          </w:p>
        </w:tc>
        <w:tc>
          <w:tcPr>
            <w:tcW w:w="1254"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居民区</w:t>
            </w:r>
          </w:p>
        </w:tc>
        <w:tc>
          <w:tcPr>
            <w:tcW w:w="19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kern w:val="0"/>
                <w:sz w:val="21"/>
                <w:szCs w:val="21"/>
              </w:rPr>
            </w:pPr>
            <w:r w:rsidRPr="00DE2F8A">
              <w:rPr>
                <w:rFonts w:ascii="Times New Roman" w:hAnsi="Times New Roman" w:cs="Times New Roman" w:hint="eastAsia"/>
                <w:sz w:val="21"/>
                <w:szCs w:val="21"/>
              </w:rPr>
              <w:t>680</w:t>
            </w:r>
            <w:r w:rsidRPr="00DE2F8A">
              <w:rPr>
                <w:rFonts w:ascii="宋体" w:hAnsi="宋体" w:cs="Times New Roman" w:hint="eastAsia"/>
                <w:sz w:val="21"/>
                <w:szCs w:val="21"/>
              </w:rPr>
              <w:t>户</w:t>
            </w:r>
            <w:r w:rsidRPr="00DE2F8A">
              <w:rPr>
                <w:rFonts w:ascii="Times New Roman" w:hAnsi="Times New Roman" w:cs="Times New Roman" w:hint="eastAsia"/>
                <w:sz w:val="21"/>
                <w:szCs w:val="21"/>
              </w:rPr>
              <w:t>/2176</w:t>
            </w:r>
            <w:r w:rsidRPr="00DE2F8A">
              <w:rPr>
                <w:rFonts w:ascii="宋体" w:hAnsi="宋体" w:cs="Times New Roman" w:hint="eastAsia"/>
                <w:sz w:val="21"/>
                <w:szCs w:val="21"/>
              </w:rPr>
              <w:t>人</w:t>
            </w:r>
          </w:p>
        </w:tc>
        <w:tc>
          <w:tcPr>
            <w:tcW w:w="2758" w:type="dxa"/>
            <w:vMerge w:val="restart"/>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《环境空气质量标准》（</w:t>
            </w:r>
            <w:r w:rsidRPr="00DE2F8A">
              <w:rPr>
                <w:rFonts w:ascii="Times New Roman" w:hAnsi="Times New Roman" w:cs="Times New Roman" w:hint="eastAsia"/>
                <w:sz w:val="21"/>
                <w:szCs w:val="21"/>
              </w:rPr>
              <w:t>GB3095-2012</w:t>
            </w:r>
            <w:r w:rsidRPr="00DE2F8A">
              <w:rPr>
                <w:rFonts w:ascii="宋体" w:hAnsi="宋体" w:cs="Times New Roman" w:hint="eastAsia"/>
                <w:sz w:val="21"/>
                <w:szCs w:val="21"/>
              </w:rPr>
              <w:t>）二级标准及</w:t>
            </w:r>
            <w:r w:rsidRPr="00DE2F8A">
              <w:rPr>
                <w:rFonts w:ascii="宋体" w:hAnsi="宋体" w:cs="Times New Roman"/>
                <w:sz w:val="21"/>
                <w:szCs w:val="21"/>
              </w:rPr>
              <w:t>修改单</w:t>
            </w: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SW</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2342</w:t>
            </w:r>
          </w:p>
        </w:tc>
      </w:tr>
      <w:tr w:rsidR="00DE2F8A" w:rsidRPr="00DE2F8A" w:rsidTr="00DE2F8A">
        <w:trPr>
          <w:jc w:val="center"/>
        </w:trPr>
        <w:tc>
          <w:tcPr>
            <w:tcW w:w="1465" w:type="dxa"/>
            <w:vMerge/>
            <w:tcBorders>
              <w:top w:val="single" w:sz="4" w:space="0" w:color="auto"/>
              <w:left w:val="nil"/>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1939" w:type="dxa"/>
            <w:gridSpan w:val="2"/>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汤家</w:t>
            </w:r>
          </w:p>
        </w:tc>
        <w:tc>
          <w:tcPr>
            <w:tcW w:w="15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-1870</w:t>
            </w:r>
          </w:p>
        </w:tc>
        <w:tc>
          <w:tcPr>
            <w:tcW w:w="1297"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-1641</w:t>
            </w:r>
          </w:p>
        </w:tc>
        <w:tc>
          <w:tcPr>
            <w:tcW w:w="1254"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居民区</w:t>
            </w:r>
          </w:p>
        </w:tc>
        <w:tc>
          <w:tcPr>
            <w:tcW w:w="19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kern w:val="0"/>
                <w:sz w:val="21"/>
                <w:szCs w:val="21"/>
              </w:rPr>
            </w:pPr>
            <w:r w:rsidRPr="00DE2F8A">
              <w:rPr>
                <w:rFonts w:ascii="Times New Roman" w:hAnsi="Times New Roman" w:cs="Times New Roman" w:hint="eastAsia"/>
                <w:sz w:val="21"/>
                <w:szCs w:val="21"/>
              </w:rPr>
              <w:t>31</w:t>
            </w:r>
            <w:r w:rsidRPr="00DE2F8A">
              <w:rPr>
                <w:rFonts w:ascii="宋体" w:hAnsi="宋体" w:cs="Times New Roman" w:hint="eastAsia"/>
                <w:sz w:val="21"/>
                <w:szCs w:val="21"/>
              </w:rPr>
              <w:t>户</w:t>
            </w:r>
            <w:r w:rsidRPr="00DE2F8A">
              <w:rPr>
                <w:rFonts w:ascii="Times New Roman" w:hAnsi="Times New Roman" w:cs="Times New Roman" w:hint="eastAsia"/>
                <w:sz w:val="21"/>
                <w:szCs w:val="21"/>
              </w:rPr>
              <w:t>/99</w:t>
            </w:r>
            <w:r w:rsidRPr="00DE2F8A">
              <w:rPr>
                <w:rFonts w:ascii="宋体" w:hAnsi="宋体" w:cs="Times New Roman" w:hint="eastAsia"/>
                <w:sz w:val="21"/>
                <w:szCs w:val="21"/>
              </w:rPr>
              <w:t>人</w:t>
            </w:r>
          </w:p>
        </w:tc>
        <w:tc>
          <w:tcPr>
            <w:tcW w:w="2758" w:type="dxa"/>
            <w:vMerge/>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SW</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2487</w:t>
            </w:r>
          </w:p>
        </w:tc>
      </w:tr>
      <w:tr w:rsidR="00DE2F8A" w:rsidRPr="00DE2F8A" w:rsidTr="00DE2F8A">
        <w:trPr>
          <w:jc w:val="center"/>
        </w:trPr>
        <w:tc>
          <w:tcPr>
            <w:tcW w:w="1465" w:type="dxa"/>
            <w:vMerge/>
            <w:tcBorders>
              <w:top w:val="single" w:sz="4" w:space="0" w:color="auto"/>
              <w:left w:val="nil"/>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1939" w:type="dxa"/>
            <w:gridSpan w:val="2"/>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陈巷</w:t>
            </w:r>
          </w:p>
        </w:tc>
        <w:tc>
          <w:tcPr>
            <w:tcW w:w="15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-1187</w:t>
            </w:r>
          </w:p>
        </w:tc>
        <w:tc>
          <w:tcPr>
            <w:tcW w:w="1297"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-2200</w:t>
            </w:r>
          </w:p>
        </w:tc>
        <w:tc>
          <w:tcPr>
            <w:tcW w:w="1254"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居民区</w:t>
            </w:r>
          </w:p>
        </w:tc>
        <w:tc>
          <w:tcPr>
            <w:tcW w:w="19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kern w:val="0"/>
                <w:sz w:val="21"/>
                <w:szCs w:val="21"/>
              </w:rPr>
            </w:pPr>
            <w:r w:rsidRPr="00DE2F8A">
              <w:rPr>
                <w:rFonts w:ascii="Times New Roman" w:hAnsi="Times New Roman" w:cs="Times New Roman" w:hint="eastAsia"/>
                <w:sz w:val="21"/>
                <w:szCs w:val="21"/>
              </w:rPr>
              <w:t>590</w:t>
            </w:r>
            <w:r w:rsidRPr="00DE2F8A">
              <w:rPr>
                <w:rFonts w:ascii="宋体" w:hAnsi="宋体" w:cs="Times New Roman" w:hint="eastAsia"/>
                <w:sz w:val="21"/>
                <w:szCs w:val="21"/>
              </w:rPr>
              <w:t>户</w:t>
            </w:r>
            <w:r w:rsidRPr="00DE2F8A">
              <w:rPr>
                <w:rFonts w:ascii="Times New Roman" w:hAnsi="Times New Roman" w:cs="Times New Roman" w:hint="eastAsia"/>
                <w:sz w:val="21"/>
                <w:szCs w:val="21"/>
              </w:rPr>
              <w:t>/1888</w:t>
            </w:r>
            <w:r w:rsidRPr="00DE2F8A">
              <w:rPr>
                <w:rFonts w:ascii="宋体" w:hAnsi="宋体" w:cs="Times New Roman" w:hint="eastAsia"/>
                <w:sz w:val="21"/>
                <w:szCs w:val="21"/>
              </w:rPr>
              <w:t>人</w:t>
            </w:r>
          </w:p>
        </w:tc>
        <w:tc>
          <w:tcPr>
            <w:tcW w:w="2758" w:type="dxa"/>
            <w:vMerge/>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SW</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2500</w:t>
            </w:r>
          </w:p>
        </w:tc>
      </w:tr>
      <w:tr w:rsidR="00DE2F8A" w:rsidRPr="00DE2F8A" w:rsidTr="00DE2F8A">
        <w:trPr>
          <w:jc w:val="center"/>
        </w:trPr>
        <w:tc>
          <w:tcPr>
            <w:tcW w:w="1465" w:type="dxa"/>
            <w:vMerge/>
            <w:tcBorders>
              <w:top w:val="single" w:sz="4" w:space="0" w:color="auto"/>
              <w:left w:val="nil"/>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1939" w:type="dxa"/>
            <w:gridSpan w:val="2"/>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李洼</w:t>
            </w:r>
          </w:p>
        </w:tc>
        <w:tc>
          <w:tcPr>
            <w:tcW w:w="15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-1821</w:t>
            </w:r>
          </w:p>
        </w:tc>
        <w:tc>
          <w:tcPr>
            <w:tcW w:w="1297"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1736</w:t>
            </w:r>
          </w:p>
        </w:tc>
        <w:tc>
          <w:tcPr>
            <w:tcW w:w="1254"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居民区</w:t>
            </w:r>
          </w:p>
        </w:tc>
        <w:tc>
          <w:tcPr>
            <w:tcW w:w="19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kern w:val="0"/>
                <w:sz w:val="21"/>
                <w:szCs w:val="21"/>
              </w:rPr>
            </w:pPr>
            <w:r w:rsidRPr="00DE2F8A">
              <w:rPr>
                <w:rFonts w:ascii="Times New Roman" w:hAnsi="Times New Roman" w:cs="Times New Roman" w:hint="eastAsia"/>
                <w:sz w:val="21"/>
                <w:szCs w:val="21"/>
              </w:rPr>
              <w:t>23</w:t>
            </w:r>
            <w:r w:rsidRPr="00DE2F8A">
              <w:rPr>
                <w:rFonts w:ascii="宋体" w:hAnsi="宋体" w:cs="Times New Roman" w:hint="eastAsia"/>
                <w:sz w:val="21"/>
                <w:szCs w:val="21"/>
              </w:rPr>
              <w:t>户</w:t>
            </w:r>
            <w:r w:rsidRPr="00DE2F8A">
              <w:rPr>
                <w:rFonts w:ascii="Times New Roman" w:hAnsi="Times New Roman" w:cs="Times New Roman" w:hint="eastAsia"/>
                <w:sz w:val="21"/>
                <w:szCs w:val="21"/>
              </w:rPr>
              <w:t>/74</w:t>
            </w:r>
            <w:r w:rsidRPr="00DE2F8A">
              <w:rPr>
                <w:rFonts w:ascii="宋体" w:hAnsi="宋体" w:cs="Times New Roman" w:hint="eastAsia"/>
                <w:sz w:val="21"/>
                <w:szCs w:val="21"/>
              </w:rPr>
              <w:t>人</w:t>
            </w:r>
          </w:p>
        </w:tc>
        <w:tc>
          <w:tcPr>
            <w:tcW w:w="2758" w:type="dxa"/>
            <w:vMerge/>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NW</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2165</w:t>
            </w:r>
          </w:p>
        </w:tc>
      </w:tr>
      <w:tr w:rsidR="00DE2F8A" w:rsidRPr="00DE2F8A" w:rsidTr="00DE2F8A">
        <w:trPr>
          <w:jc w:val="center"/>
        </w:trPr>
        <w:tc>
          <w:tcPr>
            <w:tcW w:w="1465" w:type="dxa"/>
            <w:vMerge/>
            <w:tcBorders>
              <w:top w:val="single" w:sz="4" w:space="0" w:color="auto"/>
              <w:left w:val="nil"/>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1939" w:type="dxa"/>
            <w:gridSpan w:val="2"/>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丽豪佳园</w:t>
            </w:r>
          </w:p>
        </w:tc>
        <w:tc>
          <w:tcPr>
            <w:tcW w:w="15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-2116</w:t>
            </w:r>
          </w:p>
        </w:tc>
        <w:tc>
          <w:tcPr>
            <w:tcW w:w="1297"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1069</w:t>
            </w:r>
          </w:p>
        </w:tc>
        <w:tc>
          <w:tcPr>
            <w:tcW w:w="1254"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居民区</w:t>
            </w:r>
          </w:p>
        </w:tc>
        <w:tc>
          <w:tcPr>
            <w:tcW w:w="19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kern w:val="0"/>
                <w:sz w:val="21"/>
                <w:szCs w:val="21"/>
              </w:rPr>
            </w:pPr>
            <w:r w:rsidRPr="00DE2F8A">
              <w:rPr>
                <w:rFonts w:ascii="Times New Roman" w:hAnsi="Times New Roman" w:cs="Times New Roman" w:hint="eastAsia"/>
                <w:sz w:val="21"/>
                <w:szCs w:val="21"/>
              </w:rPr>
              <w:t>300</w:t>
            </w:r>
            <w:r w:rsidRPr="00DE2F8A">
              <w:rPr>
                <w:rFonts w:ascii="宋体" w:hAnsi="宋体" w:cs="Times New Roman" w:hint="eastAsia"/>
                <w:sz w:val="21"/>
                <w:szCs w:val="21"/>
              </w:rPr>
              <w:t>户</w:t>
            </w:r>
            <w:r w:rsidRPr="00DE2F8A">
              <w:rPr>
                <w:rFonts w:ascii="Times New Roman" w:hAnsi="Times New Roman" w:cs="Times New Roman" w:hint="eastAsia"/>
                <w:sz w:val="21"/>
                <w:szCs w:val="21"/>
              </w:rPr>
              <w:t>/960</w:t>
            </w:r>
            <w:r w:rsidRPr="00DE2F8A">
              <w:rPr>
                <w:rFonts w:ascii="宋体" w:hAnsi="宋体" w:cs="Times New Roman" w:hint="eastAsia"/>
                <w:sz w:val="21"/>
                <w:szCs w:val="21"/>
              </w:rPr>
              <w:t>人</w:t>
            </w:r>
          </w:p>
        </w:tc>
        <w:tc>
          <w:tcPr>
            <w:tcW w:w="2758" w:type="dxa"/>
            <w:vMerge/>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NW</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2175</w:t>
            </w:r>
          </w:p>
        </w:tc>
      </w:tr>
      <w:tr w:rsidR="00DE2F8A" w:rsidRPr="00DE2F8A" w:rsidTr="00DE2F8A">
        <w:trPr>
          <w:jc w:val="center"/>
        </w:trPr>
        <w:tc>
          <w:tcPr>
            <w:tcW w:w="1465" w:type="dxa"/>
            <w:vMerge/>
            <w:tcBorders>
              <w:top w:val="single" w:sz="4" w:space="0" w:color="auto"/>
              <w:left w:val="nil"/>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1939" w:type="dxa"/>
            <w:gridSpan w:val="2"/>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三铺村</w:t>
            </w:r>
          </w:p>
        </w:tc>
        <w:tc>
          <w:tcPr>
            <w:tcW w:w="15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0</w:t>
            </w:r>
          </w:p>
        </w:tc>
        <w:tc>
          <w:tcPr>
            <w:tcW w:w="1297"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1248</w:t>
            </w:r>
          </w:p>
        </w:tc>
        <w:tc>
          <w:tcPr>
            <w:tcW w:w="1254"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居民区</w:t>
            </w:r>
          </w:p>
        </w:tc>
        <w:tc>
          <w:tcPr>
            <w:tcW w:w="19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kern w:val="0"/>
                <w:sz w:val="21"/>
                <w:szCs w:val="21"/>
              </w:rPr>
            </w:pPr>
            <w:r w:rsidRPr="00DE2F8A">
              <w:rPr>
                <w:rFonts w:ascii="Times New Roman" w:hAnsi="Times New Roman" w:cs="Times New Roman" w:hint="eastAsia"/>
                <w:sz w:val="21"/>
                <w:szCs w:val="21"/>
              </w:rPr>
              <w:t>1056</w:t>
            </w:r>
            <w:r w:rsidRPr="00DE2F8A">
              <w:rPr>
                <w:rFonts w:ascii="宋体" w:hAnsi="宋体" w:cs="Times New Roman" w:hint="eastAsia"/>
                <w:sz w:val="21"/>
                <w:szCs w:val="21"/>
              </w:rPr>
              <w:t>户</w:t>
            </w:r>
            <w:r w:rsidRPr="00DE2F8A">
              <w:rPr>
                <w:rFonts w:ascii="Times New Roman" w:hAnsi="Times New Roman" w:cs="Times New Roman" w:hint="eastAsia"/>
                <w:sz w:val="21"/>
                <w:szCs w:val="21"/>
              </w:rPr>
              <w:t>/3379</w:t>
            </w:r>
            <w:r w:rsidRPr="00DE2F8A">
              <w:rPr>
                <w:rFonts w:ascii="宋体" w:hAnsi="宋体" w:cs="Times New Roman" w:hint="eastAsia"/>
                <w:sz w:val="21"/>
                <w:szCs w:val="21"/>
              </w:rPr>
              <w:t>人</w:t>
            </w:r>
          </w:p>
        </w:tc>
        <w:tc>
          <w:tcPr>
            <w:tcW w:w="2758" w:type="dxa"/>
            <w:vMerge/>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N</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683</w:t>
            </w:r>
          </w:p>
        </w:tc>
      </w:tr>
      <w:tr w:rsidR="00DE2F8A" w:rsidRPr="00DE2F8A" w:rsidTr="00DE2F8A">
        <w:trPr>
          <w:jc w:val="center"/>
        </w:trPr>
        <w:tc>
          <w:tcPr>
            <w:tcW w:w="1465" w:type="dxa"/>
            <w:vMerge/>
            <w:tcBorders>
              <w:top w:val="single" w:sz="4" w:space="0" w:color="auto"/>
              <w:left w:val="nil"/>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1939" w:type="dxa"/>
            <w:gridSpan w:val="2"/>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三铺小学</w:t>
            </w:r>
          </w:p>
        </w:tc>
        <w:tc>
          <w:tcPr>
            <w:tcW w:w="15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132</w:t>
            </w:r>
          </w:p>
        </w:tc>
        <w:tc>
          <w:tcPr>
            <w:tcW w:w="1297"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2209</w:t>
            </w:r>
          </w:p>
        </w:tc>
        <w:tc>
          <w:tcPr>
            <w:tcW w:w="1254"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学校</w:t>
            </w:r>
          </w:p>
        </w:tc>
        <w:tc>
          <w:tcPr>
            <w:tcW w:w="19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kern w:val="0"/>
                <w:sz w:val="21"/>
                <w:szCs w:val="21"/>
              </w:rPr>
            </w:pPr>
            <w:r w:rsidRPr="00DE2F8A">
              <w:rPr>
                <w:rFonts w:ascii="宋体" w:hAnsi="宋体" w:cs="Times New Roman" w:hint="eastAsia"/>
                <w:sz w:val="21"/>
                <w:szCs w:val="21"/>
              </w:rPr>
              <w:t>约</w:t>
            </w:r>
            <w:r w:rsidRPr="00DE2F8A">
              <w:rPr>
                <w:rFonts w:ascii="Times New Roman" w:hAnsi="Times New Roman" w:cs="Times New Roman" w:hint="eastAsia"/>
                <w:sz w:val="21"/>
                <w:szCs w:val="21"/>
              </w:rPr>
              <w:t>850</w:t>
            </w:r>
            <w:r w:rsidRPr="00DE2F8A">
              <w:rPr>
                <w:rFonts w:ascii="宋体" w:hAnsi="宋体" w:cs="Times New Roman" w:hint="eastAsia"/>
                <w:sz w:val="21"/>
                <w:szCs w:val="21"/>
              </w:rPr>
              <w:t>师生</w:t>
            </w:r>
          </w:p>
        </w:tc>
        <w:tc>
          <w:tcPr>
            <w:tcW w:w="2758" w:type="dxa"/>
            <w:vMerge/>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N</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1663</w:t>
            </w:r>
          </w:p>
        </w:tc>
      </w:tr>
      <w:tr w:rsidR="00DE2F8A" w:rsidRPr="00DE2F8A" w:rsidTr="00DE2F8A">
        <w:trPr>
          <w:jc w:val="center"/>
        </w:trPr>
        <w:tc>
          <w:tcPr>
            <w:tcW w:w="1465" w:type="dxa"/>
            <w:vMerge/>
            <w:tcBorders>
              <w:top w:val="single" w:sz="4" w:space="0" w:color="auto"/>
              <w:left w:val="nil"/>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1939" w:type="dxa"/>
            <w:gridSpan w:val="2"/>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淮上区培英幼儿园</w:t>
            </w:r>
          </w:p>
        </w:tc>
        <w:tc>
          <w:tcPr>
            <w:tcW w:w="15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342</w:t>
            </w:r>
          </w:p>
        </w:tc>
        <w:tc>
          <w:tcPr>
            <w:tcW w:w="1297"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1991</w:t>
            </w:r>
          </w:p>
        </w:tc>
        <w:tc>
          <w:tcPr>
            <w:tcW w:w="1254"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学校</w:t>
            </w:r>
          </w:p>
        </w:tc>
        <w:tc>
          <w:tcPr>
            <w:tcW w:w="19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kern w:val="0"/>
                <w:sz w:val="21"/>
                <w:szCs w:val="21"/>
              </w:rPr>
            </w:pPr>
            <w:r w:rsidRPr="00DE2F8A">
              <w:rPr>
                <w:rFonts w:ascii="宋体" w:hAnsi="宋体" w:cs="Times New Roman" w:hint="eastAsia"/>
                <w:sz w:val="21"/>
                <w:szCs w:val="21"/>
              </w:rPr>
              <w:t>约</w:t>
            </w:r>
            <w:r w:rsidRPr="00DE2F8A">
              <w:rPr>
                <w:rFonts w:ascii="Times New Roman" w:hAnsi="Times New Roman" w:cs="Times New Roman" w:hint="eastAsia"/>
                <w:sz w:val="21"/>
                <w:szCs w:val="21"/>
              </w:rPr>
              <w:t>50</w:t>
            </w:r>
            <w:r w:rsidRPr="00DE2F8A">
              <w:rPr>
                <w:rFonts w:ascii="宋体" w:hAnsi="宋体" w:cs="Times New Roman" w:hint="eastAsia"/>
                <w:sz w:val="21"/>
                <w:szCs w:val="21"/>
              </w:rPr>
              <w:t>师生</w:t>
            </w:r>
          </w:p>
        </w:tc>
        <w:tc>
          <w:tcPr>
            <w:tcW w:w="2758" w:type="dxa"/>
            <w:vMerge/>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N</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1409</w:t>
            </w:r>
          </w:p>
        </w:tc>
      </w:tr>
      <w:tr w:rsidR="00DE2F8A" w:rsidRPr="00DE2F8A" w:rsidTr="00DE2F8A">
        <w:trPr>
          <w:jc w:val="center"/>
        </w:trPr>
        <w:tc>
          <w:tcPr>
            <w:tcW w:w="1465" w:type="dxa"/>
            <w:vMerge/>
            <w:tcBorders>
              <w:top w:val="single" w:sz="4" w:space="0" w:color="auto"/>
              <w:left w:val="nil"/>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1939" w:type="dxa"/>
            <w:gridSpan w:val="2"/>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快乐之星幼儿园</w:t>
            </w:r>
          </w:p>
        </w:tc>
        <w:tc>
          <w:tcPr>
            <w:tcW w:w="15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441</w:t>
            </w:r>
          </w:p>
        </w:tc>
        <w:tc>
          <w:tcPr>
            <w:tcW w:w="1297"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2310</w:t>
            </w:r>
          </w:p>
        </w:tc>
        <w:tc>
          <w:tcPr>
            <w:tcW w:w="1254"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学校</w:t>
            </w:r>
          </w:p>
        </w:tc>
        <w:tc>
          <w:tcPr>
            <w:tcW w:w="19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kern w:val="0"/>
                <w:sz w:val="21"/>
                <w:szCs w:val="21"/>
              </w:rPr>
            </w:pPr>
            <w:r w:rsidRPr="00DE2F8A">
              <w:rPr>
                <w:rFonts w:ascii="宋体" w:hAnsi="宋体" w:cs="Times New Roman" w:hint="eastAsia"/>
                <w:sz w:val="21"/>
                <w:szCs w:val="21"/>
              </w:rPr>
              <w:t>约</w:t>
            </w:r>
            <w:r w:rsidRPr="00DE2F8A">
              <w:rPr>
                <w:rFonts w:ascii="Times New Roman" w:hAnsi="Times New Roman" w:cs="Times New Roman" w:hint="eastAsia"/>
                <w:sz w:val="21"/>
                <w:szCs w:val="21"/>
              </w:rPr>
              <w:t>70</w:t>
            </w:r>
            <w:r w:rsidRPr="00DE2F8A">
              <w:rPr>
                <w:rFonts w:ascii="宋体" w:hAnsi="宋体" w:cs="Times New Roman" w:hint="eastAsia"/>
                <w:sz w:val="21"/>
                <w:szCs w:val="21"/>
              </w:rPr>
              <w:t>师生</w:t>
            </w:r>
          </w:p>
        </w:tc>
        <w:tc>
          <w:tcPr>
            <w:tcW w:w="2758" w:type="dxa"/>
            <w:vMerge/>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NE</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1747</w:t>
            </w:r>
          </w:p>
        </w:tc>
      </w:tr>
      <w:tr w:rsidR="00DE2F8A" w:rsidRPr="00DE2F8A" w:rsidTr="00DE2F8A">
        <w:trPr>
          <w:jc w:val="center"/>
        </w:trPr>
        <w:tc>
          <w:tcPr>
            <w:tcW w:w="1465" w:type="dxa"/>
            <w:vMerge/>
            <w:tcBorders>
              <w:top w:val="single" w:sz="4" w:space="0" w:color="auto"/>
              <w:left w:val="nil"/>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1939" w:type="dxa"/>
            <w:gridSpan w:val="2"/>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sidRPr="00DE2F8A">
              <w:rPr>
                <w:rFonts w:ascii="宋体" w:hAnsi="宋体" w:hint="eastAsia"/>
                <w:kern w:val="0"/>
                <w:sz w:val="21"/>
                <w:szCs w:val="21"/>
              </w:rPr>
              <w:t>三铺中学</w:t>
            </w:r>
          </w:p>
        </w:tc>
        <w:tc>
          <w:tcPr>
            <w:tcW w:w="15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682</w:t>
            </w:r>
          </w:p>
        </w:tc>
        <w:tc>
          <w:tcPr>
            <w:tcW w:w="1297"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1983</w:t>
            </w:r>
          </w:p>
        </w:tc>
        <w:tc>
          <w:tcPr>
            <w:tcW w:w="1254"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学校</w:t>
            </w:r>
          </w:p>
        </w:tc>
        <w:tc>
          <w:tcPr>
            <w:tcW w:w="19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kern w:val="0"/>
                <w:sz w:val="21"/>
                <w:szCs w:val="21"/>
              </w:rPr>
            </w:pPr>
            <w:r w:rsidRPr="00DE2F8A">
              <w:rPr>
                <w:rFonts w:ascii="宋体" w:hAnsi="宋体" w:cs="Times New Roman" w:hint="eastAsia"/>
                <w:sz w:val="21"/>
                <w:szCs w:val="21"/>
              </w:rPr>
              <w:t>约</w:t>
            </w:r>
            <w:r w:rsidRPr="00DE2F8A">
              <w:rPr>
                <w:rFonts w:ascii="Times New Roman" w:hAnsi="Times New Roman" w:cs="Times New Roman" w:hint="eastAsia"/>
                <w:sz w:val="21"/>
                <w:szCs w:val="21"/>
              </w:rPr>
              <w:t>600</w:t>
            </w:r>
            <w:r w:rsidRPr="00DE2F8A">
              <w:rPr>
                <w:rFonts w:ascii="宋体" w:hAnsi="宋体" w:cs="Times New Roman" w:hint="eastAsia"/>
                <w:sz w:val="21"/>
                <w:szCs w:val="21"/>
              </w:rPr>
              <w:t>师生</w:t>
            </w:r>
          </w:p>
        </w:tc>
        <w:tc>
          <w:tcPr>
            <w:tcW w:w="2758" w:type="dxa"/>
            <w:vMerge/>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sidRPr="00DE2F8A">
              <w:rPr>
                <w:rFonts w:ascii="Times New Roman" w:hAnsi="Times New Roman" w:hint="eastAsia"/>
                <w:kern w:val="0"/>
                <w:sz w:val="21"/>
                <w:szCs w:val="21"/>
              </w:rPr>
              <w:t>NE</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sidRPr="00DE2F8A">
              <w:rPr>
                <w:rFonts w:ascii="Times New Roman" w:hAnsi="Times New Roman" w:hint="eastAsia"/>
                <w:kern w:val="0"/>
                <w:sz w:val="21"/>
                <w:szCs w:val="21"/>
              </w:rPr>
              <w:t>1422</w:t>
            </w:r>
          </w:p>
        </w:tc>
      </w:tr>
      <w:tr w:rsidR="00DE2F8A" w:rsidRPr="00DE2F8A" w:rsidTr="00DE2F8A">
        <w:trPr>
          <w:jc w:val="center"/>
        </w:trPr>
        <w:tc>
          <w:tcPr>
            <w:tcW w:w="1465" w:type="dxa"/>
            <w:vMerge/>
            <w:tcBorders>
              <w:top w:val="single" w:sz="4" w:space="0" w:color="auto"/>
              <w:left w:val="nil"/>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1939" w:type="dxa"/>
            <w:gridSpan w:val="2"/>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vertAlign w:val="superscript"/>
              </w:rPr>
            </w:pPr>
            <w:r w:rsidRPr="00DE2F8A">
              <w:rPr>
                <w:rFonts w:ascii="宋体" w:hAnsi="宋体" w:hint="eastAsia"/>
                <w:kern w:val="0"/>
                <w:sz w:val="21"/>
                <w:szCs w:val="21"/>
              </w:rPr>
              <w:t>团结希望小学</w:t>
            </w:r>
          </w:p>
        </w:tc>
        <w:tc>
          <w:tcPr>
            <w:tcW w:w="15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sidRPr="00DE2F8A">
              <w:rPr>
                <w:rFonts w:ascii="Times New Roman" w:hAnsi="Times New Roman" w:hint="eastAsia"/>
                <w:kern w:val="0"/>
                <w:sz w:val="21"/>
                <w:szCs w:val="21"/>
              </w:rPr>
              <w:t>-2383</w:t>
            </w:r>
          </w:p>
        </w:tc>
        <w:tc>
          <w:tcPr>
            <w:tcW w:w="1297"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sidRPr="00DE2F8A">
              <w:rPr>
                <w:rFonts w:ascii="Times New Roman" w:hAnsi="Times New Roman" w:hint="eastAsia"/>
                <w:kern w:val="0"/>
                <w:sz w:val="21"/>
                <w:szCs w:val="21"/>
              </w:rPr>
              <w:t>2366</w:t>
            </w:r>
          </w:p>
        </w:tc>
        <w:tc>
          <w:tcPr>
            <w:tcW w:w="1254"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sidRPr="00DE2F8A">
              <w:rPr>
                <w:rFonts w:ascii="宋体" w:hAnsi="宋体" w:hint="eastAsia"/>
                <w:kern w:val="0"/>
                <w:sz w:val="21"/>
                <w:szCs w:val="21"/>
              </w:rPr>
              <w:t>学校</w:t>
            </w:r>
          </w:p>
        </w:tc>
        <w:tc>
          <w:tcPr>
            <w:tcW w:w="19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kern w:val="0"/>
                <w:sz w:val="21"/>
                <w:szCs w:val="21"/>
              </w:rPr>
            </w:pPr>
            <w:r w:rsidRPr="00DE2F8A">
              <w:rPr>
                <w:rFonts w:ascii="宋体" w:hAnsi="宋体" w:cs="Times New Roman" w:hint="eastAsia"/>
                <w:sz w:val="21"/>
                <w:szCs w:val="21"/>
              </w:rPr>
              <w:t>约</w:t>
            </w:r>
            <w:r w:rsidRPr="00DE2F8A">
              <w:rPr>
                <w:rFonts w:ascii="Times New Roman" w:hAnsi="Times New Roman" w:cs="Times New Roman" w:hint="eastAsia"/>
                <w:sz w:val="21"/>
                <w:szCs w:val="21"/>
              </w:rPr>
              <w:t>270</w:t>
            </w:r>
            <w:r w:rsidRPr="00DE2F8A">
              <w:rPr>
                <w:rFonts w:ascii="宋体" w:hAnsi="宋体" w:cs="Times New Roman" w:hint="eastAsia"/>
                <w:sz w:val="21"/>
                <w:szCs w:val="21"/>
              </w:rPr>
              <w:t>师生</w:t>
            </w:r>
          </w:p>
        </w:tc>
        <w:tc>
          <w:tcPr>
            <w:tcW w:w="2758" w:type="dxa"/>
            <w:vMerge/>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sidRPr="00DE2F8A">
              <w:rPr>
                <w:rFonts w:ascii="Times New Roman" w:hAnsi="Times New Roman" w:hint="eastAsia"/>
                <w:kern w:val="0"/>
                <w:sz w:val="21"/>
                <w:szCs w:val="21"/>
              </w:rPr>
              <w:t>NW</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sidRPr="00DE2F8A">
              <w:rPr>
                <w:rFonts w:ascii="Times New Roman" w:hAnsi="Times New Roman" w:hint="eastAsia"/>
                <w:kern w:val="0"/>
                <w:sz w:val="21"/>
                <w:szCs w:val="21"/>
              </w:rPr>
              <w:t>3102</w:t>
            </w:r>
          </w:p>
        </w:tc>
      </w:tr>
      <w:tr w:rsidR="00DE2F8A" w:rsidRPr="00DE2F8A" w:rsidTr="00DE2F8A">
        <w:trPr>
          <w:jc w:val="center"/>
        </w:trPr>
        <w:tc>
          <w:tcPr>
            <w:tcW w:w="1465" w:type="dxa"/>
            <w:tcBorders>
              <w:top w:val="single" w:sz="4" w:space="0" w:color="auto"/>
              <w:left w:val="nil"/>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kern w:val="0"/>
                <w:sz w:val="21"/>
                <w:szCs w:val="21"/>
              </w:rPr>
            </w:pPr>
            <w:r w:rsidRPr="00DE2F8A">
              <w:rPr>
                <w:rFonts w:ascii="宋体" w:hAnsi="宋体" w:cs="Times New Roman" w:hint="eastAsia"/>
                <w:sz w:val="21"/>
                <w:szCs w:val="21"/>
              </w:rPr>
              <w:t>声环境</w:t>
            </w:r>
          </w:p>
        </w:tc>
        <w:tc>
          <w:tcPr>
            <w:tcW w:w="7934" w:type="dxa"/>
            <w:gridSpan w:val="6"/>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项目周边</w:t>
            </w:r>
            <w:r w:rsidRPr="00DE2F8A">
              <w:rPr>
                <w:rFonts w:ascii="Times New Roman" w:hAnsi="Times New Roman" w:cs="Times New Roman" w:hint="eastAsia"/>
                <w:sz w:val="21"/>
                <w:szCs w:val="21"/>
              </w:rPr>
              <w:t>200</w:t>
            </w:r>
            <w:r w:rsidRPr="00DE2F8A">
              <w:rPr>
                <w:rFonts w:ascii="宋体" w:hAnsi="宋体" w:cs="Times New Roman" w:hint="eastAsia"/>
                <w:sz w:val="21"/>
                <w:szCs w:val="21"/>
              </w:rPr>
              <w:t>米范围内无声环境保护目标</w:t>
            </w:r>
          </w:p>
        </w:tc>
        <w:tc>
          <w:tcPr>
            <w:tcW w:w="2758"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《声环境质量标准》（</w:t>
            </w:r>
            <w:r w:rsidRPr="00DE2F8A">
              <w:rPr>
                <w:rFonts w:ascii="Times New Roman" w:hAnsi="Times New Roman" w:cs="Times New Roman" w:hint="eastAsia"/>
                <w:sz w:val="21"/>
                <w:szCs w:val="21"/>
              </w:rPr>
              <w:t>GB3096-2008</w:t>
            </w:r>
            <w:r w:rsidRPr="00DE2F8A">
              <w:rPr>
                <w:rFonts w:ascii="宋体" w:hAnsi="宋体" w:cs="Times New Roman" w:hint="eastAsia"/>
                <w:sz w:val="21"/>
                <w:szCs w:val="21"/>
              </w:rPr>
              <w:t>）</w:t>
            </w:r>
            <w:r w:rsidRPr="00DE2F8A">
              <w:rPr>
                <w:rFonts w:ascii="Times New Roman" w:hAnsi="Times New Roman" w:cs="Times New Roman" w:hint="eastAsia"/>
                <w:sz w:val="21"/>
                <w:szCs w:val="21"/>
              </w:rPr>
              <w:t>3</w:t>
            </w:r>
            <w:r w:rsidRPr="00DE2F8A">
              <w:rPr>
                <w:rFonts w:ascii="宋体" w:hAnsi="宋体" w:cs="Times New Roman" w:hint="eastAsia"/>
                <w:sz w:val="21"/>
                <w:szCs w:val="21"/>
              </w:rPr>
              <w:t>类标准</w:t>
            </w: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w:t>
            </w:r>
          </w:p>
        </w:tc>
      </w:tr>
      <w:tr w:rsidR="00DE2F8A" w:rsidRPr="00DE2F8A" w:rsidTr="00DE2F8A">
        <w:trPr>
          <w:jc w:val="center"/>
        </w:trPr>
        <w:tc>
          <w:tcPr>
            <w:tcW w:w="1465" w:type="dxa"/>
            <w:vMerge w:val="restart"/>
            <w:tcBorders>
              <w:top w:val="single" w:sz="4" w:space="0" w:color="auto"/>
              <w:left w:val="nil"/>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地表水环境</w:t>
            </w:r>
          </w:p>
        </w:tc>
        <w:tc>
          <w:tcPr>
            <w:tcW w:w="1939" w:type="dxa"/>
            <w:gridSpan w:val="2"/>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sz w:val="21"/>
                <w:szCs w:val="21"/>
              </w:rPr>
              <w:t>淮河</w:t>
            </w:r>
          </w:p>
        </w:tc>
        <w:tc>
          <w:tcPr>
            <w:tcW w:w="15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w:t>
            </w:r>
          </w:p>
        </w:tc>
        <w:tc>
          <w:tcPr>
            <w:tcW w:w="1297"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w:t>
            </w:r>
          </w:p>
        </w:tc>
        <w:tc>
          <w:tcPr>
            <w:tcW w:w="1254"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水体</w:t>
            </w:r>
          </w:p>
        </w:tc>
        <w:tc>
          <w:tcPr>
            <w:tcW w:w="19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大型河流</w:t>
            </w:r>
          </w:p>
        </w:tc>
        <w:tc>
          <w:tcPr>
            <w:tcW w:w="2758"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《地表水环境质量标准》（</w:t>
            </w:r>
            <w:r w:rsidRPr="00DE2F8A">
              <w:rPr>
                <w:rFonts w:ascii="Times New Roman" w:hAnsi="Times New Roman" w:cs="Times New Roman" w:hint="eastAsia"/>
                <w:sz w:val="21"/>
                <w:szCs w:val="21"/>
              </w:rPr>
              <w:t>GB3838-2002</w:t>
            </w:r>
            <w:r w:rsidRPr="00DE2F8A">
              <w:rPr>
                <w:rFonts w:ascii="宋体" w:hAnsi="宋体" w:cs="Times New Roman" w:hint="eastAsia"/>
                <w:sz w:val="21"/>
                <w:szCs w:val="21"/>
              </w:rPr>
              <w:t>）</w:t>
            </w:r>
            <w:r w:rsidRPr="00DE2F8A">
              <w:rPr>
                <w:rFonts w:ascii="Times New Roman" w:hAnsi="Times New Roman" w:cs="Times New Roman" w:hint="eastAsia"/>
                <w:sz w:val="21"/>
                <w:szCs w:val="21"/>
              </w:rPr>
              <w:t>III</w:t>
            </w:r>
            <w:r w:rsidRPr="00DE2F8A">
              <w:rPr>
                <w:rFonts w:ascii="宋体" w:hAnsi="宋体" w:cs="Times New Roman" w:hint="eastAsia"/>
                <w:sz w:val="21"/>
                <w:szCs w:val="21"/>
              </w:rPr>
              <w:t>类标准</w:t>
            </w: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S</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sz w:val="21"/>
                <w:szCs w:val="21"/>
              </w:rPr>
              <w:t>3400</w:t>
            </w:r>
          </w:p>
        </w:tc>
      </w:tr>
      <w:tr w:rsidR="00DE2F8A" w:rsidRPr="00DE2F8A" w:rsidTr="00DE2F8A">
        <w:trPr>
          <w:jc w:val="center"/>
        </w:trPr>
        <w:tc>
          <w:tcPr>
            <w:tcW w:w="1465" w:type="dxa"/>
            <w:vMerge/>
            <w:tcBorders>
              <w:top w:val="single" w:sz="4" w:space="0" w:color="auto"/>
              <w:left w:val="nil"/>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1939" w:type="dxa"/>
            <w:gridSpan w:val="2"/>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sz w:val="21"/>
                <w:szCs w:val="21"/>
              </w:rPr>
              <w:t>三铺大沟</w:t>
            </w:r>
          </w:p>
        </w:tc>
        <w:tc>
          <w:tcPr>
            <w:tcW w:w="15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w:t>
            </w:r>
          </w:p>
        </w:tc>
        <w:tc>
          <w:tcPr>
            <w:tcW w:w="1297"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w:t>
            </w:r>
          </w:p>
        </w:tc>
        <w:tc>
          <w:tcPr>
            <w:tcW w:w="1254"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水体</w:t>
            </w:r>
          </w:p>
        </w:tc>
        <w:tc>
          <w:tcPr>
            <w:tcW w:w="19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小型河流</w:t>
            </w:r>
          </w:p>
        </w:tc>
        <w:tc>
          <w:tcPr>
            <w:tcW w:w="2758"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sz w:val="21"/>
                <w:szCs w:val="21"/>
              </w:rPr>
              <w:t>《地表水环境质量标准》（</w:t>
            </w:r>
            <w:r w:rsidRPr="00DE2F8A">
              <w:rPr>
                <w:rFonts w:ascii="Times New Roman" w:hAnsi="Times New Roman" w:cs="Times New Roman"/>
                <w:sz w:val="21"/>
                <w:szCs w:val="21"/>
              </w:rPr>
              <w:t>GB3838-2002</w:t>
            </w:r>
            <w:r w:rsidRPr="00DE2F8A">
              <w:rPr>
                <w:rFonts w:ascii="宋体" w:hAnsi="宋体" w:cs="Times New Roman"/>
                <w:sz w:val="21"/>
                <w:szCs w:val="21"/>
              </w:rPr>
              <w:t>）</w:t>
            </w:r>
            <w:r w:rsidRPr="00DE2F8A">
              <w:rPr>
                <w:rFonts w:ascii="Times New Roman" w:hAnsi="Times New Roman" w:cs="Times New Roman"/>
                <w:sz w:val="21"/>
                <w:szCs w:val="21"/>
              </w:rPr>
              <w:t>Ⅳ</w:t>
            </w:r>
            <w:r w:rsidRPr="00DE2F8A">
              <w:rPr>
                <w:rFonts w:ascii="宋体" w:hAnsi="宋体" w:cs="Times New Roman"/>
                <w:sz w:val="21"/>
                <w:szCs w:val="21"/>
              </w:rPr>
              <w:t>类</w:t>
            </w: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W</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sz w:val="21"/>
                <w:szCs w:val="21"/>
              </w:rPr>
              <w:t>1190</w:t>
            </w:r>
          </w:p>
        </w:tc>
      </w:tr>
      <w:tr w:rsidR="00DE2F8A" w:rsidRPr="00DE2F8A" w:rsidTr="00DE2F8A">
        <w:trPr>
          <w:jc w:val="center"/>
        </w:trPr>
        <w:tc>
          <w:tcPr>
            <w:tcW w:w="1465" w:type="dxa"/>
            <w:vMerge/>
            <w:tcBorders>
              <w:top w:val="single" w:sz="4" w:space="0" w:color="auto"/>
              <w:left w:val="nil"/>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1939" w:type="dxa"/>
            <w:gridSpan w:val="2"/>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sz w:val="21"/>
                <w:szCs w:val="21"/>
              </w:rPr>
              <w:t>沫冲引河</w:t>
            </w:r>
          </w:p>
        </w:tc>
        <w:tc>
          <w:tcPr>
            <w:tcW w:w="15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w:t>
            </w:r>
          </w:p>
        </w:tc>
        <w:tc>
          <w:tcPr>
            <w:tcW w:w="1297"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w:t>
            </w:r>
          </w:p>
        </w:tc>
        <w:tc>
          <w:tcPr>
            <w:tcW w:w="1254"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水体</w:t>
            </w:r>
          </w:p>
        </w:tc>
        <w:tc>
          <w:tcPr>
            <w:tcW w:w="19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小型河流</w:t>
            </w:r>
          </w:p>
        </w:tc>
        <w:tc>
          <w:tcPr>
            <w:tcW w:w="2758"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sz w:val="21"/>
                <w:szCs w:val="21"/>
              </w:rPr>
              <w:t>《地表水环境质量标准》（</w:t>
            </w:r>
            <w:r w:rsidRPr="00DE2F8A">
              <w:rPr>
                <w:rFonts w:ascii="Times New Roman" w:hAnsi="Times New Roman" w:cs="Times New Roman"/>
                <w:sz w:val="21"/>
                <w:szCs w:val="21"/>
              </w:rPr>
              <w:t>GB3838-2002</w:t>
            </w:r>
            <w:r w:rsidRPr="00DE2F8A">
              <w:rPr>
                <w:rFonts w:ascii="宋体" w:hAnsi="宋体" w:cs="Times New Roman"/>
                <w:sz w:val="21"/>
                <w:szCs w:val="21"/>
              </w:rPr>
              <w:t>）</w:t>
            </w:r>
            <w:r w:rsidRPr="00DE2F8A">
              <w:rPr>
                <w:rFonts w:ascii="Times New Roman" w:hAnsi="Times New Roman" w:cs="Times New Roman"/>
                <w:sz w:val="21"/>
                <w:szCs w:val="21"/>
              </w:rPr>
              <w:t>Ⅳ</w:t>
            </w:r>
            <w:r w:rsidRPr="00DE2F8A">
              <w:rPr>
                <w:rFonts w:ascii="宋体" w:hAnsi="宋体" w:cs="Times New Roman"/>
                <w:sz w:val="21"/>
                <w:szCs w:val="21"/>
              </w:rPr>
              <w:t>类</w:t>
            </w: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S</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sz w:val="21"/>
                <w:szCs w:val="21"/>
              </w:rPr>
              <w:t>1390</w:t>
            </w:r>
          </w:p>
        </w:tc>
      </w:tr>
      <w:tr w:rsidR="00DE2F8A" w:rsidRPr="00DE2F8A" w:rsidTr="00DE2F8A">
        <w:trPr>
          <w:jc w:val="center"/>
        </w:trPr>
        <w:tc>
          <w:tcPr>
            <w:tcW w:w="1465" w:type="dxa"/>
            <w:tcBorders>
              <w:top w:val="single" w:sz="4" w:space="0" w:color="auto"/>
              <w:left w:val="nil"/>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lastRenderedPageBreak/>
              <w:t>地下水环境</w:t>
            </w:r>
          </w:p>
        </w:tc>
        <w:tc>
          <w:tcPr>
            <w:tcW w:w="7934" w:type="dxa"/>
            <w:gridSpan w:val="6"/>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厂区外独立水文地质单元（</w:t>
            </w:r>
            <w:r w:rsidRPr="00DE2F8A">
              <w:rPr>
                <w:rFonts w:ascii="Times New Roman" w:hAnsi="Times New Roman" w:cs="Times New Roman"/>
                <w:sz w:val="21"/>
                <w:szCs w:val="21"/>
              </w:rPr>
              <w:t>19.33</w:t>
            </w:r>
            <w:r w:rsidRPr="00DE2F8A">
              <w:rPr>
                <w:rFonts w:ascii="Times New Roman" w:hAnsi="Times New Roman" w:cs="Times New Roman" w:hint="eastAsia"/>
                <w:sz w:val="21"/>
                <w:szCs w:val="21"/>
              </w:rPr>
              <w:t>km</w:t>
            </w:r>
            <w:r w:rsidRPr="00DE2F8A">
              <w:rPr>
                <w:rFonts w:ascii="Times New Roman" w:hAnsi="Times New Roman" w:cs="Times New Roman" w:hint="eastAsia"/>
                <w:sz w:val="21"/>
                <w:szCs w:val="21"/>
                <w:vertAlign w:val="superscript"/>
              </w:rPr>
              <w:t>2</w:t>
            </w:r>
            <w:r w:rsidRPr="00DE2F8A">
              <w:rPr>
                <w:rFonts w:ascii="宋体" w:hAnsi="宋体" w:cs="Times New Roman" w:hint="eastAsia"/>
                <w:sz w:val="21"/>
                <w:szCs w:val="21"/>
              </w:rPr>
              <w:t>）的浅层地下水</w:t>
            </w:r>
          </w:p>
        </w:tc>
        <w:tc>
          <w:tcPr>
            <w:tcW w:w="2758"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《地下水质量标准》（</w:t>
            </w:r>
            <w:r w:rsidRPr="00DE2F8A">
              <w:rPr>
                <w:rFonts w:ascii="Times New Roman" w:hAnsi="Times New Roman" w:cs="Times New Roman" w:hint="eastAsia"/>
                <w:sz w:val="21"/>
                <w:szCs w:val="21"/>
              </w:rPr>
              <w:t>GB/T14848-2017</w:t>
            </w:r>
            <w:r w:rsidRPr="00DE2F8A">
              <w:rPr>
                <w:rFonts w:ascii="宋体" w:hAnsi="宋体" w:cs="Times New Roman" w:hint="eastAsia"/>
                <w:sz w:val="21"/>
                <w:szCs w:val="21"/>
              </w:rPr>
              <w:t>）中</w:t>
            </w:r>
            <w:r w:rsidRPr="00DE2F8A">
              <w:rPr>
                <w:rFonts w:ascii="Times New Roman" w:hAnsi="Times New Roman" w:cs="Times New Roman" w:hint="eastAsia"/>
                <w:sz w:val="21"/>
                <w:szCs w:val="21"/>
              </w:rPr>
              <w:t>III</w:t>
            </w:r>
            <w:r w:rsidRPr="00DE2F8A">
              <w:rPr>
                <w:rFonts w:ascii="宋体" w:hAnsi="宋体" w:cs="Times New Roman" w:hint="eastAsia"/>
                <w:sz w:val="21"/>
                <w:szCs w:val="21"/>
              </w:rPr>
              <w:t>类标准</w:t>
            </w: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w:t>
            </w:r>
          </w:p>
        </w:tc>
      </w:tr>
      <w:tr w:rsidR="00DE2F8A" w:rsidRPr="00DE2F8A" w:rsidTr="00DE2F8A">
        <w:trPr>
          <w:jc w:val="center"/>
        </w:trPr>
        <w:tc>
          <w:tcPr>
            <w:tcW w:w="1465" w:type="dxa"/>
            <w:vMerge w:val="restart"/>
            <w:tcBorders>
              <w:top w:val="single" w:sz="4" w:space="0" w:color="auto"/>
              <w:left w:val="nil"/>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土壤环境</w:t>
            </w:r>
          </w:p>
        </w:tc>
        <w:tc>
          <w:tcPr>
            <w:tcW w:w="1586"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三铺村</w:t>
            </w:r>
          </w:p>
        </w:tc>
        <w:tc>
          <w:tcPr>
            <w:tcW w:w="1875" w:type="dxa"/>
            <w:gridSpan w:val="2"/>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0</w:t>
            </w:r>
          </w:p>
        </w:tc>
        <w:tc>
          <w:tcPr>
            <w:tcW w:w="1297"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1248</w:t>
            </w:r>
          </w:p>
        </w:tc>
        <w:tc>
          <w:tcPr>
            <w:tcW w:w="1254"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宋体" w:hAnsi="宋体" w:hint="eastAsia"/>
                <w:kern w:val="0"/>
                <w:sz w:val="21"/>
                <w:szCs w:val="21"/>
              </w:rPr>
              <w:t>居民区</w:t>
            </w:r>
          </w:p>
        </w:tc>
        <w:tc>
          <w:tcPr>
            <w:tcW w:w="1922"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kern w:val="0"/>
                <w:sz w:val="21"/>
                <w:szCs w:val="21"/>
              </w:rPr>
            </w:pPr>
            <w:r w:rsidRPr="00DE2F8A">
              <w:rPr>
                <w:rFonts w:ascii="Times New Roman" w:hAnsi="Times New Roman" w:cs="Times New Roman" w:hint="eastAsia"/>
                <w:sz w:val="21"/>
                <w:szCs w:val="21"/>
              </w:rPr>
              <w:t>1056</w:t>
            </w:r>
            <w:r w:rsidRPr="00DE2F8A">
              <w:rPr>
                <w:rFonts w:ascii="宋体" w:hAnsi="宋体" w:cs="Times New Roman" w:hint="eastAsia"/>
                <w:sz w:val="21"/>
                <w:szCs w:val="21"/>
              </w:rPr>
              <w:t>户</w:t>
            </w:r>
            <w:r w:rsidRPr="00DE2F8A">
              <w:rPr>
                <w:rFonts w:ascii="Times New Roman" w:hAnsi="Times New Roman" w:cs="Times New Roman" w:hint="eastAsia"/>
                <w:sz w:val="21"/>
                <w:szCs w:val="21"/>
              </w:rPr>
              <w:t>/3379</w:t>
            </w:r>
            <w:r w:rsidRPr="00DE2F8A">
              <w:rPr>
                <w:rFonts w:ascii="宋体" w:hAnsi="宋体" w:cs="Times New Roman" w:hint="eastAsia"/>
                <w:sz w:val="21"/>
                <w:szCs w:val="21"/>
              </w:rPr>
              <w:t>人</w:t>
            </w:r>
          </w:p>
        </w:tc>
        <w:tc>
          <w:tcPr>
            <w:tcW w:w="2758"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sz w:val="21"/>
                <w:szCs w:val="21"/>
              </w:rPr>
              <w:t>《土壤环境质量</w:t>
            </w:r>
            <w:r w:rsidRPr="00DE2F8A">
              <w:rPr>
                <w:rFonts w:ascii="Times New Roman" w:hAnsi="Times New Roman" w:cs="Times New Roman"/>
                <w:sz w:val="21"/>
                <w:szCs w:val="21"/>
              </w:rPr>
              <w:t>-</w:t>
            </w:r>
            <w:r w:rsidRPr="00DE2F8A">
              <w:rPr>
                <w:rFonts w:ascii="宋体" w:hAnsi="宋体" w:cs="Times New Roman"/>
                <w:sz w:val="21"/>
                <w:szCs w:val="21"/>
              </w:rPr>
              <w:t>建设用地土壤污染风险管控标准（试行）》（</w:t>
            </w:r>
            <w:r w:rsidRPr="00DE2F8A">
              <w:rPr>
                <w:rFonts w:ascii="Times New Roman" w:hAnsi="Times New Roman" w:cs="Times New Roman"/>
                <w:sz w:val="21"/>
                <w:szCs w:val="21"/>
              </w:rPr>
              <w:t>GB36600-2018</w:t>
            </w:r>
            <w:r w:rsidRPr="00DE2F8A">
              <w:rPr>
                <w:rFonts w:ascii="宋体" w:hAnsi="宋体" w:cs="Times New Roman"/>
                <w:sz w:val="21"/>
                <w:szCs w:val="21"/>
              </w:rPr>
              <w:t>）风险筛选值要求</w:t>
            </w: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N</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widowControl/>
              <w:autoSpaceDE w:val="0"/>
              <w:spacing w:line="360" w:lineRule="exact"/>
              <w:ind w:firstLineChars="0" w:firstLine="0"/>
              <w:jc w:val="center"/>
              <w:rPr>
                <w:rFonts w:ascii="Times New Roman" w:hAnsi="Times New Roman"/>
                <w:kern w:val="0"/>
                <w:sz w:val="21"/>
                <w:szCs w:val="21"/>
              </w:rPr>
            </w:pPr>
            <w:r w:rsidRPr="00DE2F8A">
              <w:rPr>
                <w:rFonts w:ascii="Times New Roman" w:hAnsi="Times New Roman" w:hint="eastAsia"/>
                <w:kern w:val="0"/>
                <w:sz w:val="21"/>
                <w:szCs w:val="21"/>
              </w:rPr>
              <w:t>683</w:t>
            </w:r>
          </w:p>
        </w:tc>
      </w:tr>
      <w:tr w:rsidR="00DE2F8A" w:rsidRPr="00DE2F8A" w:rsidTr="00DE2F8A">
        <w:trPr>
          <w:jc w:val="center"/>
        </w:trPr>
        <w:tc>
          <w:tcPr>
            <w:tcW w:w="1465" w:type="dxa"/>
            <w:vMerge/>
            <w:tcBorders>
              <w:top w:val="single" w:sz="4" w:space="0" w:color="auto"/>
              <w:left w:val="nil"/>
              <w:bottom w:val="single" w:sz="4" w:space="0" w:color="auto"/>
              <w:right w:val="single" w:sz="4" w:space="0" w:color="auto"/>
            </w:tcBorders>
            <w:vAlign w:val="center"/>
            <w:hideMark/>
          </w:tcPr>
          <w:p w:rsidR="00DE2F8A" w:rsidRPr="00DE2F8A" w:rsidRDefault="00DE2F8A" w:rsidP="00DE2F8A">
            <w:pPr>
              <w:widowControl/>
              <w:adjustRightInd/>
              <w:snapToGrid/>
              <w:spacing w:line="360" w:lineRule="exact"/>
              <w:ind w:firstLineChars="0" w:firstLine="0"/>
              <w:jc w:val="left"/>
              <w:rPr>
                <w:rFonts w:ascii="Times New Roman" w:hAnsi="Times New Roman"/>
                <w:spacing w:val="-2"/>
                <w:kern w:val="0"/>
                <w:sz w:val="21"/>
                <w:szCs w:val="21"/>
              </w:rPr>
            </w:pPr>
          </w:p>
        </w:tc>
        <w:tc>
          <w:tcPr>
            <w:tcW w:w="7934" w:type="dxa"/>
            <w:gridSpan w:val="6"/>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kern w:val="0"/>
                <w:sz w:val="21"/>
                <w:szCs w:val="21"/>
              </w:rPr>
            </w:pPr>
            <w:r w:rsidRPr="00DE2F8A">
              <w:rPr>
                <w:rFonts w:ascii="宋体" w:hAnsi="宋体" w:cs="Times New Roman" w:hint="eastAsia"/>
                <w:sz w:val="21"/>
                <w:szCs w:val="21"/>
              </w:rPr>
              <w:t>周边耕地</w:t>
            </w:r>
          </w:p>
        </w:tc>
        <w:tc>
          <w:tcPr>
            <w:tcW w:w="2758"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《土壤环境质量标准</w:t>
            </w:r>
            <w:r w:rsidRPr="00DE2F8A">
              <w:rPr>
                <w:rFonts w:ascii="Times New Roman" w:hAnsi="Times New Roman" w:cs="Times New Roman"/>
                <w:sz w:val="21"/>
                <w:szCs w:val="21"/>
              </w:rPr>
              <w:t xml:space="preserve"> </w:t>
            </w:r>
            <w:r w:rsidRPr="00DE2F8A">
              <w:rPr>
                <w:rFonts w:ascii="宋体" w:hAnsi="宋体" w:cs="Times New Roman" w:hint="eastAsia"/>
                <w:sz w:val="21"/>
                <w:szCs w:val="21"/>
              </w:rPr>
              <w:t>农用地土壤污染风险管控标准（试行）》（</w:t>
            </w:r>
            <w:r w:rsidRPr="00DE2F8A">
              <w:rPr>
                <w:rFonts w:ascii="Times New Roman" w:hAnsi="Times New Roman" w:cs="Times New Roman"/>
                <w:sz w:val="21"/>
                <w:szCs w:val="21"/>
              </w:rPr>
              <w:t>GB15618-2018</w:t>
            </w:r>
            <w:r w:rsidRPr="00DE2F8A">
              <w:rPr>
                <w:rFonts w:ascii="宋体" w:hAnsi="宋体" w:cs="Times New Roman" w:hint="eastAsia"/>
                <w:sz w:val="21"/>
                <w:szCs w:val="21"/>
              </w:rPr>
              <w:t>）风险筛选值要求</w:t>
            </w:r>
          </w:p>
        </w:tc>
        <w:tc>
          <w:tcPr>
            <w:tcW w:w="850" w:type="dxa"/>
            <w:tcBorders>
              <w:top w:val="single" w:sz="4" w:space="0" w:color="auto"/>
              <w:left w:val="single" w:sz="4" w:space="0" w:color="auto"/>
              <w:bottom w:val="single" w:sz="4"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w:t>
            </w:r>
          </w:p>
        </w:tc>
        <w:tc>
          <w:tcPr>
            <w:tcW w:w="1166" w:type="dxa"/>
            <w:tcBorders>
              <w:top w:val="single" w:sz="4" w:space="0" w:color="auto"/>
              <w:left w:val="single" w:sz="4" w:space="0" w:color="auto"/>
              <w:bottom w:val="single" w:sz="4" w:space="0" w:color="auto"/>
              <w:right w:val="nil"/>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w:t>
            </w:r>
          </w:p>
        </w:tc>
      </w:tr>
      <w:tr w:rsidR="00DE2F8A" w:rsidRPr="00DE2F8A" w:rsidTr="00DE2F8A">
        <w:trPr>
          <w:jc w:val="center"/>
        </w:trPr>
        <w:tc>
          <w:tcPr>
            <w:tcW w:w="1465" w:type="dxa"/>
            <w:tcBorders>
              <w:top w:val="single" w:sz="4" w:space="0" w:color="auto"/>
              <w:left w:val="nil"/>
              <w:bottom w:val="single" w:sz="12"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生态环境</w:t>
            </w:r>
          </w:p>
        </w:tc>
        <w:tc>
          <w:tcPr>
            <w:tcW w:w="7934" w:type="dxa"/>
            <w:gridSpan w:val="6"/>
            <w:tcBorders>
              <w:top w:val="single" w:sz="4" w:space="0" w:color="auto"/>
              <w:left w:val="single" w:sz="4" w:space="0" w:color="auto"/>
              <w:bottom w:val="single" w:sz="12"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宋体" w:hAnsi="宋体" w:cs="Times New Roman" w:hint="eastAsia"/>
                <w:sz w:val="21"/>
                <w:szCs w:val="21"/>
              </w:rPr>
              <w:t>项目厂址所占范围内无生态环境保护目标</w:t>
            </w:r>
          </w:p>
        </w:tc>
        <w:tc>
          <w:tcPr>
            <w:tcW w:w="2758" w:type="dxa"/>
            <w:tcBorders>
              <w:top w:val="single" w:sz="4" w:space="0" w:color="auto"/>
              <w:left w:val="single" w:sz="4" w:space="0" w:color="auto"/>
              <w:bottom w:val="single" w:sz="12"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w:t>
            </w:r>
          </w:p>
        </w:tc>
        <w:tc>
          <w:tcPr>
            <w:tcW w:w="850" w:type="dxa"/>
            <w:tcBorders>
              <w:top w:val="single" w:sz="4" w:space="0" w:color="auto"/>
              <w:left w:val="single" w:sz="4" w:space="0" w:color="auto"/>
              <w:bottom w:val="single" w:sz="12" w:space="0" w:color="auto"/>
              <w:right w:val="single" w:sz="4" w:space="0" w:color="auto"/>
            </w:tcBorders>
            <w:vAlign w:val="center"/>
            <w:hideMark/>
          </w:tcPr>
          <w:p w:rsidR="00DE2F8A" w:rsidRPr="00DE2F8A" w:rsidRDefault="00DE2F8A" w:rsidP="00DE2F8A">
            <w:pPr>
              <w:pStyle w:val="afffffff2"/>
              <w:autoSpaceDE w:val="0"/>
              <w:rPr>
                <w:rFonts w:ascii="Times New Roman" w:hAnsi="Times New Roman" w:cs="Times New Roman"/>
                <w:kern w:val="0"/>
                <w:sz w:val="21"/>
                <w:szCs w:val="21"/>
              </w:rPr>
            </w:pPr>
            <w:r w:rsidRPr="00DE2F8A">
              <w:rPr>
                <w:rFonts w:ascii="Times New Roman" w:hAnsi="Times New Roman" w:cs="Times New Roman" w:hint="eastAsia"/>
                <w:sz w:val="21"/>
                <w:szCs w:val="21"/>
              </w:rPr>
              <w:t>/</w:t>
            </w:r>
          </w:p>
        </w:tc>
        <w:tc>
          <w:tcPr>
            <w:tcW w:w="1166" w:type="dxa"/>
            <w:tcBorders>
              <w:top w:val="single" w:sz="4" w:space="0" w:color="auto"/>
              <w:left w:val="single" w:sz="4" w:space="0" w:color="auto"/>
              <w:bottom w:val="single" w:sz="12" w:space="0" w:color="auto"/>
              <w:right w:val="nil"/>
            </w:tcBorders>
            <w:vAlign w:val="center"/>
            <w:hideMark/>
          </w:tcPr>
          <w:p w:rsidR="00DE2F8A" w:rsidRPr="00DE2F8A" w:rsidRDefault="00DE2F8A" w:rsidP="00DE2F8A">
            <w:pPr>
              <w:pStyle w:val="afffffff2"/>
              <w:autoSpaceDE w:val="0"/>
              <w:rPr>
                <w:rFonts w:ascii="Times New Roman" w:hAnsi="Times New Roman" w:cs="Times New Roman"/>
                <w:sz w:val="21"/>
                <w:szCs w:val="21"/>
              </w:rPr>
            </w:pPr>
            <w:r w:rsidRPr="00DE2F8A">
              <w:rPr>
                <w:rFonts w:ascii="Times New Roman" w:hAnsi="Times New Roman" w:cs="Times New Roman" w:hint="eastAsia"/>
                <w:sz w:val="21"/>
                <w:szCs w:val="21"/>
              </w:rPr>
              <w:t>/</w:t>
            </w:r>
          </w:p>
        </w:tc>
      </w:tr>
    </w:tbl>
    <w:p w:rsidR="00DE2F8A" w:rsidRDefault="00DE2F8A">
      <w:pPr>
        <w:pStyle w:val="afffff4"/>
      </w:pPr>
    </w:p>
    <w:p w:rsidR="004E3021" w:rsidRDefault="004E3021">
      <w:pPr>
        <w:pStyle w:val="afffffc"/>
        <w:ind w:firstLine="480"/>
        <w:sectPr w:rsidR="004E3021">
          <w:pgSz w:w="16838" w:h="11906" w:orient="landscape"/>
          <w:pgMar w:top="1440" w:right="1440" w:bottom="1440" w:left="1440" w:header="851" w:footer="992" w:gutter="0"/>
          <w:cols w:space="425"/>
          <w:docGrid w:type="lines" w:linePitch="326"/>
        </w:sectPr>
      </w:pPr>
    </w:p>
    <w:p w:rsidR="004E3021" w:rsidRDefault="00606E48">
      <w:pPr>
        <w:pStyle w:val="afffffffffffffffff3"/>
      </w:pPr>
      <w:bookmarkStart w:id="83" w:name="_Toc221500940"/>
      <w:r>
        <w:rPr>
          <w:rFonts w:hint="eastAsia"/>
        </w:rPr>
        <w:lastRenderedPageBreak/>
        <w:t>2</w:t>
      </w:r>
      <w:r>
        <w:t>.5</w:t>
      </w:r>
      <w:r>
        <w:t>与相关法律法规</w:t>
      </w:r>
      <w:r>
        <w:rPr>
          <w:rFonts w:hint="eastAsia"/>
        </w:rPr>
        <w:t>、</w:t>
      </w:r>
      <w:r>
        <w:t>政策</w:t>
      </w:r>
      <w:r>
        <w:rPr>
          <w:rFonts w:hint="eastAsia"/>
        </w:rPr>
        <w:t>、</w:t>
      </w:r>
      <w:r>
        <w:t>规划协调性分析</w:t>
      </w:r>
      <w:bookmarkEnd w:id="83"/>
    </w:p>
    <w:p w:rsidR="004E3021" w:rsidRDefault="00606E48">
      <w:pPr>
        <w:pStyle w:val="afffffffffffffffff4"/>
      </w:pPr>
      <w:bookmarkStart w:id="84" w:name="_Toc108662561"/>
      <w:bookmarkStart w:id="85" w:name="_Toc101135798"/>
      <w:bookmarkStart w:id="86" w:name="_Toc221088726"/>
      <w:bookmarkStart w:id="87" w:name="_Toc221500941"/>
      <w:r>
        <w:rPr>
          <w:rFonts w:hint="eastAsia"/>
        </w:rPr>
        <w:t>2</w:t>
      </w:r>
      <w:r>
        <w:t>.5.1</w:t>
      </w:r>
      <w:r>
        <w:rPr>
          <w:rFonts w:hint="eastAsia"/>
        </w:rPr>
        <w:t>与</w:t>
      </w:r>
      <w:r>
        <w:t>园区规划和规划</w:t>
      </w:r>
      <w:r>
        <w:rPr>
          <w:rFonts w:hint="eastAsia"/>
        </w:rPr>
        <w:t>环评</w:t>
      </w:r>
      <w:r>
        <w:t>审查意见要求的</w:t>
      </w:r>
      <w:r>
        <w:rPr>
          <w:rFonts w:hint="eastAsia"/>
        </w:rPr>
        <w:t>符合性</w:t>
      </w:r>
      <w:bookmarkEnd w:id="84"/>
      <w:bookmarkEnd w:id="85"/>
      <w:bookmarkEnd w:id="86"/>
      <w:bookmarkEnd w:id="87"/>
    </w:p>
    <w:p w:rsidR="0006470D" w:rsidRDefault="0006470D" w:rsidP="0006470D">
      <w:pPr>
        <w:ind w:firstLine="480"/>
      </w:pPr>
      <w:bookmarkStart w:id="88" w:name="_Toc100783968"/>
      <w:r>
        <w:rPr>
          <w:rFonts w:hint="eastAsia"/>
        </w:rPr>
        <w:t>2006</w:t>
      </w:r>
      <w:r>
        <w:rPr>
          <w:rFonts w:hint="eastAsia"/>
        </w:rPr>
        <w:t>年</w:t>
      </w:r>
      <w:r>
        <w:t>，安徽省发展和改革委员会</w:t>
      </w:r>
      <w:r>
        <w:rPr>
          <w:rFonts w:hint="eastAsia"/>
        </w:rPr>
        <w:t>以</w:t>
      </w:r>
      <w:r w:rsidRPr="00C33E81">
        <w:rPr>
          <w:rFonts w:ascii="宋体" w:hAnsi="宋体"/>
        </w:rPr>
        <w:t>“</w:t>
      </w:r>
      <w:r>
        <w:t>发改高技</w:t>
      </w:r>
      <w:r>
        <w:t xml:space="preserve">[2006]941 </w:t>
      </w:r>
      <w:r>
        <w:t>号</w:t>
      </w:r>
      <w:r w:rsidRPr="00C33E81">
        <w:rPr>
          <w:rFonts w:ascii="宋体" w:hAnsi="宋体"/>
        </w:rPr>
        <w:t>”</w:t>
      </w:r>
      <w:r>
        <w:rPr>
          <w:rFonts w:hint="eastAsia"/>
        </w:rPr>
        <w:t>文件</w:t>
      </w:r>
      <w:r>
        <w:t>，批准在沫河口镇区设置</w:t>
      </w:r>
      <w:r>
        <w:t>“</w:t>
      </w:r>
      <w:r>
        <w:t>蚌埠精细化工高新技术产业基地</w:t>
      </w:r>
      <w:r>
        <w:t>”</w:t>
      </w:r>
      <w:r>
        <w:t>。</w:t>
      </w:r>
    </w:p>
    <w:p w:rsidR="0006470D" w:rsidRDefault="0006470D" w:rsidP="0006470D">
      <w:pPr>
        <w:ind w:firstLine="480"/>
      </w:pPr>
      <w:r>
        <w:rPr>
          <w:rFonts w:hint="eastAsia"/>
        </w:rPr>
        <w:t>2008</w:t>
      </w:r>
      <w:r>
        <w:rPr>
          <w:rFonts w:hint="eastAsia"/>
        </w:rPr>
        <w:t>年</w:t>
      </w:r>
      <w:r>
        <w:t>，蚌埠市人民政府下达了《关于在五河经济开发区沫河口设立蚌埠精细化工高新技术产业基地的通知》（蚌政</w:t>
      </w:r>
      <w:r>
        <w:t>[2008]69</w:t>
      </w:r>
      <w:r>
        <w:rPr>
          <w:rFonts w:hint="eastAsia"/>
        </w:rPr>
        <w:t>号</w:t>
      </w:r>
      <w:r>
        <w:t>），主要发展精细化工</w:t>
      </w:r>
      <w:r>
        <w:rPr>
          <w:rFonts w:hint="eastAsia"/>
        </w:rPr>
        <w:t>。</w:t>
      </w:r>
      <w:r>
        <w:t>蚌埠精细化工高新技术产业基地位于沫河口镇区的东部，南起洪庙路，北至园区主干路工业大道，西至三铺大沟，东面至规划的横岭路。总规划面积约</w:t>
      </w:r>
      <w:r>
        <w:t>5.8km</w:t>
      </w:r>
      <w:r>
        <w:rPr>
          <w:vertAlign w:val="superscript"/>
        </w:rPr>
        <w:t>2</w:t>
      </w:r>
      <w:r>
        <w:t>。</w:t>
      </w:r>
    </w:p>
    <w:p w:rsidR="0006470D" w:rsidRDefault="0006470D" w:rsidP="0006470D">
      <w:pPr>
        <w:ind w:firstLine="480"/>
      </w:pPr>
      <w:r>
        <w:rPr>
          <w:rFonts w:hint="eastAsia"/>
        </w:rPr>
        <w:t>2009</w:t>
      </w:r>
      <w:r>
        <w:rPr>
          <w:rFonts w:hint="eastAsia"/>
        </w:rPr>
        <w:t>年</w:t>
      </w:r>
      <w:r>
        <w:rPr>
          <w:rFonts w:hint="eastAsia"/>
        </w:rPr>
        <w:t>4</w:t>
      </w:r>
      <w:r>
        <w:rPr>
          <w:rFonts w:hint="eastAsia"/>
        </w:rPr>
        <w:t>月</w:t>
      </w:r>
      <w:r>
        <w:t>，蚌埠市环境保护局以</w:t>
      </w:r>
      <w:r w:rsidRPr="00A00298">
        <w:rPr>
          <w:rFonts w:ascii="宋体" w:hAnsi="宋体"/>
        </w:rPr>
        <w:t>“</w:t>
      </w:r>
      <w:r>
        <w:t>蚌环许</w:t>
      </w:r>
      <w:r>
        <w:t>[2009]38</w:t>
      </w:r>
      <w:r>
        <w:t>号</w:t>
      </w:r>
      <w:r w:rsidRPr="00A00298">
        <w:rPr>
          <w:rFonts w:ascii="宋体" w:hAnsi="宋体"/>
        </w:rPr>
        <w:t>”</w:t>
      </w:r>
      <w:r>
        <w:t>《关于蚌埠精细化工高新技术产业基地规划环境影响报告书</w:t>
      </w:r>
      <w:r>
        <w:rPr>
          <w:rFonts w:hint="eastAsia"/>
        </w:rPr>
        <w:t>审查</w:t>
      </w:r>
      <w:r>
        <w:t>意见的函》</w:t>
      </w:r>
      <w:r>
        <w:rPr>
          <w:bCs/>
        </w:rPr>
        <w:t>通过了对园区总体规划环评的审查。</w:t>
      </w:r>
    </w:p>
    <w:p w:rsidR="0006470D" w:rsidRDefault="0006470D" w:rsidP="0006470D">
      <w:pPr>
        <w:ind w:firstLine="480"/>
      </w:pPr>
      <w:r>
        <w:t>2015</w:t>
      </w:r>
      <w:r>
        <w:rPr>
          <w:rFonts w:hint="eastAsia"/>
        </w:rPr>
        <w:t>年</w:t>
      </w:r>
      <w:r>
        <w:t>10</w:t>
      </w:r>
      <w:r>
        <w:rPr>
          <w:rFonts w:hint="eastAsia"/>
        </w:rPr>
        <w:t>月，根据《蚌埠市人民政府关于进一步拓展淮上区沫河口园区精细化工高新技术产业基地四至范围的通知》（蚌政秘</w:t>
      </w:r>
      <w:r>
        <w:t>[2015]104</w:t>
      </w:r>
      <w:r>
        <w:rPr>
          <w:rFonts w:hint="eastAsia"/>
        </w:rPr>
        <w:t>号）要求</w:t>
      </w:r>
      <w:r>
        <w:t>，</w:t>
      </w:r>
      <w:r>
        <w:rPr>
          <w:rFonts w:hint="eastAsia"/>
        </w:rPr>
        <w:t>蚌埠精细化工高新技术产业基地进行了</w:t>
      </w:r>
      <w:r>
        <w:t>扩区，</w:t>
      </w:r>
      <w:r>
        <w:rPr>
          <w:rFonts w:hint="eastAsia"/>
        </w:rPr>
        <w:t>编制</w:t>
      </w:r>
      <w:r>
        <w:t>了</w:t>
      </w:r>
      <w:r>
        <w:rPr>
          <w:rFonts w:hint="eastAsia"/>
        </w:rPr>
        <w:t>扩区控制性详细规划，</w:t>
      </w:r>
      <w:r>
        <w:t>其中</w:t>
      </w:r>
      <w:r>
        <w:rPr>
          <w:rFonts w:hint="eastAsia"/>
        </w:rPr>
        <w:t>扩区面积为</w:t>
      </w:r>
      <w:r>
        <w:t>2.2488</w:t>
      </w:r>
      <w:r>
        <w:rPr>
          <w:rFonts w:hint="eastAsia"/>
        </w:rPr>
        <w:t>平方公里，扩区的具体范围为：北至五蚌路，西至金沱路，南至开源大道，东至规划路，主要发展产业为生物化工、精细化工和医药化工。</w:t>
      </w:r>
    </w:p>
    <w:p w:rsidR="0006470D" w:rsidRDefault="0006470D" w:rsidP="0006470D">
      <w:pPr>
        <w:ind w:firstLine="480"/>
      </w:pPr>
      <w:r>
        <w:rPr>
          <w:rFonts w:hint="eastAsia"/>
        </w:rPr>
        <w:t>2</w:t>
      </w:r>
      <w:r>
        <w:t>016</w:t>
      </w:r>
      <w:r>
        <w:rPr>
          <w:rFonts w:hint="eastAsia"/>
        </w:rPr>
        <w:t>年</w:t>
      </w:r>
      <w:r>
        <w:rPr>
          <w:rFonts w:hint="eastAsia"/>
        </w:rPr>
        <w:t>4</w:t>
      </w:r>
      <w:r>
        <w:rPr>
          <w:rFonts w:hint="eastAsia"/>
        </w:rPr>
        <w:t>月</w:t>
      </w:r>
      <w:r>
        <w:t>，蚌埠市环境保护局以</w:t>
      </w:r>
      <w:r w:rsidRPr="00A00298">
        <w:rPr>
          <w:rFonts w:ascii="宋体" w:hAnsi="宋体"/>
        </w:rPr>
        <w:t>“</w:t>
      </w:r>
      <w:r>
        <w:rPr>
          <w:rFonts w:hint="eastAsia"/>
        </w:rPr>
        <w:t>蚌</w:t>
      </w:r>
      <w:r>
        <w:t>环许</w:t>
      </w:r>
      <w:r>
        <w:rPr>
          <w:rFonts w:hint="eastAsia"/>
        </w:rPr>
        <w:t>[</w:t>
      </w:r>
      <w:r>
        <w:t>2016</w:t>
      </w:r>
      <w:r>
        <w:rPr>
          <w:rFonts w:hint="eastAsia"/>
        </w:rPr>
        <w:t>]</w:t>
      </w:r>
      <w:r>
        <w:t>19</w:t>
      </w:r>
      <w:r>
        <w:rPr>
          <w:rFonts w:hint="eastAsia"/>
        </w:rPr>
        <w:t>号</w:t>
      </w:r>
      <w:r w:rsidRPr="00A00298">
        <w:rPr>
          <w:rFonts w:ascii="宋体" w:hAnsi="宋体"/>
        </w:rPr>
        <w:t>”</w:t>
      </w:r>
      <w:r>
        <w:rPr>
          <w:rFonts w:hint="eastAsia"/>
        </w:rPr>
        <w:t>《关于</w:t>
      </w:r>
      <w:r>
        <w:t>蚌埠</w:t>
      </w:r>
      <w:r>
        <w:rPr>
          <w:rFonts w:hint="eastAsia"/>
        </w:rPr>
        <w:t>精细</w:t>
      </w:r>
      <w:r>
        <w:t>化工高新技术产业基地扩区规划环境影响报告书审查意见的函</w:t>
      </w:r>
      <w:r>
        <w:rPr>
          <w:rFonts w:hint="eastAsia"/>
        </w:rPr>
        <w:t>》</w:t>
      </w:r>
      <w:r>
        <w:rPr>
          <w:bCs/>
        </w:rPr>
        <w:t>通过了对园区</w:t>
      </w:r>
      <w:r>
        <w:rPr>
          <w:rFonts w:hint="eastAsia"/>
          <w:bCs/>
        </w:rPr>
        <w:t>扩区</w:t>
      </w:r>
      <w:r>
        <w:rPr>
          <w:bCs/>
        </w:rPr>
        <w:t>规划</w:t>
      </w:r>
      <w:r>
        <w:rPr>
          <w:rFonts w:hint="eastAsia"/>
          <w:bCs/>
        </w:rPr>
        <w:t>环境影响报告书</w:t>
      </w:r>
      <w:r>
        <w:rPr>
          <w:bCs/>
        </w:rPr>
        <w:t>的审查。</w:t>
      </w:r>
    </w:p>
    <w:p w:rsidR="0006470D" w:rsidRDefault="0006470D" w:rsidP="0006470D">
      <w:pPr>
        <w:ind w:firstLine="480"/>
      </w:pPr>
      <w:r>
        <w:rPr>
          <w:rFonts w:hint="eastAsia"/>
        </w:rPr>
        <w:t>2018</w:t>
      </w:r>
      <w:r>
        <w:rPr>
          <w:rFonts w:hint="eastAsia"/>
        </w:rPr>
        <w:t>年</w:t>
      </w:r>
      <w:r>
        <w:rPr>
          <w:rFonts w:hint="eastAsia"/>
        </w:rPr>
        <w:t>7</w:t>
      </w:r>
      <w:r>
        <w:rPr>
          <w:rFonts w:hint="eastAsia"/>
        </w:rPr>
        <w:t>月</w:t>
      </w:r>
      <w:r>
        <w:t>，</w:t>
      </w:r>
      <w:r>
        <w:rPr>
          <w:rFonts w:hint="eastAsia"/>
        </w:rPr>
        <w:t>安徽省</w:t>
      </w:r>
      <w:r>
        <w:t>人民政府</w:t>
      </w:r>
      <w:r>
        <w:rPr>
          <w:rFonts w:hint="eastAsia"/>
        </w:rPr>
        <w:t>以《关于</w:t>
      </w:r>
      <w:r>
        <w:t>蚌埠市省级以上开发区优化整合方案的批复</w:t>
      </w:r>
      <w:r>
        <w:rPr>
          <w:rFonts w:hint="eastAsia"/>
        </w:rPr>
        <w:t>》文件</w:t>
      </w:r>
      <w:r>
        <w:t>，</w:t>
      </w:r>
      <w:r>
        <w:rPr>
          <w:rFonts w:hint="eastAsia"/>
        </w:rPr>
        <w:t>撤销</w:t>
      </w:r>
      <w:r>
        <w:t>蚌埠沫河口工业园区，</w:t>
      </w:r>
      <w:r>
        <w:rPr>
          <w:rFonts w:hint="eastAsia"/>
        </w:rPr>
        <w:t>将其</w:t>
      </w:r>
      <w:r>
        <w:t>整体并入安徽蚌埠工业园区，并更名为安徽蚌埠淮上经济开发区，加挂</w:t>
      </w:r>
      <w:r w:rsidRPr="00A00298">
        <w:rPr>
          <w:rFonts w:ascii="宋体" w:hAnsi="宋体"/>
        </w:rPr>
        <w:t>“</w:t>
      </w:r>
      <w:r>
        <w:rPr>
          <w:rFonts w:hint="eastAsia"/>
        </w:rPr>
        <w:t>安徽</w:t>
      </w:r>
      <w:r>
        <w:t>蚌埠经济化工集聚区</w:t>
      </w:r>
      <w:r w:rsidRPr="00A00298">
        <w:rPr>
          <w:rFonts w:ascii="宋体" w:hAnsi="宋体"/>
        </w:rPr>
        <w:t>”</w:t>
      </w:r>
      <w:r>
        <w:rPr>
          <w:rFonts w:hint="eastAsia"/>
        </w:rPr>
        <w:t>牌子</w:t>
      </w:r>
      <w:r>
        <w:t>。</w:t>
      </w:r>
      <w:r>
        <w:rPr>
          <w:rFonts w:hint="eastAsia"/>
        </w:rPr>
        <w:t>至此</w:t>
      </w:r>
      <w:r>
        <w:t>，</w:t>
      </w:r>
      <w:r>
        <w:rPr>
          <w:rFonts w:hint="eastAsia"/>
        </w:rPr>
        <w:t>蚌埠精细化工高新技术产业基地更名为</w:t>
      </w:r>
      <w:r>
        <w:t>安徽蚌埠经济化工集聚区，规划面积</w:t>
      </w:r>
      <w:r>
        <w:rPr>
          <w:rFonts w:hint="eastAsia"/>
        </w:rPr>
        <w:t>、</w:t>
      </w:r>
      <w:r>
        <w:t>四至范围</w:t>
      </w:r>
      <w:r>
        <w:rPr>
          <w:rFonts w:hint="eastAsia"/>
        </w:rPr>
        <w:t>及</w:t>
      </w:r>
      <w:r>
        <w:t>主导产业定位与原</w:t>
      </w:r>
      <w:r>
        <w:rPr>
          <w:rFonts w:hint="eastAsia"/>
        </w:rPr>
        <w:t>“蚌埠精细化工高新技术产业基地”一致</w:t>
      </w:r>
      <w:r>
        <w:t>。</w:t>
      </w:r>
    </w:p>
    <w:p w:rsidR="0006470D" w:rsidRPr="00A00298" w:rsidRDefault="0006470D" w:rsidP="0006470D">
      <w:pPr>
        <w:ind w:firstLine="480"/>
      </w:pPr>
      <w:r w:rsidRPr="00A00298">
        <w:rPr>
          <w:rFonts w:hint="eastAsia"/>
        </w:rPr>
        <w:t>根据《商务部关于发布</w:t>
      </w:r>
      <w:r w:rsidRPr="00A00298">
        <w:t>2020</w:t>
      </w:r>
      <w:r w:rsidRPr="00A00298">
        <w:rPr>
          <w:rFonts w:hint="eastAsia"/>
        </w:rPr>
        <w:t>年新认定国家外贸转型升级基地名单的通知》（商贸函</w:t>
      </w:r>
      <w:r w:rsidRPr="00A00298">
        <w:t>[2020]683</w:t>
      </w:r>
      <w:r w:rsidRPr="00A00298">
        <w:rPr>
          <w:rFonts w:hint="eastAsia"/>
        </w:rPr>
        <w:t>号），蚌埠精细化工高新技术产业基地通过考核并认定为国家外贸转型升级基地。根据《安徽省发展改革委安徽省经济和信息化厅关于同意安徽太和经济开发区等开展省级化学原料药基地创建工作的通知》（皖发改产业</w:t>
      </w:r>
      <w:r w:rsidRPr="00A00298">
        <w:t>[2020]486</w:t>
      </w:r>
      <w:r w:rsidRPr="00A00298">
        <w:rPr>
          <w:rFonts w:hint="eastAsia"/>
        </w:rPr>
        <w:t>号），同意安徽</w:t>
      </w:r>
      <w:r w:rsidRPr="00A00298">
        <w:rPr>
          <w:rFonts w:hint="eastAsia"/>
        </w:rPr>
        <w:lastRenderedPageBreak/>
        <w:t>蚌埠淮上经济开发区（安徽蚌埠精细化工集聚区）为省级化学原料药基地创建对象</w:t>
      </w:r>
      <w:r>
        <w:rPr>
          <w:rFonts w:hint="eastAsia"/>
        </w:rPr>
        <w:t>。</w:t>
      </w:r>
    </w:p>
    <w:p w:rsidR="0006470D" w:rsidRPr="00A00298" w:rsidRDefault="0006470D" w:rsidP="0006470D">
      <w:pPr>
        <w:ind w:firstLine="480"/>
      </w:pPr>
      <w:r w:rsidRPr="00A00298">
        <w:t>2021</w:t>
      </w:r>
      <w:r w:rsidRPr="00A00298">
        <w:rPr>
          <w:rFonts w:hint="eastAsia"/>
        </w:rPr>
        <w:t>年</w:t>
      </w:r>
      <w:r w:rsidRPr="00A00298">
        <w:t>7</w:t>
      </w:r>
      <w:r w:rsidRPr="00A00298">
        <w:rPr>
          <w:rFonts w:hint="eastAsia"/>
        </w:rPr>
        <w:t>月，安徽蚌埠淮上经济开发区管委会委托安徽富煌建筑设计院有限公司编制《蚌埠精细化工高新技术产业基地规划（</w:t>
      </w:r>
      <w:r w:rsidRPr="00A00298">
        <w:t>2021</w:t>
      </w:r>
      <w:r w:rsidRPr="00A00298">
        <w:rPr>
          <w:rFonts w:hint="eastAsia"/>
        </w:rPr>
        <w:t>～</w:t>
      </w:r>
      <w:r w:rsidRPr="00A00298">
        <w:t>2035</w:t>
      </w:r>
      <w:r w:rsidRPr="00A00298">
        <w:rPr>
          <w:rFonts w:hint="eastAsia"/>
        </w:rPr>
        <w:t>）》，规划主导产业为精细化工、医药化工和生物基新材料，规范用地面积为</w:t>
      </w:r>
      <w:r w:rsidRPr="00A00298">
        <w:t>8.6</w:t>
      </w:r>
      <w:r w:rsidRPr="00A00298">
        <w:rPr>
          <w:rFonts w:hint="eastAsia"/>
        </w:rPr>
        <w:t>平方公里，四至范围为：东至金滨路，南至南环路，西至引河东路，北至现状五蚌路</w:t>
      </w:r>
      <w:r w:rsidRPr="00A00298">
        <w:t>(S313)</w:t>
      </w:r>
      <w:r w:rsidRPr="00A00298">
        <w:rPr>
          <w:rFonts w:hint="eastAsia"/>
        </w:rPr>
        <w:t>，具体为金滨路</w:t>
      </w:r>
      <w:r w:rsidRPr="00A00298">
        <w:t>——</w:t>
      </w:r>
      <w:r w:rsidRPr="00A00298">
        <w:rPr>
          <w:rFonts w:hint="eastAsia"/>
        </w:rPr>
        <w:t>开源大道</w:t>
      </w:r>
      <w:r w:rsidRPr="00A00298">
        <w:t>——</w:t>
      </w:r>
      <w:r w:rsidRPr="00A00298">
        <w:rPr>
          <w:rFonts w:hint="eastAsia"/>
        </w:rPr>
        <w:t>金沫路</w:t>
      </w:r>
      <w:r w:rsidRPr="00A00298">
        <w:t>——</w:t>
      </w:r>
      <w:r w:rsidRPr="00A00298">
        <w:rPr>
          <w:rFonts w:hint="eastAsia"/>
        </w:rPr>
        <w:t>淝河中路</w:t>
      </w:r>
      <w:r w:rsidRPr="00A00298">
        <w:t>——</w:t>
      </w:r>
      <w:r w:rsidRPr="00A00298">
        <w:rPr>
          <w:rFonts w:hint="eastAsia"/>
        </w:rPr>
        <w:t>金湘路</w:t>
      </w:r>
      <w:r w:rsidRPr="00A00298">
        <w:t>——</w:t>
      </w:r>
      <w:r w:rsidRPr="00A00298">
        <w:rPr>
          <w:rFonts w:hint="eastAsia"/>
        </w:rPr>
        <w:t>南环路</w:t>
      </w:r>
      <w:r w:rsidRPr="00A00298">
        <w:t>——</w:t>
      </w:r>
      <w:r w:rsidRPr="00A00298">
        <w:rPr>
          <w:rFonts w:hint="eastAsia"/>
        </w:rPr>
        <w:t>引河东路</w:t>
      </w:r>
      <w:r w:rsidRPr="00A00298">
        <w:t>——</w:t>
      </w:r>
      <w:r w:rsidRPr="00A00298">
        <w:rPr>
          <w:rFonts w:hint="eastAsia"/>
        </w:rPr>
        <w:t>开源大道</w:t>
      </w:r>
      <w:r w:rsidRPr="00A00298">
        <w:t>——</w:t>
      </w:r>
      <w:r w:rsidRPr="00A00298">
        <w:rPr>
          <w:rFonts w:hint="eastAsia"/>
        </w:rPr>
        <w:t>金潼路</w:t>
      </w:r>
      <w:r w:rsidRPr="00A00298">
        <w:t>——</w:t>
      </w:r>
      <w:r w:rsidRPr="00A00298">
        <w:rPr>
          <w:rFonts w:hint="eastAsia"/>
        </w:rPr>
        <w:t>淝河北路</w:t>
      </w:r>
      <w:r w:rsidRPr="00A00298">
        <w:t>——</w:t>
      </w:r>
      <w:r w:rsidRPr="00A00298">
        <w:rPr>
          <w:rFonts w:hint="eastAsia"/>
        </w:rPr>
        <w:t>岚岛重工东界</w:t>
      </w:r>
      <w:r w:rsidRPr="00A00298">
        <w:t>——</w:t>
      </w:r>
      <w:r w:rsidRPr="00A00298">
        <w:rPr>
          <w:rFonts w:hint="eastAsia"/>
        </w:rPr>
        <w:t>赛远薄钢科技界</w:t>
      </w:r>
      <w:r w:rsidRPr="00A00298">
        <w:t>——</w:t>
      </w:r>
      <w:r w:rsidRPr="00A00298">
        <w:rPr>
          <w:rFonts w:hint="eastAsia"/>
        </w:rPr>
        <w:t>现五蚌埠路（</w:t>
      </w:r>
      <w:r w:rsidRPr="00A00298">
        <w:t>S313</w:t>
      </w:r>
      <w:r w:rsidRPr="00A00298">
        <w:rPr>
          <w:rFonts w:hint="eastAsia"/>
        </w:rPr>
        <w:t>）</w:t>
      </w:r>
      <w:r w:rsidRPr="00A00298">
        <w:t>——</w:t>
      </w:r>
      <w:r w:rsidRPr="00A00298">
        <w:rPr>
          <w:rFonts w:hint="eastAsia"/>
        </w:rPr>
        <w:t>金滨路围合范围。</w:t>
      </w:r>
    </w:p>
    <w:p w:rsidR="004E3021" w:rsidRDefault="00606E48">
      <w:pPr>
        <w:tabs>
          <w:tab w:val="left" w:pos="540"/>
        </w:tabs>
        <w:ind w:firstLine="480"/>
      </w:pPr>
      <w:r>
        <w:tab/>
        <w:t>2022</w:t>
      </w:r>
      <w:r>
        <w:rPr>
          <w:rFonts w:hint="eastAsia"/>
        </w:rPr>
        <w:t>年</w:t>
      </w:r>
      <w:r>
        <w:rPr>
          <w:rFonts w:hint="eastAsia"/>
        </w:rPr>
        <w:t>2</w:t>
      </w:r>
      <w:r>
        <w:rPr>
          <w:rFonts w:hint="eastAsia"/>
        </w:rPr>
        <w:t>月</w:t>
      </w:r>
      <w:r>
        <w:rPr>
          <w:rFonts w:hint="eastAsia"/>
        </w:rPr>
        <w:t>17</w:t>
      </w:r>
      <w:r>
        <w:rPr>
          <w:rFonts w:hint="eastAsia"/>
        </w:rPr>
        <w:t>日</w:t>
      </w:r>
      <w:r>
        <w:t>，</w:t>
      </w:r>
      <w:r>
        <w:rPr>
          <w:rFonts w:hint="eastAsia"/>
        </w:rPr>
        <w:t>蚌埠</w:t>
      </w:r>
      <w:r>
        <w:t>市生态环境局</w:t>
      </w:r>
      <w:r>
        <w:rPr>
          <w:rFonts w:hint="eastAsia"/>
        </w:rPr>
        <w:t>以</w:t>
      </w:r>
      <w:r>
        <w:t>“</w:t>
      </w:r>
      <w:r>
        <w:rPr>
          <w:rFonts w:hint="eastAsia"/>
        </w:rPr>
        <w:t>蚌</w:t>
      </w:r>
      <w:r>
        <w:t>环字</w:t>
      </w:r>
      <w:r>
        <w:rPr>
          <w:rFonts w:hint="eastAsia"/>
        </w:rPr>
        <w:t>[</w:t>
      </w:r>
      <w:r>
        <w:t>2022</w:t>
      </w:r>
      <w:r>
        <w:rPr>
          <w:rFonts w:hint="eastAsia"/>
        </w:rPr>
        <w:t>]</w:t>
      </w:r>
      <w:r>
        <w:t>18</w:t>
      </w:r>
      <w:r>
        <w:rPr>
          <w:rFonts w:hint="eastAsia"/>
        </w:rPr>
        <w:t>号</w:t>
      </w:r>
      <w:r>
        <w:t>”</w:t>
      </w:r>
      <w:r>
        <w:rPr>
          <w:rFonts w:hint="eastAsia"/>
        </w:rPr>
        <w:t>《蚌埠市</w:t>
      </w:r>
      <w:r>
        <w:t>生态环境局</w:t>
      </w:r>
      <w:r>
        <w:rPr>
          <w:rFonts w:hint="eastAsia"/>
        </w:rPr>
        <w:t>关于</w:t>
      </w:r>
      <w:r>
        <w:t>印发</w:t>
      </w:r>
      <w:r>
        <w:rPr>
          <w:rFonts w:hint="eastAsia"/>
        </w:rPr>
        <w:t>&lt;</w:t>
      </w:r>
      <w:r>
        <w:rPr>
          <w:rFonts w:hint="eastAsia"/>
        </w:rPr>
        <w:t>蚌埠精细化工</w:t>
      </w:r>
      <w:r>
        <w:t>高新技术产业基地规划</w:t>
      </w:r>
      <w:r>
        <w:rPr>
          <w:rFonts w:hint="eastAsia"/>
        </w:rPr>
        <w:t>（</w:t>
      </w:r>
      <w:r>
        <w:rPr>
          <w:rFonts w:hint="eastAsia"/>
        </w:rPr>
        <w:t>2021</w:t>
      </w:r>
      <w:r>
        <w:t>~2035</w:t>
      </w:r>
      <w:r>
        <w:rPr>
          <w:rFonts w:hint="eastAsia"/>
        </w:rPr>
        <w:t>）环境</w:t>
      </w:r>
      <w:r>
        <w:t>影响报告书审查意见</w:t>
      </w:r>
      <w:r>
        <w:rPr>
          <w:rFonts w:hint="eastAsia"/>
        </w:rPr>
        <w:t>&gt;</w:t>
      </w:r>
      <w:r>
        <w:rPr>
          <w:rFonts w:hint="eastAsia"/>
        </w:rPr>
        <w:t>的</w:t>
      </w:r>
      <w:r>
        <w:t>函</w:t>
      </w:r>
      <w:r>
        <w:rPr>
          <w:rFonts w:hint="eastAsia"/>
        </w:rPr>
        <w:t>》通过</w:t>
      </w:r>
      <w:r>
        <w:t>了对</w:t>
      </w:r>
      <w:r>
        <w:rPr>
          <w:rFonts w:hint="eastAsia"/>
        </w:rPr>
        <w:t>蚌埠精细化工</w:t>
      </w:r>
      <w:r>
        <w:t>高新技术产业基地规划</w:t>
      </w:r>
      <w:r>
        <w:rPr>
          <w:rFonts w:hint="eastAsia"/>
        </w:rPr>
        <w:t>（</w:t>
      </w:r>
      <w:r>
        <w:rPr>
          <w:rFonts w:hint="eastAsia"/>
        </w:rPr>
        <w:t>2021</w:t>
      </w:r>
      <w:r>
        <w:t>~2035</w:t>
      </w:r>
      <w:r>
        <w:rPr>
          <w:rFonts w:hint="eastAsia"/>
        </w:rPr>
        <w:t>）环境</w:t>
      </w:r>
      <w:r>
        <w:t>影响</w:t>
      </w:r>
      <w:r>
        <w:rPr>
          <w:rFonts w:hint="eastAsia"/>
        </w:rPr>
        <w:t>报告书</w:t>
      </w:r>
      <w:r>
        <w:t>的审查。</w:t>
      </w:r>
    </w:p>
    <w:p w:rsidR="004E3021" w:rsidRDefault="00606E48">
      <w:pPr>
        <w:ind w:firstLine="480"/>
        <w:rPr>
          <w:spacing w:val="5"/>
        </w:rPr>
      </w:pPr>
      <w:r>
        <w:t>安徽凯盛</w:t>
      </w:r>
      <w:r>
        <w:rPr>
          <w:rFonts w:hint="eastAsia"/>
        </w:rPr>
        <w:t>应用</w:t>
      </w:r>
      <w:r>
        <w:t>材料</w:t>
      </w:r>
      <w:r>
        <w:rPr>
          <w:rFonts w:hint="eastAsia"/>
        </w:rPr>
        <w:t>有限</w:t>
      </w:r>
      <w:r>
        <w:t>公司</w:t>
      </w:r>
      <w:r>
        <w:rPr>
          <w:rFonts w:hint="eastAsia"/>
        </w:rPr>
        <w:t>位于蚌埠精细化工高新技术产业基地内，该区域性质</w:t>
      </w:r>
      <w:r>
        <w:t>定位为以产业升级和科技创新为导向，</w:t>
      </w:r>
      <w:r>
        <w:rPr>
          <w:rFonts w:hint="eastAsia"/>
        </w:rPr>
        <w:t>以</w:t>
      </w:r>
      <w:r>
        <w:t>产城融合为路径，以精细化工</w:t>
      </w:r>
      <w:r>
        <w:rPr>
          <w:rFonts w:hint="eastAsia"/>
        </w:rPr>
        <w:t>产业</w:t>
      </w:r>
      <w:r>
        <w:t>、生物产业</w:t>
      </w:r>
      <w:r>
        <w:rPr>
          <w:rFonts w:hint="eastAsia"/>
        </w:rPr>
        <w:t>、</w:t>
      </w:r>
      <w:r>
        <w:t>新材料产业系列产品的科技研发制造为特色的创新型工业示范开发区</w:t>
      </w:r>
      <w:r>
        <w:rPr>
          <w:rFonts w:hint="eastAsia"/>
        </w:rPr>
        <w:t>。本项目</w:t>
      </w:r>
      <w:r w:rsidR="00947F13">
        <w:rPr>
          <w:rFonts w:hint="eastAsia"/>
        </w:rPr>
        <w:t>改</w:t>
      </w:r>
      <w:r>
        <w:rPr>
          <w:rFonts w:hint="eastAsia"/>
        </w:rPr>
        <w:t>扩建项目</w:t>
      </w:r>
      <w:r>
        <w:t>，属于</w:t>
      </w:r>
      <w:r>
        <w:rPr>
          <w:rFonts w:hint="eastAsia"/>
        </w:rPr>
        <w:t>精细</w:t>
      </w:r>
      <w:r>
        <w:t>化工项目</w:t>
      </w:r>
      <w:r>
        <w:rPr>
          <w:rFonts w:hint="eastAsia"/>
        </w:rPr>
        <w:t>，</w:t>
      </w:r>
      <w:r>
        <w:t>位于</w:t>
      </w:r>
      <w:r>
        <w:rPr>
          <w:rFonts w:ascii="宋体" w:hAnsi="宋体" w:hint="eastAsia"/>
        </w:rPr>
        <w:t>蚌埠精细化工高新技术产业基地精细化工</w:t>
      </w:r>
      <w:r>
        <w:rPr>
          <w:rFonts w:ascii="宋体" w:hAnsi="宋体"/>
        </w:rPr>
        <w:t>区</w:t>
      </w:r>
      <w:r>
        <w:rPr>
          <w:rFonts w:hint="eastAsia"/>
        </w:rPr>
        <w:t>，符合开发区</w:t>
      </w:r>
      <w:r>
        <w:t>产业定位。</w:t>
      </w:r>
      <w:r>
        <w:rPr>
          <w:rFonts w:hint="eastAsia"/>
          <w:spacing w:val="5"/>
        </w:rPr>
        <w:t>本项目与</w:t>
      </w:r>
      <w:r>
        <w:rPr>
          <w:rFonts w:hint="eastAsia"/>
        </w:rPr>
        <w:t>区域规划及</w:t>
      </w:r>
      <w:r>
        <w:t>规划环评审查意见</w:t>
      </w:r>
      <w:r>
        <w:rPr>
          <w:rFonts w:hint="eastAsia"/>
          <w:spacing w:val="5"/>
        </w:rPr>
        <w:t>符合性分析如下表</w:t>
      </w:r>
      <w:r>
        <w:rPr>
          <w:spacing w:val="5"/>
        </w:rPr>
        <w:t>2.5.</w:t>
      </w:r>
      <w:r>
        <w:t>1</w:t>
      </w:r>
      <w:r>
        <w:rPr>
          <w:spacing w:val="5"/>
        </w:rPr>
        <w:t>-1</w:t>
      </w:r>
      <w:r>
        <w:rPr>
          <w:rFonts w:hint="eastAsia"/>
          <w:spacing w:val="5"/>
        </w:rPr>
        <w:t>。</w:t>
      </w:r>
    </w:p>
    <w:p w:rsidR="004E3021" w:rsidRDefault="004E3021">
      <w:pPr>
        <w:ind w:firstLine="480"/>
        <w:sectPr w:rsidR="004E3021">
          <w:pgSz w:w="11906" w:h="16838"/>
          <w:pgMar w:top="1440" w:right="1440" w:bottom="1440" w:left="1440" w:header="851" w:footer="992" w:gutter="0"/>
          <w:cols w:space="425"/>
          <w:docGrid w:type="lines" w:linePitch="326"/>
        </w:sectPr>
      </w:pPr>
    </w:p>
    <w:p w:rsidR="004E3021" w:rsidRDefault="00606E48">
      <w:pPr>
        <w:pStyle w:val="afffff4"/>
      </w:pPr>
      <w:r>
        <w:lastRenderedPageBreak/>
        <w:t>表</w:t>
      </w:r>
      <w:r>
        <w:rPr>
          <w:spacing w:val="5"/>
          <w:szCs w:val="24"/>
        </w:rPr>
        <w:t>2.5.</w:t>
      </w:r>
      <w:r>
        <w:t>1-1</w:t>
      </w:r>
      <w:r>
        <w:rPr>
          <w:rFonts w:hint="eastAsia"/>
        </w:rPr>
        <w:t xml:space="preserve"> </w:t>
      </w:r>
      <w:r>
        <w:rPr>
          <w:rFonts w:hint="eastAsia"/>
        </w:rPr>
        <w:t>本项目</w:t>
      </w:r>
      <w:r>
        <w:t>与</w:t>
      </w:r>
      <w:r>
        <w:rPr>
          <w:rFonts w:hint="eastAsia"/>
        </w:rPr>
        <w:t>蚌埠精细化工高新技术产业基地规划（</w:t>
      </w:r>
      <w:r>
        <w:rPr>
          <w:rFonts w:hint="eastAsia"/>
        </w:rPr>
        <w:t>2021-2035</w:t>
      </w:r>
      <w:r>
        <w:rPr>
          <w:rFonts w:hint="eastAsia"/>
        </w:rPr>
        <w:t>）及规划环评审查意见符合性</w:t>
      </w:r>
    </w:p>
    <w:tbl>
      <w:tblPr>
        <w:tblStyle w:val="afff"/>
        <w:tblW w:w="5000" w:type="pct"/>
        <w:tblLook w:val="04A0" w:firstRow="1" w:lastRow="0" w:firstColumn="1" w:lastColumn="0" w:noHBand="0" w:noVBand="1"/>
      </w:tblPr>
      <w:tblGrid>
        <w:gridCol w:w="1591"/>
        <w:gridCol w:w="913"/>
        <w:gridCol w:w="7135"/>
        <w:gridCol w:w="3696"/>
        <w:gridCol w:w="623"/>
      </w:tblGrid>
      <w:tr w:rsidR="004E3021" w:rsidRPr="00AB41E0" w:rsidTr="00E222A5">
        <w:trPr>
          <w:trHeight w:val="70"/>
        </w:trPr>
        <w:tc>
          <w:tcPr>
            <w:tcW w:w="897" w:type="pct"/>
            <w:gridSpan w:val="2"/>
            <w:vAlign w:val="center"/>
          </w:tcPr>
          <w:p w:rsidR="004E3021" w:rsidRPr="00AB41E0" w:rsidRDefault="00606E48" w:rsidP="00AB41E0">
            <w:pPr>
              <w:pStyle w:val="afffffff2"/>
              <w:rPr>
                <w:rFonts w:ascii="Times New Roman" w:hAnsi="Times New Roman" w:cs="Times New Roman"/>
                <w:b/>
                <w:kern w:val="0"/>
                <w:sz w:val="21"/>
                <w:szCs w:val="21"/>
              </w:rPr>
            </w:pPr>
            <w:r w:rsidRPr="00AB41E0">
              <w:rPr>
                <w:rFonts w:ascii="Times New Roman" w:hAnsi="Times New Roman" w:cs="Times New Roman"/>
                <w:b/>
                <w:kern w:val="0"/>
                <w:sz w:val="21"/>
                <w:szCs w:val="21"/>
              </w:rPr>
              <w:t>分析内容</w:t>
            </w:r>
          </w:p>
        </w:tc>
        <w:tc>
          <w:tcPr>
            <w:tcW w:w="2556" w:type="pct"/>
            <w:vAlign w:val="center"/>
          </w:tcPr>
          <w:p w:rsidR="004E3021" w:rsidRPr="00AB41E0" w:rsidRDefault="00606E48" w:rsidP="00AB41E0">
            <w:pPr>
              <w:pStyle w:val="afffffff2"/>
              <w:rPr>
                <w:rFonts w:ascii="Times New Roman" w:hAnsi="Times New Roman" w:cs="Times New Roman"/>
                <w:b/>
                <w:kern w:val="0"/>
                <w:sz w:val="21"/>
                <w:szCs w:val="21"/>
              </w:rPr>
            </w:pPr>
            <w:r w:rsidRPr="00AB41E0">
              <w:rPr>
                <w:rFonts w:ascii="Times New Roman" w:hAnsi="Times New Roman" w:cs="Times New Roman"/>
                <w:b/>
                <w:kern w:val="0"/>
                <w:sz w:val="21"/>
                <w:szCs w:val="21"/>
              </w:rPr>
              <w:t>蚌埠精细化工高新技术产业基地规划（</w:t>
            </w:r>
            <w:r w:rsidRPr="00AB41E0">
              <w:rPr>
                <w:rFonts w:ascii="Times New Roman" w:hAnsi="Times New Roman" w:cs="Times New Roman"/>
                <w:b/>
                <w:kern w:val="0"/>
                <w:sz w:val="21"/>
                <w:szCs w:val="21"/>
              </w:rPr>
              <w:t>2021-2035</w:t>
            </w:r>
            <w:r w:rsidRPr="00AB41E0">
              <w:rPr>
                <w:rFonts w:ascii="Times New Roman" w:hAnsi="Times New Roman" w:cs="Times New Roman"/>
                <w:b/>
                <w:kern w:val="0"/>
                <w:sz w:val="21"/>
                <w:szCs w:val="21"/>
              </w:rPr>
              <w:t>）相关内容</w:t>
            </w:r>
          </w:p>
        </w:tc>
        <w:tc>
          <w:tcPr>
            <w:tcW w:w="1324" w:type="pct"/>
            <w:vAlign w:val="center"/>
          </w:tcPr>
          <w:p w:rsidR="004E3021" w:rsidRPr="00AB41E0" w:rsidRDefault="00606E48" w:rsidP="00AB41E0">
            <w:pPr>
              <w:pStyle w:val="afffffff2"/>
              <w:rPr>
                <w:rFonts w:ascii="Times New Roman" w:hAnsi="Times New Roman" w:cs="Times New Roman"/>
                <w:b/>
                <w:kern w:val="0"/>
                <w:sz w:val="21"/>
                <w:szCs w:val="21"/>
              </w:rPr>
            </w:pPr>
            <w:r w:rsidRPr="00AB41E0">
              <w:rPr>
                <w:rFonts w:ascii="Times New Roman" w:hAnsi="Times New Roman" w:cs="Times New Roman"/>
                <w:b/>
                <w:kern w:val="0"/>
                <w:sz w:val="21"/>
                <w:szCs w:val="21"/>
              </w:rPr>
              <w:t>本项目与规划的符合性情况</w:t>
            </w:r>
          </w:p>
        </w:tc>
        <w:tc>
          <w:tcPr>
            <w:tcW w:w="223" w:type="pct"/>
            <w:vAlign w:val="center"/>
          </w:tcPr>
          <w:p w:rsidR="004E3021" w:rsidRPr="00AB41E0" w:rsidRDefault="00606E48" w:rsidP="00AB41E0">
            <w:pPr>
              <w:pStyle w:val="afffffff2"/>
              <w:rPr>
                <w:rFonts w:ascii="Times New Roman" w:hAnsi="Times New Roman" w:cs="Times New Roman"/>
                <w:b/>
                <w:kern w:val="0"/>
                <w:sz w:val="21"/>
                <w:szCs w:val="21"/>
              </w:rPr>
            </w:pPr>
            <w:r w:rsidRPr="00AB41E0">
              <w:rPr>
                <w:rFonts w:ascii="Times New Roman" w:hAnsi="Times New Roman" w:cs="Times New Roman"/>
                <w:b/>
                <w:kern w:val="0"/>
                <w:sz w:val="21"/>
                <w:szCs w:val="21"/>
              </w:rPr>
              <w:t>是否符合</w:t>
            </w:r>
          </w:p>
        </w:tc>
      </w:tr>
      <w:tr w:rsidR="004E3021" w:rsidRPr="00AB41E0" w:rsidTr="00E222A5">
        <w:trPr>
          <w:trHeight w:val="70"/>
        </w:trPr>
        <w:tc>
          <w:tcPr>
            <w:tcW w:w="570" w:type="pct"/>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蚌埠精细化工高新技术产业基地规划（</w:t>
            </w:r>
            <w:r w:rsidRPr="00AB41E0">
              <w:rPr>
                <w:rFonts w:ascii="Times New Roman" w:hAnsi="Times New Roman" w:cs="Times New Roman"/>
                <w:kern w:val="0"/>
                <w:sz w:val="21"/>
                <w:szCs w:val="21"/>
              </w:rPr>
              <w:t>2021~2035</w:t>
            </w:r>
            <w:r w:rsidRPr="00AB41E0">
              <w:rPr>
                <w:rFonts w:ascii="Times New Roman" w:hAnsi="Times New Roman" w:cs="Times New Roman"/>
                <w:kern w:val="0"/>
                <w:sz w:val="21"/>
                <w:szCs w:val="21"/>
              </w:rPr>
              <w:t>）</w:t>
            </w:r>
          </w:p>
        </w:tc>
        <w:tc>
          <w:tcPr>
            <w:tcW w:w="32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规划区范围</w:t>
            </w:r>
          </w:p>
        </w:tc>
        <w:tc>
          <w:tcPr>
            <w:tcW w:w="2556"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蚌埠精细化工高新技术产业基地规划范围面积</w:t>
            </w:r>
            <w:r w:rsidRPr="00AB41E0">
              <w:rPr>
                <w:rFonts w:ascii="Times New Roman" w:hAnsi="Times New Roman" w:cs="Times New Roman"/>
                <w:kern w:val="0"/>
                <w:sz w:val="21"/>
                <w:szCs w:val="21"/>
              </w:rPr>
              <w:t>860</w:t>
            </w:r>
            <w:r w:rsidRPr="00AB41E0">
              <w:rPr>
                <w:rFonts w:ascii="Times New Roman" w:hAnsi="Times New Roman" w:cs="Times New Roman"/>
                <w:kern w:val="0"/>
                <w:sz w:val="21"/>
                <w:szCs w:val="21"/>
              </w:rPr>
              <w:t>公顷，四至范围为：东至金滨路，南至南环路，西至沫冲引河，北至现状五蚌路（</w:t>
            </w:r>
            <w:r w:rsidRPr="00AB41E0">
              <w:rPr>
                <w:rFonts w:ascii="Times New Roman" w:hAnsi="Times New Roman" w:cs="Times New Roman"/>
                <w:kern w:val="0"/>
                <w:sz w:val="21"/>
                <w:szCs w:val="21"/>
              </w:rPr>
              <w:t>S306</w:t>
            </w:r>
            <w:r w:rsidRPr="00AB41E0">
              <w:rPr>
                <w:rFonts w:ascii="Times New Roman" w:hAnsi="Times New Roman" w:cs="Times New Roman"/>
                <w:kern w:val="0"/>
                <w:sz w:val="21"/>
                <w:szCs w:val="21"/>
              </w:rPr>
              <w:t>）。</w:t>
            </w:r>
          </w:p>
        </w:tc>
        <w:tc>
          <w:tcPr>
            <w:tcW w:w="132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本项目位于蚌埠精细化工高新技术产业基地开源大道</w:t>
            </w:r>
            <w:r w:rsidRPr="00AB41E0">
              <w:rPr>
                <w:rFonts w:ascii="Times New Roman" w:hAnsi="Times New Roman" w:cs="Times New Roman"/>
                <w:kern w:val="0"/>
                <w:sz w:val="21"/>
                <w:szCs w:val="21"/>
              </w:rPr>
              <w:t>28</w:t>
            </w:r>
            <w:r w:rsidRPr="00AB41E0">
              <w:rPr>
                <w:rFonts w:ascii="Times New Roman" w:hAnsi="Times New Roman" w:cs="Times New Roman"/>
                <w:kern w:val="0"/>
                <w:sz w:val="21"/>
                <w:szCs w:val="21"/>
              </w:rPr>
              <w:t>号，属于蚌埠精细化工高新技术产业基地规划（</w:t>
            </w:r>
            <w:r w:rsidRPr="00AB41E0">
              <w:rPr>
                <w:rFonts w:ascii="Times New Roman" w:hAnsi="Times New Roman" w:cs="Times New Roman"/>
                <w:kern w:val="0"/>
                <w:sz w:val="21"/>
                <w:szCs w:val="21"/>
              </w:rPr>
              <w:t>2021-2035</w:t>
            </w:r>
            <w:r w:rsidRPr="00AB41E0">
              <w:rPr>
                <w:rFonts w:ascii="Times New Roman" w:hAnsi="Times New Roman" w:cs="Times New Roman"/>
                <w:kern w:val="0"/>
                <w:sz w:val="21"/>
                <w:szCs w:val="21"/>
              </w:rPr>
              <w:t>）范围内</w:t>
            </w:r>
          </w:p>
        </w:tc>
        <w:tc>
          <w:tcPr>
            <w:tcW w:w="223"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符合</w:t>
            </w:r>
          </w:p>
        </w:tc>
      </w:tr>
      <w:tr w:rsidR="004E3021" w:rsidRPr="00AB41E0" w:rsidTr="00E222A5">
        <w:trPr>
          <w:trHeight w:val="70"/>
        </w:trPr>
        <w:tc>
          <w:tcPr>
            <w:tcW w:w="570"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2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规划目标</w:t>
            </w:r>
          </w:p>
        </w:tc>
        <w:tc>
          <w:tcPr>
            <w:tcW w:w="2556"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建设省级精细化工、化学原料药、生物基新材料生产基地，并争取为国家级生产基地。创建国家级生态开发区。</w:t>
            </w:r>
          </w:p>
        </w:tc>
        <w:tc>
          <w:tcPr>
            <w:tcW w:w="132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本项目为基础化学原料制造项目，符合规划目标的整体要求。</w:t>
            </w:r>
          </w:p>
        </w:tc>
        <w:tc>
          <w:tcPr>
            <w:tcW w:w="223"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符合</w:t>
            </w:r>
          </w:p>
        </w:tc>
      </w:tr>
      <w:tr w:rsidR="004E3021" w:rsidRPr="00AB41E0" w:rsidTr="00E222A5">
        <w:trPr>
          <w:trHeight w:val="70"/>
        </w:trPr>
        <w:tc>
          <w:tcPr>
            <w:tcW w:w="570"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2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产业定位与产业布局</w:t>
            </w:r>
          </w:p>
        </w:tc>
        <w:tc>
          <w:tcPr>
            <w:tcW w:w="2556"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以产业升级和科技创新为导向，以产城融合为路径，以精细化工产业、生物产业、新材料产业系列产品的科技研发制造为特色的创新型工业示范开发区。产业布局为精细化工区、生物医药化工产业区和生物基新材料区</w:t>
            </w:r>
          </w:p>
        </w:tc>
        <w:tc>
          <w:tcPr>
            <w:tcW w:w="1324" w:type="pct"/>
            <w:vAlign w:val="center"/>
          </w:tcPr>
          <w:p w:rsidR="004E3021" w:rsidRPr="00AB41E0" w:rsidRDefault="00606E48" w:rsidP="00E222A5">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本项目产品为硅烷新材料，属于</w:t>
            </w:r>
            <w:r w:rsidRPr="00AB41E0">
              <w:rPr>
                <w:rFonts w:ascii="Times New Roman" w:hAnsi="Times New Roman" w:cs="Times New Roman"/>
                <w:color w:val="000000" w:themeColor="text1"/>
                <w:kern w:val="0"/>
                <w:sz w:val="21"/>
                <w:szCs w:val="21"/>
              </w:rPr>
              <w:t>精细化工产业，</w:t>
            </w:r>
            <w:r w:rsidRPr="00AB41E0">
              <w:rPr>
                <w:rFonts w:ascii="Times New Roman" w:hAnsi="Times New Roman" w:cs="Times New Roman"/>
                <w:kern w:val="0"/>
                <w:sz w:val="21"/>
                <w:szCs w:val="21"/>
              </w:rPr>
              <w:t>其建设符合蚌埠精细化工产业基地产业定位要求；本项目位于精细化工区，符合产业布局。</w:t>
            </w:r>
          </w:p>
        </w:tc>
        <w:tc>
          <w:tcPr>
            <w:tcW w:w="223"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符合</w:t>
            </w:r>
          </w:p>
        </w:tc>
      </w:tr>
      <w:tr w:rsidR="004E3021" w:rsidRPr="00AB41E0" w:rsidTr="00E222A5">
        <w:trPr>
          <w:trHeight w:val="70"/>
        </w:trPr>
        <w:tc>
          <w:tcPr>
            <w:tcW w:w="570"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2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给水工程规划</w:t>
            </w:r>
          </w:p>
        </w:tc>
        <w:tc>
          <w:tcPr>
            <w:tcW w:w="2556"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结合蚌埠市《蚌埠市城市给水专项规划（</w:t>
            </w:r>
            <w:r w:rsidRPr="00AB41E0">
              <w:rPr>
                <w:rFonts w:ascii="Times New Roman" w:hAnsi="Times New Roman" w:cs="Times New Roman"/>
                <w:kern w:val="0"/>
                <w:sz w:val="21"/>
                <w:szCs w:val="21"/>
              </w:rPr>
              <w:t>2014-2030</w:t>
            </w:r>
            <w:r w:rsidRPr="00AB41E0">
              <w:rPr>
                <w:rFonts w:ascii="Times New Roman" w:hAnsi="Times New Roman" w:cs="Times New Roman"/>
                <w:kern w:val="0"/>
                <w:sz w:val="21"/>
                <w:szCs w:val="21"/>
              </w:rPr>
              <w:t>）年》，对于淮上区供水水源的分析确定为：以淮河水源为主，淮河以北地下水为应急补充水源。蚌埠精细化工高新技术产业基地规划区块近远期供水均由沫河口自来水厂供给，现状供水能力为</w:t>
            </w:r>
            <w:r w:rsidRPr="00AB41E0">
              <w:rPr>
                <w:rFonts w:ascii="Times New Roman" w:hAnsi="Times New Roman" w:cs="Times New Roman"/>
                <w:kern w:val="0"/>
                <w:sz w:val="21"/>
                <w:szCs w:val="21"/>
              </w:rPr>
              <w:t>3</w:t>
            </w:r>
            <w:r w:rsidRPr="00AB41E0">
              <w:rPr>
                <w:rFonts w:ascii="Times New Roman" w:hAnsi="Times New Roman" w:cs="Times New Roman"/>
                <w:kern w:val="0"/>
                <w:sz w:val="21"/>
                <w:szCs w:val="21"/>
              </w:rPr>
              <w:t>万吨</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日，沫河口远期将扩容至</w:t>
            </w:r>
            <w:r w:rsidRPr="00AB41E0">
              <w:rPr>
                <w:rFonts w:ascii="Times New Roman" w:hAnsi="Times New Roman" w:cs="Times New Roman"/>
                <w:kern w:val="0"/>
                <w:sz w:val="21"/>
                <w:szCs w:val="21"/>
              </w:rPr>
              <w:t>12</w:t>
            </w:r>
            <w:r w:rsidRPr="00AB41E0">
              <w:rPr>
                <w:rFonts w:ascii="Times New Roman" w:hAnsi="Times New Roman" w:cs="Times New Roman"/>
                <w:kern w:val="0"/>
                <w:sz w:val="21"/>
                <w:szCs w:val="21"/>
              </w:rPr>
              <w:t>万吨</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日的水厂供水。</w:t>
            </w:r>
          </w:p>
        </w:tc>
        <w:tc>
          <w:tcPr>
            <w:tcW w:w="132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本项目用水来自基地水厂供水，供水水源有保证。</w:t>
            </w:r>
          </w:p>
        </w:tc>
        <w:tc>
          <w:tcPr>
            <w:tcW w:w="223"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符合</w:t>
            </w:r>
          </w:p>
        </w:tc>
      </w:tr>
      <w:tr w:rsidR="004E3021" w:rsidRPr="00AB41E0" w:rsidTr="00E222A5">
        <w:trPr>
          <w:trHeight w:val="70"/>
        </w:trPr>
        <w:tc>
          <w:tcPr>
            <w:tcW w:w="570"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2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排水工程规划</w:t>
            </w:r>
          </w:p>
        </w:tc>
        <w:tc>
          <w:tcPr>
            <w:tcW w:w="2556"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现状沫河口污水处理厂能力为</w:t>
            </w:r>
            <w:r w:rsidRPr="00AB41E0">
              <w:rPr>
                <w:rFonts w:ascii="Times New Roman" w:hAnsi="Times New Roman" w:cs="Times New Roman"/>
                <w:kern w:val="0"/>
                <w:sz w:val="21"/>
                <w:szCs w:val="21"/>
              </w:rPr>
              <w:t>2</w:t>
            </w:r>
            <w:r w:rsidRPr="00AB41E0">
              <w:rPr>
                <w:rFonts w:ascii="Times New Roman" w:hAnsi="Times New Roman" w:cs="Times New Roman"/>
                <w:kern w:val="0"/>
                <w:sz w:val="21"/>
                <w:szCs w:val="21"/>
              </w:rPr>
              <w:t>万吨</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日，处理高新技术技术产业基地的工业污水及镇区生活污水。规划近期扩建现有污水处理厂，日处理能力</w:t>
            </w:r>
            <w:r w:rsidRPr="00AB41E0">
              <w:rPr>
                <w:rFonts w:ascii="Times New Roman" w:hAnsi="Times New Roman" w:cs="Times New Roman"/>
                <w:kern w:val="0"/>
                <w:sz w:val="21"/>
                <w:szCs w:val="21"/>
              </w:rPr>
              <w:t>5.0</w:t>
            </w:r>
            <w:r w:rsidRPr="00AB41E0">
              <w:rPr>
                <w:rFonts w:ascii="Times New Roman" w:hAnsi="Times New Roman" w:cs="Times New Roman"/>
                <w:kern w:val="0"/>
                <w:sz w:val="21"/>
                <w:szCs w:val="21"/>
              </w:rPr>
              <w:t>万吨</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日，远期扩建日处理能力为</w:t>
            </w:r>
            <w:r w:rsidRPr="00AB41E0">
              <w:rPr>
                <w:rFonts w:ascii="Times New Roman" w:hAnsi="Times New Roman" w:cs="Times New Roman"/>
                <w:kern w:val="0"/>
                <w:sz w:val="21"/>
                <w:szCs w:val="21"/>
              </w:rPr>
              <w:t>10</w:t>
            </w:r>
            <w:r w:rsidRPr="00AB41E0">
              <w:rPr>
                <w:rFonts w:ascii="Times New Roman" w:hAnsi="Times New Roman" w:cs="Times New Roman"/>
                <w:kern w:val="0"/>
                <w:sz w:val="21"/>
                <w:szCs w:val="21"/>
              </w:rPr>
              <w:t>万吨</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日，满足高新技术产业基地污水处理需求，规划污水处理用地面积</w:t>
            </w:r>
            <w:r w:rsidRPr="00AB41E0">
              <w:rPr>
                <w:rFonts w:ascii="Times New Roman" w:hAnsi="Times New Roman" w:cs="Times New Roman"/>
                <w:kern w:val="0"/>
                <w:sz w:val="21"/>
                <w:szCs w:val="21"/>
              </w:rPr>
              <w:t>12</w:t>
            </w:r>
            <w:r w:rsidRPr="00AB41E0">
              <w:rPr>
                <w:rFonts w:ascii="Times New Roman" w:hAnsi="Times New Roman" w:cs="Times New Roman"/>
                <w:kern w:val="0"/>
                <w:sz w:val="21"/>
                <w:szCs w:val="21"/>
              </w:rPr>
              <w:t>公顷。</w:t>
            </w:r>
          </w:p>
        </w:tc>
        <w:tc>
          <w:tcPr>
            <w:tcW w:w="132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本项目各类废水经厂区污水处理站处理达标后接管沫河口污水处理厂。</w:t>
            </w:r>
          </w:p>
        </w:tc>
        <w:tc>
          <w:tcPr>
            <w:tcW w:w="223"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符合</w:t>
            </w:r>
          </w:p>
        </w:tc>
      </w:tr>
      <w:tr w:rsidR="004E3021" w:rsidRPr="00AB41E0" w:rsidTr="00E222A5">
        <w:tc>
          <w:tcPr>
            <w:tcW w:w="570"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2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生态环境保护规划</w:t>
            </w:r>
          </w:p>
        </w:tc>
        <w:tc>
          <w:tcPr>
            <w:tcW w:w="2556"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以改善环境质量为核心，坚持污染防治和生态保护并重，强化环境管理，全面促进高新技术产业局基地的社会、经济和环境的可持续发展。</w:t>
            </w:r>
          </w:p>
        </w:tc>
        <w:tc>
          <w:tcPr>
            <w:tcW w:w="132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本项目实施后，废气做到达标排放；生产、生活污水接管沫河口污水处理厂；厂界噪声做到达标排放，固体废物处理率达到</w:t>
            </w:r>
            <w:r w:rsidRPr="00AB41E0">
              <w:rPr>
                <w:rFonts w:ascii="Times New Roman" w:hAnsi="Times New Roman" w:cs="Times New Roman"/>
                <w:kern w:val="0"/>
                <w:sz w:val="21"/>
                <w:szCs w:val="21"/>
              </w:rPr>
              <w:t>100%</w:t>
            </w:r>
          </w:p>
        </w:tc>
        <w:tc>
          <w:tcPr>
            <w:tcW w:w="223"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符合</w:t>
            </w:r>
          </w:p>
        </w:tc>
      </w:tr>
      <w:tr w:rsidR="004E3021" w:rsidRPr="00AB41E0" w:rsidTr="00E222A5">
        <w:tc>
          <w:tcPr>
            <w:tcW w:w="570" w:type="pct"/>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蚌埠精细化工高新技术产业基地规划（</w:t>
            </w:r>
            <w:r w:rsidRPr="00AB41E0">
              <w:rPr>
                <w:rFonts w:ascii="Times New Roman" w:hAnsi="Times New Roman" w:cs="Times New Roman"/>
                <w:kern w:val="0"/>
                <w:sz w:val="21"/>
                <w:szCs w:val="21"/>
              </w:rPr>
              <w:t>2021~2035</w:t>
            </w:r>
            <w:r w:rsidRPr="00AB41E0">
              <w:rPr>
                <w:rFonts w:ascii="Times New Roman" w:hAnsi="Times New Roman" w:cs="Times New Roman"/>
                <w:kern w:val="0"/>
                <w:sz w:val="21"/>
                <w:szCs w:val="21"/>
              </w:rPr>
              <w:t>）环评相关要求</w:t>
            </w:r>
          </w:p>
        </w:tc>
        <w:tc>
          <w:tcPr>
            <w:tcW w:w="2883"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坚决执行项目准入制度，在项目环评审批中必查与规划环评的符合性，对能源、资源消耗高，环境风险大的项目实施</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一票否决</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w:t>
            </w:r>
          </w:p>
        </w:tc>
        <w:tc>
          <w:tcPr>
            <w:tcW w:w="132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本项目生产车间配备</w:t>
            </w:r>
            <w:r w:rsidRPr="00AB41E0">
              <w:rPr>
                <w:rFonts w:ascii="Times New Roman" w:hAnsi="Times New Roman" w:cs="Times New Roman"/>
                <w:kern w:val="0"/>
                <w:sz w:val="21"/>
                <w:szCs w:val="21"/>
              </w:rPr>
              <w:t>DCS</w:t>
            </w:r>
            <w:r w:rsidRPr="00AB41E0">
              <w:rPr>
                <w:rFonts w:ascii="Times New Roman" w:hAnsi="Times New Roman" w:cs="Times New Roman"/>
                <w:kern w:val="0"/>
                <w:sz w:val="21"/>
                <w:szCs w:val="21"/>
              </w:rPr>
              <w:t>控制系统、视频监控系统和消防报警系统等，环境风险可控，其建设符合规划环评提出的入区要求。</w:t>
            </w:r>
          </w:p>
        </w:tc>
        <w:tc>
          <w:tcPr>
            <w:tcW w:w="223"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符合</w:t>
            </w:r>
          </w:p>
        </w:tc>
      </w:tr>
      <w:tr w:rsidR="004E3021" w:rsidRPr="00AB41E0" w:rsidTr="00E222A5">
        <w:tc>
          <w:tcPr>
            <w:tcW w:w="570"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883"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严格禁止区内企业新建燃煤、燃重油等重污染燃料锅炉或工业炉窑，若集中供热无法满足企业特殊工艺用热要求，需要自建锅炉或者工业炉窑的项目，必须使用天然气等清洁能源，切实发挥</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绿色屏障</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源头控制作用。</w:t>
            </w:r>
          </w:p>
        </w:tc>
        <w:tc>
          <w:tcPr>
            <w:tcW w:w="1324" w:type="pct"/>
            <w:vAlign w:val="center"/>
          </w:tcPr>
          <w:p w:rsidR="004E3021" w:rsidRPr="00AB41E0" w:rsidRDefault="00606E48" w:rsidP="00797C68">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本项目采用园区集中供热设施供热。</w:t>
            </w:r>
          </w:p>
        </w:tc>
        <w:tc>
          <w:tcPr>
            <w:tcW w:w="223"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符合</w:t>
            </w:r>
          </w:p>
        </w:tc>
      </w:tr>
      <w:tr w:rsidR="004E3021" w:rsidRPr="00AB41E0" w:rsidTr="00E222A5">
        <w:tc>
          <w:tcPr>
            <w:tcW w:w="570"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883"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区内企业应做到</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清污分流、雨污分流</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，实现废水分类收集、分质处理，确保污染物的达标排放。</w:t>
            </w:r>
          </w:p>
        </w:tc>
        <w:tc>
          <w:tcPr>
            <w:tcW w:w="1324" w:type="pct"/>
            <w:vAlign w:val="center"/>
          </w:tcPr>
          <w:p w:rsidR="004E3021" w:rsidRPr="00AB41E0" w:rsidRDefault="00606E48" w:rsidP="00E222A5">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本项目均实施了清污分流、雨污分流、污污分流等</w:t>
            </w:r>
            <w:r w:rsidR="00E222A5">
              <w:rPr>
                <w:rFonts w:ascii="Times New Roman" w:hAnsi="Times New Roman" w:cs="Times New Roman"/>
                <w:kern w:val="0"/>
                <w:sz w:val="21"/>
                <w:szCs w:val="21"/>
              </w:rPr>
              <w:t>，收集后集中处理，所有废水均收集处理。本项目的废水分质收集处理</w:t>
            </w:r>
            <w:r w:rsidRPr="00AB41E0">
              <w:rPr>
                <w:rFonts w:ascii="Times New Roman" w:hAnsi="Times New Roman" w:cs="Times New Roman"/>
                <w:kern w:val="0"/>
                <w:sz w:val="21"/>
                <w:szCs w:val="21"/>
              </w:rPr>
              <w:t>，外排废水满足沫河口污水处理厂的接管要求。</w:t>
            </w:r>
          </w:p>
        </w:tc>
        <w:tc>
          <w:tcPr>
            <w:tcW w:w="223"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符合</w:t>
            </w:r>
          </w:p>
        </w:tc>
      </w:tr>
      <w:tr w:rsidR="004E3021" w:rsidRPr="00AB41E0" w:rsidTr="00E222A5">
        <w:tc>
          <w:tcPr>
            <w:tcW w:w="570"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883"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化工、医药、涉重等企业可能污染地下水的场地进行防渗处理。</w:t>
            </w:r>
          </w:p>
        </w:tc>
        <w:tc>
          <w:tcPr>
            <w:tcW w:w="132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本项目地下水污染防治措施中，提出对装置区、罐区、污水处理站、原料库、危废库、罐组、中间罐区等进行重点防渗。</w:t>
            </w:r>
          </w:p>
        </w:tc>
        <w:tc>
          <w:tcPr>
            <w:tcW w:w="223"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符合</w:t>
            </w:r>
          </w:p>
        </w:tc>
      </w:tr>
      <w:tr w:rsidR="004E3021" w:rsidRPr="00AB41E0" w:rsidTr="00E222A5">
        <w:tc>
          <w:tcPr>
            <w:tcW w:w="570" w:type="pct"/>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蚌埠精细化工高新技术产业基地规划</w:t>
            </w:r>
            <w:r w:rsidRPr="00AB41E0">
              <w:rPr>
                <w:rFonts w:ascii="Times New Roman" w:hAnsi="Times New Roman" w:cs="Times New Roman"/>
                <w:kern w:val="0"/>
                <w:sz w:val="21"/>
                <w:szCs w:val="21"/>
              </w:rPr>
              <w:lastRenderedPageBreak/>
              <w:t>（</w:t>
            </w:r>
            <w:r w:rsidRPr="00AB41E0">
              <w:rPr>
                <w:rFonts w:ascii="Times New Roman" w:hAnsi="Times New Roman" w:cs="Times New Roman"/>
                <w:kern w:val="0"/>
                <w:sz w:val="21"/>
                <w:szCs w:val="21"/>
              </w:rPr>
              <w:t>2021~2035</w:t>
            </w:r>
            <w:r w:rsidRPr="00AB41E0">
              <w:rPr>
                <w:rFonts w:ascii="Times New Roman" w:hAnsi="Times New Roman" w:cs="Times New Roman"/>
                <w:kern w:val="0"/>
                <w:sz w:val="21"/>
                <w:szCs w:val="21"/>
              </w:rPr>
              <w:t>）环评审查意见</w:t>
            </w:r>
          </w:p>
        </w:tc>
        <w:tc>
          <w:tcPr>
            <w:tcW w:w="2883"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lastRenderedPageBreak/>
              <w:t>严守环境质量底线，落实区域环境质量管控措施。严格执行我省《关于进一步加强建设项目新增大气主要污染物指标管理工作的通知》（皖环发</w:t>
            </w:r>
            <w:r w:rsidRPr="00AB41E0">
              <w:rPr>
                <w:rFonts w:ascii="Times New Roman" w:hAnsi="Times New Roman" w:cs="Times New Roman"/>
                <w:kern w:val="0"/>
                <w:sz w:val="21"/>
                <w:szCs w:val="21"/>
              </w:rPr>
              <w:t>[2017]19</w:t>
            </w:r>
            <w:r w:rsidRPr="00AB41E0">
              <w:rPr>
                <w:rFonts w:ascii="Times New Roman" w:hAnsi="Times New Roman" w:cs="Times New Roman"/>
                <w:kern w:val="0"/>
                <w:sz w:val="21"/>
                <w:szCs w:val="21"/>
              </w:rPr>
              <w:t>号），在区域大气环境质量稳定达标前，严格限制主要大气污染物排放量大的项目入园，重点关注涉</w:t>
            </w:r>
            <w:r w:rsidRPr="00AB41E0">
              <w:rPr>
                <w:rFonts w:ascii="Times New Roman" w:hAnsi="Times New Roman" w:cs="Times New Roman"/>
                <w:kern w:val="0"/>
                <w:sz w:val="21"/>
                <w:szCs w:val="21"/>
              </w:rPr>
              <w:t>VOCs</w:t>
            </w:r>
            <w:r w:rsidRPr="00AB41E0">
              <w:rPr>
                <w:rFonts w:ascii="Times New Roman" w:hAnsi="Times New Roman" w:cs="Times New Roman"/>
                <w:kern w:val="0"/>
                <w:sz w:val="21"/>
                <w:szCs w:val="21"/>
              </w:rPr>
              <w:t>排放企业。</w:t>
            </w:r>
          </w:p>
        </w:tc>
        <w:tc>
          <w:tcPr>
            <w:tcW w:w="1324" w:type="pct"/>
            <w:vAlign w:val="center"/>
          </w:tcPr>
          <w:p w:rsidR="004E3021" w:rsidRPr="00AB41E0" w:rsidRDefault="00606E48" w:rsidP="00E222A5">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本项目废气涉及烟（粉）尘、挥发性有机物（</w:t>
            </w:r>
            <w:r w:rsidRPr="00AB41E0">
              <w:rPr>
                <w:rFonts w:ascii="Times New Roman" w:hAnsi="Times New Roman" w:cs="Times New Roman"/>
                <w:kern w:val="0"/>
                <w:sz w:val="21"/>
                <w:szCs w:val="21"/>
              </w:rPr>
              <w:t>VOCs</w:t>
            </w:r>
            <w:r w:rsidRPr="00AB41E0">
              <w:rPr>
                <w:rFonts w:ascii="Times New Roman" w:hAnsi="Times New Roman" w:cs="Times New Roman"/>
                <w:kern w:val="0"/>
                <w:sz w:val="21"/>
                <w:szCs w:val="21"/>
              </w:rPr>
              <w:t>）</w:t>
            </w:r>
            <w:r w:rsidR="00E222A5">
              <w:rPr>
                <w:rFonts w:ascii="Times New Roman" w:hAnsi="Times New Roman" w:cs="Times New Roman" w:hint="eastAsia"/>
                <w:kern w:val="0"/>
                <w:sz w:val="21"/>
                <w:szCs w:val="21"/>
              </w:rPr>
              <w:t>将按照要求取得</w:t>
            </w:r>
            <w:r w:rsidRPr="00AB41E0">
              <w:rPr>
                <w:rFonts w:ascii="Times New Roman" w:hAnsi="Times New Roman" w:cs="Times New Roman"/>
                <w:kern w:val="0"/>
                <w:sz w:val="21"/>
                <w:szCs w:val="21"/>
              </w:rPr>
              <w:t>蚌埠市生态环境局总量指标。</w:t>
            </w:r>
          </w:p>
        </w:tc>
        <w:tc>
          <w:tcPr>
            <w:tcW w:w="223"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符合</w:t>
            </w:r>
          </w:p>
        </w:tc>
      </w:tr>
      <w:tr w:rsidR="004E3021" w:rsidRPr="00AB41E0" w:rsidTr="00E222A5">
        <w:tc>
          <w:tcPr>
            <w:tcW w:w="570"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883"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化工企业应做到废水分类收集、分质处理，并对废水进行预处理达到相关标准及污水处理厂接管要求后，方可接入污水处理厂深度处理。企业排放的废水应经专用的明管输送至污水处理厂，并设置在线监控装置、视频监控系统及自控阀门。在建和拟建的化工项目污水排放应实现</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一企一管</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方式。企业的初期雨水、事故废水应全部进行有效收集处理。</w:t>
            </w:r>
          </w:p>
        </w:tc>
        <w:tc>
          <w:tcPr>
            <w:tcW w:w="132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本项目的废水分质收集处理，处理达到沫河口园区污水处理厂接管标准、《污水综合排放标准》（</w:t>
            </w:r>
            <w:r w:rsidRPr="00AB41E0">
              <w:rPr>
                <w:rFonts w:ascii="Times New Roman" w:hAnsi="Times New Roman" w:cs="Times New Roman"/>
                <w:kern w:val="0"/>
                <w:sz w:val="21"/>
                <w:szCs w:val="21"/>
              </w:rPr>
              <w:t>GB8978-1996</w:t>
            </w:r>
            <w:r w:rsidRPr="00AB41E0">
              <w:rPr>
                <w:rFonts w:ascii="Times New Roman" w:hAnsi="Times New Roman" w:cs="Times New Roman"/>
                <w:kern w:val="0"/>
                <w:sz w:val="21"/>
                <w:szCs w:val="21"/>
              </w:rPr>
              <w:t>）中表</w:t>
            </w:r>
            <w:r w:rsidRPr="00AB41E0">
              <w:rPr>
                <w:rFonts w:ascii="Times New Roman" w:hAnsi="Times New Roman" w:cs="Times New Roman"/>
                <w:kern w:val="0"/>
                <w:sz w:val="21"/>
                <w:szCs w:val="21"/>
              </w:rPr>
              <w:t>4</w:t>
            </w:r>
            <w:r w:rsidRPr="00AB41E0">
              <w:rPr>
                <w:rFonts w:ascii="Times New Roman" w:hAnsi="Times New Roman" w:cs="Times New Roman"/>
                <w:kern w:val="0"/>
                <w:sz w:val="21"/>
                <w:szCs w:val="21"/>
              </w:rPr>
              <w:t>的三级标准和《无机化学工业污染物排放标准》（</w:t>
            </w:r>
            <w:r w:rsidRPr="00AB41E0">
              <w:rPr>
                <w:rFonts w:ascii="Times New Roman" w:hAnsi="Times New Roman" w:cs="Times New Roman"/>
                <w:kern w:val="0"/>
                <w:sz w:val="21"/>
                <w:szCs w:val="21"/>
              </w:rPr>
              <w:t>GB31573-2015</w:t>
            </w:r>
            <w:r w:rsidRPr="00AB41E0">
              <w:rPr>
                <w:rFonts w:ascii="Times New Roman" w:hAnsi="Times New Roman" w:cs="Times New Roman"/>
                <w:kern w:val="0"/>
                <w:sz w:val="21"/>
                <w:szCs w:val="21"/>
              </w:rPr>
              <w:t>）水污染物间接排放限值接入污水处理厂深度处理；</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本项目排放的废水经明管输送至污水处理厂，同时配置在线监控装置、视频监控系统及自控阀门；</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本项目污水排放严格遵守</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一企一管</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的原则；</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厂区内设置初期雨水收集池和事故水池，保证初期雨水、事故废水应全部进行有效收集处理。</w:t>
            </w:r>
          </w:p>
        </w:tc>
        <w:tc>
          <w:tcPr>
            <w:tcW w:w="223"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符合</w:t>
            </w:r>
          </w:p>
        </w:tc>
      </w:tr>
      <w:tr w:rsidR="004E3021" w:rsidRPr="00AB41E0" w:rsidTr="00E222A5">
        <w:tc>
          <w:tcPr>
            <w:tcW w:w="570"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883"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入区企业要在产业基地环境风险应急处置框架下，制定环境风险应急预案，在具体项目建设中细化落实。建立完善的环境风险防控设施和有效的拦截、降污、导流等措施，确保污水和初期雨水在任何情况下不直接排入地表水体，以及在事故状态下有效阻隔产业基地与外部水体的水力联系。</w:t>
            </w:r>
          </w:p>
        </w:tc>
        <w:tc>
          <w:tcPr>
            <w:tcW w:w="132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建成后将按要求编制突发环境事件应急预案，本项目各类废水均收集处置达标后接管沫河口污水处理厂，本项目环境风险评价中提出了三级防控体系，同时提出来初期雨水和事故废水在任何情况下不得直接外排到地表水体的控制要求。</w:t>
            </w:r>
          </w:p>
        </w:tc>
        <w:tc>
          <w:tcPr>
            <w:tcW w:w="223"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符合</w:t>
            </w:r>
          </w:p>
        </w:tc>
      </w:tr>
    </w:tbl>
    <w:p w:rsidR="004E3021" w:rsidRDefault="004E3021">
      <w:pPr>
        <w:ind w:firstLine="480"/>
        <w:sectPr w:rsidR="004E3021">
          <w:pgSz w:w="16838" w:h="11906" w:orient="landscape"/>
          <w:pgMar w:top="1440" w:right="1440" w:bottom="1440" w:left="1440" w:header="851" w:footer="992" w:gutter="0"/>
          <w:cols w:space="425"/>
          <w:docGrid w:type="lines" w:linePitch="326"/>
        </w:sectPr>
      </w:pPr>
    </w:p>
    <w:p w:rsidR="004E3021" w:rsidRDefault="00606E48">
      <w:pPr>
        <w:pStyle w:val="afffffffffffffffff4"/>
        <w:rPr>
          <w:color w:val="000000" w:themeColor="text1"/>
        </w:rPr>
      </w:pPr>
      <w:bookmarkStart w:id="89" w:name="_Toc108662562"/>
      <w:bookmarkStart w:id="90" w:name="_Toc101135799"/>
      <w:bookmarkStart w:id="91" w:name="_Toc221088727"/>
      <w:bookmarkStart w:id="92" w:name="_Toc221500942"/>
      <w:r>
        <w:rPr>
          <w:rFonts w:hint="eastAsia"/>
        </w:rPr>
        <w:lastRenderedPageBreak/>
        <w:t>2.5.</w:t>
      </w:r>
      <w:r>
        <w:t>2</w:t>
      </w:r>
      <w:r>
        <w:rPr>
          <w:rFonts w:hint="eastAsia"/>
        </w:rPr>
        <w:t>相关政策</w:t>
      </w:r>
      <w:r>
        <w:t>相符性分析</w:t>
      </w:r>
      <w:bookmarkEnd w:id="89"/>
      <w:bookmarkEnd w:id="90"/>
      <w:bookmarkEnd w:id="91"/>
      <w:bookmarkEnd w:id="92"/>
    </w:p>
    <w:p w:rsidR="004E3021" w:rsidRDefault="003C2CEB">
      <w:pPr>
        <w:ind w:firstLine="480"/>
        <w:sectPr w:rsidR="004E3021">
          <w:pgSz w:w="11906" w:h="16838"/>
          <w:pgMar w:top="1440" w:right="1440" w:bottom="1440" w:left="1440" w:header="851" w:footer="992" w:gutter="0"/>
          <w:cols w:space="425"/>
          <w:docGrid w:type="lines" w:linePitch="326"/>
        </w:sectPr>
      </w:pPr>
      <w:r>
        <w:rPr>
          <w:rFonts w:hint="eastAsia"/>
          <w:color w:val="000000" w:themeColor="text1"/>
        </w:rPr>
        <w:t>项目</w:t>
      </w:r>
      <w:r>
        <w:rPr>
          <w:color w:val="000000" w:themeColor="text1"/>
        </w:rPr>
        <w:t>建设</w:t>
      </w:r>
      <w:r>
        <w:rPr>
          <w:rFonts w:hint="eastAsia"/>
          <w:color w:val="000000" w:themeColor="text1"/>
        </w:rPr>
        <w:t>符合</w:t>
      </w:r>
      <w:r w:rsidR="00F47ACE" w:rsidRPr="00F47ACE">
        <w:t>《</w:t>
      </w:r>
      <w:r w:rsidR="00F47ACE" w:rsidRPr="00F47ACE">
        <w:rPr>
          <w:rFonts w:hint="eastAsia"/>
        </w:rPr>
        <w:t>安徽省生态环境厅关于加强化工行业建设项目环境管理的通知</w:t>
      </w:r>
      <w:r w:rsidR="00F47ACE" w:rsidRPr="00F47ACE">
        <w:t>》</w:t>
      </w:r>
      <w:r w:rsidR="00F47ACE" w:rsidRPr="00F47ACE">
        <w:rPr>
          <w:rFonts w:hint="eastAsia"/>
        </w:rPr>
        <w:t>、《重点行业挥发性有机物综合治理方案》、《重点行业挥发性有机物治理环境管理技术规范第</w:t>
      </w:r>
      <w:r w:rsidR="00F47ACE" w:rsidRPr="00F47ACE">
        <w:rPr>
          <w:rFonts w:hint="eastAsia"/>
        </w:rPr>
        <w:t>2</w:t>
      </w:r>
      <w:r w:rsidR="00F47ACE" w:rsidRPr="00F47ACE">
        <w:rPr>
          <w:rFonts w:hint="eastAsia"/>
        </w:rPr>
        <w:t>部分：石化行业》（</w:t>
      </w:r>
      <w:r w:rsidR="00F47ACE" w:rsidRPr="00F47ACE">
        <w:rPr>
          <w:rFonts w:hint="eastAsia"/>
        </w:rPr>
        <w:t>DB34/T4230.2</w:t>
      </w:r>
      <w:r w:rsidR="00F47ACE" w:rsidRPr="00F47ACE">
        <w:rPr>
          <w:rFonts w:hint="eastAsia"/>
        </w:rPr>
        <w:t>—</w:t>
      </w:r>
      <w:r w:rsidR="00F47ACE" w:rsidRPr="00F47ACE">
        <w:rPr>
          <w:rFonts w:hint="eastAsia"/>
        </w:rPr>
        <w:t>2022</w:t>
      </w:r>
      <w:r w:rsidR="00F47ACE" w:rsidRPr="00F47ACE">
        <w:rPr>
          <w:rFonts w:hint="eastAsia"/>
        </w:rPr>
        <w:t>）、《挥发性有机物无组织排放控制标准》（</w:t>
      </w:r>
      <w:r w:rsidR="00F47ACE" w:rsidRPr="00F47ACE">
        <w:rPr>
          <w:rFonts w:hint="eastAsia"/>
        </w:rPr>
        <w:t>GB37822-2019</w:t>
      </w:r>
      <w:r w:rsidR="00F47ACE" w:rsidRPr="00F47ACE">
        <w:rPr>
          <w:rFonts w:hint="eastAsia"/>
        </w:rPr>
        <w:t>）、</w:t>
      </w:r>
      <w:r w:rsidR="00D01CA1" w:rsidRPr="00D01CA1">
        <w:t>《安徽省挥发性有机物污染整治工作方案》</w:t>
      </w:r>
      <w:r w:rsidR="00D01CA1">
        <w:rPr>
          <w:rFonts w:hint="eastAsia"/>
        </w:rPr>
        <w:t>、</w:t>
      </w:r>
      <w:r w:rsidR="00D01CA1" w:rsidRPr="00F47ACE">
        <w:rPr>
          <w:rFonts w:hint="eastAsia"/>
        </w:rPr>
        <w:t>《</w:t>
      </w:r>
      <w:r w:rsidR="00D01CA1" w:rsidRPr="00F47ACE">
        <w:t>关于</w:t>
      </w:r>
      <w:r w:rsidR="00D01CA1" w:rsidRPr="00F47ACE">
        <w:rPr>
          <w:rFonts w:hint="eastAsia"/>
        </w:rPr>
        <w:t>进一步规范</w:t>
      </w:r>
      <w:r w:rsidR="00D01CA1" w:rsidRPr="00F47ACE">
        <w:t>化工项目建设管理的通知</w:t>
      </w:r>
      <w:r w:rsidR="00D01CA1" w:rsidRPr="00F47ACE">
        <w:rPr>
          <w:rFonts w:hint="eastAsia"/>
        </w:rPr>
        <w:t>》（皖经信原材料函〔</w:t>
      </w:r>
      <w:r w:rsidR="00D01CA1" w:rsidRPr="00F47ACE">
        <w:rPr>
          <w:rFonts w:hint="eastAsia"/>
        </w:rPr>
        <w:t>2022</w:t>
      </w:r>
      <w:r w:rsidR="00D01CA1" w:rsidRPr="00F47ACE">
        <w:rPr>
          <w:rFonts w:hint="eastAsia"/>
        </w:rPr>
        <w:t>〕</w:t>
      </w:r>
      <w:r w:rsidR="00D01CA1" w:rsidRPr="00F47ACE">
        <w:rPr>
          <w:rFonts w:hint="eastAsia"/>
        </w:rPr>
        <w:t>73</w:t>
      </w:r>
      <w:r w:rsidR="00D01CA1" w:rsidRPr="00F47ACE">
        <w:rPr>
          <w:rFonts w:hint="eastAsia"/>
        </w:rPr>
        <w:t>号）、</w:t>
      </w:r>
      <w:r w:rsidRPr="00F47ACE">
        <w:rPr>
          <w:rFonts w:hint="eastAsia"/>
        </w:rPr>
        <w:t>《</w:t>
      </w:r>
      <w:r w:rsidRPr="00F47ACE">
        <w:t>安徽省环保厅关于进一步明确淮河巢湖流域重污染行业项目省级环保预审范围及内容的通知</w:t>
      </w:r>
      <w:r w:rsidRPr="00F47ACE">
        <w:rPr>
          <w:rFonts w:hint="eastAsia"/>
        </w:rPr>
        <w:t>》</w:t>
      </w:r>
      <w:r w:rsidRPr="00F47ACE">
        <w:t>、</w:t>
      </w:r>
      <w:r w:rsidRPr="00F47ACE">
        <w:rPr>
          <w:bCs/>
        </w:rPr>
        <w:t>《安徽省人民政府关于印发安徽省空气质量持续改善行动方案的通知》（皖政〔</w:t>
      </w:r>
      <w:r w:rsidRPr="00F47ACE">
        <w:rPr>
          <w:bCs/>
        </w:rPr>
        <w:t>2024</w:t>
      </w:r>
      <w:r w:rsidRPr="00F47ACE">
        <w:rPr>
          <w:bCs/>
        </w:rPr>
        <w:t>〕</w:t>
      </w:r>
      <w:r w:rsidRPr="00F47ACE">
        <w:rPr>
          <w:bCs/>
        </w:rPr>
        <w:t>36</w:t>
      </w:r>
      <w:r w:rsidRPr="00F47ACE">
        <w:rPr>
          <w:bCs/>
        </w:rPr>
        <w:t>号）</w:t>
      </w:r>
      <w:r w:rsidRPr="00F47ACE">
        <w:rPr>
          <w:rFonts w:hint="eastAsia"/>
          <w:bCs/>
        </w:rPr>
        <w:t>、《淮河流域水污染防治暂行条例》、</w:t>
      </w:r>
      <w:r w:rsidRPr="00F47ACE">
        <w:rPr>
          <w:rFonts w:hint="eastAsia"/>
        </w:rPr>
        <w:t>《安徽省水污染防治工作方案》、《安徽省淮河流域水污染防治条例》</w:t>
      </w:r>
      <w:r w:rsidRPr="00F47ACE">
        <w:rPr>
          <w:kern w:val="0"/>
          <w:szCs w:val="20"/>
        </w:rPr>
        <w:t>、</w:t>
      </w:r>
      <w:r w:rsidR="000018C3" w:rsidRPr="00F47ACE">
        <w:rPr>
          <w:rFonts w:hint="eastAsia"/>
        </w:rPr>
        <w:t>《</w:t>
      </w:r>
      <w:r w:rsidR="000018C3" w:rsidRPr="00F47ACE">
        <w:rPr>
          <w:rFonts w:hint="eastAsia"/>
          <w:kern w:val="0"/>
          <w:szCs w:val="20"/>
        </w:rPr>
        <w:t>关于印发蚌埠市化工园区项目准入条件（试行）的通知》（蚌发改工高﹝</w:t>
      </w:r>
      <w:r w:rsidR="000018C3" w:rsidRPr="00F47ACE">
        <w:rPr>
          <w:rFonts w:hint="eastAsia"/>
          <w:kern w:val="0"/>
          <w:szCs w:val="20"/>
        </w:rPr>
        <w:t>2021</w:t>
      </w:r>
      <w:r w:rsidR="000018C3" w:rsidRPr="00F47ACE">
        <w:rPr>
          <w:rFonts w:hint="eastAsia"/>
          <w:kern w:val="0"/>
          <w:szCs w:val="20"/>
        </w:rPr>
        <w:t>﹞</w:t>
      </w:r>
      <w:r w:rsidR="000018C3" w:rsidRPr="00F47ACE">
        <w:rPr>
          <w:rFonts w:hint="eastAsia"/>
          <w:kern w:val="0"/>
          <w:szCs w:val="20"/>
        </w:rPr>
        <w:t>395</w:t>
      </w:r>
      <w:r w:rsidR="000018C3" w:rsidRPr="00F47ACE">
        <w:rPr>
          <w:rFonts w:hint="eastAsia"/>
          <w:kern w:val="0"/>
          <w:szCs w:val="20"/>
        </w:rPr>
        <w:t>号）、</w:t>
      </w:r>
      <w:r w:rsidRPr="00F47ACE">
        <w:t>《关于全面打造水清岸绿产业优美丽长江</w:t>
      </w:r>
      <w:r w:rsidRPr="00F47ACE">
        <w:t>(</w:t>
      </w:r>
      <w:r w:rsidRPr="00F47ACE">
        <w:t>安徽</w:t>
      </w:r>
      <w:r w:rsidRPr="00F47ACE">
        <w:t>)</w:t>
      </w:r>
      <w:r w:rsidRPr="00F47ACE">
        <w:t>经济带的实施意见》</w:t>
      </w:r>
      <w:r w:rsidRPr="00F47ACE">
        <w:rPr>
          <w:rFonts w:hint="eastAsia"/>
        </w:rPr>
        <w:t>（升级版）</w:t>
      </w:r>
      <w:r w:rsidRPr="00F47ACE">
        <w:t>、《关于印发安徽省长江经济带发展负面清单实施细则（试行，</w:t>
      </w:r>
      <w:r w:rsidRPr="00F47ACE">
        <w:t>2022</w:t>
      </w:r>
      <w:r w:rsidRPr="00F47ACE">
        <w:t>年版）的通知》</w:t>
      </w:r>
      <w:r w:rsidRPr="00F47ACE">
        <w:rPr>
          <w:rFonts w:hint="eastAsia"/>
        </w:rPr>
        <w:t>、</w:t>
      </w:r>
      <w:r w:rsidRPr="00F47ACE">
        <w:rPr>
          <w:rFonts w:hint="eastAsia"/>
          <w:kern w:val="0"/>
          <w:szCs w:val="20"/>
        </w:rPr>
        <w:t>《关于加强高耗能、高排放建设项目生态环境源头防控的指导意见》、《安徽省生态环境厅关</w:t>
      </w:r>
      <w:r w:rsidRPr="0098507A">
        <w:rPr>
          <w:rFonts w:hint="eastAsia"/>
          <w:color w:val="000000" w:themeColor="text1"/>
          <w:kern w:val="0"/>
          <w:szCs w:val="20"/>
        </w:rPr>
        <w:t>于印发加强高耗能、高排放项目生态环境源头防控的实施意见的通知》</w:t>
      </w:r>
      <w:r>
        <w:rPr>
          <w:rFonts w:hint="eastAsia"/>
          <w:color w:val="000000" w:themeColor="text1"/>
          <w:kern w:val="0"/>
          <w:szCs w:val="20"/>
        </w:rPr>
        <w:t>、</w:t>
      </w:r>
      <w:r w:rsidRPr="0098507A">
        <w:rPr>
          <w:rFonts w:hint="eastAsia"/>
          <w:color w:val="000000" w:themeColor="text1"/>
          <w:kern w:val="0"/>
          <w:szCs w:val="20"/>
        </w:rPr>
        <w:t>《安徽省人民政府关于印发安徽省贯彻落实淮河生态经济带发展规划实施方案的通知》</w:t>
      </w:r>
      <w:r>
        <w:rPr>
          <w:rFonts w:hint="eastAsia"/>
          <w:color w:val="000000" w:themeColor="text1"/>
          <w:kern w:val="0"/>
          <w:szCs w:val="20"/>
        </w:rPr>
        <w:t>、</w:t>
      </w:r>
      <w:r w:rsidRPr="0098507A">
        <w:rPr>
          <w:rFonts w:hint="eastAsia"/>
          <w:color w:val="000000" w:themeColor="text1"/>
          <w:kern w:val="0"/>
          <w:szCs w:val="20"/>
        </w:rPr>
        <w:t>《关于加强重点行业涉新污染物建设项目环境影响评价工作的意见》（环环评〔</w:t>
      </w:r>
      <w:r w:rsidRPr="0098507A">
        <w:rPr>
          <w:rFonts w:hint="eastAsia"/>
          <w:color w:val="000000" w:themeColor="text1"/>
          <w:kern w:val="0"/>
          <w:szCs w:val="20"/>
        </w:rPr>
        <w:t>2025</w:t>
      </w:r>
      <w:r w:rsidRPr="0098507A">
        <w:rPr>
          <w:rFonts w:hint="eastAsia"/>
          <w:color w:val="000000" w:themeColor="text1"/>
          <w:kern w:val="0"/>
          <w:szCs w:val="20"/>
        </w:rPr>
        <w:t>〕</w:t>
      </w:r>
      <w:r w:rsidRPr="0098507A">
        <w:rPr>
          <w:rFonts w:hint="eastAsia"/>
          <w:color w:val="000000" w:themeColor="text1"/>
          <w:kern w:val="0"/>
          <w:szCs w:val="20"/>
        </w:rPr>
        <w:t>28</w:t>
      </w:r>
      <w:r w:rsidRPr="0098507A">
        <w:rPr>
          <w:rFonts w:hint="eastAsia"/>
          <w:color w:val="000000" w:themeColor="text1"/>
          <w:kern w:val="0"/>
          <w:szCs w:val="20"/>
        </w:rPr>
        <w:t>号）</w:t>
      </w:r>
      <w:r>
        <w:rPr>
          <w:rFonts w:hint="eastAsia"/>
          <w:color w:val="000000" w:themeColor="text1"/>
        </w:rPr>
        <w:t>等相</w:t>
      </w:r>
      <w:r>
        <w:rPr>
          <w:rFonts w:hint="eastAsia"/>
        </w:rPr>
        <w:t>关政策要求</w:t>
      </w:r>
      <w:r w:rsidR="00606E48">
        <w:t>，本项目</w:t>
      </w:r>
      <w:r w:rsidR="00606E48">
        <w:rPr>
          <w:rFonts w:hint="eastAsia"/>
        </w:rPr>
        <w:t>的</w:t>
      </w:r>
      <w:r w:rsidR="00606E48">
        <w:t>政策相符性分析汇总见表</w:t>
      </w:r>
      <w:r w:rsidR="00606E48">
        <w:t>2.5.</w:t>
      </w:r>
      <w:r w:rsidR="00606E48">
        <w:rPr>
          <w:color w:val="000000" w:themeColor="text1"/>
        </w:rPr>
        <w:t>2</w:t>
      </w:r>
      <w:r w:rsidR="00606E48">
        <w:t>-1</w:t>
      </w:r>
      <w:r w:rsidR="00606E48">
        <w:rPr>
          <w:rFonts w:hint="eastAsia"/>
        </w:rPr>
        <w:t>。</w:t>
      </w:r>
    </w:p>
    <w:p w:rsidR="004E3021" w:rsidRDefault="00606E48">
      <w:pPr>
        <w:pStyle w:val="afffff4"/>
      </w:pPr>
      <w:r>
        <w:lastRenderedPageBreak/>
        <w:t>表</w:t>
      </w:r>
      <w:r>
        <w:t xml:space="preserve">2.5.2-1  </w:t>
      </w:r>
      <w:r>
        <w:t>政策相符性分析一览表</w:t>
      </w:r>
    </w:p>
    <w:tbl>
      <w:tblPr>
        <w:tblStyle w:val="afff"/>
        <w:tblW w:w="5000" w:type="pct"/>
        <w:tblLook w:val="04A0" w:firstRow="1" w:lastRow="0" w:firstColumn="1" w:lastColumn="0" w:noHBand="0" w:noVBand="1"/>
      </w:tblPr>
      <w:tblGrid>
        <w:gridCol w:w="658"/>
        <w:gridCol w:w="1902"/>
        <w:gridCol w:w="1267"/>
        <w:gridCol w:w="4483"/>
        <w:gridCol w:w="4961"/>
        <w:gridCol w:w="687"/>
      </w:tblGrid>
      <w:tr w:rsidR="004E3021" w:rsidRPr="00AB41E0" w:rsidTr="00524AE1">
        <w:tc>
          <w:tcPr>
            <w:tcW w:w="236" w:type="pct"/>
            <w:vAlign w:val="center"/>
          </w:tcPr>
          <w:p w:rsidR="004E3021" w:rsidRPr="003C2CEB" w:rsidRDefault="00606E48" w:rsidP="00AB41E0">
            <w:pPr>
              <w:pStyle w:val="afffffff2"/>
              <w:rPr>
                <w:rFonts w:ascii="Times New Roman" w:hAnsi="Times New Roman" w:cs="Times New Roman"/>
                <w:b/>
                <w:kern w:val="0"/>
                <w:sz w:val="21"/>
                <w:szCs w:val="21"/>
              </w:rPr>
            </w:pPr>
            <w:r w:rsidRPr="003C2CEB">
              <w:rPr>
                <w:rFonts w:ascii="Times New Roman" w:hAnsi="Times New Roman" w:cs="Times New Roman"/>
                <w:b/>
                <w:kern w:val="0"/>
                <w:sz w:val="21"/>
                <w:szCs w:val="21"/>
              </w:rPr>
              <w:t>序号</w:t>
            </w:r>
          </w:p>
        </w:tc>
        <w:tc>
          <w:tcPr>
            <w:tcW w:w="681" w:type="pct"/>
            <w:vAlign w:val="center"/>
          </w:tcPr>
          <w:p w:rsidR="004E3021" w:rsidRPr="003C2CEB" w:rsidRDefault="00606E48" w:rsidP="00AB41E0">
            <w:pPr>
              <w:pStyle w:val="afffffff2"/>
              <w:rPr>
                <w:rFonts w:ascii="Times New Roman" w:hAnsi="Times New Roman" w:cs="Times New Roman"/>
                <w:b/>
                <w:kern w:val="0"/>
                <w:sz w:val="21"/>
                <w:szCs w:val="21"/>
              </w:rPr>
            </w:pPr>
            <w:r w:rsidRPr="003C2CEB">
              <w:rPr>
                <w:rFonts w:ascii="Times New Roman" w:hAnsi="Times New Roman" w:cs="Times New Roman"/>
                <w:b/>
                <w:kern w:val="0"/>
                <w:sz w:val="21"/>
                <w:szCs w:val="21"/>
              </w:rPr>
              <w:t>政策名称</w:t>
            </w:r>
          </w:p>
        </w:tc>
        <w:tc>
          <w:tcPr>
            <w:tcW w:w="2060" w:type="pct"/>
            <w:gridSpan w:val="2"/>
            <w:vAlign w:val="center"/>
          </w:tcPr>
          <w:p w:rsidR="004E3021" w:rsidRPr="003C2CEB" w:rsidRDefault="00606E48" w:rsidP="00AB41E0">
            <w:pPr>
              <w:pStyle w:val="afffffff2"/>
              <w:rPr>
                <w:rFonts w:ascii="Times New Roman" w:hAnsi="Times New Roman" w:cs="Times New Roman"/>
                <w:b/>
                <w:kern w:val="0"/>
                <w:sz w:val="21"/>
                <w:szCs w:val="21"/>
              </w:rPr>
            </w:pPr>
            <w:r w:rsidRPr="003C2CEB">
              <w:rPr>
                <w:rFonts w:ascii="Times New Roman" w:hAnsi="Times New Roman" w:cs="Times New Roman"/>
                <w:b/>
                <w:kern w:val="0"/>
                <w:sz w:val="21"/>
                <w:szCs w:val="21"/>
              </w:rPr>
              <w:t>相关要求</w:t>
            </w:r>
          </w:p>
        </w:tc>
        <w:tc>
          <w:tcPr>
            <w:tcW w:w="1777" w:type="pct"/>
            <w:vAlign w:val="center"/>
          </w:tcPr>
          <w:p w:rsidR="004E3021" w:rsidRPr="003C2CEB" w:rsidRDefault="00606E48" w:rsidP="00AB41E0">
            <w:pPr>
              <w:pStyle w:val="afffffff2"/>
              <w:rPr>
                <w:rFonts w:ascii="Times New Roman" w:hAnsi="Times New Roman" w:cs="Times New Roman"/>
                <w:b/>
                <w:kern w:val="0"/>
                <w:sz w:val="21"/>
                <w:szCs w:val="21"/>
              </w:rPr>
            </w:pPr>
            <w:r w:rsidRPr="003C2CEB">
              <w:rPr>
                <w:rFonts w:ascii="Times New Roman" w:hAnsi="Times New Roman" w:cs="Times New Roman"/>
                <w:b/>
                <w:kern w:val="0"/>
                <w:sz w:val="21"/>
                <w:szCs w:val="21"/>
              </w:rPr>
              <w:t>符合性分析</w:t>
            </w:r>
          </w:p>
        </w:tc>
        <w:tc>
          <w:tcPr>
            <w:tcW w:w="246" w:type="pct"/>
            <w:vAlign w:val="center"/>
          </w:tcPr>
          <w:p w:rsidR="004E3021" w:rsidRPr="003C2CEB" w:rsidRDefault="00606E48" w:rsidP="00AB41E0">
            <w:pPr>
              <w:pStyle w:val="afffffff2"/>
              <w:rPr>
                <w:rFonts w:ascii="Times New Roman" w:hAnsi="Times New Roman" w:cs="Times New Roman"/>
                <w:b/>
                <w:kern w:val="0"/>
                <w:sz w:val="21"/>
                <w:szCs w:val="21"/>
              </w:rPr>
            </w:pPr>
            <w:r w:rsidRPr="003C2CEB">
              <w:rPr>
                <w:rFonts w:ascii="Times New Roman" w:hAnsi="Times New Roman" w:cs="Times New Roman"/>
                <w:b/>
                <w:kern w:val="0"/>
                <w:sz w:val="21"/>
                <w:szCs w:val="21"/>
              </w:rPr>
              <w:t>分析结果</w:t>
            </w:r>
          </w:p>
        </w:tc>
      </w:tr>
      <w:tr w:rsidR="004E3021" w:rsidRPr="00AB41E0" w:rsidTr="00524AE1">
        <w:tc>
          <w:tcPr>
            <w:tcW w:w="236" w:type="pct"/>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1</w:t>
            </w:r>
          </w:p>
        </w:tc>
        <w:tc>
          <w:tcPr>
            <w:tcW w:w="681" w:type="pct"/>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《安徽省生态环境厅关于加强化工行业建设项目环境管理的通知》皖政办〔</w:t>
            </w:r>
            <w:r w:rsidRPr="00AB41E0">
              <w:rPr>
                <w:rFonts w:ascii="Times New Roman" w:hAnsi="Times New Roman" w:cs="Times New Roman"/>
                <w:kern w:val="0"/>
                <w:sz w:val="21"/>
                <w:szCs w:val="21"/>
              </w:rPr>
              <w:t>2020</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73</w:t>
            </w:r>
            <w:r w:rsidRPr="00AB41E0">
              <w:rPr>
                <w:rFonts w:ascii="Times New Roman" w:hAnsi="Times New Roman" w:cs="Times New Roman"/>
                <w:kern w:val="0"/>
                <w:sz w:val="21"/>
                <w:szCs w:val="21"/>
              </w:rPr>
              <w:t>号</w:t>
            </w: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按照有关法律法规和政策性文件要求，禁止在淮</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河、巢湖流域新建化工等水污染严重的小型项目，严格限制新建化工大中型项目；禁止新建《产业结构调整指导目录》中淘汰类化工项目，严格限制高</w:t>
            </w:r>
            <w:r w:rsidRPr="00AB41E0">
              <w:rPr>
                <w:rFonts w:ascii="Times New Roman" w:hAnsi="Times New Roman" w:cs="Times New Roman"/>
                <w:kern w:val="0"/>
                <w:sz w:val="21"/>
                <w:szCs w:val="21"/>
              </w:rPr>
              <w:t xml:space="preserve">VOCs </w:t>
            </w:r>
            <w:r w:rsidRPr="00AB41E0">
              <w:rPr>
                <w:rFonts w:ascii="Times New Roman" w:hAnsi="Times New Roman" w:cs="Times New Roman"/>
                <w:kern w:val="0"/>
                <w:sz w:val="21"/>
                <w:szCs w:val="21"/>
              </w:rPr>
              <w:t>排放化工项目，不得新建未纳入《石化产业规划布局方案》的炼化项目。新建化工项目必须进入规范化工园区，并符合园区规划及规划环评要求，与</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三线一单</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成果相协调；</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在居民集中区、医院和学校附近，禁止新建或扩建可能引发环境风险的化工项目。</w:t>
            </w:r>
          </w:p>
        </w:tc>
        <w:tc>
          <w:tcPr>
            <w:tcW w:w="177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本项目位于已经规划的蚌埠精细化工高新技术产业基地内，不属于《产业结构调整指导目录》中淘汰类化工项目。</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项目符合《蚌埠精细化工高新技术产业基地规划（</w:t>
            </w:r>
            <w:r w:rsidRPr="00AB41E0">
              <w:rPr>
                <w:rFonts w:ascii="Times New Roman" w:hAnsi="Times New Roman" w:cs="Times New Roman"/>
                <w:kern w:val="0"/>
                <w:sz w:val="21"/>
                <w:szCs w:val="21"/>
              </w:rPr>
              <w:t>2021-2035</w:t>
            </w:r>
            <w:r w:rsidRPr="00AB41E0">
              <w:rPr>
                <w:rFonts w:ascii="Times New Roman" w:hAnsi="Times New Roman" w:cs="Times New Roman"/>
                <w:kern w:val="0"/>
                <w:sz w:val="21"/>
                <w:szCs w:val="21"/>
              </w:rPr>
              <w:t>）环境影响报告书》及审查意见和</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三线一单</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等相关要求。</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项目不位于居民集中区、医院和学校附近。</w:t>
            </w:r>
          </w:p>
        </w:tc>
        <w:tc>
          <w:tcPr>
            <w:tcW w:w="246" w:type="pct"/>
            <w:vAlign w:val="center"/>
          </w:tcPr>
          <w:p w:rsidR="004E3021" w:rsidRPr="00AB41E0" w:rsidRDefault="00606E48" w:rsidP="00AB41E0">
            <w:pPr>
              <w:pStyle w:val="afffffff2"/>
              <w:rPr>
                <w:rFonts w:ascii="Times New Roman" w:hAnsi="Times New Roman" w:cs="Times New Roman"/>
                <w:color w:val="FF0000"/>
                <w:kern w:val="0"/>
                <w:sz w:val="21"/>
                <w:szCs w:val="21"/>
              </w:rPr>
            </w:pPr>
            <w:r w:rsidRPr="00AB41E0">
              <w:rPr>
                <w:rFonts w:ascii="Times New Roman" w:hAnsi="Times New Roman" w:cs="Times New Roman"/>
                <w:color w:val="000000" w:themeColor="text1"/>
                <w:kern w:val="0"/>
                <w:sz w:val="21"/>
                <w:szCs w:val="21"/>
              </w:rPr>
              <w:t>符合</w:t>
            </w:r>
          </w:p>
        </w:tc>
      </w:tr>
      <w:tr w:rsidR="004E3021" w:rsidRPr="00AB41E0" w:rsidTr="003F6BE1">
        <w:trPr>
          <w:trHeight w:val="841"/>
        </w:trPr>
        <w:tc>
          <w:tcPr>
            <w:tcW w:w="236"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81"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规范化工建设项目环评审批。严格执行省级预审。按照《安徽省淮河流域水污染防治条例》《巢湖流域水污染防治条例》等法规要求，淮河、巢湖流域新建大中型化工项目按照《安徽省环保厅关于进一步明确淮河巢湖流域重污染行业项目升级环保预审范围及内容的通知》（皖环发</w:t>
            </w:r>
            <w:r w:rsidRPr="00AB41E0">
              <w:rPr>
                <w:rFonts w:ascii="Times New Roman" w:hAnsi="Times New Roman" w:cs="Times New Roman"/>
                <w:kern w:val="0"/>
                <w:sz w:val="21"/>
                <w:szCs w:val="21"/>
              </w:rPr>
              <w:t>[2013]85</w:t>
            </w:r>
            <w:r w:rsidRPr="00AB41E0">
              <w:rPr>
                <w:rFonts w:ascii="Times New Roman" w:hAnsi="Times New Roman" w:cs="Times New Roman"/>
                <w:kern w:val="0"/>
                <w:sz w:val="21"/>
                <w:szCs w:val="21"/>
              </w:rPr>
              <w:t>号文）有关规定，依法报安徽省生态环境厅开阵预审。未经预审的，各地不得受理；</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强化环境风险评价。化工项目环境影响评价应科学预测评价突发性事件或事故可能引发的环境风险，提出合理有效的环境风险防范措施和应急措施。无环境风险评价专章的化工项目环境影响评价文件不予受理；经论证，环境风险评价内容不完善的相关建设项目环境影响评价文件不予审批。</w:t>
            </w:r>
          </w:p>
        </w:tc>
        <w:tc>
          <w:tcPr>
            <w:tcW w:w="177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原环评已按要求进行省级预审，已取得《安徽省生态环境厅关于安徽中创电子信息材料有限公司年产</w:t>
            </w:r>
            <w:r w:rsidRPr="00AB41E0">
              <w:rPr>
                <w:rFonts w:ascii="Times New Roman" w:hAnsi="Times New Roman" w:cs="Times New Roman"/>
                <w:kern w:val="0"/>
                <w:sz w:val="21"/>
                <w:szCs w:val="21"/>
              </w:rPr>
              <w:t>5000</w:t>
            </w:r>
            <w:r w:rsidRPr="00AB41E0">
              <w:rPr>
                <w:rFonts w:ascii="Times New Roman" w:hAnsi="Times New Roman" w:cs="Times New Roman"/>
                <w:kern w:val="0"/>
                <w:sz w:val="21"/>
                <w:szCs w:val="21"/>
              </w:rPr>
              <w:t>吨超纯二氧化硅项目环保预审的批复》（皖环办复</w:t>
            </w:r>
            <w:r w:rsidRPr="00AB41E0">
              <w:rPr>
                <w:rFonts w:ascii="Times New Roman" w:hAnsi="Times New Roman" w:cs="Times New Roman"/>
                <w:kern w:val="0"/>
                <w:sz w:val="21"/>
                <w:szCs w:val="21"/>
              </w:rPr>
              <w:t>[2022]643</w:t>
            </w:r>
            <w:r w:rsidRPr="00AB41E0">
              <w:rPr>
                <w:rFonts w:ascii="Times New Roman" w:hAnsi="Times New Roman" w:cs="Times New Roman"/>
                <w:kern w:val="0"/>
                <w:sz w:val="21"/>
                <w:szCs w:val="21"/>
              </w:rPr>
              <w:t>号），同意上述项目开展环评等相关前期工作。</w:t>
            </w:r>
            <w:r w:rsidR="00D64A03" w:rsidRPr="00AB41E0">
              <w:rPr>
                <w:rFonts w:ascii="Times New Roman" w:hAnsi="Times New Roman" w:cs="Times New Roman"/>
                <w:kern w:val="0"/>
                <w:sz w:val="21"/>
                <w:szCs w:val="21"/>
              </w:rPr>
              <w:t>安徽中创电子信息材料有限公司</w:t>
            </w:r>
            <w:r w:rsidR="00D64A03">
              <w:rPr>
                <w:rFonts w:ascii="Times New Roman" w:hAnsi="Times New Roman" w:cs="Times New Roman" w:hint="eastAsia"/>
                <w:kern w:val="0"/>
                <w:sz w:val="21"/>
                <w:szCs w:val="21"/>
              </w:rPr>
              <w:t>于</w:t>
            </w:r>
            <w:r w:rsidR="00D64A03">
              <w:rPr>
                <w:rFonts w:ascii="Times New Roman" w:hAnsi="Times New Roman" w:cs="Times New Roman" w:hint="eastAsia"/>
                <w:kern w:val="0"/>
                <w:sz w:val="21"/>
                <w:szCs w:val="21"/>
              </w:rPr>
              <w:t>2022</w:t>
            </w:r>
            <w:r w:rsidR="00D64A03">
              <w:rPr>
                <w:rFonts w:ascii="Times New Roman" w:hAnsi="Times New Roman" w:cs="Times New Roman" w:hint="eastAsia"/>
                <w:kern w:val="0"/>
                <w:sz w:val="21"/>
                <w:szCs w:val="21"/>
              </w:rPr>
              <w:t>年</w:t>
            </w:r>
            <w:r w:rsidR="00D64A03">
              <w:rPr>
                <w:rFonts w:ascii="Times New Roman" w:hAnsi="Times New Roman" w:cs="Times New Roman" w:hint="eastAsia"/>
                <w:kern w:val="0"/>
                <w:sz w:val="21"/>
                <w:szCs w:val="21"/>
              </w:rPr>
              <w:t>3</w:t>
            </w:r>
            <w:r w:rsidR="00D64A03">
              <w:rPr>
                <w:rFonts w:ascii="Times New Roman" w:hAnsi="Times New Roman" w:cs="Times New Roman" w:hint="eastAsia"/>
                <w:kern w:val="0"/>
                <w:sz w:val="21"/>
                <w:szCs w:val="21"/>
              </w:rPr>
              <w:t>月</w:t>
            </w:r>
            <w:r w:rsidR="00D64A03">
              <w:rPr>
                <w:rFonts w:ascii="Times New Roman" w:hAnsi="Times New Roman" w:cs="Times New Roman" w:hint="eastAsia"/>
                <w:kern w:val="0"/>
                <w:sz w:val="21"/>
                <w:szCs w:val="21"/>
              </w:rPr>
              <w:t>1</w:t>
            </w:r>
            <w:r w:rsidR="00D64A03">
              <w:rPr>
                <w:rFonts w:ascii="Times New Roman" w:hAnsi="Times New Roman" w:cs="Times New Roman" w:hint="eastAsia"/>
                <w:kern w:val="0"/>
                <w:sz w:val="21"/>
                <w:szCs w:val="21"/>
              </w:rPr>
              <w:t>日</w:t>
            </w:r>
            <w:r w:rsidR="00D64A03">
              <w:rPr>
                <w:rFonts w:ascii="Times New Roman" w:hAnsi="Times New Roman" w:cs="Times New Roman"/>
                <w:kern w:val="0"/>
                <w:sz w:val="21"/>
                <w:szCs w:val="21"/>
              </w:rPr>
              <w:t>更名为安徽凯盛应用材料有限公司（</w:t>
            </w:r>
            <w:r w:rsidR="00D64A03">
              <w:rPr>
                <w:rFonts w:ascii="Times New Roman" w:hAnsi="Times New Roman" w:cs="Times New Roman" w:hint="eastAsia"/>
                <w:kern w:val="0"/>
                <w:sz w:val="21"/>
                <w:szCs w:val="21"/>
              </w:rPr>
              <w:t>更名</w:t>
            </w:r>
            <w:r w:rsidR="00D64A03">
              <w:rPr>
                <w:rFonts w:ascii="Times New Roman" w:hAnsi="Times New Roman" w:cs="Times New Roman"/>
                <w:kern w:val="0"/>
                <w:sz w:val="21"/>
                <w:szCs w:val="21"/>
              </w:rPr>
              <w:t>说明见附件</w:t>
            </w:r>
            <w:r w:rsidR="00D64A03">
              <w:rPr>
                <w:rFonts w:ascii="Times New Roman" w:hAnsi="Times New Roman" w:cs="Times New Roman" w:hint="eastAsia"/>
                <w:kern w:val="0"/>
                <w:sz w:val="21"/>
                <w:szCs w:val="21"/>
              </w:rPr>
              <w:t>1</w:t>
            </w:r>
            <w:r w:rsidR="00D64A03">
              <w:rPr>
                <w:rFonts w:ascii="Times New Roman" w:hAnsi="Times New Roman" w:cs="Times New Roman"/>
                <w:kern w:val="0"/>
                <w:sz w:val="21"/>
                <w:szCs w:val="21"/>
              </w:rPr>
              <w:t>6</w:t>
            </w:r>
            <w:r w:rsidR="00D64A03">
              <w:rPr>
                <w:rFonts w:ascii="Times New Roman" w:hAnsi="Times New Roman" w:cs="Times New Roman"/>
                <w:kern w:val="0"/>
                <w:sz w:val="21"/>
                <w:szCs w:val="21"/>
              </w:rPr>
              <w:t>）</w:t>
            </w:r>
            <w:r w:rsidR="00D64A03">
              <w:rPr>
                <w:rFonts w:ascii="Times New Roman" w:hAnsi="Times New Roman" w:cs="Times New Roman" w:hint="eastAsia"/>
                <w:kern w:val="0"/>
                <w:sz w:val="21"/>
                <w:szCs w:val="21"/>
              </w:rPr>
              <w:t>。</w:t>
            </w:r>
            <w:r w:rsidR="003F6BE1">
              <w:rPr>
                <w:rFonts w:ascii="Times New Roman" w:hAnsi="Times New Roman" w:cs="Times New Roman" w:hint="eastAsia"/>
                <w:kern w:val="0"/>
                <w:sz w:val="21"/>
                <w:szCs w:val="21"/>
              </w:rPr>
              <w:t>本次</w:t>
            </w:r>
            <w:r w:rsidR="003C2CEB">
              <w:rPr>
                <w:rFonts w:ascii="Times New Roman" w:hAnsi="Times New Roman" w:cs="Times New Roman" w:hint="eastAsia"/>
                <w:kern w:val="0"/>
                <w:sz w:val="21"/>
                <w:szCs w:val="21"/>
              </w:rPr>
              <w:t>改扩建</w:t>
            </w:r>
            <w:r w:rsidR="003F6BE1">
              <w:rPr>
                <w:rFonts w:ascii="Times New Roman" w:hAnsi="Times New Roman" w:cs="Times New Roman" w:hint="eastAsia"/>
                <w:kern w:val="0"/>
                <w:sz w:val="21"/>
                <w:szCs w:val="21"/>
              </w:rPr>
              <w:t>后</w:t>
            </w:r>
            <w:r w:rsidR="003C2CEB">
              <w:rPr>
                <w:rFonts w:ascii="Times New Roman" w:hAnsi="Times New Roman" w:cs="Times New Roman" w:hint="eastAsia"/>
                <w:kern w:val="0"/>
                <w:sz w:val="21"/>
                <w:szCs w:val="21"/>
              </w:rPr>
              <w:t>废水排放量</w:t>
            </w:r>
            <w:r w:rsidR="003C2CEB">
              <w:rPr>
                <w:rFonts w:ascii="Times New Roman" w:hAnsi="Times New Roman" w:cs="Times New Roman" w:hint="eastAsia"/>
                <w:kern w:val="0"/>
                <w:sz w:val="21"/>
                <w:szCs w:val="21"/>
              </w:rPr>
              <w:t>5</w:t>
            </w:r>
            <w:r w:rsidR="003C2CEB">
              <w:rPr>
                <w:rFonts w:ascii="Times New Roman" w:hAnsi="Times New Roman" w:cs="Times New Roman"/>
                <w:kern w:val="0"/>
                <w:sz w:val="21"/>
                <w:szCs w:val="21"/>
              </w:rPr>
              <w:t>12.88</w:t>
            </w:r>
            <w:r w:rsidR="003C2CEB">
              <w:rPr>
                <w:rFonts w:ascii="Times New Roman" w:hAnsi="Times New Roman" w:cs="Times New Roman" w:hint="eastAsia"/>
                <w:kern w:val="0"/>
                <w:sz w:val="21"/>
                <w:szCs w:val="21"/>
              </w:rPr>
              <w:t>t/d</w:t>
            </w:r>
            <w:r w:rsidR="003C2CEB">
              <w:rPr>
                <w:rFonts w:ascii="Times New Roman" w:hAnsi="Times New Roman" w:cs="Times New Roman" w:hint="eastAsia"/>
                <w:kern w:val="0"/>
                <w:sz w:val="21"/>
                <w:szCs w:val="21"/>
              </w:rPr>
              <w:t>，未超出原环评水办预审的</w:t>
            </w:r>
            <w:r w:rsidR="003C2CEB">
              <w:rPr>
                <w:rFonts w:ascii="Times New Roman" w:hAnsi="Times New Roman" w:cs="Times New Roman" w:hint="eastAsia"/>
                <w:kern w:val="0"/>
                <w:sz w:val="21"/>
                <w:szCs w:val="21"/>
              </w:rPr>
              <w:t>6</w:t>
            </w:r>
            <w:r w:rsidR="003C2CEB">
              <w:rPr>
                <w:rFonts w:ascii="Times New Roman" w:hAnsi="Times New Roman" w:cs="Times New Roman"/>
                <w:kern w:val="0"/>
                <w:sz w:val="21"/>
                <w:szCs w:val="21"/>
              </w:rPr>
              <w:t>00</w:t>
            </w:r>
            <w:r w:rsidR="003C2CEB">
              <w:rPr>
                <w:rFonts w:ascii="Times New Roman" w:hAnsi="Times New Roman" w:cs="Times New Roman" w:hint="eastAsia"/>
                <w:kern w:val="0"/>
                <w:sz w:val="21"/>
                <w:szCs w:val="21"/>
              </w:rPr>
              <w:t>t/d</w:t>
            </w:r>
            <w:r w:rsidR="00B57765">
              <w:rPr>
                <w:rFonts w:ascii="Times New Roman" w:hAnsi="Times New Roman" w:cs="Times New Roman" w:hint="eastAsia"/>
                <w:kern w:val="0"/>
                <w:sz w:val="21"/>
                <w:szCs w:val="21"/>
              </w:rPr>
              <w:t>，且主要污染物排放量亦未超出原环评</w:t>
            </w:r>
            <w:r w:rsidR="003C2CEB">
              <w:rPr>
                <w:rFonts w:ascii="Times New Roman" w:hAnsi="Times New Roman" w:cs="Times New Roman" w:hint="eastAsia"/>
                <w:kern w:val="0"/>
                <w:sz w:val="21"/>
                <w:szCs w:val="21"/>
              </w:rPr>
              <w:t>。</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本项目严格遵守《建设项目环境风险评价技术导则》（</w:t>
            </w:r>
            <w:r w:rsidRPr="00AB41E0">
              <w:rPr>
                <w:rFonts w:ascii="Times New Roman" w:hAnsi="Times New Roman" w:cs="Times New Roman"/>
                <w:kern w:val="0"/>
                <w:sz w:val="21"/>
                <w:szCs w:val="21"/>
              </w:rPr>
              <w:t>HJ169-2018</w:t>
            </w:r>
            <w:r w:rsidRPr="00AB41E0">
              <w:rPr>
                <w:rFonts w:ascii="Times New Roman" w:hAnsi="Times New Roman" w:cs="Times New Roman"/>
                <w:kern w:val="0"/>
                <w:sz w:val="21"/>
                <w:szCs w:val="21"/>
              </w:rPr>
              <w:t>）要求进行预测分析评价，并提出合理有效的风险防范措施和应急措施。</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lastRenderedPageBreak/>
              <w:t>经论证，在有效落实风险防范措施和事故应急预案的前提下，项目环境风险可以防控。</w:t>
            </w:r>
          </w:p>
        </w:tc>
        <w:tc>
          <w:tcPr>
            <w:tcW w:w="246" w:type="pct"/>
            <w:vAlign w:val="center"/>
          </w:tcPr>
          <w:p w:rsidR="004E3021" w:rsidRPr="00AB41E0" w:rsidRDefault="00606E48" w:rsidP="00AB41E0">
            <w:pPr>
              <w:pStyle w:val="afffffff2"/>
              <w:rPr>
                <w:rFonts w:ascii="Times New Roman" w:hAnsi="Times New Roman" w:cs="Times New Roman"/>
                <w:color w:val="FF0000"/>
                <w:kern w:val="0"/>
                <w:sz w:val="21"/>
                <w:szCs w:val="21"/>
              </w:rPr>
            </w:pPr>
            <w:r w:rsidRPr="00AB41E0">
              <w:rPr>
                <w:rFonts w:ascii="Times New Roman" w:hAnsi="Times New Roman" w:cs="Times New Roman"/>
                <w:color w:val="000000" w:themeColor="text1"/>
                <w:kern w:val="0"/>
                <w:sz w:val="21"/>
                <w:szCs w:val="21"/>
              </w:rPr>
              <w:lastRenderedPageBreak/>
              <w:t>符合</w:t>
            </w:r>
          </w:p>
        </w:tc>
      </w:tr>
      <w:tr w:rsidR="004E3021" w:rsidRPr="00AB41E0" w:rsidTr="00524AE1">
        <w:tc>
          <w:tcPr>
            <w:tcW w:w="236" w:type="pct"/>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2</w:t>
            </w:r>
          </w:p>
        </w:tc>
        <w:tc>
          <w:tcPr>
            <w:tcW w:w="681" w:type="pct"/>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《重点行业挥发性有机物综合治理方案》（生态环境部</w:t>
            </w:r>
            <w:r w:rsidRPr="00AB41E0">
              <w:rPr>
                <w:rFonts w:ascii="Times New Roman" w:hAnsi="Times New Roman" w:cs="Times New Roman"/>
                <w:kern w:val="0"/>
                <w:sz w:val="21"/>
                <w:szCs w:val="21"/>
              </w:rPr>
              <w:t xml:space="preserve"> </w:t>
            </w:r>
            <w:r w:rsidRPr="00AB41E0">
              <w:rPr>
                <w:rFonts w:ascii="Times New Roman" w:hAnsi="Times New Roman" w:cs="Times New Roman"/>
                <w:kern w:val="0"/>
                <w:sz w:val="21"/>
                <w:szCs w:val="21"/>
              </w:rPr>
              <w:t>环大气</w:t>
            </w:r>
            <w:r w:rsidRPr="00AB41E0">
              <w:rPr>
                <w:rFonts w:ascii="Times New Roman" w:hAnsi="Times New Roman" w:cs="Times New Roman"/>
                <w:kern w:val="0"/>
                <w:sz w:val="21"/>
                <w:szCs w:val="21"/>
              </w:rPr>
              <w:t>[2019]53</w:t>
            </w:r>
            <w:r w:rsidRPr="00AB41E0">
              <w:rPr>
                <w:rFonts w:ascii="Times New Roman" w:hAnsi="Times New Roman" w:cs="Times New Roman"/>
                <w:kern w:val="0"/>
                <w:sz w:val="21"/>
                <w:szCs w:val="21"/>
              </w:rPr>
              <w:t>号</w:t>
            </w: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加快生产设备密闭化改造。对进出料、物料输送、搅拌、固液分离、干燥和灌装等过程，采取密闭化措施，提升工艺装备水平。加快淘汰敞口式、明流式设施。重点区域含</w:t>
            </w:r>
            <w:r w:rsidRPr="00AB41E0">
              <w:rPr>
                <w:rFonts w:ascii="Times New Roman" w:hAnsi="Times New Roman" w:cs="Times New Roman"/>
                <w:kern w:val="0"/>
                <w:sz w:val="21"/>
                <w:szCs w:val="21"/>
              </w:rPr>
              <w:t>VOCs</w:t>
            </w:r>
            <w:r w:rsidRPr="00AB41E0">
              <w:rPr>
                <w:rFonts w:ascii="Times New Roman" w:hAnsi="Times New Roman" w:cs="Times New Roman"/>
                <w:kern w:val="0"/>
                <w:sz w:val="21"/>
                <w:szCs w:val="21"/>
              </w:rPr>
              <w:t>物料输送原则上采用重力流或泵送方式，逐步淘汰真空方式；有机液体进料鼓励采用底部、浸入管给料方式，淘汰喷溅式给料；固体物料投加逐步推进采用密闭式投料装置。</w:t>
            </w:r>
          </w:p>
        </w:tc>
        <w:tc>
          <w:tcPr>
            <w:tcW w:w="177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项目位于安徽省蚌埠市属于附件内重点区域范围内；项目在设计过程中，充分考虑了涉及</w:t>
            </w:r>
            <w:r w:rsidRPr="00AB41E0">
              <w:rPr>
                <w:rFonts w:ascii="Times New Roman" w:hAnsi="Times New Roman" w:cs="Times New Roman"/>
                <w:kern w:val="0"/>
                <w:sz w:val="21"/>
                <w:szCs w:val="21"/>
              </w:rPr>
              <w:t>VOCs</w:t>
            </w:r>
            <w:r w:rsidRPr="00AB41E0">
              <w:rPr>
                <w:rFonts w:ascii="Times New Roman" w:hAnsi="Times New Roman" w:cs="Times New Roman"/>
                <w:kern w:val="0"/>
                <w:sz w:val="21"/>
                <w:szCs w:val="21"/>
              </w:rPr>
              <w:t>物料的储存、转运、投料、生产等各环节的无组织废气收集要求。在设计上合理布置生产布局，各工序中物料中转采用泵送方式。</w:t>
            </w:r>
          </w:p>
        </w:tc>
        <w:tc>
          <w:tcPr>
            <w:tcW w:w="246" w:type="pct"/>
            <w:vAlign w:val="center"/>
          </w:tcPr>
          <w:p w:rsidR="004E3021" w:rsidRPr="00AB41E0" w:rsidRDefault="00606E48" w:rsidP="00AB41E0">
            <w:pPr>
              <w:pStyle w:val="afffffff2"/>
              <w:rPr>
                <w:rFonts w:ascii="Times New Roman" w:hAnsi="Times New Roman" w:cs="Times New Roman"/>
                <w:color w:val="000000" w:themeColor="text1"/>
                <w:kern w:val="0"/>
                <w:sz w:val="21"/>
                <w:szCs w:val="21"/>
              </w:rPr>
            </w:pPr>
            <w:r w:rsidRPr="00AB41E0">
              <w:rPr>
                <w:rFonts w:ascii="Times New Roman" w:hAnsi="Times New Roman" w:cs="Times New Roman"/>
                <w:color w:val="000000" w:themeColor="text1"/>
                <w:kern w:val="0"/>
                <w:sz w:val="21"/>
                <w:szCs w:val="21"/>
              </w:rPr>
              <w:t>符合</w:t>
            </w:r>
          </w:p>
        </w:tc>
      </w:tr>
      <w:tr w:rsidR="004E3021" w:rsidRPr="00AB41E0" w:rsidTr="00524AE1">
        <w:trPr>
          <w:trHeight w:val="730"/>
        </w:trPr>
        <w:tc>
          <w:tcPr>
            <w:tcW w:w="236"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81"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系统梳理</w:t>
            </w:r>
            <w:r w:rsidRPr="00AB41E0">
              <w:rPr>
                <w:rFonts w:ascii="Times New Roman" w:hAnsi="Times New Roman" w:cs="Times New Roman"/>
                <w:kern w:val="0"/>
                <w:sz w:val="21"/>
                <w:szCs w:val="21"/>
              </w:rPr>
              <w:t>VOCs</w:t>
            </w:r>
            <w:r w:rsidRPr="00AB41E0">
              <w:rPr>
                <w:rFonts w:ascii="Times New Roman" w:hAnsi="Times New Roman" w:cs="Times New Roman"/>
                <w:kern w:val="0"/>
                <w:sz w:val="21"/>
                <w:szCs w:val="21"/>
              </w:rPr>
              <w:t>排放主要环节和工序。健全内部考核制度。加强人员能力培训和技术交流。建立管理台账，记录企业生产和治污设施运行关键参数，在线监控参数要确保能够实时调取，相关台账记录至少保存三年。</w:t>
            </w:r>
          </w:p>
        </w:tc>
        <w:tc>
          <w:tcPr>
            <w:tcW w:w="177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本评价要求建设单位梳理</w:t>
            </w:r>
            <w:r w:rsidRPr="00AB41E0">
              <w:rPr>
                <w:rFonts w:ascii="Times New Roman" w:hAnsi="Times New Roman" w:cs="Times New Roman"/>
                <w:kern w:val="0"/>
                <w:sz w:val="21"/>
                <w:szCs w:val="21"/>
              </w:rPr>
              <w:t>VOCs</w:t>
            </w:r>
            <w:r w:rsidRPr="00AB41E0">
              <w:rPr>
                <w:rFonts w:ascii="Times New Roman" w:hAnsi="Times New Roman" w:cs="Times New Roman"/>
                <w:kern w:val="0"/>
                <w:sz w:val="21"/>
                <w:szCs w:val="21"/>
              </w:rPr>
              <w:t>排放主要环节和工序，落实到具体责任人。健全内部考核制度。加强人员能力培训和技术交流。建立管理台账，记录企业生产和治污设施运行的关键参数，在线监控参数要确保能够实时调取，相关台账记录至少保存三年。</w:t>
            </w:r>
          </w:p>
        </w:tc>
        <w:tc>
          <w:tcPr>
            <w:tcW w:w="246" w:type="pct"/>
            <w:vAlign w:val="center"/>
          </w:tcPr>
          <w:p w:rsidR="004E3021" w:rsidRPr="00AB41E0" w:rsidRDefault="00606E48" w:rsidP="00AB41E0">
            <w:pPr>
              <w:pStyle w:val="afffffff2"/>
              <w:rPr>
                <w:rFonts w:ascii="Times New Roman" w:hAnsi="Times New Roman" w:cs="Times New Roman"/>
                <w:color w:val="FF0000"/>
                <w:kern w:val="0"/>
                <w:sz w:val="21"/>
                <w:szCs w:val="21"/>
              </w:rPr>
            </w:pPr>
            <w:r w:rsidRPr="00AB41E0">
              <w:rPr>
                <w:rFonts w:ascii="Times New Roman" w:hAnsi="Times New Roman" w:cs="Times New Roman"/>
                <w:color w:val="000000" w:themeColor="text1"/>
                <w:kern w:val="0"/>
                <w:sz w:val="21"/>
                <w:szCs w:val="21"/>
              </w:rPr>
              <w:t>符合</w:t>
            </w:r>
          </w:p>
        </w:tc>
      </w:tr>
      <w:tr w:rsidR="00524AE1" w:rsidRPr="00AB41E0" w:rsidTr="00524AE1">
        <w:trPr>
          <w:trHeight w:val="730"/>
        </w:trPr>
        <w:tc>
          <w:tcPr>
            <w:tcW w:w="236" w:type="pct"/>
            <w:vMerge w:val="restart"/>
            <w:vAlign w:val="center"/>
          </w:tcPr>
          <w:p w:rsidR="00524AE1" w:rsidRPr="00F47ACE" w:rsidRDefault="00524AE1" w:rsidP="00AB41E0">
            <w:pPr>
              <w:pStyle w:val="afffffff2"/>
              <w:rPr>
                <w:rFonts w:ascii="Times New Roman" w:hAnsi="Times New Roman" w:cs="Times New Roman"/>
                <w:kern w:val="0"/>
                <w:sz w:val="21"/>
                <w:szCs w:val="21"/>
              </w:rPr>
            </w:pPr>
            <w:r w:rsidRPr="00F47ACE">
              <w:rPr>
                <w:rFonts w:ascii="Times New Roman" w:hAnsi="Times New Roman" w:cs="Times New Roman"/>
                <w:kern w:val="0"/>
                <w:sz w:val="21"/>
                <w:szCs w:val="21"/>
              </w:rPr>
              <w:t>3</w:t>
            </w:r>
          </w:p>
        </w:tc>
        <w:tc>
          <w:tcPr>
            <w:tcW w:w="681" w:type="pct"/>
            <w:vMerge w:val="restart"/>
            <w:vAlign w:val="center"/>
          </w:tcPr>
          <w:p w:rsidR="00524AE1" w:rsidRPr="00F47ACE" w:rsidRDefault="00524AE1" w:rsidP="00C8726B">
            <w:pPr>
              <w:pStyle w:val="afffffff2"/>
              <w:rPr>
                <w:rFonts w:ascii="Times New Roman" w:hAnsi="Times New Roman" w:cs="Times New Roman"/>
                <w:kern w:val="0"/>
                <w:sz w:val="21"/>
                <w:szCs w:val="21"/>
              </w:rPr>
            </w:pPr>
            <w:r w:rsidRPr="00F47ACE">
              <w:rPr>
                <w:rFonts w:ascii="Times New Roman" w:hAnsi="Times New Roman" w:cs="Times New Roman" w:hint="eastAsia"/>
                <w:kern w:val="0"/>
                <w:sz w:val="21"/>
                <w:szCs w:val="21"/>
              </w:rPr>
              <w:t>《重点行业挥发性有机物治理环境管理技术规范第</w:t>
            </w:r>
            <w:r w:rsidRPr="00F47ACE">
              <w:rPr>
                <w:rFonts w:ascii="Times New Roman" w:hAnsi="Times New Roman" w:cs="Times New Roman" w:hint="eastAsia"/>
                <w:kern w:val="0"/>
                <w:sz w:val="21"/>
                <w:szCs w:val="21"/>
              </w:rPr>
              <w:t>2</w:t>
            </w:r>
            <w:r w:rsidRPr="00F47ACE">
              <w:rPr>
                <w:rFonts w:ascii="Times New Roman" w:hAnsi="Times New Roman" w:cs="Times New Roman" w:hint="eastAsia"/>
                <w:kern w:val="0"/>
                <w:sz w:val="21"/>
                <w:szCs w:val="21"/>
              </w:rPr>
              <w:t>部分：石化行业》（</w:t>
            </w:r>
            <w:r w:rsidRPr="00F47ACE">
              <w:rPr>
                <w:rFonts w:ascii="Times New Roman" w:hAnsi="Times New Roman" w:cs="Times New Roman" w:hint="eastAsia"/>
                <w:kern w:val="0"/>
                <w:sz w:val="21"/>
                <w:szCs w:val="21"/>
              </w:rPr>
              <w:t>DB34/T4230.2</w:t>
            </w:r>
            <w:r w:rsidRPr="00F47ACE">
              <w:rPr>
                <w:rFonts w:ascii="Times New Roman" w:hAnsi="Times New Roman" w:cs="Times New Roman" w:hint="eastAsia"/>
                <w:kern w:val="0"/>
                <w:sz w:val="21"/>
                <w:szCs w:val="21"/>
              </w:rPr>
              <w:t>—</w:t>
            </w:r>
            <w:r w:rsidRPr="00F47ACE">
              <w:rPr>
                <w:rFonts w:ascii="Times New Roman" w:hAnsi="Times New Roman" w:cs="Times New Roman" w:hint="eastAsia"/>
                <w:kern w:val="0"/>
                <w:sz w:val="21"/>
                <w:szCs w:val="21"/>
              </w:rPr>
              <w:t>2022</w:t>
            </w:r>
            <w:r w:rsidRPr="00F47ACE">
              <w:rPr>
                <w:rFonts w:ascii="Times New Roman" w:hAnsi="Times New Roman" w:cs="Times New Roman" w:hint="eastAsia"/>
                <w:kern w:val="0"/>
                <w:sz w:val="21"/>
                <w:szCs w:val="21"/>
              </w:rPr>
              <w:t>）</w:t>
            </w:r>
          </w:p>
        </w:tc>
        <w:tc>
          <w:tcPr>
            <w:tcW w:w="2060" w:type="pct"/>
            <w:gridSpan w:val="2"/>
            <w:vAlign w:val="center"/>
          </w:tcPr>
          <w:p w:rsidR="00524AE1" w:rsidRDefault="00524AE1" w:rsidP="00C8726B">
            <w:pPr>
              <w:widowControl/>
              <w:spacing w:line="360" w:lineRule="exact"/>
              <w:ind w:firstLine="420"/>
              <w:jc w:val="left"/>
              <w:rPr>
                <w:rFonts w:ascii="Times New Roman" w:hAnsi="Times New Roman"/>
                <w:sz w:val="21"/>
              </w:rPr>
            </w:pPr>
            <w:r>
              <w:rPr>
                <w:rFonts w:ascii="Times New Roman" w:hAnsi="Times New Roman"/>
                <w:sz w:val="21"/>
              </w:rPr>
              <w:t xml:space="preserve">4.1.1 </w:t>
            </w:r>
            <w:r>
              <w:rPr>
                <w:rFonts w:ascii="Times New Roman" w:hAnsi="Times New Roman"/>
                <w:sz w:val="21"/>
              </w:rPr>
              <w:t>宜采用密闭采样或等效措施；宜选用无泄漏或泄漏量小的机泵和管阀件等设备。</w:t>
            </w:r>
          </w:p>
          <w:p w:rsidR="00524AE1" w:rsidRDefault="00524AE1" w:rsidP="00C8726B">
            <w:pPr>
              <w:widowControl/>
              <w:spacing w:line="360" w:lineRule="exact"/>
              <w:ind w:firstLine="420"/>
              <w:jc w:val="left"/>
              <w:rPr>
                <w:rFonts w:ascii="Times New Roman" w:hAnsi="Times New Roman"/>
                <w:sz w:val="21"/>
              </w:rPr>
            </w:pPr>
            <w:r>
              <w:rPr>
                <w:rFonts w:ascii="Times New Roman" w:hAnsi="Times New Roman"/>
                <w:sz w:val="21"/>
              </w:rPr>
              <w:t xml:space="preserve">4.1.2 </w:t>
            </w:r>
            <w:r>
              <w:rPr>
                <w:rFonts w:ascii="Times New Roman" w:hAnsi="Times New Roman"/>
                <w:sz w:val="21"/>
              </w:rPr>
              <w:t>污染严重、服役时间长的生产装置和管道系统应实施升级改造。</w:t>
            </w:r>
          </w:p>
          <w:p w:rsidR="00524AE1" w:rsidRDefault="00524AE1" w:rsidP="00C8726B">
            <w:pPr>
              <w:widowControl/>
              <w:spacing w:line="360" w:lineRule="exact"/>
              <w:ind w:firstLine="420"/>
              <w:jc w:val="left"/>
              <w:rPr>
                <w:rFonts w:ascii="Times New Roman" w:hAnsi="Times New Roman"/>
                <w:sz w:val="21"/>
              </w:rPr>
            </w:pPr>
            <w:r>
              <w:rPr>
                <w:rFonts w:ascii="Times New Roman" w:hAnsi="Times New Roman"/>
                <w:sz w:val="21"/>
              </w:rPr>
              <w:t xml:space="preserve">4.1.3 </w:t>
            </w:r>
            <w:r>
              <w:rPr>
                <w:rFonts w:ascii="Times New Roman" w:hAnsi="Times New Roman"/>
                <w:sz w:val="21"/>
              </w:rPr>
              <w:t>宜采用管道输送，减少罐车和油船装卸作业及中间罐区；相近储罐之间收发挥发性有机液体，宜采用气相平衡技术。</w:t>
            </w:r>
          </w:p>
          <w:p w:rsidR="00524AE1" w:rsidRDefault="00524AE1" w:rsidP="00C8726B">
            <w:pPr>
              <w:widowControl/>
              <w:spacing w:line="360" w:lineRule="exact"/>
              <w:ind w:firstLine="420"/>
              <w:jc w:val="left"/>
              <w:rPr>
                <w:rFonts w:ascii="Times New Roman" w:hAnsi="Times New Roman"/>
                <w:sz w:val="21"/>
              </w:rPr>
            </w:pPr>
            <w:r>
              <w:rPr>
                <w:rFonts w:ascii="Times New Roman" w:hAnsi="Times New Roman"/>
                <w:sz w:val="21"/>
              </w:rPr>
              <w:t xml:space="preserve">4.1.4 </w:t>
            </w:r>
            <w:r>
              <w:rPr>
                <w:rFonts w:ascii="Times New Roman" w:hAnsi="Times New Roman"/>
                <w:sz w:val="21"/>
              </w:rPr>
              <w:t>含溶解性油气物料（例如酸性水、粗汽油、粗柴油等），在长距离、高压输送进入常压罐前，宜经过脱气罐回收释放气，避免闪蒸损失。</w:t>
            </w:r>
          </w:p>
          <w:p w:rsidR="00524AE1" w:rsidRPr="00F47ACE" w:rsidRDefault="00524AE1" w:rsidP="00C8726B">
            <w:pPr>
              <w:pStyle w:val="afffffff2"/>
              <w:jc w:val="left"/>
              <w:rPr>
                <w:rFonts w:ascii="Times New Roman" w:hAnsi="Times New Roman" w:cs="Times New Roman"/>
                <w:kern w:val="0"/>
                <w:sz w:val="21"/>
                <w:szCs w:val="21"/>
              </w:rPr>
            </w:pPr>
            <w:r>
              <w:rPr>
                <w:rFonts w:ascii="Times New Roman" w:hAnsi="Times New Roman" w:cs="Times New Roman"/>
                <w:sz w:val="21"/>
              </w:rPr>
              <w:lastRenderedPageBreak/>
              <w:t xml:space="preserve">4.1.5 </w:t>
            </w:r>
            <w:r>
              <w:rPr>
                <w:rFonts w:ascii="Times New Roman" w:hAnsi="Times New Roman" w:cs="Times New Roman"/>
                <w:sz w:val="21"/>
              </w:rPr>
              <w:t>宜采用低</w:t>
            </w:r>
            <w:r>
              <w:rPr>
                <w:rFonts w:ascii="Times New Roman" w:hAnsi="Times New Roman" w:cs="Times New Roman"/>
                <w:sz w:val="21"/>
              </w:rPr>
              <w:t>VOCs</w:t>
            </w:r>
            <w:r>
              <w:rPr>
                <w:rFonts w:ascii="Times New Roman" w:hAnsi="Times New Roman" w:cs="Times New Roman"/>
                <w:sz w:val="21"/>
              </w:rPr>
              <w:t>含量涂料替代溶剂型涂料；宜采用密闭脱水、脱气、掺混等工艺；宜采用密闭式循环水冷却系统；污水处理站（场）含油污水密闭输送并安装水封控制措施，尽可能减少集水井、隔油池数量，集水井或无移动部件隔油池可安装浮动盖板（浮盘）</w:t>
            </w:r>
          </w:p>
        </w:tc>
        <w:tc>
          <w:tcPr>
            <w:tcW w:w="1777" w:type="pct"/>
            <w:vAlign w:val="center"/>
          </w:tcPr>
          <w:p w:rsidR="00524AE1" w:rsidRDefault="00524AE1" w:rsidP="00C8726B">
            <w:pPr>
              <w:widowControl/>
              <w:topLinePunct/>
              <w:spacing w:line="360" w:lineRule="exact"/>
              <w:ind w:firstLine="420"/>
              <w:jc w:val="left"/>
              <w:rPr>
                <w:rFonts w:ascii="Times New Roman" w:hAnsi="Times New Roman"/>
                <w:sz w:val="21"/>
              </w:rPr>
            </w:pPr>
            <w:r>
              <w:rPr>
                <w:rFonts w:ascii="Times New Roman" w:hAnsi="Times New Roman" w:hint="eastAsia"/>
                <w:sz w:val="21"/>
              </w:rPr>
              <w:lastRenderedPageBreak/>
              <w:t>1</w:t>
            </w:r>
            <w:r>
              <w:rPr>
                <w:rFonts w:ascii="Times New Roman" w:hAnsi="Times New Roman" w:hint="eastAsia"/>
                <w:sz w:val="21"/>
              </w:rPr>
              <w:t>、本项目物料输送泵采用无泄漏泵，管阀件采用无泄漏式，并按要求定期进行检测。</w:t>
            </w:r>
          </w:p>
          <w:p w:rsidR="00524AE1" w:rsidRDefault="00524AE1" w:rsidP="00C8726B">
            <w:pPr>
              <w:widowControl/>
              <w:topLinePunct/>
              <w:spacing w:line="360" w:lineRule="exact"/>
              <w:ind w:firstLine="420"/>
              <w:jc w:val="left"/>
              <w:rPr>
                <w:rFonts w:ascii="Times New Roman" w:hAnsi="Times New Roman"/>
                <w:sz w:val="21"/>
              </w:rPr>
            </w:pPr>
            <w:r>
              <w:rPr>
                <w:rFonts w:ascii="Times New Roman" w:hAnsi="Times New Roman" w:hint="eastAsia"/>
                <w:sz w:val="21"/>
              </w:rPr>
              <w:t>2</w:t>
            </w:r>
            <w:r>
              <w:rPr>
                <w:rFonts w:ascii="Times New Roman" w:hAnsi="Times New Roman" w:hint="eastAsia"/>
                <w:sz w:val="21"/>
              </w:rPr>
              <w:t>、本项目后续生产过程中服役时间长的生产装置和管道系统应实施升级改造。</w:t>
            </w:r>
          </w:p>
          <w:p w:rsidR="00524AE1" w:rsidRDefault="00524AE1" w:rsidP="00C8726B">
            <w:pPr>
              <w:widowControl/>
              <w:topLinePunct/>
              <w:spacing w:line="360" w:lineRule="exact"/>
              <w:ind w:firstLine="420"/>
              <w:jc w:val="left"/>
              <w:rPr>
                <w:rFonts w:ascii="Times New Roman" w:hAnsi="Times New Roman"/>
                <w:sz w:val="21"/>
              </w:rPr>
            </w:pPr>
            <w:r>
              <w:rPr>
                <w:rFonts w:ascii="Times New Roman" w:hAnsi="Times New Roman" w:hint="eastAsia"/>
                <w:sz w:val="21"/>
              </w:rPr>
              <w:t>3</w:t>
            </w:r>
            <w:r>
              <w:rPr>
                <w:rFonts w:ascii="Times New Roman" w:hAnsi="Times New Roman" w:hint="eastAsia"/>
                <w:sz w:val="21"/>
              </w:rPr>
              <w:t>、项目原料输送采用密闭管道输送。物料转运产生的有机挥发性呼吸气经密闭管道收集后处理。</w:t>
            </w:r>
          </w:p>
          <w:p w:rsidR="00524AE1" w:rsidRDefault="00524AE1" w:rsidP="00C8726B">
            <w:pPr>
              <w:widowControl/>
              <w:topLinePunct/>
              <w:spacing w:line="360" w:lineRule="exact"/>
              <w:ind w:firstLine="420"/>
              <w:rPr>
                <w:rFonts w:ascii="Times New Roman" w:hAnsi="Times New Roman"/>
                <w:sz w:val="21"/>
              </w:rPr>
            </w:pPr>
            <w:r>
              <w:rPr>
                <w:rFonts w:ascii="Times New Roman" w:hAnsi="Times New Roman" w:hint="eastAsia"/>
                <w:sz w:val="21"/>
              </w:rPr>
              <w:t>4</w:t>
            </w:r>
            <w:r>
              <w:rPr>
                <w:rFonts w:ascii="Times New Roman" w:hAnsi="Times New Roman" w:hint="eastAsia"/>
                <w:sz w:val="21"/>
              </w:rPr>
              <w:t>、本项目生产不涉及含溶解性油气物料。</w:t>
            </w:r>
          </w:p>
          <w:p w:rsidR="00524AE1" w:rsidRPr="00F47ACE" w:rsidRDefault="00524AE1" w:rsidP="00C8726B">
            <w:pPr>
              <w:pStyle w:val="afffffff2"/>
              <w:jc w:val="left"/>
              <w:rPr>
                <w:rFonts w:ascii="Times New Roman" w:hAnsi="Times New Roman" w:cs="Times New Roman"/>
                <w:kern w:val="0"/>
                <w:sz w:val="21"/>
                <w:szCs w:val="21"/>
              </w:rPr>
            </w:pPr>
            <w:r>
              <w:rPr>
                <w:rFonts w:ascii="Times New Roman" w:hAnsi="Times New Roman" w:cs="Times New Roman" w:hint="eastAsia"/>
                <w:sz w:val="21"/>
              </w:rPr>
              <w:t>5</w:t>
            </w:r>
            <w:r>
              <w:rPr>
                <w:rFonts w:ascii="Times New Roman" w:hAnsi="Times New Roman" w:cs="Times New Roman" w:hint="eastAsia"/>
                <w:sz w:val="21"/>
              </w:rPr>
              <w:t>、本项目不涉及涂料；本项目循环水冷却系统为密闭形式；本项目不涉及含油污水，污水处理站废水收集池上部设置盖。</w:t>
            </w:r>
          </w:p>
        </w:tc>
        <w:tc>
          <w:tcPr>
            <w:tcW w:w="246" w:type="pct"/>
            <w:vAlign w:val="center"/>
          </w:tcPr>
          <w:p w:rsidR="00524AE1" w:rsidRPr="00F47ACE" w:rsidRDefault="00FD0774" w:rsidP="00AB41E0">
            <w:pPr>
              <w:pStyle w:val="afffffff2"/>
              <w:rPr>
                <w:rFonts w:ascii="Times New Roman" w:hAnsi="Times New Roman" w:cs="Times New Roman"/>
                <w:color w:val="000000" w:themeColor="text1"/>
                <w:kern w:val="0"/>
                <w:sz w:val="21"/>
                <w:szCs w:val="21"/>
              </w:rPr>
            </w:pPr>
            <w:r>
              <w:rPr>
                <w:rFonts w:ascii="Times New Roman" w:hAnsi="Times New Roman" w:cs="Times New Roman" w:hint="eastAsia"/>
                <w:color w:val="000000" w:themeColor="text1"/>
                <w:kern w:val="0"/>
                <w:sz w:val="21"/>
                <w:szCs w:val="21"/>
              </w:rPr>
              <w:t>符合</w:t>
            </w:r>
          </w:p>
        </w:tc>
      </w:tr>
      <w:tr w:rsidR="00524AE1" w:rsidRPr="00AB41E0" w:rsidTr="00524AE1">
        <w:trPr>
          <w:trHeight w:val="730"/>
        </w:trPr>
        <w:tc>
          <w:tcPr>
            <w:tcW w:w="236" w:type="pct"/>
            <w:vMerge/>
            <w:vAlign w:val="center"/>
          </w:tcPr>
          <w:p w:rsidR="00524AE1" w:rsidRPr="00F47ACE" w:rsidRDefault="00524AE1" w:rsidP="00524AE1">
            <w:pPr>
              <w:pStyle w:val="afffffff2"/>
              <w:rPr>
                <w:rFonts w:cs="Times New Roman"/>
                <w:kern w:val="0"/>
                <w:sz w:val="21"/>
                <w:szCs w:val="21"/>
              </w:rPr>
            </w:pPr>
          </w:p>
        </w:tc>
        <w:tc>
          <w:tcPr>
            <w:tcW w:w="681" w:type="pct"/>
            <w:vMerge/>
            <w:vAlign w:val="center"/>
          </w:tcPr>
          <w:p w:rsidR="00524AE1" w:rsidRPr="00F47ACE" w:rsidRDefault="00524AE1" w:rsidP="00C8726B">
            <w:pPr>
              <w:pStyle w:val="afffffff2"/>
              <w:rPr>
                <w:rFonts w:cs="Times New Roman"/>
                <w:kern w:val="0"/>
                <w:sz w:val="21"/>
                <w:szCs w:val="21"/>
              </w:rPr>
            </w:pPr>
          </w:p>
        </w:tc>
        <w:tc>
          <w:tcPr>
            <w:tcW w:w="2060" w:type="pct"/>
            <w:gridSpan w:val="2"/>
            <w:vAlign w:val="center"/>
          </w:tcPr>
          <w:p w:rsidR="00524AE1" w:rsidRPr="00524AE1" w:rsidRDefault="00524AE1" w:rsidP="00C8726B">
            <w:pPr>
              <w:widowControl/>
              <w:topLinePunct/>
              <w:spacing w:line="360" w:lineRule="exact"/>
              <w:ind w:firstLine="420"/>
              <w:jc w:val="left"/>
              <w:rPr>
                <w:rFonts w:ascii="Times New Roman" w:hAnsi="Times New Roman"/>
                <w:sz w:val="21"/>
              </w:rPr>
            </w:pPr>
            <w:r>
              <w:rPr>
                <w:rFonts w:ascii="Times New Roman" w:hAnsi="Times New Roman"/>
                <w:sz w:val="21"/>
              </w:rPr>
              <w:t>4</w:t>
            </w:r>
            <w:r w:rsidRPr="00524AE1">
              <w:rPr>
                <w:rFonts w:ascii="Times New Roman" w:hAnsi="Times New Roman" w:hint="eastAsia"/>
                <w:sz w:val="21"/>
              </w:rPr>
              <w:t>.2.1.1</w:t>
            </w:r>
            <w:r w:rsidRPr="00524AE1">
              <w:rPr>
                <w:rFonts w:ascii="Times New Roman" w:hAnsi="Times New Roman" w:hint="eastAsia"/>
                <w:sz w:val="21"/>
              </w:rPr>
              <w:t>载有气态</w:t>
            </w:r>
            <w:r w:rsidRPr="00524AE1">
              <w:rPr>
                <w:rFonts w:ascii="Times New Roman" w:hAnsi="Times New Roman" w:hint="eastAsia"/>
                <w:sz w:val="21"/>
              </w:rPr>
              <w:t>VOCs</w:t>
            </w:r>
            <w:r w:rsidRPr="00524AE1">
              <w:rPr>
                <w:rFonts w:ascii="Times New Roman" w:hAnsi="Times New Roman" w:hint="eastAsia"/>
                <w:sz w:val="21"/>
              </w:rPr>
              <w:t>物料、液态</w:t>
            </w:r>
            <w:r w:rsidRPr="00524AE1">
              <w:rPr>
                <w:rFonts w:ascii="Times New Roman" w:hAnsi="Times New Roman" w:hint="eastAsia"/>
                <w:sz w:val="21"/>
              </w:rPr>
              <w:t>VOCs</w:t>
            </w:r>
            <w:r w:rsidRPr="00524AE1">
              <w:rPr>
                <w:rFonts w:ascii="Times New Roman" w:hAnsi="Times New Roman" w:hint="eastAsia"/>
                <w:sz w:val="21"/>
              </w:rPr>
              <w:t>物料的设备和管线组件的密封点，应建立密封点档案和泄漏检测与修复计划：</w:t>
            </w:r>
            <w:r>
              <w:rPr>
                <w:rFonts w:ascii="Times New Roman" w:hAnsi="Times New Roman" w:hint="eastAsia"/>
                <w:sz w:val="21"/>
              </w:rPr>
              <w:t>密封</w:t>
            </w:r>
            <w:r w:rsidRPr="00524AE1">
              <w:rPr>
                <w:rFonts w:ascii="Times New Roman" w:hAnsi="Times New Roman" w:hint="eastAsia"/>
                <w:sz w:val="21"/>
              </w:rPr>
              <w:t>点大于等于</w:t>
            </w:r>
            <w:r w:rsidRPr="00524AE1">
              <w:rPr>
                <w:rFonts w:ascii="Times New Roman" w:hAnsi="Times New Roman" w:hint="eastAsia"/>
                <w:sz w:val="21"/>
              </w:rPr>
              <w:t>2000</w:t>
            </w:r>
            <w:r w:rsidRPr="00524AE1">
              <w:rPr>
                <w:rFonts w:ascii="Times New Roman" w:hAnsi="Times New Roman" w:hint="eastAsia"/>
                <w:sz w:val="21"/>
              </w:rPr>
              <w:t>个，应开展</w:t>
            </w:r>
            <w:r w:rsidRPr="00524AE1">
              <w:rPr>
                <w:rFonts w:ascii="Times New Roman" w:hAnsi="Times New Roman" w:hint="eastAsia"/>
                <w:sz w:val="21"/>
              </w:rPr>
              <w:t>LDAR</w:t>
            </w:r>
            <w:r w:rsidRPr="00524AE1">
              <w:rPr>
                <w:rFonts w:ascii="Times New Roman" w:hAnsi="Times New Roman" w:hint="eastAsia"/>
                <w:sz w:val="21"/>
              </w:rPr>
              <w:t>工作</w:t>
            </w:r>
            <w:r>
              <w:rPr>
                <w:rFonts w:ascii="Times New Roman" w:hAnsi="Times New Roman" w:hint="eastAsia"/>
                <w:sz w:val="21"/>
              </w:rPr>
              <w:t>。</w:t>
            </w:r>
          </w:p>
          <w:p w:rsidR="00524AE1" w:rsidRPr="00524AE1" w:rsidRDefault="00524AE1" w:rsidP="00C8726B">
            <w:pPr>
              <w:widowControl/>
              <w:topLinePunct/>
              <w:spacing w:line="360" w:lineRule="exact"/>
              <w:ind w:firstLine="420"/>
              <w:jc w:val="left"/>
              <w:rPr>
                <w:rFonts w:ascii="Times New Roman" w:hAnsi="Times New Roman"/>
                <w:sz w:val="21"/>
              </w:rPr>
            </w:pPr>
            <w:r w:rsidRPr="00524AE1">
              <w:rPr>
                <w:rFonts w:ascii="Times New Roman" w:hAnsi="Times New Roman" w:hint="eastAsia"/>
                <w:sz w:val="21"/>
              </w:rPr>
              <w:t xml:space="preserve">4.2.1.2 </w:t>
            </w:r>
            <w:r w:rsidRPr="00524AE1">
              <w:rPr>
                <w:rFonts w:ascii="Times New Roman" w:hAnsi="Times New Roman" w:hint="eastAsia"/>
                <w:sz w:val="21"/>
              </w:rPr>
              <w:t>宜建立密封点</w:t>
            </w:r>
            <w:r w:rsidRPr="00524AE1">
              <w:rPr>
                <w:rFonts w:ascii="Times New Roman" w:hAnsi="Times New Roman" w:hint="eastAsia"/>
                <w:sz w:val="21"/>
              </w:rPr>
              <w:t>LDAR</w:t>
            </w:r>
            <w:r w:rsidRPr="00524AE1">
              <w:rPr>
                <w:rFonts w:ascii="Times New Roman" w:hAnsi="Times New Roman" w:hint="eastAsia"/>
                <w:sz w:val="21"/>
              </w:rPr>
              <w:t>信息平台，全面分析</w:t>
            </w:r>
            <w:r>
              <w:rPr>
                <w:rFonts w:ascii="Times New Roman" w:hAnsi="Times New Roman" w:hint="eastAsia"/>
                <w:sz w:val="21"/>
              </w:rPr>
              <w:t>泄露</w:t>
            </w:r>
            <w:r w:rsidRPr="00524AE1">
              <w:rPr>
                <w:rFonts w:ascii="Times New Roman" w:hAnsi="Times New Roman" w:hint="eastAsia"/>
                <w:sz w:val="21"/>
              </w:rPr>
              <w:t>点信息，对易泄漏环节</w:t>
            </w:r>
            <w:r>
              <w:rPr>
                <w:rFonts w:ascii="Times New Roman" w:hAnsi="Times New Roman" w:hint="eastAsia"/>
                <w:sz w:val="21"/>
              </w:rPr>
              <w:t>制定</w:t>
            </w:r>
            <w:r w:rsidRPr="00524AE1">
              <w:rPr>
                <w:rFonts w:ascii="Times New Roman" w:hAnsi="Times New Roman" w:hint="eastAsia"/>
                <w:sz w:val="21"/>
              </w:rPr>
              <w:t>针对性改进措施。</w:t>
            </w:r>
          </w:p>
          <w:p w:rsidR="00524AE1" w:rsidRDefault="00524AE1" w:rsidP="00C8726B">
            <w:pPr>
              <w:widowControl/>
              <w:topLinePunct/>
              <w:spacing w:line="360" w:lineRule="exact"/>
              <w:ind w:firstLine="420"/>
              <w:jc w:val="left"/>
              <w:rPr>
                <w:rFonts w:ascii="Times New Roman" w:hAnsi="Times New Roman"/>
                <w:sz w:val="21"/>
              </w:rPr>
            </w:pPr>
            <w:r w:rsidRPr="00524AE1">
              <w:rPr>
                <w:rFonts w:ascii="Times New Roman" w:hAnsi="Times New Roman" w:hint="eastAsia"/>
                <w:sz w:val="21"/>
              </w:rPr>
              <w:t xml:space="preserve">4.2.1.3 </w:t>
            </w:r>
            <w:r w:rsidRPr="00524AE1">
              <w:rPr>
                <w:rFonts w:ascii="Times New Roman" w:hAnsi="Times New Roman" w:hint="eastAsia"/>
                <w:sz w:val="21"/>
              </w:rPr>
              <w:t>泵、压缩机、阀门、开口阀或开口管线、气体</w:t>
            </w:r>
            <w:r w:rsidRPr="00524AE1">
              <w:rPr>
                <w:rFonts w:ascii="Times New Roman" w:hAnsi="Times New Roman" w:hint="eastAsia"/>
                <w:sz w:val="21"/>
              </w:rPr>
              <w:t>/</w:t>
            </w:r>
            <w:r w:rsidRPr="00524AE1">
              <w:rPr>
                <w:rFonts w:ascii="Times New Roman" w:hAnsi="Times New Roman" w:hint="eastAsia"/>
                <w:sz w:val="21"/>
              </w:rPr>
              <w:t>蒸气泄压设备、取样连接系统每</w:t>
            </w:r>
            <w:r w:rsidRPr="00524AE1">
              <w:rPr>
                <w:rFonts w:ascii="Times New Roman" w:hAnsi="Times New Roman" w:hint="eastAsia"/>
                <w:sz w:val="21"/>
              </w:rPr>
              <w:t>3</w:t>
            </w:r>
            <w:r w:rsidRPr="00524AE1">
              <w:rPr>
                <w:rFonts w:ascii="Times New Roman" w:hAnsi="Times New Roman" w:hint="eastAsia"/>
                <w:sz w:val="21"/>
              </w:rPr>
              <w:t>个月检测</w:t>
            </w:r>
            <w:r w:rsidRPr="00524AE1">
              <w:rPr>
                <w:rFonts w:ascii="Times New Roman" w:hAnsi="Times New Roman" w:hint="eastAsia"/>
                <w:sz w:val="21"/>
              </w:rPr>
              <w:t>1</w:t>
            </w:r>
            <w:r w:rsidRPr="00524AE1">
              <w:rPr>
                <w:rFonts w:ascii="Times New Roman" w:hAnsi="Times New Roman" w:hint="eastAsia"/>
                <w:sz w:val="21"/>
              </w:rPr>
              <w:t>次。法兰及其他连接件、其他密封</w:t>
            </w:r>
            <w:r>
              <w:rPr>
                <w:rFonts w:ascii="Times New Roman" w:hAnsi="Times New Roman" w:hint="eastAsia"/>
                <w:sz w:val="21"/>
              </w:rPr>
              <w:t>设备</w:t>
            </w:r>
            <w:r w:rsidRPr="00524AE1">
              <w:rPr>
                <w:rFonts w:ascii="Times New Roman" w:hAnsi="Times New Roman" w:hint="eastAsia"/>
                <w:sz w:val="21"/>
              </w:rPr>
              <w:t>每</w:t>
            </w:r>
            <w:r w:rsidRPr="00524AE1">
              <w:rPr>
                <w:rFonts w:ascii="Times New Roman" w:hAnsi="Times New Roman" w:hint="eastAsia"/>
                <w:sz w:val="21"/>
              </w:rPr>
              <w:t>6</w:t>
            </w:r>
            <w:r w:rsidRPr="00524AE1">
              <w:rPr>
                <w:rFonts w:ascii="Times New Roman" w:hAnsi="Times New Roman" w:hint="eastAsia"/>
                <w:sz w:val="21"/>
              </w:rPr>
              <w:t>个月检测</w:t>
            </w:r>
            <w:r>
              <w:rPr>
                <w:rFonts w:ascii="Times New Roman" w:hAnsi="Times New Roman"/>
                <w:sz w:val="21"/>
              </w:rPr>
              <w:t>1</w:t>
            </w:r>
            <w:r w:rsidRPr="00524AE1">
              <w:rPr>
                <w:rFonts w:ascii="Times New Roman" w:hAnsi="Times New Roman" w:hint="eastAsia"/>
                <w:sz w:val="21"/>
              </w:rPr>
              <w:t>次</w:t>
            </w:r>
          </w:p>
        </w:tc>
        <w:tc>
          <w:tcPr>
            <w:tcW w:w="1777" w:type="pct"/>
            <w:vAlign w:val="center"/>
          </w:tcPr>
          <w:p w:rsidR="00524AE1" w:rsidRDefault="00524AE1" w:rsidP="00C8726B">
            <w:pPr>
              <w:widowControl/>
              <w:topLinePunct/>
              <w:spacing w:line="360" w:lineRule="exact"/>
              <w:ind w:firstLine="420"/>
              <w:jc w:val="left"/>
              <w:rPr>
                <w:rFonts w:ascii="Times New Roman" w:hAnsi="Times New Roman"/>
                <w:sz w:val="21"/>
              </w:rPr>
            </w:pPr>
            <w:r>
              <w:rPr>
                <w:rFonts w:ascii="Times New Roman" w:hAnsi="Times New Roman" w:hint="eastAsia"/>
                <w:sz w:val="21"/>
              </w:rPr>
              <w:t>本次</w:t>
            </w:r>
            <w:r>
              <w:rPr>
                <w:rFonts w:ascii="Times New Roman" w:hAnsi="Times New Roman"/>
                <w:sz w:val="21"/>
              </w:rPr>
              <w:t>环评</w:t>
            </w:r>
            <w:r>
              <w:rPr>
                <w:rFonts w:ascii="Times New Roman" w:hAnsi="Times New Roman" w:hint="eastAsia"/>
                <w:sz w:val="21"/>
              </w:rPr>
              <w:t>建议</w:t>
            </w:r>
            <w:r>
              <w:rPr>
                <w:rFonts w:ascii="Times New Roman" w:hAnsi="Times New Roman"/>
                <w:sz w:val="21"/>
              </w:rPr>
              <w:t>建设单位</w:t>
            </w:r>
            <w:r w:rsidRPr="00524AE1">
              <w:rPr>
                <w:rFonts w:ascii="Times New Roman" w:hAnsi="Times New Roman" w:hint="eastAsia"/>
                <w:sz w:val="21"/>
              </w:rPr>
              <w:t>建立密封点档案和泄漏检测与修复计划</w:t>
            </w:r>
            <w:r>
              <w:rPr>
                <w:rFonts w:ascii="Times New Roman" w:hAnsi="Times New Roman" w:hint="eastAsia"/>
                <w:sz w:val="21"/>
              </w:rPr>
              <w:t>，按要求</w:t>
            </w:r>
            <w:r w:rsidRPr="00524AE1">
              <w:rPr>
                <w:rFonts w:ascii="Times New Roman" w:hAnsi="Times New Roman" w:hint="eastAsia"/>
                <w:sz w:val="21"/>
              </w:rPr>
              <w:t>开展</w:t>
            </w:r>
            <w:r w:rsidRPr="00524AE1">
              <w:rPr>
                <w:rFonts w:ascii="Times New Roman" w:hAnsi="Times New Roman" w:hint="eastAsia"/>
                <w:sz w:val="21"/>
              </w:rPr>
              <w:t>LDAR</w:t>
            </w:r>
            <w:r w:rsidRPr="00524AE1">
              <w:rPr>
                <w:rFonts w:ascii="Times New Roman" w:hAnsi="Times New Roman" w:hint="eastAsia"/>
                <w:sz w:val="21"/>
              </w:rPr>
              <w:t>工作</w:t>
            </w:r>
            <w:r>
              <w:rPr>
                <w:rFonts w:ascii="Times New Roman" w:hAnsi="Times New Roman"/>
                <w:sz w:val="21"/>
              </w:rPr>
              <w:t>。</w:t>
            </w:r>
            <w:r w:rsidR="00FD0774">
              <w:rPr>
                <w:rFonts w:ascii="Times New Roman" w:hAnsi="Times New Roman" w:hint="eastAsia"/>
                <w:sz w:val="21"/>
              </w:rPr>
              <w:t>后续根据实际情况建立</w:t>
            </w:r>
            <w:r w:rsidR="00FD0774" w:rsidRPr="00524AE1">
              <w:rPr>
                <w:rFonts w:ascii="Times New Roman" w:hAnsi="Times New Roman" w:hint="eastAsia"/>
                <w:sz w:val="21"/>
              </w:rPr>
              <w:t>密封点</w:t>
            </w:r>
            <w:r w:rsidR="00FD0774" w:rsidRPr="00524AE1">
              <w:rPr>
                <w:rFonts w:ascii="Times New Roman" w:hAnsi="Times New Roman" w:hint="eastAsia"/>
                <w:sz w:val="21"/>
              </w:rPr>
              <w:t>LDAR</w:t>
            </w:r>
            <w:r w:rsidR="00FD0774" w:rsidRPr="00524AE1">
              <w:rPr>
                <w:rFonts w:ascii="Times New Roman" w:hAnsi="Times New Roman" w:hint="eastAsia"/>
                <w:sz w:val="21"/>
              </w:rPr>
              <w:t>信息平台</w:t>
            </w:r>
            <w:r w:rsidR="00FD0774">
              <w:rPr>
                <w:rFonts w:ascii="Times New Roman" w:hAnsi="Times New Roman" w:hint="eastAsia"/>
                <w:sz w:val="21"/>
              </w:rPr>
              <w:t>并按要求检测。</w:t>
            </w:r>
          </w:p>
        </w:tc>
        <w:tc>
          <w:tcPr>
            <w:tcW w:w="246" w:type="pct"/>
            <w:vAlign w:val="center"/>
          </w:tcPr>
          <w:p w:rsidR="00524AE1" w:rsidRPr="00F47ACE" w:rsidRDefault="00FD0774" w:rsidP="00524AE1">
            <w:pPr>
              <w:pStyle w:val="afffffff2"/>
              <w:rPr>
                <w:rFonts w:cs="Times New Roman"/>
                <w:color w:val="000000" w:themeColor="text1"/>
                <w:kern w:val="0"/>
                <w:sz w:val="21"/>
                <w:szCs w:val="21"/>
              </w:rPr>
            </w:pPr>
            <w:r>
              <w:rPr>
                <w:rFonts w:cs="Times New Roman" w:hint="eastAsia"/>
                <w:color w:val="000000" w:themeColor="text1"/>
                <w:kern w:val="0"/>
                <w:sz w:val="21"/>
                <w:szCs w:val="21"/>
              </w:rPr>
              <w:t>符合</w:t>
            </w:r>
          </w:p>
        </w:tc>
      </w:tr>
      <w:tr w:rsidR="00524AE1" w:rsidRPr="00AB41E0" w:rsidTr="00524AE1">
        <w:trPr>
          <w:trHeight w:val="730"/>
        </w:trPr>
        <w:tc>
          <w:tcPr>
            <w:tcW w:w="236" w:type="pct"/>
            <w:vMerge/>
            <w:vAlign w:val="center"/>
          </w:tcPr>
          <w:p w:rsidR="00524AE1" w:rsidRPr="00F47ACE" w:rsidRDefault="00524AE1" w:rsidP="00AB41E0">
            <w:pPr>
              <w:pStyle w:val="afffffff2"/>
              <w:rPr>
                <w:rFonts w:cs="Times New Roman"/>
                <w:kern w:val="0"/>
                <w:sz w:val="21"/>
                <w:szCs w:val="21"/>
              </w:rPr>
            </w:pPr>
          </w:p>
        </w:tc>
        <w:tc>
          <w:tcPr>
            <w:tcW w:w="681" w:type="pct"/>
            <w:vMerge/>
            <w:vAlign w:val="center"/>
          </w:tcPr>
          <w:p w:rsidR="00524AE1" w:rsidRPr="00F47ACE" w:rsidRDefault="00524AE1" w:rsidP="00C8726B">
            <w:pPr>
              <w:pStyle w:val="afffffff2"/>
              <w:rPr>
                <w:rFonts w:cs="Times New Roman"/>
                <w:kern w:val="0"/>
                <w:sz w:val="21"/>
                <w:szCs w:val="21"/>
              </w:rPr>
            </w:pPr>
          </w:p>
        </w:tc>
        <w:tc>
          <w:tcPr>
            <w:tcW w:w="2060" w:type="pct"/>
            <w:gridSpan w:val="2"/>
            <w:vAlign w:val="center"/>
          </w:tcPr>
          <w:p w:rsidR="00FD0774" w:rsidRPr="00FD0774" w:rsidRDefault="00FD0774" w:rsidP="00C8726B">
            <w:pPr>
              <w:widowControl/>
              <w:topLinePunct/>
              <w:spacing w:line="360" w:lineRule="exact"/>
              <w:ind w:firstLine="420"/>
              <w:jc w:val="left"/>
              <w:rPr>
                <w:rFonts w:ascii="Times New Roman" w:hAnsi="Times New Roman"/>
                <w:sz w:val="21"/>
              </w:rPr>
            </w:pPr>
            <w:r w:rsidRPr="00FD0774">
              <w:rPr>
                <w:rFonts w:ascii="Times New Roman" w:hAnsi="Times New Roman" w:hint="eastAsia"/>
                <w:sz w:val="21"/>
              </w:rPr>
              <w:t xml:space="preserve">4.2.2.1 </w:t>
            </w:r>
            <w:r w:rsidRPr="00FD0774">
              <w:rPr>
                <w:rFonts w:ascii="Times New Roman" w:hAnsi="Times New Roman" w:hint="eastAsia"/>
                <w:sz w:val="21"/>
              </w:rPr>
              <w:t>依据储存物料的真实蒸气压选择适宜的储罐罐型</w:t>
            </w:r>
            <w:r>
              <w:rPr>
                <w:rFonts w:ascii="Times New Roman" w:hAnsi="Times New Roman" w:hint="eastAsia"/>
                <w:sz w:val="21"/>
              </w:rPr>
              <w:t>；</w:t>
            </w:r>
            <w:r w:rsidRPr="00FD0774">
              <w:rPr>
                <w:rFonts w:ascii="Times New Roman" w:hAnsi="Times New Roman" w:hint="eastAsia"/>
                <w:sz w:val="21"/>
              </w:rPr>
              <w:t>罐体保持完好，不应有</w:t>
            </w:r>
            <w:r>
              <w:rPr>
                <w:rFonts w:ascii="Times New Roman" w:hAnsi="Times New Roman" w:hint="eastAsia"/>
                <w:sz w:val="21"/>
              </w:rPr>
              <w:t>漏洞</w:t>
            </w:r>
            <w:r w:rsidRPr="00FD0774">
              <w:rPr>
                <w:rFonts w:ascii="Times New Roman" w:hAnsi="Times New Roman" w:hint="eastAsia"/>
                <w:sz w:val="21"/>
              </w:rPr>
              <w:t>、缝隙或破损。</w:t>
            </w:r>
          </w:p>
          <w:p w:rsidR="00FD0774" w:rsidRPr="00FD0774" w:rsidRDefault="00FD0774" w:rsidP="00C8726B">
            <w:pPr>
              <w:widowControl/>
              <w:topLinePunct/>
              <w:spacing w:line="360" w:lineRule="exact"/>
              <w:ind w:firstLine="420"/>
              <w:jc w:val="left"/>
              <w:rPr>
                <w:rFonts w:ascii="Times New Roman" w:hAnsi="Times New Roman"/>
                <w:sz w:val="21"/>
              </w:rPr>
            </w:pPr>
            <w:r w:rsidRPr="00FD0774">
              <w:rPr>
                <w:rFonts w:ascii="Times New Roman" w:hAnsi="Times New Roman" w:hint="eastAsia"/>
                <w:sz w:val="21"/>
              </w:rPr>
              <w:t>4.2.2.2</w:t>
            </w:r>
            <w:r w:rsidRPr="00FD0774">
              <w:rPr>
                <w:rFonts w:ascii="Times New Roman" w:hAnsi="Times New Roman" w:hint="eastAsia"/>
                <w:sz w:val="21"/>
              </w:rPr>
              <w:t>固定顶罐附件开口（孔）除采样、计量、例行检查、维护和其他正常活动外应密闭</w:t>
            </w:r>
            <w:r>
              <w:rPr>
                <w:rFonts w:ascii="Times New Roman" w:hAnsi="Times New Roman" w:hint="eastAsia"/>
                <w:sz w:val="21"/>
              </w:rPr>
              <w:t>；</w:t>
            </w:r>
            <w:r w:rsidRPr="00FD0774">
              <w:rPr>
                <w:rFonts w:ascii="Times New Roman" w:hAnsi="Times New Roman" w:hint="eastAsia"/>
                <w:sz w:val="21"/>
              </w:rPr>
              <w:t>定期检查呼吸阀的定压是否符合设定要求</w:t>
            </w:r>
            <w:r>
              <w:rPr>
                <w:rFonts w:ascii="Times New Roman" w:hAnsi="Times New Roman" w:hint="eastAsia"/>
                <w:sz w:val="21"/>
              </w:rPr>
              <w:t>。</w:t>
            </w:r>
          </w:p>
          <w:p w:rsidR="00FD0774" w:rsidRPr="00FD0774" w:rsidRDefault="00FD0774" w:rsidP="00C8726B">
            <w:pPr>
              <w:widowControl/>
              <w:topLinePunct/>
              <w:spacing w:line="360" w:lineRule="exact"/>
              <w:ind w:firstLine="420"/>
              <w:jc w:val="left"/>
              <w:rPr>
                <w:rFonts w:ascii="Times New Roman" w:hAnsi="Times New Roman"/>
                <w:sz w:val="21"/>
              </w:rPr>
            </w:pPr>
            <w:r w:rsidRPr="00FD0774">
              <w:rPr>
                <w:rFonts w:ascii="Times New Roman" w:hAnsi="Times New Roman" w:hint="eastAsia"/>
                <w:sz w:val="21"/>
              </w:rPr>
              <w:t xml:space="preserve">4.2.2.3 </w:t>
            </w:r>
            <w:r w:rsidRPr="00FD0774">
              <w:rPr>
                <w:rFonts w:ascii="Times New Roman" w:hAnsi="Times New Roman" w:hint="eastAsia"/>
                <w:sz w:val="21"/>
              </w:rPr>
              <w:t>浮顶罐浮顶边缘密封不应有破损</w:t>
            </w:r>
            <w:r>
              <w:rPr>
                <w:rFonts w:ascii="Times New Roman" w:hAnsi="Times New Roman" w:hint="eastAsia"/>
                <w:sz w:val="21"/>
              </w:rPr>
              <w:t>；</w:t>
            </w:r>
            <w:r w:rsidRPr="00FD0774">
              <w:rPr>
                <w:rFonts w:ascii="Times New Roman" w:hAnsi="Times New Roman" w:hint="eastAsia"/>
                <w:sz w:val="21"/>
              </w:rPr>
              <w:t>支柱、导向装置等附件穿过浮盘时应采取密封措施</w:t>
            </w:r>
            <w:r>
              <w:rPr>
                <w:rFonts w:ascii="Times New Roman" w:hAnsi="Times New Roman" w:hint="eastAsia"/>
                <w:sz w:val="21"/>
              </w:rPr>
              <w:t>；</w:t>
            </w:r>
            <w:r w:rsidRPr="00FD0774">
              <w:rPr>
                <w:rFonts w:ascii="Times New Roman" w:hAnsi="Times New Roman" w:hint="eastAsia"/>
                <w:sz w:val="21"/>
              </w:rPr>
              <w:t>定期检查边缘呼吸阙定压是否符合设定要求</w:t>
            </w:r>
            <w:r>
              <w:rPr>
                <w:rFonts w:ascii="Times New Roman" w:hAnsi="Times New Roman" w:hint="eastAsia"/>
                <w:sz w:val="21"/>
              </w:rPr>
              <w:t>。</w:t>
            </w:r>
          </w:p>
          <w:p w:rsidR="00FD0774" w:rsidRPr="00FD0774" w:rsidRDefault="00FD0774" w:rsidP="00C8726B">
            <w:pPr>
              <w:widowControl/>
              <w:topLinePunct/>
              <w:spacing w:line="360" w:lineRule="exact"/>
              <w:ind w:firstLine="420"/>
              <w:jc w:val="left"/>
              <w:rPr>
                <w:rFonts w:ascii="Times New Roman" w:hAnsi="Times New Roman"/>
                <w:sz w:val="21"/>
              </w:rPr>
            </w:pPr>
            <w:r w:rsidRPr="00FD0774">
              <w:rPr>
                <w:rFonts w:ascii="Times New Roman" w:hAnsi="Times New Roman" w:hint="eastAsia"/>
                <w:sz w:val="21"/>
              </w:rPr>
              <w:t xml:space="preserve">4.2.2 4 </w:t>
            </w:r>
            <w:r w:rsidRPr="00FD0774">
              <w:rPr>
                <w:rFonts w:ascii="Times New Roman" w:hAnsi="Times New Roman" w:hint="eastAsia"/>
                <w:sz w:val="21"/>
              </w:rPr>
              <w:t>内浮顶罐浮盘与罐壁之间应采用液体镶嵌式、机械式鞋形、双封式等高效密封方式。</w:t>
            </w:r>
          </w:p>
          <w:p w:rsidR="00FD0774" w:rsidRPr="00FD0774" w:rsidRDefault="00FD0774" w:rsidP="00C8726B">
            <w:pPr>
              <w:widowControl/>
              <w:topLinePunct/>
              <w:spacing w:line="360" w:lineRule="exact"/>
              <w:ind w:firstLine="420"/>
              <w:jc w:val="left"/>
              <w:rPr>
                <w:rFonts w:ascii="Times New Roman" w:hAnsi="Times New Roman"/>
                <w:sz w:val="21"/>
              </w:rPr>
            </w:pPr>
            <w:r w:rsidRPr="00FD0774">
              <w:rPr>
                <w:rFonts w:ascii="Times New Roman" w:hAnsi="Times New Roman" w:hint="eastAsia"/>
                <w:sz w:val="21"/>
              </w:rPr>
              <w:lastRenderedPageBreak/>
              <w:t>4.2.2.5</w:t>
            </w:r>
            <w:r w:rsidRPr="00FD0774">
              <w:rPr>
                <w:rFonts w:ascii="Times New Roman" w:hAnsi="Times New Roman" w:hint="eastAsia"/>
                <w:sz w:val="21"/>
              </w:rPr>
              <w:t>外浮顶罐浮盘与罐壁之间应深用双封式密封</w:t>
            </w:r>
            <w:r>
              <w:rPr>
                <w:rFonts w:ascii="Times New Roman" w:hAnsi="Times New Roman" w:hint="eastAsia"/>
                <w:sz w:val="21"/>
              </w:rPr>
              <w:t>，</w:t>
            </w:r>
            <w:r w:rsidRPr="00FD0774">
              <w:rPr>
                <w:rFonts w:ascii="Times New Roman" w:hAnsi="Times New Roman" w:hint="eastAsia"/>
                <w:sz w:val="21"/>
              </w:rPr>
              <w:t>初级密封采用波体镶嵌式、机械式鞋形等高效密封方式</w:t>
            </w:r>
            <w:r>
              <w:rPr>
                <w:rFonts w:ascii="Times New Roman" w:hAnsi="Times New Roman" w:hint="eastAsia"/>
                <w:sz w:val="21"/>
              </w:rPr>
              <w:t>。</w:t>
            </w:r>
          </w:p>
          <w:p w:rsidR="00FD0774" w:rsidRPr="00FD0774" w:rsidRDefault="00FD0774" w:rsidP="00C8726B">
            <w:pPr>
              <w:widowControl/>
              <w:topLinePunct/>
              <w:spacing w:line="360" w:lineRule="exact"/>
              <w:ind w:firstLine="420"/>
              <w:jc w:val="left"/>
              <w:rPr>
                <w:rFonts w:ascii="Times New Roman" w:hAnsi="Times New Roman"/>
                <w:sz w:val="21"/>
              </w:rPr>
            </w:pPr>
            <w:r w:rsidRPr="00FD0774">
              <w:rPr>
                <w:rFonts w:ascii="Times New Roman" w:hAnsi="Times New Roman" w:hint="eastAsia"/>
                <w:sz w:val="21"/>
              </w:rPr>
              <w:t>4.2.2.6</w:t>
            </w:r>
            <w:r w:rsidRPr="00FD0774">
              <w:rPr>
                <w:rFonts w:ascii="Times New Roman" w:hAnsi="Times New Roman" w:hint="eastAsia"/>
                <w:sz w:val="21"/>
              </w:rPr>
              <w:t>加强人孔、清扫孔</w:t>
            </w:r>
            <w:r>
              <w:rPr>
                <w:rFonts w:ascii="Times New Roman" w:hAnsi="Times New Roman" w:hint="eastAsia"/>
                <w:sz w:val="21"/>
              </w:rPr>
              <w:t>、量</w:t>
            </w:r>
            <w:r w:rsidRPr="00FD0774">
              <w:rPr>
                <w:rFonts w:ascii="Times New Roman" w:hAnsi="Times New Roman" w:hint="eastAsia"/>
                <w:sz w:val="21"/>
              </w:rPr>
              <w:t>油孔</w:t>
            </w:r>
            <w:r>
              <w:rPr>
                <w:rFonts w:ascii="Times New Roman" w:hAnsi="Times New Roman" w:hint="eastAsia"/>
                <w:sz w:val="21"/>
              </w:rPr>
              <w:t>、浮</w:t>
            </w:r>
            <w:r w:rsidRPr="00FD0774">
              <w:rPr>
                <w:rFonts w:ascii="Times New Roman" w:hAnsi="Times New Roman" w:hint="eastAsia"/>
                <w:sz w:val="21"/>
              </w:rPr>
              <w:t>盘支腿</w:t>
            </w:r>
            <w:r>
              <w:rPr>
                <w:rFonts w:ascii="Times New Roman" w:hAnsi="Times New Roman" w:hint="eastAsia"/>
                <w:sz w:val="21"/>
              </w:rPr>
              <w:t>、边缘密封、泡沫发生器等部件密封性管理；储罐罐体及废气收集管线的动静密封点应检测与修复。</w:t>
            </w:r>
          </w:p>
        </w:tc>
        <w:tc>
          <w:tcPr>
            <w:tcW w:w="1777" w:type="pct"/>
            <w:vAlign w:val="center"/>
          </w:tcPr>
          <w:p w:rsidR="00524AE1" w:rsidRDefault="005B0D06" w:rsidP="00C8726B">
            <w:pPr>
              <w:widowControl/>
              <w:topLinePunct/>
              <w:spacing w:line="360" w:lineRule="exact"/>
              <w:ind w:firstLine="420"/>
              <w:jc w:val="left"/>
              <w:rPr>
                <w:rFonts w:ascii="Times New Roman" w:hAnsi="Times New Roman"/>
                <w:sz w:val="21"/>
              </w:rPr>
            </w:pPr>
            <w:r>
              <w:rPr>
                <w:rFonts w:ascii="Times New Roman" w:hAnsi="Times New Roman" w:hint="eastAsia"/>
                <w:sz w:val="21"/>
              </w:rPr>
              <w:lastRenderedPageBreak/>
              <w:t>本项目已根据不同的物料选择相应的储罐</w:t>
            </w:r>
            <w:r w:rsidRPr="00FD0774">
              <w:rPr>
                <w:rFonts w:ascii="Times New Roman" w:hAnsi="Times New Roman" w:hint="eastAsia"/>
                <w:sz w:val="21"/>
              </w:rPr>
              <w:t>罐型</w:t>
            </w:r>
            <w:r>
              <w:rPr>
                <w:rFonts w:ascii="Times New Roman" w:hAnsi="Times New Roman" w:hint="eastAsia"/>
                <w:sz w:val="21"/>
              </w:rPr>
              <w:t>（表</w:t>
            </w:r>
            <w:r>
              <w:rPr>
                <w:rFonts w:ascii="Times New Roman" w:hAnsi="Times New Roman" w:hint="eastAsia"/>
                <w:sz w:val="21"/>
              </w:rPr>
              <w:t>3</w:t>
            </w:r>
            <w:r>
              <w:rPr>
                <w:rFonts w:ascii="Times New Roman" w:hAnsi="Times New Roman"/>
                <w:sz w:val="21"/>
              </w:rPr>
              <w:t>.2.5-2</w:t>
            </w:r>
            <w:r>
              <w:rPr>
                <w:rFonts w:ascii="Times New Roman" w:hAnsi="Times New Roman" w:hint="eastAsia"/>
                <w:sz w:val="21"/>
              </w:rPr>
              <w:t>），</w:t>
            </w:r>
            <w:r w:rsidR="007D642B">
              <w:rPr>
                <w:rFonts w:ascii="Times New Roman" w:hAnsi="Times New Roman" w:hint="eastAsia"/>
                <w:sz w:val="21"/>
              </w:rPr>
              <w:t>后续生产过程中确保罐体保持完好，无漏洞</w:t>
            </w:r>
            <w:r w:rsidR="007D642B" w:rsidRPr="00FD0774">
              <w:rPr>
                <w:rFonts w:ascii="Times New Roman" w:hAnsi="Times New Roman" w:hint="eastAsia"/>
                <w:sz w:val="21"/>
              </w:rPr>
              <w:t>、缝隙或破损</w:t>
            </w:r>
            <w:r w:rsidR="007D642B">
              <w:rPr>
                <w:rFonts w:ascii="Times New Roman" w:hAnsi="Times New Roman" w:hint="eastAsia"/>
                <w:sz w:val="21"/>
              </w:rPr>
              <w:t>。</w:t>
            </w:r>
          </w:p>
          <w:p w:rsidR="007D642B" w:rsidRPr="00FD0774" w:rsidRDefault="007D642B" w:rsidP="00506171">
            <w:pPr>
              <w:widowControl/>
              <w:topLinePunct/>
              <w:spacing w:line="360" w:lineRule="exact"/>
              <w:ind w:firstLine="420"/>
              <w:jc w:val="left"/>
              <w:rPr>
                <w:rFonts w:ascii="Times New Roman" w:hAnsi="Times New Roman"/>
                <w:sz w:val="21"/>
              </w:rPr>
            </w:pPr>
            <w:r>
              <w:rPr>
                <w:rFonts w:ascii="Times New Roman" w:hAnsi="Times New Roman" w:hint="eastAsia"/>
                <w:sz w:val="21"/>
              </w:rPr>
              <w:t>项目使用的</w:t>
            </w:r>
            <w:r w:rsidRPr="00FD0774">
              <w:rPr>
                <w:rFonts w:ascii="Times New Roman" w:hAnsi="Times New Roman" w:hint="eastAsia"/>
                <w:sz w:val="21"/>
              </w:rPr>
              <w:t>固定顶罐附件开口（孔）除采样、计量、例行检查、维护和其他正常活动外</w:t>
            </w:r>
            <w:r>
              <w:rPr>
                <w:rFonts w:ascii="Times New Roman" w:hAnsi="Times New Roman" w:hint="eastAsia"/>
                <w:sz w:val="21"/>
              </w:rPr>
              <w:t>确保保持</w:t>
            </w:r>
            <w:r w:rsidRPr="00FD0774">
              <w:rPr>
                <w:rFonts w:ascii="Times New Roman" w:hAnsi="Times New Roman" w:hint="eastAsia"/>
                <w:sz w:val="21"/>
              </w:rPr>
              <w:t>密闭</w:t>
            </w:r>
            <w:r>
              <w:rPr>
                <w:rFonts w:ascii="Times New Roman" w:hAnsi="Times New Roman" w:hint="eastAsia"/>
                <w:sz w:val="21"/>
              </w:rPr>
              <w:t>状态；同时</w:t>
            </w:r>
            <w:r w:rsidRPr="00FD0774">
              <w:rPr>
                <w:rFonts w:ascii="Times New Roman" w:hAnsi="Times New Roman" w:hint="eastAsia"/>
                <w:sz w:val="21"/>
              </w:rPr>
              <w:t>定期检查呼吸阀的定压是否符合设定要求</w:t>
            </w:r>
            <w:r>
              <w:rPr>
                <w:rFonts w:ascii="Times New Roman" w:hAnsi="Times New Roman" w:hint="eastAsia"/>
                <w:sz w:val="21"/>
              </w:rPr>
              <w:t>。</w:t>
            </w:r>
          </w:p>
        </w:tc>
        <w:tc>
          <w:tcPr>
            <w:tcW w:w="246" w:type="pct"/>
            <w:vAlign w:val="center"/>
          </w:tcPr>
          <w:p w:rsidR="00524AE1" w:rsidRPr="00F47ACE" w:rsidRDefault="00C8726B" w:rsidP="00AB41E0">
            <w:pPr>
              <w:pStyle w:val="afffffff2"/>
              <w:rPr>
                <w:rFonts w:cs="Times New Roman"/>
                <w:color w:val="000000" w:themeColor="text1"/>
                <w:kern w:val="0"/>
                <w:sz w:val="21"/>
                <w:szCs w:val="21"/>
              </w:rPr>
            </w:pPr>
            <w:r>
              <w:rPr>
                <w:rFonts w:cs="Times New Roman" w:hint="eastAsia"/>
                <w:color w:val="000000" w:themeColor="text1"/>
                <w:kern w:val="0"/>
                <w:sz w:val="21"/>
                <w:szCs w:val="21"/>
              </w:rPr>
              <w:t>符合</w:t>
            </w:r>
          </w:p>
        </w:tc>
      </w:tr>
      <w:tr w:rsidR="00524AE1" w:rsidRPr="00AB41E0" w:rsidTr="00524AE1">
        <w:trPr>
          <w:trHeight w:val="730"/>
        </w:trPr>
        <w:tc>
          <w:tcPr>
            <w:tcW w:w="236" w:type="pct"/>
            <w:vMerge/>
            <w:vAlign w:val="center"/>
          </w:tcPr>
          <w:p w:rsidR="00524AE1" w:rsidRPr="00F47ACE" w:rsidRDefault="00524AE1" w:rsidP="00AB41E0">
            <w:pPr>
              <w:pStyle w:val="afffffff2"/>
              <w:rPr>
                <w:rFonts w:cs="Times New Roman"/>
                <w:kern w:val="0"/>
                <w:sz w:val="21"/>
                <w:szCs w:val="21"/>
              </w:rPr>
            </w:pPr>
          </w:p>
        </w:tc>
        <w:tc>
          <w:tcPr>
            <w:tcW w:w="681" w:type="pct"/>
            <w:vMerge/>
            <w:vAlign w:val="center"/>
          </w:tcPr>
          <w:p w:rsidR="00524AE1" w:rsidRPr="00F47ACE" w:rsidRDefault="00524AE1" w:rsidP="00C8726B">
            <w:pPr>
              <w:pStyle w:val="afffffff2"/>
              <w:rPr>
                <w:rFonts w:cs="Times New Roman"/>
                <w:kern w:val="0"/>
                <w:sz w:val="21"/>
                <w:szCs w:val="21"/>
              </w:rPr>
            </w:pPr>
          </w:p>
        </w:tc>
        <w:tc>
          <w:tcPr>
            <w:tcW w:w="2060" w:type="pct"/>
            <w:gridSpan w:val="2"/>
            <w:vAlign w:val="center"/>
          </w:tcPr>
          <w:p w:rsidR="00524AE1" w:rsidRPr="00C8726B" w:rsidRDefault="007D642B" w:rsidP="00C8726B">
            <w:pPr>
              <w:widowControl/>
              <w:topLinePunct/>
              <w:spacing w:line="360" w:lineRule="exact"/>
              <w:ind w:firstLine="420"/>
              <w:jc w:val="left"/>
              <w:rPr>
                <w:rFonts w:ascii="Times New Roman" w:hAnsi="Times New Roman"/>
                <w:sz w:val="21"/>
              </w:rPr>
            </w:pPr>
            <w:r w:rsidRPr="00FD0774">
              <w:rPr>
                <w:rFonts w:ascii="Times New Roman" w:hAnsi="Times New Roman" w:hint="eastAsia"/>
                <w:sz w:val="21"/>
              </w:rPr>
              <w:t>4.2.</w:t>
            </w:r>
            <w:r>
              <w:rPr>
                <w:rFonts w:ascii="Times New Roman" w:hAnsi="Times New Roman"/>
                <w:sz w:val="21"/>
              </w:rPr>
              <w:t>3</w:t>
            </w:r>
            <w:r w:rsidRPr="00FD0774">
              <w:rPr>
                <w:rFonts w:ascii="Times New Roman" w:hAnsi="Times New Roman" w:hint="eastAsia"/>
                <w:sz w:val="21"/>
              </w:rPr>
              <w:t>.</w:t>
            </w:r>
            <w:r w:rsidR="00C8726B">
              <w:rPr>
                <w:rFonts w:ascii="Times New Roman" w:hAnsi="Times New Roman"/>
                <w:sz w:val="21"/>
              </w:rPr>
              <w:t>2</w:t>
            </w:r>
            <w:r w:rsidR="00C8726B">
              <w:rPr>
                <w:rFonts w:ascii="Times New Roman" w:hAnsi="Times New Roman" w:hint="eastAsia"/>
                <w:sz w:val="21"/>
              </w:rPr>
              <w:t>严禁喷溅式装载，采用顶部浸没式装载或底部装载</w:t>
            </w:r>
            <w:r>
              <w:rPr>
                <w:rFonts w:ascii="Times New Roman" w:hAnsi="Times New Roman" w:hint="eastAsia"/>
                <w:sz w:val="21"/>
              </w:rPr>
              <w:t>。</w:t>
            </w:r>
            <w:r w:rsidR="00C8726B">
              <w:rPr>
                <w:rFonts w:ascii="Times New Roman" w:hAnsi="Times New Roman" w:hint="eastAsia"/>
                <w:sz w:val="21"/>
              </w:rPr>
              <w:t>顶部浸没式装载出油口距离罐底高度小于</w:t>
            </w:r>
            <w:r w:rsidR="00C8726B">
              <w:rPr>
                <w:rFonts w:ascii="Times New Roman" w:hAnsi="Times New Roman" w:hint="eastAsia"/>
                <w:sz w:val="21"/>
              </w:rPr>
              <w:t>2</w:t>
            </w:r>
            <w:r w:rsidR="00C8726B">
              <w:rPr>
                <w:rFonts w:ascii="Times New Roman" w:hAnsi="Times New Roman"/>
                <w:sz w:val="21"/>
              </w:rPr>
              <w:t>00</w:t>
            </w:r>
            <w:r w:rsidR="00C8726B">
              <w:rPr>
                <w:rFonts w:ascii="Times New Roman" w:hAnsi="Times New Roman" w:hint="eastAsia"/>
                <w:sz w:val="21"/>
              </w:rPr>
              <w:t>mm</w:t>
            </w:r>
            <w:r w:rsidR="00C8726B">
              <w:rPr>
                <w:rFonts w:ascii="Times New Roman" w:hAnsi="Times New Roman" w:hint="eastAsia"/>
                <w:sz w:val="21"/>
              </w:rPr>
              <w:t>。</w:t>
            </w:r>
          </w:p>
        </w:tc>
        <w:tc>
          <w:tcPr>
            <w:tcW w:w="1777" w:type="pct"/>
            <w:vAlign w:val="center"/>
          </w:tcPr>
          <w:p w:rsidR="00524AE1" w:rsidRDefault="00C8726B" w:rsidP="00C8726B">
            <w:pPr>
              <w:widowControl/>
              <w:topLinePunct/>
              <w:spacing w:line="360" w:lineRule="exact"/>
              <w:ind w:firstLine="420"/>
              <w:jc w:val="left"/>
              <w:rPr>
                <w:sz w:val="21"/>
              </w:rPr>
            </w:pPr>
            <w:r>
              <w:rPr>
                <w:rFonts w:hint="eastAsia"/>
                <w:sz w:val="21"/>
              </w:rPr>
              <w:t>本项目采用底部装载方式。</w:t>
            </w:r>
          </w:p>
        </w:tc>
        <w:tc>
          <w:tcPr>
            <w:tcW w:w="246" w:type="pct"/>
            <w:vAlign w:val="center"/>
          </w:tcPr>
          <w:p w:rsidR="00524AE1" w:rsidRPr="00F47ACE" w:rsidRDefault="00C8726B" w:rsidP="00AB41E0">
            <w:pPr>
              <w:pStyle w:val="afffffff2"/>
              <w:rPr>
                <w:rFonts w:cs="Times New Roman"/>
                <w:color w:val="000000" w:themeColor="text1"/>
                <w:kern w:val="0"/>
                <w:sz w:val="21"/>
                <w:szCs w:val="21"/>
              </w:rPr>
            </w:pPr>
            <w:r>
              <w:rPr>
                <w:rFonts w:cs="Times New Roman" w:hint="eastAsia"/>
                <w:color w:val="000000" w:themeColor="text1"/>
                <w:kern w:val="0"/>
                <w:sz w:val="21"/>
                <w:szCs w:val="21"/>
              </w:rPr>
              <w:t>符合</w:t>
            </w:r>
          </w:p>
        </w:tc>
      </w:tr>
      <w:tr w:rsidR="00C8726B" w:rsidRPr="00AB41E0" w:rsidTr="00524AE1">
        <w:trPr>
          <w:trHeight w:val="730"/>
        </w:trPr>
        <w:tc>
          <w:tcPr>
            <w:tcW w:w="236" w:type="pct"/>
            <w:vMerge/>
            <w:vAlign w:val="center"/>
          </w:tcPr>
          <w:p w:rsidR="00C8726B" w:rsidRPr="00F47ACE" w:rsidRDefault="00C8726B" w:rsidP="00AB41E0">
            <w:pPr>
              <w:pStyle w:val="afffffff2"/>
              <w:rPr>
                <w:rFonts w:cs="Times New Roman"/>
                <w:kern w:val="0"/>
                <w:sz w:val="21"/>
                <w:szCs w:val="21"/>
              </w:rPr>
            </w:pPr>
          </w:p>
        </w:tc>
        <w:tc>
          <w:tcPr>
            <w:tcW w:w="681" w:type="pct"/>
            <w:vMerge/>
            <w:vAlign w:val="center"/>
          </w:tcPr>
          <w:p w:rsidR="00C8726B" w:rsidRPr="00F47ACE" w:rsidRDefault="00C8726B" w:rsidP="00C8726B">
            <w:pPr>
              <w:pStyle w:val="afffffff2"/>
              <w:rPr>
                <w:rFonts w:cs="Times New Roman"/>
                <w:kern w:val="0"/>
                <w:sz w:val="21"/>
                <w:szCs w:val="21"/>
              </w:rPr>
            </w:pPr>
          </w:p>
        </w:tc>
        <w:tc>
          <w:tcPr>
            <w:tcW w:w="2060" w:type="pct"/>
            <w:gridSpan w:val="2"/>
            <w:vAlign w:val="center"/>
          </w:tcPr>
          <w:p w:rsidR="00C8726B" w:rsidRPr="00FD0774" w:rsidRDefault="00C8726B" w:rsidP="00C8726B">
            <w:pPr>
              <w:widowControl/>
              <w:topLinePunct/>
              <w:spacing w:line="360" w:lineRule="exact"/>
              <w:ind w:firstLine="420"/>
              <w:jc w:val="left"/>
              <w:rPr>
                <w:sz w:val="21"/>
              </w:rPr>
            </w:pPr>
            <w:r w:rsidRPr="00C8726B">
              <w:rPr>
                <w:rFonts w:ascii="Times New Roman" w:hAnsi="Times New Roman"/>
                <w:sz w:val="21"/>
              </w:rPr>
              <w:t>4.2.4</w:t>
            </w:r>
            <w:r>
              <w:rPr>
                <w:rFonts w:ascii="Times New Roman" w:hAnsi="Times New Roman"/>
                <w:sz w:val="21"/>
              </w:rPr>
              <w:t>宜采用全密闭、连续化、自动化生产技术。</w:t>
            </w:r>
          </w:p>
        </w:tc>
        <w:tc>
          <w:tcPr>
            <w:tcW w:w="1777" w:type="pct"/>
            <w:vAlign w:val="center"/>
          </w:tcPr>
          <w:p w:rsidR="00C8726B" w:rsidRDefault="00C8726B" w:rsidP="00C8726B">
            <w:pPr>
              <w:widowControl/>
              <w:topLinePunct/>
              <w:spacing w:line="360" w:lineRule="exact"/>
              <w:ind w:firstLine="420"/>
              <w:jc w:val="left"/>
              <w:rPr>
                <w:sz w:val="21"/>
              </w:rPr>
            </w:pPr>
            <w:r>
              <w:rPr>
                <w:rFonts w:ascii="Times New Roman" w:hAnsi="Times New Roman"/>
                <w:sz w:val="21"/>
              </w:rPr>
              <w:t>项目液态</w:t>
            </w:r>
            <w:r>
              <w:rPr>
                <w:rFonts w:ascii="Times New Roman" w:hAnsi="Times New Roman"/>
                <w:sz w:val="21"/>
              </w:rPr>
              <w:t>VOCs</w:t>
            </w:r>
            <w:r>
              <w:rPr>
                <w:rFonts w:ascii="Times New Roman" w:hAnsi="Times New Roman"/>
                <w:sz w:val="21"/>
              </w:rPr>
              <w:t>物料通过密闭管道输送，在密闭</w:t>
            </w:r>
            <w:r>
              <w:rPr>
                <w:rFonts w:ascii="Times New Roman" w:hAnsi="Times New Roman" w:hint="eastAsia"/>
                <w:sz w:val="21"/>
              </w:rPr>
              <w:t>反应</w:t>
            </w:r>
            <w:r>
              <w:rPr>
                <w:rFonts w:ascii="Times New Roman" w:hAnsi="Times New Roman"/>
                <w:sz w:val="21"/>
              </w:rPr>
              <w:t>釜内进行反应，采用</w:t>
            </w:r>
            <w:r>
              <w:rPr>
                <w:rFonts w:ascii="Times New Roman" w:hAnsi="Times New Roman"/>
                <w:sz w:val="21"/>
              </w:rPr>
              <w:t>DCS</w:t>
            </w:r>
            <w:r>
              <w:rPr>
                <w:rFonts w:ascii="Times New Roman" w:hAnsi="Times New Roman"/>
                <w:sz w:val="21"/>
              </w:rPr>
              <w:t>自动控制系统</w:t>
            </w:r>
          </w:p>
        </w:tc>
        <w:tc>
          <w:tcPr>
            <w:tcW w:w="246" w:type="pct"/>
            <w:vAlign w:val="center"/>
          </w:tcPr>
          <w:p w:rsidR="00C8726B" w:rsidRDefault="001F472A" w:rsidP="00AB41E0">
            <w:pPr>
              <w:pStyle w:val="afffffff2"/>
              <w:rPr>
                <w:rFonts w:cs="Times New Roman"/>
                <w:color w:val="000000" w:themeColor="text1"/>
                <w:kern w:val="0"/>
                <w:sz w:val="21"/>
                <w:szCs w:val="21"/>
              </w:rPr>
            </w:pPr>
            <w:r>
              <w:rPr>
                <w:rFonts w:cs="Times New Roman" w:hint="eastAsia"/>
                <w:color w:val="000000" w:themeColor="text1"/>
                <w:kern w:val="0"/>
                <w:sz w:val="21"/>
                <w:szCs w:val="21"/>
              </w:rPr>
              <w:t>符合</w:t>
            </w:r>
          </w:p>
        </w:tc>
      </w:tr>
      <w:tr w:rsidR="001F472A" w:rsidRPr="00AB41E0" w:rsidTr="00524AE1">
        <w:trPr>
          <w:trHeight w:val="730"/>
        </w:trPr>
        <w:tc>
          <w:tcPr>
            <w:tcW w:w="236" w:type="pct"/>
            <w:vMerge/>
            <w:vAlign w:val="center"/>
          </w:tcPr>
          <w:p w:rsidR="001F472A" w:rsidRPr="00F47ACE" w:rsidRDefault="001F472A" w:rsidP="00AB41E0">
            <w:pPr>
              <w:pStyle w:val="afffffff2"/>
              <w:rPr>
                <w:rFonts w:cs="Times New Roman"/>
                <w:kern w:val="0"/>
                <w:sz w:val="21"/>
                <w:szCs w:val="21"/>
              </w:rPr>
            </w:pPr>
          </w:p>
        </w:tc>
        <w:tc>
          <w:tcPr>
            <w:tcW w:w="681" w:type="pct"/>
            <w:vMerge/>
            <w:vAlign w:val="center"/>
          </w:tcPr>
          <w:p w:rsidR="001F472A" w:rsidRPr="00F47ACE" w:rsidRDefault="001F472A" w:rsidP="00C8726B">
            <w:pPr>
              <w:pStyle w:val="afffffff2"/>
              <w:rPr>
                <w:rFonts w:cs="Times New Roman"/>
                <w:kern w:val="0"/>
                <w:sz w:val="21"/>
                <w:szCs w:val="21"/>
              </w:rPr>
            </w:pPr>
          </w:p>
        </w:tc>
        <w:tc>
          <w:tcPr>
            <w:tcW w:w="2060" w:type="pct"/>
            <w:gridSpan w:val="2"/>
            <w:vAlign w:val="center"/>
          </w:tcPr>
          <w:p w:rsidR="001F472A" w:rsidRPr="00007556" w:rsidRDefault="001F472A" w:rsidP="00007556">
            <w:pPr>
              <w:widowControl/>
              <w:topLinePunct/>
              <w:spacing w:line="360" w:lineRule="exact"/>
              <w:ind w:firstLine="420"/>
              <w:jc w:val="left"/>
              <w:rPr>
                <w:rFonts w:ascii="Times New Roman" w:hAnsi="Times New Roman"/>
                <w:sz w:val="21"/>
              </w:rPr>
            </w:pPr>
            <w:r w:rsidRPr="001F472A">
              <w:rPr>
                <w:rFonts w:ascii="Times New Roman" w:hAnsi="Times New Roman"/>
                <w:sz w:val="21"/>
              </w:rPr>
              <w:t>4.2.5.1</w:t>
            </w:r>
            <w:r w:rsidRPr="001F472A">
              <w:rPr>
                <w:rFonts w:ascii="Times New Roman" w:hAnsi="Times New Roman"/>
                <w:sz w:val="21"/>
              </w:rPr>
              <w:t>集水井（池）、调节池、隔油池、气浮池、曝气池、浓缩池等污水处理单元宜采用密闭收集措施</w:t>
            </w:r>
            <w:r>
              <w:rPr>
                <w:rFonts w:ascii="Times New Roman" w:hAnsi="Times New Roman" w:hint="eastAsia"/>
                <w:sz w:val="21"/>
              </w:rPr>
              <w:t>，</w:t>
            </w:r>
            <w:r w:rsidRPr="001F472A">
              <w:rPr>
                <w:rFonts w:ascii="Times New Roman" w:hAnsi="Times New Roman"/>
                <w:sz w:val="21"/>
              </w:rPr>
              <w:t>密闭材料应具有防腐性能，密闭盖板应接近液面，负压收集回收或处理。</w:t>
            </w:r>
          </w:p>
        </w:tc>
        <w:tc>
          <w:tcPr>
            <w:tcW w:w="1777" w:type="pct"/>
            <w:vAlign w:val="center"/>
          </w:tcPr>
          <w:p w:rsidR="001F472A" w:rsidRDefault="001F472A" w:rsidP="00007556">
            <w:pPr>
              <w:widowControl/>
              <w:topLinePunct/>
              <w:spacing w:line="360" w:lineRule="exact"/>
              <w:ind w:firstLine="420"/>
              <w:jc w:val="left"/>
              <w:rPr>
                <w:sz w:val="21"/>
              </w:rPr>
            </w:pPr>
            <w:r>
              <w:rPr>
                <w:rFonts w:ascii="Times New Roman" w:hAnsi="Times New Roman" w:hint="eastAsia"/>
                <w:sz w:val="21"/>
              </w:rPr>
              <w:t>本项目污水处理站各</w:t>
            </w:r>
            <w:r>
              <w:rPr>
                <w:rFonts w:ascii="Times New Roman" w:hAnsi="Times New Roman"/>
                <w:sz w:val="21"/>
              </w:rPr>
              <w:t>污水处理单元采用密闭收集措施，密闭材料具有防腐性能，密闭盖板接近液面，</w:t>
            </w:r>
            <w:r>
              <w:rPr>
                <w:rFonts w:ascii="Times New Roman" w:hAnsi="Times New Roman" w:hint="eastAsia"/>
                <w:sz w:val="21"/>
              </w:rPr>
              <w:t>废气</w:t>
            </w:r>
            <w:r>
              <w:rPr>
                <w:rFonts w:ascii="Times New Roman" w:hAnsi="Times New Roman"/>
                <w:sz w:val="21"/>
              </w:rPr>
              <w:t>负压收集</w:t>
            </w:r>
            <w:r>
              <w:rPr>
                <w:rFonts w:ascii="Times New Roman" w:hAnsi="Times New Roman" w:hint="eastAsia"/>
                <w:sz w:val="21"/>
              </w:rPr>
              <w:t>后，通过一级碱喷淋喷淋装置</w:t>
            </w:r>
            <w:r>
              <w:rPr>
                <w:rFonts w:ascii="Times New Roman" w:hAnsi="Times New Roman" w:hint="eastAsia"/>
                <w:sz w:val="21"/>
              </w:rPr>
              <w:t>+</w:t>
            </w:r>
            <w:r>
              <w:rPr>
                <w:rFonts w:ascii="Times New Roman" w:hAnsi="Times New Roman" w:hint="eastAsia"/>
                <w:sz w:val="21"/>
              </w:rPr>
              <w:t>生物除臭处理达标后排放。</w:t>
            </w:r>
          </w:p>
        </w:tc>
        <w:tc>
          <w:tcPr>
            <w:tcW w:w="246" w:type="pct"/>
            <w:vAlign w:val="center"/>
          </w:tcPr>
          <w:p w:rsidR="001F472A" w:rsidRPr="00007556" w:rsidRDefault="00007556" w:rsidP="00AB41E0">
            <w:pPr>
              <w:pStyle w:val="afffffff2"/>
              <w:rPr>
                <w:rFonts w:cs="Times New Roman"/>
                <w:color w:val="000000" w:themeColor="text1"/>
                <w:kern w:val="0"/>
                <w:sz w:val="21"/>
                <w:szCs w:val="21"/>
              </w:rPr>
            </w:pPr>
            <w:r>
              <w:rPr>
                <w:rFonts w:cs="Times New Roman" w:hint="eastAsia"/>
                <w:color w:val="000000" w:themeColor="text1"/>
                <w:kern w:val="0"/>
                <w:sz w:val="21"/>
                <w:szCs w:val="21"/>
              </w:rPr>
              <w:t>符合</w:t>
            </w:r>
          </w:p>
        </w:tc>
      </w:tr>
      <w:tr w:rsidR="001F472A" w:rsidRPr="00AB41E0" w:rsidTr="00524AE1">
        <w:trPr>
          <w:trHeight w:val="730"/>
        </w:trPr>
        <w:tc>
          <w:tcPr>
            <w:tcW w:w="236" w:type="pct"/>
            <w:vMerge/>
            <w:vAlign w:val="center"/>
          </w:tcPr>
          <w:p w:rsidR="001F472A" w:rsidRPr="00F47ACE" w:rsidRDefault="001F472A" w:rsidP="00AB41E0">
            <w:pPr>
              <w:pStyle w:val="afffffff2"/>
              <w:rPr>
                <w:rFonts w:cs="Times New Roman"/>
                <w:kern w:val="0"/>
                <w:sz w:val="21"/>
                <w:szCs w:val="21"/>
              </w:rPr>
            </w:pPr>
          </w:p>
        </w:tc>
        <w:tc>
          <w:tcPr>
            <w:tcW w:w="681" w:type="pct"/>
            <w:vMerge/>
            <w:vAlign w:val="center"/>
          </w:tcPr>
          <w:p w:rsidR="001F472A" w:rsidRPr="00F47ACE" w:rsidRDefault="001F472A" w:rsidP="00C8726B">
            <w:pPr>
              <w:pStyle w:val="afffffff2"/>
              <w:rPr>
                <w:rFonts w:cs="Times New Roman"/>
                <w:kern w:val="0"/>
                <w:sz w:val="21"/>
                <w:szCs w:val="21"/>
              </w:rPr>
            </w:pPr>
          </w:p>
        </w:tc>
        <w:tc>
          <w:tcPr>
            <w:tcW w:w="2060" w:type="pct"/>
            <w:gridSpan w:val="2"/>
            <w:vAlign w:val="center"/>
          </w:tcPr>
          <w:p w:rsidR="001F472A" w:rsidRPr="00C8726B" w:rsidRDefault="00007556" w:rsidP="00007556">
            <w:pPr>
              <w:widowControl/>
              <w:topLinePunct/>
              <w:spacing w:line="360" w:lineRule="exact"/>
              <w:ind w:firstLine="420"/>
              <w:jc w:val="left"/>
              <w:rPr>
                <w:sz w:val="21"/>
              </w:rPr>
            </w:pPr>
            <w:r w:rsidRPr="00007556">
              <w:rPr>
                <w:rFonts w:ascii="Times New Roman" w:hAnsi="Times New Roman"/>
                <w:sz w:val="21"/>
              </w:rPr>
              <w:t>开式循环水每</w:t>
            </w:r>
            <w:r w:rsidRPr="00007556">
              <w:rPr>
                <w:rFonts w:ascii="Times New Roman" w:hAnsi="Times New Roman"/>
                <w:sz w:val="21"/>
              </w:rPr>
              <w:t>6</w:t>
            </w:r>
            <w:r w:rsidRPr="00007556">
              <w:rPr>
                <w:rFonts w:ascii="Times New Roman" w:hAnsi="Times New Roman"/>
                <w:sz w:val="21"/>
              </w:rPr>
              <w:t>个月至少开展</w:t>
            </w:r>
            <w:r w:rsidRPr="00007556">
              <w:rPr>
                <w:rFonts w:ascii="Times New Roman" w:hAnsi="Times New Roman"/>
                <w:sz w:val="21"/>
              </w:rPr>
              <w:t xml:space="preserve"> 1</w:t>
            </w:r>
            <w:r w:rsidRPr="00007556">
              <w:rPr>
                <w:rFonts w:ascii="Times New Roman" w:hAnsi="Times New Roman"/>
                <w:sz w:val="21"/>
              </w:rPr>
              <w:t>次循环水塔和含</w:t>
            </w:r>
            <w:r w:rsidRPr="00007556">
              <w:rPr>
                <w:rFonts w:ascii="Times New Roman" w:hAnsi="Times New Roman"/>
                <w:sz w:val="21"/>
              </w:rPr>
              <w:t xml:space="preserve"> VOCs</w:t>
            </w:r>
            <w:r w:rsidRPr="00007556">
              <w:rPr>
                <w:rFonts w:ascii="Times New Roman" w:hAnsi="Times New Roman"/>
                <w:sz w:val="21"/>
              </w:rPr>
              <w:t>物料换热设备进出口总有机碳</w:t>
            </w:r>
            <w:r w:rsidRPr="00007556">
              <w:rPr>
                <w:rFonts w:ascii="Times New Roman" w:hAnsi="Times New Roman"/>
                <w:sz w:val="21"/>
              </w:rPr>
              <w:t>(TOC</w:t>
            </w:r>
            <w:r w:rsidRPr="00007556">
              <w:rPr>
                <w:rFonts w:ascii="Times New Roman" w:hAnsi="Times New Roman"/>
                <w:sz w:val="21"/>
              </w:rPr>
              <w:t>）或可吹扫有机碳</w:t>
            </w:r>
            <w:r w:rsidRPr="00007556">
              <w:rPr>
                <w:rFonts w:ascii="Times New Roman" w:hAnsi="Times New Roman"/>
                <w:sz w:val="21"/>
              </w:rPr>
              <w:t>(POC)</w:t>
            </w:r>
            <w:r w:rsidRPr="00007556">
              <w:rPr>
                <w:rFonts w:ascii="Times New Roman" w:hAnsi="Times New Roman"/>
                <w:sz w:val="21"/>
              </w:rPr>
              <w:t>监测工作，出口浓度大于进口浓度</w:t>
            </w:r>
            <w:r w:rsidRPr="00007556">
              <w:rPr>
                <w:rFonts w:ascii="Times New Roman" w:hAnsi="Times New Roman"/>
                <w:sz w:val="21"/>
              </w:rPr>
              <w:t>10%</w:t>
            </w:r>
            <w:r w:rsidRPr="00007556">
              <w:rPr>
                <w:rFonts w:ascii="Times New Roman" w:hAnsi="Times New Roman"/>
                <w:sz w:val="21"/>
              </w:rPr>
              <w:t>的，要溯源泄漏点并及时修复。</w:t>
            </w:r>
          </w:p>
        </w:tc>
        <w:tc>
          <w:tcPr>
            <w:tcW w:w="1777" w:type="pct"/>
            <w:vAlign w:val="center"/>
          </w:tcPr>
          <w:p w:rsidR="001F472A" w:rsidRPr="00007556" w:rsidRDefault="00007556" w:rsidP="00007556">
            <w:pPr>
              <w:widowControl/>
              <w:topLinePunct/>
              <w:spacing w:line="360" w:lineRule="exact"/>
              <w:ind w:firstLine="420"/>
              <w:jc w:val="left"/>
              <w:rPr>
                <w:sz w:val="21"/>
              </w:rPr>
            </w:pPr>
            <w:r>
              <w:rPr>
                <w:rFonts w:hint="eastAsia"/>
                <w:sz w:val="21"/>
              </w:rPr>
              <w:t>本项目不使用开式循环冷却系统</w:t>
            </w:r>
          </w:p>
        </w:tc>
        <w:tc>
          <w:tcPr>
            <w:tcW w:w="246" w:type="pct"/>
            <w:vAlign w:val="center"/>
          </w:tcPr>
          <w:p w:rsidR="001F472A" w:rsidRDefault="001F472A" w:rsidP="00AB41E0">
            <w:pPr>
              <w:pStyle w:val="afffffff2"/>
              <w:rPr>
                <w:rFonts w:cs="Times New Roman"/>
                <w:color w:val="000000" w:themeColor="text1"/>
                <w:kern w:val="0"/>
                <w:sz w:val="21"/>
                <w:szCs w:val="21"/>
              </w:rPr>
            </w:pPr>
          </w:p>
        </w:tc>
      </w:tr>
      <w:tr w:rsidR="001F472A" w:rsidRPr="00AB41E0" w:rsidTr="00524AE1">
        <w:trPr>
          <w:trHeight w:val="730"/>
        </w:trPr>
        <w:tc>
          <w:tcPr>
            <w:tcW w:w="236" w:type="pct"/>
            <w:vMerge/>
            <w:vAlign w:val="center"/>
          </w:tcPr>
          <w:p w:rsidR="001F472A" w:rsidRPr="00F47ACE" w:rsidRDefault="001F472A" w:rsidP="00AB41E0">
            <w:pPr>
              <w:pStyle w:val="afffffff2"/>
              <w:rPr>
                <w:rFonts w:cs="Times New Roman"/>
                <w:kern w:val="0"/>
                <w:sz w:val="21"/>
                <w:szCs w:val="21"/>
              </w:rPr>
            </w:pPr>
          </w:p>
        </w:tc>
        <w:tc>
          <w:tcPr>
            <w:tcW w:w="681" w:type="pct"/>
            <w:vMerge/>
            <w:vAlign w:val="center"/>
          </w:tcPr>
          <w:p w:rsidR="001F472A" w:rsidRPr="00F47ACE" w:rsidRDefault="001F472A" w:rsidP="00C8726B">
            <w:pPr>
              <w:pStyle w:val="afffffff2"/>
              <w:rPr>
                <w:rFonts w:cs="Times New Roman"/>
                <w:kern w:val="0"/>
                <w:sz w:val="21"/>
                <w:szCs w:val="21"/>
              </w:rPr>
            </w:pPr>
          </w:p>
        </w:tc>
        <w:tc>
          <w:tcPr>
            <w:tcW w:w="2060" w:type="pct"/>
            <w:gridSpan w:val="2"/>
            <w:vAlign w:val="center"/>
          </w:tcPr>
          <w:p w:rsidR="00007556" w:rsidRPr="00007556" w:rsidRDefault="00007556" w:rsidP="00007556">
            <w:pPr>
              <w:widowControl/>
              <w:topLinePunct/>
              <w:spacing w:line="360" w:lineRule="exact"/>
              <w:ind w:firstLine="420"/>
              <w:jc w:val="left"/>
              <w:rPr>
                <w:rFonts w:ascii="Times New Roman" w:hAnsi="Times New Roman"/>
                <w:sz w:val="21"/>
              </w:rPr>
            </w:pPr>
            <w:r w:rsidRPr="00007556">
              <w:rPr>
                <w:rFonts w:ascii="Times New Roman" w:hAnsi="Times New Roman"/>
                <w:sz w:val="21"/>
              </w:rPr>
              <w:t>4.2.8.1</w:t>
            </w:r>
            <w:r w:rsidRPr="00007556">
              <w:rPr>
                <w:rFonts w:ascii="Times New Roman" w:hAnsi="Times New Roman"/>
                <w:sz w:val="21"/>
              </w:rPr>
              <w:t>制定开停车、检维修、生产异常等非正常工况的操作规程和污染控制措施。</w:t>
            </w:r>
          </w:p>
          <w:p w:rsidR="001F472A" w:rsidRPr="00007556" w:rsidRDefault="00007556" w:rsidP="00194BA4">
            <w:pPr>
              <w:widowControl/>
              <w:topLinePunct/>
              <w:spacing w:line="360" w:lineRule="exact"/>
              <w:ind w:firstLine="420"/>
              <w:jc w:val="left"/>
              <w:rPr>
                <w:sz w:val="21"/>
              </w:rPr>
            </w:pPr>
            <w:r w:rsidRPr="00007556">
              <w:rPr>
                <w:rFonts w:ascii="Times New Roman" w:hAnsi="Times New Roman"/>
                <w:sz w:val="21"/>
              </w:rPr>
              <w:t>4.2.8.2</w:t>
            </w:r>
            <w:r w:rsidRPr="00007556">
              <w:rPr>
                <w:rFonts w:ascii="Times New Roman" w:hAnsi="Times New Roman"/>
                <w:sz w:val="21"/>
              </w:rPr>
              <w:t>装置检维修过程管理宜数字化，计量吹扫气量、温度、压力等参数；宜通过辅助管道和设备等建立蒸罐、消洗、吹扫产物密闭排放管网；选用适宜的消洗和吹扫介质；检修过程产生的物料分类进入瓦斯管网和火炬系统，以及带</w:t>
            </w:r>
            <w:r w:rsidRPr="00007556">
              <w:rPr>
                <w:rFonts w:ascii="Times New Roman" w:hAnsi="Times New Roman"/>
                <w:sz w:val="21"/>
              </w:rPr>
              <w:lastRenderedPageBreak/>
              <w:t>有废气处理装置的污油罐、酸性水罐和污水处理站（场）等。</w:t>
            </w:r>
          </w:p>
        </w:tc>
        <w:tc>
          <w:tcPr>
            <w:tcW w:w="1777" w:type="pct"/>
            <w:vAlign w:val="center"/>
          </w:tcPr>
          <w:p w:rsidR="001F472A" w:rsidRPr="00194BA4" w:rsidRDefault="00194BA4" w:rsidP="00194BA4">
            <w:pPr>
              <w:widowControl/>
              <w:topLinePunct/>
              <w:spacing w:line="360" w:lineRule="exact"/>
              <w:ind w:firstLine="420"/>
              <w:jc w:val="left"/>
              <w:rPr>
                <w:sz w:val="21"/>
              </w:rPr>
            </w:pPr>
            <w:r>
              <w:rPr>
                <w:rFonts w:hint="eastAsia"/>
                <w:sz w:val="21"/>
              </w:rPr>
              <w:lastRenderedPageBreak/>
              <w:t>本项目后续生产过程</w:t>
            </w:r>
            <w:r w:rsidR="00873742">
              <w:rPr>
                <w:rFonts w:hint="eastAsia"/>
                <w:sz w:val="21"/>
              </w:rPr>
              <w:t>出现非正常工况时，及时停止生产，待恢复正常时方可恢复生产</w:t>
            </w:r>
          </w:p>
        </w:tc>
        <w:tc>
          <w:tcPr>
            <w:tcW w:w="246" w:type="pct"/>
            <w:vAlign w:val="center"/>
          </w:tcPr>
          <w:p w:rsidR="001F472A" w:rsidRDefault="001F472A" w:rsidP="00AB41E0">
            <w:pPr>
              <w:pStyle w:val="afffffff2"/>
              <w:rPr>
                <w:rFonts w:cs="Times New Roman"/>
                <w:color w:val="000000" w:themeColor="text1"/>
                <w:kern w:val="0"/>
                <w:sz w:val="21"/>
                <w:szCs w:val="21"/>
              </w:rPr>
            </w:pPr>
          </w:p>
        </w:tc>
      </w:tr>
      <w:tr w:rsidR="00524AE1" w:rsidRPr="00AB41E0" w:rsidTr="00524AE1">
        <w:trPr>
          <w:trHeight w:val="730"/>
        </w:trPr>
        <w:tc>
          <w:tcPr>
            <w:tcW w:w="236" w:type="pct"/>
            <w:vMerge/>
            <w:vAlign w:val="center"/>
          </w:tcPr>
          <w:p w:rsidR="00524AE1" w:rsidRPr="00F47ACE" w:rsidRDefault="00524AE1" w:rsidP="00AB41E0">
            <w:pPr>
              <w:pStyle w:val="afffffff2"/>
              <w:rPr>
                <w:rFonts w:cs="Times New Roman"/>
                <w:kern w:val="0"/>
                <w:sz w:val="21"/>
                <w:szCs w:val="21"/>
              </w:rPr>
            </w:pPr>
          </w:p>
        </w:tc>
        <w:tc>
          <w:tcPr>
            <w:tcW w:w="681" w:type="pct"/>
            <w:vMerge/>
            <w:vAlign w:val="center"/>
          </w:tcPr>
          <w:p w:rsidR="00524AE1" w:rsidRPr="00F47ACE" w:rsidRDefault="00524AE1" w:rsidP="00C8726B">
            <w:pPr>
              <w:pStyle w:val="afffffff2"/>
              <w:rPr>
                <w:rFonts w:cs="Times New Roman"/>
                <w:kern w:val="0"/>
                <w:sz w:val="21"/>
                <w:szCs w:val="21"/>
              </w:rPr>
            </w:pPr>
          </w:p>
        </w:tc>
        <w:tc>
          <w:tcPr>
            <w:tcW w:w="2060" w:type="pct"/>
            <w:gridSpan w:val="2"/>
            <w:vAlign w:val="center"/>
          </w:tcPr>
          <w:p w:rsidR="00524AE1" w:rsidRDefault="002C3751" w:rsidP="00D01CA1">
            <w:pPr>
              <w:widowControl/>
              <w:spacing w:line="360" w:lineRule="exact"/>
              <w:ind w:firstLine="420"/>
              <w:jc w:val="left"/>
              <w:rPr>
                <w:sz w:val="21"/>
              </w:rPr>
            </w:pPr>
            <w:r w:rsidRPr="002C3751">
              <w:rPr>
                <w:rFonts w:ascii="Times New Roman" w:hAnsi="Times New Roman"/>
                <w:sz w:val="21"/>
              </w:rPr>
              <w:t>4.3.1.1</w:t>
            </w:r>
            <w:r w:rsidRPr="002C3751">
              <w:rPr>
                <w:rFonts w:ascii="Times New Roman" w:hAnsi="Times New Roman"/>
                <w:sz w:val="21"/>
              </w:rPr>
              <w:t>储存真实蒸气压大于等于</w:t>
            </w:r>
            <w:r w:rsidRPr="002C3751">
              <w:rPr>
                <w:rFonts w:ascii="Times New Roman" w:hAnsi="Times New Roman"/>
                <w:sz w:val="21"/>
              </w:rPr>
              <w:t>5.2 kPa</w:t>
            </w:r>
            <w:r w:rsidRPr="002C3751">
              <w:rPr>
                <w:rFonts w:ascii="Times New Roman" w:hAnsi="Times New Roman"/>
                <w:sz w:val="21"/>
              </w:rPr>
              <w:t>小于</w:t>
            </w:r>
            <w:r w:rsidRPr="002C3751">
              <w:rPr>
                <w:rFonts w:ascii="Times New Roman" w:hAnsi="Times New Roman"/>
                <w:sz w:val="21"/>
              </w:rPr>
              <w:t>27.6kPa</w:t>
            </w:r>
            <w:r w:rsidRPr="002C3751">
              <w:rPr>
                <w:rFonts w:ascii="Times New Roman" w:hAnsi="Times New Roman"/>
                <w:sz w:val="21"/>
              </w:rPr>
              <w:t>、设计容积大于等于</w:t>
            </w:r>
            <w:r w:rsidRPr="002C3751">
              <w:rPr>
                <w:rFonts w:ascii="Times New Roman" w:hAnsi="Times New Roman"/>
                <w:sz w:val="21"/>
              </w:rPr>
              <w:t>150m</w:t>
            </w:r>
            <w:r w:rsidR="00D01CA1" w:rsidRPr="00D01CA1">
              <w:rPr>
                <w:rFonts w:ascii="Times New Roman" w:hAnsi="Times New Roman"/>
                <w:sz w:val="21"/>
                <w:vertAlign w:val="superscript"/>
              </w:rPr>
              <w:t>3</w:t>
            </w:r>
            <w:r w:rsidRPr="002C3751">
              <w:rPr>
                <w:rFonts w:ascii="Times New Roman" w:hAnsi="Times New Roman"/>
                <w:sz w:val="21"/>
              </w:rPr>
              <w:t>的挥发性有机液体储罐，以及储存真实蒸气压大于等于</w:t>
            </w:r>
            <w:r w:rsidRPr="002C3751">
              <w:rPr>
                <w:rFonts w:ascii="Times New Roman" w:hAnsi="Times New Roman"/>
                <w:sz w:val="21"/>
              </w:rPr>
              <w:t>27.6 KPa</w:t>
            </w:r>
            <w:r w:rsidRPr="002C3751">
              <w:rPr>
                <w:rFonts w:ascii="Times New Roman" w:hAnsi="Times New Roman"/>
                <w:sz w:val="21"/>
              </w:rPr>
              <w:t>小于</w:t>
            </w:r>
            <w:r w:rsidRPr="002C3751">
              <w:rPr>
                <w:rFonts w:ascii="Times New Roman" w:hAnsi="Times New Roman"/>
                <w:sz w:val="21"/>
              </w:rPr>
              <w:t>76.6 kPa</w:t>
            </w:r>
            <w:r w:rsidRPr="002C3751">
              <w:rPr>
                <w:rFonts w:ascii="Times New Roman" w:hAnsi="Times New Roman"/>
                <w:sz w:val="21"/>
              </w:rPr>
              <w:t>、设计容积大于等于</w:t>
            </w:r>
            <w:r w:rsidRPr="002C3751">
              <w:rPr>
                <w:rFonts w:ascii="Times New Roman" w:hAnsi="Times New Roman"/>
                <w:sz w:val="21"/>
              </w:rPr>
              <w:t>75 m</w:t>
            </w:r>
            <w:r w:rsidR="00D01CA1" w:rsidRPr="00D01CA1">
              <w:rPr>
                <w:rFonts w:ascii="Times New Roman" w:hAnsi="Times New Roman"/>
                <w:sz w:val="21"/>
                <w:vertAlign w:val="superscript"/>
              </w:rPr>
              <w:t>3</w:t>
            </w:r>
            <w:r w:rsidRPr="002C3751">
              <w:rPr>
                <w:rFonts w:ascii="Times New Roman" w:hAnsi="Times New Roman"/>
                <w:sz w:val="21"/>
              </w:rPr>
              <w:t>的挥发性有机液体储罐，若采用固定顶罐，应安装密闭排气系统，废气送至有机废气回收或处理装置。</w:t>
            </w:r>
          </w:p>
        </w:tc>
        <w:tc>
          <w:tcPr>
            <w:tcW w:w="1777" w:type="pct"/>
            <w:vAlign w:val="center"/>
          </w:tcPr>
          <w:p w:rsidR="00524AE1" w:rsidRPr="002C3751" w:rsidRDefault="00D01CA1" w:rsidP="00C8726B">
            <w:pPr>
              <w:widowControl/>
              <w:topLinePunct/>
              <w:spacing w:line="360" w:lineRule="exact"/>
              <w:ind w:firstLine="420"/>
              <w:jc w:val="left"/>
              <w:rPr>
                <w:sz w:val="21"/>
              </w:rPr>
            </w:pPr>
            <w:r>
              <w:rPr>
                <w:rFonts w:hint="eastAsia"/>
                <w:sz w:val="21"/>
              </w:rPr>
              <w:t>本项目</w:t>
            </w:r>
            <w:r w:rsidRPr="002C3751">
              <w:rPr>
                <w:rFonts w:ascii="Times New Roman" w:hAnsi="Times New Roman"/>
                <w:sz w:val="21"/>
              </w:rPr>
              <w:t>挥发性有机液体储罐</w:t>
            </w:r>
            <w:r>
              <w:rPr>
                <w:rFonts w:ascii="Times New Roman" w:hAnsi="Times New Roman" w:hint="eastAsia"/>
                <w:sz w:val="21"/>
              </w:rPr>
              <w:t>设计了废气收集处理系统，做到达标排放</w:t>
            </w:r>
          </w:p>
        </w:tc>
        <w:tc>
          <w:tcPr>
            <w:tcW w:w="246" w:type="pct"/>
            <w:vAlign w:val="center"/>
          </w:tcPr>
          <w:p w:rsidR="00524AE1" w:rsidRPr="00F47ACE" w:rsidRDefault="00D01CA1" w:rsidP="00AB41E0">
            <w:pPr>
              <w:pStyle w:val="afffffff2"/>
              <w:rPr>
                <w:rFonts w:cs="Times New Roman"/>
                <w:color w:val="000000" w:themeColor="text1"/>
                <w:kern w:val="0"/>
                <w:sz w:val="21"/>
                <w:szCs w:val="21"/>
              </w:rPr>
            </w:pPr>
            <w:r>
              <w:rPr>
                <w:rFonts w:cs="Times New Roman" w:hint="eastAsia"/>
                <w:color w:val="000000" w:themeColor="text1"/>
                <w:kern w:val="0"/>
                <w:sz w:val="21"/>
                <w:szCs w:val="21"/>
              </w:rPr>
              <w:t>符合</w:t>
            </w:r>
          </w:p>
        </w:tc>
      </w:tr>
      <w:tr w:rsidR="00D01CA1" w:rsidRPr="00AB41E0" w:rsidTr="00524AE1">
        <w:trPr>
          <w:trHeight w:val="730"/>
        </w:trPr>
        <w:tc>
          <w:tcPr>
            <w:tcW w:w="236" w:type="pct"/>
            <w:vAlign w:val="center"/>
          </w:tcPr>
          <w:p w:rsidR="00D01CA1" w:rsidRPr="00D01CA1" w:rsidRDefault="00D01CA1" w:rsidP="00D01CA1">
            <w:pPr>
              <w:pStyle w:val="afffffff2"/>
              <w:rPr>
                <w:rFonts w:ascii="Times New Roman" w:hAnsi="Times New Roman" w:cs="Times New Roman"/>
                <w:kern w:val="0"/>
                <w:sz w:val="21"/>
                <w:szCs w:val="21"/>
              </w:rPr>
            </w:pPr>
            <w:r w:rsidRPr="00D01CA1">
              <w:rPr>
                <w:rFonts w:ascii="Times New Roman" w:hAnsi="Times New Roman" w:cs="Times New Roman"/>
                <w:kern w:val="0"/>
                <w:sz w:val="21"/>
                <w:szCs w:val="21"/>
              </w:rPr>
              <w:t>4</w:t>
            </w:r>
          </w:p>
        </w:tc>
        <w:tc>
          <w:tcPr>
            <w:tcW w:w="681" w:type="pct"/>
            <w:vAlign w:val="center"/>
          </w:tcPr>
          <w:p w:rsidR="00D01CA1" w:rsidRPr="00D01CA1" w:rsidRDefault="00D01CA1" w:rsidP="00D01CA1">
            <w:pPr>
              <w:pStyle w:val="afffffff2"/>
              <w:rPr>
                <w:rFonts w:ascii="Times New Roman" w:hAnsi="Times New Roman" w:cs="Times New Roman"/>
                <w:sz w:val="21"/>
                <w:szCs w:val="21"/>
              </w:rPr>
            </w:pPr>
            <w:r w:rsidRPr="00D01CA1">
              <w:rPr>
                <w:rFonts w:ascii="Times New Roman" w:hAnsi="Times New Roman" w:cs="Times New Roman"/>
                <w:sz w:val="21"/>
                <w:szCs w:val="21"/>
              </w:rPr>
              <w:t>《挥发性有机物无组织排放控制标准》（</w:t>
            </w:r>
            <w:r w:rsidRPr="00D01CA1">
              <w:rPr>
                <w:rFonts w:ascii="Times New Roman" w:hAnsi="Times New Roman" w:cs="Times New Roman"/>
                <w:sz w:val="21"/>
                <w:szCs w:val="21"/>
              </w:rPr>
              <w:t>GB 37822-2019</w:t>
            </w:r>
            <w:r w:rsidRPr="00D01CA1">
              <w:rPr>
                <w:rFonts w:ascii="Times New Roman" w:hAnsi="Times New Roman" w:cs="Times New Roman"/>
                <w:sz w:val="21"/>
                <w:szCs w:val="21"/>
              </w:rPr>
              <w:t>）</w:t>
            </w:r>
          </w:p>
        </w:tc>
        <w:tc>
          <w:tcPr>
            <w:tcW w:w="2060" w:type="pct"/>
            <w:gridSpan w:val="2"/>
            <w:vAlign w:val="center"/>
          </w:tcPr>
          <w:p w:rsidR="00D01CA1" w:rsidRPr="00D01CA1" w:rsidRDefault="00D01CA1" w:rsidP="00D01CA1">
            <w:pPr>
              <w:pStyle w:val="afffffff2"/>
              <w:rPr>
                <w:rFonts w:ascii="Times New Roman" w:hAnsi="Times New Roman" w:cs="Times New Roman"/>
                <w:sz w:val="21"/>
                <w:szCs w:val="21"/>
              </w:rPr>
            </w:pPr>
            <w:r w:rsidRPr="00D01CA1">
              <w:rPr>
                <w:rFonts w:ascii="Times New Roman" w:hAnsi="Times New Roman" w:cs="Times New Roman"/>
                <w:sz w:val="21"/>
                <w:szCs w:val="21"/>
              </w:rPr>
              <w:t>VOCs</w:t>
            </w:r>
            <w:r w:rsidRPr="00D01CA1">
              <w:rPr>
                <w:rFonts w:ascii="Times New Roman" w:hAnsi="Times New Roman" w:cs="Times New Roman"/>
                <w:sz w:val="21"/>
                <w:szCs w:val="21"/>
              </w:rPr>
              <w:t>物料应存储于密闭的容器，并存放于室内，液态</w:t>
            </w:r>
            <w:r w:rsidRPr="00D01CA1">
              <w:rPr>
                <w:rFonts w:ascii="Times New Roman" w:hAnsi="Times New Roman" w:cs="Times New Roman"/>
                <w:sz w:val="21"/>
                <w:szCs w:val="21"/>
              </w:rPr>
              <w:t>VOCs</w:t>
            </w:r>
            <w:r w:rsidRPr="00D01CA1">
              <w:rPr>
                <w:rFonts w:ascii="Times New Roman" w:hAnsi="Times New Roman" w:cs="Times New Roman"/>
                <w:sz w:val="21"/>
                <w:szCs w:val="21"/>
              </w:rPr>
              <w:t>物料应采用密闭管道运输密闭投加，无法密闭投加的，应在密闭空间内操作，或进行局部气体收集，废气应排至</w:t>
            </w:r>
            <w:r w:rsidRPr="00D01CA1">
              <w:rPr>
                <w:rFonts w:ascii="Times New Roman" w:hAnsi="Times New Roman" w:cs="Times New Roman"/>
                <w:sz w:val="21"/>
                <w:szCs w:val="21"/>
              </w:rPr>
              <w:t>VOCs</w:t>
            </w:r>
            <w:r w:rsidRPr="00D01CA1">
              <w:rPr>
                <w:rFonts w:ascii="Times New Roman" w:hAnsi="Times New Roman" w:cs="Times New Roman"/>
                <w:sz w:val="21"/>
                <w:szCs w:val="21"/>
              </w:rPr>
              <w:t>废气收集处理系统。</w:t>
            </w:r>
          </w:p>
        </w:tc>
        <w:tc>
          <w:tcPr>
            <w:tcW w:w="1777" w:type="pct"/>
            <w:vAlign w:val="center"/>
          </w:tcPr>
          <w:p w:rsidR="00D01CA1" w:rsidRPr="00D01CA1" w:rsidRDefault="00D01CA1" w:rsidP="00902E00">
            <w:pPr>
              <w:pStyle w:val="afffffff2"/>
              <w:rPr>
                <w:rFonts w:ascii="Times New Roman" w:hAnsi="Times New Roman" w:cs="Times New Roman"/>
                <w:sz w:val="21"/>
                <w:szCs w:val="21"/>
              </w:rPr>
            </w:pPr>
            <w:r w:rsidRPr="00D01CA1">
              <w:rPr>
                <w:rFonts w:ascii="Times New Roman" w:hAnsi="Times New Roman" w:cs="Times New Roman"/>
                <w:sz w:val="21"/>
                <w:szCs w:val="21"/>
              </w:rPr>
              <w:t>本项目含</w:t>
            </w:r>
            <w:r w:rsidRPr="00D01CA1">
              <w:rPr>
                <w:rFonts w:ascii="Times New Roman" w:hAnsi="Times New Roman" w:cs="Times New Roman"/>
                <w:sz w:val="21"/>
                <w:szCs w:val="21"/>
              </w:rPr>
              <w:t>VOCs</w:t>
            </w:r>
            <w:r w:rsidRPr="00D01CA1">
              <w:rPr>
                <w:rFonts w:ascii="Times New Roman" w:hAnsi="Times New Roman" w:cs="Times New Roman"/>
                <w:sz w:val="21"/>
                <w:szCs w:val="21"/>
              </w:rPr>
              <w:t>物料均存储于</w:t>
            </w:r>
            <w:r>
              <w:rPr>
                <w:rFonts w:ascii="Times New Roman" w:hAnsi="Times New Roman" w:cs="Times New Roman" w:hint="eastAsia"/>
                <w:sz w:val="21"/>
                <w:szCs w:val="21"/>
              </w:rPr>
              <w:t>储罐</w:t>
            </w:r>
            <w:r>
              <w:rPr>
                <w:rFonts w:ascii="Times New Roman" w:hAnsi="Times New Roman" w:cs="Times New Roman"/>
                <w:sz w:val="21"/>
                <w:szCs w:val="21"/>
              </w:rPr>
              <w:t>中</w:t>
            </w:r>
            <w:r w:rsidRPr="00D01CA1">
              <w:rPr>
                <w:rFonts w:ascii="Times New Roman" w:hAnsi="Times New Roman" w:cs="Times New Roman"/>
                <w:sz w:val="21"/>
                <w:szCs w:val="21"/>
              </w:rPr>
              <w:t>，液态</w:t>
            </w:r>
            <w:r w:rsidRPr="00D01CA1">
              <w:rPr>
                <w:rFonts w:ascii="Times New Roman" w:hAnsi="Times New Roman" w:cs="Times New Roman"/>
                <w:sz w:val="21"/>
                <w:szCs w:val="21"/>
              </w:rPr>
              <w:t>VOCs</w:t>
            </w:r>
            <w:r w:rsidRPr="00D01CA1">
              <w:rPr>
                <w:rFonts w:ascii="Times New Roman" w:hAnsi="Times New Roman" w:cs="Times New Roman"/>
                <w:sz w:val="21"/>
                <w:szCs w:val="21"/>
              </w:rPr>
              <w:t>物料的投加均在密闭空间内操作，</w:t>
            </w:r>
            <w:r w:rsidR="00902E00" w:rsidRPr="00902E00">
              <w:rPr>
                <w:rFonts w:ascii="Times New Roman" w:hAnsi="Times New Roman" w:cs="Times New Roman" w:hint="eastAsia"/>
                <w:sz w:val="21"/>
                <w:szCs w:val="21"/>
              </w:rPr>
              <w:t>三甲生产线分级精馏废气</w:t>
            </w:r>
            <w:r w:rsidR="00902E00" w:rsidRPr="00902E00">
              <w:rPr>
                <w:rFonts w:ascii="Times New Roman" w:hAnsi="Times New Roman" w:cs="Times New Roman" w:hint="eastAsia"/>
                <w:sz w:val="21"/>
                <w:szCs w:val="21"/>
              </w:rPr>
              <w:t>G2-3</w:t>
            </w:r>
            <w:r w:rsidR="00902E00" w:rsidRPr="00902E00">
              <w:rPr>
                <w:rFonts w:ascii="Times New Roman" w:hAnsi="Times New Roman" w:cs="Times New Roman" w:hint="eastAsia"/>
                <w:sz w:val="21"/>
                <w:szCs w:val="21"/>
              </w:rPr>
              <w:t>、</w:t>
            </w:r>
            <w:r w:rsidR="00902E00" w:rsidRPr="00902E00">
              <w:rPr>
                <w:rFonts w:ascii="Times New Roman" w:hAnsi="Times New Roman" w:cs="Times New Roman" w:hint="eastAsia"/>
                <w:sz w:val="21"/>
                <w:szCs w:val="21"/>
              </w:rPr>
              <w:t>KH-560</w:t>
            </w:r>
            <w:r w:rsidR="00902E00" w:rsidRPr="00902E00">
              <w:rPr>
                <w:rFonts w:ascii="Times New Roman" w:hAnsi="Times New Roman" w:cs="Times New Roman" w:hint="eastAsia"/>
                <w:sz w:val="21"/>
                <w:szCs w:val="21"/>
              </w:rPr>
              <w:t>生产线不凝气</w:t>
            </w:r>
            <w:r w:rsidR="00902E00" w:rsidRPr="00902E00">
              <w:rPr>
                <w:rFonts w:ascii="Times New Roman" w:hAnsi="Times New Roman" w:cs="Times New Roman" w:hint="eastAsia"/>
                <w:sz w:val="21"/>
                <w:szCs w:val="21"/>
              </w:rPr>
              <w:t>G4-4</w:t>
            </w:r>
            <w:r w:rsidR="00902E00" w:rsidRPr="00902E00">
              <w:rPr>
                <w:rFonts w:ascii="Times New Roman" w:hAnsi="Times New Roman" w:cs="Times New Roman" w:hint="eastAsia"/>
                <w:sz w:val="21"/>
                <w:szCs w:val="21"/>
              </w:rPr>
              <w:t>及</w:t>
            </w:r>
            <w:r w:rsidR="00902E00" w:rsidRPr="00902E00">
              <w:rPr>
                <w:rFonts w:ascii="Times New Roman" w:hAnsi="Times New Roman" w:cs="Times New Roman" w:hint="eastAsia"/>
                <w:sz w:val="21"/>
                <w:szCs w:val="21"/>
              </w:rPr>
              <w:t>G4-2</w:t>
            </w:r>
            <w:r w:rsidR="00902E00" w:rsidRPr="00902E00">
              <w:rPr>
                <w:rFonts w:ascii="Times New Roman" w:hAnsi="Times New Roman" w:cs="Times New Roman" w:hint="eastAsia"/>
                <w:sz w:val="21"/>
                <w:szCs w:val="21"/>
              </w:rPr>
              <w:t>、罐区废气经“二级深冷</w:t>
            </w:r>
            <w:r w:rsidR="00902E00" w:rsidRPr="00902E00">
              <w:rPr>
                <w:rFonts w:ascii="Times New Roman" w:hAnsi="Times New Roman" w:cs="Times New Roman" w:hint="eastAsia"/>
                <w:sz w:val="21"/>
                <w:szCs w:val="21"/>
              </w:rPr>
              <w:t>+</w:t>
            </w:r>
            <w:r w:rsidR="00902E00" w:rsidRPr="00902E00">
              <w:rPr>
                <w:rFonts w:ascii="Times New Roman" w:hAnsi="Times New Roman" w:cs="Times New Roman" w:hint="eastAsia"/>
                <w:sz w:val="21"/>
                <w:szCs w:val="21"/>
              </w:rPr>
              <w:t>一级水洗”处理后经</w:t>
            </w:r>
            <w:r w:rsidR="00902E00" w:rsidRPr="00902E00">
              <w:rPr>
                <w:rFonts w:ascii="Times New Roman" w:hAnsi="Times New Roman" w:cs="Times New Roman" w:hint="eastAsia"/>
                <w:sz w:val="21"/>
                <w:szCs w:val="21"/>
              </w:rPr>
              <w:t>DA021</w:t>
            </w:r>
            <w:r w:rsidR="00902E00" w:rsidRPr="00902E00">
              <w:rPr>
                <w:rFonts w:ascii="Times New Roman" w:hAnsi="Times New Roman" w:cs="Times New Roman" w:hint="eastAsia"/>
                <w:sz w:val="21"/>
                <w:szCs w:val="21"/>
              </w:rPr>
              <w:t>排气筒排放；三甲合成工序不凝气</w:t>
            </w:r>
            <w:r w:rsidR="00902E00" w:rsidRPr="00902E00">
              <w:rPr>
                <w:rFonts w:ascii="Times New Roman" w:hAnsi="Times New Roman" w:cs="Times New Roman" w:hint="eastAsia"/>
                <w:sz w:val="21"/>
                <w:szCs w:val="21"/>
              </w:rPr>
              <w:t>G2-2</w:t>
            </w:r>
            <w:r w:rsidR="00902E00" w:rsidRPr="00902E00">
              <w:rPr>
                <w:rFonts w:ascii="Times New Roman" w:hAnsi="Times New Roman" w:cs="Times New Roman" w:hint="eastAsia"/>
                <w:sz w:val="21"/>
                <w:szCs w:val="21"/>
              </w:rPr>
              <w:t>经“两级深冷”处理后经</w:t>
            </w:r>
            <w:r w:rsidR="00902E00" w:rsidRPr="00902E00">
              <w:rPr>
                <w:rFonts w:ascii="Times New Roman" w:hAnsi="Times New Roman" w:cs="Times New Roman" w:hint="eastAsia"/>
                <w:sz w:val="21"/>
                <w:szCs w:val="21"/>
              </w:rPr>
              <w:t>DA020</w:t>
            </w:r>
            <w:r w:rsidR="00902E00" w:rsidRPr="00902E00">
              <w:rPr>
                <w:rFonts w:ascii="Times New Roman" w:hAnsi="Times New Roman" w:cs="Times New Roman" w:hint="eastAsia"/>
                <w:sz w:val="21"/>
                <w:szCs w:val="21"/>
              </w:rPr>
              <w:t>排气筒排放；硅溶胶含氨废气经“一级水洗</w:t>
            </w:r>
            <w:r w:rsidR="00902E00" w:rsidRPr="00902E00">
              <w:rPr>
                <w:rFonts w:ascii="Times New Roman" w:hAnsi="Times New Roman" w:cs="Times New Roman" w:hint="eastAsia"/>
                <w:sz w:val="21"/>
                <w:szCs w:val="21"/>
              </w:rPr>
              <w:t>+</w:t>
            </w:r>
            <w:r w:rsidR="00902E00" w:rsidRPr="00902E00">
              <w:rPr>
                <w:rFonts w:ascii="Times New Roman" w:hAnsi="Times New Roman" w:cs="Times New Roman" w:hint="eastAsia"/>
                <w:sz w:val="21"/>
                <w:szCs w:val="21"/>
              </w:rPr>
              <w:t>一级酸洗”处理后经</w:t>
            </w:r>
            <w:r w:rsidR="00902E00" w:rsidRPr="00902E00">
              <w:rPr>
                <w:rFonts w:ascii="Times New Roman" w:hAnsi="Times New Roman" w:cs="Times New Roman" w:hint="eastAsia"/>
                <w:sz w:val="21"/>
                <w:szCs w:val="21"/>
              </w:rPr>
              <w:t>DA022</w:t>
            </w:r>
            <w:r w:rsidR="00902E00" w:rsidRPr="00902E00">
              <w:rPr>
                <w:rFonts w:ascii="Times New Roman" w:hAnsi="Times New Roman" w:cs="Times New Roman" w:hint="eastAsia"/>
                <w:sz w:val="21"/>
                <w:szCs w:val="21"/>
              </w:rPr>
              <w:t>排气筒排放；</w:t>
            </w:r>
            <w:r w:rsidR="00902E00" w:rsidRPr="00902E00">
              <w:rPr>
                <w:rFonts w:ascii="Times New Roman" w:hAnsi="Times New Roman" w:cs="Times New Roman" w:hint="eastAsia"/>
                <w:sz w:val="21"/>
                <w:szCs w:val="21"/>
              </w:rPr>
              <w:t>A-171</w:t>
            </w:r>
            <w:r w:rsidR="00902E00" w:rsidRPr="00902E00">
              <w:rPr>
                <w:rFonts w:ascii="Times New Roman" w:hAnsi="Times New Roman" w:cs="Times New Roman" w:hint="eastAsia"/>
                <w:sz w:val="21"/>
                <w:szCs w:val="21"/>
              </w:rPr>
              <w:t>生产线合成工序不凝气</w:t>
            </w:r>
            <w:r w:rsidR="00902E00" w:rsidRPr="00902E00">
              <w:rPr>
                <w:rFonts w:ascii="Times New Roman" w:hAnsi="Times New Roman" w:cs="Times New Roman" w:hint="eastAsia"/>
                <w:sz w:val="21"/>
                <w:szCs w:val="21"/>
              </w:rPr>
              <w:t>G5-1</w:t>
            </w:r>
            <w:r w:rsidR="00902E00" w:rsidRPr="00902E00">
              <w:rPr>
                <w:rFonts w:ascii="Times New Roman" w:hAnsi="Times New Roman" w:cs="Times New Roman" w:hint="eastAsia"/>
                <w:sz w:val="21"/>
                <w:szCs w:val="21"/>
              </w:rPr>
              <w:t>经“一级深冷</w:t>
            </w:r>
            <w:r w:rsidR="00902E00" w:rsidRPr="00902E00">
              <w:rPr>
                <w:rFonts w:ascii="Times New Roman" w:hAnsi="Times New Roman" w:cs="Times New Roman" w:hint="eastAsia"/>
                <w:sz w:val="21"/>
                <w:szCs w:val="21"/>
              </w:rPr>
              <w:t>+</w:t>
            </w:r>
            <w:r w:rsidR="00A04339">
              <w:rPr>
                <w:rFonts w:ascii="Times New Roman" w:hAnsi="Times New Roman" w:cs="Times New Roman" w:hint="eastAsia"/>
                <w:sz w:val="21"/>
                <w:szCs w:val="21"/>
              </w:rPr>
              <w:t>二</w:t>
            </w:r>
            <w:r w:rsidR="00902E00" w:rsidRPr="00902E00">
              <w:rPr>
                <w:rFonts w:ascii="Times New Roman" w:hAnsi="Times New Roman" w:cs="Times New Roman" w:hint="eastAsia"/>
                <w:sz w:val="21"/>
                <w:szCs w:val="21"/>
              </w:rPr>
              <w:t>级活性炭吸附”处理后经</w:t>
            </w:r>
            <w:r w:rsidR="00902E00" w:rsidRPr="00902E00">
              <w:rPr>
                <w:rFonts w:ascii="Times New Roman" w:hAnsi="Times New Roman" w:cs="Times New Roman" w:hint="eastAsia"/>
                <w:sz w:val="21"/>
                <w:szCs w:val="21"/>
              </w:rPr>
              <w:t>DA034</w:t>
            </w:r>
            <w:r w:rsidR="00902E00" w:rsidRPr="00902E00">
              <w:rPr>
                <w:rFonts w:ascii="Times New Roman" w:hAnsi="Times New Roman" w:cs="Times New Roman" w:hint="eastAsia"/>
                <w:sz w:val="21"/>
                <w:szCs w:val="21"/>
              </w:rPr>
              <w:t>排气筒排放；</w:t>
            </w:r>
            <w:r w:rsidR="00902E00" w:rsidRPr="00902E00">
              <w:rPr>
                <w:rFonts w:ascii="Times New Roman" w:hAnsi="Times New Roman" w:cs="Times New Roman" w:hint="eastAsia"/>
                <w:sz w:val="21"/>
                <w:szCs w:val="21"/>
              </w:rPr>
              <w:t>A-171</w:t>
            </w:r>
            <w:r w:rsidR="00902E00" w:rsidRPr="00902E00">
              <w:rPr>
                <w:rFonts w:ascii="Times New Roman" w:hAnsi="Times New Roman" w:cs="Times New Roman" w:hint="eastAsia"/>
                <w:sz w:val="21"/>
                <w:szCs w:val="21"/>
              </w:rPr>
              <w:t>生产线减压蒸馏废气</w:t>
            </w:r>
            <w:r w:rsidR="00902E00" w:rsidRPr="00902E00">
              <w:rPr>
                <w:rFonts w:ascii="Times New Roman" w:hAnsi="Times New Roman" w:cs="Times New Roman" w:hint="eastAsia"/>
                <w:sz w:val="21"/>
                <w:szCs w:val="21"/>
              </w:rPr>
              <w:t>G5-2</w:t>
            </w:r>
            <w:r w:rsidR="00902E00" w:rsidRPr="00902E00">
              <w:rPr>
                <w:rFonts w:ascii="Times New Roman" w:hAnsi="Times New Roman" w:cs="Times New Roman" w:hint="eastAsia"/>
                <w:sz w:val="21"/>
                <w:szCs w:val="21"/>
              </w:rPr>
              <w:t>、精馏废气</w:t>
            </w:r>
            <w:r w:rsidR="00902E00" w:rsidRPr="00902E00">
              <w:rPr>
                <w:rFonts w:ascii="Times New Roman" w:hAnsi="Times New Roman" w:cs="Times New Roman" w:hint="eastAsia"/>
                <w:sz w:val="21"/>
                <w:szCs w:val="21"/>
              </w:rPr>
              <w:t>G5-3</w:t>
            </w:r>
            <w:r w:rsidR="00902E00" w:rsidRPr="00902E00">
              <w:rPr>
                <w:rFonts w:ascii="Times New Roman" w:hAnsi="Times New Roman" w:cs="Times New Roman" w:hint="eastAsia"/>
                <w:sz w:val="21"/>
                <w:szCs w:val="21"/>
              </w:rPr>
              <w:t>经“一级深冷</w:t>
            </w:r>
            <w:r w:rsidR="00902E00" w:rsidRPr="00902E00">
              <w:rPr>
                <w:rFonts w:ascii="Times New Roman" w:hAnsi="Times New Roman" w:cs="Times New Roman" w:hint="eastAsia"/>
                <w:sz w:val="21"/>
                <w:szCs w:val="21"/>
              </w:rPr>
              <w:t>+</w:t>
            </w:r>
            <w:r w:rsidR="00902E00" w:rsidRPr="00902E00">
              <w:rPr>
                <w:rFonts w:ascii="Times New Roman" w:hAnsi="Times New Roman" w:cs="Times New Roman" w:hint="eastAsia"/>
                <w:sz w:val="21"/>
                <w:szCs w:val="21"/>
              </w:rPr>
              <w:t>一级水洗”处理后经</w:t>
            </w:r>
            <w:r w:rsidR="00902E00" w:rsidRPr="00902E00">
              <w:rPr>
                <w:rFonts w:ascii="Times New Roman" w:hAnsi="Times New Roman" w:cs="Times New Roman" w:hint="eastAsia"/>
                <w:sz w:val="21"/>
                <w:szCs w:val="21"/>
              </w:rPr>
              <w:t>DA035</w:t>
            </w:r>
            <w:r w:rsidR="00902E00" w:rsidRPr="00902E00">
              <w:rPr>
                <w:rFonts w:ascii="Times New Roman" w:hAnsi="Times New Roman" w:cs="Times New Roman" w:hint="eastAsia"/>
                <w:sz w:val="21"/>
                <w:szCs w:val="21"/>
              </w:rPr>
              <w:t>排气筒排放</w:t>
            </w:r>
            <w:r w:rsidRPr="00D01CA1">
              <w:rPr>
                <w:rFonts w:ascii="Times New Roman" w:hAnsi="Times New Roman" w:cs="Times New Roman"/>
                <w:sz w:val="21"/>
                <w:szCs w:val="21"/>
              </w:rPr>
              <w:t>。</w:t>
            </w:r>
          </w:p>
        </w:tc>
        <w:tc>
          <w:tcPr>
            <w:tcW w:w="246" w:type="pct"/>
            <w:vAlign w:val="center"/>
          </w:tcPr>
          <w:p w:rsidR="00D01CA1" w:rsidRDefault="00D01CA1" w:rsidP="00D01CA1">
            <w:pPr>
              <w:pStyle w:val="afffffff2"/>
              <w:rPr>
                <w:rFonts w:cs="Times New Roman"/>
                <w:color w:val="000000" w:themeColor="text1"/>
                <w:kern w:val="0"/>
                <w:sz w:val="21"/>
                <w:szCs w:val="21"/>
              </w:rPr>
            </w:pPr>
            <w:r>
              <w:rPr>
                <w:rFonts w:cs="Times New Roman" w:hint="eastAsia"/>
                <w:color w:val="000000" w:themeColor="text1"/>
                <w:kern w:val="0"/>
                <w:sz w:val="21"/>
                <w:szCs w:val="21"/>
              </w:rPr>
              <w:t>符合</w:t>
            </w:r>
          </w:p>
        </w:tc>
      </w:tr>
      <w:tr w:rsidR="00D01CA1" w:rsidRPr="00AB41E0" w:rsidTr="00524AE1">
        <w:trPr>
          <w:trHeight w:val="730"/>
        </w:trPr>
        <w:tc>
          <w:tcPr>
            <w:tcW w:w="236" w:type="pct"/>
            <w:vAlign w:val="center"/>
          </w:tcPr>
          <w:p w:rsidR="00D01CA1" w:rsidRPr="00D01CA1" w:rsidRDefault="00D01CA1" w:rsidP="00D01CA1">
            <w:pPr>
              <w:pStyle w:val="afffffff2"/>
              <w:rPr>
                <w:rFonts w:ascii="Times New Roman" w:hAnsi="Times New Roman" w:cs="Times New Roman"/>
                <w:kern w:val="0"/>
                <w:sz w:val="21"/>
                <w:szCs w:val="21"/>
              </w:rPr>
            </w:pPr>
            <w:r w:rsidRPr="00D01CA1">
              <w:rPr>
                <w:rFonts w:ascii="Times New Roman" w:hAnsi="Times New Roman" w:cs="Times New Roman"/>
                <w:kern w:val="0"/>
                <w:sz w:val="21"/>
                <w:szCs w:val="21"/>
              </w:rPr>
              <w:t>5</w:t>
            </w:r>
          </w:p>
        </w:tc>
        <w:tc>
          <w:tcPr>
            <w:tcW w:w="681" w:type="pct"/>
            <w:vAlign w:val="center"/>
          </w:tcPr>
          <w:p w:rsidR="00D01CA1" w:rsidRPr="00D01CA1" w:rsidRDefault="00D01CA1" w:rsidP="00D01CA1">
            <w:pPr>
              <w:pStyle w:val="afffffff2"/>
              <w:rPr>
                <w:rFonts w:ascii="Times New Roman" w:hAnsi="Times New Roman" w:cs="Times New Roman"/>
                <w:sz w:val="21"/>
                <w:szCs w:val="21"/>
              </w:rPr>
            </w:pPr>
            <w:r w:rsidRPr="00D01CA1">
              <w:rPr>
                <w:rFonts w:ascii="Times New Roman" w:hAnsi="Times New Roman" w:cs="Times New Roman"/>
                <w:sz w:val="21"/>
                <w:szCs w:val="21"/>
              </w:rPr>
              <w:t>《安徽省挥发性有机物污染整治工作方案》</w:t>
            </w:r>
          </w:p>
        </w:tc>
        <w:tc>
          <w:tcPr>
            <w:tcW w:w="2060" w:type="pct"/>
            <w:gridSpan w:val="2"/>
            <w:vAlign w:val="center"/>
          </w:tcPr>
          <w:p w:rsidR="00D01CA1" w:rsidRPr="00D01CA1" w:rsidRDefault="00D01CA1" w:rsidP="00D01CA1">
            <w:pPr>
              <w:pStyle w:val="afffffff2"/>
              <w:rPr>
                <w:rFonts w:ascii="Times New Roman" w:hAnsi="Times New Roman" w:cs="Times New Roman"/>
                <w:sz w:val="21"/>
                <w:szCs w:val="21"/>
              </w:rPr>
            </w:pPr>
            <w:r w:rsidRPr="00D01CA1">
              <w:rPr>
                <w:rFonts w:ascii="Times New Roman" w:hAnsi="Times New Roman" w:cs="Times New Roman"/>
                <w:sz w:val="21"/>
                <w:szCs w:val="21"/>
              </w:rPr>
              <w:t>（</w:t>
            </w:r>
            <w:r w:rsidRPr="00D01CA1">
              <w:rPr>
                <w:rFonts w:ascii="Times New Roman" w:hAnsi="Times New Roman" w:cs="Times New Roman"/>
                <w:sz w:val="21"/>
                <w:szCs w:val="21"/>
              </w:rPr>
              <w:t>1</w:t>
            </w:r>
            <w:r w:rsidRPr="00D01CA1">
              <w:rPr>
                <w:rFonts w:ascii="Times New Roman" w:hAnsi="Times New Roman" w:cs="Times New Roman"/>
                <w:sz w:val="21"/>
                <w:szCs w:val="21"/>
              </w:rPr>
              <w:t>）加强设备与场所密闭管理。含</w:t>
            </w:r>
            <w:r w:rsidRPr="00D01CA1">
              <w:rPr>
                <w:rFonts w:ascii="Times New Roman" w:hAnsi="Times New Roman" w:cs="Times New Roman"/>
                <w:sz w:val="21"/>
                <w:szCs w:val="21"/>
              </w:rPr>
              <w:t xml:space="preserve">VOCs </w:t>
            </w:r>
            <w:r w:rsidRPr="00D01CA1">
              <w:rPr>
                <w:rFonts w:ascii="Times New Roman" w:hAnsi="Times New Roman" w:cs="Times New Roman"/>
                <w:sz w:val="21"/>
                <w:szCs w:val="21"/>
              </w:rPr>
              <w:t>物料应储存于密闭容器、包装袋，高效密封储罐，封闭式储库、料仓等。含</w:t>
            </w:r>
            <w:r w:rsidRPr="00D01CA1">
              <w:rPr>
                <w:rFonts w:ascii="Times New Roman" w:hAnsi="Times New Roman" w:cs="Times New Roman"/>
                <w:sz w:val="21"/>
                <w:szCs w:val="21"/>
              </w:rPr>
              <w:t xml:space="preserve">VOCs </w:t>
            </w:r>
            <w:r w:rsidRPr="00D01CA1">
              <w:rPr>
                <w:rFonts w:ascii="Times New Roman" w:hAnsi="Times New Roman" w:cs="Times New Roman"/>
                <w:sz w:val="21"/>
                <w:szCs w:val="21"/>
              </w:rPr>
              <w:t>物料转移和输送，应采用密闭管道或密闭容器、罐车等。高</w:t>
            </w:r>
            <w:r w:rsidRPr="00D01CA1">
              <w:rPr>
                <w:rFonts w:ascii="Times New Roman" w:hAnsi="Times New Roman" w:cs="Times New Roman"/>
                <w:sz w:val="21"/>
                <w:szCs w:val="21"/>
              </w:rPr>
              <w:t xml:space="preserve">VOCs </w:t>
            </w:r>
            <w:r w:rsidRPr="00D01CA1">
              <w:rPr>
                <w:rFonts w:ascii="Times New Roman" w:hAnsi="Times New Roman" w:cs="Times New Roman"/>
                <w:sz w:val="21"/>
                <w:szCs w:val="21"/>
              </w:rPr>
              <w:t>含量废水（废水液面上方</w:t>
            </w:r>
            <w:r w:rsidRPr="00D01CA1">
              <w:rPr>
                <w:rFonts w:ascii="Times New Roman" w:hAnsi="Times New Roman" w:cs="Times New Roman"/>
                <w:sz w:val="21"/>
                <w:szCs w:val="21"/>
              </w:rPr>
              <w:t>100</w:t>
            </w:r>
            <w:r w:rsidRPr="00D01CA1">
              <w:rPr>
                <w:rFonts w:ascii="Times New Roman" w:hAnsi="Times New Roman" w:cs="Times New Roman"/>
                <w:sz w:val="21"/>
                <w:szCs w:val="21"/>
              </w:rPr>
              <w:t>毫米处</w:t>
            </w:r>
            <w:r w:rsidRPr="00D01CA1">
              <w:rPr>
                <w:rFonts w:ascii="Times New Roman" w:hAnsi="Times New Roman" w:cs="Times New Roman"/>
                <w:sz w:val="21"/>
                <w:szCs w:val="21"/>
              </w:rPr>
              <w:t>VOCs</w:t>
            </w:r>
            <w:r w:rsidRPr="00D01CA1">
              <w:rPr>
                <w:rFonts w:ascii="Times New Roman" w:hAnsi="Times New Roman" w:cs="Times New Roman"/>
                <w:sz w:val="21"/>
                <w:szCs w:val="21"/>
              </w:rPr>
              <w:t>检测浓度超过</w:t>
            </w:r>
            <w:r w:rsidRPr="00D01CA1">
              <w:rPr>
                <w:rFonts w:ascii="Times New Roman" w:hAnsi="Times New Roman" w:cs="Times New Roman"/>
                <w:sz w:val="21"/>
                <w:szCs w:val="21"/>
              </w:rPr>
              <w:t>200ppm</w:t>
            </w:r>
            <w:r w:rsidRPr="00D01CA1">
              <w:rPr>
                <w:rFonts w:ascii="Times New Roman" w:hAnsi="Times New Roman" w:cs="Times New Roman"/>
                <w:sz w:val="21"/>
                <w:szCs w:val="21"/>
              </w:rPr>
              <w:t>，其中，重点区域超过</w:t>
            </w:r>
            <w:r w:rsidRPr="00D01CA1">
              <w:rPr>
                <w:rFonts w:ascii="Times New Roman" w:hAnsi="Times New Roman" w:cs="Times New Roman"/>
                <w:sz w:val="21"/>
                <w:szCs w:val="21"/>
              </w:rPr>
              <w:t>100ppm</w:t>
            </w:r>
            <w:r w:rsidRPr="00D01CA1">
              <w:rPr>
                <w:rFonts w:ascii="Times New Roman" w:hAnsi="Times New Roman" w:cs="Times New Roman"/>
                <w:sz w:val="21"/>
                <w:szCs w:val="21"/>
              </w:rPr>
              <w:t>，以碳</w:t>
            </w:r>
            <w:r w:rsidRPr="00D01CA1">
              <w:rPr>
                <w:rFonts w:ascii="Times New Roman" w:hAnsi="Times New Roman" w:cs="Times New Roman"/>
                <w:sz w:val="21"/>
                <w:szCs w:val="21"/>
              </w:rPr>
              <w:lastRenderedPageBreak/>
              <w:t>计）的集输、储存和处理过程，应加盖密闭。含</w:t>
            </w:r>
            <w:r w:rsidRPr="00D01CA1">
              <w:rPr>
                <w:rFonts w:ascii="Times New Roman" w:hAnsi="Times New Roman" w:cs="Times New Roman"/>
                <w:sz w:val="21"/>
                <w:szCs w:val="21"/>
              </w:rPr>
              <w:t xml:space="preserve">VOCs </w:t>
            </w:r>
            <w:r w:rsidRPr="00D01CA1">
              <w:rPr>
                <w:rFonts w:ascii="Times New Roman" w:hAnsi="Times New Roman" w:cs="Times New Roman"/>
                <w:sz w:val="21"/>
                <w:szCs w:val="21"/>
              </w:rPr>
              <w:t>物料生产和使用过程，应采取有效收集措施或在密闭空间中操作。</w:t>
            </w:r>
          </w:p>
          <w:p w:rsidR="00D01CA1" w:rsidRPr="00D01CA1" w:rsidRDefault="00D01CA1" w:rsidP="00D01CA1">
            <w:pPr>
              <w:pStyle w:val="afffffff2"/>
              <w:rPr>
                <w:rFonts w:ascii="Times New Roman" w:hAnsi="Times New Roman" w:cs="Times New Roman"/>
                <w:sz w:val="21"/>
                <w:szCs w:val="21"/>
              </w:rPr>
            </w:pPr>
            <w:r w:rsidRPr="00D01CA1">
              <w:rPr>
                <w:rFonts w:ascii="Times New Roman" w:hAnsi="Times New Roman" w:cs="Times New Roman"/>
                <w:sz w:val="21"/>
                <w:szCs w:val="21"/>
              </w:rPr>
              <w:t>（</w:t>
            </w:r>
            <w:r w:rsidRPr="00D01CA1">
              <w:rPr>
                <w:rFonts w:ascii="Times New Roman" w:hAnsi="Times New Roman" w:cs="Times New Roman"/>
                <w:sz w:val="21"/>
                <w:szCs w:val="21"/>
              </w:rPr>
              <w:t>2</w:t>
            </w:r>
            <w:r w:rsidRPr="00D01CA1">
              <w:rPr>
                <w:rFonts w:ascii="Times New Roman" w:hAnsi="Times New Roman" w:cs="Times New Roman"/>
                <w:sz w:val="21"/>
                <w:szCs w:val="21"/>
              </w:rPr>
              <w:t>）提高废气收集率。遵循</w:t>
            </w:r>
            <w:r w:rsidRPr="00D01CA1">
              <w:rPr>
                <w:rFonts w:ascii="Times New Roman" w:hAnsi="Times New Roman" w:cs="Times New Roman"/>
                <w:sz w:val="21"/>
                <w:szCs w:val="21"/>
              </w:rPr>
              <w:t>“</w:t>
            </w:r>
            <w:r w:rsidRPr="00D01CA1">
              <w:rPr>
                <w:rFonts w:ascii="Times New Roman" w:hAnsi="Times New Roman" w:cs="Times New Roman"/>
                <w:sz w:val="21"/>
                <w:szCs w:val="21"/>
              </w:rPr>
              <w:t>应收尽收、分质收集</w:t>
            </w:r>
            <w:r w:rsidRPr="00D01CA1">
              <w:rPr>
                <w:rFonts w:ascii="Times New Roman" w:hAnsi="Times New Roman" w:cs="Times New Roman"/>
                <w:sz w:val="21"/>
                <w:szCs w:val="21"/>
              </w:rPr>
              <w:t>”</w:t>
            </w:r>
            <w:r w:rsidRPr="00D01CA1">
              <w:rPr>
                <w:rFonts w:ascii="Times New Roman" w:hAnsi="Times New Roman" w:cs="Times New Roman"/>
                <w:sz w:val="21"/>
                <w:szCs w:val="21"/>
              </w:rPr>
              <w:t>的原则，科学设计废气收集系统，将无组织排放转变为有组织排放进行控制。</w:t>
            </w:r>
          </w:p>
          <w:p w:rsidR="00D01CA1" w:rsidRPr="00D01CA1" w:rsidRDefault="00D01CA1" w:rsidP="00D01CA1">
            <w:pPr>
              <w:pStyle w:val="afffffff2"/>
              <w:rPr>
                <w:rFonts w:ascii="Times New Roman" w:hAnsi="Times New Roman" w:cs="Times New Roman"/>
                <w:sz w:val="21"/>
                <w:szCs w:val="21"/>
              </w:rPr>
            </w:pPr>
            <w:r w:rsidRPr="00D01CA1">
              <w:rPr>
                <w:rFonts w:ascii="Times New Roman" w:hAnsi="Times New Roman" w:cs="Times New Roman"/>
                <w:sz w:val="21"/>
                <w:szCs w:val="21"/>
              </w:rPr>
              <w:t>（</w:t>
            </w:r>
            <w:r>
              <w:rPr>
                <w:rFonts w:ascii="Times New Roman" w:hAnsi="Times New Roman" w:cs="Times New Roman"/>
                <w:sz w:val="21"/>
                <w:szCs w:val="21"/>
              </w:rPr>
              <w:t>3</w:t>
            </w:r>
            <w:r w:rsidRPr="00D01CA1">
              <w:rPr>
                <w:rFonts w:ascii="Times New Roman" w:hAnsi="Times New Roman" w:cs="Times New Roman"/>
                <w:sz w:val="21"/>
                <w:szCs w:val="21"/>
              </w:rPr>
              <w:t>）化工行业</w:t>
            </w:r>
            <w:r w:rsidRPr="00D01CA1">
              <w:rPr>
                <w:rFonts w:ascii="Times New Roman" w:hAnsi="Times New Roman" w:cs="Times New Roman"/>
                <w:sz w:val="21"/>
                <w:szCs w:val="21"/>
              </w:rPr>
              <w:t xml:space="preserve">VOCs </w:t>
            </w:r>
            <w:r w:rsidRPr="00D01CA1">
              <w:rPr>
                <w:rFonts w:ascii="Times New Roman" w:hAnsi="Times New Roman" w:cs="Times New Roman"/>
                <w:sz w:val="21"/>
                <w:szCs w:val="21"/>
              </w:rPr>
              <w:t>综合治理。加强制药、农药、涂料、油墨、胶粘剂、橡胶和塑料制品等行业</w:t>
            </w:r>
            <w:r w:rsidRPr="00D01CA1">
              <w:rPr>
                <w:rFonts w:ascii="Times New Roman" w:hAnsi="Times New Roman" w:cs="Times New Roman"/>
                <w:sz w:val="21"/>
                <w:szCs w:val="21"/>
              </w:rPr>
              <w:t xml:space="preserve">VOCs </w:t>
            </w:r>
            <w:r w:rsidRPr="00D01CA1">
              <w:rPr>
                <w:rFonts w:ascii="Times New Roman" w:hAnsi="Times New Roman" w:cs="Times New Roman"/>
                <w:sz w:val="21"/>
                <w:szCs w:val="21"/>
              </w:rPr>
              <w:t>治理力度。重点提高涉</w:t>
            </w:r>
            <w:r w:rsidRPr="00D01CA1">
              <w:rPr>
                <w:rFonts w:ascii="Times New Roman" w:hAnsi="Times New Roman" w:cs="Times New Roman"/>
                <w:sz w:val="21"/>
                <w:szCs w:val="21"/>
              </w:rPr>
              <w:t xml:space="preserve">VOCs </w:t>
            </w:r>
            <w:r w:rsidRPr="00D01CA1">
              <w:rPr>
                <w:rFonts w:ascii="Times New Roman" w:hAnsi="Times New Roman" w:cs="Times New Roman"/>
                <w:sz w:val="21"/>
                <w:szCs w:val="21"/>
              </w:rPr>
              <w:t>排放主要工序密闭化水平，加强无组织排放收集，加大含</w:t>
            </w:r>
            <w:r w:rsidRPr="00D01CA1">
              <w:rPr>
                <w:rFonts w:ascii="Times New Roman" w:hAnsi="Times New Roman" w:cs="Times New Roman"/>
                <w:sz w:val="21"/>
                <w:szCs w:val="21"/>
              </w:rPr>
              <w:t xml:space="preserve">VOCs </w:t>
            </w:r>
            <w:r w:rsidRPr="00D01CA1">
              <w:rPr>
                <w:rFonts w:ascii="Times New Roman" w:hAnsi="Times New Roman" w:cs="Times New Roman"/>
                <w:sz w:val="21"/>
                <w:szCs w:val="21"/>
              </w:rPr>
              <w:t>物料储存和装卸治理力度。废水储存、曝气池及其之前废水处理设施应按要求加盖封闭，实施废气收集与处理。密封点大于等于</w:t>
            </w:r>
            <w:r w:rsidRPr="00D01CA1">
              <w:rPr>
                <w:rFonts w:ascii="Times New Roman" w:hAnsi="Times New Roman" w:cs="Times New Roman"/>
                <w:sz w:val="21"/>
                <w:szCs w:val="21"/>
              </w:rPr>
              <w:t xml:space="preserve">2000 </w:t>
            </w:r>
            <w:r w:rsidRPr="00D01CA1">
              <w:rPr>
                <w:rFonts w:ascii="Times New Roman" w:hAnsi="Times New Roman" w:cs="Times New Roman"/>
                <w:sz w:val="21"/>
                <w:szCs w:val="21"/>
              </w:rPr>
              <w:t>个的，要开展</w:t>
            </w:r>
            <w:r w:rsidRPr="00D01CA1">
              <w:rPr>
                <w:rFonts w:ascii="Times New Roman" w:hAnsi="Times New Roman" w:cs="Times New Roman"/>
                <w:sz w:val="21"/>
                <w:szCs w:val="21"/>
              </w:rPr>
              <w:t xml:space="preserve">LDAR </w:t>
            </w:r>
            <w:r w:rsidRPr="00D01CA1">
              <w:rPr>
                <w:rFonts w:ascii="Times New Roman" w:hAnsi="Times New Roman" w:cs="Times New Roman"/>
                <w:sz w:val="21"/>
                <w:szCs w:val="21"/>
              </w:rPr>
              <w:t>工作。</w:t>
            </w:r>
          </w:p>
        </w:tc>
        <w:tc>
          <w:tcPr>
            <w:tcW w:w="1777" w:type="pct"/>
            <w:vAlign w:val="center"/>
          </w:tcPr>
          <w:p w:rsidR="00D01CA1" w:rsidRDefault="00D01CA1" w:rsidP="00D01CA1">
            <w:pPr>
              <w:pStyle w:val="afffffff2"/>
              <w:rPr>
                <w:rFonts w:ascii="Times New Roman" w:hAnsi="Times New Roman" w:cs="Times New Roman"/>
                <w:sz w:val="21"/>
                <w:szCs w:val="21"/>
              </w:rPr>
            </w:pPr>
            <w:r w:rsidRPr="00D01CA1">
              <w:rPr>
                <w:rFonts w:ascii="Times New Roman" w:hAnsi="Times New Roman" w:cs="Times New Roman"/>
                <w:sz w:val="21"/>
                <w:szCs w:val="21"/>
              </w:rPr>
              <w:lastRenderedPageBreak/>
              <w:t>（</w:t>
            </w:r>
            <w:r w:rsidRPr="00D01CA1">
              <w:rPr>
                <w:rFonts w:ascii="Times New Roman" w:hAnsi="Times New Roman" w:cs="Times New Roman"/>
                <w:sz w:val="21"/>
                <w:szCs w:val="21"/>
              </w:rPr>
              <w:t>1</w:t>
            </w:r>
            <w:r w:rsidRPr="00D01CA1">
              <w:rPr>
                <w:rFonts w:ascii="Times New Roman" w:hAnsi="Times New Roman" w:cs="Times New Roman"/>
                <w:sz w:val="21"/>
                <w:szCs w:val="21"/>
              </w:rPr>
              <w:t>）项目含</w:t>
            </w:r>
            <w:r w:rsidRPr="00D01CA1">
              <w:rPr>
                <w:rFonts w:ascii="Times New Roman" w:hAnsi="Times New Roman" w:cs="Times New Roman"/>
                <w:sz w:val="21"/>
                <w:szCs w:val="21"/>
              </w:rPr>
              <w:t xml:space="preserve">VOCs </w:t>
            </w:r>
            <w:r w:rsidRPr="00D01CA1">
              <w:rPr>
                <w:rFonts w:ascii="Times New Roman" w:hAnsi="Times New Roman" w:cs="Times New Roman"/>
                <w:sz w:val="21"/>
                <w:szCs w:val="21"/>
              </w:rPr>
              <w:t>物料储存于密闭高效密封储罐</w:t>
            </w:r>
            <w:r w:rsidRPr="00D01CA1">
              <w:rPr>
                <w:rFonts w:ascii="Times New Roman" w:hAnsi="Times New Roman" w:cs="Times New Roman" w:hint="eastAsia"/>
                <w:sz w:val="21"/>
                <w:szCs w:val="21"/>
              </w:rPr>
              <w:t>以及密闭包装容器内</w:t>
            </w:r>
            <w:r w:rsidRPr="00D01CA1">
              <w:rPr>
                <w:rFonts w:ascii="Times New Roman" w:hAnsi="Times New Roman" w:cs="Times New Roman"/>
                <w:sz w:val="21"/>
                <w:szCs w:val="21"/>
              </w:rPr>
              <w:t>。含</w:t>
            </w:r>
            <w:r w:rsidRPr="00D01CA1">
              <w:rPr>
                <w:rFonts w:ascii="Times New Roman" w:hAnsi="Times New Roman" w:cs="Times New Roman"/>
                <w:sz w:val="21"/>
                <w:szCs w:val="21"/>
              </w:rPr>
              <w:t xml:space="preserve">VOCs </w:t>
            </w:r>
            <w:r w:rsidRPr="00D01CA1">
              <w:rPr>
                <w:rFonts w:ascii="Times New Roman" w:hAnsi="Times New Roman" w:cs="Times New Roman"/>
                <w:sz w:val="21"/>
                <w:szCs w:val="21"/>
              </w:rPr>
              <w:t>物料转移和输送，采用密闭管道。</w:t>
            </w:r>
          </w:p>
          <w:p w:rsidR="00D01CA1" w:rsidRPr="00D01CA1" w:rsidRDefault="00D01CA1" w:rsidP="00D01CA1">
            <w:pPr>
              <w:pStyle w:val="afffffff2"/>
              <w:rPr>
                <w:rFonts w:ascii="Times New Roman" w:hAnsi="Times New Roman" w:cs="Times New Roman"/>
                <w:sz w:val="21"/>
                <w:szCs w:val="21"/>
              </w:rPr>
            </w:pPr>
            <w:r w:rsidRPr="00D01CA1">
              <w:rPr>
                <w:rFonts w:ascii="Times New Roman" w:hAnsi="Times New Roman" w:cs="Times New Roman"/>
                <w:sz w:val="21"/>
                <w:szCs w:val="21"/>
              </w:rPr>
              <w:lastRenderedPageBreak/>
              <w:t>（</w:t>
            </w:r>
            <w:r w:rsidRPr="00D01CA1">
              <w:rPr>
                <w:rFonts w:ascii="Times New Roman" w:hAnsi="Times New Roman" w:cs="Times New Roman"/>
                <w:sz w:val="21"/>
                <w:szCs w:val="21"/>
              </w:rPr>
              <w:t>2</w:t>
            </w:r>
            <w:r w:rsidRPr="00D01CA1">
              <w:rPr>
                <w:rFonts w:ascii="Times New Roman" w:hAnsi="Times New Roman" w:cs="Times New Roman"/>
                <w:sz w:val="21"/>
                <w:szCs w:val="21"/>
              </w:rPr>
              <w:t>）项目按照</w:t>
            </w:r>
            <w:r w:rsidRPr="00D01CA1">
              <w:rPr>
                <w:rFonts w:ascii="Times New Roman" w:hAnsi="Times New Roman" w:cs="Times New Roman"/>
                <w:sz w:val="21"/>
                <w:szCs w:val="21"/>
              </w:rPr>
              <w:t>“</w:t>
            </w:r>
            <w:r w:rsidRPr="00D01CA1">
              <w:rPr>
                <w:rFonts w:ascii="Times New Roman" w:hAnsi="Times New Roman" w:cs="Times New Roman"/>
                <w:sz w:val="21"/>
                <w:szCs w:val="21"/>
              </w:rPr>
              <w:t>应收尽收、分质收集</w:t>
            </w:r>
            <w:r w:rsidRPr="00D01CA1">
              <w:rPr>
                <w:rFonts w:ascii="Times New Roman" w:hAnsi="Times New Roman" w:cs="Times New Roman"/>
                <w:sz w:val="21"/>
                <w:szCs w:val="21"/>
              </w:rPr>
              <w:t>”</w:t>
            </w:r>
            <w:r w:rsidRPr="00D01CA1">
              <w:rPr>
                <w:rFonts w:ascii="Times New Roman" w:hAnsi="Times New Roman" w:cs="Times New Roman"/>
                <w:sz w:val="21"/>
                <w:szCs w:val="21"/>
              </w:rPr>
              <w:t>的原则，罐区</w:t>
            </w:r>
            <w:r w:rsidRPr="00D01CA1">
              <w:rPr>
                <w:rFonts w:ascii="Times New Roman" w:hAnsi="Times New Roman" w:cs="Times New Roman" w:hint="eastAsia"/>
                <w:sz w:val="21"/>
                <w:szCs w:val="21"/>
              </w:rPr>
              <w:t>储罐呼吸气</w:t>
            </w:r>
            <w:r w:rsidRPr="00D01CA1">
              <w:rPr>
                <w:rFonts w:ascii="Times New Roman" w:hAnsi="Times New Roman" w:cs="Times New Roman"/>
                <w:sz w:val="21"/>
                <w:szCs w:val="21"/>
              </w:rPr>
              <w:t>、污水处理站</w:t>
            </w:r>
            <w:r w:rsidRPr="00D01CA1">
              <w:rPr>
                <w:rFonts w:ascii="Times New Roman" w:hAnsi="Times New Roman" w:cs="Times New Roman" w:hint="eastAsia"/>
                <w:sz w:val="21"/>
                <w:szCs w:val="21"/>
              </w:rPr>
              <w:t>废气均采用</w:t>
            </w:r>
            <w:r w:rsidRPr="00D01CA1">
              <w:rPr>
                <w:rFonts w:ascii="Times New Roman" w:hAnsi="Times New Roman" w:cs="Times New Roman"/>
                <w:sz w:val="21"/>
                <w:szCs w:val="21"/>
              </w:rPr>
              <w:t>有组织排放进行控制。</w:t>
            </w:r>
          </w:p>
          <w:p w:rsidR="00D01CA1" w:rsidRPr="00D01CA1" w:rsidRDefault="00D01CA1" w:rsidP="00D01CA1">
            <w:pPr>
              <w:pStyle w:val="afffffff2"/>
              <w:rPr>
                <w:rFonts w:ascii="Times New Roman" w:hAnsi="Times New Roman" w:cs="Times New Roman"/>
                <w:sz w:val="21"/>
                <w:szCs w:val="21"/>
              </w:rPr>
            </w:pPr>
            <w:r w:rsidRPr="00D01CA1">
              <w:rPr>
                <w:rFonts w:ascii="Times New Roman" w:hAnsi="Times New Roman" w:cs="Times New Roman"/>
                <w:sz w:val="21"/>
                <w:szCs w:val="21"/>
              </w:rPr>
              <w:t>（</w:t>
            </w:r>
            <w:r w:rsidRPr="00D01CA1">
              <w:rPr>
                <w:rFonts w:ascii="Times New Roman" w:hAnsi="Times New Roman" w:cs="Times New Roman"/>
                <w:sz w:val="21"/>
                <w:szCs w:val="21"/>
              </w:rPr>
              <w:t>3</w:t>
            </w:r>
            <w:r w:rsidRPr="00D01CA1">
              <w:rPr>
                <w:rFonts w:ascii="Times New Roman" w:hAnsi="Times New Roman" w:cs="Times New Roman"/>
                <w:sz w:val="21"/>
                <w:szCs w:val="21"/>
              </w:rPr>
              <w:t>）项目在设计过程中，充分考虑了涉</w:t>
            </w:r>
            <w:r w:rsidRPr="00D01CA1">
              <w:rPr>
                <w:rFonts w:ascii="Times New Roman" w:hAnsi="Times New Roman" w:cs="Times New Roman"/>
                <w:sz w:val="21"/>
                <w:szCs w:val="21"/>
              </w:rPr>
              <w:t xml:space="preserve">VOCs </w:t>
            </w:r>
            <w:r w:rsidRPr="00D01CA1">
              <w:rPr>
                <w:rFonts w:ascii="Times New Roman" w:hAnsi="Times New Roman" w:cs="Times New Roman"/>
                <w:sz w:val="21"/>
                <w:szCs w:val="21"/>
              </w:rPr>
              <w:t>物料的储存、转运、投料、生产等各环节的无组织废气收集要求。在设计上合理布置生产布局，各工序中物料中转采用重力流，少量在封闭式管道中通过机械泵转移；其次，高位槽均进行了密闭，且高位槽</w:t>
            </w:r>
            <w:r w:rsidRPr="00D01CA1">
              <w:rPr>
                <w:rFonts w:ascii="Times New Roman" w:hAnsi="Times New Roman" w:cs="Times New Roman" w:hint="eastAsia"/>
                <w:sz w:val="21"/>
                <w:szCs w:val="21"/>
              </w:rPr>
              <w:t>呼吸</w:t>
            </w:r>
            <w:r w:rsidRPr="00D01CA1">
              <w:rPr>
                <w:rFonts w:ascii="Times New Roman" w:hAnsi="Times New Roman" w:cs="Times New Roman"/>
                <w:sz w:val="21"/>
                <w:szCs w:val="21"/>
              </w:rPr>
              <w:t>废气经收集送至尾气处理系统；此外，评价要求建设单位对泵、压缩机、阀门、法兰等易发生泄漏的设备与管线组件，制定泄漏检测与修复（</w:t>
            </w:r>
            <w:r w:rsidRPr="00D01CA1">
              <w:rPr>
                <w:rFonts w:ascii="Times New Roman" w:hAnsi="Times New Roman" w:cs="Times New Roman"/>
                <w:sz w:val="21"/>
                <w:szCs w:val="21"/>
              </w:rPr>
              <w:t>LDAR</w:t>
            </w:r>
            <w:r w:rsidRPr="00D01CA1">
              <w:rPr>
                <w:rFonts w:ascii="Times New Roman" w:hAnsi="Times New Roman" w:cs="Times New Roman"/>
                <w:sz w:val="21"/>
                <w:szCs w:val="21"/>
              </w:rPr>
              <w:t>）计划，定期检测、及时修复，防止或减少跑、冒、滴、漏现象。</w:t>
            </w:r>
          </w:p>
        </w:tc>
        <w:tc>
          <w:tcPr>
            <w:tcW w:w="246" w:type="pct"/>
            <w:vAlign w:val="center"/>
          </w:tcPr>
          <w:p w:rsidR="00D01CA1" w:rsidRDefault="00D01CA1" w:rsidP="00D01CA1">
            <w:pPr>
              <w:pStyle w:val="afffffff2"/>
              <w:rPr>
                <w:rFonts w:cs="Times New Roman"/>
                <w:color w:val="000000" w:themeColor="text1"/>
                <w:kern w:val="0"/>
                <w:sz w:val="21"/>
                <w:szCs w:val="21"/>
              </w:rPr>
            </w:pPr>
            <w:r>
              <w:rPr>
                <w:rFonts w:cs="Times New Roman" w:hint="eastAsia"/>
                <w:color w:val="000000" w:themeColor="text1"/>
                <w:kern w:val="0"/>
                <w:sz w:val="21"/>
                <w:szCs w:val="21"/>
              </w:rPr>
              <w:lastRenderedPageBreak/>
              <w:t>符合</w:t>
            </w:r>
          </w:p>
        </w:tc>
      </w:tr>
      <w:tr w:rsidR="004E3021" w:rsidRPr="00AB41E0" w:rsidTr="00524AE1">
        <w:tc>
          <w:tcPr>
            <w:tcW w:w="236" w:type="pct"/>
            <w:vMerge w:val="restart"/>
            <w:vAlign w:val="center"/>
          </w:tcPr>
          <w:p w:rsidR="004E3021" w:rsidRPr="00AB41E0" w:rsidRDefault="00D01CA1" w:rsidP="00AB41E0">
            <w:pPr>
              <w:pStyle w:val="afffffff2"/>
              <w:rPr>
                <w:rFonts w:ascii="Times New Roman" w:hAnsi="Times New Roman" w:cs="Times New Roman"/>
                <w:kern w:val="0"/>
                <w:sz w:val="21"/>
                <w:szCs w:val="21"/>
              </w:rPr>
            </w:pPr>
            <w:r>
              <w:rPr>
                <w:rFonts w:ascii="Times New Roman" w:hAnsi="Times New Roman" w:cs="Times New Roman"/>
                <w:kern w:val="0"/>
                <w:sz w:val="21"/>
                <w:szCs w:val="21"/>
              </w:rPr>
              <w:t>6</w:t>
            </w:r>
          </w:p>
        </w:tc>
        <w:tc>
          <w:tcPr>
            <w:tcW w:w="681" w:type="pct"/>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《关于进一步规范化工项目建设管理的通知》皖经信原材料函〔</w:t>
            </w:r>
            <w:r w:rsidRPr="00AB41E0">
              <w:rPr>
                <w:rFonts w:ascii="Times New Roman" w:hAnsi="Times New Roman" w:cs="Times New Roman"/>
                <w:kern w:val="0"/>
                <w:sz w:val="21"/>
                <w:szCs w:val="21"/>
              </w:rPr>
              <w:t>2022</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73</w:t>
            </w:r>
            <w:r w:rsidRPr="00AB41E0">
              <w:rPr>
                <w:rFonts w:ascii="Times New Roman" w:hAnsi="Times New Roman" w:cs="Times New Roman"/>
                <w:kern w:val="0"/>
                <w:sz w:val="21"/>
                <w:szCs w:val="21"/>
              </w:rPr>
              <w:t>号</w:t>
            </w: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严格政策规划约束。严格执行国家产业政策，禁止新建产业结构调整指导目录限制类和淘汰类项目。</w:t>
            </w:r>
          </w:p>
        </w:tc>
        <w:tc>
          <w:tcPr>
            <w:tcW w:w="1777" w:type="pct"/>
            <w:vAlign w:val="center"/>
          </w:tcPr>
          <w:p w:rsidR="004E3021" w:rsidRPr="00AB41E0" w:rsidRDefault="00606E48" w:rsidP="00AB41E0">
            <w:pPr>
              <w:pStyle w:val="afffffff2"/>
              <w:rPr>
                <w:rFonts w:ascii="Times New Roman" w:hAnsi="Times New Roman" w:cs="Times New Roman"/>
                <w:bCs/>
                <w:kern w:val="0"/>
                <w:sz w:val="21"/>
                <w:szCs w:val="21"/>
              </w:rPr>
            </w:pPr>
            <w:r w:rsidRPr="00AB41E0">
              <w:rPr>
                <w:rFonts w:ascii="Times New Roman" w:hAnsi="Times New Roman" w:cs="Times New Roman"/>
                <w:kern w:val="0"/>
                <w:sz w:val="21"/>
                <w:szCs w:val="21"/>
              </w:rPr>
              <w:t>对照《产业结构调整指导目录》（</w:t>
            </w:r>
            <w:r w:rsidRPr="00AB41E0">
              <w:rPr>
                <w:rFonts w:ascii="Times New Roman" w:hAnsi="Times New Roman" w:cs="Times New Roman"/>
                <w:kern w:val="0"/>
                <w:sz w:val="21"/>
                <w:szCs w:val="21"/>
              </w:rPr>
              <w:t>2024</w:t>
            </w:r>
            <w:r w:rsidRPr="00AB41E0">
              <w:rPr>
                <w:rFonts w:ascii="Times New Roman" w:hAnsi="Times New Roman" w:cs="Times New Roman"/>
                <w:kern w:val="0"/>
                <w:sz w:val="21"/>
                <w:szCs w:val="21"/>
              </w:rPr>
              <w:t>本），本项目不属于其中的限制和淘汰类项目。</w:t>
            </w:r>
          </w:p>
        </w:tc>
        <w:tc>
          <w:tcPr>
            <w:tcW w:w="246" w:type="pct"/>
            <w:vAlign w:val="center"/>
          </w:tcPr>
          <w:p w:rsidR="004E3021" w:rsidRPr="00AB41E0" w:rsidRDefault="00606E48" w:rsidP="00AB41E0">
            <w:pPr>
              <w:pStyle w:val="afffffff2"/>
              <w:rPr>
                <w:rFonts w:ascii="Times New Roman" w:hAnsi="Times New Roman" w:cs="Times New Roman"/>
                <w:color w:val="000000" w:themeColor="text1"/>
                <w:kern w:val="0"/>
                <w:sz w:val="21"/>
                <w:szCs w:val="21"/>
              </w:rPr>
            </w:pPr>
            <w:r w:rsidRPr="00AB41E0">
              <w:rPr>
                <w:rFonts w:ascii="Times New Roman" w:hAnsi="Times New Roman" w:cs="Times New Roman"/>
                <w:color w:val="000000" w:themeColor="text1"/>
                <w:kern w:val="0"/>
                <w:sz w:val="21"/>
                <w:szCs w:val="21"/>
              </w:rPr>
              <w:t>符合</w:t>
            </w:r>
          </w:p>
        </w:tc>
      </w:tr>
      <w:tr w:rsidR="004E3021" w:rsidRPr="00AB41E0" w:rsidTr="00524AE1">
        <w:tc>
          <w:tcPr>
            <w:tcW w:w="236"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81"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严守规划分区管控。在生态保护红线、永久基本农田和生态空间、农业空间内禁止新（改、扩）建化工项目</w:t>
            </w:r>
          </w:p>
        </w:tc>
        <w:tc>
          <w:tcPr>
            <w:tcW w:w="177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本项目位于已经规划的蚌埠精细化工高新技术产业基地内，不在生态保护红线、永久基本农田和生态空间、农业空间内。</w:t>
            </w:r>
          </w:p>
        </w:tc>
        <w:tc>
          <w:tcPr>
            <w:tcW w:w="246" w:type="pct"/>
            <w:vAlign w:val="center"/>
          </w:tcPr>
          <w:p w:rsidR="004E3021" w:rsidRPr="00AB41E0" w:rsidRDefault="00606E48" w:rsidP="00AB41E0">
            <w:pPr>
              <w:pStyle w:val="afffffff2"/>
              <w:rPr>
                <w:rFonts w:ascii="Times New Roman" w:hAnsi="Times New Roman" w:cs="Times New Roman"/>
                <w:color w:val="000000" w:themeColor="text1"/>
                <w:kern w:val="0"/>
                <w:sz w:val="21"/>
                <w:szCs w:val="21"/>
              </w:rPr>
            </w:pPr>
            <w:r w:rsidRPr="00AB41E0">
              <w:rPr>
                <w:rFonts w:ascii="Times New Roman" w:hAnsi="Times New Roman" w:cs="Times New Roman"/>
                <w:color w:val="000000" w:themeColor="text1"/>
                <w:kern w:val="0"/>
                <w:sz w:val="21"/>
                <w:szCs w:val="21"/>
              </w:rPr>
              <w:t>符合</w:t>
            </w:r>
          </w:p>
        </w:tc>
      </w:tr>
      <w:tr w:rsidR="004E3021" w:rsidRPr="00AB41E0" w:rsidTr="00524AE1">
        <w:tc>
          <w:tcPr>
            <w:tcW w:w="236"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81"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严格项目投资准入，新建化工项目应当符合当地化工园区投资准入门槛。</w:t>
            </w:r>
          </w:p>
        </w:tc>
        <w:tc>
          <w:tcPr>
            <w:tcW w:w="177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w:t>
            </w:r>
            <w:r w:rsidR="00E85BEC">
              <w:rPr>
                <w:rFonts w:ascii="Times New Roman" w:hAnsi="Times New Roman" w:cs="Times New Roman" w:hint="eastAsia"/>
                <w:kern w:val="0"/>
                <w:sz w:val="21"/>
                <w:szCs w:val="21"/>
              </w:rPr>
              <w:t>为技改</w:t>
            </w:r>
            <w:r w:rsidR="00E85BEC">
              <w:rPr>
                <w:rFonts w:ascii="Times New Roman" w:hAnsi="Times New Roman" w:cs="Times New Roman" w:hint="eastAsia"/>
                <w:kern w:val="0"/>
                <w:sz w:val="21"/>
                <w:szCs w:val="21"/>
              </w:rPr>
              <w:t>/</w:t>
            </w:r>
            <w:r w:rsidR="00E85BEC">
              <w:rPr>
                <w:rFonts w:ascii="Times New Roman" w:hAnsi="Times New Roman" w:cs="Times New Roman" w:hint="eastAsia"/>
                <w:kern w:val="0"/>
                <w:sz w:val="21"/>
                <w:szCs w:val="21"/>
              </w:rPr>
              <w:t>扩建项目，不属于新建化工项目</w:t>
            </w:r>
            <w:r w:rsidRPr="00AB41E0">
              <w:rPr>
                <w:rFonts w:ascii="Times New Roman" w:hAnsi="Times New Roman" w:cs="Times New Roman"/>
                <w:kern w:val="0"/>
                <w:sz w:val="21"/>
                <w:szCs w:val="21"/>
              </w:rPr>
              <w:t>。</w:t>
            </w:r>
          </w:p>
        </w:tc>
        <w:tc>
          <w:tcPr>
            <w:tcW w:w="246" w:type="pct"/>
            <w:vAlign w:val="center"/>
          </w:tcPr>
          <w:p w:rsidR="004E3021" w:rsidRPr="00AB41E0" w:rsidRDefault="00606E48" w:rsidP="00AB41E0">
            <w:pPr>
              <w:pStyle w:val="afffffff2"/>
              <w:rPr>
                <w:rFonts w:ascii="Times New Roman" w:hAnsi="Times New Roman" w:cs="Times New Roman"/>
                <w:color w:val="000000" w:themeColor="text1"/>
                <w:kern w:val="0"/>
                <w:sz w:val="21"/>
                <w:szCs w:val="21"/>
              </w:rPr>
            </w:pPr>
            <w:r w:rsidRPr="00AB41E0">
              <w:rPr>
                <w:rFonts w:ascii="Times New Roman" w:hAnsi="Times New Roman" w:cs="Times New Roman"/>
                <w:color w:val="000000" w:themeColor="text1"/>
                <w:kern w:val="0"/>
                <w:sz w:val="21"/>
                <w:szCs w:val="21"/>
              </w:rPr>
              <w:t>符合</w:t>
            </w:r>
          </w:p>
        </w:tc>
      </w:tr>
      <w:tr w:rsidR="004E3021" w:rsidRPr="00AB41E0" w:rsidTr="00524AE1">
        <w:tc>
          <w:tcPr>
            <w:tcW w:w="236"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81"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严格执行危险化学品</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禁限控</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目录，新建危险化学品生产（含中间产品）项目，以爆炸性化学品、剧（高）毒化学品、液化烃类易燃易爆化学品为主要原料的化工生产项目，以及其他构成危险化学品重大危险源或依法应取得安全使用</w:t>
            </w:r>
            <w:r w:rsidRPr="00AB41E0">
              <w:rPr>
                <w:rFonts w:ascii="Times New Roman" w:hAnsi="Times New Roman" w:cs="Times New Roman"/>
                <w:kern w:val="0"/>
                <w:sz w:val="21"/>
                <w:szCs w:val="21"/>
              </w:rPr>
              <w:lastRenderedPageBreak/>
              <w:t>许可证的化工生产项目，必须进入一般或较低安全风险等级的化工园区（与其他行业生产装置配套建设的项目除外）。</w:t>
            </w:r>
          </w:p>
        </w:tc>
        <w:tc>
          <w:tcPr>
            <w:tcW w:w="177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lastRenderedPageBreak/>
              <w:t>本项目是以甲醇为主要原料的化工生产项目，位于</w:t>
            </w:r>
            <w:r w:rsidR="00E85BEC" w:rsidRPr="00AB41E0">
              <w:rPr>
                <w:rFonts w:ascii="Times New Roman" w:hAnsi="Times New Roman" w:cs="Times New Roman"/>
                <w:kern w:val="0"/>
                <w:sz w:val="21"/>
                <w:szCs w:val="21"/>
              </w:rPr>
              <w:t>蚌埠精细化工高新技术产业基地内</w:t>
            </w:r>
            <w:r w:rsidRPr="00AB41E0">
              <w:rPr>
                <w:rFonts w:ascii="Times New Roman" w:hAnsi="Times New Roman" w:cs="Times New Roman"/>
                <w:kern w:val="0"/>
                <w:sz w:val="21"/>
                <w:szCs w:val="21"/>
              </w:rPr>
              <w:t>，对照《关于公布全省化工园区安全风险等级的公告》（安徽省应</w:t>
            </w:r>
            <w:r w:rsidRPr="00AB41E0">
              <w:rPr>
                <w:rFonts w:ascii="Times New Roman" w:hAnsi="Times New Roman" w:cs="Times New Roman"/>
                <w:kern w:val="0"/>
                <w:sz w:val="21"/>
                <w:szCs w:val="21"/>
              </w:rPr>
              <w:lastRenderedPageBreak/>
              <w:t>急管理厅公告</w:t>
            </w:r>
            <w:r w:rsidRPr="00AB41E0">
              <w:rPr>
                <w:rFonts w:ascii="Times New Roman" w:hAnsi="Times New Roman" w:cs="Times New Roman"/>
                <w:kern w:val="0"/>
                <w:sz w:val="21"/>
                <w:szCs w:val="21"/>
              </w:rPr>
              <w:t xml:space="preserve"> 2021</w:t>
            </w:r>
            <w:r w:rsidRPr="00AB41E0">
              <w:rPr>
                <w:rFonts w:ascii="Times New Roman" w:hAnsi="Times New Roman" w:cs="Times New Roman"/>
                <w:kern w:val="0"/>
                <w:sz w:val="21"/>
                <w:szCs w:val="21"/>
              </w:rPr>
              <w:t>年</w:t>
            </w:r>
            <w:r w:rsidRPr="00AB41E0">
              <w:rPr>
                <w:rFonts w:ascii="Times New Roman" w:hAnsi="Times New Roman" w:cs="Times New Roman"/>
                <w:kern w:val="0"/>
                <w:sz w:val="21"/>
                <w:szCs w:val="21"/>
              </w:rPr>
              <w:t xml:space="preserve"> </w:t>
            </w:r>
            <w:r w:rsidRPr="00AB41E0">
              <w:rPr>
                <w:rFonts w:ascii="Times New Roman" w:hAnsi="Times New Roman" w:cs="Times New Roman"/>
                <w:kern w:val="0"/>
                <w:sz w:val="21"/>
                <w:szCs w:val="21"/>
              </w:rPr>
              <w:t>第</w:t>
            </w:r>
            <w:r w:rsidRPr="00AB41E0">
              <w:rPr>
                <w:rFonts w:ascii="Times New Roman" w:hAnsi="Times New Roman" w:cs="Times New Roman"/>
                <w:kern w:val="0"/>
                <w:sz w:val="21"/>
                <w:szCs w:val="21"/>
              </w:rPr>
              <w:t>4</w:t>
            </w:r>
            <w:r w:rsidRPr="00AB41E0">
              <w:rPr>
                <w:rFonts w:ascii="Times New Roman" w:hAnsi="Times New Roman" w:cs="Times New Roman"/>
                <w:kern w:val="0"/>
                <w:sz w:val="21"/>
                <w:szCs w:val="21"/>
              </w:rPr>
              <w:t>号）中蚌埠淮上化工园区安全风险等级为</w:t>
            </w:r>
            <w:r w:rsidRPr="00AB41E0">
              <w:rPr>
                <w:rFonts w:ascii="Times New Roman" w:hAnsi="Times New Roman" w:cs="Times New Roman"/>
                <w:kern w:val="0"/>
                <w:sz w:val="21"/>
                <w:szCs w:val="21"/>
              </w:rPr>
              <w:t>C</w:t>
            </w:r>
            <w:r w:rsidRPr="00AB41E0">
              <w:rPr>
                <w:rFonts w:ascii="Times New Roman" w:hAnsi="Times New Roman" w:cs="Times New Roman"/>
                <w:kern w:val="0"/>
                <w:sz w:val="21"/>
                <w:szCs w:val="21"/>
              </w:rPr>
              <w:t>级（一般安全风险等级）。</w:t>
            </w:r>
          </w:p>
        </w:tc>
        <w:tc>
          <w:tcPr>
            <w:tcW w:w="246" w:type="pct"/>
            <w:vAlign w:val="center"/>
          </w:tcPr>
          <w:p w:rsidR="004E3021" w:rsidRPr="00AB41E0" w:rsidRDefault="00606E48" w:rsidP="00AB41E0">
            <w:pPr>
              <w:pStyle w:val="afffffff2"/>
              <w:rPr>
                <w:rFonts w:ascii="Times New Roman" w:hAnsi="Times New Roman" w:cs="Times New Roman"/>
                <w:color w:val="000000" w:themeColor="text1"/>
                <w:kern w:val="0"/>
                <w:sz w:val="21"/>
                <w:szCs w:val="21"/>
              </w:rPr>
            </w:pPr>
            <w:r w:rsidRPr="00AB41E0">
              <w:rPr>
                <w:rFonts w:ascii="Times New Roman" w:hAnsi="Times New Roman" w:cs="Times New Roman"/>
                <w:color w:val="000000" w:themeColor="text1"/>
                <w:kern w:val="0"/>
                <w:sz w:val="21"/>
                <w:szCs w:val="21"/>
              </w:rPr>
              <w:lastRenderedPageBreak/>
              <w:t>符合</w:t>
            </w:r>
          </w:p>
        </w:tc>
      </w:tr>
      <w:tr w:rsidR="004E3021" w:rsidRPr="00AB41E0" w:rsidTr="00524AE1">
        <w:tc>
          <w:tcPr>
            <w:tcW w:w="236"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81"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严格生态环境准入。新（改、扩）建化工项目应与</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三线一单</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（生态保护红线、环境质量底线、资源利用上线和生态环境准入清单）相协调，并符合国土空间规划及规划环评的要求。</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按有关规定设置合理的环境防护距离，环境防护距离内不得有居民区、学校医院等环境敏感目标。</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新（改、扩）建化工项目污染物排放执行相应行业特别排放限值，采取有效措施控制特征污染物的逸散和排放，无组织排放应达到相应标准。</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严禁生产废水直接外排，产生的生化污泥或盐泥等固体废物要按照废物属性分类收集、贮存和处理，蒸发塘、晾晒池、氧化塘、暂存池等要严格按照相关标准进行建设。</w:t>
            </w:r>
          </w:p>
        </w:tc>
        <w:tc>
          <w:tcPr>
            <w:tcW w:w="177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bCs/>
                <w:kern w:val="0"/>
                <w:sz w:val="21"/>
                <w:szCs w:val="21"/>
              </w:rPr>
              <w:t>本项目</w:t>
            </w:r>
            <w:r w:rsidR="00E222A5">
              <w:rPr>
                <w:rFonts w:ascii="Times New Roman" w:hAnsi="Times New Roman" w:cs="Times New Roman" w:hint="eastAsia"/>
                <w:bCs/>
                <w:kern w:val="0"/>
                <w:sz w:val="21"/>
                <w:szCs w:val="21"/>
              </w:rPr>
              <w:t>与</w:t>
            </w:r>
            <w:r w:rsidRPr="00AB41E0">
              <w:rPr>
                <w:rFonts w:ascii="Times New Roman" w:hAnsi="Times New Roman" w:cs="Times New Roman"/>
                <w:bCs/>
                <w:kern w:val="0"/>
                <w:sz w:val="21"/>
                <w:szCs w:val="21"/>
              </w:rPr>
              <w:t>“</w:t>
            </w:r>
            <w:r w:rsidRPr="00AB41E0">
              <w:rPr>
                <w:rFonts w:ascii="Times New Roman" w:hAnsi="Times New Roman" w:cs="Times New Roman"/>
                <w:bCs/>
                <w:kern w:val="0"/>
                <w:sz w:val="21"/>
                <w:szCs w:val="21"/>
              </w:rPr>
              <w:t>三线一单</w:t>
            </w:r>
            <w:r w:rsidRPr="00AB41E0">
              <w:rPr>
                <w:rFonts w:ascii="Times New Roman" w:hAnsi="Times New Roman" w:cs="Times New Roman"/>
                <w:bCs/>
                <w:kern w:val="0"/>
                <w:sz w:val="21"/>
                <w:szCs w:val="21"/>
              </w:rPr>
              <w:t>”</w:t>
            </w:r>
            <w:r w:rsidRPr="00AB41E0">
              <w:rPr>
                <w:rFonts w:ascii="Times New Roman" w:hAnsi="Times New Roman" w:cs="Times New Roman"/>
                <w:bCs/>
                <w:kern w:val="0"/>
                <w:sz w:val="21"/>
                <w:szCs w:val="21"/>
              </w:rPr>
              <w:t>（</w:t>
            </w:r>
            <w:r w:rsidRPr="00AB41E0">
              <w:rPr>
                <w:rFonts w:ascii="Times New Roman" w:hAnsi="Times New Roman" w:cs="Times New Roman"/>
                <w:kern w:val="0"/>
                <w:sz w:val="21"/>
                <w:szCs w:val="21"/>
              </w:rPr>
              <w:t>生态保护红线、环境质量底线、资源利用上线和生态环境准入清单）相协调，并符合园区产业定位、园区规划及规划环评的要求。</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本项目环境防护距离为</w:t>
            </w:r>
            <w:r w:rsidRPr="00AB41E0">
              <w:rPr>
                <w:rFonts w:ascii="Times New Roman" w:hAnsi="Times New Roman" w:cs="Times New Roman"/>
                <w:kern w:val="0"/>
                <w:sz w:val="21"/>
                <w:szCs w:val="21"/>
              </w:rPr>
              <w:t>500m</w:t>
            </w:r>
            <w:r w:rsidRPr="00AB41E0">
              <w:rPr>
                <w:rFonts w:ascii="Times New Roman" w:hAnsi="Times New Roman" w:cs="Times New Roman"/>
                <w:kern w:val="0"/>
                <w:sz w:val="21"/>
                <w:szCs w:val="21"/>
              </w:rPr>
              <w:t>，目前在此范围内没有居民点以及学校、医院等敏感目标，今后该防护距离范围内也不得新建居民、学校、医院等环境敏感目标。</w:t>
            </w:r>
          </w:p>
          <w:p w:rsidR="004E3021" w:rsidRPr="00AB41E0" w:rsidRDefault="00E222A5" w:rsidP="00AB41E0">
            <w:pPr>
              <w:pStyle w:val="afffffff2"/>
              <w:rPr>
                <w:rFonts w:ascii="Times New Roman" w:hAnsi="Times New Roman" w:cs="Times New Roman"/>
                <w:kern w:val="0"/>
                <w:sz w:val="21"/>
                <w:szCs w:val="21"/>
              </w:rPr>
            </w:pPr>
            <w:r w:rsidRPr="00E222A5">
              <w:rPr>
                <w:rFonts w:ascii="Times New Roman" w:hAnsi="Times New Roman" w:cs="Times New Roman"/>
                <w:kern w:val="0"/>
                <w:sz w:val="21"/>
                <w:szCs w:val="21"/>
              </w:rPr>
              <w:t>本项目</w:t>
            </w:r>
            <w:r w:rsidRPr="00E222A5">
              <w:rPr>
                <w:rFonts w:ascii="Times New Roman" w:hAnsi="Times New Roman" w:cs="Times New Roman" w:hint="eastAsia"/>
                <w:kern w:val="0"/>
                <w:sz w:val="21"/>
                <w:szCs w:val="21"/>
              </w:rPr>
              <w:t>硅溶胶生产吸收</w:t>
            </w:r>
            <w:r w:rsidRPr="00E222A5">
              <w:rPr>
                <w:rFonts w:ascii="Times New Roman" w:hAnsi="Times New Roman" w:cs="Times New Roman"/>
                <w:kern w:val="0"/>
                <w:sz w:val="21"/>
                <w:szCs w:val="21"/>
              </w:rPr>
              <w:t>尾气</w:t>
            </w:r>
            <w:r w:rsidRPr="00E222A5">
              <w:rPr>
                <w:rFonts w:ascii="Times New Roman" w:hAnsi="Times New Roman" w:cs="Times New Roman" w:hint="eastAsia"/>
                <w:kern w:val="0"/>
                <w:sz w:val="21"/>
                <w:szCs w:val="21"/>
              </w:rPr>
              <w:t>中</w:t>
            </w:r>
            <w:r w:rsidRPr="00E222A5">
              <w:rPr>
                <w:rFonts w:ascii="Times New Roman" w:hAnsi="Times New Roman" w:cs="Times New Roman"/>
                <w:kern w:val="0"/>
                <w:sz w:val="21"/>
                <w:szCs w:val="21"/>
              </w:rPr>
              <w:t>氨排放</w:t>
            </w:r>
            <w:r w:rsidRPr="00E222A5">
              <w:rPr>
                <w:rFonts w:ascii="Times New Roman" w:hAnsi="Times New Roman" w:cs="Times New Roman" w:hint="eastAsia"/>
                <w:kern w:val="0"/>
                <w:sz w:val="21"/>
                <w:szCs w:val="21"/>
              </w:rPr>
              <w:t>执行《无机化学</w:t>
            </w:r>
            <w:r w:rsidRPr="00E222A5">
              <w:rPr>
                <w:rFonts w:ascii="Times New Roman" w:hAnsi="Times New Roman" w:cs="Times New Roman"/>
                <w:kern w:val="0"/>
                <w:sz w:val="21"/>
                <w:szCs w:val="21"/>
              </w:rPr>
              <w:t>工业</w:t>
            </w:r>
            <w:r w:rsidRPr="00E222A5">
              <w:rPr>
                <w:rFonts w:ascii="Times New Roman" w:hAnsi="Times New Roman" w:cs="Times New Roman" w:hint="eastAsia"/>
                <w:kern w:val="0"/>
                <w:sz w:val="21"/>
                <w:szCs w:val="21"/>
              </w:rPr>
              <w:t>污染物</w:t>
            </w:r>
            <w:r w:rsidRPr="00E222A5">
              <w:rPr>
                <w:rFonts w:ascii="Times New Roman" w:hAnsi="Times New Roman" w:cs="Times New Roman"/>
                <w:kern w:val="0"/>
                <w:sz w:val="21"/>
                <w:szCs w:val="21"/>
              </w:rPr>
              <w:t>排放</w:t>
            </w:r>
            <w:r w:rsidRPr="00E222A5">
              <w:rPr>
                <w:rFonts w:ascii="Times New Roman" w:hAnsi="Times New Roman" w:cs="Times New Roman" w:hint="eastAsia"/>
                <w:kern w:val="0"/>
                <w:sz w:val="21"/>
                <w:szCs w:val="21"/>
              </w:rPr>
              <w:t>标准》（</w:t>
            </w:r>
            <w:r w:rsidRPr="00E222A5">
              <w:rPr>
                <w:rFonts w:ascii="Times New Roman" w:hAnsi="Times New Roman" w:cs="Times New Roman" w:hint="eastAsia"/>
                <w:kern w:val="0"/>
                <w:sz w:val="21"/>
                <w:szCs w:val="21"/>
              </w:rPr>
              <w:t>G</w:t>
            </w:r>
            <w:r w:rsidRPr="00E222A5">
              <w:rPr>
                <w:rFonts w:ascii="Times New Roman" w:hAnsi="Times New Roman" w:cs="Times New Roman"/>
                <w:kern w:val="0"/>
                <w:sz w:val="21"/>
                <w:szCs w:val="21"/>
              </w:rPr>
              <w:t>B31573-2015</w:t>
            </w:r>
            <w:r w:rsidRPr="00E222A5">
              <w:rPr>
                <w:rFonts w:ascii="Times New Roman" w:hAnsi="Times New Roman" w:cs="Times New Roman" w:hint="eastAsia"/>
                <w:kern w:val="0"/>
                <w:sz w:val="21"/>
                <w:szCs w:val="21"/>
              </w:rPr>
              <w:t>）中表</w:t>
            </w:r>
            <w:r w:rsidRPr="00E222A5">
              <w:rPr>
                <w:rFonts w:ascii="Times New Roman" w:hAnsi="Times New Roman" w:cs="Times New Roman"/>
                <w:kern w:val="0"/>
                <w:sz w:val="21"/>
                <w:szCs w:val="21"/>
              </w:rPr>
              <w:t>4</w:t>
            </w:r>
            <w:r w:rsidRPr="00E222A5">
              <w:rPr>
                <w:rFonts w:ascii="Times New Roman" w:hAnsi="Times New Roman" w:cs="Times New Roman" w:hint="eastAsia"/>
                <w:kern w:val="0"/>
                <w:sz w:val="21"/>
                <w:szCs w:val="21"/>
              </w:rPr>
              <w:t>中大气污染物</w:t>
            </w:r>
            <w:r w:rsidRPr="00E222A5">
              <w:rPr>
                <w:rFonts w:ascii="Times New Roman" w:hAnsi="Times New Roman" w:cs="Times New Roman"/>
                <w:kern w:val="0"/>
                <w:sz w:val="21"/>
                <w:szCs w:val="21"/>
              </w:rPr>
              <w:t>特别</w:t>
            </w:r>
            <w:r w:rsidRPr="00E222A5">
              <w:rPr>
                <w:rFonts w:ascii="Times New Roman" w:hAnsi="Times New Roman" w:cs="Times New Roman" w:hint="eastAsia"/>
                <w:kern w:val="0"/>
                <w:sz w:val="21"/>
                <w:szCs w:val="21"/>
              </w:rPr>
              <w:t>排放限值；</w:t>
            </w:r>
            <w:r w:rsidRPr="00E222A5">
              <w:rPr>
                <w:rFonts w:ascii="Times New Roman" w:hAnsi="Times New Roman" w:cs="Times New Roman"/>
                <w:kern w:val="0"/>
                <w:sz w:val="21"/>
                <w:szCs w:val="21"/>
              </w:rPr>
              <w:t>甲醇排放执行</w:t>
            </w:r>
            <w:r w:rsidRPr="00E222A5">
              <w:rPr>
                <w:rFonts w:ascii="Times New Roman" w:hAnsi="Times New Roman" w:cs="Times New Roman" w:hint="eastAsia"/>
                <w:kern w:val="0"/>
                <w:sz w:val="21"/>
                <w:szCs w:val="21"/>
              </w:rPr>
              <w:t>《大气污染物综合排放标准》（</w:t>
            </w:r>
            <w:r w:rsidRPr="00E222A5">
              <w:rPr>
                <w:rFonts w:ascii="Times New Roman" w:hAnsi="Times New Roman" w:cs="Times New Roman" w:hint="eastAsia"/>
                <w:kern w:val="0"/>
                <w:sz w:val="21"/>
                <w:szCs w:val="21"/>
              </w:rPr>
              <w:t>G</w:t>
            </w:r>
            <w:r w:rsidRPr="00E222A5">
              <w:rPr>
                <w:rFonts w:ascii="Times New Roman" w:hAnsi="Times New Roman" w:cs="Times New Roman"/>
                <w:kern w:val="0"/>
                <w:sz w:val="21"/>
                <w:szCs w:val="21"/>
              </w:rPr>
              <w:t>B16297-1996</w:t>
            </w:r>
            <w:r w:rsidRPr="00E222A5">
              <w:rPr>
                <w:rFonts w:ascii="Times New Roman" w:hAnsi="Times New Roman" w:cs="Times New Roman" w:hint="eastAsia"/>
                <w:kern w:val="0"/>
                <w:sz w:val="21"/>
                <w:szCs w:val="21"/>
              </w:rPr>
              <w:t>）中表</w:t>
            </w:r>
            <w:r w:rsidRPr="00E222A5">
              <w:rPr>
                <w:rFonts w:ascii="Times New Roman" w:hAnsi="Times New Roman" w:cs="Times New Roman"/>
                <w:kern w:val="0"/>
                <w:sz w:val="21"/>
                <w:szCs w:val="21"/>
              </w:rPr>
              <w:t>2</w:t>
            </w:r>
            <w:r w:rsidRPr="00E222A5">
              <w:rPr>
                <w:rFonts w:ascii="Times New Roman" w:hAnsi="Times New Roman" w:cs="Times New Roman" w:hint="eastAsia"/>
                <w:kern w:val="0"/>
                <w:sz w:val="21"/>
                <w:szCs w:val="21"/>
              </w:rPr>
              <w:t>的</w:t>
            </w:r>
            <w:r w:rsidRPr="00E222A5">
              <w:rPr>
                <w:rFonts w:ascii="Times New Roman" w:hAnsi="Times New Roman" w:cs="Times New Roman"/>
                <w:kern w:val="0"/>
                <w:sz w:val="21"/>
                <w:szCs w:val="21"/>
              </w:rPr>
              <w:t>排放限值；</w:t>
            </w:r>
            <w:r w:rsidRPr="00E222A5">
              <w:rPr>
                <w:rFonts w:ascii="Times New Roman" w:hAnsi="Times New Roman" w:cs="Times New Roman" w:hint="eastAsia"/>
                <w:kern w:val="0"/>
                <w:sz w:val="21"/>
                <w:szCs w:val="21"/>
              </w:rPr>
              <w:t>硅块</w:t>
            </w:r>
            <w:r w:rsidRPr="00E222A5">
              <w:rPr>
                <w:rFonts w:ascii="Times New Roman" w:hAnsi="Times New Roman" w:cs="Times New Roman"/>
                <w:kern w:val="0"/>
                <w:sz w:val="21"/>
                <w:szCs w:val="21"/>
              </w:rPr>
              <w:t>破碎和推粉废气中</w:t>
            </w:r>
            <w:r w:rsidRPr="00E222A5">
              <w:rPr>
                <w:rFonts w:ascii="Times New Roman" w:hAnsi="Times New Roman" w:cs="Times New Roman" w:hint="eastAsia"/>
                <w:kern w:val="0"/>
                <w:sz w:val="21"/>
                <w:szCs w:val="21"/>
              </w:rPr>
              <w:t>颗粒物</w:t>
            </w:r>
            <w:r w:rsidRPr="00E222A5">
              <w:rPr>
                <w:rFonts w:ascii="Times New Roman" w:hAnsi="Times New Roman" w:cs="Times New Roman"/>
                <w:kern w:val="0"/>
                <w:sz w:val="21"/>
                <w:szCs w:val="21"/>
              </w:rPr>
              <w:t>排放执行</w:t>
            </w:r>
            <w:r w:rsidRPr="00E222A5">
              <w:rPr>
                <w:rFonts w:ascii="Times New Roman" w:hAnsi="Times New Roman" w:cs="Times New Roman" w:hint="eastAsia"/>
                <w:kern w:val="0"/>
                <w:sz w:val="21"/>
                <w:szCs w:val="21"/>
              </w:rPr>
              <w:t>《大气污染物综合排放标准》（</w:t>
            </w:r>
            <w:r w:rsidRPr="00E222A5">
              <w:rPr>
                <w:rFonts w:ascii="Times New Roman" w:hAnsi="Times New Roman" w:cs="Times New Roman" w:hint="eastAsia"/>
                <w:kern w:val="0"/>
                <w:sz w:val="21"/>
                <w:szCs w:val="21"/>
              </w:rPr>
              <w:t>G</w:t>
            </w:r>
            <w:r w:rsidRPr="00E222A5">
              <w:rPr>
                <w:rFonts w:ascii="Times New Roman" w:hAnsi="Times New Roman" w:cs="Times New Roman"/>
                <w:kern w:val="0"/>
                <w:sz w:val="21"/>
                <w:szCs w:val="21"/>
              </w:rPr>
              <w:t>B16297-1996</w:t>
            </w:r>
            <w:r w:rsidRPr="00E222A5">
              <w:rPr>
                <w:rFonts w:ascii="Times New Roman" w:hAnsi="Times New Roman" w:cs="Times New Roman" w:hint="eastAsia"/>
                <w:kern w:val="0"/>
                <w:sz w:val="21"/>
                <w:szCs w:val="21"/>
              </w:rPr>
              <w:t>）中表</w:t>
            </w:r>
            <w:r w:rsidRPr="00E222A5">
              <w:rPr>
                <w:rFonts w:ascii="Times New Roman" w:hAnsi="Times New Roman" w:cs="Times New Roman" w:hint="eastAsia"/>
                <w:kern w:val="0"/>
                <w:sz w:val="21"/>
                <w:szCs w:val="21"/>
              </w:rPr>
              <w:t>2</w:t>
            </w:r>
            <w:r w:rsidRPr="00E222A5">
              <w:rPr>
                <w:rFonts w:ascii="Times New Roman" w:hAnsi="Times New Roman" w:cs="Times New Roman" w:hint="eastAsia"/>
                <w:kern w:val="0"/>
                <w:sz w:val="21"/>
                <w:szCs w:val="21"/>
              </w:rPr>
              <w:t>的排放限值要求；甲醇、</w:t>
            </w:r>
            <w:r w:rsidRPr="00E222A5">
              <w:rPr>
                <w:rFonts w:ascii="Times New Roman" w:hAnsi="Times New Roman" w:cs="Times New Roman" w:hint="eastAsia"/>
                <w:kern w:val="0"/>
                <w:sz w:val="21"/>
                <w:szCs w:val="21"/>
              </w:rPr>
              <w:t>VOCs</w:t>
            </w:r>
            <w:r w:rsidRPr="00E222A5">
              <w:rPr>
                <w:rFonts w:ascii="Times New Roman" w:hAnsi="Times New Roman" w:cs="Times New Roman" w:hint="eastAsia"/>
                <w:kern w:val="0"/>
                <w:sz w:val="21"/>
                <w:szCs w:val="21"/>
              </w:rPr>
              <w:t>有组织排放执行《固定源挥发性有机物综合排放标准》第</w:t>
            </w:r>
            <w:r w:rsidRPr="00E222A5">
              <w:rPr>
                <w:rFonts w:ascii="Times New Roman" w:hAnsi="Times New Roman" w:cs="Times New Roman" w:hint="eastAsia"/>
                <w:kern w:val="0"/>
                <w:sz w:val="21"/>
                <w:szCs w:val="21"/>
              </w:rPr>
              <w:t>3</w:t>
            </w:r>
            <w:r w:rsidRPr="00E222A5">
              <w:rPr>
                <w:rFonts w:ascii="Times New Roman" w:hAnsi="Times New Roman" w:cs="Times New Roman" w:hint="eastAsia"/>
                <w:kern w:val="0"/>
                <w:sz w:val="21"/>
                <w:szCs w:val="21"/>
              </w:rPr>
              <w:t>部分：有机化学品制造工业（</w:t>
            </w:r>
            <w:r w:rsidRPr="00E222A5">
              <w:rPr>
                <w:rFonts w:ascii="Times New Roman" w:hAnsi="Times New Roman" w:cs="Times New Roman" w:hint="eastAsia"/>
                <w:kern w:val="0"/>
                <w:sz w:val="21"/>
                <w:szCs w:val="21"/>
              </w:rPr>
              <w:t>DB</w:t>
            </w:r>
            <w:r w:rsidRPr="00E222A5">
              <w:rPr>
                <w:rFonts w:ascii="Times New Roman" w:hAnsi="Times New Roman" w:cs="Times New Roman"/>
                <w:kern w:val="0"/>
                <w:sz w:val="21"/>
                <w:szCs w:val="21"/>
              </w:rPr>
              <w:t>34/4812.3-2024</w:t>
            </w:r>
            <w:r w:rsidRPr="00E222A5">
              <w:rPr>
                <w:rFonts w:ascii="Times New Roman" w:hAnsi="Times New Roman" w:cs="Times New Roman" w:hint="eastAsia"/>
                <w:kern w:val="0"/>
                <w:sz w:val="21"/>
                <w:szCs w:val="21"/>
              </w:rPr>
              <w:t>）；硫化氢无组织排放执行中《恶臭污染物排放标准》（</w:t>
            </w:r>
            <w:r w:rsidRPr="00E222A5">
              <w:rPr>
                <w:rFonts w:ascii="Times New Roman" w:hAnsi="Times New Roman" w:cs="Times New Roman"/>
                <w:kern w:val="0"/>
                <w:sz w:val="21"/>
                <w:szCs w:val="21"/>
              </w:rPr>
              <w:t>GB14554-93</w:t>
            </w:r>
            <w:r w:rsidRPr="00E222A5">
              <w:rPr>
                <w:rFonts w:ascii="Times New Roman" w:hAnsi="Times New Roman" w:cs="Times New Roman" w:hint="eastAsia"/>
                <w:kern w:val="0"/>
                <w:sz w:val="21"/>
                <w:szCs w:val="21"/>
              </w:rPr>
              <w:t>）表</w:t>
            </w:r>
            <w:r w:rsidRPr="00E222A5">
              <w:rPr>
                <w:rFonts w:ascii="Times New Roman" w:hAnsi="Times New Roman" w:cs="Times New Roman" w:hint="eastAsia"/>
                <w:kern w:val="0"/>
                <w:sz w:val="21"/>
                <w:szCs w:val="21"/>
              </w:rPr>
              <w:t>1</w:t>
            </w:r>
            <w:r w:rsidRPr="00E222A5">
              <w:rPr>
                <w:rFonts w:ascii="Times New Roman" w:hAnsi="Times New Roman" w:cs="Times New Roman" w:hint="eastAsia"/>
                <w:kern w:val="0"/>
                <w:sz w:val="21"/>
                <w:szCs w:val="21"/>
              </w:rPr>
              <w:t>中无组织排放二级浓度限值。</w:t>
            </w:r>
            <w:r w:rsidRPr="00E222A5">
              <w:rPr>
                <w:rFonts w:ascii="Times New Roman" w:hAnsi="Times New Roman" w:cs="Times New Roman" w:hint="eastAsia"/>
                <w:kern w:val="0"/>
                <w:sz w:val="21"/>
                <w:szCs w:val="21"/>
              </w:rPr>
              <w:t>VOCs</w:t>
            </w:r>
            <w:r w:rsidRPr="00E222A5">
              <w:rPr>
                <w:rFonts w:ascii="Times New Roman" w:hAnsi="Times New Roman" w:cs="Times New Roman" w:hint="eastAsia"/>
                <w:kern w:val="0"/>
                <w:sz w:val="21"/>
                <w:szCs w:val="21"/>
              </w:rPr>
              <w:t>无组织排放执行《固定源挥发性有机物综合排放标准》第</w:t>
            </w:r>
            <w:r w:rsidRPr="00E222A5">
              <w:rPr>
                <w:rFonts w:ascii="Times New Roman" w:hAnsi="Times New Roman" w:cs="Times New Roman" w:hint="eastAsia"/>
                <w:kern w:val="0"/>
                <w:sz w:val="21"/>
                <w:szCs w:val="21"/>
              </w:rPr>
              <w:t>3</w:t>
            </w:r>
            <w:r w:rsidRPr="00E222A5">
              <w:rPr>
                <w:rFonts w:ascii="Times New Roman" w:hAnsi="Times New Roman" w:cs="Times New Roman" w:hint="eastAsia"/>
                <w:kern w:val="0"/>
                <w:sz w:val="21"/>
                <w:szCs w:val="21"/>
              </w:rPr>
              <w:t>部分：有机化学品制造工业（</w:t>
            </w:r>
            <w:r w:rsidRPr="00E222A5">
              <w:rPr>
                <w:rFonts w:ascii="Times New Roman" w:hAnsi="Times New Roman" w:cs="Times New Roman" w:hint="eastAsia"/>
                <w:kern w:val="0"/>
                <w:sz w:val="21"/>
                <w:szCs w:val="21"/>
              </w:rPr>
              <w:t>DB</w:t>
            </w:r>
            <w:r w:rsidRPr="00E222A5">
              <w:rPr>
                <w:rFonts w:ascii="Times New Roman" w:hAnsi="Times New Roman" w:cs="Times New Roman"/>
                <w:kern w:val="0"/>
                <w:sz w:val="21"/>
                <w:szCs w:val="21"/>
              </w:rPr>
              <w:t>34/4812.3-2024</w:t>
            </w:r>
            <w:r w:rsidRPr="00E222A5">
              <w:rPr>
                <w:rFonts w:ascii="Times New Roman" w:hAnsi="Times New Roman" w:cs="Times New Roman" w:hint="eastAsia"/>
                <w:kern w:val="0"/>
                <w:sz w:val="21"/>
                <w:szCs w:val="21"/>
              </w:rPr>
              <w:t>）</w:t>
            </w:r>
            <w:r>
              <w:rPr>
                <w:rFonts w:ascii="Times New Roman" w:hAnsi="Times New Roman" w:cs="Times New Roman" w:hint="eastAsia"/>
                <w:kern w:val="0"/>
                <w:sz w:val="21"/>
                <w:szCs w:val="21"/>
              </w:rPr>
              <w:t>。</w:t>
            </w:r>
          </w:p>
          <w:p w:rsidR="004E3021" w:rsidRPr="00AB41E0" w:rsidRDefault="00606E48" w:rsidP="00E222A5">
            <w:pPr>
              <w:pStyle w:val="afffffff2"/>
              <w:rPr>
                <w:rFonts w:ascii="Times New Roman" w:hAnsi="Times New Roman" w:cs="Times New Roman"/>
                <w:bCs/>
                <w:kern w:val="0"/>
                <w:sz w:val="21"/>
                <w:szCs w:val="21"/>
              </w:rPr>
            </w:pPr>
            <w:r w:rsidRPr="00AB41E0">
              <w:rPr>
                <w:rFonts w:ascii="Times New Roman" w:hAnsi="Times New Roman" w:cs="Times New Roman"/>
                <w:kern w:val="0"/>
                <w:sz w:val="21"/>
                <w:szCs w:val="21"/>
              </w:rPr>
              <w:lastRenderedPageBreak/>
              <w:t>本项目废水经污水处理站处理后，达到沫河口园区污水处理厂接管标准、《污水综合排放标准》（</w:t>
            </w:r>
            <w:r w:rsidRPr="00AB41E0">
              <w:rPr>
                <w:rFonts w:ascii="Times New Roman" w:hAnsi="Times New Roman" w:cs="Times New Roman"/>
                <w:kern w:val="0"/>
                <w:sz w:val="21"/>
                <w:szCs w:val="21"/>
              </w:rPr>
              <w:t>GB8978-1996</w:t>
            </w:r>
            <w:r w:rsidRPr="00AB41E0">
              <w:rPr>
                <w:rFonts w:ascii="Times New Roman" w:hAnsi="Times New Roman" w:cs="Times New Roman"/>
                <w:kern w:val="0"/>
                <w:sz w:val="21"/>
                <w:szCs w:val="21"/>
              </w:rPr>
              <w:t>）中表</w:t>
            </w:r>
            <w:r w:rsidRPr="00AB41E0">
              <w:rPr>
                <w:rFonts w:ascii="Times New Roman" w:hAnsi="Times New Roman" w:cs="Times New Roman"/>
                <w:kern w:val="0"/>
                <w:sz w:val="21"/>
                <w:szCs w:val="21"/>
              </w:rPr>
              <w:t>4</w:t>
            </w:r>
            <w:r w:rsidRPr="00AB41E0">
              <w:rPr>
                <w:rFonts w:ascii="Times New Roman" w:hAnsi="Times New Roman" w:cs="Times New Roman"/>
                <w:kern w:val="0"/>
                <w:sz w:val="21"/>
                <w:szCs w:val="21"/>
              </w:rPr>
              <w:t>的三级标准和《无机化学工业污染物排放标准》（</w:t>
            </w:r>
            <w:r w:rsidRPr="00AB41E0">
              <w:rPr>
                <w:rFonts w:ascii="Times New Roman" w:hAnsi="Times New Roman" w:cs="Times New Roman"/>
                <w:kern w:val="0"/>
                <w:sz w:val="21"/>
                <w:szCs w:val="21"/>
              </w:rPr>
              <w:t>GB31573-2015</w:t>
            </w:r>
            <w:r w:rsidRPr="00AB41E0">
              <w:rPr>
                <w:rFonts w:ascii="Times New Roman" w:hAnsi="Times New Roman" w:cs="Times New Roman"/>
                <w:kern w:val="0"/>
                <w:sz w:val="21"/>
                <w:szCs w:val="21"/>
              </w:rPr>
              <w:t>）水污染物间接排放限值水污染物间接排放限值接管沫河口园区污水处理厂。本项目污泥等固体废物均按照废物属性分类收集、贮存和处理，危废库、污泥库等均按相关标准进行建设。</w:t>
            </w:r>
          </w:p>
        </w:tc>
        <w:tc>
          <w:tcPr>
            <w:tcW w:w="246" w:type="pct"/>
            <w:vAlign w:val="center"/>
          </w:tcPr>
          <w:p w:rsidR="004E3021" w:rsidRPr="00AB41E0" w:rsidRDefault="00606E48" w:rsidP="00AB41E0">
            <w:pPr>
              <w:pStyle w:val="afffffff2"/>
              <w:rPr>
                <w:rFonts w:ascii="Times New Roman" w:hAnsi="Times New Roman" w:cs="Times New Roman"/>
                <w:color w:val="FF0000"/>
                <w:kern w:val="0"/>
                <w:sz w:val="21"/>
                <w:szCs w:val="21"/>
              </w:rPr>
            </w:pPr>
            <w:r w:rsidRPr="00AB41E0">
              <w:rPr>
                <w:rFonts w:ascii="Times New Roman" w:hAnsi="Times New Roman" w:cs="Times New Roman"/>
                <w:color w:val="000000" w:themeColor="text1"/>
                <w:kern w:val="0"/>
                <w:sz w:val="21"/>
                <w:szCs w:val="21"/>
              </w:rPr>
              <w:lastRenderedPageBreak/>
              <w:t>符合</w:t>
            </w:r>
          </w:p>
        </w:tc>
      </w:tr>
      <w:tr w:rsidR="004E3021" w:rsidRPr="00AB41E0" w:rsidTr="00524AE1">
        <w:tc>
          <w:tcPr>
            <w:tcW w:w="236" w:type="pct"/>
            <w:vAlign w:val="center"/>
          </w:tcPr>
          <w:p w:rsidR="004E3021" w:rsidRPr="00AB41E0" w:rsidRDefault="00D01CA1" w:rsidP="00AB41E0">
            <w:pPr>
              <w:pStyle w:val="afffffff2"/>
              <w:rPr>
                <w:rFonts w:ascii="Times New Roman" w:hAnsi="Times New Roman" w:cs="Times New Roman"/>
                <w:kern w:val="0"/>
                <w:sz w:val="21"/>
                <w:szCs w:val="21"/>
              </w:rPr>
            </w:pPr>
            <w:r>
              <w:rPr>
                <w:rFonts w:ascii="Times New Roman" w:hAnsi="Times New Roman" w:cs="Times New Roman"/>
                <w:kern w:val="0"/>
                <w:sz w:val="21"/>
                <w:szCs w:val="21"/>
              </w:rPr>
              <w:t>7</w:t>
            </w:r>
          </w:p>
        </w:tc>
        <w:tc>
          <w:tcPr>
            <w:tcW w:w="681"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安徽省环保厅关于进一步明确淮河巢湖流域重污染行业项目省级环保预审范围及内容的通知</w:t>
            </w: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shd w:val="clear" w:color="auto" w:fill="FFFFFF"/>
              </w:rPr>
              <w:t>淮河、巢湖流域各市新建、改建、扩建的大中型制革、化工、电镀、酿造、造纸项目中，环评文件非省厅审批的项目，需试行省级环保预审制度</w:t>
            </w:r>
          </w:p>
        </w:tc>
        <w:tc>
          <w:tcPr>
            <w:tcW w:w="177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项目所在地为淮河流域，项目为</w:t>
            </w:r>
            <w:r w:rsidR="00E222A5">
              <w:rPr>
                <w:rFonts w:ascii="Times New Roman" w:hAnsi="Times New Roman" w:cs="Times New Roman" w:hint="eastAsia"/>
                <w:kern w:val="0"/>
                <w:sz w:val="21"/>
                <w:szCs w:val="21"/>
              </w:rPr>
              <w:t>技改</w:t>
            </w:r>
            <w:r w:rsidR="00E222A5">
              <w:rPr>
                <w:rFonts w:ascii="Times New Roman" w:hAnsi="Times New Roman" w:cs="Times New Roman" w:hint="eastAsia"/>
                <w:kern w:val="0"/>
                <w:sz w:val="21"/>
                <w:szCs w:val="21"/>
              </w:rPr>
              <w:t>/</w:t>
            </w:r>
            <w:r w:rsidRPr="00AB41E0">
              <w:rPr>
                <w:rFonts w:ascii="Times New Roman" w:hAnsi="Times New Roman" w:cs="Times New Roman"/>
                <w:kern w:val="0"/>
                <w:sz w:val="21"/>
                <w:szCs w:val="21"/>
              </w:rPr>
              <w:t>扩建项目，原环评已取得《安徽省生态环境厅关于安徽中创电子信息材料有限公司年产</w:t>
            </w:r>
            <w:r w:rsidRPr="00AB41E0">
              <w:rPr>
                <w:rFonts w:ascii="Times New Roman" w:hAnsi="Times New Roman" w:cs="Times New Roman"/>
                <w:kern w:val="0"/>
                <w:sz w:val="21"/>
                <w:szCs w:val="21"/>
              </w:rPr>
              <w:t>5000</w:t>
            </w:r>
            <w:r w:rsidRPr="00AB41E0">
              <w:rPr>
                <w:rFonts w:ascii="Times New Roman" w:hAnsi="Times New Roman" w:cs="Times New Roman"/>
                <w:kern w:val="0"/>
                <w:sz w:val="21"/>
                <w:szCs w:val="21"/>
              </w:rPr>
              <w:t>吨超纯二氧化硅项目环保预审的批复》（皖环办复</w:t>
            </w:r>
            <w:r w:rsidRPr="00AB41E0">
              <w:rPr>
                <w:rFonts w:ascii="Times New Roman" w:hAnsi="Times New Roman" w:cs="Times New Roman"/>
                <w:kern w:val="0"/>
                <w:sz w:val="21"/>
                <w:szCs w:val="21"/>
              </w:rPr>
              <w:t>[2022]643</w:t>
            </w:r>
            <w:r w:rsidRPr="00AB41E0">
              <w:rPr>
                <w:rFonts w:ascii="Times New Roman" w:hAnsi="Times New Roman" w:cs="Times New Roman"/>
                <w:kern w:val="0"/>
                <w:sz w:val="21"/>
                <w:szCs w:val="21"/>
              </w:rPr>
              <w:t>号），同意上述项目开展环评等相关前期工作。</w:t>
            </w:r>
            <w:r w:rsidR="00D64A03" w:rsidRPr="00AB41E0">
              <w:rPr>
                <w:rFonts w:ascii="Times New Roman" w:hAnsi="Times New Roman" w:cs="Times New Roman"/>
                <w:kern w:val="0"/>
                <w:sz w:val="21"/>
                <w:szCs w:val="21"/>
              </w:rPr>
              <w:t>安徽中创电子信息材料有限公司</w:t>
            </w:r>
            <w:r w:rsidR="00D64A03">
              <w:rPr>
                <w:rFonts w:ascii="Times New Roman" w:hAnsi="Times New Roman" w:cs="Times New Roman" w:hint="eastAsia"/>
                <w:kern w:val="0"/>
                <w:sz w:val="21"/>
                <w:szCs w:val="21"/>
              </w:rPr>
              <w:t>于</w:t>
            </w:r>
            <w:r w:rsidR="00D64A03">
              <w:rPr>
                <w:rFonts w:ascii="Times New Roman" w:hAnsi="Times New Roman" w:cs="Times New Roman" w:hint="eastAsia"/>
                <w:kern w:val="0"/>
                <w:sz w:val="21"/>
                <w:szCs w:val="21"/>
              </w:rPr>
              <w:t>2022</w:t>
            </w:r>
            <w:r w:rsidR="00D64A03">
              <w:rPr>
                <w:rFonts w:ascii="Times New Roman" w:hAnsi="Times New Roman" w:cs="Times New Roman" w:hint="eastAsia"/>
                <w:kern w:val="0"/>
                <w:sz w:val="21"/>
                <w:szCs w:val="21"/>
              </w:rPr>
              <w:t>年</w:t>
            </w:r>
            <w:r w:rsidR="00D64A03">
              <w:rPr>
                <w:rFonts w:ascii="Times New Roman" w:hAnsi="Times New Roman" w:cs="Times New Roman" w:hint="eastAsia"/>
                <w:kern w:val="0"/>
                <w:sz w:val="21"/>
                <w:szCs w:val="21"/>
              </w:rPr>
              <w:t>3</w:t>
            </w:r>
            <w:r w:rsidR="00D64A03">
              <w:rPr>
                <w:rFonts w:ascii="Times New Roman" w:hAnsi="Times New Roman" w:cs="Times New Roman" w:hint="eastAsia"/>
                <w:kern w:val="0"/>
                <w:sz w:val="21"/>
                <w:szCs w:val="21"/>
              </w:rPr>
              <w:t>月</w:t>
            </w:r>
            <w:r w:rsidR="00D64A03">
              <w:rPr>
                <w:rFonts w:ascii="Times New Roman" w:hAnsi="Times New Roman" w:cs="Times New Roman" w:hint="eastAsia"/>
                <w:kern w:val="0"/>
                <w:sz w:val="21"/>
                <w:szCs w:val="21"/>
              </w:rPr>
              <w:t>1</w:t>
            </w:r>
            <w:r w:rsidR="00D64A03">
              <w:rPr>
                <w:rFonts w:ascii="Times New Roman" w:hAnsi="Times New Roman" w:cs="Times New Roman" w:hint="eastAsia"/>
                <w:kern w:val="0"/>
                <w:sz w:val="21"/>
                <w:szCs w:val="21"/>
              </w:rPr>
              <w:t>日</w:t>
            </w:r>
            <w:r w:rsidR="00D64A03">
              <w:rPr>
                <w:rFonts w:ascii="Times New Roman" w:hAnsi="Times New Roman" w:cs="Times New Roman"/>
                <w:kern w:val="0"/>
                <w:sz w:val="21"/>
                <w:szCs w:val="21"/>
              </w:rPr>
              <w:t>更名为安徽凯盛应用材料有限公司（</w:t>
            </w:r>
            <w:r w:rsidR="00D64A03">
              <w:rPr>
                <w:rFonts w:ascii="Times New Roman" w:hAnsi="Times New Roman" w:cs="Times New Roman" w:hint="eastAsia"/>
                <w:kern w:val="0"/>
                <w:sz w:val="21"/>
                <w:szCs w:val="21"/>
              </w:rPr>
              <w:t>更名</w:t>
            </w:r>
            <w:r w:rsidR="00D64A03">
              <w:rPr>
                <w:rFonts w:ascii="Times New Roman" w:hAnsi="Times New Roman" w:cs="Times New Roman"/>
                <w:kern w:val="0"/>
                <w:sz w:val="21"/>
                <w:szCs w:val="21"/>
              </w:rPr>
              <w:t>说明见附件</w:t>
            </w:r>
            <w:r w:rsidR="00D64A03">
              <w:rPr>
                <w:rFonts w:ascii="Times New Roman" w:hAnsi="Times New Roman" w:cs="Times New Roman" w:hint="eastAsia"/>
                <w:kern w:val="0"/>
                <w:sz w:val="21"/>
                <w:szCs w:val="21"/>
              </w:rPr>
              <w:t>1</w:t>
            </w:r>
            <w:r w:rsidR="00D64A03">
              <w:rPr>
                <w:rFonts w:ascii="Times New Roman" w:hAnsi="Times New Roman" w:cs="Times New Roman"/>
                <w:kern w:val="0"/>
                <w:sz w:val="21"/>
                <w:szCs w:val="21"/>
              </w:rPr>
              <w:t>6</w:t>
            </w:r>
            <w:r w:rsidR="00D64A03">
              <w:rPr>
                <w:rFonts w:ascii="Times New Roman" w:hAnsi="Times New Roman" w:cs="Times New Roman"/>
                <w:kern w:val="0"/>
                <w:sz w:val="21"/>
                <w:szCs w:val="21"/>
              </w:rPr>
              <w:t>）</w:t>
            </w:r>
            <w:r w:rsidR="00D64A03">
              <w:rPr>
                <w:rFonts w:ascii="Times New Roman" w:hAnsi="Times New Roman" w:cs="Times New Roman" w:hint="eastAsia"/>
                <w:kern w:val="0"/>
                <w:sz w:val="21"/>
                <w:szCs w:val="21"/>
              </w:rPr>
              <w:t>。</w:t>
            </w:r>
            <w:r w:rsidR="00902E00">
              <w:rPr>
                <w:rFonts w:ascii="Times New Roman" w:hAnsi="Times New Roman" w:cs="Times New Roman" w:hint="eastAsia"/>
                <w:kern w:val="0"/>
                <w:sz w:val="21"/>
                <w:szCs w:val="21"/>
              </w:rPr>
              <w:t>本次改扩建后废水排放量</w:t>
            </w:r>
            <w:r w:rsidR="00902E00">
              <w:rPr>
                <w:rFonts w:ascii="Times New Roman" w:hAnsi="Times New Roman" w:cs="Times New Roman" w:hint="eastAsia"/>
                <w:kern w:val="0"/>
                <w:sz w:val="21"/>
                <w:szCs w:val="21"/>
              </w:rPr>
              <w:t>5</w:t>
            </w:r>
            <w:r w:rsidR="00902E00">
              <w:rPr>
                <w:rFonts w:ascii="Times New Roman" w:hAnsi="Times New Roman" w:cs="Times New Roman"/>
                <w:kern w:val="0"/>
                <w:sz w:val="21"/>
                <w:szCs w:val="21"/>
              </w:rPr>
              <w:t>12.88</w:t>
            </w:r>
            <w:r w:rsidR="00902E00">
              <w:rPr>
                <w:rFonts w:ascii="Times New Roman" w:hAnsi="Times New Roman" w:cs="Times New Roman" w:hint="eastAsia"/>
                <w:kern w:val="0"/>
                <w:sz w:val="21"/>
                <w:szCs w:val="21"/>
              </w:rPr>
              <w:t>t/d</w:t>
            </w:r>
            <w:r w:rsidR="00902E00">
              <w:rPr>
                <w:rFonts w:ascii="Times New Roman" w:hAnsi="Times New Roman" w:cs="Times New Roman" w:hint="eastAsia"/>
                <w:kern w:val="0"/>
                <w:sz w:val="21"/>
                <w:szCs w:val="21"/>
              </w:rPr>
              <w:t>，未超出原环评水办预审的</w:t>
            </w:r>
            <w:r w:rsidR="00902E00">
              <w:rPr>
                <w:rFonts w:ascii="Times New Roman" w:hAnsi="Times New Roman" w:cs="Times New Roman" w:hint="eastAsia"/>
                <w:kern w:val="0"/>
                <w:sz w:val="21"/>
                <w:szCs w:val="21"/>
              </w:rPr>
              <w:t>6</w:t>
            </w:r>
            <w:r w:rsidR="00902E00">
              <w:rPr>
                <w:rFonts w:ascii="Times New Roman" w:hAnsi="Times New Roman" w:cs="Times New Roman"/>
                <w:kern w:val="0"/>
                <w:sz w:val="21"/>
                <w:szCs w:val="21"/>
              </w:rPr>
              <w:t>00</w:t>
            </w:r>
            <w:r w:rsidR="00902E00">
              <w:rPr>
                <w:rFonts w:ascii="Times New Roman" w:hAnsi="Times New Roman" w:cs="Times New Roman" w:hint="eastAsia"/>
                <w:kern w:val="0"/>
                <w:sz w:val="21"/>
                <w:szCs w:val="21"/>
              </w:rPr>
              <w:t>t/d</w:t>
            </w:r>
            <w:r w:rsidR="00902E00">
              <w:rPr>
                <w:rFonts w:ascii="Times New Roman" w:hAnsi="Times New Roman" w:cs="Times New Roman" w:hint="eastAsia"/>
                <w:kern w:val="0"/>
                <w:sz w:val="21"/>
                <w:szCs w:val="21"/>
              </w:rPr>
              <w:t>，且主要污染物排放量亦未超出原环评</w:t>
            </w:r>
            <w:r w:rsidR="00E222A5">
              <w:rPr>
                <w:rFonts w:ascii="Times New Roman" w:hAnsi="Times New Roman" w:cs="Times New Roman" w:hint="eastAsia"/>
                <w:kern w:val="0"/>
                <w:sz w:val="21"/>
                <w:szCs w:val="21"/>
              </w:rPr>
              <w:t>。</w:t>
            </w:r>
          </w:p>
        </w:tc>
        <w:tc>
          <w:tcPr>
            <w:tcW w:w="246" w:type="pct"/>
            <w:vAlign w:val="center"/>
          </w:tcPr>
          <w:p w:rsidR="004E3021" w:rsidRPr="00AB41E0" w:rsidRDefault="00606E48" w:rsidP="00AB41E0">
            <w:pPr>
              <w:pStyle w:val="afffffff2"/>
              <w:rPr>
                <w:rFonts w:ascii="Times New Roman" w:hAnsi="Times New Roman" w:cs="Times New Roman"/>
                <w:color w:val="FF0000"/>
                <w:kern w:val="0"/>
                <w:sz w:val="21"/>
                <w:szCs w:val="21"/>
              </w:rPr>
            </w:pPr>
            <w:r w:rsidRPr="00AB41E0">
              <w:rPr>
                <w:rFonts w:ascii="Times New Roman" w:hAnsi="Times New Roman" w:cs="Times New Roman"/>
                <w:color w:val="000000" w:themeColor="text1"/>
                <w:kern w:val="0"/>
                <w:sz w:val="21"/>
                <w:szCs w:val="21"/>
              </w:rPr>
              <w:t>符合</w:t>
            </w:r>
          </w:p>
        </w:tc>
      </w:tr>
      <w:tr w:rsidR="000018C3" w:rsidRPr="00AB41E0" w:rsidTr="004411F8">
        <w:tc>
          <w:tcPr>
            <w:tcW w:w="236" w:type="pct"/>
            <w:vMerge w:val="restart"/>
            <w:vAlign w:val="center"/>
          </w:tcPr>
          <w:p w:rsidR="000018C3" w:rsidRPr="000018C3" w:rsidRDefault="000018C3" w:rsidP="00D01CA1">
            <w:pPr>
              <w:pStyle w:val="afffffff2"/>
              <w:rPr>
                <w:rFonts w:ascii="Times New Roman" w:hAnsi="Times New Roman" w:cs="Times New Roman"/>
                <w:kern w:val="0"/>
                <w:sz w:val="21"/>
                <w:szCs w:val="21"/>
              </w:rPr>
            </w:pPr>
            <w:r w:rsidRPr="000018C3">
              <w:rPr>
                <w:rFonts w:ascii="Times New Roman" w:hAnsi="Times New Roman" w:cs="Times New Roman"/>
                <w:kern w:val="0"/>
                <w:sz w:val="21"/>
                <w:szCs w:val="21"/>
              </w:rPr>
              <w:t>8</w:t>
            </w:r>
          </w:p>
        </w:tc>
        <w:tc>
          <w:tcPr>
            <w:tcW w:w="681" w:type="pct"/>
            <w:vMerge w:val="restart"/>
            <w:vAlign w:val="center"/>
          </w:tcPr>
          <w:p w:rsidR="000018C3" w:rsidRPr="000018C3" w:rsidRDefault="000018C3" w:rsidP="00D01CA1">
            <w:pPr>
              <w:pStyle w:val="afffffff2"/>
              <w:rPr>
                <w:rFonts w:ascii="Times New Roman" w:hAnsi="Times New Roman" w:cs="Times New Roman"/>
                <w:kern w:val="0"/>
                <w:sz w:val="21"/>
                <w:szCs w:val="21"/>
              </w:rPr>
            </w:pPr>
            <w:r w:rsidRPr="000018C3">
              <w:rPr>
                <w:rFonts w:ascii="Times New Roman" w:hAnsi="Times New Roman" w:cs="Times New Roman"/>
                <w:bCs/>
                <w:kern w:val="0"/>
                <w:sz w:val="21"/>
                <w:szCs w:val="21"/>
              </w:rPr>
              <w:t>《安徽省人民政府关于印发安徽省空气质量持续改善行动方案的通知》（皖政〔</w:t>
            </w:r>
            <w:r w:rsidRPr="000018C3">
              <w:rPr>
                <w:rFonts w:ascii="Times New Roman" w:hAnsi="Times New Roman" w:cs="Times New Roman"/>
                <w:bCs/>
                <w:kern w:val="0"/>
                <w:sz w:val="21"/>
                <w:szCs w:val="21"/>
              </w:rPr>
              <w:t>2024</w:t>
            </w:r>
            <w:r w:rsidRPr="000018C3">
              <w:rPr>
                <w:rFonts w:ascii="Times New Roman" w:hAnsi="Times New Roman" w:cs="Times New Roman"/>
                <w:bCs/>
                <w:kern w:val="0"/>
                <w:sz w:val="21"/>
                <w:szCs w:val="21"/>
              </w:rPr>
              <w:t>〕</w:t>
            </w:r>
            <w:r w:rsidRPr="000018C3">
              <w:rPr>
                <w:rFonts w:ascii="Times New Roman" w:hAnsi="Times New Roman" w:cs="Times New Roman"/>
                <w:bCs/>
                <w:kern w:val="0"/>
                <w:sz w:val="21"/>
                <w:szCs w:val="21"/>
              </w:rPr>
              <w:t>36</w:t>
            </w:r>
            <w:r w:rsidRPr="000018C3">
              <w:rPr>
                <w:rFonts w:ascii="Times New Roman" w:hAnsi="Times New Roman" w:cs="Times New Roman"/>
                <w:bCs/>
                <w:kern w:val="0"/>
                <w:sz w:val="21"/>
                <w:szCs w:val="21"/>
              </w:rPr>
              <w:t>号）</w:t>
            </w:r>
          </w:p>
        </w:tc>
        <w:tc>
          <w:tcPr>
            <w:tcW w:w="2060" w:type="pct"/>
            <w:gridSpan w:val="2"/>
          </w:tcPr>
          <w:p w:rsidR="000018C3" w:rsidRPr="00D01CA1" w:rsidRDefault="000018C3" w:rsidP="00D01CA1">
            <w:pPr>
              <w:spacing w:line="360" w:lineRule="exact"/>
              <w:ind w:firstLineChars="0" w:firstLine="0"/>
              <w:jc w:val="center"/>
              <w:rPr>
                <w:rFonts w:ascii="Times New Roman" w:hAnsi="Times New Roman"/>
                <w:sz w:val="21"/>
              </w:rPr>
            </w:pPr>
            <w:r w:rsidRPr="00D01CA1">
              <w:rPr>
                <w:rFonts w:ascii="Times New Roman" w:hAnsi="Times New Roman"/>
                <w:sz w:val="21"/>
                <w:szCs w:val="18"/>
              </w:rPr>
              <w:t>（三）坚决遏制高耗能、高排放、低水平项目盲目上马。新改扩建项目严格落实国家产业规划、产业政策、生态环境分区管控方案、规划环评、项目环评、节能审查、产能置换、重点污染物总量控制、污染物排放区域削减、碳排放达峰目标等相关要求，原则上采用清洁运输方式。实施</w:t>
            </w:r>
            <w:r w:rsidRPr="00D01CA1">
              <w:rPr>
                <w:rFonts w:ascii="Times New Roman" w:hAnsi="Times New Roman"/>
                <w:sz w:val="21"/>
                <w:szCs w:val="18"/>
              </w:rPr>
              <w:t>“</w:t>
            </w:r>
            <w:r w:rsidRPr="00D01CA1">
              <w:rPr>
                <w:rFonts w:ascii="Times New Roman" w:hAnsi="Times New Roman"/>
                <w:sz w:val="21"/>
                <w:szCs w:val="18"/>
              </w:rPr>
              <w:t>高污染、高耗能</w:t>
            </w:r>
            <w:r w:rsidRPr="00D01CA1">
              <w:rPr>
                <w:rFonts w:ascii="Times New Roman" w:hAnsi="Times New Roman"/>
                <w:sz w:val="21"/>
                <w:szCs w:val="18"/>
              </w:rPr>
              <w:t>”</w:t>
            </w:r>
            <w:r w:rsidRPr="00D01CA1">
              <w:rPr>
                <w:rFonts w:ascii="Times New Roman" w:hAnsi="Times New Roman"/>
                <w:sz w:val="21"/>
                <w:szCs w:val="18"/>
              </w:rPr>
              <w:t>项目部门联审，源头管控低水平项目上马。制定实</w:t>
            </w:r>
            <w:r w:rsidRPr="00D01CA1">
              <w:rPr>
                <w:rFonts w:ascii="Times New Roman" w:hAnsi="Times New Roman"/>
                <w:sz w:val="21"/>
                <w:szCs w:val="18"/>
              </w:rPr>
              <w:lastRenderedPageBreak/>
              <w:t>施安徽省加强生态环境分区管控方案。严格落实产能置换要求，不以任何名义、任何方式核准、备案产能严重过剩行业新增产能项目，被置换产能及其配套设施关停后，新建项目方可投产。</w:t>
            </w:r>
          </w:p>
        </w:tc>
        <w:tc>
          <w:tcPr>
            <w:tcW w:w="1777" w:type="pct"/>
            <w:vAlign w:val="center"/>
          </w:tcPr>
          <w:p w:rsidR="000018C3" w:rsidRPr="00D01CA1" w:rsidRDefault="000018C3" w:rsidP="00D01CA1">
            <w:pPr>
              <w:spacing w:line="360" w:lineRule="exact"/>
              <w:ind w:firstLineChars="0" w:firstLine="0"/>
              <w:jc w:val="center"/>
              <w:rPr>
                <w:rFonts w:ascii="Times New Roman" w:hAnsi="Times New Roman"/>
                <w:sz w:val="21"/>
              </w:rPr>
            </w:pPr>
            <w:r w:rsidRPr="00D01CA1">
              <w:rPr>
                <w:rFonts w:ascii="Times New Roman" w:hAnsi="Times New Roman"/>
                <w:spacing w:val="11"/>
                <w:sz w:val="21"/>
                <w:szCs w:val="18"/>
              </w:rPr>
              <w:lastRenderedPageBreak/>
              <w:t>本项目为</w:t>
            </w:r>
            <w:r>
              <w:rPr>
                <w:rFonts w:ascii="Times New Roman" w:hAnsi="Times New Roman" w:hint="eastAsia"/>
                <w:spacing w:val="11"/>
                <w:sz w:val="21"/>
                <w:szCs w:val="18"/>
              </w:rPr>
              <w:t>基础化学原料制造项目</w:t>
            </w:r>
            <w:r w:rsidRPr="00D01CA1">
              <w:rPr>
                <w:rFonts w:ascii="Times New Roman" w:hAnsi="Times New Roman"/>
                <w:spacing w:val="12"/>
                <w:sz w:val="21"/>
                <w:szCs w:val="18"/>
              </w:rPr>
              <w:t>，根据《产业</w:t>
            </w:r>
            <w:r w:rsidRPr="00D01CA1">
              <w:rPr>
                <w:rFonts w:ascii="Times New Roman" w:hAnsi="Times New Roman"/>
                <w:spacing w:val="6"/>
                <w:sz w:val="21"/>
                <w:szCs w:val="18"/>
              </w:rPr>
              <w:t>结构调整指导目录（</w:t>
            </w:r>
            <w:r w:rsidRPr="00D01CA1">
              <w:rPr>
                <w:rFonts w:ascii="Times New Roman" w:hAnsi="Times New Roman"/>
                <w:spacing w:val="6"/>
                <w:sz w:val="21"/>
                <w:szCs w:val="18"/>
              </w:rPr>
              <w:t>2024</w:t>
            </w:r>
            <w:r w:rsidRPr="00D01CA1">
              <w:rPr>
                <w:rFonts w:ascii="Times New Roman" w:hAnsi="Times New Roman"/>
                <w:spacing w:val="12"/>
                <w:sz w:val="21"/>
                <w:szCs w:val="18"/>
              </w:rPr>
              <w:t>年本）》，本项目属于</w:t>
            </w:r>
            <w:r>
              <w:rPr>
                <w:rFonts w:ascii="Times New Roman" w:hAnsi="Times New Roman" w:hint="eastAsia"/>
                <w:spacing w:val="12"/>
                <w:sz w:val="21"/>
                <w:szCs w:val="18"/>
              </w:rPr>
              <w:t>允许类</w:t>
            </w:r>
            <w:r w:rsidRPr="00D01CA1">
              <w:rPr>
                <w:rFonts w:ascii="Times New Roman" w:hAnsi="Times New Roman"/>
                <w:spacing w:val="11"/>
                <w:sz w:val="21"/>
                <w:szCs w:val="18"/>
              </w:rPr>
              <w:t>项目，能源消耗主要</w:t>
            </w:r>
            <w:r w:rsidRPr="00D01CA1">
              <w:rPr>
                <w:rFonts w:ascii="Times New Roman" w:hAnsi="Times New Roman"/>
                <w:spacing w:val="8"/>
                <w:sz w:val="21"/>
                <w:szCs w:val="18"/>
              </w:rPr>
              <w:t>有水、电及天然气等，不属于高耗</w:t>
            </w:r>
            <w:r w:rsidRPr="00D01CA1">
              <w:rPr>
                <w:rFonts w:ascii="Times New Roman" w:hAnsi="Times New Roman"/>
                <w:sz w:val="21"/>
                <w:szCs w:val="18"/>
              </w:rPr>
              <w:t>能、高排放、低水平项目。</w:t>
            </w:r>
            <w:r w:rsidRPr="00D01CA1">
              <w:rPr>
                <w:rFonts w:ascii="Times New Roman" w:hAnsi="Times New Roman"/>
                <w:spacing w:val="12"/>
                <w:sz w:val="21"/>
                <w:szCs w:val="18"/>
              </w:rPr>
              <w:t>项目符合国家产业政策要求，符合生态环境分区管</w:t>
            </w:r>
            <w:r w:rsidRPr="00D01CA1">
              <w:rPr>
                <w:rFonts w:ascii="Times New Roman" w:hAnsi="Times New Roman"/>
                <w:spacing w:val="4"/>
                <w:sz w:val="21"/>
                <w:szCs w:val="18"/>
              </w:rPr>
              <w:t>控要求。</w:t>
            </w:r>
          </w:p>
        </w:tc>
        <w:tc>
          <w:tcPr>
            <w:tcW w:w="246" w:type="pct"/>
            <w:vAlign w:val="center"/>
          </w:tcPr>
          <w:p w:rsidR="000018C3" w:rsidRPr="00AB41E0" w:rsidRDefault="000018C3" w:rsidP="00D01CA1">
            <w:pPr>
              <w:pStyle w:val="afffffff2"/>
              <w:rPr>
                <w:rFonts w:cs="Times New Roman"/>
                <w:color w:val="000000" w:themeColor="text1"/>
                <w:kern w:val="0"/>
                <w:sz w:val="21"/>
                <w:szCs w:val="21"/>
              </w:rPr>
            </w:pPr>
            <w:r w:rsidRPr="00AB41E0">
              <w:rPr>
                <w:rFonts w:ascii="Times New Roman" w:hAnsi="Times New Roman" w:cs="Times New Roman"/>
                <w:color w:val="000000" w:themeColor="text1"/>
                <w:kern w:val="0"/>
                <w:sz w:val="21"/>
                <w:szCs w:val="21"/>
              </w:rPr>
              <w:t>符合</w:t>
            </w:r>
          </w:p>
        </w:tc>
      </w:tr>
      <w:tr w:rsidR="000018C3" w:rsidRPr="00AB41E0" w:rsidTr="004411F8">
        <w:tc>
          <w:tcPr>
            <w:tcW w:w="236" w:type="pct"/>
            <w:vMerge/>
            <w:vAlign w:val="center"/>
          </w:tcPr>
          <w:p w:rsidR="000018C3" w:rsidRDefault="000018C3" w:rsidP="00D01CA1">
            <w:pPr>
              <w:pStyle w:val="afffffff2"/>
              <w:rPr>
                <w:rFonts w:cs="Times New Roman"/>
                <w:kern w:val="0"/>
                <w:sz w:val="21"/>
                <w:szCs w:val="21"/>
              </w:rPr>
            </w:pPr>
          </w:p>
        </w:tc>
        <w:tc>
          <w:tcPr>
            <w:tcW w:w="681" w:type="pct"/>
            <w:vMerge/>
            <w:vAlign w:val="center"/>
          </w:tcPr>
          <w:p w:rsidR="000018C3" w:rsidRPr="00AB41E0" w:rsidRDefault="000018C3" w:rsidP="00D01CA1">
            <w:pPr>
              <w:pStyle w:val="afffffff2"/>
              <w:rPr>
                <w:rFonts w:cs="Times New Roman"/>
                <w:kern w:val="0"/>
                <w:sz w:val="21"/>
                <w:szCs w:val="21"/>
              </w:rPr>
            </w:pPr>
          </w:p>
        </w:tc>
        <w:tc>
          <w:tcPr>
            <w:tcW w:w="2060" w:type="pct"/>
            <w:gridSpan w:val="2"/>
          </w:tcPr>
          <w:p w:rsidR="000018C3" w:rsidRPr="00D01CA1" w:rsidRDefault="000018C3" w:rsidP="00D01CA1">
            <w:pPr>
              <w:spacing w:line="360" w:lineRule="exact"/>
              <w:ind w:firstLineChars="0" w:firstLine="0"/>
              <w:jc w:val="center"/>
              <w:rPr>
                <w:rFonts w:ascii="Times New Roman" w:hAnsi="Times New Roman"/>
                <w:sz w:val="21"/>
              </w:rPr>
            </w:pPr>
            <w:r w:rsidRPr="00D01CA1">
              <w:rPr>
                <w:rFonts w:ascii="Times New Roman" w:hAnsi="Times New Roman"/>
                <w:sz w:val="21"/>
                <w:szCs w:val="18"/>
              </w:rPr>
              <w:t>（四）有序推动落后产能淘汰。严格执行《产业结构调整指导目录》。综合运用能耗、环保、质量、安全、技术等要求，依法依规推动落后产能退出，逐步退出限制类涉气行业工艺和装备。有序推动生产设施老旧、工艺水平落后、环境管理水平低下的独立焦化、烧结、球团、热轧企业和落后煤炭洗选企业退出市场。逐步淘汰步进式烧结机和球团竖炉以及半封闭式硅锰合金、镍铁、高碳铬铁、高碳锰铁电炉。严禁违规新增钢铁、水泥（熟料）、焦化、电解铝、平板玻璃（不含光伏压延玻璃）产能。鼓励钢铁行业龙头企业实施兼并重组，到</w:t>
            </w:r>
            <w:r w:rsidRPr="00D01CA1">
              <w:rPr>
                <w:rFonts w:ascii="Times New Roman" w:hAnsi="Times New Roman"/>
                <w:sz w:val="21"/>
                <w:szCs w:val="18"/>
              </w:rPr>
              <w:t>2025</w:t>
            </w:r>
            <w:r w:rsidRPr="00D01CA1">
              <w:rPr>
                <w:rFonts w:ascii="Times New Roman" w:hAnsi="Times New Roman"/>
                <w:sz w:val="21"/>
                <w:szCs w:val="18"/>
              </w:rPr>
              <w:t>年，短流程炼钢产量占比达</w:t>
            </w:r>
            <w:r w:rsidRPr="00D01CA1">
              <w:rPr>
                <w:rFonts w:ascii="Times New Roman" w:hAnsi="Times New Roman"/>
                <w:sz w:val="21"/>
                <w:szCs w:val="18"/>
              </w:rPr>
              <w:t>15%</w:t>
            </w:r>
            <w:r w:rsidRPr="00D01CA1">
              <w:rPr>
                <w:rFonts w:ascii="Times New Roman" w:hAnsi="Times New Roman"/>
                <w:sz w:val="21"/>
                <w:szCs w:val="18"/>
              </w:rPr>
              <w:t>。</w:t>
            </w:r>
          </w:p>
        </w:tc>
        <w:tc>
          <w:tcPr>
            <w:tcW w:w="1777" w:type="pct"/>
            <w:vMerge w:val="restart"/>
            <w:vAlign w:val="center"/>
          </w:tcPr>
          <w:p w:rsidR="000018C3" w:rsidRPr="00D01CA1" w:rsidRDefault="000018C3" w:rsidP="000018C3">
            <w:pPr>
              <w:spacing w:line="360" w:lineRule="exact"/>
              <w:ind w:firstLineChars="0" w:firstLine="0"/>
              <w:jc w:val="center"/>
              <w:rPr>
                <w:rFonts w:ascii="Times New Roman" w:hAnsi="Times New Roman"/>
                <w:sz w:val="21"/>
                <w:szCs w:val="18"/>
              </w:rPr>
            </w:pPr>
            <w:r w:rsidRPr="00D01CA1">
              <w:rPr>
                <w:rFonts w:ascii="Times New Roman" w:hAnsi="Times New Roman"/>
                <w:spacing w:val="11"/>
                <w:sz w:val="21"/>
                <w:szCs w:val="18"/>
              </w:rPr>
              <w:t>本项目为</w:t>
            </w:r>
            <w:r>
              <w:rPr>
                <w:rFonts w:ascii="Times New Roman" w:hAnsi="Times New Roman" w:hint="eastAsia"/>
                <w:spacing w:val="11"/>
                <w:sz w:val="21"/>
                <w:szCs w:val="18"/>
              </w:rPr>
              <w:t>基础化学原料制造项目</w:t>
            </w:r>
            <w:r w:rsidRPr="00D01CA1">
              <w:rPr>
                <w:rFonts w:ascii="Times New Roman" w:hAnsi="Times New Roman"/>
                <w:spacing w:val="12"/>
                <w:sz w:val="21"/>
                <w:szCs w:val="18"/>
              </w:rPr>
              <w:t>，</w:t>
            </w:r>
            <w:r w:rsidRPr="00D01CA1">
              <w:rPr>
                <w:rFonts w:ascii="Times New Roman" w:hAnsi="Times New Roman"/>
                <w:sz w:val="21"/>
                <w:szCs w:val="18"/>
              </w:rPr>
              <w:t>根据《产业结构调整指导目录（</w:t>
            </w:r>
            <w:r w:rsidRPr="00D01CA1">
              <w:rPr>
                <w:rFonts w:ascii="Times New Roman" w:hAnsi="Times New Roman"/>
                <w:sz w:val="21"/>
                <w:szCs w:val="18"/>
              </w:rPr>
              <w:t>2024</w:t>
            </w:r>
            <w:r w:rsidRPr="00D01CA1">
              <w:rPr>
                <w:rFonts w:ascii="Times New Roman" w:hAnsi="Times New Roman"/>
                <w:sz w:val="21"/>
                <w:szCs w:val="18"/>
              </w:rPr>
              <w:t>年本）》，本项目属于</w:t>
            </w:r>
            <w:r>
              <w:rPr>
                <w:rFonts w:ascii="Times New Roman" w:hAnsi="Times New Roman" w:hint="eastAsia"/>
                <w:sz w:val="21"/>
                <w:szCs w:val="18"/>
              </w:rPr>
              <w:t>允许</w:t>
            </w:r>
            <w:r w:rsidRPr="00D01CA1">
              <w:rPr>
                <w:rFonts w:ascii="Times New Roman" w:hAnsi="Times New Roman"/>
                <w:sz w:val="21"/>
                <w:szCs w:val="18"/>
              </w:rPr>
              <w:t>类项目，本项目</w:t>
            </w:r>
            <w:r>
              <w:rPr>
                <w:rFonts w:ascii="Times New Roman" w:hAnsi="Times New Roman" w:hint="eastAsia"/>
                <w:sz w:val="21"/>
                <w:szCs w:val="18"/>
              </w:rPr>
              <w:t>不</w:t>
            </w:r>
            <w:r w:rsidRPr="00D01CA1">
              <w:rPr>
                <w:rFonts w:ascii="Times New Roman" w:hAnsi="Times New Roman"/>
                <w:sz w:val="21"/>
                <w:szCs w:val="18"/>
              </w:rPr>
              <w:t>涉及锅炉</w:t>
            </w:r>
          </w:p>
        </w:tc>
        <w:tc>
          <w:tcPr>
            <w:tcW w:w="246" w:type="pct"/>
            <w:vAlign w:val="center"/>
          </w:tcPr>
          <w:p w:rsidR="000018C3" w:rsidRPr="00AB41E0" w:rsidRDefault="000018C3" w:rsidP="00D01CA1">
            <w:pPr>
              <w:pStyle w:val="afffffff2"/>
              <w:rPr>
                <w:rFonts w:cs="Times New Roman"/>
                <w:color w:val="000000" w:themeColor="text1"/>
                <w:kern w:val="0"/>
                <w:sz w:val="21"/>
                <w:szCs w:val="21"/>
              </w:rPr>
            </w:pPr>
            <w:r w:rsidRPr="00AB41E0">
              <w:rPr>
                <w:rFonts w:ascii="Times New Roman" w:hAnsi="Times New Roman" w:cs="Times New Roman"/>
                <w:color w:val="000000" w:themeColor="text1"/>
                <w:kern w:val="0"/>
                <w:sz w:val="21"/>
                <w:szCs w:val="21"/>
              </w:rPr>
              <w:t>符合</w:t>
            </w:r>
          </w:p>
        </w:tc>
      </w:tr>
      <w:tr w:rsidR="000018C3" w:rsidRPr="00AB41E0" w:rsidTr="004411F8">
        <w:tc>
          <w:tcPr>
            <w:tcW w:w="236" w:type="pct"/>
            <w:vMerge/>
            <w:vAlign w:val="center"/>
          </w:tcPr>
          <w:p w:rsidR="000018C3" w:rsidRDefault="000018C3" w:rsidP="00D01CA1">
            <w:pPr>
              <w:pStyle w:val="afffffff2"/>
              <w:rPr>
                <w:rFonts w:cs="Times New Roman"/>
                <w:kern w:val="0"/>
                <w:sz w:val="21"/>
                <w:szCs w:val="21"/>
              </w:rPr>
            </w:pPr>
          </w:p>
        </w:tc>
        <w:tc>
          <w:tcPr>
            <w:tcW w:w="681" w:type="pct"/>
            <w:vMerge/>
            <w:vAlign w:val="center"/>
          </w:tcPr>
          <w:p w:rsidR="000018C3" w:rsidRPr="00AB41E0" w:rsidRDefault="000018C3" w:rsidP="00D01CA1">
            <w:pPr>
              <w:pStyle w:val="afffffff2"/>
              <w:rPr>
                <w:rFonts w:cs="Times New Roman"/>
                <w:kern w:val="0"/>
                <w:sz w:val="21"/>
                <w:szCs w:val="21"/>
              </w:rPr>
            </w:pPr>
          </w:p>
        </w:tc>
        <w:tc>
          <w:tcPr>
            <w:tcW w:w="2060" w:type="pct"/>
            <w:gridSpan w:val="2"/>
          </w:tcPr>
          <w:p w:rsidR="000018C3" w:rsidRPr="00D01CA1" w:rsidRDefault="000018C3" w:rsidP="00D01CA1">
            <w:pPr>
              <w:spacing w:line="360" w:lineRule="exact"/>
              <w:ind w:firstLineChars="0" w:firstLine="0"/>
              <w:jc w:val="center"/>
              <w:rPr>
                <w:rFonts w:ascii="Times New Roman" w:hAnsi="Times New Roman"/>
                <w:sz w:val="21"/>
              </w:rPr>
            </w:pPr>
            <w:r w:rsidRPr="00D01CA1">
              <w:rPr>
                <w:rFonts w:ascii="Times New Roman" w:hAnsi="Times New Roman"/>
                <w:sz w:val="21"/>
                <w:szCs w:val="18"/>
              </w:rPr>
              <w:t>（八）推动煤炭消费替代。在保障能源安全供应的前提下，继续实施煤炭消费总量控制，到</w:t>
            </w:r>
            <w:r w:rsidRPr="00D01CA1">
              <w:rPr>
                <w:rFonts w:ascii="Times New Roman" w:hAnsi="Times New Roman"/>
                <w:sz w:val="21"/>
                <w:szCs w:val="18"/>
              </w:rPr>
              <w:t>2025</w:t>
            </w:r>
            <w:r w:rsidRPr="00D01CA1">
              <w:rPr>
                <w:rFonts w:ascii="Times New Roman" w:hAnsi="Times New Roman"/>
                <w:sz w:val="21"/>
                <w:szCs w:val="18"/>
              </w:rPr>
              <w:t>年，重点区域煤炭消费量较</w:t>
            </w:r>
            <w:r w:rsidRPr="00D01CA1">
              <w:rPr>
                <w:rFonts w:ascii="Times New Roman" w:hAnsi="Times New Roman"/>
                <w:sz w:val="21"/>
                <w:szCs w:val="18"/>
              </w:rPr>
              <w:t>2020</w:t>
            </w:r>
            <w:r w:rsidRPr="00D01CA1">
              <w:rPr>
                <w:rFonts w:ascii="Times New Roman" w:hAnsi="Times New Roman"/>
                <w:sz w:val="21"/>
                <w:szCs w:val="18"/>
              </w:rPr>
              <w:t>年下降</w:t>
            </w:r>
            <w:r w:rsidRPr="00D01CA1">
              <w:rPr>
                <w:rFonts w:ascii="Times New Roman" w:hAnsi="Times New Roman"/>
                <w:sz w:val="21"/>
                <w:szCs w:val="18"/>
              </w:rPr>
              <w:t>5%</w:t>
            </w:r>
            <w:r w:rsidRPr="00D01CA1">
              <w:rPr>
                <w:rFonts w:ascii="Times New Roman" w:hAnsi="Times New Roman"/>
                <w:sz w:val="21"/>
                <w:szCs w:val="18"/>
              </w:rPr>
              <w:t>左右。重点削减非电力用煤。修订煤炭消费减量替代管理办法。重点区域新改扩建用煤项目，依法实行煤炭等量或减量替代，不得将使用高污染燃料作为煤炭减量替代措施。持续加大民用、农用散煤替代力度，重点区域散煤基本清零，其他地区散煤使用量进一步下降。强化企业商品煤质量管理，鼓励制定更严格的商品煤质量企业标准，提倡生产和使用优质煤。</w:t>
            </w:r>
          </w:p>
        </w:tc>
        <w:tc>
          <w:tcPr>
            <w:tcW w:w="1777" w:type="pct"/>
            <w:vMerge/>
            <w:vAlign w:val="center"/>
          </w:tcPr>
          <w:p w:rsidR="000018C3" w:rsidRPr="00D01CA1" w:rsidRDefault="000018C3" w:rsidP="00D01CA1">
            <w:pPr>
              <w:spacing w:line="360" w:lineRule="exact"/>
              <w:ind w:firstLineChars="0" w:firstLine="0"/>
              <w:jc w:val="center"/>
              <w:rPr>
                <w:rFonts w:ascii="Times New Roman" w:hAnsi="Times New Roman"/>
                <w:sz w:val="21"/>
                <w:szCs w:val="18"/>
              </w:rPr>
            </w:pPr>
          </w:p>
        </w:tc>
        <w:tc>
          <w:tcPr>
            <w:tcW w:w="246" w:type="pct"/>
            <w:vAlign w:val="center"/>
          </w:tcPr>
          <w:p w:rsidR="000018C3" w:rsidRPr="00AB41E0" w:rsidRDefault="000018C3" w:rsidP="00D01CA1">
            <w:pPr>
              <w:pStyle w:val="afffffff2"/>
              <w:rPr>
                <w:rFonts w:cs="Times New Roman"/>
                <w:color w:val="000000" w:themeColor="text1"/>
                <w:kern w:val="0"/>
                <w:sz w:val="21"/>
                <w:szCs w:val="21"/>
              </w:rPr>
            </w:pPr>
            <w:r w:rsidRPr="00AB41E0">
              <w:rPr>
                <w:rFonts w:ascii="Times New Roman" w:hAnsi="Times New Roman" w:cs="Times New Roman"/>
                <w:color w:val="000000" w:themeColor="text1"/>
                <w:kern w:val="0"/>
                <w:sz w:val="21"/>
                <w:szCs w:val="21"/>
              </w:rPr>
              <w:t>符合</w:t>
            </w:r>
          </w:p>
        </w:tc>
      </w:tr>
      <w:tr w:rsidR="000018C3" w:rsidRPr="00AB41E0" w:rsidTr="004411F8">
        <w:tc>
          <w:tcPr>
            <w:tcW w:w="236" w:type="pct"/>
            <w:vMerge/>
            <w:vAlign w:val="center"/>
          </w:tcPr>
          <w:p w:rsidR="000018C3" w:rsidRDefault="000018C3" w:rsidP="000018C3">
            <w:pPr>
              <w:pStyle w:val="afffffff2"/>
              <w:rPr>
                <w:rFonts w:cs="Times New Roman"/>
                <w:kern w:val="0"/>
                <w:sz w:val="21"/>
                <w:szCs w:val="21"/>
              </w:rPr>
            </w:pPr>
          </w:p>
        </w:tc>
        <w:tc>
          <w:tcPr>
            <w:tcW w:w="681" w:type="pct"/>
            <w:vMerge/>
            <w:vAlign w:val="center"/>
          </w:tcPr>
          <w:p w:rsidR="000018C3" w:rsidRPr="00AB41E0" w:rsidRDefault="000018C3" w:rsidP="000018C3">
            <w:pPr>
              <w:pStyle w:val="afffffff2"/>
              <w:rPr>
                <w:rFonts w:cs="Times New Roman"/>
                <w:kern w:val="0"/>
                <w:sz w:val="21"/>
                <w:szCs w:val="21"/>
              </w:rPr>
            </w:pPr>
          </w:p>
        </w:tc>
        <w:tc>
          <w:tcPr>
            <w:tcW w:w="2060" w:type="pct"/>
            <w:gridSpan w:val="2"/>
          </w:tcPr>
          <w:p w:rsidR="000018C3" w:rsidRPr="000018C3" w:rsidRDefault="000018C3" w:rsidP="000018C3">
            <w:pPr>
              <w:spacing w:line="360" w:lineRule="exact"/>
              <w:ind w:firstLineChars="0" w:firstLine="0"/>
              <w:jc w:val="center"/>
              <w:rPr>
                <w:rFonts w:ascii="Times New Roman" w:hAnsi="Times New Roman"/>
                <w:sz w:val="21"/>
              </w:rPr>
            </w:pPr>
            <w:r w:rsidRPr="000018C3">
              <w:rPr>
                <w:rFonts w:ascii="Times New Roman" w:hAnsi="Times New Roman"/>
                <w:sz w:val="21"/>
                <w:szCs w:val="18"/>
              </w:rPr>
              <w:t>（十五）加强建筑工地、道路扬尘污染和矿山综合治理。推</w:t>
            </w:r>
            <w:r w:rsidRPr="000018C3">
              <w:rPr>
                <w:rFonts w:ascii="Times New Roman" w:hAnsi="Times New Roman"/>
                <w:sz w:val="21"/>
                <w:szCs w:val="18"/>
              </w:rPr>
              <w:lastRenderedPageBreak/>
              <w:t>动全省</w:t>
            </w:r>
            <w:r w:rsidRPr="000018C3">
              <w:rPr>
                <w:rFonts w:ascii="Times New Roman" w:hAnsi="Times New Roman"/>
                <w:sz w:val="21"/>
                <w:szCs w:val="18"/>
              </w:rPr>
              <w:t>1</w:t>
            </w:r>
            <w:r w:rsidRPr="000018C3">
              <w:rPr>
                <w:rFonts w:ascii="Times New Roman" w:hAnsi="Times New Roman"/>
                <w:sz w:val="21"/>
                <w:szCs w:val="18"/>
              </w:rPr>
              <w:t>万平方米以上规模建筑工地安装视频监控并接入监管平台，到</w:t>
            </w:r>
            <w:r w:rsidRPr="000018C3">
              <w:rPr>
                <w:rFonts w:ascii="Times New Roman" w:hAnsi="Times New Roman"/>
                <w:sz w:val="21"/>
                <w:szCs w:val="18"/>
              </w:rPr>
              <w:t>2025</w:t>
            </w:r>
            <w:r w:rsidRPr="000018C3">
              <w:rPr>
                <w:rFonts w:ascii="Times New Roman" w:hAnsi="Times New Roman"/>
                <w:sz w:val="21"/>
                <w:szCs w:val="18"/>
              </w:rPr>
              <w:t>年底，安装接入率达</w:t>
            </w:r>
            <w:r w:rsidRPr="000018C3">
              <w:rPr>
                <w:rFonts w:ascii="Times New Roman" w:hAnsi="Times New Roman"/>
                <w:sz w:val="21"/>
                <w:szCs w:val="18"/>
              </w:rPr>
              <w:t>70%</w:t>
            </w:r>
            <w:r w:rsidRPr="000018C3">
              <w:rPr>
                <w:rFonts w:ascii="Times New Roman" w:hAnsi="Times New Roman"/>
                <w:sz w:val="21"/>
                <w:szCs w:val="18"/>
              </w:rPr>
              <w:t>以上，合肥等有条件的市力争达到</w:t>
            </w:r>
            <w:r w:rsidRPr="000018C3">
              <w:rPr>
                <w:rFonts w:ascii="Times New Roman" w:hAnsi="Times New Roman"/>
                <w:sz w:val="21"/>
                <w:szCs w:val="18"/>
              </w:rPr>
              <w:t>100%</w:t>
            </w:r>
            <w:r w:rsidRPr="000018C3">
              <w:rPr>
                <w:rFonts w:ascii="Times New Roman" w:hAnsi="Times New Roman"/>
                <w:sz w:val="21"/>
                <w:szCs w:val="18"/>
              </w:rPr>
              <w:t>。开展道路扬尘污染治理专项行动。推动装配式建筑发展。将防治扬尘污染费用列入安全文明施工措施费等工程造价不可竞争性费用，明确施工单位扬尘污染防治责任。推动建筑业工业化、数字化、绿色化发展，提高城市道路保洁质量和效率。到</w:t>
            </w:r>
            <w:r w:rsidRPr="000018C3">
              <w:rPr>
                <w:rFonts w:ascii="Times New Roman" w:hAnsi="Times New Roman"/>
                <w:sz w:val="21"/>
                <w:szCs w:val="18"/>
              </w:rPr>
              <w:t>2025</w:t>
            </w:r>
            <w:r w:rsidRPr="000018C3">
              <w:rPr>
                <w:rFonts w:ascii="Times New Roman" w:hAnsi="Times New Roman"/>
                <w:sz w:val="21"/>
                <w:szCs w:val="18"/>
              </w:rPr>
              <w:t>年，装配式建筑占新建建筑面积比例</w:t>
            </w:r>
            <w:r w:rsidRPr="000018C3">
              <w:rPr>
                <w:rFonts w:ascii="Times New Roman" w:hAnsi="Times New Roman"/>
                <w:sz w:val="21"/>
                <w:szCs w:val="18"/>
              </w:rPr>
              <w:t>40%</w:t>
            </w:r>
            <w:r w:rsidRPr="000018C3">
              <w:rPr>
                <w:rFonts w:ascii="Times New Roman" w:hAnsi="Times New Roman"/>
                <w:sz w:val="21"/>
                <w:szCs w:val="18"/>
              </w:rPr>
              <w:t>以上，城市建成区道路机械化清扫率达</w:t>
            </w:r>
            <w:r w:rsidRPr="000018C3">
              <w:rPr>
                <w:rFonts w:ascii="Times New Roman" w:hAnsi="Times New Roman"/>
                <w:sz w:val="21"/>
                <w:szCs w:val="18"/>
              </w:rPr>
              <w:t>90%</w:t>
            </w:r>
            <w:r w:rsidRPr="000018C3">
              <w:rPr>
                <w:rFonts w:ascii="Times New Roman" w:hAnsi="Times New Roman"/>
                <w:sz w:val="21"/>
                <w:szCs w:val="18"/>
              </w:rPr>
              <w:t>左右，县城达</w:t>
            </w:r>
            <w:r w:rsidRPr="000018C3">
              <w:rPr>
                <w:rFonts w:ascii="Times New Roman" w:hAnsi="Times New Roman"/>
                <w:sz w:val="21"/>
                <w:szCs w:val="18"/>
              </w:rPr>
              <w:t>70%</w:t>
            </w:r>
            <w:r w:rsidRPr="000018C3">
              <w:rPr>
                <w:rFonts w:ascii="Times New Roman" w:hAnsi="Times New Roman"/>
                <w:sz w:val="21"/>
                <w:szCs w:val="18"/>
              </w:rPr>
              <w:t>左右。加强城市公共裸地扬尘管控，对在建工地、闲置地块等裸露土地开展排查建档，因地制宜落实抑尘措施。严格落实城市大型煤炭、矿石等干散货码头物料堆放场所主体责任，完善露天堆场防风网、喷淋装置、防尘屏障等抑尘设施建设和物料输送系统封闭改造。推动矿山综合治理，限期整改仍不达标的矿山，由矿山所在地人民政府根据安全生产、水土保持、生态环境等要求依法关闭。</w:t>
            </w:r>
          </w:p>
        </w:tc>
        <w:tc>
          <w:tcPr>
            <w:tcW w:w="1777" w:type="pct"/>
            <w:vAlign w:val="center"/>
          </w:tcPr>
          <w:p w:rsidR="000018C3" w:rsidRPr="000018C3" w:rsidRDefault="000018C3" w:rsidP="000018C3">
            <w:pPr>
              <w:spacing w:line="360" w:lineRule="exact"/>
              <w:ind w:firstLineChars="0" w:firstLine="0"/>
              <w:jc w:val="center"/>
              <w:rPr>
                <w:rFonts w:ascii="Times New Roman" w:hAnsi="Times New Roman"/>
                <w:sz w:val="21"/>
                <w:szCs w:val="18"/>
              </w:rPr>
            </w:pPr>
            <w:r w:rsidRPr="000018C3">
              <w:rPr>
                <w:rFonts w:ascii="Times New Roman" w:hAnsi="Times New Roman"/>
                <w:sz w:val="21"/>
                <w:szCs w:val="18"/>
              </w:rPr>
              <w:lastRenderedPageBreak/>
              <w:t>本项目取得手续后的建设期间将严格执行建设工地</w:t>
            </w:r>
            <w:r w:rsidRPr="000018C3">
              <w:rPr>
                <w:rFonts w:ascii="Times New Roman" w:hAnsi="Times New Roman"/>
                <w:sz w:val="21"/>
                <w:szCs w:val="18"/>
              </w:rPr>
              <w:lastRenderedPageBreak/>
              <w:t>6</w:t>
            </w:r>
            <w:r w:rsidRPr="000018C3">
              <w:rPr>
                <w:rFonts w:ascii="Times New Roman" w:hAnsi="Times New Roman"/>
                <w:sz w:val="21"/>
                <w:szCs w:val="18"/>
              </w:rPr>
              <w:t>个百分百要求，严格落实抑尘措施。</w:t>
            </w:r>
          </w:p>
        </w:tc>
        <w:tc>
          <w:tcPr>
            <w:tcW w:w="246" w:type="pct"/>
            <w:vAlign w:val="center"/>
          </w:tcPr>
          <w:p w:rsidR="000018C3" w:rsidRPr="00AB41E0" w:rsidRDefault="000018C3" w:rsidP="000018C3">
            <w:pPr>
              <w:pStyle w:val="afffffff2"/>
              <w:rPr>
                <w:rFonts w:cs="Times New Roman"/>
                <w:color w:val="000000" w:themeColor="text1"/>
                <w:kern w:val="0"/>
                <w:sz w:val="21"/>
                <w:szCs w:val="21"/>
              </w:rPr>
            </w:pPr>
            <w:r w:rsidRPr="00AB41E0">
              <w:rPr>
                <w:rFonts w:ascii="Times New Roman" w:hAnsi="Times New Roman" w:cs="Times New Roman"/>
                <w:color w:val="000000" w:themeColor="text1"/>
                <w:kern w:val="0"/>
                <w:sz w:val="21"/>
                <w:szCs w:val="21"/>
              </w:rPr>
              <w:lastRenderedPageBreak/>
              <w:t>符合</w:t>
            </w:r>
          </w:p>
        </w:tc>
      </w:tr>
      <w:tr w:rsidR="004E3021" w:rsidRPr="00AB41E0" w:rsidTr="00524AE1">
        <w:tc>
          <w:tcPr>
            <w:tcW w:w="236" w:type="pct"/>
            <w:vAlign w:val="center"/>
          </w:tcPr>
          <w:p w:rsidR="004E3021" w:rsidRPr="00AB41E0" w:rsidRDefault="000018C3" w:rsidP="00AB41E0">
            <w:pPr>
              <w:pStyle w:val="afffffff2"/>
              <w:rPr>
                <w:rFonts w:ascii="Times New Roman" w:hAnsi="Times New Roman" w:cs="Times New Roman"/>
                <w:kern w:val="0"/>
                <w:sz w:val="21"/>
                <w:szCs w:val="21"/>
              </w:rPr>
            </w:pPr>
            <w:r>
              <w:rPr>
                <w:rFonts w:ascii="Times New Roman" w:hAnsi="Times New Roman" w:cs="Times New Roman"/>
                <w:kern w:val="0"/>
                <w:sz w:val="21"/>
                <w:szCs w:val="21"/>
              </w:rPr>
              <w:t>9</w:t>
            </w:r>
          </w:p>
        </w:tc>
        <w:tc>
          <w:tcPr>
            <w:tcW w:w="681"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《淮河流域水污染防治暂行条例》</w:t>
            </w: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禁止在淮河流域新建化学制浆造纸企业。</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禁止在淮河流域新建制革、化工、印染、电镀、酿造等污染严重的小型企业。</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严格限制在淮河流域新建前款所列大中型项目或者其他污染严重的项目；建设该类项目的，必须事先征得有关省人民政府环境保护行政主管部门的同意，并报国务院环境保护行政主管部门备案</w:t>
            </w:r>
          </w:p>
        </w:tc>
        <w:tc>
          <w:tcPr>
            <w:tcW w:w="1777" w:type="pct"/>
            <w:vAlign w:val="center"/>
          </w:tcPr>
          <w:p w:rsidR="00E222A5"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项目所在地为淮河流域，项目为</w:t>
            </w:r>
            <w:r w:rsidR="00E222A5">
              <w:rPr>
                <w:rFonts w:ascii="Times New Roman" w:hAnsi="Times New Roman" w:cs="Times New Roman" w:hint="eastAsia"/>
                <w:kern w:val="0"/>
                <w:sz w:val="21"/>
                <w:szCs w:val="21"/>
              </w:rPr>
              <w:t>技改</w:t>
            </w:r>
            <w:r w:rsidR="00E222A5">
              <w:rPr>
                <w:rFonts w:ascii="Times New Roman" w:hAnsi="Times New Roman" w:cs="Times New Roman" w:hint="eastAsia"/>
                <w:kern w:val="0"/>
                <w:sz w:val="21"/>
                <w:szCs w:val="21"/>
              </w:rPr>
              <w:t>/</w:t>
            </w:r>
            <w:r w:rsidRPr="00AB41E0">
              <w:rPr>
                <w:rFonts w:ascii="Times New Roman" w:hAnsi="Times New Roman" w:cs="Times New Roman"/>
                <w:kern w:val="0"/>
                <w:sz w:val="21"/>
                <w:szCs w:val="21"/>
              </w:rPr>
              <w:t>扩建项目，</w:t>
            </w:r>
            <w:r w:rsidR="00E222A5">
              <w:rPr>
                <w:rFonts w:ascii="Times New Roman" w:hAnsi="Times New Roman" w:cs="Times New Roman" w:hint="eastAsia"/>
                <w:kern w:val="0"/>
                <w:sz w:val="21"/>
                <w:szCs w:val="21"/>
              </w:rPr>
              <w:t>不属于新建化工项目。</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该项目已取得《安徽省生态环境厅关于安徽中创电子信息材料有限公司年产</w:t>
            </w:r>
            <w:r w:rsidRPr="00AB41E0">
              <w:rPr>
                <w:rFonts w:ascii="Times New Roman" w:hAnsi="Times New Roman" w:cs="Times New Roman"/>
                <w:kern w:val="0"/>
                <w:sz w:val="21"/>
                <w:szCs w:val="21"/>
              </w:rPr>
              <w:t>5000</w:t>
            </w:r>
            <w:r w:rsidRPr="00AB41E0">
              <w:rPr>
                <w:rFonts w:ascii="Times New Roman" w:hAnsi="Times New Roman" w:cs="Times New Roman"/>
                <w:kern w:val="0"/>
                <w:sz w:val="21"/>
                <w:szCs w:val="21"/>
              </w:rPr>
              <w:t>吨超纯二氧化硅项目环保预审的批复》（皖环办复</w:t>
            </w:r>
            <w:r w:rsidRPr="00AB41E0">
              <w:rPr>
                <w:rFonts w:ascii="Times New Roman" w:hAnsi="Times New Roman" w:cs="Times New Roman"/>
                <w:kern w:val="0"/>
                <w:sz w:val="21"/>
                <w:szCs w:val="21"/>
              </w:rPr>
              <w:t>[2022]643</w:t>
            </w:r>
            <w:r w:rsidRPr="00AB41E0">
              <w:rPr>
                <w:rFonts w:ascii="Times New Roman" w:hAnsi="Times New Roman" w:cs="Times New Roman"/>
                <w:kern w:val="0"/>
                <w:sz w:val="21"/>
                <w:szCs w:val="21"/>
              </w:rPr>
              <w:t>号），同意上述项目开展环评等相关前期工作。</w:t>
            </w:r>
          </w:p>
        </w:tc>
        <w:tc>
          <w:tcPr>
            <w:tcW w:w="246" w:type="pct"/>
            <w:vAlign w:val="center"/>
          </w:tcPr>
          <w:p w:rsidR="004E3021" w:rsidRPr="00AB41E0" w:rsidRDefault="00606E48" w:rsidP="00AB41E0">
            <w:pPr>
              <w:pStyle w:val="afffffff2"/>
              <w:rPr>
                <w:rFonts w:ascii="Times New Roman" w:hAnsi="Times New Roman" w:cs="Times New Roman"/>
                <w:color w:val="FF0000"/>
                <w:kern w:val="0"/>
                <w:sz w:val="21"/>
                <w:szCs w:val="21"/>
              </w:rPr>
            </w:pPr>
            <w:r w:rsidRPr="00AB41E0">
              <w:rPr>
                <w:rFonts w:ascii="Times New Roman" w:hAnsi="Times New Roman" w:cs="Times New Roman"/>
                <w:color w:val="000000" w:themeColor="text1"/>
                <w:kern w:val="0"/>
                <w:sz w:val="21"/>
                <w:szCs w:val="21"/>
              </w:rPr>
              <w:t>符合</w:t>
            </w:r>
          </w:p>
        </w:tc>
      </w:tr>
      <w:tr w:rsidR="004E3021" w:rsidRPr="00AB41E0" w:rsidTr="00524AE1">
        <w:tc>
          <w:tcPr>
            <w:tcW w:w="236" w:type="pct"/>
            <w:vAlign w:val="center"/>
          </w:tcPr>
          <w:p w:rsidR="004E3021" w:rsidRPr="00AB41E0" w:rsidRDefault="000018C3" w:rsidP="00AB41E0">
            <w:pPr>
              <w:pStyle w:val="afffffff2"/>
              <w:rPr>
                <w:rFonts w:ascii="Times New Roman" w:hAnsi="Times New Roman" w:cs="Times New Roman"/>
                <w:kern w:val="0"/>
                <w:sz w:val="21"/>
                <w:szCs w:val="21"/>
              </w:rPr>
            </w:pPr>
            <w:r>
              <w:rPr>
                <w:rFonts w:ascii="Times New Roman" w:hAnsi="Times New Roman" w:cs="Times New Roman"/>
                <w:kern w:val="0"/>
                <w:sz w:val="21"/>
                <w:szCs w:val="21"/>
              </w:rPr>
              <w:lastRenderedPageBreak/>
              <w:t>10</w:t>
            </w:r>
          </w:p>
        </w:tc>
        <w:tc>
          <w:tcPr>
            <w:tcW w:w="681" w:type="pct"/>
            <w:vAlign w:val="center"/>
          </w:tcPr>
          <w:p w:rsidR="004E3021" w:rsidRPr="00AB41E0" w:rsidRDefault="00606E48" w:rsidP="00D01CA1">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《安徽省水污染防治工作方案》国发</w:t>
            </w:r>
            <w:r w:rsidRPr="00AB41E0">
              <w:rPr>
                <w:rFonts w:ascii="Times New Roman" w:hAnsi="Times New Roman" w:cs="Times New Roman"/>
                <w:kern w:val="0"/>
                <w:sz w:val="21"/>
                <w:szCs w:val="21"/>
              </w:rPr>
              <w:t>[2015]17</w:t>
            </w:r>
            <w:r w:rsidRPr="00AB41E0">
              <w:rPr>
                <w:rFonts w:ascii="Times New Roman" w:hAnsi="Times New Roman" w:cs="Times New Roman"/>
                <w:kern w:val="0"/>
                <w:sz w:val="21"/>
                <w:szCs w:val="21"/>
              </w:rPr>
              <w:t>号</w:t>
            </w: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狠抓工业污染防治。取缔</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十小</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企业。全面排查装备水平低、环保设施差的小型工业企业。</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2016</w:t>
            </w:r>
            <w:r w:rsidRPr="00AB41E0">
              <w:rPr>
                <w:rFonts w:ascii="Times New Roman" w:hAnsi="Times New Roman" w:cs="Times New Roman"/>
                <w:kern w:val="0"/>
                <w:sz w:val="21"/>
                <w:szCs w:val="21"/>
              </w:rPr>
              <w:t>年底前，按照水污染防治法律法规要求，全面排查和取缔不符合国家产业政策的小型造纸、制革、印染、染料、炼焦、炼硫、炼砷、炼油、电镀、农药等严重污染水环境的生产项目。</w:t>
            </w:r>
          </w:p>
        </w:tc>
        <w:tc>
          <w:tcPr>
            <w:tcW w:w="177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企业现有装备及拟建设项目均不属于</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十小</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企业，不属于取缔项目。</w:t>
            </w:r>
          </w:p>
        </w:tc>
        <w:tc>
          <w:tcPr>
            <w:tcW w:w="246" w:type="pct"/>
            <w:vAlign w:val="center"/>
          </w:tcPr>
          <w:p w:rsidR="004E3021" w:rsidRPr="00AB41E0" w:rsidRDefault="00606E48" w:rsidP="00AB41E0">
            <w:pPr>
              <w:pStyle w:val="afffffff2"/>
              <w:rPr>
                <w:rFonts w:ascii="Times New Roman" w:hAnsi="Times New Roman" w:cs="Times New Roman"/>
                <w:color w:val="FF0000"/>
                <w:kern w:val="0"/>
                <w:sz w:val="21"/>
                <w:szCs w:val="21"/>
              </w:rPr>
            </w:pPr>
            <w:r w:rsidRPr="00AB41E0">
              <w:rPr>
                <w:rFonts w:ascii="Times New Roman" w:hAnsi="Times New Roman" w:cs="Times New Roman"/>
                <w:color w:val="000000" w:themeColor="text1"/>
                <w:kern w:val="0"/>
                <w:sz w:val="21"/>
                <w:szCs w:val="21"/>
              </w:rPr>
              <w:t>符合</w:t>
            </w:r>
          </w:p>
        </w:tc>
      </w:tr>
      <w:tr w:rsidR="004E3021" w:rsidRPr="00AB41E0" w:rsidTr="00524AE1">
        <w:tc>
          <w:tcPr>
            <w:tcW w:w="236" w:type="pct"/>
            <w:vAlign w:val="center"/>
          </w:tcPr>
          <w:p w:rsidR="004E3021" w:rsidRPr="00AB41E0" w:rsidRDefault="000018C3" w:rsidP="00AB41E0">
            <w:pPr>
              <w:pStyle w:val="afffffff2"/>
              <w:rPr>
                <w:rFonts w:ascii="Times New Roman" w:hAnsi="Times New Roman" w:cs="Times New Roman"/>
                <w:kern w:val="0"/>
                <w:sz w:val="21"/>
                <w:szCs w:val="21"/>
              </w:rPr>
            </w:pPr>
            <w:r>
              <w:rPr>
                <w:rFonts w:ascii="Times New Roman" w:hAnsi="Times New Roman" w:cs="Times New Roman"/>
                <w:kern w:val="0"/>
                <w:sz w:val="21"/>
                <w:szCs w:val="21"/>
              </w:rPr>
              <w:t>11</w:t>
            </w:r>
          </w:p>
        </w:tc>
        <w:tc>
          <w:tcPr>
            <w:tcW w:w="681" w:type="pct"/>
            <w:vAlign w:val="center"/>
          </w:tcPr>
          <w:p w:rsidR="004E3021" w:rsidRPr="00AB41E0" w:rsidRDefault="00606E48" w:rsidP="00D01CA1">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《安徽省淮河流域水污染防治条例》</w:t>
            </w: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严格限制在淮河流域新建印染、制革、化工、电镀、酿造等大中型项目或者其他污染严重的项目；建设该类项目的，应当事前征得省人民政府生态环境行政主管部门的同意，并按照规定办理有关手续。</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新建、改建、扩建直接或者间接向水体排放污染物的建设项目和其他水上设施，应当依法进行环境影响评价。建设项目的水污染防治设施，应当符合经批准或者备案的环境影响评价文件的要求，并与主体工程同时设计、同时施工、同时投入使用。除执</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行前款规定外，还应当遵守下列规定：新建项目的选址应符合城市总体规划，避开饮用水水源地和对环境有特殊要求的功能区；</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采用资源利用率高、污染物排放量少的先进设备和先进工艺。</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在饮用水水源保护区内，禁止设置排污口。</w:t>
            </w:r>
          </w:p>
          <w:p w:rsidR="004E3021" w:rsidRPr="00AB41E0" w:rsidRDefault="00606E48" w:rsidP="00AB41E0">
            <w:pPr>
              <w:pStyle w:val="afffffff2"/>
              <w:ind w:firstLineChars="200" w:firstLine="420"/>
              <w:rPr>
                <w:rFonts w:ascii="Times New Roman" w:hAnsi="Times New Roman" w:cs="Times New Roman"/>
                <w:kern w:val="0"/>
                <w:sz w:val="21"/>
                <w:szCs w:val="21"/>
              </w:rPr>
            </w:pPr>
            <w:r w:rsidRPr="00AB41E0">
              <w:rPr>
                <w:rFonts w:ascii="Times New Roman" w:hAnsi="Times New Roman" w:cs="Times New Roman"/>
                <w:kern w:val="0"/>
                <w:sz w:val="21"/>
                <w:szCs w:val="21"/>
              </w:rPr>
              <w:t>禁止下列行为：向水体排放或者倾倒油类、酸液、碱液和其他有毒有害液体；在水体中清洗装贮过有毒有害污染物的车辆、船舶和容器；向水体排放、倾倒含有汞、镉、砷、</w:t>
            </w:r>
            <w:r w:rsidRPr="00AB41E0">
              <w:rPr>
                <w:rFonts w:ascii="Times New Roman" w:hAnsi="Times New Roman" w:cs="Times New Roman"/>
                <w:kern w:val="0"/>
                <w:sz w:val="21"/>
                <w:szCs w:val="21"/>
              </w:rPr>
              <w:lastRenderedPageBreak/>
              <w:t>铬、铅、氰化物、黄磷等可溶性剧毒废液或者将上述物质直接埋入地下；向水体排放、倾倒工业废渣、城镇垃圾和其他废弃物；在河流、湖泊、运河、渠道、水库最高水位线以下的滩地和岸坡堆放、贮存固体废弃物和其他污染物；引进不符合国家环境保护规定要求的技术和设备；法律、法规禁止的其他行为</w:t>
            </w:r>
          </w:p>
        </w:tc>
        <w:tc>
          <w:tcPr>
            <w:tcW w:w="1777" w:type="pct"/>
            <w:vAlign w:val="center"/>
          </w:tcPr>
          <w:p w:rsidR="004E3021" w:rsidRPr="00AB41E0" w:rsidRDefault="00E222A5" w:rsidP="00AB41E0">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lastRenderedPageBreak/>
              <w:t>本</w:t>
            </w:r>
            <w:r w:rsidR="00606E48" w:rsidRPr="00AB41E0">
              <w:rPr>
                <w:rFonts w:ascii="Times New Roman" w:hAnsi="Times New Roman" w:cs="Times New Roman"/>
                <w:kern w:val="0"/>
                <w:sz w:val="21"/>
                <w:szCs w:val="21"/>
              </w:rPr>
              <w:t>项目已取得</w:t>
            </w:r>
            <w:r w:rsidRPr="00E222A5">
              <w:rPr>
                <w:rFonts w:ascii="Times New Roman" w:hAnsi="Times New Roman" w:cs="Times New Roman" w:hint="eastAsia"/>
                <w:kern w:val="0"/>
                <w:sz w:val="21"/>
                <w:szCs w:val="21"/>
              </w:rPr>
              <w:t>蚌埠市</w:t>
            </w:r>
            <w:r w:rsidRPr="00E222A5">
              <w:rPr>
                <w:rFonts w:ascii="Times New Roman" w:hAnsi="Times New Roman" w:cs="Times New Roman"/>
                <w:kern w:val="0"/>
                <w:sz w:val="21"/>
                <w:szCs w:val="21"/>
              </w:rPr>
              <w:t>淮上区</w:t>
            </w:r>
            <w:r w:rsidRPr="00E222A5">
              <w:rPr>
                <w:rFonts w:ascii="Times New Roman" w:hAnsi="Times New Roman" w:cs="Times New Roman" w:hint="eastAsia"/>
                <w:kern w:val="0"/>
                <w:sz w:val="21"/>
                <w:szCs w:val="21"/>
              </w:rPr>
              <w:t>科技经济信息化局</w:t>
            </w:r>
            <w:r w:rsidR="00606E48" w:rsidRPr="00AB41E0">
              <w:rPr>
                <w:rFonts w:ascii="Times New Roman" w:hAnsi="Times New Roman" w:cs="Times New Roman"/>
                <w:kern w:val="0"/>
                <w:sz w:val="21"/>
                <w:szCs w:val="21"/>
              </w:rPr>
              <w:t>的备案；</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项目位于蚌埠精细化工高新技术产业基地，符合城市总体规划。采用国内先进的生产工艺，设备、工艺先进，节能降耗。</w:t>
            </w:r>
          </w:p>
          <w:p w:rsidR="004E3021" w:rsidRPr="00AB41E0" w:rsidRDefault="006218D5" w:rsidP="00AB41E0">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本</w:t>
            </w:r>
            <w:r w:rsidR="00606E48" w:rsidRPr="00AB41E0">
              <w:rPr>
                <w:rFonts w:ascii="Times New Roman" w:hAnsi="Times New Roman" w:cs="Times New Roman"/>
                <w:kern w:val="0"/>
                <w:sz w:val="21"/>
                <w:szCs w:val="21"/>
              </w:rPr>
              <w:t>项目污水经</w:t>
            </w:r>
            <w:r>
              <w:rPr>
                <w:rFonts w:ascii="Times New Roman" w:hAnsi="Times New Roman" w:cs="Times New Roman" w:hint="eastAsia"/>
                <w:kern w:val="0"/>
                <w:sz w:val="21"/>
                <w:szCs w:val="21"/>
              </w:rPr>
              <w:t>厂区</w:t>
            </w:r>
            <w:r w:rsidR="00606E48" w:rsidRPr="00AB41E0">
              <w:rPr>
                <w:rFonts w:ascii="Times New Roman" w:hAnsi="Times New Roman" w:cs="Times New Roman"/>
                <w:kern w:val="0"/>
                <w:sz w:val="21"/>
                <w:szCs w:val="21"/>
              </w:rPr>
              <w:t>污水处理站处理后接管进沫河口污水处理厂，不单独设置排污口。</w:t>
            </w:r>
          </w:p>
          <w:p w:rsidR="004E3021" w:rsidRPr="00AB41E0" w:rsidRDefault="006218D5" w:rsidP="00AB41E0">
            <w:pPr>
              <w:pStyle w:val="afffffff2"/>
              <w:rPr>
                <w:rFonts w:ascii="Times New Roman" w:hAnsi="Times New Roman" w:cs="Times New Roman"/>
                <w:kern w:val="0"/>
                <w:sz w:val="21"/>
                <w:szCs w:val="21"/>
              </w:rPr>
            </w:pPr>
            <w:r>
              <w:rPr>
                <w:rFonts w:ascii="Times New Roman" w:hAnsi="Times New Roman" w:cs="Times New Roman"/>
                <w:kern w:val="0"/>
                <w:sz w:val="21"/>
                <w:szCs w:val="21"/>
              </w:rPr>
              <w:t>各类一般固废回收利用或外售，</w:t>
            </w:r>
            <w:r w:rsidR="00606E48" w:rsidRPr="00AB41E0">
              <w:rPr>
                <w:rFonts w:ascii="Times New Roman" w:hAnsi="Times New Roman" w:cs="Times New Roman"/>
                <w:kern w:val="0"/>
                <w:sz w:val="21"/>
                <w:szCs w:val="21"/>
              </w:rPr>
              <w:t>危废委托具有资质的单位进行处置，均不随意处置，不外排。</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本项目严格落实环评制度及</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三同时</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制度。</w:t>
            </w:r>
          </w:p>
        </w:tc>
        <w:tc>
          <w:tcPr>
            <w:tcW w:w="246" w:type="pct"/>
            <w:vAlign w:val="center"/>
          </w:tcPr>
          <w:p w:rsidR="004E3021" w:rsidRPr="00AB41E0" w:rsidRDefault="00606E48" w:rsidP="00AB41E0">
            <w:pPr>
              <w:pStyle w:val="afffffff2"/>
              <w:rPr>
                <w:rFonts w:ascii="Times New Roman" w:hAnsi="Times New Roman" w:cs="Times New Roman"/>
                <w:color w:val="FF0000"/>
                <w:kern w:val="0"/>
                <w:sz w:val="21"/>
                <w:szCs w:val="21"/>
              </w:rPr>
            </w:pPr>
            <w:r w:rsidRPr="00AB41E0">
              <w:rPr>
                <w:rFonts w:ascii="Times New Roman" w:hAnsi="Times New Roman" w:cs="Times New Roman"/>
                <w:color w:val="000000" w:themeColor="text1"/>
                <w:kern w:val="0"/>
                <w:sz w:val="21"/>
                <w:szCs w:val="21"/>
              </w:rPr>
              <w:t>符合</w:t>
            </w:r>
          </w:p>
        </w:tc>
      </w:tr>
      <w:tr w:rsidR="004E3021" w:rsidRPr="00AB41E0" w:rsidTr="00524AE1">
        <w:tc>
          <w:tcPr>
            <w:tcW w:w="236" w:type="pct"/>
            <w:vMerge w:val="restart"/>
            <w:vAlign w:val="center"/>
          </w:tcPr>
          <w:p w:rsidR="004E3021" w:rsidRPr="00AB41E0" w:rsidRDefault="000018C3" w:rsidP="00AB41E0">
            <w:pPr>
              <w:pStyle w:val="afffffff2"/>
              <w:rPr>
                <w:rFonts w:ascii="Times New Roman" w:hAnsi="Times New Roman" w:cs="Times New Roman"/>
                <w:kern w:val="0"/>
                <w:sz w:val="21"/>
                <w:szCs w:val="21"/>
              </w:rPr>
            </w:pPr>
            <w:r>
              <w:rPr>
                <w:rFonts w:ascii="Times New Roman" w:hAnsi="Times New Roman" w:cs="Times New Roman"/>
                <w:kern w:val="0"/>
                <w:sz w:val="21"/>
                <w:szCs w:val="21"/>
              </w:rPr>
              <w:t>12</w:t>
            </w:r>
          </w:p>
        </w:tc>
        <w:tc>
          <w:tcPr>
            <w:tcW w:w="681" w:type="pct"/>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关于印发《蚌埠市化工园区项目准入条件（试行）的通知》</w:t>
            </w: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本准入条件适用范围：新入园化工项目、退市入园化工项目和改扩建化工项目。</w:t>
            </w:r>
          </w:p>
        </w:tc>
        <w:tc>
          <w:tcPr>
            <w:tcW w:w="1777" w:type="pct"/>
            <w:vAlign w:val="center"/>
          </w:tcPr>
          <w:p w:rsidR="004E3021" w:rsidRPr="00AB41E0" w:rsidRDefault="00606E48" w:rsidP="000018C3">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本项目属于</w:t>
            </w:r>
            <w:r w:rsidR="000018C3">
              <w:rPr>
                <w:rFonts w:ascii="Times New Roman" w:hAnsi="Times New Roman" w:cs="Times New Roman" w:hint="eastAsia"/>
                <w:kern w:val="0"/>
                <w:sz w:val="21"/>
                <w:szCs w:val="21"/>
              </w:rPr>
              <w:t>技改</w:t>
            </w:r>
            <w:r w:rsidR="000018C3">
              <w:rPr>
                <w:rFonts w:ascii="Times New Roman" w:hAnsi="Times New Roman" w:cs="Times New Roman" w:hint="eastAsia"/>
                <w:kern w:val="0"/>
                <w:sz w:val="21"/>
                <w:szCs w:val="21"/>
              </w:rPr>
              <w:t>/</w:t>
            </w:r>
            <w:r w:rsidRPr="00AB41E0">
              <w:rPr>
                <w:rFonts w:ascii="Times New Roman" w:hAnsi="Times New Roman" w:cs="Times New Roman"/>
                <w:kern w:val="0"/>
                <w:sz w:val="21"/>
                <w:szCs w:val="21"/>
              </w:rPr>
              <w:t>扩建项目。</w:t>
            </w:r>
          </w:p>
        </w:tc>
        <w:tc>
          <w:tcPr>
            <w:tcW w:w="246" w:type="pct"/>
            <w:vAlign w:val="center"/>
          </w:tcPr>
          <w:p w:rsidR="004E3021" w:rsidRPr="00AB41E0" w:rsidRDefault="00606E48" w:rsidP="00AB41E0">
            <w:pPr>
              <w:pStyle w:val="afffffff2"/>
              <w:rPr>
                <w:rFonts w:ascii="Times New Roman" w:hAnsi="Times New Roman" w:cs="Times New Roman"/>
                <w:color w:val="000000" w:themeColor="text1"/>
                <w:kern w:val="0"/>
                <w:sz w:val="21"/>
                <w:szCs w:val="21"/>
              </w:rPr>
            </w:pPr>
            <w:r w:rsidRPr="00AB41E0">
              <w:rPr>
                <w:rFonts w:ascii="Times New Roman" w:hAnsi="Times New Roman" w:cs="Times New Roman"/>
                <w:color w:val="000000" w:themeColor="text1"/>
                <w:kern w:val="0"/>
                <w:sz w:val="21"/>
                <w:szCs w:val="21"/>
              </w:rPr>
              <w:t>符合</w:t>
            </w:r>
          </w:p>
        </w:tc>
      </w:tr>
      <w:tr w:rsidR="004E3021" w:rsidRPr="00AB41E0" w:rsidTr="00524AE1">
        <w:tc>
          <w:tcPr>
            <w:tcW w:w="236"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81"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项目须入驻蚌埠淮上化工园区</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淮上经济开发区（沫河口）</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和蚌埠固镇化工园区（固镇经济开发区化工集中区）等省政府认定的合规化工园区，并符合相关化工园区的产业规划定位。</w:t>
            </w:r>
          </w:p>
        </w:tc>
        <w:tc>
          <w:tcPr>
            <w:tcW w:w="1777" w:type="pct"/>
            <w:vAlign w:val="center"/>
          </w:tcPr>
          <w:p w:rsidR="004E3021" w:rsidRPr="00AB41E0" w:rsidRDefault="000018C3" w:rsidP="000018C3">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本</w:t>
            </w:r>
            <w:r w:rsidR="00606E48" w:rsidRPr="00AB41E0">
              <w:rPr>
                <w:rFonts w:ascii="Times New Roman" w:hAnsi="Times New Roman" w:cs="Times New Roman"/>
                <w:kern w:val="0"/>
                <w:sz w:val="21"/>
                <w:szCs w:val="21"/>
              </w:rPr>
              <w:t>项目位于蚌埠淮上化工园区</w:t>
            </w:r>
            <w:r w:rsidR="00606E48" w:rsidRPr="00AB41E0">
              <w:rPr>
                <w:rFonts w:ascii="Times New Roman" w:hAnsi="Times New Roman" w:cs="Times New Roman"/>
                <w:kern w:val="0"/>
                <w:sz w:val="21"/>
                <w:szCs w:val="21"/>
              </w:rPr>
              <w:t>[</w:t>
            </w:r>
            <w:r w:rsidR="00606E48" w:rsidRPr="00AB41E0">
              <w:rPr>
                <w:rFonts w:ascii="Times New Roman" w:hAnsi="Times New Roman" w:cs="Times New Roman"/>
                <w:kern w:val="0"/>
                <w:sz w:val="21"/>
                <w:szCs w:val="21"/>
              </w:rPr>
              <w:t>淮上经济开发区（沫河口）</w:t>
            </w:r>
            <w:r w:rsidR="00606E48" w:rsidRPr="00AB41E0">
              <w:rPr>
                <w:rFonts w:ascii="Times New Roman" w:hAnsi="Times New Roman" w:cs="Times New Roman"/>
                <w:kern w:val="0"/>
                <w:sz w:val="21"/>
                <w:szCs w:val="21"/>
              </w:rPr>
              <w:t>]</w:t>
            </w:r>
            <w:r w:rsidR="00606E48" w:rsidRPr="00AB41E0">
              <w:rPr>
                <w:rFonts w:ascii="Times New Roman" w:hAnsi="Times New Roman" w:cs="Times New Roman"/>
                <w:kern w:val="0"/>
                <w:sz w:val="21"/>
                <w:szCs w:val="21"/>
              </w:rPr>
              <w:t>，本项目产品为硅烷新材料，属于</w:t>
            </w:r>
            <w:r>
              <w:rPr>
                <w:rFonts w:ascii="Times New Roman" w:hAnsi="Times New Roman" w:cs="Times New Roman"/>
                <w:color w:val="000000" w:themeColor="text1"/>
                <w:kern w:val="0"/>
                <w:sz w:val="21"/>
                <w:szCs w:val="21"/>
              </w:rPr>
              <w:t>精细化工</w:t>
            </w:r>
            <w:r w:rsidR="00606E48" w:rsidRPr="00AB41E0">
              <w:rPr>
                <w:rFonts w:ascii="Times New Roman" w:hAnsi="Times New Roman" w:cs="Times New Roman"/>
                <w:color w:val="000000" w:themeColor="text1"/>
                <w:kern w:val="0"/>
                <w:sz w:val="21"/>
                <w:szCs w:val="21"/>
              </w:rPr>
              <w:t>产业，</w:t>
            </w:r>
            <w:r w:rsidR="00606E48" w:rsidRPr="00AB41E0">
              <w:rPr>
                <w:rFonts w:ascii="Times New Roman" w:hAnsi="Times New Roman" w:cs="Times New Roman"/>
                <w:kern w:val="0"/>
                <w:sz w:val="21"/>
                <w:szCs w:val="21"/>
              </w:rPr>
              <w:t>其建设符合蚌埠精细化工产业基地产业定位要求。</w:t>
            </w:r>
          </w:p>
        </w:tc>
        <w:tc>
          <w:tcPr>
            <w:tcW w:w="246" w:type="pct"/>
            <w:vAlign w:val="center"/>
          </w:tcPr>
          <w:p w:rsidR="004E3021" w:rsidRPr="00AB41E0" w:rsidRDefault="00606E48" w:rsidP="00AB41E0">
            <w:pPr>
              <w:pStyle w:val="afffffff2"/>
              <w:rPr>
                <w:rFonts w:ascii="Times New Roman" w:hAnsi="Times New Roman" w:cs="Times New Roman"/>
                <w:color w:val="000000" w:themeColor="text1"/>
                <w:kern w:val="0"/>
                <w:sz w:val="21"/>
                <w:szCs w:val="21"/>
              </w:rPr>
            </w:pPr>
            <w:r w:rsidRPr="00AB41E0">
              <w:rPr>
                <w:rFonts w:ascii="Times New Roman" w:hAnsi="Times New Roman" w:cs="Times New Roman"/>
                <w:color w:val="000000" w:themeColor="text1"/>
                <w:kern w:val="0"/>
                <w:sz w:val="21"/>
                <w:szCs w:val="21"/>
              </w:rPr>
              <w:t>符合</w:t>
            </w:r>
          </w:p>
        </w:tc>
      </w:tr>
      <w:tr w:rsidR="004E3021" w:rsidRPr="00AB41E0" w:rsidTr="00524AE1">
        <w:tc>
          <w:tcPr>
            <w:tcW w:w="236"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81"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项目应与</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三线一单</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（生态保护红线、环境质量底线、资源利用上线和生态环境准入清单）相协调，并符合园区产业定位、规划规划环评要求。</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新建化工项目需按照《安徽省淮河流域水污染防</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治条例》和《安徽省环保厅关于进一步明确淮河巢湖流域重污染行业项目省级环保预审范围及内容的通知》（皖环发</w:t>
            </w:r>
            <w:r w:rsidRPr="00AB41E0">
              <w:rPr>
                <w:rFonts w:ascii="Times New Roman" w:hAnsi="Times New Roman" w:cs="Times New Roman"/>
                <w:kern w:val="0"/>
                <w:sz w:val="21"/>
                <w:szCs w:val="21"/>
              </w:rPr>
              <w:t>[2013]85</w:t>
            </w:r>
            <w:r w:rsidRPr="00AB41E0">
              <w:rPr>
                <w:rFonts w:ascii="Times New Roman" w:hAnsi="Times New Roman" w:cs="Times New Roman"/>
                <w:kern w:val="0"/>
                <w:sz w:val="21"/>
                <w:szCs w:val="21"/>
              </w:rPr>
              <w:t>号）有关规定，依法报安徽省生态环境厅开展环保预审。</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新建、改建、扩建</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两高</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项目须符合生态环境保护法律法规和相关法定规划，满足重点污染物排放总量控制、碳排放达峰目标、生态环境准入清单、相关规划环评和相应行业建设项目环境准入条件、环评文件审批原则要求。</w:t>
            </w:r>
          </w:p>
        </w:tc>
        <w:tc>
          <w:tcPr>
            <w:tcW w:w="177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bCs/>
                <w:kern w:val="0"/>
                <w:sz w:val="21"/>
                <w:szCs w:val="21"/>
              </w:rPr>
              <w:t>本项目符合</w:t>
            </w:r>
            <w:r w:rsidRPr="00AB41E0">
              <w:rPr>
                <w:rFonts w:ascii="Times New Roman" w:hAnsi="Times New Roman" w:cs="Times New Roman"/>
                <w:bCs/>
                <w:kern w:val="0"/>
                <w:sz w:val="21"/>
                <w:szCs w:val="21"/>
              </w:rPr>
              <w:t>“</w:t>
            </w:r>
            <w:r w:rsidRPr="00AB41E0">
              <w:rPr>
                <w:rFonts w:ascii="Times New Roman" w:hAnsi="Times New Roman" w:cs="Times New Roman"/>
                <w:bCs/>
                <w:kern w:val="0"/>
                <w:sz w:val="21"/>
                <w:szCs w:val="21"/>
              </w:rPr>
              <w:t>三线一单</w:t>
            </w:r>
            <w:r w:rsidRPr="00AB41E0">
              <w:rPr>
                <w:rFonts w:ascii="Times New Roman" w:hAnsi="Times New Roman" w:cs="Times New Roman"/>
                <w:bCs/>
                <w:kern w:val="0"/>
                <w:sz w:val="21"/>
                <w:szCs w:val="21"/>
              </w:rPr>
              <w:t>”</w:t>
            </w:r>
            <w:r w:rsidRPr="00AB41E0">
              <w:rPr>
                <w:rFonts w:ascii="Times New Roman" w:hAnsi="Times New Roman" w:cs="Times New Roman"/>
                <w:bCs/>
                <w:kern w:val="0"/>
                <w:sz w:val="21"/>
                <w:szCs w:val="21"/>
              </w:rPr>
              <w:t>（</w:t>
            </w:r>
            <w:r w:rsidRPr="00AB41E0">
              <w:rPr>
                <w:rFonts w:ascii="Times New Roman" w:hAnsi="Times New Roman" w:cs="Times New Roman"/>
                <w:kern w:val="0"/>
                <w:sz w:val="21"/>
                <w:szCs w:val="21"/>
              </w:rPr>
              <w:t>生态保护红线、环境质量底线、资源利用上线和生态环境准入清单）相协调，并符合园区产业定位、园区规划及规划环评的要求。</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本项目已取得《安徽省生态环境厅关于安徽中创电子信息材料有限公司年产</w:t>
            </w:r>
            <w:r w:rsidRPr="00AB41E0">
              <w:rPr>
                <w:rFonts w:ascii="Times New Roman" w:hAnsi="Times New Roman" w:cs="Times New Roman"/>
                <w:kern w:val="0"/>
                <w:sz w:val="21"/>
                <w:szCs w:val="21"/>
              </w:rPr>
              <w:t>5000</w:t>
            </w:r>
            <w:r w:rsidRPr="00AB41E0">
              <w:rPr>
                <w:rFonts w:ascii="Times New Roman" w:hAnsi="Times New Roman" w:cs="Times New Roman"/>
                <w:kern w:val="0"/>
                <w:sz w:val="21"/>
                <w:szCs w:val="21"/>
              </w:rPr>
              <w:t>吨超纯二氧化硅项目环保预审的批复》（皖环办复</w:t>
            </w:r>
            <w:r w:rsidRPr="00AB41E0">
              <w:rPr>
                <w:rFonts w:ascii="Times New Roman" w:hAnsi="Times New Roman" w:cs="Times New Roman"/>
                <w:kern w:val="0"/>
                <w:sz w:val="21"/>
                <w:szCs w:val="21"/>
              </w:rPr>
              <w:t>[2022]643</w:t>
            </w:r>
            <w:r w:rsidRPr="00AB41E0">
              <w:rPr>
                <w:rFonts w:ascii="Times New Roman" w:hAnsi="Times New Roman" w:cs="Times New Roman"/>
                <w:kern w:val="0"/>
                <w:sz w:val="21"/>
                <w:szCs w:val="21"/>
              </w:rPr>
              <w:t>号），同意上述项目开展环评等相关前期工作。</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对照《安徽省</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两高</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项目管理目录（试行）》，本项目不属于</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两高</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项目。</w:t>
            </w:r>
          </w:p>
        </w:tc>
        <w:tc>
          <w:tcPr>
            <w:tcW w:w="246" w:type="pct"/>
            <w:vAlign w:val="center"/>
          </w:tcPr>
          <w:p w:rsidR="004E3021" w:rsidRPr="00AB41E0" w:rsidRDefault="00606E48" w:rsidP="00AB41E0">
            <w:pPr>
              <w:pStyle w:val="afffffff2"/>
              <w:rPr>
                <w:rFonts w:ascii="Times New Roman" w:hAnsi="Times New Roman" w:cs="Times New Roman"/>
                <w:color w:val="000000" w:themeColor="text1"/>
                <w:kern w:val="0"/>
                <w:sz w:val="21"/>
                <w:szCs w:val="21"/>
              </w:rPr>
            </w:pPr>
            <w:r w:rsidRPr="00AB41E0">
              <w:rPr>
                <w:rFonts w:ascii="Times New Roman" w:hAnsi="Times New Roman" w:cs="Times New Roman"/>
                <w:color w:val="000000" w:themeColor="text1"/>
                <w:kern w:val="0"/>
                <w:sz w:val="21"/>
                <w:szCs w:val="21"/>
              </w:rPr>
              <w:t>符合</w:t>
            </w:r>
          </w:p>
        </w:tc>
      </w:tr>
      <w:tr w:rsidR="004E3021" w:rsidRPr="00AB41E0" w:rsidTr="00524AE1">
        <w:tc>
          <w:tcPr>
            <w:tcW w:w="236"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81"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化工原料和化学制品制造业项目用地建设容积率不低于</w:t>
            </w:r>
            <w:r w:rsidRPr="00AB41E0">
              <w:rPr>
                <w:rFonts w:ascii="Times New Roman" w:hAnsi="Times New Roman" w:cs="Times New Roman"/>
                <w:kern w:val="0"/>
                <w:sz w:val="21"/>
                <w:szCs w:val="21"/>
              </w:rPr>
              <w:t>0.6</w:t>
            </w:r>
            <w:r w:rsidRPr="00AB41E0">
              <w:rPr>
                <w:rFonts w:ascii="Times New Roman" w:hAnsi="Times New Roman" w:cs="Times New Roman"/>
                <w:kern w:val="0"/>
                <w:sz w:val="21"/>
                <w:szCs w:val="21"/>
              </w:rPr>
              <w:t>。</w:t>
            </w:r>
          </w:p>
        </w:tc>
        <w:tc>
          <w:tcPr>
            <w:tcW w:w="1777" w:type="pct"/>
            <w:vAlign w:val="center"/>
          </w:tcPr>
          <w:p w:rsidR="004E3021" w:rsidRPr="00AB41E0" w:rsidRDefault="00606E48" w:rsidP="00AB41E0">
            <w:pPr>
              <w:pStyle w:val="afffffff2"/>
              <w:rPr>
                <w:rFonts w:ascii="Times New Roman" w:hAnsi="Times New Roman" w:cs="Times New Roman"/>
                <w:bCs/>
                <w:kern w:val="0"/>
                <w:sz w:val="21"/>
                <w:szCs w:val="21"/>
              </w:rPr>
            </w:pPr>
            <w:r w:rsidRPr="00AB41E0">
              <w:rPr>
                <w:rFonts w:ascii="Times New Roman" w:hAnsi="Times New Roman" w:cs="Times New Roman"/>
                <w:bCs/>
                <w:kern w:val="0"/>
                <w:sz w:val="21"/>
                <w:szCs w:val="21"/>
              </w:rPr>
              <w:t>本项目建设容积率为</w:t>
            </w:r>
            <w:r w:rsidRPr="00AB41E0">
              <w:rPr>
                <w:rFonts w:ascii="Times New Roman" w:hAnsi="Times New Roman" w:cs="Times New Roman"/>
                <w:bCs/>
                <w:kern w:val="0"/>
                <w:sz w:val="21"/>
                <w:szCs w:val="21"/>
              </w:rPr>
              <w:t>0.87</w:t>
            </w:r>
            <w:r w:rsidRPr="00AB41E0">
              <w:rPr>
                <w:rFonts w:ascii="Times New Roman" w:hAnsi="Times New Roman" w:cs="Times New Roman"/>
                <w:bCs/>
                <w:kern w:val="0"/>
                <w:sz w:val="21"/>
                <w:szCs w:val="21"/>
              </w:rPr>
              <w:t>，不低于</w:t>
            </w:r>
            <w:r w:rsidRPr="00AB41E0">
              <w:rPr>
                <w:rFonts w:ascii="Times New Roman" w:hAnsi="Times New Roman" w:cs="Times New Roman"/>
                <w:bCs/>
                <w:kern w:val="0"/>
                <w:sz w:val="21"/>
                <w:szCs w:val="21"/>
              </w:rPr>
              <w:t>0.6</w:t>
            </w:r>
            <w:r w:rsidRPr="00AB41E0">
              <w:rPr>
                <w:rFonts w:ascii="Times New Roman" w:hAnsi="Times New Roman" w:cs="Times New Roman"/>
                <w:bCs/>
                <w:kern w:val="0"/>
                <w:sz w:val="21"/>
                <w:szCs w:val="21"/>
              </w:rPr>
              <w:t>。</w:t>
            </w:r>
          </w:p>
        </w:tc>
        <w:tc>
          <w:tcPr>
            <w:tcW w:w="246" w:type="pct"/>
            <w:vAlign w:val="center"/>
          </w:tcPr>
          <w:p w:rsidR="004E3021" w:rsidRPr="00AB41E0" w:rsidRDefault="00606E48" w:rsidP="00AB41E0">
            <w:pPr>
              <w:pStyle w:val="afffffff2"/>
              <w:rPr>
                <w:rFonts w:ascii="Times New Roman" w:hAnsi="Times New Roman" w:cs="Times New Roman"/>
                <w:color w:val="000000" w:themeColor="text1"/>
                <w:kern w:val="0"/>
                <w:sz w:val="21"/>
                <w:szCs w:val="21"/>
              </w:rPr>
            </w:pPr>
            <w:r w:rsidRPr="00AB41E0">
              <w:rPr>
                <w:rFonts w:ascii="Times New Roman" w:hAnsi="Times New Roman" w:cs="Times New Roman"/>
                <w:color w:val="000000" w:themeColor="text1"/>
                <w:kern w:val="0"/>
                <w:sz w:val="21"/>
                <w:szCs w:val="21"/>
              </w:rPr>
              <w:t>符合</w:t>
            </w:r>
          </w:p>
        </w:tc>
      </w:tr>
      <w:tr w:rsidR="004E3021" w:rsidRPr="00AB41E0" w:rsidTr="00524AE1">
        <w:tc>
          <w:tcPr>
            <w:tcW w:w="236"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81"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严格限制建设涉及《产业结构调整指导目录（</w:t>
            </w:r>
            <w:r w:rsidRPr="00AB41E0">
              <w:rPr>
                <w:rFonts w:ascii="Times New Roman" w:hAnsi="Times New Roman" w:cs="Times New Roman"/>
                <w:kern w:val="0"/>
                <w:sz w:val="21"/>
                <w:szCs w:val="21"/>
              </w:rPr>
              <w:t>2019</w:t>
            </w:r>
            <w:r w:rsidRPr="00AB41E0">
              <w:rPr>
                <w:rFonts w:ascii="Times New Roman" w:hAnsi="Times New Roman" w:cs="Times New Roman"/>
                <w:kern w:val="0"/>
                <w:sz w:val="21"/>
                <w:szCs w:val="21"/>
              </w:rPr>
              <w:t>年本）》（中华人民共和国国家发展和改革委员会令第</w:t>
            </w:r>
            <w:r w:rsidRPr="00AB41E0">
              <w:rPr>
                <w:rFonts w:ascii="Times New Roman" w:hAnsi="Times New Roman" w:cs="Times New Roman"/>
                <w:kern w:val="0"/>
                <w:sz w:val="21"/>
                <w:szCs w:val="21"/>
              </w:rPr>
              <w:t>29</w:t>
            </w:r>
            <w:r w:rsidRPr="00AB41E0">
              <w:rPr>
                <w:rFonts w:ascii="Times New Roman" w:hAnsi="Times New Roman" w:cs="Times New Roman"/>
                <w:kern w:val="0"/>
                <w:sz w:val="21"/>
                <w:szCs w:val="21"/>
              </w:rPr>
              <w:t>号）中限制类化工项目。</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严格控制尿素、磷铵、电石、烧碱（废盐综合利用的离子膜烧碱装置、天然碱除外）、聚氯乙烯、纯碱（天然碱除外）、黄磷等过剩行业新增产能。</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严格限制在再淮河流域新建印染、制革、化工、电镀、酿造等化工项目，建设该类项目的，应当事前征得省人民政府生态行政主管部门的同意，并按照规定办理有关手续。</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严格限制高</w:t>
            </w:r>
            <w:r w:rsidRPr="00AB41E0">
              <w:rPr>
                <w:rFonts w:ascii="Times New Roman" w:hAnsi="Times New Roman" w:cs="Times New Roman"/>
                <w:kern w:val="0"/>
                <w:sz w:val="21"/>
                <w:szCs w:val="21"/>
              </w:rPr>
              <w:t>VOCs</w:t>
            </w:r>
            <w:r w:rsidRPr="00AB41E0">
              <w:rPr>
                <w:rFonts w:ascii="Times New Roman" w:hAnsi="Times New Roman" w:cs="Times New Roman"/>
                <w:kern w:val="0"/>
                <w:sz w:val="21"/>
                <w:szCs w:val="21"/>
              </w:rPr>
              <w:t>排放化工项目。</w:t>
            </w:r>
          </w:p>
        </w:tc>
        <w:tc>
          <w:tcPr>
            <w:tcW w:w="1777"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bCs/>
                <w:kern w:val="0"/>
                <w:sz w:val="21"/>
                <w:szCs w:val="21"/>
              </w:rPr>
              <w:t>本项目不属于</w:t>
            </w:r>
            <w:r w:rsidRPr="00AB41E0">
              <w:rPr>
                <w:rFonts w:ascii="Times New Roman" w:hAnsi="Times New Roman" w:cs="Times New Roman"/>
                <w:kern w:val="0"/>
                <w:sz w:val="21"/>
                <w:szCs w:val="21"/>
              </w:rPr>
              <w:t>《产业结构调整指导目录》（</w:t>
            </w:r>
            <w:r w:rsidRPr="00AB41E0">
              <w:rPr>
                <w:rFonts w:ascii="Times New Roman" w:hAnsi="Times New Roman" w:cs="Times New Roman"/>
                <w:kern w:val="0"/>
                <w:sz w:val="21"/>
                <w:szCs w:val="21"/>
              </w:rPr>
              <w:t>2024</w:t>
            </w:r>
            <w:r w:rsidRPr="00AB41E0">
              <w:rPr>
                <w:rFonts w:ascii="Times New Roman" w:hAnsi="Times New Roman" w:cs="Times New Roman"/>
                <w:kern w:val="0"/>
                <w:sz w:val="21"/>
                <w:szCs w:val="21"/>
              </w:rPr>
              <w:t>本）中的限制和淘汰类项目。</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本项目产品为硅烷新材料，不属于所列过剩行业。</w:t>
            </w:r>
          </w:p>
          <w:p w:rsidR="004E3021" w:rsidRPr="00D64A03" w:rsidRDefault="00D64A03"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原环评已按要求进行省级预审，已取得《安徽省生态环境厅关于安徽中创电子信息材料有限公司年产</w:t>
            </w:r>
            <w:r w:rsidRPr="00AB41E0">
              <w:rPr>
                <w:rFonts w:ascii="Times New Roman" w:hAnsi="Times New Roman" w:cs="Times New Roman"/>
                <w:kern w:val="0"/>
                <w:sz w:val="21"/>
                <w:szCs w:val="21"/>
              </w:rPr>
              <w:t>5000</w:t>
            </w:r>
            <w:r w:rsidRPr="00AB41E0">
              <w:rPr>
                <w:rFonts w:ascii="Times New Roman" w:hAnsi="Times New Roman" w:cs="Times New Roman"/>
                <w:kern w:val="0"/>
                <w:sz w:val="21"/>
                <w:szCs w:val="21"/>
              </w:rPr>
              <w:t>吨超纯二氧化硅项目环保预审的批复》（皖环办复</w:t>
            </w:r>
            <w:r w:rsidRPr="00AB41E0">
              <w:rPr>
                <w:rFonts w:ascii="Times New Roman" w:hAnsi="Times New Roman" w:cs="Times New Roman"/>
                <w:kern w:val="0"/>
                <w:sz w:val="21"/>
                <w:szCs w:val="21"/>
              </w:rPr>
              <w:t>[2022]643</w:t>
            </w:r>
            <w:r w:rsidRPr="00AB41E0">
              <w:rPr>
                <w:rFonts w:ascii="Times New Roman" w:hAnsi="Times New Roman" w:cs="Times New Roman"/>
                <w:kern w:val="0"/>
                <w:sz w:val="21"/>
                <w:szCs w:val="21"/>
              </w:rPr>
              <w:t>号），同意上述项目开展环评等相关前期工作。安徽中创电子信息材料有限公司</w:t>
            </w:r>
            <w:r>
              <w:rPr>
                <w:rFonts w:ascii="Times New Roman" w:hAnsi="Times New Roman" w:cs="Times New Roman" w:hint="eastAsia"/>
                <w:kern w:val="0"/>
                <w:sz w:val="21"/>
                <w:szCs w:val="21"/>
              </w:rPr>
              <w:t>于</w:t>
            </w:r>
            <w:r>
              <w:rPr>
                <w:rFonts w:ascii="Times New Roman" w:hAnsi="Times New Roman" w:cs="Times New Roman" w:hint="eastAsia"/>
                <w:kern w:val="0"/>
                <w:sz w:val="21"/>
                <w:szCs w:val="21"/>
              </w:rPr>
              <w:t>2022</w:t>
            </w:r>
            <w:r>
              <w:rPr>
                <w:rFonts w:ascii="Times New Roman" w:hAnsi="Times New Roman" w:cs="Times New Roman" w:hint="eastAsia"/>
                <w:kern w:val="0"/>
                <w:sz w:val="21"/>
                <w:szCs w:val="21"/>
              </w:rPr>
              <w:t>年</w:t>
            </w:r>
            <w:r>
              <w:rPr>
                <w:rFonts w:ascii="Times New Roman" w:hAnsi="Times New Roman" w:cs="Times New Roman" w:hint="eastAsia"/>
                <w:kern w:val="0"/>
                <w:sz w:val="21"/>
                <w:szCs w:val="21"/>
              </w:rPr>
              <w:t>3</w:t>
            </w:r>
            <w:r>
              <w:rPr>
                <w:rFonts w:ascii="Times New Roman" w:hAnsi="Times New Roman" w:cs="Times New Roman" w:hint="eastAsia"/>
                <w:kern w:val="0"/>
                <w:sz w:val="21"/>
                <w:szCs w:val="21"/>
              </w:rPr>
              <w:t>月</w:t>
            </w:r>
            <w:r>
              <w:rPr>
                <w:rFonts w:ascii="Times New Roman" w:hAnsi="Times New Roman" w:cs="Times New Roman" w:hint="eastAsia"/>
                <w:kern w:val="0"/>
                <w:sz w:val="21"/>
                <w:szCs w:val="21"/>
              </w:rPr>
              <w:t>1</w:t>
            </w:r>
            <w:r>
              <w:rPr>
                <w:rFonts w:ascii="Times New Roman" w:hAnsi="Times New Roman" w:cs="Times New Roman" w:hint="eastAsia"/>
                <w:kern w:val="0"/>
                <w:sz w:val="21"/>
                <w:szCs w:val="21"/>
              </w:rPr>
              <w:t>日</w:t>
            </w:r>
            <w:r>
              <w:rPr>
                <w:rFonts w:ascii="Times New Roman" w:hAnsi="Times New Roman" w:cs="Times New Roman"/>
                <w:kern w:val="0"/>
                <w:sz w:val="21"/>
                <w:szCs w:val="21"/>
              </w:rPr>
              <w:t>更名为安徽凯盛应用材料有限公司（</w:t>
            </w:r>
            <w:r>
              <w:rPr>
                <w:rFonts w:ascii="Times New Roman" w:hAnsi="Times New Roman" w:cs="Times New Roman" w:hint="eastAsia"/>
                <w:kern w:val="0"/>
                <w:sz w:val="21"/>
                <w:szCs w:val="21"/>
              </w:rPr>
              <w:t>更名</w:t>
            </w:r>
            <w:r>
              <w:rPr>
                <w:rFonts w:ascii="Times New Roman" w:hAnsi="Times New Roman" w:cs="Times New Roman"/>
                <w:kern w:val="0"/>
                <w:sz w:val="21"/>
                <w:szCs w:val="21"/>
              </w:rPr>
              <w:t>说明见附件</w:t>
            </w:r>
            <w:r>
              <w:rPr>
                <w:rFonts w:ascii="Times New Roman" w:hAnsi="Times New Roman" w:cs="Times New Roman" w:hint="eastAsia"/>
                <w:kern w:val="0"/>
                <w:sz w:val="21"/>
                <w:szCs w:val="21"/>
              </w:rPr>
              <w:t>1</w:t>
            </w:r>
            <w:r>
              <w:rPr>
                <w:rFonts w:ascii="Times New Roman" w:hAnsi="Times New Roman" w:cs="Times New Roman"/>
                <w:kern w:val="0"/>
                <w:sz w:val="21"/>
                <w:szCs w:val="21"/>
              </w:rPr>
              <w:t>6</w:t>
            </w:r>
            <w:r>
              <w:rPr>
                <w:rFonts w:ascii="Times New Roman" w:hAnsi="Times New Roman" w:cs="Times New Roman"/>
                <w:kern w:val="0"/>
                <w:sz w:val="21"/>
                <w:szCs w:val="21"/>
              </w:rPr>
              <w:t>）</w:t>
            </w:r>
            <w:r>
              <w:rPr>
                <w:rFonts w:ascii="Times New Roman" w:hAnsi="Times New Roman" w:cs="Times New Roman" w:hint="eastAsia"/>
                <w:kern w:val="0"/>
                <w:sz w:val="21"/>
                <w:szCs w:val="21"/>
              </w:rPr>
              <w:t>。</w:t>
            </w:r>
            <w:r w:rsidR="00902E00">
              <w:rPr>
                <w:rFonts w:ascii="Times New Roman" w:hAnsi="Times New Roman" w:cs="Times New Roman" w:hint="eastAsia"/>
                <w:kern w:val="0"/>
                <w:sz w:val="21"/>
                <w:szCs w:val="21"/>
              </w:rPr>
              <w:t>本次改扩建后废水排放量</w:t>
            </w:r>
            <w:r w:rsidR="00902E00">
              <w:rPr>
                <w:rFonts w:ascii="Times New Roman" w:hAnsi="Times New Roman" w:cs="Times New Roman" w:hint="eastAsia"/>
                <w:kern w:val="0"/>
                <w:sz w:val="21"/>
                <w:szCs w:val="21"/>
              </w:rPr>
              <w:t>5</w:t>
            </w:r>
            <w:r w:rsidR="00902E00">
              <w:rPr>
                <w:rFonts w:ascii="Times New Roman" w:hAnsi="Times New Roman" w:cs="Times New Roman"/>
                <w:kern w:val="0"/>
                <w:sz w:val="21"/>
                <w:szCs w:val="21"/>
              </w:rPr>
              <w:t>12.88</w:t>
            </w:r>
            <w:r w:rsidR="00902E00">
              <w:rPr>
                <w:rFonts w:ascii="Times New Roman" w:hAnsi="Times New Roman" w:cs="Times New Roman" w:hint="eastAsia"/>
                <w:kern w:val="0"/>
                <w:sz w:val="21"/>
                <w:szCs w:val="21"/>
              </w:rPr>
              <w:t>t/d</w:t>
            </w:r>
            <w:r w:rsidR="00902E00">
              <w:rPr>
                <w:rFonts w:ascii="Times New Roman" w:hAnsi="Times New Roman" w:cs="Times New Roman" w:hint="eastAsia"/>
                <w:kern w:val="0"/>
                <w:sz w:val="21"/>
                <w:szCs w:val="21"/>
              </w:rPr>
              <w:t>，未超出原环评水办预审的</w:t>
            </w:r>
            <w:r w:rsidR="00902E00">
              <w:rPr>
                <w:rFonts w:ascii="Times New Roman" w:hAnsi="Times New Roman" w:cs="Times New Roman" w:hint="eastAsia"/>
                <w:kern w:val="0"/>
                <w:sz w:val="21"/>
                <w:szCs w:val="21"/>
              </w:rPr>
              <w:t>6</w:t>
            </w:r>
            <w:r w:rsidR="00902E00">
              <w:rPr>
                <w:rFonts w:ascii="Times New Roman" w:hAnsi="Times New Roman" w:cs="Times New Roman"/>
                <w:kern w:val="0"/>
                <w:sz w:val="21"/>
                <w:szCs w:val="21"/>
              </w:rPr>
              <w:t>00</w:t>
            </w:r>
            <w:r w:rsidR="00902E00">
              <w:rPr>
                <w:rFonts w:ascii="Times New Roman" w:hAnsi="Times New Roman" w:cs="Times New Roman" w:hint="eastAsia"/>
                <w:kern w:val="0"/>
                <w:sz w:val="21"/>
                <w:szCs w:val="21"/>
              </w:rPr>
              <w:t>t/d</w:t>
            </w:r>
            <w:r w:rsidR="00902E00">
              <w:rPr>
                <w:rFonts w:ascii="Times New Roman" w:hAnsi="Times New Roman" w:cs="Times New Roman" w:hint="eastAsia"/>
                <w:kern w:val="0"/>
                <w:sz w:val="21"/>
                <w:szCs w:val="21"/>
              </w:rPr>
              <w:t>，且主要污染物排放量亦未超出原环评</w:t>
            </w:r>
            <w:r>
              <w:rPr>
                <w:rFonts w:ascii="Times New Roman" w:hAnsi="Times New Roman" w:cs="Times New Roman" w:hint="eastAsia"/>
                <w:kern w:val="0"/>
                <w:sz w:val="21"/>
                <w:szCs w:val="21"/>
              </w:rPr>
              <w:t>。</w:t>
            </w:r>
          </w:p>
          <w:p w:rsidR="004E3021" w:rsidRPr="00AB41E0" w:rsidRDefault="00606E48" w:rsidP="00D64A03">
            <w:pPr>
              <w:pStyle w:val="afffffff2"/>
              <w:rPr>
                <w:rFonts w:ascii="Times New Roman" w:hAnsi="Times New Roman" w:cs="Times New Roman"/>
                <w:bCs/>
                <w:kern w:val="0"/>
                <w:sz w:val="21"/>
                <w:szCs w:val="21"/>
              </w:rPr>
            </w:pPr>
            <w:r w:rsidRPr="00AB41E0">
              <w:rPr>
                <w:rFonts w:ascii="Times New Roman" w:hAnsi="Times New Roman" w:cs="Times New Roman"/>
                <w:bCs/>
                <w:kern w:val="0"/>
                <w:sz w:val="21"/>
                <w:szCs w:val="21"/>
              </w:rPr>
              <w:t>本项目有机废气经处理后有组织达标排放。</w:t>
            </w:r>
          </w:p>
        </w:tc>
        <w:tc>
          <w:tcPr>
            <w:tcW w:w="246" w:type="pct"/>
            <w:vAlign w:val="center"/>
          </w:tcPr>
          <w:p w:rsidR="004E3021" w:rsidRPr="00AB41E0" w:rsidRDefault="00606E48" w:rsidP="00AB41E0">
            <w:pPr>
              <w:pStyle w:val="afffffff2"/>
              <w:rPr>
                <w:rFonts w:ascii="Times New Roman" w:hAnsi="Times New Roman" w:cs="Times New Roman"/>
                <w:color w:val="000000" w:themeColor="text1"/>
                <w:kern w:val="0"/>
                <w:sz w:val="21"/>
                <w:szCs w:val="21"/>
              </w:rPr>
            </w:pPr>
            <w:r w:rsidRPr="00AB41E0">
              <w:rPr>
                <w:rFonts w:ascii="Times New Roman" w:hAnsi="Times New Roman" w:cs="Times New Roman"/>
                <w:color w:val="000000" w:themeColor="text1"/>
                <w:kern w:val="0"/>
                <w:sz w:val="21"/>
                <w:szCs w:val="21"/>
              </w:rPr>
              <w:t>符合</w:t>
            </w:r>
          </w:p>
        </w:tc>
      </w:tr>
      <w:tr w:rsidR="004E3021" w:rsidRPr="00AB41E0" w:rsidTr="00524AE1">
        <w:tc>
          <w:tcPr>
            <w:tcW w:w="236"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81"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严禁建设涉及《产业结构调整指导目录（</w:t>
            </w:r>
            <w:r w:rsidRPr="00AB41E0">
              <w:rPr>
                <w:rFonts w:ascii="Times New Roman" w:hAnsi="Times New Roman" w:cs="Times New Roman"/>
                <w:kern w:val="0"/>
                <w:sz w:val="21"/>
                <w:szCs w:val="21"/>
              </w:rPr>
              <w:t>2019</w:t>
            </w:r>
            <w:r w:rsidRPr="00AB41E0">
              <w:rPr>
                <w:rFonts w:ascii="Times New Roman" w:hAnsi="Times New Roman" w:cs="Times New Roman"/>
                <w:kern w:val="0"/>
                <w:sz w:val="21"/>
                <w:szCs w:val="21"/>
              </w:rPr>
              <w:t>年本）》（中华人民共和国国家发展和改革委员会令第</w:t>
            </w:r>
            <w:r w:rsidRPr="00AB41E0">
              <w:rPr>
                <w:rFonts w:ascii="Times New Roman" w:hAnsi="Times New Roman" w:cs="Times New Roman"/>
                <w:kern w:val="0"/>
                <w:sz w:val="21"/>
                <w:szCs w:val="21"/>
              </w:rPr>
              <w:t>29</w:t>
            </w:r>
            <w:r w:rsidRPr="00AB41E0">
              <w:rPr>
                <w:rFonts w:ascii="Times New Roman" w:hAnsi="Times New Roman" w:cs="Times New Roman"/>
                <w:kern w:val="0"/>
                <w:sz w:val="21"/>
                <w:szCs w:val="21"/>
              </w:rPr>
              <w:t>号）中淘汰类化工项目。</w:t>
            </w:r>
          </w:p>
        </w:tc>
        <w:tc>
          <w:tcPr>
            <w:tcW w:w="1777" w:type="pct"/>
            <w:vAlign w:val="center"/>
          </w:tcPr>
          <w:p w:rsidR="004E3021" w:rsidRPr="00AB41E0" w:rsidRDefault="00606E48" w:rsidP="00AB41E0">
            <w:pPr>
              <w:pStyle w:val="afffffff2"/>
              <w:rPr>
                <w:rFonts w:ascii="Times New Roman" w:hAnsi="Times New Roman" w:cs="Times New Roman"/>
                <w:bCs/>
                <w:kern w:val="0"/>
                <w:sz w:val="21"/>
                <w:szCs w:val="21"/>
              </w:rPr>
            </w:pPr>
            <w:r w:rsidRPr="00AB41E0">
              <w:rPr>
                <w:rFonts w:ascii="Times New Roman" w:hAnsi="Times New Roman" w:cs="Times New Roman"/>
                <w:bCs/>
                <w:kern w:val="0"/>
                <w:sz w:val="21"/>
                <w:szCs w:val="21"/>
              </w:rPr>
              <w:t>本项目不属于</w:t>
            </w:r>
            <w:r w:rsidRPr="00AB41E0">
              <w:rPr>
                <w:rFonts w:ascii="Times New Roman" w:hAnsi="Times New Roman" w:cs="Times New Roman"/>
                <w:kern w:val="0"/>
                <w:sz w:val="21"/>
                <w:szCs w:val="21"/>
              </w:rPr>
              <w:t>《产业结构调整指导目录》（</w:t>
            </w:r>
            <w:r w:rsidRPr="00AB41E0">
              <w:rPr>
                <w:rFonts w:ascii="Times New Roman" w:hAnsi="Times New Roman" w:cs="Times New Roman"/>
                <w:kern w:val="0"/>
                <w:sz w:val="21"/>
                <w:szCs w:val="21"/>
              </w:rPr>
              <w:t>2024</w:t>
            </w:r>
            <w:r w:rsidRPr="00AB41E0">
              <w:rPr>
                <w:rFonts w:ascii="Times New Roman" w:hAnsi="Times New Roman" w:cs="Times New Roman"/>
                <w:kern w:val="0"/>
                <w:sz w:val="21"/>
                <w:szCs w:val="21"/>
              </w:rPr>
              <w:t>本）中的限制和淘汰类项目。</w:t>
            </w:r>
          </w:p>
        </w:tc>
        <w:tc>
          <w:tcPr>
            <w:tcW w:w="246" w:type="pct"/>
            <w:vAlign w:val="center"/>
          </w:tcPr>
          <w:p w:rsidR="004E3021" w:rsidRPr="00AB41E0" w:rsidRDefault="00606E48" w:rsidP="00AB41E0">
            <w:pPr>
              <w:pStyle w:val="afffffff2"/>
              <w:rPr>
                <w:rFonts w:ascii="Times New Roman" w:hAnsi="Times New Roman" w:cs="Times New Roman"/>
                <w:color w:val="000000" w:themeColor="text1"/>
                <w:kern w:val="0"/>
                <w:sz w:val="21"/>
                <w:szCs w:val="21"/>
              </w:rPr>
            </w:pPr>
            <w:r w:rsidRPr="00AB41E0">
              <w:rPr>
                <w:rFonts w:ascii="Times New Roman" w:hAnsi="Times New Roman" w:cs="Times New Roman"/>
                <w:color w:val="000000" w:themeColor="text1"/>
                <w:kern w:val="0"/>
                <w:sz w:val="21"/>
                <w:szCs w:val="21"/>
              </w:rPr>
              <w:t>符合</w:t>
            </w:r>
          </w:p>
        </w:tc>
      </w:tr>
      <w:tr w:rsidR="004E3021" w:rsidRPr="00AB41E0" w:rsidTr="00524AE1">
        <w:tc>
          <w:tcPr>
            <w:tcW w:w="236"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81"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根据园区规划，列入园区规划环评负面清单禁止类项目。</w:t>
            </w:r>
          </w:p>
        </w:tc>
        <w:tc>
          <w:tcPr>
            <w:tcW w:w="1777" w:type="pct"/>
            <w:vAlign w:val="center"/>
          </w:tcPr>
          <w:p w:rsidR="004E3021" w:rsidRPr="00AB41E0" w:rsidRDefault="00606E48" w:rsidP="000018C3">
            <w:pPr>
              <w:pStyle w:val="afffffff2"/>
              <w:rPr>
                <w:rFonts w:ascii="Times New Roman" w:hAnsi="Times New Roman" w:cs="Times New Roman"/>
                <w:bCs/>
                <w:kern w:val="0"/>
                <w:sz w:val="21"/>
                <w:szCs w:val="21"/>
              </w:rPr>
            </w:pPr>
            <w:r w:rsidRPr="00AB41E0">
              <w:rPr>
                <w:rFonts w:ascii="Times New Roman" w:hAnsi="Times New Roman" w:cs="Times New Roman"/>
                <w:bCs/>
                <w:kern w:val="0"/>
                <w:sz w:val="21"/>
                <w:szCs w:val="21"/>
              </w:rPr>
              <w:t>对照</w:t>
            </w:r>
            <w:r w:rsidRPr="00AB41E0">
              <w:rPr>
                <w:rFonts w:ascii="Times New Roman" w:hAnsi="Times New Roman" w:cs="Times New Roman"/>
                <w:kern w:val="0"/>
                <w:sz w:val="21"/>
                <w:szCs w:val="21"/>
              </w:rPr>
              <w:t>《蚌埠精细化工高新技术产业基地规划（</w:t>
            </w:r>
            <w:r w:rsidRPr="00AB41E0">
              <w:rPr>
                <w:rFonts w:ascii="Times New Roman" w:hAnsi="Times New Roman" w:cs="Times New Roman"/>
                <w:kern w:val="0"/>
                <w:sz w:val="21"/>
                <w:szCs w:val="21"/>
              </w:rPr>
              <w:t>2021~2035</w:t>
            </w:r>
            <w:r w:rsidRPr="00AB41E0">
              <w:rPr>
                <w:rFonts w:ascii="Times New Roman" w:hAnsi="Times New Roman" w:cs="Times New Roman"/>
                <w:kern w:val="0"/>
                <w:sz w:val="21"/>
                <w:szCs w:val="21"/>
              </w:rPr>
              <w:t>）环境影响报告书》中生态环境准入清单，本项目产品属于有机化学原料制造</w:t>
            </w:r>
            <w:r w:rsidRPr="00AB41E0">
              <w:rPr>
                <w:rFonts w:ascii="Times New Roman" w:hAnsi="Times New Roman" w:cs="Times New Roman"/>
                <w:kern w:val="0"/>
                <w:sz w:val="21"/>
                <w:szCs w:val="21"/>
              </w:rPr>
              <w:t>[C2614]</w:t>
            </w:r>
            <w:r w:rsidRPr="00AB41E0">
              <w:rPr>
                <w:rFonts w:ascii="Times New Roman" w:hAnsi="Times New Roman" w:cs="Times New Roman"/>
                <w:kern w:val="0"/>
                <w:sz w:val="21"/>
                <w:szCs w:val="21"/>
              </w:rPr>
              <w:t>，故本项目蚌埠精细化工高新技术产业基地生态环境准入清单中鼓励类项目，不属于禁止类项目。</w:t>
            </w:r>
          </w:p>
        </w:tc>
        <w:tc>
          <w:tcPr>
            <w:tcW w:w="246" w:type="pct"/>
            <w:vAlign w:val="center"/>
          </w:tcPr>
          <w:p w:rsidR="004E3021" w:rsidRPr="00AB41E0" w:rsidRDefault="00606E48" w:rsidP="00AB41E0">
            <w:pPr>
              <w:pStyle w:val="afffffff2"/>
              <w:rPr>
                <w:rFonts w:ascii="Times New Roman" w:hAnsi="Times New Roman" w:cs="Times New Roman"/>
                <w:color w:val="000000" w:themeColor="text1"/>
                <w:kern w:val="0"/>
                <w:sz w:val="21"/>
                <w:szCs w:val="21"/>
              </w:rPr>
            </w:pPr>
            <w:r w:rsidRPr="00AB41E0">
              <w:rPr>
                <w:rFonts w:ascii="Times New Roman" w:hAnsi="Times New Roman" w:cs="Times New Roman"/>
                <w:color w:val="000000" w:themeColor="text1"/>
                <w:kern w:val="0"/>
                <w:sz w:val="21"/>
                <w:szCs w:val="21"/>
              </w:rPr>
              <w:t>符合</w:t>
            </w:r>
          </w:p>
        </w:tc>
      </w:tr>
      <w:tr w:rsidR="004E3021" w:rsidRPr="00AB41E0" w:rsidTr="00524AE1">
        <w:tc>
          <w:tcPr>
            <w:tcW w:w="236"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81"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060"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根据国家中小微企业划分办法的相关文件规定，属于小型化工企业的禁止建设。</w:t>
            </w:r>
          </w:p>
        </w:tc>
        <w:tc>
          <w:tcPr>
            <w:tcW w:w="1777" w:type="pct"/>
            <w:vAlign w:val="center"/>
          </w:tcPr>
          <w:p w:rsidR="004E3021" w:rsidRPr="00AB41E0" w:rsidRDefault="00606E48" w:rsidP="00AB41E0">
            <w:pPr>
              <w:pStyle w:val="afffffff2"/>
              <w:rPr>
                <w:rFonts w:ascii="Times New Roman" w:hAnsi="Times New Roman" w:cs="Times New Roman"/>
                <w:bCs/>
                <w:kern w:val="0"/>
                <w:sz w:val="21"/>
                <w:szCs w:val="21"/>
              </w:rPr>
            </w:pPr>
            <w:r w:rsidRPr="00AB41E0">
              <w:rPr>
                <w:rFonts w:ascii="Times New Roman" w:hAnsi="Times New Roman" w:cs="Times New Roman"/>
                <w:bCs/>
                <w:kern w:val="0"/>
                <w:sz w:val="21"/>
                <w:szCs w:val="21"/>
              </w:rPr>
              <w:t>本项目不属于</w:t>
            </w:r>
            <w:r w:rsidRPr="00AB41E0">
              <w:rPr>
                <w:rFonts w:ascii="Times New Roman" w:hAnsi="Times New Roman" w:cs="Times New Roman"/>
                <w:kern w:val="0"/>
                <w:sz w:val="21"/>
                <w:szCs w:val="21"/>
              </w:rPr>
              <w:t>小型化工企业。</w:t>
            </w:r>
          </w:p>
        </w:tc>
        <w:tc>
          <w:tcPr>
            <w:tcW w:w="246" w:type="pct"/>
            <w:vAlign w:val="center"/>
          </w:tcPr>
          <w:p w:rsidR="004E3021" w:rsidRPr="00AB41E0" w:rsidRDefault="00606E48" w:rsidP="00AB41E0">
            <w:pPr>
              <w:pStyle w:val="afffffff2"/>
              <w:rPr>
                <w:rFonts w:ascii="Times New Roman" w:hAnsi="Times New Roman" w:cs="Times New Roman"/>
                <w:color w:val="000000" w:themeColor="text1"/>
                <w:kern w:val="0"/>
                <w:sz w:val="21"/>
                <w:szCs w:val="21"/>
              </w:rPr>
            </w:pPr>
            <w:r w:rsidRPr="00AB41E0">
              <w:rPr>
                <w:rFonts w:ascii="Times New Roman" w:hAnsi="Times New Roman" w:cs="Times New Roman"/>
                <w:color w:val="000000" w:themeColor="text1"/>
                <w:kern w:val="0"/>
                <w:sz w:val="21"/>
                <w:szCs w:val="21"/>
              </w:rPr>
              <w:t>符合</w:t>
            </w:r>
          </w:p>
        </w:tc>
      </w:tr>
      <w:tr w:rsidR="000018C3" w:rsidRPr="00AB41E0" w:rsidTr="00524AE1">
        <w:tc>
          <w:tcPr>
            <w:tcW w:w="236" w:type="pct"/>
            <w:vAlign w:val="center"/>
          </w:tcPr>
          <w:p w:rsidR="000018C3" w:rsidRPr="000018C3" w:rsidRDefault="000018C3" w:rsidP="000018C3">
            <w:pPr>
              <w:pStyle w:val="afffffff2"/>
              <w:rPr>
                <w:rFonts w:ascii="Times New Roman" w:hAnsi="Times New Roman" w:cs="Times New Roman"/>
                <w:kern w:val="0"/>
                <w:sz w:val="21"/>
                <w:szCs w:val="21"/>
              </w:rPr>
            </w:pPr>
            <w:r w:rsidRPr="000018C3">
              <w:rPr>
                <w:rFonts w:ascii="Times New Roman" w:hAnsi="Times New Roman" w:cs="Times New Roman"/>
                <w:kern w:val="0"/>
                <w:sz w:val="21"/>
                <w:szCs w:val="21"/>
              </w:rPr>
              <w:t>13</w:t>
            </w:r>
          </w:p>
        </w:tc>
        <w:tc>
          <w:tcPr>
            <w:tcW w:w="681" w:type="pct"/>
            <w:vAlign w:val="center"/>
          </w:tcPr>
          <w:p w:rsidR="000018C3" w:rsidRPr="000018C3" w:rsidRDefault="000018C3" w:rsidP="000018C3">
            <w:pPr>
              <w:spacing w:line="360" w:lineRule="exact"/>
              <w:ind w:firstLineChars="0" w:firstLine="0"/>
              <w:jc w:val="center"/>
              <w:rPr>
                <w:rFonts w:ascii="Times New Roman" w:hAnsi="Times New Roman"/>
                <w:sz w:val="21"/>
              </w:rPr>
            </w:pPr>
            <w:r w:rsidRPr="000018C3">
              <w:rPr>
                <w:rFonts w:ascii="Times New Roman" w:hAnsi="Times New Roman"/>
                <w:sz w:val="21"/>
              </w:rPr>
              <w:t>《关于全面打造水清岸绿产业优美丽长江</w:t>
            </w:r>
            <w:r w:rsidRPr="000018C3">
              <w:rPr>
                <w:rFonts w:ascii="Times New Roman" w:hAnsi="Times New Roman"/>
                <w:sz w:val="21"/>
              </w:rPr>
              <w:t>(</w:t>
            </w:r>
            <w:r w:rsidRPr="000018C3">
              <w:rPr>
                <w:rFonts w:ascii="Times New Roman" w:hAnsi="Times New Roman"/>
                <w:sz w:val="21"/>
              </w:rPr>
              <w:t>安徽</w:t>
            </w:r>
            <w:r w:rsidRPr="000018C3">
              <w:rPr>
                <w:rFonts w:ascii="Times New Roman" w:hAnsi="Times New Roman"/>
                <w:sz w:val="21"/>
              </w:rPr>
              <w:t>)</w:t>
            </w:r>
            <w:r w:rsidRPr="000018C3">
              <w:rPr>
                <w:rFonts w:ascii="Times New Roman" w:hAnsi="Times New Roman"/>
                <w:sz w:val="21"/>
              </w:rPr>
              <w:t>经济带的实施意见》（升级版）</w:t>
            </w:r>
          </w:p>
        </w:tc>
        <w:tc>
          <w:tcPr>
            <w:tcW w:w="2060" w:type="pct"/>
            <w:gridSpan w:val="2"/>
            <w:vAlign w:val="center"/>
          </w:tcPr>
          <w:p w:rsidR="000018C3" w:rsidRPr="000018C3" w:rsidRDefault="000018C3" w:rsidP="006619E3">
            <w:pPr>
              <w:spacing w:line="360" w:lineRule="exact"/>
              <w:ind w:firstLineChars="0" w:firstLine="0"/>
              <w:jc w:val="left"/>
              <w:rPr>
                <w:rFonts w:ascii="Times New Roman" w:hAnsi="Times New Roman"/>
                <w:sz w:val="21"/>
              </w:rPr>
            </w:pPr>
            <w:r w:rsidRPr="000018C3">
              <w:rPr>
                <w:rFonts w:ascii="Times New Roman" w:hAnsi="Times New Roman"/>
                <w:sz w:val="21"/>
              </w:rPr>
              <w:t>（一）开展</w:t>
            </w:r>
            <w:r w:rsidRPr="000018C3">
              <w:rPr>
                <w:rFonts w:ascii="Times New Roman" w:hAnsi="Times New Roman"/>
                <w:sz w:val="21"/>
              </w:rPr>
              <w:t>“</w:t>
            </w:r>
            <w:r w:rsidRPr="000018C3">
              <w:rPr>
                <w:rFonts w:ascii="Times New Roman" w:hAnsi="Times New Roman"/>
                <w:sz w:val="21"/>
              </w:rPr>
              <w:t>禁新建</w:t>
            </w:r>
            <w:r w:rsidRPr="000018C3">
              <w:rPr>
                <w:rFonts w:ascii="Times New Roman" w:hAnsi="Times New Roman"/>
                <w:sz w:val="21"/>
              </w:rPr>
              <w:t>”</w:t>
            </w:r>
            <w:r w:rsidRPr="000018C3">
              <w:rPr>
                <w:rFonts w:ascii="Times New Roman" w:hAnsi="Times New Roman"/>
                <w:sz w:val="21"/>
              </w:rPr>
              <w:t>行动：</w:t>
            </w:r>
          </w:p>
          <w:p w:rsidR="000018C3" w:rsidRPr="000018C3" w:rsidRDefault="000018C3" w:rsidP="006619E3">
            <w:pPr>
              <w:spacing w:line="360" w:lineRule="exact"/>
              <w:ind w:firstLineChars="0" w:firstLine="0"/>
              <w:jc w:val="left"/>
              <w:rPr>
                <w:rFonts w:ascii="Times New Roman" w:hAnsi="Times New Roman"/>
                <w:sz w:val="21"/>
              </w:rPr>
            </w:pPr>
            <w:r w:rsidRPr="000018C3">
              <w:rPr>
                <w:rFonts w:ascii="Times New Roman" w:hAnsi="Times New Roman"/>
                <w:sz w:val="21"/>
              </w:rPr>
              <w:t>严禁</w:t>
            </w:r>
            <w:r w:rsidRPr="000018C3">
              <w:rPr>
                <w:rFonts w:ascii="Times New Roman" w:hAnsi="Times New Roman"/>
                <w:sz w:val="21"/>
              </w:rPr>
              <w:t>1</w:t>
            </w:r>
            <w:r w:rsidRPr="000018C3">
              <w:rPr>
                <w:rFonts w:ascii="Times New Roman" w:hAnsi="Times New Roman"/>
                <w:sz w:val="21"/>
              </w:rPr>
              <w:t>公里范围内新建化工项目；</w:t>
            </w:r>
          </w:p>
          <w:p w:rsidR="000018C3" w:rsidRPr="000018C3" w:rsidRDefault="000018C3" w:rsidP="006619E3">
            <w:pPr>
              <w:spacing w:line="360" w:lineRule="exact"/>
              <w:ind w:firstLineChars="0" w:firstLine="0"/>
              <w:jc w:val="left"/>
              <w:rPr>
                <w:rFonts w:ascii="Times New Roman" w:hAnsi="Times New Roman"/>
                <w:sz w:val="21"/>
              </w:rPr>
            </w:pPr>
            <w:r w:rsidRPr="000018C3">
              <w:rPr>
                <w:rFonts w:ascii="Times New Roman" w:hAnsi="Times New Roman"/>
                <w:sz w:val="21"/>
              </w:rPr>
              <w:t>严控</w:t>
            </w:r>
            <w:r w:rsidRPr="000018C3">
              <w:rPr>
                <w:rFonts w:ascii="Times New Roman" w:hAnsi="Times New Roman"/>
                <w:sz w:val="21"/>
              </w:rPr>
              <w:t>5</w:t>
            </w:r>
            <w:r w:rsidRPr="000018C3">
              <w:rPr>
                <w:rFonts w:ascii="Times New Roman" w:hAnsi="Times New Roman"/>
                <w:sz w:val="21"/>
              </w:rPr>
              <w:t>公里范围内新建重化工重污染项目；</w:t>
            </w:r>
          </w:p>
          <w:p w:rsidR="000018C3" w:rsidRPr="000018C3" w:rsidRDefault="000018C3" w:rsidP="006619E3">
            <w:pPr>
              <w:spacing w:line="360" w:lineRule="exact"/>
              <w:ind w:firstLineChars="0" w:firstLine="0"/>
              <w:jc w:val="left"/>
              <w:rPr>
                <w:rFonts w:ascii="Times New Roman" w:hAnsi="Times New Roman"/>
                <w:sz w:val="21"/>
              </w:rPr>
            </w:pPr>
            <w:r w:rsidRPr="000018C3">
              <w:rPr>
                <w:rFonts w:ascii="Times New Roman" w:hAnsi="Times New Roman"/>
                <w:sz w:val="21"/>
              </w:rPr>
              <w:t>严管</w:t>
            </w:r>
            <w:r w:rsidRPr="000018C3">
              <w:rPr>
                <w:rFonts w:ascii="Times New Roman" w:hAnsi="Times New Roman"/>
                <w:sz w:val="21"/>
              </w:rPr>
              <w:t>15</w:t>
            </w:r>
            <w:r w:rsidRPr="000018C3">
              <w:rPr>
                <w:rFonts w:ascii="Times New Roman" w:hAnsi="Times New Roman"/>
                <w:sz w:val="21"/>
              </w:rPr>
              <w:t>公里范围内新建项目：长江干流岸线</w:t>
            </w:r>
            <w:r w:rsidRPr="000018C3">
              <w:rPr>
                <w:rFonts w:ascii="Times New Roman" w:hAnsi="Times New Roman"/>
                <w:sz w:val="21"/>
              </w:rPr>
              <w:t>15</w:t>
            </w:r>
            <w:r w:rsidRPr="000018C3">
              <w:rPr>
                <w:rFonts w:ascii="Times New Roman" w:hAnsi="Times New Roman"/>
                <w:sz w:val="21"/>
              </w:rPr>
              <w:t>公里范围内，严把各类项目准入门槛，严格执行环境保护标准，把主要污染物和重点重金属排放总量控制目标作为新（改、扩）建项目环评审批的前置条件，禁止建设没有环境容量和减排总量项目。</w:t>
            </w:r>
          </w:p>
        </w:tc>
        <w:tc>
          <w:tcPr>
            <w:tcW w:w="1777" w:type="pct"/>
            <w:vAlign w:val="center"/>
          </w:tcPr>
          <w:p w:rsidR="000018C3" w:rsidRPr="000018C3" w:rsidRDefault="000018C3" w:rsidP="006619E3">
            <w:pPr>
              <w:spacing w:line="360" w:lineRule="exact"/>
              <w:ind w:firstLineChars="0" w:firstLine="0"/>
              <w:jc w:val="center"/>
              <w:rPr>
                <w:rFonts w:ascii="Times New Roman" w:hAnsi="Times New Roman"/>
                <w:sz w:val="21"/>
              </w:rPr>
            </w:pPr>
            <w:r w:rsidRPr="000018C3">
              <w:rPr>
                <w:rFonts w:ascii="Times New Roman" w:hAnsi="Times New Roman"/>
                <w:sz w:val="21"/>
              </w:rPr>
              <w:t>本项目距离长江</w:t>
            </w:r>
            <w:r w:rsidRPr="000018C3">
              <w:rPr>
                <w:rFonts w:ascii="Times New Roman" w:hAnsi="Times New Roman"/>
                <w:sz w:val="21"/>
              </w:rPr>
              <w:t>14</w:t>
            </w:r>
            <w:r>
              <w:rPr>
                <w:rFonts w:ascii="Times New Roman" w:hAnsi="Times New Roman"/>
                <w:sz w:val="21"/>
              </w:rPr>
              <w:t>5.76</w:t>
            </w:r>
            <w:r w:rsidRPr="000018C3">
              <w:rPr>
                <w:rFonts w:ascii="Times New Roman" w:hAnsi="Times New Roman"/>
                <w:sz w:val="21"/>
              </w:rPr>
              <w:t>km</w:t>
            </w:r>
            <w:r w:rsidRPr="000018C3">
              <w:rPr>
                <w:rFonts w:ascii="Times New Roman" w:hAnsi="Times New Roman"/>
                <w:sz w:val="21"/>
              </w:rPr>
              <w:t>，距离长江一级支流巢湖约</w:t>
            </w:r>
            <w:r w:rsidR="006619E3">
              <w:rPr>
                <w:rFonts w:ascii="Times New Roman" w:hAnsi="Times New Roman"/>
                <w:sz w:val="21"/>
              </w:rPr>
              <w:t>143.60</w:t>
            </w:r>
            <w:r w:rsidRPr="000018C3">
              <w:rPr>
                <w:rFonts w:ascii="Times New Roman" w:hAnsi="Times New Roman"/>
                <w:sz w:val="21"/>
              </w:rPr>
              <w:t>km</w:t>
            </w:r>
            <w:r w:rsidRPr="000018C3">
              <w:rPr>
                <w:rFonts w:ascii="Times New Roman" w:hAnsi="Times New Roman"/>
                <w:sz w:val="21"/>
              </w:rPr>
              <w:t>，不属于严禁、严控及严管区域。</w:t>
            </w:r>
          </w:p>
        </w:tc>
        <w:tc>
          <w:tcPr>
            <w:tcW w:w="246" w:type="pct"/>
            <w:vAlign w:val="center"/>
          </w:tcPr>
          <w:p w:rsidR="000018C3" w:rsidRPr="000018C3" w:rsidRDefault="000018C3" w:rsidP="000018C3">
            <w:pPr>
              <w:spacing w:line="360" w:lineRule="exact"/>
              <w:ind w:firstLineChars="0" w:firstLine="0"/>
              <w:jc w:val="center"/>
              <w:rPr>
                <w:rFonts w:ascii="Times New Roman" w:hAnsi="Times New Roman"/>
                <w:sz w:val="21"/>
              </w:rPr>
            </w:pPr>
            <w:r w:rsidRPr="000018C3">
              <w:rPr>
                <w:rFonts w:ascii="Times New Roman" w:hAnsi="Times New Roman"/>
                <w:sz w:val="21"/>
              </w:rPr>
              <w:t>符合</w:t>
            </w:r>
          </w:p>
        </w:tc>
      </w:tr>
      <w:tr w:rsidR="006619E3" w:rsidRPr="00AB41E0" w:rsidTr="006619E3">
        <w:tc>
          <w:tcPr>
            <w:tcW w:w="236" w:type="pct"/>
            <w:vMerge w:val="restart"/>
            <w:vAlign w:val="center"/>
          </w:tcPr>
          <w:p w:rsidR="006619E3" w:rsidRPr="006619E3" w:rsidRDefault="006619E3" w:rsidP="006619E3">
            <w:pPr>
              <w:spacing w:line="360" w:lineRule="exact"/>
              <w:ind w:firstLineChars="0" w:firstLine="0"/>
              <w:jc w:val="center"/>
              <w:rPr>
                <w:rFonts w:ascii="Times New Roman" w:hAnsi="Times New Roman"/>
                <w:sz w:val="21"/>
              </w:rPr>
            </w:pPr>
            <w:r>
              <w:rPr>
                <w:rFonts w:ascii="Times New Roman" w:hAnsi="Times New Roman"/>
                <w:sz w:val="21"/>
              </w:rPr>
              <w:t>14</w:t>
            </w:r>
          </w:p>
        </w:tc>
        <w:tc>
          <w:tcPr>
            <w:tcW w:w="681" w:type="pct"/>
            <w:vMerge w:val="restart"/>
            <w:vAlign w:val="center"/>
          </w:tcPr>
          <w:p w:rsidR="006619E3" w:rsidRPr="006619E3" w:rsidRDefault="006619E3" w:rsidP="006619E3">
            <w:pPr>
              <w:spacing w:line="360" w:lineRule="exact"/>
              <w:ind w:firstLineChars="0" w:firstLine="0"/>
              <w:jc w:val="center"/>
              <w:rPr>
                <w:rFonts w:ascii="Times New Roman" w:hAnsi="Times New Roman"/>
                <w:sz w:val="21"/>
              </w:rPr>
            </w:pPr>
            <w:r w:rsidRPr="006619E3">
              <w:rPr>
                <w:rFonts w:ascii="Times New Roman" w:hAnsi="Times New Roman"/>
                <w:sz w:val="21"/>
              </w:rPr>
              <w:t>《关于印发安徽省长江经济带发展负面清单实施细则（试行，</w:t>
            </w:r>
            <w:r w:rsidRPr="006619E3">
              <w:rPr>
                <w:rFonts w:ascii="Times New Roman" w:hAnsi="Times New Roman"/>
                <w:sz w:val="21"/>
              </w:rPr>
              <w:t>2022</w:t>
            </w:r>
            <w:r w:rsidRPr="006619E3">
              <w:rPr>
                <w:rFonts w:ascii="Times New Roman" w:hAnsi="Times New Roman"/>
                <w:sz w:val="21"/>
              </w:rPr>
              <w:t>年版）的通知》</w:t>
            </w:r>
          </w:p>
        </w:tc>
        <w:tc>
          <w:tcPr>
            <w:tcW w:w="454" w:type="pct"/>
            <w:vMerge w:val="restart"/>
            <w:vAlign w:val="center"/>
          </w:tcPr>
          <w:p w:rsidR="006619E3" w:rsidRPr="000018C3" w:rsidRDefault="006619E3" w:rsidP="006619E3">
            <w:pPr>
              <w:spacing w:line="360" w:lineRule="exact"/>
              <w:ind w:firstLineChars="0" w:firstLine="0"/>
              <w:jc w:val="left"/>
              <w:rPr>
                <w:sz w:val="21"/>
              </w:rPr>
            </w:pPr>
            <w:r>
              <w:rPr>
                <w:sz w:val="21"/>
              </w:rPr>
              <w:t>第二章岸线开发和河段利用</w:t>
            </w:r>
          </w:p>
        </w:tc>
        <w:tc>
          <w:tcPr>
            <w:tcW w:w="1606" w:type="pct"/>
            <w:vAlign w:val="center"/>
          </w:tcPr>
          <w:p w:rsidR="006619E3" w:rsidRDefault="006619E3" w:rsidP="006619E3">
            <w:pPr>
              <w:spacing w:line="360" w:lineRule="exact"/>
              <w:ind w:firstLineChars="0" w:firstLine="0"/>
              <w:jc w:val="center"/>
              <w:rPr>
                <w:sz w:val="21"/>
              </w:rPr>
            </w:pPr>
            <w:r>
              <w:rPr>
                <w:sz w:val="21"/>
              </w:rPr>
              <w:t>第五条禁止在自然保护区核心区、缓冲区的岸线和河段内投资建设旅游和</w:t>
            </w:r>
            <w:r>
              <w:rPr>
                <w:rFonts w:hint="eastAsia"/>
                <w:sz w:val="21"/>
              </w:rPr>
              <w:t>生产经营</w:t>
            </w:r>
            <w:r>
              <w:rPr>
                <w:sz w:val="21"/>
              </w:rPr>
              <w:t>项目。</w:t>
            </w:r>
          </w:p>
          <w:p w:rsidR="006619E3" w:rsidRDefault="006619E3" w:rsidP="006619E3">
            <w:pPr>
              <w:spacing w:line="360" w:lineRule="exact"/>
              <w:ind w:firstLineChars="0" w:firstLine="0"/>
              <w:jc w:val="center"/>
              <w:rPr>
                <w:sz w:val="21"/>
              </w:rPr>
            </w:pPr>
            <w:r>
              <w:rPr>
                <w:sz w:val="21"/>
              </w:rPr>
              <w:t>禁止违反风景名胜区规划，在风景名胜区的岸线和河段范围内设立各类开发区，在核心景区的岸线和河段内建设宾馆、招待所、培训中心、疗养院以及与风景名胜资源保护无关的其他项目。</w:t>
            </w:r>
          </w:p>
        </w:tc>
        <w:tc>
          <w:tcPr>
            <w:tcW w:w="1777" w:type="pct"/>
            <w:vAlign w:val="center"/>
          </w:tcPr>
          <w:p w:rsidR="006619E3" w:rsidRDefault="006619E3" w:rsidP="006619E3">
            <w:pPr>
              <w:spacing w:line="360" w:lineRule="exact"/>
              <w:ind w:firstLineChars="0" w:firstLine="0"/>
              <w:jc w:val="center"/>
              <w:rPr>
                <w:sz w:val="21"/>
              </w:rPr>
            </w:pPr>
            <w:r>
              <w:rPr>
                <w:sz w:val="21"/>
              </w:rPr>
              <w:t>本项目选址位于</w:t>
            </w:r>
            <w:r w:rsidR="00D64A03" w:rsidRPr="00AB41E0">
              <w:rPr>
                <w:rFonts w:ascii="Times New Roman" w:hAnsi="Times New Roman"/>
                <w:kern w:val="0"/>
                <w:sz w:val="21"/>
                <w:szCs w:val="21"/>
              </w:rPr>
              <w:t>蚌埠精细化工高新技术产业基地</w:t>
            </w:r>
            <w:r>
              <w:rPr>
                <w:sz w:val="21"/>
              </w:rPr>
              <w:t>，评价范围内不涉及自然保护区和风景名胜区</w:t>
            </w:r>
          </w:p>
        </w:tc>
        <w:tc>
          <w:tcPr>
            <w:tcW w:w="246" w:type="pct"/>
            <w:vAlign w:val="center"/>
          </w:tcPr>
          <w:p w:rsidR="006619E3" w:rsidRPr="000018C3" w:rsidRDefault="00FD2FB8" w:rsidP="006619E3">
            <w:pPr>
              <w:spacing w:line="360" w:lineRule="exact"/>
              <w:ind w:firstLineChars="0" w:firstLine="0"/>
              <w:jc w:val="center"/>
              <w:rPr>
                <w:sz w:val="21"/>
              </w:rPr>
            </w:pPr>
            <w:r w:rsidRPr="00AB41E0">
              <w:rPr>
                <w:rFonts w:ascii="Times New Roman" w:hAnsi="Times New Roman"/>
                <w:color w:val="000000" w:themeColor="text1"/>
                <w:kern w:val="0"/>
                <w:sz w:val="21"/>
                <w:szCs w:val="21"/>
              </w:rPr>
              <w:t>符合</w:t>
            </w:r>
          </w:p>
        </w:tc>
      </w:tr>
      <w:tr w:rsidR="006619E3" w:rsidRPr="00AB41E0" w:rsidTr="006619E3">
        <w:tc>
          <w:tcPr>
            <w:tcW w:w="236" w:type="pct"/>
            <w:vMerge/>
            <w:vAlign w:val="center"/>
          </w:tcPr>
          <w:p w:rsidR="006619E3" w:rsidRPr="000018C3" w:rsidRDefault="006619E3" w:rsidP="006619E3">
            <w:pPr>
              <w:pStyle w:val="afffffff2"/>
              <w:rPr>
                <w:rFonts w:cs="Times New Roman"/>
                <w:kern w:val="0"/>
                <w:sz w:val="21"/>
                <w:szCs w:val="21"/>
              </w:rPr>
            </w:pPr>
          </w:p>
        </w:tc>
        <w:tc>
          <w:tcPr>
            <w:tcW w:w="681" w:type="pct"/>
            <w:vMerge/>
            <w:vAlign w:val="center"/>
          </w:tcPr>
          <w:p w:rsidR="006619E3" w:rsidRPr="000018C3" w:rsidRDefault="006619E3" w:rsidP="006619E3">
            <w:pPr>
              <w:spacing w:line="360" w:lineRule="exact"/>
              <w:ind w:firstLineChars="0" w:firstLine="0"/>
              <w:jc w:val="center"/>
              <w:rPr>
                <w:sz w:val="21"/>
              </w:rPr>
            </w:pPr>
          </w:p>
        </w:tc>
        <w:tc>
          <w:tcPr>
            <w:tcW w:w="454" w:type="pct"/>
            <w:vMerge/>
            <w:vAlign w:val="center"/>
          </w:tcPr>
          <w:p w:rsidR="006619E3" w:rsidRPr="000018C3" w:rsidRDefault="006619E3" w:rsidP="006619E3">
            <w:pPr>
              <w:spacing w:line="360" w:lineRule="exact"/>
              <w:ind w:firstLineChars="0" w:firstLine="0"/>
              <w:jc w:val="left"/>
              <w:rPr>
                <w:sz w:val="21"/>
              </w:rPr>
            </w:pPr>
          </w:p>
        </w:tc>
        <w:tc>
          <w:tcPr>
            <w:tcW w:w="1606" w:type="pct"/>
            <w:vAlign w:val="center"/>
          </w:tcPr>
          <w:p w:rsidR="006619E3" w:rsidRDefault="006619E3" w:rsidP="006619E3">
            <w:pPr>
              <w:spacing w:line="360" w:lineRule="exact"/>
              <w:ind w:firstLineChars="0" w:firstLine="0"/>
              <w:jc w:val="center"/>
              <w:rPr>
                <w:sz w:val="21"/>
              </w:rPr>
            </w:pPr>
            <w:r>
              <w:rPr>
                <w:sz w:val="21"/>
              </w:rPr>
              <w:t>第六条禁止在饮用水水源一级保护区的岸线和河段范围内新建、改建、扩建与供水设施和保护水源无关的建设项目。禁止设置排污口。</w:t>
            </w:r>
          </w:p>
          <w:p w:rsidR="006619E3" w:rsidRDefault="006619E3" w:rsidP="006619E3">
            <w:pPr>
              <w:spacing w:line="360" w:lineRule="exact"/>
              <w:ind w:firstLineChars="0" w:firstLine="0"/>
              <w:jc w:val="center"/>
              <w:rPr>
                <w:sz w:val="21"/>
              </w:rPr>
            </w:pPr>
            <w:r>
              <w:rPr>
                <w:sz w:val="21"/>
              </w:rPr>
              <w:t>禁止在饮用水水源二级保护区的岸线和河段范围内新建、改建、扩建排放污染物的建设项目，禁止设置排污口。</w:t>
            </w:r>
          </w:p>
        </w:tc>
        <w:tc>
          <w:tcPr>
            <w:tcW w:w="1777" w:type="pct"/>
            <w:vAlign w:val="center"/>
          </w:tcPr>
          <w:p w:rsidR="006619E3" w:rsidRDefault="006619E3" w:rsidP="006619E3">
            <w:pPr>
              <w:spacing w:line="360" w:lineRule="exact"/>
              <w:ind w:firstLineChars="0" w:firstLine="0"/>
              <w:jc w:val="center"/>
              <w:rPr>
                <w:sz w:val="21"/>
              </w:rPr>
            </w:pPr>
            <w:r>
              <w:rPr>
                <w:sz w:val="21"/>
              </w:rPr>
              <w:t>本项目厂址位于</w:t>
            </w:r>
            <w:r w:rsidRPr="006619E3">
              <w:rPr>
                <w:sz w:val="21"/>
              </w:rPr>
              <w:t>蚌埠精细化工高新技术产业基地</w:t>
            </w:r>
            <w:r>
              <w:rPr>
                <w:sz w:val="21"/>
              </w:rPr>
              <w:t>内，不在饮用水水源一级、二级保护区的岸线和河段范围内。</w:t>
            </w:r>
          </w:p>
        </w:tc>
        <w:tc>
          <w:tcPr>
            <w:tcW w:w="246" w:type="pct"/>
            <w:vAlign w:val="center"/>
          </w:tcPr>
          <w:p w:rsidR="006619E3" w:rsidRPr="000018C3" w:rsidRDefault="00FD2FB8" w:rsidP="006619E3">
            <w:pPr>
              <w:spacing w:line="360" w:lineRule="exact"/>
              <w:ind w:firstLineChars="0" w:firstLine="0"/>
              <w:jc w:val="center"/>
              <w:rPr>
                <w:sz w:val="21"/>
              </w:rPr>
            </w:pPr>
            <w:r w:rsidRPr="00AB41E0">
              <w:rPr>
                <w:rFonts w:ascii="Times New Roman" w:hAnsi="Times New Roman"/>
                <w:color w:val="000000" w:themeColor="text1"/>
                <w:kern w:val="0"/>
                <w:sz w:val="21"/>
                <w:szCs w:val="21"/>
              </w:rPr>
              <w:t>符合</w:t>
            </w:r>
          </w:p>
        </w:tc>
      </w:tr>
      <w:tr w:rsidR="006619E3" w:rsidRPr="00AB41E0" w:rsidTr="006619E3">
        <w:tc>
          <w:tcPr>
            <w:tcW w:w="236" w:type="pct"/>
            <w:vMerge/>
            <w:vAlign w:val="center"/>
          </w:tcPr>
          <w:p w:rsidR="006619E3" w:rsidRPr="000018C3" w:rsidRDefault="006619E3" w:rsidP="006619E3">
            <w:pPr>
              <w:pStyle w:val="afffffff2"/>
              <w:rPr>
                <w:rFonts w:cs="Times New Roman"/>
                <w:kern w:val="0"/>
                <w:sz w:val="21"/>
                <w:szCs w:val="21"/>
              </w:rPr>
            </w:pPr>
          </w:p>
        </w:tc>
        <w:tc>
          <w:tcPr>
            <w:tcW w:w="681" w:type="pct"/>
            <w:vMerge/>
            <w:vAlign w:val="center"/>
          </w:tcPr>
          <w:p w:rsidR="006619E3" w:rsidRPr="000018C3" w:rsidRDefault="006619E3" w:rsidP="006619E3">
            <w:pPr>
              <w:spacing w:line="360" w:lineRule="exact"/>
              <w:ind w:firstLineChars="0" w:firstLine="0"/>
              <w:jc w:val="center"/>
              <w:rPr>
                <w:sz w:val="21"/>
              </w:rPr>
            </w:pPr>
          </w:p>
        </w:tc>
        <w:tc>
          <w:tcPr>
            <w:tcW w:w="454" w:type="pct"/>
            <w:vMerge w:val="restart"/>
            <w:vAlign w:val="center"/>
          </w:tcPr>
          <w:p w:rsidR="006619E3" w:rsidRPr="000018C3" w:rsidRDefault="006619E3" w:rsidP="006619E3">
            <w:pPr>
              <w:spacing w:line="360" w:lineRule="exact"/>
              <w:ind w:firstLineChars="0" w:firstLine="0"/>
              <w:jc w:val="left"/>
              <w:rPr>
                <w:sz w:val="21"/>
              </w:rPr>
            </w:pPr>
            <w:r>
              <w:rPr>
                <w:sz w:val="21"/>
              </w:rPr>
              <w:t>第三章区域</w:t>
            </w:r>
            <w:r>
              <w:rPr>
                <w:sz w:val="21"/>
              </w:rPr>
              <w:lastRenderedPageBreak/>
              <w:t>活动</w:t>
            </w:r>
          </w:p>
        </w:tc>
        <w:tc>
          <w:tcPr>
            <w:tcW w:w="1606" w:type="pct"/>
            <w:vAlign w:val="center"/>
          </w:tcPr>
          <w:p w:rsidR="006619E3" w:rsidRDefault="006619E3" w:rsidP="006619E3">
            <w:pPr>
              <w:spacing w:line="360" w:lineRule="exact"/>
              <w:ind w:firstLineChars="0" w:firstLine="0"/>
              <w:jc w:val="center"/>
              <w:rPr>
                <w:sz w:val="21"/>
              </w:rPr>
            </w:pPr>
            <w:r>
              <w:rPr>
                <w:sz w:val="21"/>
              </w:rPr>
              <w:lastRenderedPageBreak/>
              <w:t>第九条禁止在生态保护红线和永久基本农田范</w:t>
            </w:r>
            <w:r>
              <w:rPr>
                <w:sz w:val="21"/>
              </w:rPr>
              <w:lastRenderedPageBreak/>
              <w:t>围内投资建设除国家重大</w:t>
            </w:r>
            <w:r>
              <w:rPr>
                <w:rFonts w:hint="eastAsia"/>
                <w:sz w:val="21"/>
              </w:rPr>
              <w:t>战略</w:t>
            </w:r>
            <w:r>
              <w:rPr>
                <w:sz w:val="21"/>
              </w:rPr>
              <w:t>资源勘查项目、生态保护修复和环境治理项目、重大基础设施项目、军事</w:t>
            </w:r>
            <w:r>
              <w:rPr>
                <w:rFonts w:hint="eastAsia"/>
                <w:sz w:val="21"/>
              </w:rPr>
              <w:t>国防</w:t>
            </w:r>
            <w:r>
              <w:rPr>
                <w:sz w:val="21"/>
              </w:rPr>
              <w:t>项目以及农牧民基本生产生活等必要的民生项目以外的项目。严格实行生态保护红线管控措施，严禁不符合主体功能定位的各类开发活动，严禁任意改变用途。</w:t>
            </w:r>
          </w:p>
        </w:tc>
        <w:tc>
          <w:tcPr>
            <w:tcW w:w="1777" w:type="pct"/>
            <w:vAlign w:val="center"/>
          </w:tcPr>
          <w:p w:rsidR="006619E3" w:rsidRDefault="006619E3" w:rsidP="006619E3">
            <w:pPr>
              <w:spacing w:line="360" w:lineRule="exact"/>
              <w:ind w:firstLineChars="0" w:firstLine="0"/>
              <w:jc w:val="center"/>
              <w:rPr>
                <w:sz w:val="21"/>
              </w:rPr>
            </w:pPr>
            <w:r>
              <w:rPr>
                <w:sz w:val="21"/>
              </w:rPr>
              <w:lastRenderedPageBreak/>
              <w:t>根据</w:t>
            </w:r>
            <w:r>
              <w:rPr>
                <w:rFonts w:hint="eastAsia"/>
                <w:sz w:val="21"/>
              </w:rPr>
              <w:t>蚌埠</w:t>
            </w:r>
            <w:r>
              <w:rPr>
                <w:sz w:val="21"/>
              </w:rPr>
              <w:t>市生态红线图</w:t>
            </w:r>
            <w:r>
              <w:rPr>
                <w:rFonts w:hint="eastAsia"/>
                <w:sz w:val="21"/>
              </w:rPr>
              <w:t>、</w:t>
            </w:r>
            <w:r w:rsidR="00D64A03">
              <w:rPr>
                <w:rFonts w:hint="eastAsia"/>
                <w:sz w:val="21"/>
              </w:rPr>
              <w:t>蚌埠市国土空间规划</w:t>
            </w:r>
            <w:r>
              <w:rPr>
                <w:sz w:val="21"/>
              </w:rPr>
              <w:t>可</w:t>
            </w:r>
            <w:r>
              <w:rPr>
                <w:sz w:val="21"/>
              </w:rPr>
              <w:lastRenderedPageBreak/>
              <w:t>知，项目不涉及生态保护红线和永久基本农田。</w:t>
            </w:r>
          </w:p>
        </w:tc>
        <w:tc>
          <w:tcPr>
            <w:tcW w:w="246" w:type="pct"/>
            <w:vAlign w:val="center"/>
          </w:tcPr>
          <w:p w:rsidR="006619E3" w:rsidRPr="000018C3" w:rsidRDefault="00FD2FB8" w:rsidP="006619E3">
            <w:pPr>
              <w:spacing w:line="360" w:lineRule="exact"/>
              <w:ind w:firstLineChars="0" w:firstLine="0"/>
              <w:jc w:val="center"/>
              <w:rPr>
                <w:sz w:val="21"/>
              </w:rPr>
            </w:pPr>
            <w:r w:rsidRPr="00AB41E0">
              <w:rPr>
                <w:rFonts w:ascii="Times New Roman" w:hAnsi="Times New Roman"/>
                <w:color w:val="000000" w:themeColor="text1"/>
                <w:kern w:val="0"/>
                <w:sz w:val="21"/>
                <w:szCs w:val="21"/>
              </w:rPr>
              <w:lastRenderedPageBreak/>
              <w:t>符合</w:t>
            </w:r>
          </w:p>
        </w:tc>
      </w:tr>
      <w:tr w:rsidR="006619E3" w:rsidRPr="00AB41E0" w:rsidTr="006619E3">
        <w:tc>
          <w:tcPr>
            <w:tcW w:w="236" w:type="pct"/>
            <w:vMerge/>
            <w:vAlign w:val="center"/>
          </w:tcPr>
          <w:p w:rsidR="006619E3" w:rsidRPr="000018C3" w:rsidRDefault="006619E3" w:rsidP="006619E3">
            <w:pPr>
              <w:pStyle w:val="afffffff2"/>
              <w:rPr>
                <w:rFonts w:cs="Times New Roman"/>
                <w:kern w:val="0"/>
                <w:sz w:val="21"/>
                <w:szCs w:val="21"/>
              </w:rPr>
            </w:pPr>
          </w:p>
        </w:tc>
        <w:tc>
          <w:tcPr>
            <w:tcW w:w="681" w:type="pct"/>
            <w:vMerge/>
            <w:vAlign w:val="center"/>
          </w:tcPr>
          <w:p w:rsidR="006619E3" w:rsidRPr="000018C3" w:rsidRDefault="006619E3" w:rsidP="006619E3">
            <w:pPr>
              <w:spacing w:line="360" w:lineRule="exact"/>
              <w:ind w:firstLineChars="0" w:firstLine="0"/>
              <w:jc w:val="center"/>
              <w:rPr>
                <w:sz w:val="21"/>
              </w:rPr>
            </w:pPr>
          </w:p>
        </w:tc>
        <w:tc>
          <w:tcPr>
            <w:tcW w:w="454" w:type="pct"/>
            <w:vMerge/>
            <w:vAlign w:val="center"/>
          </w:tcPr>
          <w:p w:rsidR="006619E3" w:rsidRPr="000018C3" w:rsidRDefault="006619E3" w:rsidP="006619E3">
            <w:pPr>
              <w:spacing w:line="360" w:lineRule="exact"/>
              <w:ind w:firstLineChars="0" w:firstLine="0"/>
              <w:jc w:val="left"/>
              <w:rPr>
                <w:sz w:val="21"/>
              </w:rPr>
            </w:pPr>
          </w:p>
        </w:tc>
        <w:tc>
          <w:tcPr>
            <w:tcW w:w="1606" w:type="pct"/>
            <w:vAlign w:val="center"/>
          </w:tcPr>
          <w:p w:rsidR="006619E3" w:rsidRDefault="006619E3" w:rsidP="006619E3">
            <w:pPr>
              <w:spacing w:line="360" w:lineRule="exact"/>
              <w:ind w:firstLineChars="0" w:firstLine="0"/>
              <w:jc w:val="center"/>
              <w:rPr>
                <w:sz w:val="21"/>
              </w:rPr>
            </w:pPr>
            <w:r>
              <w:rPr>
                <w:sz w:val="21"/>
              </w:rPr>
              <w:t>第十条长江干流及主要支流</w:t>
            </w:r>
            <w:r>
              <w:rPr>
                <w:sz w:val="21"/>
              </w:rPr>
              <w:t>1km</w:t>
            </w:r>
            <w:r>
              <w:rPr>
                <w:sz w:val="21"/>
              </w:rPr>
              <w:t>范围内，除必须实施的</w:t>
            </w:r>
            <w:r>
              <w:rPr>
                <w:sz w:val="21"/>
              </w:rPr>
              <w:t>……</w:t>
            </w:r>
            <w:r>
              <w:rPr>
                <w:sz w:val="21"/>
              </w:rPr>
              <w:t>等事关公共安全和公众利益建设项目，以及厂界岸线规划确定的城市建设区内非工业项目外，不得新批建设项目，不得布局新的工业园区。</w:t>
            </w:r>
          </w:p>
        </w:tc>
        <w:tc>
          <w:tcPr>
            <w:tcW w:w="1777" w:type="pct"/>
            <w:vAlign w:val="center"/>
          </w:tcPr>
          <w:p w:rsidR="006619E3" w:rsidRDefault="006619E3" w:rsidP="006619E3">
            <w:pPr>
              <w:spacing w:line="360" w:lineRule="exact"/>
              <w:ind w:firstLineChars="0" w:firstLine="0"/>
              <w:jc w:val="center"/>
              <w:rPr>
                <w:sz w:val="21"/>
              </w:rPr>
            </w:pPr>
            <w:r w:rsidRPr="000018C3">
              <w:rPr>
                <w:rFonts w:ascii="Times New Roman" w:hAnsi="Times New Roman"/>
                <w:sz w:val="21"/>
              </w:rPr>
              <w:t>本项目距离长江</w:t>
            </w:r>
            <w:r w:rsidRPr="006619E3">
              <w:rPr>
                <w:rFonts w:ascii="Times New Roman" w:hAnsi="Times New Roman"/>
                <w:sz w:val="21"/>
              </w:rPr>
              <w:t>145.76km</w:t>
            </w:r>
            <w:r w:rsidRPr="006619E3">
              <w:rPr>
                <w:rFonts w:ascii="Times New Roman" w:hAnsi="Times New Roman"/>
                <w:sz w:val="21"/>
              </w:rPr>
              <w:t>，距离长江一级支流巢湖约</w:t>
            </w:r>
            <w:r w:rsidRPr="006619E3">
              <w:rPr>
                <w:rFonts w:ascii="Times New Roman" w:hAnsi="Times New Roman"/>
                <w:sz w:val="21"/>
              </w:rPr>
              <w:t>143.60km</w:t>
            </w:r>
            <w:r w:rsidRPr="006619E3">
              <w:rPr>
                <w:rFonts w:ascii="Times New Roman" w:hAnsi="Times New Roman"/>
                <w:sz w:val="21"/>
              </w:rPr>
              <w:t>，不在长江干流及主要支流巢湖</w:t>
            </w:r>
            <w:r w:rsidRPr="006619E3">
              <w:rPr>
                <w:rFonts w:ascii="Times New Roman" w:hAnsi="Times New Roman"/>
                <w:sz w:val="21"/>
              </w:rPr>
              <w:t>1km</w:t>
            </w:r>
            <w:r w:rsidRPr="006619E3">
              <w:rPr>
                <w:rFonts w:ascii="Times New Roman" w:hAnsi="Times New Roman"/>
                <w:sz w:val="21"/>
              </w:rPr>
              <w:t>范围内。</w:t>
            </w:r>
          </w:p>
        </w:tc>
        <w:tc>
          <w:tcPr>
            <w:tcW w:w="246" w:type="pct"/>
            <w:vAlign w:val="center"/>
          </w:tcPr>
          <w:p w:rsidR="006619E3" w:rsidRPr="000018C3" w:rsidRDefault="00FD2FB8" w:rsidP="006619E3">
            <w:pPr>
              <w:spacing w:line="360" w:lineRule="exact"/>
              <w:ind w:firstLineChars="0" w:firstLine="0"/>
              <w:jc w:val="center"/>
              <w:rPr>
                <w:sz w:val="21"/>
              </w:rPr>
            </w:pPr>
            <w:r w:rsidRPr="00AB41E0">
              <w:rPr>
                <w:rFonts w:ascii="Times New Roman" w:hAnsi="Times New Roman"/>
                <w:color w:val="000000" w:themeColor="text1"/>
                <w:kern w:val="0"/>
                <w:sz w:val="21"/>
                <w:szCs w:val="21"/>
              </w:rPr>
              <w:t>符合</w:t>
            </w:r>
          </w:p>
        </w:tc>
      </w:tr>
      <w:tr w:rsidR="006619E3" w:rsidRPr="00AB41E0" w:rsidTr="006619E3">
        <w:tc>
          <w:tcPr>
            <w:tcW w:w="236" w:type="pct"/>
            <w:vMerge/>
            <w:vAlign w:val="center"/>
          </w:tcPr>
          <w:p w:rsidR="006619E3" w:rsidRPr="000018C3" w:rsidRDefault="006619E3" w:rsidP="006619E3">
            <w:pPr>
              <w:pStyle w:val="afffffff2"/>
              <w:rPr>
                <w:rFonts w:cs="Times New Roman"/>
                <w:kern w:val="0"/>
                <w:sz w:val="21"/>
                <w:szCs w:val="21"/>
              </w:rPr>
            </w:pPr>
          </w:p>
        </w:tc>
        <w:tc>
          <w:tcPr>
            <w:tcW w:w="681" w:type="pct"/>
            <w:vMerge/>
            <w:vAlign w:val="center"/>
          </w:tcPr>
          <w:p w:rsidR="006619E3" w:rsidRPr="000018C3" w:rsidRDefault="006619E3" w:rsidP="006619E3">
            <w:pPr>
              <w:spacing w:line="360" w:lineRule="exact"/>
              <w:ind w:firstLineChars="0" w:firstLine="0"/>
              <w:jc w:val="center"/>
              <w:rPr>
                <w:sz w:val="21"/>
              </w:rPr>
            </w:pPr>
          </w:p>
        </w:tc>
        <w:tc>
          <w:tcPr>
            <w:tcW w:w="454" w:type="pct"/>
            <w:vMerge w:val="restart"/>
            <w:vAlign w:val="center"/>
          </w:tcPr>
          <w:p w:rsidR="006619E3" w:rsidRPr="000018C3" w:rsidRDefault="006619E3" w:rsidP="006619E3">
            <w:pPr>
              <w:spacing w:line="360" w:lineRule="exact"/>
              <w:ind w:firstLineChars="0" w:firstLine="0"/>
              <w:jc w:val="left"/>
              <w:rPr>
                <w:sz w:val="21"/>
              </w:rPr>
            </w:pPr>
            <w:r>
              <w:rPr>
                <w:sz w:val="21"/>
              </w:rPr>
              <w:t>第四章产业发展</w:t>
            </w:r>
          </w:p>
        </w:tc>
        <w:tc>
          <w:tcPr>
            <w:tcW w:w="1606" w:type="pct"/>
            <w:vAlign w:val="center"/>
          </w:tcPr>
          <w:p w:rsidR="006619E3" w:rsidRDefault="006619E3" w:rsidP="006619E3">
            <w:pPr>
              <w:spacing w:line="360" w:lineRule="exact"/>
              <w:ind w:firstLineChars="0" w:firstLine="0"/>
              <w:jc w:val="center"/>
              <w:rPr>
                <w:sz w:val="21"/>
              </w:rPr>
            </w:pPr>
            <w:r>
              <w:rPr>
                <w:sz w:val="21"/>
              </w:rPr>
              <w:t>第十二条禁止新建、扩建法律法规和相关政策</w:t>
            </w:r>
            <w:r>
              <w:rPr>
                <w:rFonts w:hint="eastAsia"/>
                <w:sz w:val="21"/>
              </w:rPr>
              <w:t>明令</w:t>
            </w:r>
            <w:r>
              <w:rPr>
                <w:sz w:val="21"/>
              </w:rPr>
              <w:t>禁止的落后产能项目。</w:t>
            </w:r>
          </w:p>
          <w:p w:rsidR="006619E3" w:rsidRDefault="006619E3" w:rsidP="006619E3">
            <w:pPr>
              <w:spacing w:line="360" w:lineRule="exact"/>
              <w:ind w:firstLineChars="0" w:firstLine="0"/>
              <w:jc w:val="center"/>
              <w:rPr>
                <w:sz w:val="21"/>
              </w:rPr>
            </w:pPr>
            <w:r>
              <w:rPr>
                <w:rFonts w:hint="eastAsia"/>
                <w:sz w:val="21"/>
              </w:rPr>
              <w:t>对属于国家《产业结构调整指导目录》中淘汰类项目，禁止投资。</w:t>
            </w:r>
          </w:p>
          <w:p w:rsidR="006619E3" w:rsidRDefault="006619E3" w:rsidP="006619E3">
            <w:pPr>
              <w:spacing w:line="360" w:lineRule="exact"/>
              <w:ind w:firstLineChars="0" w:firstLine="0"/>
              <w:jc w:val="center"/>
              <w:rPr>
                <w:sz w:val="21"/>
              </w:rPr>
            </w:pPr>
            <w:r>
              <w:rPr>
                <w:rFonts w:hint="eastAsia"/>
                <w:sz w:val="21"/>
              </w:rPr>
              <w:t>对属于国家《产业结构调整指导目录》中限制类的新建项目，禁止投资，沿江各级投资管理部门不予审批、核准或备案，对属于限制类的现有生产能力，允许企业在一定期限内采取措施改造升级</w:t>
            </w:r>
            <w:r>
              <w:rPr>
                <w:sz w:val="21"/>
              </w:rPr>
              <w:t>。</w:t>
            </w:r>
          </w:p>
        </w:tc>
        <w:tc>
          <w:tcPr>
            <w:tcW w:w="1777" w:type="pct"/>
            <w:vAlign w:val="center"/>
          </w:tcPr>
          <w:p w:rsidR="006619E3" w:rsidRPr="006619E3" w:rsidRDefault="006619E3" w:rsidP="006619E3">
            <w:pPr>
              <w:spacing w:line="360" w:lineRule="exact"/>
              <w:ind w:firstLineChars="0" w:firstLine="0"/>
              <w:jc w:val="center"/>
              <w:rPr>
                <w:rFonts w:ascii="Times New Roman" w:hAnsi="Times New Roman"/>
                <w:sz w:val="21"/>
              </w:rPr>
            </w:pPr>
            <w:r w:rsidRPr="006619E3">
              <w:rPr>
                <w:rFonts w:ascii="Times New Roman" w:hAnsi="Times New Roman"/>
                <w:sz w:val="21"/>
              </w:rPr>
              <w:t>根据《产业结构调整指导目录》（</w:t>
            </w:r>
            <w:r w:rsidRPr="006619E3">
              <w:rPr>
                <w:rFonts w:ascii="Times New Roman" w:hAnsi="Times New Roman"/>
                <w:sz w:val="21"/>
              </w:rPr>
              <w:t>2024</w:t>
            </w:r>
            <w:r w:rsidRPr="006619E3">
              <w:rPr>
                <w:rFonts w:ascii="Times New Roman" w:hAnsi="Times New Roman"/>
                <w:sz w:val="21"/>
              </w:rPr>
              <w:t>本），本项目属于</w:t>
            </w:r>
            <w:r>
              <w:rPr>
                <w:rFonts w:ascii="Times New Roman" w:hAnsi="Times New Roman" w:hint="eastAsia"/>
                <w:sz w:val="21"/>
              </w:rPr>
              <w:t>允许</w:t>
            </w:r>
            <w:r w:rsidRPr="006619E3">
              <w:rPr>
                <w:rFonts w:ascii="Times New Roman" w:hAnsi="Times New Roman"/>
                <w:sz w:val="21"/>
              </w:rPr>
              <w:t>类项目</w:t>
            </w:r>
          </w:p>
        </w:tc>
        <w:tc>
          <w:tcPr>
            <w:tcW w:w="246" w:type="pct"/>
            <w:vAlign w:val="center"/>
          </w:tcPr>
          <w:p w:rsidR="006619E3" w:rsidRPr="000018C3" w:rsidRDefault="00FD2FB8" w:rsidP="006619E3">
            <w:pPr>
              <w:spacing w:line="360" w:lineRule="exact"/>
              <w:ind w:firstLineChars="0" w:firstLine="0"/>
              <w:jc w:val="center"/>
              <w:rPr>
                <w:sz w:val="21"/>
              </w:rPr>
            </w:pPr>
            <w:r w:rsidRPr="00AB41E0">
              <w:rPr>
                <w:rFonts w:ascii="Times New Roman" w:hAnsi="Times New Roman"/>
                <w:color w:val="000000" w:themeColor="text1"/>
                <w:kern w:val="0"/>
                <w:sz w:val="21"/>
                <w:szCs w:val="21"/>
              </w:rPr>
              <w:t>符合</w:t>
            </w:r>
          </w:p>
        </w:tc>
      </w:tr>
      <w:tr w:rsidR="006619E3" w:rsidRPr="00AB41E0" w:rsidTr="006619E3">
        <w:tc>
          <w:tcPr>
            <w:tcW w:w="236" w:type="pct"/>
            <w:vMerge/>
            <w:vAlign w:val="center"/>
          </w:tcPr>
          <w:p w:rsidR="006619E3" w:rsidRPr="000018C3" w:rsidRDefault="006619E3" w:rsidP="006619E3">
            <w:pPr>
              <w:pStyle w:val="afffffff2"/>
              <w:rPr>
                <w:rFonts w:cs="Times New Roman"/>
                <w:kern w:val="0"/>
                <w:sz w:val="21"/>
                <w:szCs w:val="21"/>
              </w:rPr>
            </w:pPr>
          </w:p>
        </w:tc>
        <w:tc>
          <w:tcPr>
            <w:tcW w:w="681" w:type="pct"/>
            <w:vMerge/>
            <w:vAlign w:val="center"/>
          </w:tcPr>
          <w:p w:rsidR="006619E3" w:rsidRPr="000018C3" w:rsidRDefault="006619E3" w:rsidP="006619E3">
            <w:pPr>
              <w:spacing w:line="360" w:lineRule="exact"/>
              <w:ind w:firstLineChars="0" w:firstLine="0"/>
              <w:jc w:val="center"/>
              <w:rPr>
                <w:sz w:val="21"/>
              </w:rPr>
            </w:pPr>
          </w:p>
        </w:tc>
        <w:tc>
          <w:tcPr>
            <w:tcW w:w="454" w:type="pct"/>
            <w:vMerge/>
            <w:vAlign w:val="center"/>
          </w:tcPr>
          <w:p w:rsidR="006619E3" w:rsidRPr="000018C3" w:rsidRDefault="006619E3" w:rsidP="006619E3">
            <w:pPr>
              <w:spacing w:line="360" w:lineRule="exact"/>
              <w:ind w:firstLineChars="0" w:firstLine="0"/>
              <w:jc w:val="left"/>
              <w:rPr>
                <w:sz w:val="21"/>
              </w:rPr>
            </w:pPr>
          </w:p>
        </w:tc>
        <w:tc>
          <w:tcPr>
            <w:tcW w:w="1606" w:type="pct"/>
            <w:vAlign w:val="center"/>
          </w:tcPr>
          <w:p w:rsidR="006619E3" w:rsidRDefault="006619E3" w:rsidP="006619E3">
            <w:pPr>
              <w:spacing w:line="360" w:lineRule="exact"/>
              <w:ind w:firstLineChars="0" w:firstLine="0"/>
              <w:jc w:val="center"/>
              <w:rPr>
                <w:sz w:val="21"/>
              </w:rPr>
            </w:pPr>
            <w:r>
              <w:rPr>
                <w:sz w:val="21"/>
              </w:rPr>
              <w:t>第十三条禁止新建、扩建不符合国家产能置换要求的钢铁、水泥、电解铝、平板玻璃等严重过剩产能行业的项目。</w:t>
            </w:r>
          </w:p>
        </w:tc>
        <w:tc>
          <w:tcPr>
            <w:tcW w:w="1777" w:type="pct"/>
            <w:vAlign w:val="center"/>
          </w:tcPr>
          <w:p w:rsidR="006619E3" w:rsidRDefault="006619E3" w:rsidP="006619E3">
            <w:pPr>
              <w:spacing w:line="360" w:lineRule="exact"/>
              <w:ind w:firstLineChars="0" w:firstLine="0"/>
              <w:jc w:val="center"/>
              <w:rPr>
                <w:sz w:val="21"/>
              </w:rPr>
            </w:pPr>
            <w:r>
              <w:rPr>
                <w:rFonts w:hint="eastAsia"/>
                <w:sz w:val="21"/>
              </w:rPr>
              <w:t>本项目</w:t>
            </w:r>
            <w:r>
              <w:rPr>
                <w:sz w:val="21"/>
              </w:rPr>
              <w:t>不</w:t>
            </w:r>
            <w:r>
              <w:rPr>
                <w:rFonts w:hint="eastAsia"/>
                <w:sz w:val="21"/>
              </w:rPr>
              <w:t>涉及</w:t>
            </w:r>
            <w:r>
              <w:rPr>
                <w:sz w:val="21"/>
              </w:rPr>
              <w:t>严重过剩产能</w:t>
            </w:r>
          </w:p>
        </w:tc>
        <w:tc>
          <w:tcPr>
            <w:tcW w:w="246" w:type="pct"/>
            <w:vAlign w:val="center"/>
          </w:tcPr>
          <w:p w:rsidR="006619E3" w:rsidRPr="000018C3" w:rsidRDefault="00FD2FB8" w:rsidP="006619E3">
            <w:pPr>
              <w:spacing w:line="360" w:lineRule="exact"/>
              <w:ind w:firstLineChars="0" w:firstLine="0"/>
              <w:jc w:val="center"/>
              <w:rPr>
                <w:sz w:val="21"/>
              </w:rPr>
            </w:pPr>
            <w:r w:rsidRPr="00AB41E0">
              <w:rPr>
                <w:rFonts w:ascii="Times New Roman" w:hAnsi="Times New Roman"/>
                <w:color w:val="000000" w:themeColor="text1"/>
                <w:kern w:val="0"/>
                <w:sz w:val="21"/>
                <w:szCs w:val="21"/>
              </w:rPr>
              <w:t>符合</w:t>
            </w:r>
          </w:p>
        </w:tc>
      </w:tr>
      <w:tr w:rsidR="00FD2FB8" w:rsidRPr="00AB41E0" w:rsidTr="00524AE1">
        <w:tc>
          <w:tcPr>
            <w:tcW w:w="236" w:type="pct"/>
            <w:vMerge w:val="restart"/>
            <w:vAlign w:val="center"/>
          </w:tcPr>
          <w:p w:rsidR="00FD2FB8" w:rsidRPr="00FD2FB8" w:rsidRDefault="00FD2FB8" w:rsidP="000018C3">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1</w:t>
            </w:r>
            <w:r>
              <w:rPr>
                <w:rFonts w:ascii="Times New Roman" w:hAnsi="Times New Roman" w:cs="Times New Roman"/>
                <w:kern w:val="0"/>
                <w:sz w:val="21"/>
                <w:szCs w:val="21"/>
              </w:rPr>
              <w:t>5</w:t>
            </w:r>
          </w:p>
        </w:tc>
        <w:tc>
          <w:tcPr>
            <w:tcW w:w="681" w:type="pct"/>
            <w:vMerge w:val="restart"/>
            <w:vAlign w:val="center"/>
          </w:tcPr>
          <w:p w:rsidR="00FD2FB8" w:rsidRPr="00FD2FB8" w:rsidRDefault="00FD2FB8" w:rsidP="000018C3">
            <w:pPr>
              <w:spacing w:line="360" w:lineRule="exact"/>
              <w:ind w:firstLineChars="0" w:firstLine="0"/>
              <w:jc w:val="center"/>
              <w:rPr>
                <w:rFonts w:ascii="Times New Roman" w:hAnsi="Times New Roman"/>
                <w:sz w:val="21"/>
                <w:szCs w:val="21"/>
              </w:rPr>
            </w:pPr>
            <w:r w:rsidRPr="00FD2FB8">
              <w:rPr>
                <w:rFonts w:ascii="Times New Roman" w:hAnsi="Times New Roman"/>
                <w:kern w:val="0"/>
                <w:sz w:val="21"/>
                <w:szCs w:val="21"/>
              </w:rPr>
              <w:t>《关于加强高耗</w:t>
            </w:r>
            <w:r w:rsidRPr="00FD2FB8">
              <w:rPr>
                <w:rFonts w:ascii="Times New Roman" w:hAnsi="Times New Roman"/>
                <w:kern w:val="0"/>
                <w:sz w:val="21"/>
                <w:szCs w:val="21"/>
              </w:rPr>
              <w:lastRenderedPageBreak/>
              <w:t>能、高排放建设项目生态环境源头防控的指导意见》</w:t>
            </w:r>
          </w:p>
        </w:tc>
        <w:tc>
          <w:tcPr>
            <w:tcW w:w="2060" w:type="pct"/>
            <w:gridSpan w:val="2"/>
            <w:vAlign w:val="center"/>
          </w:tcPr>
          <w:p w:rsidR="00FD2FB8" w:rsidRPr="00FD2FB8" w:rsidRDefault="00FD2FB8" w:rsidP="00FD2FB8">
            <w:pPr>
              <w:spacing w:line="360" w:lineRule="exact"/>
              <w:ind w:firstLineChars="0" w:firstLine="0"/>
              <w:jc w:val="left"/>
              <w:rPr>
                <w:rFonts w:ascii="Times New Roman" w:hAnsi="Times New Roman"/>
                <w:sz w:val="21"/>
                <w:szCs w:val="21"/>
              </w:rPr>
            </w:pPr>
            <w:r w:rsidRPr="00FD2FB8">
              <w:rPr>
                <w:rFonts w:ascii="Times New Roman" w:hAnsi="Times New Roman" w:hint="eastAsia"/>
                <w:sz w:val="21"/>
                <w:szCs w:val="21"/>
              </w:rPr>
              <w:lastRenderedPageBreak/>
              <w:t>一、加强生态环境分区管控和规划约束</w:t>
            </w:r>
          </w:p>
          <w:p w:rsidR="00FD2FB8" w:rsidRPr="00FD2FB8" w:rsidRDefault="00FD2FB8" w:rsidP="00FD2FB8">
            <w:pPr>
              <w:spacing w:line="360" w:lineRule="exact"/>
              <w:ind w:firstLineChars="0" w:firstLine="0"/>
              <w:jc w:val="left"/>
              <w:rPr>
                <w:rFonts w:ascii="Times New Roman" w:hAnsi="Times New Roman"/>
                <w:sz w:val="21"/>
                <w:szCs w:val="21"/>
              </w:rPr>
            </w:pPr>
            <w:r w:rsidRPr="00FD2FB8">
              <w:rPr>
                <w:rFonts w:ascii="Times New Roman" w:hAnsi="Times New Roman" w:hint="eastAsia"/>
                <w:sz w:val="21"/>
                <w:szCs w:val="21"/>
              </w:rPr>
              <w:lastRenderedPageBreak/>
              <w:t>（一）深入实施“三线一单”。各级生态环境部门应加快推进“三线一单”成果在“两高”行业产业布局和结构调整、重大项目选址中的应用。地方生态环境部门组织“三线一单”地市落地细化及后续更新调整时，应在生态环境准入清单中深化“两高”项目环境准入及管控要求；承接钢铁、电解铝等产业转移地区应严格落实生态环境分区管控要求，将环境质量底线作为硬约束。</w:t>
            </w:r>
          </w:p>
          <w:p w:rsidR="00FD2FB8" w:rsidRPr="00FD2FB8" w:rsidRDefault="00FD2FB8" w:rsidP="00FD2FB8">
            <w:pPr>
              <w:spacing w:line="360" w:lineRule="exact"/>
              <w:ind w:firstLineChars="0" w:firstLine="0"/>
              <w:jc w:val="left"/>
              <w:rPr>
                <w:rFonts w:ascii="Times New Roman" w:hAnsi="Times New Roman"/>
                <w:sz w:val="21"/>
                <w:szCs w:val="21"/>
              </w:rPr>
            </w:pPr>
            <w:r w:rsidRPr="00FD2FB8">
              <w:rPr>
                <w:rFonts w:ascii="Times New Roman" w:hAnsi="Times New Roman" w:hint="eastAsia"/>
                <w:sz w:val="21"/>
                <w:szCs w:val="21"/>
              </w:rPr>
              <w:t>（二）强化规划环评效力。各级生态环境部门应严格审查涉“两高”行业的有关综合性规划和工业、能源等专项规划</w:t>
            </w:r>
          </w:p>
          <w:p w:rsidR="00FD2FB8" w:rsidRPr="00FD2FB8" w:rsidRDefault="00FD2FB8" w:rsidP="00FD2FB8">
            <w:pPr>
              <w:spacing w:line="360" w:lineRule="exact"/>
              <w:ind w:firstLineChars="0" w:firstLine="0"/>
              <w:jc w:val="left"/>
              <w:rPr>
                <w:rFonts w:ascii="Times New Roman" w:hAnsi="Times New Roman"/>
                <w:sz w:val="21"/>
                <w:szCs w:val="21"/>
              </w:rPr>
            </w:pPr>
            <w:r w:rsidRPr="00FD2FB8">
              <w:rPr>
                <w:rFonts w:ascii="Times New Roman" w:hAnsi="Times New Roman" w:hint="eastAsia"/>
                <w:sz w:val="21"/>
                <w:szCs w:val="21"/>
              </w:rPr>
              <w:t>环评，特别对为上马“两高”项目而修编的规划，在环评审查中应严格控制“两高”行业发展规模，优化规划布局、产业结构与实施时序。以“两高”行业为主导产业的园区规划环评应增加碳排放情况与减排潜力分析，推动园区绿色低碳发展。推动煤电能源基地、现代煤化工示范区、石化产业基地等开展规划环境影响跟踪评价，完善生态环境保护措施并适时优化调整规划。</w:t>
            </w:r>
          </w:p>
        </w:tc>
        <w:tc>
          <w:tcPr>
            <w:tcW w:w="1777" w:type="pct"/>
            <w:vAlign w:val="center"/>
          </w:tcPr>
          <w:p w:rsidR="00FD2FB8" w:rsidRDefault="00FD2FB8" w:rsidP="00FD2FB8">
            <w:pPr>
              <w:spacing w:line="360" w:lineRule="exact"/>
              <w:ind w:firstLineChars="0" w:firstLine="0"/>
              <w:jc w:val="center"/>
              <w:rPr>
                <w:rFonts w:ascii="Times New Roman" w:hAnsi="Times New Roman"/>
                <w:sz w:val="21"/>
              </w:rPr>
            </w:pPr>
            <w:r w:rsidRPr="00FD2FB8">
              <w:rPr>
                <w:rFonts w:ascii="Times New Roman" w:hAnsi="Times New Roman" w:hint="eastAsia"/>
                <w:sz w:val="21"/>
                <w:szCs w:val="21"/>
              </w:rPr>
              <w:lastRenderedPageBreak/>
              <w:t>（一）</w:t>
            </w:r>
            <w:r>
              <w:rPr>
                <w:rFonts w:ascii="Times New Roman" w:hAnsi="Times New Roman" w:hint="eastAsia"/>
                <w:sz w:val="21"/>
                <w:szCs w:val="21"/>
              </w:rPr>
              <w:t>对照蚌埠市</w:t>
            </w:r>
            <w:r w:rsidR="00D64A03">
              <w:rPr>
                <w:rFonts w:ascii="Times New Roman" w:hAnsi="Times New Roman" w:hint="eastAsia"/>
                <w:sz w:val="21"/>
                <w:szCs w:val="21"/>
              </w:rPr>
              <w:t>生态分区管控</w:t>
            </w:r>
            <w:r>
              <w:rPr>
                <w:rFonts w:ascii="Times New Roman" w:hAnsi="Times New Roman" w:hint="eastAsia"/>
                <w:sz w:val="21"/>
                <w:szCs w:val="21"/>
              </w:rPr>
              <w:t>，本项目符合管控</w:t>
            </w:r>
            <w:r>
              <w:rPr>
                <w:rFonts w:ascii="Times New Roman" w:hAnsi="Times New Roman" w:hint="eastAsia"/>
                <w:sz w:val="21"/>
                <w:szCs w:val="21"/>
              </w:rPr>
              <w:lastRenderedPageBreak/>
              <w:t>要求；</w:t>
            </w:r>
          </w:p>
          <w:p w:rsidR="00FD2FB8" w:rsidRPr="00FD2FB8" w:rsidRDefault="00FD2FB8" w:rsidP="00FD2FB8">
            <w:pPr>
              <w:spacing w:line="360" w:lineRule="exact"/>
              <w:ind w:firstLineChars="0" w:firstLine="0"/>
              <w:jc w:val="center"/>
              <w:rPr>
                <w:rFonts w:ascii="Times New Roman" w:hAnsi="Times New Roman"/>
                <w:sz w:val="21"/>
                <w:szCs w:val="21"/>
              </w:rPr>
            </w:pPr>
            <w:r w:rsidRPr="00FD2FB8">
              <w:rPr>
                <w:rFonts w:ascii="Times New Roman" w:hAnsi="Times New Roman" w:hint="eastAsia"/>
                <w:sz w:val="21"/>
                <w:szCs w:val="21"/>
              </w:rPr>
              <w:t>（二）</w:t>
            </w:r>
            <w:r>
              <w:rPr>
                <w:rFonts w:ascii="Times New Roman" w:hAnsi="Times New Roman"/>
                <w:sz w:val="21"/>
              </w:rPr>
              <w:t>根据安徽省节能减排及应对气候变化工作领导小组办公室制定的《安徽省</w:t>
            </w:r>
            <w:r>
              <w:rPr>
                <w:rFonts w:ascii="Times New Roman" w:hAnsi="Times New Roman"/>
                <w:sz w:val="21"/>
              </w:rPr>
              <w:t>“</w:t>
            </w:r>
            <w:r>
              <w:rPr>
                <w:rFonts w:ascii="Times New Roman" w:hAnsi="Times New Roman"/>
                <w:sz w:val="21"/>
              </w:rPr>
              <w:t>两高</w:t>
            </w:r>
            <w:r>
              <w:rPr>
                <w:rFonts w:ascii="Times New Roman" w:hAnsi="Times New Roman"/>
                <w:sz w:val="21"/>
              </w:rPr>
              <w:t>”</w:t>
            </w:r>
            <w:r>
              <w:rPr>
                <w:rFonts w:ascii="Times New Roman" w:hAnsi="Times New Roman"/>
                <w:sz w:val="21"/>
              </w:rPr>
              <w:t>项目管理目录》（试行），项目属于</w:t>
            </w:r>
            <w:r>
              <w:rPr>
                <w:rFonts w:ascii="Times New Roman" w:hAnsi="Times New Roman" w:hint="eastAsia"/>
                <w:sz w:val="21"/>
              </w:rPr>
              <w:t>C2614</w:t>
            </w:r>
            <w:r>
              <w:rPr>
                <w:rFonts w:ascii="Times New Roman" w:hAnsi="Times New Roman" w:hint="eastAsia"/>
                <w:sz w:val="21"/>
              </w:rPr>
              <w:t>有机化学原料制造</w:t>
            </w:r>
            <w:r>
              <w:rPr>
                <w:rFonts w:ascii="Times New Roman" w:hAnsi="Times New Roman"/>
                <w:sz w:val="21"/>
              </w:rPr>
              <w:t>，不属于</w:t>
            </w:r>
            <w:r>
              <w:rPr>
                <w:rFonts w:ascii="Times New Roman" w:hAnsi="Times New Roman" w:hint="eastAsia"/>
                <w:sz w:val="21"/>
              </w:rPr>
              <w:t>醋酸、乙烯、对二甲苯、丁二醇、二苯基甲烷二异氰酸酯、乙酸乙烯酯、用汞的氯乙烯制造项目</w:t>
            </w:r>
          </w:p>
        </w:tc>
        <w:tc>
          <w:tcPr>
            <w:tcW w:w="246" w:type="pct"/>
            <w:vAlign w:val="center"/>
          </w:tcPr>
          <w:p w:rsidR="00FD2FB8" w:rsidRPr="00FD2FB8" w:rsidRDefault="00FD2FB8" w:rsidP="000018C3">
            <w:pPr>
              <w:spacing w:line="360" w:lineRule="exact"/>
              <w:ind w:firstLineChars="0" w:firstLine="0"/>
              <w:jc w:val="center"/>
              <w:rPr>
                <w:rFonts w:ascii="Times New Roman" w:hAnsi="Times New Roman"/>
                <w:sz w:val="21"/>
                <w:szCs w:val="21"/>
              </w:rPr>
            </w:pPr>
            <w:r w:rsidRPr="00AB41E0">
              <w:rPr>
                <w:rFonts w:ascii="Times New Roman" w:hAnsi="Times New Roman"/>
                <w:color w:val="000000" w:themeColor="text1"/>
                <w:kern w:val="0"/>
                <w:sz w:val="21"/>
                <w:szCs w:val="21"/>
              </w:rPr>
              <w:lastRenderedPageBreak/>
              <w:t>符合</w:t>
            </w:r>
          </w:p>
        </w:tc>
      </w:tr>
      <w:tr w:rsidR="00FD2FB8" w:rsidRPr="00AB41E0" w:rsidTr="00524AE1">
        <w:tc>
          <w:tcPr>
            <w:tcW w:w="236" w:type="pct"/>
            <w:vMerge/>
            <w:vAlign w:val="center"/>
          </w:tcPr>
          <w:p w:rsidR="00FD2FB8" w:rsidRDefault="00FD2FB8" w:rsidP="000018C3">
            <w:pPr>
              <w:pStyle w:val="afffffff2"/>
              <w:rPr>
                <w:rFonts w:cs="Times New Roman"/>
                <w:kern w:val="0"/>
                <w:sz w:val="21"/>
                <w:szCs w:val="21"/>
              </w:rPr>
            </w:pPr>
          </w:p>
        </w:tc>
        <w:tc>
          <w:tcPr>
            <w:tcW w:w="681" w:type="pct"/>
            <w:vMerge/>
            <w:vAlign w:val="center"/>
          </w:tcPr>
          <w:p w:rsidR="00FD2FB8" w:rsidRPr="00FD2FB8" w:rsidRDefault="00FD2FB8" w:rsidP="000018C3">
            <w:pPr>
              <w:spacing w:line="360" w:lineRule="exact"/>
              <w:ind w:firstLineChars="0" w:firstLine="0"/>
              <w:jc w:val="center"/>
              <w:rPr>
                <w:kern w:val="0"/>
                <w:sz w:val="21"/>
                <w:szCs w:val="21"/>
              </w:rPr>
            </w:pPr>
          </w:p>
        </w:tc>
        <w:tc>
          <w:tcPr>
            <w:tcW w:w="2060" w:type="pct"/>
            <w:gridSpan w:val="2"/>
            <w:vAlign w:val="center"/>
          </w:tcPr>
          <w:p w:rsidR="00FD2FB8" w:rsidRPr="00FD2FB8" w:rsidRDefault="00FD2FB8" w:rsidP="00FD2FB8">
            <w:pPr>
              <w:spacing w:line="360" w:lineRule="exact"/>
              <w:ind w:firstLineChars="0" w:firstLine="0"/>
              <w:jc w:val="left"/>
              <w:rPr>
                <w:sz w:val="21"/>
                <w:szCs w:val="21"/>
              </w:rPr>
            </w:pPr>
            <w:r w:rsidRPr="00FD2FB8">
              <w:rPr>
                <w:rFonts w:hint="eastAsia"/>
                <w:sz w:val="21"/>
                <w:szCs w:val="21"/>
              </w:rPr>
              <w:t>二、严格“两高”项目环评审批</w:t>
            </w:r>
          </w:p>
          <w:p w:rsidR="00FD2FB8" w:rsidRPr="00FD2FB8" w:rsidRDefault="00FD2FB8" w:rsidP="00FD2FB8">
            <w:pPr>
              <w:spacing w:line="360" w:lineRule="exact"/>
              <w:ind w:firstLineChars="0" w:firstLine="0"/>
              <w:jc w:val="left"/>
              <w:rPr>
                <w:sz w:val="21"/>
                <w:szCs w:val="21"/>
              </w:rPr>
            </w:pPr>
            <w:r w:rsidRPr="00FD2FB8">
              <w:rPr>
                <w:rFonts w:hint="eastAsia"/>
                <w:sz w:val="21"/>
                <w:szCs w:val="21"/>
              </w:rPr>
              <w:t>（三）严把建设项目环境准入关。新建、改建、扩建“两高”项目须符合生态环境保护法律法规和相关法定规划，满</w:t>
            </w:r>
          </w:p>
          <w:p w:rsidR="00FD2FB8" w:rsidRPr="00FD2FB8" w:rsidRDefault="00FD2FB8" w:rsidP="00FD2FB8">
            <w:pPr>
              <w:spacing w:line="360" w:lineRule="exact"/>
              <w:ind w:firstLineChars="0" w:firstLine="0"/>
              <w:jc w:val="left"/>
              <w:rPr>
                <w:sz w:val="21"/>
                <w:szCs w:val="21"/>
              </w:rPr>
            </w:pPr>
            <w:r w:rsidRPr="00FD2FB8">
              <w:rPr>
                <w:rFonts w:hint="eastAsia"/>
                <w:sz w:val="21"/>
                <w:szCs w:val="21"/>
              </w:rPr>
              <w:t>足重点污染物排放总量控制、碳排放达峰目标、生态环境准入清单、相关规划环评和相应行业建设项目环境准入条件、环评文件审批原则要求。石化、现代煤化工项目应纳入国家产业规划。新建、扩建石化、化工、焦化、有色金属冶炼、平板玻璃项目应布设在依法合规设立并经规划环评的产业园</w:t>
            </w:r>
            <w:r w:rsidRPr="00FD2FB8">
              <w:rPr>
                <w:rFonts w:hint="eastAsia"/>
                <w:sz w:val="21"/>
                <w:szCs w:val="21"/>
              </w:rPr>
              <w:lastRenderedPageBreak/>
              <w:t>区。各级生态环境部门和行政审批部门要严格把关，对于不符合相关法律法规的，依法不予审批。</w:t>
            </w:r>
          </w:p>
          <w:p w:rsidR="00FD2FB8" w:rsidRPr="00FD2FB8" w:rsidRDefault="00FD2FB8" w:rsidP="00FD2FB8">
            <w:pPr>
              <w:spacing w:line="360" w:lineRule="exact"/>
              <w:ind w:firstLineChars="0" w:firstLine="0"/>
              <w:jc w:val="left"/>
              <w:rPr>
                <w:sz w:val="21"/>
                <w:szCs w:val="21"/>
              </w:rPr>
            </w:pPr>
            <w:r w:rsidRPr="00FD2FB8">
              <w:rPr>
                <w:rFonts w:hint="eastAsia"/>
                <w:sz w:val="21"/>
                <w:szCs w:val="21"/>
              </w:rPr>
              <w:t>（四）落实区域削减要求。新建“两高”项目应按照《关于加强重点行业建设项目区域削减措施监督管理的通知》要</w:t>
            </w:r>
          </w:p>
          <w:p w:rsidR="00FD2FB8" w:rsidRPr="00FD2FB8" w:rsidRDefault="00FD2FB8" w:rsidP="00FD2FB8">
            <w:pPr>
              <w:spacing w:line="360" w:lineRule="exact"/>
              <w:ind w:firstLineChars="0" w:firstLine="0"/>
              <w:jc w:val="left"/>
              <w:rPr>
                <w:sz w:val="21"/>
                <w:szCs w:val="21"/>
              </w:rPr>
            </w:pPr>
            <w:r w:rsidRPr="00FD2FB8">
              <w:rPr>
                <w:rFonts w:hint="eastAsia"/>
                <w:sz w:val="21"/>
                <w:szCs w:val="21"/>
              </w:rPr>
              <w:t>求，依据区域环境质量改善目标，制定配套区域污染物削减方案，采取有效的污染物区域削减措施，腾出足够的环境容</w:t>
            </w:r>
          </w:p>
          <w:p w:rsidR="00FD2FB8" w:rsidRPr="00FD2FB8" w:rsidRDefault="00FD2FB8" w:rsidP="00FD2FB8">
            <w:pPr>
              <w:spacing w:line="360" w:lineRule="exact"/>
              <w:ind w:firstLineChars="0" w:firstLine="0"/>
              <w:jc w:val="left"/>
              <w:rPr>
                <w:sz w:val="21"/>
                <w:szCs w:val="21"/>
              </w:rPr>
            </w:pPr>
            <w:r w:rsidRPr="00FD2FB8">
              <w:rPr>
                <w:rFonts w:hint="eastAsia"/>
                <w:sz w:val="21"/>
                <w:szCs w:val="21"/>
              </w:rPr>
              <w:t>量。国家大气污染防治重点区域（以下称重点区域）内新建耗煤项目还应严格按规定采取煤炭消费减量替代措施，不得使用高污染燃料作为煤炭减量替代措施。</w:t>
            </w:r>
          </w:p>
        </w:tc>
        <w:tc>
          <w:tcPr>
            <w:tcW w:w="1777" w:type="pct"/>
            <w:vAlign w:val="center"/>
          </w:tcPr>
          <w:p w:rsidR="00FD2FB8" w:rsidRPr="00FD2FB8" w:rsidRDefault="00FD2FB8" w:rsidP="00FD2FB8">
            <w:pPr>
              <w:spacing w:line="360" w:lineRule="exact"/>
              <w:ind w:firstLineChars="0" w:firstLine="0"/>
              <w:jc w:val="center"/>
              <w:rPr>
                <w:sz w:val="21"/>
                <w:szCs w:val="21"/>
              </w:rPr>
            </w:pPr>
            <w:r w:rsidRPr="00FD2FB8">
              <w:rPr>
                <w:rFonts w:ascii="Times New Roman" w:hAnsi="Times New Roman" w:hint="eastAsia"/>
                <w:sz w:val="21"/>
                <w:szCs w:val="21"/>
              </w:rPr>
              <w:lastRenderedPageBreak/>
              <w:t>（二）</w:t>
            </w:r>
            <w:r>
              <w:rPr>
                <w:rFonts w:ascii="Times New Roman" w:hAnsi="Times New Roman"/>
                <w:sz w:val="21"/>
              </w:rPr>
              <w:t>根据安徽省节能减排及应对气候变化工作领导小组办公室制定的《安徽省</w:t>
            </w:r>
            <w:r>
              <w:rPr>
                <w:rFonts w:ascii="Times New Roman" w:hAnsi="Times New Roman"/>
                <w:sz w:val="21"/>
              </w:rPr>
              <w:t>“</w:t>
            </w:r>
            <w:r>
              <w:rPr>
                <w:rFonts w:ascii="Times New Roman" w:hAnsi="Times New Roman"/>
                <w:sz w:val="21"/>
              </w:rPr>
              <w:t>两高</w:t>
            </w:r>
            <w:r>
              <w:rPr>
                <w:rFonts w:ascii="Times New Roman" w:hAnsi="Times New Roman"/>
                <w:sz w:val="21"/>
              </w:rPr>
              <w:t>”</w:t>
            </w:r>
            <w:r>
              <w:rPr>
                <w:rFonts w:ascii="Times New Roman" w:hAnsi="Times New Roman"/>
                <w:sz w:val="21"/>
              </w:rPr>
              <w:t>项目管理目录》（试行），项目属于</w:t>
            </w:r>
            <w:r>
              <w:rPr>
                <w:rFonts w:ascii="Times New Roman" w:hAnsi="Times New Roman" w:hint="eastAsia"/>
                <w:sz w:val="21"/>
              </w:rPr>
              <w:t>C2614</w:t>
            </w:r>
            <w:r>
              <w:rPr>
                <w:rFonts w:ascii="Times New Roman" w:hAnsi="Times New Roman" w:hint="eastAsia"/>
                <w:sz w:val="21"/>
              </w:rPr>
              <w:t>有机化学原料制造</w:t>
            </w:r>
            <w:r>
              <w:rPr>
                <w:rFonts w:ascii="Times New Roman" w:hAnsi="Times New Roman"/>
                <w:sz w:val="21"/>
              </w:rPr>
              <w:t>，不属于</w:t>
            </w:r>
            <w:r>
              <w:rPr>
                <w:rFonts w:ascii="Times New Roman" w:hAnsi="Times New Roman" w:hint="eastAsia"/>
                <w:sz w:val="21"/>
              </w:rPr>
              <w:t>醋酸、乙烯、对二甲苯、丁二醇、二苯基甲烷二异氰酸酯、乙酸乙烯酯、用汞的氯乙烯制造项目</w:t>
            </w:r>
          </w:p>
        </w:tc>
        <w:tc>
          <w:tcPr>
            <w:tcW w:w="246" w:type="pct"/>
            <w:vAlign w:val="center"/>
          </w:tcPr>
          <w:p w:rsidR="00FD2FB8" w:rsidRPr="00AB41E0" w:rsidRDefault="00FD2FB8" w:rsidP="000018C3">
            <w:pPr>
              <w:spacing w:line="360" w:lineRule="exact"/>
              <w:ind w:firstLineChars="0" w:firstLine="0"/>
              <w:jc w:val="center"/>
              <w:rPr>
                <w:color w:val="000000" w:themeColor="text1"/>
                <w:kern w:val="0"/>
                <w:sz w:val="21"/>
                <w:szCs w:val="21"/>
              </w:rPr>
            </w:pPr>
            <w:r w:rsidRPr="00AB41E0">
              <w:rPr>
                <w:rFonts w:ascii="Times New Roman" w:hAnsi="Times New Roman"/>
                <w:color w:val="000000" w:themeColor="text1"/>
                <w:kern w:val="0"/>
                <w:sz w:val="21"/>
                <w:szCs w:val="21"/>
              </w:rPr>
              <w:t>符合</w:t>
            </w:r>
          </w:p>
        </w:tc>
      </w:tr>
      <w:tr w:rsidR="00FD2FB8" w:rsidRPr="00AB41E0" w:rsidTr="00524AE1">
        <w:tc>
          <w:tcPr>
            <w:tcW w:w="236" w:type="pct"/>
            <w:vAlign w:val="center"/>
          </w:tcPr>
          <w:p w:rsidR="00FD2FB8" w:rsidRPr="00FD2FB8" w:rsidRDefault="00FD2FB8" w:rsidP="00FD2FB8">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1</w:t>
            </w:r>
            <w:r>
              <w:rPr>
                <w:rFonts w:ascii="Times New Roman" w:hAnsi="Times New Roman" w:cs="Times New Roman"/>
                <w:kern w:val="0"/>
                <w:sz w:val="21"/>
                <w:szCs w:val="21"/>
              </w:rPr>
              <w:t>6</w:t>
            </w:r>
          </w:p>
        </w:tc>
        <w:tc>
          <w:tcPr>
            <w:tcW w:w="681" w:type="pct"/>
            <w:vAlign w:val="center"/>
          </w:tcPr>
          <w:p w:rsidR="00FD2FB8" w:rsidRPr="00FD2FB8" w:rsidRDefault="00FD2FB8" w:rsidP="00FD2FB8">
            <w:pPr>
              <w:spacing w:line="360" w:lineRule="exact"/>
              <w:ind w:firstLineChars="0" w:firstLine="0"/>
              <w:jc w:val="center"/>
              <w:rPr>
                <w:rFonts w:ascii="Times New Roman" w:hAnsi="Times New Roman"/>
                <w:sz w:val="21"/>
                <w:szCs w:val="21"/>
              </w:rPr>
            </w:pPr>
            <w:r w:rsidRPr="00FD2FB8">
              <w:rPr>
                <w:rFonts w:ascii="Times New Roman" w:hAnsi="Times New Roman" w:hint="eastAsia"/>
                <w:sz w:val="21"/>
                <w:szCs w:val="21"/>
              </w:rPr>
              <w:t>《安徽省生态环境厅关于印发加强高耗能、高排放项目生态环境源头防控的实施意见的通知》</w:t>
            </w:r>
          </w:p>
        </w:tc>
        <w:tc>
          <w:tcPr>
            <w:tcW w:w="2060" w:type="pct"/>
            <w:gridSpan w:val="2"/>
            <w:vAlign w:val="center"/>
          </w:tcPr>
          <w:p w:rsidR="00FD2FB8" w:rsidRDefault="00FD2FB8" w:rsidP="00FD2FB8">
            <w:pPr>
              <w:widowControl/>
              <w:spacing w:line="360" w:lineRule="exact"/>
              <w:ind w:firstLineChars="0" w:firstLine="0"/>
              <w:jc w:val="center"/>
              <w:rPr>
                <w:rFonts w:ascii="Times New Roman" w:hAnsi="Times New Roman"/>
                <w:sz w:val="21"/>
                <w:szCs w:val="18"/>
              </w:rPr>
            </w:pPr>
            <w:r>
              <w:rPr>
                <w:rFonts w:ascii="Times New Roman" w:hAnsi="Times New Roman"/>
                <w:sz w:val="21"/>
                <w:szCs w:val="18"/>
              </w:rPr>
              <w:t>严格环境准入。各地不得受理钢铁、水泥、电解铝、平板玻璃、铸造等产能严重过剩行业新增产能项目的环评文件；对国家明令淘汰、禁止建设、不符合国家产业政策的项目环评文件，一律不批；沿江各市应按国家推长办《长江经济带发展负面清单指南（试行）》及我省实施细则要求，对合规园区外新建、扩建钢铁、石化、化工、焦化、建材、有色等</w:t>
            </w:r>
            <w:r>
              <w:rPr>
                <w:rFonts w:ascii="Times New Roman" w:hAnsi="Times New Roman"/>
                <w:sz w:val="21"/>
                <w:szCs w:val="18"/>
              </w:rPr>
              <w:t>“</w:t>
            </w:r>
            <w:r>
              <w:rPr>
                <w:rFonts w:ascii="Times New Roman" w:hAnsi="Times New Roman"/>
                <w:sz w:val="21"/>
                <w:szCs w:val="18"/>
              </w:rPr>
              <w:t>两高</w:t>
            </w:r>
            <w:r>
              <w:rPr>
                <w:rFonts w:ascii="Times New Roman" w:hAnsi="Times New Roman"/>
                <w:sz w:val="21"/>
                <w:szCs w:val="18"/>
              </w:rPr>
              <w:t>”</w:t>
            </w:r>
            <w:r>
              <w:rPr>
                <w:rFonts w:ascii="Times New Roman" w:hAnsi="Times New Roman"/>
                <w:sz w:val="21"/>
                <w:szCs w:val="18"/>
              </w:rPr>
              <w:t>项目的环评文件一律不批。新增主要污染物排放量的</w:t>
            </w:r>
            <w:r>
              <w:rPr>
                <w:rFonts w:ascii="Times New Roman" w:hAnsi="Times New Roman"/>
                <w:sz w:val="21"/>
                <w:szCs w:val="18"/>
              </w:rPr>
              <w:t>“</w:t>
            </w:r>
            <w:r>
              <w:rPr>
                <w:rFonts w:ascii="Times New Roman" w:hAnsi="Times New Roman"/>
                <w:sz w:val="21"/>
                <w:szCs w:val="18"/>
              </w:rPr>
              <w:t>两高</w:t>
            </w:r>
            <w:r>
              <w:rPr>
                <w:rFonts w:ascii="Times New Roman" w:hAnsi="Times New Roman"/>
                <w:sz w:val="21"/>
                <w:szCs w:val="18"/>
              </w:rPr>
              <w:t>”</w:t>
            </w:r>
            <w:r>
              <w:rPr>
                <w:rFonts w:ascii="Times New Roman" w:hAnsi="Times New Roman"/>
                <w:sz w:val="21"/>
                <w:szCs w:val="18"/>
              </w:rPr>
              <w:t>项目应按照生态环境部办公厅《关于加强重点行业建设项目区域削减措施监督管理的通知》（环办环评〔</w:t>
            </w:r>
            <w:r>
              <w:rPr>
                <w:rFonts w:ascii="Times New Roman" w:hAnsi="Times New Roman"/>
                <w:sz w:val="21"/>
                <w:szCs w:val="18"/>
              </w:rPr>
              <w:t>2020</w:t>
            </w:r>
            <w:r>
              <w:rPr>
                <w:rFonts w:ascii="Times New Roman" w:hAnsi="Times New Roman"/>
                <w:sz w:val="21"/>
                <w:szCs w:val="18"/>
              </w:rPr>
              <w:t>〕</w:t>
            </w:r>
            <w:r>
              <w:rPr>
                <w:rFonts w:ascii="Times New Roman" w:hAnsi="Times New Roman"/>
                <w:sz w:val="21"/>
                <w:szCs w:val="18"/>
              </w:rPr>
              <w:t>36</w:t>
            </w:r>
            <w:r>
              <w:rPr>
                <w:rFonts w:ascii="Times New Roman" w:hAnsi="Times New Roman"/>
                <w:sz w:val="21"/>
                <w:szCs w:val="18"/>
              </w:rPr>
              <w:t>号）要求，依据区域环境质量改善目标，制定配套区域污染物削减方案，采取有效的污染物区域削减措施，相应的减排措施应在项目投产前完成。</w:t>
            </w:r>
          </w:p>
        </w:tc>
        <w:tc>
          <w:tcPr>
            <w:tcW w:w="1777" w:type="pct"/>
            <w:vAlign w:val="center"/>
          </w:tcPr>
          <w:p w:rsidR="00FD2FB8" w:rsidRDefault="00FD2FB8" w:rsidP="00FD2FB8">
            <w:pPr>
              <w:widowControl/>
              <w:topLinePunct/>
              <w:spacing w:line="360" w:lineRule="exact"/>
              <w:ind w:firstLineChars="0" w:firstLine="0"/>
              <w:jc w:val="center"/>
              <w:rPr>
                <w:rFonts w:ascii="Times New Roman" w:hAnsi="Times New Roman"/>
                <w:sz w:val="21"/>
              </w:rPr>
            </w:pPr>
            <w:r>
              <w:rPr>
                <w:rFonts w:ascii="Times New Roman" w:hAnsi="Times New Roman"/>
                <w:sz w:val="21"/>
              </w:rPr>
              <w:t>根据安徽省节能减排及应对气候变化工作领导小组办公室制定的《安徽省</w:t>
            </w:r>
            <w:r>
              <w:rPr>
                <w:rFonts w:ascii="Times New Roman" w:hAnsi="Times New Roman"/>
                <w:sz w:val="21"/>
              </w:rPr>
              <w:t>“</w:t>
            </w:r>
            <w:r>
              <w:rPr>
                <w:rFonts w:ascii="Times New Roman" w:hAnsi="Times New Roman"/>
                <w:sz w:val="21"/>
              </w:rPr>
              <w:t>两高</w:t>
            </w:r>
            <w:r>
              <w:rPr>
                <w:rFonts w:ascii="Times New Roman" w:hAnsi="Times New Roman"/>
                <w:sz w:val="21"/>
              </w:rPr>
              <w:t>”</w:t>
            </w:r>
            <w:r>
              <w:rPr>
                <w:rFonts w:ascii="Times New Roman" w:hAnsi="Times New Roman"/>
                <w:sz w:val="21"/>
              </w:rPr>
              <w:t>项目管理目录》（试行），项目属于</w:t>
            </w:r>
            <w:r>
              <w:rPr>
                <w:rFonts w:ascii="Times New Roman" w:hAnsi="Times New Roman" w:hint="eastAsia"/>
                <w:sz w:val="21"/>
              </w:rPr>
              <w:t>C2614</w:t>
            </w:r>
            <w:r>
              <w:rPr>
                <w:rFonts w:ascii="Times New Roman" w:hAnsi="Times New Roman" w:hint="eastAsia"/>
                <w:sz w:val="21"/>
              </w:rPr>
              <w:t>有机化学原料制造</w:t>
            </w:r>
            <w:r>
              <w:rPr>
                <w:rFonts w:ascii="Times New Roman" w:hAnsi="Times New Roman"/>
                <w:sz w:val="21"/>
              </w:rPr>
              <w:t>，不属于</w:t>
            </w:r>
            <w:r>
              <w:rPr>
                <w:rFonts w:ascii="Times New Roman" w:hAnsi="Times New Roman" w:hint="eastAsia"/>
                <w:sz w:val="21"/>
              </w:rPr>
              <w:t>醋酸、乙烯、对二甲苯、丁二醇、二苯基甲烷二异氰酸酯、乙酸乙烯酯、用汞的氯乙烯制造项目</w:t>
            </w:r>
          </w:p>
        </w:tc>
        <w:tc>
          <w:tcPr>
            <w:tcW w:w="246" w:type="pct"/>
            <w:vAlign w:val="center"/>
          </w:tcPr>
          <w:p w:rsidR="00FD2FB8" w:rsidRDefault="00FD2FB8" w:rsidP="00FD2FB8">
            <w:pPr>
              <w:widowControl/>
              <w:topLinePunct/>
              <w:spacing w:line="360" w:lineRule="exact"/>
              <w:ind w:firstLineChars="0" w:firstLine="0"/>
              <w:jc w:val="center"/>
              <w:rPr>
                <w:rFonts w:ascii="Times New Roman" w:hAnsi="Times New Roman"/>
                <w:sz w:val="21"/>
              </w:rPr>
            </w:pPr>
            <w:r>
              <w:rPr>
                <w:rFonts w:ascii="Times New Roman" w:hAnsi="Times New Roman" w:hint="eastAsia"/>
                <w:sz w:val="21"/>
              </w:rPr>
              <w:t>符合</w:t>
            </w:r>
          </w:p>
        </w:tc>
      </w:tr>
      <w:tr w:rsidR="004411F8" w:rsidRPr="00AB41E0" w:rsidTr="00FD2FB8">
        <w:trPr>
          <w:trHeight w:val="900"/>
        </w:trPr>
        <w:tc>
          <w:tcPr>
            <w:tcW w:w="236" w:type="pct"/>
            <w:vMerge w:val="restart"/>
            <w:vAlign w:val="center"/>
          </w:tcPr>
          <w:p w:rsidR="004411F8" w:rsidRPr="00FD2FB8" w:rsidRDefault="004411F8" w:rsidP="00FD2FB8">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1</w:t>
            </w:r>
            <w:r>
              <w:rPr>
                <w:rFonts w:ascii="Times New Roman" w:hAnsi="Times New Roman" w:cs="Times New Roman"/>
                <w:kern w:val="0"/>
                <w:sz w:val="21"/>
                <w:szCs w:val="21"/>
              </w:rPr>
              <w:t>7</w:t>
            </w:r>
          </w:p>
        </w:tc>
        <w:tc>
          <w:tcPr>
            <w:tcW w:w="681" w:type="pct"/>
            <w:vMerge w:val="restart"/>
            <w:vAlign w:val="center"/>
          </w:tcPr>
          <w:p w:rsidR="004411F8" w:rsidRPr="00FD2FB8" w:rsidRDefault="004411F8" w:rsidP="00FD2FB8">
            <w:pPr>
              <w:spacing w:line="360" w:lineRule="exact"/>
              <w:ind w:firstLineChars="0" w:firstLine="0"/>
              <w:jc w:val="center"/>
              <w:rPr>
                <w:rFonts w:ascii="Times New Roman" w:hAnsi="Times New Roman"/>
                <w:sz w:val="21"/>
                <w:szCs w:val="21"/>
              </w:rPr>
            </w:pPr>
            <w:r w:rsidRPr="00FD2FB8">
              <w:rPr>
                <w:rFonts w:ascii="Times New Roman" w:hAnsi="Times New Roman" w:hint="eastAsia"/>
                <w:sz w:val="21"/>
                <w:szCs w:val="21"/>
              </w:rPr>
              <w:t>《安徽省人民政府关于印发安徽省贯彻落实淮河生态经</w:t>
            </w:r>
            <w:r w:rsidRPr="00FD2FB8">
              <w:rPr>
                <w:rFonts w:ascii="Times New Roman" w:hAnsi="Times New Roman" w:hint="eastAsia"/>
                <w:sz w:val="21"/>
                <w:szCs w:val="21"/>
              </w:rPr>
              <w:lastRenderedPageBreak/>
              <w:t>济带发展规划实施方案的通知》</w:t>
            </w:r>
          </w:p>
        </w:tc>
        <w:tc>
          <w:tcPr>
            <w:tcW w:w="2060" w:type="pct"/>
            <w:gridSpan w:val="2"/>
            <w:vAlign w:val="center"/>
          </w:tcPr>
          <w:p w:rsidR="004411F8" w:rsidRDefault="004411F8" w:rsidP="00FD2FB8">
            <w:pPr>
              <w:widowControl/>
              <w:topLinePunct/>
              <w:spacing w:line="360" w:lineRule="exact"/>
              <w:ind w:firstLineChars="0" w:firstLine="0"/>
              <w:jc w:val="center"/>
              <w:rPr>
                <w:rFonts w:ascii="Times New Roman" w:hAnsi="Times New Roman"/>
                <w:sz w:val="21"/>
              </w:rPr>
            </w:pPr>
            <w:r>
              <w:rPr>
                <w:rFonts w:ascii="Times New Roman" w:hAnsi="Times New Roman"/>
                <w:sz w:val="21"/>
              </w:rPr>
              <w:lastRenderedPageBreak/>
              <w:t>纵深推进</w:t>
            </w:r>
            <w:r>
              <w:rPr>
                <w:rFonts w:ascii="Times New Roman" w:hAnsi="Times New Roman"/>
                <w:sz w:val="21"/>
              </w:rPr>
              <w:t>“</w:t>
            </w:r>
            <w:r>
              <w:rPr>
                <w:rFonts w:ascii="Times New Roman" w:hAnsi="Times New Roman"/>
                <w:sz w:val="21"/>
              </w:rPr>
              <w:t>三大一强</w:t>
            </w:r>
            <w:r>
              <w:rPr>
                <w:rFonts w:ascii="Times New Roman" w:hAnsi="Times New Roman"/>
                <w:sz w:val="21"/>
              </w:rPr>
              <w:t>”</w:t>
            </w:r>
            <w:r>
              <w:rPr>
                <w:rFonts w:ascii="Times New Roman" w:hAnsi="Times New Roman"/>
                <w:sz w:val="21"/>
              </w:rPr>
              <w:t>专项攻坚行动，突出重点生态环境问题整改，构筑</w:t>
            </w:r>
            <w:r>
              <w:rPr>
                <w:rFonts w:ascii="Times New Roman" w:hAnsi="Times New Roman"/>
                <w:sz w:val="21"/>
              </w:rPr>
              <w:t>“1</w:t>
            </w:r>
            <w:r>
              <w:rPr>
                <w:rFonts w:ascii="Times New Roman" w:hAnsi="Times New Roman"/>
                <w:sz w:val="21"/>
              </w:rPr>
              <w:t>公里、</w:t>
            </w:r>
            <w:r>
              <w:rPr>
                <w:rFonts w:ascii="Times New Roman" w:hAnsi="Times New Roman"/>
                <w:sz w:val="21"/>
              </w:rPr>
              <w:t>5</w:t>
            </w:r>
            <w:r>
              <w:rPr>
                <w:rFonts w:ascii="Times New Roman" w:hAnsi="Times New Roman"/>
                <w:sz w:val="21"/>
              </w:rPr>
              <w:t>公里、</w:t>
            </w:r>
            <w:r>
              <w:rPr>
                <w:rFonts w:ascii="Times New Roman" w:hAnsi="Times New Roman"/>
                <w:sz w:val="21"/>
              </w:rPr>
              <w:t>15</w:t>
            </w:r>
            <w:r>
              <w:rPr>
                <w:rFonts w:ascii="Times New Roman" w:hAnsi="Times New Roman"/>
                <w:sz w:val="21"/>
              </w:rPr>
              <w:t>公里</w:t>
            </w:r>
            <w:r>
              <w:rPr>
                <w:rFonts w:ascii="Times New Roman" w:hAnsi="Times New Roman"/>
                <w:sz w:val="21"/>
              </w:rPr>
              <w:t>”</w:t>
            </w:r>
            <w:r>
              <w:rPr>
                <w:rFonts w:ascii="Times New Roman" w:hAnsi="Times New Roman"/>
                <w:sz w:val="21"/>
              </w:rPr>
              <w:t>分级管控体系，持续推进</w:t>
            </w:r>
            <w:r>
              <w:rPr>
                <w:rFonts w:ascii="Times New Roman" w:hAnsi="Times New Roman"/>
                <w:sz w:val="21"/>
              </w:rPr>
              <w:t>“</w:t>
            </w:r>
            <w:r>
              <w:rPr>
                <w:rFonts w:ascii="Times New Roman" w:hAnsi="Times New Roman"/>
                <w:sz w:val="21"/>
              </w:rPr>
              <w:t>禁新建、减存量、关污源、进园区、建新绿、纳统</w:t>
            </w:r>
            <w:r>
              <w:rPr>
                <w:rFonts w:ascii="Times New Roman" w:hAnsi="Times New Roman"/>
                <w:sz w:val="21"/>
              </w:rPr>
              <w:lastRenderedPageBreak/>
              <w:t>管、强机制</w:t>
            </w:r>
            <w:r>
              <w:rPr>
                <w:rFonts w:ascii="Times New Roman" w:hAnsi="Times New Roman"/>
                <w:sz w:val="21"/>
              </w:rPr>
              <w:t>”</w:t>
            </w:r>
            <w:r>
              <w:rPr>
                <w:rFonts w:ascii="Times New Roman" w:hAnsi="Times New Roman"/>
                <w:sz w:val="21"/>
              </w:rPr>
              <w:t>七大行动，加快推进淮河（安徽）经济带绿化美化生态化。</w:t>
            </w:r>
          </w:p>
        </w:tc>
        <w:tc>
          <w:tcPr>
            <w:tcW w:w="1777" w:type="pct"/>
            <w:vAlign w:val="center"/>
          </w:tcPr>
          <w:p w:rsidR="004411F8" w:rsidRDefault="004411F8" w:rsidP="00FD2FB8">
            <w:pPr>
              <w:widowControl/>
              <w:topLinePunct/>
              <w:spacing w:line="360" w:lineRule="exact"/>
              <w:ind w:firstLineChars="0" w:firstLine="0"/>
              <w:jc w:val="center"/>
              <w:rPr>
                <w:rFonts w:ascii="Times New Roman" w:hAnsi="Times New Roman"/>
                <w:sz w:val="21"/>
              </w:rPr>
            </w:pPr>
            <w:r>
              <w:rPr>
                <w:rFonts w:ascii="Times New Roman" w:hAnsi="Times New Roman"/>
                <w:sz w:val="21"/>
              </w:rPr>
              <w:lastRenderedPageBreak/>
              <w:t>本项目距淮河约</w:t>
            </w:r>
            <w:r>
              <w:rPr>
                <w:rFonts w:ascii="Times New Roman" w:hAnsi="Times New Roman"/>
                <w:sz w:val="21"/>
              </w:rPr>
              <w:t>3.65</w:t>
            </w:r>
            <w:r>
              <w:rPr>
                <w:rFonts w:ascii="Times New Roman" w:hAnsi="Times New Roman"/>
                <w:sz w:val="21"/>
              </w:rPr>
              <w:t>公里，属于</w:t>
            </w:r>
            <w:r>
              <w:rPr>
                <w:rFonts w:ascii="Times New Roman" w:hAnsi="Times New Roman"/>
                <w:sz w:val="21"/>
              </w:rPr>
              <w:t>5</w:t>
            </w:r>
            <w:r>
              <w:rPr>
                <w:rFonts w:ascii="Times New Roman" w:hAnsi="Times New Roman"/>
                <w:sz w:val="21"/>
              </w:rPr>
              <w:t>公里的严控范围，本项目位于蚌埠精细化工高新技术产业基地内，项目属于蚌埠精细化工高新技术产业基地主导</w:t>
            </w:r>
            <w:r>
              <w:rPr>
                <w:rFonts w:ascii="Times New Roman" w:hAnsi="Times New Roman"/>
                <w:sz w:val="21"/>
              </w:rPr>
              <w:lastRenderedPageBreak/>
              <w:t>产业，符合园区产业定位、规划及规划环评要求；项目废水</w:t>
            </w:r>
            <w:r>
              <w:rPr>
                <w:rFonts w:ascii="Times New Roman" w:hAnsi="Times New Roman"/>
                <w:sz w:val="21"/>
                <w:szCs w:val="21"/>
              </w:rPr>
              <w:t>经厂内污水</w:t>
            </w:r>
            <w:r>
              <w:rPr>
                <w:rFonts w:ascii="Times New Roman" w:hAnsi="Times New Roman" w:hint="eastAsia"/>
                <w:sz w:val="21"/>
                <w:szCs w:val="21"/>
              </w:rPr>
              <w:t>处理</w:t>
            </w:r>
            <w:r>
              <w:rPr>
                <w:rFonts w:ascii="Times New Roman" w:hAnsi="Times New Roman"/>
                <w:sz w:val="21"/>
                <w:szCs w:val="21"/>
              </w:rPr>
              <w:t>站处理后，</w:t>
            </w:r>
            <w:r>
              <w:rPr>
                <w:rFonts w:ascii="Times New Roman" w:hAnsi="Times New Roman" w:hint="eastAsia"/>
                <w:sz w:val="21"/>
                <w:szCs w:val="21"/>
              </w:rPr>
              <w:t>达标排放</w:t>
            </w:r>
            <w:r>
              <w:rPr>
                <w:rFonts w:ascii="Times New Roman" w:hAnsi="Times New Roman"/>
                <w:sz w:val="21"/>
              </w:rPr>
              <w:t>。</w:t>
            </w:r>
            <w:r>
              <w:rPr>
                <w:rFonts w:ascii="Times New Roman" w:hAnsi="Times New Roman"/>
                <w:sz w:val="21"/>
              </w:rPr>
              <w:t xml:space="preserve"> </w:t>
            </w:r>
          </w:p>
        </w:tc>
        <w:tc>
          <w:tcPr>
            <w:tcW w:w="246" w:type="pct"/>
            <w:vMerge w:val="restart"/>
            <w:vAlign w:val="center"/>
          </w:tcPr>
          <w:p w:rsidR="004411F8" w:rsidRPr="00FD2FB8" w:rsidRDefault="004411F8" w:rsidP="00FD2FB8">
            <w:pPr>
              <w:spacing w:line="360" w:lineRule="exact"/>
              <w:ind w:firstLineChars="0" w:firstLine="0"/>
              <w:jc w:val="center"/>
              <w:rPr>
                <w:rFonts w:ascii="Times New Roman" w:hAnsi="Times New Roman"/>
                <w:sz w:val="21"/>
                <w:szCs w:val="21"/>
              </w:rPr>
            </w:pPr>
            <w:r>
              <w:rPr>
                <w:rFonts w:ascii="Times New Roman" w:hAnsi="Times New Roman" w:hint="eastAsia"/>
                <w:sz w:val="21"/>
                <w:szCs w:val="21"/>
              </w:rPr>
              <w:lastRenderedPageBreak/>
              <w:t>符合</w:t>
            </w:r>
          </w:p>
        </w:tc>
      </w:tr>
      <w:tr w:rsidR="004411F8" w:rsidRPr="00AB41E0" w:rsidTr="00524AE1">
        <w:trPr>
          <w:trHeight w:val="900"/>
        </w:trPr>
        <w:tc>
          <w:tcPr>
            <w:tcW w:w="236" w:type="pct"/>
            <w:vMerge/>
            <w:vAlign w:val="center"/>
          </w:tcPr>
          <w:p w:rsidR="004411F8" w:rsidRDefault="004411F8" w:rsidP="00FD2FB8">
            <w:pPr>
              <w:pStyle w:val="afffffff2"/>
              <w:rPr>
                <w:rFonts w:cs="Times New Roman"/>
                <w:kern w:val="0"/>
                <w:sz w:val="21"/>
                <w:szCs w:val="21"/>
              </w:rPr>
            </w:pPr>
          </w:p>
        </w:tc>
        <w:tc>
          <w:tcPr>
            <w:tcW w:w="681" w:type="pct"/>
            <w:vMerge/>
            <w:vAlign w:val="center"/>
          </w:tcPr>
          <w:p w:rsidR="004411F8" w:rsidRPr="00FD2FB8" w:rsidRDefault="004411F8" w:rsidP="00FD2FB8">
            <w:pPr>
              <w:spacing w:line="360" w:lineRule="exact"/>
              <w:ind w:firstLineChars="0" w:firstLine="0"/>
              <w:jc w:val="center"/>
              <w:rPr>
                <w:sz w:val="21"/>
                <w:szCs w:val="21"/>
              </w:rPr>
            </w:pPr>
          </w:p>
        </w:tc>
        <w:tc>
          <w:tcPr>
            <w:tcW w:w="2060" w:type="pct"/>
            <w:gridSpan w:val="2"/>
            <w:vAlign w:val="center"/>
          </w:tcPr>
          <w:p w:rsidR="004411F8" w:rsidRDefault="004411F8" w:rsidP="00FD2FB8">
            <w:pPr>
              <w:widowControl/>
              <w:topLinePunct/>
              <w:spacing w:line="360" w:lineRule="exact"/>
              <w:ind w:firstLineChars="0" w:firstLine="0"/>
              <w:jc w:val="center"/>
              <w:rPr>
                <w:rFonts w:ascii="Times New Roman" w:hAnsi="Times New Roman"/>
                <w:sz w:val="21"/>
              </w:rPr>
            </w:pPr>
            <w:r>
              <w:rPr>
                <w:rFonts w:ascii="Times New Roman" w:hAnsi="Times New Roman"/>
                <w:sz w:val="21"/>
              </w:rPr>
              <w:t>加快建设两淮新型煤化工基地、淮北绿色有机食品产业基地、亳州食品制造与农产品加工基地、宿州鞋服制造产业基地、蚌埠精细化工基地、阜阳载货汽车产业基地、淮南煤机装备制造和重卡车专用车基地、六安汽车零部件及电机生产制造基地、滁州定远盐化工基地等。建设实施质量品牌升级工程，增品种、提品质、创品牌，加快推进出口商品质量安全示范区建设</w:t>
            </w:r>
          </w:p>
        </w:tc>
        <w:tc>
          <w:tcPr>
            <w:tcW w:w="1777" w:type="pct"/>
            <w:vAlign w:val="center"/>
          </w:tcPr>
          <w:p w:rsidR="004411F8" w:rsidRDefault="004411F8" w:rsidP="00FD2FB8">
            <w:pPr>
              <w:widowControl/>
              <w:topLinePunct/>
              <w:spacing w:line="360" w:lineRule="exact"/>
              <w:ind w:firstLineChars="0" w:firstLine="0"/>
              <w:jc w:val="center"/>
              <w:rPr>
                <w:rFonts w:ascii="Times New Roman" w:hAnsi="Times New Roman"/>
                <w:sz w:val="21"/>
              </w:rPr>
            </w:pPr>
            <w:r>
              <w:rPr>
                <w:rFonts w:ascii="Times New Roman" w:hAnsi="Times New Roman"/>
                <w:sz w:val="21"/>
              </w:rPr>
              <w:t>本项目位于蚌埠精细化工高新技术产业基地，项目属于蚌埠精细化工高新技术产业基地主导产业，符合园区产业定位、规划及规划环评要求</w:t>
            </w:r>
            <w:r>
              <w:rPr>
                <w:rFonts w:ascii="Times New Roman" w:hAnsi="Times New Roman"/>
                <w:sz w:val="21"/>
              </w:rPr>
              <w:t xml:space="preserve"> </w:t>
            </w:r>
          </w:p>
        </w:tc>
        <w:tc>
          <w:tcPr>
            <w:tcW w:w="246" w:type="pct"/>
            <w:vAlign w:val="center"/>
          </w:tcPr>
          <w:p w:rsidR="004411F8" w:rsidRDefault="004411F8" w:rsidP="00FD2FB8">
            <w:pPr>
              <w:spacing w:line="360" w:lineRule="exact"/>
              <w:ind w:firstLineChars="0" w:firstLine="0"/>
              <w:jc w:val="center"/>
              <w:rPr>
                <w:sz w:val="21"/>
                <w:szCs w:val="21"/>
              </w:rPr>
            </w:pPr>
            <w:r>
              <w:rPr>
                <w:rFonts w:hint="eastAsia"/>
                <w:sz w:val="21"/>
                <w:szCs w:val="21"/>
              </w:rPr>
              <w:t>符合</w:t>
            </w:r>
          </w:p>
        </w:tc>
      </w:tr>
      <w:tr w:rsidR="00D674DB" w:rsidRPr="00AB41E0" w:rsidTr="00524AE1">
        <w:tc>
          <w:tcPr>
            <w:tcW w:w="236" w:type="pct"/>
            <w:vMerge w:val="restart"/>
            <w:vAlign w:val="center"/>
          </w:tcPr>
          <w:p w:rsidR="00D674DB" w:rsidRPr="00FD2FB8" w:rsidRDefault="00D674DB" w:rsidP="00D674D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1</w:t>
            </w:r>
            <w:r>
              <w:rPr>
                <w:rFonts w:ascii="Times New Roman" w:hAnsi="Times New Roman" w:cs="Times New Roman"/>
                <w:kern w:val="0"/>
                <w:sz w:val="21"/>
                <w:szCs w:val="21"/>
              </w:rPr>
              <w:t>8</w:t>
            </w:r>
          </w:p>
        </w:tc>
        <w:tc>
          <w:tcPr>
            <w:tcW w:w="681" w:type="pct"/>
            <w:vMerge w:val="restart"/>
            <w:vAlign w:val="center"/>
          </w:tcPr>
          <w:p w:rsidR="00D674DB" w:rsidRPr="00FD2FB8" w:rsidRDefault="00D674DB" w:rsidP="00D674DB">
            <w:pPr>
              <w:spacing w:line="360" w:lineRule="exact"/>
              <w:ind w:firstLineChars="0" w:firstLine="0"/>
              <w:jc w:val="center"/>
              <w:rPr>
                <w:rFonts w:ascii="Times New Roman" w:hAnsi="Times New Roman"/>
                <w:sz w:val="21"/>
                <w:szCs w:val="21"/>
              </w:rPr>
            </w:pPr>
            <w:r w:rsidRPr="00D674DB">
              <w:rPr>
                <w:rFonts w:ascii="Times New Roman" w:hAnsi="Times New Roman" w:hint="eastAsia"/>
                <w:sz w:val="21"/>
                <w:szCs w:val="21"/>
              </w:rPr>
              <w:t>《关于加强重点行业涉新污染物建设项目环境影响评价工作的意见》（环环评〔</w:t>
            </w:r>
            <w:r w:rsidRPr="00D674DB">
              <w:rPr>
                <w:rFonts w:ascii="Times New Roman" w:hAnsi="Times New Roman" w:hint="eastAsia"/>
                <w:sz w:val="21"/>
                <w:szCs w:val="21"/>
              </w:rPr>
              <w:t>2025</w:t>
            </w:r>
            <w:r w:rsidRPr="00D674DB">
              <w:rPr>
                <w:rFonts w:ascii="Times New Roman" w:hAnsi="Times New Roman" w:hint="eastAsia"/>
                <w:sz w:val="21"/>
                <w:szCs w:val="21"/>
              </w:rPr>
              <w:t>〕</w:t>
            </w:r>
            <w:r w:rsidRPr="00D674DB">
              <w:rPr>
                <w:rFonts w:ascii="Times New Roman" w:hAnsi="Times New Roman" w:hint="eastAsia"/>
                <w:sz w:val="21"/>
                <w:szCs w:val="21"/>
              </w:rPr>
              <w:t>28</w:t>
            </w:r>
            <w:r w:rsidRPr="00D674DB">
              <w:rPr>
                <w:rFonts w:ascii="Times New Roman" w:hAnsi="Times New Roman" w:hint="eastAsia"/>
                <w:sz w:val="21"/>
                <w:szCs w:val="21"/>
              </w:rPr>
              <w:t>号）</w:t>
            </w:r>
          </w:p>
        </w:tc>
        <w:tc>
          <w:tcPr>
            <w:tcW w:w="2060" w:type="pct"/>
            <w:gridSpan w:val="2"/>
            <w:vAlign w:val="center"/>
          </w:tcPr>
          <w:p w:rsidR="00D674DB" w:rsidRDefault="00D674DB" w:rsidP="00D674DB">
            <w:pPr>
              <w:widowControl/>
              <w:topLinePunct/>
              <w:spacing w:line="360" w:lineRule="exact"/>
              <w:ind w:firstLineChars="0" w:firstLine="0"/>
              <w:rPr>
                <w:rFonts w:ascii="Times New Roman" w:hAnsi="Times New Roman"/>
                <w:sz w:val="21"/>
              </w:rPr>
            </w:pPr>
            <w:r>
              <w:rPr>
                <w:rFonts w:ascii="Times New Roman" w:hAnsi="Times New Roman" w:hint="eastAsia"/>
                <w:sz w:val="21"/>
              </w:rPr>
              <w:t>一、突出管理重点；</w:t>
            </w:r>
          </w:p>
          <w:p w:rsidR="00D674DB" w:rsidRDefault="00D674DB" w:rsidP="00D674DB">
            <w:pPr>
              <w:widowControl/>
              <w:topLinePunct/>
              <w:spacing w:line="360" w:lineRule="exact"/>
              <w:ind w:firstLineChars="0" w:firstLine="0"/>
              <w:jc w:val="center"/>
              <w:rPr>
                <w:rFonts w:ascii="Times New Roman" w:hAnsi="Times New Roman"/>
                <w:sz w:val="21"/>
              </w:rPr>
            </w:pPr>
            <w:r>
              <w:rPr>
                <w:rFonts w:ascii="Times New Roman" w:hAnsi="Times New Roman" w:hint="eastAsia"/>
                <w:sz w:val="21"/>
              </w:rPr>
              <w:t>重点关注重点管控新污染物清单、有毒有害污染物名录、优先控制化学品名录以及《关于持久性有机污染物的斯德哥尔摩公约》（简称《斯德哥尔摩公约》）附件中已发布环境质量标准、污染物排放标准、环境监测方法标准或其他具有污染治理技术的污染物。重点关注石化、涂料、纺织印染、橡胶、农药、医药等重点行业建设项目，在建设项目环评工作中做好上述新污染物识别，涉及上述新污染物的，执行本意见要求，不涉及新污染物的，无需开展相关工作。</w:t>
            </w:r>
          </w:p>
        </w:tc>
        <w:tc>
          <w:tcPr>
            <w:tcW w:w="1777" w:type="pct"/>
            <w:vAlign w:val="center"/>
          </w:tcPr>
          <w:p w:rsidR="00D674DB" w:rsidRDefault="00D674DB" w:rsidP="00D674DB">
            <w:pPr>
              <w:widowControl/>
              <w:spacing w:line="360" w:lineRule="exact"/>
              <w:ind w:firstLineChars="0" w:firstLine="0"/>
              <w:jc w:val="center"/>
              <w:textAlignment w:val="center"/>
              <w:rPr>
                <w:rFonts w:ascii="Times New Roman" w:hAnsi="Times New Roman"/>
                <w:sz w:val="21"/>
              </w:rPr>
            </w:pPr>
            <w:r>
              <w:rPr>
                <w:rFonts w:ascii="Times New Roman" w:hAnsi="Times New Roman" w:hint="eastAsia"/>
                <w:sz w:val="21"/>
              </w:rPr>
              <w:t>本项目使用的原辅料</w:t>
            </w:r>
            <w:r w:rsidR="0054280A">
              <w:rPr>
                <w:rFonts w:ascii="Times New Roman" w:hAnsi="Times New Roman" w:hint="eastAsia"/>
                <w:sz w:val="21"/>
              </w:rPr>
              <w:t>不涉及</w:t>
            </w:r>
            <w:r>
              <w:rPr>
                <w:rFonts w:ascii="Times New Roman" w:hAnsi="Times New Roman" w:hint="eastAsia"/>
                <w:sz w:val="21"/>
              </w:rPr>
              <w:t>新污染物。</w:t>
            </w:r>
          </w:p>
        </w:tc>
        <w:tc>
          <w:tcPr>
            <w:tcW w:w="246" w:type="pct"/>
            <w:vAlign w:val="center"/>
          </w:tcPr>
          <w:p w:rsidR="00D674DB" w:rsidRPr="00FD2FB8" w:rsidRDefault="00D674DB" w:rsidP="00D674DB">
            <w:pPr>
              <w:spacing w:line="360" w:lineRule="exact"/>
              <w:ind w:firstLineChars="0" w:firstLine="0"/>
              <w:jc w:val="center"/>
              <w:rPr>
                <w:rFonts w:ascii="Times New Roman" w:hAnsi="Times New Roman"/>
                <w:sz w:val="21"/>
                <w:szCs w:val="21"/>
              </w:rPr>
            </w:pPr>
          </w:p>
        </w:tc>
      </w:tr>
      <w:tr w:rsidR="00D674DB" w:rsidRPr="00AB41E0" w:rsidTr="00524AE1">
        <w:tc>
          <w:tcPr>
            <w:tcW w:w="236" w:type="pct"/>
            <w:vMerge/>
            <w:vAlign w:val="center"/>
          </w:tcPr>
          <w:p w:rsidR="00D674DB" w:rsidRPr="00FD2FB8" w:rsidRDefault="00D674DB" w:rsidP="00D674DB">
            <w:pPr>
              <w:pStyle w:val="afffffff2"/>
              <w:rPr>
                <w:rFonts w:cs="Times New Roman"/>
                <w:kern w:val="0"/>
                <w:sz w:val="21"/>
                <w:szCs w:val="21"/>
              </w:rPr>
            </w:pPr>
          </w:p>
        </w:tc>
        <w:tc>
          <w:tcPr>
            <w:tcW w:w="681" w:type="pct"/>
            <w:vMerge/>
            <w:vAlign w:val="center"/>
          </w:tcPr>
          <w:p w:rsidR="00D674DB" w:rsidRPr="00FD2FB8" w:rsidRDefault="00D674DB" w:rsidP="00D674DB">
            <w:pPr>
              <w:spacing w:line="360" w:lineRule="exact"/>
              <w:ind w:firstLineChars="0" w:firstLine="0"/>
              <w:jc w:val="center"/>
              <w:rPr>
                <w:sz w:val="21"/>
                <w:szCs w:val="21"/>
              </w:rPr>
            </w:pPr>
          </w:p>
        </w:tc>
        <w:tc>
          <w:tcPr>
            <w:tcW w:w="2060" w:type="pct"/>
            <w:gridSpan w:val="2"/>
            <w:vAlign w:val="center"/>
          </w:tcPr>
          <w:p w:rsidR="00D674DB" w:rsidRDefault="00D674DB" w:rsidP="00D674DB">
            <w:pPr>
              <w:widowControl/>
              <w:topLinePunct/>
              <w:spacing w:line="360" w:lineRule="exact"/>
              <w:ind w:firstLineChars="0" w:firstLine="0"/>
              <w:rPr>
                <w:rFonts w:ascii="Times New Roman" w:hAnsi="Times New Roman"/>
                <w:sz w:val="21"/>
              </w:rPr>
            </w:pPr>
            <w:r>
              <w:rPr>
                <w:rFonts w:ascii="Times New Roman" w:hAnsi="Times New Roman" w:hint="eastAsia"/>
                <w:sz w:val="21"/>
              </w:rPr>
              <w:t>二、禁止审批不符合新污染物管控要求的建设项目</w:t>
            </w:r>
          </w:p>
          <w:p w:rsidR="00D674DB" w:rsidRDefault="00D674DB" w:rsidP="00D674DB">
            <w:pPr>
              <w:widowControl/>
              <w:topLinePunct/>
              <w:spacing w:line="360" w:lineRule="exact"/>
              <w:ind w:firstLineChars="0" w:firstLine="0"/>
              <w:rPr>
                <w:rFonts w:ascii="Times New Roman" w:hAnsi="Times New Roman"/>
                <w:sz w:val="21"/>
              </w:rPr>
            </w:pPr>
            <w:r>
              <w:rPr>
                <w:rFonts w:ascii="Times New Roman" w:hAnsi="Times New Roman" w:hint="eastAsia"/>
                <w:sz w:val="21"/>
              </w:rPr>
              <w:t>各级环评审批部门在受理和审批建设项目环评文件时，应落实重点管控新污染物清单、产业结构调整指导目录、《斯德哥尔摩公约》、生态环境分区管控方案和项目所在园区规划环评等有关管控要求。对照不予审批环评的项目类别（见附表），</w:t>
            </w:r>
            <w:r>
              <w:rPr>
                <w:rFonts w:ascii="Times New Roman" w:hAnsi="Times New Roman" w:hint="eastAsia"/>
                <w:sz w:val="21"/>
              </w:rPr>
              <w:lastRenderedPageBreak/>
              <w:t>严格审核建设项目原辅材料和产品，对于以禁止生产、加工使用的新污染物作为原辅料或产品的建设项目，依法不予审批</w:t>
            </w:r>
          </w:p>
        </w:tc>
        <w:tc>
          <w:tcPr>
            <w:tcW w:w="1777" w:type="pct"/>
            <w:vAlign w:val="center"/>
          </w:tcPr>
          <w:p w:rsidR="00D674DB" w:rsidRDefault="0054280A" w:rsidP="00D674DB">
            <w:pPr>
              <w:widowControl/>
              <w:spacing w:line="360" w:lineRule="exact"/>
              <w:ind w:firstLineChars="0" w:firstLine="0"/>
              <w:jc w:val="center"/>
              <w:textAlignment w:val="center"/>
              <w:rPr>
                <w:rFonts w:ascii="Times New Roman" w:hAnsi="Times New Roman"/>
                <w:sz w:val="21"/>
              </w:rPr>
            </w:pPr>
            <w:r>
              <w:rPr>
                <w:rFonts w:ascii="Times New Roman" w:hAnsi="Times New Roman" w:hint="eastAsia"/>
                <w:sz w:val="21"/>
              </w:rPr>
              <w:lastRenderedPageBreak/>
              <w:t>本项目使用的原辅料不涉及新污染物</w:t>
            </w:r>
            <w:r w:rsidR="00D674DB">
              <w:rPr>
                <w:rFonts w:ascii="Times New Roman" w:hAnsi="Times New Roman" w:hint="eastAsia"/>
                <w:sz w:val="21"/>
              </w:rPr>
              <w:t>，项目建设符合</w:t>
            </w:r>
            <w:r w:rsidR="00D674DB">
              <w:rPr>
                <w:rFonts w:ascii="Times New Roman" w:hAnsi="Times New Roman"/>
                <w:sz w:val="21"/>
              </w:rPr>
              <w:t>《产业结构调整指导目录（</w:t>
            </w:r>
            <w:r w:rsidR="00D674DB">
              <w:rPr>
                <w:rFonts w:ascii="Times New Roman" w:hAnsi="Times New Roman"/>
                <w:sz w:val="21"/>
              </w:rPr>
              <w:t>2024</w:t>
            </w:r>
            <w:r w:rsidR="00D674DB">
              <w:rPr>
                <w:rFonts w:ascii="Times New Roman" w:hAnsi="Times New Roman"/>
                <w:sz w:val="21"/>
              </w:rPr>
              <w:t>年本）》</w:t>
            </w:r>
            <w:r w:rsidR="00D674DB">
              <w:rPr>
                <w:rFonts w:ascii="Times New Roman" w:hAnsi="Times New Roman" w:hint="eastAsia"/>
                <w:sz w:val="21"/>
              </w:rPr>
              <w:t>、蚌埠市生态环境分区管控要求、符合</w:t>
            </w:r>
            <w:r w:rsidR="00D674DB">
              <w:rPr>
                <w:rFonts w:ascii="Times New Roman" w:hAnsi="Times New Roman"/>
                <w:sz w:val="21"/>
              </w:rPr>
              <w:t>蚌埠精细化工高新技术产业基地</w:t>
            </w:r>
            <w:r w:rsidR="00D674DB">
              <w:rPr>
                <w:rFonts w:ascii="Times New Roman" w:hAnsi="Times New Roman" w:hint="eastAsia"/>
                <w:sz w:val="21"/>
              </w:rPr>
              <w:t>规划、规划环评及审查意见。对照不予审批环评的项目类别，本项目不涉及其中所列物质。</w:t>
            </w:r>
          </w:p>
        </w:tc>
        <w:tc>
          <w:tcPr>
            <w:tcW w:w="246" w:type="pct"/>
            <w:vAlign w:val="center"/>
          </w:tcPr>
          <w:p w:rsidR="00D674DB" w:rsidRPr="00FD2FB8" w:rsidRDefault="00D674DB" w:rsidP="00D674DB">
            <w:pPr>
              <w:spacing w:line="360" w:lineRule="exact"/>
              <w:ind w:firstLineChars="0" w:firstLine="0"/>
              <w:jc w:val="center"/>
              <w:rPr>
                <w:sz w:val="21"/>
                <w:szCs w:val="21"/>
              </w:rPr>
            </w:pPr>
          </w:p>
        </w:tc>
      </w:tr>
      <w:tr w:rsidR="00D674DB" w:rsidRPr="00AB41E0" w:rsidTr="00524AE1">
        <w:tc>
          <w:tcPr>
            <w:tcW w:w="236" w:type="pct"/>
            <w:vMerge/>
            <w:vAlign w:val="center"/>
          </w:tcPr>
          <w:p w:rsidR="00D674DB" w:rsidRPr="00FD2FB8" w:rsidRDefault="00D674DB" w:rsidP="00D674DB">
            <w:pPr>
              <w:pStyle w:val="afffffff2"/>
              <w:rPr>
                <w:rFonts w:cs="Times New Roman"/>
                <w:kern w:val="0"/>
                <w:sz w:val="21"/>
                <w:szCs w:val="21"/>
              </w:rPr>
            </w:pPr>
          </w:p>
        </w:tc>
        <w:tc>
          <w:tcPr>
            <w:tcW w:w="681" w:type="pct"/>
            <w:vMerge/>
            <w:vAlign w:val="center"/>
          </w:tcPr>
          <w:p w:rsidR="00D674DB" w:rsidRPr="00FD2FB8" w:rsidRDefault="00D674DB" w:rsidP="00D674DB">
            <w:pPr>
              <w:spacing w:line="360" w:lineRule="exact"/>
              <w:ind w:firstLineChars="0" w:firstLine="0"/>
              <w:jc w:val="center"/>
              <w:rPr>
                <w:sz w:val="21"/>
                <w:szCs w:val="21"/>
              </w:rPr>
            </w:pPr>
          </w:p>
        </w:tc>
        <w:tc>
          <w:tcPr>
            <w:tcW w:w="2060" w:type="pct"/>
            <w:gridSpan w:val="2"/>
            <w:vAlign w:val="center"/>
          </w:tcPr>
          <w:p w:rsidR="00D674DB" w:rsidRDefault="00D674DB" w:rsidP="00D674DB">
            <w:pPr>
              <w:widowControl/>
              <w:topLinePunct/>
              <w:spacing w:line="360" w:lineRule="exact"/>
              <w:ind w:firstLineChars="0" w:firstLine="0"/>
              <w:rPr>
                <w:rFonts w:ascii="Times New Roman" w:hAnsi="Times New Roman"/>
                <w:sz w:val="21"/>
              </w:rPr>
            </w:pPr>
            <w:r>
              <w:rPr>
                <w:rFonts w:ascii="Times New Roman" w:hAnsi="Times New Roman" w:hint="eastAsia"/>
                <w:sz w:val="21"/>
              </w:rPr>
              <w:t>三、加强重点行业涉新污染物建设项目环评</w:t>
            </w:r>
          </w:p>
          <w:p w:rsidR="00D674DB" w:rsidRDefault="00D674DB" w:rsidP="00D674DB">
            <w:pPr>
              <w:widowControl/>
              <w:topLinePunct/>
              <w:spacing w:line="360" w:lineRule="exact"/>
              <w:ind w:firstLineChars="0" w:firstLine="0"/>
              <w:rPr>
                <w:rFonts w:ascii="Times New Roman" w:hAnsi="Times New Roman"/>
                <w:sz w:val="21"/>
              </w:rPr>
            </w:pPr>
            <w:r>
              <w:rPr>
                <w:rFonts w:ascii="Times New Roman" w:hAnsi="Times New Roman" w:hint="eastAsia"/>
                <w:sz w:val="21"/>
              </w:rPr>
              <w:t>建设单位和环评技术单位在开展涉新污染物重点行业建设项目环评工作时，应高度重视新污染物防控，根据新污染物识别结果，结合现行环境影响评价技术导则和建设项目环境影响报告表编制技术指南相关要求，重点做好以下工作。</w:t>
            </w:r>
          </w:p>
          <w:p w:rsidR="00D674DB" w:rsidRDefault="00D674DB" w:rsidP="00D674DB">
            <w:pPr>
              <w:widowControl/>
              <w:topLinePunct/>
              <w:spacing w:line="360" w:lineRule="exact"/>
              <w:ind w:firstLineChars="0" w:firstLine="0"/>
              <w:rPr>
                <w:rFonts w:ascii="Times New Roman" w:hAnsi="Times New Roman"/>
                <w:sz w:val="21"/>
              </w:rPr>
            </w:pPr>
            <w:r>
              <w:rPr>
                <w:rFonts w:ascii="Times New Roman" w:hAnsi="Times New Roman" w:hint="eastAsia"/>
                <w:sz w:val="21"/>
              </w:rPr>
              <w:t>（一）优化原料、工艺和治理措施，从源头减少新污染物产生。建设项目应尽可能开发、使用低毒低害和无毒无害原料，减少产品中有毒有害物质含量；应采用清洁的生产工艺，提高资源利用率，从源头避免或削减新污染物产生。强化治理措施，已有污染防治技术的新污染物，应采取可行污染防治技术，加大治理力度，减轻新污染物排放对环境的影响。鼓励建设项目开展有毒有害化学物质绿色替代、新污染物减排以及污水污泥、废液废渣中新污染物治理等技术示范。</w:t>
            </w:r>
          </w:p>
          <w:p w:rsidR="00D674DB" w:rsidRDefault="00D674DB" w:rsidP="00D674DB">
            <w:pPr>
              <w:widowControl/>
              <w:topLinePunct/>
              <w:spacing w:line="360" w:lineRule="exact"/>
              <w:ind w:firstLineChars="0" w:firstLine="0"/>
              <w:rPr>
                <w:rFonts w:ascii="Times New Roman" w:hAnsi="Times New Roman"/>
                <w:sz w:val="21"/>
              </w:rPr>
            </w:pPr>
            <w:r>
              <w:rPr>
                <w:rFonts w:ascii="Times New Roman" w:hAnsi="Times New Roman" w:hint="eastAsia"/>
                <w:sz w:val="21"/>
              </w:rPr>
              <w:t>（二）核算新污染物产排污情况。环评文件应给出所有列入重点管控新污染物清单、有毒有害污染物名录和优先控制化学品名录的化学物质生产或使用的数量、品种、用途，涉及化学反应的，分析主副反应中新污染物的迁移转化情况；将涉及的新污染物纳入评价因子；核算各环节新污染物的产生和排放情况。改建、扩建项目还应梳理现有工程新污染物排放情况，鼓励采用靶向及非靶向检测技术对废水、废气及废渣中的新污染物进行筛查。</w:t>
            </w:r>
          </w:p>
          <w:p w:rsidR="00D674DB" w:rsidRDefault="00D674DB" w:rsidP="00D674DB">
            <w:pPr>
              <w:widowControl/>
              <w:topLinePunct/>
              <w:spacing w:line="360" w:lineRule="exact"/>
              <w:ind w:firstLineChars="0" w:firstLine="0"/>
              <w:rPr>
                <w:rFonts w:ascii="Times New Roman" w:hAnsi="Times New Roman"/>
                <w:sz w:val="21"/>
              </w:rPr>
            </w:pPr>
            <w:r>
              <w:rPr>
                <w:rFonts w:ascii="Times New Roman" w:hAnsi="Times New Roman" w:hint="eastAsia"/>
                <w:sz w:val="21"/>
              </w:rPr>
              <w:lastRenderedPageBreak/>
              <w:t>（三）对已发布污染物排放标准的新污染物严格排放达标要求。新建项目产生并排放已有排放标准新污染物的，应采取措施确保排放达标。涉及新污染物排放的改建、扩建项目，应对现有项目废气、废水排放口新污染物排放情况进行监测，对排放不能达标的，应提出整改措施。对可能涉及新污染物的废母液、精馏残渣、抗生素菌渣、废反应基和废培养基、污泥等固体废物，应根据国家危险废物名录进行判定，未列入名录的固体废物应提出项目运行后按危险废物鉴别标准进行鉴别的要求，属于危险废物的按照危险废物污染环境防治相关要求进行管理。对涉及新污染物的生产、贮存、运输、处置等装置、设备设施及场所，应按相关国家标准提出防腐蚀、防渗漏、防扬散等土壤和地下水污染防治措施。</w:t>
            </w:r>
          </w:p>
          <w:p w:rsidR="00D674DB" w:rsidRDefault="00D674DB" w:rsidP="00D674DB">
            <w:pPr>
              <w:widowControl/>
              <w:topLinePunct/>
              <w:spacing w:line="360" w:lineRule="exact"/>
              <w:ind w:firstLineChars="0" w:firstLine="0"/>
              <w:rPr>
                <w:rFonts w:ascii="Times New Roman" w:hAnsi="Times New Roman"/>
                <w:sz w:val="21"/>
              </w:rPr>
            </w:pPr>
            <w:r>
              <w:rPr>
                <w:rFonts w:ascii="Times New Roman" w:hAnsi="Times New Roman" w:hint="eastAsia"/>
                <w:sz w:val="21"/>
              </w:rPr>
              <w:t>（四）对环境质量标准规定的新污染物做好环境质量现状和影响评价。建设项目现状评价因子和预测评价因子筛选应考虑涉及的新污染物，充分利用国家和地方新污染物环境监测试点成果，收集评价范围内和建设项目相关的新污染物环境质量历史监测资料（包括环境空气、周边地表水体及相应底泥</w:t>
            </w:r>
            <w:r>
              <w:rPr>
                <w:rFonts w:ascii="Times New Roman" w:hAnsi="Times New Roman"/>
                <w:sz w:val="21"/>
              </w:rPr>
              <w:t>/</w:t>
            </w:r>
            <w:r>
              <w:rPr>
                <w:rFonts w:ascii="Times New Roman" w:hAnsi="Times New Roman" w:hint="eastAsia"/>
                <w:sz w:val="21"/>
              </w:rPr>
              <w:t>沉积物、土壤和地下水、周边海域海水及沉积物</w:t>
            </w:r>
            <w:r>
              <w:rPr>
                <w:rFonts w:ascii="Times New Roman" w:hAnsi="Times New Roman"/>
                <w:sz w:val="21"/>
              </w:rPr>
              <w:t>/</w:t>
            </w:r>
            <w:r>
              <w:rPr>
                <w:rFonts w:ascii="Times New Roman" w:hAnsi="Times New Roman" w:hint="eastAsia"/>
                <w:sz w:val="21"/>
              </w:rPr>
              <w:t>生物体等），没有相关监测数据的，进行补充监测。对环境质量标准规定的新污染物，根据相关环境质量标准进行现状评价，环境质量标准未规定但已有环境监测方法标准的，应给出监测值。将相应已有环境质量标准的新污染物纳入环境影响预测因子并预测评价其环境影响。</w:t>
            </w:r>
          </w:p>
          <w:p w:rsidR="00D674DB" w:rsidRDefault="00D674DB" w:rsidP="00D674DB">
            <w:pPr>
              <w:widowControl/>
              <w:topLinePunct/>
              <w:spacing w:line="360" w:lineRule="exact"/>
              <w:ind w:firstLineChars="0" w:firstLine="0"/>
              <w:rPr>
                <w:rFonts w:ascii="Times New Roman" w:hAnsi="Times New Roman"/>
                <w:sz w:val="21"/>
              </w:rPr>
            </w:pPr>
            <w:r>
              <w:rPr>
                <w:rFonts w:ascii="Times New Roman" w:hAnsi="Times New Roman" w:hint="eastAsia"/>
                <w:sz w:val="21"/>
              </w:rPr>
              <w:lastRenderedPageBreak/>
              <w:t>（五）强化新污染物排放情况跟踪监测。应在涉及新污染物的建设项目环评文件中，明确提出将相应的新污染物纳入监测计划要求；对既未发布污染物排放标准，也无污染防治技术，但已有环境监测方法标准的新污染物，应加强日常监控和监测，掌握新污染物排放情况。将周边环境的相应新污染物监测纳入环境监测计划，做好跟踪监测。</w:t>
            </w:r>
          </w:p>
        </w:tc>
        <w:tc>
          <w:tcPr>
            <w:tcW w:w="1777" w:type="pct"/>
            <w:vAlign w:val="center"/>
          </w:tcPr>
          <w:p w:rsidR="00D674DB" w:rsidRDefault="0054280A" w:rsidP="00D674DB">
            <w:pPr>
              <w:widowControl/>
              <w:spacing w:line="360" w:lineRule="exact"/>
              <w:ind w:firstLineChars="0" w:firstLine="0"/>
              <w:jc w:val="center"/>
              <w:textAlignment w:val="center"/>
              <w:rPr>
                <w:rFonts w:ascii="Times New Roman" w:hAnsi="Times New Roman"/>
                <w:sz w:val="21"/>
              </w:rPr>
            </w:pPr>
            <w:r>
              <w:rPr>
                <w:rFonts w:ascii="Times New Roman" w:hAnsi="Times New Roman" w:hint="eastAsia"/>
                <w:sz w:val="21"/>
              </w:rPr>
              <w:lastRenderedPageBreak/>
              <w:t>本项目使用的原辅料不涉及新污染物</w:t>
            </w:r>
          </w:p>
        </w:tc>
        <w:tc>
          <w:tcPr>
            <w:tcW w:w="246" w:type="pct"/>
            <w:vAlign w:val="center"/>
          </w:tcPr>
          <w:p w:rsidR="00D674DB" w:rsidRPr="00FD2FB8" w:rsidRDefault="00D674DB" w:rsidP="00D674DB">
            <w:pPr>
              <w:spacing w:line="360" w:lineRule="exact"/>
              <w:ind w:firstLineChars="0" w:firstLine="0"/>
              <w:jc w:val="center"/>
              <w:rPr>
                <w:sz w:val="21"/>
                <w:szCs w:val="21"/>
              </w:rPr>
            </w:pPr>
          </w:p>
        </w:tc>
      </w:tr>
    </w:tbl>
    <w:p w:rsidR="004E3021" w:rsidRDefault="004E3021">
      <w:pPr>
        <w:ind w:firstLine="480"/>
        <w:sectPr w:rsidR="004E3021">
          <w:pgSz w:w="16838" w:h="11906" w:orient="landscape"/>
          <w:pgMar w:top="1440" w:right="1440" w:bottom="1440" w:left="1440" w:header="851" w:footer="992" w:gutter="0"/>
          <w:cols w:space="425"/>
          <w:docGrid w:type="lines" w:linePitch="326"/>
        </w:sectPr>
      </w:pPr>
    </w:p>
    <w:p w:rsidR="004E3021" w:rsidRDefault="00606E48">
      <w:pPr>
        <w:pStyle w:val="afffffffffffffffff4"/>
      </w:pPr>
      <w:bookmarkStart w:id="93" w:name="_Toc108662563"/>
      <w:bookmarkStart w:id="94" w:name="_Toc101135800"/>
      <w:bookmarkStart w:id="95" w:name="_Toc221088728"/>
      <w:bookmarkStart w:id="96" w:name="_Toc221500943"/>
      <w:r>
        <w:rPr>
          <w:rFonts w:hint="eastAsia"/>
        </w:rPr>
        <w:lastRenderedPageBreak/>
        <w:t>2</w:t>
      </w:r>
      <w:r>
        <w:t>.5.3</w:t>
      </w:r>
      <w:bookmarkEnd w:id="88"/>
      <w:bookmarkEnd w:id="93"/>
      <w:bookmarkEnd w:id="94"/>
      <w:r w:rsidR="00540DA4">
        <w:rPr>
          <w:rFonts w:hint="eastAsia"/>
        </w:rPr>
        <w:t>生态环境分区管控</w:t>
      </w:r>
      <w:r w:rsidR="00540DA4">
        <w:t>相符性分析</w:t>
      </w:r>
      <w:bookmarkEnd w:id="95"/>
      <w:bookmarkEnd w:id="96"/>
    </w:p>
    <w:p w:rsidR="00540DA4" w:rsidRDefault="0012664E" w:rsidP="00540DA4">
      <w:pPr>
        <w:ind w:firstLine="480"/>
      </w:pPr>
      <w:r>
        <w:rPr>
          <w:rFonts w:hint="eastAsia"/>
        </w:rPr>
        <w:t>本项目选址位于</w:t>
      </w:r>
      <w:r>
        <w:rPr>
          <w:rFonts w:ascii="宋体" w:hAnsi="宋体" w:hint="eastAsia"/>
        </w:rPr>
        <w:t>安徽蚌埠淮上区</w:t>
      </w:r>
      <w:r>
        <w:rPr>
          <w:rFonts w:hint="eastAsia"/>
        </w:rPr>
        <w:t>蚌埠精细化工</w:t>
      </w:r>
      <w:r>
        <w:t>高新技术产业基地</w:t>
      </w:r>
      <w:r>
        <w:rPr>
          <w:rFonts w:hint="eastAsia"/>
        </w:rPr>
        <w:t>内</w:t>
      </w:r>
      <w:r>
        <w:t>（</w:t>
      </w:r>
      <w:r>
        <w:t xml:space="preserve">E </w:t>
      </w:r>
      <w:r w:rsidRPr="00381097">
        <w:t>117.343423918</w:t>
      </w:r>
      <w:r>
        <w:t>、</w:t>
      </w:r>
      <w:r>
        <w:t xml:space="preserve">N </w:t>
      </w:r>
      <w:r w:rsidRPr="00381097">
        <w:t>32.593740653</w:t>
      </w:r>
      <w:r>
        <w:t>）</w:t>
      </w:r>
      <w:r>
        <w:rPr>
          <w:rFonts w:hint="eastAsia"/>
        </w:rPr>
        <w:t>，</w:t>
      </w:r>
      <w:r w:rsidR="00540DA4">
        <w:rPr>
          <w:rFonts w:hint="eastAsia"/>
        </w:rPr>
        <w:t>根据</w:t>
      </w:r>
      <w:r w:rsidR="00540DA4">
        <w:rPr>
          <w:rFonts w:hint="eastAsia"/>
        </w:rPr>
        <w:t>202</w:t>
      </w:r>
      <w:r w:rsidR="00381097">
        <w:t>6</w:t>
      </w:r>
      <w:r w:rsidR="00540DA4">
        <w:rPr>
          <w:rFonts w:hint="eastAsia"/>
        </w:rPr>
        <w:t>年</w:t>
      </w:r>
      <w:r w:rsidR="00381097">
        <w:t>1</w:t>
      </w:r>
      <w:r w:rsidR="00540DA4">
        <w:rPr>
          <w:rFonts w:hint="eastAsia"/>
        </w:rPr>
        <w:t>月</w:t>
      </w:r>
      <w:r w:rsidR="00381097">
        <w:t>22</w:t>
      </w:r>
      <w:r>
        <w:rPr>
          <w:rFonts w:hint="eastAsia"/>
        </w:rPr>
        <w:t>日安徽省“三线一单”公众服务平台查询结果</w:t>
      </w:r>
      <w:r w:rsidR="00540DA4">
        <w:rPr>
          <w:rFonts w:hint="eastAsia"/>
        </w:rPr>
        <w:t>，本项目涉及重点管控类</w:t>
      </w:r>
      <w:r w:rsidR="00540DA4">
        <w:rPr>
          <w:rFonts w:hint="eastAsia"/>
        </w:rPr>
        <w:t>1</w:t>
      </w:r>
      <w:r w:rsidR="00540DA4">
        <w:rPr>
          <w:rFonts w:hint="eastAsia"/>
        </w:rPr>
        <w:t>个，单元编码</w:t>
      </w:r>
      <w:r w:rsidR="00540DA4">
        <w:rPr>
          <w:rFonts w:hint="eastAsia"/>
        </w:rPr>
        <w:t>ZH340</w:t>
      </w:r>
      <w:r w:rsidR="00540DA4">
        <w:t>3</w:t>
      </w:r>
      <w:r w:rsidR="00381097">
        <w:t>2</w:t>
      </w:r>
      <w:r w:rsidR="00540DA4">
        <w:t>22</w:t>
      </w:r>
      <w:r w:rsidR="00540DA4">
        <w:rPr>
          <w:rFonts w:hint="eastAsia"/>
        </w:rPr>
        <w:t>00</w:t>
      </w:r>
      <w:r w:rsidR="00540DA4">
        <w:t>2</w:t>
      </w:r>
      <w:r w:rsidR="00381097">
        <w:t>8</w:t>
      </w:r>
      <w:r w:rsidR="00540DA4">
        <w:rPr>
          <w:rFonts w:hint="eastAsia"/>
        </w:rPr>
        <w:t>，不涉及优先管控单元和一般管控单元，详见下图，查询报告详见附件</w:t>
      </w:r>
      <w:r w:rsidR="00540DA4">
        <w:t>11</w:t>
      </w:r>
      <w:r w:rsidR="00540DA4">
        <w:rPr>
          <w:rFonts w:hint="eastAsia"/>
        </w:rPr>
        <w:t>。</w:t>
      </w:r>
    </w:p>
    <w:p w:rsidR="00540DA4" w:rsidRDefault="005E413B" w:rsidP="00540DA4">
      <w:pPr>
        <w:ind w:firstLineChars="0" w:firstLine="0"/>
        <w:rPr>
          <w:b/>
          <w:bCs/>
        </w:rPr>
      </w:pPr>
      <w:r>
        <w:rPr>
          <w:b/>
          <w:bCs/>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pt;height:207pt">
            <v:imagedata r:id="rId17" o:title="三线一单平台查询图" croptop="11252f" cropbottom="11599f"/>
          </v:shape>
        </w:pict>
      </w:r>
    </w:p>
    <w:p w:rsidR="00540DA4" w:rsidRDefault="00540DA4" w:rsidP="00540DA4">
      <w:pPr>
        <w:spacing w:line="500" w:lineRule="exact"/>
        <w:ind w:firstLineChars="0" w:firstLine="0"/>
        <w:jc w:val="center"/>
        <w:rPr>
          <w:rFonts w:cs="宋体"/>
        </w:rPr>
      </w:pPr>
      <w:r>
        <w:rPr>
          <w:rFonts w:eastAsia="黑体"/>
        </w:rPr>
        <w:t>图</w:t>
      </w:r>
      <w:r>
        <w:rPr>
          <w:rFonts w:eastAsia="黑体"/>
        </w:rPr>
        <w:t xml:space="preserve">2.5.3-1  </w:t>
      </w:r>
      <w:r>
        <w:rPr>
          <w:rFonts w:eastAsia="黑体" w:hint="eastAsia"/>
        </w:rPr>
        <w:t>本</w:t>
      </w:r>
      <w:r>
        <w:rPr>
          <w:rFonts w:eastAsia="黑体"/>
        </w:rPr>
        <w:t>项目</w:t>
      </w:r>
      <w:r>
        <w:rPr>
          <w:rFonts w:eastAsia="黑体" w:hint="eastAsia"/>
        </w:rPr>
        <w:t>在安徽省三线一单公众服务平台查询结果图</w:t>
      </w:r>
    </w:p>
    <w:p w:rsidR="004E3021" w:rsidRDefault="00606E48">
      <w:pPr>
        <w:ind w:firstLine="480"/>
      </w:pPr>
      <w:r>
        <w:rPr>
          <w:rFonts w:ascii="宋体" w:hAnsi="宋体" w:hint="eastAsia"/>
        </w:rPr>
        <w:t>（</w:t>
      </w:r>
      <w:r>
        <w:t>1</w:t>
      </w:r>
      <w:r>
        <w:rPr>
          <w:rFonts w:ascii="宋体" w:hAnsi="宋体" w:hint="eastAsia"/>
        </w:rPr>
        <w:t>）生态保护红线</w:t>
      </w:r>
    </w:p>
    <w:p w:rsidR="004E3021" w:rsidRDefault="00606E48">
      <w:pPr>
        <w:ind w:firstLine="480"/>
      </w:pPr>
      <w:r>
        <w:rPr>
          <w:rFonts w:ascii="宋体" w:hAnsi="宋体" w:hint="eastAsia"/>
        </w:rPr>
        <w:t>本项目位于</w:t>
      </w:r>
      <w:r>
        <w:rPr>
          <w:rFonts w:hint="eastAsia"/>
        </w:rPr>
        <w:t>蚌埠精细化工高新技术产业基地</w:t>
      </w:r>
      <w:r>
        <w:rPr>
          <w:rFonts w:ascii="宋体" w:hAnsi="宋体" w:hint="eastAsia"/>
        </w:rPr>
        <w:t>内，</w:t>
      </w:r>
      <w:r w:rsidR="00540DA4">
        <w:t>根据</w:t>
      </w:r>
      <w:r w:rsidR="00540DA4">
        <w:rPr>
          <w:rFonts w:hint="eastAsia"/>
        </w:rPr>
        <w:t>蚌埠市生态环境分区管控成果</w:t>
      </w:r>
      <w:r w:rsidR="00540DA4">
        <w:t>中蚌埠市范围内的生态红线区域，本项目不在生态红线区域范围内，符合生态红线保护的要求</w:t>
      </w:r>
      <w:r>
        <w:rPr>
          <w:rFonts w:hint="eastAsia"/>
        </w:rPr>
        <w:t>。</w:t>
      </w:r>
    </w:p>
    <w:p w:rsidR="00BD5275" w:rsidRDefault="005E413B" w:rsidP="00BD5275">
      <w:pPr>
        <w:ind w:firstLineChars="0" w:firstLine="0"/>
        <w:jc w:val="center"/>
      </w:pPr>
      <w:r>
        <w:lastRenderedPageBreak/>
        <w:pict>
          <v:shape id="_x0000_i1026" type="#_x0000_t75" style="width:450pt;height:318pt">
            <v:imagedata r:id="rId18" o:title="项目地理位置"/>
          </v:shape>
        </w:pict>
      </w:r>
    </w:p>
    <w:p w:rsidR="00C23EB8" w:rsidRDefault="00C23EB8" w:rsidP="00C23EB8">
      <w:pPr>
        <w:spacing w:line="500" w:lineRule="exact"/>
        <w:ind w:firstLineChars="0" w:firstLine="0"/>
        <w:jc w:val="center"/>
        <w:rPr>
          <w:rFonts w:eastAsia="黑体"/>
        </w:rPr>
      </w:pPr>
      <w:r>
        <w:rPr>
          <w:rFonts w:eastAsia="黑体"/>
        </w:rPr>
        <w:t>图</w:t>
      </w:r>
      <w:r>
        <w:rPr>
          <w:rFonts w:eastAsia="黑体"/>
        </w:rPr>
        <w:t xml:space="preserve">2.5.3-2  </w:t>
      </w:r>
      <w:r>
        <w:rPr>
          <w:rFonts w:eastAsia="黑体" w:hint="eastAsia"/>
        </w:rPr>
        <w:t>本项目与蚌埠市生态保护红线位置关系</w:t>
      </w:r>
      <w:r>
        <w:rPr>
          <w:rFonts w:eastAsia="黑体"/>
        </w:rPr>
        <w:t>图</w:t>
      </w:r>
    </w:p>
    <w:p w:rsidR="0012664E" w:rsidRDefault="0012664E" w:rsidP="0012664E">
      <w:pPr>
        <w:ind w:firstLine="480"/>
      </w:pPr>
      <w:r>
        <w:t>（</w:t>
      </w:r>
      <w:r>
        <w:t>2</w:t>
      </w:r>
      <w:r>
        <w:t>）水环境分区管控要求</w:t>
      </w:r>
      <w:bookmarkStart w:id="97" w:name="pindex1724"/>
      <w:bookmarkEnd w:id="97"/>
    </w:p>
    <w:p w:rsidR="0012664E" w:rsidRDefault="0012664E" w:rsidP="0012664E">
      <w:pPr>
        <w:ind w:firstLine="480"/>
      </w:pPr>
      <w:bookmarkStart w:id="98" w:name="sys1725037"/>
      <w:r>
        <w:t>根据《安徽省</w:t>
      </w:r>
      <w:r>
        <w:rPr>
          <w:rFonts w:hint="eastAsia"/>
        </w:rPr>
        <w:t>蚌埠</w:t>
      </w:r>
      <w:r>
        <w:t>市</w:t>
      </w:r>
      <w:r>
        <w:rPr>
          <w:rFonts w:hint="eastAsia"/>
        </w:rPr>
        <w:t>“</w:t>
      </w:r>
      <w:r>
        <w:t>三线一单</w:t>
      </w:r>
      <w:r>
        <w:rPr>
          <w:rFonts w:hint="eastAsia"/>
        </w:rPr>
        <w:t>”</w:t>
      </w:r>
      <w:r>
        <w:t>文本》，本项目所在区域属于水环境</w:t>
      </w:r>
      <w:r>
        <w:rPr>
          <w:rFonts w:hint="eastAsia"/>
        </w:rPr>
        <w:t>工业污染重点</w:t>
      </w:r>
      <w:r>
        <w:t>管控区。</w:t>
      </w:r>
      <w:bookmarkEnd w:id="98"/>
    </w:p>
    <w:p w:rsidR="0012664E" w:rsidRDefault="0012664E" w:rsidP="0012664E">
      <w:pPr>
        <w:spacing w:line="500" w:lineRule="exact"/>
        <w:ind w:firstLineChars="0" w:firstLine="0"/>
        <w:jc w:val="center"/>
        <w:rPr>
          <w:rFonts w:eastAsia="黑体" w:cs="黑体"/>
          <w:lang w:bidi="ar"/>
        </w:rPr>
      </w:pPr>
      <w:r>
        <w:rPr>
          <w:rFonts w:eastAsia="黑体" w:cs="黑体"/>
          <w:lang w:bidi="ar"/>
        </w:rPr>
        <w:t>表</w:t>
      </w:r>
      <w:r>
        <w:rPr>
          <w:rFonts w:eastAsia="黑体" w:cs="黑体" w:hint="eastAsia"/>
          <w:lang w:bidi="ar"/>
        </w:rPr>
        <w:t>2</w:t>
      </w:r>
      <w:r>
        <w:rPr>
          <w:rFonts w:eastAsia="黑体" w:cs="黑体"/>
          <w:lang w:bidi="ar"/>
        </w:rPr>
        <w:t xml:space="preserve">.5.3-1  </w:t>
      </w:r>
      <w:r>
        <w:rPr>
          <w:rFonts w:eastAsia="黑体" w:cs="黑体"/>
          <w:lang w:bidi="ar"/>
        </w:rPr>
        <w:t>与水环境分区管控要求的协调性分析</w:t>
      </w:r>
      <w:bookmarkStart w:id="99" w:name="pindex1726"/>
      <w:bookmarkEnd w:id="99"/>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85"/>
        <w:gridCol w:w="3957"/>
        <w:gridCol w:w="3484"/>
      </w:tblGrid>
      <w:tr w:rsidR="0012664E" w:rsidTr="00DA2501">
        <w:trPr>
          <w:trHeight w:val="415"/>
          <w:jc w:val="center"/>
        </w:trPr>
        <w:tc>
          <w:tcPr>
            <w:tcW w:w="878" w:type="pct"/>
            <w:vAlign w:val="center"/>
          </w:tcPr>
          <w:p w:rsidR="0012664E" w:rsidRDefault="0012664E" w:rsidP="00DA2501">
            <w:pPr>
              <w:pStyle w:val="afd"/>
              <w:spacing w:line="360" w:lineRule="exact"/>
              <w:ind w:firstLineChars="0" w:firstLine="0"/>
              <w:jc w:val="center"/>
              <w:rPr>
                <w:rFonts w:ascii="Times New Roman" w:hAnsi="Times New Roman"/>
                <w:b/>
                <w:sz w:val="21"/>
              </w:rPr>
            </w:pPr>
            <w:r>
              <w:rPr>
                <w:rFonts w:ascii="Times New Roman" w:hAnsi="Times New Roman"/>
                <w:b/>
                <w:sz w:val="21"/>
              </w:rPr>
              <w:t>管控单元分类</w:t>
            </w:r>
          </w:p>
        </w:tc>
        <w:tc>
          <w:tcPr>
            <w:tcW w:w="2192" w:type="pct"/>
            <w:vAlign w:val="center"/>
          </w:tcPr>
          <w:p w:rsidR="0012664E" w:rsidRDefault="0012664E" w:rsidP="00DA2501">
            <w:pPr>
              <w:pStyle w:val="afd"/>
              <w:spacing w:line="360" w:lineRule="exact"/>
              <w:ind w:firstLineChars="0" w:firstLine="0"/>
              <w:jc w:val="center"/>
              <w:rPr>
                <w:rFonts w:ascii="Times New Roman" w:hAnsi="Times New Roman"/>
                <w:b/>
                <w:sz w:val="21"/>
              </w:rPr>
            </w:pPr>
            <w:r>
              <w:rPr>
                <w:rFonts w:ascii="Times New Roman" w:hAnsi="Times New Roman"/>
                <w:b/>
                <w:sz w:val="21"/>
              </w:rPr>
              <w:t>环境管控要求</w:t>
            </w:r>
          </w:p>
        </w:tc>
        <w:tc>
          <w:tcPr>
            <w:tcW w:w="1930" w:type="pct"/>
            <w:vAlign w:val="center"/>
          </w:tcPr>
          <w:p w:rsidR="0012664E" w:rsidRDefault="0012664E" w:rsidP="00DA2501">
            <w:pPr>
              <w:pStyle w:val="afd"/>
              <w:spacing w:line="360" w:lineRule="exact"/>
              <w:ind w:firstLineChars="0" w:firstLine="0"/>
              <w:jc w:val="center"/>
              <w:rPr>
                <w:rFonts w:ascii="Times New Roman" w:hAnsi="Times New Roman"/>
                <w:b/>
                <w:sz w:val="21"/>
              </w:rPr>
            </w:pPr>
            <w:r>
              <w:rPr>
                <w:rFonts w:ascii="Times New Roman" w:hAnsi="Times New Roman"/>
                <w:b/>
                <w:sz w:val="21"/>
              </w:rPr>
              <w:t>协调性分析</w:t>
            </w:r>
          </w:p>
        </w:tc>
      </w:tr>
      <w:tr w:rsidR="0012664E" w:rsidTr="00DA2501">
        <w:trPr>
          <w:trHeight w:val="1435"/>
          <w:jc w:val="center"/>
        </w:trPr>
        <w:tc>
          <w:tcPr>
            <w:tcW w:w="878" w:type="pct"/>
            <w:vAlign w:val="center"/>
          </w:tcPr>
          <w:p w:rsidR="0012664E" w:rsidRDefault="0012664E" w:rsidP="00DA2501">
            <w:pPr>
              <w:pStyle w:val="afd"/>
              <w:spacing w:line="360" w:lineRule="exact"/>
              <w:ind w:firstLineChars="0" w:firstLine="0"/>
              <w:jc w:val="center"/>
              <w:rPr>
                <w:rFonts w:ascii="Times New Roman" w:hAnsi="Times New Roman"/>
                <w:sz w:val="21"/>
              </w:rPr>
            </w:pPr>
            <w:r>
              <w:rPr>
                <w:rFonts w:ascii="Times New Roman" w:hAnsi="Times New Roman"/>
                <w:sz w:val="21"/>
              </w:rPr>
              <w:t>工业污染重点管控区</w:t>
            </w:r>
          </w:p>
        </w:tc>
        <w:tc>
          <w:tcPr>
            <w:tcW w:w="2192" w:type="pct"/>
            <w:vAlign w:val="center"/>
          </w:tcPr>
          <w:p w:rsidR="0012664E" w:rsidRDefault="0012664E" w:rsidP="00DA2501">
            <w:pPr>
              <w:pStyle w:val="afd"/>
              <w:spacing w:line="360" w:lineRule="exact"/>
              <w:ind w:firstLineChars="0" w:firstLine="0"/>
              <w:jc w:val="center"/>
              <w:rPr>
                <w:rFonts w:ascii="Times New Roman" w:hAnsi="Times New Roman"/>
                <w:sz w:val="21"/>
              </w:rPr>
            </w:pPr>
            <w:r>
              <w:rPr>
                <w:rFonts w:ascii="Times New Roman" w:hAnsi="Times New Roman"/>
                <w:sz w:val="21"/>
              </w:rPr>
              <w:t>依据《中华人民共和国水污染防治法》《水污染防治行动计划》《安徽省水污染防治工作方案》及各市水污染防治工作方案对重点管控区实施管控；依据《安徽省淮河流域水污染防治条例》对淮河流域实施管控；依据开发区规划、规划环评及审查意见相关要求对开发区实施管控；落实《</w:t>
            </w:r>
            <w:r>
              <w:rPr>
                <w:rFonts w:ascii="Times New Roman" w:hAnsi="Times New Roman"/>
                <w:sz w:val="21"/>
              </w:rPr>
              <w:t>“</w:t>
            </w:r>
            <w:r>
              <w:rPr>
                <w:rFonts w:ascii="Times New Roman" w:hAnsi="Times New Roman"/>
                <w:sz w:val="21"/>
              </w:rPr>
              <w:t>十四五</w:t>
            </w:r>
            <w:r>
              <w:rPr>
                <w:rFonts w:ascii="Times New Roman" w:hAnsi="Times New Roman"/>
                <w:sz w:val="21"/>
              </w:rPr>
              <w:t>”</w:t>
            </w:r>
            <w:r>
              <w:rPr>
                <w:rFonts w:ascii="Times New Roman" w:hAnsi="Times New Roman"/>
                <w:sz w:val="21"/>
              </w:rPr>
              <w:t>生态环境保护规划》《安徽省</w:t>
            </w:r>
            <w:r>
              <w:rPr>
                <w:rFonts w:ascii="Times New Roman" w:hAnsi="Times New Roman"/>
                <w:sz w:val="21"/>
              </w:rPr>
              <w:t>“</w:t>
            </w:r>
            <w:r>
              <w:rPr>
                <w:rFonts w:ascii="Times New Roman" w:hAnsi="Times New Roman"/>
                <w:sz w:val="21"/>
              </w:rPr>
              <w:t>十四五</w:t>
            </w:r>
            <w:r>
              <w:rPr>
                <w:rFonts w:ascii="Times New Roman" w:hAnsi="Times New Roman"/>
                <w:sz w:val="21"/>
              </w:rPr>
              <w:t>”</w:t>
            </w:r>
            <w:r>
              <w:rPr>
                <w:rFonts w:ascii="Times New Roman" w:hAnsi="Times New Roman"/>
                <w:sz w:val="21"/>
              </w:rPr>
              <w:t>环境保护规划》《安徽省</w:t>
            </w:r>
            <w:r>
              <w:rPr>
                <w:rFonts w:ascii="Times New Roman" w:hAnsi="Times New Roman"/>
                <w:sz w:val="21"/>
              </w:rPr>
              <w:t>“</w:t>
            </w:r>
            <w:r>
              <w:rPr>
                <w:rFonts w:ascii="Times New Roman" w:hAnsi="Times New Roman"/>
                <w:sz w:val="21"/>
              </w:rPr>
              <w:t>十四五</w:t>
            </w:r>
            <w:r>
              <w:rPr>
                <w:rFonts w:ascii="Times New Roman" w:hAnsi="Times New Roman"/>
                <w:sz w:val="21"/>
              </w:rPr>
              <w:t>”</w:t>
            </w:r>
            <w:r>
              <w:rPr>
                <w:rFonts w:ascii="Times New Roman" w:hAnsi="Times New Roman"/>
                <w:sz w:val="21"/>
              </w:rPr>
              <w:t>节能减排实施方案》等要求，新建、改建和扩建项目水污染物实施</w:t>
            </w:r>
            <w:r>
              <w:rPr>
                <w:rFonts w:ascii="Times New Roman" w:hAnsi="Times New Roman"/>
                <w:sz w:val="21"/>
              </w:rPr>
              <w:t>“</w:t>
            </w:r>
            <w:r>
              <w:rPr>
                <w:rFonts w:ascii="Times New Roman" w:hAnsi="Times New Roman"/>
                <w:sz w:val="21"/>
              </w:rPr>
              <w:t>等量替代</w:t>
            </w:r>
            <w:r>
              <w:rPr>
                <w:rFonts w:ascii="Times New Roman" w:hAnsi="Times New Roman"/>
                <w:sz w:val="21"/>
              </w:rPr>
              <w:t>”</w:t>
            </w:r>
            <w:r>
              <w:rPr>
                <w:rFonts w:ascii="Times New Roman" w:hAnsi="Times New Roman"/>
                <w:sz w:val="21"/>
              </w:rPr>
              <w:t>。</w:t>
            </w:r>
          </w:p>
        </w:tc>
        <w:tc>
          <w:tcPr>
            <w:tcW w:w="1930" w:type="pct"/>
            <w:vAlign w:val="center"/>
          </w:tcPr>
          <w:p w:rsidR="0012664E" w:rsidRDefault="00D35F12" w:rsidP="00DA2501">
            <w:pPr>
              <w:pStyle w:val="afd"/>
              <w:spacing w:line="360" w:lineRule="exact"/>
              <w:ind w:firstLineChars="0" w:firstLine="0"/>
              <w:jc w:val="center"/>
              <w:rPr>
                <w:rFonts w:ascii="Times New Roman" w:hAnsi="Times New Roman"/>
                <w:sz w:val="21"/>
              </w:rPr>
            </w:pPr>
            <w:bookmarkStart w:id="100" w:name="sys17320102"/>
            <w:r w:rsidRPr="00D35F12">
              <w:rPr>
                <w:rFonts w:ascii="Times New Roman" w:hAnsi="Times New Roman" w:hint="eastAsia"/>
                <w:sz w:val="21"/>
              </w:rPr>
              <w:t>本项目废水主要有生产废水、初期雨水及生活污水等，其中综合废水产生量为</w:t>
            </w:r>
            <w:r w:rsidR="00D64A03" w:rsidRPr="00D64A03">
              <w:rPr>
                <w:rFonts w:ascii="Times New Roman" w:hAnsi="Times New Roman"/>
                <w:sz w:val="21"/>
              </w:rPr>
              <w:t>153863.239</w:t>
            </w:r>
            <w:r w:rsidRPr="00D35F12">
              <w:rPr>
                <w:rFonts w:ascii="Times New Roman" w:hAnsi="Times New Roman" w:hint="eastAsia"/>
                <w:sz w:val="21"/>
              </w:rPr>
              <w:t>t/a</w:t>
            </w:r>
            <w:r w:rsidRPr="00D35F12">
              <w:rPr>
                <w:rFonts w:ascii="Times New Roman" w:hAnsi="Times New Roman" w:hint="eastAsia"/>
                <w:sz w:val="21"/>
              </w:rPr>
              <w:t>，经厂区污水处理区处理达到</w:t>
            </w:r>
            <w:r w:rsidRPr="00D35F12">
              <w:rPr>
                <w:rFonts w:ascii="Times New Roman" w:hAnsi="Times New Roman"/>
                <w:sz w:val="21"/>
              </w:rPr>
              <w:t>沫河口园区污水处理厂接管标准</w:t>
            </w:r>
            <w:r w:rsidR="0012664E">
              <w:rPr>
                <w:rFonts w:ascii="Times New Roman" w:hAnsi="Times New Roman"/>
                <w:sz w:val="21"/>
              </w:rPr>
              <w:t>，尾水排入地表水淮河，</w:t>
            </w:r>
            <w:r w:rsidR="009F420B">
              <w:rPr>
                <w:rFonts w:ascii="Times New Roman" w:hAnsi="Times New Roman" w:hint="eastAsia"/>
                <w:sz w:val="21"/>
              </w:rPr>
              <w:t>本项目改</w:t>
            </w:r>
            <w:r w:rsidR="009517D8" w:rsidRPr="009517D8">
              <w:rPr>
                <w:rFonts w:ascii="Times New Roman" w:hAnsi="Times New Roman" w:hint="eastAsia"/>
                <w:sz w:val="21"/>
              </w:rPr>
              <w:t>扩</w:t>
            </w:r>
            <w:r w:rsidR="009F420B">
              <w:rPr>
                <w:rFonts w:ascii="Times New Roman" w:hAnsi="Times New Roman" w:hint="eastAsia"/>
                <w:sz w:val="21"/>
              </w:rPr>
              <w:t>建后废水总量未突破原环评申请量，无需</w:t>
            </w:r>
            <w:r>
              <w:rPr>
                <w:rFonts w:ascii="Times New Roman" w:hAnsi="Times New Roman" w:hint="eastAsia"/>
                <w:sz w:val="21"/>
              </w:rPr>
              <w:t>申请水污染物总量</w:t>
            </w:r>
            <w:r w:rsidR="0012664E">
              <w:rPr>
                <w:rFonts w:ascii="Times New Roman" w:hAnsi="Times New Roman"/>
                <w:sz w:val="21"/>
              </w:rPr>
              <w:t>。</w:t>
            </w:r>
            <w:bookmarkEnd w:id="100"/>
          </w:p>
        </w:tc>
      </w:tr>
    </w:tbl>
    <w:p w:rsidR="0012664E" w:rsidRDefault="005E413B" w:rsidP="0012664E">
      <w:pPr>
        <w:ind w:firstLineChars="0" w:firstLine="0"/>
        <w:jc w:val="center"/>
      </w:pPr>
      <w:r>
        <w:rPr>
          <w:noProof/>
        </w:rPr>
        <w:lastRenderedPageBreak/>
        <w:pict>
          <v:shape id="_x0000_i1027" type="#_x0000_t75" style="width:450pt;height:318pt">
            <v:imagedata r:id="rId19" o:title="水环境管控"/>
          </v:shape>
        </w:pict>
      </w:r>
    </w:p>
    <w:p w:rsidR="0012664E" w:rsidRDefault="0012664E" w:rsidP="0012664E">
      <w:pPr>
        <w:spacing w:line="500" w:lineRule="exact"/>
        <w:ind w:firstLineChars="0" w:firstLine="0"/>
        <w:jc w:val="center"/>
        <w:rPr>
          <w:rFonts w:eastAsia="黑体"/>
        </w:rPr>
      </w:pPr>
      <w:r>
        <w:rPr>
          <w:rFonts w:eastAsia="黑体"/>
        </w:rPr>
        <w:t>图</w:t>
      </w:r>
      <w:r>
        <w:rPr>
          <w:rFonts w:eastAsia="黑体"/>
        </w:rPr>
        <w:t xml:space="preserve">2.5.3-3  </w:t>
      </w:r>
      <w:r>
        <w:rPr>
          <w:rFonts w:eastAsia="黑体" w:hint="eastAsia"/>
        </w:rPr>
        <w:t>本</w:t>
      </w:r>
      <w:r>
        <w:rPr>
          <w:rFonts w:eastAsia="黑体"/>
        </w:rPr>
        <w:t>项目</w:t>
      </w:r>
      <w:r>
        <w:rPr>
          <w:rFonts w:eastAsia="黑体" w:hint="eastAsia"/>
        </w:rPr>
        <w:t>与蚌埠市水环境分区管控位置关系图</w:t>
      </w:r>
      <w:bookmarkStart w:id="101" w:name="pindex1734"/>
      <w:bookmarkEnd w:id="101"/>
    </w:p>
    <w:p w:rsidR="0012664E" w:rsidRDefault="0012664E" w:rsidP="0012664E">
      <w:pPr>
        <w:ind w:firstLine="480"/>
      </w:pPr>
      <w:r>
        <w:t>（</w:t>
      </w:r>
      <w:r>
        <w:t>3</w:t>
      </w:r>
      <w:r>
        <w:t>）大气环境分区管控要求</w:t>
      </w:r>
      <w:bookmarkStart w:id="102" w:name="pindex1735"/>
      <w:bookmarkEnd w:id="102"/>
    </w:p>
    <w:p w:rsidR="0012664E" w:rsidRDefault="0012664E" w:rsidP="0012664E">
      <w:pPr>
        <w:ind w:firstLine="480"/>
      </w:pPr>
      <w:bookmarkStart w:id="103" w:name="sys1736041"/>
      <w:r>
        <w:t>根据《安徽省</w:t>
      </w:r>
      <w:r>
        <w:rPr>
          <w:rFonts w:hint="eastAsia"/>
        </w:rPr>
        <w:t>蚌埠</w:t>
      </w:r>
      <w:r>
        <w:t>市</w:t>
      </w:r>
      <w:r>
        <w:rPr>
          <w:rFonts w:hint="eastAsia"/>
        </w:rPr>
        <w:t>“</w:t>
      </w:r>
      <w:r>
        <w:t>三线一单</w:t>
      </w:r>
      <w:r>
        <w:rPr>
          <w:rFonts w:hint="eastAsia"/>
        </w:rPr>
        <w:t>”</w:t>
      </w:r>
      <w:r>
        <w:t>文本》，本项目所在区域属于</w:t>
      </w:r>
      <w:r w:rsidR="00AE03D6">
        <w:rPr>
          <w:rFonts w:hint="eastAsia"/>
        </w:rPr>
        <w:t>布局敏感</w:t>
      </w:r>
      <w:r>
        <w:rPr>
          <w:rFonts w:hint="eastAsia"/>
        </w:rPr>
        <w:t>重点</w:t>
      </w:r>
      <w:r>
        <w:t>管控区。</w:t>
      </w:r>
      <w:bookmarkEnd w:id="103"/>
    </w:p>
    <w:p w:rsidR="0012664E" w:rsidRDefault="0012664E" w:rsidP="0012664E">
      <w:pPr>
        <w:spacing w:line="500" w:lineRule="exact"/>
        <w:ind w:firstLineChars="0" w:firstLine="0"/>
        <w:jc w:val="center"/>
        <w:rPr>
          <w:rFonts w:eastAsia="黑体" w:cs="黑体"/>
          <w:lang w:bidi="ar"/>
        </w:rPr>
      </w:pPr>
      <w:r>
        <w:rPr>
          <w:rFonts w:eastAsia="黑体" w:cs="黑体"/>
          <w:lang w:bidi="ar"/>
        </w:rPr>
        <w:t>表</w:t>
      </w:r>
      <w:r>
        <w:rPr>
          <w:rFonts w:eastAsia="黑体" w:cs="黑体" w:hint="eastAsia"/>
          <w:lang w:bidi="ar"/>
        </w:rPr>
        <w:t>2</w:t>
      </w:r>
      <w:r>
        <w:rPr>
          <w:rFonts w:eastAsia="黑体" w:cs="黑体"/>
          <w:lang w:bidi="ar"/>
        </w:rPr>
        <w:t xml:space="preserve">.5.3-2  </w:t>
      </w:r>
      <w:r>
        <w:rPr>
          <w:rFonts w:eastAsia="黑体" w:cs="黑体"/>
          <w:lang w:bidi="ar"/>
        </w:rPr>
        <w:t>与大气环境分区管控要求的协调性分析</w:t>
      </w:r>
      <w:bookmarkStart w:id="104" w:name="pindex1737"/>
      <w:bookmarkEnd w:id="104"/>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03"/>
        <w:gridCol w:w="5150"/>
        <w:gridCol w:w="2773"/>
      </w:tblGrid>
      <w:tr w:rsidR="0012664E" w:rsidTr="00DA2501">
        <w:trPr>
          <w:trHeight w:val="415"/>
          <w:jc w:val="center"/>
        </w:trPr>
        <w:tc>
          <w:tcPr>
            <w:tcW w:w="611" w:type="pct"/>
            <w:vAlign w:val="center"/>
          </w:tcPr>
          <w:p w:rsidR="0012664E" w:rsidRDefault="0012664E" w:rsidP="00DA2501">
            <w:pPr>
              <w:pStyle w:val="afd"/>
              <w:spacing w:line="360" w:lineRule="exact"/>
              <w:ind w:firstLineChars="0" w:firstLine="0"/>
              <w:jc w:val="center"/>
              <w:rPr>
                <w:rFonts w:ascii="Times New Roman" w:hAnsi="Times New Roman"/>
                <w:b/>
                <w:sz w:val="21"/>
              </w:rPr>
            </w:pPr>
            <w:r>
              <w:rPr>
                <w:rFonts w:ascii="Times New Roman" w:hAnsi="Times New Roman"/>
                <w:b/>
                <w:sz w:val="21"/>
              </w:rPr>
              <w:t>管控单元分类</w:t>
            </w:r>
          </w:p>
        </w:tc>
        <w:tc>
          <w:tcPr>
            <w:tcW w:w="2853" w:type="pct"/>
            <w:vAlign w:val="center"/>
          </w:tcPr>
          <w:p w:rsidR="0012664E" w:rsidRDefault="0012664E" w:rsidP="00DA2501">
            <w:pPr>
              <w:pStyle w:val="afd"/>
              <w:spacing w:line="360" w:lineRule="exact"/>
              <w:ind w:firstLineChars="0" w:firstLine="0"/>
              <w:jc w:val="center"/>
              <w:rPr>
                <w:rFonts w:ascii="Times New Roman" w:hAnsi="Times New Roman"/>
                <w:b/>
                <w:sz w:val="21"/>
              </w:rPr>
            </w:pPr>
            <w:r>
              <w:rPr>
                <w:rFonts w:ascii="Times New Roman" w:hAnsi="Times New Roman"/>
                <w:b/>
                <w:sz w:val="21"/>
              </w:rPr>
              <w:t>环境管控要求</w:t>
            </w:r>
          </w:p>
        </w:tc>
        <w:tc>
          <w:tcPr>
            <w:tcW w:w="1536" w:type="pct"/>
            <w:vAlign w:val="center"/>
          </w:tcPr>
          <w:p w:rsidR="0012664E" w:rsidRDefault="0012664E" w:rsidP="00DA2501">
            <w:pPr>
              <w:pStyle w:val="afd"/>
              <w:spacing w:line="360" w:lineRule="exact"/>
              <w:ind w:firstLineChars="0" w:firstLine="0"/>
              <w:jc w:val="center"/>
              <w:rPr>
                <w:rFonts w:ascii="Times New Roman" w:hAnsi="Times New Roman"/>
                <w:b/>
                <w:sz w:val="21"/>
              </w:rPr>
            </w:pPr>
            <w:r>
              <w:rPr>
                <w:rFonts w:ascii="Times New Roman" w:hAnsi="Times New Roman"/>
                <w:b/>
                <w:sz w:val="21"/>
              </w:rPr>
              <w:t>协调性分析</w:t>
            </w:r>
          </w:p>
        </w:tc>
      </w:tr>
      <w:tr w:rsidR="0012664E" w:rsidTr="00DA2501">
        <w:trPr>
          <w:trHeight w:val="255"/>
          <w:jc w:val="center"/>
        </w:trPr>
        <w:tc>
          <w:tcPr>
            <w:tcW w:w="611" w:type="pct"/>
            <w:vAlign w:val="center"/>
          </w:tcPr>
          <w:p w:rsidR="0012664E" w:rsidRDefault="0012664E" w:rsidP="00DA2501">
            <w:pPr>
              <w:pStyle w:val="afd"/>
              <w:spacing w:line="360" w:lineRule="exact"/>
              <w:ind w:firstLineChars="0" w:firstLine="0"/>
              <w:jc w:val="center"/>
              <w:rPr>
                <w:rFonts w:ascii="Times New Roman" w:hAnsi="Times New Roman"/>
                <w:sz w:val="21"/>
              </w:rPr>
            </w:pPr>
            <w:r>
              <w:rPr>
                <w:rFonts w:ascii="Times New Roman" w:hAnsi="Times New Roman" w:hint="eastAsia"/>
                <w:sz w:val="21"/>
              </w:rPr>
              <w:t>重点</w:t>
            </w:r>
            <w:r>
              <w:rPr>
                <w:rFonts w:ascii="Times New Roman" w:hAnsi="Times New Roman"/>
                <w:sz w:val="21"/>
              </w:rPr>
              <w:t>管控区</w:t>
            </w:r>
          </w:p>
        </w:tc>
        <w:tc>
          <w:tcPr>
            <w:tcW w:w="2853" w:type="pct"/>
            <w:vAlign w:val="center"/>
          </w:tcPr>
          <w:p w:rsidR="0012664E" w:rsidRDefault="0012664E" w:rsidP="00DA2501">
            <w:pPr>
              <w:pStyle w:val="afd"/>
              <w:spacing w:line="360" w:lineRule="exact"/>
              <w:ind w:firstLineChars="0" w:firstLine="0"/>
              <w:jc w:val="center"/>
              <w:rPr>
                <w:rFonts w:ascii="Times New Roman" w:hAnsi="Times New Roman"/>
                <w:sz w:val="21"/>
              </w:rPr>
            </w:pPr>
            <w:r>
              <w:rPr>
                <w:rFonts w:ascii="Times New Roman" w:hAnsi="Times New Roman"/>
                <w:sz w:val="21"/>
              </w:rPr>
              <w:t>落实</w:t>
            </w:r>
            <w:r>
              <w:rPr>
                <w:rFonts w:ascii="Times New Roman" w:hAnsi="Times New Roman" w:hint="eastAsia"/>
                <w:sz w:val="21"/>
              </w:rPr>
              <w:t>《“十四五”生态环境保护规划》《安徽省“十四五”环境保护规划》《蚌埠市“十四五”生态环境保护规划》、中共蚌埠市委</w:t>
            </w:r>
            <w:r>
              <w:rPr>
                <w:rFonts w:ascii="Times New Roman" w:hAnsi="Times New Roman" w:hint="eastAsia"/>
                <w:sz w:val="21"/>
              </w:rPr>
              <w:t xml:space="preserve"> </w:t>
            </w:r>
            <w:r>
              <w:rPr>
                <w:rFonts w:ascii="Times New Roman" w:hAnsi="Times New Roman" w:hint="eastAsia"/>
                <w:sz w:val="21"/>
              </w:rPr>
              <w:t>蚌埠市人民政府关于印发《深入打好污染防治攻坚战实施方案》的通知</w:t>
            </w:r>
            <w:r>
              <w:rPr>
                <w:rFonts w:ascii="Times New Roman" w:hAnsi="Times New Roman"/>
                <w:sz w:val="21"/>
              </w:rPr>
              <w:t>等要求，严格落实目标，加强环境监管，促进生态环境质量好转。上年度</w:t>
            </w:r>
            <w:r>
              <w:rPr>
                <w:rFonts w:ascii="Times New Roman" w:hAnsi="Times New Roman"/>
                <w:sz w:val="21"/>
              </w:rPr>
              <w:t>PM</w:t>
            </w:r>
            <w:r>
              <w:rPr>
                <w:rFonts w:ascii="Times New Roman" w:hAnsi="Times New Roman"/>
                <w:sz w:val="21"/>
                <w:vertAlign w:val="subscript"/>
              </w:rPr>
              <w:t>2.5</w:t>
            </w:r>
            <w:r>
              <w:rPr>
                <w:rFonts w:ascii="Times New Roman" w:hAnsi="Times New Roman"/>
                <w:sz w:val="21"/>
              </w:rPr>
              <w:t>不达标城市新建、改建和扩建项目大气污染物实施</w:t>
            </w:r>
            <w:r>
              <w:rPr>
                <w:rFonts w:ascii="Times New Roman" w:hAnsi="Times New Roman"/>
                <w:sz w:val="21"/>
              </w:rPr>
              <w:t>“</w:t>
            </w:r>
            <w:r>
              <w:rPr>
                <w:rFonts w:ascii="Times New Roman" w:hAnsi="Times New Roman"/>
                <w:sz w:val="21"/>
              </w:rPr>
              <w:t>倍量替代</w:t>
            </w:r>
            <w:r>
              <w:rPr>
                <w:rFonts w:ascii="Times New Roman" w:hAnsi="Times New Roman"/>
                <w:sz w:val="21"/>
              </w:rPr>
              <w:t>”</w:t>
            </w:r>
            <w:r>
              <w:rPr>
                <w:rFonts w:ascii="Times New Roman" w:hAnsi="Times New Roman"/>
                <w:sz w:val="21"/>
              </w:rPr>
              <w:t>，执行特别排放标准的行业实施提标升级改造。</w:t>
            </w:r>
          </w:p>
        </w:tc>
        <w:tc>
          <w:tcPr>
            <w:tcW w:w="1536" w:type="pct"/>
            <w:vAlign w:val="center"/>
          </w:tcPr>
          <w:p w:rsidR="0012664E" w:rsidRDefault="0012664E" w:rsidP="00DA2501">
            <w:pPr>
              <w:pStyle w:val="afd"/>
              <w:spacing w:line="360" w:lineRule="exact"/>
              <w:ind w:firstLineChars="0" w:firstLine="0"/>
              <w:jc w:val="center"/>
              <w:rPr>
                <w:rFonts w:ascii="Times New Roman" w:hAnsi="Times New Roman"/>
                <w:sz w:val="21"/>
              </w:rPr>
            </w:pPr>
            <w:r>
              <w:rPr>
                <w:rFonts w:ascii="Times New Roman" w:hAnsi="Times New Roman" w:hint="eastAsia"/>
                <w:sz w:val="21"/>
              </w:rPr>
              <w:t>蚌埠</w:t>
            </w:r>
            <w:r>
              <w:rPr>
                <w:rFonts w:ascii="Times New Roman" w:hAnsi="Times New Roman"/>
                <w:sz w:val="21"/>
              </w:rPr>
              <w:t>市为环境空气质量</w:t>
            </w:r>
            <w:r>
              <w:rPr>
                <w:rFonts w:ascii="Times New Roman" w:hAnsi="Times New Roman" w:hint="eastAsia"/>
                <w:sz w:val="21"/>
              </w:rPr>
              <w:t>不</w:t>
            </w:r>
            <w:r>
              <w:rPr>
                <w:rFonts w:ascii="Times New Roman" w:hAnsi="Times New Roman"/>
                <w:sz w:val="21"/>
              </w:rPr>
              <w:t>达标区</w:t>
            </w:r>
            <w:r>
              <w:rPr>
                <w:rFonts w:ascii="Times New Roman" w:hAnsi="Times New Roman" w:hint="eastAsia"/>
                <w:sz w:val="21"/>
              </w:rPr>
              <w:t>，</w:t>
            </w:r>
            <w:r>
              <w:rPr>
                <w:rFonts w:ascii="Times New Roman" w:hAnsi="Times New Roman"/>
                <w:sz w:val="21"/>
              </w:rPr>
              <w:t>上年度</w:t>
            </w:r>
            <w:r>
              <w:rPr>
                <w:rFonts w:ascii="Times New Roman" w:hAnsi="Times New Roman"/>
                <w:sz w:val="21"/>
              </w:rPr>
              <w:t>PM</w:t>
            </w:r>
            <w:r>
              <w:rPr>
                <w:rFonts w:ascii="Times New Roman" w:hAnsi="Times New Roman"/>
                <w:sz w:val="21"/>
                <w:vertAlign w:val="subscript"/>
              </w:rPr>
              <w:t>2.5</w:t>
            </w:r>
            <w:r w:rsidR="00D35F12" w:rsidRPr="00D35F12">
              <w:rPr>
                <w:rFonts w:ascii="Times New Roman" w:hAnsi="Times New Roman"/>
                <w:kern w:val="0"/>
                <w:sz w:val="21"/>
                <w:szCs w:val="21"/>
                <w:lang w:val="zh-CN" w:bidi="zh-CN"/>
              </w:rPr>
              <w:t>及</w:t>
            </w:r>
            <w:r w:rsidR="00D35F12" w:rsidRPr="00D35F12">
              <w:rPr>
                <w:rFonts w:ascii="Times New Roman" w:hAnsi="Times New Roman"/>
                <w:kern w:val="0"/>
                <w:sz w:val="21"/>
                <w:szCs w:val="21"/>
                <w:lang w:bidi="ar"/>
              </w:rPr>
              <w:t>O</w:t>
            </w:r>
            <w:r w:rsidR="00D35F12" w:rsidRPr="00D35F12">
              <w:rPr>
                <w:rFonts w:ascii="Times New Roman" w:hAnsi="Times New Roman"/>
                <w:kern w:val="0"/>
                <w:sz w:val="21"/>
                <w:szCs w:val="21"/>
                <w:vertAlign w:val="subscript"/>
                <w:lang w:bidi="ar"/>
              </w:rPr>
              <w:t>3</w:t>
            </w:r>
            <w:r>
              <w:rPr>
                <w:rFonts w:ascii="Times New Roman" w:hAnsi="Times New Roman"/>
                <w:sz w:val="21"/>
              </w:rPr>
              <w:t>不达标。本项目</w:t>
            </w:r>
            <w:r>
              <w:rPr>
                <w:rFonts w:ascii="Times New Roman" w:hAnsi="Times New Roman" w:hint="eastAsia"/>
                <w:sz w:val="21"/>
              </w:rPr>
              <w:t>废气采用可行技术处理，同时实施倍量替代。</w:t>
            </w:r>
          </w:p>
        </w:tc>
      </w:tr>
    </w:tbl>
    <w:p w:rsidR="0012664E" w:rsidRDefault="005E413B" w:rsidP="0012664E">
      <w:pPr>
        <w:ind w:firstLineChars="0" w:firstLine="0"/>
        <w:jc w:val="center"/>
      </w:pPr>
      <w:r>
        <w:rPr>
          <w:noProof/>
        </w:rPr>
        <w:lastRenderedPageBreak/>
        <w:pict>
          <v:shape id="_x0000_i1028" type="#_x0000_t75" style="width:450pt;height:318pt">
            <v:imagedata r:id="rId20" o:title="大气环境管控"/>
          </v:shape>
        </w:pict>
      </w:r>
    </w:p>
    <w:p w:rsidR="0012664E" w:rsidRDefault="0012664E" w:rsidP="0012664E">
      <w:pPr>
        <w:spacing w:line="500" w:lineRule="exact"/>
        <w:ind w:firstLineChars="0" w:firstLine="0"/>
        <w:jc w:val="center"/>
        <w:rPr>
          <w:rFonts w:eastAsia="黑体"/>
        </w:rPr>
      </w:pPr>
      <w:bookmarkStart w:id="105" w:name="sys1745030"/>
      <w:r>
        <w:rPr>
          <w:rFonts w:eastAsia="黑体"/>
        </w:rPr>
        <w:t>图</w:t>
      </w:r>
      <w:r>
        <w:rPr>
          <w:rFonts w:eastAsia="黑体" w:hint="eastAsia"/>
        </w:rPr>
        <w:t>2</w:t>
      </w:r>
      <w:r>
        <w:rPr>
          <w:rFonts w:eastAsia="黑体"/>
        </w:rPr>
        <w:t xml:space="preserve">.5.3-4  </w:t>
      </w:r>
      <w:r>
        <w:rPr>
          <w:rFonts w:eastAsia="黑体" w:hint="eastAsia"/>
        </w:rPr>
        <w:t>本</w:t>
      </w:r>
      <w:r>
        <w:rPr>
          <w:rFonts w:eastAsia="黑体"/>
        </w:rPr>
        <w:t>项目</w:t>
      </w:r>
      <w:r>
        <w:rPr>
          <w:rFonts w:eastAsia="黑体" w:hint="eastAsia"/>
        </w:rPr>
        <w:t>与蚌埠市大气环境分区管控位置关系图</w:t>
      </w:r>
      <w:bookmarkStart w:id="106" w:name="pindex1745"/>
      <w:bookmarkEnd w:id="105"/>
      <w:bookmarkEnd w:id="106"/>
    </w:p>
    <w:p w:rsidR="0012664E" w:rsidRDefault="0012664E" w:rsidP="0012664E">
      <w:pPr>
        <w:ind w:firstLine="480"/>
      </w:pPr>
      <w:r>
        <w:t>（</w:t>
      </w:r>
      <w:r>
        <w:t>4</w:t>
      </w:r>
      <w:r>
        <w:t>）土壤环境分区管控要求</w:t>
      </w:r>
      <w:bookmarkStart w:id="107" w:name="pindex1746"/>
      <w:bookmarkEnd w:id="107"/>
    </w:p>
    <w:p w:rsidR="0012664E" w:rsidRDefault="0012664E" w:rsidP="0012664E">
      <w:pPr>
        <w:ind w:firstLine="480"/>
      </w:pPr>
      <w:r>
        <w:t>对照</w:t>
      </w:r>
      <w:r>
        <w:rPr>
          <w:rFonts w:hint="eastAsia"/>
        </w:rPr>
        <w:t>蚌埠市</w:t>
      </w:r>
      <w:r>
        <w:t>土壤</w:t>
      </w:r>
      <w:r>
        <w:rPr>
          <w:rFonts w:hint="eastAsia"/>
        </w:rPr>
        <w:t>污染风险</w:t>
      </w:r>
      <w:r>
        <w:t>分区管控图，项目属于</w:t>
      </w:r>
      <w:r w:rsidR="00C66227">
        <w:rPr>
          <w:rFonts w:hint="eastAsia"/>
        </w:rPr>
        <w:t>建设用地污染风险重点</w:t>
      </w:r>
      <w:r w:rsidR="00C66227">
        <w:t>管控</w:t>
      </w:r>
      <w:r w:rsidR="00C66227">
        <w:rPr>
          <w:rFonts w:hint="eastAsia"/>
        </w:rPr>
        <w:t>单元</w:t>
      </w:r>
      <w:r>
        <w:t>。</w:t>
      </w:r>
    </w:p>
    <w:p w:rsidR="0012664E" w:rsidRDefault="0012664E" w:rsidP="0012664E">
      <w:pPr>
        <w:spacing w:line="500" w:lineRule="exact"/>
        <w:ind w:firstLineChars="0" w:firstLine="0"/>
        <w:jc w:val="center"/>
        <w:rPr>
          <w:rFonts w:eastAsia="黑体" w:cs="黑体"/>
          <w:lang w:bidi="ar"/>
        </w:rPr>
      </w:pPr>
      <w:r>
        <w:rPr>
          <w:rFonts w:eastAsia="黑体" w:cs="黑体"/>
          <w:lang w:bidi="ar"/>
        </w:rPr>
        <w:t>表</w:t>
      </w:r>
      <w:r>
        <w:rPr>
          <w:rFonts w:eastAsia="黑体" w:cs="黑体" w:hint="eastAsia"/>
          <w:lang w:bidi="ar"/>
        </w:rPr>
        <w:t>2</w:t>
      </w:r>
      <w:r>
        <w:rPr>
          <w:rFonts w:eastAsia="黑体" w:cs="黑体"/>
          <w:lang w:bidi="ar"/>
        </w:rPr>
        <w:t xml:space="preserve">.5.3-3  </w:t>
      </w:r>
      <w:r>
        <w:rPr>
          <w:rFonts w:eastAsia="黑体" w:cs="黑体"/>
          <w:lang w:bidi="ar"/>
        </w:rPr>
        <w:t>与土壤环境风险防控分区管控要求的协调性分析</w:t>
      </w:r>
      <w:bookmarkStart w:id="108" w:name="pindex1748"/>
      <w:bookmarkEnd w:id="108"/>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897"/>
        <w:gridCol w:w="4822"/>
        <w:gridCol w:w="2307"/>
      </w:tblGrid>
      <w:tr w:rsidR="0012664E" w:rsidTr="00DA2501">
        <w:trPr>
          <w:jc w:val="center"/>
        </w:trPr>
        <w:tc>
          <w:tcPr>
            <w:tcW w:w="1051" w:type="pct"/>
            <w:vAlign w:val="center"/>
          </w:tcPr>
          <w:p w:rsidR="0012664E" w:rsidRDefault="0012664E" w:rsidP="00DA2501">
            <w:pPr>
              <w:spacing w:line="360" w:lineRule="exact"/>
              <w:ind w:firstLineChars="0" w:firstLine="0"/>
              <w:jc w:val="center"/>
              <w:rPr>
                <w:b/>
                <w:sz w:val="21"/>
                <w:szCs w:val="18"/>
              </w:rPr>
            </w:pPr>
            <w:r>
              <w:rPr>
                <w:b/>
                <w:sz w:val="21"/>
                <w:szCs w:val="18"/>
              </w:rPr>
              <w:t>管控单元分类</w:t>
            </w:r>
          </w:p>
        </w:tc>
        <w:tc>
          <w:tcPr>
            <w:tcW w:w="2671" w:type="pct"/>
            <w:vAlign w:val="center"/>
          </w:tcPr>
          <w:p w:rsidR="0012664E" w:rsidRDefault="0012664E" w:rsidP="00DA2501">
            <w:pPr>
              <w:spacing w:line="360" w:lineRule="exact"/>
              <w:ind w:firstLineChars="0" w:firstLine="0"/>
              <w:jc w:val="center"/>
              <w:rPr>
                <w:b/>
                <w:sz w:val="21"/>
                <w:szCs w:val="18"/>
              </w:rPr>
            </w:pPr>
            <w:r>
              <w:rPr>
                <w:b/>
                <w:sz w:val="21"/>
                <w:szCs w:val="18"/>
              </w:rPr>
              <w:t>环境管控要求</w:t>
            </w:r>
          </w:p>
        </w:tc>
        <w:tc>
          <w:tcPr>
            <w:tcW w:w="1278" w:type="pct"/>
            <w:vAlign w:val="center"/>
          </w:tcPr>
          <w:p w:rsidR="0012664E" w:rsidRDefault="0012664E" w:rsidP="00DA2501">
            <w:pPr>
              <w:spacing w:line="360" w:lineRule="exact"/>
              <w:ind w:firstLineChars="0" w:firstLine="0"/>
              <w:jc w:val="center"/>
              <w:rPr>
                <w:b/>
                <w:sz w:val="21"/>
                <w:szCs w:val="18"/>
              </w:rPr>
            </w:pPr>
            <w:r>
              <w:rPr>
                <w:b/>
                <w:sz w:val="21"/>
                <w:szCs w:val="18"/>
              </w:rPr>
              <w:t>协调性分析</w:t>
            </w:r>
          </w:p>
        </w:tc>
      </w:tr>
      <w:tr w:rsidR="0012664E" w:rsidTr="00DA2501">
        <w:trPr>
          <w:jc w:val="center"/>
        </w:trPr>
        <w:tc>
          <w:tcPr>
            <w:tcW w:w="1051" w:type="pct"/>
            <w:vAlign w:val="center"/>
          </w:tcPr>
          <w:p w:rsidR="0012664E" w:rsidRDefault="0012664E" w:rsidP="00DA2501">
            <w:pPr>
              <w:spacing w:line="360" w:lineRule="exact"/>
              <w:ind w:firstLineChars="0" w:firstLine="0"/>
              <w:jc w:val="center"/>
              <w:rPr>
                <w:sz w:val="21"/>
                <w:szCs w:val="18"/>
              </w:rPr>
            </w:pPr>
            <w:r>
              <w:rPr>
                <w:rFonts w:hint="eastAsia"/>
                <w:sz w:val="21"/>
                <w:szCs w:val="18"/>
              </w:rPr>
              <w:t>重点管控</w:t>
            </w:r>
            <w:r>
              <w:rPr>
                <w:sz w:val="21"/>
                <w:szCs w:val="18"/>
              </w:rPr>
              <w:t>区</w:t>
            </w:r>
          </w:p>
        </w:tc>
        <w:tc>
          <w:tcPr>
            <w:tcW w:w="2671" w:type="pct"/>
            <w:vAlign w:val="center"/>
          </w:tcPr>
          <w:p w:rsidR="0012664E" w:rsidRDefault="0012664E" w:rsidP="00DA2501">
            <w:pPr>
              <w:spacing w:line="360" w:lineRule="exact"/>
              <w:ind w:firstLineChars="0" w:firstLine="0"/>
              <w:jc w:val="center"/>
              <w:rPr>
                <w:sz w:val="21"/>
                <w:szCs w:val="18"/>
              </w:rPr>
            </w:pPr>
            <w:r>
              <w:rPr>
                <w:sz w:val="21"/>
                <w:szCs w:val="18"/>
              </w:rPr>
              <w:t>依据《中华人民共和国土壤污染防治法》《土壤污染防治行动计划》《农用地土壤环境管理办法（试行）》《工矿用地土壤环境管理办法（试行）》《</w:t>
            </w:r>
            <w:r>
              <w:rPr>
                <w:sz w:val="21"/>
                <w:szCs w:val="18"/>
              </w:rPr>
              <w:t>“</w:t>
            </w:r>
            <w:r>
              <w:rPr>
                <w:sz w:val="21"/>
                <w:szCs w:val="18"/>
              </w:rPr>
              <w:t>十</w:t>
            </w:r>
            <w:r>
              <w:rPr>
                <w:rFonts w:hint="eastAsia"/>
                <w:sz w:val="21"/>
                <w:szCs w:val="18"/>
              </w:rPr>
              <w:t>四</w:t>
            </w:r>
            <w:r>
              <w:rPr>
                <w:sz w:val="21"/>
                <w:szCs w:val="18"/>
              </w:rPr>
              <w:t>五</w:t>
            </w:r>
            <w:r>
              <w:rPr>
                <w:sz w:val="21"/>
                <w:szCs w:val="18"/>
              </w:rPr>
              <w:t>”</w:t>
            </w:r>
            <w:r>
              <w:rPr>
                <w:sz w:val="21"/>
                <w:szCs w:val="18"/>
              </w:rPr>
              <w:t>生态环境保护规划》《安徽省</w:t>
            </w:r>
            <w:r>
              <w:rPr>
                <w:sz w:val="21"/>
                <w:szCs w:val="18"/>
              </w:rPr>
              <w:t>“</w:t>
            </w:r>
            <w:r>
              <w:rPr>
                <w:sz w:val="21"/>
                <w:szCs w:val="18"/>
              </w:rPr>
              <w:t>十</w:t>
            </w:r>
            <w:r>
              <w:rPr>
                <w:rFonts w:hint="eastAsia"/>
                <w:sz w:val="21"/>
                <w:szCs w:val="18"/>
              </w:rPr>
              <w:t>四</w:t>
            </w:r>
            <w:r>
              <w:rPr>
                <w:sz w:val="21"/>
                <w:szCs w:val="18"/>
              </w:rPr>
              <w:t>五</w:t>
            </w:r>
            <w:r>
              <w:rPr>
                <w:sz w:val="21"/>
                <w:szCs w:val="18"/>
              </w:rPr>
              <w:t>”</w:t>
            </w:r>
            <w:r>
              <w:rPr>
                <w:sz w:val="21"/>
                <w:szCs w:val="18"/>
              </w:rPr>
              <w:t>环境保护规划》《</w:t>
            </w:r>
            <w:r>
              <w:rPr>
                <w:rFonts w:hint="eastAsia"/>
                <w:sz w:val="21"/>
                <w:szCs w:val="18"/>
              </w:rPr>
              <w:t>安徽省重金属污染防控工作方案</w:t>
            </w:r>
            <w:r>
              <w:rPr>
                <w:sz w:val="21"/>
                <w:szCs w:val="18"/>
              </w:rPr>
              <w:t>》</w:t>
            </w:r>
            <w:r>
              <w:rPr>
                <w:rFonts w:hint="eastAsia"/>
                <w:sz w:val="21"/>
                <w:szCs w:val="18"/>
              </w:rPr>
              <w:t>《蚌埠市十四五生态环境保护规划》《蚌埠市土壤污染防治规划（</w:t>
            </w:r>
            <w:r>
              <w:rPr>
                <w:rFonts w:hint="eastAsia"/>
                <w:sz w:val="21"/>
                <w:szCs w:val="18"/>
              </w:rPr>
              <w:t>2021-2025</w:t>
            </w:r>
            <w:r>
              <w:rPr>
                <w:rFonts w:hint="eastAsia"/>
                <w:sz w:val="21"/>
                <w:szCs w:val="18"/>
              </w:rPr>
              <w:t>年）》《蚌埠市“十四五”危险废物工业固体废物污染环境防治规划》《蚌埠市医疗废物管理条例》</w:t>
            </w:r>
            <w:r>
              <w:rPr>
                <w:sz w:val="21"/>
                <w:szCs w:val="18"/>
              </w:rPr>
              <w:t>等要求及各市土壤污染防治工作方案对一般管控区实施管控。</w:t>
            </w:r>
          </w:p>
        </w:tc>
        <w:tc>
          <w:tcPr>
            <w:tcW w:w="1278" w:type="pct"/>
            <w:vAlign w:val="center"/>
          </w:tcPr>
          <w:p w:rsidR="0012664E" w:rsidRDefault="0012664E" w:rsidP="00DA2501">
            <w:pPr>
              <w:spacing w:line="360" w:lineRule="exact"/>
              <w:ind w:firstLineChars="0" w:firstLine="0"/>
              <w:jc w:val="center"/>
              <w:rPr>
                <w:sz w:val="21"/>
                <w:szCs w:val="18"/>
              </w:rPr>
            </w:pPr>
            <w:r>
              <w:rPr>
                <w:sz w:val="21"/>
                <w:szCs w:val="18"/>
              </w:rPr>
              <w:t>企业固废按照国家有关规定进行安全处置，企业将进一步加强对土壤的跟踪管理和监控</w:t>
            </w:r>
          </w:p>
        </w:tc>
      </w:tr>
    </w:tbl>
    <w:p w:rsidR="0012664E" w:rsidRDefault="005E413B" w:rsidP="0012664E">
      <w:pPr>
        <w:ind w:firstLineChars="0" w:firstLine="0"/>
        <w:jc w:val="center"/>
      </w:pPr>
      <w:r>
        <w:rPr>
          <w:noProof/>
        </w:rPr>
        <w:lastRenderedPageBreak/>
        <w:pict>
          <v:shape id="_x0000_i1029" type="#_x0000_t75" style="width:450pt;height:318pt">
            <v:imagedata r:id="rId21" o:title="土壤环境管控"/>
          </v:shape>
        </w:pict>
      </w:r>
    </w:p>
    <w:p w:rsidR="0012664E" w:rsidRDefault="0012664E" w:rsidP="0012664E">
      <w:pPr>
        <w:spacing w:line="500" w:lineRule="exact"/>
        <w:ind w:firstLineChars="0" w:firstLine="0"/>
        <w:jc w:val="center"/>
        <w:rPr>
          <w:rFonts w:eastAsia="黑体"/>
        </w:rPr>
      </w:pPr>
      <w:bookmarkStart w:id="109" w:name="sys1756030"/>
      <w:r>
        <w:rPr>
          <w:rFonts w:eastAsia="黑体"/>
        </w:rPr>
        <w:t>图</w:t>
      </w:r>
      <w:r>
        <w:rPr>
          <w:rFonts w:eastAsia="黑体" w:hint="eastAsia"/>
        </w:rPr>
        <w:t>2</w:t>
      </w:r>
      <w:r>
        <w:rPr>
          <w:rFonts w:eastAsia="黑体"/>
        </w:rPr>
        <w:t xml:space="preserve">.5.3-5  </w:t>
      </w:r>
      <w:r>
        <w:rPr>
          <w:rFonts w:eastAsia="黑体" w:hint="eastAsia"/>
        </w:rPr>
        <w:t>本</w:t>
      </w:r>
      <w:r>
        <w:rPr>
          <w:rFonts w:eastAsia="黑体"/>
        </w:rPr>
        <w:t>项目</w:t>
      </w:r>
      <w:r>
        <w:rPr>
          <w:rFonts w:eastAsia="黑体" w:hint="eastAsia"/>
        </w:rPr>
        <w:t>与蚌埠市土壤污染分区管控位置关系图</w:t>
      </w:r>
      <w:bookmarkStart w:id="110" w:name="pindex1756"/>
      <w:bookmarkEnd w:id="109"/>
      <w:bookmarkEnd w:id="110"/>
    </w:p>
    <w:p w:rsidR="00AE03D6" w:rsidRDefault="00AE03D6" w:rsidP="00AE03D6">
      <w:pPr>
        <w:ind w:firstLine="480"/>
      </w:pPr>
      <w:r>
        <w:rPr>
          <w:rFonts w:ascii="宋体" w:hAnsi="宋体" w:hint="eastAsia"/>
        </w:rPr>
        <w:t>（</w:t>
      </w:r>
      <w:r>
        <w:t>5</w:t>
      </w:r>
      <w:r>
        <w:rPr>
          <w:rFonts w:ascii="宋体" w:hAnsi="宋体" w:hint="eastAsia"/>
        </w:rPr>
        <w:t>）资源利用上线</w:t>
      </w:r>
    </w:p>
    <w:p w:rsidR="00AE03D6" w:rsidRDefault="00AE03D6" w:rsidP="00AE03D6">
      <w:pPr>
        <w:ind w:firstLine="480"/>
      </w:pPr>
      <w:r>
        <w:rPr>
          <w:rFonts w:ascii="宋体" w:hAnsi="宋体" w:hint="eastAsia"/>
        </w:rPr>
        <w:t>本项目位于</w:t>
      </w:r>
      <w:r>
        <w:rPr>
          <w:rFonts w:hint="eastAsia"/>
        </w:rPr>
        <w:t>蚌埠精细化工高新技术产业基地</w:t>
      </w:r>
      <w:r>
        <w:rPr>
          <w:rFonts w:ascii="宋体" w:hAnsi="宋体" w:hint="eastAsia"/>
        </w:rPr>
        <w:t>，项目为</w:t>
      </w:r>
      <w:r w:rsidR="00947F13">
        <w:rPr>
          <w:rFonts w:ascii="宋体" w:hAnsi="宋体" w:hint="eastAsia"/>
        </w:rPr>
        <w:t>改</w:t>
      </w:r>
      <w:r>
        <w:rPr>
          <w:rFonts w:ascii="宋体" w:hAnsi="宋体" w:hint="eastAsia"/>
        </w:rPr>
        <w:t>扩建项目，用地性质属于三类工业用地。项目供水依托园区供水系统，园区供水系统富余能力完全满足本项目需求。园区规划以工业区</w:t>
      </w:r>
      <w:r>
        <w:rPr>
          <w:rFonts w:hint="eastAsia"/>
        </w:rPr>
        <w:t>110kV</w:t>
      </w:r>
      <w:r>
        <w:rPr>
          <w:rFonts w:ascii="宋体" w:hAnsi="宋体" w:hint="eastAsia"/>
        </w:rPr>
        <w:t>变通过</w:t>
      </w:r>
      <w:r>
        <w:rPr>
          <w:rFonts w:hint="eastAsia"/>
        </w:rPr>
        <w:t>35kV</w:t>
      </w:r>
      <w:r>
        <w:rPr>
          <w:rFonts w:ascii="宋体" w:hAnsi="宋体" w:hint="eastAsia"/>
        </w:rPr>
        <w:t>变电站供电，变压后以</w:t>
      </w:r>
      <w:r>
        <w:rPr>
          <w:rFonts w:hint="eastAsia"/>
        </w:rPr>
        <w:t>10kV</w:t>
      </w:r>
      <w:r>
        <w:rPr>
          <w:rFonts w:ascii="宋体" w:hAnsi="宋体" w:hint="eastAsia"/>
        </w:rPr>
        <w:t>向规划区供电，供电富余能力完全满足需求补充，本项目采用双线供电，避免因电力缺失造成不必要的停电。</w:t>
      </w:r>
    </w:p>
    <w:p w:rsidR="00AE03D6" w:rsidRDefault="00AE03D6" w:rsidP="00AE03D6">
      <w:pPr>
        <w:ind w:firstLine="480"/>
      </w:pPr>
      <w:r>
        <w:rPr>
          <w:rFonts w:ascii="宋体" w:hAnsi="宋体" w:hint="eastAsia"/>
        </w:rPr>
        <w:t>因此，本项目资源利用均在</w:t>
      </w:r>
      <w:r>
        <w:rPr>
          <w:rFonts w:hint="eastAsia"/>
        </w:rPr>
        <w:t>蚌埠精细化工高新技术产业基地</w:t>
      </w:r>
      <w:r>
        <w:rPr>
          <w:rFonts w:ascii="宋体" w:hAnsi="宋体" w:hint="eastAsia"/>
        </w:rPr>
        <w:t>可承受范围内。</w:t>
      </w:r>
    </w:p>
    <w:p w:rsidR="004E3021" w:rsidRDefault="00606E48">
      <w:pPr>
        <w:ind w:firstLine="480"/>
      </w:pPr>
      <w:r>
        <w:rPr>
          <w:rFonts w:ascii="宋体" w:hAnsi="宋体" w:hint="eastAsia"/>
        </w:rPr>
        <w:t>（</w:t>
      </w:r>
      <w:r w:rsidR="00AE03D6">
        <w:t>6</w:t>
      </w:r>
      <w:r>
        <w:rPr>
          <w:rFonts w:ascii="宋体" w:hAnsi="宋体" w:hint="eastAsia"/>
        </w:rPr>
        <w:t>）环境质量底线</w:t>
      </w:r>
    </w:p>
    <w:p w:rsidR="00AE03D6" w:rsidRDefault="00AE03D6" w:rsidP="00AE03D6">
      <w:pPr>
        <w:ind w:firstLine="480"/>
      </w:pPr>
      <w:r>
        <w:rPr>
          <w:rFonts w:hint="eastAsia"/>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p w:rsidR="004E3021" w:rsidRDefault="00606E48">
      <w:pPr>
        <w:ind w:firstLine="480"/>
      </w:pPr>
      <w:r>
        <w:rPr>
          <w:rFonts w:ascii="宋体" w:hAnsi="宋体" w:hint="eastAsia"/>
        </w:rPr>
        <w:t>①环境空气</w:t>
      </w:r>
    </w:p>
    <w:p w:rsidR="004E3021" w:rsidRDefault="00AE03D6" w:rsidP="00AE03D6">
      <w:pPr>
        <w:ind w:firstLine="472"/>
        <w:rPr>
          <w:rFonts w:ascii="宋体" w:hAnsi="宋体"/>
        </w:rPr>
      </w:pPr>
      <w:r>
        <w:rPr>
          <w:spacing w:val="-2"/>
          <w:kern w:val="0"/>
          <w:szCs w:val="20"/>
        </w:rPr>
        <w:t>根据《</w:t>
      </w:r>
      <w:r>
        <w:rPr>
          <w:rFonts w:hint="eastAsia"/>
          <w:spacing w:val="-2"/>
          <w:kern w:val="0"/>
          <w:szCs w:val="20"/>
        </w:rPr>
        <w:t>202</w:t>
      </w:r>
      <w:r>
        <w:rPr>
          <w:spacing w:val="-2"/>
          <w:kern w:val="0"/>
          <w:szCs w:val="20"/>
        </w:rPr>
        <w:t>4</w:t>
      </w:r>
      <w:r>
        <w:rPr>
          <w:rFonts w:hint="eastAsia"/>
          <w:spacing w:val="-2"/>
          <w:kern w:val="0"/>
          <w:szCs w:val="20"/>
        </w:rPr>
        <w:t>年度蚌埠市环境质量状况公报</w:t>
      </w:r>
      <w:r>
        <w:rPr>
          <w:spacing w:val="-2"/>
          <w:kern w:val="0"/>
          <w:szCs w:val="20"/>
        </w:rPr>
        <w:t>》，蚌埠市</w:t>
      </w:r>
      <w:r>
        <w:rPr>
          <w:spacing w:val="-2"/>
          <w:kern w:val="0"/>
          <w:szCs w:val="20"/>
        </w:rPr>
        <w:t>PM</w:t>
      </w:r>
      <w:r>
        <w:rPr>
          <w:spacing w:val="-2"/>
          <w:kern w:val="0"/>
          <w:szCs w:val="20"/>
          <w:vertAlign w:val="subscript"/>
        </w:rPr>
        <w:t>2.5</w:t>
      </w:r>
      <w:r>
        <w:rPr>
          <w:rFonts w:hint="eastAsia"/>
          <w:spacing w:val="-2"/>
          <w:kern w:val="0"/>
          <w:szCs w:val="20"/>
        </w:rPr>
        <w:t>及</w:t>
      </w:r>
      <w:r>
        <w:rPr>
          <w:rFonts w:hint="eastAsia"/>
          <w:spacing w:val="-2"/>
          <w:kern w:val="0"/>
          <w:szCs w:val="20"/>
        </w:rPr>
        <w:t>O</w:t>
      </w:r>
      <w:r>
        <w:rPr>
          <w:spacing w:val="-2"/>
          <w:kern w:val="0"/>
          <w:szCs w:val="20"/>
          <w:vertAlign w:val="subscript"/>
        </w:rPr>
        <w:t>3</w:t>
      </w:r>
      <w:r>
        <w:rPr>
          <w:spacing w:val="-2"/>
          <w:kern w:val="0"/>
          <w:szCs w:val="20"/>
        </w:rPr>
        <w:t>不达标。根据</w:t>
      </w:r>
      <w:r>
        <w:t>补充</w:t>
      </w:r>
      <w:r>
        <w:lastRenderedPageBreak/>
        <w:t>监测数据可知</w:t>
      </w:r>
      <w:r w:rsidR="00606E48">
        <w:rPr>
          <w:rFonts w:ascii="宋体" w:hAnsi="宋体" w:hint="eastAsia"/>
        </w:rPr>
        <w:t>，补充监测因子</w:t>
      </w:r>
      <w:r>
        <w:rPr>
          <w:rFonts w:hint="eastAsia"/>
          <w:kern w:val="0"/>
        </w:rPr>
        <w:t>氨、</w:t>
      </w:r>
      <w:r>
        <w:t>硫化氢</w:t>
      </w:r>
      <w:r>
        <w:rPr>
          <w:rFonts w:hint="eastAsia"/>
        </w:rPr>
        <w:t>、甲醇满足</w:t>
      </w:r>
      <w:r>
        <w:t>《环境影响评价技术导则大气环境》（</w:t>
      </w:r>
      <w:r>
        <w:t>HJ2.2-2018</w:t>
      </w:r>
      <w:r>
        <w:t>）中</w:t>
      </w:r>
      <w:r>
        <w:t>“</w:t>
      </w:r>
      <w:r>
        <w:t>表</w:t>
      </w:r>
      <w:r>
        <w:t xml:space="preserve">D.1 </w:t>
      </w:r>
      <w:r>
        <w:t>其他污染物空气质量浓度参考限值</w:t>
      </w:r>
      <w:r>
        <w:t>”</w:t>
      </w:r>
      <w:r>
        <w:t>要求；</w:t>
      </w:r>
      <w:r>
        <w:rPr>
          <w:rFonts w:hint="eastAsia"/>
        </w:rPr>
        <w:t>TSP</w:t>
      </w:r>
      <w:r>
        <w:rPr>
          <w:rFonts w:hint="eastAsia"/>
        </w:rPr>
        <w:t>满足</w:t>
      </w:r>
      <w:r>
        <w:t>《环境空气质量标准》（</w:t>
      </w:r>
      <w:r>
        <w:t>GB3095-2012</w:t>
      </w:r>
      <w:r>
        <w:t>）附录</w:t>
      </w:r>
      <w:r>
        <w:t>A</w:t>
      </w:r>
      <w:r>
        <w:t>中背景浓度限值要求</w:t>
      </w:r>
      <w:r>
        <w:rPr>
          <w:rFonts w:hint="eastAsia"/>
        </w:rPr>
        <w:t>，非甲烷总烃满足《大气污染物综合排放标准详解》一次浓度</w:t>
      </w:r>
      <w:r>
        <w:t>限值要求</w:t>
      </w:r>
      <w:r w:rsidR="00606E48">
        <w:rPr>
          <w:rFonts w:ascii="宋体" w:hAnsi="宋体" w:hint="eastAsia"/>
        </w:rPr>
        <w:t>。</w:t>
      </w:r>
    </w:p>
    <w:p w:rsidR="00AE03D6" w:rsidRDefault="00AE03D6" w:rsidP="00AE03D6">
      <w:pPr>
        <w:ind w:firstLine="480"/>
      </w:pPr>
      <w:r>
        <w:t>根据预测结果：正常工况下，各类废气污染物最大落地点浓度均远远小于其相应浓度标准限值；各污染因子在环境保护目标均可以达到相应标准限值的要求，通过区域削减方案后，区域</w:t>
      </w:r>
      <w:r>
        <w:t>PM</w:t>
      </w:r>
      <w:r>
        <w:rPr>
          <w:vertAlign w:val="subscript"/>
        </w:rPr>
        <w:t>2.5</w:t>
      </w:r>
      <w:r>
        <w:t>年均质量浓度变化均小于</w:t>
      </w:r>
      <w:r>
        <w:t>-20%</w:t>
      </w:r>
      <w:r>
        <w:t>，说明项目建设后区域</w:t>
      </w:r>
      <w:r>
        <w:t>PM</w:t>
      </w:r>
      <w:r>
        <w:rPr>
          <w:vertAlign w:val="subscript"/>
        </w:rPr>
        <w:t>2.5</w:t>
      </w:r>
      <w:r>
        <w:t>环境质量得到整体改善，不会降低评价区域大气环境质量现有功能级别。</w:t>
      </w:r>
    </w:p>
    <w:p w:rsidR="004E3021" w:rsidRDefault="00606E48">
      <w:pPr>
        <w:ind w:firstLine="480"/>
      </w:pPr>
      <w:r>
        <w:rPr>
          <w:rFonts w:ascii="宋体" w:hAnsi="宋体" w:hint="eastAsia"/>
        </w:rPr>
        <w:t>②地表水环境</w:t>
      </w:r>
    </w:p>
    <w:p w:rsidR="004E3021" w:rsidRDefault="00606E48">
      <w:pPr>
        <w:ind w:firstLine="480"/>
      </w:pPr>
      <w:r>
        <w:rPr>
          <w:rFonts w:ascii="宋体" w:hAnsi="宋体" w:hint="eastAsia"/>
        </w:rPr>
        <w:t>现状监测结果表明，淮河（蚌埠段）</w:t>
      </w:r>
      <w:r>
        <w:rPr>
          <w:rFonts w:ascii="宋体" w:hAnsi="宋体"/>
        </w:rPr>
        <w:t>各监测断面</w:t>
      </w:r>
      <w:r>
        <w:rPr>
          <w:rFonts w:ascii="宋体" w:hAnsi="宋体" w:hint="eastAsia"/>
        </w:rPr>
        <w:t>水质</w:t>
      </w:r>
      <w:r>
        <w:rPr>
          <w:rFonts w:ascii="宋体" w:hAnsi="宋体"/>
        </w:rPr>
        <w:t>监测因子均可满足《地表水环境质量标准》（</w:t>
      </w:r>
      <w:r>
        <w:t>GB3838-2002</w:t>
      </w:r>
      <w:r>
        <w:rPr>
          <w:rFonts w:ascii="宋体" w:hAnsi="宋体"/>
        </w:rPr>
        <w:t>）</w:t>
      </w:r>
      <w:r>
        <w:t>III</w:t>
      </w:r>
      <w:r>
        <w:rPr>
          <w:rFonts w:ascii="宋体" w:hAnsi="宋体"/>
        </w:rPr>
        <w:t>类标准</w:t>
      </w:r>
      <w:r>
        <w:rPr>
          <w:rFonts w:ascii="宋体" w:hAnsi="宋体" w:hint="eastAsia"/>
        </w:rPr>
        <w:t>，</w:t>
      </w:r>
      <w:r>
        <w:rPr>
          <w:rFonts w:hint="eastAsia"/>
        </w:rPr>
        <w:t>沫冲引河</w:t>
      </w:r>
      <w:r>
        <w:t>和三铺大沟</w:t>
      </w:r>
      <w:r>
        <w:rPr>
          <w:rFonts w:hint="eastAsia"/>
        </w:rPr>
        <w:t>各</w:t>
      </w:r>
      <w:r>
        <w:rPr>
          <w:rFonts w:ascii="宋体" w:hAnsi="宋体"/>
        </w:rPr>
        <w:t>监测断面</w:t>
      </w:r>
      <w:r>
        <w:rPr>
          <w:rFonts w:ascii="宋体" w:hAnsi="宋体" w:hint="eastAsia"/>
        </w:rPr>
        <w:t>水质</w:t>
      </w:r>
      <w:r>
        <w:rPr>
          <w:rFonts w:ascii="宋体" w:hAnsi="宋体"/>
        </w:rPr>
        <w:t>监测因子均可满足《地表水环境质量标准》（</w:t>
      </w:r>
      <w:r>
        <w:t>GB3838-2002</w:t>
      </w:r>
      <w:r>
        <w:rPr>
          <w:rFonts w:ascii="宋体" w:hAnsi="宋体"/>
        </w:rPr>
        <w:t>）</w:t>
      </w:r>
      <w:r w:rsidRPr="00AE03D6">
        <w:t>Ⅳ</w:t>
      </w:r>
      <w:r>
        <w:t>类</w:t>
      </w:r>
      <w:r>
        <w:rPr>
          <w:rFonts w:hint="eastAsia"/>
        </w:rPr>
        <w:t>标准</w:t>
      </w:r>
      <w:r>
        <w:rPr>
          <w:rFonts w:ascii="宋体" w:hAnsi="宋体" w:hint="eastAsia"/>
        </w:rPr>
        <w:t>。</w:t>
      </w:r>
      <w:r w:rsidR="00AE03D6">
        <w:rPr>
          <w:rFonts w:hint="eastAsia"/>
        </w:rPr>
        <w:t>项目实施</w:t>
      </w:r>
      <w:r w:rsidR="00AE03D6">
        <w:rPr>
          <w:rFonts w:ascii="宋体" w:hAnsi="宋体" w:hint="eastAsia"/>
        </w:rPr>
        <w:t>运营后，在落实评价提出的各项防治措施的前提下，对区域地表水环境的</w:t>
      </w:r>
      <w:r w:rsidR="00AE03D6">
        <w:rPr>
          <w:rFonts w:hint="eastAsia"/>
        </w:rPr>
        <w:t>环境影响可接受</w:t>
      </w:r>
      <w:r w:rsidR="00AE03D6">
        <w:rPr>
          <w:rFonts w:ascii="宋体" w:hAnsi="宋体" w:hint="eastAsia"/>
        </w:rPr>
        <w:t>，不会降低区域环境质量的原有功能级别</w:t>
      </w:r>
      <w:r w:rsidR="00AE03D6">
        <w:rPr>
          <w:rFonts w:hint="eastAsia"/>
        </w:rPr>
        <w:t>。</w:t>
      </w:r>
    </w:p>
    <w:p w:rsidR="004E3021" w:rsidRDefault="00606E48">
      <w:pPr>
        <w:ind w:firstLine="480"/>
      </w:pPr>
      <w:r>
        <w:rPr>
          <w:rFonts w:ascii="宋体" w:hAnsi="宋体" w:hint="eastAsia"/>
        </w:rPr>
        <w:t>③地下水环境</w:t>
      </w:r>
    </w:p>
    <w:p w:rsidR="004E3021" w:rsidRDefault="00606E48">
      <w:pPr>
        <w:ind w:firstLine="480"/>
      </w:pPr>
      <w:r>
        <w:rPr>
          <w:rFonts w:ascii="宋体" w:hAnsi="宋体" w:hint="eastAsia"/>
        </w:rPr>
        <w:t>现状监测数据表明，项目所在地地下水满足《地下水质量标准》（</w:t>
      </w:r>
      <w:r>
        <w:rPr>
          <w:rFonts w:hint="eastAsia"/>
        </w:rPr>
        <w:t>GB/T14848-2017</w:t>
      </w:r>
      <w:r>
        <w:rPr>
          <w:rFonts w:ascii="宋体" w:hAnsi="宋体" w:hint="eastAsia"/>
        </w:rPr>
        <w:t>）中的</w:t>
      </w:r>
      <w:r>
        <w:rPr>
          <w:rFonts w:hint="eastAsia"/>
        </w:rPr>
        <w:t>III</w:t>
      </w:r>
      <w:r>
        <w:rPr>
          <w:rFonts w:ascii="宋体" w:hAnsi="宋体" w:hint="eastAsia"/>
        </w:rPr>
        <w:t>类标准。</w:t>
      </w:r>
    </w:p>
    <w:p w:rsidR="004E3021" w:rsidRDefault="00606E48">
      <w:pPr>
        <w:ind w:firstLine="480"/>
      </w:pPr>
      <w:r>
        <w:rPr>
          <w:rFonts w:ascii="宋体" w:hAnsi="宋体" w:hint="eastAsia"/>
        </w:rPr>
        <w:t>④土壤环境</w:t>
      </w:r>
    </w:p>
    <w:p w:rsidR="004E3021" w:rsidRDefault="00606E48">
      <w:pPr>
        <w:ind w:firstLine="480"/>
        <w:rPr>
          <w:rFonts w:ascii="宋体" w:hAnsi="宋体"/>
        </w:rPr>
      </w:pPr>
      <w:r>
        <w:rPr>
          <w:rFonts w:ascii="宋体" w:hAnsi="宋体" w:hint="eastAsia"/>
        </w:rPr>
        <w:t>现状监测结果表明，项目占地和评价范围建设</w:t>
      </w:r>
      <w:r>
        <w:rPr>
          <w:rFonts w:ascii="宋体" w:hAnsi="宋体"/>
        </w:rPr>
        <w:t>用地</w:t>
      </w:r>
      <w:r>
        <w:rPr>
          <w:rFonts w:ascii="宋体" w:hAnsi="宋体" w:hint="eastAsia"/>
        </w:rPr>
        <w:t>满足《土壤环境质量</w:t>
      </w:r>
      <w:r>
        <w:t xml:space="preserve"> </w:t>
      </w:r>
      <w:r>
        <w:rPr>
          <w:rFonts w:ascii="宋体" w:hAnsi="宋体" w:hint="eastAsia"/>
        </w:rPr>
        <w:t>建设用地土壤污染风险管控标准（试行）》（</w:t>
      </w:r>
      <w:r>
        <w:t>GB36600-2018</w:t>
      </w:r>
      <w:r>
        <w:rPr>
          <w:rFonts w:ascii="宋体" w:hAnsi="宋体" w:hint="eastAsia"/>
        </w:rPr>
        <w:t>）表</w:t>
      </w:r>
      <w:r>
        <w:rPr>
          <w:rFonts w:hint="eastAsia"/>
        </w:rPr>
        <w:t>1</w:t>
      </w:r>
      <w:r>
        <w:rPr>
          <w:rFonts w:ascii="宋体" w:hAnsi="宋体" w:hint="eastAsia"/>
        </w:rPr>
        <w:t>中第二类用地筛选值要求；</w:t>
      </w:r>
      <w:r>
        <w:rPr>
          <w:rFonts w:ascii="宋体" w:hAnsi="宋体"/>
        </w:rPr>
        <w:t>农用</w:t>
      </w:r>
      <w:r>
        <w:rPr>
          <w:rFonts w:ascii="宋体" w:hAnsi="宋体" w:hint="eastAsia"/>
        </w:rPr>
        <w:t>地</w:t>
      </w:r>
      <w:r>
        <w:rPr>
          <w:rFonts w:ascii="宋体" w:hAnsi="宋体"/>
        </w:rPr>
        <w:t>满足</w:t>
      </w:r>
      <w:r>
        <w:rPr>
          <w:rFonts w:ascii="宋体" w:hAnsi="宋体" w:hint="eastAsia"/>
        </w:rPr>
        <w:t>《土壤环境质量</w:t>
      </w:r>
      <w:r>
        <w:t xml:space="preserve"> </w:t>
      </w:r>
      <w:r>
        <w:rPr>
          <w:rFonts w:ascii="宋体" w:hAnsi="宋体"/>
        </w:rPr>
        <w:t>农用地土壤污染风险管控标准（试行）》（</w:t>
      </w:r>
      <w:r>
        <w:t>GB15618-2018</w:t>
      </w:r>
      <w:r>
        <w:rPr>
          <w:rFonts w:ascii="宋体" w:hAnsi="宋体" w:hint="eastAsia"/>
        </w:rPr>
        <w:t>）表</w:t>
      </w:r>
      <w:r>
        <w:t>1</w:t>
      </w:r>
      <w:r>
        <w:rPr>
          <w:rFonts w:ascii="宋体" w:hAnsi="宋体" w:hint="eastAsia"/>
        </w:rPr>
        <w:t>中风险筛选值要求。</w:t>
      </w:r>
    </w:p>
    <w:p w:rsidR="004E3021" w:rsidRDefault="00606E48">
      <w:pPr>
        <w:ind w:firstLine="480"/>
        <w:rPr>
          <w:rFonts w:ascii="宋体" w:hAnsi="宋体"/>
        </w:rPr>
      </w:pPr>
      <w:r>
        <w:rPr>
          <w:rFonts w:ascii="宋体" w:hAnsi="宋体" w:hint="eastAsia"/>
        </w:rPr>
        <w:t>综上所述，</w:t>
      </w:r>
      <w:r w:rsidR="00AE03D6">
        <w:rPr>
          <w:rFonts w:ascii="宋体" w:hAnsi="宋体" w:hint="eastAsia"/>
        </w:rPr>
        <w:t>本</w:t>
      </w:r>
      <w:r>
        <w:rPr>
          <w:rFonts w:ascii="宋体" w:hAnsi="宋体" w:hint="eastAsia"/>
        </w:rPr>
        <w:t>项目的建设运营不会突破区域环境质量底线。</w:t>
      </w:r>
    </w:p>
    <w:p w:rsidR="004E3021" w:rsidRDefault="00606E48">
      <w:pPr>
        <w:ind w:firstLine="480"/>
      </w:pPr>
      <w:r>
        <w:rPr>
          <w:rFonts w:ascii="宋体" w:hAnsi="宋体" w:hint="eastAsia"/>
        </w:rPr>
        <w:t>（</w:t>
      </w:r>
      <w:r w:rsidR="00AE03D6">
        <w:t>7</w:t>
      </w:r>
      <w:r>
        <w:rPr>
          <w:rFonts w:ascii="宋体" w:hAnsi="宋体" w:hint="eastAsia"/>
        </w:rPr>
        <w:t>）生态环境准入清单</w:t>
      </w:r>
    </w:p>
    <w:p w:rsidR="004E3021" w:rsidRDefault="00606E48">
      <w:pPr>
        <w:ind w:firstLine="480"/>
        <w:rPr>
          <w:rFonts w:ascii="宋体" w:hAnsi="宋体"/>
        </w:rPr>
      </w:pPr>
      <w:r>
        <w:rPr>
          <w:rFonts w:ascii="宋体" w:hAnsi="宋体" w:hint="eastAsia"/>
        </w:rPr>
        <w:t>根据《蚌埠精细化工高新技术产业基地规划</w:t>
      </w:r>
      <w:r>
        <w:rPr>
          <w:rFonts w:hint="eastAsia"/>
        </w:rPr>
        <w:t>（</w:t>
      </w:r>
      <w:r>
        <w:rPr>
          <w:rFonts w:hint="eastAsia"/>
        </w:rPr>
        <w:t>2021</w:t>
      </w:r>
      <w:r>
        <w:t>~2035</w:t>
      </w:r>
      <w:r>
        <w:rPr>
          <w:rFonts w:hint="eastAsia"/>
        </w:rPr>
        <w:t>）</w:t>
      </w:r>
      <w:r>
        <w:rPr>
          <w:rFonts w:ascii="宋体" w:hAnsi="宋体" w:hint="eastAsia"/>
        </w:rPr>
        <w:t>环境影响报告书》中生态</w:t>
      </w:r>
      <w:r>
        <w:rPr>
          <w:rFonts w:ascii="宋体" w:hAnsi="宋体"/>
        </w:rPr>
        <w:t>环境</w:t>
      </w:r>
      <w:r>
        <w:rPr>
          <w:rFonts w:ascii="宋体" w:hAnsi="宋体" w:hint="eastAsia"/>
        </w:rPr>
        <w:t>准入</w:t>
      </w:r>
      <w:r>
        <w:rPr>
          <w:rFonts w:ascii="宋体" w:hAnsi="宋体"/>
        </w:rPr>
        <w:t>清单，具体见</w:t>
      </w:r>
      <w:r>
        <w:rPr>
          <w:rFonts w:hint="eastAsia"/>
        </w:rPr>
        <w:t>表</w:t>
      </w:r>
      <w:r>
        <w:rPr>
          <w:rFonts w:hint="eastAsia"/>
        </w:rPr>
        <w:t>2.5.3-</w:t>
      </w:r>
      <w:r w:rsidR="00AE03D6">
        <w:t>4</w:t>
      </w:r>
      <w:r>
        <w:rPr>
          <w:rFonts w:ascii="宋体" w:hAnsi="宋体" w:hint="eastAsia"/>
        </w:rPr>
        <w:t>。</w:t>
      </w:r>
    </w:p>
    <w:p w:rsidR="004E3021" w:rsidRDefault="00606E48">
      <w:pPr>
        <w:pStyle w:val="afffff4"/>
      </w:pPr>
      <w:r>
        <w:rPr>
          <w:rFonts w:hint="eastAsia"/>
        </w:rPr>
        <w:t>表</w:t>
      </w:r>
      <w:r>
        <w:rPr>
          <w:rFonts w:hint="eastAsia"/>
        </w:rPr>
        <w:t>2.5.3-</w:t>
      </w:r>
      <w:r w:rsidR="00AE03D6">
        <w:t>4</w:t>
      </w:r>
      <w:r>
        <w:rPr>
          <w:rFonts w:hint="eastAsia"/>
        </w:rPr>
        <w:t xml:space="preserve"> </w:t>
      </w:r>
      <w:r>
        <w:rPr>
          <w:rFonts w:hint="eastAsia"/>
        </w:rPr>
        <w:t>蚌埠精细化工高新技术产业基地生态</w:t>
      </w:r>
      <w:r>
        <w:t>环境</w:t>
      </w:r>
      <w:r>
        <w:rPr>
          <w:rFonts w:hint="eastAsia"/>
        </w:rPr>
        <w:t>准入</w:t>
      </w:r>
      <w:r>
        <w:t>清单</w:t>
      </w:r>
    </w:p>
    <w:tbl>
      <w:tblPr>
        <w:tblStyle w:val="afff"/>
        <w:tblW w:w="0" w:type="auto"/>
        <w:tblLook w:val="04A0" w:firstRow="1" w:lastRow="0" w:firstColumn="1" w:lastColumn="0" w:noHBand="0" w:noVBand="1"/>
      </w:tblPr>
      <w:tblGrid>
        <w:gridCol w:w="993"/>
        <w:gridCol w:w="1842"/>
        <w:gridCol w:w="2552"/>
        <w:gridCol w:w="3639"/>
      </w:tblGrid>
      <w:tr w:rsidR="004E3021" w:rsidRPr="00AB41E0" w:rsidTr="00AB41E0">
        <w:tc>
          <w:tcPr>
            <w:tcW w:w="993" w:type="dxa"/>
            <w:vAlign w:val="center"/>
          </w:tcPr>
          <w:p w:rsidR="004E3021" w:rsidRPr="009F420B" w:rsidRDefault="00606E48" w:rsidP="00AB41E0">
            <w:pPr>
              <w:pStyle w:val="afffffff2"/>
              <w:rPr>
                <w:rFonts w:ascii="Times New Roman" w:hAnsi="Times New Roman" w:cs="Times New Roman"/>
                <w:b/>
                <w:kern w:val="0"/>
                <w:sz w:val="21"/>
                <w:szCs w:val="21"/>
              </w:rPr>
            </w:pPr>
            <w:r w:rsidRPr="009F420B">
              <w:rPr>
                <w:rFonts w:ascii="Times New Roman" w:hAnsi="Times New Roman" w:cs="Times New Roman"/>
                <w:b/>
                <w:kern w:val="0"/>
                <w:sz w:val="21"/>
                <w:szCs w:val="21"/>
              </w:rPr>
              <w:t>管控类别</w:t>
            </w:r>
          </w:p>
        </w:tc>
        <w:tc>
          <w:tcPr>
            <w:tcW w:w="1842" w:type="dxa"/>
            <w:vAlign w:val="center"/>
          </w:tcPr>
          <w:p w:rsidR="004E3021" w:rsidRPr="009F420B" w:rsidRDefault="00606E48" w:rsidP="00AB41E0">
            <w:pPr>
              <w:pStyle w:val="afffffff2"/>
              <w:rPr>
                <w:rFonts w:ascii="Times New Roman" w:hAnsi="Times New Roman" w:cs="Times New Roman"/>
                <w:b/>
                <w:kern w:val="0"/>
                <w:sz w:val="21"/>
                <w:szCs w:val="21"/>
              </w:rPr>
            </w:pPr>
            <w:r w:rsidRPr="009F420B">
              <w:rPr>
                <w:rFonts w:ascii="Times New Roman" w:hAnsi="Times New Roman" w:cs="Times New Roman"/>
                <w:b/>
                <w:kern w:val="0"/>
                <w:sz w:val="21"/>
                <w:szCs w:val="21"/>
              </w:rPr>
              <w:t>产业类别</w:t>
            </w:r>
          </w:p>
        </w:tc>
        <w:tc>
          <w:tcPr>
            <w:tcW w:w="6191" w:type="dxa"/>
            <w:gridSpan w:val="2"/>
            <w:vAlign w:val="center"/>
          </w:tcPr>
          <w:p w:rsidR="004E3021" w:rsidRPr="009F420B" w:rsidRDefault="00606E48" w:rsidP="00AB41E0">
            <w:pPr>
              <w:pStyle w:val="afffffff2"/>
              <w:rPr>
                <w:rFonts w:ascii="Times New Roman" w:hAnsi="Times New Roman" w:cs="Times New Roman"/>
                <w:b/>
                <w:kern w:val="0"/>
                <w:sz w:val="21"/>
                <w:szCs w:val="21"/>
              </w:rPr>
            </w:pPr>
            <w:r w:rsidRPr="009F420B">
              <w:rPr>
                <w:rFonts w:ascii="Times New Roman" w:hAnsi="Times New Roman" w:cs="Times New Roman"/>
                <w:b/>
                <w:kern w:val="0"/>
                <w:sz w:val="21"/>
                <w:szCs w:val="21"/>
              </w:rPr>
              <w:t>准入要求</w:t>
            </w:r>
          </w:p>
        </w:tc>
      </w:tr>
      <w:tr w:rsidR="004E3021" w:rsidRPr="00AB41E0" w:rsidTr="00AB41E0">
        <w:tc>
          <w:tcPr>
            <w:tcW w:w="993" w:type="dxa"/>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鼓励类</w:t>
            </w:r>
          </w:p>
        </w:tc>
        <w:tc>
          <w:tcPr>
            <w:tcW w:w="1842"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生物基新材料</w:t>
            </w:r>
          </w:p>
        </w:tc>
        <w:tc>
          <w:tcPr>
            <w:tcW w:w="2552"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C28</w:t>
            </w:r>
            <w:r w:rsidRPr="00AB41E0">
              <w:rPr>
                <w:rFonts w:ascii="Times New Roman" w:hAnsi="Times New Roman" w:cs="Times New Roman"/>
                <w:kern w:val="0"/>
                <w:sz w:val="21"/>
                <w:szCs w:val="21"/>
              </w:rPr>
              <w:t>化学纤维制造业</w:t>
            </w: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C283</w:t>
            </w:r>
            <w:r w:rsidRPr="00AB41E0">
              <w:rPr>
                <w:rFonts w:ascii="Times New Roman" w:hAnsi="Times New Roman" w:cs="Times New Roman"/>
                <w:kern w:val="0"/>
                <w:sz w:val="21"/>
                <w:szCs w:val="21"/>
              </w:rPr>
              <w:t>生物基材料制造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医药化工</w:t>
            </w:r>
          </w:p>
        </w:tc>
        <w:tc>
          <w:tcPr>
            <w:tcW w:w="2552" w:type="dxa"/>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C27</w:t>
            </w:r>
            <w:r w:rsidRPr="00AB41E0">
              <w:rPr>
                <w:rFonts w:ascii="Times New Roman" w:hAnsi="Times New Roman" w:cs="Times New Roman"/>
                <w:kern w:val="0"/>
                <w:sz w:val="21"/>
                <w:szCs w:val="21"/>
              </w:rPr>
              <w:t>医药制造业</w:t>
            </w: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C271</w:t>
            </w:r>
            <w:r w:rsidRPr="00AB41E0">
              <w:rPr>
                <w:rFonts w:ascii="Times New Roman" w:hAnsi="Times New Roman" w:cs="Times New Roman"/>
                <w:kern w:val="0"/>
                <w:sz w:val="21"/>
                <w:szCs w:val="21"/>
              </w:rPr>
              <w:t>化学药品原料药制造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C272</w:t>
            </w:r>
            <w:r w:rsidRPr="00AB41E0">
              <w:rPr>
                <w:rFonts w:ascii="Times New Roman" w:hAnsi="Times New Roman" w:cs="Times New Roman"/>
                <w:kern w:val="0"/>
                <w:sz w:val="21"/>
                <w:szCs w:val="21"/>
              </w:rPr>
              <w:t>化学药品制剂制造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C273</w:t>
            </w:r>
            <w:r w:rsidRPr="00AB41E0">
              <w:rPr>
                <w:rFonts w:ascii="Times New Roman" w:hAnsi="Times New Roman" w:cs="Times New Roman"/>
                <w:kern w:val="0"/>
                <w:sz w:val="21"/>
                <w:szCs w:val="21"/>
              </w:rPr>
              <w:t>中药饮片加工</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C274</w:t>
            </w:r>
            <w:r w:rsidRPr="00AB41E0">
              <w:rPr>
                <w:rFonts w:ascii="Times New Roman" w:hAnsi="Times New Roman" w:cs="Times New Roman"/>
                <w:kern w:val="0"/>
                <w:sz w:val="21"/>
                <w:szCs w:val="21"/>
              </w:rPr>
              <w:t>中成药生产</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C275 </w:t>
            </w:r>
            <w:r w:rsidRPr="00AB41E0">
              <w:rPr>
                <w:rFonts w:ascii="Times New Roman" w:hAnsi="Times New Roman" w:cs="Times New Roman"/>
                <w:kern w:val="0"/>
                <w:sz w:val="21"/>
                <w:szCs w:val="21"/>
              </w:rPr>
              <w:t>兽用药品制造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C276 </w:t>
            </w:r>
            <w:r w:rsidRPr="00AB41E0">
              <w:rPr>
                <w:rFonts w:ascii="Times New Roman" w:hAnsi="Times New Roman" w:cs="Times New Roman"/>
                <w:kern w:val="0"/>
                <w:sz w:val="21"/>
                <w:szCs w:val="21"/>
              </w:rPr>
              <w:t>生物药品制品制造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C277 </w:t>
            </w:r>
            <w:r w:rsidRPr="00AB41E0">
              <w:rPr>
                <w:rFonts w:ascii="Times New Roman" w:hAnsi="Times New Roman" w:cs="Times New Roman"/>
                <w:kern w:val="0"/>
                <w:sz w:val="21"/>
                <w:szCs w:val="21"/>
              </w:rPr>
              <w:t>卫生材料及医药用品制造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C278 </w:t>
            </w:r>
            <w:r w:rsidRPr="00AB41E0">
              <w:rPr>
                <w:rFonts w:ascii="Times New Roman" w:hAnsi="Times New Roman" w:cs="Times New Roman"/>
                <w:kern w:val="0"/>
                <w:sz w:val="21"/>
                <w:szCs w:val="21"/>
              </w:rPr>
              <w:t>药用辅料及包装材料</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精细化工</w:t>
            </w:r>
          </w:p>
        </w:tc>
        <w:tc>
          <w:tcPr>
            <w:tcW w:w="2552" w:type="dxa"/>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C261</w:t>
            </w:r>
            <w:r w:rsidRPr="00AB41E0">
              <w:rPr>
                <w:rFonts w:ascii="Times New Roman" w:hAnsi="Times New Roman" w:cs="Times New Roman"/>
                <w:kern w:val="0"/>
                <w:sz w:val="21"/>
                <w:szCs w:val="21"/>
              </w:rPr>
              <w:t>基础化学原料制造</w:t>
            </w: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C2614 </w:t>
            </w:r>
            <w:r w:rsidRPr="00AB41E0">
              <w:rPr>
                <w:rFonts w:ascii="Times New Roman" w:hAnsi="Times New Roman" w:cs="Times New Roman"/>
                <w:kern w:val="0"/>
                <w:sz w:val="21"/>
                <w:szCs w:val="21"/>
              </w:rPr>
              <w:t>有机化学原料制造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C2619 </w:t>
            </w:r>
            <w:r w:rsidRPr="00AB41E0">
              <w:rPr>
                <w:rFonts w:ascii="Times New Roman" w:hAnsi="Times New Roman" w:cs="Times New Roman"/>
                <w:kern w:val="0"/>
                <w:sz w:val="21"/>
                <w:szCs w:val="21"/>
              </w:rPr>
              <w:t>其它基础化学原料制造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C262 </w:t>
            </w:r>
            <w:r w:rsidRPr="00AB41E0">
              <w:rPr>
                <w:rFonts w:ascii="Times New Roman" w:hAnsi="Times New Roman" w:cs="Times New Roman"/>
                <w:kern w:val="0"/>
                <w:sz w:val="21"/>
                <w:szCs w:val="21"/>
              </w:rPr>
              <w:t>肥料制造</w:t>
            </w: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C2624 </w:t>
            </w:r>
            <w:r w:rsidRPr="00AB41E0">
              <w:rPr>
                <w:rFonts w:ascii="Times New Roman" w:hAnsi="Times New Roman" w:cs="Times New Roman"/>
                <w:kern w:val="0"/>
                <w:sz w:val="21"/>
                <w:szCs w:val="21"/>
              </w:rPr>
              <w:t>复混肥料制造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C2625 </w:t>
            </w:r>
            <w:r w:rsidRPr="00AB41E0">
              <w:rPr>
                <w:rFonts w:ascii="Times New Roman" w:hAnsi="Times New Roman" w:cs="Times New Roman"/>
                <w:kern w:val="0"/>
                <w:sz w:val="21"/>
                <w:szCs w:val="21"/>
              </w:rPr>
              <w:t>有机肥料及微生物肥料制造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C2629 </w:t>
            </w:r>
            <w:r w:rsidRPr="00AB41E0">
              <w:rPr>
                <w:rFonts w:ascii="Times New Roman" w:hAnsi="Times New Roman" w:cs="Times New Roman"/>
                <w:kern w:val="0"/>
                <w:sz w:val="21"/>
                <w:szCs w:val="21"/>
              </w:rPr>
              <w:t>其它肥料制造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C263 </w:t>
            </w:r>
            <w:r w:rsidRPr="00AB41E0">
              <w:rPr>
                <w:rFonts w:ascii="Times New Roman" w:hAnsi="Times New Roman" w:cs="Times New Roman"/>
                <w:kern w:val="0"/>
                <w:sz w:val="21"/>
                <w:szCs w:val="21"/>
              </w:rPr>
              <w:t>农药制造</w:t>
            </w: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C2631 </w:t>
            </w:r>
            <w:r w:rsidRPr="00AB41E0">
              <w:rPr>
                <w:rFonts w:ascii="Times New Roman" w:hAnsi="Times New Roman" w:cs="Times New Roman"/>
                <w:kern w:val="0"/>
                <w:sz w:val="21"/>
                <w:szCs w:val="21"/>
              </w:rPr>
              <w:t>化学农药制造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C264 </w:t>
            </w:r>
            <w:r w:rsidRPr="00AB41E0">
              <w:rPr>
                <w:rFonts w:ascii="Times New Roman" w:hAnsi="Times New Roman" w:cs="Times New Roman"/>
                <w:kern w:val="0"/>
                <w:sz w:val="21"/>
                <w:szCs w:val="21"/>
              </w:rPr>
              <w:t>涂料、油墨、颜料及类似产品制造</w:t>
            </w: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C2641 </w:t>
            </w:r>
            <w:r w:rsidRPr="00AB41E0">
              <w:rPr>
                <w:rFonts w:ascii="Times New Roman" w:hAnsi="Times New Roman" w:cs="Times New Roman"/>
                <w:kern w:val="0"/>
                <w:sz w:val="21"/>
                <w:szCs w:val="21"/>
              </w:rPr>
              <w:t>涂料制造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C2642 </w:t>
            </w:r>
            <w:r w:rsidRPr="00AB41E0">
              <w:rPr>
                <w:rFonts w:ascii="Times New Roman" w:hAnsi="Times New Roman" w:cs="Times New Roman"/>
                <w:kern w:val="0"/>
                <w:sz w:val="21"/>
                <w:szCs w:val="21"/>
              </w:rPr>
              <w:t>油墨及类似产品制造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C2643 </w:t>
            </w:r>
            <w:r w:rsidRPr="00AB41E0">
              <w:rPr>
                <w:rFonts w:ascii="Times New Roman" w:hAnsi="Times New Roman" w:cs="Times New Roman"/>
                <w:kern w:val="0"/>
                <w:sz w:val="21"/>
                <w:szCs w:val="21"/>
              </w:rPr>
              <w:t>工业颜料制造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C2645 </w:t>
            </w:r>
            <w:r w:rsidRPr="00AB41E0">
              <w:rPr>
                <w:rFonts w:ascii="Times New Roman" w:hAnsi="Times New Roman" w:cs="Times New Roman"/>
                <w:kern w:val="0"/>
                <w:sz w:val="21"/>
                <w:szCs w:val="21"/>
              </w:rPr>
              <w:t>染料制造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C265 </w:t>
            </w:r>
            <w:r w:rsidRPr="00AB41E0">
              <w:rPr>
                <w:rFonts w:ascii="Times New Roman" w:hAnsi="Times New Roman" w:cs="Times New Roman"/>
                <w:kern w:val="0"/>
                <w:sz w:val="21"/>
                <w:szCs w:val="21"/>
              </w:rPr>
              <w:t>合成材料制造</w:t>
            </w: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C2651 </w:t>
            </w:r>
            <w:r w:rsidRPr="00AB41E0">
              <w:rPr>
                <w:rFonts w:ascii="Times New Roman" w:hAnsi="Times New Roman" w:cs="Times New Roman"/>
                <w:kern w:val="0"/>
                <w:sz w:val="21"/>
                <w:szCs w:val="21"/>
              </w:rPr>
              <w:t>初级形态塑料及合成树脂制造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C2653 </w:t>
            </w:r>
            <w:r w:rsidRPr="00AB41E0">
              <w:rPr>
                <w:rFonts w:ascii="Times New Roman" w:hAnsi="Times New Roman" w:cs="Times New Roman"/>
                <w:kern w:val="0"/>
                <w:sz w:val="21"/>
                <w:szCs w:val="21"/>
              </w:rPr>
              <w:t>合成纤维单（聚合）体制造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255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C2659 </w:t>
            </w:r>
            <w:r w:rsidRPr="00AB41E0">
              <w:rPr>
                <w:rFonts w:ascii="Times New Roman" w:hAnsi="Times New Roman" w:cs="Times New Roman"/>
                <w:kern w:val="0"/>
                <w:sz w:val="21"/>
                <w:szCs w:val="21"/>
              </w:rPr>
              <w:t>其它合成材料制造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191" w:type="dxa"/>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C266 </w:t>
            </w:r>
            <w:r w:rsidRPr="00AB41E0">
              <w:rPr>
                <w:rFonts w:ascii="Times New Roman" w:hAnsi="Times New Roman" w:cs="Times New Roman"/>
                <w:kern w:val="0"/>
                <w:sz w:val="21"/>
                <w:szCs w:val="21"/>
              </w:rPr>
              <w:t>专用化学产品制造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191" w:type="dxa"/>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C268 </w:t>
            </w:r>
            <w:r w:rsidRPr="00AB41E0">
              <w:rPr>
                <w:rFonts w:ascii="Times New Roman" w:hAnsi="Times New Roman" w:cs="Times New Roman"/>
                <w:kern w:val="0"/>
                <w:sz w:val="21"/>
                <w:szCs w:val="21"/>
              </w:rPr>
              <w:t>日用化学产品制造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电子化学</w:t>
            </w:r>
          </w:p>
        </w:tc>
        <w:tc>
          <w:tcPr>
            <w:tcW w:w="2552"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C39 </w:t>
            </w:r>
            <w:r w:rsidRPr="00AB41E0">
              <w:rPr>
                <w:rFonts w:ascii="Times New Roman" w:hAnsi="Times New Roman" w:cs="Times New Roman"/>
                <w:kern w:val="0"/>
                <w:sz w:val="21"/>
                <w:szCs w:val="21"/>
              </w:rPr>
              <w:t>计算机、通信和其他电子设备制造业</w:t>
            </w:r>
          </w:p>
        </w:tc>
        <w:tc>
          <w:tcPr>
            <w:tcW w:w="3639"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C398 </w:t>
            </w:r>
            <w:r w:rsidRPr="00AB41E0">
              <w:rPr>
                <w:rFonts w:ascii="Times New Roman" w:hAnsi="Times New Roman" w:cs="Times New Roman"/>
                <w:kern w:val="0"/>
                <w:sz w:val="21"/>
                <w:szCs w:val="21"/>
              </w:rPr>
              <w:t>电子元件及电子专用材料制造</w:t>
            </w:r>
          </w:p>
        </w:tc>
      </w:tr>
      <w:tr w:rsidR="004E3021" w:rsidRPr="00AB41E0" w:rsidTr="00AB41E0">
        <w:tc>
          <w:tcPr>
            <w:tcW w:w="993" w:type="dxa"/>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禁止类</w:t>
            </w:r>
          </w:p>
        </w:tc>
        <w:tc>
          <w:tcPr>
            <w:tcW w:w="1842" w:type="dxa"/>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机械设备制造</w:t>
            </w:r>
          </w:p>
        </w:tc>
        <w:tc>
          <w:tcPr>
            <w:tcW w:w="6191" w:type="dxa"/>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C34 </w:t>
            </w:r>
            <w:r w:rsidRPr="00AB41E0">
              <w:rPr>
                <w:rFonts w:ascii="Times New Roman" w:hAnsi="Times New Roman" w:cs="Times New Roman"/>
                <w:kern w:val="0"/>
                <w:sz w:val="21"/>
                <w:szCs w:val="21"/>
              </w:rPr>
              <w:t>通用设备制造业</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191" w:type="dxa"/>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C35 </w:t>
            </w:r>
            <w:r w:rsidRPr="00AB41E0">
              <w:rPr>
                <w:rFonts w:ascii="Times New Roman" w:hAnsi="Times New Roman" w:cs="Times New Roman"/>
                <w:kern w:val="0"/>
                <w:sz w:val="21"/>
                <w:szCs w:val="21"/>
              </w:rPr>
              <w:t>专用设备制造业</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E47 </w:t>
            </w:r>
            <w:r w:rsidRPr="00AB41E0">
              <w:rPr>
                <w:rFonts w:ascii="Times New Roman" w:hAnsi="Times New Roman" w:cs="Times New Roman"/>
                <w:kern w:val="0"/>
                <w:sz w:val="21"/>
                <w:szCs w:val="21"/>
              </w:rPr>
              <w:t>房屋建筑业</w:t>
            </w:r>
          </w:p>
        </w:tc>
        <w:tc>
          <w:tcPr>
            <w:tcW w:w="6191" w:type="dxa"/>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C4710 </w:t>
            </w:r>
            <w:r w:rsidRPr="00AB41E0">
              <w:rPr>
                <w:rFonts w:ascii="Times New Roman" w:hAnsi="Times New Roman" w:cs="Times New Roman"/>
                <w:kern w:val="0"/>
                <w:sz w:val="21"/>
                <w:szCs w:val="21"/>
              </w:rPr>
              <w:t>住宅房屋建筑</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191" w:type="dxa"/>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C4720 </w:t>
            </w:r>
            <w:r w:rsidRPr="00AB41E0">
              <w:rPr>
                <w:rFonts w:ascii="Times New Roman" w:hAnsi="Times New Roman" w:cs="Times New Roman"/>
                <w:kern w:val="0"/>
                <w:sz w:val="21"/>
                <w:szCs w:val="21"/>
              </w:rPr>
              <w:t>体育场馆建筑</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C32 </w:t>
            </w:r>
            <w:r w:rsidRPr="00AB41E0">
              <w:rPr>
                <w:rFonts w:ascii="Times New Roman" w:hAnsi="Times New Roman" w:cs="Times New Roman"/>
                <w:kern w:val="0"/>
                <w:sz w:val="21"/>
                <w:szCs w:val="21"/>
              </w:rPr>
              <w:t>有色金属冶炼和压延加工业</w:t>
            </w:r>
          </w:p>
        </w:tc>
        <w:tc>
          <w:tcPr>
            <w:tcW w:w="6191" w:type="dxa"/>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C321 </w:t>
            </w:r>
            <w:r w:rsidRPr="00AB41E0">
              <w:rPr>
                <w:rFonts w:ascii="Times New Roman" w:hAnsi="Times New Roman" w:cs="Times New Roman"/>
                <w:kern w:val="0"/>
                <w:sz w:val="21"/>
                <w:szCs w:val="21"/>
              </w:rPr>
              <w:t>常用有色金属冶炼</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191" w:type="dxa"/>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C322 </w:t>
            </w:r>
            <w:r w:rsidRPr="00AB41E0">
              <w:rPr>
                <w:rFonts w:ascii="Times New Roman" w:hAnsi="Times New Roman" w:cs="Times New Roman"/>
                <w:kern w:val="0"/>
                <w:sz w:val="21"/>
                <w:szCs w:val="21"/>
              </w:rPr>
              <w:t>贵金属冶炼</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191" w:type="dxa"/>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C323 </w:t>
            </w:r>
            <w:r w:rsidRPr="00AB41E0">
              <w:rPr>
                <w:rFonts w:ascii="Times New Roman" w:hAnsi="Times New Roman" w:cs="Times New Roman"/>
                <w:kern w:val="0"/>
                <w:sz w:val="21"/>
                <w:szCs w:val="21"/>
              </w:rPr>
              <w:t>稀有稀土金属冶炼</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6191" w:type="dxa"/>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C324 </w:t>
            </w:r>
            <w:r w:rsidRPr="00AB41E0">
              <w:rPr>
                <w:rFonts w:ascii="Times New Roman" w:hAnsi="Times New Roman" w:cs="Times New Roman"/>
                <w:kern w:val="0"/>
                <w:sz w:val="21"/>
                <w:szCs w:val="21"/>
              </w:rPr>
              <w:t>有色金属合金制造</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842"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C42 </w:t>
            </w:r>
            <w:r w:rsidRPr="00AB41E0">
              <w:rPr>
                <w:rFonts w:ascii="Times New Roman" w:hAnsi="Times New Roman" w:cs="Times New Roman"/>
                <w:kern w:val="0"/>
                <w:sz w:val="21"/>
                <w:szCs w:val="21"/>
              </w:rPr>
              <w:t>废弃资源综合利用业</w:t>
            </w:r>
          </w:p>
        </w:tc>
        <w:tc>
          <w:tcPr>
            <w:tcW w:w="6191" w:type="dxa"/>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废旧生铁熔炼；废旧轮胎加工</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8033" w:type="dxa"/>
            <w:gridSpan w:val="3"/>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C14 </w:t>
            </w:r>
            <w:r w:rsidRPr="00AB41E0">
              <w:rPr>
                <w:rFonts w:ascii="Times New Roman" w:hAnsi="Times New Roman" w:cs="Times New Roman"/>
                <w:kern w:val="0"/>
                <w:sz w:val="21"/>
                <w:szCs w:val="21"/>
              </w:rPr>
              <w:t>食品制造业</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8033" w:type="dxa"/>
            <w:gridSpan w:val="3"/>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 xml:space="preserve">C594 </w:t>
            </w:r>
            <w:r w:rsidRPr="00AB41E0">
              <w:rPr>
                <w:rFonts w:ascii="Times New Roman" w:hAnsi="Times New Roman" w:cs="Times New Roman"/>
                <w:kern w:val="0"/>
                <w:sz w:val="21"/>
                <w:szCs w:val="21"/>
              </w:rPr>
              <w:t>危险品仓储</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8033" w:type="dxa"/>
            <w:gridSpan w:val="3"/>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机制砂、烘干砂、酸洗石英砂类项目；建筑垃圾粉碎及加工项目；大理石加工项目；钢铁、水泥、原油加工、制浆造纸、平板玻璃、有色金属冶炼、多晶硅冶炼等以煤炭为主要原料的高耗能、重污染项目；禁止新建、扩建不符合国家产能置换要求的严重过剩产能行业的项目。</w:t>
            </w:r>
          </w:p>
        </w:tc>
      </w:tr>
      <w:tr w:rsidR="004E3021" w:rsidRPr="00AB41E0" w:rsidTr="00AB41E0">
        <w:tc>
          <w:tcPr>
            <w:tcW w:w="993" w:type="dxa"/>
            <w:vMerge/>
            <w:vAlign w:val="center"/>
          </w:tcPr>
          <w:p w:rsidR="004E3021" w:rsidRPr="00AB41E0" w:rsidRDefault="004E3021" w:rsidP="00AB41E0">
            <w:pPr>
              <w:pStyle w:val="afffffff2"/>
              <w:rPr>
                <w:rFonts w:ascii="Times New Roman" w:hAnsi="Times New Roman" w:cs="Times New Roman"/>
                <w:kern w:val="0"/>
                <w:sz w:val="21"/>
                <w:szCs w:val="21"/>
              </w:rPr>
            </w:pPr>
          </w:p>
        </w:tc>
        <w:tc>
          <w:tcPr>
            <w:tcW w:w="8033" w:type="dxa"/>
            <w:gridSpan w:val="3"/>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禁止引入列入《产业结构调整指导目录》、《外商投资产业指导目录》、《市场准入负面清单》、《蚌埠市化工园区项目准入条件（试行）》等相关产业政策中禁止或淘汰类项目、产品、工艺和设备。</w:t>
            </w:r>
          </w:p>
        </w:tc>
      </w:tr>
      <w:tr w:rsidR="004E3021" w:rsidRPr="00AB41E0" w:rsidTr="00AB41E0">
        <w:tc>
          <w:tcPr>
            <w:tcW w:w="993"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限制类</w:t>
            </w:r>
          </w:p>
        </w:tc>
        <w:tc>
          <w:tcPr>
            <w:tcW w:w="8033" w:type="dxa"/>
            <w:gridSpan w:val="3"/>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1</w:t>
            </w:r>
            <w:r w:rsidRPr="00AB41E0">
              <w:rPr>
                <w:rFonts w:ascii="Times New Roman" w:hAnsi="Times New Roman" w:cs="Times New Roman"/>
                <w:kern w:val="0"/>
                <w:sz w:val="21"/>
                <w:szCs w:val="21"/>
              </w:rPr>
              <w:t>）列入《环境保护综合名录》中（三）</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高污染、高环境风险</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产品名录的项目；</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2</w:t>
            </w:r>
            <w:r w:rsidRPr="00AB41E0">
              <w:rPr>
                <w:rFonts w:ascii="Times New Roman" w:hAnsi="Times New Roman" w:cs="Times New Roman"/>
                <w:kern w:val="0"/>
                <w:sz w:val="21"/>
                <w:szCs w:val="21"/>
              </w:rPr>
              <w:t>）列入《蚌埠市化工园区项目准入条件（试行）》中限制类项目；</w:t>
            </w:r>
          </w:p>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3</w:t>
            </w:r>
            <w:r w:rsidRPr="00AB41E0">
              <w:rPr>
                <w:rFonts w:ascii="Times New Roman" w:hAnsi="Times New Roman" w:cs="Times New Roman"/>
                <w:kern w:val="0"/>
                <w:sz w:val="21"/>
                <w:szCs w:val="21"/>
              </w:rPr>
              <w:t>）《产业结构调整指导目录》、《外商投资产业指导目录》、《市场准入负面清单》中限制类项目，达不到规模经济的项目。</w:t>
            </w:r>
          </w:p>
        </w:tc>
      </w:tr>
      <w:tr w:rsidR="004E3021" w:rsidRPr="00AB41E0" w:rsidTr="00AB41E0">
        <w:tc>
          <w:tcPr>
            <w:tcW w:w="993"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环境风险防控</w:t>
            </w:r>
          </w:p>
        </w:tc>
        <w:tc>
          <w:tcPr>
            <w:tcW w:w="8033" w:type="dxa"/>
            <w:gridSpan w:val="3"/>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基地内新增或改扩建存在环境风险的项目，在建设项目环评阶段须重点开展环境风险评价，与项目周边环境敏感目标之前控制合理的风险控制距离，提出并落实风险防范措施及应急联动要求，编制应急预案，并与经开区应急预案联动，在经开区进行环境风险源、应急设备、物资等的备案；在产业基地规划和项目的工程设计、建造和运行中要科学规划，合理布置，严格按照防火安全设计和相关职业卫生要求，保证建造质量，严格安全生产制度，提高操作人员素质和水平，以减少事故的发生。</w:t>
            </w:r>
          </w:p>
        </w:tc>
      </w:tr>
      <w:tr w:rsidR="004E3021" w:rsidRPr="00AB41E0" w:rsidTr="00AB41E0">
        <w:tc>
          <w:tcPr>
            <w:tcW w:w="993" w:type="dxa"/>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清洁生产</w:t>
            </w:r>
          </w:p>
        </w:tc>
        <w:tc>
          <w:tcPr>
            <w:tcW w:w="8033" w:type="dxa"/>
            <w:gridSpan w:val="3"/>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清洁生产水平应达到国内先进水平，优先引进清洁生产水平达到国际先进水平的项目，禁止引进低于国内先进水平的项目。严格审查入区企业行业类型和生产工艺，要求基地入驻企业采用先进的生产工艺，在生产、产品和服务中最大限度的做到节能、减污、降碳。</w:t>
            </w:r>
          </w:p>
        </w:tc>
      </w:tr>
    </w:tbl>
    <w:p w:rsidR="004E3021" w:rsidRDefault="00606E48">
      <w:pPr>
        <w:ind w:firstLine="360"/>
        <w:rPr>
          <w:sz w:val="18"/>
          <w:szCs w:val="18"/>
        </w:rPr>
      </w:pPr>
      <w:r>
        <w:rPr>
          <w:rFonts w:hint="eastAsia"/>
          <w:sz w:val="18"/>
          <w:szCs w:val="18"/>
        </w:rPr>
        <w:t>注：表格中相关政策目录均按照最新版本。</w:t>
      </w:r>
    </w:p>
    <w:p w:rsidR="004E3021" w:rsidRDefault="00606E48">
      <w:pPr>
        <w:ind w:firstLine="480"/>
      </w:pPr>
      <w:r>
        <w:rPr>
          <w:rFonts w:hint="eastAsia"/>
        </w:rPr>
        <w:t>本项目产品</w:t>
      </w:r>
      <w:r w:rsidR="00AE03D6">
        <w:rPr>
          <w:rFonts w:hint="eastAsia"/>
        </w:rPr>
        <w:t>硅粉</w:t>
      </w:r>
      <w:r>
        <w:rPr>
          <w:rFonts w:hint="eastAsia"/>
        </w:rPr>
        <w:t>属于其他基础</w:t>
      </w:r>
      <w:r>
        <w:t>化学原料制造</w:t>
      </w:r>
      <w:r>
        <w:rPr>
          <w:rFonts w:hint="eastAsia"/>
        </w:rPr>
        <w:t>[C2619]</w:t>
      </w:r>
      <w:r>
        <w:rPr>
          <w:rFonts w:hint="eastAsia"/>
        </w:rPr>
        <w:t>；</w:t>
      </w:r>
      <w:r w:rsidR="00AE03D6">
        <w:rPr>
          <w:rFonts w:hint="eastAsia"/>
        </w:rPr>
        <w:t>其余产品</w:t>
      </w:r>
      <w:r>
        <w:rPr>
          <w:rFonts w:hint="eastAsia"/>
        </w:rPr>
        <w:t>属于有机化学原料制造</w:t>
      </w:r>
      <w:r>
        <w:rPr>
          <w:rFonts w:hint="eastAsia"/>
        </w:rPr>
        <w:t>[</w:t>
      </w:r>
      <w:r>
        <w:t>C2614]</w:t>
      </w:r>
      <w:r>
        <w:rPr>
          <w:rFonts w:hint="eastAsia"/>
        </w:rPr>
        <w:t>，</w:t>
      </w:r>
      <w:r>
        <w:t>故</w:t>
      </w:r>
      <w:r>
        <w:rPr>
          <w:rFonts w:hint="eastAsia"/>
        </w:rPr>
        <w:t>本项目蚌埠精细化工高新技术产业基地生态</w:t>
      </w:r>
      <w:r>
        <w:t>环境</w:t>
      </w:r>
      <w:r>
        <w:rPr>
          <w:rFonts w:hint="eastAsia"/>
        </w:rPr>
        <w:t>准入</w:t>
      </w:r>
      <w:r>
        <w:t>清单</w:t>
      </w:r>
      <w:r>
        <w:rPr>
          <w:rFonts w:hint="eastAsia"/>
        </w:rPr>
        <w:t>中</w:t>
      </w:r>
      <w:r>
        <w:t>鼓励类项目</w:t>
      </w:r>
      <w:r>
        <w:rPr>
          <w:rFonts w:hint="eastAsia"/>
        </w:rPr>
        <w:t>。</w:t>
      </w:r>
    </w:p>
    <w:p w:rsidR="004E3021" w:rsidRDefault="00606E48">
      <w:pPr>
        <w:ind w:firstLine="480"/>
      </w:pPr>
      <w:r>
        <w:rPr>
          <w:rFonts w:hint="eastAsia"/>
        </w:rPr>
        <w:t>对照</w:t>
      </w:r>
      <w:r>
        <w:t>《产业结构调整指导目录》（</w:t>
      </w:r>
      <w:r>
        <w:t>2024</w:t>
      </w:r>
      <w:r>
        <w:t>本）</w:t>
      </w:r>
      <w:r>
        <w:rPr>
          <w:rFonts w:hint="eastAsia"/>
        </w:rPr>
        <w:t>，本项目不属于其中</w:t>
      </w:r>
      <w:r>
        <w:t>的限制和淘汰类项目，可视为允许类。因此项目的建设符合国家产业政策</w:t>
      </w:r>
      <w:r>
        <w:rPr>
          <w:rFonts w:ascii="宋体" w:hAnsi="宋体" w:hint="eastAsia"/>
        </w:rPr>
        <w:t>。</w:t>
      </w:r>
    </w:p>
    <w:p w:rsidR="004E3021" w:rsidRDefault="00606E48">
      <w:pPr>
        <w:ind w:firstLine="480"/>
      </w:pPr>
      <w:r>
        <w:rPr>
          <w:rFonts w:ascii="宋体" w:hAnsi="宋体" w:hint="eastAsia"/>
        </w:rPr>
        <w:t>本项目运营中遵循清洁生产理念，所采用的各项污染防治措施技术可行、经济合理，能保证各类污染物长期稳定达标排放，不属于上述限制入园项目。</w:t>
      </w:r>
    </w:p>
    <w:p w:rsidR="009F420B" w:rsidRDefault="00606E48">
      <w:pPr>
        <w:ind w:firstLine="480"/>
        <w:rPr>
          <w:rFonts w:ascii="宋体" w:hAnsi="宋体"/>
        </w:rPr>
        <w:sectPr w:rsidR="009F420B">
          <w:pgSz w:w="11906" w:h="16838"/>
          <w:pgMar w:top="1440" w:right="1440" w:bottom="1440" w:left="1440" w:header="851" w:footer="992" w:gutter="0"/>
          <w:cols w:space="425"/>
          <w:docGrid w:type="lines" w:linePitch="326"/>
        </w:sectPr>
      </w:pPr>
      <w:r>
        <w:rPr>
          <w:rFonts w:ascii="宋体" w:hAnsi="宋体" w:hint="eastAsia"/>
        </w:rPr>
        <w:t>综上所述，本项目的建设符合</w:t>
      </w:r>
      <w:r w:rsidR="009F420B">
        <w:rPr>
          <w:rFonts w:ascii="宋体" w:hAnsi="宋体" w:hint="eastAsia"/>
        </w:rPr>
        <w:t>生态环境分区管控</w:t>
      </w:r>
      <w:r>
        <w:rPr>
          <w:rFonts w:ascii="宋体" w:hAnsi="宋体" w:hint="eastAsia"/>
        </w:rPr>
        <w:t>相关要求。</w:t>
      </w:r>
    </w:p>
    <w:p w:rsidR="004E3021" w:rsidRDefault="00606E48">
      <w:pPr>
        <w:pStyle w:val="afffffffffffffffff3"/>
      </w:pPr>
      <w:bookmarkStart w:id="111" w:name="_Toc221500944"/>
      <w:r>
        <w:rPr>
          <w:rFonts w:hint="eastAsia"/>
        </w:rPr>
        <w:lastRenderedPageBreak/>
        <w:t>2</w:t>
      </w:r>
      <w:r>
        <w:t>.6</w:t>
      </w:r>
      <w:r>
        <w:t>环境功能区划</w:t>
      </w:r>
      <w:bookmarkEnd w:id="111"/>
    </w:p>
    <w:p w:rsidR="004E3021" w:rsidRDefault="00947F13">
      <w:pPr>
        <w:ind w:firstLine="480"/>
      </w:pPr>
      <w:r>
        <w:rPr>
          <w:rFonts w:hint="eastAsia"/>
        </w:rPr>
        <w:t>本</w:t>
      </w:r>
      <w:r w:rsidR="00606E48">
        <w:rPr>
          <w:rFonts w:ascii="宋体" w:hAnsi="宋体"/>
        </w:rPr>
        <w:t>项目所在区域环境功能区划详见表</w:t>
      </w:r>
      <w:r w:rsidR="00606E48">
        <w:rPr>
          <w:rFonts w:hint="eastAsia"/>
        </w:rPr>
        <w:t>2</w:t>
      </w:r>
      <w:r w:rsidR="00606E48">
        <w:t>.6-1</w:t>
      </w:r>
      <w:r w:rsidR="00606E48">
        <w:rPr>
          <w:rFonts w:ascii="宋体" w:hAnsi="宋体" w:hint="eastAsia"/>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rPr>
        <w:t xml:space="preserve">2.6-1  </w:t>
      </w:r>
      <w:r>
        <w:rPr>
          <w:rFonts w:ascii="黑体" w:eastAsia="黑体" w:hAnsi="黑体" w:hint="eastAsia"/>
        </w:rPr>
        <w:t>区域环境功能区划</w:t>
      </w:r>
    </w:p>
    <w:tbl>
      <w:tblPr>
        <w:tblStyle w:val="afff"/>
        <w:tblW w:w="5000" w:type="pct"/>
        <w:tblLook w:val="04A0" w:firstRow="1" w:lastRow="0" w:firstColumn="1" w:lastColumn="0" w:noHBand="0" w:noVBand="1"/>
      </w:tblPr>
      <w:tblGrid>
        <w:gridCol w:w="561"/>
        <w:gridCol w:w="1708"/>
        <w:gridCol w:w="2408"/>
        <w:gridCol w:w="4349"/>
      </w:tblGrid>
      <w:tr w:rsidR="004E3021" w:rsidRPr="00AB41E0" w:rsidTr="00AE03D6">
        <w:tc>
          <w:tcPr>
            <w:tcW w:w="1257" w:type="pct"/>
            <w:gridSpan w:val="2"/>
            <w:vAlign w:val="center"/>
          </w:tcPr>
          <w:p w:rsidR="004E3021" w:rsidRPr="00AB41E0" w:rsidRDefault="00606E48" w:rsidP="00AB41E0">
            <w:pPr>
              <w:pStyle w:val="afffffff2"/>
              <w:rPr>
                <w:rFonts w:ascii="Times New Roman" w:hAnsi="Times New Roman" w:cs="Times New Roman"/>
                <w:b/>
                <w:kern w:val="0"/>
                <w:sz w:val="21"/>
                <w:szCs w:val="21"/>
              </w:rPr>
            </w:pPr>
            <w:r w:rsidRPr="00AB41E0">
              <w:rPr>
                <w:rFonts w:ascii="Times New Roman" w:hAnsi="Times New Roman" w:cs="Times New Roman"/>
                <w:b/>
                <w:kern w:val="0"/>
                <w:sz w:val="21"/>
                <w:szCs w:val="21"/>
              </w:rPr>
              <w:t>环境要素</w:t>
            </w:r>
          </w:p>
        </w:tc>
        <w:tc>
          <w:tcPr>
            <w:tcW w:w="1334" w:type="pct"/>
            <w:vAlign w:val="center"/>
          </w:tcPr>
          <w:p w:rsidR="004E3021" w:rsidRPr="00AB41E0" w:rsidRDefault="00606E48" w:rsidP="00AB41E0">
            <w:pPr>
              <w:pStyle w:val="afffffff2"/>
              <w:rPr>
                <w:rFonts w:ascii="Times New Roman" w:hAnsi="Times New Roman" w:cs="Times New Roman"/>
                <w:b/>
                <w:kern w:val="0"/>
                <w:sz w:val="21"/>
                <w:szCs w:val="21"/>
              </w:rPr>
            </w:pPr>
            <w:r w:rsidRPr="00AB41E0">
              <w:rPr>
                <w:rFonts w:ascii="Times New Roman" w:hAnsi="Times New Roman" w:cs="Times New Roman"/>
                <w:b/>
                <w:kern w:val="0"/>
                <w:sz w:val="21"/>
                <w:szCs w:val="21"/>
              </w:rPr>
              <w:t>功能</w:t>
            </w:r>
          </w:p>
        </w:tc>
        <w:tc>
          <w:tcPr>
            <w:tcW w:w="2409" w:type="pct"/>
            <w:vAlign w:val="center"/>
          </w:tcPr>
          <w:p w:rsidR="004E3021" w:rsidRPr="00AB41E0" w:rsidRDefault="00606E48" w:rsidP="00AB41E0">
            <w:pPr>
              <w:pStyle w:val="afffffff2"/>
              <w:rPr>
                <w:rFonts w:ascii="Times New Roman" w:hAnsi="Times New Roman" w:cs="Times New Roman"/>
                <w:b/>
                <w:kern w:val="0"/>
                <w:sz w:val="21"/>
                <w:szCs w:val="21"/>
              </w:rPr>
            </w:pPr>
            <w:r w:rsidRPr="00AB41E0">
              <w:rPr>
                <w:rFonts w:ascii="Times New Roman" w:hAnsi="Times New Roman" w:cs="Times New Roman"/>
                <w:b/>
                <w:kern w:val="0"/>
                <w:sz w:val="21"/>
                <w:szCs w:val="21"/>
              </w:rPr>
              <w:t>质量目标</w:t>
            </w:r>
          </w:p>
        </w:tc>
      </w:tr>
      <w:tr w:rsidR="004E3021" w:rsidRPr="00AB41E0" w:rsidTr="00AE03D6">
        <w:trPr>
          <w:trHeight w:val="326"/>
        </w:trPr>
        <w:tc>
          <w:tcPr>
            <w:tcW w:w="311" w:type="pct"/>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水环境</w:t>
            </w:r>
          </w:p>
        </w:tc>
        <w:tc>
          <w:tcPr>
            <w:tcW w:w="946"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淮河（蚌埠段）</w:t>
            </w:r>
          </w:p>
        </w:tc>
        <w:tc>
          <w:tcPr>
            <w:tcW w:w="133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开发利用</w:t>
            </w:r>
          </w:p>
        </w:tc>
        <w:tc>
          <w:tcPr>
            <w:tcW w:w="2409"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《地表水环境质量标准》（</w:t>
            </w:r>
            <w:r w:rsidRPr="00AB41E0">
              <w:rPr>
                <w:rFonts w:ascii="Times New Roman" w:hAnsi="Times New Roman" w:cs="Times New Roman"/>
                <w:kern w:val="0"/>
                <w:sz w:val="21"/>
                <w:szCs w:val="21"/>
              </w:rPr>
              <w:t>GB3838-2002</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Ⅲ</w:t>
            </w:r>
            <w:r w:rsidRPr="00AB41E0">
              <w:rPr>
                <w:rFonts w:ascii="Times New Roman" w:hAnsi="Times New Roman" w:cs="Times New Roman"/>
                <w:kern w:val="0"/>
                <w:sz w:val="21"/>
                <w:szCs w:val="21"/>
              </w:rPr>
              <w:t>类标准</w:t>
            </w:r>
          </w:p>
        </w:tc>
      </w:tr>
      <w:tr w:rsidR="004E3021" w:rsidRPr="00AB41E0" w:rsidTr="00AE03D6">
        <w:trPr>
          <w:trHeight w:val="326"/>
        </w:trPr>
        <w:tc>
          <w:tcPr>
            <w:tcW w:w="311"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946"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三铺大沟</w:t>
            </w:r>
          </w:p>
        </w:tc>
        <w:tc>
          <w:tcPr>
            <w:tcW w:w="133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w:t>
            </w:r>
          </w:p>
        </w:tc>
        <w:tc>
          <w:tcPr>
            <w:tcW w:w="2409"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《地表水环境质量标准》（</w:t>
            </w:r>
            <w:r w:rsidRPr="00AB41E0">
              <w:rPr>
                <w:rFonts w:ascii="Times New Roman" w:hAnsi="Times New Roman" w:cs="Times New Roman"/>
                <w:kern w:val="0"/>
                <w:sz w:val="21"/>
                <w:szCs w:val="21"/>
              </w:rPr>
              <w:t>GB3838-2002</w:t>
            </w:r>
            <w:r w:rsidRPr="00AB41E0">
              <w:rPr>
                <w:rFonts w:ascii="Times New Roman" w:hAnsi="Times New Roman" w:cs="Times New Roman"/>
                <w:kern w:val="0"/>
                <w:sz w:val="21"/>
                <w:szCs w:val="21"/>
              </w:rPr>
              <w:t>）中的</w:t>
            </w:r>
            <w:r w:rsidRPr="00AB41E0">
              <w:rPr>
                <w:rFonts w:ascii="Times New Roman" w:hAnsi="Times New Roman" w:cs="Times New Roman"/>
                <w:kern w:val="0"/>
                <w:sz w:val="21"/>
                <w:szCs w:val="21"/>
              </w:rPr>
              <w:t>Ⅳ</w:t>
            </w:r>
            <w:r w:rsidRPr="00AB41E0">
              <w:rPr>
                <w:rFonts w:ascii="Times New Roman" w:hAnsi="Times New Roman" w:cs="Times New Roman"/>
                <w:kern w:val="0"/>
                <w:sz w:val="21"/>
                <w:szCs w:val="21"/>
              </w:rPr>
              <w:t>类标准</w:t>
            </w:r>
          </w:p>
        </w:tc>
      </w:tr>
      <w:tr w:rsidR="004E3021" w:rsidRPr="00AB41E0" w:rsidTr="00AE03D6">
        <w:trPr>
          <w:trHeight w:val="326"/>
        </w:trPr>
        <w:tc>
          <w:tcPr>
            <w:tcW w:w="311" w:type="pct"/>
            <w:vMerge/>
            <w:vAlign w:val="center"/>
          </w:tcPr>
          <w:p w:rsidR="004E3021" w:rsidRPr="00AB41E0" w:rsidRDefault="004E3021" w:rsidP="00AB41E0">
            <w:pPr>
              <w:pStyle w:val="afffffff2"/>
              <w:rPr>
                <w:rFonts w:ascii="Times New Roman" w:hAnsi="Times New Roman" w:cs="Times New Roman"/>
                <w:kern w:val="0"/>
                <w:sz w:val="21"/>
                <w:szCs w:val="21"/>
              </w:rPr>
            </w:pPr>
          </w:p>
        </w:tc>
        <w:tc>
          <w:tcPr>
            <w:tcW w:w="946"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沫冲引河</w:t>
            </w:r>
          </w:p>
        </w:tc>
        <w:tc>
          <w:tcPr>
            <w:tcW w:w="133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w:t>
            </w:r>
          </w:p>
        </w:tc>
        <w:tc>
          <w:tcPr>
            <w:tcW w:w="2409"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《地表水环境质量标准》（</w:t>
            </w:r>
            <w:r w:rsidRPr="00AB41E0">
              <w:rPr>
                <w:rFonts w:ascii="Times New Roman" w:hAnsi="Times New Roman" w:cs="Times New Roman"/>
                <w:kern w:val="0"/>
                <w:sz w:val="21"/>
                <w:szCs w:val="21"/>
              </w:rPr>
              <w:t>GB3838-2002</w:t>
            </w:r>
            <w:r w:rsidRPr="00AB41E0">
              <w:rPr>
                <w:rFonts w:ascii="Times New Roman" w:hAnsi="Times New Roman" w:cs="Times New Roman"/>
                <w:kern w:val="0"/>
                <w:sz w:val="21"/>
                <w:szCs w:val="21"/>
              </w:rPr>
              <w:t>）中的</w:t>
            </w:r>
            <w:r w:rsidRPr="00AB41E0">
              <w:rPr>
                <w:rFonts w:ascii="Times New Roman" w:hAnsi="Times New Roman" w:cs="Times New Roman"/>
                <w:kern w:val="0"/>
                <w:sz w:val="21"/>
                <w:szCs w:val="21"/>
              </w:rPr>
              <w:t>Ⅳ</w:t>
            </w:r>
            <w:r w:rsidRPr="00AB41E0">
              <w:rPr>
                <w:rFonts w:ascii="Times New Roman" w:hAnsi="Times New Roman" w:cs="Times New Roman"/>
                <w:kern w:val="0"/>
                <w:sz w:val="21"/>
                <w:szCs w:val="21"/>
              </w:rPr>
              <w:t>类标准</w:t>
            </w:r>
          </w:p>
        </w:tc>
      </w:tr>
      <w:tr w:rsidR="004E3021" w:rsidRPr="00AB41E0" w:rsidTr="00AE03D6">
        <w:tc>
          <w:tcPr>
            <w:tcW w:w="1257"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地下水环境</w:t>
            </w:r>
          </w:p>
        </w:tc>
        <w:tc>
          <w:tcPr>
            <w:tcW w:w="133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w:t>
            </w:r>
          </w:p>
        </w:tc>
        <w:tc>
          <w:tcPr>
            <w:tcW w:w="2409"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《地下水质量标准》（</w:t>
            </w:r>
            <w:r w:rsidRPr="00AB41E0">
              <w:rPr>
                <w:rFonts w:ascii="Times New Roman" w:hAnsi="Times New Roman" w:cs="Times New Roman"/>
                <w:kern w:val="0"/>
                <w:sz w:val="21"/>
                <w:szCs w:val="21"/>
              </w:rPr>
              <w:t>GB/T14848-2017</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III</w:t>
            </w:r>
            <w:r w:rsidRPr="00AB41E0">
              <w:rPr>
                <w:rFonts w:ascii="Times New Roman" w:hAnsi="Times New Roman" w:cs="Times New Roman"/>
                <w:kern w:val="0"/>
                <w:sz w:val="21"/>
                <w:szCs w:val="21"/>
              </w:rPr>
              <w:t>类标准</w:t>
            </w:r>
          </w:p>
        </w:tc>
      </w:tr>
      <w:tr w:rsidR="004E3021" w:rsidRPr="00AB41E0" w:rsidTr="00AE03D6">
        <w:tc>
          <w:tcPr>
            <w:tcW w:w="1257"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空气环境</w:t>
            </w:r>
          </w:p>
        </w:tc>
        <w:tc>
          <w:tcPr>
            <w:tcW w:w="133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居住区、商业交通居民混合区、文化区、工业区和农村地区</w:t>
            </w:r>
          </w:p>
        </w:tc>
        <w:tc>
          <w:tcPr>
            <w:tcW w:w="2409"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《环境空气质量标准》（</w:t>
            </w:r>
            <w:r w:rsidRPr="00AB41E0">
              <w:rPr>
                <w:rFonts w:ascii="Times New Roman" w:hAnsi="Times New Roman" w:cs="Times New Roman"/>
                <w:kern w:val="0"/>
                <w:sz w:val="21"/>
                <w:szCs w:val="21"/>
              </w:rPr>
              <w:t>GB3095-2012</w:t>
            </w:r>
            <w:r w:rsidRPr="00AB41E0">
              <w:rPr>
                <w:rFonts w:ascii="Times New Roman" w:hAnsi="Times New Roman" w:cs="Times New Roman"/>
                <w:kern w:val="0"/>
                <w:sz w:val="21"/>
                <w:szCs w:val="21"/>
              </w:rPr>
              <w:t>）二级标准</w:t>
            </w:r>
          </w:p>
        </w:tc>
      </w:tr>
      <w:tr w:rsidR="004E3021" w:rsidRPr="00AB41E0" w:rsidTr="00AE03D6">
        <w:tc>
          <w:tcPr>
            <w:tcW w:w="1257" w:type="pct"/>
            <w:gridSpan w:val="2"/>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声环境</w:t>
            </w:r>
          </w:p>
        </w:tc>
        <w:tc>
          <w:tcPr>
            <w:tcW w:w="133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以工业生产、仓储物流为主要功能，需要防止工业噪声对周围环境产生严重影响的区域</w:t>
            </w:r>
          </w:p>
        </w:tc>
        <w:tc>
          <w:tcPr>
            <w:tcW w:w="2409"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《声环境质量标准》（</w:t>
            </w:r>
            <w:r w:rsidRPr="00AB41E0">
              <w:rPr>
                <w:rFonts w:ascii="Times New Roman" w:hAnsi="Times New Roman" w:cs="Times New Roman"/>
                <w:kern w:val="0"/>
                <w:sz w:val="21"/>
                <w:szCs w:val="21"/>
              </w:rPr>
              <w:t>GB3096-2008</w:t>
            </w:r>
            <w:r w:rsidRPr="00AB41E0">
              <w:rPr>
                <w:rFonts w:ascii="Times New Roman" w:hAnsi="Times New Roman" w:cs="Times New Roman"/>
                <w:kern w:val="0"/>
                <w:sz w:val="21"/>
                <w:szCs w:val="21"/>
              </w:rPr>
              <w:t>）</w:t>
            </w:r>
            <w:r w:rsidRPr="00AB41E0">
              <w:rPr>
                <w:rFonts w:ascii="Times New Roman" w:hAnsi="Times New Roman" w:cs="Times New Roman"/>
                <w:kern w:val="0"/>
                <w:sz w:val="21"/>
                <w:szCs w:val="21"/>
              </w:rPr>
              <w:t>3</w:t>
            </w:r>
            <w:r w:rsidRPr="00AB41E0">
              <w:rPr>
                <w:rFonts w:ascii="Times New Roman" w:hAnsi="Times New Roman" w:cs="Times New Roman"/>
                <w:kern w:val="0"/>
                <w:sz w:val="21"/>
                <w:szCs w:val="21"/>
              </w:rPr>
              <w:t>类标准</w:t>
            </w:r>
          </w:p>
        </w:tc>
      </w:tr>
      <w:tr w:rsidR="004E3021" w:rsidRPr="00AB41E0" w:rsidTr="00AE03D6">
        <w:trPr>
          <w:trHeight w:val="720"/>
        </w:trPr>
        <w:tc>
          <w:tcPr>
            <w:tcW w:w="1257" w:type="pct"/>
            <w:gridSpan w:val="2"/>
            <w:vMerge w:val="restar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土壤</w:t>
            </w:r>
          </w:p>
        </w:tc>
        <w:tc>
          <w:tcPr>
            <w:tcW w:w="133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建设用地</w:t>
            </w:r>
          </w:p>
        </w:tc>
        <w:tc>
          <w:tcPr>
            <w:tcW w:w="2409"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《土壤环境质量</w:t>
            </w:r>
            <w:r w:rsidRPr="00AB41E0">
              <w:rPr>
                <w:rFonts w:ascii="Times New Roman" w:hAnsi="Times New Roman" w:cs="Times New Roman"/>
                <w:kern w:val="0"/>
                <w:sz w:val="21"/>
                <w:szCs w:val="21"/>
              </w:rPr>
              <w:t xml:space="preserve"> </w:t>
            </w:r>
            <w:r w:rsidRPr="00AB41E0">
              <w:rPr>
                <w:rFonts w:ascii="Times New Roman" w:hAnsi="Times New Roman" w:cs="Times New Roman"/>
                <w:kern w:val="0"/>
                <w:sz w:val="21"/>
                <w:szCs w:val="21"/>
              </w:rPr>
              <w:t>建设用地土壤污染风险管控标准（试行）》（</w:t>
            </w:r>
            <w:r w:rsidRPr="00AB41E0">
              <w:rPr>
                <w:rFonts w:ascii="Times New Roman" w:hAnsi="Times New Roman" w:cs="Times New Roman"/>
                <w:kern w:val="0"/>
                <w:sz w:val="21"/>
                <w:szCs w:val="21"/>
              </w:rPr>
              <w:t>GB36600-2018</w:t>
            </w:r>
            <w:r w:rsidRPr="00AB41E0">
              <w:rPr>
                <w:rFonts w:ascii="Times New Roman" w:hAnsi="Times New Roman" w:cs="Times New Roman"/>
                <w:kern w:val="0"/>
                <w:sz w:val="21"/>
                <w:szCs w:val="21"/>
              </w:rPr>
              <w:t>）中第二类用地风险筛选值</w:t>
            </w:r>
          </w:p>
        </w:tc>
      </w:tr>
      <w:tr w:rsidR="004E3021" w:rsidRPr="00AB41E0" w:rsidTr="00AE03D6">
        <w:trPr>
          <w:trHeight w:val="720"/>
        </w:trPr>
        <w:tc>
          <w:tcPr>
            <w:tcW w:w="1257" w:type="pct"/>
            <w:gridSpan w:val="2"/>
            <w:vMerge/>
            <w:vAlign w:val="center"/>
          </w:tcPr>
          <w:p w:rsidR="004E3021" w:rsidRPr="00AB41E0" w:rsidRDefault="004E3021" w:rsidP="00AB41E0">
            <w:pPr>
              <w:pStyle w:val="afffffff2"/>
              <w:rPr>
                <w:rFonts w:ascii="Times New Roman" w:hAnsi="Times New Roman" w:cs="Times New Roman"/>
                <w:kern w:val="0"/>
                <w:sz w:val="21"/>
                <w:szCs w:val="21"/>
              </w:rPr>
            </w:pPr>
          </w:p>
        </w:tc>
        <w:tc>
          <w:tcPr>
            <w:tcW w:w="1334"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农用地</w:t>
            </w:r>
          </w:p>
        </w:tc>
        <w:tc>
          <w:tcPr>
            <w:tcW w:w="2409" w:type="pct"/>
            <w:vAlign w:val="center"/>
          </w:tcPr>
          <w:p w:rsidR="004E3021" w:rsidRPr="00AB41E0" w:rsidRDefault="00606E48" w:rsidP="00AB41E0">
            <w:pPr>
              <w:pStyle w:val="afffffff2"/>
              <w:rPr>
                <w:rFonts w:ascii="Times New Roman" w:hAnsi="Times New Roman" w:cs="Times New Roman"/>
                <w:kern w:val="0"/>
                <w:sz w:val="21"/>
                <w:szCs w:val="21"/>
              </w:rPr>
            </w:pPr>
            <w:r w:rsidRPr="00AB41E0">
              <w:rPr>
                <w:rFonts w:ascii="Times New Roman" w:hAnsi="Times New Roman" w:cs="Times New Roman"/>
                <w:kern w:val="0"/>
                <w:sz w:val="21"/>
                <w:szCs w:val="21"/>
              </w:rPr>
              <w:t>《土壤环境质量</w:t>
            </w:r>
            <w:r w:rsidRPr="00AB41E0">
              <w:rPr>
                <w:rFonts w:ascii="Times New Roman" w:hAnsi="Times New Roman" w:cs="Times New Roman"/>
                <w:kern w:val="0"/>
                <w:sz w:val="21"/>
                <w:szCs w:val="21"/>
              </w:rPr>
              <w:t xml:space="preserve"> </w:t>
            </w:r>
            <w:r w:rsidRPr="00AB41E0">
              <w:rPr>
                <w:rFonts w:ascii="Times New Roman" w:hAnsi="Times New Roman" w:cs="Times New Roman"/>
                <w:kern w:val="0"/>
                <w:sz w:val="21"/>
                <w:szCs w:val="21"/>
              </w:rPr>
              <w:t>农用地土壤污染风险管控标准（试行）》（</w:t>
            </w:r>
            <w:r w:rsidRPr="00AB41E0">
              <w:rPr>
                <w:rFonts w:ascii="Times New Roman" w:hAnsi="Times New Roman" w:cs="Times New Roman"/>
                <w:kern w:val="0"/>
                <w:sz w:val="21"/>
                <w:szCs w:val="21"/>
              </w:rPr>
              <w:t>GB15618-2018</w:t>
            </w:r>
            <w:r w:rsidRPr="00AB41E0">
              <w:rPr>
                <w:rFonts w:ascii="Times New Roman" w:hAnsi="Times New Roman" w:cs="Times New Roman"/>
                <w:kern w:val="0"/>
                <w:sz w:val="21"/>
                <w:szCs w:val="21"/>
              </w:rPr>
              <w:t>）中相应标准</w:t>
            </w:r>
          </w:p>
        </w:tc>
      </w:tr>
    </w:tbl>
    <w:p w:rsidR="004E3021" w:rsidRDefault="004E3021">
      <w:pPr>
        <w:ind w:firstLineChars="0" w:firstLine="0"/>
      </w:pPr>
    </w:p>
    <w:p w:rsidR="004E3021" w:rsidRDefault="004E3021">
      <w:pPr>
        <w:pStyle w:val="afffffffffffffffff2"/>
        <w:sectPr w:rsidR="004E3021">
          <w:pgSz w:w="11906" w:h="16838"/>
          <w:pgMar w:top="1440" w:right="1440" w:bottom="1440" w:left="1440" w:header="851" w:footer="992" w:gutter="0"/>
          <w:cols w:space="425"/>
          <w:docGrid w:type="lines" w:linePitch="326"/>
        </w:sectPr>
      </w:pPr>
    </w:p>
    <w:p w:rsidR="004E3021" w:rsidRDefault="00606E48">
      <w:pPr>
        <w:pStyle w:val="afffffffffffffffff2"/>
      </w:pPr>
      <w:bookmarkStart w:id="112" w:name="_Toc221500945"/>
      <w:r>
        <w:rPr>
          <w:rFonts w:hint="eastAsia"/>
        </w:rPr>
        <w:lastRenderedPageBreak/>
        <w:t>3</w:t>
      </w:r>
      <w:r>
        <w:rPr>
          <w:rFonts w:hint="eastAsia"/>
        </w:rPr>
        <w:t>、建设项目工程分析</w:t>
      </w:r>
      <w:bookmarkEnd w:id="112"/>
    </w:p>
    <w:p w:rsidR="004E3021" w:rsidRDefault="00606E48">
      <w:pPr>
        <w:pStyle w:val="afffffffffffffffff3"/>
      </w:pPr>
      <w:bookmarkStart w:id="113" w:name="_Toc221500946"/>
      <w:r>
        <w:rPr>
          <w:rFonts w:hint="eastAsia"/>
        </w:rPr>
        <w:t>3</w:t>
      </w:r>
      <w:r>
        <w:t>.1</w:t>
      </w:r>
      <w:r>
        <w:t>现有工程概况</w:t>
      </w:r>
      <w:bookmarkEnd w:id="113"/>
    </w:p>
    <w:p w:rsidR="004E3021" w:rsidRDefault="00606E48">
      <w:pPr>
        <w:pStyle w:val="afffffffffffffffff4"/>
      </w:pPr>
      <w:bookmarkStart w:id="114" w:name="_Toc100783972"/>
      <w:bookmarkStart w:id="115" w:name="_Toc101135804"/>
      <w:bookmarkStart w:id="116" w:name="_Toc108662567"/>
      <w:bookmarkStart w:id="117" w:name="_Toc221088732"/>
      <w:bookmarkStart w:id="118" w:name="_Toc221500947"/>
      <w:r>
        <w:rPr>
          <w:rFonts w:hint="eastAsia"/>
        </w:rPr>
        <w:t>3</w:t>
      </w:r>
      <w:r>
        <w:t>.1.1</w:t>
      </w:r>
      <w:r>
        <w:t>现有工程基本情况</w:t>
      </w:r>
      <w:bookmarkEnd w:id="114"/>
      <w:bookmarkEnd w:id="115"/>
      <w:bookmarkEnd w:id="116"/>
      <w:bookmarkEnd w:id="117"/>
      <w:bookmarkEnd w:id="118"/>
    </w:p>
    <w:p w:rsidR="004E3021" w:rsidRDefault="00606E48">
      <w:pPr>
        <w:ind w:firstLine="480"/>
      </w:pPr>
      <w:r>
        <w:t>安徽凯盛</w:t>
      </w:r>
      <w:r>
        <w:rPr>
          <w:rFonts w:hint="eastAsia"/>
        </w:rPr>
        <w:t>应用</w:t>
      </w:r>
      <w:r>
        <w:t>材料</w:t>
      </w:r>
      <w:r>
        <w:rPr>
          <w:rFonts w:hint="eastAsia"/>
        </w:rPr>
        <w:t>有限</w:t>
      </w:r>
      <w:r>
        <w:t>公司</w:t>
      </w:r>
      <w:r>
        <w:rPr>
          <w:rFonts w:hint="eastAsia"/>
        </w:rPr>
        <w:t>位于安徽蚌埠淮上经济开发区开源大道</w:t>
      </w:r>
      <w:r>
        <w:rPr>
          <w:rFonts w:hint="eastAsia"/>
        </w:rPr>
        <w:t>2</w:t>
      </w:r>
      <w:r>
        <w:t>8</w:t>
      </w:r>
      <w:r>
        <w:rPr>
          <w:rFonts w:hint="eastAsia"/>
        </w:rPr>
        <w:t>号，是凯盛科技股份有限公司</w:t>
      </w:r>
      <w:r>
        <w:rPr>
          <w:rFonts w:hint="eastAsia"/>
        </w:rPr>
        <w:t>2</w:t>
      </w:r>
      <w:r>
        <w:t>014</w:t>
      </w:r>
      <w:r>
        <w:t>年设立的子公司</w:t>
      </w:r>
      <w:r>
        <w:rPr>
          <w:rFonts w:hint="eastAsia"/>
        </w:rPr>
        <w:t>，</w:t>
      </w:r>
      <w:r>
        <w:t>注册资本为</w:t>
      </w:r>
      <w:r>
        <w:rPr>
          <w:rFonts w:hint="eastAsia"/>
        </w:rPr>
        <w:t>5</w:t>
      </w:r>
      <w:r>
        <w:t>594.06</w:t>
      </w:r>
      <w:r>
        <w:t>万元</w:t>
      </w:r>
      <w:r>
        <w:rPr>
          <w:rFonts w:hint="eastAsia"/>
        </w:rPr>
        <w:t>，</w:t>
      </w:r>
      <w:r>
        <w:t>其中凯盛科技占股</w:t>
      </w:r>
      <w:r>
        <w:rPr>
          <w:rFonts w:hint="eastAsia"/>
        </w:rPr>
        <w:t>6</w:t>
      </w:r>
      <w:r>
        <w:t>2.57</w:t>
      </w:r>
      <w:r>
        <w:rPr>
          <w:rFonts w:hint="eastAsia"/>
        </w:rPr>
        <w:t>%</w:t>
      </w:r>
      <w:r>
        <w:rPr>
          <w:rFonts w:hint="eastAsia"/>
        </w:rPr>
        <w:t>，</w:t>
      </w:r>
      <w:r>
        <w:t>蚌埠中创投资有限责任公司占股</w:t>
      </w:r>
      <w:r>
        <w:rPr>
          <w:rFonts w:hint="eastAsia"/>
        </w:rPr>
        <w:t>3</w:t>
      </w:r>
      <w:r>
        <w:t>7.43</w:t>
      </w:r>
      <w:r>
        <w:rPr>
          <w:rFonts w:hint="eastAsia"/>
        </w:rPr>
        <w:t>%</w:t>
      </w:r>
      <w:r>
        <w:rPr>
          <w:rFonts w:hint="eastAsia"/>
        </w:rPr>
        <w:t>。</w:t>
      </w:r>
    </w:p>
    <w:p w:rsidR="004E3021" w:rsidRDefault="00606E48">
      <w:pPr>
        <w:pStyle w:val="afffffffffffffffff4"/>
      </w:pPr>
      <w:bookmarkStart w:id="119" w:name="_Toc221088733"/>
      <w:bookmarkStart w:id="120" w:name="_Toc221500948"/>
      <w:r>
        <w:rPr>
          <w:rFonts w:hint="eastAsia"/>
        </w:rPr>
        <w:t>3</w:t>
      </w:r>
      <w:r>
        <w:t>.1.2</w:t>
      </w:r>
      <w:r>
        <w:t>现有</w:t>
      </w:r>
      <w:r>
        <w:rPr>
          <w:rFonts w:hint="eastAsia"/>
        </w:rPr>
        <w:t>厂区平面布置</w:t>
      </w:r>
      <w:bookmarkEnd w:id="119"/>
      <w:bookmarkEnd w:id="120"/>
    </w:p>
    <w:p w:rsidR="004E3021" w:rsidRDefault="00606E48">
      <w:pPr>
        <w:ind w:firstLine="480"/>
        <w:rPr>
          <w:kern w:val="0"/>
        </w:rPr>
      </w:pPr>
      <w:r>
        <w:rPr>
          <w:rFonts w:ascii="宋体" w:hAnsi="宋体" w:hint="eastAsia"/>
        </w:rPr>
        <w:t>安徽凯盛应用材料有限公司位于安徽蚌埠淮上经济开发区开源大道</w:t>
      </w:r>
      <w:r>
        <w:rPr>
          <w:rFonts w:hint="eastAsia"/>
        </w:rPr>
        <w:t>28</w:t>
      </w:r>
      <w:r>
        <w:rPr>
          <w:rFonts w:ascii="宋体" w:hAnsi="宋体" w:hint="eastAsia"/>
        </w:rPr>
        <w:t>号，</w:t>
      </w:r>
      <w:r>
        <w:rPr>
          <w:rFonts w:ascii="宋体" w:hAnsi="宋体" w:hint="eastAsia"/>
          <w:kern w:val="0"/>
        </w:rPr>
        <w:t>紧邻</w:t>
      </w:r>
      <w:r>
        <w:rPr>
          <w:rFonts w:ascii="宋体" w:hAnsi="宋体" w:hint="eastAsia"/>
        </w:rPr>
        <w:t>开源大道和</w:t>
      </w:r>
      <w:r>
        <w:rPr>
          <w:rFonts w:ascii="宋体" w:hAnsi="宋体"/>
        </w:rPr>
        <w:t>金</w:t>
      </w:r>
      <w:r>
        <w:rPr>
          <w:rFonts w:ascii="宋体" w:hAnsi="宋体" w:hint="eastAsia"/>
        </w:rPr>
        <w:t>潼</w:t>
      </w:r>
      <w:r>
        <w:rPr>
          <w:rFonts w:ascii="宋体" w:hAnsi="宋体"/>
        </w:rPr>
        <w:t>路</w:t>
      </w:r>
      <w:r>
        <w:rPr>
          <w:rFonts w:ascii="宋体" w:hAnsi="宋体" w:hint="eastAsia"/>
          <w:kern w:val="0"/>
        </w:rPr>
        <w:t>，交通便捷。</w:t>
      </w:r>
    </w:p>
    <w:p w:rsidR="004E3021" w:rsidRDefault="00606E48">
      <w:pPr>
        <w:ind w:firstLine="480"/>
      </w:pPr>
      <w:r>
        <w:rPr>
          <w:rFonts w:ascii="宋体" w:hAnsi="宋体" w:hint="eastAsia"/>
        </w:rPr>
        <w:t>现有厂区平面布置按节约用地、布局紧凑又便于生产管理的原则，适当利用道路和绿化带合理布局各功能分区。根据各自生产的特性及功能需求，现有厂区可分为五大功能区，分别为办公生活区、生产区、储罐区、废水处理区、公用及辅助设施区等。</w:t>
      </w:r>
    </w:p>
    <w:p w:rsidR="004E3021" w:rsidRDefault="00606E48">
      <w:pPr>
        <w:ind w:firstLine="480"/>
      </w:pPr>
      <w:r>
        <w:rPr>
          <w:rFonts w:ascii="宋体" w:hAnsi="宋体" w:hint="eastAsia"/>
        </w:rPr>
        <w:t>（</w:t>
      </w:r>
      <w:r>
        <w:rPr>
          <w:rFonts w:hint="eastAsia"/>
        </w:rPr>
        <w:t>1</w:t>
      </w:r>
      <w:r>
        <w:rPr>
          <w:rFonts w:ascii="宋体" w:hAnsi="宋体" w:hint="eastAsia"/>
        </w:rPr>
        <w:t>）办公生活区</w:t>
      </w:r>
    </w:p>
    <w:p w:rsidR="004E3021" w:rsidRDefault="00606E48">
      <w:pPr>
        <w:autoSpaceDE w:val="0"/>
        <w:autoSpaceDN w:val="0"/>
        <w:ind w:firstLine="480"/>
        <w:rPr>
          <w:rFonts w:cs="宋体"/>
          <w:kern w:val="0"/>
        </w:rPr>
      </w:pPr>
      <w:r>
        <w:rPr>
          <w:rFonts w:ascii="宋体" w:hAnsi="宋体" w:hint="eastAsia"/>
          <w:kern w:val="0"/>
        </w:rPr>
        <w:t>该区</w:t>
      </w:r>
      <w:r>
        <w:rPr>
          <w:rFonts w:ascii="宋体" w:hAnsi="宋体" w:cs="宋体"/>
          <w:kern w:val="0"/>
        </w:rPr>
        <w:t>位于</w:t>
      </w:r>
      <w:r>
        <w:rPr>
          <w:rFonts w:ascii="宋体" w:hAnsi="宋体" w:hint="eastAsia"/>
          <w:kern w:val="0"/>
        </w:rPr>
        <w:t>厂区西北</w:t>
      </w:r>
      <w:r>
        <w:rPr>
          <w:rFonts w:ascii="宋体" w:hAnsi="宋体" w:cs="宋体"/>
          <w:kern w:val="0"/>
        </w:rPr>
        <w:t>部</w:t>
      </w:r>
      <w:r>
        <w:rPr>
          <w:rFonts w:ascii="宋体" w:hAnsi="宋体" w:hint="eastAsia"/>
          <w:kern w:val="0"/>
        </w:rPr>
        <w:t>，包括</w:t>
      </w:r>
      <w:r>
        <w:rPr>
          <w:rFonts w:ascii="宋体" w:hAnsi="宋体" w:cs="宋体"/>
          <w:kern w:val="0"/>
        </w:rPr>
        <w:t>办公楼</w:t>
      </w:r>
      <w:r>
        <w:rPr>
          <w:rFonts w:ascii="宋体" w:hAnsi="宋体" w:hint="eastAsia"/>
          <w:kern w:val="0"/>
        </w:rPr>
        <w:t>和</w:t>
      </w:r>
      <w:r>
        <w:rPr>
          <w:rFonts w:ascii="宋体" w:hAnsi="宋体" w:cs="宋体"/>
          <w:kern w:val="0"/>
        </w:rPr>
        <w:t>综合楼</w:t>
      </w:r>
      <w:r>
        <w:rPr>
          <w:rFonts w:ascii="宋体" w:hAnsi="宋体" w:hint="eastAsia"/>
          <w:kern w:val="0"/>
        </w:rPr>
        <w:t>，区内环境相对清洁独立，进出管理方便。</w:t>
      </w:r>
    </w:p>
    <w:p w:rsidR="004E3021" w:rsidRDefault="00606E48">
      <w:pPr>
        <w:ind w:firstLine="480"/>
      </w:pPr>
      <w:r>
        <w:rPr>
          <w:rFonts w:ascii="宋体" w:hAnsi="宋体" w:hint="eastAsia"/>
        </w:rPr>
        <w:t>（</w:t>
      </w:r>
      <w:r>
        <w:rPr>
          <w:rFonts w:hint="eastAsia"/>
        </w:rPr>
        <w:t>2</w:t>
      </w:r>
      <w:r>
        <w:rPr>
          <w:rFonts w:ascii="宋体" w:hAnsi="宋体" w:hint="eastAsia"/>
        </w:rPr>
        <w:t>）生产区</w:t>
      </w:r>
    </w:p>
    <w:p w:rsidR="004E3021" w:rsidRDefault="00606E48">
      <w:pPr>
        <w:ind w:firstLine="480"/>
      </w:pPr>
      <w:r>
        <w:rPr>
          <w:rFonts w:ascii="宋体" w:hAnsi="宋体" w:hint="eastAsia"/>
        </w:rPr>
        <w:t>该区位于厂区中部位置，主要包括钛酸钡</w:t>
      </w:r>
      <w:r>
        <w:rPr>
          <w:rFonts w:ascii="宋体" w:hAnsi="宋体"/>
        </w:rPr>
        <w:t>生产车间（</w:t>
      </w:r>
      <w:r>
        <w:rPr>
          <w:rFonts w:hint="eastAsia"/>
        </w:rPr>
        <w:t>B</w:t>
      </w:r>
      <w:r>
        <w:t>1</w:t>
      </w:r>
      <w:r>
        <w:rPr>
          <w:rFonts w:ascii="宋体" w:hAnsi="宋体" w:hint="eastAsia"/>
        </w:rPr>
        <w:t>厂房</w:t>
      </w:r>
      <w:r>
        <w:rPr>
          <w:rFonts w:ascii="宋体" w:hAnsi="宋体"/>
        </w:rPr>
        <w:t>）</w:t>
      </w:r>
      <w:r>
        <w:rPr>
          <w:rFonts w:ascii="宋体" w:hAnsi="宋体" w:hint="eastAsia"/>
        </w:rPr>
        <w:t>、抛光研磨材料</w:t>
      </w:r>
      <w:r>
        <w:rPr>
          <w:rFonts w:ascii="宋体" w:hAnsi="宋体"/>
        </w:rPr>
        <w:t>生产车间（</w:t>
      </w:r>
      <w:r>
        <w:rPr>
          <w:rFonts w:hint="eastAsia"/>
        </w:rPr>
        <w:t>C</w:t>
      </w:r>
      <w:r>
        <w:t>1</w:t>
      </w:r>
      <w:r>
        <w:rPr>
          <w:rFonts w:ascii="宋体" w:hAnsi="宋体" w:hint="eastAsia"/>
        </w:rPr>
        <w:t>厂房</w:t>
      </w:r>
      <w:r>
        <w:rPr>
          <w:rFonts w:ascii="宋体" w:hAnsi="宋体"/>
        </w:rPr>
        <w:t>）</w:t>
      </w:r>
      <w:r>
        <w:rPr>
          <w:rFonts w:ascii="宋体" w:hAnsi="宋体" w:hint="eastAsia"/>
        </w:rPr>
        <w:t>和光伏用二氧化硅实验室（</w:t>
      </w:r>
      <w:r>
        <w:rPr>
          <w:rFonts w:hint="eastAsia"/>
        </w:rPr>
        <w:t>A1</w:t>
      </w:r>
      <w:r>
        <w:rPr>
          <w:rFonts w:ascii="宋体" w:hAnsi="宋体" w:hint="eastAsia"/>
        </w:rPr>
        <w:t>厂房），距离办公生活区有一定的距离，对员工的办公生活影响较小。</w:t>
      </w:r>
    </w:p>
    <w:p w:rsidR="004E3021" w:rsidRDefault="00606E48">
      <w:pPr>
        <w:ind w:firstLine="480"/>
      </w:pPr>
      <w:r>
        <w:rPr>
          <w:rFonts w:ascii="宋体" w:hAnsi="宋体" w:hint="eastAsia"/>
        </w:rPr>
        <w:t>（</w:t>
      </w:r>
      <w:r>
        <w:rPr>
          <w:rFonts w:hint="eastAsia"/>
        </w:rPr>
        <w:t>3</w:t>
      </w:r>
      <w:r>
        <w:rPr>
          <w:rFonts w:ascii="宋体" w:hAnsi="宋体" w:hint="eastAsia"/>
        </w:rPr>
        <w:t>）储罐区</w:t>
      </w:r>
    </w:p>
    <w:p w:rsidR="004E3021" w:rsidRDefault="00606E48">
      <w:pPr>
        <w:ind w:firstLine="480"/>
      </w:pPr>
      <w:r>
        <w:rPr>
          <w:rFonts w:ascii="宋体" w:hAnsi="宋体" w:hint="eastAsia"/>
        </w:rPr>
        <w:t>该区</w:t>
      </w:r>
      <w:r>
        <w:rPr>
          <w:rFonts w:ascii="宋体" w:hAnsi="宋体"/>
        </w:rPr>
        <w:t>位于</w:t>
      </w:r>
      <w:r>
        <w:rPr>
          <w:rFonts w:ascii="宋体" w:hAnsi="宋体" w:hint="eastAsia"/>
        </w:rPr>
        <w:t>生产区南侧</w:t>
      </w:r>
      <w:r>
        <w:rPr>
          <w:rFonts w:ascii="宋体" w:hAnsi="宋体"/>
        </w:rPr>
        <w:t>和</w:t>
      </w:r>
      <w:r>
        <w:rPr>
          <w:rFonts w:ascii="宋体" w:hAnsi="宋体" w:hint="eastAsia"/>
        </w:rPr>
        <w:t>钛酸钡</w:t>
      </w:r>
      <w:r>
        <w:rPr>
          <w:rFonts w:ascii="宋体" w:hAnsi="宋体"/>
        </w:rPr>
        <w:t>生产车间（</w:t>
      </w:r>
      <w:r>
        <w:rPr>
          <w:rFonts w:hint="eastAsia"/>
        </w:rPr>
        <w:t>B</w:t>
      </w:r>
      <w:r>
        <w:t>1</w:t>
      </w:r>
      <w:r>
        <w:rPr>
          <w:rFonts w:ascii="宋体" w:hAnsi="宋体" w:hint="eastAsia"/>
        </w:rPr>
        <w:t>厂房</w:t>
      </w:r>
      <w:r>
        <w:rPr>
          <w:rFonts w:ascii="宋体" w:hAnsi="宋体"/>
        </w:rPr>
        <w:t>）</w:t>
      </w:r>
      <w:r>
        <w:rPr>
          <w:rFonts w:ascii="宋体" w:hAnsi="宋体" w:hint="eastAsia"/>
        </w:rPr>
        <w:t>西侧</w:t>
      </w:r>
      <w:r>
        <w:rPr>
          <w:rFonts w:ascii="宋体" w:hAnsi="宋体"/>
        </w:rPr>
        <w:t>，主要包括</w:t>
      </w:r>
      <w:r>
        <w:rPr>
          <w:rFonts w:ascii="宋体" w:hAnsi="宋体" w:hint="eastAsia"/>
        </w:rPr>
        <w:t>四氯化钛储罐区和</w:t>
      </w:r>
      <w:r>
        <w:rPr>
          <w:rFonts w:ascii="宋体" w:hAnsi="宋体"/>
        </w:rPr>
        <w:t>氨水储罐区，位于生产</w:t>
      </w:r>
      <w:r>
        <w:rPr>
          <w:rFonts w:ascii="宋体" w:hAnsi="宋体" w:hint="eastAsia"/>
        </w:rPr>
        <w:t>车间</w:t>
      </w:r>
      <w:r>
        <w:rPr>
          <w:rFonts w:ascii="宋体" w:hAnsi="宋体"/>
        </w:rPr>
        <w:t>附近，便于原辅料的</w:t>
      </w:r>
      <w:r>
        <w:rPr>
          <w:rFonts w:ascii="宋体" w:hAnsi="宋体" w:hint="eastAsia"/>
        </w:rPr>
        <w:t>输送。</w:t>
      </w:r>
    </w:p>
    <w:p w:rsidR="004E3021" w:rsidRDefault="00606E48">
      <w:pPr>
        <w:ind w:firstLine="480"/>
      </w:pPr>
      <w:r>
        <w:rPr>
          <w:rFonts w:ascii="宋体" w:hAnsi="宋体" w:hint="eastAsia"/>
        </w:rPr>
        <w:t>（</w:t>
      </w:r>
      <w:r>
        <w:rPr>
          <w:rFonts w:hint="eastAsia"/>
        </w:rPr>
        <w:t>4</w:t>
      </w:r>
      <w:r>
        <w:rPr>
          <w:rFonts w:ascii="宋体" w:hAnsi="宋体" w:hint="eastAsia"/>
        </w:rPr>
        <w:t>）废水处理区</w:t>
      </w:r>
    </w:p>
    <w:p w:rsidR="004E3021" w:rsidRDefault="00606E48">
      <w:pPr>
        <w:ind w:firstLine="480"/>
        <w:rPr>
          <w:rFonts w:cs="宋体"/>
          <w:kern w:val="0"/>
        </w:rPr>
      </w:pPr>
      <w:r>
        <w:rPr>
          <w:rFonts w:ascii="宋体" w:hAnsi="宋体" w:hint="eastAsia"/>
        </w:rPr>
        <w:t>该</w:t>
      </w:r>
      <w:r>
        <w:rPr>
          <w:rFonts w:ascii="宋体" w:hAnsi="宋体"/>
        </w:rPr>
        <w:t>区</w:t>
      </w:r>
      <w:r>
        <w:rPr>
          <w:rFonts w:ascii="宋体" w:hAnsi="宋体" w:hint="eastAsia"/>
        </w:rPr>
        <w:t>生产区南侧，</w:t>
      </w:r>
      <w:r>
        <w:rPr>
          <w:rFonts w:ascii="宋体" w:hAnsi="宋体"/>
        </w:rPr>
        <w:t>设有</w:t>
      </w:r>
      <w:r>
        <w:rPr>
          <w:rFonts w:ascii="宋体" w:hAnsi="宋体" w:hint="eastAsia"/>
        </w:rPr>
        <w:t>中和池、脱氨塔、</w:t>
      </w:r>
      <w:r>
        <w:rPr>
          <w:rFonts w:ascii="宋体" w:hAnsi="宋体"/>
        </w:rPr>
        <w:t>沉淀池等</w:t>
      </w:r>
      <w:r>
        <w:rPr>
          <w:rFonts w:ascii="宋体" w:hAnsi="宋体" w:hint="eastAsia"/>
        </w:rPr>
        <w:t>，</w:t>
      </w:r>
      <w:r>
        <w:rPr>
          <w:rFonts w:ascii="宋体" w:hAnsi="宋体" w:cs="宋体"/>
          <w:kern w:val="0"/>
        </w:rPr>
        <w:t>用于</w:t>
      </w:r>
      <w:r>
        <w:rPr>
          <w:rFonts w:ascii="宋体" w:hAnsi="宋体" w:hint="eastAsia"/>
          <w:kern w:val="0"/>
        </w:rPr>
        <w:t>生产</w:t>
      </w:r>
      <w:r>
        <w:rPr>
          <w:rFonts w:ascii="宋体" w:hAnsi="宋体" w:cs="宋体"/>
          <w:kern w:val="0"/>
        </w:rPr>
        <w:t>废水的处理</w:t>
      </w:r>
      <w:r>
        <w:rPr>
          <w:rFonts w:ascii="宋体" w:hAnsi="宋体" w:hint="eastAsia"/>
          <w:kern w:val="0"/>
        </w:rPr>
        <w:t>。</w:t>
      </w:r>
    </w:p>
    <w:p w:rsidR="004E3021" w:rsidRDefault="00606E48">
      <w:pPr>
        <w:ind w:firstLine="480"/>
        <w:rPr>
          <w:rFonts w:cs="宋体"/>
          <w:kern w:val="0"/>
        </w:rPr>
      </w:pPr>
      <w:r>
        <w:rPr>
          <w:rFonts w:ascii="宋体" w:hAnsi="宋体" w:hint="eastAsia"/>
          <w:kern w:val="0"/>
        </w:rPr>
        <w:lastRenderedPageBreak/>
        <w:t>（</w:t>
      </w:r>
      <w:r>
        <w:rPr>
          <w:rFonts w:hint="eastAsia"/>
          <w:kern w:val="0"/>
        </w:rPr>
        <w:t>5</w:t>
      </w:r>
      <w:r>
        <w:rPr>
          <w:rFonts w:ascii="宋体" w:hAnsi="宋体" w:hint="eastAsia"/>
          <w:kern w:val="0"/>
        </w:rPr>
        <w:t>）</w:t>
      </w:r>
      <w:r>
        <w:rPr>
          <w:rFonts w:ascii="宋体" w:hAnsi="宋体" w:hint="eastAsia"/>
        </w:rPr>
        <w:t>公用及辅助设施区</w:t>
      </w:r>
    </w:p>
    <w:p w:rsidR="004E3021" w:rsidRDefault="00606E48">
      <w:pPr>
        <w:ind w:firstLine="480"/>
      </w:pPr>
      <w:r>
        <w:rPr>
          <w:rFonts w:ascii="宋体" w:hAnsi="宋体" w:hint="eastAsia"/>
          <w:kern w:val="0"/>
        </w:rPr>
        <w:t>该区主要包括空压机室</w:t>
      </w:r>
      <w:r>
        <w:rPr>
          <w:rFonts w:ascii="宋体" w:hAnsi="宋体" w:cs="宋体"/>
          <w:kern w:val="0"/>
        </w:rPr>
        <w:t>、</w:t>
      </w:r>
      <w:r>
        <w:rPr>
          <w:rFonts w:ascii="宋体" w:hAnsi="宋体" w:hint="eastAsia"/>
          <w:kern w:val="0"/>
        </w:rPr>
        <w:t>循环</w:t>
      </w:r>
      <w:r>
        <w:rPr>
          <w:rFonts w:ascii="宋体" w:hAnsi="宋体" w:cs="宋体"/>
          <w:kern w:val="0"/>
        </w:rPr>
        <w:t>冷却水塔</w:t>
      </w:r>
      <w:r>
        <w:rPr>
          <w:rFonts w:ascii="宋体" w:hAnsi="宋体" w:hint="eastAsia"/>
          <w:kern w:val="0"/>
        </w:rPr>
        <w:t>、导热</w:t>
      </w:r>
      <w:r>
        <w:rPr>
          <w:rFonts w:ascii="宋体" w:hAnsi="宋体" w:cs="宋体"/>
          <w:kern w:val="0"/>
        </w:rPr>
        <w:t>油炉房</w:t>
      </w:r>
      <w:r>
        <w:rPr>
          <w:rFonts w:ascii="宋体" w:hAnsi="宋体" w:hint="eastAsia"/>
          <w:kern w:val="0"/>
        </w:rPr>
        <w:t>、电控室、消防水池等，分别布置在生产区四周，便于满足生产需求。</w:t>
      </w:r>
    </w:p>
    <w:p w:rsidR="004E3021" w:rsidRDefault="00606E48">
      <w:pPr>
        <w:ind w:firstLine="480"/>
      </w:pPr>
      <w:r>
        <w:rPr>
          <w:rFonts w:ascii="宋体" w:hAnsi="宋体" w:hint="eastAsia"/>
        </w:rPr>
        <w:t>厂区分区明确，各生产工序均在生产车间内进行，原料库、生产车间、成品仓库之间布置便于物料输送，厂内道路满足消防和运输的要求。</w:t>
      </w:r>
      <w:r>
        <w:rPr>
          <w:rFonts w:ascii="宋体" w:hAnsi="宋体"/>
        </w:rPr>
        <w:t>现有厂区</w:t>
      </w:r>
      <w:r>
        <w:rPr>
          <w:rFonts w:ascii="宋体" w:hAnsi="宋体" w:hint="eastAsia"/>
        </w:rPr>
        <w:t>总平面</w:t>
      </w:r>
      <w:r>
        <w:rPr>
          <w:rFonts w:ascii="宋体" w:hAnsi="宋体"/>
        </w:rPr>
        <w:t>布置图见图</w:t>
      </w:r>
      <w:r>
        <w:rPr>
          <w:rFonts w:hint="eastAsia"/>
        </w:rPr>
        <w:t>3.1.2-1</w:t>
      </w:r>
      <w:r>
        <w:rPr>
          <w:rFonts w:ascii="宋体" w:hAnsi="宋体" w:hint="eastAsia"/>
        </w:rPr>
        <w:t>。</w:t>
      </w:r>
    </w:p>
    <w:p w:rsidR="004E3021" w:rsidRDefault="00606E48">
      <w:pPr>
        <w:pStyle w:val="afffffffffffffffff4"/>
      </w:pPr>
      <w:bookmarkStart w:id="121" w:name="_Toc100783973"/>
      <w:bookmarkStart w:id="122" w:name="_Toc108662568"/>
      <w:bookmarkStart w:id="123" w:name="_Toc101135805"/>
      <w:bookmarkStart w:id="124" w:name="_Toc221088734"/>
      <w:bookmarkStart w:id="125" w:name="_Toc221500949"/>
      <w:r>
        <w:rPr>
          <w:rFonts w:hint="eastAsia"/>
        </w:rPr>
        <w:t>3</w:t>
      </w:r>
      <w:r>
        <w:t>.1.3</w:t>
      </w:r>
      <w:r>
        <w:t>现有工程</w:t>
      </w:r>
      <w:r>
        <w:rPr>
          <w:rFonts w:hint="eastAsia"/>
        </w:rPr>
        <w:t>“三同时”及排污许可执行情况</w:t>
      </w:r>
      <w:bookmarkEnd w:id="121"/>
      <w:bookmarkEnd w:id="122"/>
      <w:bookmarkEnd w:id="123"/>
      <w:bookmarkEnd w:id="124"/>
      <w:bookmarkEnd w:id="125"/>
    </w:p>
    <w:p w:rsidR="004E3021" w:rsidRDefault="00606E48">
      <w:pPr>
        <w:pStyle w:val="4a"/>
      </w:pPr>
      <w:r>
        <w:rPr>
          <w:rFonts w:hint="eastAsia"/>
        </w:rPr>
        <w:t>3</w:t>
      </w:r>
      <w:r>
        <w:t>.1.</w:t>
      </w:r>
      <w:r w:rsidR="000A3013">
        <w:t>3</w:t>
      </w:r>
      <w:r>
        <w:t>.1</w:t>
      </w:r>
      <w:r>
        <w:t>现有工程</w:t>
      </w:r>
      <w:r>
        <w:rPr>
          <w:rFonts w:hint="eastAsia"/>
        </w:rPr>
        <w:t>“三同时”执行情况</w:t>
      </w:r>
    </w:p>
    <w:p w:rsidR="004E3021" w:rsidRDefault="00606E48">
      <w:pPr>
        <w:ind w:firstLine="480"/>
      </w:pPr>
      <w:r>
        <w:t>现有工程</w:t>
      </w:r>
      <w:r>
        <w:rPr>
          <w:rFonts w:hint="eastAsia"/>
        </w:rPr>
        <w:t>“三同时”执行情况一览表见表</w:t>
      </w:r>
      <w:r>
        <w:rPr>
          <w:rFonts w:hint="eastAsia"/>
        </w:rPr>
        <w:t>3</w:t>
      </w:r>
      <w:r>
        <w:t>.1.</w:t>
      </w:r>
      <w:r w:rsidR="000A3013">
        <w:t>3</w:t>
      </w:r>
      <w:r>
        <w:t>-1</w:t>
      </w:r>
      <w:r>
        <w:rPr>
          <w:rFonts w:hint="eastAsia"/>
        </w:rPr>
        <w:t>。</w:t>
      </w:r>
    </w:p>
    <w:p w:rsidR="004E3021" w:rsidRDefault="00606E48">
      <w:pPr>
        <w:pStyle w:val="afffff4"/>
      </w:pPr>
      <w:r>
        <w:t>表</w:t>
      </w:r>
      <w:r>
        <w:rPr>
          <w:rFonts w:hint="eastAsia"/>
        </w:rPr>
        <w:t>3</w:t>
      </w:r>
      <w:r>
        <w:t>.1.</w:t>
      </w:r>
      <w:r w:rsidR="000A3013">
        <w:t>3</w:t>
      </w:r>
      <w:r>
        <w:t xml:space="preserve">-1  </w:t>
      </w:r>
      <w:r>
        <w:t>现有工程</w:t>
      </w:r>
      <w:r>
        <w:rPr>
          <w:rFonts w:hint="eastAsia"/>
        </w:rPr>
        <w:t>“三同时”执行情况一览表</w:t>
      </w:r>
    </w:p>
    <w:tbl>
      <w:tblPr>
        <w:tblStyle w:val="afff"/>
        <w:tblW w:w="5000" w:type="pct"/>
        <w:tblLook w:val="04A0" w:firstRow="1" w:lastRow="0" w:firstColumn="1" w:lastColumn="0" w:noHBand="0" w:noVBand="1"/>
      </w:tblPr>
      <w:tblGrid>
        <w:gridCol w:w="678"/>
        <w:gridCol w:w="1930"/>
        <w:gridCol w:w="2323"/>
        <w:gridCol w:w="1271"/>
        <w:gridCol w:w="1170"/>
        <w:gridCol w:w="1654"/>
      </w:tblGrid>
      <w:tr w:rsidR="004E3021" w:rsidRPr="004E4613" w:rsidTr="006E68E1">
        <w:trPr>
          <w:trHeight w:val="245"/>
        </w:trPr>
        <w:tc>
          <w:tcPr>
            <w:tcW w:w="376" w:type="pct"/>
            <w:vMerge w:val="restart"/>
            <w:vAlign w:val="center"/>
          </w:tcPr>
          <w:p w:rsidR="004E3021" w:rsidRPr="004E4613" w:rsidRDefault="00606E48" w:rsidP="006E68E1">
            <w:pPr>
              <w:pStyle w:val="afffffff2"/>
              <w:rPr>
                <w:rFonts w:ascii="Times New Roman" w:hAnsi="Times New Roman" w:cs="Times New Roman"/>
                <w:b/>
                <w:kern w:val="0"/>
                <w:sz w:val="21"/>
                <w:szCs w:val="21"/>
              </w:rPr>
            </w:pPr>
            <w:r w:rsidRPr="004E4613">
              <w:rPr>
                <w:rFonts w:ascii="Times New Roman" w:hAnsi="Times New Roman" w:cs="Times New Roman"/>
                <w:b/>
                <w:kern w:val="0"/>
                <w:sz w:val="21"/>
                <w:szCs w:val="21"/>
              </w:rPr>
              <w:t>序号</w:t>
            </w:r>
          </w:p>
        </w:tc>
        <w:tc>
          <w:tcPr>
            <w:tcW w:w="1069" w:type="pct"/>
            <w:vMerge w:val="restart"/>
            <w:vAlign w:val="center"/>
          </w:tcPr>
          <w:p w:rsidR="004E3021" w:rsidRPr="004E4613" w:rsidRDefault="00606E48" w:rsidP="006E68E1">
            <w:pPr>
              <w:pStyle w:val="afffffff2"/>
              <w:rPr>
                <w:rFonts w:ascii="Times New Roman" w:hAnsi="Times New Roman" w:cs="Times New Roman"/>
                <w:b/>
                <w:kern w:val="0"/>
                <w:sz w:val="21"/>
                <w:szCs w:val="21"/>
              </w:rPr>
            </w:pPr>
            <w:r w:rsidRPr="004E4613">
              <w:rPr>
                <w:rFonts w:ascii="Times New Roman" w:hAnsi="Times New Roman" w:cs="Times New Roman"/>
                <w:b/>
                <w:kern w:val="0"/>
                <w:sz w:val="21"/>
                <w:szCs w:val="21"/>
              </w:rPr>
              <w:t>项目名称</w:t>
            </w:r>
          </w:p>
        </w:tc>
        <w:tc>
          <w:tcPr>
            <w:tcW w:w="1287" w:type="pct"/>
            <w:vMerge w:val="restart"/>
            <w:vAlign w:val="center"/>
          </w:tcPr>
          <w:p w:rsidR="004E3021" w:rsidRPr="004E4613" w:rsidRDefault="00606E48" w:rsidP="006E68E1">
            <w:pPr>
              <w:pStyle w:val="afffffff2"/>
              <w:rPr>
                <w:rFonts w:ascii="Times New Roman" w:hAnsi="Times New Roman" w:cs="Times New Roman"/>
                <w:b/>
                <w:kern w:val="0"/>
                <w:sz w:val="21"/>
                <w:szCs w:val="21"/>
              </w:rPr>
            </w:pPr>
            <w:r w:rsidRPr="004E4613">
              <w:rPr>
                <w:rFonts w:ascii="Times New Roman" w:hAnsi="Times New Roman" w:cs="Times New Roman"/>
                <w:b/>
                <w:kern w:val="0"/>
                <w:sz w:val="21"/>
                <w:szCs w:val="21"/>
              </w:rPr>
              <w:t>现场建设内容</w:t>
            </w:r>
          </w:p>
        </w:tc>
        <w:tc>
          <w:tcPr>
            <w:tcW w:w="1352" w:type="pct"/>
            <w:gridSpan w:val="2"/>
            <w:vAlign w:val="center"/>
          </w:tcPr>
          <w:p w:rsidR="004E3021" w:rsidRPr="004E4613" w:rsidRDefault="00606E48" w:rsidP="006E68E1">
            <w:pPr>
              <w:pStyle w:val="afffffff2"/>
              <w:rPr>
                <w:rFonts w:ascii="Times New Roman" w:hAnsi="Times New Roman" w:cs="Times New Roman"/>
                <w:b/>
                <w:kern w:val="0"/>
                <w:sz w:val="21"/>
                <w:szCs w:val="21"/>
              </w:rPr>
            </w:pPr>
            <w:r w:rsidRPr="004E4613">
              <w:rPr>
                <w:rFonts w:ascii="Times New Roman" w:hAnsi="Times New Roman" w:cs="Times New Roman"/>
                <w:b/>
                <w:kern w:val="0"/>
                <w:sz w:val="21"/>
                <w:szCs w:val="21"/>
              </w:rPr>
              <w:t>环评情况</w:t>
            </w:r>
          </w:p>
        </w:tc>
        <w:tc>
          <w:tcPr>
            <w:tcW w:w="917" w:type="pct"/>
            <w:vMerge w:val="restart"/>
            <w:vAlign w:val="center"/>
          </w:tcPr>
          <w:p w:rsidR="004E3021" w:rsidRPr="004E4613" w:rsidRDefault="00606E48" w:rsidP="006E68E1">
            <w:pPr>
              <w:pStyle w:val="afffffff2"/>
              <w:rPr>
                <w:rFonts w:ascii="Times New Roman" w:hAnsi="Times New Roman" w:cs="Times New Roman"/>
                <w:b/>
                <w:kern w:val="0"/>
                <w:sz w:val="21"/>
                <w:szCs w:val="21"/>
              </w:rPr>
            </w:pPr>
            <w:r w:rsidRPr="004E4613">
              <w:rPr>
                <w:rFonts w:ascii="Times New Roman" w:hAnsi="Times New Roman" w:cs="Times New Roman"/>
                <w:b/>
                <w:kern w:val="0"/>
                <w:sz w:val="21"/>
                <w:szCs w:val="21"/>
              </w:rPr>
              <w:t>验收情况</w:t>
            </w:r>
          </w:p>
        </w:tc>
      </w:tr>
      <w:tr w:rsidR="004E3021" w:rsidRPr="004E4613" w:rsidTr="006E68E1">
        <w:tc>
          <w:tcPr>
            <w:tcW w:w="376" w:type="pct"/>
            <w:vMerge/>
            <w:vAlign w:val="center"/>
          </w:tcPr>
          <w:p w:rsidR="004E3021" w:rsidRPr="004E4613" w:rsidRDefault="004E3021" w:rsidP="006E68E1">
            <w:pPr>
              <w:pStyle w:val="afffffff2"/>
              <w:rPr>
                <w:rFonts w:ascii="Times New Roman" w:hAnsi="Times New Roman" w:cs="Times New Roman"/>
                <w:b/>
                <w:kern w:val="0"/>
                <w:sz w:val="21"/>
                <w:szCs w:val="21"/>
              </w:rPr>
            </w:pPr>
          </w:p>
        </w:tc>
        <w:tc>
          <w:tcPr>
            <w:tcW w:w="1069" w:type="pct"/>
            <w:vMerge/>
            <w:vAlign w:val="center"/>
          </w:tcPr>
          <w:p w:rsidR="004E3021" w:rsidRPr="004E4613" w:rsidRDefault="004E3021" w:rsidP="006E68E1">
            <w:pPr>
              <w:pStyle w:val="afffffff2"/>
              <w:rPr>
                <w:rFonts w:ascii="Times New Roman" w:hAnsi="Times New Roman" w:cs="Times New Roman"/>
                <w:b/>
                <w:kern w:val="0"/>
                <w:sz w:val="21"/>
                <w:szCs w:val="21"/>
              </w:rPr>
            </w:pPr>
          </w:p>
        </w:tc>
        <w:tc>
          <w:tcPr>
            <w:tcW w:w="1287" w:type="pct"/>
            <w:vMerge/>
            <w:vAlign w:val="center"/>
          </w:tcPr>
          <w:p w:rsidR="004E3021" w:rsidRPr="004E4613" w:rsidRDefault="004E3021" w:rsidP="006E68E1">
            <w:pPr>
              <w:pStyle w:val="afffffff2"/>
              <w:rPr>
                <w:rFonts w:ascii="Times New Roman" w:hAnsi="Times New Roman" w:cs="Times New Roman"/>
                <w:b/>
                <w:kern w:val="0"/>
                <w:sz w:val="21"/>
                <w:szCs w:val="21"/>
              </w:rPr>
            </w:pPr>
          </w:p>
        </w:tc>
        <w:tc>
          <w:tcPr>
            <w:tcW w:w="704" w:type="pct"/>
            <w:vAlign w:val="center"/>
          </w:tcPr>
          <w:p w:rsidR="004E3021" w:rsidRPr="004E4613" w:rsidRDefault="00606E48" w:rsidP="006E68E1">
            <w:pPr>
              <w:pStyle w:val="afffffff2"/>
              <w:rPr>
                <w:rFonts w:ascii="Times New Roman" w:hAnsi="Times New Roman" w:cs="Times New Roman"/>
                <w:b/>
                <w:kern w:val="0"/>
                <w:sz w:val="21"/>
                <w:szCs w:val="21"/>
              </w:rPr>
            </w:pPr>
            <w:r w:rsidRPr="004E4613">
              <w:rPr>
                <w:rFonts w:ascii="Times New Roman" w:hAnsi="Times New Roman" w:cs="Times New Roman"/>
                <w:b/>
                <w:kern w:val="0"/>
                <w:sz w:val="21"/>
                <w:szCs w:val="21"/>
              </w:rPr>
              <w:t>审批部门</w:t>
            </w:r>
          </w:p>
        </w:tc>
        <w:tc>
          <w:tcPr>
            <w:tcW w:w="648" w:type="pct"/>
            <w:vAlign w:val="center"/>
          </w:tcPr>
          <w:p w:rsidR="004E3021" w:rsidRPr="004E4613" w:rsidRDefault="00606E48" w:rsidP="006E68E1">
            <w:pPr>
              <w:pStyle w:val="afffffff2"/>
              <w:rPr>
                <w:rFonts w:ascii="Times New Roman" w:hAnsi="Times New Roman" w:cs="Times New Roman"/>
                <w:b/>
                <w:kern w:val="0"/>
                <w:sz w:val="21"/>
                <w:szCs w:val="21"/>
              </w:rPr>
            </w:pPr>
            <w:r w:rsidRPr="004E4613">
              <w:rPr>
                <w:rFonts w:ascii="Times New Roman" w:hAnsi="Times New Roman" w:cs="Times New Roman"/>
                <w:b/>
                <w:kern w:val="0"/>
                <w:sz w:val="21"/>
                <w:szCs w:val="21"/>
              </w:rPr>
              <w:t>审批文号</w:t>
            </w:r>
          </w:p>
        </w:tc>
        <w:tc>
          <w:tcPr>
            <w:tcW w:w="917" w:type="pct"/>
            <w:vMerge/>
            <w:vAlign w:val="center"/>
          </w:tcPr>
          <w:p w:rsidR="004E3021" w:rsidRPr="004E4613" w:rsidRDefault="004E3021" w:rsidP="006E68E1">
            <w:pPr>
              <w:pStyle w:val="afffffff2"/>
              <w:rPr>
                <w:rFonts w:ascii="Times New Roman" w:hAnsi="Times New Roman" w:cs="Times New Roman"/>
                <w:b/>
                <w:kern w:val="0"/>
                <w:sz w:val="21"/>
                <w:szCs w:val="21"/>
              </w:rPr>
            </w:pPr>
          </w:p>
        </w:tc>
      </w:tr>
      <w:tr w:rsidR="004E3021" w:rsidRPr="006E68E1" w:rsidTr="006E68E1">
        <w:tc>
          <w:tcPr>
            <w:tcW w:w="376"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1</w:t>
            </w:r>
          </w:p>
        </w:tc>
        <w:tc>
          <w:tcPr>
            <w:tcW w:w="1069"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年产</w:t>
            </w:r>
            <w:r w:rsidRPr="006E68E1">
              <w:rPr>
                <w:rFonts w:ascii="Times New Roman" w:hAnsi="Times New Roman" w:cs="Times New Roman"/>
                <w:kern w:val="0"/>
                <w:sz w:val="21"/>
                <w:szCs w:val="21"/>
              </w:rPr>
              <w:t>6000</w:t>
            </w:r>
            <w:r w:rsidRPr="006E68E1">
              <w:rPr>
                <w:rFonts w:ascii="Times New Roman" w:hAnsi="Times New Roman" w:cs="Times New Roman"/>
                <w:kern w:val="0"/>
                <w:sz w:val="21"/>
                <w:szCs w:val="21"/>
              </w:rPr>
              <w:t>吨纳米钛酸钡功能陶瓷材料生产线项目</w:t>
            </w:r>
          </w:p>
        </w:tc>
        <w:tc>
          <w:tcPr>
            <w:tcW w:w="1287"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建设</w:t>
            </w:r>
            <w:r w:rsidRPr="006E68E1">
              <w:rPr>
                <w:rFonts w:ascii="Times New Roman" w:hAnsi="Times New Roman" w:cs="Times New Roman"/>
                <w:kern w:val="0"/>
                <w:sz w:val="21"/>
                <w:szCs w:val="21"/>
              </w:rPr>
              <w:t>1</w:t>
            </w:r>
            <w:r w:rsidRPr="006E68E1">
              <w:rPr>
                <w:rFonts w:ascii="Times New Roman" w:hAnsi="Times New Roman" w:cs="Times New Roman"/>
                <w:kern w:val="0"/>
                <w:sz w:val="21"/>
                <w:szCs w:val="21"/>
              </w:rPr>
              <w:t>条年产</w:t>
            </w:r>
            <w:r w:rsidRPr="006E68E1">
              <w:rPr>
                <w:rFonts w:ascii="Times New Roman" w:hAnsi="Times New Roman" w:cs="Times New Roman"/>
                <w:kern w:val="0"/>
                <w:sz w:val="21"/>
                <w:szCs w:val="21"/>
              </w:rPr>
              <w:t>2000</w:t>
            </w:r>
            <w:r w:rsidRPr="006E68E1">
              <w:rPr>
                <w:rFonts w:ascii="Times New Roman" w:hAnsi="Times New Roman" w:cs="Times New Roman"/>
                <w:kern w:val="0"/>
                <w:sz w:val="21"/>
                <w:szCs w:val="21"/>
              </w:rPr>
              <w:t>吨纳米钛酸钡生产线</w:t>
            </w:r>
            <w:r w:rsidRPr="006E68E1">
              <w:rPr>
                <w:rFonts w:ascii="Times New Roman" w:hAnsi="Times New Roman" w:cs="Times New Roman"/>
                <w:kern w:val="0"/>
                <w:sz w:val="21"/>
                <w:szCs w:val="21"/>
              </w:rPr>
              <w:t>(</w:t>
            </w:r>
            <w:r w:rsidRPr="006E68E1">
              <w:rPr>
                <w:rFonts w:ascii="Times New Roman" w:hAnsi="Times New Roman" w:cs="Times New Roman"/>
                <w:kern w:val="0"/>
                <w:sz w:val="21"/>
                <w:szCs w:val="21"/>
              </w:rPr>
              <w:t>已验收</w:t>
            </w:r>
            <w:r w:rsidRPr="006E68E1">
              <w:rPr>
                <w:rFonts w:ascii="Times New Roman" w:hAnsi="Times New Roman" w:cs="Times New Roman"/>
                <w:kern w:val="0"/>
                <w:sz w:val="21"/>
                <w:szCs w:val="21"/>
              </w:rPr>
              <w:t>)</w:t>
            </w:r>
            <w:r w:rsidRPr="006E68E1">
              <w:rPr>
                <w:rFonts w:ascii="Times New Roman" w:hAnsi="Times New Roman" w:cs="Times New Roman"/>
                <w:kern w:val="0"/>
                <w:sz w:val="21"/>
                <w:szCs w:val="21"/>
              </w:rPr>
              <w:t>，位于</w:t>
            </w:r>
            <w:r w:rsidRPr="006E68E1">
              <w:rPr>
                <w:rFonts w:ascii="Times New Roman" w:hAnsi="Times New Roman" w:cs="Times New Roman"/>
                <w:kern w:val="0"/>
                <w:sz w:val="21"/>
                <w:szCs w:val="21"/>
              </w:rPr>
              <w:t>B1</w:t>
            </w:r>
            <w:r w:rsidRPr="006E68E1">
              <w:rPr>
                <w:rFonts w:ascii="Times New Roman" w:hAnsi="Times New Roman" w:cs="Times New Roman"/>
                <w:kern w:val="0"/>
                <w:sz w:val="21"/>
                <w:szCs w:val="21"/>
              </w:rPr>
              <w:t>车间</w:t>
            </w:r>
            <w:r w:rsidRPr="006E68E1">
              <w:rPr>
                <w:rFonts w:ascii="Times New Roman" w:hAnsi="Times New Roman" w:cs="Times New Roman"/>
                <w:kern w:val="0"/>
                <w:sz w:val="21"/>
                <w:szCs w:val="21"/>
              </w:rPr>
              <w:t>;1</w:t>
            </w:r>
            <w:r w:rsidRPr="006E68E1">
              <w:rPr>
                <w:rFonts w:ascii="Times New Roman" w:hAnsi="Times New Roman" w:cs="Times New Roman"/>
                <w:kern w:val="0"/>
                <w:sz w:val="21"/>
                <w:szCs w:val="21"/>
              </w:rPr>
              <w:t>条年产</w:t>
            </w:r>
            <w:r w:rsidRPr="006E68E1">
              <w:rPr>
                <w:rFonts w:ascii="Times New Roman" w:hAnsi="Times New Roman" w:cs="Times New Roman"/>
                <w:kern w:val="0"/>
                <w:sz w:val="21"/>
                <w:szCs w:val="21"/>
              </w:rPr>
              <w:t>4000</w:t>
            </w:r>
            <w:r w:rsidRPr="006E68E1">
              <w:rPr>
                <w:rFonts w:ascii="Times New Roman" w:hAnsi="Times New Roman" w:cs="Times New Roman"/>
                <w:kern w:val="0"/>
                <w:sz w:val="21"/>
                <w:szCs w:val="21"/>
              </w:rPr>
              <w:t>吨纳米钛酸钡生产线</w:t>
            </w:r>
            <w:r w:rsidRPr="006E68E1">
              <w:rPr>
                <w:rFonts w:ascii="Times New Roman" w:hAnsi="Times New Roman" w:cs="Times New Roman"/>
                <w:kern w:val="0"/>
                <w:sz w:val="21"/>
                <w:szCs w:val="21"/>
              </w:rPr>
              <w:t>(</w:t>
            </w:r>
            <w:r w:rsidRPr="006E68E1">
              <w:rPr>
                <w:rFonts w:ascii="Times New Roman" w:hAnsi="Times New Roman" w:cs="Times New Roman"/>
                <w:kern w:val="0"/>
                <w:sz w:val="21"/>
                <w:szCs w:val="21"/>
              </w:rPr>
              <w:t>暂未建设</w:t>
            </w:r>
            <w:r w:rsidRPr="006E68E1">
              <w:rPr>
                <w:rFonts w:ascii="Times New Roman" w:hAnsi="Times New Roman" w:cs="Times New Roman"/>
                <w:kern w:val="0"/>
                <w:sz w:val="21"/>
                <w:szCs w:val="21"/>
              </w:rPr>
              <w:t>)</w:t>
            </w:r>
          </w:p>
        </w:tc>
        <w:tc>
          <w:tcPr>
            <w:tcW w:w="704"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原蚌埠市环境保护局</w:t>
            </w:r>
          </w:p>
        </w:tc>
        <w:tc>
          <w:tcPr>
            <w:tcW w:w="648"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蚌环许</w:t>
            </w:r>
            <w:r w:rsidRPr="006E68E1">
              <w:rPr>
                <w:rFonts w:ascii="Times New Roman" w:hAnsi="Times New Roman" w:cs="Times New Roman"/>
                <w:kern w:val="0"/>
                <w:sz w:val="21"/>
                <w:szCs w:val="21"/>
              </w:rPr>
              <w:t>[2015]125</w:t>
            </w:r>
            <w:r w:rsidRPr="006E68E1">
              <w:rPr>
                <w:rFonts w:ascii="Times New Roman" w:hAnsi="Times New Roman" w:cs="Times New Roman"/>
                <w:kern w:val="0"/>
                <w:sz w:val="21"/>
                <w:szCs w:val="21"/>
              </w:rPr>
              <w:t>号</w:t>
            </w:r>
          </w:p>
        </w:tc>
        <w:tc>
          <w:tcPr>
            <w:tcW w:w="917"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阶段性验收，已验收年产</w:t>
            </w:r>
            <w:r w:rsidRPr="006E68E1">
              <w:rPr>
                <w:rFonts w:ascii="Times New Roman" w:hAnsi="Times New Roman" w:cs="Times New Roman"/>
                <w:kern w:val="0"/>
                <w:sz w:val="21"/>
                <w:szCs w:val="21"/>
              </w:rPr>
              <w:t>2000</w:t>
            </w:r>
            <w:r w:rsidRPr="006E68E1">
              <w:rPr>
                <w:rFonts w:ascii="Times New Roman" w:hAnsi="Times New Roman" w:cs="Times New Roman"/>
                <w:kern w:val="0"/>
                <w:sz w:val="21"/>
                <w:szCs w:val="21"/>
              </w:rPr>
              <w:t>吨钛酸钡功能陶瓷材料生产线内容，</w:t>
            </w:r>
            <w:r w:rsidRPr="006E68E1">
              <w:rPr>
                <w:rFonts w:ascii="Times New Roman" w:hAnsi="Times New Roman" w:cs="Times New Roman"/>
                <w:kern w:val="0"/>
                <w:sz w:val="21"/>
                <w:szCs w:val="21"/>
              </w:rPr>
              <w:t>4000</w:t>
            </w:r>
            <w:r w:rsidRPr="006E68E1">
              <w:rPr>
                <w:rFonts w:ascii="Times New Roman" w:hAnsi="Times New Roman" w:cs="Times New Roman"/>
                <w:kern w:val="0"/>
                <w:sz w:val="21"/>
                <w:szCs w:val="21"/>
              </w:rPr>
              <w:t>吨</w:t>
            </w:r>
            <w:r w:rsidRPr="006E68E1">
              <w:rPr>
                <w:rFonts w:ascii="Times New Roman" w:hAnsi="Times New Roman" w:cs="Times New Roman"/>
                <w:kern w:val="0"/>
                <w:sz w:val="21"/>
                <w:szCs w:val="21"/>
              </w:rPr>
              <w:t>/</w:t>
            </w:r>
            <w:r w:rsidRPr="006E68E1">
              <w:rPr>
                <w:rFonts w:ascii="Times New Roman" w:hAnsi="Times New Roman" w:cs="Times New Roman"/>
                <w:kern w:val="0"/>
                <w:sz w:val="21"/>
                <w:szCs w:val="21"/>
              </w:rPr>
              <w:t>年纳米钛酸钡功能陶瓷材料生产线项目未建设，后续亦不再建设</w:t>
            </w:r>
          </w:p>
        </w:tc>
      </w:tr>
      <w:tr w:rsidR="004E3021" w:rsidRPr="006E68E1" w:rsidTr="006E68E1">
        <w:tc>
          <w:tcPr>
            <w:tcW w:w="376"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2</w:t>
            </w:r>
          </w:p>
        </w:tc>
        <w:tc>
          <w:tcPr>
            <w:tcW w:w="1069"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年产</w:t>
            </w:r>
            <w:r w:rsidRPr="006E68E1">
              <w:rPr>
                <w:rFonts w:ascii="Times New Roman" w:hAnsi="Times New Roman" w:cs="Times New Roman"/>
                <w:kern w:val="0"/>
                <w:sz w:val="21"/>
                <w:szCs w:val="21"/>
              </w:rPr>
              <w:t>3500</w:t>
            </w:r>
            <w:r w:rsidRPr="006E68E1">
              <w:rPr>
                <w:rFonts w:ascii="Times New Roman" w:hAnsi="Times New Roman" w:cs="Times New Roman"/>
                <w:kern w:val="0"/>
                <w:sz w:val="21"/>
                <w:szCs w:val="21"/>
              </w:rPr>
              <w:t>吨</w:t>
            </w:r>
            <w:r w:rsidRPr="006E68E1">
              <w:rPr>
                <w:rFonts w:ascii="Times New Roman" w:hAnsi="Times New Roman" w:cs="Times New Roman"/>
                <w:kern w:val="0"/>
                <w:sz w:val="21"/>
                <w:szCs w:val="21"/>
              </w:rPr>
              <w:t>CMP(</w:t>
            </w:r>
            <w:r w:rsidRPr="006E68E1">
              <w:rPr>
                <w:rFonts w:ascii="Times New Roman" w:hAnsi="Times New Roman" w:cs="Times New Roman"/>
                <w:kern w:val="0"/>
                <w:sz w:val="21"/>
                <w:szCs w:val="21"/>
              </w:rPr>
              <w:t>抛光研磨材料</w:t>
            </w:r>
            <w:r w:rsidRPr="006E68E1">
              <w:rPr>
                <w:rFonts w:ascii="Times New Roman" w:hAnsi="Times New Roman" w:cs="Times New Roman"/>
                <w:kern w:val="0"/>
                <w:sz w:val="21"/>
                <w:szCs w:val="21"/>
              </w:rPr>
              <w:t>)</w:t>
            </w:r>
            <w:r w:rsidRPr="006E68E1">
              <w:rPr>
                <w:rFonts w:ascii="Times New Roman" w:hAnsi="Times New Roman" w:cs="Times New Roman"/>
                <w:kern w:val="0"/>
                <w:sz w:val="21"/>
                <w:szCs w:val="21"/>
              </w:rPr>
              <w:t>项目</w:t>
            </w:r>
          </w:p>
        </w:tc>
        <w:tc>
          <w:tcPr>
            <w:tcW w:w="1287"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建设</w:t>
            </w:r>
            <w:r w:rsidRPr="006E68E1">
              <w:rPr>
                <w:rFonts w:ascii="Times New Roman" w:hAnsi="Times New Roman" w:cs="Times New Roman"/>
                <w:kern w:val="0"/>
                <w:sz w:val="21"/>
                <w:szCs w:val="21"/>
              </w:rPr>
              <w:t>1</w:t>
            </w:r>
            <w:r w:rsidRPr="006E68E1">
              <w:rPr>
                <w:rFonts w:ascii="Times New Roman" w:hAnsi="Times New Roman" w:cs="Times New Roman"/>
                <w:kern w:val="0"/>
                <w:sz w:val="21"/>
                <w:szCs w:val="21"/>
              </w:rPr>
              <w:t>条年产</w:t>
            </w:r>
            <w:r w:rsidRPr="006E68E1">
              <w:rPr>
                <w:rFonts w:ascii="Times New Roman" w:hAnsi="Times New Roman" w:cs="Times New Roman"/>
                <w:kern w:val="0"/>
                <w:sz w:val="21"/>
                <w:szCs w:val="21"/>
              </w:rPr>
              <w:t>3500</w:t>
            </w:r>
            <w:r w:rsidRPr="006E68E1">
              <w:rPr>
                <w:rFonts w:ascii="Times New Roman" w:hAnsi="Times New Roman" w:cs="Times New Roman"/>
                <w:kern w:val="0"/>
                <w:sz w:val="21"/>
                <w:szCs w:val="21"/>
              </w:rPr>
              <w:t>吨</w:t>
            </w:r>
            <w:r w:rsidRPr="006E68E1">
              <w:rPr>
                <w:rFonts w:ascii="Times New Roman" w:hAnsi="Times New Roman" w:cs="Times New Roman"/>
                <w:kern w:val="0"/>
                <w:sz w:val="21"/>
                <w:szCs w:val="21"/>
              </w:rPr>
              <w:t>CMP(</w:t>
            </w:r>
            <w:r w:rsidRPr="006E68E1">
              <w:rPr>
                <w:rFonts w:ascii="Times New Roman" w:hAnsi="Times New Roman" w:cs="Times New Roman"/>
                <w:kern w:val="0"/>
                <w:sz w:val="21"/>
                <w:szCs w:val="21"/>
              </w:rPr>
              <w:t>抛光研磨材料</w:t>
            </w:r>
            <w:r w:rsidRPr="006E68E1">
              <w:rPr>
                <w:rFonts w:ascii="Times New Roman" w:hAnsi="Times New Roman" w:cs="Times New Roman"/>
                <w:kern w:val="0"/>
                <w:sz w:val="21"/>
                <w:szCs w:val="21"/>
              </w:rPr>
              <w:t>)</w:t>
            </w:r>
            <w:r w:rsidRPr="006E68E1">
              <w:rPr>
                <w:rFonts w:ascii="Times New Roman" w:hAnsi="Times New Roman" w:cs="Times New Roman"/>
                <w:kern w:val="0"/>
                <w:sz w:val="21"/>
                <w:szCs w:val="21"/>
              </w:rPr>
              <w:t>生产线，位于</w:t>
            </w:r>
            <w:r w:rsidRPr="006E68E1">
              <w:rPr>
                <w:rFonts w:ascii="Times New Roman" w:hAnsi="Times New Roman" w:cs="Times New Roman"/>
                <w:kern w:val="0"/>
                <w:sz w:val="21"/>
                <w:szCs w:val="21"/>
              </w:rPr>
              <w:t>C1</w:t>
            </w:r>
            <w:r w:rsidRPr="006E68E1">
              <w:rPr>
                <w:rFonts w:ascii="Times New Roman" w:hAnsi="Times New Roman" w:cs="Times New Roman"/>
                <w:kern w:val="0"/>
                <w:sz w:val="21"/>
                <w:szCs w:val="21"/>
              </w:rPr>
              <w:t>车间</w:t>
            </w:r>
          </w:p>
        </w:tc>
        <w:tc>
          <w:tcPr>
            <w:tcW w:w="704"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蚌埠市生态环境局</w:t>
            </w:r>
          </w:p>
        </w:tc>
        <w:tc>
          <w:tcPr>
            <w:tcW w:w="648"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蚌环许</w:t>
            </w:r>
            <w:r w:rsidRPr="006E68E1">
              <w:rPr>
                <w:rFonts w:ascii="Times New Roman" w:hAnsi="Times New Roman" w:cs="Times New Roman"/>
                <w:kern w:val="0"/>
                <w:sz w:val="21"/>
                <w:szCs w:val="21"/>
              </w:rPr>
              <w:t>[2022]28</w:t>
            </w:r>
            <w:r w:rsidRPr="006E68E1">
              <w:rPr>
                <w:rFonts w:ascii="Times New Roman" w:hAnsi="Times New Roman" w:cs="Times New Roman"/>
                <w:kern w:val="0"/>
                <w:sz w:val="21"/>
                <w:szCs w:val="21"/>
              </w:rPr>
              <w:t>号</w:t>
            </w:r>
          </w:p>
        </w:tc>
        <w:tc>
          <w:tcPr>
            <w:tcW w:w="917"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2024</w:t>
            </w:r>
            <w:r w:rsidRPr="006E68E1">
              <w:rPr>
                <w:rFonts w:ascii="Times New Roman" w:hAnsi="Times New Roman" w:cs="Times New Roman"/>
                <w:kern w:val="0"/>
                <w:sz w:val="21"/>
                <w:szCs w:val="21"/>
              </w:rPr>
              <w:t>年</w:t>
            </w:r>
            <w:r w:rsidRPr="006E68E1">
              <w:rPr>
                <w:rFonts w:ascii="Times New Roman" w:hAnsi="Times New Roman" w:cs="Times New Roman"/>
                <w:kern w:val="0"/>
                <w:sz w:val="21"/>
                <w:szCs w:val="21"/>
              </w:rPr>
              <w:t>12</w:t>
            </w:r>
            <w:r w:rsidRPr="006E68E1">
              <w:rPr>
                <w:rFonts w:ascii="Times New Roman" w:hAnsi="Times New Roman" w:cs="Times New Roman"/>
                <w:kern w:val="0"/>
                <w:sz w:val="21"/>
                <w:szCs w:val="21"/>
              </w:rPr>
              <w:t>月</w:t>
            </w:r>
            <w:r w:rsidRPr="006E68E1">
              <w:rPr>
                <w:rFonts w:ascii="Times New Roman" w:hAnsi="Times New Roman" w:cs="Times New Roman"/>
                <w:kern w:val="0"/>
                <w:sz w:val="21"/>
                <w:szCs w:val="21"/>
              </w:rPr>
              <w:t>26</w:t>
            </w:r>
            <w:r w:rsidRPr="006E68E1">
              <w:rPr>
                <w:rFonts w:ascii="Times New Roman" w:hAnsi="Times New Roman" w:cs="Times New Roman"/>
                <w:kern w:val="0"/>
                <w:sz w:val="21"/>
                <w:szCs w:val="21"/>
              </w:rPr>
              <w:t>日完成验收</w:t>
            </w:r>
          </w:p>
        </w:tc>
      </w:tr>
      <w:tr w:rsidR="004E3021" w:rsidRPr="006E68E1" w:rsidTr="006E68E1">
        <w:tc>
          <w:tcPr>
            <w:tcW w:w="376"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3</w:t>
            </w:r>
          </w:p>
        </w:tc>
        <w:tc>
          <w:tcPr>
            <w:tcW w:w="1069"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年产</w:t>
            </w:r>
            <w:r w:rsidRPr="006E68E1">
              <w:rPr>
                <w:rFonts w:ascii="Times New Roman" w:hAnsi="Times New Roman" w:cs="Times New Roman"/>
                <w:kern w:val="0"/>
                <w:sz w:val="21"/>
                <w:szCs w:val="21"/>
              </w:rPr>
              <w:t>5000</w:t>
            </w:r>
            <w:r w:rsidRPr="006E68E1">
              <w:rPr>
                <w:rFonts w:ascii="Times New Roman" w:hAnsi="Times New Roman" w:cs="Times New Roman"/>
                <w:kern w:val="0"/>
                <w:sz w:val="21"/>
                <w:szCs w:val="21"/>
              </w:rPr>
              <w:t>吨超纯二氧化硅（副产</w:t>
            </w:r>
            <w:r w:rsidRPr="006E68E1">
              <w:rPr>
                <w:rFonts w:ascii="Times New Roman" w:hAnsi="Times New Roman" w:cs="Times New Roman"/>
                <w:kern w:val="0"/>
                <w:sz w:val="21"/>
                <w:szCs w:val="21"/>
              </w:rPr>
              <w:t>4000</w:t>
            </w:r>
            <w:r w:rsidRPr="006E68E1">
              <w:rPr>
                <w:rFonts w:ascii="Times New Roman" w:hAnsi="Times New Roman" w:cs="Times New Roman"/>
                <w:kern w:val="0"/>
                <w:sz w:val="21"/>
                <w:szCs w:val="21"/>
              </w:rPr>
              <w:t>吨硅烷新材料）项目</w:t>
            </w:r>
          </w:p>
        </w:tc>
        <w:tc>
          <w:tcPr>
            <w:tcW w:w="1287"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A1</w:t>
            </w:r>
            <w:r w:rsidRPr="006E68E1">
              <w:rPr>
                <w:rFonts w:ascii="Times New Roman" w:hAnsi="Times New Roman" w:cs="Times New Roman"/>
                <w:kern w:val="0"/>
                <w:sz w:val="21"/>
                <w:szCs w:val="21"/>
              </w:rPr>
              <w:t>车间主要包括初级浮选工艺加工过程；</w:t>
            </w:r>
            <w:r w:rsidRPr="006E68E1">
              <w:rPr>
                <w:rFonts w:ascii="Times New Roman" w:hAnsi="Times New Roman" w:cs="Times New Roman"/>
                <w:kern w:val="0"/>
                <w:sz w:val="21"/>
                <w:szCs w:val="21"/>
              </w:rPr>
              <w:t>B2</w:t>
            </w:r>
            <w:r w:rsidRPr="006E68E1">
              <w:rPr>
                <w:rFonts w:ascii="Times New Roman" w:hAnsi="Times New Roman" w:cs="Times New Roman"/>
                <w:kern w:val="0"/>
                <w:sz w:val="21"/>
                <w:szCs w:val="21"/>
              </w:rPr>
              <w:t>车间占地面积</w:t>
            </w:r>
            <w:r w:rsidRPr="006E68E1">
              <w:rPr>
                <w:rFonts w:ascii="Times New Roman" w:hAnsi="Times New Roman" w:cs="Times New Roman"/>
                <w:kern w:val="0"/>
                <w:sz w:val="21"/>
                <w:szCs w:val="21"/>
              </w:rPr>
              <w:t>6605.64m</w:t>
            </w:r>
            <w:r w:rsidRPr="006E68E1">
              <w:rPr>
                <w:rFonts w:ascii="Times New Roman" w:hAnsi="Times New Roman" w:cs="Times New Roman"/>
                <w:kern w:val="0"/>
                <w:sz w:val="21"/>
                <w:szCs w:val="21"/>
                <w:vertAlign w:val="superscript"/>
              </w:rPr>
              <w:t>2</w:t>
            </w:r>
            <w:r w:rsidRPr="006E68E1">
              <w:rPr>
                <w:rFonts w:ascii="Times New Roman" w:hAnsi="Times New Roman" w:cs="Times New Roman"/>
                <w:kern w:val="0"/>
                <w:sz w:val="21"/>
                <w:szCs w:val="21"/>
              </w:rPr>
              <w:t>，主要包括浮选、酸洗、离心、烤砂、提纯等工艺制备光伏用二氧化硅；</w:t>
            </w:r>
            <w:r w:rsidRPr="006E68E1">
              <w:rPr>
                <w:rFonts w:ascii="Times New Roman" w:hAnsi="Times New Roman" w:cs="Times New Roman"/>
                <w:kern w:val="0"/>
                <w:sz w:val="21"/>
                <w:szCs w:val="21"/>
              </w:rPr>
              <w:t>C2</w:t>
            </w:r>
            <w:r w:rsidRPr="006E68E1">
              <w:rPr>
                <w:rFonts w:ascii="Times New Roman" w:hAnsi="Times New Roman" w:cs="Times New Roman"/>
                <w:kern w:val="0"/>
                <w:sz w:val="21"/>
                <w:szCs w:val="21"/>
              </w:rPr>
              <w:t>车</w:t>
            </w:r>
            <w:r w:rsidRPr="006E68E1">
              <w:rPr>
                <w:rFonts w:ascii="Times New Roman" w:hAnsi="Times New Roman" w:cs="Times New Roman"/>
                <w:kern w:val="0"/>
                <w:sz w:val="21"/>
                <w:szCs w:val="21"/>
              </w:rPr>
              <w:lastRenderedPageBreak/>
              <w:t>间占地面积</w:t>
            </w:r>
            <w:r w:rsidRPr="006E68E1">
              <w:rPr>
                <w:rFonts w:ascii="Times New Roman" w:hAnsi="Times New Roman" w:cs="Times New Roman"/>
                <w:kern w:val="0"/>
                <w:sz w:val="21"/>
                <w:szCs w:val="21"/>
              </w:rPr>
              <w:t>7611.78m</w:t>
            </w:r>
            <w:r w:rsidRPr="006E68E1">
              <w:rPr>
                <w:rFonts w:ascii="Times New Roman" w:hAnsi="Times New Roman" w:cs="Times New Roman"/>
                <w:kern w:val="0"/>
                <w:sz w:val="21"/>
                <w:szCs w:val="21"/>
                <w:vertAlign w:val="superscript"/>
              </w:rPr>
              <w:t>2</w:t>
            </w:r>
            <w:r w:rsidRPr="006E68E1">
              <w:rPr>
                <w:rFonts w:ascii="Times New Roman" w:hAnsi="Times New Roman" w:cs="Times New Roman"/>
                <w:kern w:val="0"/>
                <w:sz w:val="21"/>
                <w:szCs w:val="21"/>
              </w:rPr>
              <w:t>，主要包括二氧化硅原料的破碎、煅烧、粉碎、筛分、磁选等过程，新增浮选和色选工艺。年产光伏用二氧化硅</w:t>
            </w:r>
            <w:r w:rsidRPr="006E68E1">
              <w:rPr>
                <w:rFonts w:ascii="Times New Roman" w:hAnsi="Times New Roman" w:cs="Times New Roman"/>
                <w:kern w:val="0"/>
                <w:sz w:val="21"/>
                <w:szCs w:val="21"/>
              </w:rPr>
              <w:t>1000</w:t>
            </w:r>
            <w:r w:rsidRPr="006E68E1">
              <w:rPr>
                <w:rFonts w:ascii="Times New Roman" w:hAnsi="Times New Roman" w:cs="Times New Roman"/>
                <w:kern w:val="0"/>
                <w:sz w:val="21"/>
                <w:szCs w:val="21"/>
              </w:rPr>
              <w:t>吨</w:t>
            </w:r>
          </w:p>
        </w:tc>
        <w:tc>
          <w:tcPr>
            <w:tcW w:w="704"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lastRenderedPageBreak/>
              <w:t>蚌埠市生态环境局</w:t>
            </w:r>
          </w:p>
        </w:tc>
        <w:tc>
          <w:tcPr>
            <w:tcW w:w="648"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蚌环许</w:t>
            </w:r>
            <w:r w:rsidRPr="006E68E1">
              <w:rPr>
                <w:rFonts w:ascii="Times New Roman" w:hAnsi="Times New Roman" w:cs="Times New Roman"/>
                <w:kern w:val="0"/>
                <w:sz w:val="21"/>
                <w:szCs w:val="21"/>
              </w:rPr>
              <w:t>[2022]27</w:t>
            </w:r>
            <w:r w:rsidRPr="006E68E1">
              <w:rPr>
                <w:rFonts w:ascii="Times New Roman" w:hAnsi="Times New Roman" w:cs="Times New Roman"/>
                <w:kern w:val="0"/>
                <w:sz w:val="21"/>
                <w:szCs w:val="21"/>
              </w:rPr>
              <w:t>号</w:t>
            </w:r>
          </w:p>
        </w:tc>
        <w:tc>
          <w:tcPr>
            <w:tcW w:w="917"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其中年产光伏用二氧化硅</w:t>
            </w:r>
            <w:r w:rsidRPr="006E68E1">
              <w:rPr>
                <w:rFonts w:ascii="Times New Roman" w:hAnsi="Times New Roman" w:cs="Times New Roman"/>
                <w:kern w:val="0"/>
                <w:sz w:val="21"/>
                <w:szCs w:val="21"/>
              </w:rPr>
              <w:t>1000</w:t>
            </w:r>
            <w:r w:rsidRPr="006E68E1">
              <w:rPr>
                <w:rFonts w:ascii="Times New Roman" w:hAnsi="Times New Roman" w:cs="Times New Roman"/>
                <w:kern w:val="0"/>
                <w:sz w:val="21"/>
                <w:szCs w:val="21"/>
              </w:rPr>
              <w:t>吨已验收，其余不再建设</w:t>
            </w:r>
          </w:p>
        </w:tc>
      </w:tr>
      <w:tr w:rsidR="004E3021" w:rsidRPr="006E68E1" w:rsidTr="006E68E1">
        <w:tc>
          <w:tcPr>
            <w:tcW w:w="376"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4</w:t>
            </w:r>
          </w:p>
        </w:tc>
        <w:tc>
          <w:tcPr>
            <w:tcW w:w="1069"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电子专用材料研发实验基地建设项目</w:t>
            </w:r>
          </w:p>
        </w:tc>
        <w:tc>
          <w:tcPr>
            <w:tcW w:w="1287"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项目建设粉碎、筛分、磁选、高温烧结、纯水设备、除尘设备、尾气处理等实验装置，建设</w:t>
            </w:r>
          </w:p>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光伏用二氧化硅实验室，位于</w:t>
            </w:r>
            <w:r w:rsidRPr="006E68E1">
              <w:rPr>
                <w:rFonts w:ascii="Times New Roman" w:hAnsi="Times New Roman" w:cs="Times New Roman"/>
                <w:kern w:val="0"/>
                <w:sz w:val="21"/>
                <w:szCs w:val="21"/>
              </w:rPr>
              <w:t>A1</w:t>
            </w:r>
            <w:r w:rsidRPr="006E68E1">
              <w:rPr>
                <w:rFonts w:ascii="Times New Roman" w:hAnsi="Times New Roman" w:cs="Times New Roman"/>
                <w:kern w:val="0"/>
                <w:sz w:val="21"/>
                <w:szCs w:val="21"/>
              </w:rPr>
              <w:t>车间西南角</w:t>
            </w:r>
          </w:p>
        </w:tc>
        <w:tc>
          <w:tcPr>
            <w:tcW w:w="704"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蚌埠市淮上区生态环境分局</w:t>
            </w:r>
          </w:p>
        </w:tc>
        <w:tc>
          <w:tcPr>
            <w:tcW w:w="648"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蚌淮环许</w:t>
            </w:r>
            <w:r w:rsidRPr="006E68E1">
              <w:rPr>
                <w:rFonts w:ascii="Times New Roman" w:hAnsi="Times New Roman" w:cs="Times New Roman"/>
                <w:kern w:val="0"/>
                <w:sz w:val="21"/>
                <w:szCs w:val="21"/>
              </w:rPr>
              <w:t>[2023]3</w:t>
            </w:r>
            <w:r w:rsidRPr="006E68E1">
              <w:rPr>
                <w:rFonts w:ascii="Times New Roman" w:hAnsi="Times New Roman" w:cs="Times New Roman"/>
                <w:kern w:val="0"/>
                <w:sz w:val="21"/>
                <w:szCs w:val="21"/>
              </w:rPr>
              <w:t>号</w:t>
            </w:r>
          </w:p>
        </w:tc>
        <w:tc>
          <w:tcPr>
            <w:tcW w:w="917"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在建</w:t>
            </w:r>
          </w:p>
        </w:tc>
      </w:tr>
      <w:tr w:rsidR="004E3021" w:rsidRPr="006E68E1" w:rsidTr="006E68E1">
        <w:tc>
          <w:tcPr>
            <w:tcW w:w="376"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5</w:t>
            </w:r>
          </w:p>
        </w:tc>
        <w:tc>
          <w:tcPr>
            <w:tcW w:w="1069"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安徽凯盛应用材料有限公司年产</w:t>
            </w:r>
            <w:r w:rsidRPr="006E68E1">
              <w:rPr>
                <w:rFonts w:ascii="Times New Roman" w:hAnsi="Times New Roman" w:cs="Times New Roman"/>
                <w:kern w:val="0"/>
                <w:sz w:val="21"/>
                <w:szCs w:val="21"/>
              </w:rPr>
              <w:t>1000</w:t>
            </w:r>
            <w:r w:rsidRPr="006E68E1">
              <w:rPr>
                <w:rFonts w:ascii="Times New Roman" w:hAnsi="Times New Roman" w:cs="Times New Roman"/>
                <w:kern w:val="0"/>
                <w:sz w:val="21"/>
                <w:szCs w:val="21"/>
              </w:rPr>
              <w:t>吨纳米复合氧化锆项目</w:t>
            </w:r>
          </w:p>
        </w:tc>
        <w:tc>
          <w:tcPr>
            <w:tcW w:w="1287"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建设</w:t>
            </w:r>
            <w:r w:rsidRPr="006E68E1">
              <w:rPr>
                <w:rFonts w:ascii="Times New Roman" w:hAnsi="Times New Roman" w:cs="Times New Roman"/>
                <w:kern w:val="0"/>
                <w:sz w:val="21"/>
                <w:szCs w:val="21"/>
              </w:rPr>
              <w:t>2</w:t>
            </w:r>
            <w:r w:rsidRPr="006E68E1">
              <w:rPr>
                <w:rFonts w:ascii="Times New Roman" w:hAnsi="Times New Roman" w:cs="Times New Roman"/>
                <w:kern w:val="0"/>
                <w:sz w:val="21"/>
                <w:szCs w:val="21"/>
              </w:rPr>
              <w:t>条纳米复合氧化锆产品生产线，分别位于</w:t>
            </w:r>
            <w:r w:rsidRPr="006E68E1">
              <w:rPr>
                <w:rFonts w:ascii="Times New Roman" w:hAnsi="Times New Roman" w:cs="Times New Roman"/>
                <w:kern w:val="0"/>
                <w:sz w:val="21"/>
                <w:szCs w:val="21"/>
              </w:rPr>
              <w:t>B2</w:t>
            </w:r>
            <w:r w:rsidRPr="006E68E1">
              <w:rPr>
                <w:rFonts w:ascii="Times New Roman" w:hAnsi="Times New Roman" w:cs="Times New Roman"/>
                <w:kern w:val="0"/>
                <w:sz w:val="21"/>
                <w:szCs w:val="21"/>
              </w:rPr>
              <w:t>车间和</w:t>
            </w:r>
            <w:r w:rsidRPr="006E68E1">
              <w:rPr>
                <w:rFonts w:ascii="Times New Roman" w:hAnsi="Times New Roman" w:cs="Times New Roman"/>
                <w:kern w:val="0"/>
                <w:sz w:val="21"/>
                <w:szCs w:val="21"/>
              </w:rPr>
              <w:t>C2</w:t>
            </w:r>
            <w:r w:rsidRPr="006E68E1">
              <w:rPr>
                <w:rFonts w:ascii="Times New Roman" w:hAnsi="Times New Roman" w:cs="Times New Roman"/>
                <w:kern w:val="0"/>
                <w:sz w:val="21"/>
                <w:szCs w:val="21"/>
              </w:rPr>
              <w:t>车间，共计年产</w:t>
            </w:r>
            <w:r w:rsidRPr="006E68E1">
              <w:rPr>
                <w:rFonts w:ascii="Times New Roman" w:hAnsi="Times New Roman" w:cs="Times New Roman"/>
                <w:kern w:val="0"/>
                <w:sz w:val="21"/>
                <w:szCs w:val="21"/>
              </w:rPr>
              <w:t>1000</w:t>
            </w:r>
            <w:r w:rsidRPr="006E68E1">
              <w:rPr>
                <w:rFonts w:ascii="Times New Roman" w:hAnsi="Times New Roman" w:cs="Times New Roman"/>
                <w:kern w:val="0"/>
                <w:sz w:val="21"/>
                <w:szCs w:val="21"/>
              </w:rPr>
              <w:t>吨纳米复合氧化锆</w:t>
            </w:r>
          </w:p>
        </w:tc>
        <w:tc>
          <w:tcPr>
            <w:tcW w:w="704"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蚌埠市生态环境局</w:t>
            </w:r>
          </w:p>
        </w:tc>
        <w:tc>
          <w:tcPr>
            <w:tcW w:w="648"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蚌环许</w:t>
            </w:r>
            <w:r w:rsidRPr="006E68E1">
              <w:rPr>
                <w:rFonts w:ascii="Times New Roman" w:hAnsi="Times New Roman" w:cs="Times New Roman"/>
                <w:kern w:val="0"/>
                <w:sz w:val="21"/>
                <w:szCs w:val="21"/>
              </w:rPr>
              <w:t>[2023]32</w:t>
            </w:r>
            <w:r w:rsidRPr="006E68E1">
              <w:rPr>
                <w:rFonts w:ascii="Times New Roman" w:hAnsi="Times New Roman" w:cs="Times New Roman"/>
                <w:kern w:val="0"/>
                <w:sz w:val="21"/>
                <w:szCs w:val="21"/>
              </w:rPr>
              <w:t>号</w:t>
            </w:r>
          </w:p>
        </w:tc>
        <w:tc>
          <w:tcPr>
            <w:tcW w:w="917"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2025</w:t>
            </w:r>
            <w:r w:rsidRPr="006E68E1">
              <w:rPr>
                <w:rFonts w:ascii="Times New Roman" w:hAnsi="Times New Roman" w:cs="Times New Roman"/>
                <w:kern w:val="0"/>
                <w:sz w:val="21"/>
                <w:szCs w:val="21"/>
              </w:rPr>
              <w:t>年</w:t>
            </w:r>
            <w:r w:rsidRPr="006E68E1">
              <w:rPr>
                <w:rFonts w:ascii="Times New Roman" w:hAnsi="Times New Roman" w:cs="Times New Roman"/>
                <w:kern w:val="0"/>
                <w:sz w:val="21"/>
                <w:szCs w:val="21"/>
              </w:rPr>
              <w:t>6</w:t>
            </w:r>
            <w:r w:rsidRPr="006E68E1">
              <w:rPr>
                <w:rFonts w:ascii="Times New Roman" w:hAnsi="Times New Roman" w:cs="Times New Roman"/>
                <w:kern w:val="0"/>
                <w:sz w:val="21"/>
                <w:szCs w:val="21"/>
              </w:rPr>
              <w:t>月完成验收</w:t>
            </w:r>
          </w:p>
        </w:tc>
      </w:tr>
      <w:tr w:rsidR="004E3021" w:rsidRPr="006E68E1" w:rsidTr="006E68E1">
        <w:tc>
          <w:tcPr>
            <w:tcW w:w="376"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6</w:t>
            </w:r>
          </w:p>
        </w:tc>
        <w:tc>
          <w:tcPr>
            <w:tcW w:w="1069"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陶瓷颗粒研发实验基地建设项目</w:t>
            </w:r>
          </w:p>
        </w:tc>
        <w:tc>
          <w:tcPr>
            <w:tcW w:w="1287"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建设陶瓷颗粒研发实验室，实验内容包括氧化锆产品配方研发、实验、产品性能测试等。</w:t>
            </w:r>
          </w:p>
        </w:tc>
        <w:tc>
          <w:tcPr>
            <w:tcW w:w="704"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蚌埠市生态环境局</w:t>
            </w:r>
          </w:p>
        </w:tc>
        <w:tc>
          <w:tcPr>
            <w:tcW w:w="648" w:type="pct"/>
            <w:vAlign w:val="center"/>
          </w:tcPr>
          <w:p w:rsidR="004E3021" w:rsidRPr="006E68E1" w:rsidRDefault="00606E48" w:rsidP="006E68E1">
            <w:pPr>
              <w:pStyle w:val="afffffff2"/>
              <w:rPr>
                <w:rFonts w:ascii="Times New Roman" w:hAnsi="Times New Roman" w:cs="Times New Roman"/>
                <w:kern w:val="0"/>
                <w:sz w:val="21"/>
                <w:szCs w:val="21"/>
              </w:rPr>
            </w:pPr>
            <w:r w:rsidRPr="006E68E1">
              <w:rPr>
                <w:rFonts w:ascii="Times New Roman" w:hAnsi="Times New Roman" w:cs="Times New Roman"/>
                <w:kern w:val="0"/>
                <w:sz w:val="21"/>
                <w:szCs w:val="21"/>
              </w:rPr>
              <w:t>蚌环许</w:t>
            </w:r>
            <w:r w:rsidRPr="006E68E1">
              <w:rPr>
                <w:rFonts w:ascii="Times New Roman" w:hAnsi="Times New Roman" w:cs="Times New Roman"/>
                <w:kern w:val="0"/>
                <w:sz w:val="21"/>
                <w:szCs w:val="21"/>
              </w:rPr>
              <w:t>[2025]38</w:t>
            </w:r>
            <w:r w:rsidRPr="006E68E1">
              <w:rPr>
                <w:rFonts w:ascii="Times New Roman" w:hAnsi="Times New Roman" w:cs="Times New Roman"/>
                <w:kern w:val="0"/>
                <w:sz w:val="21"/>
                <w:szCs w:val="21"/>
              </w:rPr>
              <w:t>号</w:t>
            </w:r>
          </w:p>
        </w:tc>
        <w:tc>
          <w:tcPr>
            <w:tcW w:w="917" w:type="pct"/>
            <w:vAlign w:val="center"/>
          </w:tcPr>
          <w:p w:rsidR="004E3021" w:rsidRPr="006E68E1" w:rsidRDefault="00902E00" w:rsidP="006E68E1">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已建未验收</w:t>
            </w:r>
          </w:p>
        </w:tc>
      </w:tr>
    </w:tbl>
    <w:p w:rsidR="004E3021" w:rsidRDefault="00606E48">
      <w:pPr>
        <w:pStyle w:val="4a"/>
      </w:pPr>
      <w:r>
        <w:rPr>
          <w:rFonts w:hint="eastAsia"/>
        </w:rPr>
        <w:t>3</w:t>
      </w:r>
      <w:r>
        <w:t>.1.</w:t>
      </w:r>
      <w:r w:rsidR="000A3013">
        <w:t>3</w:t>
      </w:r>
      <w:r>
        <w:t>.2</w:t>
      </w:r>
      <w:r>
        <w:t>现有工程排污许可执行情况</w:t>
      </w:r>
      <w:r>
        <w:rPr>
          <w:rFonts w:hint="eastAsia"/>
        </w:rPr>
        <w:t>和突发</w:t>
      </w:r>
      <w:r>
        <w:t>环境事件应急预案</w:t>
      </w:r>
    </w:p>
    <w:p w:rsidR="004E3021" w:rsidRDefault="00606E48">
      <w:pPr>
        <w:ind w:firstLine="480"/>
      </w:pPr>
      <w:r>
        <w:t>安徽凯盛</w:t>
      </w:r>
      <w:r>
        <w:rPr>
          <w:rFonts w:hint="eastAsia"/>
        </w:rPr>
        <w:t>应用</w:t>
      </w:r>
      <w:r>
        <w:t>材料</w:t>
      </w:r>
      <w:r>
        <w:rPr>
          <w:rFonts w:hint="eastAsia"/>
        </w:rPr>
        <w:t>有限</w:t>
      </w:r>
      <w:r>
        <w:t>公司</w:t>
      </w:r>
      <w:r>
        <w:rPr>
          <w:rFonts w:hint="eastAsia"/>
        </w:rPr>
        <w:t>已取得</w:t>
      </w:r>
      <w:r>
        <w:t>排污许可</w:t>
      </w:r>
      <w:r>
        <w:rPr>
          <w:rFonts w:hint="eastAsia"/>
        </w:rPr>
        <w:t>证</w:t>
      </w:r>
      <w:r>
        <w:t>，</w:t>
      </w:r>
      <w:r>
        <w:rPr>
          <w:rFonts w:hint="eastAsia"/>
        </w:rPr>
        <w:t>排污许可证</w:t>
      </w:r>
      <w:r>
        <w:t>编号为</w:t>
      </w:r>
      <w:r>
        <w:rPr>
          <w:rFonts w:hint="eastAsia"/>
        </w:rPr>
        <w:t>913403003959366383001</w:t>
      </w:r>
      <w:r>
        <w:t>Y</w:t>
      </w:r>
      <w:r>
        <w:rPr>
          <w:rFonts w:hint="eastAsia"/>
        </w:rPr>
        <w:t>；企业</w:t>
      </w:r>
      <w:r>
        <w:t>于</w:t>
      </w:r>
      <w:r>
        <w:rPr>
          <w:rFonts w:hint="eastAsia"/>
        </w:rPr>
        <w:t>202</w:t>
      </w:r>
      <w:r>
        <w:t>3</w:t>
      </w:r>
      <w:r>
        <w:rPr>
          <w:rFonts w:hint="eastAsia"/>
        </w:rPr>
        <w:t>年</w:t>
      </w:r>
      <w:r>
        <w:t>7</w:t>
      </w:r>
      <w:r>
        <w:rPr>
          <w:rFonts w:hint="eastAsia"/>
        </w:rPr>
        <w:t>月</w:t>
      </w:r>
      <w:r>
        <w:rPr>
          <w:rFonts w:hint="eastAsia"/>
        </w:rPr>
        <w:t>1</w:t>
      </w:r>
      <w:r>
        <w:t>3</w:t>
      </w:r>
      <w:r>
        <w:rPr>
          <w:rFonts w:hint="eastAsia"/>
        </w:rPr>
        <w:t>日取得</w:t>
      </w:r>
      <w:r>
        <w:t>淮上区生态环境分局</w:t>
      </w:r>
      <w:r>
        <w:rPr>
          <w:rFonts w:hint="eastAsia"/>
        </w:rPr>
        <w:t>突发环境事件</w:t>
      </w:r>
      <w:r>
        <w:t>应急预案备案，备案号为</w:t>
      </w:r>
      <w:r>
        <w:rPr>
          <w:rFonts w:hint="eastAsia"/>
        </w:rPr>
        <w:t>340311-</w:t>
      </w:r>
      <w:r>
        <w:t>2023-024-M</w:t>
      </w:r>
      <w:r>
        <w:t>。</w:t>
      </w:r>
    </w:p>
    <w:p w:rsidR="004E3021" w:rsidRDefault="00606E48">
      <w:pPr>
        <w:pStyle w:val="afffffffffffffffff4"/>
      </w:pPr>
      <w:bookmarkStart w:id="126" w:name="_Toc221088735"/>
      <w:bookmarkStart w:id="127" w:name="_Toc221500950"/>
      <w:r>
        <w:rPr>
          <w:rFonts w:hint="eastAsia"/>
        </w:rPr>
        <w:t>3</w:t>
      </w:r>
      <w:r>
        <w:t>.1.4</w:t>
      </w:r>
      <w:r>
        <w:rPr>
          <w:rFonts w:hint="eastAsia"/>
        </w:rPr>
        <w:t>已批已验收项目概况</w:t>
      </w:r>
      <w:bookmarkEnd w:id="126"/>
      <w:bookmarkEnd w:id="127"/>
    </w:p>
    <w:p w:rsidR="004E3021" w:rsidRDefault="00606E48">
      <w:pPr>
        <w:pStyle w:val="4a"/>
      </w:pPr>
      <w:bookmarkStart w:id="128" w:name="_Toc101135807"/>
      <w:bookmarkStart w:id="129" w:name="_Toc108662570"/>
      <w:bookmarkStart w:id="130" w:name="_Toc100783975"/>
      <w:r>
        <w:rPr>
          <w:rFonts w:hint="eastAsia"/>
        </w:rPr>
        <w:t>3</w:t>
      </w:r>
      <w:r>
        <w:t>.1.4.1</w:t>
      </w:r>
      <w:r>
        <w:t>现有工程产品方案及主要建设内容</w:t>
      </w:r>
      <w:bookmarkEnd w:id="128"/>
      <w:bookmarkEnd w:id="129"/>
      <w:bookmarkEnd w:id="130"/>
    </w:p>
    <w:p w:rsidR="000A5E99" w:rsidRDefault="00606E48">
      <w:pPr>
        <w:ind w:firstLine="480"/>
      </w:pPr>
      <w:r>
        <w:rPr>
          <w:rFonts w:hint="eastAsia"/>
        </w:rPr>
        <w:t>（</w:t>
      </w:r>
      <w:r>
        <w:rPr>
          <w:rFonts w:hint="eastAsia"/>
        </w:rPr>
        <w:t>1</w:t>
      </w:r>
      <w:r>
        <w:rPr>
          <w:rFonts w:hint="eastAsia"/>
        </w:rPr>
        <w:t>）产品方案</w:t>
      </w:r>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pStyle w:val="a0"/>
        <w:ind w:firstLine="480"/>
        <w:sectPr w:rsidR="00B179FB" w:rsidRPr="00B179FB">
          <w:pgSz w:w="11906" w:h="16838"/>
          <w:pgMar w:top="1440" w:right="1440" w:bottom="1440" w:left="1440" w:header="851" w:footer="992" w:gutter="0"/>
          <w:cols w:space="425"/>
          <w:docGrid w:type="lines" w:linePitch="326"/>
        </w:sectPr>
      </w:pPr>
    </w:p>
    <w:p w:rsidR="004E3021" w:rsidRDefault="00606E48">
      <w:pPr>
        <w:ind w:firstLine="480"/>
      </w:pPr>
      <w:r>
        <w:rPr>
          <w:rFonts w:hint="eastAsia"/>
        </w:rPr>
        <w:lastRenderedPageBreak/>
        <w:t>（</w:t>
      </w:r>
      <w:r>
        <w:rPr>
          <w:rFonts w:hint="eastAsia"/>
        </w:rPr>
        <w:t>2</w:t>
      </w:r>
      <w:r>
        <w:rPr>
          <w:rFonts w:hint="eastAsia"/>
        </w:rPr>
        <w:t>）工程主要建设内容</w:t>
      </w:r>
    </w:p>
    <w:p w:rsidR="004E3021" w:rsidRDefault="00606E48">
      <w:pPr>
        <w:ind w:firstLine="480"/>
      </w:pPr>
      <w:r>
        <w:t>现有工程主要包括主体工程</w:t>
      </w:r>
      <w:r>
        <w:rPr>
          <w:rFonts w:hint="eastAsia"/>
        </w:rPr>
        <w:t>、</w:t>
      </w:r>
      <w:r>
        <w:t>辅助工程</w:t>
      </w:r>
      <w:r>
        <w:rPr>
          <w:rFonts w:hint="eastAsia"/>
        </w:rPr>
        <w:t>、</w:t>
      </w:r>
      <w:r>
        <w:t>储运工程</w:t>
      </w:r>
      <w:r>
        <w:rPr>
          <w:rFonts w:hint="eastAsia"/>
        </w:rPr>
        <w:t>、</w:t>
      </w:r>
      <w:r>
        <w:t>公用工程</w:t>
      </w:r>
      <w:r>
        <w:rPr>
          <w:rFonts w:hint="eastAsia"/>
        </w:rPr>
        <w:t>、</w:t>
      </w:r>
      <w:r>
        <w:t>环保工程</w:t>
      </w:r>
      <w:r>
        <w:rPr>
          <w:rFonts w:hint="eastAsia"/>
        </w:rPr>
        <w:t>。</w:t>
      </w:r>
    </w:p>
    <w:p w:rsidR="004E3021" w:rsidRDefault="00606E48">
      <w:pPr>
        <w:ind w:firstLine="480"/>
        <w:sectPr w:rsidR="004E3021">
          <w:pgSz w:w="11906" w:h="16838"/>
          <w:pgMar w:top="1440" w:right="1440" w:bottom="1440" w:left="1440" w:header="851" w:footer="992" w:gutter="0"/>
          <w:cols w:space="425"/>
          <w:docGrid w:type="lines" w:linePitch="326"/>
        </w:sectPr>
      </w:pPr>
      <w:r>
        <w:t>主体工程包括</w:t>
      </w:r>
      <w:r>
        <w:rPr>
          <w:rFonts w:hint="eastAsia"/>
        </w:rPr>
        <w:t>生产车间；</w:t>
      </w:r>
      <w:r>
        <w:t>辅助工程包括办公楼</w:t>
      </w:r>
      <w:r>
        <w:rPr>
          <w:rFonts w:hint="eastAsia"/>
        </w:rPr>
        <w:t>、</w:t>
      </w:r>
      <w:r>
        <w:t>综合楼和值班宿舍</w:t>
      </w:r>
      <w:r>
        <w:rPr>
          <w:rFonts w:hint="eastAsia"/>
        </w:rPr>
        <w:t>；</w:t>
      </w:r>
      <w:r>
        <w:t>储运工程包括原料库</w:t>
      </w:r>
      <w:r>
        <w:rPr>
          <w:rFonts w:hint="eastAsia"/>
        </w:rPr>
        <w:t>、</w:t>
      </w:r>
      <w:r>
        <w:t>成品库</w:t>
      </w:r>
      <w:r>
        <w:rPr>
          <w:rFonts w:hint="eastAsia"/>
        </w:rPr>
        <w:t>、</w:t>
      </w:r>
      <w:r>
        <w:t>各类罐区</w:t>
      </w:r>
      <w:r>
        <w:rPr>
          <w:rFonts w:hint="eastAsia"/>
        </w:rPr>
        <w:t>；</w:t>
      </w:r>
      <w:r>
        <w:t>公用工程包括天然气调压站</w:t>
      </w:r>
      <w:r>
        <w:rPr>
          <w:rFonts w:hint="eastAsia"/>
        </w:rPr>
        <w:t>、</w:t>
      </w:r>
      <w:r>
        <w:t>纯水制备</w:t>
      </w:r>
      <w:r>
        <w:rPr>
          <w:rFonts w:hint="eastAsia"/>
        </w:rPr>
        <w:t>、</w:t>
      </w:r>
      <w:r>
        <w:t>消防系统</w:t>
      </w:r>
      <w:r>
        <w:rPr>
          <w:rFonts w:hint="eastAsia"/>
        </w:rPr>
        <w:t>、</w:t>
      </w:r>
      <w:r>
        <w:t>供水供电系统</w:t>
      </w:r>
      <w:r>
        <w:rPr>
          <w:rFonts w:hint="eastAsia"/>
        </w:rPr>
        <w:t>；</w:t>
      </w:r>
      <w:r>
        <w:t>环保工程包括废气治理系统</w:t>
      </w:r>
      <w:r>
        <w:rPr>
          <w:rFonts w:hint="eastAsia"/>
        </w:rPr>
        <w:t>、</w:t>
      </w:r>
      <w:r>
        <w:t>废水治理系统</w:t>
      </w:r>
      <w:r>
        <w:rPr>
          <w:rFonts w:hint="eastAsia"/>
        </w:rPr>
        <w:t>、噪声治理工程及固体废物处理处置。</w:t>
      </w:r>
      <w:r>
        <w:t>具体建设内容见表</w:t>
      </w:r>
      <w:r>
        <w:rPr>
          <w:rFonts w:hint="eastAsia"/>
        </w:rPr>
        <w:t>3</w:t>
      </w:r>
      <w:r>
        <w:t>.1.4-2</w:t>
      </w:r>
      <w:r>
        <w:rPr>
          <w:rFonts w:hint="eastAsia"/>
        </w:rPr>
        <w:t>。</w:t>
      </w:r>
    </w:p>
    <w:p w:rsidR="004E3021" w:rsidRDefault="00606E48">
      <w:pPr>
        <w:pStyle w:val="afffff4"/>
      </w:pPr>
      <w:r>
        <w:lastRenderedPageBreak/>
        <w:t>表</w:t>
      </w:r>
      <w:r>
        <w:rPr>
          <w:rFonts w:hint="eastAsia"/>
        </w:rPr>
        <w:t>3</w:t>
      </w:r>
      <w:r>
        <w:t xml:space="preserve">.1.4-2  </w:t>
      </w:r>
      <w:r>
        <w:t>现有项目建设内容一览表</w:t>
      </w:r>
    </w:p>
    <w:p w:rsidR="00B179FB" w:rsidRPr="00D14DE4" w:rsidRDefault="00B179FB" w:rsidP="00B179FB">
      <w:pPr>
        <w:pStyle w:val="afffff4"/>
        <w:ind w:firstLine="480"/>
        <w:rPr>
          <w:color w:val="FF0000"/>
        </w:rPr>
      </w:pPr>
      <w:r w:rsidRPr="00D14DE4">
        <w:rPr>
          <w:rFonts w:hint="eastAsia"/>
          <w:color w:val="FF0000"/>
        </w:rPr>
        <w:t>涉及商业机密，已删除</w:t>
      </w:r>
    </w:p>
    <w:p w:rsidR="004E3021" w:rsidRDefault="004E3021">
      <w:pPr>
        <w:pStyle w:val="afffff4"/>
      </w:pPr>
    </w:p>
    <w:p w:rsidR="004E3021" w:rsidRDefault="004E3021">
      <w:pPr>
        <w:pStyle w:val="afffffffffffffffff4"/>
        <w:sectPr w:rsidR="004E3021">
          <w:pgSz w:w="16838" w:h="11906" w:orient="landscape"/>
          <w:pgMar w:top="1440" w:right="1440" w:bottom="1440" w:left="1440" w:header="851" w:footer="992" w:gutter="0"/>
          <w:cols w:space="425"/>
          <w:docGrid w:type="lines" w:linePitch="326"/>
        </w:sectPr>
      </w:pPr>
      <w:bookmarkStart w:id="131" w:name="_Toc101135808"/>
      <w:bookmarkStart w:id="132" w:name="_Toc100783976"/>
    </w:p>
    <w:p w:rsidR="004E3021" w:rsidRDefault="00606E48">
      <w:pPr>
        <w:pStyle w:val="4a"/>
      </w:pPr>
      <w:bookmarkStart w:id="133" w:name="_Toc108662571"/>
      <w:r>
        <w:rPr>
          <w:rFonts w:hint="eastAsia"/>
        </w:rPr>
        <w:lastRenderedPageBreak/>
        <w:t>3</w:t>
      </w:r>
      <w:r>
        <w:t>.1.4.2</w:t>
      </w:r>
      <w:r>
        <w:t>现有工程主要原辅材料及燃料消耗</w:t>
      </w:r>
      <w:bookmarkEnd w:id="131"/>
      <w:bookmarkEnd w:id="132"/>
      <w:bookmarkEnd w:id="133"/>
    </w:p>
    <w:p w:rsidR="004E3021" w:rsidRDefault="00606E48">
      <w:pPr>
        <w:ind w:firstLine="480"/>
      </w:pPr>
      <w:r>
        <w:rPr>
          <w:rFonts w:hint="eastAsia"/>
        </w:rPr>
        <w:t>现有工程主要原辅材料及燃料消耗情况具体见表</w:t>
      </w:r>
      <w:r>
        <w:rPr>
          <w:rFonts w:hint="eastAsia"/>
        </w:rPr>
        <w:t>3</w:t>
      </w:r>
      <w:r>
        <w:t>.1.4-3</w:t>
      </w:r>
      <w:r>
        <w:rPr>
          <w:rFonts w:hint="eastAsia"/>
        </w:rPr>
        <w:t>。</w:t>
      </w:r>
    </w:p>
    <w:p w:rsidR="00B179FB" w:rsidRPr="00D14DE4" w:rsidRDefault="00B179FB" w:rsidP="00B179FB">
      <w:pPr>
        <w:pStyle w:val="afffff4"/>
        <w:ind w:firstLine="480"/>
        <w:rPr>
          <w:color w:val="FF0000"/>
        </w:rPr>
      </w:pPr>
      <w:r w:rsidRPr="00D14DE4">
        <w:rPr>
          <w:rFonts w:hint="eastAsia"/>
          <w:color w:val="FF0000"/>
        </w:rPr>
        <w:t>涉及商业机密，已删除</w:t>
      </w:r>
    </w:p>
    <w:p w:rsidR="004E3021" w:rsidRPr="00B179FB" w:rsidRDefault="004E3021">
      <w:pPr>
        <w:pStyle w:val="afffff4"/>
      </w:pPr>
    </w:p>
    <w:p w:rsidR="004E3021" w:rsidRDefault="00606E48">
      <w:pPr>
        <w:pStyle w:val="4a"/>
      </w:pPr>
      <w:bookmarkStart w:id="134" w:name="_Toc100783977"/>
      <w:bookmarkStart w:id="135" w:name="_Toc101135809"/>
      <w:bookmarkStart w:id="136" w:name="_Toc108662572"/>
      <w:r>
        <w:rPr>
          <w:rFonts w:hint="eastAsia"/>
        </w:rPr>
        <w:t>3</w:t>
      </w:r>
      <w:r>
        <w:t>.1.4.3</w:t>
      </w:r>
      <w:r>
        <w:t>现有工程主要生产设施</w:t>
      </w:r>
      <w:bookmarkEnd w:id="134"/>
      <w:bookmarkEnd w:id="135"/>
      <w:bookmarkEnd w:id="136"/>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ind w:firstLine="480"/>
      </w:pPr>
    </w:p>
    <w:p w:rsidR="004E3021" w:rsidRDefault="00606E48">
      <w:pPr>
        <w:pStyle w:val="4a"/>
      </w:pPr>
      <w:bookmarkStart w:id="137" w:name="_Toc100783978"/>
      <w:bookmarkStart w:id="138" w:name="_Toc101135810"/>
      <w:bookmarkStart w:id="139" w:name="_Toc108662574"/>
      <w:r>
        <w:rPr>
          <w:rFonts w:hint="eastAsia"/>
        </w:rPr>
        <w:t>3</w:t>
      </w:r>
      <w:r>
        <w:t>.1.4.4</w:t>
      </w:r>
      <w:r>
        <w:rPr>
          <w:rFonts w:hint="eastAsia"/>
        </w:rPr>
        <w:t>现有工程工艺</w:t>
      </w:r>
      <w:r>
        <w:t>流程</w:t>
      </w:r>
      <w:bookmarkEnd w:id="137"/>
      <w:bookmarkEnd w:id="138"/>
      <w:bookmarkEnd w:id="139"/>
    </w:p>
    <w:p w:rsidR="00B179FB" w:rsidRPr="00D14DE4" w:rsidRDefault="00B179FB" w:rsidP="00B179FB">
      <w:pPr>
        <w:pStyle w:val="afffff4"/>
        <w:ind w:firstLine="480"/>
        <w:rPr>
          <w:color w:val="FF0000"/>
        </w:rPr>
      </w:pPr>
      <w:r w:rsidRPr="00D14DE4">
        <w:rPr>
          <w:rFonts w:hint="eastAsia"/>
          <w:color w:val="FF0000"/>
        </w:rPr>
        <w:t>涉及商业机密，已删除</w:t>
      </w:r>
    </w:p>
    <w:p w:rsidR="004E3021" w:rsidRPr="00B179FB" w:rsidRDefault="004E3021">
      <w:pPr>
        <w:pStyle w:val="a0"/>
        <w:autoSpaceDE w:val="0"/>
        <w:autoSpaceDN w:val="0"/>
        <w:adjustRightInd/>
        <w:snapToGrid/>
        <w:spacing w:line="360" w:lineRule="auto"/>
        <w:ind w:firstLine="480"/>
        <w:rPr>
          <w:rFonts w:ascii="Times New Roman" w:hAnsi="Times New Roman"/>
          <w:bCs/>
          <w:snapToGrid w:val="0"/>
          <w:kern w:val="0"/>
          <w:szCs w:val="24"/>
        </w:rPr>
      </w:pPr>
    </w:p>
    <w:p w:rsidR="004E3021" w:rsidRDefault="00606E48">
      <w:pPr>
        <w:pStyle w:val="4a"/>
      </w:pPr>
      <w:bookmarkStart w:id="140" w:name="_Toc108662575"/>
      <w:bookmarkStart w:id="141" w:name="_Toc100783979"/>
      <w:bookmarkStart w:id="142" w:name="_Toc101135811"/>
      <w:r>
        <w:t>3.1.4.5</w:t>
      </w:r>
      <w:r>
        <w:t>现有工程产污节点及污染治理措施</w:t>
      </w:r>
      <w:bookmarkEnd w:id="140"/>
      <w:bookmarkEnd w:id="141"/>
      <w:bookmarkEnd w:id="142"/>
    </w:p>
    <w:p w:rsidR="004E3021" w:rsidRDefault="00606E48">
      <w:pPr>
        <w:ind w:firstLine="482"/>
        <w:rPr>
          <w:b/>
        </w:rPr>
      </w:pPr>
      <w:r>
        <w:rPr>
          <w:rFonts w:hint="eastAsia"/>
          <w:b/>
        </w:rPr>
        <w:t>（</w:t>
      </w:r>
      <w:r>
        <w:rPr>
          <w:rFonts w:hint="eastAsia"/>
          <w:b/>
        </w:rPr>
        <w:t>1</w:t>
      </w:r>
      <w:r>
        <w:rPr>
          <w:rFonts w:hint="eastAsia"/>
          <w:b/>
        </w:rPr>
        <w:t>）</w:t>
      </w:r>
      <w:r>
        <w:rPr>
          <w:b/>
        </w:rPr>
        <w:t>废气</w:t>
      </w:r>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pStyle w:val="a0"/>
        <w:ind w:firstLine="480"/>
      </w:pPr>
    </w:p>
    <w:p w:rsidR="004E3021" w:rsidRDefault="00606E48">
      <w:pPr>
        <w:ind w:firstLine="482"/>
        <w:rPr>
          <w:b/>
        </w:rPr>
      </w:pPr>
      <w:r>
        <w:rPr>
          <w:rFonts w:hint="eastAsia"/>
          <w:b/>
        </w:rPr>
        <w:t>（</w:t>
      </w:r>
      <w:r>
        <w:rPr>
          <w:rFonts w:hint="eastAsia"/>
          <w:b/>
        </w:rPr>
        <w:t>2</w:t>
      </w:r>
      <w:r>
        <w:rPr>
          <w:rFonts w:hint="eastAsia"/>
          <w:b/>
        </w:rPr>
        <w:t>）</w:t>
      </w:r>
      <w:r>
        <w:rPr>
          <w:b/>
        </w:rPr>
        <w:t>废水</w:t>
      </w:r>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pStyle w:val="a0"/>
        <w:ind w:firstLine="480"/>
      </w:pPr>
    </w:p>
    <w:p w:rsidR="004E3021" w:rsidRDefault="00606E48">
      <w:pPr>
        <w:ind w:firstLine="482"/>
        <w:rPr>
          <w:b/>
        </w:rPr>
      </w:pPr>
      <w:r>
        <w:rPr>
          <w:rFonts w:hint="eastAsia"/>
          <w:b/>
        </w:rPr>
        <w:t>（</w:t>
      </w:r>
      <w:r>
        <w:rPr>
          <w:rFonts w:hint="eastAsia"/>
          <w:b/>
        </w:rPr>
        <w:t>3</w:t>
      </w:r>
      <w:r>
        <w:rPr>
          <w:rFonts w:hint="eastAsia"/>
          <w:b/>
        </w:rPr>
        <w:t>）</w:t>
      </w:r>
      <w:r>
        <w:rPr>
          <w:b/>
        </w:rPr>
        <w:t>固体废物</w:t>
      </w:r>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pStyle w:val="a0"/>
        <w:ind w:firstLine="480"/>
      </w:pPr>
    </w:p>
    <w:p w:rsidR="004E3021" w:rsidRDefault="00606E48">
      <w:pPr>
        <w:ind w:firstLine="482"/>
        <w:rPr>
          <w:b/>
        </w:rPr>
      </w:pPr>
      <w:r>
        <w:rPr>
          <w:rFonts w:hint="eastAsia"/>
          <w:b/>
        </w:rPr>
        <w:t>（</w:t>
      </w:r>
      <w:r>
        <w:rPr>
          <w:rFonts w:hint="eastAsia"/>
          <w:b/>
        </w:rPr>
        <w:t>4</w:t>
      </w:r>
      <w:r>
        <w:rPr>
          <w:rFonts w:hint="eastAsia"/>
          <w:b/>
        </w:rPr>
        <w:t>）</w:t>
      </w:r>
      <w:r>
        <w:rPr>
          <w:b/>
        </w:rPr>
        <w:t>噪声</w:t>
      </w:r>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pStyle w:val="a0"/>
        <w:ind w:firstLine="480"/>
      </w:pPr>
    </w:p>
    <w:p w:rsidR="004E3021" w:rsidRDefault="00606E48" w:rsidP="000A54A5">
      <w:pPr>
        <w:pStyle w:val="4a"/>
      </w:pPr>
      <w:bookmarkStart w:id="143" w:name="_Toc101135812"/>
      <w:bookmarkStart w:id="144" w:name="_Toc108662576"/>
      <w:bookmarkStart w:id="145" w:name="_Toc100783980"/>
      <w:r>
        <w:rPr>
          <w:rFonts w:hint="eastAsia"/>
        </w:rPr>
        <w:t>3</w:t>
      </w:r>
      <w:r>
        <w:t>.1.</w:t>
      </w:r>
      <w:r w:rsidR="000A54A5">
        <w:t>4.6</w:t>
      </w:r>
      <w:r>
        <w:t>污染物达标排放情况</w:t>
      </w:r>
      <w:bookmarkEnd w:id="143"/>
      <w:bookmarkEnd w:id="144"/>
      <w:bookmarkEnd w:id="145"/>
    </w:p>
    <w:p w:rsidR="004E3021" w:rsidRDefault="00606E48">
      <w:pPr>
        <w:ind w:firstLine="480"/>
      </w:pPr>
      <w:r>
        <w:rPr>
          <w:rFonts w:ascii="宋体" w:hAnsi="宋体" w:hint="eastAsia"/>
        </w:rPr>
        <w:t>根据</w:t>
      </w:r>
      <w:r>
        <w:rPr>
          <w:rFonts w:ascii="宋体" w:hAnsi="宋体"/>
        </w:rPr>
        <w:t>验收监测数据</w:t>
      </w:r>
      <w:r>
        <w:rPr>
          <w:rFonts w:ascii="宋体" w:hAnsi="宋体" w:hint="eastAsia"/>
        </w:rPr>
        <w:t>，</w:t>
      </w:r>
      <w:r>
        <w:rPr>
          <w:rFonts w:ascii="宋体" w:hAnsi="宋体"/>
        </w:rPr>
        <w:t>对企业现有工程污染物达标排放情况进行分析，具体</w:t>
      </w:r>
      <w:r>
        <w:rPr>
          <w:rFonts w:ascii="宋体" w:hAnsi="宋体" w:hint="eastAsia"/>
        </w:rPr>
        <w:t>如下</w:t>
      </w:r>
      <w:r>
        <w:rPr>
          <w:rFonts w:ascii="宋体" w:hAnsi="宋体"/>
        </w:rPr>
        <w:t>：</w:t>
      </w:r>
    </w:p>
    <w:p w:rsidR="004E3021" w:rsidRDefault="00606E48">
      <w:pPr>
        <w:ind w:firstLine="482"/>
        <w:rPr>
          <w:b/>
        </w:rPr>
      </w:pPr>
      <w:r w:rsidRPr="00206D55">
        <w:rPr>
          <w:rFonts w:hint="eastAsia"/>
          <w:b/>
        </w:rPr>
        <w:t>（</w:t>
      </w:r>
      <w:r w:rsidRPr="00206D55">
        <w:rPr>
          <w:rFonts w:hint="eastAsia"/>
          <w:b/>
        </w:rPr>
        <w:t>1</w:t>
      </w:r>
      <w:r w:rsidR="00206D55">
        <w:rPr>
          <w:rFonts w:hint="eastAsia"/>
          <w:b/>
        </w:rPr>
        <w:t>）废气</w:t>
      </w:r>
    </w:p>
    <w:p w:rsidR="004E3021" w:rsidRDefault="00B179FB" w:rsidP="00B179FB">
      <w:pPr>
        <w:pStyle w:val="afffff4"/>
        <w:ind w:firstLine="480"/>
      </w:pPr>
      <w:r w:rsidRPr="00D14DE4">
        <w:rPr>
          <w:rFonts w:hint="eastAsia"/>
          <w:color w:val="FF0000"/>
        </w:rPr>
        <w:t>涉及商业机密，已删除</w:t>
      </w:r>
    </w:p>
    <w:p w:rsidR="004E3021" w:rsidRDefault="004E3021">
      <w:pPr>
        <w:pStyle w:val="afffff4"/>
        <w:sectPr w:rsidR="004E3021">
          <w:pgSz w:w="11906" w:h="16838"/>
          <w:pgMar w:top="1440" w:right="1440" w:bottom="1440" w:left="1440" w:header="851" w:footer="992" w:gutter="0"/>
          <w:cols w:space="425"/>
          <w:docGrid w:type="lines" w:linePitch="326"/>
        </w:sectPr>
      </w:pPr>
    </w:p>
    <w:p w:rsidR="00206D55" w:rsidRDefault="00206D55" w:rsidP="00206D55">
      <w:pPr>
        <w:ind w:firstLine="482"/>
        <w:rPr>
          <w:b/>
        </w:rPr>
      </w:pPr>
      <w:r w:rsidRPr="00206D55">
        <w:rPr>
          <w:rFonts w:hint="eastAsia"/>
          <w:b/>
        </w:rPr>
        <w:lastRenderedPageBreak/>
        <w:t>（</w:t>
      </w:r>
      <w:r w:rsidRPr="00206D55">
        <w:rPr>
          <w:b/>
        </w:rPr>
        <w:t>2</w:t>
      </w:r>
      <w:r w:rsidRPr="00206D55">
        <w:rPr>
          <w:rFonts w:hint="eastAsia"/>
          <w:b/>
        </w:rPr>
        <w:t>）废水</w:t>
      </w:r>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pStyle w:val="a0"/>
        <w:ind w:firstLine="480"/>
      </w:pPr>
    </w:p>
    <w:p w:rsidR="00206D55" w:rsidRPr="00206D55" w:rsidRDefault="00206D55" w:rsidP="00206D55">
      <w:pPr>
        <w:ind w:firstLine="482"/>
        <w:rPr>
          <w:b/>
        </w:rPr>
      </w:pPr>
      <w:r w:rsidRPr="00206D55">
        <w:rPr>
          <w:rFonts w:hint="eastAsia"/>
          <w:b/>
        </w:rPr>
        <w:t>（</w:t>
      </w:r>
      <w:r>
        <w:rPr>
          <w:b/>
        </w:rPr>
        <w:t>3</w:t>
      </w:r>
      <w:r w:rsidRPr="00206D55">
        <w:rPr>
          <w:rFonts w:hint="eastAsia"/>
          <w:b/>
        </w:rPr>
        <w:t>）</w:t>
      </w:r>
      <w:r>
        <w:rPr>
          <w:rFonts w:hint="eastAsia"/>
          <w:b/>
        </w:rPr>
        <w:t>噪声</w:t>
      </w:r>
    </w:p>
    <w:p w:rsidR="00B179FB" w:rsidRPr="00D14DE4" w:rsidRDefault="00B179FB" w:rsidP="00B179FB">
      <w:pPr>
        <w:pStyle w:val="afffff4"/>
        <w:ind w:firstLine="480"/>
        <w:rPr>
          <w:color w:val="FF0000"/>
        </w:rPr>
      </w:pPr>
      <w:r w:rsidRPr="00D14DE4">
        <w:rPr>
          <w:rFonts w:hint="eastAsia"/>
          <w:color w:val="FF0000"/>
        </w:rPr>
        <w:t>涉及商业机密，已删除</w:t>
      </w:r>
    </w:p>
    <w:p w:rsidR="004E3021" w:rsidRPr="00B179FB" w:rsidRDefault="004E3021">
      <w:pPr>
        <w:ind w:firstLine="480"/>
      </w:pPr>
    </w:p>
    <w:p w:rsidR="00215AF7" w:rsidRPr="00206D55" w:rsidRDefault="00215AF7" w:rsidP="00215AF7">
      <w:pPr>
        <w:ind w:firstLine="482"/>
        <w:rPr>
          <w:b/>
        </w:rPr>
      </w:pPr>
      <w:r w:rsidRPr="00206D55">
        <w:rPr>
          <w:rFonts w:hint="eastAsia"/>
          <w:b/>
        </w:rPr>
        <w:t>（</w:t>
      </w:r>
      <w:r>
        <w:rPr>
          <w:b/>
        </w:rPr>
        <w:t>4</w:t>
      </w:r>
      <w:r w:rsidRPr="00206D55">
        <w:rPr>
          <w:rFonts w:hint="eastAsia"/>
          <w:b/>
        </w:rPr>
        <w:t>）</w:t>
      </w:r>
      <w:r>
        <w:rPr>
          <w:rFonts w:hint="eastAsia"/>
          <w:b/>
        </w:rPr>
        <w:t>固废</w:t>
      </w:r>
    </w:p>
    <w:p w:rsidR="00B179FB" w:rsidRPr="00D14DE4" w:rsidRDefault="00B179FB" w:rsidP="00B179FB">
      <w:pPr>
        <w:pStyle w:val="afffff4"/>
        <w:ind w:firstLine="480"/>
        <w:rPr>
          <w:color w:val="FF0000"/>
        </w:rPr>
      </w:pPr>
      <w:r w:rsidRPr="00D14DE4">
        <w:rPr>
          <w:rFonts w:hint="eastAsia"/>
          <w:color w:val="FF0000"/>
        </w:rPr>
        <w:t>涉及商业机密，已删除</w:t>
      </w:r>
    </w:p>
    <w:p w:rsidR="00215AF7" w:rsidRDefault="00215AF7" w:rsidP="00215AF7">
      <w:pPr>
        <w:ind w:firstLine="480"/>
      </w:pPr>
    </w:p>
    <w:p w:rsidR="004E3021" w:rsidRDefault="00606E48" w:rsidP="00215AF7">
      <w:pPr>
        <w:pStyle w:val="4a"/>
      </w:pPr>
      <w:bookmarkStart w:id="146" w:name="_Toc101135813"/>
      <w:bookmarkStart w:id="147" w:name="_Toc100783981"/>
      <w:bookmarkStart w:id="148" w:name="_Toc108662577"/>
      <w:r>
        <w:rPr>
          <w:rFonts w:hint="eastAsia"/>
        </w:rPr>
        <w:t>3</w:t>
      </w:r>
      <w:r>
        <w:t>.1.</w:t>
      </w:r>
      <w:r w:rsidR="00215AF7">
        <w:t>4.7</w:t>
      </w:r>
      <w:r>
        <w:t>现有工程污染物汇总及总量控制指标</w:t>
      </w:r>
      <w:bookmarkEnd w:id="146"/>
      <w:bookmarkEnd w:id="147"/>
      <w:bookmarkEnd w:id="148"/>
    </w:p>
    <w:p w:rsidR="00B179FB" w:rsidRPr="00D14DE4" w:rsidRDefault="00B179FB" w:rsidP="00B179FB">
      <w:pPr>
        <w:pStyle w:val="afffff4"/>
        <w:ind w:firstLine="480"/>
        <w:rPr>
          <w:color w:val="FF0000"/>
        </w:rPr>
      </w:pPr>
      <w:r w:rsidRPr="00D14DE4">
        <w:rPr>
          <w:rFonts w:hint="eastAsia"/>
          <w:color w:val="FF0000"/>
        </w:rPr>
        <w:t>涉及商业机密，已删除</w:t>
      </w:r>
    </w:p>
    <w:p w:rsidR="004E3021" w:rsidRDefault="004E3021">
      <w:pPr>
        <w:ind w:firstLine="480"/>
      </w:pPr>
    </w:p>
    <w:p w:rsidR="004E3021" w:rsidRDefault="00606E48">
      <w:pPr>
        <w:pStyle w:val="afffffffffffffffff4"/>
      </w:pPr>
      <w:bookmarkStart w:id="149" w:name="_Toc221088736"/>
      <w:bookmarkStart w:id="150" w:name="_Toc221500951"/>
      <w:bookmarkStart w:id="151" w:name="_Toc100783982"/>
      <w:bookmarkStart w:id="152" w:name="_Toc108662578"/>
      <w:bookmarkStart w:id="153" w:name="_Toc101135814"/>
      <w:r>
        <w:rPr>
          <w:rFonts w:hint="eastAsia"/>
        </w:rPr>
        <w:t>3</w:t>
      </w:r>
      <w:r>
        <w:t>.1.5</w:t>
      </w:r>
      <w:r>
        <w:rPr>
          <w:rFonts w:hint="eastAsia"/>
        </w:rPr>
        <w:t>已批</w:t>
      </w:r>
      <w:r w:rsidR="00902E00">
        <w:rPr>
          <w:rFonts w:hint="eastAsia"/>
        </w:rPr>
        <w:t>未验收项目</w:t>
      </w:r>
      <w:r>
        <w:rPr>
          <w:rFonts w:hint="eastAsia"/>
        </w:rPr>
        <w:t>概况</w:t>
      </w:r>
      <w:bookmarkEnd w:id="149"/>
      <w:bookmarkEnd w:id="150"/>
    </w:p>
    <w:p w:rsidR="004E3021" w:rsidRDefault="00606E48">
      <w:pPr>
        <w:pStyle w:val="4a"/>
      </w:pPr>
      <w:r>
        <w:rPr>
          <w:rFonts w:hint="eastAsia"/>
        </w:rPr>
        <w:t>3</w:t>
      </w:r>
      <w:r>
        <w:t>.1.5.1</w:t>
      </w:r>
      <w:r>
        <w:rPr>
          <w:rFonts w:hint="eastAsia"/>
        </w:rPr>
        <w:t>已批</w:t>
      </w:r>
      <w:r w:rsidR="00902E00">
        <w:rPr>
          <w:rFonts w:hint="eastAsia"/>
        </w:rPr>
        <w:t>未验收项目</w:t>
      </w:r>
      <w:r>
        <w:t>工程产品方案及主要建设内容</w:t>
      </w:r>
    </w:p>
    <w:p w:rsidR="00B179FB" w:rsidRPr="00D14DE4" w:rsidRDefault="00B179FB" w:rsidP="00B179FB">
      <w:pPr>
        <w:pStyle w:val="afffff4"/>
        <w:ind w:firstLine="480"/>
        <w:rPr>
          <w:color w:val="FF0000"/>
        </w:rPr>
      </w:pPr>
      <w:r w:rsidRPr="00D14DE4">
        <w:rPr>
          <w:rFonts w:hint="eastAsia"/>
          <w:color w:val="FF0000"/>
        </w:rPr>
        <w:t>涉及商业机密，已删除</w:t>
      </w:r>
    </w:p>
    <w:p w:rsidR="00195FD6" w:rsidRDefault="00195FD6" w:rsidP="00195FD6">
      <w:pPr>
        <w:pStyle w:val="4a"/>
        <w:autoSpaceDE w:val="0"/>
        <w:rPr>
          <w:szCs w:val="24"/>
        </w:rPr>
      </w:pPr>
      <w:r>
        <w:rPr>
          <w:rFonts w:hint="eastAsia"/>
        </w:rPr>
        <w:t>3</w:t>
      </w:r>
      <w:r>
        <w:t>.1.5</w:t>
      </w:r>
      <w:r>
        <w:rPr>
          <w:rFonts w:hint="eastAsia"/>
        </w:rPr>
        <w:t>.2</w:t>
      </w:r>
      <w:r>
        <w:rPr>
          <w:rFonts w:ascii="黑体" w:hAnsi="黑体" w:hint="eastAsia"/>
        </w:rPr>
        <w:t>已批</w:t>
      </w:r>
      <w:r w:rsidR="00902E00">
        <w:rPr>
          <w:rFonts w:ascii="黑体" w:hAnsi="黑体" w:hint="eastAsia"/>
        </w:rPr>
        <w:t>未验收</w:t>
      </w:r>
      <w:r>
        <w:rPr>
          <w:rFonts w:ascii="黑体" w:hAnsi="黑体" w:hint="eastAsia"/>
        </w:rPr>
        <w:t>工程主要原辅材料及能源消耗</w:t>
      </w:r>
    </w:p>
    <w:p w:rsidR="00B179FB" w:rsidRPr="00D14DE4" w:rsidRDefault="00B179FB" w:rsidP="00B179FB">
      <w:pPr>
        <w:pStyle w:val="afffff4"/>
        <w:ind w:firstLine="480"/>
        <w:rPr>
          <w:color w:val="FF0000"/>
        </w:rPr>
      </w:pPr>
      <w:r w:rsidRPr="00D14DE4">
        <w:rPr>
          <w:rFonts w:hint="eastAsia"/>
          <w:color w:val="FF0000"/>
        </w:rPr>
        <w:t>涉及商业机密，已删除</w:t>
      </w:r>
    </w:p>
    <w:p w:rsidR="00195FD6" w:rsidRPr="00B179FB" w:rsidRDefault="00195FD6" w:rsidP="00195FD6">
      <w:pPr>
        <w:pStyle w:val="afffff4"/>
        <w:autoSpaceDE w:val="0"/>
        <w:ind w:firstLine="480"/>
      </w:pPr>
    </w:p>
    <w:p w:rsidR="0037612C" w:rsidRDefault="0037612C" w:rsidP="0037612C">
      <w:pPr>
        <w:pStyle w:val="4a"/>
        <w:autoSpaceDE w:val="0"/>
      </w:pPr>
      <w:r>
        <w:rPr>
          <w:rFonts w:hint="eastAsia"/>
        </w:rPr>
        <w:t>3</w:t>
      </w:r>
      <w:r>
        <w:t>.1.5</w:t>
      </w:r>
      <w:r>
        <w:rPr>
          <w:rFonts w:hint="eastAsia"/>
        </w:rPr>
        <w:t>.3</w:t>
      </w:r>
      <w:r w:rsidRPr="0037612C">
        <w:rPr>
          <w:rFonts w:hint="eastAsia"/>
        </w:rPr>
        <w:t>已批</w:t>
      </w:r>
      <w:r w:rsidR="00902E00">
        <w:rPr>
          <w:rFonts w:ascii="宋体" w:hAnsi="宋体" w:hint="eastAsia"/>
        </w:rPr>
        <w:t>未验收</w:t>
      </w:r>
      <w:r w:rsidRPr="0037612C">
        <w:rPr>
          <w:rFonts w:hint="eastAsia"/>
        </w:rPr>
        <w:t>工程主要生产设备</w:t>
      </w:r>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ind w:firstLine="480"/>
      </w:pPr>
    </w:p>
    <w:p w:rsidR="00612664" w:rsidRDefault="00612664" w:rsidP="00612664">
      <w:pPr>
        <w:pStyle w:val="4a"/>
        <w:autoSpaceDE w:val="0"/>
        <w:rPr>
          <w:rFonts w:ascii="黑体" w:hAnsi="黑体"/>
        </w:rPr>
      </w:pPr>
      <w:r>
        <w:rPr>
          <w:rFonts w:hint="eastAsia"/>
        </w:rPr>
        <w:t>3.1.</w:t>
      </w:r>
      <w:r>
        <w:t>5</w:t>
      </w:r>
      <w:r>
        <w:rPr>
          <w:rFonts w:hint="eastAsia"/>
        </w:rPr>
        <w:t>.4</w:t>
      </w:r>
      <w:r>
        <w:rPr>
          <w:rFonts w:ascii="黑体" w:hAnsi="黑体" w:hint="eastAsia"/>
        </w:rPr>
        <w:t>已批</w:t>
      </w:r>
      <w:r w:rsidR="00902E00">
        <w:rPr>
          <w:rFonts w:ascii="宋体" w:hAnsi="宋体" w:hint="eastAsia"/>
        </w:rPr>
        <w:t>未验收</w:t>
      </w:r>
      <w:r>
        <w:rPr>
          <w:rFonts w:ascii="黑体" w:hAnsi="黑体" w:hint="eastAsia"/>
        </w:rPr>
        <w:t>项目工艺</w:t>
      </w:r>
      <w:r>
        <w:rPr>
          <w:rFonts w:ascii="黑体" w:hAnsi="黑体"/>
        </w:rPr>
        <w:t>流程</w:t>
      </w:r>
    </w:p>
    <w:p w:rsidR="00B179FB" w:rsidRPr="00D14DE4" w:rsidRDefault="00B179FB" w:rsidP="00B179FB">
      <w:pPr>
        <w:pStyle w:val="afffff4"/>
        <w:ind w:firstLine="480"/>
        <w:rPr>
          <w:color w:val="FF0000"/>
        </w:rPr>
      </w:pPr>
      <w:r w:rsidRPr="00D14DE4">
        <w:rPr>
          <w:rFonts w:hint="eastAsia"/>
          <w:color w:val="FF0000"/>
        </w:rPr>
        <w:t>涉及商业机密，已删除</w:t>
      </w:r>
    </w:p>
    <w:p w:rsidR="00612664" w:rsidRPr="00612664" w:rsidRDefault="00612664" w:rsidP="00612664">
      <w:pPr>
        <w:ind w:firstLine="480"/>
      </w:pPr>
    </w:p>
    <w:p w:rsidR="00612664" w:rsidRPr="00612664" w:rsidRDefault="00612664" w:rsidP="00612664">
      <w:pPr>
        <w:pStyle w:val="4a"/>
        <w:autoSpaceDE w:val="0"/>
      </w:pPr>
      <w:r>
        <w:rPr>
          <w:rFonts w:hint="eastAsia"/>
        </w:rPr>
        <w:t>3.1.</w:t>
      </w:r>
      <w:r>
        <w:t>5</w:t>
      </w:r>
      <w:r>
        <w:rPr>
          <w:rFonts w:hint="eastAsia"/>
        </w:rPr>
        <w:t>.5</w:t>
      </w:r>
      <w:r w:rsidRPr="00612664">
        <w:rPr>
          <w:rFonts w:hint="eastAsia"/>
        </w:rPr>
        <w:t>已批</w:t>
      </w:r>
      <w:r w:rsidR="00902E00">
        <w:rPr>
          <w:rFonts w:ascii="宋体" w:hAnsi="宋体" w:hint="eastAsia"/>
        </w:rPr>
        <w:t>未验收</w:t>
      </w:r>
      <w:r w:rsidRPr="00612664">
        <w:t>工程污染治理措施</w:t>
      </w:r>
    </w:p>
    <w:p w:rsidR="00612664" w:rsidRDefault="00612664" w:rsidP="00612664">
      <w:pPr>
        <w:pStyle w:val="a0"/>
        <w:autoSpaceDE w:val="0"/>
        <w:spacing w:line="360" w:lineRule="auto"/>
        <w:ind w:firstLine="482"/>
        <w:rPr>
          <w:rFonts w:ascii="Times New Roman" w:hAnsi="Times New Roman"/>
          <w:b/>
          <w:bCs/>
        </w:rPr>
      </w:pPr>
      <w:r>
        <w:rPr>
          <w:rFonts w:ascii="宋体" w:hAnsi="宋体" w:hint="eastAsia"/>
          <w:b/>
          <w:bCs/>
        </w:rPr>
        <w:t>（</w:t>
      </w:r>
      <w:r>
        <w:rPr>
          <w:rFonts w:ascii="Times New Roman" w:hAnsi="Times New Roman" w:hint="eastAsia"/>
          <w:b/>
          <w:bCs/>
        </w:rPr>
        <w:t>1</w:t>
      </w:r>
      <w:r>
        <w:rPr>
          <w:rFonts w:ascii="宋体" w:hAnsi="宋体" w:hint="eastAsia"/>
          <w:b/>
          <w:bCs/>
        </w:rPr>
        <w:t>）废气</w:t>
      </w:r>
    </w:p>
    <w:p w:rsidR="00B179FB" w:rsidRPr="00D14DE4" w:rsidRDefault="00B179FB" w:rsidP="00B179FB">
      <w:pPr>
        <w:pStyle w:val="afffff4"/>
        <w:ind w:firstLine="480"/>
        <w:rPr>
          <w:color w:val="FF0000"/>
        </w:rPr>
      </w:pPr>
      <w:r w:rsidRPr="00D14DE4">
        <w:rPr>
          <w:rFonts w:hint="eastAsia"/>
          <w:color w:val="FF0000"/>
        </w:rPr>
        <w:lastRenderedPageBreak/>
        <w:t>涉及商业机密，已删除</w:t>
      </w:r>
    </w:p>
    <w:p w:rsidR="00612664" w:rsidRPr="00B179FB" w:rsidRDefault="00612664" w:rsidP="00612664">
      <w:pPr>
        <w:pStyle w:val="afffff4"/>
        <w:autoSpaceDE w:val="0"/>
        <w:ind w:firstLine="480"/>
      </w:pPr>
    </w:p>
    <w:p w:rsidR="0002140B" w:rsidRDefault="0002140B" w:rsidP="0002140B">
      <w:pPr>
        <w:pStyle w:val="a0"/>
        <w:autoSpaceDE w:val="0"/>
        <w:spacing w:line="360" w:lineRule="auto"/>
        <w:ind w:firstLine="482"/>
        <w:rPr>
          <w:rFonts w:ascii="Times New Roman" w:hAnsi="Times New Roman"/>
          <w:b/>
          <w:bCs/>
          <w:szCs w:val="24"/>
        </w:rPr>
      </w:pPr>
      <w:r>
        <w:rPr>
          <w:rFonts w:ascii="宋体" w:hAnsi="宋体" w:hint="eastAsia"/>
          <w:b/>
          <w:bCs/>
        </w:rPr>
        <w:t>（</w:t>
      </w:r>
      <w:r>
        <w:rPr>
          <w:rFonts w:ascii="Times New Roman" w:hAnsi="Times New Roman" w:hint="eastAsia"/>
          <w:b/>
          <w:bCs/>
        </w:rPr>
        <w:t>2</w:t>
      </w:r>
      <w:r>
        <w:rPr>
          <w:rFonts w:ascii="宋体" w:hAnsi="宋体" w:hint="eastAsia"/>
          <w:b/>
          <w:bCs/>
        </w:rPr>
        <w:t>）废水</w:t>
      </w:r>
    </w:p>
    <w:p w:rsidR="00B179FB" w:rsidRPr="00D14DE4" w:rsidRDefault="00B179FB" w:rsidP="00B179FB">
      <w:pPr>
        <w:pStyle w:val="afffff4"/>
        <w:ind w:firstLine="480"/>
        <w:rPr>
          <w:color w:val="FF0000"/>
        </w:rPr>
      </w:pPr>
      <w:r w:rsidRPr="00D14DE4">
        <w:rPr>
          <w:rFonts w:hint="eastAsia"/>
          <w:color w:val="FF0000"/>
        </w:rPr>
        <w:t>涉及商业机密，已删除</w:t>
      </w:r>
    </w:p>
    <w:p w:rsidR="0002140B" w:rsidRPr="00B179FB" w:rsidRDefault="0002140B" w:rsidP="0002140B">
      <w:pPr>
        <w:pStyle w:val="a0"/>
        <w:autoSpaceDE w:val="0"/>
        <w:spacing w:line="360" w:lineRule="auto"/>
        <w:ind w:firstLine="480"/>
        <w:rPr>
          <w:rFonts w:ascii="Times New Roman" w:hAnsi="Times New Roman"/>
          <w:kern w:val="0"/>
        </w:rPr>
      </w:pPr>
    </w:p>
    <w:p w:rsidR="0002140B" w:rsidRDefault="0002140B" w:rsidP="0002140B">
      <w:pPr>
        <w:pStyle w:val="a0"/>
        <w:autoSpaceDE w:val="0"/>
        <w:spacing w:line="360" w:lineRule="auto"/>
        <w:ind w:firstLine="482"/>
        <w:rPr>
          <w:rFonts w:ascii="Times New Roman" w:hAnsi="Times New Roman"/>
          <w:b/>
          <w:bCs/>
          <w:szCs w:val="24"/>
        </w:rPr>
      </w:pPr>
      <w:r>
        <w:rPr>
          <w:rFonts w:ascii="宋体" w:hAnsi="宋体" w:hint="eastAsia"/>
          <w:b/>
          <w:bCs/>
        </w:rPr>
        <w:t>（</w:t>
      </w:r>
      <w:r>
        <w:rPr>
          <w:rFonts w:ascii="Times New Roman" w:hAnsi="Times New Roman" w:hint="eastAsia"/>
          <w:b/>
          <w:bCs/>
        </w:rPr>
        <w:t>3</w:t>
      </w:r>
      <w:r>
        <w:rPr>
          <w:rFonts w:ascii="宋体" w:hAnsi="宋体" w:hint="eastAsia"/>
          <w:b/>
          <w:bCs/>
        </w:rPr>
        <w:t>）噪声</w:t>
      </w:r>
    </w:p>
    <w:p w:rsidR="00B179FB" w:rsidRPr="00D14DE4" w:rsidRDefault="00B179FB" w:rsidP="00B179FB">
      <w:pPr>
        <w:pStyle w:val="afffff4"/>
        <w:ind w:firstLine="480"/>
        <w:rPr>
          <w:color w:val="FF0000"/>
        </w:rPr>
      </w:pPr>
      <w:r w:rsidRPr="00D14DE4">
        <w:rPr>
          <w:rFonts w:hint="eastAsia"/>
          <w:color w:val="FF0000"/>
        </w:rPr>
        <w:t>涉及商业机密，已删除</w:t>
      </w:r>
    </w:p>
    <w:p w:rsidR="0002140B" w:rsidRPr="00B179FB" w:rsidRDefault="0002140B" w:rsidP="0002140B">
      <w:pPr>
        <w:autoSpaceDE w:val="0"/>
        <w:ind w:firstLine="480"/>
      </w:pPr>
    </w:p>
    <w:p w:rsidR="0002140B" w:rsidRDefault="0002140B" w:rsidP="0002140B">
      <w:pPr>
        <w:autoSpaceDE w:val="0"/>
        <w:ind w:firstLine="482"/>
        <w:rPr>
          <w:b/>
          <w:bCs/>
        </w:rPr>
      </w:pPr>
      <w:r>
        <w:rPr>
          <w:rFonts w:ascii="宋体" w:hAnsi="宋体" w:hint="eastAsia"/>
          <w:b/>
          <w:bCs/>
        </w:rPr>
        <w:t>（</w:t>
      </w:r>
      <w:r>
        <w:rPr>
          <w:rFonts w:hint="eastAsia"/>
          <w:b/>
          <w:bCs/>
        </w:rPr>
        <w:t>4</w:t>
      </w:r>
      <w:r>
        <w:rPr>
          <w:rFonts w:ascii="宋体" w:hAnsi="宋体" w:hint="eastAsia"/>
          <w:b/>
          <w:bCs/>
        </w:rPr>
        <w:t>）固体废物</w:t>
      </w:r>
    </w:p>
    <w:p w:rsidR="00B179FB" w:rsidRPr="00D14DE4" w:rsidRDefault="00B179FB" w:rsidP="00B179FB">
      <w:pPr>
        <w:pStyle w:val="afffff4"/>
        <w:ind w:firstLine="480"/>
        <w:rPr>
          <w:color w:val="FF0000"/>
        </w:rPr>
      </w:pPr>
      <w:r w:rsidRPr="00D14DE4">
        <w:rPr>
          <w:rFonts w:hint="eastAsia"/>
          <w:color w:val="FF0000"/>
        </w:rPr>
        <w:t>涉及商业机密，已删除</w:t>
      </w:r>
    </w:p>
    <w:p w:rsidR="0002140B" w:rsidRDefault="0002140B" w:rsidP="0002140B">
      <w:pPr>
        <w:autoSpaceDE w:val="0"/>
        <w:ind w:firstLine="480"/>
      </w:pPr>
    </w:p>
    <w:p w:rsidR="00906E07" w:rsidRPr="00906E07" w:rsidRDefault="00906E07" w:rsidP="00906E07">
      <w:pPr>
        <w:pStyle w:val="4a"/>
        <w:autoSpaceDE w:val="0"/>
      </w:pPr>
      <w:r>
        <w:rPr>
          <w:rFonts w:hint="eastAsia"/>
        </w:rPr>
        <w:t>3</w:t>
      </w:r>
      <w:r>
        <w:t>.1.5</w:t>
      </w:r>
      <w:r>
        <w:rPr>
          <w:rFonts w:hint="eastAsia"/>
        </w:rPr>
        <w:t>.6</w:t>
      </w:r>
      <w:r w:rsidRPr="00906E07">
        <w:rPr>
          <w:rFonts w:hint="eastAsia"/>
        </w:rPr>
        <w:t>已批</w:t>
      </w:r>
      <w:r w:rsidR="00902E00">
        <w:rPr>
          <w:rFonts w:ascii="宋体" w:hAnsi="宋体" w:hint="eastAsia"/>
        </w:rPr>
        <w:t>未验收</w:t>
      </w:r>
      <w:r w:rsidRPr="00906E07">
        <w:rPr>
          <w:rFonts w:hint="eastAsia"/>
        </w:rPr>
        <w:t>工程污染物排放及达标情况</w:t>
      </w:r>
    </w:p>
    <w:p w:rsidR="00906E07" w:rsidRDefault="00906E07" w:rsidP="00906E07">
      <w:pPr>
        <w:pStyle w:val="a0"/>
        <w:autoSpaceDE w:val="0"/>
        <w:spacing w:line="360" w:lineRule="auto"/>
        <w:ind w:firstLine="482"/>
        <w:rPr>
          <w:rFonts w:ascii="宋体" w:hAnsi="宋体"/>
          <w:b/>
          <w:bCs/>
        </w:rPr>
      </w:pPr>
      <w:r>
        <w:rPr>
          <w:rFonts w:ascii="宋体" w:hAnsi="宋体" w:hint="eastAsia"/>
          <w:b/>
          <w:bCs/>
        </w:rPr>
        <w:t>（</w:t>
      </w:r>
      <w:r>
        <w:rPr>
          <w:rFonts w:ascii="Times New Roman" w:hAnsi="Times New Roman" w:hint="eastAsia"/>
          <w:b/>
          <w:bCs/>
        </w:rPr>
        <w:t>1</w:t>
      </w:r>
      <w:r>
        <w:rPr>
          <w:rFonts w:ascii="宋体" w:hAnsi="宋体" w:hint="eastAsia"/>
          <w:b/>
          <w:bCs/>
        </w:rPr>
        <w:t>）废气</w:t>
      </w:r>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906E07">
      <w:pPr>
        <w:pStyle w:val="a0"/>
        <w:autoSpaceDE w:val="0"/>
        <w:spacing w:line="360" w:lineRule="auto"/>
        <w:ind w:firstLine="482"/>
        <w:rPr>
          <w:rFonts w:ascii="Times New Roman" w:hAnsi="Times New Roman"/>
          <w:b/>
          <w:bCs/>
        </w:rPr>
      </w:pPr>
    </w:p>
    <w:p w:rsidR="00906E07" w:rsidRDefault="00906E07" w:rsidP="00906E07">
      <w:pPr>
        <w:pStyle w:val="a0"/>
        <w:autoSpaceDE w:val="0"/>
        <w:spacing w:line="360" w:lineRule="auto"/>
        <w:ind w:firstLine="482"/>
        <w:rPr>
          <w:rFonts w:ascii="宋体" w:hAnsi="宋体"/>
          <w:b/>
          <w:bCs/>
        </w:rPr>
      </w:pPr>
      <w:r>
        <w:rPr>
          <w:rFonts w:ascii="宋体" w:hAnsi="宋体" w:hint="eastAsia"/>
          <w:b/>
          <w:bCs/>
        </w:rPr>
        <w:t>（</w:t>
      </w:r>
      <w:r>
        <w:rPr>
          <w:rFonts w:ascii="Times New Roman" w:hAnsi="Times New Roman" w:hint="eastAsia"/>
          <w:b/>
          <w:bCs/>
        </w:rPr>
        <w:t>2</w:t>
      </w:r>
      <w:r>
        <w:rPr>
          <w:rFonts w:ascii="宋体" w:hAnsi="宋体" w:hint="eastAsia"/>
          <w:b/>
          <w:bCs/>
        </w:rPr>
        <w:t>）废水</w:t>
      </w:r>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906E07">
      <w:pPr>
        <w:pStyle w:val="a0"/>
        <w:autoSpaceDE w:val="0"/>
        <w:spacing w:line="360" w:lineRule="auto"/>
        <w:ind w:firstLine="482"/>
        <w:rPr>
          <w:rFonts w:ascii="Times New Roman" w:hAnsi="Times New Roman"/>
          <w:b/>
          <w:bCs/>
          <w:szCs w:val="24"/>
        </w:rPr>
      </w:pPr>
    </w:p>
    <w:p w:rsidR="00906E07" w:rsidRDefault="00906E07" w:rsidP="00906E07">
      <w:pPr>
        <w:pStyle w:val="a0"/>
        <w:autoSpaceDE w:val="0"/>
        <w:spacing w:line="360" w:lineRule="auto"/>
        <w:ind w:firstLine="482"/>
        <w:rPr>
          <w:rFonts w:ascii="宋体" w:hAnsi="宋体"/>
          <w:b/>
          <w:bCs/>
        </w:rPr>
      </w:pPr>
      <w:r>
        <w:rPr>
          <w:rFonts w:ascii="宋体" w:hAnsi="宋体" w:hint="eastAsia"/>
          <w:b/>
          <w:bCs/>
        </w:rPr>
        <w:t>（</w:t>
      </w:r>
      <w:r>
        <w:rPr>
          <w:rFonts w:ascii="Times New Roman" w:hAnsi="Times New Roman" w:hint="eastAsia"/>
          <w:b/>
          <w:bCs/>
        </w:rPr>
        <w:t>3</w:t>
      </w:r>
      <w:r>
        <w:rPr>
          <w:rFonts w:ascii="宋体" w:hAnsi="宋体" w:hint="eastAsia"/>
          <w:b/>
          <w:bCs/>
        </w:rPr>
        <w:t>）噪声</w:t>
      </w:r>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Default="00B179FB" w:rsidP="00906E07">
      <w:pPr>
        <w:pStyle w:val="a0"/>
        <w:autoSpaceDE w:val="0"/>
        <w:spacing w:line="360" w:lineRule="auto"/>
        <w:ind w:firstLine="482"/>
        <w:rPr>
          <w:rFonts w:ascii="Times New Roman" w:hAnsi="Times New Roman"/>
          <w:b/>
          <w:bCs/>
          <w:szCs w:val="24"/>
        </w:rPr>
      </w:pPr>
    </w:p>
    <w:p w:rsidR="00906E07" w:rsidRDefault="00906E07" w:rsidP="00906E07">
      <w:pPr>
        <w:pStyle w:val="a0"/>
        <w:autoSpaceDE w:val="0"/>
        <w:spacing w:line="360" w:lineRule="auto"/>
        <w:ind w:firstLine="482"/>
        <w:rPr>
          <w:rFonts w:ascii="宋体" w:hAnsi="宋体"/>
          <w:b/>
          <w:bCs/>
        </w:rPr>
      </w:pPr>
      <w:r>
        <w:rPr>
          <w:rFonts w:ascii="宋体" w:hAnsi="宋体" w:hint="eastAsia"/>
          <w:b/>
          <w:bCs/>
        </w:rPr>
        <w:t>（</w:t>
      </w:r>
      <w:r>
        <w:rPr>
          <w:rFonts w:ascii="Times New Roman" w:hAnsi="Times New Roman" w:hint="eastAsia"/>
          <w:b/>
          <w:bCs/>
        </w:rPr>
        <w:t>4</w:t>
      </w:r>
      <w:r>
        <w:rPr>
          <w:rFonts w:ascii="宋体" w:hAnsi="宋体" w:hint="eastAsia"/>
          <w:b/>
          <w:bCs/>
        </w:rPr>
        <w:t>）固体废物</w:t>
      </w:r>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906E07">
      <w:pPr>
        <w:pStyle w:val="a0"/>
        <w:autoSpaceDE w:val="0"/>
        <w:spacing w:line="360" w:lineRule="auto"/>
        <w:ind w:firstLine="482"/>
        <w:rPr>
          <w:rFonts w:ascii="Times New Roman" w:hAnsi="Times New Roman"/>
          <w:b/>
          <w:bCs/>
        </w:rPr>
      </w:pPr>
    </w:p>
    <w:p w:rsidR="00906E07" w:rsidRDefault="00906E07" w:rsidP="00E56B38">
      <w:pPr>
        <w:pStyle w:val="4a"/>
        <w:autoSpaceDE w:val="0"/>
      </w:pPr>
      <w:r>
        <w:rPr>
          <w:rFonts w:hint="eastAsia"/>
        </w:rPr>
        <w:t>3</w:t>
      </w:r>
      <w:r>
        <w:t>.1.</w:t>
      </w:r>
      <w:r w:rsidR="00E56B38">
        <w:t>5</w:t>
      </w:r>
      <w:r>
        <w:t>.</w:t>
      </w:r>
      <w:r>
        <w:rPr>
          <w:rFonts w:hint="eastAsia"/>
        </w:rPr>
        <w:t>7</w:t>
      </w:r>
      <w:r w:rsidRPr="00E56B38">
        <w:rPr>
          <w:rFonts w:hint="eastAsia"/>
        </w:rPr>
        <w:t>已批</w:t>
      </w:r>
      <w:r w:rsidR="00902E00">
        <w:rPr>
          <w:rFonts w:ascii="宋体" w:hAnsi="宋体" w:hint="eastAsia"/>
        </w:rPr>
        <w:t>未验收</w:t>
      </w:r>
      <w:r w:rsidRPr="00E56B38">
        <w:rPr>
          <w:rFonts w:hint="eastAsia"/>
        </w:rPr>
        <w:t>项目污染物汇总及总量控制指标</w:t>
      </w:r>
    </w:p>
    <w:p w:rsidR="00906E07" w:rsidRDefault="00906E07" w:rsidP="00906E07">
      <w:pPr>
        <w:pStyle w:val="a0"/>
        <w:autoSpaceDE w:val="0"/>
        <w:spacing w:line="360" w:lineRule="auto"/>
        <w:ind w:firstLine="482"/>
        <w:rPr>
          <w:rFonts w:ascii="宋体" w:hAnsi="宋体"/>
          <w:b/>
          <w:bCs/>
        </w:rPr>
      </w:pPr>
      <w:r>
        <w:rPr>
          <w:rFonts w:ascii="宋体" w:hAnsi="宋体" w:hint="eastAsia"/>
          <w:b/>
          <w:bCs/>
        </w:rPr>
        <w:t>（</w:t>
      </w:r>
      <w:r>
        <w:rPr>
          <w:rFonts w:ascii="Times New Roman" w:hAnsi="Times New Roman" w:hint="eastAsia"/>
          <w:b/>
          <w:bCs/>
        </w:rPr>
        <w:t>1</w:t>
      </w:r>
      <w:r>
        <w:rPr>
          <w:rFonts w:ascii="宋体" w:hAnsi="宋体" w:hint="eastAsia"/>
          <w:b/>
          <w:bCs/>
        </w:rPr>
        <w:t>）已批</w:t>
      </w:r>
      <w:r w:rsidR="00902E00" w:rsidRPr="00902E00">
        <w:rPr>
          <w:rFonts w:ascii="宋体" w:hAnsi="宋体" w:hint="eastAsia"/>
          <w:b/>
          <w:bCs/>
        </w:rPr>
        <w:t>未验收</w:t>
      </w:r>
      <w:r>
        <w:rPr>
          <w:rFonts w:ascii="宋体" w:hAnsi="宋体" w:hint="eastAsia"/>
          <w:b/>
          <w:bCs/>
        </w:rPr>
        <w:t>项目污染物排放情况</w:t>
      </w:r>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906E07">
      <w:pPr>
        <w:pStyle w:val="a0"/>
        <w:autoSpaceDE w:val="0"/>
        <w:spacing w:line="360" w:lineRule="auto"/>
        <w:ind w:firstLine="482"/>
        <w:rPr>
          <w:rFonts w:ascii="Times New Roman" w:hAnsi="Times New Roman"/>
          <w:b/>
          <w:bCs/>
        </w:rPr>
      </w:pPr>
    </w:p>
    <w:p w:rsidR="00906E07" w:rsidRDefault="00906E07" w:rsidP="00906E07">
      <w:pPr>
        <w:pStyle w:val="a0"/>
        <w:autoSpaceDE w:val="0"/>
        <w:spacing w:line="360" w:lineRule="auto"/>
        <w:ind w:firstLine="482"/>
        <w:rPr>
          <w:rFonts w:ascii="宋体" w:hAnsi="宋体"/>
          <w:b/>
          <w:bCs/>
        </w:rPr>
      </w:pPr>
      <w:r>
        <w:rPr>
          <w:rFonts w:ascii="宋体" w:hAnsi="宋体" w:hint="eastAsia"/>
          <w:b/>
          <w:bCs/>
        </w:rPr>
        <w:t>（</w:t>
      </w:r>
      <w:r>
        <w:rPr>
          <w:rFonts w:ascii="Times New Roman" w:hAnsi="Times New Roman" w:hint="eastAsia"/>
          <w:b/>
          <w:bCs/>
        </w:rPr>
        <w:t>2</w:t>
      </w:r>
      <w:r>
        <w:rPr>
          <w:rFonts w:ascii="宋体" w:hAnsi="宋体" w:hint="eastAsia"/>
          <w:b/>
          <w:bCs/>
        </w:rPr>
        <w:t>）已批</w:t>
      </w:r>
      <w:r w:rsidR="00902E00" w:rsidRPr="00902E00">
        <w:rPr>
          <w:rFonts w:ascii="宋体" w:hAnsi="宋体" w:hint="eastAsia"/>
          <w:b/>
          <w:bCs/>
        </w:rPr>
        <w:t>未验收</w:t>
      </w:r>
      <w:r>
        <w:rPr>
          <w:rFonts w:ascii="宋体" w:hAnsi="宋体" w:hint="eastAsia"/>
          <w:b/>
          <w:bCs/>
        </w:rPr>
        <w:t>项目总量控制指标</w:t>
      </w:r>
    </w:p>
    <w:p w:rsidR="00B179FB" w:rsidRPr="00D14DE4" w:rsidRDefault="00B179FB" w:rsidP="00B179FB">
      <w:pPr>
        <w:pStyle w:val="afffff4"/>
        <w:ind w:firstLine="480"/>
        <w:rPr>
          <w:color w:val="FF0000"/>
        </w:rPr>
      </w:pPr>
      <w:r w:rsidRPr="00D14DE4">
        <w:rPr>
          <w:rFonts w:hint="eastAsia"/>
          <w:color w:val="FF0000"/>
        </w:rPr>
        <w:lastRenderedPageBreak/>
        <w:t>涉及商业机密，已删除</w:t>
      </w:r>
    </w:p>
    <w:p w:rsidR="00B179FB" w:rsidRDefault="00B179FB" w:rsidP="00906E07">
      <w:pPr>
        <w:pStyle w:val="a0"/>
        <w:autoSpaceDE w:val="0"/>
        <w:spacing w:line="360" w:lineRule="auto"/>
        <w:ind w:firstLine="482"/>
        <w:rPr>
          <w:rFonts w:ascii="Times New Roman" w:hAnsi="Times New Roman"/>
          <w:b/>
          <w:bCs/>
          <w:szCs w:val="24"/>
        </w:rPr>
      </w:pPr>
    </w:p>
    <w:p w:rsidR="004E3021" w:rsidRDefault="00606E48">
      <w:pPr>
        <w:pStyle w:val="afffffffffffffffff4"/>
      </w:pPr>
      <w:bookmarkStart w:id="154" w:name="_Toc221088737"/>
      <w:bookmarkStart w:id="155" w:name="_Toc221500952"/>
      <w:r>
        <w:rPr>
          <w:rFonts w:hint="eastAsia"/>
        </w:rPr>
        <w:t>3</w:t>
      </w:r>
      <w:r>
        <w:t>.1.</w:t>
      </w:r>
      <w:r w:rsidR="005F51AE">
        <w:t>6</w:t>
      </w:r>
      <w:r>
        <w:t>现有工程防护距离设置情况</w:t>
      </w:r>
      <w:bookmarkEnd w:id="151"/>
      <w:bookmarkEnd w:id="152"/>
      <w:bookmarkEnd w:id="153"/>
      <w:bookmarkEnd w:id="154"/>
      <w:bookmarkEnd w:id="155"/>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ind w:firstLine="480"/>
      </w:pPr>
    </w:p>
    <w:p w:rsidR="004E3021" w:rsidRDefault="00606E48">
      <w:pPr>
        <w:pStyle w:val="afffffffffffffffff4"/>
      </w:pPr>
      <w:bookmarkStart w:id="156" w:name="_Toc100783983"/>
      <w:bookmarkStart w:id="157" w:name="_Toc108662579"/>
      <w:bookmarkStart w:id="158" w:name="_Toc101135815"/>
      <w:bookmarkStart w:id="159" w:name="_Toc221088738"/>
      <w:bookmarkStart w:id="160" w:name="_Toc221500953"/>
      <w:r>
        <w:rPr>
          <w:rFonts w:hint="eastAsia"/>
        </w:rPr>
        <w:t>3</w:t>
      </w:r>
      <w:r>
        <w:t>.1.</w:t>
      </w:r>
      <w:r w:rsidR="00716232">
        <w:t>7</w:t>
      </w:r>
      <w:r>
        <w:t>现有工程存在的主要环境问题</w:t>
      </w:r>
      <w:bookmarkEnd w:id="156"/>
      <w:bookmarkEnd w:id="157"/>
      <w:bookmarkEnd w:id="158"/>
      <w:bookmarkEnd w:id="159"/>
      <w:bookmarkEnd w:id="160"/>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ind w:firstLine="480"/>
      </w:pPr>
    </w:p>
    <w:p w:rsidR="004E3021" w:rsidRDefault="004E3021">
      <w:pPr>
        <w:ind w:firstLine="480"/>
      </w:pPr>
    </w:p>
    <w:p w:rsidR="004E3021" w:rsidRDefault="004E3021">
      <w:pPr>
        <w:pStyle w:val="afffffffffffffffff2"/>
        <w:sectPr w:rsidR="004E3021">
          <w:pgSz w:w="11906" w:h="16838"/>
          <w:pgMar w:top="1440" w:right="1440" w:bottom="1440" w:left="1440" w:header="851" w:footer="992" w:gutter="0"/>
          <w:cols w:space="425"/>
          <w:docGrid w:type="lines" w:linePitch="326"/>
        </w:sectPr>
      </w:pPr>
    </w:p>
    <w:p w:rsidR="004E3021" w:rsidRDefault="00606E48">
      <w:pPr>
        <w:pStyle w:val="afffffffffffffffff3"/>
        <w:spacing w:before="0" w:after="0"/>
        <w:ind w:leftChars="-177" w:left="-425" w:firstLineChars="133" w:firstLine="426"/>
      </w:pPr>
      <w:bookmarkStart w:id="161" w:name="_Toc86542505"/>
      <w:bookmarkStart w:id="162" w:name="_Toc52175491"/>
      <w:bookmarkStart w:id="163" w:name="_Toc8221562"/>
      <w:bookmarkStart w:id="164" w:name="_Toc221500954"/>
      <w:r>
        <w:lastRenderedPageBreak/>
        <w:t>3.2</w:t>
      </w:r>
      <w:r>
        <w:rPr>
          <w:rFonts w:hint="eastAsia"/>
        </w:rPr>
        <w:t>本项目</w:t>
      </w:r>
      <w:bookmarkEnd w:id="161"/>
      <w:bookmarkEnd w:id="162"/>
      <w:bookmarkEnd w:id="163"/>
      <w:r>
        <w:rPr>
          <w:rFonts w:hint="eastAsia"/>
        </w:rPr>
        <w:t>工程</w:t>
      </w:r>
      <w:r>
        <w:t>分析</w:t>
      </w:r>
      <w:bookmarkEnd w:id="164"/>
    </w:p>
    <w:p w:rsidR="004E3021" w:rsidRDefault="00606E48">
      <w:pPr>
        <w:pStyle w:val="afffffffffffffffff4"/>
      </w:pPr>
      <w:bookmarkStart w:id="165" w:name="_Toc100783985"/>
      <w:bookmarkStart w:id="166" w:name="_Toc101135817"/>
      <w:bookmarkStart w:id="167" w:name="_Toc108662590"/>
      <w:bookmarkStart w:id="168" w:name="_Toc52175492"/>
      <w:bookmarkStart w:id="169" w:name="_Toc221088740"/>
      <w:bookmarkStart w:id="170" w:name="_Toc221500955"/>
      <w:r>
        <w:t>3.2.1</w:t>
      </w:r>
      <w:r>
        <w:rPr>
          <w:rFonts w:hint="eastAsia"/>
        </w:rPr>
        <w:t>本项目</w:t>
      </w:r>
      <w:r>
        <w:t>基本概况</w:t>
      </w:r>
      <w:bookmarkEnd w:id="165"/>
      <w:bookmarkEnd w:id="166"/>
      <w:bookmarkEnd w:id="167"/>
      <w:bookmarkEnd w:id="168"/>
      <w:bookmarkEnd w:id="169"/>
      <w:bookmarkEnd w:id="170"/>
    </w:p>
    <w:p w:rsidR="004E3021" w:rsidRDefault="00606E48">
      <w:pPr>
        <w:ind w:firstLine="480"/>
      </w:pPr>
      <w:r>
        <w:t>项目名称：</w:t>
      </w:r>
      <w:r>
        <w:rPr>
          <w:rFonts w:hint="eastAsia"/>
        </w:rPr>
        <w:t>年产</w:t>
      </w:r>
      <w:r>
        <w:rPr>
          <w:rFonts w:hint="eastAsia"/>
        </w:rPr>
        <w:t>7000</w:t>
      </w:r>
      <w:r>
        <w:rPr>
          <w:rFonts w:hint="eastAsia"/>
        </w:rPr>
        <w:t>吨硅基新材料技改</w:t>
      </w:r>
      <w:r>
        <w:rPr>
          <w:rFonts w:hint="eastAsia"/>
        </w:rPr>
        <w:t>/</w:t>
      </w:r>
      <w:r>
        <w:rPr>
          <w:rFonts w:hint="eastAsia"/>
        </w:rPr>
        <w:t>扩建项目</w:t>
      </w:r>
      <w:r>
        <w:t>；</w:t>
      </w:r>
    </w:p>
    <w:p w:rsidR="004E3021" w:rsidRDefault="00606E48">
      <w:pPr>
        <w:ind w:firstLine="480"/>
      </w:pPr>
      <w:r>
        <w:rPr>
          <w:rFonts w:hint="eastAsia"/>
        </w:rPr>
        <w:t>建设单位：</w:t>
      </w:r>
      <w:r>
        <w:t>安徽凯盛</w:t>
      </w:r>
      <w:r>
        <w:rPr>
          <w:rFonts w:hint="eastAsia"/>
        </w:rPr>
        <w:t>应用</w:t>
      </w:r>
      <w:r>
        <w:t>材料</w:t>
      </w:r>
      <w:r>
        <w:rPr>
          <w:rFonts w:hint="eastAsia"/>
        </w:rPr>
        <w:t>有限</w:t>
      </w:r>
      <w:r>
        <w:t>公司</w:t>
      </w:r>
      <w:r>
        <w:rPr>
          <w:rFonts w:hint="eastAsia"/>
        </w:rPr>
        <w:t>；</w:t>
      </w:r>
    </w:p>
    <w:p w:rsidR="004E3021" w:rsidRDefault="00606E48">
      <w:pPr>
        <w:ind w:firstLine="480"/>
      </w:pPr>
      <w:r>
        <w:rPr>
          <w:rFonts w:hint="eastAsia"/>
        </w:rPr>
        <w:t>建设</w:t>
      </w:r>
      <w:r>
        <w:t>性质：</w:t>
      </w:r>
      <w:r>
        <w:rPr>
          <w:rFonts w:hint="eastAsia"/>
        </w:rPr>
        <w:t>技改</w:t>
      </w:r>
      <w:r>
        <w:rPr>
          <w:rFonts w:hint="eastAsia"/>
        </w:rPr>
        <w:t>/</w:t>
      </w:r>
      <w:r>
        <w:rPr>
          <w:rFonts w:hint="eastAsia"/>
        </w:rPr>
        <w:t>扩建</w:t>
      </w:r>
      <w:r>
        <w:t>；</w:t>
      </w:r>
    </w:p>
    <w:p w:rsidR="004E3021" w:rsidRDefault="00606E48">
      <w:pPr>
        <w:ind w:firstLine="480"/>
      </w:pPr>
      <w:r>
        <w:rPr>
          <w:rFonts w:hint="eastAsia"/>
        </w:rPr>
        <w:t>行业类别</w:t>
      </w:r>
      <w:r>
        <w:t>：</w:t>
      </w:r>
      <w:r>
        <w:rPr>
          <w:rFonts w:hint="eastAsia"/>
        </w:rPr>
        <w:t>基础化学原料制造</w:t>
      </w:r>
      <w:r>
        <w:rPr>
          <w:rFonts w:hint="eastAsia"/>
        </w:rPr>
        <w:t>[C261]</w:t>
      </w:r>
      <w:r>
        <w:rPr>
          <w:rFonts w:hint="eastAsia"/>
        </w:rPr>
        <w:t>（硅：其他基础</w:t>
      </w:r>
      <w:r>
        <w:t>化学原料制造</w:t>
      </w:r>
      <w:r>
        <w:rPr>
          <w:rFonts w:hint="eastAsia"/>
        </w:rPr>
        <w:t>[C2619]</w:t>
      </w:r>
      <w:r>
        <w:rPr>
          <w:rFonts w:hint="eastAsia"/>
        </w:rPr>
        <w:t>；</w:t>
      </w:r>
      <w:r>
        <w:rPr>
          <w:rFonts w:hint="eastAsia"/>
        </w:rPr>
        <w:t>KH-560</w:t>
      </w:r>
      <w:r>
        <w:rPr>
          <w:rFonts w:hint="eastAsia"/>
        </w:rPr>
        <w:t>及</w:t>
      </w:r>
      <w:r>
        <w:rPr>
          <w:rFonts w:hint="eastAsia"/>
        </w:rPr>
        <w:t>A-</w:t>
      </w:r>
      <w:r>
        <w:t>171</w:t>
      </w:r>
      <w:r>
        <w:rPr>
          <w:rFonts w:hint="eastAsia"/>
        </w:rPr>
        <w:t>：有机化学原料制造</w:t>
      </w:r>
      <w:r>
        <w:rPr>
          <w:rFonts w:hint="eastAsia"/>
        </w:rPr>
        <w:t>[</w:t>
      </w:r>
      <w:r>
        <w:t>C2614]</w:t>
      </w:r>
      <w:r>
        <w:rPr>
          <w:rFonts w:hint="eastAsia"/>
        </w:rPr>
        <w:t>）；</w:t>
      </w:r>
    </w:p>
    <w:p w:rsidR="004E3021" w:rsidRDefault="00606E48">
      <w:pPr>
        <w:ind w:firstLine="480"/>
      </w:pPr>
      <w:r>
        <w:t>建设地点：</w:t>
      </w:r>
      <w:r>
        <w:rPr>
          <w:rFonts w:hint="eastAsia"/>
        </w:rPr>
        <w:t>蚌埠精细化工高新技术产业基地开源大道</w:t>
      </w:r>
      <w:r>
        <w:rPr>
          <w:rFonts w:hint="eastAsia"/>
        </w:rPr>
        <w:t>28</w:t>
      </w:r>
      <w:r>
        <w:rPr>
          <w:rFonts w:hint="eastAsia"/>
        </w:rPr>
        <w:t>号</w:t>
      </w:r>
      <w:r>
        <w:t>；</w:t>
      </w:r>
    </w:p>
    <w:p w:rsidR="004E3021" w:rsidRDefault="00606E48">
      <w:pPr>
        <w:ind w:firstLine="480"/>
      </w:pPr>
      <w:r>
        <w:t>建设</w:t>
      </w:r>
      <w:r>
        <w:rPr>
          <w:rFonts w:hint="eastAsia"/>
        </w:rPr>
        <w:t>内容</w:t>
      </w:r>
      <w:r>
        <w:t>及规模：</w:t>
      </w:r>
      <w:r>
        <w:rPr>
          <w:rFonts w:hint="eastAsia"/>
        </w:rPr>
        <w:t>项目分两期建设。项目（一期）年生产电子级硅溶胶</w:t>
      </w:r>
      <w:r>
        <w:rPr>
          <w:rFonts w:hint="eastAsia"/>
        </w:rPr>
        <w:t>1500</w:t>
      </w:r>
      <w:r>
        <w:rPr>
          <w:rFonts w:hint="eastAsia"/>
        </w:rPr>
        <w:t>吨</w:t>
      </w:r>
      <w:r>
        <w:rPr>
          <w:rFonts w:hint="eastAsia"/>
        </w:rPr>
        <w:t>(</w:t>
      </w:r>
      <w:r>
        <w:rPr>
          <w:rFonts w:hint="eastAsia"/>
        </w:rPr>
        <w:t>固含量</w:t>
      </w:r>
      <w:r>
        <w:rPr>
          <w:rFonts w:hint="eastAsia"/>
        </w:rPr>
        <w:t>20%)</w:t>
      </w:r>
      <w:r>
        <w:rPr>
          <w:rFonts w:hint="eastAsia"/>
        </w:rPr>
        <w:t>全部</w:t>
      </w:r>
      <w:r w:rsidR="00787497">
        <w:rPr>
          <w:rFonts w:hint="eastAsia"/>
        </w:rPr>
        <w:t>外售</w:t>
      </w:r>
      <w:r>
        <w:rPr>
          <w:rFonts w:hint="eastAsia"/>
        </w:rPr>
        <w:t>，中间产品硅粉</w:t>
      </w:r>
      <w:r>
        <w:rPr>
          <w:rFonts w:hint="eastAsia"/>
        </w:rPr>
        <w:t>2880</w:t>
      </w:r>
      <w:r>
        <w:rPr>
          <w:rFonts w:hint="eastAsia"/>
        </w:rPr>
        <w:t>吨，四甲氧基硅烷</w:t>
      </w:r>
      <w:r>
        <w:rPr>
          <w:rFonts w:hint="eastAsia"/>
        </w:rPr>
        <w:t>1037</w:t>
      </w:r>
      <w:r>
        <w:rPr>
          <w:rFonts w:hint="eastAsia"/>
        </w:rPr>
        <w:t>吨（</w:t>
      </w:r>
      <w:r>
        <w:rPr>
          <w:rFonts w:hint="eastAsia"/>
        </w:rPr>
        <w:t>99.9%</w:t>
      </w:r>
      <w:r>
        <w:rPr>
          <w:rFonts w:hint="eastAsia"/>
        </w:rPr>
        <w:t>的</w:t>
      </w:r>
      <w:r>
        <w:rPr>
          <w:rFonts w:hint="eastAsia"/>
        </w:rPr>
        <w:t>998</w:t>
      </w:r>
      <w:r>
        <w:rPr>
          <w:rFonts w:hint="eastAsia"/>
        </w:rPr>
        <w:t>吨，</w:t>
      </w:r>
      <w:r>
        <w:rPr>
          <w:rFonts w:hint="eastAsia"/>
        </w:rPr>
        <w:t>90%</w:t>
      </w:r>
      <w:r>
        <w:rPr>
          <w:rFonts w:hint="eastAsia"/>
        </w:rPr>
        <w:t>的</w:t>
      </w:r>
      <w:r>
        <w:rPr>
          <w:rFonts w:hint="eastAsia"/>
        </w:rPr>
        <w:t>39</w:t>
      </w:r>
      <w:r>
        <w:rPr>
          <w:rFonts w:hint="eastAsia"/>
        </w:rPr>
        <w:t>吨），三甲氧基硅烷</w:t>
      </w:r>
      <w:r>
        <w:rPr>
          <w:rFonts w:hint="eastAsia"/>
        </w:rPr>
        <w:t>4500</w:t>
      </w:r>
      <w:r>
        <w:rPr>
          <w:rFonts w:hint="eastAsia"/>
        </w:rPr>
        <w:t>吨。产品年生产能力硅烷偶联剂</w:t>
      </w:r>
      <w:r>
        <w:rPr>
          <w:rFonts w:hint="eastAsia"/>
        </w:rPr>
        <w:t>(KH560)3000</w:t>
      </w:r>
      <w:r>
        <w:rPr>
          <w:rFonts w:hint="eastAsia"/>
        </w:rPr>
        <w:t>吨，硅烷偶联剂</w:t>
      </w:r>
      <w:r>
        <w:rPr>
          <w:rFonts w:hint="eastAsia"/>
        </w:rPr>
        <w:t>(A-171)2500</w:t>
      </w:r>
      <w:r>
        <w:rPr>
          <w:rFonts w:hint="eastAsia"/>
        </w:rPr>
        <w:t>吨。副产品甲醇</w:t>
      </w:r>
      <w:r>
        <w:rPr>
          <w:rFonts w:hint="eastAsia"/>
        </w:rPr>
        <w:t>645</w:t>
      </w:r>
      <w:r>
        <w:rPr>
          <w:rFonts w:hint="eastAsia"/>
        </w:rPr>
        <w:t>吨</w:t>
      </w:r>
      <w:r>
        <w:rPr>
          <w:rFonts w:hint="eastAsia"/>
        </w:rPr>
        <w:t>/</w:t>
      </w:r>
      <w:r>
        <w:rPr>
          <w:rFonts w:hint="eastAsia"/>
        </w:rPr>
        <w:t>年，甲基三甲氧基硅烷</w:t>
      </w:r>
      <w:r>
        <w:rPr>
          <w:rFonts w:hint="eastAsia"/>
        </w:rPr>
        <w:t>135</w:t>
      </w:r>
      <w:r>
        <w:rPr>
          <w:rFonts w:hint="eastAsia"/>
        </w:rPr>
        <w:t>吨</w:t>
      </w:r>
      <w:r>
        <w:rPr>
          <w:rFonts w:hint="eastAsia"/>
        </w:rPr>
        <w:t>/</w:t>
      </w:r>
      <w:r>
        <w:rPr>
          <w:rFonts w:hint="eastAsia"/>
        </w:rPr>
        <w:t>年，烯丙基缩水甘油醚</w:t>
      </w:r>
      <w:r>
        <w:rPr>
          <w:rFonts w:hint="eastAsia"/>
        </w:rPr>
        <w:t>335</w:t>
      </w:r>
      <w:r>
        <w:rPr>
          <w:rFonts w:hint="eastAsia"/>
        </w:rPr>
        <w:t>吨</w:t>
      </w:r>
      <w:r>
        <w:rPr>
          <w:rFonts w:hint="eastAsia"/>
        </w:rPr>
        <w:t>/</w:t>
      </w:r>
      <w:r>
        <w:rPr>
          <w:rFonts w:hint="eastAsia"/>
        </w:rPr>
        <w:t>年，细硅粉</w:t>
      </w:r>
      <w:r>
        <w:rPr>
          <w:rFonts w:hint="eastAsia"/>
        </w:rPr>
        <w:t>70</w:t>
      </w:r>
      <w:r>
        <w:rPr>
          <w:rFonts w:hint="eastAsia"/>
        </w:rPr>
        <w:t>吨</w:t>
      </w:r>
      <w:r>
        <w:rPr>
          <w:rFonts w:hint="eastAsia"/>
        </w:rPr>
        <w:t>/</w:t>
      </w:r>
      <w:r>
        <w:rPr>
          <w:rFonts w:hint="eastAsia"/>
        </w:rPr>
        <w:t>年</w:t>
      </w:r>
      <w:r w:rsidR="00B72C22">
        <w:rPr>
          <w:rFonts w:hint="eastAsia"/>
        </w:rPr>
        <w:t>，</w:t>
      </w:r>
      <w:r w:rsidR="00B72C22" w:rsidRPr="00CF2402">
        <w:rPr>
          <w:rFonts w:hint="eastAsia"/>
        </w:rPr>
        <w:t>聚硅氧烷</w:t>
      </w:r>
      <w:r w:rsidR="00B72C22" w:rsidRPr="00CF2402">
        <w:rPr>
          <w:rFonts w:hint="eastAsia"/>
        </w:rPr>
        <w:t>1</w:t>
      </w:r>
      <w:r w:rsidR="00B72C22" w:rsidRPr="00CF2402">
        <w:t>50</w:t>
      </w:r>
      <w:r w:rsidR="00B72C22" w:rsidRPr="00CF2402">
        <w:rPr>
          <w:rFonts w:hint="eastAsia"/>
        </w:rPr>
        <w:t>吨</w:t>
      </w:r>
      <w:r w:rsidR="00B72C22" w:rsidRPr="00CF2402">
        <w:rPr>
          <w:rFonts w:hint="eastAsia"/>
        </w:rPr>
        <w:t>/</w:t>
      </w:r>
      <w:r w:rsidR="00B72C22" w:rsidRPr="00CF2402">
        <w:rPr>
          <w:rFonts w:hint="eastAsia"/>
        </w:rPr>
        <w:t>年，溶剂</w:t>
      </w:r>
      <w:r w:rsidR="00B72C22" w:rsidRPr="00CF2402">
        <w:rPr>
          <w:rFonts w:hint="eastAsia"/>
        </w:rPr>
        <w:t>1</w:t>
      </w:r>
      <w:r w:rsidR="00B72C22" w:rsidRPr="00CF2402">
        <w:t>58</w:t>
      </w:r>
      <w:r w:rsidR="00B72C22" w:rsidRPr="00CF2402">
        <w:rPr>
          <w:rFonts w:hint="eastAsia"/>
        </w:rPr>
        <w:t>吨</w:t>
      </w:r>
      <w:r w:rsidR="00B72C22" w:rsidRPr="00CF2402">
        <w:rPr>
          <w:rFonts w:hint="eastAsia"/>
        </w:rPr>
        <w:t>/</w:t>
      </w:r>
      <w:r w:rsidR="00B72C22" w:rsidRPr="00CF2402">
        <w:rPr>
          <w:rFonts w:hint="eastAsia"/>
        </w:rPr>
        <w:t>年</w:t>
      </w:r>
      <w:r>
        <w:rPr>
          <w:rFonts w:hint="eastAsia"/>
        </w:rPr>
        <w:t>。回收套用甲醇</w:t>
      </w:r>
      <w:r>
        <w:rPr>
          <w:rFonts w:hint="eastAsia"/>
        </w:rPr>
        <w:t>795</w:t>
      </w:r>
      <w:r>
        <w:rPr>
          <w:rFonts w:hint="eastAsia"/>
        </w:rPr>
        <w:t>吨</w:t>
      </w:r>
      <w:r>
        <w:rPr>
          <w:rFonts w:hint="eastAsia"/>
        </w:rPr>
        <w:t>/</w:t>
      </w:r>
      <w:r>
        <w:rPr>
          <w:rFonts w:hint="eastAsia"/>
        </w:rPr>
        <w:t>年，氨水（</w:t>
      </w:r>
      <w:r>
        <w:rPr>
          <w:rFonts w:hint="eastAsia"/>
        </w:rPr>
        <w:t>10%</w:t>
      </w:r>
      <w:r>
        <w:rPr>
          <w:rFonts w:hint="eastAsia"/>
        </w:rPr>
        <w:t>）</w:t>
      </w:r>
      <w:r>
        <w:rPr>
          <w:rFonts w:hint="eastAsia"/>
        </w:rPr>
        <w:t>435</w:t>
      </w:r>
      <w:r>
        <w:rPr>
          <w:rFonts w:hint="eastAsia"/>
        </w:rPr>
        <w:t>吨</w:t>
      </w:r>
      <w:r>
        <w:rPr>
          <w:rFonts w:hint="eastAsia"/>
        </w:rPr>
        <w:t>/</w:t>
      </w:r>
      <w:r>
        <w:rPr>
          <w:rFonts w:hint="eastAsia"/>
        </w:rPr>
        <w:t>年。项目（二期）年生产乙炔</w:t>
      </w:r>
      <w:r>
        <w:rPr>
          <w:rFonts w:hint="eastAsia"/>
        </w:rPr>
        <w:t>450</w:t>
      </w:r>
      <w:r>
        <w:rPr>
          <w:rFonts w:hint="eastAsia"/>
        </w:rPr>
        <w:t>吨，用于硅烷偶联剂</w:t>
      </w:r>
      <w:r>
        <w:rPr>
          <w:rFonts w:hint="eastAsia"/>
        </w:rPr>
        <w:t>A-171</w:t>
      </w:r>
      <w:r>
        <w:rPr>
          <w:rFonts w:hint="eastAsia"/>
        </w:rPr>
        <w:t>使用。</w:t>
      </w:r>
    </w:p>
    <w:p w:rsidR="004E3021" w:rsidRDefault="00606E48">
      <w:pPr>
        <w:ind w:firstLine="480"/>
      </w:pPr>
      <w:r>
        <w:rPr>
          <w:rFonts w:hint="eastAsia"/>
        </w:rPr>
        <w:t>建设投资</w:t>
      </w:r>
      <w:r>
        <w:t>：</w:t>
      </w:r>
      <w:r>
        <w:t>2500</w:t>
      </w:r>
      <w:r>
        <w:t>万元，其中环保投资</w:t>
      </w:r>
      <w:r w:rsidR="00FD6D08" w:rsidRPr="00FD6D08">
        <w:rPr>
          <w:color w:val="000000" w:themeColor="text1"/>
        </w:rPr>
        <w:t>233</w:t>
      </w:r>
      <w:r w:rsidRPr="00FD6D08">
        <w:rPr>
          <w:color w:val="000000" w:themeColor="text1"/>
        </w:rPr>
        <w:t>万元，占总投资的</w:t>
      </w:r>
      <w:r w:rsidR="00FD6D08" w:rsidRPr="00FD6D08">
        <w:rPr>
          <w:color w:val="000000" w:themeColor="text1"/>
        </w:rPr>
        <w:t>9.32</w:t>
      </w:r>
      <w:r w:rsidRPr="00FD6D08">
        <w:rPr>
          <w:color w:val="000000" w:themeColor="text1"/>
        </w:rPr>
        <w:t>%</w:t>
      </w:r>
      <w:r>
        <w:t>；</w:t>
      </w:r>
    </w:p>
    <w:p w:rsidR="004E3021" w:rsidRDefault="00606E48">
      <w:pPr>
        <w:ind w:firstLine="480"/>
      </w:pPr>
      <w:r>
        <w:rPr>
          <w:rFonts w:hint="eastAsia"/>
        </w:rPr>
        <w:t>占地</w:t>
      </w:r>
      <w:r>
        <w:t>面积</w:t>
      </w:r>
      <w:r>
        <w:rPr>
          <w:rFonts w:hint="eastAsia"/>
        </w:rPr>
        <w:t>：</w:t>
      </w:r>
      <w:r w:rsidR="009F420B">
        <w:rPr>
          <w:rFonts w:hint="eastAsia"/>
        </w:rPr>
        <w:t>未新增占地面积</w:t>
      </w:r>
      <w:r>
        <w:rPr>
          <w:rFonts w:hint="eastAsia"/>
        </w:rPr>
        <w:t>；</w:t>
      </w:r>
    </w:p>
    <w:p w:rsidR="004E3021" w:rsidRDefault="00606E48">
      <w:pPr>
        <w:ind w:firstLine="480"/>
      </w:pPr>
      <w:r>
        <w:rPr>
          <w:rFonts w:hint="eastAsia"/>
        </w:rPr>
        <w:t>劳动</w:t>
      </w:r>
      <w:r>
        <w:t>定员及工作制度：</w:t>
      </w:r>
      <w:r>
        <w:rPr>
          <w:rFonts w:hint="eastAsia"/>
        </w:rPr>
        <w:t>新增</w:t>
      </w:r>
      <w:r>
        <w:t>职工</w:t>
      </w:r>
      <w:r>
        <w:t>60</w:t>
      </w:r>
      <w:r>
        <w:rPr>
          <w:rFonts w:hint="eastAsia"/>
        </w:rPr>
        <w:t>人</w:t>
      </w:r>
      <w:r>
        <w:t>，</w:t>
      </w:r>
      <w:r>
        <w:rPr>
          <w:rFonts w:hint="eastAsia"/>
        </w:rPr>
        <w:t>年生产</w:t>
      </w:r>
      <w:r>
        <w:rPr>
          <w:rFonts w:hint="eastAsia"/>
        </w:rPr>
        <w:t>300</w:t>
      </w:r>
      <w:r>
        <w:rPr>
          <w:rFonts w:hint="eastAsia"/>
        </w:rPr>
        <w:t>天</w:t>
      </w:r>
      <w:r>
        <w:t>，实行每天四班三运行，每班</w:t>
      </w:r>
      <w:r>
        <w:t>8</w:t>
      </w:r>
      <w:r>
        <w:t>小时</w:t>
      </w:r>
      <w:r>
        <w:rPr>
          <w:rFonts w:hint="eastAsia"/>
        </w:rPr>
        <w:t>，</w:t>
      </w:r>
      <w:r>
        <w:t>年运行时数</w:t>
      </w:r>
      <w:r>
        <w:t>7200</w:t>
      </w:r>
      <w:r>
        <w:t>小时；</w:t>
      </w:r>
    </w:p>
    <w:p w:rsidR="004E3021" w:rsidRDefault="00606E48">
      <w:pPr>
        <w:ind w:firstLine="480"/>
      </w:pPr>
      <w:r>
        <w:rPr>
          <w:rFonts w:hint="eastAsia"/>
        </w:rPr>
        <w:t>投产日期</w:t>
      </w:r>
      <w:r>
        <w:t>：</w:t>
      </w:r>
      <w:r>
        <w:t>2026</w:t>
      </w:r>
      <w:r>
        <w:rPr>
          <w:rFonts w:hint="eastAsia"/>
        </w:rPr>
        <w:t>年。</w:t>
      </w:r>
    </w:p>
    <w:p w:rsidR="004E3021" w:rsidRDefault="00606E48">
      <w:pPr>
        <w:pStyle w:val="afffffffffffffffff4"/>
      </w:pPr>
      <w:bookmarkStart w:id="171" w:name="_Toc100783986"/>
      <w:bookmarkStart w:id="172" w:name="_Toc101135818"/>
      <w:bookmarkStart w:id="173" w:name="_Toc108662591"/>
      <w:bookmarkStart w:id="174" w:name="_Toc221088741"/>
      <w:bookmarkStart w:id="175" w:name="_Toc221500956"/>
      <w:r>
        <w:rPr>
          <w:rFonts w:hint="eastAsia"/>
        </w:rPr>
        <w:t>3.</w:t>
      </w:r>
      <w:r>
        <w:t>2</w:t>
      </w:r>
      <w:r>
        <w:rPr>
          <w:rFonts w:hint="eastAsia"/>
        </w:rPr>
        <w:t>.2</w:t>
      </w:r>
      <w:r>
        <w:rPr>
          <w:rFonts w:hint="eastAsia"/>
        </w:rPr>
        <w:t>本项目组成及建设内容</w:t>
      </w:r>
      <w:bookmarkEnd w:id="171"/>
      <w:bookmarkEnd w:id="172"/>
      <w:bookmarkEnd w:id="173"/>
      <w:bookmarkEnd w:id="174"/>
      <w:bookmarkEnd w:id="175"/>
    </w:p>
    <w:p w:rsidR="004E3021" w:rsidRDefault="002B7811">
      <w:pPr>
        <w:ind w:firstLine="480"/>
        <w:sectPr w:rsidR="004E3021">
          <w:headerReference w:type="even" r:id="rId22"/>
          <w:footerReference w:type="even" r:id="rId23"/>
          <w:headerReference w:type="first" r:id="rId24"/>
          <w:footerReference w:type="first" r:id="rId25"/>
          <w:pgSz w:w="11906" w:h="16838"/>
          <w:pgMar w:top="1440" w:right="1440" w:bottom="1440" w:left="1440" w:header="851" w:footer="992" w:gutter="0"/>
          <w:cols w:space="720"/>
          <w:docGrid w:type="lines" w:linePitch="326"/>
        </w:sectPr>
      </w:pPr>
      <w:r>
        <w:rPr>
          <w:rFonts w:hint="eastAsia"/>
        </w:rPr>
        <w:t>本</w:t>
      </w:r>
      <w:r w:rsidR="00606E48">
        <w:rPr>
          <w:rFonts w:hint="eastAsia"/>
        </w:rPr>
        <w:t>项目工程组成见表</w:t>
      </w:r>
      <w:r w:rsidR="00606E48">
        <w:rPr>
          <w:rFonts w:hint="eastAsia"/>
        </w:rPr>
        <w:t>3.</w:t>
      </w:r>
      <w:r w:rsidR="00606E48">
        <w:t>2</w:t>
      </w:r>
      <w:r w:rsidR="00606E48">
        <w:rPr>
          <w:rFonts w:hint="eastAsia"/>
        </w:rPr>
        <w:t>.2-1</w:t>
      </w:r>
      <w:r w:rsidR="00606E48">
        <w:rPr>
          <w:rFonts w:hint="eastAsia"/>
        </w:rPr>
        <w:t>，主要生产单元、主要工艺、生产设施及参数见表</w:t>
      </w:r>
      <w:r w:rsidR="00606E48">
        <w:rPr>
          <w:rFonts w:hint="eastAsia"/>
        </w:rPr>
        <w:t>3.</w:t>
      </w:r>
      <w:r w:rsidR="00606E48">
        <w:t>2.2</w:t>
      </w:r>
      <w:r w:rsidR="00606E48">
        <w:rPr>
          <w:rFonts w:hint="eastAsia"/>
        </w:rPr>
        <w:t>-2</w:t>
      </w:r>
      <w:r w:rsidR="00606E48">
        <w:rPr>
          <w:rFonts w:hint="eastAsia"/>
        </w:rPr>
        <w:t>。</w:t>
      </w:r>
    </w:p>
    <w:p w:rsidR="00B179FB" w:rsidRPr="00D14DE4" w:rsidRDefault="00606E48" w:rsidP="00B179FB">
      <w:pPr>
        <w:pStyle w:val="afffff4"/>
        <w:ind w:firstLine="480"/>
        <w:rPr>
          <w:color w:val="FF0000"/>
        </w:rPr>
      </w:pPr>
      <w:r>
        <w:lastRenderedPageBreak/>
        <w:tab/>
      </w:r>
      <w:r w:rsidR="00B179FB" w:rsidRPr="00D14DE4">
        <w:rPr>
          <w:rFonts w:hint="eastAsia"/>
          <w:color w:val="FF0000"/>
        </w:rPr>
        <w:t>涉及商业机密，已删除</w:t>
      </w:r>
    </w:p>
    <w:p w:rsidR="004E3021" w:rsidRDefault="00606E48">
      <w:pPr>
        <w:pStyle w:val="afffffffffffffffff4"/>
      </w:pPr>
      <w:bookmarkStart w:id="176" w:name="_Toc108662592"/>
      <w:bookmarkStart w:id="177" w:name="_Toc100783987"/>
      <w:bookmarkStart w:id="178" w:name="_Toc101135819"/>
      <w:bookmarkStart w:id="179" w:name="_Toc221088742"/>
      <w:bookmarkStart w:id="180" w:name="_Toc221500957"/>
      <w:r>
        <w:rPr>
          <w:rFonts w:hint="eastAsia"/>
        </w:rPr>
        <w:t>3.</w:t>
      </w:r>
      <w:r>
        <w:t>2</w:t>
      </w:r>
      <w:r>
        <w:rPr>
          <w:rFonts w:hint="eastAsia"/>
        </w:rPr>
        <w:t>.3</w:t>
      </w:r>
      <w:r>
        <w:rPr>
          <w:rFonts w:hint="eastAsia"/>
        </w:rPr>
        <w:t>产品</w:t>
      </w:r>
      <w:r>
        <w:t>方案</w:t>
      </w:r>
      <w:bookmarkEnd w:id="176"/>
      <w:bookmarkEnd w:id="177"/>
      <w:bookmarkEnd w:id="178"/>
      <w:bookmarkEnd w:id="179"/>
      <w:bookmarkEnd w:id="180"/>
    </w:p>
    <w:p w:rsidR="004E3021" w:rsidRDefault="00606E48">
      <w:pPr>
        <w:ind w:firstLine="480"/>
      </w:pPr>
      <w:r>
        <w:rPr>
          <w:rFonts w:hint="eastAsia"/>
        </w:rPr>
        <w:t>（</w:t>
      </w:r>
      <w:r>
        <w:rPr>
          <w:rFonts w:hint="eastAsia"/>
        </w:rPr>
        <w:t>1</w:t>
      </w:r>
      <w:r>
        <w:rPr>
          <w:rFonts w:hint="eastAsia"/>
        </w:rPr>
        <w:t>）产品方案</w:t>
      </w:r>
    </w:p>
    <w:p w:rsidR="00B179FB" w:rsidRPr="00D14DE4" w:rsidRDefault="00B179FB" w:rsidP="00B179FB">
      <w:pPr>
        <w:pStyle w:val="afffff4"/>
        <w:ind w:firstLine="480"/>
        <w:rPr>
          <w:color w:val="FF0000"/>
        </w:rPr>
      </w:pPr>
      <w:r w:rsidRPr="00D14DE4">
        <w:rPr>
          <w:rFonts w:hint="eastAsia"/>
          <w:color w:val="FF0000"/>
        </w:rPr>
        <w:t>涉及商业机密，已删除</w:t>
      </w:r>
    </w:p>
    <w:p w:rsidR="004E3021" w:rsidRDefault="00606E48">
      <w:pPr>
        <w:ind w:firstLine="480"/>
      </w:pPr>
      <w:r>
        <w:rPr>
          <w:rFonts w:hint="eastAsia"/>
        </w:rPr>
        <w:t>本项目</w:t>
      </w:r>
      <w:r>
        <w:t>产品组分控制</w:t>
      </w:r>
      <w:r>
        <w:rPr>
          <w:rFonts w:hint="eastAsia"/>
        </w:rPr>
        <w:t>技术</w:t>
      </w:r>
      <w:r>
        <w:t>主要包括</w:t>
      </w:r>
      <w:r>
        <w:rPr>
          <w:rFonts w:hint="eastAsia"/>
        </w:rPr>
        <w:t>一下</w:t>
      </w:r>
      <w:r>
        <w:t>：</w:t>
      </w:r>
    </w:p>
    <w:p w:rsidR="004E3021" w:rsidRDefault="00606E48">
      <w:pPr>
        <w:ind w:firstLine="480"/>
      </w:pPr>
      <w:r>
        <w:rPr>
          <w:rFonts w:hint="eastAsia"/>
        </w:rPr>
        <w:t>①通过控制反应釜的反应温度，反应压力及反应釜内的硅粉量及进釜的甲醇的气量来控制合成组份；</w:t>
      </w:r>
    </w:p>
    <w:p w:rsidR="004E3021" w:rsidRDefault="00606E48">
      <w:pPr>
        <w:ind w:firstLine="480"/>
      </w:pPr>
      <w:r>
        <w:rPr>
          <w:rFonts w:hint="eastAsia"/>
        </w:rPr>
        <w:t>②通过控制塔釜温度塔釜压力，塔顶温度塔顶压力，塔顶压力回流量来控制达到分离指标的要求，本项目精馏塔的设计单位是委托天津大学精馏分离工程的教授、专家进行设计。</w:t>
      </w:r>
    </w:p>
    <w:p w:rsidR="004E3021" w:rsidRDefault="00606E48">
      <w:pPr>
        <w:pStyle w:val="afffff4"/>
      </w:pPr>
      <w:r>
        <w:rPr>
          <w:rFonts w:hint="eastAsia"/>
        </w:rPr>
        <w:t>表</w:t>
      </w:r>
      <w:r>
        <w:rPr>
          <w:rFonts w:hint="eastAsia"/>
        </w:rPr>
        <w:t>3</w:t>
      </w:r>
      <w:r>
        <w:t xml:space="preserve">.2.3-2 </w:t>
      </w:r>
      <w:r>
        <w:rPr>
          <w:rFonts w:hint="eastAsia"/>
        </w:rPr>
        <w:t>产品转化率、收率组分和控制技术</w:t>
      </w:r>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pPr>
        <w:pStyle w:val="afffff4"/>
      </w:pPr>
    </w:p>
    <w:p w:rsidR="004E3021" w:rsidRDefault="00606E48">
      <w:pPr>
        <w:ind w:firstLine="480"/>
      </w:pPr>
      <w:r>
        <w:rPr>
          <w:rFonts w:hint="eastAsia"/>
        </w:rPr>
        <w:t>（</w:t>
      </w:r>
      <w:r>
        <w:rPr>
          <w:rFonts w:hint="eastAsia"/>
        </w:rPr>
        <w:t>2</w:t>
      </w:r>
      <w:r>
        <w:rPr>
          <w:rFonts w:hint="eastAsia"/>
        </w:rPr>
        <w:t>）产品质量</w:t>
      </w:r>
      <w:r>
        <w:t>标准</w:t>
      </w:r>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pStyle w:val="a0"/>
        <w:ind w:firstLine="480"/>
      </w:pPr>
    </w:p>
    <w:p w:rsidR="004E3021" w:rsidRDefault="00606E48">
      <w:pPr>
        <w:pStyle w:val="afffffffffffffffff4"/>
      </w:pPr>
      <w:bookmarkStart w:id="181" w:name="_Toc108662593"/>
      <w:bookmarkStart w:id="182" w:name="_Toc100783988"/>
      <w:bookmarkStart w:id="183" w:name="_Toc101135820"/>
      <w:bookmarkStart w:id="184" w:name="_Toc221088743"/>
      <w:bookmarkStart w:id="185" w:name="_Toc221500958"/>
      <w:r>
        <w:rPr>
          <w:rFonts w:hint="eastAsia"/>
        </w:rPr>
        <w:t>3.</w:t>
      </w:r>
      <w:r w:rsidR="005B0D06">
        <w:t>2</w:t>
      </w:r>
      <w:r>
        <w:rPr>
          <w:rFonts w:hint="eastAsia"/>
        </w:rPr>
        <w:t>.4</w:t>
      </w:r>
      <w:r>
        <w:rPr>
          <w:rFonts w:hint="eastAsia"/>
        </w:rPr>
        <w:t>总体</w:t>
      </w:r>
      <w:r>
        <w:t>布局</w:t>
      </w:r>
      <w:bookmarkEnd w:id="181"/>
      <w:bookmarkEnd w:id="182"/>
      <w:bookmarkEnd w:id="183"/>
      <w:bookmarkEnd w:id="184"/>
      <w:bookmarkEnd w:id="185"/>
    </w:p>
    <w:p w:rsidR="004E3021" w:rsidRDefault="00606E48">
      <w:pPr>
        <w:ind w:firstLine="480"/>
      </w:pPr>
      <w:r>
        <w:t>（</w:t>
      </w:r>
      <w:r>
        <w:t>1</w:t>
      </w:r>
      <w:r>
        <w:t>）周边环境概况</w:t>
      </w:r>
    </w:p>
    <w:p w:rsidR="004E3021" w:rsidRDefault="00D60602">
      <w:pPr>
        <w:ind w:firstLine="480"/>
        <w:rPr>
          <w:bCs/>
        </w:rPr>
      </w:pPr>
      <w:r>
        <w:rPr>
          <w:rFonts w:hint="eastAsia"/>
          <w:bCs/>
        </w:rPr>
        <w:t>本</w:t>
      </w:r>
      <w:r w:rsidR="00606E48">
        <w:rPr>
          <w:bCs/>
        </w:rPr>
        <w:t>项目位于</w:t>
      </w:r>
      <w:r w:rsidR="00606E48">
        <w:rPr>
          <w:rFonts w:hint="eastAsia"/>
        </w:rPr>
        <w:t>蚌埠精细化工高新技术产业基地</w:t>
      </w:r>
      <w:r w:rsidR="00606E48">
        <w:rPr>
          <w:rFonts w:hint="eastAsia"/>
          <w:bCs/>
        </w:rPr>
        <w:t>，北侧是安徽朗润新材料科技股份有限公司，西侧为蚌埠市圣光化工有限公司，南侧为安徽八一化工股份有限公司，东侧</w:t>
      </w:r>
      <w:r w:rsidR="00606E48">
        <w:rPr>
          <w:bCs/>
        </w:rPr>
        <w:t>为</w:t>
      </w:r>
      <w:r w:rsidR="00606E48">
        <w:rPr>
          <w:rFonts w:hint="eastAsia"/>
          <w:bCs/>
        </w:rPr>
        <w:t>蚌埠圣丹生物化工有限公司</w:t>
      </w:r>
      <w:r w:rsidR="00606E48">
        <w:rPr>
          <w:bCs/>
        </w:rPr>
        <w:t>。</w:t>
      </w:r>
      <w:r w:rsidR="00606E48">
        <w:rPr>
          <w:rFonts w:hint="eastAsia"/>
          <w:bCs/>
        </w:rPr>
        <w:t>项目</w:t>
      </w:r>
      <w:r w:rsidR="00606E48">
        <w:rPr>
          <w:bCs/>
        </w:rPr>
        <w:t>周边概况</w:t>
      </w:r>
      <w:r w:rsidR="00606E48">
        <w:rPr>
          <w:rFonts w:hint="eastAsia"/>
          <w:bCs/>
        </w:rPr>
        <w:t>见图</w:t>
      </w:r>
      <w:r w:rsidR="00606E48">
        <w:rPr>
          <w:rFonts w:hint="eastAsia"/>
          <w:bCs/>
        </w:rPr>
        <w:t>3.</w:t>
      </w:r>
      <w:r w:rsidR="005B0D06">
        <w:rPr>
          <w:bCs/>
        </w:rPr>
        <w:t>2</w:t>
      </w:r>
      <w:r w:rsidR="00606E48">
        <w:rPr>
          <w:rFonts w:hint="eastAsia"/>
          <w:bCs/>
        </w:rPr>
        <w:t>.</w:t>
      </w:r>
      <w:r w:rsidR="00606E48">
        <w:rPr>
          <w:bCs/>
        </w:rPr>
        <w:t>4-1</w:t>
      </w:r>
      <w:r w:rsidR="00606E48">
        <w:rPr>
          <w:rFonts w:hint="eastAsia"/>
          <w:bCs/>
        </w:rPr>
        <w:t>。</w:t>
      </w:r>
    </w:p>
    <w:tbl>
      <w:tblPr>
        <w:tblStyle w:val="afff"/>
        <w:tblW w:w="5000" w:type="pct"/>
        <w:tblLook w:val="04A0" w:firstRow="1" w:lastRow="0" w:firstColumn="1" w:lastColumn="0" w:noHBand="0" w:noVBand="1"/>
      </w:tblPr>
      <w:tblGrid>
        <w:gridCol w:w="4483"/>
        <w:gridCol w:w="4543"/>
      </w:tblGrid>
      <w:tr w:rsidR="004E3021" w:rsidTr="00396636">
        <w:tc>
          <w:tcPr>
            <w:tcW w:w="2500" w:type="pct"/>
            <w:vAlign w:val="center"/>
          </w:tcPr>
          <w:p w:rsidR="004E3021" w:rsidRDefault="00606E48" w:rsidP="00396636">
            <w:pPr>
              <w:ind w:firstLineChars="0" w:firstLine="0"/>
              <w:jc w:val="center"/>
              <w:rPr>
                <w:kern w:val="0"/>
                <w:sz w:val="21"/>
                <w:lang w:val="zh-CN"/>
              </w:rPr>
            </w:pPr>
            <w:r>
              <w:rPr>
                <w:noProof/>
                <w:kern w:val="0"/>
                <w:sz w:val="21"/>
              </w:rPr>
              <w:lastRenderedPageBreak/>
              <w:drawing>
                <wp:inline distT="0" distB="0" distL="0" distR="0">
                  <wp:extent cx="2681957" cy="2013115"/>
                  <wp:effectExtent l="0" t="0" r="4445" b="6350"/>
                  <wp:docPr id="35" name="图片 35" descr="C:\Users\Administrator\Desktop\微信图片_2022031210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istrator\Desktop\微信图片_2022031210292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697321" cy="2024647"/>
                          </a:xfrm>
                          <a:prstGeom prst="rect">
                            <a:avLst/>
                          </a:prstGeom>
                          <a:noFill/>
                          <a:ln>
                            <a:noFill/>
                          </a:ln>
                        </pic:spPr>
                      </pic:pic>
                    </a:graphicData>
                  </a:graphic>
                </wp:inline>
              </w:drawing>
            </w:r>
          </w:p>
        </w:tc>
        <w:tc>
          <w:tcPr>
            <w:tcW w:w="2500" w:type="pct"/>
            <w:vAlign w:val="center"/>
          </w:tcPr>
          <w:p w:rsidR="004E3021" w:rsidRDefault="00606E48" w:rsidP="00396636">
            <w:pPr>
              <w:ind w:firstLineChars="0" w:firstLine="0"/>
              <w:jc w:val="center"/>
              <w:rPr>
                <w:kern w:val="0"/>
                <w:sz w:val="21"/>
                <w:lang w:val="zh-CN"/>
              </w:rPr>
            </w:pPr>
            <w:r>
              <w:rPr>
                <w:noProof/>
                <w:kern w:val="0"/>
                <w:sz w:val="21"/>
              </w:rPr>
              <w:drawing>
                <wp:inline distT="0" distB="0" distL="0" distR="0">
                  <wp:extent cx="2767682" cy="2077462"/>
                  <wp:effectExtent l="0" t="0" r="0" b="0"/>
                  <wp:docPr id="36" name="图片 36" descr="C:\Users\Administrator\Desktop\东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istrator\Desktop\东侧.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777165" cy="2084580"/>
                          </a:xfrm>
                          <a:prstGeom prst="rect">
                            <a:avLst/>
                          </a:prstGeom>
                          <a:noFill/>
                          <a:ln>
                            <a:noFill/>
                          </a:ln>
                        </pic:spPr>
                      </pic:pic>
                    </a:graphicData>
                  </a:graphic>
                </wp:inline>
              </w:drawing>
            </w:r>
          </w:p>
        </w:tc>
      </w:tr>
      <w:tr w:rsidR="004E3021" w:rsidTr="007A2862">
        <w:trPr>
          <w:trHeight w:val="201"/>
        </w:trPr>
        <w:tc>
          <w:tcPr>
            <w:tcW w:w="2500" w:type="pct"/>
            <w:vAlign w:val="center"/>
          </w:tcPr>
          <w:p w:rsidR="004E3021" w:rsidRDefault="00606E48" w:rsidP="00396636">
            <w:pPr>
              <w:ind w:firstLineChars="0" w:firstLine="0"/>
              <w:jc w:val="center"/>
              <w:rPr>
                <w:kern w:val="0"/>
                <w:sz w:val="21"/>
                <w:lang w:val="zh-CN"/>
              </w:rPr>
            </w:pPr>
            <w:r>
              <w:rPr>
                <w:rFonts w:hint="eastAsia"/>
                <w:kern w:val="0"/>
                <w:sz w:val="21"/>
                <w:lang w:val="zh-CN"/>
              </w:rPr>
              <w:t>北侧</w:t>
            </w:r>
          </w:p>
        </w:tc>
        <w:tc>
          <w:tcPr>
            <w:tcW w:w="2500" w:type="pct"/>
            <w:vAlign w:val="center"/>
          </w:tcPr>
          <w:p w:rsidR="004E3021" w:rsidRDefault="00606E48" w:rsidP="00396636">
            <w:pPr>
              <w:ind w:firstLineChars="0" w:firstLine="0"/>
              <w:jc w:val="center"/>
              <w:rPr>
                <w:kern w:val="0"/>
                <w:sz w:val="21"/>
                <w:lang w:val="zh-CN"/>
              </w:rPr>
            </w:pPr>
            <w:r>
              <w:rPr>
                <w:rFonts w:hint="eastAsia"/>
                <w:kern w:val="0"/>
                <w:sz w:val="21"/>
                <w:lang w:val="zh-CN"/>
              </w:rPr>
              <w:t>东侧</w:t>
            </w:r>
          </w:p>
        </w:tc>
      </w:tr>
      <w:tr w:rsidR="004E3021" w:rsidTr="00396636">
        <w:tc>
          <w:tcPr>
            <w:tcW w:w="2500" w:type="pct"/>
            <w:vAlign w:val="center"/>
          </w:tcPr>
          <w:p w:rsidR="004E3021" w:rsidRDefault="00606E48" w:rsidP="00396636">
            <w:pPr>
              <w:ind w:firstLineChars="0" w:firstLine="0"/>
              <w:jc w:val="center"/>
              <w:rPr>
                <w:kern w:val="0"/>
                <w:sz w:val="21"/>
                <w:lang w:val="zh-CN"/>
              </w:rPr>
            </w:pPr>
            <w:r>
              <w:rPr>
                <w:noProof/>
                <w:kern w:val="0"/>
                <w:sz w:val="21"/>
              </w:rPr>
              <w:drawing>
                <wp:inline distT="0" distB="0" distL="0" distR="0">
                  <wp:extent cx="2729582" cy="2027555"/>
                  <wp:effectExtent l="0" t="0" r="0" b="0"/>
                  <wp:docPr id="22" name="4.jpg"/>
                  <wp:cNvGraphicFramePr/>
                  <a:graphic xmlns:a="http://schemas.openxmlformats.org/drawingml/2006/main">
                    <a:graphicData uri="http://schemas.openxmlformats.org/drawingml/2006/picture">
                      <pic:pic xmlns:pic="http://schemas.openxmlformats.org/drawingml/2006/picture">
                        <pic:nvPicPr>
                          <pic:cNvPr id="22" name="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33783" cy="2030675"/>
                          </a:xfrm>
                          <a:prstGeom prst="rect">
                            <a:avLst/>
                          </a:prstGeom>
                        </pic:spPr>
                      </pic:pic>
                    </a:graphicData>
                  </a:graphic>
                </wp:inline>
              </w:drawing>
            </w:r>
          </w:p>
        </w:tc>
        <w:tc>
          <w:tcPr>
            <w:tcW w:w="2500" w:type="pct"/>
            <w:vAlign w:val="center"/>
          </w:tcPr>
          <w:p w:rsidR="004E3021" w:rsidRDefault="00606E48" w:rsidP="00396636">
            <w:pPr>
              <w:ind w:firstLineChars="0" w:firstLine="0"/>
              <w:jc w:val="center"/>
              <w:rPr>
                <w:kern w:val="0"/>
                <w:sz w:val="21"/>
                <w:lang w:val="zh-CN"/>
              </w:rPr>
            </w:pPr>
            <w:r>
              <w:rPr>
                <w:noProof/>
                <w:kern w:val="0"/>
                <w:sz w:val="21"/>
              </w:rPr>
              <w:drawing>
                <wp:inline distT="0" distB="0" distL="0" distR="0">
                  <wp:extent cx="2681957" cy="1979930"/>
                  <wp:effectExtent l="0" t="0" r="4445" b="1270"/>
                  <wp:docPr id="24" name="3.jpg"/>
                  <wp:cNvGraphicFramePr/>
                  <a:graphic xmlns:a="http://schemas.openxmlformats.org/drawingml/2006/main">
                    <a:graphicData uri="http://schemas.openxmlformats.org/drawingml/2006/picture">
                      <pic:pic xmlns:pic="http://schemas.openxmlformats.org/drawingml/2006/picture">
                        <pic:nvPicPr>
                          <pic:cNvPr id="24" name="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85455" cy="1982513"/>
                          </a:xfrm>
                          <a:prstGeom prst="rect">
                            <a:avLst/>
                          </a:prstGeom>
                        </pic:spPr>
                      </pic:pic>
                    </a:graphicData>
                  </a:graphic>
                </wp:inline>
              </w:drawing>
            </w:r>
          </w:p>
        </w:tc>
      </w:tr>
      <w:tr w:rsidR="004E3021" w:rsidTr="00396636">
        <w:tc>
          <w:tcPr>
            <w:tcW w:w="2500" w:type="pct"/>
            <w:vAlign w:val="center"/>
          </w:tcPr>
          <w:p w:rsidR="004E3021" w:rsidRDefault="00606E48" w:rsidP="00396636">
            <w:pPr>
              <w:ind w:firstLineChars="0" w:firstLine="0"/>
              <w:jc w:val="center"/>
              <w:rPr>
                <w:kern w:val="0"/>
                <w:sz w:val="21"/>
                <w:lang w:val="zh-CN"/>
              </w:rPr>
            </w:pPr>
            <w:r>
              <w:rPr>
                <w:rFonts w:hint="eastAsia"/>
                <w:kern w:val="0"/>
                <w:sz w:val="21"/>
                <w:lang w:val="zh-CN"/>
              </w:rPr>
              <w:t>南侧</w:t>
            </w:r>
          </w:p>
        </w:tc>
        <w:tc>
          <w:tcPr>
            <w:tcW w:w="2500" w:type="pct"/>
            <w:vAlign w:val="center"/>
          </w:tcPr>
          <w:p w:rsidR="004E3021" w:rsidRDefault="00606E48" w:rsidP="00396636">
            <w:pPr>
              <w:ind w:firstLineChars="0" w:firstLine="0"/>
              <w:jc w:val="center"/>
              <w:rPr>
                <w:kern w:val="0"/>
                <w:sz w:val="21"/>
                <w:lang w:val="zh-CN"/>
              </w:rPr>
            </w:pPr>
            <w:r>
              <w:rPr>
                <w:rFonts w:hint="eastAsia"/>
                <w:kern w:val="0"/>
                <w:sz w:val="21"/>
                <w:lang w:val="zh-CN"/>
              </w:rPr>
              <w:t>西侧</w:t>
            </w:r>
          </w:p>
        </w:tc>
      </w:tr>
    </w:tbl>
    <w:p w:rsidR="004E3021" w:rsidRDefault="00606E48">
      <w:pPr>
        <w:pStyle w:val="afffff4"/>
      </w:pPr>
      <w:r>
        <w:rPr>
          <w:rFonts w:hint="eastAsia"/>
          <w:lang w:val="zh-CN"/>
        </w:rPr>
        <w:t>图</w:t>
      </w:r>
      <w:r>
        <w:rPr>
          <w:lang w:val="zh-CN"/>
        </w:rPr>
        <w:t>3.2.4-1</w:t>
      </w:r>
      <w:r>
        <w:rPr>
          <w:rFonts w:hint="eastAsia"/>
          <w:lang w:val="zh-CN"/>
        </w:rPr>
        <w:t xml:space="preserve">  </w:t>
      </w:r>
      <w:r>
        <w:rPr>
          <w:rFonts w:hint="eastAsia"/>
          <w:lang w:val="zh-CN"/>
        </w:rPr>
        <w:t>本项目周边概况</w:t>
      </w:r>
    </w:p>
    <w:p w:rsidR="004E3021" w:rsidRDefault="00606E48">
      <w:pPr>
        <w:ind w:firstLine="480"/>
      </w:pPr>
      <w:r>
        <w:t>（</w:t>
      </w:r>
      <w:r>
        <w:t>2</w:t>
      </w:r>
      <w:r>
        <w:t>）总平面布置方案</w:t>
      </w:r>
    </w:p>
    <w:p w:rsidR="004E3021" w:rsidRDefault="00606E48">
      <w:pPr>
        <w:ind w:firstLine="480"/>
      </w:pPr>
      <w:r>
        <w:rPr>
          <w:rFonts w:hint="eastAsia"/>
        </w:rPr>
        <w:t>项目</w:t>
      </w:r>
      <w:r>
        <w:t>厂区西侧建设污水处理站</w:t>
      </w:r>
      <w:r>
        <w:rPr>
          <w:rFonts w:hint="eastAsia"/>
        </w:rPr>
        <w:t>、</w:t>
      </w:r>
      <w:r>
        <w:t>事故水池、初期雨水池、</w:t>
      </w:r>
      <w:r>
        <w:rPr>
          <w:rFonts w:hint="eastAsia"/>
        </w:rPr>
        <w:t>堆场、</w:t>
      </w:r>
      <w:r>
        <w:t>危废库和</w:t>
      </w:r>
      <w:r>
        <w:rPr>
          <w:rFonts w:hint="eastAsia"/>
        </w:rPr>
        <w:t>原料库</w:t>
      </w:r>
      <w:r>
        <w:t>等，</w:t>
      </w:r>
      <w:r>
        <w:rPr>
          <w:rFonts w:hint="eastAsia"/>
        </w:rPr>
        <w:t>东侧</w:t>
      </w:r>
      <w:r>
        <w:t>用地</w:t>
      </w:r>
      <w:r>
        <w:rPr>
          <w:rFonts w:hint="eastAsia"/>
        </w:rPr>
        <w:t>自北</w:t>
      </w:r>
      <w:r>
        <w:t>向南</w:t>
      </w:r>
      <w:r>
        <w:rPr>
          <w:rFonts w:hint="eastAsia"/>
        </w:rPr>
        <w:t>依次</w:t>
      </w:r>
      <w:r>
        <w:t>是</w:t>
      </w:r>
      <w:r>
        <w:rPr>
          <w:rFonts w:hint="eastAsia"/>
        </w:rPr>
        <w:t>水解</w:t>
      </w:r>
      <w:r>
        <w:t>车间</w:t>
      </w:r>
      <w:r>
        <w:rPr>
          <w:rFonts w:hint="eastAsia"/>
        </w:rPr>
        <w:t>，</w:t>
      </w:r>
      <w:r>
        <w:t>厂区南侧为</w:t>
      </w:r>
      <w:r>
        <w:rPr>
          <w:rFonts w:hint="eastAsia"/>
        </w:rPr>
        <w:t>综合楼</w:t>
      </w:r>
      <w:r>
        <w:t>、配电房</w:t>
      </w:r>
      <w:r>
        <w:rPr>
          <w:rFonts w:hint="eastAsia"/>
        </w:rPr>
        <w:t>、</w:t>
      </w:r>
      <w:r>
        <w:t>生产</w:t>
      </w:r>
      <w:r>
        <w:rPr>
          <w:rFonts w:hint="eastAsia"/>
        </w:rPr>
        <w:t>辅助</w:t>
      </w:r>
      <w:r>
        <w:t>车间</w:t>
      </w:r>
      <w:r>
        <w:rPr>
          <w:rFonts w:hint="eastAsia"/>
        </w:rPr>
        <w:t>、</w:t>
      </w:r>
      <w:r>
        <w:t>消防水池以及循环水池</w:t>
      </w:r>
      <w:r>
        <w:rPr>
          <w:rFonts w:hint="eastAsia"/>
        </w:rPr>
        <w:t>。循环水池</w:t>
      </w:r>
      <w:r>
        <w:t>北侧自东向西依次是</w:t>
      </w:r>
      <w:r>
        <w:rPr>
          <w:rFonts w:hint="eastAsia"/>
        </w:rPr>
        <w:t>水解</w:t>
      </w:r>
      <w:r>
        <w:t>车间、</w:t>
      </w:r>
      <w:r>
        <w:rPr>
          <w:rFonts w:hint="eastAsia"/>
        </w:rPr>
        <w:t>中间罐区</w:t>
      </w:r>
      <w:r>
        <w:t>、合成精馏偶联剂车间、硅粉车间</w:t>
      </w:r>
      <w:r>
        <w:rPr>
          <w:rFonts w:hint="eastAsia"/>
        </w:rPr>
        <w:t>、</w:t>
      </w:r>
      <w:r>
        <w:t>硅</w:t>
      </w:r>
      <w:r>
        <w:rPr>
          <w:rFonts w:hint="eastAsia"/>
        </w:rPr>
        <w:t>块</w:t>
      </w:r>
      <w:r>
        <w:t>中间仓库</w:t>
      </w:r>
      <w:r>
        <w:rPr>
          <w:rFonts w:hint="eastAsia"/>
        </w:rPr>
        <w:t>、</w:t>
      </w:r>
      <w:r>
        <w:t>机修间和罐区等</w:t>
      </w:r>
      <w:r>
        <w:rPr>
          <w:rFonts w:hint="eastAsia"/>
        </w:rPr>
        <w:t>。</w:t>
      </w:r>
      <w:r w:rsidR="00947F13">
        <w:rPr>
          <w:rFonts w:hint="eastAsia"/>
        </w:rPr>
        <w:t>本</w:t>
      </w:r>
      <w:r>
        <w:rPr>
          <w:rFonts w:hint="eastAsia"/>
        </w:rPr>
        <w:t>项目整个平面布局合理、紧凑，主装置、料仓和辅助设施分开布置，功能分开，管线走向设置合理，节约用地。</w:t>
      </w:r>
      <w:r>
        <w:t>厂区平面布置图见附图</w:t>
      </w:r>
      <w:r>
        <w:rPr>
          <w:rFonts w:hint="eastAsia"/>
        </w:rPr>
        <w:t>3.</w:t>
      </w:r>
      <w:r>
        <w:t>2</w:t>
      </w:r>
      <w:r>
        <w:rPr>
          <w:rFonts w:hint="eastAsia"/>
        </w:rPr>
        <w:t>.4-1</w:t>
      </w:r>
      <w:r>
        <w:rPr>
          <w:rFonts w:hint="eastAsia"/>
        </w:rPr>
        <w:t>，各车间平面布置图见</w:t>
      </w:r>
      <w:r w:rsidR="00787497">
        <w:rPr>
          <w:rFonts w:hint="eastAsia"/>
        </w:rPr>
        <w:t>附图</w:t>
      </w:r>
      <w:r>
        <w:rPr>
          <w:rFonts w:hint="eastAsia"/>
        </w:rPr>
        <w:t>3</w:t>
      </w:r>
      <w:r>
        <w:t>.2.4-2</w:t>
      </w:r>
      <w:r>
        <w:rPr>
          <w:rFonts w:hint="eastAsia"/>
        </w:rPr>
        <w:t>。</w:t>
      </w:r>
      <w:bookmarkStart w:id="186" w:name="_Toc19379611"/>
      <w:bookmarkStart w:id="187" w:name="_Toc100783989"/>
      <w:bookmarkStart w:id="188" w:name="_Toc101135821"/>
      <w:bookmarkStart w:id="189" w:name="_Toc19379973"/>
      <w:bookmarkStart w:id="190" w:name="_Toc19379267"/>
    </w:p>
    <w:p w:rsidR="004E3021" w:rsidRDefault="00606E48">
      <w:pPr>
        <w:pStyle w:val="afffffffffffffffff4"/>
      </w:pPr>
      <w:bookmarkStart w:id="191" w:name="_Toc108662594"/>
      <w:bookmarkStart w:id="192" w:name="_Toc221088744"/>
      <w:bookmarkStart w:id="193" w:name="_Toc221500959"/>
      <w:r>
        <w:t>3.2.5</w:t>
      </w:r>
      <w:r>
        <w:t>公用、辅助工程</w:t>
      </w:r>
      <w:bookmarkEnd w:id="186"/>
      <w:bookmarkEnd w:id="187"/>
      <w:bookmarkEnd w:id="188"/>
      <w:bookmarkEnd w:id="189"/>
      <w:bookmarkEnd w:id="190"/>
      <w:bookmarkEnd w:id="191"/>
      <w:bookmarkEnd w:id="192"/>
      <w:bookmarkEnd w:id="193"/>
    </w:p>
    <w:p w:rsidR="00B179FB" w:rsidRPr="00D14DE4" w:rsidRDefault="00B179FB" w:rsidP="00B179FB">
      <w:pPr>
        <w:pStyle w:val="afffff4"/>
        <w:ind w:firstLine="480"/>
        <w:rPr>
          <w:color w:val="FF0000"/>
        </w:rPr>
      </w:pPr>
      <w:bookmarkStart w:id="194" w:name="_Toc101135822"/>
      <w:bookmarkStart w:id="195" w:name="_Toc108662595"/>
      <w:bookmarkStart w:id="196" w:name="_Toc100783990"/>
      <w:bookmarkStart w:id="197" w:name="_Toc221088745"/>
      <w:bookmarkStart w:id="198" w:name="_Toc221500960"/>
      <w:r w:rsidRPr="00D14DE4">
        <w:rPr>
          <w:rFonts w:hint="eastAsia"/>
          <w:color w:val="FF0000"/>
        </w:rPr>
        <w:t>涉及商业机密，已删除</w:t>
      </w:r>
    </w:p>
    <w:p w:rsidR="004E3021" w:rsidRDefault="00606E48">
      <w:pPr>
        <w:pStyle w:val="afffffffffffffffff4"/>
      </w:pPr>
      <w:r>
        <w:rPr>
          <w:rFonts w:hint="eastAsia"/>
        </w:rPr>
        <w:t>3.</w:t>
      </w:r>
      <w:r>
        <w:t>2</w:t>
      </w:r>
      <w:r>
        <w:rPr>
          <w:rFonts w:hint="eastAsia"/>
        </w:rPr>
        <w:t>.6</w:t>
      </w:r>
      <w:r>
        <w:rPr>
          <w:rFonts w:hint="eastAsia"/>
        </w:rPr>
        <w:t>原辅材料及能源消耗情况</w:t>
      </w:r>
      <w:bookmarkEnd w:id="194"/>
      <w:bookmarkEnd w:id="195"/>
      <w:bookmarkEnd w:id="196"/>
      <w:bookmarkEnd w:id="197"/>
      <w:bookmarkEnd w:id="198"/>
    </w:p>
    <w:p w:rsidR="00B179FB" w:rsidRPr="00D14DE4" w:rsidRDefault="00B179FB" w:rsidP="00B179FB">
      <w:pPr>
        <w:pStyle w:val="afffff4"/>
        <w:ind w:firstLine="480"/>
        <w:rPr>
          <w:color w:val="FF0000"/>
        </w:rPr>
      </w:pPr>
      <w:r w:rsidRPr="00D14DE4">
        <w:rPr>
          <w:rFonts w:hint="eastAsia"/>
          <w:color w:val="FF0000"/>
        </w:rPr>
        <w:lastRenderedPageBreak/>
        <w:t>涉及商业机密，已删除</w:t>
      </w:r>
    </w:p>
    <w:p w:rsidR="00B179FB" w:rsidRPr="00B179FB" w:rsidRDefault="00B179FB" w:rsidP="00B179FB">
      <w:pPr>
        <w:ind w:firstLine="480"/>
      </w:pPr>
    </w:p>
    <w:p w:rsidR="004E3021" w:rsidRDefault="00606E48">
      <w:pPr>
        <w:pStyle w:val="afffffffffffffffff4"/>
      </w:pPr>
      <w:bookmarkStart w:id="199" w:name="_Toc101135823"/>
      <w:bookmarkStart w:id="200" w:name="_Toc100783991"/>
      <w:bookmarkStart w:id="201" w:name="_Toc108662596"/>
      <w:bookmarkStart w:id="202" w:name="_Toc221088746"/>
      <w:bookmarkStart w:id="203" w:name="_Toc221500961"/>
      <w:r>
        <w:rPr>
          <w:rFonts w:hint="eastAsia"/>
        </w:rPr>
        <w:t>3.</w:t>
      </w:r>
      <w:r>
        <w:t>2</w:t>
      </w:r>
      <w:r>
        <w:rPr>
          <w:rFonts w:hint="eastAsia"/>
        </w:rPr>
        <w:t>.7</w:t>
      </w:r>
      <w:r>
        <w:rPr>
          <w:rFonts w:hint="eastAsia"/>
        </w:rPr>
        <w:t>主要生产</w:t>
      </w:r>
      <w:r>
        <w:t>设备及</w:t>
      </w:r>
      <w:r>
        <w:rPr>
          <w:rFonts w:hint="eastAsia"/>
        </w:rPr>
        <w:t>产能</w:t>
      </w:r>
      <w:r>
        <w:t>匹配性分析</w:t>
      </w:r>
      <w:bookmarkEnd w:id="199"/>
      <w:bookmarkEnd w:id="200"/>
      <w:bookmarkEnd w:id="201"/>
      <w:bookmarkEnd w:id="202"/>
      <w:bookmarkEnd w:id="203"/>
    </w:p>
    <w:p w:rsidR="00B179FB" w:rsidRPr="00D14DE4" w:rsidRDefault="00B179FB" w:rsidP="00B179FB">
      <w:pPr>
        <w:pStyle w:val="afffff4"/>
        <w:ind w:firstLine="480"/>
        <w:rPr>
          <w:color w:val="FF0000"/>
        </w:rPr>
      </w:pPr>
      <w:r w:rsidRPr="00D14DE4">
        <w:rPr>
          <w:rFonts w:hint="eastAsia"/>
          <w:color w:val="FF0000"/>
        </w:rPr>
        <w:t>涉及商业机密，已删除</w:t>
      </w:r>
    </w:p>
    <w:p w:rsidR="004E3021" w:rsidRDefault="00606E48">
      <w:pPr>
        <w:pStyle w:val="afffffffffffffffff3"/>
      </w:pPr>
      <w:bookmarkStart w:id="204" w:name="_Toc221500962"/>
      <w:r>
        <w:rPr>
          <w:rFonts w:hint="eastAsia"/>
        </w:rPr>
        <w:t>3.</w:t>
      </w:r>
      <w:r>
        <w:t>3</w:t>
      </w:r>
      <w:r>
        <w:rPr>
          <w:rFonts w:hint="eastAsia"/>
        </w:rPr>
        <w:t>生产工艺</w:t>
      </w:r>
      <w:r>
        <w:t>及物料平衡分析</w:t>
      </w:r>
      <w:bookmarkEnd w:id="204"/>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ind w:firstLine="480"/>
      </w:pPr>
    </w:p>
    <w:p w:rsidR="004E3021" w:rsidRDefault="00606E48">
      <w:pPr>
        <w:pStyle w:val="afffffffffffffffff3"/>
      </w:pPr>
      <w:bookmarkStart w:id="205" w:name="_Toc221500971"/>
      <w:r>
        <w:rPr>
          <w:rFonts w:hint="eastAsia"/>
        </w:rPr>
        <w:t>3.</w:t>
      </w:r>
      <w:r>
        <w:t>4</w:t>
      </w:r>
      <w:r>
        <w:rPr>
          <w:rFonts w:hint="eastAsia"/>
        </w:rPr>
        <w:t>污染源分析</w:t>
      </w:r>
      <w:bookmarkEnd w:id="205"/>
    </w:p>
    <w:p w:rsidR="004E3021" w:rsidRDefault="00606E48">
      <w:pPr>
        <w:pStyle w:val="afffffffffffffffff4"/>
        <w:ind w:firstLineChars="50" w:firstLine="140"/>
      </w:pPr>
      <w:bookmarkStart w:id="206" w:name="_Toc108662605"/>
      <w:bookmarkStart w:id="207" w:name="_Toc101135831"/>
      <w:bookmarkStart w:id="208" w:name="_Toc100783999"/>
      <w:bookmarkStart w:id="209" w:name="_Toc221088757"/>
      <w:bookmarkStart w:id="210" w:name="_Toc221500972"/>
      <w:r>
        <w:rPr>
          <w:rFonts w:hint="eastAsia"/>
        </w:rPr>
        <w:t>3.</w:t>
      </w:r>
      <w:r>
        <w:t>4</w:t>
      </w:r>
      <w:r>
        <w:rPr>
          <w:rFonts w:hint="eastAsia"/>
        </w:rPr>
        <w:t>.1</w:t>
      </w:r>
      <w:r>
        <w:rPr>
          <w:rFonts w:hint="eastAsia"/>
        </w:rPr>
        <w:t>废气</w:t>
      </w:r>
      <w:bookmarkEnd w:id="206"/>
      <w:bookmarkEnd w:id="207"/>
      <w:bookmarkEnd w:id="208"/>
      <w:bookmarkEnd w:id="209"/>
      <w:bookmarkEnd w:id="210"/>
    </w:p>
    <w:p w:rsidR="004E3021" w:rsidRDefault="00606E48">
      <w:pPr>
        <w:ind w:firstLine="480"/>
      </w:pPr>
      <w:r>
        <w:rPr>
          <w:rFonts w:hint="eastAsia"/>
        </w:rPr>
        <w:t>本</w:t>
      </w:r>
      <w:r>
        <w:t>项目废气</w:t>
      </w:r>
      <w:r>
        <w:rPr>
          <w:rFonts w:hint="eastAsia"/>
        </w:rPr>
        <w:t>主要</w:t>
      </w:r>
      <w:r>
        <w:t>为</w:t>
      </w:r>
      <w:r>
        <w:rPr>
          <w:rFonts w:hint="eastAsia"/>
        </w:rPr>
        <w:t>各产品的</w:t>
      </w:r>
      <w:r>
        <w:t>工艺废气（</w:t>
      </w:r>
      <w:r>
        <w:rPr>
          <w:rFonts w:hint="eastAsia"/>
        </w:rPr>
        <w:t>G</w:t>
      </w:r>
      <w:r>
        <w:t>1-1</w:t>
      </w:r>
      <w:r>
        <w:rPr>
          <w:rFonts w:hint="eastAsia"/>
        </w:rPr>
        <w:t>、</w:t>
      </w:r>
      <w:r>
        <w:t>G2-1~3</w:t>
      </w:r>
      <w:r>
        <w:rPr>
          <w:rFonts w:hint="eastAsia"/>
        </w:rPr>
        <w:t>、</w:t>
      </w:r>
      <w:r>
        <w:rPr>
          <w:rFonts w:hint="eastAsia"/>
        </w:rPr>
        <w:t>G</w:t>
      </w:r>
      <w:r>
        <w:t>3-1</w:t>
      </w:r>
      <w:r>
        <w:rPr>
          <w:rFonts w:hint="eastAsia"/>
        </w:rPr>
        <w:t>、</w:t>
      </w:r>
      <w:r>
        <w:t>G4-1~2</w:t>
      </w:r>
      <w:r>
        <w:rPr>
          <w:rFonts w:hint="eastAsia"/>
        </w:rPr>
        <w:t>、</w:t>
      </w:r>
      <w:r>
        <w:t>G5-1~3</w:t>
      </w:r>
      <w:r>
        <w:rPr>
          <w:rFonts w:hint="eastAsia"/>
        </w:rPr>
        <w:t>、</w:t>
      </w:r>
      <w:r>
        <w:t>G6-1~3</w:t>
      </w:r>
      <w:r>
        <w:t>）</w:t>
      </w:r>
      <w:r>
        <w:rPr>
          <w:rFonts w:hint="eastAsia"/>
        </w:rPr>
        <w:t>、罐区</w:t>
      </w:r>
      <w:r>
        <w:t>废气。</w:t>
      </w:r>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pStyle w:val="a0"/>
        <w:ind w:firstLine="480"/>
      </w:pPr>
    </w:p>
    <w:p w:rsidR="004E3021" w:rsidRDefault="00606E48">
      <w:pPr>
        <w:pStyle w:val="afffffffffffffffff4"/>
      </w:pPr>
      <w:bookmarkStart w:id="211" w:name="_Toc108662606"/>
      <w:bookmarkStart w:id="212" w:name="_Toc100784000"/>
      <w:bookmarkStart w:id="213" w:name="_Toc101135832"/>
      <w:bookmarkStart w:id="214" w:name="_Toc221088758"/>
      <w:bookmarkStart w:id="215" w:name="_Toc221500973"/>
      <w:r>
        <w:rPr>
          <w:rFonts w:hint="eastAsia"/>
        </w:rPr>
        <w:t>3.</w:t>
      </w:r>
      <w:r>
        <w:t>4</w:t>
      </w:r>
      <w:r>
        <w:rPr>
          <w:rFonts w:hint="eastAsia"/>
        </w:rPr>
        <w:t>.2</w:t>
      </w:r>
      <w:r>
        <w:rPr>
          <w:rFonts w:hint="eastAsia"/>
        </w:rPr>
        <w:t>废水</w:t>
      </w:r>
      <w:bookmarkEnd w:id="211"/>
      <w:bookmarkEnd w:id="212"/>
      <w:bookmarkEnd w:id="213"/>
      <w:bookmarkEnd w:id="214"/>
      <w:bookmarkEnd w:id="215"/>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ind w:firstLine="480"/>
      </w:pPr>
    </w:p>
    <w:p w:rsidR="004E3021" w:rsidRDefault="00606E48">
      <w:pPr>
        <w:pStyle w:val="afffffffffffffffff4"/>
      </w:pPr>
      <w:bookmarkStart w:id="216" w:name="_Toc108662607"/>
      <w:bookmarkStart w:id="217" w:name="_Toc101135833"/>
      <w:bookmarkStart w:id="218" w:name="_Toc100784001"/>
      <w:bookmarkStart w:id="219" w:name="_Toc221088759"/>
      <w:bookmarkStart w:id="220" w:name="_Toc221500974"/>
      <w:r>
        <w:rPr>
          <w:rFonts w:hint="eastAsia"/>
        </w:rPr>
        <w:t>3.</w:t>
      </w:r>
      <w:r>
        <w:t>4</w:t>
      </w:r>
      <w:r>
        <w:rPr>
          <w:rFonts w:hint="eastAsia"/>
        </w:rPr>
        <w:t>.3</w:t>
      </w:r>
      <w:r>
        <w:rPr>
          <w:rFonts w:hint="eastAsia"/>
        </w:rPr>
        <w:t>噪声</w:t>
      </w:r>
      <w:bookmarkEnd w:id="216"/>
      <w:bookmarkEnd w:id="217"/>
      <w:bookmarkEnd w:id="218"/>
      <w:bookmarkEnd w:id="219"/>
      <w:bookmarkEnd w:id="220"/>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ind w:firstLine="480"/>
      </w:pPr>
    </w:p>
    <w:p w:rsidR="004E3021" w:rsidRDefault="00606E48">
      <w:pPr>
        <w:pStyle w:val="afffffffffffffffff4"/>
      </w:pPr>
      <w:bookmarkStart w:id="221" w:name="_Toc100784002"/>
      <w:bookmarkStart w:id="222" w:name="_Toc101135834"/>
      <w:bookmarkStart w:id="223" w:name="_Toc108662608"/>
      <w:bookmarkStart w:id="224" w:name="_Toc221088760"/>
      <w:bookmarkStart w:id="225" w:name="_Toc221500975"/>
      <w:r>
        <w:rPr>
          <w:rFonts w:hint="eastAsia"/>
        </w:rPr>
        <w:t>3.</w:t>
      </w:r>
      <w:r>
        <w:t>4</w:t>
      </w:r>
      <w:r>
        <w:rPr>
          <w:rFonts w:hint="eastAsia"/>
        </w:rPr>
        <w:t>.4</w:t>
      </w:r>
      <w:r>
        <w:rPr>
          <w:rFonts w:hint="eastAsia"/>
        </w:rPr>
        <w:t>固体废物</w:t>
      </w:r>
      <w:bookmarkEnd w:id="221"/>
      <w:bookmarkEnd w:id="222"/>
      <w:bookmarkEnd w:id="223"/>
      <w:bookmarkEnd w:id="224"/>
      <w:bookmarkEnd w:id="225"/>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ind w:firstLine="480"/>
      </w:pPr>
    </w:p>
    <w:p w:rsidR="004E3021" w:rsidRDefault="00606E48">
      <w:pPr>
        <w:pStyle w:val="afffffffffffffffff4"/>
      </w:pPr>
      <w:bookmarkStart w:id="226" w:name="_Toc100784003"/>
      <w:bookmarkStart w:id="227" w:name="_Toc101135835"/>
      <w:bookmarkStart w:id="228" w:name="_Toc108662609"/>
      <w:bookmarkStart w:id="229" w:name="_Toc221088761"/>
      <w:bookmarkStart w:id="230" w:name="_Toc221500976"/>
      <w:r>
        <w:rPr>
          <w:rFonts w:hint="eastAsia"/>
        </w:rPr>
        <w:lastRenderedPageBreak/>
        <w:t>3.</w:t>
      </w:r>
      <w:r w:rsidR="00D054BE">
        <w:t>4</w:t>
      </w:r>
      <w:r>
        <w:rPr>
          <w:rFonts w:hint="eastAsia"/>
        </w:rPr>
        <w:t>.5</w:t>
      </w:r>
      <w:r>
        <w:rPr>
          <w:rFonts w:hint="eastAsia"/>
        </w:rPr>
        <w:t>非正常工况源强</w:t>
      </w:r>
      <w:bookmarkEnd w:id="226"/>
      <w:bookmarkEnd w:id="227"/>
      <w:bookmarkEnd w:id="228"/>
      <w:bookmarkEnd w:id="229"/>
      <w:bookmarkEnd w:id="230"/>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ind w:firstLine="480"/>
      </w:pPr>
    </w:p>
    <w:p w:rsidR="004E3021" w:rsidRDefault="00606E48">
      <w:pPr>
        <w:pStyle w:val="afffffffffffffffff4"/>
      </w:pPr>
      <w:bookmarkStart w:id="231" w:name="_Toc108662610"/>
      <w:bookmarkStart w:id="232" w:name="_Toc101135836"/>
      <w:bookmarkStart w:id="233" w:name="_Toc100784004"/>
      <w:bookmarkStart w:id="234" w:name="_Toc221088762"/>
      <w:bookmarkStart w:id="235" w:name="_Toc221500977"/>
      <w:r>
        <w:rPr>
          <w:rFonts w:hint="eastAsia"/>
        </w:rPr>
        <w:t>3.</w:t>
      </w:r>
      <w:r w:rsidR="00D054BE">
        <w:t>4</w:t>
      </w:r>
      <w:r>
        <w:t>.</w:t>
      </w:r>
      <w:r>
        <w:rPr>
          <w:rFonts w:hint="eastAsia"/>
        </w:rPr>
        <w:t>6</w:t>
      </w:r>
      <w:r w:rsidR="00B80DDB">
        <w:rPr>
          <w:rFonts w:hint="eastAsia"/>
        </w:rPr>
        <w:t>本</w:t>
      </w:r>
      <w:r>
        <w:t>项目污染物三废汇总</w:t>
      </w:r>
      <w:bookmarkEnd w:id="231"/>
      <w:bookmarkEnd w:id="232"/>
      <w:bookmarkEnd w:id="233"/>
      <w:bookmarkEnd w:id="234"/>
      <w:bookmarkEnd w:id="235"/>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Pr="00B179FB" w:rsidRDefault="00B179FB" w:rsidP="00B179FB">
      <w:pPr>
        <w:ind w:firstLine="480"/>
      </w:pPr>
    </w:p>
    <w:p w:rsidR="004E3021" w:rsidRDefault="00606E48">
      <w:pPr>
        <w:pStyle w:val="afffffffffffffffff3"/>
      </w:pPr>
      <w:bookmarkStart w:id="236" w:name="_Toc221500978"/>
      <w:r>
        <w:rPr>
          <w:rFonts w:hint="eastAsia"/>
        </w:rPr>
        <w:t>3.</w:t>
      </w:r>
      <w:r w:rsidR="00D054BE">
        <w:t>5</w:t>
      </w:r>
      <w:r w:rsidR="00D054BE">
        <w:rPr>
          <w:rFonts w:hint="eastAsia"/>
        </w:rPr>
        <w:t>改</w:t>
      </w:r>
      <w:r w:rsidR="009517D8">
        <w:rPr>
          <w:rFonts w:hint="eastAsia"/>
        </w:rPr>
        <w:t>扩</w:t>
      </w:r>
      <w:r w:rsidR="00D054BE">
        <w:rPr>
          <w:rFonts w:hint="eastAsia"/>
        </w:rPr>
        <w:t>建</w:t>
      </w:r>
      <w:r>
        <w:t>完成</w:t>
      </w:r>
      <w:r>
        <w:rPr>
          <w:rFonts w:hint="eastAsia"/>
        </w:rPr>
        <w:t>后</w:t>
      </w:r>
      <w:r>
        <w:t>全厂</w:t>
      </w:r>
      <w:r>
        <w:rPr>
          <w:rFonts w:hint="eastAsia"/>
        </w:rPr>
        <w:t>“三本帐”</w:t>
      </w:r>
      <w:bookmarkEnd w:id="236"/>
    </w:p>
    <w:p w:rsidR="00B179FB" w:rsidRPr="00D14DE4" w:rsidRDefault="00B179FB" w:rsidP="00B179FB">
      <w:pPr>
        <w:pStyle w:val="afffff4"/>
        <w:ind w:firstLine="480"/>
        <w:rPr>
          <w:color w:val="FF0000"/>
        </w:rPr>
      </w:pPr>
      <w:r w:rsidRPr="00D14DE4">
        <w:rPr>
          <w:rFonts w:hint="eastAsia"/>
          <w:color w:val="FF0000"/>
        </w:rPr>
        <w:t>涉及商业机密，已删除</w:t>
      </w:r>
    </w:p>
    <w:p w:rsidR="004E3021" w:rsidRPr="00B179FB" w:rsidRDefault="004E3021">
      <w:pPr>
        <w:pStyle w:val="afffff4"/>
      </w:pPr>
    </w:p>
    <w:p w:rsidR="004E3021" w:rsidRDefault="00606E48">
      <w:pPr>
        <w:pStyle w:val="afffffffffffffffff3"/>
      </w:pPr>
      <w:bookmarkStart w:id="237" w:name="_Toc221500979"/>
      <w:r>
        <w:rPr>
          <w:rFonts w:hint="eastAsia"/>
        </w:rPr>
        <w:t>3.</w:t>
      </w:r>
      <w:r w:rsidR="00D054BE">
        <w:t>6</w:t>
      </w:r>
      <w:r>
        <w:rPr>
          <w:rFonts w:hint="eastAsia"/>
        </w:rPr>
        <w:t>清洁生产</w:t>
      </w:r>
      <w:r>
        <w:t>分析</w:t>
      </w:r>
      <w:bookmarkEnd w:id="237"/>
    </w:p>
    <w:p w:rsidR="004E3021" w:rsidRDefault="00606E48">
      <w:pPr>
        <w:pStyle w:val="afffffffffffffffff4"/>
      </w:pPr>
      <w:bookmarkStart w:id="238" w:name="_Toc100784007"/>
      <w:bookmarkStart w:id="239" w:name="_Toc101135839"/>
      <w:bookmarkStart w:id="240" w:name="_Toc108662613"/>
      <w:bookmarkStart w:id="241" w:name="_Toc221088765"/>
      <w:bookmarkStart w:id="242" w:name="_Toc221500980"/>
      <w:r>
        <w:rPr>
          <w:rFonts w:hint="eastAsia"/>
        </w:rPr>
        <w:t>3</w:t>
      </w:r>
      <w:r>
        <w:t>.</w:t>
      </w:r>
      <w:r w:rsidR="00D054BE">
        <w:t>6</w:t>
      </w:r>
      <w:r>
        <w:rPr>
          <w:rFonts w:hint="eastAsia"/>
        </w:rPr>
        <w:t>.1</w:t>
      </w:r>
      <w:r>
        <w:rPr>
          <w:rFonts w:hint="eastAsia"/>
        </w:rPr>
        <w:t>原辅材料</w:t>
      </w:r>
      <w:r>
        <w:t>先进性分析</w:t>
      </w:r>
      <w:bookmarkEnd w:id="238"/>
      <w:bookmarkEnd w:id="239"/>
      <w:bookmarkEnd w:id="240"/>
      <w:bookmarkEnd w:id="241"/>
      <w:bookmarkEnd w:id="242"/>
    </w:p>
    <w:p w:rsidR="004E3021" w:rsidRDefault="002C61E4">
      <w:pPr>
        <w:ind w:firstLine="480"/>
      </w:pPr>
      <w:r>
        <w:rPr>
          <w:rFonts w:hint="eastAsia"/>
        </w:rPr>
        <w:t>本</w:t>
      </w:r>
      <w:r w:rsidR="00606E48">
        <w:t>项目所用原辅材料纯度较高，在生产过程中也有较高的利用效率。生产过程中根据原辅材料的不同性质，进行合理分类储存，可有效减少危险事故的发生。对于生产过程中有一定的毒性的原辅材料，通过采用先进工艺技术，增加原辅材料利用率和回收率，最大限度的减少废物的产生。项目生产过程中使用的有机溶剂（甲醇）及纯水均可实现最大限度的循环套用，有效地提高了溶剂的利用效率。因此，本项目的原辅材料是属于清洁型的。</w:t>
      </w:r>
    </w:p>
    <w:p w:rsidR="004E3021" w:rsidRDefault="00606E48">
      <w:pPr>
        <w:pStyle w:val="afffffffffffffffff4"/>
      </w:pPr>
      <w:bookmarkStart w:id="243" w:name="_Toc101135840"/>
      <w:bookmarkStart w:id="244" w:name="_Toc108662614"/>
      <w:bookmarkStart w:id="245" w:name="_Toc100784008"/>
      <w:bookmarkStart w:id="246" w:name="_Toc221088766"/>
      <w:bookmarkStart w:id="247" w:name="_Toc221500981"/>
      <w:r>
        <w:rPr>
          <w:rFonts w:hint="eastAsia"/>
        </w:rPr>
        <w:t>3.</w:t>
      </w:r>
      <w:r w:rsidR="00D054BE">
        <w:t>6</w:t>
      </w:r>
      <w:r>
        <w:rPr>
          <w:rFonts w:hint="eastAsia"/>
        </w:rPr>
        <w:t>.2</w:t>
      </w:r>
      <w:r>
        <w:rPr>
          <w:rFonts w:hint="eastAsia"/>
        </w:rPr>
        <w:t>生产</w:t>
      </w:r>
      <w:r>
        <w:t>工艺先进性分析</w:t>
      </w:r>
      <w:bookmarkEnd w:id="243"/>
      <w:bookmarkEnd w:id="244"/>
      <w:bookmarkEnd w:id="245"/>
      <w:bookmarkEnd w:id="246"/>
      <w:bookmarkEnd w:id="247"/>
    </w:p>
    <w:p w:rsidR="004E3021" w:rsidRDefault="00606E48">
      <w:pPr>
        <w:ind w:firstLine="480"/>
      </w:pPr>
      <w:r>
        <w:rPr>
          <w:rFonts w:hint="eastAsia"/>
        </w:rPr>
        <w:t>本</w:t>
      </w:r>
      <w:r>
        <w:t>项目生产主要以</w:t>
      </w:r>
      <w:r>
        <w:rPr>
          <w:rFonts w:hint="eastAsia"/>
        </w:rPr>
        <w:t>合成</w:t>
      </w:r>
      <w:r>
        <w:t>、精馏、冷凝、水解等单元操作为主，项目采用国内外先进技术工艺，技术成熟可靠，生产过程均为连续化、自动化、密闭化生产工艺，减少了物料与外界环境的接触。工艺技术反应步骤短，成本低，三废较少，大部分反应溶剂可回收利用。项目生产过程中通过合理控制反应温度、时间、压力等参数，有效地提高了主反应的转化率，减少副反应的发生，同时显著增加了产品的收率。并且项目采用集散型</w:t>
      </w:r>
      <w:r>
        <w:lastRenderedPageBreak/>
        <w:t>控制系统（</w:t>
      </w:r>
      <w:r>
        <w:t>DCS</w:t>
      </w:r>
      <w:r>
        <w:t>）、可燃气体检测系统（独立设置），对生产工艺过程进行集中监控，对重要的工艺参数设置信号报警及操作联锁系统，同时，配备必要的火灾报警系统，可有效防止危险的发生。</w:t>
      </w:r>
    </w:p>
    <w:p w:rsidR="004E3021" w:rsidRDefault="00606E48">
      <w:pPr>
        <w:ind w:firstLine="480"/>
      </w:pPr>
      <w:r>
        <w:t>因此，</w:t>
      </w:r>
      <w:r>
        <w:rPr>
          <w:rFonts w:hint="eastAsia"/>
        </w:rPr>
        <w:t>本</w:t>
      </w:r>
      <w:r>
        <w:t>项目工艺清洁生产水平较高，符合企业工艺要求。</w:t>
      </w:r>
    </w:p>
    <w:p w:rsidR="004E3021" w:rsidRDefault="00606E48">
      <w:pPr>
        <w:pStyle w:val="afffffffffffffffff4"/>
      </w:pPr>
      <w:bookmarkStart w:id="248" w:name="_Toc100784009"/>
      <w:bookmarkStart w:id="249" w:name="_Toc108662615"/>
      <w:bookmarkStart w:id="250" w:name="_Toc101135841"/>
      <w:bookmarkStart w:id="251" w:name="_Toc221088767"/>
      <w:bookmarkStart w:id="252" w:name="_Toc221500982"/>
      <w:r>
        <w:t>3.</w:t>
      </w:r>
      <w:r w:rsidR="00D054BE">
        <w:t>6</w:t>
      </w:r>
      <w:r>
        <w:t>.3</w:t>
      </w:r>
      <w:r>
        <w:rPr>
          <w:rFonts w:hint="eastAsia"/>
        </w:rPr>
        <w:t>设备</w:t>
      </w:r>
      <w:r>
        <w:t>及过程控制先进性分析</w:t>
      </w:r>
      <w:bookmarkEnd w:id="248"/>
      <w:bookmarkEnd w:id="249"/>
      <w:bookmarkEnd w:id="250"/>
      <w:bookmarkEnd w:id="251"/>
      <w:bookmarkEnd w:id="252"/>
    </w:p>
    <w:p w:rsidR="004E3021" w:rsidRDefault="00606E48">
      <w:pPr>
        <w:ind w:firstLine="480"/>
      </w:pPr>
      <w:r>
        <w:rPr>
          <w:rFonts w:hint="eastAsia"/>
        </w:rPr>
        <w:t>根据产品特点，本项目建设中尽量采用通用定型设备，如</w:t>
      </w:r>
      <w:r>
        <w:rPr>
          <w:rFonts w:cs="宋体" w:hint="eastAsia"/>
        </w:rPr>
        <w:t>钢衬瓷和</w:t>
      </w:r>
      <w:r>
        <w:rPr>
          <w:rFonts w:cs="宋体"/>
        </w:rPr>
        <w:t>搪瓷</w:t>
      </w:r>
      <w:r>
        <w:rPr>
          <w:rFonts w:hint="eastAsia"/>
        </w:rPr>
        <w:t>反应釜等。各种设备原则上采用标准化产品，非标准设备按国家有关标准另行设计。此外，项目还将通过提高装备的自控水平，来提高工程的整体水平，主要表现在：</w:t>
      </w:r>
    </w:p>
    <w:p w:rsidR="004E3021" w:rsidRDefault="00606E48">
      <w:pPr>
        <w:ind w:firstLine="480"/>
      </w:pPr>
      <w:r>
        <w:rPr>
          <w:rFonts w:hint="eastAsia"/>
        </w:rPr>
        <w:t>（</w:t>
      </w:r>
      <w:r>
        <w:rPr>
          <w:rFonts w:hint="eastAsia"/>
        </w:rPr>
        <w:t>1</w:t>
      </w:r>
      <w:r>
        <w:rPr>
          <w:rFonts w:hint="eastAsia"/>
        </w:rPr>
        <w:t>）采用连续化、自动化、密闭化生产工艺替代间歇式、敞开式生产工艺，减少物料与外界接触频率。降低劳动强度，提高劳动生产率。</w:t>
      </w:r>
    </w:p>
    <w:p w:rsidR="004E3021" w:rsidRDefault="00606E48">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）车间内设备之间对于液体物料，根据其特性选用屏蔽泵、隔膜泵、磁力泵等</w:t>
      </w:r>
      <w:r>
        <w:rPr>
          <w:rFonts w:hint="eastAsia"/>
          <w:color w:val="000000" w:themeColor="text1"/>
        </w:rPr>
        <w:t xml:space="preserve"> </w:t>
      </w:r>
      <w:r>
        <w:rPr>
          <w:color w:val="000000" w:themeColor="text1"/>
        </w:rPr>
        <w:t xml:space="preserve">                 </w:t>
      </w:r>
    </w:p>
    <w:p w:rsidR="004E3021" w:rsidRDefault="00606E48">
      <w:pPr>
        <w:ind w:firstLineChars="0" w:firstLine="0"/>
        <w:rPr>
          <w:color w:val="000000" w:themeColor="text1"/>
        </w:rPr>
      </w:pPr>
      <w:r>
        <w:rPr>
          <w:rFonts w:hint="eastAsia"/>
          <w:color w:val="000000" w:themeColor="text1"/>
        </w:rPr>
        <w:t>粉状的物料，尽量采取正压脉冲方式（氮气保护）来进行输送，万一遇到特定原物料因特殊原因需要使用压缩空气、真空抽吸等方式输送易燃及有毒、有害化工物料时，应对放空尾气进行统一收集、处理；投料和出料均应设密封装置或设置密闭区域，不能实现密闭的应采用负压排气并收集至尾气处理系统处理。反应釜内采用惰性气体保护，尽可能考虑采用底部给料或使用浸入管给料，特殊原因需要从反应釜顶部添加液体料液时应尽量采用导管贴壁给料。生产过程中的取样监控，采用正压输送或者循环泵支管取样的方式解决，杜绝开启反应釜的方式进行取样。</w:t>
      </w:r>
    </w:p>
    <w:p w:rsidR="004E3021" w:rsidRDefault="00606E48">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优先采用效率较高的换热设备，对于低沸点溶剂采用低温冷冻介质（如冷冻盐水等冷媒）等进行深度冷凝，冷凝后的不凝性尾气收集后需进一步净化处理。如因工艺需要采用喷射真空泵或水环真空泵，应采用配备冷却系统的水槽作为循环液，保证体系的真空度及减少无组织气体的挥发排放。</w:t>
      </w:r>
    </w:p>
    <w:p w:rsidR="004E3021" w:rsidRDefault="00606E48">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）生产储运的设备与管线组件、工艺排气、废气管道、废水处理管线、化学品贮存等应建立泄漏检测与修复（</w:t>
      </w:r>
      <w:r>
        <w:rPr>
          <w:rFonts w:hint="eastAsia"/>
          <w:color w:val="000000" w:themeColor="text1"/>
        </w:rPr>
        <w:t>LDAR</w:t>
      </w:r>
      <w:r>
        <w:rPr>
          <w:rFonts w:hint="eastAsia"/>
          <w:color w:val="000000" w:themeColor="text1"/>
        </w:rPr>
        <w:t>）体系，对压缩机、泵、阀门、法兰等易泄漏设备及管线组件在选择时充分考虑工作状况，选择耐腐蚀的材质，并定期检测、及时修复。严格控制跑、冒、滴、漏的情况发生。</w:t>
      </w:r>
    </w:p>
    <w:p w:rsidR="004E3021" w:rsidRDefault="00606E48">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）过程控制中采取一定的节水措施，实现了节水目标。</w:t>
      </w:r>
    </w:p>
    <w:p w:rsidR="004E3021" w:rsidRDefault="00606E48">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）本项目自控系统遵循“经济合理、技术先进、运行可靠、操作方便”的原则，根据工艺装置的生产规模，流程特点及工艺操作要求，对生产过程中的温度、压力、流</w:t>
      </w:r>
      <w:r>
        <w:rPr>
          <w:rFonts w:hint="eastAsia"/>
          <w:color w:val="000000" w:themeColor="text1"/>
        </w:rPr>
        <w:lastRenderedPageBreak/>
        <w:t>量等各种主要参数，按技术工艺要求进行集中控制。本项目工程生产过程中，针对危险工艺全部采用</w:t>
      </w:r>
      <w:r>
        <w:rPr>
          <w:rFonts w:hint="eastAsia"/>
          <w:color w:val="000000" w:themeColor="text1"/>
        </w:rPr>
        <w:t>DCS</w:t>
      </w:r>
      <w:r>
        <w:rPr>
          <w:rFonts w:hint="eastAsia"/>
          <w:color w:val="000000" w:themeColor="text1"/>
        </w:rPr>
        <w:t>自动控制系统，主要工艺参数集中在控制室进行显示、记录和调节。同时本项目将能源消耗的计量数据通过远程计量仪表的信息引入控制系统，这样，不仅保证生产装置安全可靠地运行，又可将能源消耗情况及时与生产挂钩，从而有效地对生产过程进行控制和管理。</w:t>
      </w:r>
    </w:p>
    <w:p w:rsidR="004E3021" w:rsidRDefault="00606E48">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）本项目设置单独的投料间，投料间封闭，物料用隔膜泵（用泵）通过密闭管道泵至投料釜，最大程度降低物料的无组织挥发，提高物料的利用效率，减少污染物排放。</w:t>
      </w:r>
    </w:p>
    <w:p w:rsidR="004E3021" w:rsidRDefault="00606E48">
      <w:pPr>
        <w:pStyle w:val="afffffffffffffffff4"/>
      </w:pPr>
      <w:bookmarkStart w:id="253" w:name="_Toc108662616"/>
      <w:bookmarkStart w:id="254" w:name="_Toc221088768"/>
      <w:bookmarkStart w:id="255" w:name="_Toc221500983"/>
      <w:r>
        <w:rPr>
          <w:rFonts w:hint="eastAsia"/>
        </w:rPr>
        <w:t>3.</w:t>
      </w:r>
      <w:r w:rsidR="00D054BE">
        <w:t>6</w:t>
      </w:r>
      <w:r>
        <w:rPr>
          <w:rFonts w:hint="eastAsia"/>
        </w:rPr>
        <w:t>.4</w:t>
      </w:r>
      <w:r>
        <w:rPr>
          <w:rFonts w:hint="eastAsia"/>
        </w:rPr>
        <w:t>节能</w:t>
      </w:r>
      <w:r>
        <w:t>措施</w:t>
      </w:r>
      <w:bookmarkEnd w:id="253"/>
      <w:bookmarkEnd w:id="254"/>
      <w:bookmarkEnd w:id="255"/>
    </w:p>
    <w:p w:rsidR="004E3021" w:rsidRDefault="00606E48">
      <w:pPr>
        <w:ind w:firstLine="480"/>
      </w:pPr>
      <w:r>
        <w:rPr>
          <w:rFonts w:hint="eastAsia"/>
        </w:rPr>
        <w:t>（</w:t>
      </w:r>
      <w:r>
        <w:rPr>
          <w:rFonts w:hint="eastAsia"/>
        </w:rPr>
        <w:t>1</w:t>
      </w:r>
      <w:r>
        <w:rPr>
          <w:rFonts w:hint="eastAsia"/>
        </w:rPr>
        <w:t>）本项目各类机电产品均选用国家推荐的节能型品种，部分关键的工艺控制点使用先进的仪器仪表控制，强化生产过程中的自控水平，提高收率，减少能耗，尽可能做到合理利用和节约能耗，严格控制跑、冒、滴、漏，最大限度地减少物耗、能耗。</w:t>
      </w:r>
    </w:p>
    <w:p w:rsidR="004E3021" w:rsidRDefault="00606E48">
      <w:pPr>
        <w:ind w:firstLine="480"/>
      </w:pPr>
      <w:r>
        <w:rPr>
          <w:rFonts w:hint="eastAsia"/>
        </w:rPr>
        <w:t>（</w:t>
      </w:r>
      <w:r>
        <w:rPr>
          <w:rFonts w:hint="eastAsia"/>
        </w:rPr>
        <w:t>2</w:t>
      </w:r>
      <w:r>
        <w:rPr>
          <w:rFonts w:hint="eastAsia"/>
        </w:rPr>
        <w:t>）对冷、热管网系统采用先进的保温技术和保温材料进行保温、保冷，减少系统在输送过程中的损失，降低能源消耗。</w:t>
      </w:r>
    </w:p>
    <w:p w:rsidR="004E3021" w:rsidRDefault="00606E48">
      <w:pPr>
        <w:ind w:firstLine="480"/>
      </w:pPr>
      <w:r>
        <w:rPr>
          <w:rFonts w:hint="eastAsia"/>
        </w:rPr>
        <w:t>（</w:t>
      </w:r>
      <w:r>
        <w:rPr>
          <w:rFonts w:hint="eastAsia"/>
        </w:rPr>
        <w:t>3</w:t>
      </w:r>
      <w:r>
        <w:rPr>
          <w:rFonts w:hint="eastAsia"/>
        </w:rPr>
        <w:t>）加强物料回收和循环利用，提高回收率，减少了物料的消耗量和污染物排放量，降低对区域大气环境影响。</w:t>
      </w:r>
    </w:p>
    <w:p w:rsidR="004E3021" w:rsidRDefault="00606E48">
      <w:pPr>
        <w:pStyle w:val="afffffffffffffffff4"/>
      </w:pPr>
      <w:bookmarkStart w:id="256" w:name="_Toc108662617"/>
      <w:bookmarkStart w:id="257" w:name="_Toc221088769"/>
      <w:bookmarkStart w:id="258" w:name="_Toc221500984"/>
      <w:r>
        <w:rPr>
          <w:rFonts w:hint="eastAsia"/>
        </w:rPr>
        <w:t>3.</w:t>
      </w:r>
      <w:r w:rsidR="00D054BE">
        <w:t>6</w:t>
      </w:r>
      <w:r>
        <w:rPr>
          <w:rFonts w:hint="eastAsia"/>
        </w:rPr>
        <w:t>.5</w:t>
      </w:r>
      <w:r>
        <w:rPr>
          <w:rFonts w:hint="eastAsia"/>
        </w:rPr>
        <w:t>有毒有害物质的控制及溶剂的循环利用</w:t>
      </w:r>
      <w:bookmarkEnd w:id="256"/>
      <w:bookmarkEnd w:id="257"/>
      <w:bookmarkEnd w:id="258"/>
    </w:p>
    <w:p w:rsidR="004E3021" w:rsidRDefault="00606E48">
      <w:pPr>
        <w:ind w:firstLine="480"/>
      </w:pPr>
      <w:r>
        <w:rPr>
          <w:rFonts w:hint="eastAsia"/>
        </w:rPr>
        <w:t>本项目使用溶剂，在生产工程中最大程度的进行套用，尤其是对于有毒有害物质，在生产过程中进行回收利用，例如甲醇，生产过程中回收套用率达到</w:t>
      </w:r>
      <w:r>
        <w:rPr>
          <w:rFonts w:hint="eastAsia"/>
        </w:rPr>
        <w:t>9</w:t>
      </w:r>
      <w:r>
        <w:t>0</w:t>
      </w:r>
      <w:r>
        <w:rPr>
          <w:rFonts w:hint="eastAsia"/>
        </w:rPr>
        <w:t>%</w:t>
      </w:r>
      <w:r>
        <w:rPr>
          <w:rFonts w:hint="eastAsia"/>
        </w:rPr>
        <w:t>以上，最大程度减少有毒有害物质的消耗量。本项目冷凝过程中采用两级冷凝，并且采用盐水作为冷凝介质，可以提高冷凝效率。</w:t>
      </w:r>
    </w:p>
    <w:p w:rsidR="004E3021" w:rsidRDefault="00606E48">
      <w:pPr>
        <w:pStyle w:val="afffffffffffffffff4"/>
      </w:pPr>
      <w:bookmarkStart w:id="259" w:name="_Toc108662618"/>
      <w:bookmarkStart w:id="260" w:name="_Toc221088770"/>
      <w:bookmarkStart w:id="261" w:name="_Toc221500985"/>
      <w:r>
        <w:rPr>
          <w:rFonts w:hint="eastAsia"/>
        </w:rPr>
        <w:t>3.</w:t>
      </w:r>
      <w:r w:rsidR="00D054BE">
        <w:t>6</w:t>
      </w:r>
      <w:r>
        <w:rPr>
          <w:rFonts w:hint="eastAsia"/>
        </w:rPr>
        <w:t>.6</w:t>
      </w:r>
      <w:r>
        <w:rPr>
          <w:rFonts w:hint="eastAsia"/>
        </w:rPr>
        <w:t>环境</w:t>
      </w:r>
      <w:r>
        <w:t>管理</w:t>
      </w:r>
      <w:bookmarkEnd w:id="259"/>
      <w:bookmarkEnd w:id="260"/>
      <w:bookmarkEnd w:id="261"/>
    </w:p>
    <w:p w:rsidR="004E3021" w:rsidRDefault="00606E48">
      <w:pPr>
        <w:ind w:firstLine="480"/>
      </w:pPr>
      <w:r>
        <w:rPr>
          <w:rFonts w:hint="eastAsia"/>
        </w:rPr>
        <w:t>本项目设置专门的安环科负责日常的环境、安全管理工作，建立了生产、环保管理台账，建立环保档案室，制定了完整的环保管理规章制度，有完善的日常环境管理监测计划，环境管理较规范。</w:t>
      </w:r>
    </w:p>
    <w:p w:rsidR="004E3021" w:rsidRDefault="00606E48">
      <w:pPr>
        <w:ind w:firstLine="480"/>
      </w:pPr>
      <w:r>
        <w:rPr>
          <w:rFonts w:hint="eastAsia"/>
        </w:rPr>
        <w:t>综上所述，本项目采用的生产工艺体现了清洁生产理念，工艺过程及路线处于国内领先水平。</w:t>
      </w:r>
    </w:p>
    <w:p w:rsidR="004E3021" w:rsidRDefault="004E3021">
      <w:pPr>
        <w:ind w:firstLine="480"/>
      </w:pPr>
    </w:p>
    <w:p w:rsidR="004E3021" w:rsidRDefault="004E3021">
      <w:pPr>
        <w:ind w:firstLine="480"/>
      </w:pPr>
    </w:p>
    <w:p w:rsidR="004E3021" w:rsidRDefault="004E3021">
      <w:pPr>
        <w:ind w:firstLine="480"/>
        <w:rPr>
          <w:color w:val="FF0000"/>
        </w:rPr>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rPr>
          <w:bCs/>
        </w:rPr>
      </w:pPr>
    </w:p>
    <w:p w:rsidR="004E3021" w:rsidRDefault="004E3021">
      <w:pPr>
        <w:ind w:firstLine="480"/>
        <w:rPr>
          <w:bCs/>
          <w:color w:val="FF0000"/>
        </w:rPr>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sectPr w:rsidR="004E3021">
          <w:pgSz w:w="11906" w:h="16838"/>
          <w:pgMar w:top="1440" w:right="1440" w:bottom="1440" w:left="1440" w:header="851" w:footer="992" w:gutter="0"/>
          <w:cols w:space="425"/>
          <w:docGrid w:type="lines" w:linePitch="326"/>
        </w:sectPr>
      </w:pPr>
    </w:p>
    <w:p w:rsidR="004E3021" w:rsidRDefault="00606E48">
      <w:pPr>
        <w:pStyle w:val="afffffffffffffffff2"/>
      </w:pPr>
      <w:bookmarkStart w:id="262" w:name="_Toc221500986"/>
      <w:r>
        <w:rPr>
          <w:rFonts w:hint="eastAsia"/>
        </w:rPr>
        <w:lastRenderedPageBreak/>
        <w:t>4</w:t>
      </w:r>
      <w:r>
        <w:rPr>
          <w:rFonts w:hint="eastAsia"/>
        </w:rPr>
        <w:t>、</w:t>
      </w:r>
      <w:r>
        <w:t>环境现状调查与评价</w:t>
      </w:r>
      <w:bookmarkEnd w:id="262"/>
    </w:p>
    <w:p w:rsidR="004E3021" w:rsidRDefault="00606E48">
      <w:pPr>
        <w:pStyle w:val="afffffffffffffffff3"/>
      </w:pPr>
      <w:bookmarkStart w:id="263" w:name="_Toc221500987"/>
      <w:r>
        <w:rPr>
          <w:rFonts w:hint="eastAsia"/>
        </w:rPr>
        <w:t>4</w:t>
      </w:r>
      <w:r>
        <w:t>.1</w:t>
      </w:r>
      <w:r>
        <w:t>自然环境概况</w:t>
      </w:r>
      <w:bookmarkEnd w:id="263"/>
    </w:p>
    <w:p w:rsidR="004E3021" w:rsidRDefault="00606E48">
      <w:pPr>
        <w:pStyle w:val="afffffffffffffffff4"/>
      </w:pPr>
      <w:bookmarkStart w:id="264" w:name="_Toc101135844"/>
      <w:bookmarkStart w:id="265" w:name="_Toc100784012"/>
      <w:bookmarkStart w:id="266" w:name="_Toc108662621"/>
      <w:bookmarkStart w:id="267" w:name="_Toc221088773"/>
      <w:bookmarkStart w:id="268" w:name="_Toc221500988"/>
      <w:r>
        <w:rPr>
          <w:rFonts w:hint="eastAsia"/>
        </w:rPr>
        <w:t>4</w:t>
      </w:r>
      <w:r>
        <w:t>.1.1</w:t>
      </w:r>
      <w:r>
        <w:rPr>
          <w:rFonts w:ascii="黑体" w:hAnsi="黑体"/>
        </w:rPr>
        <w:t>地理位置</w:t>
      </w:r>
      <w:bookmarkEnd w:id="264"/>
      <w:bookmarkEnd w:id="265"/>
      <w:bookmarkEnd w:id="266"/>
      <w:bookmarkEnd w:id="267"/>
      <w:bookmarkEnd w:id="268"/>
    </w:p>
    <w:p w:rsidR="004E3021" w:rsidRDefault="00606E48">
      <w:pPr>
        <w:ind w:firstLine="480"/>
      </w:pPr>
      <w:r>
        <w:rPr>
          <w:rFonts w:ascii="宋体" w:hAnsi="宋体" w:hint="eastAsia"/>
        </w:rPr>
        <w:t>蚌埠市处于安徽省北部，津浦线与淮河交汇处，位于东经</w:t>
      </w:r>
      <w:r>
        <w:t>117</w:t>
      </w:r>
      <w:r>
        <w:rPr>
          <w:vertAlign w:val="superscript"/>
        </w:rPr>
        <w:t>o</w:t>
      </w:r>
      <w:r>
        <w:t>11′</w:t>
      </w:r>
      <w:r>
        <w:rPr>
          <w:rFonts w:ascii="宋体" w:hAnsi="宋体" w:hint="eastAsia"/>
        </w:rPr>
        <w:t>至</w:t>
      </w:r>
      <w:r>
        <w:t>117</w:t>
      </w:r>
      <w:r>
        <w:rPr>
          <w:vertAlign w:val="superscript"/>
        </w:rPr>
        <w:t xml:space="preserve"> o</w:t>
      </w:r>
      <w:r>
        <w:t>31′</w:t>
      </w:r>
      <w:r>
        <w:rPr>
          <w:rFonts w:ascii="宋体" w:hAnsi="宋体" w:hint="eastAsia"/>
        </w:rPr>
        <w:t>，北纬</w:t>
      </w:r>
      <w:r>
        <w:t>32</w:t>
      </w:r>
      <w:r>
        <w:rPr>
          <w:vertAlign w:val="superscript"/>
        </w:rPr>
        <w:t>o</w:t>
      </w:r>
      <w:r>
        <w:t>49′</w:t>
      </w:r>
      <w:r>
        <w:rPr>
          <w:rFonts w:ascii="宋体" w:hAnsi="宋体" w:hint="eastAsia"/>
        </w:rPr>
        <w:t>至</w:t>
      </w:r>
      <w:r>
        <w:t>33</w:t>
      </w:r>
      <w:r>
        <w:rPr>
          <w:vertAlign w:val="superscript"/>
        </w:rPr>
        <w:t>o</w:t>
      </w:r>
      <w:r>
        <w:t>01′</w:t>
      </w:r>
      <w:r>
        <w:rPr>
          <w:rFonts w:ascii="宋体" w:hAnsi="宋体" w:hint="eastAsia"/>
        </w:rPr>
        <w:t>，东西长</w:t>
      </w:r>
      <w:r>
        <w:t>32.3</w:t>
      </w:r>
      <w:r>
        <w:rPr>
          <w:rFonts w:ascii="宋体" w:hAnsi="宋体" w:hint="eastAsia"/>
        </w:rPr>
        <w:t>公里，南北宽</w:t>
      </w:r>
      <w:r>
        <w:t>23.5</w:t>
      </w:r>
      <w:r>
        <w:rPr>
          <w:rFonts w:ascii="宋体" w:hAnsi="宋体" w:hint="eastAsia"/>
        </w:rPr>
        <w:t>公里，市区面积</w:t>
      </w:r>
      <w:r>
        <w:t>455.4</w:t>
      </w:r>
      <w:r>
        <w:rPr>
          <w:rFonts w:ascii="宋体" w:hAnsi="宋体" w:hint="eastAsia"/>
        </w:rPr>
        <w:t>平方公里，城市北为市辖怀远县，东北为市辖五河县，东部和南部为滁县地区凤阳县，西部为市辖怀远县，淮河干流自西向东贯通城区，其北岸为</w:t>
      </w:r>
      <w:r>
        <w:t>54.56</w:t>
      </w:r>
      <w:r>
        <w:rPr>
          <w:rFonts w:ascii="宋体" w:hAnsi="宋体" w:hint="eastAsia"/>
        </w:rPr>
        <w:t>平方公里，南岸为</w:t>
      </w:r>
      <w:r>
        <w:t>360.84</w:t>
      </w:r>
      <w:r>
        <w:rPr>
          <w:rFonts w:ascii="宋体" w:hAnsi="宋体" w:hint="eastAsia"/>
        </w:rPr>
        <w:t>平方公里。蚌埠因曾盛产珠而得名，被誉为“淮上明珠”，素有“珍珠城”的誉称。</w:t>
      </w:r>
    </w:p>
    <w:p w:rsidR="004E3021" w:rsidRDefault="00606E48">
      <w:pPr>
        <w:ind w:firstLine="480"/>
        <w:rPr>
          <w:rFonts w:ascii="宋体" w:hAnsi="宋体"/>
        </w:rPr>
      </w:pPr>
      <w:r>
        <w:rPr>
          <w:rFonts w:ascii="宋体" w:hAnsi="宋体" w:hint="eastAsia"/>
        </w:rPr>
        <w:t>本项目位于安徽蚌埠淮上区</w:t>
      </w:r>
      <w:r>
        <w:rPr>
          <w:rFonts w:hint="eastAsia"/>
        </w:rPr>
        <w:t>蚌埠精细化工</w:t>
      </w:r>
      <w:r>
        <w:t>高新技术产业基地</w:t>
      </w:r>
      <w:r>
        <w:rPr>
          <w:rFonts w:ascii="宋体" w:hAnsi="宋体" w:hint="eastAsia"/>
        </w:rPr>
        <w:t>。</w:t>
      </w:r>
    </w:p>
    <w:p w:rsidR="00C23EB8" w:rsidRDefault="005E413B" w:rsidP="00C23EB8">
      <w:pPr>
        <w:ind w:firstLineChars="0" w:firstLine="0"/>
        <w:rPr>
          <w:rFonts w:ascii="宋体" w:hAnsi="宋体"/>
        </w:rPr>
      </w:pPr>
      <w:r>
        <w:rPr>
          <w:rFonts w:ascii="宋体" w:hAnsi="宋体"/>
        </w:rPr>
        <w:pict>
          <v:shape id="_x0000_i1030" type="#_x0000_t75" style="width:450pt;height:318pt">
            <v:imagedata r:id="rId30" o:title="项目地理位置图"/>
          </v:shape>
        </w:pict>
      </w:r>
    </w:p>
    <w:p w:rsidR="00C23EB8" w:rsidRPr="00C23EB8" w:rsidRDefault="00C23EB8" w:rsidP="00C23EB8">
      <w:pPr>
        <w:spacing w:line="500" w:lineRule="exact"/>
        <w:ind w:firstLineChars="0" w:firstLine="0"/>
        <w:jc w:val="center"/>
        <w:rPr>
          <w:rFonts w:eastAsia="黑体"/>
        </w:rPr>
      </w:pPr>
      <w:r w:rsidRPr="00C23EB8">
        <w:rPr>
          <w:rFonts w:eastAsia="黑体"/>
        </w:rPr>
        <w:t>图</w:t>
      </w:r>
      <w:r w:rsidRPr="00C23EB8">
        <w:rPr>
          <w:rFonts w:eastAsia="黑体"/>
        </w:rPr>
        <w:t xml:space="preserve">4.1.1-1  </w:t>
      </w:r>
      <w:r w:rsidRPr="00C23EB8">
        <w:rPr>
          <w:rFonts w:eastAsia="黑体" w:hint="eastAsia"/>
        </w:rPr>
        <w:t>本项目地理位置图</w:t>
      </w:r>
    </w:p>
    <w:p w:rsidR="004E3021" w:rsidRDefault="00606E48">
      <w:pPr>
        <w:pStyle w:val="afffffffffffffffff4"/>
      </w:pPr>
      <w:bookmarkStart w:id="269" w:name="_Toc100784013"/>
      <w:bookmarkStart w:id="270" w:name="_Toc101135845"/>
      <w:bookmarkStart w:id="271" w:name="_Toc108662622"/>
      <w:bookmarkStart w:id="272" w:name="_Toc221088774"/>
      <w:bookmarkStart w:id="273" w:name="_Toc221500989"/>
      <w:r>
        <w:rPr>
          <w:rFonts w:hint="eastAsia"/>
        </w:rPr>
        <w:lastRenderedPageBreak/>
        <w:t>4</w:t>
      </w:r>
      <w:r>
        <w:t>.1.2</w:t>
      </w:r>
      <w:r>
        <w:rPr>
          <w:rFonts w:ascii="黑体" w:hAnsi="黑体"/>
        </w:rPr>
        <w:t>地形地貌</w:t>
      </w:r>
      <w:bookmarkEnd w:id="269"/>
      <w:bookmarkEnd w:id="270"/>
      <w:bookmarkEnd w:id="271"/>
      <w:bookmarkEnd w:id="272"/>
      <w:bookmarkEnd w:id="273"/>
    </w:p>
    <w:p w:rsidR="004E3021" w:rsidRDefault="00606E48">
      <w:pPr>
        <w:ind w:firstLine="480"/>
      </w:pPr>
      <w:r>
        <w:rPr>
          <w:rFonts w:ascii="宋体" w:hAnsi="宋体" w:hint="eastAsia"/>
        </w:rPr>
        <w:t>蚌埠市位于安徽省北部，北纬</w:t>
      </w:r>
      <w:r>
        <w:t>32°43′</w:t>
      </w:r>
      <w:r>
        <w:rPr>
          <w:rFonts w:ascii="宋体" w:hAnsi="宋体" w:hint="eastAsia"/>
        </w:rPr>
        <w:t>至</w:t>
      </w:r>
      <w:r>
        <w:t>33°30′</w:t>
      </w:r>
      <w:r>
        <w:rPr>
          <w:rFonts w:ascii="宋体" w:hAnsi="宋体" w:hint="eastAsia"/>
        </w:rPr>
        <w:t>，东经</w:t>
      </w:r>
      <w:r>
        <w:t>116°45′</w:t>
      </w:r>
      <w:r>
        <w:rPr>
          <w:rFonts w:ascii="宋体" w:hAnsi="宋体" w:hint="eastAsia"/>
        </w:rPr>
        <w:t>至</w:t>
      </w:r>
      <w:r>
        <w:t>118°04′</w:t>
      </w:r>
      <w:r>
        <w:rPr>
          <w:rFonts w:ascii="宋体" w:hAnsi="宋体" w:hint="eastAsia"/>
        </w:rPr>
        <w:t>，北与宿州市、濉溪县、灵璧县、泗县接壤，南与淮南市、凤阳县相连，东与明光市和江苏省泗洪县毗邻，西与蒙城县、凤台县搭界。津浦铁路从境区中部纵贯南北，淮河自西向东流过境南，辖区大部分处于淮北平原南端。蚌埠市区位于北纬</w:t>
      </w:r>
      <w:r>
        <w:t>33°01′</w:t>
      </w:r>
      <w:r>
        <w:rPr>
          <w:rFonts w:ascii="宋体" w:hAnsi="宋体" w:hint="eastAsia"/>
        </w:rPr>
        <w:t>至</w:t>
      </w:r>
      <w:r>
        <w:t>32°49′</w:t>
      </w:r>
      <w:r>
        <w:rPr>
          <w:rFonts w:ascii="宋体" w:hAnsi="宋体" w:hint="eastAsia"/>
        </w:rPr>
        <w:t>，东经</w:t>
      </w:r>
      <w:r>
        <w:t>117°31′</w:t>
      </w:r>
      <w:r>
        <w:rPr>
          <w:rFonts w:ascii="宋体" w:hAnsi="宋体" w:hint="eastAsia"/>
        </w:rPr>
        <w:t>至</w:t>
      </w:r>
      <w:r>
        <w:t>117°11′</w:t>
      </w:r>
      <w:r>
        <w:rPr>
          <w:rFonts w:ascii="宋体" w:hAnsi="宋体" w:hint="eastAsia"/>
        </w:rPr>
        <w:t>，北部与固镇县、五河县交界，东部、南部与凤阳县毗邻，西部与怀远县相连。</w:t>
      </w:r>
    </w:p>
    <w:p w:rsidR="004E3021" w:rsidRDefault="00606E48">
      <w:pPr>
        <w:ind w:firstLine="480"/>
      </w:pPr>
      <w:r>
        <w:rPr>
          <w:rFonts w:ascii="宋体" w:hAnsi="宋体" w:hint="eastAsia"/>
        </w:rPr>
        <w:t>全市地形以平原为主，山丘相对集中，河沟纵横，湖泊散落。淮河以北为平原地区，约占全市面积的</w:t>
      </w:r>
      <w:r>
        <w:t>86%</w:t>
      </w:r>
      <w:r>
        <w:rPr>
          <w:rFonts w:ascii="宋体" w:hAnsi="宋体" w:hint="eastAsia"/>
        </w:rPr>
        <w:t>。地势呈西北高东南低，西部最高地面高程在涡芡之间西部为</w:t>
      </w:r>
      <w:r>
        <w:t>24</w:t>
      </w:r>
      <w:r>
        <w:rPr>
          <w:rFonts w:ascii="宋体" w:hAnsi="宋体" w:hint="eastAsia"/>
        </w:rPr>
        <w:t>米，最低地面高程在老潼河附近为</w:t>
      </w:r>
      <w:r>
        <w:t>14</w:t>
      </w:r>
      <w:r>
        <w:rPr>
          <w:rFonts w:ascii="宋体" w:hAnsi="宋体" w:hint="eastAsia"/>
        </w:rPr>
        <w:t>米，东西高差</w:t>
      </w:r>
      <w:r>
        <w:t>10</w:t>
      </w:r>
      <w:r>
        <w:rPr>
          <w:rFonts w:ascii="宋体" w:hAnsi="宋体" w:hint="eastAsia"/>
        </w:rPr>
        <w:t>米；北部沱浍之间任桥附近最高地面高程为</w:t>
      </w:r>
      <w:r>
        <w:t>22.0</w:t>
      </w:r>
      <w:r>
        <w:rPr>
          <w:rFonts w:ascii="宋体" w:hAnsi="宋体" w:hint="eastAsia"/>
        </w:rPr>
        <w:t>米，南部北淝河下游地面高程最低为</w:t>
      </w:r>
      <w:r>
        <w:t>14</w:t>
      </w:r>
      <w:r>
        <w:rPr>
          <w:rFonts w:ascii="宋体" w:hAnsi="宋体" w:hint="eastAsia"/>
        </w:rPr>
        <w:t>米，南北高差</w:t>
      </w:r>
      <w:r>
        <w:t>8</w:t>
      </w:r>
      <w:r>
        <w:rPr>
          <w:rFonts w:ascii="宋体" w:hAnsi="宋体" w:hint="eastAsia"/>
        </w:rPr>
        <w:t>米。淮河以南地形为有湖洼间隔的不连续山丘高地，约占全市面积的</w:t>
      </w:r>
      <w:r>
        <w:t>14%</w:t>
      </w:r>
      <w:r>
        <w:rPr>
          <w:rFonts w:ascii="宋体" w:hAnsi="宋体" w:hint="eastAsia"/>
        </w:rPr>
        <w:t>。蚌埠地处江淮腹地丘陵地区，由西向东的江淮分水岭贯穿该市，形成低缓的鱼背形地势。项目范围内的地形基本为岗冲起伏的丘陵荒地，高程在</w:t>
      </w:r>
      <w:r>
        <w:t>23.06</w:t>
      </w:r>
      <w:r>
        <w:rPr>
          <w:rFonts w:ascii="宋体" w:hAnsi="宋体" w:hint="eastAsia"/>
        </w:rPr>
        <w:t>米～</w:t>
      </w:r>
      <w:r>
        <w:t>49.54</w:t>
      </w:r>
      <w:r>
        <w:rPr>
          <w:rFonts w:ascii="宋体" w:hAnsi="宋体" w:hint="eastAsia"/>
        </w:rPr>
        <w:t>米之间，整个地形呈东高西低。项目范围内扩建场地地面高程范围在</w:t>
      </w:r>
      <w:r>
        <w:t>15.4</w:t>
      </w:r>
      <w:r>
        <w:rPr>
          <w:rFonts w:ascii="宋体" w:hAnsi="宋体" w:hint="eastAsia"/>
        </w:rPr>
        <w:t>～</w:t>
      </w:r>
      <w:r>
        <w:t>30.6m</w:t>
      </w:r>
      <w:r>
        <w:rPr>
          <w:rFonts w:ascii="宋体" w:hAnsi="宋体" w:hint="eastAsia"/>
        </w:rPr>
        <w:t>之间。</w:t>
      </w:r>
    </w:p>
    <w:p w:rsidR="004E3021" w:rsidRDefault="00606E48">
      <w:pPr>
        <w:pStyle w:val="afffffffffffffffff4"/>
      </w:pPr>
      <w:bookmarkStart w:id="274" w:name="_Toc100784014"/>
      <w:bookmarkStart w:id="275" w:name="_Toc108662623"/>
      <w:bookmarkStart w:id="276" w:name="_Toc101135846"/>
      <w:bookmarkStart w:id="277" w:name="_Toc221088775"/>
      <w:bookmarkStart w:id="278" w:name="_Toc221500990"/>
      <w:r>
        <w:rPr>
          <w:rFonts w:hint="eastAsia"/>
        </w:rPr>
        <w:t>4</w:t>
      </w:r>
      <w:r>
        <w:t>.1.3</w:t>
      </w:r>
      <w:r>
        <w:rPr>
          <w:rFonts w:ascii="黑体" w:hAnsi="黑体"/>
        </w:rPr>
        <w:t>气候气象</w:t>
      </w:r>
      <w:bookmarkEnd w:id="274"/>
      <w:bookmarkEnd w:id="275"/>
      <w:bookmarkEnd w:id="276"/>
      <w:bookmarkEnd w:id="277"/>
      <w:bookmarkEnd w:id="278"/>
    </w:p>
    <w:p w:rsidR="00E15DA3" w:rsidRDefault="00E15DA3" w:rsidP="00E15DA3">
      <w:pPr>
        <w:widowControl/>
        <w:ind w:firstLine="480"/>
        <w:jc w:val="left"/>
      </w:pPr>
      <w:bookmarkStart w:id="279" w:name="_Toc101135847"/>
      <w:bookmarkStart w:id="280" w:name="_Toc108662624"/>
      <w:bookmarkStart w:id="281" w:name="_Toc100784015"/>
      <w:r>
        <w:rPr>
          <w:rFonts w:ascii="宋体" w:hAnsi="宋体" w:hint="eastAsia"/>
          <w:color w:val="000000"/>
          <w:kern w:val="0"/>
        </w:rPr>
        <w:t>蚌埠市地处淮河流域，四季分明，气候湿润，处于秦岭一一淮河天然气候分界线上，属亚热带湿润季风气候区，向温暖带半湿润季风气候区的过渡带，兼有两气候带的特点：季风显著，年均冷暖气团活动交锋频繁变化大，域内风向有明显的季节性变化，全年以</w:t>
      </w:r>
      <w:r>
        <w:rPr>
          <w:color w:val="000000"/>
          <w:kern w:val="0"/>
        </w:rPr>
        <w:t>E</w:t>
      </w:r>
      <w:r>
        <w:rPr>
          <w:rFonts w:ascii="宋体" w:hAnsi="宋体" w:hint="eastAsia"/>
          <w:color w:val="000000"/>
          <w:kern w:val="0"/>
        </w:rPr>
        <w:t>风为主，其次是</w:t>
      </w:r>
      <w:r>
        <w:rPr>
          <w:color w:val="000000"/>
          <w:kern w:val="0"/>
        </w:rPr>
        <w:t>ENE</w:t>
      </w:r>
      <w:r>
        <w:rPr>
          <w:rFonts w:ascii="宋体" w:hAnsi="宋体" w:hint="eastAsia"/>
          <w:color w:val="000000"/>
          <w:kern w:val="0"/>
        </w:rPr>
        <w:t>风，全年平均风速</w:t>
      </w:r>
      <w:r>
        <w:rPr>
          <w:color w:val="000000"/>
          <w:kern w:val="0"/>
        </w:rPr>
        <w:t>2.45m/s</w:t>
      </w:r>
      <w:r>
        <w:rPr>
          <w:rFonts w:ascii="宋体" w:hAnsi="宋体" w:hint="eastAsia"/>
          <w:color w:val="000000"/>
          <w:kern w:val="0"/>
        </w:rPr>
        <w:t>；四季分明，年平均气温</w:t>
      </w:r>
      <w:r>
        <w:rPr>
          <w:color w:val="000000"/>
          <w:kern w:val="0"/>
        </w:rPr>
        <w:t>15.37</w:t>
      </w:r>
      <w:r>
        <w:rPr>
          <w:rFonts w:ascii="宋体" w:hAnsi="宋体" w:hint="eastAsia"/>
          <w:color w:val="000000"/>
          <w:kern w:val="0"/>
        </w:rPr>
        <w:t>℃，</w:t>
      </w:r>
      <w:r>
        <w:rPr>
          <w:color w:val="000000"/>
          <w:kern w:val="0"/>
        </w:rPr>
        <w:t>1</w:t>
      </w:r>
      <w:r>
        <w:rPr>
          <w:rFonts w:ascii="宋体" w:hAnsi="宋体" w:hint="eastAsia"/>
          <w:color w:val="000000"/>
          <w:kern w:val="0"/>
        </w:rPr>
        <w:t>月份最低，</w:t>
      </w:r>
      <w:r>
        <w:rPr>
          <w:color w:val="000000"/>
          <w:kern w:val="0"/>
        </w:rPr>
        <w:t>7</w:t>
      </w:r>
      <w:r>
        <w:rPr>
          <w:rFonts w:ascii="宋体" w:hAnsi="宋体" w:hint="eastAsia"/>
          <w:color w:val="000000"/>
          <w:kern w:val="0"/>
        </w:rPr>
        <w:t>月份最高，高于淮北和皖西地区，平均降雪日为</w:t>
      </w:r>
      <w:r>
        <w:rPr>
          <w:color w:val="000000"/>
          <w:kern w:val="0"/>
        </w:rPr>
        <w:t>11</w:t>
      </w:r>
      <w:r>
        <w:rPr>
          <w:rFonts w:ascii="宋体" w:hAnsi="宋体" w:hint="eastAsia"/>
          <w:color w:val="000000"/>
          <w:kern w:val="0"/>
        </w:rPr>
        <w:t>天，平均气压</w:t>
      </w:r>
      <w:r>
        <w:rPr>
          <w:color w:val="000000"/>
          <w:kern w:val="0"/>
        </w:rPr>
        <w:t>1014.2</w:t>
      </w:r>
      <w:r>
        <w:rPr>
          <w:rFonts w:ascii="宋体" w:hAnsi="宋体" w:hint="eastAsia"/>
          <w:color w:val="000000"/>
          <w:kern w:val="0"/>
        </w:rPr>
        <w:t>百帕；雨量适中，降水量变化大，年降水量平均在</w:t>
      </w:r>
      <w:r>
        <w:rPr>
          <w:color w:val="000000"/>
          <w:kern w:val="0"/>
        </w:rPr>
        <w:t>905.4m</w:t>
      </w:r>
      <w:r>
        <w:rPr>
          <w:rFonts w:ascii="宋体" w:hAnsi="宋体" w:hint="eastAsia"/>
          <w:color w:val="000000"/>
          <w:kern w:val="0"/>
        </w:rPr>
        <w:t>，平均降水日数为</w:t>
      </w:r>
      <w:r>
        <w:rPr>
          <w:color w:val="000000"/>
          <w:kern w:val="0"/>
        </w:rPr>
        <w:t>105</w:t>
      </w:r>
      <w:r>
        <w:rPr>
          <w:rFonts w:ascii="宋体" w:hAnsi="宋体" w:hint="eastAsia"/>
          <w:color w:val="000000"/>
          <w:kern w:val="0"/>
        </w:rPr>
        <w:t xml:space="preserve">天，多集中在夏季，占全年降水量的 </w:t>
      </w:r>
      <w:r>
        <w:rPr>
          <w:color w:val="000000"/>
          <w:kern w:val="0"/>
        </w:rPr>
        <w:t>50%</w:t>
      </w:r>
      <w:r>
        <w:rPr>
          <w:rFonts w:ascii="宋体" w:hAnsi="宋体" w:hint="eastAsia"/>
          <w:color w:val="000000"/>
          <w:kern w:val="0"/>
        </w:rPr>
        <w:t>左右，梅雨季节在</w:t>
      </w:r>
      <w:r>
        <w:rPr>
          <w:color w:val="000000"/>
          <w:kern w:val="0"/>
        </w:rPr>
        <w:t>6</w:t>
      </w:r>
      <w:r>
        <w:rPr>
          <w:rFonts w:ascii="宋体" w:hAnsi="宋体" w:hint="eastAsia"/>
          <w:color w:val="000000"/>
          <w:kern w:val="0"/>
        </w:rPr>
        <w:t>月下旬至</w:t>
      </w:r>
      <w:r>
        <w:rPr>
          <w:color w:val="000000"/>
          <w:kern w:val="0"/>
        </w:rPr>
        <w:t>7</w:t>
      </w:r>
      <w:r>
        <w:rPr>
          <w:rFonts w:ascii="宋体" w:hAnsi="宋体" w:hint="eastAsia"/>
          <w:color w:val="000000"/>
          <w:kern w:val="0"/>
        </w:rPr>
        <w:t>月下旬，年均降水量</w:t>
      </w:r>
      <w:r>
        <w:rPr>
          <w:color w:val="000000"/>
          <w:kern w:val="0"/>
        </w:rPr>
        <w:t>1195.7</w:t>
      </w:r>
      <w:r>
        <w:rPr>
          <w:rFonts w:ascii="宋体" w:hAnsi="宋体" w:hint="eastAsia"/>
          <w:color w:val="000000"/>
          <w:kern w:val="0"/>
        </w:rPr>
        <w:t>毫米，经常有空梅年份出现；日照丰富，辐射量充足，年辐射总量平均</w:t>
      </w:r>
      <w:r>
        <w:rPr>
          <w:color w:val="000000"/>
          <w:kern w:val="0"/>
        </w:rPr>
        <w:t>119~124</w:t>
      </w:r>
      <w:r>
        <w:rPr>
          <w:rFonts w:ascii="宋体" w:hAnsi="宋体" w:hint="eastAsia"/>
          <w:color w:val="000000"/>
          <w:kern w:val="0"/>
        </w:rPr>
        <w:t>千卡</w:t>
      </w:r>
      <w:r>
        <w:rPr>
          <w:color w:val="000000"/>
          <w:kern w:val="0"/>
        </w:rPr>
        <w:t>/</w:t>
      </w:r>
      <w:r>
        <w:rPr>
          <w:rFonts w:ascii="宋体" w:hAnsi="宋体" w:hint="eastAsia"/>
          <w:color w:val="000000"/>
          <w:kern w:val="0"/>
        </w:rPr>
        <w:t>平方厘米，年日照时数平均</w:t>
      </w:r>
      <w:r>
        <w:rPr>
          <w:color w:val="000000"/>
          <w:kern w:val="0"/>
        </w:rPr>
        <w:t>2167.5</w:t>
      </w:r>
      <w:r>
        <w:rPr>
          <w:rFonts w:ascii="宋体" w:hAnsi="宋体" w:hint="eastAsia"/>
          <w:color w:val="000000"/>
          <w:kern w:val="0"/>
        </w:rPr>
        <w:t>小时；无霜期长，年均无霜期</w:t>
      </w:r>
      <w:r>
        <w:rPr>
          <w:color w:val="000000"/>
          <w:kern w:val="0"/>
        </w:rPr>
        <w:t>217</w:t>
      </w:r>
      <w:r>
        <w:rPr>
          <w:rFonts w:ascii="宋体" w:hAnsi="宋体" w:hint="eastAsia"/>
          <w:color w:val="000000"/>
          <w:kern w:val="0"/>
        </w:rPr>
        <w:t>天。但因地处中纬度，冷暖气团交锋频繁，气温变化大，加上降水集中，常有旱、涝等气候灾害发生。</w:t>
      </w:r>
    </w:p>
    <w:p w:rsidR="004E3021" w:rsidRDefault="00606E48">
      <w:pPr>
        <w:pStyle w:val="afffffffffffffffff4"/>
      </w:pPr>
      <w:bookmarkStart w:id="282" w:name="_Toc221088776"/>
      <w:bookmarkStart w:id="283" w:name="_Toc221500991"/>
      <w:r>
        <w:rPr>
          <w:rFonts w:hint="eastAsia"/>
        </w:rPr>
        <w:t>4</w:t>
      </w:r>
      <w:r>
        <w:t>.1.4</w:t>
      </w:r>
      <w:r>
        <w:rPr>
          <w:rFonts w:ascii="黑体" w:hAnsi="黑体"/>
        </w:rPr>
        <w:t>水文水系</w:t>
      </w:r>
      <w:bookmarkEnd w:id="279"/>
      <w:bookmarkEnd w:id="280"/>
      <w:bookmarkEnd w:id="281"/>
      <w:bookmarkEnd w:id="282"/>
      <w:bookmarkEnd w:id="283"/>
    </w:p>
    <w:p w:rsidR="004E3021" w:rsidRDefault="00606E48">
      <w:pPr>
        <w:ind w:firstLine="480"/>
      </w:pPr>
      <w:r>
        <w:rPr>
          <w:rFonts w:ascii="宋体" w:hAnsi="宋体" w:hint="eastAsia"/>
        </w:rPr>
        <w:lastRenderedPageBreak/>
        <w:t>（</w:t>
      </w:r>
      <w:r>
        <w:rPr>
          <w:rFonts w:hint="eastAsia"/>
        </w:rPr>
        <w:t>1</w:t>
      </w:r>
      <w:r>
        <w:rPr>
          <w:rFonts w:ascii="宋体" w:hAnsi="宋体" w:hint="eastAsia"/>
        </w:rPr>
        <w:t>）地表水</w:t>
      </w:r>
    </w:p>
    <w:p w:rsidR="004E3021" w:rsidRDefault="00606E48">
      <w:pPr>
        <w:ind w:firstLine="480"/>
      </w:pPr>
      <w:r>
        <w:rPr>
          <w:rFonts w:ascii="宋体" w:hAnsi="宋体" w:hint="eastAsia"/>
        </w:rPr>
        <w:t>蚌埠市位于淮河中下游、属于淮河流域，市区地表水以淮河干流为主，另有一级直流北淝河和数条河流等。一些小河流量小，干旱年份常断流。</w:t>
      </w:r>
    </w:p>
    <w:p w:rsidR="004E3021" w:rsidRDefault="00606E48">
      <w:pPr>
        <w:ind w:firstLine="480"/>
      </w:pPr>
      <w:r>
        <w:rPr>
          <w:rFonts w:ascii="宋体" w:hAnsi="宋体" w:hint="eastAsia"/>
        </w:rPr>
        <w:t>淮河：发源于河南省桐柏山区，干流全长</w:t>
      </w:r>
      <w:r>
        <w:t>1000km</w:t>
      </w:r>
      <w:r>
        <w:rPr>
          <w:rFonts w:ascii="宋体" w:hAnsi="宋体" w:hint="eastAsia"/>
        </w:rPr>
        <w:t>，流域面积</w:t>
      </w:r>
      <w:r>
        <w:t>18890</w:t>
      </w:r>
      <w:r>
        <w:rPr>
          <w:rFonts w:ascii="宋体" w:hAnsi="宋体" w:hint="eastAsia"/>
        </w:rPr>
        <w:t>平方公里，其中下流横贯安徽省北部，淮河蚌埠市区段上起蚌埠闸，下到临淮关，全长</w:t>
      </w:r>
      <w:r>
        <w:t>39.8km</w:t>
      </w:r>
      <w:r>
        <w:rPr>
          <w:rFonts w:ascii="宋体" w:hAnsi="宋体" w:hint="eastAsia"/>
        </w:rPr>
        <w:t>，正常水位下河宽约</w:t>
      </w:r>
      <w:r>
        <w:t>400m</w:t>
      </w:r>
      <w:r>
        <w:rPr>
          <w:rFonts w:ascii="宋体" w:hAnsi="宋体" w:hint="eastAsia"/>
        </w:rPr>
        <w:t>。淮河蚌埠段历年最高水位</w:t>
      </w:r>
      <w:r>
        <w:t>22.18m</w:t>
      </w:r>
      <w:r>
        <w:rPr>
          <w:rFonts w:ascii="宋体" w:hAnsi="宋体" w:hint="eastAsia"/>
        </w:rPr>
        <w:t>，最低水位</w:t>
      </w:r>
      <w:r>
        <w:t>10.3m</w:t>
      </w:r>
      <w:r>
        <w:rPr>
          <w:rFonts w:ascii="宋体" w:hAnsi="宋体" w:hint="eastAsia"/>
        </w:rPr>
        <w:t>，平均水位在</w:t>
      </w:r>
      <w:r>
        <w:t>12.15m</w:t>
      </w:r>
      <w:r>
        <w:rPr>
          <w:rFonts w:ascii="宋体" w:hAnsi="宋体" w:hint="eastAsia"/>
        </w:rPr>
        <w:t>，多年平均流量</w:t>
      </w:r>
      <w:r>
        <w:t>852m</w:t>
      </w:r>
      <w:r>
        <w:rPr>
          <w:vertAlign w:val="superscript"/>
        </w:rPr>
        <w:t>3</w:t>
      </w:r>
      <w:r>
        <w:t>/s</w:t>
      </w:r>
      <w:r>
        <w:rPr>
          <w:rFonts w:ascii="宋体" w:hAnsi="宋体" w:hint="eastAsia"/>
        </w:rPr>
        <w:t>，最大年均流量</w:t>
      </w:r>
      <w:r>
        <w:t>2940m</w:t>
      </w:r>
      <w:r>
        <w:rPr>
          <w:vertAlign w:val="superscript"/>
        </w:rPr>
        <w:t>3</w:t>
      </w:r>
      <w:r>
        <w:t>/s</w:t>
      </w:r>
      <w:r>
        <w:rPr>
          <w:rFonts w:ascii="宋体" w:hAnsi="宋体" w:hint="eastAsia"/>
        </w:rPr>
        <w:t>，最小年平均流量为</w:t>
      </w:r>
      <w:r>
        <w:t>85.4m</w:t>
      </w:r>
      <w:r>
        <w:rPr>
          <w:vertAlign w:val="superscript"/>
        </w:rPr>
        <w:t>3</w:t>
      </w:r>
      <w:r>
        <w:t>/s</w:t>
      </w:r>
      <w:r>
        <w:rPr>
          <w:rFonts w:ascii="宋体" w:hAnsi="宋体" w:hint="eastAsia"/>
        </w:rPr>
        <w:t>，最大流量为</w:t>
      </w:r>
      <w:r>
        <w:t>11600m</w:t>
      </w:r>
      <w:r>
        <w:rPr>
          <w:vertAlign w:val="superscript"/>
        </w:rPr>
        <w:t>3</w:t>
      </w:r>
      <w:r>
        <w:t>/s</w:t>
      </w:r>
      <w:r>
        <w:rPr>
          <w:rFonts w:ascii="宋体" w:hAnsi="宋体" w:hint="eastAsia"/>
        </w:rPr>
        <w:t>，最小流量以关闸时渗透量和船闸泄水量计为</w:t>
      </w:r>
      <w:r>
        <w:t>12.4m</w:t>
      </w:r>
      <w:r>
        <w:rPr>
          <w:vertAlign w:val="superscript"/>
        </w:rPr>
        <w:t>3</w:t>
      </w:r>
      <w:r>
        <w:t>/s</w:t>
      </w:r>
      <w:r>
        <w:rPr>
          <w:rFonts w:ascii="宋体" w:hAnsi="宋体" w:hint="eastAsia"/>
        </w:rPr>
        <w:t>，流速一般在</w:t>
      </w:r>
      <w:r>
        <w:t>0.07~0.7m</w:t>
      </w:r>
      <w:r>
        <w:rPr>
          <w:vertAlign w:val="superscript"/>
        </w:rPr>
        <w:t>3</w:t>
      </w:r>
      <w:r>
        <w:t>/s</w:t>
      </w:r>
      <w:r>
        <w:rPr>
          <w:rFonts w:ascii="宋体" w:hAnsi="宋体" w:hint="eastAsia"/>
        </w:rPr>
        <w:t>，平均流速在</w:t>
      </w:r>
      <w:r>
        <w:t>0.45m/s</w:t>
      </w:r>
      <w:r>
        <w:rPr>
          <w:rFonts w:ascii="宋体" w:hAnsi="宋体" w:hint="eastAsia"/>
        </w:rPr>
        <w:t>左右。</w:t>
      </w:r>
    </w:p>
    <w:p w:rsidR="004E3021" w:rsidRDefault="00606E48">
      <w:pPr>
        <w:ind w:firstLine="480"/>
      </w:pPr>
      <w:r>
        <w:rPr>
          <w:rFonts w:ascii="宋体" w:hAnsi="宋体" w:hint="eastAsia"/>
        </w:rPr>
        <w:t>北淝河：源出河南商丘，流经蒙城，于瓦埠集进入县境，流域面积</w:t>
      </w:r>
      <w:r>
        <w:t>1047</w:t>
      </w:r>
      <w:r>
        <w:rPr>
          <w:rFonts w:ascii="宋体" w:hAnsi="宋体" w:hint="eastAsia"/>
        </w:rPr>
        <w:t>平方公里。河面宽而水浅。</w:t>
      </w:r>
    </w:p>
    <w:p w:rsidR="004E3021" w:rsidRDefault="00606E48">
      <w:pPr>
        <w:ind w:firstLine="480"/>
      </w:pPr>
      <w:r>
        <w:rPr>
          <w:rFonts w:ascii="宋体" w:hAnsi="宋体" w:hint="eastAsia"/>
        </w:rPr>
        <w:t>怀洪新河人工河道。</w:t>
      </w:r>
      <w:r>
        <w:rPr>
          <w:rFonts w:hint="eastAsia"/>
        </w:rPr>
        <w:t>19</w:t>
      </w:r>
      <w:r>
        <w:t>91</w:t>
      </w:r>
      <w:r>
        <w:rPr>
          <w:rFonts w:ascii="宋体" w:hAnsi="宋体" w:hint="eastAsia"/>
        </w:rPr>
        <w:t>年大水以后，开始实施的安徽省重点防洪工程。自涡河何巷在孙巷过北淝河，后入澥河，再经浍河，最后在江苏泗洪县注入洪泽湖。怀远县境内长约</w:t>
      </w:r>
      <w:r>
        <w:t>25</w:t>
      </w:r>
      <w:r>
        <w:rPr>
          <w:rFonts w:ascii="宋体" w:hAnsi="宋体" w:hint="eastAsia"/>
        </w:rPr>
        <w:t>公里。其主要作用是分担淮河蚌埠段洪水流量。</w:t>
      </w:r>
    </w:p>
    <w:p w:rsidR="004E3021" w:rsidRDefault="00606E48">
      <w:pPr>
        <w:ind w:firstLine="480"/>
      </w:pPr>
      <w:r>
        <w:rPr>
          <w:rFonts w:ascii="宋体" w:hAnsi="宋体" w:hint="eastAsia"/>
        </w:rPr>
        <w:t>（</w:t>
      </w:r>
      <w:r>
        <w:t>2</w:t>
      </w:r>
      <w:r>
        <w:rPr>
          <w:rFonts w:ascii="宋体" w:hAnsi="宋体" w:hint="eastAsia"/>
        </w:rPr>
        <w:t>）地下水</w:t>
      </w:r>
    </w:p>
    <w:p w:rsidR="004E3021" w:rsidRDefault="00606E48">
      <w:pPr>
        <w:ind w:firstLine="480"/>
        <w:rPr>
          <w:rFonts w:ascii="宋体" w:hAnsi="宋体"/>
        </w:rPr>
      </w:pPr>
      <w:r>
        <w:rPr>
          <w:rFonts w:ascii="宋体" w:hAnsi="宋体" w:hint="eastAsia"/>
        </w:rPr>
        <w:t>蚌埠市境内地下水基本属于渗蒸发型，静储存量约</w:t>
      </w:r>
      <w:r>
        <w:t>3.2</w:t>
      </w:r>
      <w:r>
        <w:rPr>
          <w:rFonts w:ascii="宋体" w:hAnsi="宋体" w:hint="eastAsia"/>
        </w:rPr>
        <w:t>亿立方米。年地下水调节储量为</w:t>
      </w:r>
      <w:r>
        <w:t>1500~2500</w:t>
      </w:r>
      <w:r>
        <w:rPr>
          <w:rFonts w:ascii="宋体" w:hAnsi="宋体" w:hint="eastAsia"/>
        </w:rPr>
        <w:t>万吨之间。南岸为贫水区，北岸为富水区。日最高开采量为</w:t>
      </w:r>
      <w:r>
        <w:t>7</w:t>
      </w:r>
      <w:r>
        <w:rPr>
          <w:rFonts w:ascii="宋体" w:hAnsi="宋体" w:hint="eastAsia"/>
        </w:rPr>
        <w:t>万吨。北岸地下水储量不大。南岸地下水主要作为民用生活及工厂辅助补给水。</w:t>
      </w:r>
    </w:p>
    <w:p w:rsidR="00E15DA3" w:rsidRDefault="00E15DA3" w:rsidP="00E15DA3">
      <w:pPr>
        <w:ind w:firstLineChars="0" w:firstLine="0"/>
        <w:rPr>
          <w:rFonts w:ascii="宋体" w:hAnsi="宋体"/>
        </w:rPr>
      </w:pPr>
      <w:r>
        <w:rPr>
          <w:rFonts w:ascii="宋体" w:hAnsi="宋体"/>
          <w:noProof/>
        </w:rPr>
        <w:lastRenderedPageBreak/>
        <w:drawing>
          <wp:inline distT="0" distB="0" distL="0" distR="0">
            <wp:extent cx="5890224" cy="4162425"/>
            <wp:effectExtent l="0" t="0" r="0" b="0"/>
            <wp:docPr id="901" name="图片 901" descr="C:\Users\dell\AppData\Local\Microsoft\Windows\INetCache\Content.Word\周边水系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dell\AppData\Local\Microsoft\Windows\INetCache\Content.Word\周边水系图.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91410" cy="4163263"/>
                    </a:xfrm>
                    <a:prstGeom prst="rect">
                      <a:avLst/>
                    </a:prstGeom>
                    <a:noFill/>
                    <a:ln>
                      <a:noFill/>
                    </a:ln>
                  </pic:spPr>
                </pic:pic>
              </a:graphicData>
            </a:graphic>
          </wp:inline>
        </w:drawing>
      </w:r>
    </w:p>
    <w:p w:rsidR="00E15DA3" w:rsidRDefault="00E15DA3" w:rsidP="00E15DA3">
      <w:pPr>
        <w:spacing w:line="500" w:lineRule="exact"/>
        <w:ind w:firstLineChars="0" w:firstLine="0"/>
        <w:jc w:val="center"/>
        <w:rPr>
          <w:rFonts w:eastAsia="黑体"/>
        </w:rPr>
      </w:pPr>
      <w:r>
        <w:rPr>
          <w:rFonts w:eastAsia="黑体"/>
        </w:rPr>
        <w:t>图</w:t>
      </w:r>
      <w:r>
        <w:rPr>
          <w:rFonts w:eastAsia="黑体"/>
        </w:rPr>
        <w:t xml:space="preserve">4.1.4-1  </w:t>
      </w:r>
      <w:r>
        <w:rPr>
          <w:rFonts w:eastAsia="黑体" w:hint="eastAsia"/>
        </w:rPr>
        <w:t>本项目周边水系</w:t>
      </w:r>
      <w:r>
        <w:rPr>
          <w:rFonts w:eastAsia="黑体"/>
        </w:rPr>
        <w:t>图</w:t>
      </w:r>
    </w:p>
    <w:p w:rsidR="004E3021" w:rsidRDefault="00606E48">
      <w:pPr>
        <w:pStyle w:val="afffffffffffffffff4"/>
      </w:pPr>
      <w:bookmarkStart w:id="284" w:name="_Toc101135848"/>
      <w:bookmarkStart w:id="285" w:name="_Toc100784016"/>
      <w:bookmarkStart w:id="286" w:name="_Toc108662625"/>
      <w:bookmarkStart w:id="287" w:name="_Toc221088777"/>
      <w:bookmarkStart w:id="288" w:name="_Toc221500992"/>
      <w:r>
        <w:rPr>
          <w:rFonts w:hint="eastAsia"/>
        </w:rPr>
        <w:t>4</w:t>
      </w:r>
      <w:r>
        <w:t>.1.5</w:t>
      </w:r>
      <w:r>
        <w:rPr>
          <w:rFonts w:ascii="黑体" w:hAnsi="黑体"/>
        </w:rPr>
        <w:t>生态环境</w:t>
      </w:r>
      <w:bookmarkEnd w:id="284"/>
      <w:bookmarkEnd w:id="285"/>
      <w:bookmarkEnd w:id="286"/>
      <w:bookmarkEnd w:id="287"/>
      <w:bookmarkEnd w:id="288"/>
    </w:p>
    <w:p w:rsidR="004E3021" w:rsidRDefault="00606E48">
      <w:pPr>
        <w:ind w:firstLine="480"/>
        <w:rPr>
          <w:bCs/>
        </w:rPr>
      </w:pPr>
      <w:r>
        <w:rPr>
          <w:rFonts w:ascii="宋体" w:hAnsi="宋体" w:hint="eastAsia"/>
          <w:bCs/>
        </w:rPr>
        <w:t>蚌埠市土地总面积</w:t>
      </w:r>
      <w:r>
        <w:rPr>
          <w:bCs/>
        </w:rPr>
        <w:t>595072.23</w:t>
      </w:r>
      <w:r>
        <w:rPr>
          <w:rFonts w:ascii="宋体" w:hAnsi="宋体" w:hint="eastAsia"/>
          <w:bCs/>
        </w:rPr>
        <w:t>公顷，其中耕地</w:t>
      </w:r>
      <w:r>
        <w:rPr>
          <w:bCs/>
        </w:rPr>
        <w:t>378585.41</w:t>
      </w:r>
      <w:r>
        <w:rPr>
          <w:rFonts w:ascii="宋体" w:hAnsi="宋体" w:hint="eastAsia"/>
          <w:bCs/>
        </w:rPr>
        <w:t>公顷，占土地总面积的</w:t>
      </w:r>
      <w:r>
        <w:rPr>
          <w:bCs/>
        </w:rPr>
        <w:t>63.62%</w:t>
      </w:r>
      <w:r>
        <w:rPr>
          <w:rFonts w:ascii="宋体" w:hAnsi="宋体" w:hint="eastAsia"/>
          <w:bCs/>
        </w:rPr>
        <w:t>；林地</w:t>
      </w:r>
      <w:r>
        <w:rPr>
          <w:bCs/>
        </w:rPr>
        <w:t>18156.63</w:t>
      </w:r>
      <w:r>
        <w:rPr>
          <w:rFonts w:ascii="宋体" w:hAnsi="宋体" w:hint="eastAsia"/>
          <w:bCs/>
        </w:rPr>
        <w:t>公顷，占土地总面积的</w:t>
      </w:r>
      <w:r>
        <w:rPr>
          <w:bCs/>
        </w:rPr>
        <w:t>3.07%</w:t>
      </w:r>
      <w:r>
        <w:rPr>
          <w:rFonts w:ascii="宋体" w:hAnsi="宋体" w:hint="eastAsia"/>
          <w:bCs/>
        </w:rPr>
        <w:t>；园地用地</w:t>
      </w:r>
      <w:r>
        <w:rPr>
          <w:bCs/>
        </w:rPr>
        <w:t>1356.04</w:t>
      </w:r>
      <w:r>
        <w:rPr>
          <w:rFonts w:ascii="宋体" w:hAnsi="宋体" w:hint="eastAsia"/>
          <w:bCs/>
        </w:rPr>
        <w:t>公顷，占土地总面积的</w:t>
      </w:r>
      <w:r>
        <w:rPr>
          <w:bCs/>
        </w:rPr>
        <w:t>0.23%</w:t>
      </w:r>
      <w:r>
        <w:rPr>
          <w:rFonts w:ascii="宋体" w:hAnsi="宋体" w:hint="eastAsia"/>
          <w:bCs/>
        </w:rPr>
        <w:t>。牧地</w:t>
      </w:r>
      <w:r>
        <w:rPr>
          <w:bCs/>
        </w:rPr>
        <w:t>187.63</w:t>
      </w:r>
      <w:r>
        <w:rPr>
          <w:rFonts w:ascii="宋体" w:hAnsi="宋体" w:hint="eastAsia"/>
          <w:bCs/>
        </w:rPr>
        <w:t>公顷，占土地总面积的</w:t>
      </w:r>
      <w:r>
        <w:rPr>
          <w:bCs/>
        </w:rPr>
        <w:t>0.03%</w:t>
      </w:r>
      <w:r>
        <w:rPr>
          <w:rFonts w:ascii="宋体" w:hAnsi="宋体" w:hint="eastAsia"/>
          <w:bCs/>
        </w:rPr>
        <w:t>；城镇村及工矿用地面积为</w:t>
      </w:r>
      <w:r>
        <w:rPr>
          <w:bCs/>
        </w:rPr>
        <w:t>76170.14</w:t>
      </w:r>
      <w:r>
        <w:rPr>
          <w:rFonts w:ascii="宋体" w:hAnsi="宋体" w:hint="eastAsia"/>
          <w:bCs/>
        </w:rPr>
        <w:t>公顷，占土地总面积的</w:t>
      </w:r>
      <w:r>
        <w:rPr>
          <w:bCs/>
        </w:rPr>
        <w:t>12.80%</w:t>
      </w:r>
      <w:r>
        <w:rPr>
          <w:rFonts w:ascii="宋体" w:hAnsi="宋体" w:hint="eastAsia"/>
          <w:bCs/>
        </w:rPr>
        <w:t>；交通运输用地面积为</w:t>
      </w:r>
      <w:r>
        <w:rPr>
          <w:bCs/>
        </w:rPr>
        <w:t>18729.17</w:t>
      </w:r>
      <w:r>
        <w:rPr>
          <w:rFonts w:ascii="宋体" w:hAnsi="宋体" w:hint="eastAsia"/>
          <w:bCs/>
        </w:rPr>
        <w:t>公顷，占土地总面积的</w:t>
      </w:r>
      <w:r>
        <w:rPr>
          <w:bCs/>
        </w:rPr>
        <w:t>3.15%</w:t>
      </w:r>
      <w:r>
        <w:rPr>
          <w:rFonts w:ascii="宋体" w:hAnsi="宋体" w:hint="eastAsia"/>
          <w:bCs/>
        </w:rPr>
        <w:t>；水域及水利设施用地面积为</w:t>
      </w:r>
      <w:r>
        <w:rPr>
          <w:bCs/>
        </w:rPr>
        <w:t>3733.67</w:t>
      </w:r>
      <w:r>
        <w:rPr>
          <w:rFonts w:ascii="宋体" w:hAnsi="宋体" w:hint="eastAsia"/>
          <w:bCs/>
        </w:rPr>
        <w:t>公顷，占土地总面积的</w:t>
      </w:r>
      <w:r>
        <w:rPr>
          <w:bCs/>
        </w:rPr>
        <w:t>0.63%</w:t>
      </w:r>
      <w:r>
        <w:rPr>
          <w:rFonts w:ascii="宋体" w:hAnsi="宋体" w:hint="eastAsia"/>
          <w:bCs/>
        </w:rPr>
        <w:t>。</w:t>
      </w:r>
    </w:p>
    <w:p w:rsidR="004E3021" w:rsidRDefault="00606E48">
      <w:pPr>
        <w:ind w:firstLine="480"/>
        <w:rPr>
          <w:bCs/>
        </w:rPr>
      </w:pPr>
      <w:r>
        <w:rPr>
          <w:rFonts w:ascii="宋体" w:hAnsi="宋体" w:hint="eastAsia"/>
          <w:bCs/>
        </w:rPr>
        <w:t>市区土地利用程度：土地垦殖率</w:t>
      </w:r>
      <w:r>
        <w:rPr>
          <w:bCs/>
        </w:rPr>
        <w:t>36.31%</w:t>
      </w:r>
      <w:r>
        <w:rPr>
          <w:rFonts w:ascii="宋体" w:hAnsi="宋体" w:hint="eastAsia"/>
          <w:bCs/>
        </w:rPr>
        <w:t>，土地利用率</w:t>
      </w:r>
      <w:r>
        <w:rPr>
          <w:bCs/>
        </w:rPr>
        <w:t>96.09%</w:t>
      </w:r>
      <w:r>
        <w:rPr>
          <w:rFonts w:ascii="宋体" w:hAnsi="宋体" w:hint="eastAsia"/>
          <w:bCs/>
        </w:rPr>
        <w:t>，耕地复种指数</w:t>
      </w:r>
      <w:r>
        <w:rPr>
          <w:bCs/>
        </w:rPr>
        <w:t>215%</w:t>
      </w:r>
      <w:r>
        <w:rPr>
          <w:rFonts w:ascii="宋体" w:hAnsi="宋体" w:hint="eastAsia"/>
          <w:bCs/>
        </w:rPr>
        <w:t>，森林覆盖率</w:t>
      </w:r>
      <w:r>
        <w:rPr>
          <w:bCs/>
        </w:rPr>
        <w:t>28.35%</w:t>
      </w:r>
      <w:r>
        <w:rPr>
          <w:rFonts w:ascii="宋体" w:hAnsi="宋体" w:hint="eastAsia"/>
          <w:bCs/>
        </w:rPr>
        <w:t>，农业用地率</w:t>
      </w:r>
      <w:r>
        <w:rPr>
          <w:bCs/>
        </w:rPr>
        <w:t>76.88%</w:t>
      </w:r>
      <w:r>
        <w:rPr>
          <w:rFonts w:ascii="宋体" w:hAnsi="宋体" w:hint="eastAsia"/>
          <w:bCs/>
        </w:rPr>
        <w:t>，建设用地率</w:t>
      </w:r>
      <w:r>
        <w:rPr>
          <w:bCs/>
        </w:rPr>
        <w:t>19.21%</w:t>
      </w:r>
      <w:r>
        <w:rPr>
          <w:rFonts w:ascii="宋体" w:hAnsi="宋体" w:hint="eastAsia"/>
          <w:bCs/>
        </w:rPr>
        <w:t>。</w:t>
      </w:r>
    </w:p>
    <w:p w:rsidR="004E3021" w:rsidRDefault="00606E48">
      <w:pPr>
        <w:ind w:firstLine="480"/>
        <w:rPr>
          <w:bCs/>
        </w:rPr>
      </w:pPr>
      <w:r>
        <w:rPr>
          <w:rFonts w:ascii="宋体" w:hAnsi="宋体" w:hint="eastAsia"/>
          <w:bCs/>
        </w:rPr>
        <w:t>蚌埠市处于两个生物带交界处，由于地形和地貌不同，成土类型多样，成土母质主要为第四系近代堆积物，受黄泛影响土壤类型及分布较为复杂。根据土壤普查，市境内土壤大致分为澎、黄棕壤、砂浆黑土、水稻土等类型，总面积</w:t>
      </w:r>
      <w:r>
        <w:rPr>
          <w:bCs/>
        </w:rPr>
        <w:t>445</w:t>
      </w:r>
      <w:r>
        <w:rPr>
          <w:rFonts w:ascii="宋体" w:hAnsi="宋体" w:hint="eastAsia"/>
          <w:bCs/>
        </w:rPr>
        <w:t>平方公里。</w:t>
      </w:r>
    </w:p>
    <w:p w:rsidR="0094474C" w:rsidRDefault="00606E48">
      <w:pPr>
        <w:ind w:firstLine="480"/>
        <w:rPr>
          <w:rFonts w:ascii="宋体" w:hAnsi="宋体"/>
          <w:bCs/>
        </w:rPr>
        <w:sectPr w:rsidR="0094474C">
          <w:pgSz w:w="11906" w:h="16838"/>
          <w:pgMar w:top="1440" w:right="1440" w:bottom="1440" w:left="1440" w:header="851" w:footer="992" w:gutter="0"/>
          <w:cols w:space="425"/>
          <w:docGrid w:type="lines" w:linePitch="326"/>
        </w:sectPr>
      </w:pPr>
      <w:r>
        <w:rPr>
          <w:rFonts w:ascii="宋体" w:hAnsi="宋体" w:hint="eastAsia"/>
          <w:bCs/>
        </w:rPr>
        <w:t>蚌埠市地处温暖带落叶阔叶林带及热带落叶常绿阔叶混交林带的过渡带，植被以人工栽培树木和农作物为主。树木有杨、柳、梧桐、刺槐、黑松、苦松、苦栋等，农作物</w:t>
      </w:r>
      <w:r>
        <w:rPr>
          <w:rFonts w:ascii="宋体" w:hAnsi="宋体" w:hint="eastAsia"/>
          <w:bCs/>
        </w:rPr>
        <w:lastRenderedPageBreak/>
        <w:t>有小麦、大豆、水稻、杂粮和蔬菜等</w:t>
      </w:r>
      <w:r>
        <w:rPr>
          <w:rFonts w:hint="eastAsia"/>
          <w:bCs/>
        </w:rPr>
        <w:t>,</w:t>
      </w:r>
      <w:r>
        <w:rPr>
          <w:rFonts w:ascii="宋体" w:hAnsi="宋体" w:hint="eastAsia"/>
          <w:bCs/>
        </w:rPr>
        <w:t>动物有野兔、野鸡、獾、黄鼬等。</w:t>
      </w:r>
    </w:p>
    <w:p w:rsidR="004E3021" w:rsidRDefault="00606E48">
      <w:pPr>
        <w:pStyle w:val="afffffffffffffffff3"/>
      </w:pPr>
      <w:bookmarkStart w:id="289" w:name="_Toc221500993"/>
      <w:r>
        <w:rPr>
          <w:rFonts w:hint="eastAsia"/>
        </w:rPr>
        <w:lastRenderedPageBreak/>
        <w:t>4</w:t>
      </w:r>
      <w:r>
        <w:t>.2</w:t>
      </w:r>
      <w:r>
        <w:t>环境质量现状</w:t>
      </w:r>
      <w:bookmarkEnd w:id="289"/>
    </w:p>
    <w:p w:rsidR="004E3021" w:rsidRDefault="00606E48">
      <w:pPr>
        <w:pStyle w:val="afffffffffffffffff4"/>
      </w:pPr>
      <w:bookmarkStart w:id="290" w:name="_Toc100784018"/>
      <w:bookmarkStart w:id="291" w:name="_Toc108662627"/>
      <w:bookmarkStart w:id="292" w:name="_Toc101135850"/>
      <w:bookmarkStart w:id="293" w:name="_Toc221088779"/>
      <w:bookmarkStart w:id="294" w:name="_Toc221500994"/>
      <w:r>
        <w:rPr>
          <w:rFonts w:hint="eastAsia"/>
        </w:rPr>
        <w:t>4</w:t>
      </w:r>
      <w:r>
        <w:t>.2.1</w:t>
      </w:r>
      <w:r>
        <w:t>环境空气质量现状</w:t>
      </w:r>
      <w:bookmarkEnd w:id="290"/>
      <w:bookmarkEnd w:id="291"/>
      <w:bookmarkEnd w:id="292"/>
      <w:bookmarkEnd w:id="293"/>
      <w:bookmarkEnd w:id="294"/>
    </w:p>
    <w:p w:rsidR="004E3021" w:rsidRDefault="00606E48">
      <w:pPr>
        <w:pStyle w:val="4a"/>
      </w:pPr>
      <w:r>
        <w:rPr>
          <w:rFonts w:hint="eastAsia"/>
        </w:rPr>
        <w:t>4</w:t>
      </w:r>
      <w:r>
        <w:t>.2.1.1</w:t>
      </w:r>
      <w:r>
        <w:t>项目区达标情况判定</w:t>
      </w:r>
    </w:p>
    <w:p w:rsidR="004E3021" w:rsidRDefault="00606E48">
      <w:pPr>
        <w:widowControl/>
        <w:autoSpaceDE w:val="0"/>
        <w:autoSpaceDN w:val="0"/>
        <w:ind w:firstLine="480"/>
        <w:jc w:val="left"/>
        <w:rPr>
          <w:kern w:val="0"/>
          <w:lang w:val="zh-CN" w:bidi="zh-CN"/>
        </w:rPr>
      </w:pPr>
      <w:r>
        <w:rPr>
          <w:kern w:val="0"/>
          <w:lang w:val="zh-CN" w:bidi="zh-CN"/>
        </w:rPr>
        <w:t>根据《环境影响评价技术导则大气环境》（</w:t>
      </w:r>
      <w:r>
        <w:rPr>
          <w:kern w:val="0"/>
          <w:lang w:val="zh-CN" w:bidi="zh-CN"/>
        </w:rPr>
        <w:t>HJ2.2-2018</w:t>
      </w:r>
      <w:r>
        <w:rPr>
          <w:kern w:val="0"/>
          <w:lang w:val="zh-CN" w:bidi="zh-CN"/>
        </w:rPr>
        <w:t>）要求，</w:t>
      </w:r>
      <w:r>
        <w:rPr>
          <w:kern w:val="0"/>
          <w:lang w:bidi="zh-CN"/>
        </w:rPr>
        <w:t>拟建</w:t>
      </w:r>
      <w:r>
        <w:rPr>
          <w:kern w:val="0"/>
          <w:lang w:val="zh-CN" w:bidi="zh-CN"/>
        </w:rPr>
        <w:t>项目所在区域环境空气达标情况评价指标为</w:t>
      </w:r>
      <w:r>
        <w:rPr>
          <w:kern w:val="0"/>
          <w:lang w:val="zh-CN" w:bidi="zh-CN"/>
        </w:rPr>
        <w:t>SO</w:t>
      </w:r>
      <w:r>
        <w:rPr>
          <w:kern w:val="0"/>
          <w:vertAlign w:val="subscript"/>
          <w:lang w:val="zh-CN" w:bidi="zh-CN"/>
        </w:rPr>
        <w:t>2</w:t>
      </w:r>
      <w:r>
        <w:rPr>
          <w:kern w:val="0"/>
          <w:lang w:val="zh-CN" w:bidi="zh-CN"/>
        </w:rPr>
        <w:t>、</w:t>
      </w:r>
      <w:r>
        <w:rPr>
          <w:kern w:val="0"/>
          <w:lang w:val="zh-CN" w:bidi="zh-CN"/>
        </w:rPr>
        <w:t>NO</w:t>
      </w:r>
      <w:r>
        <w:rPr>
          <w:kern w:val="0"/>
          <w:vertAlign w:val="subscript"/>
          <w:lang w:val="zh-CN" w:bidi="zh-CN"/>
        </w:rPr>
        <w:t>2</w:t>
      </w:r>
      <w:r>
        <w:rPr>
          <w:kern w:val="0"/>
          <w:lang w:val="zh-CN" w:bidi="zh-CN"/>
        </w:rPr>
        <w:t>、</w:t>
      </w:r>
      <w:r>
        <w:rPr>
          <w:kern w:val="0"/>
          <w:lang w:val="zh-CN" w:bidi="zh-CN"/>
        </w:rPr>
        <w:t>PM</w:t>
      </w:r>
      <w:r>
        <w:rPr>
          <w:kern w:val="0"/>
          <w:vertAlign w:val="subscript"/>
          <w:lang w:val="zh-CN" w:bidi="zh-CN"/>
        </w:rPr>
        <w:t>10</w:t>
      </w:r>
      <w:r>
        <w:rPr>
          <w:kern w:val="0"/>
          <w:lang w:val="zh-CN" w:bidi="zh-CN"/>
        </w:rPr>
        <w:t>、</w:t>
      </w:r>
      <w:r>
        <w:rPr>
          <w:kern w:val="0"/>
          <w:lang w:val="zh-CN" w:bidi="zh-CN"/>
        </w:rPr>
        <w:t>PM</w:t>
      </w:r>
      <w:r>
        <w:rPr>
          <w:kern w:val="0"/>
          <w:vertAlign w:val="subscript"/>
          <w:lang w:val="zh-CN" w:bidi="zh-CN"/>
        </w:rPr>
        <w:t>2.5</w:t>
      </w:r>
      <w:r>
        <w:rPr>
          <w:kern w:val="0"/>
          <w:lang w:val="zh-CN" w:bidi="zh-CN"/>
        </w:rPr>
        <w:t>、</w:t>
      </w:r>
      <w:r>
        <w:rPr>
          <w:kern w:val="0"/>
          <w:lang w:val="zh-CN" w:bidi="zh-CN"/>
        </w:rPr>
        <w:t>CO</w:t>
      </w:r>
      <w:r>
        <w:rPr>
          <w:kern w:val="0"/>
          <w:lang w:val="zh-CN" w:bidi="zh-CN"/>
        </w:rPr>
        <w:t>和</w:t>
      </w:r>
      <w:r>
        <w:rPr>
          <w:kern w:val="0"/>
          <w:lang w:val="zh-CN" w:bidi="zh-CN"/>
        </w:rPr>
        <w:t>O</w:t>
      </w:r>
      <w:r>
        <w:rPr>
          <w:kern w:val="0"/>
          <w:vertAlign w:val="subscript"/>
          <w:lang w:val="zh-CN" w:bidi="zh-CN"/>
        </w:rPr>
        <w:t>3</w:t>
      </w:r>
      <w:r>
        <w:rPr>
          <w:kern w:val="0"/>
          <w:lang w:val="zh-CN" w:bidi="zh-CN"/>
        </w:rPr>
        <w:t>，六项基本污染物全部达标即为城市环境空气质量达标。基本污染物环境质量现状数据优先采用国家或地方生态环境主管部门发布的评价基准年环境质量公告或环境质量报告中的数据或结论。</w:t>
      </w:r>
    </w:p>
    <w:p w:rsidR="004E3021" w:rsidRDefault="00606E48">
      <w:pPr>
        <w:ind w:firstLine="480"/>
      </w:pPr>
      <w:r>
        <w:t>根据</w:t>
      </w:r>
      <w:r>
        <w:rPr>
          <w:rFonts w:hint="eastAsia"/>
        </w:rPr>
        <w:t>蚌埠</w:t>
      </w:r>
      <w:r>
        <w:t>市生态环境局</w:t>
      </w:r>
      <w:r>
        <w:rPr>
          <w:rFonts w:hint="eastAsia"/>
        </w:rPr>
        <w:t>于</w:t>
      </w:r>
      <w:r>
        <w:rPr>
          <w:rFonts w:hint="eastAsia"/>
        </w:rPr>
        <w:t>2</w:t>
      </w:r>
      <w:r>
        <w:t>025</w:t>
      </w:r>
      <w:r>
        <w:rPr>
          <w:rFonts w:hint="eastAsia"/>
        </w:rPr>
        <w:t>年</w:t>
      </w:r>
      <w:r>
        <w:rPr>
          <w:rFonts w:hint="eastAsia"/>
        </w:rPr>
        <w:t>6</w:t>
      </w:r>
      <w:r>
        <w:rPr>
          <w:rFonts w:hint="eastAsia"/>
        </w:rPr>
        <w:t>月</w:t>
      </w:r>
      <w:r>
        <w:rPr>
          <w:rFonts w:hint="eastAsia"/>
        </w:rPr>
        <w:t>23</w:t>
      </w:r>
      <w:r>
        <w:rPr>
          <w:rFonts w:hint="eastAsia"/>
        </w:rPr>
        <w:t>日</w:t>
      </w:r>
      <w:r>
        <w:t>公布的《</w:t>
      </w:r>
      <w:r>
        <w:rPr>
          <w:rFonts w:hint="eastAsia"/>
        </w:rPr>
        <w:t>202</w:t>
      </w:r>
      <w:r>
        <w:t>4</w:t>
      </w:r>
      <w:r>
        <w:rPr>
          <w:rFonts w:hint="eastAsia"/>
        </w:rPr>
        <w:t>年度蚌埠市环境质量状况公报</w:t>
      </w:r>
      <w:r>
        <w:t>》，</w:t>
      </w:r>
      <w:r>
        <w:rPr>
          <w:kern w:val="0"/>
          <w:lang w:val="zh-CN" w:bidi="zh-CN"/>
        </w:rPr>
        <w:t>2024</w:t>
      </w:r>
      <w:r>
        <w:rPr>
          <w:kern w:val="0"/>
          <w:lang w:val="zh-CN" w:bidi="zh-CN"/>
        </w:rPr>
        <w:t>年，空气质量综合指数为</w:t>
      </w:r>
      <w:r>
        <w:rPr>
          <w:kern w:val="0"/>
          <w:lang w:val="zh-CN" w:bidi="zh-CN"/>
        </w:rPr>
        <w:t>3.91</w:t>
      </w:r>
      <w:r>
        <w:rPr>
          <w:kern w:val="0"/>
          <w:lang w:val="zh-CN" w:bidi="zh-CN"/>
        </w:rPr>
        <w:t>，同比改善幅度为</w:t>
      </w:r>
      <w:r>
        <w:rPr>
          <w:kern w:val="0"/>
          <w:lang w:val="zh-CN" w:bidi="zh-CN"/>
        </w:rPr>
        <w:t>5.3%</w:t>
      </w:r>
      <w:r>
        <w:rPr>
          <w:rFonts w:hint="eastAsia"/>
          <w:kern w:val="0"/>
          <w:lang w:val="zh-CN" w:bidi="zh-CN"/>
        </w:rPr>
        <w:t>；</w:t>
      </w:r>
      <w:r>
        <w:rPr>
          <w:kern w:val="0"/>
          <w:lang w:val="zh-CN" w:bidi="zh-CN"/>
        </w:rPr>
        <w:t>细颗粒物</w:t>
      </w:r>
      <w:r>
        <w:rPr>
          <w:kern w:val="0"/>
          <w:lang w:val="zh-CN" w:bidi="zh-CN"/>
        </w:rPr>
        <w:t>(PM2.5)</w:t>
      </w:r>
      <w:r>
        <w:rPr>
          <w:kern w:val="0"/>
          <w:lang w:val="zh-CN" w:bidi="zh-CN"/>
        </w:rPr>
        <w:t>年均浓度为</w:t>
      </w:r>
      <w:r>
        <w:rPr>
          <w:kern w:val="0"/>
          <w:lang w:val="zh-CN" w:bidi="zh-CN"/>
        </w:rPr>
        <w:t>39</w:t>
      </w:r>
      <w:r>
        <w:rPr>
          <w:kern w:val="0"/>
          <w:lang w:val="zh-CN" w:bidi="zh-CN"/>
        </w:rPr>
        <w:t>微克</w:t>
      </w:r>
      <w:r>
        <w:rPr>
          <w:kern w:val="0"/>
          <w:lang w:val="zh-CN" w:bidi="zh-CN"/>
        </w:rPr>
        <w:t>/</w:t>
      </w:r>
      <w:r>
        <w:rPr>
          <w:kern w:val="0"/>
          <w:lang w:val="zh-CN" w:bidi="zh-CN"/>
        </w:rPr>
        <w:t>立方米，同比持平</w:t>
      </w:r>
      <w:r>
        <w:rPr>
          <w:rFonts w:hint="eastAsia"/>
          <w:kern w:val="0"/>
          <w:lang w:val="zh-CN" w:bidi="zh-CN"/>
        </w:rPr>
        <w:t>；</w:t>
      </w:r>
      <w:r>
        <w:rPr>
          <w:kern w:val="0"/>
          <w:lang w:val="zh-CN" w:bidi="zh-CN"/>
        </w:rPr>
        <w:t>优良天数比例为</w:t>
      </w:r>
      <w:r>
        <w:rPr>
          <w:kern w:val="0"/>
          <w:lang w:val="zh-CN" w:bidi="zh-CN"/>
        </w:rPr>
        <w:t>77.3%</w:t>
      </w:r>
      <w:r>
        <w:rPr>
          <w:kern w:val="0"/>
          <w:lang w:val="zh-CN" w:bidi="zh-CN"/>
        </w:rPr>
        <w:t>，同比上升</w:t>
      </w:r>
      <w:r>
        <w:rPr>
          <w:kern w:val="0"/>
          <w:lang w:val="zh-CN" w:bidi="zh-CN"/>
        </w:rPr>
        <w:t>3.5%</w:t>
      </w:r>
      <w:r>
        <w:rPr>
          <w:kern w:val="0"/>
          <w:lang w:val="zh-CN" w:bidi="zh-CN"/>
        </w:rPr>
        <w:t>。</w:t>
      </w:r>
      <w:r>
        <w:rPr>
          <w:kern w:val="0"/>
          <w:lang w:bidi="zh-CN"/>
        </w:rPr>
        <w:t>具体统计结果见下表</w:t>
      </w:r>
      <w:r>
        <w:rPr>
          <w:rFonts w:hint="eastAsia"/>
        </w:rPr>
        <w:t>。</w:t>
      </w:r>
    </w:p>
    <w:p w:rsidR="004E3021" w:rsidRDefault="00606E48">
      <w:pPr>
        <w:spacing w:line="500" w:lineRule="exact"/>
        <w:ind w:firstLineChars="0" w:firstLine="0"/>
        <w:jc w:val="center"/>
        <w:rPr>
          <w:rFonts w:eastAsia="黑体"/>
        </w:rPr>
      </w:pPr>
      <w:r>
        <w:rPr>
          <w:rFonts w:eastAsia="黑体"/>
        </w:rPr>
        <w:t>表</w:t>
      </w:r>
      <w:r>
        <w:rPr>
          <w:rFonts w:eastAsia="黑体"/>
        </w:rPr>
        <w:t xml:space="preserve">4.2.1-1  </w:t>
      </w:r>
      <w:r>
        <w:rPr>
          <w:rFonts w:eastAsia="黑体" w:hint="eastAsia"/>
        </w:rPr>
        <w:t>项目所在区域空气质量现状评价结果一览表</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830"/>
        <w:gridCol w:w="3139"/>
        <w:gridCol w:w="1518"/>
        <w:gridCol w:w="1663"/>
        <w:gridCol w:w="968"/>
        <w:gridCol w:w="908"/>
      </w:tblGrid>
      <w:tr w:rsidR="004E3021" w:rsidRPr="00FC3A43">
        <w:trPr>
          <w:trHeight w:val="340"/>
          <w:jc w:val="center"/>
        </w:trPr>
        <w:tc>
          <w:tcPr>
            <w:tcW w:w="460" w:type="pct"/>
            <w:tcBorders>
              <w:top w:val="single" w:sz="12" w:space="0" w:color="auto"/>
              <w:left w:val="nil"/>
            </w:tcBorders>
            <w:vAlign w:val="center"/>
          </w:tcPr>
          <w:p w:rsidR="004E3021" w:rsidRPr="00FC3A43" w:rsidRDefault="00606E48">
            <w:pPr>
              <w:pStyle w:val="afffffff2"/>
              <w:rPr>
                <w:b/>
                <w:sz w:val="21"/>
                <w:szCs w:val="21"/>
              </w:rPr>
            </w:pPr>
            <w:r w:rsidRPr="00FC3A43">
              <w:rPr>
                <w:b/>
                <w:sz w:val="21"/>
                <w:szCs w:val="21"/>
              </w:rPr>
              <w:t>污染物</w:t>
            </w:r>
          </w:p>
        </w:tc>
        <w:tc>
          <w:tcPr>
            <w:tcW w:w="1739" w:type="pct"/>
            <w:tcBorders>
              <w:top w:val="single" w:sz="12" w:space="0" w:color="auto"/>
            </w:tcBorders>
            <w:vAlign w:val="center"/>
          </w:tcPr>
          <w:p w:rsidR="004E3021" w:rsidRPr="00FC3A43" w:rsidRDefault="00606E48">
            <w:pPr>
              <w:pStyle w:val="afffffff2"/>
              <w:rPr>
                <w:b/>
                <w:sz w:val="21"/>
                <w:szCs w:val="21"/>
              </w:rPr>
            </w:pPr>
            <w:r w:rsidRPr="00FC3A43">
              <w:rPr>
                <w:b/>
                <w:sz w:val="21"/>
                <w:szCs w:val="21"/>
              </w:rPr>
              <w:t>评价指标</w:t>
            </w:r>
          </w:p>
        </w:tc>
        <w:tc>
          <w:tcPr>
            <w:tcW w:w="841" w:type="pct"/>
            <w:tcBorders>
              <w:top w:val="single" w:sz="12" w:space="0" w:color="auto"/>
            </w:tcBorders>
            <w:vAlign w:val="center"/>
          </w:tcPr>
          <w:p w:rsidR="004E3021" w:rsidRPr="00FC3A43" w:rsidRDefault="00606E48">
            <w:pPr>
              <w:pStyle w:val="afffffff2"/>
              <w:rPr>
                <w:b/>
                <w:sz w:val="21"/>
                <w:szCs w:val="21"/>
              </w:rPr>
            </w:pPr>
            <w:r w:rsidRPr="00FC3A43">
              <w:rPr>
                <w:b/>
                <w:sz w:val="21"/>
                <w:szCs w:val="21"/>
              </w:rPr>
              <w:t>现状浓度（</w:t>
            </w:r>
            <w:r w:rsidRPr="00FC3A43">
              <w:rPr>
                <w:b/>
                <w:sz w:val="21"/>
                <w:szCs w:val="21"/>
              </w:rPr>
              <w:t>μg/m</w:t>
            </w:r>
            <w:r w:rsidRPr="00FC3A43">
              <w:rPr>
                <w:b/>
                <w:sz w:val="21"/>
                <w:szCs w:val="21"/>
                <w:vertAlign w:val="superscript"/>
              </w:rPr>
              <w:t>3</w:t>
            </w:r>
            <w:r w:rsidRPr="00FC3A43">
              <w:rPr>
                <w:b/>
                <w:sz w:val="21"/>
                <w:szCs w:val="21"/>
              </w:rPr>
              <w:t>）</w:t>
            </w:r>
          </w:p>
        </w:tc>
        <w:tc>
          <w:tcPr>
            <w:tcW w:w="921" w:type="pct"/>
            <w:tcBorders>
              <w:top w:val="single" w:sz="12" w:space="0" w:color="auto"/>
            </w:tcBorders>
            <w:vAlign w:val="center"/>
          </w:tcPr>
          <w:p w:rsidR="004E3021" w:rsidRPr="00FC3A43" w:rsidRDefault="00606E48">
            <w:pPr>
              <w:pStyle w:val="afffffff2"/>
              <w:rPr>
                <w:b/>
                <w:sz w:val="21"/>
                <w:szCs w:val="21"/>
              </w:rPr>
            </w:pPr>
            <w:r w:rsidRPr="00FC3A43">
              <w:rPr>
                <w:b/>
                <w:sz w:val="21"/>
                <w:szCs w:val="21"/>
              </w:rPr>
              <w:t>标准值（</w:t>
            </w:r>
            <w:r w:rsidRPr="00FC3A43">
              <w:rPr>
                <w:b/>
                <w:sz w:val="21"/>
                <w:szCs w:val="21"/>
              </w:rPr>
              <w:t>μg/m</w:t>
            </w:r>
            <w:r w:rsidRPr="00FC3A43">
              <w:rPr>
                <w:b/>
                <w:sz w:val="21"/>
                <w:szCs w:val="21"/>
                <w:vertAlign w:val="superscript"/>
              </w:rPr>
              <w:t>3</w:t>
            </w:r>
            <w:r w:rsidRPr="00FC3A43">
              <w:rPr>
                <w:b/>
                <w:sz w:val="21"/>
                <w:szCs w:val="21"/>
              </w:rPr>
              <w:t>）</w:t>
            </w:r>
          </w:p>
        </w:tc>
        <w:tc>
          <w:tcPr>
            <w:tcW w:w="536" w:type="pct"/>
            <w:tcBorders>
              <w:top w:val="single" w:sz="12" w:space="0" w:color="auto"/>
            </w:tcBorders>
            <w:vAlign w:val="center"/>
          </w:tcPr>
          <w:p w:rsidR="004E3021" w:rsidRPr="00FC3A43" w:rsidRDefault="00606E48">
            <w:pPr>
              <w:pStyle w:val="afffffff2"/>
              <w:rPr>
                <w:b/>
                <w:sz w:val="21"/>
                <w:szCs w:val="21"/>
              </w:rPr>
            </w:pPr>
            <w:r w:rsidRPr="00FC3A43">
              <w:rPr>
                <w:b/>
                <w:sz w:val="21"/>
                <w:szCs w:val="21"/>
              </w:rPr>
              <w:t>占标率</w:t>
            </w:r>
            <w:r w:rsidRPr="00FC3A43">
              <w:rPr>
                <w:b/>
                <w:sz w:val="21"/>
                <w:szCs w:val="21"/>
              </w:rPr>
              <w:t>%</w:t>
            </w:r>
          </w:p>
        </w:tc>
        <w:tc>
          <w:tcPr>
            <w:tcW w:w="503" w:type="pct"/>
            <w:tcBorders>
              <w:top w:val="single" w:sz="12" w:space="0" w:color="auto"/>
              <w:right w:val="nil"/>
            </w:tcBorders>
            <w:vAlign w:val="center"/>
          </w:tcPr>
          <w:p w:rsidR="004E3021" w:rsidRPr="00FC3A43" w:rsidRDefault="00606E48">
            <w:pPr>
              <w:pStyle w:val="afffffff2"/>
              <w:rPr>
                <w:b/>
                <w:sz w:val="21"/>
                <w:szCs w:val="21"/>
              </w:rPr>
            </w:pPr>
            <w:r w:rsidRPr="00FC3A43">
              <w:rPr>
                <w:b/>
                <w:sz w:val="21"/>
                <w:szCs w:val="21"/>
              </w:rPr>
              <w:t>达标情况</w:t>
            </w:r>
          </w:p>
        </w:tc>
      </w:tr>
      <w:tr w:rsidR="004E3021" w:rsidRPr="00FC3A43">
        <w:trPr>
          <w:trHeight w:val="340"/>
          <w:jc w:val="center"/>
        </w:trPr>
        <w:tc>
          <w:tcPr>
            <w:tcW w:w="460" w:type="pct"/>
            <w:tcBorders>
              <w:left w:val="nil"/>
            </w:tcBorders>
            <w:vAlign w:val="center"/>
          </w:tcPr>
          <w:p w:rsidR="004E3021" w:rsidRPr="00FC3A43" w:rsidRDefault="00606E48">
            <w:pPr>
              <w:pStyle w:val="afffffff2"/>
              <w:rPr>
                <w:sz w:val="21"/>
                <w:szCs w:val="21"/>
              </w:rPr>
            </w:pPr>
            <w:r w:rsidRPr="00FC3A43">
              <w:rPr>
                <w:sz w:val="21"/>
                <w:szCs w:val="21"/>
              </w:rPr>
              <w:t>SO</w:t>
            </w:r>
            <w:r w:rsidRPr="00FC3A43">
              <w:rPr>
                <w:sz w:val="21"/>
                <w:szCs w:val="21"/>
                <w:vertAlign w:val="subscript"/>
              </w:rPr>
              <w:t>2</w:t>
            </w:r>
          </w:p>
        </w:tc>
        <w:tc>
          <w:tcPr>
            <w:tcW w:w="1739" w:type="pct"/>
            <w:vAlign w:val="center"/>
          </w:tcPr>
          <w:p w:rsidR="004E3021" w:rsidRPr="00FC3A43" w:rsidRDefault="00606E48">
            <w:pPr>
              <w:pStyle w:val="afffffff2"/>
              <w:rPr>
                <w:sz w:val="21"/>
                <w:szCs w:val="21"/>
              </w:rPr>
            </w:pPr>
            <w:r w:rsidRPr="00FC3A43">
              <w:rPr>
                <w:sz w:val="21"/>
                <w:szCs w:val="21"/>
              </w:rPr>
              <w:t>年平均浓度</w:t>
            </w:r>
          </w:p>
        </w:tc>
        <w:tc>
          <w:tcPr>
            <w:tcW w:w="841" w:type="pct"/>
            <w:vAlign w:val="center"/>
          </w:tcPr>
          <w:p w:rsidR="004E3021" w:rsidRPr="00FC3A43" w:rsidRDefault="00606E48">
            <w:pPr>
              <w:pStyle w:val="afffffff2"/>
              <w:rPr>
                <w:sz w:val="21"/>
                <w:szCs w:val="21"/>
              </w:rPr>
            </w:pPr>
            <w:r w:rsidRPr="00FC3A43">
              <w:rPr>
                <w:sz w:val="21"/>
                <w:szCs w:val="21"/>
              </w:rPr>
              <w:t>7</w:t>
            </w:r>
          </w:p>
        </w:tc>
        <w:tc>
          <w:tcPr>
            <w:tcW w:w="921" w:type="pct"/>
            <w:vAlign w:val="center"/>
          </w:tcPr>
          <w:p w:rsidR="004E3021" w:rsidRPr="00FC3A43" w:rsidRDefault="00606E48">
            <w:pPr>
              <w:pStyle w:val="afffffff2"/>
              <w:rPr>
                <w:sz w:val="21"/>
                <w:szCs w:val="21"/>
              </w:rPr>
            </w:pPr>
            <w:r w:rsidRPr="00FC3A43">
              <w:rPr>
                <w:sz w:val="21"/>
                <w:szCs w:val="21"/>
              </w:rPr>
              <w:t>60</w:t>
            </w:r>
          </w:p>
        </w:tc>
        <w:tc>
          <w:tcPr>
            <w:tcW w:w="536" w:type="pct"/>
            <w:vAlign w:val="center"/>
          </w:tcPr>
          <w:p w:rsidR="004E3021" w:rsidRPr="00FC3A43" w:rsidRDefault="00606E48">
            <w:pPr>
              <w:pStyle w:val="afffffff2"/>
              <w:rPr>
                <w:sz w:val="21"/>
                <w:szCs w:val="21"/>
              </w:rPr>
            </w:pPr>
            <w:r w:rsidRPr="00FC3A43">
              <w:rPr>
                <w:sz w:val="21"/>
                <w:szCs w:val="21"/>
              </w:rPr>
              <w:t>11.7</w:t>
            </w:r>
          </w:p>
        </w:tc>
        <w:tc>
          <w:tcPr>
            <w:tcW w:w="503" w:type="pct"/>
            <w:tcBorders>
              <w:right w:val="nil"/>
            </w:tcBorders>
            <w:vAlign w:val="center"/>
          </w:tcPr>
          <w:p w:rsidR="004E3021" w:rsidRPr="00FC3A43" w:rsidRDefault="00606E48">
            <w:pPr>
              <w:pStyle w:val="afffffff2"/>
              <w:rPr>
                <w:sz w:val="21"/>
                <w:szCs w:val="21"/>
              </w:rPr>
            </w:pPr>
            <w:r w:rsidRPr="00FC3A43">
              <w:rPr>
                <w:sz w:val="21"/>
                <w:szCs w:val="21"/>
              </w:rPr>
              <w:t>达标</w:t>
            </w:r>
          </w:p>
        </w:tc>
      </w:tr>
      <w:tr w:rsidR="004E3021" w:rsidRPr="00FC3A43">
        <w:trPr>
          <w:trHeight w:val="65"/>
          <w:jc w:val="center"/>
        </w:trPr>
        <w:tc>
          <w:tcPr>
            <w:tcW w:w="460" w:type="pct"/>
            <w:tcBorders>
              <w:left w:val="nil"/>
            </w:tcBorders>
            <w:vAlign w:val="center"/>
          </w:tcPr>
          <w:p w:rsidR="004E3021" w:rsidRPr="00FC3A43" w:rsidRDefault="00606E48">
            <w:pPr>
              <w:pStyle w:val="afffffff2"/>
              <w:rPr>
                <w:sz w:val="21"/>
                <w:szCs w:val="21"/>
              </w:rPr>
            </w:pPr>
            <w:r w:rsidRPr="00FC3A43">
              <w:rPr>
                <w:sz w:val="21"/>
                <w:szCs w:val="21"/>
              </w:rPr>
              <w:t>NO</w:t>
            </w:r>
            <w:r w:rsidRPr="00FC3A43">
              <w:rPr>
                <w:sz w:val="21"/>
                <w:szCs w:val="21"/>
                <w:vertAlign w:val="subscript"/>
              </w:rPr>
              <w:t>2</w:t>
            </w:r>
          </w:p>
        </w:tc>
        <w:tc>
          <w:tcPr>
            <w:tcW w:w="1739" w:type="pct"/>
            <w:vAlign w:val="center"/>
          </w:tcPr>
          <w:p w:rsidR="004E3021" w:rsidRPr="00FC3A43" w:rsidRDefault="00606E48">
            <w:pPr>
              <w:pStyle w:val="afffffff2"/>
              <w:rPr>
                <w:sz w:val="21"/>
                <w:szCs w:val="21"/>
              </w:rPr>
            </w:pPr>
            <w:r w:rsidRPr="00FC3A43">
              <w:rPr>
                <w:sz w:val="21"/>
                <w:szCs w:val="21"/>
              </w:rPr>
              <w:t>年平均浓度</w:t>
            </w:r>
          </w:p>
        </w:tc>
        <w:tc>
          <w:tcPr>
            <w:tcW w:w="841" w:type="pct"/>
            <w:vAlign w:val="center"/>
          </w:tcPr>
          <w:p w:rsidR="004E3021" w:rsidRPr="00FC3A43" w:rsidRDefault="00606E48">
            <w:pPr>
              <w:pStyle w:val="afffffff2"/>
              <w:rPr>
                <w:sz w:val="21"/>
                <w:szCs w:val="21"/>
              </w:rPr>
            </w:pPr>
            <w:r w:rsidRPr="00FC3A43">
              <w:rPr>
                <w:sz w:val="21"/>
                <w:szCs w:val="21"/>
              </w:rPr>
              <w:t>21</w:t>
            </w:r>
          </w:p>
        </w:tc>
        <w:tc>
          <w:tcPr>
            <w:tcW w:w="921" w:type="pct"/>
            <w:vAlign w:val="center"/>
          </w:tcPr>
          <w:p w:rsidR="004E3021" w:rsidRPr="00FC3A43" w:rsidRDefault="00606E48">
            <w:pPr>
              <w:pStyle w:val="afffffff2"/>
              <w:rPr>
                <w:sz w:val="21"/>
                <w:szCs w:val="21"/>
              </w:rPr>
            </w:pPr>
            <w:r w:rsidRPr="00FC3A43">
              <w:rPr>
                <w:sz w:val="21"/>
                <w:szCs w:val="21"/>
              </w:rPr>
              <w:t>40</w:t>
            </w:r>
          </w:p>
        </w:tc>
        <w:tc>
          <w:tcPr>
            <w:tcW w:w="536" w:type="pct"/>
            <w:vAlign w:val="center"/>
          </w:tcPr>
          <w:p w:rsidR="004E3021" w:rsidRPr="00FC3A43" w:rsidRDefault="00606E48">
            <w:pPr>
              <w:pStyle w:val="afffffff2"/>
              <w:rPr>
                <w:sz w:val="21"/>
                <w:szCs w:val="21"/>
              </w:rPr>
            </w:pPr>
            <w:r w:rsidRPr="00FC3A43">
              <w:rPr>
                <w:sz w:val="21"/>
                <w:szCs w:val="21"/>
              </w:rPr>
              <w:t>52.5</w:t>
            </w:r>
          </w:p>
        </w:tc>
        <w:tc>
          <w:tcPr>
            <w:tcW w:w="503" w:type="pct"/>
            <w:tcBorders>
              <w:right w:val="nil"/>
            </w:tcBorders>
            <w:vAlign w:val="center"/>
          </w:tcPr>
          <w:p w:rsidR="004E3021" w:rsidRPr="00FC3A43" w:rsidRDefault="00606E48">
            <w:pPr>
              <w:pStyle w:val="afffffff2"/>
              <w:rPr>
                <w:sz w:val="21"/>
                <w:szCs w:val="21"/>
              </w:rPr>
            </w:pPr>
            <w:r w:rsidRPr="00FC3A43">
              <w:rPr>
                <w:sz w:val="21"/>
                <w:szCs w:val="21"/>
              </w:rPr>
              <w:t>达标</w:t>
            </w:r>
          </w:p>
        </w:tc>
      </w:tr>
      <w:tr w:rsidR="004E3021" w:rsidRPr="00FC3A43">
        <w:trPr>
          <w:trHeight w:val="340"/>
          <w:jc w:val="center"/>
        </w:trPr>
        <w:tc>
          <w:tcPr>
            <w:tcW w:w="460" w:type="pct"/>
            <w:tcBorders>
              <w:left w:val="nil"/>
            </w:tcBorders>
            <w:vAlign w:val="center"/>
          </w:tcPr>
          <w:p w:rsidR="004E3021" w:rsidRPr="00FC3A43" w:rsidRDefault="00606E48">
            <w:pPr>
              <w:pStyle w:val="afffffff2"/>
              <w:rPr>
                <w:sz w:val="21"/>
                <w:szCs w:val="21"/>
              </w:rPr>
            </w:pPr>
            <w:r w:rsidRPr="00FC3A43">
              <w:rPr>
                <w:sz w:val="21"/>
                <w:szCs w:val="21"/>
              </w:rPr>
              <w:t>PM</w:t>
            </w:r>
            <w:r w:rsidRPr="00FC3A43">
              <w:rPr>
                <w:sz w:val="21"/>
                <w:szCs w:val="21"/>
                <w:vertAlign w:val="subscript"/>
              </w:rPr>
              <w:t>10</w:t>
            </w:r>
          </w:p>
        </w:tc>
        <w:tc>
          <w:tcPr>
            <w:tcW w:w="1739" w:type="pct"/>
            <w:vAlign w:val="center"/>
          </w:tcPr>
          <w:p w:rsidR="004E3021" w:rsidRPr="00FC3A43" w:rsidRDefault="00606E48">
            <w:pPr>
              <w:pStyle w:val="afffffff2"/>
              <w:rPr>
                <w:sz w:val="21"/>
                <w:szCs w:val="21"/>
              </w:rPr>
            </w:pPr>
            <w:r w:rsidRPr="00FC3A43">
              <w:rPr>
                <w:sz w:val="21"/>
                <w:szCs w:val="21"/>
              </w:rPr>
              <w:t>年平均浓度</w:t>
            </w:r>
          </w:p>
        </w:tc>
        <w:tc>
          <w:tcPr>
            <w:tcW w:w="841" w:type="pct"/>
            <w:vAlign w:val="center"/>
          </w:tcPr>
          <w:p w:rsidR="004E3021" w:rsidRPr="00FC3A43" w:rsidRDefault="00606E48">
            <w:pPr>
              <w:pStyle w:val="afffffff2"/>
              <w:rPr>
                <w:sz w:val="21"/>
                <w:szCs w:val="21"/>
              </w:rPr>
            </w:pPr>
            <w:r w:rsidRPr="00FC3A43">
              <w:rPr>
                <w:sz w:val="21"/>
                <w:szCs w:val="21"/>
              </w:rPr>
              <w:t>62</w:t>
            </w:r>
          </w:p>
        </w:tc>
        <w:tc>
          <w:tcPr>
            <w:tcW w:w="921" w:type="pct"/>
            <w:vAlign w:val="center"/>
          </w:tcPr>
          <w:p w:rsidR="004E3021" w:rsidRPr="00FC3A43" w:rsidRDefault="00606E48">
            <w:pPr>
              <w:pStyle w:val="afffffff2"/>
              <w:rPr>
                <w:sz w:val="21"/>
                <w:szCs w:val="21"/>
              </w:rPr>
            </w:pPr>
            <w:r w:rsidRPr="00FC3A43">
              <w:rPr>
                <w:sz w:val="21"/>
                <w:szCs w:val="21"/>
              </w:rPr>
              <w:t>70</w:t>
            </w:r>
          </w:p>
        </w:tc>
        <w:tc>
          <w:tcPr>
            <w:tcW w:w="536" w:type="pct"/>
            <w:vAlign w:val="center"/>
          </w:tcPr>
          <w:p w:rsidR="004E3021" w:rsidRPr="00FC3A43" w:rsidRDefault="00606E48">
            <w:pPr>
              <w:pStyle w:val="afffffff2"/>
              <w:rPr>
                <w:sz w:val="21"/>
                <w:szCs w:val="21"/>
              </w:rPr>
            </w:pPr>
            <w:r w:rsidRPr="00FC3A43">
              <w:rPr>
                <w:sz w:val="21"/>
                <w:szCs w:val="21"/>
              </w:rPr>
              <w:t>88.6</w:t>
            </w:r>
          </w:p>
        </w:tc>
        <w:tc>
          <w:tcPr>
            <w:tcW w:w="503" w:type="pct"/>
            <w:tcBorders>
              <w:right w:val="nil"/>
            </w:tcBorders>
            <w:vAlign w:val="center"/>
          </w:tcPr>
          <w:p w:rsidR="004E3021" w:rsidRPr="00FC3A43" w:rsidRDefault="00606E48">
            <w:pPr>
              <w:pStyle w:val="afffffff2"/>
              <w:rPr>
                <w:sz w:val="21"/>
                <w:szCs w:val="21"/>
              </w:rPr>
            </w:pPr>
            <w:r w:rsidRPr="00FC3A43">
              <w:rPr>
                <w:sz w:val="21"/>
                <w:szCs w:val="21"/>
              </w:rPr>
              <w:t>达标</w:t>
            </w:r>
          </w:p>
        </w:tc>
      </w:tr>
      <w:tr w:rsidR="004E3021" w:rsidRPr="00FC3A43">
        <w:trPr>
          <w:trHeight w:val="340"/>
          <w:jc w:val="center"/>
        </w:trPr>
        <w:tc>
          <w:tcPr>
            <w:tcW w:w="460" w:type="pct"/>
            <w:tcBorders>
              <w:left w:val="nil"/>
            </w:tcBorders>
            <w:vAlign w:val="center"/>
          </w:tcPr>
          <w:p w:rsidR="004E3021" w:rsidRPr="00FC3A43" w:rsidRDefault="00606E48">
            <w:pPr>
              <w:pStyle w:val="afffffff2"/>
              <w:rPr>
                <w:sz w:val="21"/>
                <w:szCs w:val="21"/>
              </w:rPr>
            </w:pPr>
            <w:r w:rsidRPr="00FC3A43">
              <w:rPr>
                <w:sz w:val="21"/>
                <w:szCs w:val="21"/>
              </w:rPr>
              <w:t>PM</w:t>
            </w:r>
            <w:r w:rsidRPr="00FC3A43">
              <w:rPr>
                <w:sz w:val="21"/>
                <w:szCs w:val="21"/>
                <w:vertAlign w:val="subscript"/>
              </w:rPr>
              <w:t>2.5</w:t>
            </w:r>
          </w:p>
        </w:tc>
        <w:tc>
          <w:tcPr>
            <w:tcW w:w="1739" w:type="pct"/>
            <w:vAlign w:val="center"/>
          </w:tcPr>
          <w:p w:rsidR="004E3021" w:rsidRPr="00FC3A43" w:rsidRDefault="00606E48">
            <w:pPr>
              <w:pStyle w:val="afffffff2"/>
              <w:rPr>
                <w:sz w:val="21"/>
                <w:szCs w:val="21"/>
              </w:rPr>
            </w:pPr>
            <w:r w:rsidRPr="00FC3A43">
              <w:rPr>
                <w:sz w:val="21"/>
                <w:szCs w:val="21"/>
              </w:rPr>
              <w:t>年平均浓度</w:t>
            </w:r>
          </w:p>
        </w:tc>
        <w:tc>
          <w:tcPr>
            <w:tcW w:w="841" w:type="pct"/>
            <w:vAlign w:val="center"/>
          </w:tcPr>
          <w:p w:rsidR="004E3021" w:rsidRPr="00FC3A43" w:rsidRDefault="00606E48">
            <w:pPr>
              <w:pStyle w:val="afffffff2"/>
              <w:rPr>
                <w:sz w:val="21"/>
                <w:szCs w:val="21"/>
              </w:rPr>
            </w:pPr>
            <w:r w:rsidRPr="00FC3A43">
              <w:rPr>
                <w:sz w:val="21"/>
                <w:szCs w:val="21"/>
              </w:rPr>
              <w:t>39</w:t>
            </w:r>
          </w:p>
        </w:tc>
        <w:tc>
          <w:tcPr>
            <w:tcW w:w="921" w:type="pct"/>
            <w:vAlign w:val="center"/>
          </w:tcPr>
          <w:p w:rsidR="004E3021" w:rsidRPr="00FC3A43" w:rsidRDefault="00606E48">
            <w:pPr>
              <w:pStyle w:val="afffffff2"/>
              <w:rPr>
                <w:sz w:val="21"/>
                <w:szCs w:val="21"/>
              </w:rPr>
            </w:pPr>
            <w:r w:rsidRPr="00FC3A43">
              <w:rPr>
                <w:sz w:val="21"/>
                <w:szCs w:val="21"/>
              </w:rPr>
              <w:t>35</w:t>
            </w:r>
          </w:p>
        </w:tc>
        <w:tc>
          <w:tcPr>
            <w:tcW w:w="536" w:type="pct"/>
            <w:vAlign w:val="center"/>
          </w:tcPr>
          <w:p w:rsidR="004E3021" w:rsidRPr="00FC3A43" w:rsidRDefault="00606E48">
            <w:pPr>
              <w:pStyle w:val="afffffff2"/>
              <w:rPr>
                <w:sz w:val="21"/>
                <w:szCs w:val="21"/>
              </w:rPr>
            </w:pPr>
            <w:r w:rsidRPr="00FC3A43">
              <w:rPr>
                <w:sz w:val="21"/>
                <w:szCs w:val="21"/>
              </w:rPr>
              <w:t>111.4</w:t>
            </w:r>
          </w:p>
        </w:tc>
        <w:tc>
          <w:tcPr>
            <w:tcW w:w="503" w:type="pct"/>
            <w:tcBorders>
              <w:right w:val="nil"/>
            </w:tcBorders>
            <w:vAlign w:val="center"/>
          </w:tcPr>
          <w:p w:rsidR="004E3021" w:rsidRPr="00FC3A43" w:rsidRDefault="00606E48">
            <w:pPr>
              <w:pStyle w:val="afffffff2"/>
              <w:rPr>
                <w:sz w:val="21"/>
                <w:szCs w:val="21"/>
              </w:rPr>
            </w:pPr>
            <w:r w:rsidRPr="00FC3A43">
              <w:rPr>
                <w:sz w:val="21"/>
                <w:szCs w:val="21"/>
              </w:rPr>
              <w:t>不达标</w:t>
            </w:r>
          </w:p>
        </w:tc>
      </w:tr>
      <w:tr w:rsidR="004E3021" w:rsidRPr="00FC3A43">
        <w:trPr>
          <w:trHeight w:val="340"/>
          <w:jc w:val="center"/>
        </w:trPr>
        <w:tc>
          <w:tcPr>
            <w:tcW w:w="460" w:type="pct"/>
            <w:tcBorders>
              <w:left w:val="nil"/>
            </w:tcBorders>
            <w:vAlign w:val="center"/>
          </w:tcPr>
          <w:p w:rsidR="004E3021" w:rsidRPr="00FC3A43" w:rsidRDefault="00606E48">
            <w:pPr>
              <w:pStyle w:val="afffffff2"/>
              <w:rPr>
                <w:sz w:val="21"/>
                <w:szCs w:val="21"/>
              </w:rPr>
            </w:pPr>
            <w:r w:rsidRPr="00FC3A43">
              <w:rPr>
                <w:sz w:val="21"/>
                <w:szCs w:val="21"/>
              </w:rPr>
              <w:t>CO</w:t>
            </w:r>
          </w:p>
        </w:tc>
        <w:tc>
          <w:tcPr>
            <w:tcW w:w="1739" w:type="pct"/>
            <w:vAlign w:val="center"/>
          </w:tcPr>
          <w:p w:rsidR="004E3021" w:rsidRPr="00FC3A43" w:rsidRDefault="00606E48">
            <w:pPr>
              <w:pStyle w:val="afffffff2"/>
              <w:rPr>
                <w:sz w:val="21"/>
                <w:szCs w:val="21"/>
              </w:rPr>
            </w:pPr>
            <w:r w:rsidRPr="00FC3A43">
              <w:rPr>
                <w:sz w:val="21"/>
                <w:szCs w:val="21"/>
              </w:rPr>
              <w:t>第</w:t>
            </w:r>
            <w:r w:rsidRPr="00FC3A43">
              <w:rPr>
                <w:sz w:val="21"/>
                <w:szCs w:val="21"/>
              </w:rPr>
              <w:t>95</w:t>
            </w:r>
            <w:r w:rsidRPr="00FC3A43">
              <w:rPr>
                <w:sz w:val="21"/>
                <w:szCs w:val="21"/>
              </w:rPr>
              <w:t>百分位数日平均质量浓度</w:t>
            </w:r>
          </w:p>
        </w:tc>
        <w:tc>
          <w:tcPr>
            <w:tcW w:w="841" w:type="pct"/>
            <w:vAlign w:val="center"/>
          </w:tcPr>
          <w:p w:rsidR="004E3021" w:rsidRPr="00FC3A43" w:rsidRDefault="00606E48">
            <w:pPr>
              <w:pStyle w:val="afffffff2"/>
              <w:rPr>
                <w:sz w:val="21"/>
                <w:szCs w:val="21"/>
              </w:rPr>
            </w:pPr>
            <w:r w:rsidRPr="00FC3A43">
              <w:rPr>
                <w:sz w:val="21"/>
                <w:szCs w:val="21"/>
              </w:rPr>
              <w:t>800</w:t>
            </w:r>
          </w:p>
        </w:tc>
        <w:tc>
          <w:tcPr>
            <w:tcW w:w="921" w:type="pct"/>
            <w:vAlign w:val="center"/>
          </w:tcPr>
          <w:p w:rsidR="004E3021" w:rsidRPr="00FC3A43" w:rsidRDefault="00606E48">
            <w:pPr>
              <w:pStyle w:val="afffffff2"/>
              <w:rPr>
                <w:sz w:val="21"/>
                <w:szCs w:val="21"/>
              </w:rPr>
            </w:pPr>
            <w:r w:rsidRPr="00FC3A43">
              <w:rPr>
                <w:sz w:val="21"/>
                <w:szCs w:val="21"/>
              </w:rPr>
              <w:t>4000</w:t>
            </w:r>
          </w:p>
        </w:tc>
        <w:tc>
          <w:tcPr>
            <w:tcW w:w="536" w:type="pct"/>
            <w:vAlign w:val="center"/>
          </w:tcPr>
          <w:p w:rsidR="004E3021" w:rsidRPr="00FC3A43" w:rsidRDefault="00606E48">
            <w:pPr>
              <w:pStyle w:val="afffffff2"/>
              <w:rPr>
                <w:sz w:val="21"/>
                <w:szCs w:val="21"/>
              </w:rPr>
            </w:pPr>
            <w:r w:rsidRPr="00FC3A43">
              <w:rPr>
                <w:sz w:val="21"/>
                <w:szCs w:val="21"/>
              </w:rPr>
              <w:t>20.0</w:t>
            </w:r>
          </w:p>
        </w:tc>
        <w:tc>
          <w:tcPr>
            <w:tcW w:w="503" w:type="pct"/>
            <w:tcBorders>
              <w:right w:val="nil"/>
            </w:tcBorders>
            <w:vAlign w:val="center"/>
          </w:tcPr>
          <w:p w:rsidR="004E3021" w:rsidRPr="00FC3A43" w:rsidRDefault="00606E48">
            <w:pPr>
              <w:pStyle w:val="afffffff2"/>
              <w:rPr>
                <w:sz w:val="21"/>
                <w:szCs w:val="21"/>
              </w:rPr>
            </w:pPr>
            <w:r w:rsidRPr="00FC3A43">
              <w:rPr>
                <w:sz w:val="21"/>
                <w:szCs w:val="21"/>
              </w:rPr>
              <w:t>达标</w:t>
            </w:r>
          </w:p>
        </w:tc>
      </w:tr>
      <w:tr w:rsidR="004E3021" w:rsidRPr="00FC3A43">
        <w:trPr>
          <w:trHeight w:val="340"/>
          <w:jc w:val="center"/>
        </w:trPr>
        <w:tc>
          <w:tcPr>
            <w:tcW w:w="460" w:type="pct"/>
            <w:tcBorders>
              <w:left w:val="nil"/>
              <w:bottom w:val="single" w:sz="12" w:space="0" w:color="auto"/>
            </w:tcBorders>
            <w:vAlign w:val="center"/>
          </w:tcPr>
          <w:p w:rsidR="004E3021" w:rsidRPr="00FC3A43" w:rsidRDefault="00606E48">
            <w:pPr>
              <w:pStyle w:val="afffffff2"/>
              <w:rPr>
                <w:sz w:val="21"/>
                <w:szCs w:val="21"/>
              </w:rPr>
            </w:pPr>
            <w:r w:rsidRPr="00FC3A43">
              <w:rPr>
                <w:sz w:val="21"/>
                <w:szCs w:val="21"/>
              </w:rPr>
              <w:t>O</w:t>
            </w:r>
            <w:r w:rsidRPr="00FC3A43">
              <w:rPr>
                <w:sz w:val="21"/>
                <w:szCs w:val="21"/>
                <w:vertAlign w:val="subscript"/>
              </w:rPr>
              <w:t>3</w:t>
            </w:r>
          </w:p>
        </w:tc>
        <w:tc>
          <w:tcPr>
            <w:tcW w:w="1739" w:type="pct"/>
            <w:tcBorders>
              <w:bottom w:val="single" w:sz="12" w:space="0" w:color="auto"/>
            </w:tcBorders>
            <w:vAlign w:val="center"/>
          </w:tcPr>
          <w:p w:rsidR="004E3021" w:rsidRPr="00FC3A43" w:rsidRDefault="00606E48">
            <w:pPr>
              <w:pStyle w:val="afffffff2"/>
              <w:rPr>
                <w:sz w:val="21"/>
                <w:szCs w:val="21"/>
              </w:rPr>
            </w:pPr>
            <w:r w:rsidRPr="00FC3A43">
              <w:rPr>
                <w:sz w:val="21"/>
                <w:szCs w:val="21"/>
              </w:rPr>
              <w:t>最大</w:t>
            </w:r>
            <w:r w:rsidRPr="00FC3A43">
              <w:rPr>
                <w:sz w:val="21"/>
                <w:szCs w:val="21"/>
              </w:rPr>
              <w:t>8h</w:t>
            </w:r>
            <w:r w:rsidRPr="00FC3A43">
              <w:rPr>
                <w:sz w:val="21"/>
                <w:szCs w:val="21"/>
              </w:rPr>
              <w:t>第</w:t>
            </w:r>
            <w:r w:rsidRPr="00FC3A43">
              <w:rPr>
                <w:sz w:val="21"/>
                <w:szCs w:val="21"/>
              </w:rPr>
              <w:t>90</w:t>
            </w:r>
            <w:r w:rsidRPr="00FC3A43">
              <w:rPr>
                <w:sz w:val="21"/>
                <w:szCs w:val="21"/>
              </w:rPr>
              <w:t>百分位数平均质量浓度</w:t>
            </w:r>
          </w:p>
        </w:tc>
        <w:tc>
          <w:tcPr>
            <w:tcW w:w="841" w:type="pct"/>
            <w:tcBorders>
              <w:bottom w:val="single" w:sz="12" w:space="0" w:color="auto"/>
            </w:tcBorders>
            <w:vAlign w:val="center"/>
          </w:tcPr>
          <w:p w:rsidR="004E3021" w:rsidRPr="00FC3A43" w:rsidRDefault="00606E48">
            <w:pPr>
              <w:pStyle w:val="afffffff2"/>
              <w:rPr>
                <w:sz w:val="21"/>
                <w:szCs w:val="21"/>
              </w:rPr>
            </w:pPr>
            <w:r w:rsidRPr="00FC3A43">
              <w:rPr>
                <w:sz w:val="21"/>
                <w:szCs w:val="21"/>
              </w:rPr>
              <w:t>163</w:t>
            </w:r>
          </w:p>
        </w:tc>
        <w:tc>
          <w:tcPr>
            <w:tcW w:w="921" w:type="pct"/>
            <w:tcBorders>
              <w:bottom w:val="single" w:sz="12" w:space="0" w:color="auto"/>
            </w:tcBorders>
            <w:vAlign w:val="center"/>
          </w:tcPr>
          <w:p w:rsidR="004E3021" w:rsidRPr="00FC3A43" w:rsidRDefault="00606E48">
            <w:pPr>
              <w:pStyle w:val="afffffff2"/>
              <w:rPr>
                <w:sz w:val="21"/>
                <w:szCs w:val="21"/>
              </w:rPr>
            </w:pPr>
            <w:r w:rsidRPr="00FC3A43">
              <w:rPr>
                <w:sz w:val="21"/>
                <w:szCs w:val="21"/>
              </w:rPr>
              <w:t>160</w:t>
            </w:r>
          </w:p>
        </w:tc>
        <w:tc>
          <w:tcPr>
            <w:tcW w:w="536" w:type="pct"/>
            <w:tcBorders>
              <w:bottom w:val="single" w:sz="12" w:space="0" w:color="auto"/>
            </w:tcBorders>
            <w:vAlign w:val="center"/>
          </w:tcPr>
          <w:p w:rsidR="004E3021" w:rsidRPr="00FC3A43" w:rsidRDefault="00606E48">
            <w:pPr>
              <w:pStyle w:val="afffffff2"/>
              <w:rPr>
                <w:sz w:val="21"/>
                <w:szCs w:val="21"/>
              </w:rPr>
            </w:pPr>
            <w:r w:rsidRPr="00FC3A43">
              <w:rPr>
                <w:sz w:val="21"/>
                <w:szCs w:val="21"/>
              </w:rPr>
              <w:t>101.9</w:t>
            </w:r>
          </w:p>
        </w:tc>
        <w:tc>
          <w:tcPr>
            <w:tcW w:w="503" w:type="pct"/>
            <w:tcBorders>
              <w:bottom w:val="single" w:sz="12" w:space="0" w:color="auto"/>
              <w:right w:val="nil"/>
            </w:tcBorders>
            <w:vAlign w:val="center"/>
          </w:tcPr>
          <w:p w:rsidR="004E3021" w:rsidRPr="00FC3A43" w:rsidRDefault="00606E48">
            <w:pPr>
              <w:pStyle w:val="afffffff2"/>
              <w:rPr>
                <w:sz w:val="21"/>
                <w:szCs w:val="21"/>
              </w:rPr>
            </w:pPr>
            <w:r w:rsidRPr="00FC3A43">
              <w:rPr>
                <w:sz w:val="21"/>
                <w:szCs w:val="21"/>
              </w:rPr>
              <w:t>不达标</w:t>
            </w:r>
          </w:p>
        </w:tc>
      </w:tr>
    </w:tbl>
    <w:p w:rsidR="004E3021" w:rsidRDefault="00606E48">
      <w:pPr>
        <w:ind w:firstLine="480"/>
        <w:rPr>
          <w:kern w:val="0"/>
          <w:lang w:bidi="ar"/>
        </w:rPr>
      </w:pPr>
      <w:bookmarkStart w:id="295" w:name="_Hlk179277537"/>
      <w:r>
        <w:rPr>
          <w:kern w:val="0"/>
          <w:lang w:bidi="ar"/>
        </w:rPr>
        <w:t>2024</w:t>
      </w:r>
      <w:r>
        <w:rPr>
          <w:kern w:val="0"/>
          <w:lang w:bidi="ar"/>
        </w:rPr>
        <w:t>年环境空气质量状况显示，基本污染物</w:t>
      </w:r>
      <w:r>
        <w:rPr>
          <w:kern w:val="0"/>
          <w:lang w:bidi="ar"/>
        </w:rPr>
        <w:t>SO</w:t>
      </w:r>
      <w:r>
        <w:rPr>
          <w:kern w:val="0"/>
          <w:sz w:val="15"/>
          <w:szCs w:val="15"/>
          <w:lang w:bidi="ar"/>
        </w:rPr>
        <w:t>2</w:t>
      </w:r>
      <w:r>
        <w:rPr>
          <w:kern w:val="0"/>
          <w:lang w:bidi="ar"/>
        </w:rPr>
        <w:t>、</w:t>
      </w:r>
      <w:r>
        <w:rPr>
          <w:kern w:val="0"/>
          <w:lang w:bidi="ar"/>
        </w:rPr>
        <w:t>NO</w:t>
      </w:r>
      <w:r>
        <w:rPr>
          <w:kern w:val="0"/>
          <w:sz w:val="15"/>
          <w:szCs w:val="15"/>
          <w:lang w:bidi="ar"/>
        </w:rPr>
        <w:t>2</w:t>
      </w:r>
      <w:r>
        <w:rPr>
          <w:kern w:val="0"/>
          <w:lang w:bidi="ar"/>
        </w:rPr>
        <w:t>、</w:t>
      </w:r>
      <w:r>
        <w:rPr>
          <w:kern w:val="0"/>
          <w:lang w:bidi="ar"/>
        </w:rPr>
        <w:t>PM</w:t>
      </w:r>
      <w:r>
        <w:rPr>
          <w:kern w:val="0"/>
          <w:sz w:val="15"/>
          <w:szCs w:val="15"/>
          <w:lang w:bidi="ar"/>
        </w:rPr>
        <w:t>10</w:t>
      </w:r>
      <w:r>
        <w:rPr>
          <w:kern w:val="0"/>
          <w:lang w:bidi="ar"/>
        </w:rPr>
        <w:t>、</w:t>
      </w:r>
      <w:r>
        <w:rPr>
          <w:kern w:val="0"/>
          <w:lang w:bidi="ar"/>
        </w:rPr>
        <w:t>CO</w:t>
      </w:r>
      <w:r>
        <w:rPr>
          <w:kern w:val="0"/>
          <w:lang w:bidi="ar"/>
        </w:rPr>
        <w:t>年平均质量浓度均未出现超标，</w:t>
      </w:r>
      <w:bookmarkEnd w:id="295"/>
      <w:r>
        <w:rPr>
          <w:kern w:val="0"/>
          <w:lang w:val="zh-CN" w:bidi="zh-CN"/>
        </w:rPr>
        <w:t>细颗粒物（</w:t>
      </w:r>
      <w:r>
        <w:rPr>
          <w:kern w:val="0"/>
          <w:lang w:val="zh-CN" w:bidi="zh-CN"/>
        </w:rPr>
        <w:t>PM</w:t>
      </w:r>
      <w:r>
        <w:rPr>
          <w:kern w:val="0"/>
          <w:vertAlign w:val="subscript"/>
          <w:lang w:val="zh-CN" w:bidi="zh-CN"/>
        </w:rPr>
        <w:t>2.5</w:t>
      </w:r>
      <w:r>
        <w:rPr>
          <w:kern w:val="0"/>
          <w:lang w:val="zh-CN" w:bidi="zh-CN"/>
        </w:rPr>
        <w:t>）年均浓度为</w:t>
      </w:r>
      <w:r>
        <w:rPr>
          <w:kern w:val="0"/>
          <w:lang w:val="zh-CN" w:bidi="zh-CN"/>
        </w:rPr>
        <w:t>39</w:t>
      </w:r>
      <w:r>
        <w:rPr>
          <w:kern w:val="0"/>
          <w:lang w:val="zh-CN" w:bidi="zh-CN"/>
        </w:rPr>
        <w:t>微克</w:t>
      </w:r>
      <w:r>
        <w:rPr>
          <w:kern w:val="0"/>
          <w:lang w:val="zh-CN" w:bidi="zh-CN"/>
        </w:rPr>
        <w:t>/</w:t>
      </w:r>
      <w:r>
        <w:rPr>
          <w:kern w:val="0"/>
          <w:lang w:val="zh-CN" w:bidi="zh-CN"/>
        </w:rPr>
        <w:t>立方米，占标率</w:t>
      </w:r>
      <w:r>
        <w:rPr>
          <w:kern w:val="0"/>
          <w:lang w:val="zh-CN" w:bidi="zh-CN"/>
        </w:rPr>
        <w:t>111.4%</w:t>
      </w:r>
      <w:r>
        <w:rPr>
          <w:rFonts w:hint="eastAsia"/>
          <w:kern w:val="0"/>
          <w:lang w:val="zh-CN" w:bidi="zh-CN"/>
        </w:rPr>
        <w:t>；</w:t>
      </w:r>
      <w:r>
        <w:rPr>
          <w:kern w:val="0"/>
          <w:lang w:bidi="ar"/>
        </w:rPr>
        <w:t>O</w:t>
      </w:r>
      <w:r>
        <w:rPr>
          <w:kern w:val="0"/>
          <w:sz w:val="15"/>
          <w:szCs w:val="15"/>
          <w:lang w:bidi="ar"/>
        </w:rPr>
        <w:t>3</w:t>
      </w:r>
      <w:r>
        <w:t>最大</w:t>
      </w:r>
      <w:r>
        <w:t>8h</w:t>
      </w:r>
      <w:r>
        <w:t>第</w:t>
      </w:r>
      <w:r>
        <w:t>90</w:t>
      </w:r>
      <w:r>
        <w:t>百分位数平均质量浓度</w:t>
      </w:r>
      <w:r>
        <w:rPr>
          <w:rFonts w:hint="eastAsia"/>
        </w:rPr>
        <w:t>为</w:t>
      </w:r>
      <w:r>
        <w:rPr>
          <w:rFonts w:hint="eastAsia"/>
        </w:rPr>
        <w:t>1</w:t>
      </w:r>
      <w:r>
        <w:t>63</w:t>
      </w:r>
      <w:r>
        <w:rPr>
          <w:kern w:val="0"/>
          <w:lang w:val="zh-CN" w:bidi="zh-CN"/>
        </w:rPr>
        <w:t>微克</w:t>
      </w:r>
      <w:r>
        <w:rPr>
          <w:kern w:val="0"/>
          <w:lang w:val="zh-CN" w:bidi="zh-CN"/>
        </w:rPr>
        <w:t>/</w:t>
      </w:r>
      <w:r>
        <w:rPr>
          <w:kern w:val="0"/>
          <w:lang w:val="zh-CN" w:bidi="zh-CN"/>
        </w:rPr>
        <w:t>立方米，占标率</w:t>
      </w:r>
      <w:r>
        <w:rPr>
          <w:kern w:val="0"/>
          <w:lang w:val="zh-CN" w:bidi="zh-CN"/>
        </w:rPr>
        <w:t>101.9%</w:t>
      </w:r>
      <w:r>
        <w:rPr>
          <w:kern w:val="0"/>
          <w:lang w:val="zh-CN" w:bidi="zh-CN"/>
        </w:rPr>
        <w:t>，细颗粒物（</w:t>
      </w:r>
      <w:r>
        <w:rPr>
          <w:kern w:val="0"/>
          <w:lang w:val="zh-CN" w:bidi="zh-CN"/>
        </w:rPr>
        <w:t>PM</w:t>
      </w:r>
      <w:r>
        <w:rPr>
          <w:kern w:val="0"/>
          <w:vertAlign w:val="subscript"/>
          <w:lang w:val="zh-CN" w:bidi="zh-CN"/>
        </w:rPr>
        <w:t>2.5</w:t>
      </w:r>
      <w:r>
        <w:rPr>
          <w:kern w:val="0"/>
          <w:lang w:val="zh-CN" w:bidi="zh-CN"/>
        </w:rPr>
        <w:t>）</w:t>
      </w:r>
      <w:r>
        <w:rPr>
          <w:rFonts w:hint="eastAsia"/>
          <w:kern w:val="0"/>
          <w:lang w:val="zh-CN" w:bidi="zh-CN"/>
        </w:rPr>
        <w:t>及</w:t>
      </w:r>
      <w:r>
        <w:rPr>
          <w:kern w:val="0"/>
          <w:lang w:bidi="ar"/>
        </w:rPr>
        <w:t>O</w:t>
      </w:r>
      <w:r>
        <w:rPr>
          <w:kern w:val="0"/>
          <w:sz w:val="15"/>
          <w:szCs w:val="15"/>
          <w:lang w:bidi="ar"/>
        </w:rPr>
        <w:t>3</w:t>
      </w:r>
      <w:r>
        <w:rPr>
          <w:kern w:val="0"/>
          <w:lang w:val="zh-CN" w:bidi="zh-CN"/>
        </w:rPr>
        <w:t>超标，项目所在地为大气环境空气质量不达标区。</w:t>
      </w:r>
      <w:r>
        <w:rPr>
          <w:kern w:val="0"/>
          <w:lang w:bidi="ar"/>
        </w:rPr>
        <w:t>改善区域大气环境质量的措施：通过落实《蚌埠市环境空气质量达标规划（</w:t>
      </w:r>
      <w:r>
        <w:rPr>
          <w:kern w:val="0"/>
          <w:lang w:bidi="ar"/>
        </w:rPr>
        <w:t xml:space="preserve">2019-2030 </w:t>
      </w:r>
      <w:r>
        <w:rPr>
          <w:kern w:val="0"/>
          <w:lang w:bidi="ar"/>
        </w:rPr>
        <w:t>年）》中十大重点领域与主要任务，到</w:t>
      </w:r>
      <w:r>
        <w:rPr>
          <w:kern w:val="0"/>
          <w:lang w:bidi="ar"/>
        </w:rPr>
        <w:t>2030</w:t>
      </w:r>
      <w:r>
        <w:rPr>
          <w:kern w:val="0"/>
          <w:lang w:bidi="ar"/>
        </w:rPr>
        <w:t>年，全市空气质量实现达标，</w:t>
      </w:r>
      <w:r>
        <w:rPr>
          <w:kern w:val="0"/>
          <w:lang w:bidi="ar"/>
        </w:rPr>
        <w:t>PM</w:t>
      </w:r>
      <w:r>
        <w:rPr>
          <w:kern w:val="0"/>
          <w:vertAlign w:val="subscript"/>
          <w:lang w:bidi="ar"/>
        </w:rPr>
        <w:t>2.5</w:t>
      </w:r>
      <w:r>
        <w:rPr>
          <w:kern w:val="0"/>
          <w:lang w:bidi="ar"/>
        </w:rPr>
        <w:t>年均浓度下降至</w:t>
      </w:r>
      <w:r>
        <w:rPr>
          <w:kern w:val="0"/>
          <w:lang w:bidi="ar"/>
        </w:rPr>
        <w:t>35</w:t>
      </w:r>
      <w:r>
        <w:rPr>
          <w:kern w:val="0"/>
          <w:lang w:bidi="ar"/>
        </w:rPr>
        <w:t>微克</w:t>
      </w:r>
      <w:r>
        <w:rPr>
          <w:kern w:val="0"/>
          <w:lang w:bidi="ar"/>
        </w:rPr>
        <w:t>/</w:t>
      </w:r>
      <w:r>
        <w:rPr>
          <w:kern w:val="0"/>
          <w:lang w:bidi="ar"/>
        </w:rPr>
        <w:t>立方米以下；</w:t>
      </w:r>
      <w:r>
        <w:rPr>
          <w:kern w:val="0"/>
          <w:lang w:bidi="ar"/>
        </w:rPr>
        <w:t>SO</w:t>
      </w:r>
      <w:r>
        <w:rPr>
          <w:kern w:val="0"/>
          <w:sz w:val="15"/>
          <w:szCs w:val="15"/>
          <w:lang w:bidi="ar"/>
        </w:rPr>
        <w:t>2</w:t>
      </w:r>
      <w:r>
        <w:rPr>
          <w:kern w:val="0"/>
          <w:lang w:bidi="ar"/>
        </w:rPr>
        <w:t>、</w:t>
      </w:r>
      <w:r>
        <w:rPr>
          <w:kern w:val="0"/>
          <w:lang w:bidi="ar"/>
        </w:rPr>
        <w:t>NO</w:t>
      </w:r>
      <w:r>
        <w:rPr>
          <w:kern w:val="0"/>
          <w:sz w:val="15"/>
          <w:szCs w:val="15"/>
          <w:lang w:bidi="ar"/>
        </w:rPr>
        <w:t>2</w:t>
      </w:r>
      <w:r>
        <w:rPr>
          <w:kern w:val="0"/>
          <w:lang w:bidi="ar"/>
        </w:rPr>
        <w:t>、</w:t>
      </w:r>
      <w:r>
        <w:rPr>
          <w:kern w:val="0"/>
          <w:lang w:bidi="ar"/>
        </w:rPr>
        <w:t>CO</w:t>
      </w:r>
      <w:r>
        <w:rPr>
          <w:kern w:val="0"/>
          <w:lang w:bidi="ar"/>
        </w:rPr>
        <w:t>、</w:t>
      </w:r>
      <w:r>
        <w:rPr>
          <w:kern w:val="0"/>
          <w:lang w:bidi="ar"/>
        </w:rPr>
        <w:t>PM</w:t>
      </w:r>
      <w:r>
        <w:rPr>
          <w:kern w:val="0"/>
          <w:sz w:val="15"/>
          <w:szCs w:val="15"/>
          <w:lang w:bidi="ar"/>
        </w:rPr>
        <w:t>10</w:t>
      </w:r>
      <w:r>
        <w:rPr>
          <w:kern w:val="0"/>
          <w:lang w:bidi="ar"/>
        </w:rPr>
        <w:t>年评价浓度全面稳定达到国家二级标准限值以下；臭</w:t>
      </w:r>
      <w:r>
        <w:rPr>
          <w:kern w:val="0"/>
          <w:lang w:bidi="ar"/>
        </w:rPr>
        <w:lastRenderedPageBreak/>
        <w:t>氧污染态势得到遏制；全市空气质量优良率达到</w:t>
      </w:r>
      <w:r>
        <w:rPr>
          <w:kern w:val="0"/>
          <w:lang w:bidi="ar"/>
        </w:rPr>
        <w:t>85%</w:t>
      </w:r>
      <w:r>
        <w:rPr>
          <w:kern w:val="0"/>
          <w:lang w:bidi="ar"/>
        </w:rPr>
        <w:t>及以上。</w:t>
      </w:r>
    </w:p>
    <w:p w:rsidR="004E3021" w:rsidRDefault="00606E48">
      <w:pPr>
        <w:ind w:firstLine="480"/>
        <w:rPr>
          <w:kern w:val="0"/>
          <w:lang w:bidi="ar"/>
        </w:rPr>
      </w:pPr>
      <w:r>
        <w:rPr>
          <w:color w:val="000000"/>
          <w:kern w:val="0"/>
          <w:lang w:val="zh-CN" w:bidi="zh-CN"/>
        </w:rPr>
        <w:t>根据蚌埠市生态环境局</w:t>
      </w:r>
      <w:r>
        <w:rPr>
          <w:color w:val="000000"/>
          <w:kern w:val="0"/>
          <w:lang w:val="zh-CN" w:bidi="zh-CN"/>
        </w:rPr>
        <w:t>2024</w:t>
      </w:r>
      <w:r>
        <w:rPr>
          <w:color w:val="000000"/>
          <w:kern w:val="0"/>
          <w:lang w:val="zh-CN" w:bidi="zh-CN"/>
        </w:rPr>
        <w:t>年</w:t>
      </w:r>
      <w:r>
        <w:rPr>
          <w:color w:val="000000"/>
          <w:kern w:val="0"/>
          <w:lang w:val="zh-CN" w:bidi="zh-CN"/>
        </w:rPr>
        <w:t>6</w:t>
      </w:r>
      <w:r>
        <w:rPr>
          <w:color w:val="000000"/>
          <w:kern w:val="0"/>
          <w:lang w:val="zh-CN" w:bidi="zh-CN"/>
        </w:rPr>
        <w:t>月</w:t>
      </w:r>
      <w:r>
        <w:rPr>
          <w:color w:val="000000"/>
          <w:kern w:val="0"/>
          <w:lang w:val="zh-CN" w:bidi="zh-CN"/>
        </w:rPr>
        <w:t>3</w:t>
      </w:r>
      <w:r>
        <w:rPr>
          <w:color w:val="000000"/>
          <w:kern w:val="0"/>
          <w:lang w:val="zh-CN" w:bidi="zh-CN"/>
        </w:rPr>
        <w:t>日发布的《</w:t>
      </w:r>
      <w:r>
        <w:rPr>
          <w:color w:val="000000"/>
          <w:kern w:val="0"/>
          <w:lang w:val="zh-CN" w:bidi="zh-CN"/>
        </w:rPr>
        <w:t>2023</w:t>
      </w:r>
      <w:r>
        <w:rPr>
          <w:color w:val="000000"/>
          <w:kern w:val="0"/>
          <w:lang w:val="zh-CN" w:bidi="zh-CN"/>
        </w:rPr>
        <w:t>年蚌埠市生态环境质量状况公报》，</w:t>
      </w:r>
      <w:r>
        <w:rPr>
          <w:rFonts w:hint="eastAsia"/>
          <w:kern w:val="0"/>
          <w:lang w:bidi="ar"/>
        </w:rPr>
        <w:t>评价基准年</w:t>
      </w:r>
      <w:r>
        <w:rPr>
          <w:rFonts w:hint="eastAsia"/>
          <w:kern w:val="0"/>
          <w:lang w:bidi="ar"/>
        </w:rPr>
        <w:t>2</w:t>
      </w:r>
      <w:r>
        <w:rPr>
          <w:kern w:val="0"/>
          <w:lang w:bidi="ar"/>
        </w:rPr>
        <w:t>023</w:t>
      </w:r>
      <w:r>
        <w:rPr>
          <w:rFonts w:hint="eastAsia"/>
          <w:kern w:val="0"/>
          <w:lang w:bidi="ar"/>
        </w:rPr>
        <w:t>年环境质量状况如下。</w:t>
      </w:r>
    </w:p>
    <w:p w:rsidR="004E3021" w:rsidRDefault="00606E48">
      <w:pPr>
        <w:spacing w:line="500" w:lineRule="exact"/>
        <w:ind w:firstLineChars="0" w:firstLine="0"/>
        <w:jc w:val="center"/>
        <w:rPr>
          <w:rFonts w:eastAsia="黑体"/>
        </w:rPr>
      </w:pPr>
      <w:r>
        <w:rPr>
          <w:rFonts w:eastAsia="黑体"/>
        </w:rPr>
        <w:t>表</w:t>
      </w:r>
      <w:r>
        <w:rPr>
          <w:rFonts w:eastAsia="黑体"/>
        </w:rPr>
        <w:t xml:space="preserve">4.2.1-2  </w:t>
      </w:r>
      <w:r>
        <w:rPr>
          <w:rFonts w:eastAsia="黑体"/>
        </w:rPr>
        <w:t>环境空气达标区判断结果一览表</w:t>
      </w:r>
    </w:p>
    <w:tbl>
      <w:tblPr>
        <w:tblStyle w:val="afff"/>
        <w:tblW w:w="5000" w:type="pct"/>
        <w:tblLook w:val="04A0" w:firstRow="1" w:lastRow="0" w:firstColumn="1" w:lastColumn="0" w:noHBand="0" w:noVBand="1"/>
      </w:tblPr>
      <w:tblGrid>
        <w:gridCol w:w="1187"/>
        <w:gridCol w:w="2746"/>
        <w:gridCol w:w="2103"/>
        <w:gridCol w:w="1883"/>
        <w:gridCol w:w="1107"/>
      </w:tblGrid>
      <w:tr w:rsidR="004E3021" w:rsidRPr="00C748F7" w:rsidTr="00C748F7">
        <w:trPr>
          <w:trHeight w:val="340"/>
        </w:trPr>
        <w:tc>
          <w:tcPr>
            <w:tcW w:w="658" w:type="pct"/>
            <w:vAlign w:val="center"/>
          </w:tcPr>
          <w:p w:rsidR="004E3021" w:rsidRPr="00C748F7" w:rsidRDefault="00606E48" w:rsidP="00C748F7">
            <w:pPr>
              <w:pStyle w:val="afffffff2"/>
              <w:rPr>
                <w:rFonts w:ascii="Times New Roman" w:hAnsi="Times New Roman" w:cs="Times New Roman"/>
                <w:b/>
                <w:kern w:val="0"/>
                <w:sz w:val="21"/>
                <w:szCs w:val="21"/>
              </w:rPr>
            </w:pPr>
            <w:r w:rsidRPr="00C748F7">
              <w:rPr>
                <w:rFonts w:ascii="Times New Roman" w:hAnsi="Times New Roman" w:cs="Times New Roman"/>
                <w:b/>
                <w:kern w:val="0"/>
                <w:sz w:val="21"/>
                <w:szCs w:val="21"/>
              </w:rPr>
              <w:t>污染物</w:t>
            </w:r>
          </w:p>
        </w:tc>
        <w:tc>
          <w:tcPr>
            <w:tcW w:w="1521" w:type="pct"/>
            <w:vAlign w:val="center"/>
          </w:tcPr>
          <w:p w:rsidR="004E3021" w:rsidRPr="00C748F7" w:rsidRDefault="00606E48" w:rsidP="00C748F7">
            <w:pPr>
              <w:pStyle w:val="afffffff2"/>
              <w:rPr>
                <w:rFonts w:ascii="Times New Roman" w:hAnsi="Times New Roman" w:cs="Times New Roman"/>
                <w:b/>
                <w:kern w:val="0"/>
                <w:sz w:val="21"/>
                <w:szCs w:val="21"/>
              </w:rPr>
            </w:pPr>
            <w:r w:rsidRPr="00C748F7">
              <w:rPr>
                <w:rFonts w:ascii="Times New Roman" w:hAnsi="Times New Roman" w:cs="Times New Roman"/>
                <w:b/>
                <w:kern w:val="0"/>
                <w:sz w:val="21"/>
                <w:szCs w:val="21"/>
              </w:rPr>
              <w:t>评价指标</w:t>
            </w:r>
          </w:p>
        </w:tc>
        <w:tc>
          <w:tcPr>
            <w:tcW w:w="1165" w:type="pct"/>
            <w:vAlign w:val="center"/>
          </w:tcPr>
          <w:p w:rsidR="004E3021" w:rsidRPr="00C748F7" w:rsidRDefault="00606E48" w:rsidP="00C748F7">
            <w:pPr>
              <w:pStyle w:val="afffffff2"/>
              <w:rPr>
                <w:rFonts w:ascii="Times New Roman" w:hAnsi="Times New Roman" w:cs="Times New Roman"/>
                <w:b/>
                <w:kern w:val="0"/>
                <w:sz w:val="21"/>
                <w:szCs w:val="21"/>
              </w:rPr>
            </w:pPr>
            <w:r w:rsidRPr="00C748F7">
              <w:rPr>
                <w:rFonts w:ascii="Times New Roman" w:hAnsi="Times New Roman" w:cs="Times New Roman"/>
                <w:b/>
                <w:kern w:val="0"/>
                <w:sz w:val="21"/>
                <w:szCs w:val="21"/>
              </w:rPr>
              <w:t>现状浓度（</w:t>
            </w:r>
            <w:r w:rsidRPr="00C748F7">
              <w:rPr>
                <w:rFonts w:ascii="Times New Roman" w:hAnsi="Times New Roman" w:cs="Times New Roman"/>
                <w:b/>
                <w:kern w:val="0"/>
                <w:sz w:val="21"/>
                <w:szCs w:val="21"/>
              </w:rPr>
              <w:t>μg/m</w:t>
            </w:r>
            <w:r w:rsidRPr="00C748F7">
              <w:rPr>
                <w:rFonts w:ascii="Times New Roman" w:hAnsi="Times New Roman" w:cs="Times New Roman"/>
                <w:b/>
                <w:kern w:val="0"/>
                <w:sz w:val="21"/>
                <w:szCs w:val="21"/>
                <w:vertAlign w:val="superscript"/>
              </w:rPr>
              <w:t>3</w:t>
            </w:r>
            <w:r w:rsidRPr="00C748F7">
              <w:rPr>
                <w:rFonts w:ascii="Times New Roman" w:hAnsi="Times New Roman" w:cs="Times New Roman"/>
                <w:b/>
                <w:kern w:val="0"/>
                <w:sz w:val="21"/>
                <w:szCs w:val="21"/>
              </w:rPr>
              <w:t>）</w:t>
            </w:r>
          </w:p>
        </w:tc>
        <w:tc>
          <w:tcPr>
            <w:tcW w:w="1043" w:type="pct"/>
            <w:vAlign w:val="center"/>
          </w:tcPr>
          <w:p w:rsidR="004E3021" w:rsidRPr="00C748F7" w:rsidRDefault="00606E48" w:rsidP="00C748F7">
            <w:pPr>
              <w:pStyle w:val="afffffff2"/>
              <w:rPr>
                <w:rFonts w:ascii="Times New Roman" w:hAnsi="Times New Roman" w:cs="Times New Roman"/>
                <w:b/>
                <w:kern w:val="0"/>
                <w:sz w:val="21"/>
                <w:szCs w:val="21"/>
              </w:rPr>
            </w:pPr>
            <w:r w:rsidRPr="00C748F7">
              <w:rPr>
                <w:rFonts w:ascii="Times New Roman" w:hAnsi="Times New Roman" w:cs="Times New Roman"/>
                <w:b/>
                <w:kern w:val="0"/>
                <w:sz w:val="21"/>
                <w:szCs w:val="21"/>
              </w:rPr>
              <w:t>标准值（</w:t>
            </w:r>
            <w:r w:rsidRPr="00C748F7">
              <w:rPr>
                <w:rFonts w:ascii="Times New Roman" w:hAnsi="Times New Roman" w:cs="Times New Roman"/>
                <w:b/>
                <w:kern w:val="0"/>
                <w:sz w:val="21"/>
                <w:szCs w:val="21"/>
              </w:rPr>
              <w:t>μg/m</w:t>
            </w:r>
            <w:r w:rsidRPr="00C748F7">
              <w:rPr>
                <w:rFonts w:ascii="Times New Roman" w:hAnsi="Times New Roman" w:cs="Times New Roman"/>
                <w:b/>
                <w:kern w:val="0"/>
                <w:sz w:val="21"/>
                <w:szCs w:val="21"/>
                <w:vertAlign w:val="superscript"/>
              </w:rPr>
              <w:t>3</w:t>
            </w:r>
            <w:r w:rsidRPr="00C748F7">
              <w:rPr>
                <w:rFonts w:ascii="Times New Roman" w:hAnsi="Times New Roman" w:cs="Times New Roman"/>
                <w:b/>
                <w:kern w:val="0"/>
                <w:sz w:val="21"/>
                <w:szCs w:val="21"/>
              </w:rPr>
              <w:t>）</w:t>
            </w:r>
          </w:p>
        </w:tc>
        <w:tc>
          <w:tcPr>
            <w:tcW w:w="613" w:type="pct"/>
            <w:vAlign w:val="center"/>
          </w:tcPr>
          <w:p w:rsidR="004E3021" w:rsidRPr="00C748F7" w:rsidRDefault="00606E48" w:rsidP="00C748F7">
            <w:pPr>
              <w:pStyle w:val="afffffff2"/>
              <w:rPr>
                <w:rFonts w:ascii="Times New Roman" w:hAnsi="Times New Roman" w:cs="Times New Roman"/>
                <w:b/>
                <w:kern w:val="0"/>
                <w:sz w:val="21"/>
                <w:szCs w:val="21"/>
              </w:rPr>
            </w:pPr>
            <w:r w:rsidRPr="00C748F7">
              <w:rPr>
                <w:rFonts w:ascii="Times New Roman" w:hAnsi="Times New Roman" w:cs="Times New Roman"/>
                <w:b/>
                <w:kern w:val="0"/>
                <w:sz w:val="21"/>
                <w:szCs w:val="21"/>
              </w:rPr>
              <w:t>占标率</w:t>
            </w:r>
            <w:r w:rsidRPr="00C748F7">
              <w:rPr>
                <w:rFonts w:ascii="Times New Roman" w:hAnsi="Times New Roman" w:cs="Times New Roman"/>
                <w:b/>
                <w:kern w:val="0"/>
                <w:sz w:val="21"/>
                <w:szCs w:val="21"/>
              </w:rPr>
              <w:t>%</w:t>
            </w:r>
          </w:p>
        </w:tc>
      </w:tr>
      <w:tr w:rsidR="004E3021" w:rsidRPr="00C748F7" w:rsidTr="00C748F7">
        <w:trPr>
          <w:trHeight w:val="340"/>
        </w:trPr>
        <w:tc>
          <w:tcPr>
            <w:tcW w:w="658"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SO</w:t>
            </w:r>
            <w:r w:rsidRPr="00C748F7">
              <w:rPr>
                <w:rFonts w:ascii="Times New Roman" w:hAnsi="Times New Roman" w:cs="Times New Roman"/>
                <w:kern w:val="0"/>
                <w:sz w:val="21"/>
                <w:szCs w:val="21"/>
                <w:vertAlign w:val="subscript"/>
              </w:rPr>
              <w:t>2</w:t>
            </w:r>
          </w:p>
        </w:tc>
        <w:tc>
          <w:tcPr>
            <w:tcW w:w="1521"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年平均浓度</w:t>
            </w:r>
          </w:p>
        </w:tc>
        <w:tc>
          <w:tcPr>
            <w:tcW w:w="1165"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8</w:t>
            </w:r>
          </w:p>
        </w:tc>
        <w:tc>
          <w:tcPr>
            <w:tcW w:w="1043"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60</w:t>
            </w:r>
          </w:p>
        </w:tc>
        <w:tc>
          <w:tcPr>
            <w:tcW w:w="613"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13.33</w:t>
            </w:r>
          </w:p>
        </w:tc>
      </w:tr>
      <w:tr w:rsidR="004E3021" w:rsidRPr="00C748F7" w:rsidTr="00C748F7">
        <w:trPr>
          <w:trHeight w:val="65"/>
        </w:trPr>
        <w:tc>
          <w:tcPr>
            <w:tcW w:w="658"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NO</w:t>
            </w:r>
            <w:r w:rsidRPr="00C748F7">
              <w:rPr>
                <w:rFonts w:ascii="Times New Roman" w:hAnsi="Times New Roman" w:cs="Times New Roman"/>
                <w:kern w:val="0"/>
                <w:sz w:val="21"/>
                <w:szCs w:val="21"/>
                <w:vertAlign w:val="subscript"/>
              </w:rPr>
              <w:t>2</w:t>
            </w:r>
          </w:p>
        </w:tc>
        <w:tc>
          <w:tcPr>
            <w:tcW w:w="1521"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年平均浓度</w:t>
            </w:r>
          </w:p>
        </w:tc>
        <w:tc>
          <w:tcPr>
            <w:tcW w:w="1165"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31</w:t>
            </w:r>
          </w:p>
        </w:tc>
        <w:tc>
          <w:tcPr>
            <w:tcW w:w="1043"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40</w:t>
            </w:r>
          </w:p>
        </w:tc>
        <w:tc>
          <w:tcPr>
            <w:tcW w:w="613"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77.50</w:t>
            </w:r>
          </w:p>
        </w:tc>
      </w:tr>
      <w:tr w:rsidR="004E3021" w:rsidRPr="00C748F7" w:rsidTr="00C748F7">
        <w:trPr>
          <w:trHeight w:val="340"/>
        </w:trPr>
        <w:tc>
          <w:tcPr>
            <w:tcW w:w="658"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PM</w:t>
            </w:r>
            <w:r w:rsidRPr="00C748F7">
              <w:rPr>
                <w:rFonts w:ascii="Times New Roman" w:hAnsi="Times New Roman" w:cs="Times New Roman"/>
                <w:kern w:val="0"/>
                <w:sz w:val="21"/>
                <w:szCs w:val="21"/>
                <w:vertAlign w:val="subscript"/>
              </w:rPr>
              <w:t>10</w:t>
            </w:r>
          </w:p>
        </w:tc>
        <w:tc>
          <w:tcPr>
            <w:tcW w:w="1521"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年平均浓度</w:t>
            </w:r>
          </w:p>
        </w:tc>
        <w:tc>
          <w:tcPr>
            <w:tcW w:w="1165"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66</w:t>
            </w:r>
          </w:p>
        </w:tc>
        <w:tc>
          <w:tcPr>
            <w:tcW w:w="1043"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70</w:t>
            </w:r>
          </w:p>
        </w:tc>
        <w:tc>
          <w:tcPr>
            <w:tcW w:w="613"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94.29</w:t>
            </w:r>
          </w:p>
        </w:tc>
      </w:tr>
      <w:tr w:rsidR="004E3021" w:rsidRPr="00C748F7" w:rsidTr="00C748F7">
        <w:trPr>
          <w:trHeight w:val="340"/>
        </w:trPr>
        <w:tc>
          <w:tcPr>
            <w:tcW w:w="658"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PM</w:t>
            </w:r>
            <w:r w:rsidRPr="00C748F7">
              <w:rPr>
                <w:rFonts w:ascii="Times New Roman" w:hAnsi="Times New Roman" w:cs="Times New Roman"/>
                <w:kern w:val="0"/>
                <w:sz w:val="21"/>
                <w:szCs w:val="21"/>
                <w:vertAlign w:val="subscript"/>
              </w:rPr>
              <w:t>2.5</w:t>
            </w:r>
          </w:p>
        </w:tc>
        <w:tc>
          <w:tcPr>
            <w:tcW w:w="1521"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年平均浓度</w:t>
            </w:r>
          </w:p>
        </w:tc>
        <w:tc>
          <w:tcPr>
            <w:tcW w:w="1165"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38</w:t>
            </w:r>
          </w:p>
        </w:tc>
        <w:tc>
          <w:tcPr>
            <w:tcW w:w="1043"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35</w:t>
            </w:r>
          </w:p>
        </w:tc>
        <w:tc>
          <w:tcPr>
            <w:tcW w:w="613"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108.6</w:t>
            </w:r>
          </w:p>
        </w:tc>
      </w:tr>
      <w:tr w:rsidR="004E3021" w:rsidRPr="00C748F7" w:rsidTr="00C748F7">
        <w:trPr>
          <w:trHeight w:val="340"/>
        </w:trPr>
        <w:tc>
          <w:tcPr>
            <w:tcW w:w="658"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CO</w:t>
            </w:r>
          </w:p>
        </w:tc>
        <w:tc>
          <w:tcPr>
            <w:tcW w:w="1521"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第</w:t>
            </w:r>
            <w:r w:rsidRPr="00C748F7">
              <w:rPr>
                <w:rFonts w:ascii="Times New Roman" w:hAnsi="Times New Roman" w:cs="Times New Roman"/>
                <w:kern w:val="0"/>
                <w:sz w:val="21"/>
                <w:szCs w:val="21"/>
              </w:rPr>
              <w:t>95</w:t>
            </w:r>
            <w:r w:rsidRPr="00C748F7">
              <w:rPr>
                <w:rFonts w:ascii="Times New Roman" w:hAnsi="Times New Roman" w:cs="Times New Roman"/>
                <w:kern w:val="0"/>
                <w:sz w:val="21"/>
                <w:szCs w:val="21"/>
              </w:rPr>
              <w:t>百分位数日平均质量浓度</w:t>
            </w:r>
          </w:p>
        </w:tc>
        <w:tc>
          <w:tcPr>
            <w:tcW w:w="1165"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900</w:t>
            </w:r>
          </w:p>
        </w:tc>
        <w:tc>
          <w:tcPr>
            <w:tcW w:w="1043"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4000</w:t>
            </w:r>
          </w:p>
        </w:tc>
        <w:tc>
          <w:tcPr>
            <w:tcW w:w="613"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22.5</w:t>
            </w:r>
          </w:p>
        </w:tc>
      </w:tr>
      <w:tr w:rsidR="004E3021" w:rsidRPr="00C748F7" w:rsidTr="00C748F7">
        <w:trPr>
          <w:trHeight w:val="340"/>
        </w:trPr>
        <w:tc>
          <w:tcPr>
            <w:tcW w:w="658"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O</w:t>
            </w:r>
            <w:r w:rsidRPr="00C748F7">
              <w:rPr>
                <w:rFonts w:ascii="Times New Roman" w:hAnsi="Times New Roman" w:cs="Times New Roman"/>
                <w:kern w:val="0"/>
                <w:sz w:val="21"/>
                <w:szCs w:val="21"/>
                <w:vertAlign w:val="subscript"/>
              </w:rPr>
              <w:t>3</w:t>
            </w:r>
          </w:p>
        </w:tc>
        <w:tc>
          <w:tcPr>
            <w:tcW w:w="1521"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最大</w:t>
            </w:r>
            <w:r w:rsidRPr="00C748F7">
              <w:rPr>
                <w:rFonts w:ascii="Times New Roman" w:hAnsi="Times New Roman" w:cs="Times New Roman"/>
                <w:kern w:val="0"/>
                <w:sz w:val="21"/>
                <w:szCs w:val="21"/>
              </w:rPr>
              <w:t>8h</w:t>
            </w:r>
            <w:r w:rsidRPr="00C748F7">
              <w:rPr>
                <w:rFonts w:ascii="Times New Roman" w:hAnsi="Times New Roman" w:cs="Times New Roman"/>
                <w:kern w:val="0"/>
                <w:sz w:val="21"/>
                <w:szCs w:val="21"/>
              </w:rPr>
              <w:t>第</w:t>
            </w:r>
            <w:r w:rsidRPr="00C748F7">
              <w:rPr>
                <w:rFonts w:ascii="Times New Roman" w:hAnsi="Times New Roman" w:cs="Times New Roman"/>
                <w:kern w:val="0"/>
                <w:sz w:val="21"/>
                <w:szCs w:val="21"/>
              </w:rPr>
              <w:t>90</w:t>
            </w:r>
            <w:r w:rsidRPr="00C748F7">
              <w:rPr>
                <w:rFonts w:ascii="Times New Roman" w:hAnsi="Times New Roman" w:cs="Times New Roman"/>
                <w:kern w:val="0"/>
                <w:sz w:val="21"/>
                <w:szCs w:val="21"/>
              </w:rPr>
              <w:t>百分位数平均质量浓度</w:t>
            </w:r>
          </w:p>
        </w:tc>
        <w:tc>
          <w:tcPr>
            <w:tcW w:w="1165"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159</w:t>
            </w:r>
          </w:p>
        </w:tc>
        <w:tc>
          <w:tcPr>
            <w:tcW w:w="1043"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160</w:t>
            </w:r>
          </w:p>
        </w:tc>
        <w:tc>
          <w:tcPr>
            <w:tcW w:w="613" w:type="pct"/>
            <w:vAlign w:val="center"/>
          </w:tcPr>
          <w:p w:rsidR="004E3021" w:rsidRPr="00C748F7" w:rsidRDefault="00606E48" w:rsidP="00C748F7">
            <w:pPr>
              <w:pStyle w:val="afffffff2"/>
              <w:rPr>
                <w:rFonts w:ascii="Times New Roman" w:hAnsi="Times New Roman" w:cs="Times New Roman"/>
                <w:kern w:val="0"/>
                <w:sz w:val="21"/>
                <w:szCs w:val="21"/>
              </w:rPr>
            </w:pPr>
            <w:r w:rsidRPr="00C748F7">
              <w:rPr>
                <w:rFonts w:ascii="Times New Roman" w:hAnsi="Times New Roman" w:cs="Times New Roman"/>
                <w:kern w:val="0"/>
                <w:sz w:val="21"/>
                <w:szCs w:val="21"/>
              </w:rPr>
              <w:t>99.375</w:t>
            </w:r>
          </w:p>
        </w:tc>
      </w:tr>
    </w:tbl>
    <w:p w:rsidR="004E3021" w:rsidRDefault="00606E48">
      <w:pPr>
        <w:pStyle w:val="4a"/>
      </w:pPr>
      <w:r>
        <w:rPr>
          <w:rFonts w:hint="eastAsia"/>
        </w:rPr>
        <w:t>4.2.1.2</w:t>
      </w:r>
      <w:r>
        <w:rPr>
          <w:rFonts w:hint="eastAsia"/>
        </w:rPr>
        <w:t>其他污染物环境质量现状监测与评价</w:t>
      </w:r>
    </w:p>
    <w:p w:rsidR="004E3021" w:rsidRPr="0094474C" w:rsidRDefault="00606E48">
      <w:pPr>
        <w:ind w:firstLine="482"/>
        <w:rPr>
          <w:b/>
        </w:rPr>
      </w:pPr>
      <w:r w:rsidRPr="0094474C">
        <w:rPr>
          <w:rFonts w:ascii="宋体" w:hAnsi="宋体" w:hint="eastAsia"/>
          <w:b/>
        </w:rPr>
        <w:t>（</w:t>
      </w:r>
      <w:r w:rsidRPr="0094474C">
        <w:rPr>
          <w:rFonts w:hint="eastAsia"/>
          <w:b/>
        </w:rPr>
        <w:t>1</w:t>
      </w:r>
      <w:r w:rsidRPr="0094474C">
        <w:rPr>
          <w:rFonts w:ascii="宋体" w:hAnsi="宋体" w:hint="eastAsia"/>
          <w:b/>
        </w:rPr>
        <w:t>）监测布点</w:t>
      </w:r>
    </w:p>
    <w:p w:rsidR="004E3021" w:rsidRDefault="00BC1A7C">
      <w:pPr>
        <w:ind w:firstLine="480"/>
      </w:pPr>
      <w:r>
        <w:t>综合考虑本地区风频特征、重点保护目标位置、本地区近年来开展的环境监测工作以及本项目废气污染物产生的种类和特征，本项目</w:t>
      </w:r>
      <w:r>
        <w:rPr>
          <w:rFonts w:hint="eastAsia"/>
        </w:rPr>
        <w:t>甲醇</w:t>
      </w:r>
      <w:r w:rsidRPr="00BC1A7C">
        <w:rPr>
          <w:rFonts w:hint="eastAsia"/>
        </w:rPr>
        <w:t>、非甲烷总烃、</w:t>
      </w:r>
      <w:r w:rsidR="00CD0AE7" w:rsidRPr="00CD0AE7">
        <w:t>NH</w:t>
      </w:r>
      <w:r w:rsidR="00CD0AE7" w:rsidRPr="00CD0AE7">
        <w:rPr>
          <w:vertAlign w:val="subscript"/>
        </w:rPr>
        <w:t>3</w:t>
      </w:r>
      <w:r w:rsidR="00CD0AE7" w:rsidRPr="00CD0AE7">
        <w:t>、</w:t>
      </w:r>
      <w:r w:rsidRPr="00BC1A7C">
        <w:rPr>
          <w:rFonts w:hint="eastAsia"/>
        </w:rPr>
        <w:t>H</w:t>
      </w:r>
      <w:r w:rsidRPr="00BC1A7C">
        <w:rPr>
          <w:rFonts w:hint="eastAsia"/>
          <w:vertAlign w:val="subscript"/>
        </w:rPr>
        <w:t>2</w:t>
      </w:r>
      <w:r w:rsidRPr="00BC1A7C">
        <w:rPr>
          <w:rFonts w:hint="eastAsia"/>
        </w:rPr>
        <w:t>S</w:t>
      </w:r>
      <w:r w:rsidRPr="00BC1A7C">
        <w:rPr>
          <w:rFonts w:hint="eastAsia"/>
        </w:rPr>
        <w:t>、</w:t>
      </w:r>
      <w:r w:rsidRPr="00BC1A7C">
        <w:rPr>
          <w:rFonts w:hint="eastAsia"/>
        </w:rPr>
        <w:t>TSP</w:t>
      </w:r>
      <w:r>
        <w:rPr>
          <w:rFonts w:hint="eastAsia"/>
        </w:rPr>
        <w:t>大气环境质量现状引用《</w:t>
      </w:r>
      <w:r w:rsidRPr="00BC1A7C">
        <w:rPr>
          <w:rFonts w:hint="eastAsia"/>
        </w:rPr>
        <w:t>蚌埠精细化工高新技术产业基地环境影响区域评估</w:t>
      </w:r>
      <w:r w:rsidRPr="00BC1A7C">
        <w:rPr>
          <w:rFonts w:hint="eastAsia"/>
        </w:rPr>
        <w:t>+</w:t>
      </w:r>
      <w:r w:rsidRPr="00BC1A7C">
        <w:rPr>
          <w:rFonts w:hint="eastAsia"/>
        </w:rPr>
        <w:t>环境标准报告</w:t>
      </w:r>
      <w:r>
        <w:rPr>
          <w:rFonts w:hint="eastAsia"/>
        </w:rPr>
        <w:t>》中沫河口镇监测数据，监测单位为</w:t>
      </w:r>
      <w:r>
        <w:rPr>
          <w:rFonts w:ascii="宋体" w:hAnsi="宋体" w:hint="eastAsia"/>
        </w:rPr>
        <w:t>安徽天晟环保科技有限公司</w:t>
      </w:r>
      <w:r>
        <w:rPr>
          <w:rFonts w:hint="eastAsia"/>
        </w:rPr>
        <w:t>（</w:t>
      </w:r>
      <w:r>
        <w:rPr>
          <w:rFonts w:hint="eastAsia"/>
        </w:rPr>
        <w:t>B</w:t>
      </w:r>
      <w:r>
        <w:rPr>
          <w:rFonts w:hint="eastAsia"/>
        </w:rPr>
        <w:t>级），采样时间为</w:t>
      </w:r>
      <w:r>
        <w:rPr>
          <w:rFonts w:eastAsiaTheme="minorEastAsia"/>
        </w:rPr>
        <w:t>2024.04.16~2024.05.02</w:t>
      </w:r>
      <w:r>
        <w:rPr>
          <w:rFonts w:eastAsiaTheme="minorEastAsia" w:hint="eastAsia"/>
        </w:rPr>
        <w:t>，时间上满足</w:t>
      </w:r>
      <w:r>
        <w:rPr>
          <w:rFonts w:eastAsiaTheme="minorEastAsia" w:hint="eastAsia"/>
        </w:rPr>
        <w:t>3</w:t>
      </w:r>
      <w:r>
        <w:rPr>
          <w:rFonts w:eastAsiaTheme="minorEastAsia" w:hint="eastAsia"/>
        </w:rPr>
        <w:t>年内的要求，</w:t>
      </w:r>
      <w:r>
        <w:rPr>
          <w:rFonts w:eastAsiaTheme="minorEastAsia"/>
        </w:rPr>
        <w:t>该</w:t>
      </w:r>
      <w:r>
        <w:rPr>
          <w:rFonts w:eastAsiaTheme="minorEastAsia" w:hint="eastAsia"/>
        </w:rPr>
        <w:t>监测点位</w:t>
      </w:r>
      <w:r>
        <w:rPr>
          <w:rFonts w:eastAsiaTheme="minorEastAsia"/>
        </w:rPr>
        <w:t>在本项目</w:t>
      </w:r>
      <w:r>
        <w:rPr>
          <w:rFonts w:eastAsiaTheme="minorEastAsia" w:hint="eastAsia"/>
        </w:rPr>
        <w:t>西北方向</w:t>
      </w:r>
      <w:r>
        <w:rPr>
          <w:rFonts w:eastAsiaTheme="minorEastAsia"/>
        </w:rPr>
        <w:t>2700m</w:t>
      </w:r>
      <w:r>
        <w:rPr>
          <w:rFonts w:eastAsiaTheme="minorEastAsia"/>
        </w:rPr>
        <w:t>处，</w:t>
      </w:r>
      <w:r>
        <w:rPr>
          <w:rFonts w:eastAsiaTheme="minorEastAsia" w:hint="eastAsia"/>
        </w:rPr>
        <w:t>位置上</w:t>
      </w:r>
      <w:r>
        <w:rPr>
          <w:rFonts w:hint="eastAsia"/>
          <w:color w:val="000000" w:themeColor="text1"/>
        </w:rPr>
        <w:t>满足《环境影响评价技术导则</w:t>
      </w:r>
      <w:r>
        <w:rPr>
          <w:rFonts w:hint="eastAsia"/>
          <w:color w:val="000000" w:themeColor="text1"/>
        </w:rPr>
        <w:t xml:space="preserve"> </w:t>
      </w:r>
      <w:r>
        <w:rPr>
          <w:rFonts w:hint="eastAsia"/>
          <w:color w:val="000000" w:themeColor="text1"/>
        </w:rPr>
        <w:t>大气环境》</w:t>
      </w:r>
      <w:r>
        <w:rPr>
          <w:rFonts w:hint="eastAsia"/>
          <w:color w:val="000000" w:themeColor="text1"/>
        </w:rPr>
        <w:t>(HJ2.2-2018)</w:t>
      </w:r>
      <w:r>
        <w:rPr>
          <w:rFonts w:hint="eastAsia"/>
          <w:color w:val="000000" w:themeColor="text1"/>
        </w:rPr>
        <w:t>中</w:t>
      </w:r>
      <w:r>
        <w:rPr>
          <w:rFonts w:eastAsiaTheme="minorEastAsia"/>
        </w:rPr>
        <w:t>环境质量现状监测</w:t>
      </w:r>
      <w:r>
        <w:rPr>
          <w:rFonts w:eastAsiaTheme="minorEastAsia" w:hint="eastAsia"/>
        </w:rPr>
        <w:t>点位在厂址及主导风向下风向</w:t>
      </w:r>
      <w:r>
        <w:rPr>
          <w:rFonts w:eastAsiaTheme="minorEastAsia" w:hint="eastAsia"/>
        </w:rPr>
        <w:t>5km</w:t>
      </w:r>
      <w:r>
        <w:rPr>
          <w:rFonts w:eastAsiaTheme="minorEastAsia" w:hint="eastAsia"/>
        </w:rPr>
        <w:t>范围内的要求</w:t>
      </w:r>
      <w:r w:rsidR="00606E48">
        <w:rPr>
          <w:rFonts w:ascii="宋体" w:hAnsi="宋体" w:hint="eastAsia"/>
        </w:rPr>
        <w:t>。</w:t>
      </w:r>
    </w:p>
    <w:p w:rsidR="004E3021" w:rsidRDefault="00606E48">
      <w:pPr>
        <w:spacing w:line="500" w:lineRule="exact"/>
        <w:ind w:firstLineChars="0" w:firstLine="0"/>
        <w:jc w:val="center"/>
        <w:rPr>
          <w:rFonts w:ascii="黑体" w:eastAsia="黑体" w:hAnsi="黑体"/>
        </w:rPr>
      </w:pPr>
      <w:r>
        <w:rPr>
          <w:rFonts w:ascii="黑体" w:eastAsia="黑体" w:hAnsi="黑体" w:hint="eastAsia"/>
        </w:rPr>
        <w:t>表</w:t>
      </w:r>
      <w:r>
        <w:rPr>
          <w:rFonts w:eastAsia="黑体"/>
        </w:rPr>
        <w:t xml:space="preserve">4.2.1-3  </w:t>
      </w:r>
      <w:r>
        <w:rPr>
          <w:rFonts w:ascii="黑体" w:eastAsia="黑体" w:hAnsi="黑体" w:hint="eastAsia"/>
        </w:rPr>
        <w:t>大气环境质量监测布点与监测因子</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2"/>
        <w:gridCol w:w="800"/>
        <w:gridCol w:w="755"/>
        <w:gridCol w:w="1305"/>
        <w:gridCol w:w="2318"/>
        <w:gridCol w:w="1242"/>
        <w:gridCol w:w="2114"/>
      </w:tblGrid>
      <w:tr w:rsidR="00137B7C" w:rsidRPr="00FC3A43" w:rsidTr="009F1962">
        <w:trPr>
          <w:jc w:val="center"/>
        </w:trPr>
        <w:tc>
          <w:tcPr>
            <w:tcW w:w="273" w:type="pct"/>
            <w:tcBorders>
              <w:top w:val="single" w:sz="12" w:space="0" w:color="auto"/>
              <w:left w:val="nil"/>
              <w:bottom w:val="single" w:sz="4" w:space="0" w:color="auto"/>
              <w:right w:val="single" w:sz="4" w:space="0" w:color="auto"/>
            </w:tcBorders>
            <w:tcMar>
              <w:top w:w="0" w:type="dxa"/>
              <w:left w:w="28" w:type="dxa"/>
              <w:bottom w:w="0" w:type="dxa"/>
              <w:right w:w="28" w:type="dxa"/>
            </w:tcMar>
            <w:vAlign w:val="center"/>
          </w:tcPr>
          <w:p w:rsidR="00137B7C" w:rsidRPr="006D5DB1" w:rsidRDefault="00137B7C" w:rsidP="00137B7C">
            <w:pPr>
              <w:pStyle w:val="afffffff2"/>
              <w:rPr>
                <w:b/>
                <w:sz w:val="21"/>
                <w:szCs w:val="21"/>
              </w:rPr>
            </w:pPr>
            <w:r w:rsidRPr="006D5DB1">
              <w:rPr>
                <w:b/>
                <w:sz w:val="21"/>
                <w:szCs w:val="21"/>
              </w:rPr>
              <w:t>编号</w:t>
            </w:r>
          </w:p>
        </w:tc>
        <w:tc>
          <w:tcPr>
            <w:tcW w:w="443" w:type="pct"/>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137B7C" w:rsidRPr="006D5DB1" w:rsidRDefault="00137B7C" w:rsidP="00137B7C">
            <w:pPr>
              <w:pStyle w:val="afffffff2"/>
              <w:rPr>
                <w:b/>
                <w:sz w:val="21"/>
                <w:szCs w:val="21"/>
              </w:rPr>
            </w:pPr>
            <w:r w:rsidRPr="006D5DB1">
              <w:rPr>
                <w:b/>
                <w:sz w:val="21"/>
                <w:szCs w:val="21"/>
              </w:rPr>
              <w:t>名称</w:t>
            </w:r>
          </w:p>
        </w:tc>
        <w:tc>
          <w:tcPr>
            <w:tcW w:w="418" w:type="pct"/>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137B7C" w:rsidRPr="006D5DB1" w:rsidRDefault="00137B7C" w:rsidP="00137B7C">
            <w:pPr>
              <w:pStyle w:val="afffffff2"/>
              <w:rPr>
                <w:b/>
                <w:sz w:val="21"/>
                <w:szCs w:val="21"/>
              </w:rPr>
            </w:pPr>
            <w:r w:rsidRPr="006D5DB1">
              <w:rPr>
                <w:b/>
                <w:sz w:val="21"/>
                <w:szCs w:val="21"/>
              </w:rPr>
              <w:t>方位</w:t>
            </w:r>
          </w:p>
        </w:tc>
        <w:tc>
          <w:tcPr>
            <w:tcW w:w="723" w:type="pct"/>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137B7C" w:rsidRPr="006D5DB1" w:rsidRDefault="00137B7C" w:rsidP="00137B7C">
            <w:pPr>
              <w:pStyle w:val="afffffff2"/>
              <w:rPr>
                <w:b/>
                <w:sz w:val="21"/>
                <w:szCs w:val="21"/>
              </w:rPr>
            </w:pPr>
            <w:r w:rsidRPr="006D5DB1">
              <w:rPr>
                <w:b/>
                <w:sz w:val="21"/>
                <w:szCs w:val="21"/>
              </w:rPr>
              <w:t>距离本项目距（</w:t>
            </w:r>
            <w:r w:rsidRPr="006D5DB1">
              <w:rPr>
                <w:b/>
                <w:sz w:val="21"/>
                <w:szCs w:val="21"/>
              </w:rPr>
              <w:t>m</w:t>
            </w:r>
            <w:r w:rsidRPr="006D5DB1">
              <w:rPr>
                <w:b/>
                <w:sz w:val="21"/>
                <w:szCs w:val="21"/>
              </w:rPr>
              <w:t>）</w:t>
            </w:r>
          </w:p>
        </w:tc>
        <w:tc>
          <w:tcPr>
            <w:tcW w:w="1284" w:type="pct"/>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137B7C" w:rsidRPr="006D5DB1" w:rsidRDefault="00137B7C" w:rsidP="00137B7C">
            <w:pPr>
              <w:pStyle w:val="afffffff2"/>
              <w:rPr>
                <w:b/>
                <w:sz w:val="21"/>
                <w:szCs w:val="21"/>
              </w:rPr>
            </w:pPr>
            <w:r w:rsidRPr="006D5DB1">
              <w:rPr>
                <w:b/>
                <w:sz w:val="21"/>
                <w:szCs w:val="21"/>
              </w:rPr>
              <w:t>监测因子</w:t>
            </w:r>
          </w:p>
        </w:tc>
        <w:tc>
          <w:tcPr>
            <w:tcW w:w="688" w:type="pct"/>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137B7C" w:rsidRPr="006D5DB1" w:rsidRDefault="00137B7C" w:rsidP="00137B7C">
            <w:pPr>
              <w:pStyle w:val="afffffff2"/>
              <w:rPr>
                <w:b/>
                <w:sz w:val="21"/>
                <w:szCs w:val="21"/>
              </w:rPr>
            </w:pPr>
            <w:r w:rsidRPr="006D5DB1">
              <w:rPr>
                <w:rFonts w:hint="eastAsia"/>
                <w:b/>
                <w:sz w:val="21"/>
                <w:szCs w:val="21"/>
              </w:rPr>
              <w:t>数据来源</w:t>
            </w:r>
          </w:p>
        </w:tc>
        <w:tc>
          <w:tcPr>
            <w:tcW w:w="1171" w:type="pct"/>
            <w:tcBorders>
              <w:top w:val="single" w:sz="12" w:space="0" w:color="auto"/>
              <w:left w:val="single" w:sz="4" w:space="0" w:color="auto"/>
              <w:bottom w:val="single" w:sz="4" w:space="0" w:color="auto"/>
              <w:right w:val="nil"/>
            </w:tcBorders>
            <w:vAlign w:val="center"/>
          </w:tcPr>
          <w:p w:rsidR="00137B7C" w:rsidRPr="006D5DB1" w:rsidRDefault="00137B7C" w:rsidP="00137B7C">
            <w:pPr>
              <w:pStyle w:val="afffffff2"/>
              <w:rPr>
                <w:b/>
                <w:sz w:val="21"/>
                <w:szCs w:val="21"/>
              </w:rPr>
            </w:pPr>
            <w:r w:rsidRPr="006D5DB1">
              <w:rPr>
                <w:rFonts w:hint="eastAsia"/>
                <w:b/>
                <w:sz w:val="21"/>
                <w:szCs w:val="21"/>
              </w:rPr>
              <w:t>监测时间</w:t>
            </w:r>
          </w:p>
        </w:tc>
      </w:tr>
      <w:tr w:rsidR="00137B7C" w:rsidRPr="00FC3A43" w:rsidTr="009F1962">
        <w:trPr>
          <w:jc w:val="center"/>
        </w:trPr>
        <w:tc>
          <w:tcPr>
            <w:tcW w:w="273" w:type="pct"/>
            <w:tcBorders>
              <w:top w:val="single" w:sz="4" w:space="0" w:color="auto"/>
              <w:left w:val="nil"/>
              <w:bottom w:val="single" w:sz="12" w:space="0" w:color="auto"/>
              <w:right w:val="single" w:sz="4" w:space="0" w:color="auto"/>
            </w:tcBorders>
            <w:tcMar>
              <w:top w:w="0" w:type="dxa"/>
              <w:left w:w="28" w:type="dxa"/>
              <w:bottom w:w="0" w:type="dxa"/>
              <w:right w:w="28" w:type="dxa"/>
            </w:tcMar>
            <w:vAlign w:val="center"/>
          </w:tcPr>
          <w:p w:rsidR="00137B7C" w:rsidRPr="00FC3A43" w:rsidRDefault="00137B7C" w:rsidP="00137B7C">
            <w:pPr>
              <w:pStyle w:val="afffffff2"/>
              <w:rPr>
                <w:sz w:val="21"/>
                <w:szCs w:val="21"/>
              </w:rPr>
            </w:pPr>
            <w:r w:rsidRPr="00FC3A43">
              <w:rPr>
                <w:rFonts w:hint="eastAsia"/>
                <w:sz w:val="21"/>
                <w:szCs w:val="21"/>
              </w:rPr>
              <w:t>G</w:t>
            </w:r>
            <w:r>
              <w:rPr>
                <w:sz w:val="21"/>
                <w:szCs w:val="21"/>
              </w:rPr>
              <w:t>1</w:t>
            </w:r>
          </w:p>
        </w:tc>
        <w:tc>
          <w:tcPr>
            <w:tcW w:w="443" w:type="pct"/>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tcPr>
          <w:p w:rsidR="00137B7C" w:rsidRPr="00FC3A43" w:rsidRDefault="00137B7C" w:rsidP="00137B7C">
            <w:pPr>
              <w:pStyle w:val="afffffff2"/>
              <w:rPr>
                <w:sz w:val="21"/>
                <w:szCs w:val="21"/>
              </w:rPr>
            </w:pPr>
            <w:r>
              <w:rPr>
                <w:rFonts w:hint="eastAsia"/>
                <w:sz w:val="21"/>
                <w:szCs w:val="21"/>
              </w:rPr>
              <w:t>沫河口镇</w:t>
            </w:r>
          </w:p>
        </w:tc>
        <w:tc>
          <w:tcPr>
            <w:tcW w:w="418" w:type="pct"/>
            <w:tcBorders>
              <w:top w:val="single" w:sz="4" w:space="0" w:color="auto"/>
              <w:left w:val="single" w:sz="4" w:space="0" w:color="auto"/>
              <w:bottom w:val="single" w:sz="12" w:space="0" w:color="auto"/>
              <w:right w:val="single" w:sz="4" w:space="0" w:color="auto"/>
            </w:tcBorders>
            <w:shd w:val="clear" w:color="auto" w:fill="FFFFFF"/>
            <w:tcMar>
              <w:top w:w="0" w:type="dxa"/>
              <w:left w:w="28" w:type="dxa"/>
              <w:bottom w:w="0" w:type="dxa"/>
              <w:right w:w="28" w:type="dxa"/>
            </w:tcMar>
            <w:vAlign w:val="center"/>
          </w:tcPr>
          <w:p w:rsidR="00137B7C" w:rsidRPr="00FC3A43" w:rsidRDefault="00137B7C" w:rsidP="00137B7C">
            <w:pPr>
              <w:pStyle w:val="afffffff2"/>
              <w:rPr>
                <w:sz w:val="21"/>
                <w:szCs w:val="21"/>
              </w:rPr>
            </w:pPr>
            <w:r>
              <w:rPr>
                <w:rFonts w:hint="eastAsia"/>
                <w:sz w:val="21"/>
                <w:szCs w:val="21"/>
              </w:rPr>
              <w:t>N</w:t>
            </w:r>
            <w:r w:rsidRPr="00FC3A43">
              <w:rPr>
                <w:sz w:val="21"/>
                <w:szCs w:val="21"/>
              </w:rPr>
              <w:t>W</w:t>
            </w:r>
          </w:p>
        </w:tc>
        <w:tc>
          <w:tcPr>
            <w:tcW w:w="723" w:type="pct"/>
            <w:tcBorders>
              <w:top w:val="single" w:sz="4" w:space="0" w:color="auto"/>
              <w:left w:val="single" w:sz="4" w:space="0" w:color="auto"/>
              <w:bottom w:val="single" w:sz="12" w:space="0" w:color="auto"/>
              <w:right w:val="single" w:sz="4" w:space="0" w:color="auto"/>
            </w:tcBorders>
            <w:shd w:val="clear" w:color="auto" w:fill="FFFFFF"/>
            <w:tcMar>
              <w:top w:w="0" w:type="dxa"/>
              <w:left w:w="28" w:type="dxa"/>
              <w:bottom w:w="0" w:type="dxa"/>
              <w:right w:w="28" w:type="dxa"/>
            </w:tcMar>
            <w:vAlign w:val="center"/>
          </w:tcPr>
          <w:p w:rsidR="00137B7C" w:rsidRPr="00FC3A43" w:rsidRDefault="00137B7C" w:rsidP="00137B7C">
            <w:pPr>
              <w:pStyle w:val="afffffff2"/>
              <w:rPr>
                <w:sz w:val="21"/>
                <w:szCs w:val="21"/>
              </w:rPr>
            </w:pPr>
            <w:r>
              <w:rPr>
                <w:sz w:val="21"/>
                <w:szCs w:val="21"/>
              </w:rPr>
              <w:t>2700</w:t>
            </w:r>
          </w:p>
        </w:tc>
        <w:tc>
          <w:tcPr>
            <w:tcW w:w="1284" w:type="pct"/>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tcPr>
          <w:p w:rsidR="00137B7C" w:rsidRPr="00FC3A43" w:rsidRDefault="00137B7C" w:rsidP="00137B7C">
            <w:pPr>
              <w:pStyle w:val="afffffff2"/>
              <w:rPr>
                <w:sz w:val="21"/>
                <w:szCs w:val="21"/>
              </w:rPr>
            </w:pPr>
            <w:r w:rsidRPr="00BC1A7C">
              <w:rPr>
                <w:rFonts w:hint="eastAsia"/>
                <w:kern w:val="0"/>
                <w:sz w:val="21"/>
                <w:szCs w:val="21"/>
              </w:rPr>
              <w:t>甲醇、非甲烷总烃、</w:t>
            </w:r>
            <w:r w:rsidR="00CD0AE7" w:rsidRPr="00CD0AE7">
              <w:rPr>
                <w:rFonts w:cs="Times New Roman"/>
                <w:kern w:val="0"/>
                <w:sz w:val="21"/>
                <w:szCs w:val="21"/>
              </w:rPr>
              <w:t>NH</w:t>
            </w:r>
            <w:r w:rsidR="00CD0AE7" w:rsidRPr="00CD0AE7">
              <w:rPr>
                <w:rFonts w:cs="Times New Roman"/>
                <w:kern w:val="0"/>
                <w:sz w:val="21"/>
                <w:szCs w:val="21"/>
                <w:vertAlign w:val="subscript"/>
              </w:rPr>
              <w:t>3</w:t>
            </w:r>
            <w:r w:rsidR="00CD0AE7" w:rsidRPr="00CD0AE7">
              <w:rPr>
                <w:rFonts w:cs="Times New Roman" w:hint="eastAsia"/>
                <w:kern w:val="0"/>
                <w:sz w:val="21"/>
                <w:szCs w:val="21"/>
              </w:rPr>
              <w:t>、</w:t>
            </w:r>
            <w:r w:rsidRPr="00BC1A7C">
              <w:rPr>
                <w:rFonts w:hint="eastAsia"/>
                <w:kern w:val="0"/>
                <w:sz w:val="21"/>
                <w:szCs w:val="21"/>
              </w:rPr>
              <w:t>H</w:t>
            </w:r>
            <w:r w:rsidRPr="00BC1A7C">
              <w:rPr>
                <w:rFonts w:hint="eastAsia"/>
                <w:kern w:val="0"/>
                <w:sz w:val="21"/>
                <w:szCs w:val="21"/>
                <w:vertAlign w:val="subscript"/>
              </w:rPr>
              <w:t>2</w:t>
            </w:r>
            <w:r w:rsidRPr="00BC1A7C">
              <w:rPr>
                <w:rFonts w:hint="eastAsia"/>
                <w:kern w:val="0"/>
                <w:sz w:val="21"/>
                <w:szCs w:val="21"/>
              </w:rPr>
              <w:t>S</w:t>
            </w:r>
            <w:r w:rsidRPr="00BC1A7C">
              <w:rPr>
                <w:rFonts w:hint="eastAsia"/>
                <w:kern w:val="0"/>
                <w:sz w:val="21"/>
                <w:szCs w:val="21"/>
              </w:rPr>
              <w:t>、</w:t>
            </w:r>
            <w:r w:rsidRPr="00BC1A7C">
              <w:rPr>
                <w:rFonts w:hint="eastAsia"/>
                <w:kern w:val="0"/>
                <w:sz w:val="21"/>
                <w:szCs w:val="21"/>
              </w:rPr>
              <w:t>TSP</w:t>
            </w:r>
          </w:p>
        </w:tc>
        <w:tc>
          <w:tcPr>
            <w:tcW w:w="688" w:type="pct"/>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tcPr>
          <w:p w:rsidR="00137B7C" w:rsidRPr="00FC3A43" w:rsidRDefault="00137B7C" w:rsidP="00137B7C">
            <w:pPr>
              <w:pStyle w:val="afffffff2"/>
              <w:rPr>
                <w:sz w:val="21"/>
                <w:szCs w:val="21"/>
              </w:rPr>
            </w:pPr>
            <w:r w:rsidRPr="00FC3A43">
              <w:rPr>
                <w:sz w:val="21"/>
                <w:szCs w:val="21"/>
              </w:rPr>
              <w:t>引用</w:t>
            </w:r>
          </w:p>
        </w:tc>
        <w:tc>
          <w:tcPr>
            <w:tcW w:w="1171" w:type="pct"/>
            <w:tcBorders>
              <w:top w:val="single" w:sz="4" w:space="0" w:color="auto"/>
              <w:left w:val="single" w:sz="4" w:space="0" w:color="auto"/>
              <w:bottom w:val="single" w:sz="12" w:space="0" w:color="auto"/>
              <w:right w:val="nil"/>
            </w:tcBorders>
            <w:vAlign w:val="center"/>
          </w:tcPr>
          <w:p w:rsidR="00137B7C" w:rsidRPr="00FC3A43" w:rsidRDefault="00137B7C" w:rsidP="00137B7C">
            <w:pPr>
              <w:pStyle w:val="afffffff2"/>
              <w:rPr>
                <w:sz w:val="21"/>
                <w:szCs w:val="21"/>
              </w:rPr>
            </w:pPr>
            <w:r w:rsidRPr="00BC1A7C">
              <w:rPr>
                <w:sz w:val="21"/>
                <w:szCs w:val="21"/>
              </w:rPr>
              <w:t>2024.04.16~2024.05.02</w:t>
            </w:r>
          </w:p>
        </w:tc>
      </w:tr>
    </w:tbl>
    <w:p w:rsidR="00137B7C" w:rsidRDefault="00137B7C">
      <w:pPr>
        <w:spacing w:line="500" w:lineRule="exact"/>
        <w:ind w:firstLineChars="0" w:firstLine="0"/>
        <w:jc w:val="center"/>
        <w:rPr>
          <w:rFonts w:ascii="黑体" w:eastAsia="黑体" w:hAnsi="黑体"/>
        </w:rPr>
      </w:pPr>
    </w:p>
    <w:p w:rsidR="00137B7C" w:rsidRDefault="00137B7C">
      <w:pPr>
        <w:spacing w:line="500" w:lineRule="exact"/>
        <w:ind w:firstLineChars="0" w:firstLine="0"/>
        <w:jc w:val="center"/>
        <w:rPr>
          <w:rFonts w:ascii="黑体" w:eastAsia="黑体" w:hAnsi="黑体"/>
        </w:rPr>
      </w:pPr>
    </w:p>
    <w:p w:rsidR="00137B7C" w:rsidRDefault="00137B7C">
      <w:pPr>
        <w:spacing w:line="500" w:lineRule="exact"/>
        <w:ind w:firstLineChars="0" w:firstLine="0"/>
        <w:jc w:val="center"/>
        <w:rPr>
          <w:rFonts w:eastAsia="黑体"/>
        </w:rPr>
        <w:sectPr w:rsidR="00137B7C">
          <w:pgSz w:w="11906" w:h="16838"/>
          <w:pgMar w:top="1440" w:right="1440" w:bottom="1440" w:left="1440" w:header="851" w:footer="992" w:gutter="0"/>
          <w:cols w:space="425"/>
          <w:docGrid w:type="lines" w:linePitch="326"/>
        </w:sectPr>
      </w:pPr>
    </w:p>
    <w:p w:rsidR="0094474C" w:rsidRPr="0094474C" w:rsidRDefault="005E413B" w:rsidP="0094474C">
      <w:pPr>
        <w:ind w:firstLineChars="0" w:firstLine="0"/>
        <w:jc w:val="center"/>
        <w:rPr>
          <w:rFonts w:ascii="宋体" w:hAnsi="宋体"/>
        </w:rPr>
      </w:pPr>
      <w:r>
        <w:rPr>
          <w:rFonts w:ascii="宋体" w:hAnsi="宋体"/>
        </w:rPr>
        <w:lastRenderedPageBreak/>
        <w:pict>
          <v:shape id="_x0000_i1031" type="#_x0000_t75" style="width:609.75pt;height:408.75pt">
            <v:imagedata r:id="rId32" o:title="大气及地下水监测点位" croptop="5150f" cropbottom="4171f" cropleft="2949f" cropright="3277f"/>
          </v:shape>
        </w:pict>
      </w:r>
    </w:p>
    <w:p w:rsidR="0094474C" w:rsidRDefault="0094474C" w:rsidP="0094474C">
      <w:pPr>
        <w:spacing w:line="500" w:lineRule="exact"/>
        <w:ind w:firstLineChars="0" w:firstLine="0"/>
        <w:jc w:val="center"/>
        <w:rPr>
          <w:rFonts w:eastAsia="黑体"/>
        </w:rPr>
      </w:pPr>
      <w:r>
        <w:rPr>
          <w:rFonts w:eastAsia="黑体"/>
        </w:rPr>
        <w:t>图</w:t>
      </w:r>
      <w:r>
        <w:rPr>
          <w:rFonts w:eastAsia="黑体"/>
        </w:rPr>
        <w:t xml:space="preserve">4.2.1-1  </w:t>
      </w:r>
      <w:r>
        <w:rPr>
          <w:rFonts w:eastAsia="黑体" w:hint="eastAsia"/>
        </w:rPr>
        <w:t>本项目大气引用监测点位</w:t>
      </w:r>
      <w:r w:rsidR="00FA79D2">
        <w:rPr>
          <w:rFonts w:eastAsia="黑体" w:hint="eastAsia"/>
        </w:rPr>
        <w:t>、</w:t>
      </w:r>
      <w:r w:rsidR="009F1962">
        <w:rPr>
          <w:rFonts w:eastAsia="黑体" w:hint="eastAsia"/>
        </w:rPr>
        <w:t>地下水</w:t>
      </w:r>
      <w:r w:rsidR="00FA79D2">
        <w:rPr>
          <w:rFonts w:eastAsia="黑体" w:hint="eastAsia"/>
        </w:rPr>
        <w:t>及底泥</w:t>
      </w:r>
      <w:r w:rsidR="009F1962">
        <w:rPr>
          <w:rFonts w:eastAsia="黑体" w:hint="eastAsia"/>
        </w:rPr>
        <w:t>监测点位</w:t>
      </w:r>
      <w:r>
        <w:rPr>
          <w:rFonts w:eastAsia="黑体"/>
        </w:rPr>
        <w:t>图</w:t>
      </w:r>
    </w:p>
    <w:p w:rsidR="004E3021" w:rsidRPr="0094474C" w:rsidRDefault="00606E48">
      <w:pPr>
        <w:ind w:firstLine="482"/>
        <w:rPr>
          <w:b/>
        </w:rPr>
      </w:pPr>
      <w:r w:rsidRPr="0094474C">
        <w:rPr>
          <w:rFonts w:ascii="宋体" w:hAnsi="宋体" w:hint="eastAsia"/>
          <w:b/>
        </w:rPr>
        <w:lastRenderedPageBreak/>
        <w:t>（</w:t>
      </w:r>
      <w:r w:rsidR="0094474C" w:rsidRPr="0094474C">
        <w:rPr>
          <w:b/>
        </w:rPr>
        <w:t>2</w:t>
      </w:r>
      <w:r w:rsidRPr="0094474C">
        <w:rPr>
          <w:rFonts w:ascii="宋体" w:hAnsi="宋体" w:hint="eastAsia"/>
          <w:b/>
        </w:rPr>
        <w:t>）监测结果</w:t>
      </w:r>
    </w:p>
    <w:p w:rsidR="004E3021" w:rsidRDefault="00606E48">
      <w:pPr>
        <w:pStyle w:val="afffff4"/>
      </w:pPr>
      <w:r>
        <w:t xml:space="preserve">  </w:t>
      </w:r>
      <w:r>
        <w:t>表</w:t>
      </w:r>
      <w:r>
        <w:t>4.2</w:t>
      </w:r>
      <w:r>
        <w:rPr>
          <w:rFonts w:hint="eastAsia"/>
        </w:rPr>
        <w:t>.1-</w:t>
      </w:r>
      <w:r w:rsidR="00137B7C">
        <w:t>4</w:t>
      </w:r>
      <w:r>
        <w:rPr>
          <w:rFonts w:hint="eastAsia"/>
        </w:rPr>
        <w:t xml:space="preserve"> </w:t>
      </w:r>
      <w:r>
        <w:t xml:space="preserve"> </w:t>
      </w:r>
      <w:r>
        <w:rPr>
          <w:rFonts w:hint="eastAsia"/>
        </w:rPr>
        <w:t>大气环境质量监测结果</w:t>
      </w:r>
    </w:p>
    <w:tbl>
      <w:tblPr>
        <w:tblStyle w:val="afff"/>
        <w:tblW w:w="5000" w:type="pct"/>
        <w:tblLook w:val="04A0" w:firstRow="1" w:lastRow="0" w:firstColumn="1" w:lastColumn="0" w:noHBand="0" w:noVBand="1"/>
      </w:tblPr>
      <w:tblGrid>
        <w:gridCol w:w="710"/>
        <w:gridCol w:w="1137"/>
        <w:gridCol w:w="991"/>
        <w:gridCol w:w="1133"/>
        <w:gridCol w:w="1136"/>
        <w:gridCol w:w="1133"/>
        <w:gridCol w:w="851"/>
        <w:gridCol w:w="851"/>
        <w:gridCol w:w="991"/>
        <w:gridCol w:w="1064"/>
        <w:gridCol w:w="1080"/>
        <w:gridCol w:w="983"/>
        <w:gridCol w:w="846"/>
        <w:gridCol w:w="1052"/>
      </w:tblGrid>
      <w:tr w:rsidR="00137B7C" w:rsidRPr="00C748F7" w:rsidTr="00ED6D1E">
        <w:trPr>
          <w:trHeight w:val="300"/>
        </w:trPr>
        <w:tc>
          <w:tcPr>
            <w:tcW w:w="254" w:type="pct"/>
            <w:vMerge w:val="restart"/>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监测点</w:t>
            </w:r>
          </w:p>
        </w:tc>
        <w:tc>
          <w:tcPr>
            <w:tcW w:w="407" w:type="pct"/>
            <w:vMerge w:val="restart"/>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监测项目</w:t>
            </w:r>
          </w:p>
        </w:tc>
        <w:tc>
          <w:tcPr>
            <w:tcW w:w="2183" w:type="pct"/>
            <w:gridSpan w:val="6"/>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时均</w:t>
            </w:r>
            <w:r w:rsidRPr="006D5DB1">
              <w:rPr>
                <w:rFonts w:ascii="Times New Roman" w:hAnsi="Times New Roman"/>
                <w:b/>
                <w:kern w:val="0"/>
                <w:sz w:val="21"/>
                <w:szCs w:val="21"/>
              </w:rPr>
              <w:t>(</w:t>
            </w:r>
            <w:r w:rsidRPr="006D5DB1">
              <w:rPr>
                <w:rFonts w:ascii="Times New Roman" w:hAnsi="Times New Roman"/>
                <w:b/>
                <w:kern w:val="0"/>
                <w:sz w:val="21"/>
                <w:szCs w:val="21"/>
              </w:rPr>
              <w:t>或一次</w:t>
            </w:r>
            <w:r w:rsidRPr="006D5DB1">
              <w:rPr>
                <w:rFonts w:ascii="Times New Roman" w:hAnsi="Times New Roman"/>
                <w:b/>
                <w:kern w:val="0"/>
                <w:sz w:val="21"/>
                <w:szCs w:val="21"/>
              </w:rPr>
              <w:t>)</w:t>
            </w:r>
            <w:r w:rsidRPr="006D5DB1">
              <w:rPr>
                <w:rFonts w:ascii="Times New Roman" w:hAnsi="Times New Roman"/>
                <w:b/>
                <w:kern w:val="0"/>
                <w:sz w:val="21"/>
                <w:szCs w:val="21"/>
              </w:rPr>
              <w:t>浓度值</w:t>
            </w:r>
          </w:p>
        </w:tc>
        <w:tc>
          <w:tcPr>
            <w:tcW w:w="2156" w:type="pct"/>
            <w:gridSpan w:val="6"/>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日平均（</w:t>
            </w:r>
            <w:r w:rsidRPr="006D5DB1">
              <w:rPr>
                <w:rFonts w:ascii="Times New Roman" w:hAnsi="Times New Roman"/>
                <w:b/>
                <w:kern w:val="0"/>
                <w:sz w:val="21"/>
                <w:szCs w:val="21"/>
              </w:rPr>
              <w:t>8</w:t>
            </w:r>
            <w:r w:rsidRPr="006D5DB1">
              <w:rPr>
                <w:rFonts w:ascii="Times New Roman" w:hAnsi="Times New Roman"/>
                <w:b/>
                <w:kern w:val="0"/>
                <w:sz w:val="21"/>
                <w:szCs w:val="21"/>
              </w:rPr>
              <w:t>小时平均）浓度值</w:t>
            </w:r>
          </w:p>
        </w:tc>
      </w:tr>
      <w:tr w:rsidR="00ED6D1E" w:rsidRPr="00C748F7" w:rsidTr="00ED6D1E">
        <w:trPr>
          <w:trHeight w:val="300"/>
        </w:trPr>
        <w:tc>
          <w:tcPr>
            <w:tcW w:w="254" w:type="pct"/>
            <w:vMerge/>
            <w:vAlign w:val="center"/>
            <w:hideMark/>
          </w:tcPr>
          <w:p w:rsidR="00137B7C" w:rsidRPr="006D5DB1" w:rsidRDefault="00137B7C" w:rsidP="00C748F7">
            <w:pPr>
              <w:widowControl/>
              <w:spacing w:line="240" w:lineRule="auto"/>
              <w:ind w:firstLineChars="0" w:firstLine="0"/>
              <w:jc w:val="center"/>
              <w:rPr>
                <w:rFonts w:ascii="Times New Roman" w:hAnsi="Times New Roman"/>
                <w:b/>
                <w:kern w:val="0"/>
                <w:sz w:val="21"/>
                <w:szCs w:val="21"/>
              </w:rPr>
            </w:pPr>
          </w:p>
        </w:tc>
        <w:tc>
          <w:tcPr>
            <w:tcW w:w="407" w:type="pct"/>
            <w:vMerge/>
            <w:vAlign w:val="center"/>
            <w:hideMark/>
          </w:tcPr>
          <w:p w:rsidR="00137B7C" w:rsidRPr="006D5DB1" w:rsidRDefault="00137B7C" w:rsidP="00C748F7">
            <w:pPr>
              <w:widowControl/>
              <w:spacing w:line="240" w:lineRule="auto"/>
              <w:ind w:firstLineChars="0" w:firstLine="0"/>
              <w:jc w:val="center"/>
              <w:rPr>
                <w:rFonts w:ascii="Times New Roman" w:hAnsi="Times New Roman"/>
                <w:b/>
                <w:kern w:val="0"/>
                <w:sz w:val="21"/>
                <w:szCs w:val="21"/>
              </w:rPr>
            </w:pPr>
          </w:p>
        </w:tc>
        <w:tc>
          <w:tcPr>
            <w:tcW w:w="761" w:type="pct"/>
            <w:gridSpan w:val="2"/>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浓度范围</w:t>
            </w:r>
            <w:r w:rsidRPr="006D5DB1">
              <w:rPr>
                <w:rFonts w:ascii="Times New Roman" w:hAnsi="Times New Roman"/>
                <w:b/>
                <w:kern w:val="0"/>
                <w:sz w:val="21"/>
                <w:szCs w:val="21"/>
              </w:rPr>
              <w:t>(mg/m</w:t>
            </w:r>
            <w:r w:rsidRPr="006D5DB1">
              <w:rPr>
                <w:rFonts w:ascii="Times New Roman" w:hAnsi="Times New Roman"/>
                <w:b/>
                <w:kern w:val="0"/>
                <w:sz w:val="21"/>
                <w:szCs w:val="21"/>
                <w:vertAlign w:val="superscript"/>
              </w:rPr>
              <w:t>3</w:t>
            </w:r>
            <w:r w:rsidRPr="006D5DB1">
              <w:rPr>
                <w:rFonts w:ascii="Times New Roman" w:hAnsi="Times New Roman"/>
                <w:b/>
                <w:kern w:val="0"/>
                <w:sz w:val="21"/>
                <w:szCs w:val="21"/>
              </w:rPr>
              <w:t>)</w:t>
            </w:r>
          </w:p>
        </w:tc>
        <w:tc>
          <w:tcPr>
            <w:tcW w:w="407" w:type="pct"/>
            <w:vMerge w:val="restart"/>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评价标准</w:t>
            </w:r>
            <w:r w:rsidRPr="006D5DB1">
              <w:rPr>
                <w:rFonts w:ascii="Times New Roman" w:hAnsi="Times New Roman"/>
                <w:b/>
                <w:kern w:val="0"/>
                <w:sz w:val="21"/>
                <w:szCs w:val="21"/>
              </w:rPr>
              <w:t>(mg/m</w:t>
            </w:r>
            <w:r w:rsidRPr="006D5DB1">
              <w:rPr>
                <w:rFonts w:ascii="Times New Roman" w:hAnsi="Times New Roman"/>
                <w:b/>
                <w:kern w:val="0"/>
                <w:sz w:val="21"/>
                <w:szCs w:val="21"/>
                <w:vertAlign w:val="superscript"/>
              </w:rPr>
              <w:t>3</w:t>
            </w:r>
            <w:r w:rsidRPr="006D5DB1">
              <w:rPr>
                <w:rFonts w:ascii="Times New Roman" w:hAnsi="Times New Roman"/>
                <w:b/>
                <w:kern w:val="0"/>
                <w:sz w:val="21"/>
                <w:szCs w:val="21"/>
              </w:rPr>
              <w:t>)</w:t>
            </w:r>
          </w:p>
        </w:tc>
        <w:tc>
          <w:tcPr>
            <w:tcW w:w="406" w:type="pct"/>
            <w:vMerge w:val="restart"/>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超标数</w:t>
            </w:r>
            <w:r w:rsidRPr="006D5DB1">
              <w:rPr>
                <w:rFonts w:ascii="Times New Roman" w:hAnsi="Times New Roman"/>
                <w:b/>
                <w:kern w:val="0"/>
                <w:sz w:val="21"/>
                <w:szCs w:val="21"/>
              </w:rPr>
              <w:t>(μg/m</w:t>
            </w:r>
            <w:r w:rsidRPr="006D5DB1">
              <w:rPr>
                <w:rFonts w:ascii="Times New Roman" w:hAnsi="Times New Roman"/>
                <w:b/>
                <w:kern w:val="0"/>
                <w:sz w:val="21"/>
                <w:szCs w:val="21"/>
                <w:vertAlign w:val="superscript"/>
              </w:rPr>
              <w:t>3</w:t>
            </w:r>
            <w:r w:rsidRPr="006D5DB1">
              <w:rPr>
                <w:rFonts w:ascii="Times New Roman" w:hAnsi="Times New Roman"/>
                <w:b/>
                <w:kern w:val="0"/>
                <w:sz w:val="21"/>
                <w:szCs w:val="21"/>
              </w:rPr>
              <w:t>)</w:t>
            </w:r>
          </w:p>
        </w:tc>
        <w:tc>
          <w:tcPr>
            <w:tcW w:w="305" w:type="pct"/>
            <w:vMerge w:val="restart"/>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超标率</w:t>
            </w:r>
            <w:r w:rsidRPr="006D5DB1">
              <w:rPr>
                <w:rFonts w:ascii="Times New Roman" w:hAnsi="Times New Roman"/>
                <w:b/>
                <w:kern w:val="0"/>
                <w:sz w:val="21"/>
                <w:szCs w:val="21"/>
              </w:rPr>
              <w:t>(%)</w:t>
            </w:r>
          </w:p>
        </w:tc>
        <w:tc>
          <w:tcPr>
            <w:tcW w:w="305" w:type="pct"/>
            <w:vMerge w:val="restart"/>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最大占标率</w:t>
            </w:r>
          </w:p>
        </w:tc>
        <w:tc>
          <w:tcPr>
            <w:tcW w:w="736" w:type="pct"/>
            <w:gridSpan w:val="2"/>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浓度范围</w:t>
            </w:r>
            <w:r w:rsidRPr="006D5DB1">
              <w:rPr>
                <w:rFonts w:ascii="Times New Roman" w:hAnsi="Times New Roman"/>
                <w:b/>
                <w:kern w:val="0"/>
                <w:sz w:val="21"/>
                <w:szCs w:val="21"/>
              </w:rPr>
              <w:t>(mg/m</w:t>
            </w:r>
            <w:r w:rsidRPr="006D5DB1">
              <w:rPr>
                <w:rFonts w:ascii="Times New Roman" w:hAnsi="Times New Roman"/>
                <w:b/>
                <w:kern w:val="0"/>
                <w:sz w:val="21"/>
                <w:szCs w:val="21"/>
                <w:vertAlign w:val="superscript"/>
              </w:rPr>
              <w:t>3</w:t>
            </w:r>
            <w:r w:rsidRPr="006D5DB1">
              <w:rPr>
                <w:rFonts w:ascii="Times New Roman" w:hAnsi="Times New Roman"/>
                <w:b/>
                <w:kern w:val="0"/>
                <w:sz w:val="21"/>
                <w:szCs w:val="21"/>
              </w:rPr>
              <w:t>)</w:t>
            </w:r>
          </w:p>
        </w:tc>
        <w:tc>
          <w:tcPr>
            <w:tcW w:w="387" w:type="pct"/>
            <w:vMerge w:val="restart"/>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评价标准</w:t>
            </w:r>
          </w:p>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(mg/m</w:t>
            </w:r>
            <w:r w:rsidRPr="006D5DB1">
              <w:rPr>
                <w:rFonts w:ascii="Times New Roman" w:hAnsi="Times New Roman"/>
                <w:b/>
                <w:kern w:val="0"/>
                <w:sz w:val="21"/>
                <w:szCs w:val="21"/>
                <w:vertAlign w:val="superscript"/>
              </w:rPr>
              <w:t>3</w:t>
            </w:r>
            <w:r w:rsidRPr="006D5DB1">
              <w:rPr>
                <w:rFonts w:ascii="Times New Roman" w:hAnsi="Times New Roman"/>
                <w:b/>
                <w:kern w:val="0"/>
                <w:sz w:val="21"/>
                <w:szCs w:val="21"/>
              </w:rPr>
              <w:t>）</w:t>
            </w:r>
          </w:p>
        </w:tc>
        <w:tc>
          <w:tcPr>
            <w:tcW w:w="352" w:type="pct"/>
            <w:vMerge w:val="restart"/>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超标数</w:t>
            </w:r>
          </w:p>
        </w:tc>
        <w:tc>
          <w:tcPr>
            <w:tcW w:w="303" w:type="pct"/>
            <w:vMerge w:val="restart"/>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超标率</w:t>
            </w:r>
            <w:r w:rsidRPr="006D5DB1">
              <w:rPr>
                <w:rFonts w:ascii="Times New Roman" w:hAnsi="Times New Roman"/>
                <w:b/>
                <w:kern w:val="0"/>
                <w:sz w:val="21"/>
                <w:szCs w:val="21"/>
              </w:rPr>
              <w:t>(%)</w:t>
            </w:r>
          </w:p>
        </w:tc>
        <w:tc>
          <w:tcPr>
            <w:tcW w:w="378" w:type="pct"/>
            <w:vMerge w:val="restart"/>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最大占标率</w:t>
            </w:r>
            <w:r w:rsidRPr="006D5DB1">
              <w:rPr>
                <w:rFonts w:ascii="Times New Roman" w:hAnsi="Times New Roman"/>
                <w:b/>
                <w:kern w:val="0"/>
                <w:sz w:val="21"/>
                <w:szCs w:val="21"/>
              </w:rPr>
              <w:t>(%)</w:t>
            </w:r>
          </w:p>
        </w:tc>
      </w:tr>
      <w:tr w:rsidR="00ED6D1E" w:rsidRPr="00C748F7" w:rsidTr="00ED6D1E">
        <w:trPr>
          <w:trHeight w:val="300"/>
        </w:trPr>
        <w:tc>
          <w:tcPr>
            <w:tcW w:w="254" w:type="pct"/>
            <w:vMerge/>
            <w:vAlign w:val="center"/>
            <w:hideMark/>
          </w:tcPr>
          <w:p w:rsidR="00137B7C" w:rsidRPr="00C748F7" w:rsidRDefault="00137B7C" w:rsidP="00C748F7">
            <w:pPr>
              <w:widowControl/>
              <w:spacing w:line="240" w:lineRule="auto"/>
              <w:ind w:firstLineChars="0" w:firstLine="0"/>
              <w:jc w:val="center"/>
              <w:rPr>
                <w:rFonts w:ascii="Times New Roman" w:hAnsi="Times New Roman"/>
                <w:kern w:val="0"/>
                <w:sz w:val="21"/>
                <w:szCs w:val="21"/>
              </w:rPr>
            </w:pPr>
          </w:p>
        </w:tc>
        <w:tc>
          <w:tcPr>
            <w:tcW w:w="407" w:type="pct"/>
            <w:vMerge/>
            <w:vAlign w:val="center"/>
            <w:hideMark/>
          </w:tcPr>
          <w:p w:rsidR="00137B7C" w:rsidRPr="00C748F7" w:rsidRDefault="00137B7C" w:rsidP="00C748F7">
            <w:pPr>
              <w:widowControl/>
              <w:spacing w:line="240" w:lineRule="auto"/>
              <w:ind w:firstLineChars="0" w:firstLine="0"/>
              <w:jc w:val="center"/>
              <w:rPr>
                <w:rFonts w:ascii="Times New Roman" w:hAnsi="Times New Roman"/>
                <w:kern w:val="0"/>
                <w:sz w:val="21"/>
                <w:szCs w:val="21"/>
              </w:rPr>
            </w:pPr>
          </w:p>
        </w:tc>
        <w:tc>
          <w:tcPr>
            <w:tcW w:w="355" w:type="pct"/>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最小值</w:t>
            </w:r>
          </w:p>
        </w:tc>
        <w:tc>
          <w:tcPr>
            <w:tcW w:w="406" w:type="pct"/>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最大值</w:t>
            </w:r>
          </w:p>
        </w:tc>
        <w:tc>
          <w:tcPr>
            <w:tcW w:w="407" w:type="pct"/>
            <w:vMerge/>
            <w:vAlign w:val="center"/>
            <w:hideMark/>
          </w:tcPr>
          <w:p w:rsidR="00137B7C" w:rsidRPr="006D5DB1" w:rsidRDefault="00137B7C" w:rsidP="00C748F7">
            <w:pPr>
              <w:widowControl/>
              <w:spacing w:line="240" w:lineRule="auto"/>
              <w:ind w:firstLineChars="0" w:firstLine="0"/>
              <w:jc w:val="center"/>
              <w:rPr>
                <w:rFonts w:ascii="Times New Roman" w:hAnsi="Times New Roman"/>
                <w:b/>
                <w:kern w:val="0"/>
                <w:sz w:val="21"/>
                <w:szCs w:val="21"/>
              </w:rPr>
            </w:pPr>
          </w:p>
        </w:tc>
        <w:tc>
          <w:tcPr>
            <w:tcW w:w="406" w:type="pct"/>
            <w:vMerge/>
            <w:vAlign w:val="center"/>
            <w:hideMark/>
          </w:tcPr>
          <w:p w:rsidR="00137B7C" w:rsidRPr="006D5DB1" w:rsidRDefault="00137B7C" w:rsidP="00C748F7">
            <w:pPr>
              <w:widowControl/>
              <w:spacing w:line="240" w:lineRule="auto"/>
              <w:ind w:firstLineChars="0" w:firstLine="0"/>
              <w:jc w:val="center"/>
              <w:rPr>
                <w:rFonts w:ascii="Times New Roman" w:hAnsi="Times New Roman"/>
                <w:b/>
                <w:kern w:val="0"/>
                <w:sz w:val="21"/>
                <w:szCs w:val="21"/>
              </w:rPr>
            </w:pPr>
          </w:p>
        </w:tc>
        <w:tc>
          <w:tcPr>
            <w:tcW w:w="305" w:type="pct"/>
            <w:vMerge/>
            <w:vAlign w:val="center"/>
            <w:hideMark/>
          </w:tcPr>
          <w:p w:rsidR="00137B7C" w:rsidRPr="006D5DB1" w:rsidRDefault="00137B7C" w:rsidP="00C748F7">
            <w:pPr>
              <w:widowControl/>
              <w:spacing w:line="240" w:lineRule="auto"/>
              <w:ind w:firstLineChars="0" w:firstLine="0"/>
              <w:jc w:val="center"/>
              <w:rPr>
                <w:rFonts w:ascii="Times New Roman" w:hAnsi="Times New Roman"/>
                <w:b/>
                <w:kern w:val="0"/>
                <w:sz w:val="21"/>
                <w:szCs w:val="21"/>
              </w:rPr>
            </w:pPr>
          </w:p>
        </w:tc>
        <w:tc>
          <w:tcPr>
            <w:tcW w:w="305" w:type="pct"/>
            <w:vMerge/>
            <w:vAlign w:val="center"/>
            <w:hideMark/>
          </w:tcPr>
          <w:p w:rsidR="00137B7C" w:rsidRPr="006D5DB1" w:rsidRDefault="00137B7C" w:rsidP="00C748F7">
            <w:pPr>
              <w:widowControl/>
              <w:spacing w:line="240" w:lineRule="auto"/>
              <w:ind w:firstLineChars="0" w:firstLine="0"/>
              <w:jc w:val="center"/>
              <w:rPr>
                <w:rFonts w:ascii="Times New Roman" w:hAnsi="Times New Roman"/>
                <w:b/>
                <w:kern w:val="0"/>
                <w:sz w:val="21"/>
                <w:szCs w:val="21"/>
              </w:rPr>
            </w:pPr>
          </w:p>
        </w:tc>
        <w:tc>
          <w:tcPr>
            <w:tcW w:w="355" w:type="pct"/>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最小值</w:t>
            </w:r>
          </w:p>
        </w:tc>
        <w:tc>
          <w:tcPr>
            <w:tcW w:w="381" w:type="pct"/>
            <w:vAlign w:val="center"/>
            <w:hideMark/>
          </w:tcPr>
          <w:p w:rsidR="00137B7C" w:rsidRPr="006D5DB1" w:rsidRDefault="00137B7C" w:rsidP="00C748F7">
            <w:pPr>
              <w:widowControl/>
              <w:ind w:firstLineChars="0" w:firstLine="0"/>
              <w:jc w:val="center"/>
              <w:rPr>
                <w:rFonts w:ascii="Times New Roman" w:hAnsi="Times New Roman"/>
                <w:b/>
                <w:kern w:val="0"/>
                <w:sz w:val="21"/>
                <w:szCs w:val="21"/>
              </w:rPr>
            </w:pPr>
            <w:r w:rsidRPr="006D5DB1">
              <w:rPr>
                <w:rFonts w:ascii="Times New Roman" w:hAnsi="Times New Roman"/>
                <w:b/>
                <w:kern w:val="0"/>
                <w:sz w:val="21"/>
                <w:szCs w:val="21"/>
              </w:rPr>
              <w:t>最大值</w:t>
            </w:r>
          </w:p>
        </w:tc>
        <w:tc>
          <w:tcPr>
            <w:tcW w:w="387" w:type="pct"/>
            <w:vMerge/>
            <w:vAlign w:val="center"/>
            <w:hideMark/>
          </w:tcPr>
          <w:p w:rsidR="00137B7C" w:rsidRPr="00C748F7" w:rsidRDefault="00137B7C" w:rsidP="00C748F7">
            <w:pPr>
              <w:widowControl/>
              <w:spacing w:line="240" w:lineRule="auto"/>
              <w:ind w:firstLineChars="0" w:firstLine="0"/>
              <w:jc w:val="center"/>
              <w:rPr>
                <w:rFonts w:ascii="Times New Roman" w:hAnsi="Times New Roman"/>
                <w:kern w:val="0"/>
                <w:sz w:val="21"/>
                <w:szCs w:val="21"/>
              </w:rPr>
            </w:pPr>
          </w:p>
        </w:tc>
        <w:tc>
          <w:tcPr>
            <w:tcW w:w="352" w:type="pct"/>
            <w:vMerge/>
            <w:vAlign w:val="center"/>
            <w:hideMark/>
          </w:tcPr>
          <w:p w:rsidR="00137B7C" w:rsidRPr="00C748F7" w:rsidRDefault="00137B7C" w:rsidP="00C748F7">
            <w:pPr>
              <w:widowControl/>
              <w:spacing w:line="240" w:lineRule="auto"/>
              <w:ind w:firstLineChars="0" w:firstLine="0"/>
              <w:jc w:val="center"/>
              <w:rPr>
                <w:rFonts w:ascii="Times New Roman" w:hAnsi="Times New Roman"/>
                <w:kern w:val="0"/>
                <w:sz w:val="21"/>
                <w:szCs w:val="21"/>
              </w:rPr>
            </w:pPr>
          </w:p>
        </w:tc>
        <w:tc>
          <w:tcPr>
            <w:tcW w:w="303" w:type="pct"/>
            <w:vMerge/>
            <w:vAlign w:val="center"/>
            <w:hideMark/>
          </w:tcPr>
          <w:p w:rsidR="00137B7C" w:rsidRPr="00C748F7" w:rsidRDefault="00137B7C" w:rsidP="00C748F7">
            <w:pPr>
              <w:widowControl/>
              <w:spacing w:line="240" w:lineRule="auto"/>
              <w:ind w:firstLineChars="0" w:firstLine="0"/>
              <w:jc w:val="center"/>
              <w:rPr>
                <w:rFonts w:ascii="Times New Roman" w:hAnsi="Times New Roman"/>
                <w:kern w:val="0"/>
                <w:sz w:val="21"/>
                <w:szCs w:val="21"/>
              </w:rPr>
            </w:pPr>
          </w:p>
        </w:tc>
        <w:tc>
          <w:tcPr>
            <w:tcW w:w="378" w:type="pct"/>
            <w:vMerge/>
            <w:vAlign w:val="center"/>
            <w:hideMark/>
          </w:tcPr>
          <w:p w:rsidR="00137B7C" w:rsidRPr="00C748F7" w:rsidRDefault="00137B7C" w:rsidP="00C748F7">
            <w:pPr>
              <w:widowControl/>
              <w:spacing w:line="240" w:lineRule="auto"/>
              <w:ind w:firstLineChars="0" w:firstLine="0"/>
              <w:jc w:val="center"/>
              <w:rPr>
                <w:rFonts w:ascii="Times New Roman" w:hAnsi="Times New Roman"/>
                <w:kern w:val="0"/>
                <w:sz w:val="21"/>
                <w:szCs w:val="21"/>
              </w:rPr>
            </w:pPr>
          </w:p>
        </w:tc>
      </w:tr>
      <w:tr w:rsidR="00ED6D1E" w:rsidRPr="00C748F7" w:rsidTr="00ED6D1E">
        <w:trPr>
          <w:trHeight w:val="300"/>
        </w:trPr>
        <w:tc>
          <w:tcPr>
            <w:tcW w:w="254" w:type="pct"/>
            <w:vMerge w:val="restart"/>
            <w:vAlign w:val="center"/>
            <w:hideMark/>
          </w:tcPr>
          <w:p w:rsidR="00137B7C" w:rsidRPr="00C748F7" w:rsidRDefault="00137B7C" w:rsidP="00C748F7">
            <w:pPr>
              <w:widowControl/>
              <w:ind w:firstLineChars="0" w:firstLine="0"/>
              <w:jc w:val="center"/>
              <w:rPr>
                <w:rFonts w:ascii="Times New Roman" w:hAnsi="Times New Roman"/>
                <w:kern w:val="0"/>
                <w:sz w:val="21"/>
                <w:szCs w:val="21"/>
              </w:rPr>
            </w:pPr>
            <w:r w:rsidRPr="00C748F7">
              <w:rPr>
                <w:rFonts w:ascii="Times New Roman" w:hAnsi="Times New Roman"/>
                <w:kern w:val="0"/>
                <w:sz w:val="21"/>
                <w:szCs w:val="21"/>
              </w:rPr>
              <w:t>沫河口镇</w:t>
            </w:r>
          </w:p>
        </w:tc>
        <w:tc>
          <w:tcPr>
            <w:tcW w:w="407"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硫化氢</w:t>
            </w:r>
          </w:p>
        </w:tc>
        <w:tc>
          <w:tcPr>
            <w:tcW w:w="355" w:type="pct"/>
            <w:noWrap/>
            <w:vAlign w:val="center"/>
            <w:hideMark/>
          </w:tcPr>
          <w:p w:rsidR="00137B7C" w:rsidRPr="00C748F7" w:rsidRDefault="00137B7C" w:rsidP="00C748F7">
            <w:pPr>
              <w:widowControl/>
              <w:ind w:firstLineChars="0" w:firstLine="0"/>
              <w:jc w:val="center"/>
              <w:rPr>
                <w:rFonts w:ascii="Times New Roman" w:hAnsi="Times New Roman"/>
                <w:kern w:val="0"/>
                <w:sz w:val="21"/>
                <w:szCs w:val="21"/>
              </w:rPr>
            </w:pPr>
            <w:r w:rsidRPr="00C748F7">
              <w:rPr>
                <w:rFonts w:ascii="Times New Roman" w:hAnsi="Times New Roman"/>
                <w:kern w:val="0"/>
                <w:sz w:val="21"/>
                <w:szCs w:val="21"/>
              </w:rPr>
              <w:t>0.005</w:t>
            </w:r>
          </w:p>
        </w:tc>
        <w:tc>
          <w:tcPr>
            <w:tcW w:w="406" w:type="pct"/>
            <w:noWrap/>
            <w:vAlign w:val="center"/>
            <w:hideMark/>
          </w:tcPr>
          <w:p w:rsidR="00137B7C" w:rsidRPr="00C748F7" w:rsidRDefault="00137B7C" w:rsidP="00C748F7">
            <w:pPr>
              <w:widowControl/>
              <w:ind w:firstLineChars="0" w:firstLine="0"/>
              <w:jc w:val="center"/>
              <w:rPr>
                <w:rFonts w:ascii="Times New Roman" w:hAnsi="Times New Roman"/>
                <w:kern w:val="0"/>
                <w:sz w:val="21"/>
                <w:szCs w:val="21"/>
              </w:rPr>
            </w:pPr>
            <w:r w:rsidRPr="00C748F7">
              <w:rPr>
                <w:rFonts w:ascii="Times New Roman" w:hAnsi="Times New Roman"/>
                <w:kern w:val="0"/>
                <w:sz w:val="21"/>
                <w:szCs w:val="21"/>
              </w:rPr>
              <w:t>0.008</w:t>
            </w:r>
          </w:p>
        </w:tc>
        <w:tc>
          <w:tcPr>
            <w:tcW w:w="407"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0.01</w:t>
            </w:r>
          </w:p>
        </w:tc>
        <w:tc>
          <w:tcPr>
            <w:tcW w:w="406"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0</w:t>
            </w:r>
          </w:p>
        </w:tc>
        <w:tc>
          <w:tcPr>
            <w:tcW w:w="305"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0</w:t>
            </w:r>
          </w:p>
        </w:tc>
        <w:tc>
          <w:tcPr>
            <w:tcW w:w="305"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80%</w:t>
            </w:r>
          </w:p>
        </w:tc>
        <w:tc>
          <w:tcPr>
            <w:tcW w:w="355" w:type="pct"/>
            <w:noWrap/>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c>
          <w:tcPr>
            <w:tcW w:w="381" w:type="pct"/>
            <w:noWrap/>
            <w:vAlign w:val="center"/>
            <w:hideMark/>
          </w:tcPr>
          <w:p w:rsidR="00137B7C" w:rsidRPr="00C748F7" w:rsidRDefault="00137B7C" w:rsidP="00C748F7">
            <w:pPr>
              <w:autoSpaceDE w:val="0"/>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c>
          <w:tcPr>
            <w:tcW w:w="387" w:type="pct"/>
            <w:vAlign w:val="center"/>
            <w:hideMark/>
          </w:tcPr>
          <w:p w:rsidR="00137B7C" w:rsidRPr="00C748F7" w:rsidRDefault="00137B7C" w:rsidP="00C748F7">
            <w:pPr>
              <w:autoSpaceDE w:val="0"/>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c>
          <w:tcPr>
            <w:tcW w:w="352" w:type="pct"/>
            <w:vAlign w:val="center"/>
            <w:hideMark/>
          </w:tcPr>
          <w:p w:rsidR="00137B7C" w:rsidRPr="00C748F7" w:rsidRDefault="00137B7C" w:rsidP="00C748F7">
            <w:pPr>
              <w:autoSpaceDE w:val="0"/>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c>
          <w:tcPr>
            <w:tcW w:w="303" w:type="pct"/>
            <w:vAlign w:val="center"/>
            <w:hideMark/>
          </w:tcPr>
          <w:p w:rsidR="00137B7C" w:rsidRPr="00C748F7" w:rsidRDefault="00137B7C" w:rsidP="00C748F7">
            <w:pPr>
              <w:autoSpaceDE w:val="0"/>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c>
          <w:tcPr>
            <w:tcW w:w="378" w:type="pct"/>
            <w:vAlign w:val="center"/>
            <w:hideMark/>
          </w:tcPr>
          <w:p w:rsidR="00137B7C" w:rsidRPr="00C748F7" w:rsidRDefault="00137B7C" w:rsidP="00C748F7">
            <w:pPr>
              <w:autoSpaceDE w:val="0"/>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r>
      <w:tr w:rsidR="00ED6D1E" w:rsidRPr="00C748F7" w:rsidTr="00ED6D1E">
        <w:trPr>
          <w:trHeight w:val="300"/>
        </w:trPr>
        <w:tc>
          <w:tcPr>
            <w:tcW w:w="254" w:type="pct"/>
            <w:vMerge/>
            <w:vAlign w:val="center"/>
          </w:tcPr>
          <w:p w:rsidR="00CD0AE7" w:rsidRPr="00C748F7" w:rsidRDefault="00CD0AE7" w:rsidP="00CD0AE7">
            <w:pPr>
              <w:widowControl/>
              <w:ind w:firstLineChars="0" w:firstLine="0"/>
              <w:jc w:val="center"/>
              <w:rPr>
                <w:kern w:val="0"/>
                <w:sz w:val="21"/>
                <w:szCs w:val="21"/>
              </w:rPr>
            </w:pPr>
          </w:p>
        </w:tc>
        <w:tc>
          <w:tcPr>
            <w:tcW w:w="407" w:type="pct"/>
            <w:vAlign w:val="center"/>
          </w:tcPr>
          <w:p w:rsidR="00CD0AE7" w:rsidRPr="00CD0AE7" w:rsidRDefault="00CD0AE7" w:rsidP="00CD0AE7">
            <w:pPr>
              <w:ind w:firstLineChars="0" w:firstLine="0"/>
              <w:jc w:val="center"/>
              <w:rPr>
                <w:rFonts w:ascii="Times New Roman" w:hAnsi="Times New Roman"/>
                <w:kern w:val="0"/>
                <w:sz w:val="21"/>
                <w:szCs w:val="21"/>
              </w:rPr>
            </w:pPr>
            <w:r w:rsidRPr="00CD0AE7">
              <w:rPr>
                <w:rFonts w:ascii="Times New Roman" w:hAnsi="Times New Roman" w:hint="eastAsia"/>
                <w:kern w:val="0"/>
                <w:sz w:val="21"/>
                <w:szCs w:val="21"/>
              </w:rPr>
              <w:t>氨</w:t>
            </w:r>
          </w:p>
        </w:tc>
        <w:tc>
          <w:tcPr>
            <w:tcW w:w="355" w:type="pct"/>
            <w:noWrap/>
            <w:vAlign w:val="center"/>
          </w:tcPr>
          <w:p w:rsidR="00CD0AE7" w:rsidRPr="00CD0AE7" w:rsidRDefault="00CD0AE7" w:rsidP="00CD0AE7">
            <w:pPr>
              <w:widowControl/>
              <w:ind w:firstLineChars="0" w:firstLine="0"/>
              <w:jc w:val="center"/>
              <w:rPr>
                <w:rFonts w:ascii="Times New Roman" w:hAnsi="Times New Roman"/>
                <w:kern w:val="0"/>
                <w:sz w:val="21"/>
                <w:szCs w:val="21"/>
              </w:rPr>
            </w:pPr>
            <w:r w:rsidRPr="00CD0AE7">
              <w:rPr>
                <w:rFonts w:ascii="Times New Roman" w:hAnsi="Times New Roman" w:hint="eastAsia"/>
                <w:kern w:val="0"/>
                <w:sz w:val="21"/>
                <w:szCs w:val="21"/>
              </w:rPr>
              <w:t>0.010</w:t>
            </w:r>
          </w:p>
        </w:tc>
        <w:tc>
          <w:tcPr>
            <w:tcW w:w="406" w:type="pct"/>
            <w:noWrap/>
            <w:vAlign w:val="center"/>
          </w:tcPr>
          <w:p w:rsidR="00CD0AE7" w:rsidRPr="00CD0AE7" w:rsidRDefault="00CD0AE7" w:rsidP="00CD0AE7">
            <w:pPr>
              <w:widowControl/>
              <w:ind w:firstLineChars="0" w:firstLine="0"/>
              <w:jc w:val="center"/>
              <w:rPr>
                <w:rFonts w:ascii="Times New Roman" w:hAnsi="Times New Roman"/>
                <w:kern w:val="0"/>
                <w:sz w:val="21"/>
                <w:szCs w:val="21"/>
              </w:rPr>
            </w:pPr>
            <w:r w:rsidRPr="00CD0AE7">
              <w:rPr>
                <w:rFonts w:ascii="Times New Roman" w:hAnsi="Times New Roman" w:hint="eastAsia"/>
                <w:kern w:val="0"/>
                <w:sz w:val="21"/>
                <w:szCs w:val="21"/>
              </w:rPr>
              <w:t>0.012</w:t>
            </w:r>
          </w:p>
        </w:tc>
        <w:tc>
          <w:tcPr>
            <w:tcW w:w="407" w:type="pct"/>
            <w:vAlign w:val="center"/>
          </w:tcPr>
          <w:p w:rsidR="00CD0AE7" w:rsidRPr="00CD0AE7" w:rsidRDefault="00CD0AE7" w:rsidP="00CD0AE7">
            <w:pPr>
              <w:ind w:firstLineChars="0" w:firstLine="0"/>
              <w:jc w:val="center"/>
              <w:rPr>
                <w:rFonts w:ascii="Times New Roman" w:hAnsi="Times New Roman"/>
                <w:kern w:val="0"/>
                <w:sz w:val="21"/>
                <w:szCs w:val="21"/>
              </w:rPr>
            </w:pPr>
            <w:r w:rsidRPr="00CD0AE7">
              <w:rPr>
                <w:rFonts w:ascii="Times New Roman" w:hAnsi="Times New Roman" w:hint="eastAsia"/>
                <w:kern w:val="0"/>
                <w:sz w:val="21"/>
                <w:szCs w:val="21"/>
              </w:rPr>
              <w:t>0.2</w:t>
            </w:r>
          </w:p>
        </w:tc>
        <w:tc>
          <w:tcPr>
            <w:tcW w:w="406" w:type="pct"/>
            <w:vAlign w:val="center"/>
          </w:tcPr>
          <w:p w:rsidR="00CD0AE7" w:rsidRPr="00CD0AE7" w:rsidRDefault="00CD0AE7" w:rsidP="00CD0AE7">
            <w:pPr>
              <w:ind w:firstLineChars="0" w:firstLine="0"/>
              <w:jc w:val="center"/>
              <w:rPr>
                <w:rFonts w:ascii="Times New Roman" w:hAnsi="Times New Roman"/>
                <w:kern w:val="0"/>
                <w:sz w:val="21"/>
                <w:szCs w:val="21"/>
              </w:rPr>
            </w:pPr>
            <w:r w:rsidRPr="00CD0AE7">
              <w:rPr>
                <w:rFonts w:ascii="Times New Roman" w:hAnsi="Times New Roman" w:hint="eastAsia"/>
                <w:kern w:val="0"/>
                <w:sz w:val="21"/>
                <w:szCs w:val="21"/>
              </w:rPr>
              <w:t>0</w:t>
            </w:r>
          </w:p>
        </w:tc>
        <w:tc>
          <w:tcPr>
            <w:tcW w:w="305" w:type="pct"/>
            <w:vAlign w:val="center"/>
          </w:tcPr>
          <w:p w:rsidR="00CD0AE7" w:rsidRPr="00CD0AE7" w:rsidRDefault="00CD0AE7" w:rsidP="00CD0AE7">
            <w:pPr>
              <w:ind w:firstLineChars="0" w:firstLine="0"/>
              <w:jc w:val="center"/>
              <w:rPr>
                <w:rFonts w:ascii="Times New Roman" w:hAnsi="Times New Roman"/>
                <w:kern w:val="0"/>
                <w:sz w:val="21"/>
                <w:szCs w:val="21"/>
              </w:rPr>
            </w:pPr>
            <w:r w:rsidRPr="00CD0AE7">
              <w:rPr>
                <w:rFonts w:ascii="Times New Roman" w:hAnsi="Times New Roman" w:hint="eastAsia"/>
                <w:kern w:val="0"/>
                <w:sz w:val="21"/>
                <w:szCs w:val="21"/>
              </w:rPr>
              <w:t>0</w:t>
            </w:r>
          </w:p>
        </w:tc>
        <w:tc>
          <w:tcPr>
            <w:tcW w:w="305" w:type="pct"/>
            <w:vAlign w:val="center"/>
          </w:tcPr>
          <w:p w:rsidR="00CD0AE7" w:rsidRPr="00CD0AE7" w:rsidRDefault="00CD0AE7" w:rsidP="00CD0AE7">
            <w:pPr>
              <w:ind w:firstLineChars="0" w:firstLine="0"/>
              <w:jc w:val="center"/>
              <w:rPr>
                <w:rFonts w:ascii="Times New Roman" w:hAnsi="Times New Roman"/>
                <w:kern w:val="0"/>
                <w:sz w:val="21"/>
                <w:szCs w:val="21"/>
              </w:rPr>
            </w:pPr>
            <w:r w:rsidRPr="00CD0AE7">
              <w:rPr>
                <w:rFonts w:ascii="Times New Roman" w:hAnsi="Times New Roman" w:hint="eastAsia"/>
                <w:kern w:val="0"/>
                <w:sz w:val="21"/>
                <w:szCs w:val="21"/>
              </w:rPr>
              <w:t>60%</w:t>
            </w:r>
          </w:p>
        </w:tc>
        <w:tc>
          <w:tcPr>
            <w:tcW w:w="355" w:type="pct"/>
            <w:noWrap/>
            <w:vAlign w:val="center"/>
          </w:tcPr>
          <w:p w:rsidR="00CD0AE7" w:rsidRPr="00CD0AE7" w:rsidRDefault="00CD0AE7" w:rsidP="00CD0AE7">
            <w:pPr>
              <w:ind w:firstLineChars="0" w:firstLine="0"/>
              <w:jc w:val="center"/>
              <w:rPr>
                <w:rFonts w:ascii="Times New Roman" w:hAnsi="Times New Roman"/>
                <w:kern w:val="0"/>
                <w:sz w:val="21"/>
                <w:szCs w:val="21"/>
              </w:rPr>
            </w:pPr>
            <w:r w:rsidRPr="00CD0AE7">
              <w:rPr>
                <w:rFonts w:ascii="Times New Roman" w:hAnsi="Times New Roman" w:hint="eastAsia"/>
                <w:kern w:val="0"/>
                <w:sz w:val="21"/>
                <w:szCs w:val="21"/>
              </w:rPr>
              <w:t>/</w:t>
            </w:r>
          </w:p>
        </w:tc>
        <w:tc>
          <w:tcPr>
            <w:tcW w:w="381" w:type="pct"/>
            <w:noWrap/>
            <w:vAlign w:val="center"/>
          </w:tcPr>
          <w:p w:rsidR="00CD0AE7" w:rsidRPr="00CD0AE7" w:rsidRDefault="00CD0AE7" w:rsidP="00CD0AE7">
            <w:pPr>
              <w:autoSpaceDE w:val="0"/>
              <w:ind w:firstLineChars="0" w:firstLine="0"/>
              <w:jc w:val="center"/>
              <w:rPr>
                <w:rFonts w:ascii="Times New Roman" w:hAnsi="Times New Roman"/>
                <w:kern w:val="0"/>
                <w:sz w:val="21"/>
                <w:szCs w:val="21"/>
              </w:rPr>
            </w:pPr>
            <w:r w:rsidRPr="00CD0AE7">
              <w:rPr>
                <w:rFonts w:ascii="Times New Roman" w:hAnsi="Times New Roman" w:hint="eastAsia"/>
                <w:kern w:val="0"/>
                <w:sz w:val="21"/>
                <w:szCs w:val="21"/>
              </w:rPr>
              <w:t>/</w:t>
            </w:r>
          </w:p>
        </w:tc>
        <w:tc>
          <w:tcPr>
            <w:tcW w:w="387" w:type="pct"/>
            <w:vAlign w:val="center"/>
          </w:tcPr>
          <w:p w:rsidR="00CD0AE7" w:rsidRPr="00CD0AE7" w:rsidRDefault="00CD0AE7" w:rsidP="00CD0AE7">
            <w:pPr>
              <w:autoSpaceDE w:val="0"/>
              <w:ind w:firstLineChars="0" w:firstLine="0"/>
              <w:jc w:val="center"/>
              <w:rPr>
                <w:rFonts w:ascii="Times New Roman" w:hAnsi="Times New Roman"/>
                <w:kern w:val="0"/>
                <w:sz w:val="21"/>
                <w:szCs w:val="21"/>
              </w:rPr>
            </w:pPr>
            <w:r w:rsidRPr="00CD0AE7">
              <w:rPr>
                <w:rFonts w:ascii="Times New Roman" w:hAnsi="Times New Roman" w:hint="eastAsia"/>
                <w:kern w:val="0"/>
                <w:sz w:val="21"/>
                <w:szCs w:val="21"/>
              </w:rPr>
              <w:t>/</w:t>
            </w:r>
          </w:p>
        </w:tc>
        <w:tc>
          <w:tcPr>
            <w:tcW w:w="352" w:type="pct"/>
            <w:vAlign w:val="center"/>
          </w:tcPr>
          <w:p w:rsidR="00CD0AE7" w:rsidRPr="00CD0AE7" w:rsidRDefault="00CD0AE7" w:rsidP="00CD0AE7">
            <w:pPr>
              <w:autoSpaceDE w:val="0"/>
              <w:ind w:firstLineChars="0" w:firstLine="0"/>
              <w:jc w:val="center"/>
              <w:rPr>
                <w:rFonts w:ascii="Times New Roman" w:hAnsi="Times New Roman"/>
                <w:kern w:val="0"/>
                <w:sz w:val="21"/>
                <w:szCs w:val="21"/>
              </w:rPr>
            </w:pPr>
            <w:r w:rsidRPr="00CD0AE7">
              <w:rPr>
                <w:rFonts w:ascii="Times New Roman" w:hAnsi="Times New Roman" w:hint="eastAsia"/>
                <w:kern w:val="0"/>
                <w:sz w:val="21"/>
                <w:szCs w:val="21"/>
              </w:rPr>
              <w:t>/</w:t>
            </w:r>
          </w:p>
        </w:tc>
        <w:tc>
          <w:tcPr>
            <w:tcW w:w="303" w:type="pct"/>
            <w:vAlign w:val="center"/>
          </w:tcPr>
          <w:p w:rsidR="00CD0AE7" w:rsidRPr="00CD0AE7" w:rsidRDefault="00CD0AE7" w:rsidP="00CD0AE7">
            <w:pPr>
              <w:autoSpaceDE w:val="0"/>
              <w:ind w:firstLineChars="0" w:firstLine="0"/>
              <w:jc w:val="center"/>
              <w:rPr>
                <w:rFonts w:ascii="Times New Roman" w:hAnsi="Times New Roman"/>
                <w:kern w:val="0"/>
                <w:sz w:val="21"/>
                <w:szCs w:val="21"/>
              </w:rPr>
            </w:pPr>
            <w:r w:rsidRPr="00CD0AE7">
              <w:rPr>
                <w:rFonts w:ascii="Times New Roman" w:hAnsi="Times New Roman" w:hint="eastAsia"/>
                <w:kern w:val="0"/>
                <w:sz w:val="21"/>
                <w:szCs w:val="21"/>
              </w:rPr>
              <w:t>/</w:t>
            </w:r>
          </w:p>
        </w:tc>
        <w:tc>
          <w:tcPr>
            <w:tcW w:w="378" w:type="pct"/>
            <w:vAlign w:val="center"/>
          </w:tcPr>
          <w:p w:rsidR="00CD0AE7" w:rsidRPr="00CD0AE7" w:rsidRDefault="00CD0AE7" w:rsidP="00CD0AE7">
            <w:pPr>
              <w:autoSpaceDE w:val="0"/>
              <w:ind w:firstLineChars="0" w:firstLine="0"/>
              <w:jc w:val="center"/>
              <w:rPr>
                <w:rFonts w:ascii="Times New Roman" w:hAnsi="Times New Roman"/>
                <w:kern w:val="0"/>
                <w:sz w:val="21"/>
                <w:szCs w:val="21"/>
              </w:rPr>
            </w:pPr>
            <w:r w:rsidRPr="00CD0AE7">
              <w:rPr>
                <w:rFonts w:ascii="Times New Roman" w:hAnsi="Times New Roman" w:hint="eastAsia"/>
                <w:kern w:val="0"/>
                <w:sz w:val="21"/>
                <w:szCs w:val="21"/>
              </w:rPr>
              <w:t>/</w:t>
            </w:r>
          </w:p>
        </w:tc>
      </w:tr>
      <w:tr w:rsidR="00ED6D1E" w:rsidRPr="00C748F7" w:rsidTr="00ED6D1E">
        <w:trPr>
          <w:trHeight w:val="300"/>
        </w:trPr>
        <w:tc>
          <w:tcPr>
            <w:tcW w:w="254" w:type="pct"/>
            <w:vMerge/>
            <w:vAlign w:val="center"/>
            <w:hideMark/>
          </w:tcPr>
          <w:p w:rsidR="00137B7C" w:rsidRPr="00C748F7" w:rsidRDefault="00137B7C" w:rsidP="00C748F7">
            <w:pPr>
              <w:widowControl/>
              <w:spacing w:line="240" w:lineRule="auto"/>
              <w:ind w:firstLineChars="0" w:firstLine="0"/>
              <w:jc w:val="center"/>
              <w:rPr>
                <w:rFonts w:ascii="Times New Roman" w:hAnsi="Times New Roman"/>
                <w:kern w:val="0"/>
                <w:sz w:val="21"/>
                <w:szCs w:val="21"/>
              </w:rPr>
            </w:pPr>
          </w:p>
        </w:tc>
        <w:tc>
          <w:tcPr>
            <w:tcW w:w="407"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sz w:val="21"/>
                <w:szCs w:val="21"/>
              </w:rPr>
              <w:t>非甲烷总烃</w:t>
            </w:r>
          </w:p>
        </w:tc>
        <w:tc>
          <w:tcPr>
            <w:tcW w:w="355"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0.24</w:t>
            </w:r>
          </w:p>
        </w:tc>
        <w:tc>
          <w:tcPr>
            <w:tcW w:w="406"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0.66</w:t>
            </w:r>
          </w:p>
        </w:tc>
        <w:tc>
          <w:tcPr>
            <w:tcW w:w="407"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2</w:t>
            </w:r>
          </w:p>
        </w:tc>
        <w:tc>
          <w:tcPr>
            <w:tcW w:w="406"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0</w:t>
            </w:r>
          </w:p>
        </w:tc>
        <w:tc>
          <w:tcPr>
            <w:tcW w:w="305"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0</w:t>
            </w:r>
          </w:p>
        </w:tc>
        <w:tc>
          <w:tcPr>
            <w:tcW w:w="305"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33%</w:t>
            </w:r>
          </w:p>
        </w:tc>
        <w:tc>
          <w:tcPr>
            <w:tcW w:w="355"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c>
          <w:tcPr>
            <w:tcW w:w="381" w:type="pct"/>
            <w:vAlign w:val="center"/>
            <w:hideMark/>
          </w:tcPr>
          <w:p w:rsidR="00137B7C" w:rsidRPr="00C748F7" w:rsidRDefault="00137B7C" w:rsidP="00C748F7">
            <w:pPr>
              <w:autoSpaceDE w:val="0"/>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c>
          <w:tcPr>
            <w:tcW w:w="387" w:type="pct"/>
            <w:vAlign w:val="center"/>
            <w:hideMark/>
          </w:tcPr>
          <w:p w:rsidR="00137B7C" w:rsidRPr="00C748F7" w:rsidRDefault="00137B7C" w:rsidP="00C748F7">
            <w:pPr>
              <w:autoSpaceDE w:val="0"/>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c>
          <w:tcPr>
            <w:tcW w:w="352" w:type="pct"/>
            <w:vAlign w:val="center"/>
            <w:hideMark/>
          </w:tcPr>
          <w:p w:rsidR="00137B7C" w:rsidRPr="00C748F7" w:rsidRDefault="00137B7C" w:rsidP="00C748F7">
            <w:pPr>
              <w:autoSpaceDE w:val="0"/>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c>
          <w:tcPr>
            <w:tcW w:w="303" w:type="pct"/>
            <w:vAlign w:val="center"/>
            <w:hideMark/>
          </w:tcPr>
          <w:p w:rsidR="00137B7C" w:rsidRPr="00C748F7" w:rsidRDefault="00137B7C" w:rsidP="00C748F7">
            <w:pPr>
              <w:autoSpaceDE w:val="0"/>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c>
          <w:tcPr>
            <w:tcW w:w="378" w:type="pct"/>
            <w:vAlign w:val="center"/>
            <w:hideMark/>
          </w:tcPr>
          <w:p w:rsidR="00137B7C" w:rsidRPr="00C748F7" w:rsidRDefault="00137B7C" w:rsidP="00C748F7">
            <w:pPr>
              <w:autoSpaceDE w:val="0"/>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r>
      <w:tr w:rsidR="00ED6D1E" w:rsidRPr="00C748F7" w:rsidTr="00ED6D1E">
        <w:trPr>
          <w:trHeight w:val="300"/>
        </w:trPr>
        <w:tc>
          <w:tcPr>
            <w:tcW w:w="254" w:type="pct"/>
            <w:vMerge/>
            <w:vAlign w:val="center"/>
            <w:hideMark/>
          </w:tcPr>
          <w:p w:rsidR="00137B7C" w:rsidRPr="00C748F7" w:rsidRDefault="00137B7C" w:rsidP="00C748F7">
            <w:pPr>
              <w:widowControl/>
              <w:spacing w:line="240" w:lineRule="auto"/>
              <w:ind w:firstLineChars="0" w:firstLine="0"/>
              <w:jc w:val="center"/>
              <w:rPr>
                <w:rFonts w:ascii="Times New Roman" w:hAnsi="Times New Roman"/>
                <w:kern w:val="0"/>
                <w:sz w:val="21"/>
                <w:szCs w:val="21"/>
              </w:rPr>
            </w:pPr>
          </w:p>
        </w:tc>
        <w:tc>
          <w:tcPr>
            <w:tcW w:w="407"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TSP</w:t>
            </w:r>
          </w:p>
        </w:tc>
        <w:tc>
          <w:tcPr>
            <w:tcW w:w="355"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0.091</w:t>
            </w:r>
          </w:p>
        </w:tc>
        <w:tc>
          <w:tcPr>
            <w:tcW w:w="406"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0.139</w:t>
            </w:r>
          </w:p>
        </w:tc>
        <w:tc>
          <w:tcPr>
            <w:tcW w:w="407"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0.3</w:t>
            </w:r>
          </w:p>
        </w:tc>
        <w:tc>
          <w:tcPr>
            <w:tcW w:w="406"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0</w:t>
            </w:r>
          </w:p>
        </w:tc>
        <w:tc>
          <w:tcPr>
            <w:tcW w:w="305"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0</w:t>
            </w:r>
          </w:p>
        </w:tc>
        <w:tc>
          <w:tcPr>
            <w:tcW w:w="305"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46.3%</w:t>
            </w:r>
          </w:p>
        </w:tc>
        <w:tc>
          <w:tcPr>
            <w:tcW w:w="355"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c>
          <w:tcPr>
            <w:tcW w:w="381" w:type="pct"/>
            <w:vAlign w:val="center"/>
            <w:hideMark/>
          </w:tcPr>
          <w:p w:rsidR="00137B7C" w:rsidRPr="00C748F7" w:rsidRDefault="00137B7C" w:rsidP="00C748F7">
            <w:pPr>
              <w:autoSpaceDE w:val="0"/>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c>
          <w:tcPr>
            <w:tcW w:w="387" w:type="pct"/>
            <w:vAlign w:val="center"/>
            <w:hideMark/>
          </w:tcPr>
          <w:p w:rsidR="00137B7C" w:rsidRPr="00C748F7" w:rsidRDefault="00137B7C" w:rsidP="00C748F7">
            <w:pPr>
              <w:autoSpaceDE w:val="0"/>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c>
          <w:tcPr>
            <w:tcW w:w="352" w:type="pct"/>
            <w:vAlign w:val="center"/>
            <w:hideMark/>
          </w:tcPr>
          <w:p w:rsidR="00137B7C" w:rsidRPr="00C748F7" w:rsidRDefault="00137B7C" w:rsidP="00C748F7">
            <w:pPr>
              <w:autoSpaceDE w:val="0"/>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c>
          <w:tcPr>
            <w:tcW w:w="303" w:type="pct"/>
            <w:vAlign w:val="center"/>
            <w:hideMark/>
          </w:tcPr>
          <w:p w:rsidR="00137B7C" w:rsidRPr="00C748F7" w:rsidRDefault="00137B7C" w:rsidP="00C748F7">
            <w:pPr>
              <w:autoSpaceDE w:val="0"/>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c>
          <w:tcPr>
            <w:tcW w:w="378" w:type="pct"/>
            <w:vAlign w:val="center"/>
            <w:hideMark/>
          </w:tcPr>
          <w:p w:rsidR="00137B7C" w:rsidRPr="00C748F7" w:rsidRDefault="00137B7C" w:rsidP="00C748F7">
            <w:pPr>
              <w:autoSpaceDE w:val="0"/>
              <w:ind w:firstLineChars="0" w:firstLine="0"/>
              <w:jc w:val="center"/>
              <w:rPr>
                <w:rFonts w:ascii="Times New Roman" w:hAnsi="Times New Roman"/>
                <w:kern w:val="0"/>
                <w:sz w:val="21"/>
                <w:szCs w:val="21"/>
              </w:rPr>
            </w:pPr>
            <w:r w:rsidRPr="00C748F7">
              <w:rPr>
                <w:rFonts w:ascii="Times New Roman" w:hAnsi="Times New Roman"/>
                <w:kern w:val="0"/>
                <w:sz w:val="21"/>
                <w:szCs w:val="21"/>
              </w:rPr>
              <w:t>/</w:t>
            </w:r>
          </w:p>
        </w:tc>
      </w:tr>
      <w:tr w:rsidR="00ED6D1E" w:rsidRPr="00C748F7" w:rsidTr="00ED6D1E">
        <w:trPr>
          <w:trHeight w:val="300"/>
        </w:trPr>
        <w:tc>
          <w:tcPr>
            <w:tcW w:w="254" w:type="pct"/>
            <w:vMerge/>
            <w:vAlign w:val="center"/>
            <w:hideMark/>
          </w:tcPr>
          <w:p w:rsidR="00137B7C" w:rsidRPr="00C748F7" w:rsidRDefault="00137B7C" w:rsidP="00C748F7">
            <w:pPr>
              <w:widowControl/>
              <w:spacing w:line="240" w:lineRule="auto"/>
              <w:ind w:firstLineChars="0" w:firstLine="0"/>
              <w:jc w:val="center"/>
              <w:rPr>
                <w:rFonts w:ascii="Times New Roman" w:hAnsi="Times New Roman"/>
                <w:kern w:val="0"/>
                <w:sz w:val="21"/>
                <w:szCs w:val="21"/>
              </w:rPr>
            </w:pPr>
          </w:p>
        </w:tc>
        <w:tc>
          <w:tcPr>
            <w:tcW w:w="407"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甲醇</w:t>
            </w:r>
          </w:p>
        </w:tc>
        <w:tc>
          <w:tcPr>
            <w:tcW w:w="355" w:type="pct"/>
            <w:vAlign w:val="center"/>
            <w:hideMark/>
          </w:tcPr>
          <w:p w:rsidR="00137B7C" w:rsidRPr="00C748F7" w:rsidRDefault="00137B7C" w:rsidP="00C748F7">
            <w:pPr>
              <w:widowControl/>
              <w:autoSpaceDE w:val="0"/>
              <w:ind w:firstLineChars="0" w:firstLine="0"/>
              <w:jc w:val="center"/>
              <w:textAlignment w:val="center"/>
              <w:rPr>
                <w:rFonts w:ascii="Times New Roman" w:hAnsi="Times New Roman"/>
                <w:sz w:val="21"/>
                <w:szCs w:val="21"/>
              </w:rPr>
            </w:pPr>
            <w:r w:rsidRPr="00C748F7">
              <w:rPr>
                <w:rFonts w:ascii="Times New Roman" w:hAnsi="Times New Roman"/>
                <w:sz w:val="21"/>
                <w:szCs w:val="21"/>
              </w:rPr>
              <w:t>&lt;0.1</w:t>
            </w:r>
          </w:p>
        </w:tc>
        <w:tc>
          <w:tcPr>
            <w:tcW w:w="406" w:type="pct"/>
            <w:vAlign w:val="center"/>
            <w:hideMark/>
          </w:tcPr>
          <w:p w:rsidR="00137B7C" w:rsidRPr="00C748F7" w:rsidRDefault="00137B7C" w:rsidP="00C748F7">
            <w:pPr>
              <w:widowControl/>
              <w:autoSpaceDE w:val="0"/>
              <w:ind w:firstLineChars="0" w:firstLine="0"/>
              <w:jc w:val="center"/>
              <w:textAlignment w:val="center"/>
              <w:rPr>
                <w:rFonts w:ascii="Times New Roman" w:hAnsi="Times New Roman"/>
                <w:sz w:val="21"/>
                <w:szCs w:val="21"/>
              </w:rPr>
            </w:pPr>
            <w:r w:rsidRPr="00C748F7">
              <w:rPr>
                <w:rFonts w:ascii="Times New Roman" w:hAnsi="Times New Roman"/>
                <w:sz w:val="21"/>
                <w:szCs w:val="21"/>
              </w:rPr>
              <w:t>&lt;0.1</w:t>
            </w:r>
          </w:p>
        </w:tc>
        <w:tc>
          <w:tcPr>
            <w:tcW w:w="407"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3</w:t>
            </w:r>
          </w:p>
        </w:tc>
        <w:tc>
          <w:tcPr>
            <w:tcW w:w="406"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0</w:t>
            </w:r>
          </w:p>
        </w:tc>
        <w:tc>
          <w:tcPr>
            <w:tcW w:w="305"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0</w:t>
            </w:r>
          </w:p>
        </w:tc>
        <w:tc>
          <w:tcPr>
            <w:tcW w:w="305"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3.3%</w:t>
            </w:r>
          </w:p>
        </w:tc>
        <w:tc>
          <w:tcPr>
            <w:tcW w:w="355"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sz w:val="21"/>
                <w:szCs w:val="21"/>
              </w:rPr>
              <w:t>&lt;0.1</w:t>
            </w:r>
          </w:p>
        </w:tc>
        <w:tc>
          <w:tcPr>
            <w:tcW w:w="381"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sz w:val="21"/>
                <w:szCs w:val="21"/>
              </w:rPr>
              <w:t>&lt;0.1</w:t>
            </w:r>
          </w:p>
        </w:tc>
        <w:tc>
          <w:tcPr>
            <w:tcW w:w="387"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1</w:t>
            </w:r>
          </w:p>
        </w:tc>
        <w:tc>
          <w:tcPr>
            <w:tcW w:w="352"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0</w:t>
            </w:r>
          </w:p>
        </w:tc>
        <w:tc>
          <w:tcPr>
            <w:tcW w:w="303" w:type="pct"/>
            <w:vAlign w:val="center"/>
            <w:hideMark/>
          </w:tcPr>
          <w:p w:rsidR="00137B7C" w:rsidRPr="00C748F7" w:rsidRDefault="00137B7C" w:rsidP="00C748F7">
            <w:pPr>
              <w:ind w:firstLineChars="0" w:firstLine="0"/>
              <w:jc w:val="center"/>
              <w:rPr>
                <w:rFonts w:ascii="Times New Roman" w:hAnsi="Times New Roman"/>
                <w:kern w:val="0"/>
                <w:sz w:val="21"/>
                <w:szCs w:val="21"/>
              </w:rPr>
            </w:pPr>
            <w:r w:rsidRPr="00C748F7">
              <w:rPr>
                <w:rFonts w:ascii="Times New Roman" w:hAnsi="Times New Roman"/>
                <w:kern w:val="0"/>
                <w:sz w:val="21"/>
                <w:szCs w:val="21"/>
              </w:rPr>
              <w:t>0</w:t>
            </w:r>
          </w:p>
        </w:tc>
        <w:tc>
          <w:tcPr>
            <w:tcW w:w="378" w:type="pct"/>
            <w:vAlign w:val="center"/>
            <w:hideMark/>
          </w:tcPr>
          <w:p w:rsidR="00137B7C" w:rsidRPr="00C748F7" w:rsidRDefault="00137B7C" w:rsidP="00370E0A">
            <w:pPr>
              <w:ind w:firstLineChars="0" w:firstLine="0"/>
              <w:jc w:val="center"/>
              <w:rPr>
                <w:rFonts w:ascii="Times New Roman" w:hAnsi="Times New Roman"/>
                <w:kern w:val="0"/>
                <w:sz w:val="21"/>
                <w:szCs w:val="21"/>
              </w:rPr>
            </w:pPr>
            <w:r w:rsidRPr="00C748F7">
              <w:rPr>
                <w:rFonts w:ascii="Times New Roman" w:hAnsi="Times New Roman"/>
                <w:sz w:val="21"/>
                <w:szCs w:val="21"/>
              </w:rPr>
              <w:t>&lt;</w:t>
            </w:r>
            <w:r w:rsidR="00370E0A">
              <w:rPr>
                <w:rFonts w:ascii="Times New Roman" w:hAnsi="Times New Roman"/>
                <w:kern w:val="0"/>
                <w:sz w:val="21"/>
                <w:szCs w:val="21"/>
              </w:rPr>
              <w:t>10</w:t>
            </w:r>
            <w:r w:rsidRPr="00C748F7">
              <w:rPr>
                <w:rFonts w:ascii="Times New Roman" w:hAnsi="Times New Roman"/>
                <w:kern w:val="0"/>
                <w:sz w:val="21"/>
                <w:szCs w:val="21"/>
              </w:rPr>
              <w:t>%</w:t>
            </w:r>
          </w:p>
        </w:tc>
      </w:tr>
    </w:tbl>
    <w:p w:rsidR="00137B7C" w:rsidRDefault="00137B7C" w:rsidP="00137B7C">
      <w:pPr>
        <w:pStyle w:val="affffffffa"/>
        <w:ind w:firstLine="480"/>
      </w:pPr>
      <w:r>
        <w:rPr>
          <w:kern w:val="0"/>
        </w:rPr>
        <w:t>根据监测结果，</w:t>
      </w:r>
      <w:r w:rsidR="00CD0AE7">
        <w:rPr>
          <w:rFonts w:hint="eastAsia"/>
          <w:kern w:val="0"/>
        </w:rPr>
        <w:t>氨、</w:t>
      </w:r>
      <w:r>
        <w:t>硫化氢</w:t>
      </w:r>
      <w:r>
        <w:rPr>
          <w:rFonts w:hint="eastAsia"/>
        </w:rPr>
        <w:t>、甲醇满足</w:t>
      </w:r>
      <w:r>
        <w:t>《环境影响评价技术导则大气环境》（</w:t>
      </w:r>
      <w:r>
        <w:t>HJ2.2-2018</w:t>
      </w:r>
      <w:r>
        <w:t>）中</w:t>
      </w:r>
      <w:r>
        <w:t>“</w:t>
      </w:r>
      <w:r>
        <w:t>表</w:t>
      </w:r>
      <w:r>
        <w:t xml:space="preserve">D.1 </w:t>
      </w:r>
      <w:r>
        <w:t>其他污染物空气质量浓度参考限值</w:t>
      </w:r>
      <w:r>
        <w:t>”</w:t>
      </w:r>
      <w:r>
        <w:t>要求；</w:t>
      </w:r>
      <w:r>
        <w:rPr>
          <w:rFonts w:hint="eastAsia"/>
        </w:rPr>
        <w:t>TSP</w:t>
      </w:r>
      <w:r>
        <w:rPr>
          <w:rFonts w:hint="eastAsia"/>
        </w:rPr>
        <w:t>满足</w:t>
      </w:r>
      <w:r>
        <w:t>《环境空气质量标准》（</w:t>
      </w:r>
      <w:r>
        <w:t>GB3095-2012</w:t>
      </w:r>
      <w:r>
        <w:t>）附录</w:t>
      </w:r>
      <w:r>
        <w:t>A</w:t>
      </w:r>
      <w:r>
        <w:t>中背景浓度限值要求</w:t>
      </w:r>
      <w:r>
        <w:rPr>
          <w:rFonts w:hint="eastAsia"/>
        </w:rPr>
        <w:t>，非甲烷总烃满足《大气污染物综合排放标准详解》一次浓度</w:t>
      </w:r>
      <w:r>
        <w:t>限值要求</w:t>
      </w:r>
      <w:r>
        <w:rPr>
          <w:rFonts w:hint="eastAsia"/>
        </w:rPr>
        <w:t>。</w:t>
      </w:r>
    </w:p>
    <w:p w:rsidR="00137B7C" w:rsidRDefault="00137B7C">
      <w:pPr>
        <w:ind w:firstLine="480"/>
        <w:rPr>
          <w:rFonts w:ascii="宋体" w:hAnsi="宋体"/>
        </w:rPr>
        <w:sectPr w:rsidR="00137B7C" w:rsidSect="00137B7C">
          <w:pgSz w:w="16838" w:h="11906" w:orient="landscape"/>
          <w:pgMar w:top="1440" w:right="1440" w:bottom="1440" w:left="1440" w:header="851" w:footer="992" w:gutter="0"/>
          <w:cols w:space="425"/>
          <w:docGrid w:type="lines" w:linePitch="326"/>
        </w:sectPr>
      </w:pPr>
    </w:p>
    <w:p w:rsidR="004E3021" w:rsidRDefault="00606E48">
      <w:pPr>
        <w:pStyle w:val="afffffffffffffffff4"/>
      </w:pPr>
      <w:bookmarkStart w:id="296" w:name="_Toc108662628"/>
      <w:bookmarkStart w:id="297" w:name="_Toc100784019"/>
      <w:bookmarkStart w:id="298" w:name="_Toc101135851"/>
      <w:bookmarkStart w:id="299" w:name="_Toc221088780"/>
      <w:bookmarkStart w:id="300" w:name="_Toc221500995"/>
      <w:r>
        <w:rPr>
          <w:rFonts w:hint="eastAsia"/>
        </w:rPr>
        <w:lastRenderedPageBreak/>
        <w:t>4</w:t>
      </w:r>
      <w:r>
        <w:t>.2.2</w:t>
      </w:r>
      <w:r>
        <w:t>地表水环境质量现状</w:t>
      </w:r>
      <w:bookmarkEnd w:id="296"/>
      <w:bookmarkEnd w:id="297"/>
      <w:bookmarkEnd w:id="298"/>
      <w:bookmarkEnd w:id="299"/>
      <w:bookmarkEnd w:id="300"/>
    </w:p>
    <w:p w:rsidR="004E3021" w:rsidRDefault="00606E48">
      <w:pPr>
        <w:ind w:firstLine="480"/>
      </w:pPr>
      <w:r>
        <w:rPr>
          <w:rFonts w:ascii="宋体" w:hAnsi="宋体" w:hint="eastAsia"/>
        </w:rPr>
        <w:t>（</w:t>
      </w:r>
      <w:r>
        <w:rPr>
          <w:rFonts w:hint="eastAsia"/>
        </w:rPr>
        <w:t>1</w:t>
      </w:r>
      <w:r>
        <w:rPr>
          <w:rFonts w:ascii="宋体" w:hAnsi="宋体" w:hint="eastAsia"/>
        </w:rPr>
        <w:t>）监测断面</w:t>
      </w:r>
    </w:p>
    <w:p w:rsidR="004E3021" w:rsidRDefault="00606E48">
      <w:pPr>
        <w:ind w:firstLine="480"/>
      </w:pPr>
      <w:r>
        <w:rPr>
          <w:rFonts w:ascii="宋体" w:hAnsi="宋体" w:hint="eastAsia"/>
        </w:rPr>
        <w:t>本次地表水</w:t>
      </w:r>
      <w:r>
        <w:rPr>
          <w:rFonts w:ascii="宋体" w:hAnsi="宋体"/>
        </w:rPr>
        <w:t>监测</w:t>
      </w:r>
      <w:r>
        <w:rPr>
          <w:rFonts w:ascii="宋体" w:hAnsi="宋体" w:hint="eastAsia"/>
        </w:rPr>
        <w:t>数据</w:t>
      </w:r>
      <w:r>
        <w:rPr>
          <w:rFonts w:ascii="宋体" w:hAnsi="宋体"/>
        </w:rPr>
        <w:t>引用</w:t>
      </w:r>
      <w:r>
        <w:rPr>
          <w:rFonts w:hint="eastAsia"/>
        </w:rPr>
        <w:t>《</w:t>
      </w:r>
      <w:r w:rsidR="00F51126" w:rsidRPr="00BC1A7C">
        <w:rPr>
          <w:rFonts w:hint="eastAsia"/>
        </w:rPr>
        <w:t>蚌埠精细化工高新技术产业基地环境影响区域评估</w:t>
      </w:r>
      <w:r w:rsidR="00F51126" w:rsidRPr="00BC1A7C">
        <w:rPr>
          <w:rFonts w:hint="eastAsia"/>
        </w:rPr>
        <w:t>+</w:t>
      </w:r>
      <w:r w:rsidR="00F51126" w:rsidRPr="00BC1A7C">
        <w:rPr>
          <w:rFonts w:hint="eastAsia"/>
        </w:rPr>
        <w:t>环境标准报告</w:t>
      </w:r>
      <w:r>
        <w:t>》</w:t>
      </w:r>
      <w:r>
        <w:rPr>
          <w:rFonts w:hint="eastAsia"/>
        </w:rPr>
        <w:t>中</w:t>
      </w:r>
      <w:r>
        <w:t>数据</w:t>
      </w:r>
      <w:r w:rsidR="00F51126">
        <w:rPr>
          <w:rFonts w:ascii="宋体" w:hAnsi="宋体" w:hint="eastAsia"/>
        </w:rPr>
        <w:t>，监测时间为</w:t>
      </w:r>
      <w:r w:rsidR="00F51126">
        <w:rPr>
          <w:kern w:val="0"/>
        </w:rPr>
        <w:t>20</w:t>
      </w:r>
      <w:r w:rsidR="00F51126">
        <w:rPr>
          <w:rFonts w:hint="eastAsia"/>
          <w:kern w:val="0"/>
        </w:rPr>
        <w:t>24</w:t>
      </w:r>
      <w:r w:rsidR="00F51126">
        <w:rPr>
          <w:rFonts w:ascii="宋体" w:hAnsi="宋体"/>
          <w:kern w:val="0"/>
        </w:rPr>
        <w:t>年</w:t>
      </w:r>
      <w:r w:rsidR="00F51126">
        <w:rPr>
          <w:rFonts w:hint="eastAsia"/>
          <w:kern w:val="0"/>
        </w:rPr>
        <w:t>4</w:t>
      </w:r>
      <w:r w:rsidR="00F51126">
        <w:rPr>
          <w:rFonts w:ascii="宋体" w:hAnsi="宋体"/>
          <w:kern w:val="0"/>
        </w:rPr>
        <w:t>月</w:t>
      </w:r>
      <w:r w:rsidR="00F51126">
        <w:rPr>
          <w:rFonts w:hint="eastAsia"/>
          <w:kern w:val="0"/>
        </w:rPr>
        <w:t>28</w:t>
      </w:r>
      <w:r w:rsidR="00F51126">
        <w:rPr>
          <w:rFonts w:ascii="宋体" w:hAnsi="宋体"/>
          <w:kern w:val="0"/>
        </w:rPr>
        <w:t>日</w:t>
      </w:r>
      <w:r w:rsidR="00F51126">
        <w:rPr>
          <w:kern w:val="0"/>
        </w:rPr>
        <w:t>~</w:t>
      </w:r>
      <w:r w:rsidR="00F51126">
        <w:rPr>
          <w:rFonts w:hint="eastAsia"/>
          <w:kern w:val="0"/>
        </w:rPr>
        <w:t>4</w:t>
      </w:r>
      <w:r w:rsidR="00F51126">
        <w:rPr>
          <w:rFonts w:ascii="宋体" w:hAnsi="宋体"/>
          <w:kern w:val="0"/>
        </w:rPr>
        <w:t>月</w:t>
      </w:r>
      <w:r w:rsidR="00F51126">
        <w:rPr>
          <w:rFonts w:hint="eastAsia"/>
          <w:kern w:val="0"/>
        </w:rPr>
        <w:t>30</w:t>
      </w:r>
      <w:r w:rsidR="00F51126">
        <w:rPr>
          <w:rFonts w:ascii="宋体" w:hAnsi="宋体"/>
          <w:kern w:val="0"/>
        </w:rPr>
        <w:t>日</w:t>
      </w:r>
      <w:r w:rsidR="00F51126">
        <w:rPr>
          <w:rFonts w:ascii="宋体" w:hAnsi="宋体" w:hint="eastAsia"/>
        </w:rPr>
        <w:t>，监测因子为</w:t>
      </w:r>
      <w:r w:rsidR="00F51126" w:rsidRPr="00F51126">
        <w:rPr>
          <w:rFonts w:hint="eastAsia"/>
          <w:bCs/>
        </w:rPr>
        <w:t>pH</w:t>
      </w:r>
      <w:r w:rsidR="00F51126" w:rsidRPr="00F51126">
        <w:rPr>
          <w:bCs/>
        </w:rPr>
        <w:t>、</w:t>
      </w:r>
      <w:r w:rsidR="00F51126" w:rsidRPr="00F51126">
        <w:rPr>
          <w:bCs/>
        </w:rPr>
        <w:t>COD</w:t>
      </w:r>
      <w:r w:rsidR="00F51126" w:rsidRPr="00F51126">
        <w:rPr>
          <w:bCs/>
        </w:rPr>
        <w:t>、</w:t>
      </w:r>
      <w:r w:rsidR="00F51126" w:rsidRPr="00F51126">
        <w:rPr>
          <w:bCs/>
        </w:rPr>
        <w:t>BOD</w:t>
      </w:r>
      <w:r w:rsidR="00F51126" w:rsidRPr="00F51126">
        <w:rPr>
          <w:bCs/>
          <w:vertAlign w:val="subscript"/>
        </w:rPr>
        <w:t>5</w:t>
      </w:r>
      <w:r w:rsidR="00F51126" w:rsidRPr="00F51126">
        <w:rPr>
          <w:bCs/>
        </w:rPr>
        <w:t>、溶解氧、氨氮、总磷、总氮、铅、镍、砷、铜、锌、硫化物、氟化物、</w:t>
      </w:r>
      <w:r w:rsidR="00F51126" w:rsidRPr="00F51126">
        <w:rPr>
          <w:rFonts w:hint="eastAsia"/>
          <w:bCs/>
        </w:rPr>
        <w:t>挥发酚、石油类、</w:t>
      </w:r>
      <w:r w:rsidR="00F51126" w:rsidRPr="00F51126">
        <w:rPr>
          <w:bCs/>
        </w:rPr>
        <w:t>阴离子表面活性剂</w:t>
      </w:r>
      <w:r w:rsidR="00F51126">
        <w:rPr>
          <w:rFonts w:hint="eastAsia"/>
          <w:bCs/>
        </w:rPr>
        <w:t>，</w:t>
      </w:r>
      <w:r w:rsidR="00F51126">
        <w:rPr>
          <w:rFonts w:hint="eastAsia"/>
        </w:rPr>
        <w:t>监测单位为</w:t>
      </w:r>
      <w:r w:rsidR="00F51126">
        <w:rPr>
          <w:rFonts w:ascii="宋体" w:hAnsi="宋体" w:hint="eastAsia"/>
        </w:rPr>
        <w:t>安徽天晟环保科技有限公司</w:t>
      </w:r>
      <w:r w:rsidR="00F51126">
        <w:rPr>
          <w:rFonts w:hint="eastAsia"/>
        </w:rPr>
        <w:t>（</w:t>
      </w:r>
      <w:r w:rsidR="00F51126">
        <w:rPr>
          <w:rFonts w:hint="eastAsia"/>
        </w:rPr>
        <w:t>B</w:t>
      </w:r>
      <w:r w:rsidR="00F51126">
        <w:rPr>
          <w:rFonts w:hint="eastAsia"/>
        </w:rPr>
        <w:t>级），</w:t>
      </w:r>
      <w:r w:rsidR="00F51126">
        <w:rPr>
          <w:rFonts w:hint="eastAsia"/>
          <w:bCs/>
        </w:rPr>
        <w:t>具体见下表及下图</w:t>
      </w:r>
      <w:r>
        <w:rPr>
          <w:rFonts w:ascii="宋体" w:hAnsi="宋体" w:hint="eastAsia"/>
        </w:rPr>
        <w:t>。</w:t>
      </w:r>
    </w:p>
    <w:p w:rsidR="004E3021" w:rsidRDefault="00606E48">
      <w:pPr>
        <w:pStyle w:val="afffff4"/>
      </w:pPr>
      <w:r>
        <w:rPr>
          <w:rFonts w:hint="eastAsia"/>
        </w:rPr>
        <w:t>表</w:t>
      </w:r>
      <w:r>
        <w:t>4.2.2-1</w:t>
      </w:r>
      <w:r>
        <w:rPr>
          <w:rFonts w:hint="eastAsia"/>
        </w:rPr>
        <w:t>地表水水质监测断面</w:t>
      </w:r>
    </w:p>
    <w:tbl>
      <w:tblPr>
        <w:tblStyle w:val="afff"/>
        <w:tblW w:w="5000" w:type="pct"/>
        <w:tblLook w:val="04A0" w:firstRow="1" w:lastRow="0" w:firstColumn="1" w:lastColumn="0" w:noHBand="0" w:noVBand="1"/>
      </w:tblPr>
      <w:tblGrid>
        <w:gridCol w:w="759"/>
        <w:gridCol w:w="1229"/>
        <w:gridCol w:w="4845"/>
        <w:gridCol w:w="2193"/>
      </w:tblGrid>
      <w:tr w:rsidR="00F51126" w:rsidRPr="00C748F7" w:rsidTr="00C748F7">
        <w:trPr>
          <w:trHeight w:val="340"/>
        </w:trPr>
        <w:tc>
          <w:tcPr>
            <w:tcW w:w="420" w:type="pct"/>
            <w:vAlign w:val="center"/>
            <w:hideMark/>
          </w:tcPr>
          <w:p w:rsidR="00F51126" w:rsidRPr="006D5DB1" w:rsidRDefault="00F51126" w:rsidP="00C748F7">
            <w:pPr>
              <w:autoSpaceDE w:val="0"/>
              <w:spacing w:line="360" w:lineRule="exact"/>
              <w:ind w:firstLineChars="0" w:firstLine="0"/>
              <w:jc w:val="center"/>
              <w:rPr>
                <w:rFonts w:ascii="Times New Roman" w:hAnsi="Times New Roman"/>
                <w:b/>
                <w:sz w:val="21"/>
                <w:szCs w:val="21"/>
              </w:rPr>
            </w:pPr>
            <w:r w:rsidRPr="006D5DB1">
              <w:rPr>
                <w:rFonts w:ascii="Times New Roman" w:hAnsi="Times New Roman"/>
                <w:b/>
                <w:sz w:val="21"/>
                <w:szCs w:val="21"/>
              </w:rPr>
              <w:t>编号</w:t>
            </w:r>
          </w:p>
        </w:tc>
        <w:tc>
          <w:tcPr>
            <w:tcW w:w="681" w:type="pct"/>
            <w:vAlign w:val="center"/>
            <w:hideMark/>
          </w:tcPr>
          <w:p w:rsidR="00F51126" w:rsidRPr="006D5DB1" w:rsidRDefault="00F51126" w:rsidP="00C748F7">
            <w:pPr>
              <w:autoSpaceDE w:val="0"/>
              <w:spacing w:line="360" w:lineRule="exact"/>
              <w:ind w:firstLineChars="0" w:firstLine="0"/>
              <w:jc w:val="center"/>
              <w:rPr>
                <w:rFonts w:ascii="Times New Roman" w:hAnsi="Times New Roman"/>
                <w:b/>
                <w:sz w:val="21"/>
                <w:szCs w:val="21"/>
              </w:rPr>
            </w:pPr>
            <w:r w:rsidRPr="006D5DB1">
              <w:rPr>
                <w:rFonts w:ascii="Times New Roman" w:hAnsi="Times New Roman"/>
                <w:b/>
                <w:sz w:val="21"/>
                <w:szCs w:val="21"/>
              </w:rPr>
              <w:t>河流名称</w:t>
            </w:r>
          </w:p>
        </w:tc>
        <w:tc>
          <w:tcPr>
            <w:tcW w:w="2684" w:type="pct"/>
            <w:vAlign w:val="center"/>
            <w:hideMark/>
          </w:tcPr>
          <w:p w:rsidR="00F51126" w:rsidRPr="006D5DB1" w:rsidRDefault="00F51126" w:rsidP="00C748F7">
            <w:pPr>
              <w:autoSpaceDE w:val="0"/>
              <w:spacing w:line="360" w:lineRule="exact"/>
              <w:ind w:firstLineChars="0" w:firstLine="0"/>
              <w:jc w:val="center"/>
              <w:rPr>
                <w:rFonts w:ascii="Times New Roman" w:hAnsi="Times New Roman"/>
                <w:b/>
                <w:sz w:val="21"/>
                <w:szCs w:val="21"/>
              </w:rPr>
            </w:pPr>
            <w:r w:rsidRPr="006D5DB1">
              <w:rPr>
                <w:rFonts w:ascii="Times New Roman" w:hAnsi="Times New Roman"/>
                <w:b/>
                <w:sz w:val="21"/>
                <w:szCs w:val="21"/>
              </w:rPr>
              <w:t>监测断面名称和位置</w:t>
            </w:r>
          </w:p>
        </w:tc>
        <w:tc>
          <w:tcPr>
            <w:tcW w:w="1216" w:type="pct"/>
            <w:vAlign w:val="center"/>
            <w:hideMark/>
          </w:tcPr>
          <w:p w:rsidR="00F51126" w:rsidRPr="006D5DB1" w:rsidRDefault="00F51126" w:rsidP="00C748F7">
            <w:pPr>
              <w:autoSpaceDE w:val="0"/>
              <w:spacing w:line="360" w:lineRule="exact"/>
              <w:ind w:firstLineChars="0" w:firstLine="0"/>
              <w:jc w:val="center"/>
              <w:rPr>
                <w:rFonts w:ascii="Times New Roman" w:hAnsi="Times New Roman"/>
                <w:b/>
                <w:sz w:val="21"/>
                <w:szCs w:val="21"/>
              </w:rPr>
            </w:pPr>
            <w:r w:rsidRPr="006D5DB1">
              <w:rPr>
                <w:rFonts w:ascii="Times New Roman" w:hAnsi="Times New Roman"/>
                <w:b/>
                <w:sz w:val="21"/>
                <w:szCs w:val="21"/>
              </w:rPr>
              <w:t>经纬度</w:t>
            </w:r>
          </w:p>
        </w:tc>
      </w:tr>
      <w:tr w:rsidR="00F51126" w:rsidRPr="00C748F7" w:rsidTr="00C748F7">
        <w:trPr>
          <w:trHeight w:val="340"/>
        </w:trPr>
        <w:tc>
          <w:tcPr>
            <w:tcW w:w="420" w:type="pc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1#</w:t>
            </w:r>
          </w:p>
        </w:tc>
        <w:tc>
          <w:tcPr>
            <w:tcW w:w="681" w:type="pc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沫冲引河</w:t>
            </w:r>
          </w:p>
        </w:tc>
        <w:tc>
          <w:tcPr>
            <w:tcW w:w="2684"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2#</w:t>
            </w:r>
            <w:r w:rsidRPr="00C748F7">
              <w:rPr>
                <w:rFonts w:ascii="Times New Roman" w:hAnsi="Times New Roman"/>
                <w:sz w:val="21"/>
                <w:szCs w:val="21"/>
              </w:rPr>
              <w:t>沫冲引河与三铺大沟交口上游</w:t>
            </w:r>
            <w:r w:rsidRPr="00C748F7">
              <w:rPr>
                <w:rFonts w:ascii="Times New Roman" w:hAnsi="Times New Roman"/>
                <w:sz w:val="21"/>
                <w:szCs w:val="21"/>
              </w:rPr>
              <w:t>500m</w:t>
            </w:r>
          </w:p>
        </w:tc>
        <w:tc>
          <w:tcPr>
            <w:tcW w:w="1216"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117°33′21.51″</w:t>
            </w:r>
          </w:p>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32°58′48.89″</w:t>
            </w:r>
          </w:p>
        </w:tc>
      </w:tr>
      <w:tr w:rsidR="00F51126" w:rsidRPr="00C748F7" w:rsidTr="00C748F7">
        <w:trPr>
          <w:trHeight w:val="340"/>
        </w:trPr>
        <w:tc>
          <w:tcPr>
            <w:tcW w:w="420" w:type="pc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2#</w:t>
            </w:r>
          </w:p>
        </w:tc>
        <w:tc>
          <w:tcPr>
            <w:tcW w:w="681" w:type="pc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三铺大沟</w:t>
            </w:r>
          </w:p>
        </w:tc>
        <w:tc>
          <w:tcPr>
            <w:tcW w:w="2684"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3#</w:t>
            </w:r>
            <w:r w:rsidRPr="00C748F7">
              <w:rPr>
                <w:rFonts w:ascii="Times New Roman" w:hAnsi="Times New Roman"/>
                <w:sz w:val="21"/>
                <w:szCs w:val="21"/>
              </w:rPr>
              <w:t>三铺大沟与沫冲引河交口上游</w:t>
            </w:r>
            <w:r w:rsidRPr="00C748F7">
              <w:rPr>
                <w:rFonts w:ascii="Times New Roman" w:hAnsi="Times New Roman"/>
                <w:sz w:val="21"/>
                <w:szCs w:val="21"/>
              </w:rPr>
              <w:t>500m</w:t>
            </w:r>
          </w:p>
        </w:tc>
        <w:tc>
          <w:tcPr>
            <w:tcW w:w="1216"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117°33′09.34″</w:t>
            </w:r>
          </w:p>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32°59′03.79″</w:t>
            </w:r>
          </w:p>
        </w:tc>
      </w:tr>
      <w:tr w:rsidR="00F51126" w:rsidRPr="00C748F7" w:rsidTr="00C748F7">
        <w:trPr>
          <w:trHeight w:val="340"/>
        </w:trPr>
        <w:tc>
          <w:tcPr>
            <w:tcW w:w="420" w:type="pc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3#</w:t>
            </w:r>
          </w:p>
        </w:tc>
        <w:tc>
          <w:tcPr>
            <w:tcW w:w="681" w:type="pct"/>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淮河</w:t>
            </w:r>
          </w:p>
        </w:tc>
        <w:tc>
          <w:tcPr>
            <w:tcW w:w="2684"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 xml:space="preserve">5#-1 </w:t>
            </w:r>
            <w:r w:rsidRPr="00C748F7">
              <w:rPr>
                <w:rFonts w:ascii="Times New Roman" w:hAnsi="Times New Roman"/>
                <w:sz w:val="21"/>
                <w:szCs w:val="21"/>
              </w:rPr>
              <w:t>三铺大沟入淮河口处上游</w:t>
            </w:r>
            <w:r w:rsidRPr="00C748F7">
              <w:rPr>
                <w:rFonts w:ascii="Times New Roman" w:hAnsi="Times New Roman"/>
                <w:sz w:val="21"/>
                <w:szCs w:val="21"/>
              </w:rPr>
              <w:t>500m</w:t>
            </w:r>
            <w:r w:rsidRPr="00C748F7">
              <w:rPr>
                <w:rFonts w:ascii="Times New Roman" w:hAnsi="Times New Roman"/>
                <w:sz w:val="21"/>
                <w:szCs w:val="21"/>
              </w:rPr>
              <w:t>距北岸</w:t>
            </w:r>
            <w:r w:rsidRPr="00C748F7">
              <w:rPr>
                <w:rFonts w:ascii="Times New Roman" w:hAnsi="Times New Roman"/>
                <w:sz w:val="21"/>
                <w:szCs w:val="21"/>
              </w:rPr>
              <w:t>20m</w:t>
            </w:r>
          </w:p>
        </w:tc>
        <w:tc>
          <w:tcPr>
            <w:tcW w:w="1216"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117°32′31.01″</w:t>
            </w:r>
          </w:p>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32°58′36.51″</w:t>
            </w:r>
          </w:p>
        </w:tc>
      </w:tr>
      <w:tr w:rsidR="00F51126" w:rsidRPr="00C748F7" w:rsidTr="00C748F7">
        <w:trPr>
          <w:trHeight w:val="340"/>
        </w:trPr>
        <w:tc>
          <w:tcPr>
            <w:tcW w:w="420" w:type="pc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4#</w:t>
            </w:r>
          </w:p>
        </w:tc>
        <w:tc>
          <w:tcPr>
            <w:tcW w:w="681" w:type="pct"/>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2684"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 xml:space="preserve">5#-2 </w:t>
            </w:r>
            <w:r w:rsidRPr="00C748F7">
              <w:rPr>
                <w:rFonts w:ascii="Times New Roman" w:hAnsi="Times New Roman"/>
                <w:sz w:val="21"/>
                <w:szCs w:val="21"/>
              </w:rPr>
              <w:t>三铺大沟入淮河口处上游</w:t>
            </w:r>
            <w:r w:rsidRPr="00C748F7">
              <w:rPr>
                <w:rFonts w:ascii="Times New Roman" w:hAnsi="Times New Roman"/>
                <w:sz w:val="21"/>
                <w:szCs w:val="21"/>
              </w:rPr>
              <w:t>500m</w:t>
            </w:r>
            <w:r w:rsidRPr="00C748F7">
              <w:rPr>
                <w:rFonts w:ascii="Times New Roman" w:hAnsi="Times New Roman"/>
                <w:sz w:val="21"/>
                <w:szCs w:val="21"/>
              </w:rPr>
              <w:t>距北岸</w:t>
            </w:r>
            <w:r w:rsidRPr="00C748F7">
              <w:rPr>
                <w:rFonts w:ascii="Times New Roman" w:hAnsi="Times New Roman"/>
                <w:sz w:val="21"/>
                <w:szCs w:val="21"/>
              </w:rPr>
              <w:t>50m</w:t>
            </w:r>
          </w:p>
        </w:tc>
        <w:tc>
          <w:tcPr>
            <w:tcW w:w="1216"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117°32′29.91″</w:t>
            </w:r>
          </w:p>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32°58′35.15″</w:t>
            </w:r>
          </w:p>
        </w:tc>
      </w:tr>
      <w:tr w:rsidR="00F51126" w:rsidRPr="00C748F7" w:rsidTr="00C748F7">
        <w:trPr>
          <w:trHeight w:val="340"/>
        </w:trPr>
        <w:tc>
          <w:tcPr>
            <w:tcW w:w="420" w:type="pc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5#</w:t>
            </w:r>
          </w:p>
        </w:tc>
        <w:tc>
          <w:tcPr>
            <w:tcW w:w="681" w:type="pct"/>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2684"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 xml:space="preserve">5#-3 </w:t>
            </w:r>
            <w:r w:rsidRPr="00C748F7">
              <w:rPr>
                <w:rFonts w:ascii="Times New Roman" w:hAnsi="Times New Roman"/>
                <w:sz w:val="21"/>
                <w:szCs w:val="21"/>
              </w:rPr>
              <w:t>三铺大沟入淮河口处上游</w:t>
            </w:r>
            <w:r w:rsidRPr="00C748F7">
              <w:rPr>
                <w:rFonts w:ascii="Times New Roman" w:hAnsi="Times New Roman"/>
                <w:sz w:val="21"/>
                <w:szCs w:val="21"/>
              </w:rPr>
              <w:t>500m</w:t>
            </w:r>
            <w:r w:rsidRPr="00C748F7">
              <w:rPr>
                <w:rFonts w:ascii="Times New Roman" w:hAnsi="Times New Roman"/>
                <w:sz w:val="21"/>
                <w:szCs w:val="21"/>
              </w:rPr>
              <w:t>距北岸</w:t>
            </w:r>
            <w:r w:rsidRPr="00C748F7">
              <w:rPr>
                <w:rFonts w:ascii="Times New Roman" w:hAnsi="Times New Roman"/>
                <w:sz w:val="21"/>
                <w:szCs w:val="21"/>
              </w:rPr>
              <w:t>100m</w:t>
            </w:r>
          </w:p>
        </w:tc>
        <w:tc>
          <w:tcPr>
            <w:tcW w:w="1216"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117°32′28.79″</w:t>
            </w:r>
          </w:p>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32°58′33.88″</w:t>
            </w:r>
          </w:p>
        </w:tc>
      </w:tr>
      <w:tr w:rsidR="00F51126" w:rsidRPr="00C748F7" w:rsidTr="00C748F7">
        <w:trPr>
          <w:trHeight w:val="340"/>
        </w:trPr>
        <w:tc>
          <w:tcPr>
            <w:tcW w:w="420" w:type="pc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6#</w:t>
            </w:r>
          </w:p>
        </w:tc>
        <w:tc>
          <w:tcPr>
            <w:tcW w:w="681" w:type="pct"/>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2684"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 xml:space="preserve">6#-1 </w:t>
            </w:r>
            <w:r w:rsidRPr="00C748F7">
              <w:rPr>
                <w:rFonts w:ascii="Times New Roman" w:hAnsi="Times New Roman"/>
                <w:sz w:val="21"/>
                <w:szCs w:val="21"/>
              </w:rPr>
              <w:t>三铺大沟入淮河口处下游</w:t>
            </w:r>
            <w:r w:rsidRPr="00C748F7">
              <w:rPr>
                <w:rFonts w:ascii="Times New Roman" w:hAnsi="Times New Roman"/>
                <w:sz w:val="21"/>
                <w:szCs w:val="21"/>
              </w:rPr>
              <w:t>500m</w:t>
            </w:r>
            <w:r w:rsidRPr="00C748F7">
              <w:rPr>
                <w:rFonts w:ascii="Times New Roman" w:hAnsi="Times New Roman"/>
                <w:sz w:val="21"/>
                <w:szCs w:val="21"/>
              </w:rPr>
              <w:t>距北岸</w:t>
            </w:r>
            <w:r w:rsidRPr="00C748F7">
              <w:rPr>
                <w:rFonts w:ascii="Times New Roman" w:hAnsi="Times New Roman"/>
                <w:sz w:val="21"/>
                <w:szCs w:val="21"/>
              </w:rPr>
              <w:t>20m</w:t>
            </w:r>
          </w:p>
        </w:tc>
        <w:tc>
          <w:tcPr>
            <w:tcW w:w="1216"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117°32′59.78″</w:t>
            </w:r>
          </w:p>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32°58′14.68″</w:t>
            </w:r>
          </w:p>
        </w:tc>
      </w:tr>
      <w:tr w:rsidR="00F51126" w:rsidRPr="00C748F7" w:rsidTr="00C748F7">
        <w:trPr>
          <w:trHeight w:val="340"/>
        </w:trPr>
        <w:tc>
          <w:tcPr>
            <w:tcW w:w="420" w:type="pc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7#</w:t>
            </w:r>
          </w:p>
        </w:tc>
        <w:tc>
          <w:tcPr>
            <w:tcW w:w="681" w:type="pct"/>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2684"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 xml:space="preserve">6#-2 </w:t>
            </w:r>
            <w:r w:rsidRPr="00C748F7">
              <w:rPr>
                <w:rFonts w:ascii="Times New Roman" w:hAnsi="Times New Roman"/>
                <w:sz w:val="21"/>
                <w:szCs w:val="21"/>
              </w:rPr>
              <w:t>三铺大沟入淮河口处下游</w:t>
            </w:r>
            <w:r w:rsidRPr="00C748F7">
              <w:rPr>
                <w:rFonts w:ascii="Times New Roman" w:hAnsi="Times New Roman"/>
                <w:sz w:val="21"/>
                <w:szCs w:val="21"/>
              </w:rPr>
              <w:t>500m</w:t>
            </w:r>
            <w:r w:rsidRPr="00C748F7">
              <w:rPr>
                <w:rFonts w:ascii="Times New Roman" w:hAnsi="Times New Roman"/>
                <w:sz w:val="21"/>
                <w:szCs w:val="21"/>
              </w:rPr>
              <w:t>距北岸</w:t>
            </w:r>
            <w:r w:rsidRPr="00C748F7">
              <w:rPr>
                <w:rFonts w:ascii="Times New Roman" w:hAnsi="Times New Roman"/>
                <w:sz w:val="21"/>
                <w:szCs w:val="21"/>
              </w:rPr>
              <w:t>50m</w:t>
            </w:r>
          </w:p>
        </w:tc>
        <w:tc>
          <w:tcPr>
            <w:tcW w:w="1216"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117°32′58.75″</w:t>
            </w:r>
          </w:p>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32°58′13.92″</w:t>
            </w:r>
          </w:p>
        </w:tc>
      </w:tr>
      <w:tr w:rsidR="00F51126" w:rsidRPr="00C748F7" w:rsidTr="00C748F7">
        <w:trPr>
          <w:trHeight w:val="340"/>
        </w:trPr>
        <w:tc>
          <w:tcPr>
            <w:tcW w:w="420" w:type="pc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8#</w:t>
            </w:r>
          </w:p>
        </w:tc>
        <w:tc>
          <w:tcPr>
            <w:tcW w:w="681" w:type="pct"/>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2684"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 xml:space="preserve">6#-3 </w:t>
            </w:r>
            <w:r w:rsidRPr="00C748F7">
              <w:rPr>
                <w:rFonts w:ascii="Times New Roman" w:hAnsi="Times New Roman"/>
                <w:sz w:val="21"/>
                <w:szCs w:val="21"/>
              </w:rPr>
              <w:t>三铺大沟入淮河口处下游</w:t>
            </w:r>
            <w:r w:rsidRPr="00C748F7">
              <w:rPr>
                <w:rFonts w:ascii="Times New Roman" w:hAnsi="Times New Roman"/>
                <w:sz w:val="21"/>
                <w:szCs w:val="21"/>
              </w:rPr>
              <w:t>500m</w:t>
            </w:r>
            <w:r w:rsidRPr="00C748F7">
              <w:rPr>
                <w:rFonts w:ascii="Times New Roman" w:hAnsi="Times New Roman"/>
                <w:sz w:val="21"/>
                <w:szCs w:val="21"/>
              </w:rPr>
              <w:t>距北岸</w:t>
            </w:r>
            <w:r w:rsidRPr="00C748F7">
              <w:rPr>
                <w:rFonts w:ascii="Times New Roman" w:hAnsi="Times New Roman"/>
                <w:sz w:val="21"/>
                <w:szCs w:val="21"/>
              </w:rPr>
              <w:t>100m</w:t>
            </w:r>
          </w:p>
        </w:tc>
        <w:tc>
          <w:tcPr>
            <w:tcW w:w="1216"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117°32′57.29″</w:t>
            </w:r>
          </w:p>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32°58′12.84″</w:t>
            </w:r>
          </w:p>
        </w:tc>
      </w:tr>
      <w:tr w:rsidR="00F51126" w:rsidRPr="00C748F7" w:rsidTr="00C748F7">
        <w:trPr>
          <w:trHeight w:val="340"/>
        </w:trPr>
        <w:tc>
          <w:tcPr>
            <w:tcW w:w="420" w:type="pc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9#</w:t>
            </w:r>
          </w:p>
        </w:tc>
        <w:tc>
          <w:tcPr>
            <w:tcW w:w="681" w:type="pct"/>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2684"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 xml:space="preserve">7#-1 </w:t>
            </w:r>
            <w:r w:rsidRPr="00C748F7">
              <w:rPr>
                <w:rFonts w:ascii="Times New Roman" w:hAnsi="Times New Roman"/>
                <w:sz w:val="21"/>
                <w:szCs w:val="21"/>
              </w:rPr>
              <w:t>三铺大沟入淮河口处下游</w:t>
            </w:r>
            <w:r w:rsidRPr="00C748F7">
              <w:rPr>
                <w:rFonts w:ascii="Times New Roman" w:hAnsi="Times New Roman"/>
                <w:sz w:val="21"/>
                <w:szCs w:val="21"/>
              </w:rPr>
              <w:t>2km</w:t>
            </w:r>
            <w:r w:rsidRPr="00C748F7">
              <w:rPr>
                <w:rFonts w:ascii="Times New Roman" w:hAnsi="Times New Roman"/>
                <w:sz w:val="21"/>
                <w:szCs w:val="21"/>
              </w:rPr>
              <w:t>距北岸</w:t>
            </w:r>
            <w:r w:rsidRPr="00C748F7">
              <w:rPr>
                <w:rFonts w:ascii="Times New Roman" w:hAnsi="Times New Roman"/>
                <w:sz w:val="21"/>
                <w:szCs w:val="21"/>
              </w:rPr>
              <w:t>20m</w:t>
            </w:r>
          </w:p>
        </w:tc>
        <w:tc>
          <w:tcPr>
            <w:tcW w:w="1216"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117°33′38.71″</w:t>
            </w:r>
          </w:p>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32°57′39.59″</w:t>
            </w:r>
          </w:p>
        </w:tc>
      </w:tr>
      <w:tr w:rsidR="00F51126" w:rsidRPr="00C748F7" w:rsidTr="00C748F7">
        <w:trPr>
          <w:trHeight w:val="340"/>
        </w:trPr>
        <w:tc>
          <w:tcPr>
            <w:tcW w:w="420" w:type="pc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10#</w:t>
            </w:r>
          </w:p>
        </w:tc>
        <w:tc>
          <w:tcPr>
            <w:tcW w:w="681" w:type="pct"/>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2684"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 xml:space="preserve">7#-2 </w:t>
            </w:r>
            <w:r w:rsidRPr="00C748F7">
              <w:rPr>
                <w:rFonts w:ascii="Times New Roman" w:hAnsi="Times New Roman"/>
                <w:sz w:val="21"/>
                <w:szCs w:val="21"/>
              </w:rPr>
              <w:t>三铺大沟入淮河口处下游</w:t>
            </w:r>
            <w:r w:rsidRPr="00C748F7">
              <w:rPr>
                <w:rFonts w:ascii="Times New Roman" w:hAnsi="Times New Roman"/>
                <w:sz w:val="21"/>
                <w:szCs w:val="21"/>
              </w:rPr>
              <w:t>2km</w:t>
            </w:r>
            <w:r w:rsidRPr="00C748F7">
              <w:rPr>
                <w:rFonts w:ascii="Times New Roman" w:hAnsi="Times New Roman"/>
                <w:sz w:val="21"/>
                <w:szCs w:val="21"/>
              </w:rPr>
              <w:t>距北岸</w:t>
            </w:r>
            <w:r w:rsidRPr="00C748F7">
              <w:rPr>
                <w:rFonts w:ascii="Times New Roman" w:hAnsi="Times New Roman"/>
                <w:sz w:val="21"/>
                <w:szCs w:val="21"/>
              </w:rPr>
              <w:t>50m</w:t>
            </w:r>
          </w:p>
        </w:tc>
        <w:tc>
          <w:tcPr>
            <w:tcW w:w="1216"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117°33′38.03″</w:t>
            </w:r>
          </w:p>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32°57′38.30″</w:t>
            </w:r>
          </w:p>
        </w:tc>
      </w:tr>
      <w:tr w:rsidR="00F51126" w:rsidRPr="00C748F7" w:rsidTr="00C748F7">
        <w:trPr>
          <w:trHeight w:val="340"/>
        </w:trPr>
        <w:tc>
          <w:tcPr>
            <w:tcW w:w="420" w:type="pc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11#</w:t>
            </w:r>
          </w:p>
        </w:tc>
        <w:tc>
          <w:tcPr>
            <w:tcW w:w="681" w:type="pct"/>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2684"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 xml:space="preserve">7#-3 </w:t>
            </w:r>
            <w:r w:rsidRPr="00C748F7">
              <w:rPr>
                <w:rFonts w:ascii="Times New Roman" w:hAnsi="Times New Roman"/>
                <w:sz w:val="21"/>
                <w:szCs w:val="21"/>
              </w:rPr>
              <w:t>三铺大沟入淮河口处下游</w:t>
            </w:r>
            <w:r w:rsidRPr="00C748F7">
              <w:rPr>
                <w:rFonts w:ascii="Times New Roman" w:hAnsi="Times New Roman"/>
                <w:sz w:val="21"/>
                <w:szCs w:val="21"/>
              </w:rPr>
              <w:t>2km</w:t>
            </w:r>
            <w:r w:rsidRPr="00C748F7">
              <w:rPr>
                <w:rFonts w:ascii="Times New Roman" w:hAnsi="Times New Roman"/>
                <w:sz w:val="21"/>
                <w:szCs w:val="21"/>
              </w:rPr>
              <w:t>距北岸</w:t>
            </w:r>
            <w:r w:rsidRPr="00C748F7">
              <w:rPr>
                <w:rFonts w:ascii="Times New Roman" w:hAnsi="Times New Roman"/>
                <w:sz w:val="21"/>
                <w:szCs w:val="21"/>
              </w:rPr>
              <w:t>100m</w:t>
            </w:r>
          </w:p>
        </w:tc>
        <w:tc>
          <w:tcPr>
            <w:tcW w:w="1216"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117°33′36.86″</w:t>
            </w:r>
          </w:p>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32°57′37.53″</w:t>
            </w:r>
          </w:p>
        </w:tc>
      </w:tr>
      <w:tr w:rsidR="00F51126" w:rsidRPr="00C748F7" w:rsidTr="00C748F7">
        <w:trPr>
          <w:trHeight w:val="340"/>
        </w:trPr>
        <w:tc>
          <w:tcPr>
            <w:tcW w:w="420" w:type="pc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12#</w:t>
            </w:r>
          </w:p>
        </w:tc>
        <w:tc>
          <w:tcPr>
            <w:tcW w:w="681" w:type="pct"/>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2684"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 xml:space="preserve">8#-1 </w:t>
            </w:r>
            <w:r w:rsidRPr="00C748F7">
              <w:rPr>
                <w:rFonts w:ascii="Times New Roman" w:hAnsi="Times New Roman"/>
                <w:sz w:val="21"/>
                <w:szCs w:val="21"/>
              </w:rPr>
              <w:t>三铺大沟入淮河口处下游</w:t>
            </w:r>
            <w:r w:rsidRPr="00C748F7">
              <w:rPr>
                <w:rFonts w:ascii="Times New Roman" w:hAnsi="Times New Roman"/>
                <w:sz w:val="21"/>
                <w:szCs w:val="21"/>
              </w:rPr>
              <w:t>5km</w:t>
            </w:r>
            <w:r w:rsidRPr="00C748F7">
              <w:rPr>
                <w:rFonts w:ascii="Times New Roman" w:hAnsi="Times New Roman"/>
                <w:sz w:val="21"/>
                <w:szCs w:val="21"/>
              </w:rPr>
              <w:t>距北岸</w:t>
            </w:r>
            <w:r w:rsidRPr="00C748F7">
              <w:rPr>
                <w:rFonts w:ascii="Times New Roman" w:hAnsi="Times New Roman"/>
                <w:sz w:val="21"/>
                <w:szCs w:val="21"/>
              </w:rPr>
              <w:t>20m</w:t>
            </w:r>
          </w:p>
        </w:tc>
        <w:tc>
          <w:tcPr>
            <w:tcW w:w="1216"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117°34′59.39″</w:t>
            </w:r>
          </w:p>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32°56′29.50″</w:t>
            </w:r>
          </w:p>
        </w:tc>
      </w:tr>
      <w:tr w:rsidR="00F51126" w:rsidRPr="00C748F7" w:rsidTr="00C748F7">
        <w:trPr>
          <w:trHeight w:val="340"/>
        </w:trPr>
        <w:tc>
          <w:tcPr>
            <w:tcW w:w="420" w:type="pc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13#</w:t>
            </w:r>
          </w:p>
        </w:tc>
        <w:tc>
          <w:tcPr>
            <w:tcW w:w="681" w:type="pct"/>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2684"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 xml:space="preserve">8#-2 </w:t>
            </w:r>
            <w:r w:rsidRPr="00C748F7">
              <w:rPr>
                <w:rFonts w:ascii="Times New Roman" w:hAnsi="Times New Roman"/>
                <w:sz w:val="21"/>
                <w:szCs w:val="21"/>
              </w:rPr>
              <w:t>三铺大沟入淮河口处下游</w:t>
            </w:r>
            <w:r w:rsidRPr="00C748F7">
              <w:rPr>
                <w:rFonts w:ascii="Times New Roman" w:hAnsi="Times New Roman"/>
                <w:sz w:val="21"/>
                <w:szCs w:val="21"/>
              </w:rPr>
              <w:t>5km</w:t>
            </w:r>
            <w:r w:rsidRPr="00C748F7">
              <w:rPr>
                <w:rFonts w:ascii="Times New Roman" w:hAnsi="Times New Roman"/>
                <w:sz w:val="21"/>
                <w:szCs w:val="21"/>
              </w:rPr>
              <w:t>距北岸</w:t>
            </w:r>
            <w:r w:rsidRPr="00C748F7">
              <w:rPr>
                <w:rFonts w:ascii="Times New Roman" w:hAnsi="Times New Roman"/>
                <w:sz w:val="21"/>
                <w:szCs w:val="21"/>
              </w:rPr>
              <w:t>50m</w:t>
            </w:r>
          </w:p>
        </w:tc>
        <w:tc>
          <w:tcPr>
            <w:tcW w:w="1216"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117°34′58.45″</w:t>
            </w:r>
          </w:p>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lastRenderedPageBreak/>
              <w:t>32°56′28.92″</w:t>
            </w:r>
          </w:p>
        </w:tc>
      </w:tr>
      <w:tr w:rsidR="00F51126" w:rsidRPr="00C748F7" w:rsidTr="00C748F7">
        <w:trPr>
          <w:trHeight w:val="340"/>
        </w:trPr>
        <w:tc>
          <w:tcPr>
            <w:tcW w:w="420" w:type="pct"/>
            <w:vAlign w:val="center"/>
            <w:hideMark/>
          </w:tcPr>
          <w:p w:rsidR="00F51126" w:rsidRPr="00C748F7" w:rsidRDefault="00F51126" w:rsidP="00C748F7">
            <w:pPr>
              <w:autoSpaceDE w:val="0"/>
              <w:spacing w:line="360" w:lineRule="exact"/>
              <w:ind w:firstLineChars="0" w:firstLine="0"/>
              <w:jc w:val="center"/>
              <w:rPr>
                <w:rFonts w:ascii="Times New Roman" w:hAnsi="Times New Roman"/>
                <w:sz w:val="21"/>
                <w:szCs w:val="21"/>
              </w:rPr>
            </w:pPr>
            <w:r w:rsidRPr="00C748F7">
              <w:rPr>
                <w:rFonts w:ascii="Times New Roman" w:hAnsi="Times New Roman"/>
                <w:sz w:val="21"/>
                <w:szCs w:val="21"/>
              </w:rPr>
              <w:t>14#</w:t>
            </w:r>
          </w:p>
        </w:tc>
        <w:tc>
          <w:tcPr>
            <w:tcW w:w="681" w:type="pct"/>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2684"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 xml:space="preserve">8#-3 </w:t>
            </w:r>
            <w:r w:rsidRPr="00C748F7">
              <w:rPr>
                <w:rFonts w:ascii="Times New Roman" w:hAnsi="Times New Roman"/>
                <w:sz w:val="21"/>
                <w:szCs w:val="21"/>
              </w:rPr>
              <w:t>三铺大沟入淮河口处下游</w:t>
            </w:r>
            <w:r w:rsidRPr="00C748F7">
              <w:rPr>
                <w:rFonts w:ascii="Times New Roman" w:hAnsi="Times New Roman"/>
                <w:sz w:val="21"/>
                <w:szCs w:val="21"/>
              </w:rPr>
              <w:t>5km</w:t>
            </w:r>
            <w:r w:rsidRPr="00C748F7">
              <w:rPr>
                <w:rFonts w:ascii="Times New Roman" w:hAnsi="Times New Roman"/>
                <w:sz w:val="21"/>
                <w:szCs w:val="21"/>
              </w:rPr>
              <w:t>距北岸</w:t>
            </w:r>
            <w:r w:rsidRPr="00C748F7">
              <w:rPr>
                <w:rFonts w:ascii="Times New Roman" w:hAnsi="Times New Roman"/>
                <w:sz w:val="21"/>
                <w:szCs w:val="21"/>
              </w:rPr>
              <w:t>100m</w:t>
            </w:r>
          </w:p>
        </w:tc>
        <w:tc>
          <w:tcPr>
            <w:tcW w:w="1216" w:type="pct"/>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117°34′55.92″</w:t>
            </w:r>
          </w:p>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32°56′27.38″</w:t>
            </w:r>
          </w:p>
        </w:tc>
      </w:tr>
    </w:tbl>
    <w:p w:rsidR="00F51126" w:rsidRDefault="005E413B" w:rsidP="00F51126">
      <w:pPr>
        <w:ind w:firstLineChars="0" w:firstLine="0"/>
        <w:jc w:val="center"/>
        <w:rPr>
          <w:rFonts w:ascii="宋体" w:hAnsi="宋体"/>
        </w:rPr>
      </w:pPr>
      <w:r>
        <w:rPr>
          <w:rFonts w:ascii="宋体" w:hAnsi="宋体"/>
        </w:rPr>
        <w:pict>
          <v:shape id="_x0000_i1032" type="#_x0000_t75" style="width:456pt;height:364.5pt">
            <v:imagedata r:id="rId33" o:title="附图10~12 环境质量现状监测点位图_页面_2" croptop="3855f" cropbottom="6322f" cropleft="7742f" cropright="8942f"/>
          </v:shape>
        </w:pict>
      </w:r>
    </w:p>
    <w:p w:rsidR="00F51126" w:rsidRDefault="00F51126" w:rsidP="00F51126">
      <w:pPr>
        <w:spacing w:line="500" w:lineRule="exact"/>
        <w:ind w:firstLineChars="0" w:firstLine="0"/>
        <w:jc w:val="center"/>
        <w:rPr>
          <w:rFonts w:eastAsia="黑体"/>
        </w:rPr>
      </w:pPr>
      <w:r>
        <w:rPr>
          <w:rFonts w:eastAsia="黑体"/>
        </w:rPr>
        <w:t>图</w:t>
      </w:r>
      <w:r>
        <w:rPr>
          <w:rFonts w:eastAsia="黑体"/>
        </w:rPr>
        <w:t xml:space="preserve">4.2.2-1  </w:t>
      </w:r>
      <w:r>
        <w:rPr>
          <w:rFonts w:eastAsia="黑体" w:hint="eastAsia"/>
        </w:rPr>
        <w:t>本项目地表水现状引用监测点位</w:t>
      </w:r>
      <w:r>
        <w:rPr>
          <w:rFonts w:eastAsia="黑体"/>
        </w:rPr>
        <w:t>图</w:t>
      </w:r>
    </w:p>
    <w:p w:rsidR="004E3021" w:rsidRDefault="00606E48">
      <w:pPr>
        <w:ind w:firstLine="480"/>
      </w:pPr>
      <w:r>
        <w:rPr>
          <w:rFonts w:ascii="宋体" w:hAnsi="宋体" w:hint="eastAsia"/>
        </w:rPr>
        <w:t>（</w:t>
      </w:r>
      <w:r w:rsidR="00F51126">
        <w:t>2</w:t>
      </w:r>
      <w:r>
        <w:rPr>
          <w:rFonts w:ascii="宋体" w:hAnsi="宋体" w:hint="eastAsia"/>
        </w:rPr>
        <w:t>）采样时间与监测频次</w:t>
      </w:r>
    </w:p>
    <w:p w:rsidR="004E3021" w:rsidRDefault="00606E48">
      <w:pPr>
        <w:ind w:firstLine="480"/>
      </w:pPr>
      <w:r>
        <w:rPr>
          <w:rFonts w:ascii="宋体" w:hAnsi="宋体"/>
        </w:rPr>
        <w:t>连续监测了</w:t>
      </w:r>
      <w:r>
        <w:t>3</w:t>
      </w:r>
      <w:r>
        <w:rPr>
          <w:rFonts w:ascii="宋体" w:hAnsi="宋体" w:hint="eastAsia"/>
        </w:rPr>
        <w:t>天，每天采样</w:t>
      </w:r>
      <w:r>
        <w:rPr>
          <w:rFonts w:hint="eastAsia"/>
        </w:rPr>
        <w:t>2</w:t>
      </w:r>
      <w:r>
        <w:rPr>
          <w:rFonts w:ascii="宋体" w:hAnsi="宋体" w:hint="eastAsia"/>
        </w:rPr>
        <w:t>次，上、下午各一次。</w:t>
      </w:r>
    </w:p>
    <w:p w:rsidR="004E3021" w:rsidRDefault="00606E48">
      <w:pPr>
        <w:ind w:firstLine="480"/>
      </w:pPr>
      <w:r>
        <w:rPr>
          <w:rFonts w:ascii="宋体" w:hAnsi="宋体" w:hint="eastAsia"/>
        </w:rPr>
        <w:t>（</w:t>
      </w:r>
      <w:r w:rsidR="00F51126">
        <w:t>3</w:t>
      </w:r>
      <w:r>
        <w:rPr>
          <w:rFonts w:ascii="宋体" w:hAnsi="宋体" w:hint="eastAsia"/>
        </w:rPr>
        <w:t>）监测与分析方法</w:t>
      </w:r>
    </w:p>
    <w:p w:rsidR="004E3021" w:rsidRDefault="00606E48">
      <w:pPr>
        <w:ind w:firstLine="480"/>
      </w:pPr>
      <w:r>
        <w:rPr>
          <w:rFonts w:ascii="宋体" w:hAnsi="宋体" w:hint="eastAsia"/>
        </w:rPr>
        <w:t>水质采样执行《水质采样方案设计技术规定》（</w:t>
      </w:r>
      <w:r>
        <w:rPr>
          <w:rFonts w:hint="eastAsia"/>
        </w:rPr>
        <w:t>HJ495-2009</w:t>
      </w:r>
      <w:r>
        <w:rPr>
          <w:rFonts w:ascii="宋体" w:hAnsi="宋体" w:hint="eastAsia"/>
        </w:rPr>
        <w:t>）、《水质采样技术指导》（</w:t>
      </w:r>
      <w:r>
        <w:rPr>
          <w:rFonts w:hint="eastAsia"/>
        </w:rPr>
        <w:t>HJ494-2009</w:t>
      </w:r>
      <w:r>
        <w:rPr>
          <w:rFonts w:ascii="宋体" w:hAnsi="宋体" w:hint="eastAsia"/>
        </w:rPr>
        <w:t>）、《水质采样样品的保存和管理技术规定》（</w:t>
      </w:r>
      <w:r>
        <w:rPr>
          <w:rFonts w:hint="eastAsia"/>
        </w:rPr>
        <w:t>HJ493-2009</w:t>
      </w:r>
      <w:r>
        <w:rPr>
          <w:rFonts w:ascii="宋体" w:hAnsi="宋体" w:hint="eastAsia"/>
        </w:rPr>
        <w:t>）。</w:t>
      </w:r>
    </w:p>
    <w:p w:rsidR="004E3021" w:rsidRDefault="00606E48">
      <w:pPr>
        <w:ind w:firstLine="480"/>
      </w:pPr>
      <w:r>
        <w:rPr>
          <w:rFonts w:ascii="宋体" w:hAnsi="宋体" w:hint="eastAsia"/>
        </w:rPr>
        <w:t>（</w:t>
      </w:r>
      <w:r w:rsidR="00F51126">
        <w:t>4</w:t>
      </w:r>
      <w:r>
        <w:rPr>
          <w:rFonts w:ascii="宋体" w:hAnsi="宋体" w:hint="eastAsia"/>
        </w:rPr>
        <w:t>）评价方法</w:t>
      </w:r>
    </w:p>
    <w:p w:rsidR="004E3021" w:rsidRDefault="00606E48">
      <w:pPr>
        <w:ind w:firstLine="480"/>
      </w:pPr>
      <w:r>
        <w:rPr>
          <w:rFonts w:ascii="宋体" w:hAnsi="宋体" w:hint="eastAsia"/>
        </w:rPr>
        <w:t>采用单因子标准指数法进行水环境质量现状评价。单项污染指数用下式计算。单项水质参数</w:t>
      </w:r>
      <w:r>
        <w:t>i</w:t>
      </w:r>
      <w:r>
        <w:rPr>
          <w:rFonts w:ascii="宋体" w:hAnsi="宋体" w:hint="eastAsia"/>
        </w:rPr>
        <w:t>在第</w:t>
      </w:r>
      <w:r>
        <w:t>j</w:t>
      </w:r>
      <w:r>
        <w:rPr>
          <w:rFonts w:ascii="宋体" w:hAnsi="宋体" w:hint="eastAsia"/>
        </w:rPr>
        <w:t>断面单项污染指数：</w:t>
      </w:r>
    </w:p>
    <w:p w:rsidR="004E3021" w:rsidRDefault="00606E48">
      <w:pPr>
        <w:spacing w:line="500" w:lineRule="exact"/>
        <w:ind w:firstLineChars="0" w:firstLine="0"/>
        <w:jc w:val="center"/>
        <w:rPr>
          <w:rFonts w:eastAsia="仿宋_GB2312"/>
        </w:rPr>
      </w:pPr>
      <w:r>
        <w:rPr>
          <w:rFonts w:eastAsia="仿宋_GB2312"/>
        </w:rPr>
        <w:t>S</w:t>
      </w:r>
      <w:r>
        <w:rPr>
          <w:rFonts w:eastAsia="仿宋_GB2312"/>
          <w:vertAlign w:val="subscript"/>
        </w:rPr>
        <w:t>ij</w:t>
      </w:r>
      <w:r>
        <w:rPr>
          <w:rFonts w:eastAsia="仿宋_GB2312"/>
        </w:rPr>
        <w:t>=C</w:t>
      </w:r>
      <w:r>
        <w:rPr>
          <w:rFonts w:eastAsia="仿宋_GB2312"/>
          <w:vertAlign w:val="subscript"/>
        </w:rPr>
        <w:t>ij</w:t>
      </w:r>
      <w:r>
        <w:rPr>
          <w:rFonts w:eastAsia="仿宋_GB2312"/>
        </w:rPr>
        <w:t>/C</w:t>
      </w:r>
      <w:r>
        <w:rPr>
          <w:rFonts w:eastAsia="仿宋_GB2312"/>
          <w:vertAlign w:val="subscript"/>
        </w:rPr>
        <w:t>sj</w:t>
      </w:r>
    </w:p>
    <w:p w:rsidR="004E3021" w:rsidRDefault="00606E48">
      <w:pPr>
        <w:ind w:firstLine="480"/>
      </w:pPr>
      <w:r>
        <w:rPr>
          <w:rFonts w:ascii="宋体" w:hAnsi="宋体" w:hint="eastAsia"/>
        </w:rPr>
        <w:t>式中：</w:t>
      </w:r>
      <w:r>
        <w:t>S</w:t>
      </w:r>
      <w:r>
        <w:rPr>
          <w:vertAlign w:val="subscript"/>
        </w:rPr>
        <w:t>ij</w:t>
      </w:r>
      <w:r>
        <w:rPr>
          <w:rFonts w:ascii="宋体" w:hAnsi="宋体" w:hint="eastAsia"/>
        </w:rPr>
        <w:t>：第</w:t>
      </w:r>
      <w:r>
        <w:t>i</w:t>
      </w:r>
      <w:r>
        <w:rPr>
          <w:rFonts w:ascii="宋体" w:hAnsi="宋体" w:hint="eastAsia"/>
        </w:rPr>
        <w:t>种污染物在第</w:t>
      </w:r>
      <w:r>
        <w:t>j</w:t>
      </w:r>
      <w:r>
        <w:rPr>
          <w:rFonts w:ascii="宋体" w:hAnsi="宋体" w:hint="eastAsia"/>
        </w:rPr>
        <w:t>点的标准指数；</w:t>
      </w:r>
    </w:p>
    <w:p w:rsidR="004E3021" w:rsidRDefault="00606E48">
      <w:pPr>
        <w:ind w:firstLineChars="500" w:firstLine="1200"/>
      </w:pPr>
      <w:r>
        <w:lastRenderedPageBreak/>
        <w:t>C</w:t>
      </w:r>
      <w:r>
        <w:rPr>
          <w:vertAlign w:val="subscript"/>
        </w:rPr>
        <w:t>ij</w:t>
      </w:r>
      <w:r>
        <w:rPr>
          <w:rFonts w:ascii="宋体" w:hAnsi="宋体" w:hint="eastAsia"/>
        </w:rPr>
        <w:t>：第</w:t>
      </w:r>
      <w:r>
        <w:t>i</w:t>
      </w:r>
      <w:r>
        <w:rPr>
          <w:rFonts w:ascii="宋体" w:hAnsi="宋体" w:hint="eastAsia"/>
        </w:rPr>
        <w:t>种污染物在第</w:t>
      </w:r>
      <w:r>
        <w:t>j</w:t>
      </w:r>
      <w:r>
        <w:rPr>
          <w:rFonts w:ascii="宋体" w:hAnsi="宋体" w:hint="eastAsia"/>
        </w:rPr>
        <w:t>点的监测平均浓度值，</w:t>
      </w:r>
      <w:r>
        <w:t>mg/L</w:t>
      </w:r>
      <w:r>
        <w:rPr>
          <w:rFonts w:ascii="宋体" w:hAnsi="宋体" w:hint="eastAsia"/>
        </w:rPr>
        <w:t>；</w:t>
      </w:r>
    </w:p>
    <w:p w:rsidR="004E3021" w:rsidRDefault="00606E48">
      <w:pPr>
        <w:ind w:firstLineChars="500" w:firstLine="1200"/>
      </w:pPr>
      <w:r>
        <w:t>C</w:t>
      </w:r>
      <w:r>
        <w:rPr>
          <w:vertAlign w:val="subscript"/>
        </w:rPr>
        <w:t>sj</w:t>
      </w:r>
      <w:r>
        <w:rPr>
          <w:rFonts w:ascii="宋体" w:hAnsi="宋体" w:hint="eastAsia"/>
        </w:rPr>
        <w:t>：第</w:t>
      </w:r>
      <w:r>
        <w:t>i</w:t>
      </w:r>
      <w:r>
        <w:rPr>
          <w:rFonts w:ascii="宋体" w:hAnsi="宋体" w:hint="eastAsia"/>
        </w:rPr>
        <w:t>种污染物的地表水水质标准值，</w:t>
      </w:r>
      <w:r>
        <w:t>mg/L</w:t>
      </w:r>
      <w:r>
        <w:rPr>
          <w:rFonts w:ascii="宋体" w:hAnsi="宋体" w:hint="eastAsia"/>
        </w:rPr>
        <w:t>。</w:t>
      </w:r>
    </w:p>
    <w:p w:rsidR="004E3021" w:rsidRDefault="00606E48">
      <w:pPr>
        <w:ind w:firstLine="480"/>
      </w:pPr>
      <w:r>
        <w:t>pH</w:t>
      </w:r>
      <w:r>
        <w:rPr>
          <w:rFonts w:ascii="宋体" w:hAnsi="宋体" w:hint="eastAsia"/>
        </w:rPr>
        <w:t>为：</w:t>
      </w:r>
    </w:p>
    <w:p w:rsidR="004E3021" w:rsidRDefault="00606E48">
      <w:pPr>
        <w:ind w:firstLineChars="0" w:firstLine="0"/>
        <w:jc w:val="center"/>
        <w:rPr>
          <w:rFonts w:eastAsia="仿宋_GB2312"/>
          <w:sz w:val="28"/>
          <w:szCs w:val="28"/>
        </w:rPr>
      </w:pPr>
      <w:r>
        <w:rPr>
          <w:noProof/>
        </w:rPr>
        <w:drawing>
          <wp:inline distT="0" distB="0" distL="0" distR="0">
            <wp:extent cx="1571625" cy="476250"/>
            <wp:effectExtent l="0" t="0" r="9525" b="0"/>
            <wp:docPr id="2" name="图片 2" descr="C:\Users\ADMINI~1\AppData\Local\Temp\ksohtml\wps364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1\AppData\Local\Temp\ksohtml\wps3647.tmp.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1571625" cy="476250"/>
                    </a:xfrm>
                    <a:prstGeom prst="rect">
                      <a:avLst/>
                    </a:prstGeom>
                    <a:noFill/>
                    <a:ln>
                      <a:noFill/>
                    </a:ln>
                  </pic:spPr>
                </pic:pic>
              </a:graphicData>
            </a:graphic>
          </wp:inline>
        </w:drawing>
      </w:r>
      <w:r>
        <w:rPr>
          <w:rFonts w:eastAsia="仿宋_GB2312"/>
          <w:sz w:val="28"/>
          <w:szCs w:val="28"/>
        </w:rPr>
        <w:t xml:space="preserve">    pH</w:t>
      </w:r>
      <w:r>
        <w:rPr>
          <w:rFonts w:eastAsia="仿宋_GB2312"/>
          <w:sz w:val="28"/>
          <w:szCs w:val="28"/>
          <w:vertAlign w:val="subscript"/>
        </w:rPr>
        <w:t>j</w:t>
      </w:r>
      <w:r>
        <w:rPr>
          <w:rFonts w:ascii="仿宋_GB2312" w:eastAsia="仿宋_GB2312" w:hint="eastAsia"/>
          <w:sz w:val="28"/>
          <w:szCs w:val="28"/>
        </w:rPr>
        <w:t>≤</w:t>
      </w:r>
      <w:r>
        <w:rPr>
          <w:rFonts w:eastAsia="仿宋_GB2312"/>
          <w:sz w:val="28"/>
          <w:szCs w:val="28"/>
        </w:rPr>
        <w:t>7.0</w:t>
      </w:r>
    </w:p>
    <w:p w:rsidR="004E3021" w:rsidRDefault="00606E48">
      <w:pPr>
        <w:ind w:firstLineChars="0" w:firstLine="0"/>
        <w:jc w:val="center"/>
        <w:rPr>
          <w:rFonts w:eastAsia="仿宋_GB2312"/>
          <w:sz w:val="28"/>
          <w:szCs w:val="28"/>
        </w:rPr>
      </w:pPr>
      <w:r>
        <w:rPr>
          <w:noProof/>
        </w:rPr>
        <w:drawing>
          <wp:inline distT="0" distB="0" distL="0" distR="0">
            <wp:extent cx="1447800" cy="476250"/>
            <wp:effectExtent l="0" t="0" r="0" b="0"/>
            <wp:docPr id="1" name="图片 1" descr="C:\Users\ADMINI~1\AppData\Local\Temp\ksohtml\wps364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1\AppData\Local\Temp\ksohtml\wps3648.tmp.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1447800" cy="476250"/>
                    </a:xfrm>
                    <a:prstGeom prst="rect">
                      <a:avLst/>
                    </a:prstGeom>
                    <a:noFill/>
                    <a:ln>
                      <a:noFill/>
                    </a:ln>
                  </pic:spPr>
                </pic:pic>
              </a:graphicData>
            </a:graphic>
          </wp:inline>
        </w:drawing>
      </w:r>
      <w:r>
        <w:rPr>
          <w:rFonts w:eastAsia="仿宋_GB2312"/>
          <w:sz w:val="28"/>
          <w:szCs w:val="28"/>
        </w:rPr>
        <w:t xml:space="preserve">    pH</w:t>
      </w:r>
      <w:r>
        <w:rPr>
          <w:rFonts w:eastAsia="仿宋_GB2312"/>
          <w:sz w:val="28"/>
          <w:szCs w:val="28"/>
          <w:vertAlign w:val="subscript"/>
        </w:rPr>
        <w:t>j</w:t>
      </w:r>
      <w:r>
        <w:rPr>
          <w:rFonts w:ascii="仿宋_GB2312" w:eastAsia="仿宋_GB2312" w:hint="eastAsia"/>
          <w:sz w:val="28"/>
          <w:szCs w:val="28"/>
        </w:rPr>
        <w:t>＞</w:t>
      </w:r>
      <w:r>
        <w:rPr>
          <w:rFonts w:eastAsia="仿宋_GB2312"/>
          <w:sz w:val="28"/>
          <w:szCs w:val="28"/>
        </w:rPr>
        <w:t>7.0</w:t>
      </w:r>
    </w:p>
    <w:p w:rsidR="004E3021" w:rsidRDefault="00606E48">
      <w:pPr>
        <w:ind w:firstLine="480"/>
      </w:pPr>
      <w:r>
        <w:rPr>
          <w:rFonts w:ascii="宋体" w:hAnsi="宋体" w:hint="eastAsia"/>
        </w:rPr>
        <w:t>式中：</w:t>
      </w:r>
      <w:r>
        <w:t>S</w:t>
      </w:r>
      <w:r>
        <w:rPr>
          <w:vertAlign w:val="subscript"/>
        </w:rPr>
        <w:t>pH,j</w:t>
      </w:r>
      <w:r>
        <w:rPr>
          <w:rFonts w:ascii="宋体" w:hAnsi="宋体" w:hint="eastAsia"/>
        </w:rPr>
        <w:t>：为水质参数</w:t>
      </w:r>
      <w:r>
        <w:t>pH</w:t>
      </w:r>
      <w:r>
        <w:rPr>
          <w:rFonts w:ascii="宋体" w:hAnsi="宋体" w:hint="eastAsia"/>
        </w:rPr>
        <w:t>在</w:t>
      </w:r>
      <w:r>
        <w:t>j</w:t>
      </w:r>
      <w:r>
        <w:rPr>
          <w:rFonts w:ascii="宋体" w:hAnsi="宋体" w:hint="eastAsia"/>
        </w:rPr>
        <w:t>点的标准指数；</w:t>
      </w:r>
    </w:p>
    <w:p w:rsidR="004E3021" w:rsidRDefault="00606E48">
      <w:pPr>
        <w:ind w:firstLineChars="500" w:firstLine="1200"/>
      </w:pPr>
      <w:r>
        <w:t>pH</w:t>
      </w:r>
      <w:r>
        <w:rPr>
          <w:vertAlign w:val="subscript"/>
        </w:rPr>
        <w:t>j</w:t>
      </w:r>
      <w:r>
        <w:rPr>
          <w:rFonts w:ascii="宋体" w:hAnsi="宋体" w:hint="eastAsia"/>
        </w:rPr>
        <w:t>：为</w:t>
      </w:r>
      <w:r>
        <w:t>j</w:t>
      </w:r>
      <w:r>
        <w:rPr>
          <w:rFonts w:ascii="宋体" w:hAnsi="宋体" w:hint="eastAsia"/>
        </w:rPr>
        <w:t>点的</w:t>
      </w:r>
      <w:r>
        <w:t>pH</w:t>
      </w:r>
      <w:r>
        <w:rPr>
          <w:rFonts w:ascii="宋体" w:hAnsi="宋体" w:hint="eastAsia"/>
        </w:rPr>
        <w:t>值；</w:t>
      </w:r>
    </w:p>
    <w:p w:rsidR="004E3021" w:rsidRDefault="00606E48">
      <w:pPr>
        <w:ind w:firstLineChars="500" w:firstLine="1200"/>
      </w:pPr>
      <w:r>
        <w:t>pH</w:t>
      </w:r>
      <w:r>
        <w:rPr>
          <w:vertAlign w:val="subscript"/>
        </w:rPr>
        <w:t>su</w:t>
      </w:r>
      <w:r>
        <w:rPr>
          <w:rFonts w:ascii="宋体" w:hAnsi="宋体" w:hint="eastAsia"/>
        </w:rPr>
        <w:t>：为地表水水质标准中规定的</w:t>
      </w:r>
      <w:r>
        <w:t>pH</w:t>
      </w:r>
      <w:r>
        <w:rPr>
          <w:rFonts w:ascii="宋体" w:hAnsi="宋体" w:hint="eastAsia"/>
        </w:rPr>
        <w:t>值上限；</w:t>
      </w:r>
    </w:p>
    <w:p w:rsidR="004E3021" w:rsidRDefault="00606E48">
      <w:pPr>
        <w:ind w:firstLineChars="500" w:firstLine="1200"/>
        <w:rPr>
          <w:rFonts w:ascii="宋体" w:hAnsi="宋体"/>
        </w:rPr>
      </w:pPr>
      <w:r>
        <w:t>pH</w:t>
      </w:r>
      <w:r>
        <w:rPr>
          <w:vertAlign w:val="subscript"/>
        </w:rPr>
        <w:t>sd</w:t>
      </w:r>
      <w:r>
        <w:rPr>
          <w:rFonts w:ascii="宋体" w:hAnsi="宋体" w:hint="eastAsia"/>
        </w:rPr>
        <w:t>：为地表水水质标准中规定的</w:t>
      </w:r>
      <w:r>
        <w:t>pH</w:t>
      </w:r>
      <w:r>
        <w:rPr>
          <w:rFonts w:ascii="宋体" w:hAnsi="宋体" w:hint="eastAsia"/>
        </w:rPr>
        <w:t>值下限。</w:t>
      </w:r>
    </w:p>
    <w:p w:rsidR="004E3021" w:rsidRDefault="00606E48">
      <w:pPr>
        <w:spacing w:before="186" w:line="220" w:lineRule="auto"/>
        <w:ind w:left="517" w:firstLine="464"/>
        <w:rPr>
          <w:rFonts w:ascii="宋体" w:hAnsi="宋体" w:cs="宋体"/>
        </w:rPr>
      </w:pPr>
      <w:r>
        <w:rPr>
          <w:rFonts w:eastAsia="Times New Roman"/>
          <w:spacing w:val="-4"/>
        </w:rPr>
        <w:t xml:space="preserve">DO </w:t>
      </w:r>
      <w:r>
        <w:rPr>
          <w:rFonts w:ascii="宋体" w:hAnsi="宋体" w:cs="宋体"/>
          <w:spacing w:val="-4"/>
        </w:rPr>
        <w:t>的标准指数为：</w:t>
      </w:r>
    </w:p>
    <w:p w:rsidR="004E3021" w:rsidRDefault="00606E48">
      <w:pPr>
        <w:spacing w:before="146" w:line="1202" w:lineRule="exact"/>
        <w:ind w:firstLineChars="0" w:firstLine="0"/>
        <w:jc w:val="center"/>
        <w:textAlignment w:val="center"/>
      </w:pPr>
      <w:r>
        <w:rPr>
          <w:noProof/>
        </w:rPr>
        <w:drawing>
          <wp:inline distT="0" distB="0" distL="0" distR="0">
            <wp:extent cx="2333625" cy="762000"/>
            <wp:effectExtent l="0" t="0" r="9525" b="0"/>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333625" cy="762000"/>
                    </a:xfrm>
                    <a:prstGeom prst="rect">
                      <a:avLst/>
                    </a:prstGeom>
                    <a:noFill/>
                    <a:ln>
                      <a:noFill/>
                    </a:ln>
                  </pic:spPr>
                </pic:pic>
              </a:graphicData>
            </a:graphic>
          </wp:inline>
        </w:drawing>
      </w:r>
    </w:p>
    <w:p w:rsidR="004E3021" w:rsidRDefault="00606E48">
      <w:pPr>
        <w:ind w:firstLine="464"/>
      </w:pPr>
      <w:r>
        <w:rPr>
          <w:spacing w:val="-4"/>
        </w:rPr>
        <w:t>式中</w:t>
      </w:r>
      <w:r>
        <w:t>：</w:t>
      </w:r>
      <w:r>
        <w:rPr>
          <w:rFonts w:eastAsia="Times New Roman"/>
        </w:rPr>
        <w:t>S</w:t>
      </w:r>
      <w:r>
        <w:rPr>
          <w:rFonts w:eastAsia="Times New Roman"/>
          <w:position w:val="-1"/>
          <w:sz w:val="16"/>
          <w:szCs w:val="16"/>
        </w:rPr>
        <w:t>DO</w:t>
      </w:r>
      <w:r>
        <w:rPr>
          <w:position w:val="-1"/>
          <w:sz w:val="12"/>
          <w:szCs w:val="12"/>
        </w:rPr>
        <w:t>，</w:t>
      </w:r>
      <w:r>
        <w:rPr>
          <w:rFonts w:eastAsia="Times New Roman"/>
          <w:position w:val="-1"/>
          <w:sz w:val="16"/>
          <w:szCs w:val="16"/>
        </w:rPr>
        <w:t>j</w:t>
      </w:r>
      <w:r>
        <w:rPr>
          <w:rFonts w:eastAsia="Times New Roman"/>
        </w:rPr>
        <w:t>——</w:t>
      </w:r>
      <w:r>
        <w:t>溶解氧的标准指数，大于</w:t>
      </w:r>
      <w:r>
        <w:t xml:space="preserve"> </w:t>
      </w:r>
      <w:r>
        <w:rPr>
          <w:rFonts w:eastAsia="Times New Roman"/>
        </w:rPr>
        <w:t xml:space="preserve">1 </w:t>
      </w:r>
      <w:r>
        <w:t>表明该水质因子超标；</w:t>
      </w:r>
    </w:p>
    <w:p w:rsidR="004E3021" w:rsidRDefault="00606E48">
      <w:pPr>
        <w:spacing w:before="183" w:line="466" w:lineRule="exact"/>
        <w:ind w:firstLineChars="483" w:firstLine="1159"/>
        <w:rPr>
          <w:rFonts w:ascii="宋体" w:hAnsi="宋体" w:cs="宋体"/>
        </w:rPr>
      </w:pPr>
      <w:r>
        <w:rPr>
          <w:rFonts w:eastAsia="Times New Roman"/>
          <w:position w:val="17"/>
        </w:rPr>
        <w:t>DO</w:t>
      </w:r>
      <w:r>
        <w:rPr>
          <w:rFonts w:eastAsia="Times New Roman"/>
          <w:position w:val="16"/>
          <w:sz w:val="16"/>
          <w:szCs w:val="16"/>
        </w:rPr>
        <w:t>j</w:t>
      </w:r>
      <w:r>
        <w:rPr>
          <w:rFonts w:eastAsia="Times New Roman"/>
          <w:spacing w:val="4"/>
          <w:position w:val="17"/>
        </w:rPr>
        <w:t>—</w:t>
      </w:r>
      <w:r>
        <w:rPr>
          <w:rFonts w:eastAsia="Times New Roman"/>
          <w:spacing w:val="3"/>
          <w:position w:val="17"/>
        </w:rPr>
        <w:t>—</w:t>
      </w:r>
      <w:r>
        <w:rPr>
          <w:rFonts w:ascii="宋体" w:hAnsi="宋体" w:cs="宋体"/>
          <w:spacing w:val="3"/>
          <w:position w:val="17"/>
        </w:rPr>
        <w:t>溶解氧在</w:t>
      </w:r>
      <w:r>
        <w:rPr>
          <w:rFonts w:eastAsia="Times New Roman"/>
          <w:position w:val="17"/>
        </w:rPr>
        <w:t>j</w:t>
      </w:r>
      <w:r>
        <w:rPr>
          <w:rFonts w:eastAsia="Times New Roman"/>
          <w:spacing w:val="3"/>
          <w:position w:val="17"/>
        </w:rPr>
        <w:t xml:space="preserve"> </w:t>
      </w:r>
      <w:r>
        <w:rPr>
          <w:rFonts w:ascii="宋体" w:hAnsi="宋体" w:cs="宋体"/>
          <w:spacing w:val="3"/>
          <w:position w:val="17"/>
        </w:rPr>
        <w:t>点的实测统计代表值，</w:t>
      </w:r>
      <w:r>
        <w:rPr>
          <w:rFonts w:eastAsia="Times New Roman"/>
          <w:position w:val="17"/>
        </w:rPr>
        <w:t>mg</w:t>
      </w:r>
      <w:r>
        <w:rPr>
          <w:rFonts w:eastAsia="Times New Roman"/>
          <w:spacing w:val="3"/>
          <w:position w:val="17"/>
        </w:rPr>
        <w:t>/</w:t>
      </w:r>
      <w:r>
        <w:rPr>
          <w:rFonts w:eastAsia="Times New Roman"/>
          <w:position w:val="17"/>
        </w:rPr>
        <w:t>L</w:t>
      </w:r>
      <w:r>
        <w:rPr>
          <w:rFonts w:ascii="宋体" w:hAnsi="宋体" w:cs="宋体"/>
          <w:spacing w:val="3"/>
          <w:position w:val="17"/>
        </w:rPr>
        <w:t>；</w:t>
      </w:r>
    </w:p>
    <w:p w:rsidR="004E3021" w:rsidRDefault="00606E48">
      <w:pPr>
        <w:spacing w:before="1" w:line="213" w:lineRule="auto"/>
        <w:ind w:firstLineChars="500" w:firstLine="1200"/>
        <w:rPr>
          <w:rFonts w:ascii="宋体" w:hAnsi="宋体" w:cs="宋体"/>
        </w:rPr>
      </w:pPr>
      <w:r>
        <w:rPr>
          <w:rFonts w:eastAsia="Times New Roman"/>
        </w:rPr>
        <w:t>DO</w:t>
      </w:r>
      <w:r>
        <w:rPr>
          <w:rFonts w:eastAsia="Times New Roman"/>
          <w:position w:val="-1"/>
          <w:sz w:val="16"/>
          <w:szCs w:val="16"/>
        </w:rPr>
        <w:t>s</w:t>
      </w:r>
      <w:r>
        <w:rPr>
          <w:rFonts w:eastAsia="Times New Roman"/>
          <w:spacing w:val="-1"/>
        </w:rPr>
        <w:t>——</w:t>
      </w:r>
      <w:r>
        <w:rPr>
          <w:rFonts w:ascii="宋体" w:hAnsi="宋体" w:cs="宋体"/>
          <w:spacing w:val="-1"/>
        </w:rPr>
        <w:t>溶解</w:t>
      </w:r>
      <w:r>
        <w:rPr>
          <w:rFonts w:ascii="宋体" w:hAnsi="宋体" w:cs="宋体"/>
        </w:rPr>
        <w:t>氧的水质评价标准限值，</w:t>
      </w:r>
      <w:r>
        <w:rPr>
          <w:rFonts w:eastAsia="Times New Roman"/>
        </w:rPr>
        <w:t>mg/L</w:t>
      </w:r>
      <w:r>
        <w:rPr>
          <w:rFonts w:ascii="宋体" w:hAnsi="宋体" w:cs="宋体"/>
        </w:rPr>
        <w:t>；</w:t>
      </w:r>
    </w:p>
    <w:p w:rsidR="004E3021" w:rsidRDefault="00606E48">
      <w:pPr>
        <w:spacing w:before="190" w:line="359" w:lineRule="auto"/>
        <w:ind w:left="37" w:right="100" w:firstLineChars="500" w:firstLine="1140"/>
        <w:rPr>
          <w:rFonts w:ascii="宋体" w:hAnsi="宋体" w:cs="宋体"/>
        </w:rPr>
      </w:pPr>
      <w:r>
        <w:rPr>
          <w:rFonts w:eastAsia="Times New Roman"/>
          <w:spacing w:val="-6"/>
        </w:rPr>
        <w:t>DO</w:t>
      </w:r>
      <w:r>
        <w:rPr>
          <w:rFonts w:eastAsia="Times New Roman"/>
          <w:spacing w:val="-6"/>
          <w:position w:val="-1"/>
          <w:sz w:val="16"/>
          <w:szCs w:val="16"/>
        </w:rPr>
        <w:t>f</w:t>
      </w:r>
      <w:r>
        <w:rPr>
          <w:rFonts w:eastAsia="Times New Roman"/>
          <w:spacing w:val="-12"/>
        </w:rPr>
        <w:t>——</w:t>
      </w:r>
      <w:r>
        <w:rPr>
          <w:rFonts w:ascii="宋体" w:hAnsi="宋体" w:cs="宋体"/>
          <w:spacing w:val="-8"/>
        </w:rPr>
        <w:t>饱</w:t>
      </w:r>
      <w:r>
        <w:rPr>
          <w:rFonts w:ascii="宋体" w:hAnsi="宋体" w:cs="宋体"/>
          <w:spacing w:val="-6"/>
        </w:rPr>
        <w:t>和溶解氧浓度，</w:t>
      </w:r>
      <w:r>
        <w:rPr>
          <w:rFonts w:eastAsia="Times New Roman"/>
          <w:spacing w:val="-6"/>
        </w:rPr>
        <w:t xml:space="preserve">mg/L </w:t>
      </w:r>
      <w:r>
        <w:rPr>
          <w:rFonts w:ascii="宋体" w:hAnsi="宋体" w:cs="宋体"/>
          <w:spacing w:val="-6"/>
        </w:rPr>
        <w:t>，对于河流，</w:t>
      </w:r>
      <w:r>
        <w:rPr>
          <w:rFonts w:eastAsia="Times New Roman"/>
          <w:spacing w:val="-6"/>
        </w:rPr>
        <w:t>DO</w:t>
      </w:r>
      <w:r>
        <w:rPr>
          <w:rFonts w:eastAsia="Times New Roman"/>
          <w:spacing w:val="-6"/>
          <w:position w:val="-1"/>
          <w:sz w:val="16"/>
          <w:szCs w:val="16"/>
        </w:rPr>
        <w:t>f</w:t>
      </w:r>
      <w:r>
        <w:rPr>
          <w:rFonts w:eastAsia="Times New Roman"/>
          <w:spacing w:val="-6"/>
        </w:rPr>
        <w:t xml:space="preserve">=468/  </w:t>
      </w:r>
      <w:r>
        <w:rPr>
          <w:rFonts w:ascii="宋体" w:hAnsi="宋体" w:cs="宋体"/>
          <w:spacing w:val="-6"/>
        </w:rPr>
        <w:t>(</w:t>
      </w:r>
      <w:r>
        <w:rPr>
          <w:rFonts w:eastAsia="Times New Roman"/>
          <w:spacing w:val="-6"/>
        </w:rPr>
        <w:t>31.6+T</w:t>
      </w:r>
      <w:r>
        <w:rPr>
          <w:rFonts w:ascii="宋体" w:hAnsi="宋体" w:cs="宋体"/>
          <w:spacing w:val="-6"/>
        </w:rPr>
        <w:t>)；， 对于盐</w:t>
      </w:r>
      <w:r>
        <w:rPr>
          <w:rFonts w:ascii="宋体" w:hAnsi="宋体" w:cs="宋体"/>
        </w:rPr>
        <w:t xml:space="preserve"> </w:t>
      </w:r>
      <w:r>
        <w:rPr>
          <w:rFonts w:ascii="宋体" w:hAnsi="宋体" w:cs="宋体"/>
          <w:spacing w:val="-2"/>
        </w:rPr>
        <w:t xml:space="preserve">度比较高的湖泊、水库及入海河口、近岸海域 </w:t>
      </w:r>
      <w:r>
        <w:rPr>
          <w:rFonts w:eastAsia="Times New Roman"/>
          <w:spacing w:val="-1"/>
        </w:rPr>
        <w:t>DO</w:t>
      </w:r>
      <w:r>
        <w:rPr>
          <w:rFonts w:eastAsia="Times New Roman"/>
          <w:spacing w:val="-1"/>
          <w:position w:val="-1"/>
          <w:sz w:val="16"/>
          <w:szCs w:val="16"/>
        </w:rPr>
        <w:t>f</w:t>
      </w:r>
      <w:r>
        <w:rPr>
          <w:rFonts w:eastAsia="Times New Roman"/>
          <w:spacing w:val="-2"/>
        </w:rPr>
        <w:t xml:space="preserve">=  </w:t>
      </w:r>
      <w:r>
        <w:rPr>
          <w:rFonts w:ascii="宋体" w:hAnsi="宋体" w:cs="宋体"/>
          <w:spacing w:val="-2"/>
        </w:rPr>
        <w:t>(</w:t>
      </w:r>
      <w:r>
        <w:rPr>
          <w:rFonts w:eastAsia="Times New Roman"/>
          <w:spacing w:val="-2"/>
        </w:rPr>
        <w:t>491-2.65</w:t>
      </w:r>
      <w:r>
        <w:rPr>
          <w:rFonts w:eastAsia="Times New Roman"/>
          <w:spacing w:val="-1"/>
        </w:rPr>
        <w:t>S</w:t>
      </w:r>
      <w:r>
        <w:rPr>
          <w:rFonts w:ascii="宋体" w:hAnsi="宋体" w:cs="宋体"/>
          <w:spacing w:val="-2"/>
        </w:rPr>
        <w:t xml:space="preserve">) </w:t>
      </w:r>
      <w:r>
        <w:rPr>
          <w:rFonts w:eastAsia="Times New Roman"/>
          <w:spacing w:val="-2"/>
        </w:rPr>
        <w:t>/</w:t>
      </w:r>
      <w:r>
        <w:rPr>
          <w:rFonts w:eastAsia="Times New Roman"/>
          <w:spacing w:val="-1"/>
        </w:rPr>
        <w:t xml:space="preserve">  </w:t>
      </w:r>
      <w:r>
        <w:rPr>
          <w:rFonts w:ascii="宋体" w:hAnsi="宋体" w:cs="宋体"/>
          <w:spacing w:val="-1"/>
        </w:rPr>
        <w:t>(</w:t>
      </w:r>
      <w:r>
        <w:rPr>
          <w:rFonts w:eastAsia="Times New Roman"/>
          <w:spacing w:val="-1"/>
        </w:rPr>
        <w:t>31.6+T</w:t>
      </w:r>
      <w:r>
        <w:rPr>
          <w:rFonts w:ascii="宋体" w:hAnsi="宋体" w:cs="宋体"/>
          <w:spacing w:val="-1"/>
        </w:rPr>
        <w:t>)；</w:t>
      </w:r>
    </w:p>
    <w:p w:rsidR="004E3021" w:rsidRDefault="00606E48">
      <w:pPr>
        <w:spacing w:line="468" w:lineRule="exact"/>
        <w:ind w:firstLineChars="484" w:firstLine="1152"/>
        <w:rPr>
          <w:rFonts w:ascii="宋体" w:hAnsi="宋体" w:cs="宋体"/>
        </w:rPr>
      </w:pPr>
      <w:r>
        <w:rPr>
          <w:rFonts w:eastAsia="Times New Roman"/>
          <w:spacing w:val="-1"/>
          <w:position w:val="17"/>
        </w:rPr>
        <w:t>S——</w:t>
      </w:r>
      <w:r>
        <w:rPr>
          <w:rFonts w:ascii="宋体" w:hAnsi="宋体" w:cs="宋体"/>
          <w:spacing w:val="-1"/>
          <w:position w:val="17"/>
        </w:rPr>
        <w:t>实用盐度符号，量纲一；</w:t>
      </w:r>
    </w:p>
    <w:p w:rsidR="004E3021" w:rsidRDefault="00606E48">
      <w:pPr>
        <w:spacing w:line="468" w:lineRule="exact"/>
        <w:ind w:firstLineChars="484" w:firstLine="1162"/>
        <w:rPr>
          <w:rFonts w:ascii="宋体" w:hAnsi="宋体" w:cs="宋体"/>
        </w:rPr>
      </w:pPr>
      <w:r>
        <w:rPr>
          <w:rFonts w:eastAsia="Times New Roman"/>
        </w:rPr>
        <w:t>T</w:t>
      </w:r>
      <w:r>
        <w:rPr>
          <w:rFonts w:eastAsia="Times New Roman"/>
          <w:spacing w:val="-1"/>
        </w:rPr>
        <w:t>——</w:t>
      </w:r>
      <w:r>
        <w:rPr>
          <w:rFonts w:ascii="宋体" w:hAnsi="宋体" w:cs="宋体"/>
          <w:spacing w:val="-1"/>
        </w:rPr>
        <w:t>水温，</w:t>
      </w:r>
      <w:r>
        <w:rPr>
          <w:rFonts w:ascii="宋体" w:hAnsi="宋体" w:cs="宋体" w:hint="eastAsia"/>
          <w:spacing w:val="-1"/>
        </w:rPr>
        <w:t>℃</w:t>
      </w:r>
      <w:r>
        <w:rPr>
          <w:rFonts w:ascii="宋体" w:hAnsi="宋体" w:cs="宋体"/>
          <w:spacing w:val="-1"/>
        </w:rPr>
        <w:t>。</w:t>
      </w:r>
    </w:p>
    <w:p w:rsidR="004E3021" w:rsidRDefault="00606E48">
      <w:pPr>
        <w:ind w:firstLine="476"/>
      </w:pPr>
      <w:r>
        <w:rPr>
          <w:spacing w:val="-1"/>
        </w:rPr>
        <w:t>当水质评价因子的标准指数</w:t>
      </w:r>
      <w:r>
        <w:rPr>
          <w:rFonts w:eastAsia="Times New Roman"/>
          <w:spacing w:val="-1"/>
        </w:rPr>
        <w:t xml:space="preserve">≤1 </w:t>
      </w:r>
      <w:r>
        <w:rPr>
          <w:spacing w:val="-1"/>
        </w:rPr>
        <w:t>时即符合地下水域</w:t>
      </w:r>
      <w:r>
        <w:t>功能区规定的水质标准；当标准</w:t>
      </w:r>
      <w:r>
        <w:t xml:space="preserve"> </w:t>
      </w:r>
      <w:r>
        <w:rPr>
          <w:spacing w:val="-1"/>
        </w:rPr>
        <w:t>指数＞</w:t>
      </w:r>
      <w:r>
        <w:rPr>
          <w:rFonts w:eastAsia="Times New Roman"/>
          <w:spacing w:val="-1"/>
        </w:rPr>
        <w:t xml:space="preserve">1 </w:t>
      </w:r>
      <w:r>
        <w:rPr>
          <w:spacing w:val="-1"/>
        </w:rPr>
        <w:t>时即表明该评价因</w:t>
      </w:r>
      <w:r>
        <w:t>子水质超过相应水域功能区的水质标准，已不能满足使用功</w:t>
      </w:r>
      <w:r>
        <w:t xml:space="preserve"> </w:t>
      </w:r>
      <w:r>
        <w:rPr>
          <w:spacing w:val="-10"/>
        </w:rPr>
        <w:t>能</w:t>
      </w:r>
      <w:r>
        <w:rPr>
          <w:spacing w:val="-7"/>
        </w:rPr>
        <w:t>的要求。</w:t>
      </w:r>
    </w:p>
    <w:p w:rsidR="004E3021" w:rsidRDefault="00606E48">
      <w:pPr>
        <w:ind w:firstLine="480"/>
      </w:pPr>
      <w:r>
        <w:rPr>
          <w:rFonts w:ascii="宋体" w:hAnsi="宋体" w:hint="eastAsia"/>
        </w:rPr>
        <w:t>（</w:t>
      </w:r>
      <w:r w:rsidR="00F51126">
        <w:t>5</w:t>
      </w:r>
      <w:r>
        <w:rPr>
          <w:rFonts w:ascii="宋体" w:hAnsi="宋体" w:hint="eastAsia"/>
        </w:rPr>
        <w:t>）评价结果</w:t>
      </w:r>
    </w:p>
    <w:p w:rsidR="004E3021" w:rsidRDefault="00606E48" w:rsidP="00F51126">
      <w:pPr>
        <w:ind w:firstLine="480"/>
      </w:pPr>
      <w:r>
        <w:rPr>
          <w:rFonts w:ascii="宋体" w:hAnsi="宋体"/>
        </w:rPr>
        <w:t>各监测</w:t>
      </w:r>
      <w:r>
        <w:rPr>
          <w:rFonts w:ascii="宋体" w:hAnsi="宋体" w:hint="eastAsia"/>
        </w:rPr>
        <w:t>断面地表水</w:t>
      </w:r>
      <w:r>
        <w:rPr>
          <w:rFonts w:ascii="宋体" w:hAnsi="宋体"/>
        </w:rPr>
        <w:t>监测</w:t>
      </w:r>
      <w:r>
        <w:rPr>
          <w:rFonts w:ascii="宋体" w:hAnsi="宋体" w:hint="eastAsia"/>
        </w:rPr>
        <w:t>统计</w:t>
      </w:r>
      <w:r>
        <w:rPr>
          <w:rFonts w:ascii="宋体" w:hAnsi="宋体"/>
        </w:rPr>
        <w:t>与</w:t>
      </w:r>
      <w:r>
        <w:rPr>
          <w:rFonts w:ascii="宋体" w:hAnsi="宋体" w:hint="eastAsia"/>
        </w:rPr>
        <w:t>评价</w:t>
      </w:r>
      <w:r>
        <w:rPr>
          <w:rFonts w:ascii="宋体" w:hAnsi="宋体"/>
        </w:rPr>
        <w:t>结果见表</w:t>
      </w:r>
      <w:r>
        <w:rPr>
          <w:rFonts w:hint="eastAsia"/>
        </w:rPr>
        <w:t>4</w:t>
      </w:r>
      <w:r>
        <w:t>.2.2-2</w:t>
      </w:r>
      <w:r>
        <w:rPr>
          <w:rFonts w:ascii="宋体" w:hAnsi="宋体" w:hint="eastAsia"/>
        </w:rPr>
        <w:t>。</w:t>
      </w:r>
    </w:p>
    <w:p w:rsidR="004E3021" w:rsidRDefault="004E3021">
      <w:pPr>
        <w:ind w:firstLineChars="0" w:firstLine="0"/>
        <w:sectPr w:rsidR="004E3021">
          <w:pgSz w:w="11906" w:h="16838"/>
          <w:pgMar w:top="1440" w:right="1440" w:bottom="1440" w:left="1440" w:header="851" w:footer="992" w:gutter="0"/>
          <w:cols w:space="425"/>
          <w:docGrid w:type="lines" w:linePitch="326"/>
        </w:sectPr>
      </w:pPr>
    </w:p>
    <w:p w:rsidR="004E3021" w:rsidRPr="00C748F7" w:rsidRDefault="00606E48" w:rsidP="00C748F7">
      <w:pPr>
        <w:spacing w:line="500" w:lineRule="exact"/>
        <w:ind w:firstLineChars="0" w:firstLine="0"/>
        <w:jc w:val="center"/>
        <w:rPr>
          <w:rFonts w:eastAsia="黑体"/>
        </w:rPr>
      </w:pPr>
      <w:r w:rsidRPr="00C748F7">
        <w:rPr>
          <w:rFonts w:eastAsia="黑体" w:hint="eastAsia"/>
        </w:rPr>
        <w:lastRenderedPageBreak/>
        <w:t>表</w:t>
      </w:r>
      <w:r w:rsidRPr="00C748F7">
        <w:rPr>
          <w:rFonts w:eastAsia="黑体"/>
        </w:rPr>
        <w:t xml:space="preserve">4.2.2-2    </w:t>
      </w:r>
      <w:r w:rsidRPr="00C748F7">
        <w:rPr>
          <w:rFonts w:eastAsia="黑体"/>
        </w:rPr>
        <w:t>地表水监测统计与评价结果</w:t>
      </w:r>
      <w:r w:rsidRPr="00C748F7">
        <w:rPr>
          <w:rFonts w:eastAsia="黑体"/>
        </w:rPr>
        <w:t xml:space="preserve">    </w:t>
      </w:r>
      <w:r w:rsidRPr="00C748F7">
        <w:rPr>
          <w:rFonts w:eastAsia="黑体"/>
        </w:rPr>
        <w:t>单位：</w:t>
      </w:r>
      <w:r w:rsidRPr="00C748F7">
        <w:rPr>
          <w:rFonts w:eastAsia="黑体"/>
        </w:rPr>
        <w:t xml:space="preserve"> mg/L </w:t>
      </w:r>
      <w:r w:rsidRPr="00C748F7">
        <w:rPr>
          <w:rFonts w:eastAsia="黑体"/>
        </w:rPr>
        <w:t>，</w:t>
      </w:r>
      <w:r w:rsidRPr="00C748F7">
        <w:rPr>
          <w:rFonts w:eastAsia="黑体"/>
        </w:rPr>
        <w:t xml:space="preserve">pH </w:t>
      </w:r>
      <w:r w:rsidRPr="00C748F7">
        <w:rPr>
          <w:rFonts w:eastAsia="黑体"/>
        </w:rPr>
        <w:t>除外</w:t>
      </w:r>
    </w:p>
    <w:tbl>
      <w:tblPr>
        <w:tblStyle w:val="afff"/>
        <w:tblW w:w="5000" w:type="pct"/>
        <w:tblLayout w:type="fixed"/>
        <w:tblLook w:val="04A0" w:firstRow="1" w:lastRow="0" w:firstColumn="1" w:lastColumn="0" w:noHBand="0" w:noVBand="1"/>
      </w:tblPr>
      <w:tblGrid>
        <w:gridCol w:w="851"/>
        <w:gridCol w:w="850"/>
        <w:gridCol w:w="1134"/>
        <w:gridCol w:w="1560"/>
        <w:gridCol w:w="992"/>
        <w:gridCol w:w="992"/>
        <w:gridCol w:w="992"/>
        <w:gridCol w:w="993"/>
        <w:gridCol w:w="1134"/>
        <w:gridCol w:w="992"/>
        <w:gridCol w:w="992"/>
        <w:gridCol w:w="1134"/>
        <w:gridCol w:w="1342"/>
      </w:tblGrid>
      <w:tr w:rsidR="00F51126" w:rsidRPr="00C748F7" w:rsidTr="009F4FA8">
        <w:trPr>
          <w:trHeight w:val="219"/>
        </w:trPr>
        <w:tc>
          <w:tcPr>
            <w:tcW w:w="851"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监测断面</w:t>
            </w:r>
          </w:p>
        </w:tc>
        <w:tc>
          <w:tcPr>
            <w:tcW w:w="850" w:type="dxa"/>
            <w:vMerge w:val="restart"/>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经纬度</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采样时间</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统计项目</w:t>
            </w:r>
          </w:p>
        </w:tc>
        <w:tc>
          <w:tcPr>
            <w:tcW w:w="992" w:type="dxa"/>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b/>
                <w:bCs/>
                <w:sz w:val="21"/>
                <w:szCs w:val="21"/>
              </w:rPr>
            </w:pPr>
            <w:r w:rsidRPr="00C748F7">
              <w:rPr>
                <w:rFonts w:ascii="Times New Roman" w:hAnsi="Times New Roman"/>
                <w:b/>
                <w:bCs/>
                <w:kern w:val="0"/>
                <w:sz w:val="21"/>
                <w:szCs w:val="21"/>
              </w:rPr>
              <w:t>pH</w:t>
            </w:r>
            <w:r w:rsidRPr="00C748F7">
              <w:rPr>
                <w:rFonts w:ascii="Times New Roman" w:hAnsi="Times New Roman"/>
                <w:b/>
                <w:bCs/>
                <w:kern w:val="0"/>
                <w:sz w:val="21"/>
                <w:szCs w:val="21"/>
              </w:rPr>
              <w:t>（无量纲）</w:t>
            </w:r>
          </w:p>
        </w:tc>
        <w:tc>
          <w:tcPr>
            <w:tcW w:w="992" w:type="dxa"/>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b/>
                <w:bCs/>
                <w:sz w:val="21"/>
                <w:szCs w:val="21"/>
              </w:rPr>
            </w:pPr>
            <w:r w:rsidRPr="00C748F7">
              <w:rPr>
                <w:rFonts w:ascii="Times New Roman" w:hAnsi="Times New Roman"/>
                <w:b/>
                <w:bCs/>
                <w:kern w:val="0"/>
                <w:sz w:val="21"/>
                <w:szCs w:val="21"/>
              </w:rPr>
              <w:t>水温（</w:t>
            </w:r>
            <w:r w:rsidRPr="00C748F7">
              <w:rPr>
                <w:rFonts w:ascii="Times New Roman" w:eastAsia="微软雅黑" w:hAnsi="Times New Roman"/>
                <w:b/>
                <w:bCs/>
                <w:kern w:val="0"/>
                <w:sz w:val="21"/>
                <w:szCs w:val="21"/>
              </w:rPr>
              <w:t>℃</w:t>
            </w:r>
            <w:r w:rsidRPr="00C748F7">
              <w:rPr>
                <w:rFonts w:ascii="Times New Roman" w:hAnsi="Times New Roman"/>
                <w:b/>
                <w:bCs/>
                <w:kern w:val="0"/>
                <w:sz w:val="21"/>
                <w:szCs w:val="21"/>
              </w:rPr>
              <w:t>）</w:t>
            </w:r>
          </w:p>
        </w:tc>
        <w:tc>
          <w:tcPr>
            <w:tcW w:w="992" w:type="dxa"/>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b/>
                <w:bCs/>
                <w:sz w:val="21"/>
                <w:szCs w:val="21"/>
              </w:rPr>
            </w:pPr>
            <w:r w:rsidRPr="00C748F7">
              <w:rPr>
                <w:rFonts w:ascii="Times New Roman" w:hAnsi="Times New Roman"/>
                <w:b/>
                <w:bCs/>
                <w:kern w:val="0"/>
                <w:sz w:val="21"/>
                <w:szCs w:val="21"/>
              </w:rPr>
              <w:t>溶解氧</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b/>
                <w:bCs/>
                <w:sz w:val="21"/>
                <w:szCs w:val="21"/>
              </w:rPr>
            </w:pPr>
            <w:r w:rsidRPr="00C748F7">
              <w:rPr>
                <w:rFonts w:ascii="Times New Roman" w:hAnsi="Times New Roman"/>
                <w:b/>
                <w:bCs/>
                <w:kern w:val="0"/>
                <w:sz w:val="21"/>
                <w:szCs w:val="21"/>
              </w:rPr>
              <w:t>化学需氧量</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b/>
                <w:bCs/>
                <w:sz w:val="21"/>
                <w:szCs w:val="21"/>
              </w:rPr>
            </w:pPr>
            <w:r w:rsidRPr="00C748F7">
              <w:rPr>
                <w:rFonts w:ascii="Times New Roman" w:hAnsi="Times New Roman"/>
                <w:b/>
                <w:bCs/>
                <w:kern w:val="0"/>
                <w:sz w:val="21"/>
                <w:szCs w:val="21"/>
              </w:rPr>
              <w:t>五日生化需氧量</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b/>
                <w:bCs/>
                <w:sz w:val="21"/>
                <w:szCs w:val="21"/>
              </w:rPr>
            </w:pPr>
            <w:r w:rsidRPr="00C748F7">
              <w:rPr>
                <w:rFonts w:ascii="Times New Roman" w:hAnsi="Times New Roman"/>
                <w:b/>
                <w:bCs/>
                <w:kern w:val="0"/>
                <w:sz w:val="21"/>
                <w:szCs w:val="21"/>
              </w:rPr>
              <w:t>氨氮</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b/>
                <w:bCs/>
                <w:kern w:val="0"/>
                <w:sz w:val="21"/>
                <w:szCs w:val="21"/>
              </w:rPr>
            </w:pPr>
            <w:r w:rsidRPr="00C748F7">
              <w:rPr>
                <w:rFonts w:ascii="Times New Roman" w:hAnsi="Times New Roman"/>
                <w:b/>
                <w:bCs/>
                <w:kern w:val="0"/>
                <w:sz w:val="21"/>
                <w:szCs w:val="21"/>
              </w:rPr>
              <w:t>总氮</w:t>
            </w:r>
          </w:p>
        </w:tc>
        <w:tc>
          <w:tcPr>
            <w:tcW w:w="1134" w:type="dxa"/>
            <w:noWrap/>
            <w:vAlign w:val="center"/>
            <w:hideMark/>
          </w:tcPr>
          <w:p w:rsidR="00F51126" w:rsidRPr="00C748F7" w:rsidRDefault="00F51126" w:rsidP="00C748F7">
            <w:pPr>
              <w:autoSpaceDE w:val="0"/>
              <w:spacing w:line="360" w:lineRule="exact"/>
              <w:ind w:firstLineChars="0" w:firstLine="0"/>
              <w:jc w:val="center"/>
              <w:textAlignment w:val="center"/>
              <w:rPr>
                <w:rFonts w:ascii="Times New Roman" w:hAnsi="Times New Roman"/>
                <w:b/>
                <w:bCs/>
                <w:sz w:val="21"/>
                <w:szCs w:val="21"/>
              </w:rPr>
            </w:pPr>
            <w:r w:rsidRPr="00C748F7">
              <w:rPr>
                <w:rFonts w:ascii="Times New Roman" w:hAnsi="Times New Roman"/>
                <w:b/>
                <w:bCs/>
                <w:sz w:val="21"/>
                <w:szCs w:val="21"/>
              </w:rPr>
              <w:t>石油类</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b/>
                <w:bCs/>
                <w:sz w:val="21"/>
                <w:szCs w:val="21"/>
              </w:rPr>
            </w:pPr>
            <w:r w:rsidRPr="00C748F7">
              <w:rPr>
                <w:rFonts w:ascii="Times New Roman" w:hAnsi="Times New Roman"/>
                <w:b/>
                <w:bCs/>
                <w:sz w:val="21"/>
                <w:szCs w:val="21"/>
              </w:rPr>
              <w:t>阴离子表面活性剂</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b/>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b/>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b/>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eastAsia="微软雅黑" w:hAnsi="Times New Roman"/>
                <w:b/>
                <w:kern w:val="0"/>
                <w:sz w:val="21"/>
                <w:szCs w:val="21"/>
              </w:rPr>
              <w:t>Ⅲ</w:t>
            </w:r>
            <w:r w:rsidRPr="00C748F7">
              <w:rPr>
                <w:rFonts w:ascii="Times New Roman" w:hAnsi="Times New Roman"/>
                <w:b/>
                <w:kern w:val="0"/>
                <w:sz w:val="21"/>
                <w:szCs w:val="21"/>
              </w:rPr>
              <w:t>类标准限值</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6~9</w:t>
            </w:r>
          </w:p>
        </w:tc>
        <w:tc>
          <w:tcPr>
            <w:tcW w:w="992" w:type="dxa"/>
            <w:noWrap/>
            <w:vAlign w:val="center"/>
            <w:hideMark/>
          </w:tcPr>
          <w:p w:rsidR="00F51126" w:rsidRPr="009F4FA8" w:rsidRDefault="00F51126" w:rsidP="00C748F7">
            <w:pPr>
              <w:widowControl/>
              <w:autoSpaceDE w:val="0"/>
              <w:spacing w:line="360" w:lineRule="exact"/>
              <w:ind w:firstLineChars="0" w:firstLine="0"/>
              <w:jc w:val="center"/>
              <w:rPr>
                <w:rFonts w:ascii="Times New Roman" w:hAnsi="Times New Roman"/>
                <w:b/>
                <w:kern w:val="0"/>
                <w:sz w:val="21"/>
                <w:szCs w:val="21"/>
              </w:rPr>
            </w:pPr>
            <w:r w:rsidRPr="009F4FA8">
              <w:rPr>
                <w:rFonts w:ascii="Times New Roman" w:hAnsi="Times New Roman"/>
                <w:b/>
                <w:kern w:val="0"/>
                <w:sz w:val="21"/>
                <w:szCs w:val="21"/>
              </w:rPr>
              <w:t>/</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20</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1.0</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1.0</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0.05</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0.2</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b/>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b/>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b/>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eastAsia="微软雅黑" w:hAnsi="Times New Roman"/>
                <w:b/>
                <w:kern w:val="0"/>
                <w:sz w:val="21"/>
                <w:szCs w:val="21"/>
              </w:rPr>
              <w:t>Ⅳ</w:t>
            </w:r>
            <w:r w:rsidRPr="00C748F7">
              <w:rPr>
                <w:rFonts w:ascii="Times New Roman" w:hAnsi="Times New Roman"/>
                <w:b/>
                <w:kern w:val="0"/>
                <w:sz w:val="21"/>
                <w:szCs w:val="21"/>
              </w:rPr>
              <w:t>类标准限值</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6~9</w:t>
            </w:r>
          </w:p>
        </w:tc>
        <w:tc>
          <w:tcPr>
            <w:tcW w:w="992" w:type="dxa"/>
            <w:noWrap/>
            <w:vAlign w:val="center"/>
            <w:hideMark/>
          </w:tcPr>
          <w:p w:rsidR="00F51126" w:rsidRPr="009F4FA8" w:rsidRDefault="00F51126" w:rsidP="00C748F7">
            <w:pPr>
              <w:widowControl/>
              <w:autoSpaceDE w:val="0"/>
              <w:spacing w:line="360" w:lineRule="exact"/>
              <w:ind w:firstLineChars="0" w:firstLine="0"/>
              <w:jc w:val="center"/>
              <w:rPr>
                <w:rFonts w:ascii="Times New Roman" w:hAnsi="Times New Roman"/>
                <w:b/>
                <w:kern w:val="0"/>
                <w:sz w:val="21"/>
                <w:szCs w:val="21"/>
              </w:rPr>
            </w:pPr>
            <w:r w:rsidRPr="009F4FA8">
              <w:rPr>
                <w:rFonts w:ascii="Times New Roman" w:hAnsi="Times New Roman"/>
                <w:b/>
                <w:kern w:val="0"/>
                <w:sz w:val="21"/>
                <w:szCs w:val="21"/>
              </w:rPr>
              <w:t>/</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3</w:t>
            </w:r>
          </w:p>
        </w:tc>
        <w:tc>
          <w:tcPr>
            <w:tcW w:w="993"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30</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1.5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1.5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0.5</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0.3</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w:t>
            </w:r>
            <w:r w:rsidRPr="00C748F7">
              <w:rPr>
                <w:rFonts w:ascii="Times New Roman" w:hAnsi="Times New Roman"/>
                <w:kern w:val="0"/>
                <w:sz w:val="21"/>
                <w:szCs w:val="21"/>
              </w:rPr>
              <w:t>沫冲引河与三铺大沟交口上游</w:t>
            </w:r>
            <w:r w:rsidRPr="00C748F7">
              <w:rPr>
                <w:rFonts w:ascii="Times New Roman" w:hAnsi="Times New Roman"/>
                <w:kern w:val="0"/>
                <w:sz w:val="21"/>
                <w:szCs w:val="21"/>
              </w:rPr>
              <w:t xml:space="preserve"> 500m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117°33'21.51"  N</w:t>
            </w:r>
            <w:r w:rsidRPr="00C748F7">
              <w:rPr>
                <w:rFonts w:ascii="Times New Roman" w:hAnsi="Times New Roman"/>
                <w:sz w:val="21"/>
                <w:szCs w:val="21"/>
              </w:rPr>
              <w:t>：</w:t>
            </w:r>
            <w:r w:rsidRPr="00C748F7">
              <w:rPr>
                <w:rFonts w:ascii="Times New Roman" w:hAnsi="Times New Roman"/>
                <w:sz w:val="21"/>
                <w:szCs w:val="21"/>
              </w:rPr>
              <w:t>32°58'48.89"</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8</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21.4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5.1</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1.17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1.36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0.27</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0.16</w:t>
            </w:r>
          </w:p>
        </w:tc>
      </w:tr>
      <w:tr w:rsidR="00F51126" w:rsidRPr="00C748F7" w:rsidTr="009F4FA8">
        <w:trPr>
          <w:trHeight w:val="90"/>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0.58</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0.91</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0.53</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8.1</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21.5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5.1</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1.07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1.38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0.58</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0.92</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0.17</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7.8</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5.3</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1.04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1.2</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0.58</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0.69</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0.17</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3#</w:t>
            </w:r>
            <w:r w:rsidRPr="00C748F7">
              <w:rPr>
                <w:rFonts w:ascii="Times New Roman" w:hAnsi="Times New Roman"/>
                <w:kern w:val="0"/>
                <w:sz w:val="21"/>
                <w:szCs w:val="21"/>
              </w:rPr>
              <w:t>三铺大沟与沫冲引河交口上游</w:t>
            </w:r>
            <w:r w:rsidRPr="00C748F7">
              <w:rPr>
                <w:rFonts w:ascii="Times New Roman" w:hAnsi="Times New Roman"/>
                <w:kern w:val="0"/>
                <w:sz w:val="21"/>
                <w:szCs w:val="21"/>
              </w:rPr>
              <w:t>500m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117°33'09.34"  N</w:t>
            </w:r>
            <w:r w:rsidRPr="00C748F7">
              <w:rPr>
                <w:rFonts w:ascii="Times New Roman" w:hAnsi="Times New Roman"/>
                <w:sz w:val="21"/>
                <w:szCs w:val="21"/>
              </w:rPr>
              <w:t>：</w:t>
            </w:r>
            <w:r w:rsidRPr="00C748F7">
              <w:rPr>
                <w:rFonts w:ascii="Times New Roman" w:hAnsi="Times New Roman"/>
                <w:sz w:val="21"/>
                <w:szCs w:val="21"/>
              </w:rPr>
              <w:t>32°59'03.79"</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7.9</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21.2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5.1</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1.24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0.29</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0.176</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0.58</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0.837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0.58</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0.59</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8</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21.6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22</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1.14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0.17</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7.8</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5.3</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2.9</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1.07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1.13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0.15</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0.58</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0.17</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5#-1</w:t>
            </w:r>
            <w:r w:rsidRPr="00C748F7">
              <w:rPr>
                <w:rFonts w:ascii="Times New Roman" w:hAnsi="Times New Roman"/>
                <w:kern w:val="0"/>
                <w:sz w:val="21"/>
                <w:szCs w:val="21"/>
              </w:rPr>
              <w:t>三铺大沟入淮河口处上游</w:t>
            </w:r>
            <w:r w:rsidRPr="00C748F7">
              <w:rPr>
                <w:rFonts w:ascii="Times New Roman" w:hAnsi="Times New Roman"/>
                <w:kern w:val="0"/>
                <w:sz w:val="21"/>
                <w:szCs w:val="21"/>
              </w:rPr>
              <w:t>500m</w:t>
            </w:r>
            <w:r w:rsidRPr="00C748F7">
              <w:rPr>
                <w:rFonts w:ascii="Times New Roman" w:hAnsi="Times New Roman"/>
                <w:kern w:val="0"/>
                <w:sz w:val="21"/>
                <w:szCs w:val="21"/>
              </w:rPr>
              <w:t>距北岸</w:t>
            </w:r>
            <w:r w:rsidRPr="00C748F7">
              <w:rPr>
                <w:rFonts w:ascii="Times New Roman" w:hAnsi="Times New Roman"/>
                <w:kern w:val="0"/>
                <w:sz w:val="21"/>
                <w:szCs w:val="21"/>
              </w:rPr>
              <w:lastRenderedPageBreak/>
              <w:t>20m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lastRenderedPageBreak/>
              <w:t>E</w:t>
            </w:r>
            <w:r w:rsidRPr="00C748F7">
              <w:rPr>
                <w:rFonts w:ascii="Times New Roman" w:hAnsi="Times New Roman"/>
                <w:sz w:val="21"/>
                <w:szCs w:val="21"/>
              </w:rPr>
              <w:t>：</w:t>
            </w:r>
            <w:r w:rsidRPr="00C748F7">
              <w:rPr>
                <w:rFonts w:ascii="Times New Roman" w:hAnsi="Times New Roman"/>
                <w:sz w:val="21"/>
                <w:szCs w:val="21"/>
              </w:rPr>
              <w:t>117°32'31.01"  N</w:t>
            </w:r>
            <w:r w:rsidRPr="00C748F7">
              <w:rPr>
                <w:rFonts w:ascii="Times New Roman" w:hAnsi="Times New Roman"/>
                <w:sz w:val="21"/>
                <w:szCs w:val="21"/>
              </w:rPr>
              <w:t>：</w:t>
            </w:r>
            <w:r w:rsidRPr="00C748F7">
              <w:rPr>
                <w:rFonts w:ascii="Times New Roman" w:hAnsi="Times New Roman"/>
                <w:sz w:val="21"/>
                <w:szCs w:val="21"/>
              </w:rPr>
              <w:t>32°58'36.51"</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7.5</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5.3</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0.431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0.088</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0.25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0.431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0.44</w:t>
            </w:r>
          </w:p>
        </w:tc>
      </w:tr>
      <w:tr w:rsidR="00F51126" w:rsidRPr="00C748F7" w:rsidTr="009F4FA8">
        <w:trPr>
          <w:trHeight w:val="14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7.6</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21.2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0.343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0.89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0.03</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0.61</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0.343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7.7</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0.337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0.97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0.60</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0.337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90"/>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5#-2</w:t>
            </w:r>
            <w:r w:rsidRPr="00C748F7">
              <w:rPr>
                <w:rFonts w:ascii="Times New Roman" w:hAnsi="Times New Roman"/>
                <w:kern w:val="0"/>
                <w:sz w:val="21"/>
                <w:szCs w:val="21"/>
              </w:rPr>
              <w:t>三铺大沟入淮河口处上游</w:t>
            </w:r>
            <w:r w:rsidRPr="00C748F7">
              <w:rPr>
                <w:rFonts w:ascii="Times New Roman" w:hAnsi="Times New Roman"/>
                <w:kern w:val="0"/>
                <w:sz w:val="21"/>
                <w:szCs w:val="21"/>
              </w:rPr>
              <w:t>500m</w:t>
            </w:r>
            <w:r w:rsidRPr="00C748F7">
              <w:rPr>
                <w:rFonts w:ascii="Times New Roman" w:hAnsi="Times New Roman"/>
                <w:kern w:val="0"/>
                <w:sz w:val="21"/>
                <w:szCs w:val="21"/>
              </w:rPr>
              <w:t>距北岸</w:t>
            </w:r>
            <w:r w:rsidRPr="00C748F7">
              <w:rPr>
                <w:rFonts w:ascii="Times New Roman" w:hAnsi="Times New Roman"/>
                <w:kern w:val="0"/>
                <w:sz w:val="21"/>
                <w:szCs w:val="21"/>
              </w:rPr>
              <w:t>50m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117°32'29.91"  N</w:t>
            </w:r>
            <w:r w:rsidRPr="00C748F7">
              <w:rPr>
                <w:rFonts w:ascii="Times New Roman" w:hAnsi="Times New Roman"/>
                <w:sz w:val="21"/>
                <w:szCs w:val="21"/>
              </w:rPr>
              <w:t>：</w:t>
            </w:r>
            <w:r w:rsidRPr="00C748F7">
              <w:rPr>
                <w:rFonts w:ascii="Times New Roman" w:hAnsi="Times New Roman"/>
                <w:sz w:val="21"/>
                <w:szCs w:val="21"/>
              </w:rPr>
              <w:t>32°58'35.15"</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7.5</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20.4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0.283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0.088</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0.25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0.625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0.283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0.44</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7.6</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21.3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0.169</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0.03</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0.61</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0.625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0.169</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7.7</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0.189</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0.03</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0.60</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0.189</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12"/>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5#-3</w:t>
            </w:r>
            <w:r w:rsidRPr="00C748F7">
              <w:rPr>
                <w:rFonts w:ascii="Times New Roman" w:hAnsi="Times New Roman"/>
                <w:kern w:val="0"/>
                <w:sz w:val="21"/>
                <w:szCs w:val="21"/>
              </w:rPr>
              <w:t>三铺大沟入淮河口处上游</w:t>
            </w:r>
            <w:r w:rsidRPr="00C748F7">
              <w:rPr>
                <w:rFonts w:ascii="Times New Roman" w:hAnsi="Times New Roman"/>
                <w:kern w:val="0"/>
                <w:sz w:val="21"/>
                <w:szCs w:val="21"/>
              </w:rPr>
              <w:t>500m</w:t>
            </w:r>
            <w:r w:rsidRPr="00C748F7">
              <w:rPr>
                <w:rFonts w:ascii="Times New Roman" w:hAnsi="Times New Roman"/>
                <w:kern w:val="0"/>
                <w:sz w:val="21"/>
                <w:szCs w:val="21"/>
              </w:rPr>
              <w:t>距北岸</w:t>
            </w:r>
            <w:r w:rsidRPr="00C748F7">
              <w:rPr>
                <w:rFonts w:ascii="Times New Roman" w:hAnsi="Times New Roman"/>
                <w:kern w:val="0"/>
                <w:sz w:val="21"/>
                <w:szCs w:val="21"/>
              </w:rPr>
              <w:t>100m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117°32'28.79"  N</w:t>
            </w:r>
            <w:r w:rsidRPr="00C748F7">
              <w:rPr>
                <w:rFonts w:ascii="Times New Roman" w:hAnsi="Times New Roman"/>
                <w:sz w:val="21"/>
                <w:szCs w:val="21"/>
              </w:rPr>
              <w:t>：</w:t>
            </w:r>
            <w:r w:rsidRPr="00C748F7">
              <w:rPr>
                <w:rFonts w:ascii="Times New Roman" w:hAnsi="Times New Roman"/>
                <w:sz w:val="21"/>
                <w:szCs w:val="21"/>
              </w:rPr>
              <w:t>32°58'33.88"</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7.5</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20.3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0.26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0.72</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0.03</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12"/>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0.25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0.26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0.72</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90"/>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7.6</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21.4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84"/>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0.14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12"/>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7.7</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0.166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0.52</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0.166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0.52</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12"/>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6#-1</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500m</w:t>
            </w:r>
            <w:r w:rsidRPr="00C748F7">
              <w:rPr>
                <w:rFonts w:ascii="Times New Roman" w:hAnsi="Times New Roman"/>
                <w:kern w:val="0"/>
                <w:sz w:val="21"/>
                <w:szCs w:val="21"/>
              </w:rPr>
              <w:t>距北岸</w:t>
            </w:r>
            <w:r w:rsidRPr="00C748F7">
              <w:rPr>
                <w:rFonts w:ascii="Times New Roman" w:hAnsi="Times New Roman"/>
                <w:kern w:val="0"/>
                <w:sz w:val="21"/>
                <w:szCs w:val="21"/>
              </w:rPr>
              <w:lastRenderedPageBreak/>
              <w:t>20m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lastRenderedPageBreak/>
              <w:t>E</w:t>
            </w:r>
            <w:r w:rsidRPr="00C748F7">
              <w:rPr>
                <w:rFonts w:ascii="Times New Roman" w:hAnsi="Times New Roman"/>
                <w:sz w:val="21"/>
                <w:szCs w:val="21"/>
              </w:rPr>
              <w:t>：</w:t>
            </w:r>
            <w:r w:rsidRPr="00C748F7">
              <w:rPr>
                <w:rFonts w:ascii="Times New Roman" w:hAnsi="Times New Roman"/>
                <w:sz w:val="21"/>
                <w:szCs w:val="21"/>
              </w:rPr>
              <w:t>117°32'59.78"  N</w:t>
            </w:r>
            <w:r w:rsidRPr="00C748F7">
              <w:rPr>
                <w:rFonts w:ascii="Times New Roman" w:hAnsi="Times New Roman"/>
                <w:sz w:val="21"/>
                <w:szCs w:val="21"/>
              </w:rPr>
              <w:t>：</w:t>
            </w:r>
            <w:r w:rsidRPr="00C748F7">
              <w:rPr>
                <w:rFonts w:ascii="Times New Roman" w:hAnsi="Times New Roman"/>
                <w:sz w:val="21"/>
                <w:szCs w:val="21"/>
              </w:rPr>
              <w:t>32°58'14.68"</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7.6</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20.3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5.8</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0.434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0.84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12"/>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0.434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12"/>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7.7</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21.2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0.177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0.84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12"/>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0.63</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0.177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7.8</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5.7</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0.171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0.88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0.171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12"/>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6#-2</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500m</w:t>
            </w:r>
            <w:r w:rsidRPr="00C748F7">
              <w:rPr>
                <w:rFonts w:ascii="Times New Roman" w:hAnsi="Times New Roman"/>
                <w:kern w:val="0"/>
                <w:sz w:val="21"/>
                <w:szCs w:val="21"/>
              </w:rPr>
              <w:t>距北岸</w:t>
            </w:r>
            <w:r w:rsidRPr="00C748F7">
              <w:rPr>
                <w:rFonts w:ascii="Times New Roman" w:hAnsi="Times New Roman"/>
                <w:kern w:val="0"/>
                <w:sz w:val="21"/>
                <w:szCs w:val="21"/>
              </w:rPr>
              <w:t>50m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117°32'58.75"  N</w:t>
            </w:r>
            <w:r w:rsidRPr="00C748F7">
              <w:rPr>
                <w:rFonts w:ascii="Times New Roman" w:hAnsi="Times New Roman"/>
                <w:sz w:val="21"/>
                <w:szCs w:val="21"/>
              </w:rPr>
              <w:t>：</w:t>
            </w:r>
            <w:r w:rsidRPr="00C748F7">
              <w:rPr>
                <w:rFonts w:ascii="Times New Roman" w:hAnsi="Times New Roman"/>
                <w:sz w:val="21"/>
                <w:szCs w:val="21"/>
              </w:rPr>
              <w:t>32°58'13.92"</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7.6</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5.8</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0.357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12"/>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0.357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7.7</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21.2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5.7</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0.26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0.86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0.26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7.8</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5.7</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0.252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0.03</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0.252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6#-3</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500m</w:t>
            </w:r>
            <w:r w:rsidRPr="00C748F7">
              <w:rPr>
                <w:rFonts w:ascii="Times New Roman" w:hAnsi="Times New Roman"/>
                <w:kern w:val="0"/>
                <w:sz w:val="21"/>
                <w:szCs w:val="21"/>
              </w:rPr>
              <w:t>距北岸</w:t>
            </w:r>
            <w:r w:rsidRPr="00C748F7">
              <w:rPr>
                <w:rFonts w:ascii="Times New Roman" w:hAnsi="Times New Roman"/>
                <w:kern w:val="0"/>
                <w:sz w:val="21"/>
                <w:szCs w:val="21"/>
              </w:rPr>
              <w:t>100m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117°32'57.29"  N</w:t>
            </w:r>
            <w:r w:rsidRPr="00C748F7">
              <w:rPr>
                <w:rFonts w:ascii="Times New Roman" w:hAnsi="Times New Roman"/>
                <w:sz w:val="21"/>
                <w:szCs w:val="21"/>
              </w:rPr>
              <w:t>：</w:t>
            </w:r>
            <w:r w:rsidRPr="00C748F7">
              <w:rPr>
                <w:rFonts w:ascii="Times New Roman" w:hAnsi="Times New Roman"/>
                <w:sz w:val="21"/>
                <w:szCs w:val="21"/>
              </w:rPr>
              <w:t>32°58'12.84"</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7.6</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20.4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0.351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0.03</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0.351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7.7</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21.4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5.8</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0.277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0.277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7.8</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5.7</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0.274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0.52</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0.03</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0.274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0.52</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7#-1</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2000m</w:t>
            </w:r>
            <w:r w:rsidRPr="00C748F7">
              <w:rPr>
                <w:rFonts w:ascii="Times New Roman" w:hAnsi="Times New Roman"/>
                <w:kern w:val="0"/>
                <w:sz w:val="21"/>
                <w:szCs w:val="21"/>
              </w:rPr>
              <w:t>距北岸</w:t>
            </w:r>
            <w:r w:rsidRPr="00C748F7">
              <w:rPr>
                <w:rFonts w:ascii="Times New Roman" w:hAnsi="Times New Roman"/>
                <w:kern w:val="0"/>
                <w:sz w:val="21"/>
                <w:szCs w:val="21"/>
              </w:rPr>
              <w:lastRenderedPageBreak/>
              <w:t>20m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lastRenderedPageBreak/>
              <w:t>E</w:t>
            </w:r>
            <w:r w:rsidRPr="00C748F7">
              <w:rPr>
                <w:rFonts w:ascii="Times New Roman" w:hAnsi="Times New Roman"/>
                <w:sz w:val="21"/>
                <w:szCs w:val="21"/>
              </w:rPr>
              <w:t>：</w:t>
            </w:r>
            <w:r w:rsidRPr="00C748F7">
              <w:rPr>
                <w:rFonts w:ascii="Times New Roman" w:hAnsi="Times New Roman"/>
                <w:sz w:val="21"/>
                <w:szCs w:val="21"/>
              </w:rPr>
              <w:t>117°33'38.71"  N</w:t>
            </w:r>
            <w:r w:rsidRPr="00C748F7">
              <w:rPr>
                <w:rFonts w:ascii="Times New Roman" w:hAnsi="Times New Roman"/>
                <w:sz w:val="21"/>
                <w:szCs w:val="21"/>
              </w:rPr>
              <w:t>：</w:t>
            </w:r>
            <w:r w:rsidRPr="00C748F7">
              <w:rPr>
                <w:rFonts w:ascii="Times New Roman" w:hAnsi="Times New Roman"/>
                <w:sz w:val="21"/>
                <w:szCs w:val="21"/>
              </w:rPr>
              <w:t>32°57'39.59"</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7.7</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6.4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0.326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0.93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0.71</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0.326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7.8</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21.3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6.4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0.303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0.85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0.03</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0.303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7.9</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6.3</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0.309</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0.03</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0.625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0.309</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7#-2</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2000m</w:t>
            </w:r>
            <w:r w:rsidRPr="00C748F7">
              <w:rPr>
                <w:rFonts w:ascii="Times New Roman" w:hAnsi="Times New Roman"/>
                <w:kern w:val="0"/>
                <w:sz w:val="21"/>
                <w:szCs w:val="21"/>
              </w:rPr>
              <w:t>距北岸</w:t>
            </w:r>
            <w:r w:rsidRPr="00C748F7">
              <w:rPr>
                <w:rFonts w:ascii="Times New Roman" w:hAnsi="Times New Roman"/>
                <w:kern w:val="0"/>
                <w:sz w:val="21"/>
                <w:szCs w:val="21"/>
              </w:rPr>
              <w:t>50m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117°33'38.03"  N</w:t>
            </w:r>
            <w:r w:rsidRPr="00C748F7">
              <w:rPr>
                <w:rFonts w:ascii="Times New Roman" w:hAnsi="Times New Roman"/>
                <w:sz w:val="21"/>
                <w:szCs w:val="21"/>
              </w:rPr>
              <w:t>：</w:t>
            </w:r>
            <w:r w:rsidRPr="00C748F7">
              <w:rPr>
                <w:rFonts w:ascii="Times New Roman" w:hAnsi="Times New Roman"/>
                <w:sz w:val="21"/>
                <w:szCs w:val="21"/>
              </w:rPr>
              <w:t>32°57'38.30"</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7.7</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20.3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6.4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0.03</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0.71</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7.8</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21.4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6.6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0.211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0.211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7.9</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6.4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0.217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0.70</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0.625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0.217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7#-3</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2000m</w:t>
            </w:r>
            <w:r w:rsidRPr="00C748F7">
              <w:rPr>
                <w:rFonts w:ascii="Times New Roman" w:hAnsi="Times New Roman"/>
                <w:kern w:val="0"/>
                <w:sz w:val="21"/>
                <w:szCs w:val="21"/>
              </w:rPr>
              <w:t>距北岸</w:t>
            </w:r>
            <w:r w:rsidRPr="00C748F7">
              <w:rPr>
                <w:rFonts w:ascii="Times New Roman" w:hAnsi="Times New Roman"/>
                <w:kern w:val="0"/>
                <w:sz w:val="21"/>
                <w:szCs w:val="21"/>
              </w:rPr>
              <w:t>100m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117°33'36.86"  N</w:t>
            </w:r>
            <w:r w:rsidRPr="00C748F7">
              <w:rPr>
                <w:rFonts w:ascii="Times New Roman" w:hAnsi="Times New Roman"/>
                <w:sz w:val="21"/>
                <w:szCs w:val="21"/>
              </w:rPr>
              <w:t>：</w:t>
            </w:r>
            <w:r w:rsidRPr="00C748F7">
              <w:rPr>
                <w:rFonts w:ascii="Times New Roman" w:hAnsi="Times New Roman"/>
                <w:sz w:val="21"/>
                <w:szCs w:val="21"/>
              </w:rPr>
              <w:t>32°57'37.53"</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7.7</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6.5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0.286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0.286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7.8</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21.5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6.5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0.174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0.61</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0.03</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0.174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0.61</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7.9</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6.4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0.314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0.70</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0.625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0.314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8#-1</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5000m</w:t>
            </w:r>
            <w:r w:rsidRPr="00C748F7">
              <w:rPr>
                <w:rFonts w:ascii="Times New Roman" w:hAnsi="Times New Roman"/>
                <w:kern w:val="0"/>
                <w:sz w:val="21"/>
                <w:szCs w:val="21"/>
              </w:rPr>
              <w:t>距北岸</w:t>
            </w:r>
            <w:r w:rsidRPr="00C748F7">
              <w:rPr>
                <w:rFonts w:ascii="Times New Roman" w:hAnsi="Times New Roman"/>
                <w:kern w:val="0"/>
                <w:sz w:val="21"/>
                <w:szCs w:val="21"/>
              </w:rPr>
              <w:lastRenderedPageBreak/>
              <w:t>20m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lastRenderedPageBreak/>
              <w:t>E</w:t>
            </w:r>
            <w:r w:rsidRPr="00C748F7">
              <w:rPr>
                <w:rFonts w:ascii="Times New Roman" w:hAnsi="Times New Roman"/>
                <w:sz w:val="21"/>
                <w:szCs w:val="21"/>
              </w:rPr>
              <w:t>：</w:t>
            </w:r>
            <w:r w:rsidRPr="00C748F7">
              <w:rPr>
                <w:rFonts w:ascii="Times New Roman" w:hAnsi="Times New Roman"/>
                <w:sz w:val="21"/>
                <w:szCs w:val="21"/>
              </w:rPr>
              <w:t>117°34'59.39"  N</w:t>
            </w:r>
            <w:r w:rsidRPr="00C748F7">
              <w:rPr>
                <w:rFonts w:ascii="Times New Roman" w:hAnsi="Times New Roman"/>
                <w:sz w:val="21"/>
                <w:szCs w:val="21"/>
              </w:rPr>
              <w:t>：</w:t>
            </w:r>
            <w:r w:rsidRPr="00C748F7">
              <w:rPr>
                <w:rFonts w:ascii="Times New Roman" w:hAnsi="Times New Roman"/>
                <w:sz w:val="21"/>
                <w:szCs w:val="21"/>
              </w:rPr>
              <w:t>32°56'29.50"</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7.8</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0.306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0.87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0.306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7.9</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21.2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0.81</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0.03</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0.63</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0.81</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7.7</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2.9</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0.209</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0.725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0.209</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90"/>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8#-2</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5000m</w:t>
            </w:r>
            <w:r w:rsidRPr="00C748F7">
              <w:rPr>
                <w:rFonts w:ascii="Times New Roman" w:hAnsi="Times New Roman"/>
                <w:kern w:val="0"/>
                <w:sz w:val="21"/>
                <w:szCs w:val="21"/>
              </w:rPr>
              <w:t>距北岸</w:t>
            </w:r>
            <w:r w:rsidRPr="00C748F7">
              <w:rPr>
                <w:rFonts w:ascii="Times New Roman" w:hAnsi="Times New Roman"/>
                <w:kern w:val="0"/>
                <w:sz w:val="21"/>
                <w:szCs w:val="21"/>
              </w:rPr>
              <w:t>50m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117°34'58.45"  N</w:t>
            </w:r>
            <w:r w:rsidRPr="00C748F7">
              <w:rPr>
                <w:rFonts w:ascii="Times New Roman" w:hAnsi="Times New Roman"/>
                <w:sz w:val="21"/>
                <w:szCs w:val="21"/>
              </w:rPr>
              <w:t>：</w:t>
            </w:r>
            <w:r w:rsidRPr="00C748F7">
              <w:rPr>
                <w:rFonts w:ascii="Times New Roman" w:hAnsi="Times New Roman"/>
                <w:sz w:val="21"/>
                <w:szCs w:val="21"/>
              </w:rPr>
              <w:t>32°56'28.92"</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7.8</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0.231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0.61</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0.231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7.9</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21.3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5.7</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17</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0.171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0.03</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0.171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7.7</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2.9</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0.177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0.03</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0.725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0.177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8#-3</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5000m</w:t>
            </w:r>
            <w:r w:rsidRPr="00C748F7">
              <w:rPr>
                <w:rFonts w:ascii="Times New Roman" w:hAnsi="Times New Roman"/>
                <w:kern w:val="0"/>
                <w:sz w:val="21"/>
                <w:szCs w:val="21"/>
              </w:rPr>
              <w:t>距北岸</w:t>
            </w:r>
            <w:r w:rsidRPr="00C748F7">
              <w:rPr>
                <w:rFonts w:ascii="Times New Roman" w:hAnsi="Times New Roman"/>
                <w:kern w:val="0"/>
                <w:sz w:val="21"/>
                <w:szCs w:val="21"/>
              </w:rPr>
              <w:t>100m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117°34'55.92"  N</w:t>
            </w:r>
            <w:r w:rsidRPr="00C748F7">
              <w:rPr>
                <w:rFonts w:ascii="Times New Roman" w:hAnsi="Times New Roman"/>
                <w:sz w:val="21"/>
                <w:szCs w:val="21"/>
              </w:rPr>
              <w:t>：</w:t>
            </w:r>
            <w:r w:rsidRPr="00C748F7">
              <w:rPr>
                <w:rFonts w:ascii="Times New Roman" w:hAnsi="Times New Roman"/>
                <w:sz w:val="21"/>
                <w:szCs w:val="21"/>
              </w:rPr>
              <w:t>32°56'27.38"</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7.8</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20.4</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0.208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0.208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7.9</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21.5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5.6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0.142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0.51</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0.03</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0.9</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0.142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0.51</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7.7</w:t>
            </w:r>
          </w:p>
        </w:tc>
        <w:tc>
          <w:tcPr>
            <w:tcW w:w="992" w:type="dxa"/>
            <w:vMerge w:val="restart"/>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19.8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16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2.8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0.176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0.51</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0.04</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0.35</w:t>
            </w:r>
          </w:p>
        </w:tc>
        <w:tc>
          <w:tcPr>
            <w:tcW w:w="992"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sz w:val="21"/>
                <w:szCs w:val="21"/>
              </w:rPr>
            </w:pP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0.176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0.51</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0.8</w:t>
            </w:r>
          </w:p>
        </w:tc>
        <w:tc>
          <w:tcPr>
            <w:tcW w:w="134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0.25</w:t>
            </w:r>
          </w:p>
        </w:tc>
      </w:tr>
      <w:tr w:rsidR="00F51126" w:rsidRPr="00C748F7" w:rsidTr="009F4FA8">
        <w:trPr>
          <w:trHeight w:val="326"/>
        </w:trPr>
        <w:tc>
          <w:tcPr>
            <w:tcW w:w="851"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监测断面</w:t>
            </w:r>
          </w:p>
        </w:tc>
        <w:tc>
          <w:tcPr>
            <w:tcW w:w="850" w:type="dxa"/>
            <w:vMerge w:val="restart"/>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经纬度</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采样时间</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统计项目</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b/>
                <w:bCs/>
                <w:sz w:val="21"/>
                <w:szCs w:val="21"/>
              </w:rPr>
            </w:pPr>
            <w:r w:rsidRPr="00C748F7">
              <w:rPr>
                <w:rFonts w:ascii="Times New Roman" w:hAnsi="Times New Roman"/>
                <w:b/>
                <w:bCs/>
                <w:kern w:val="20"/>
                <w:sz w:val="21"/>
                <w:szCs w:val="21"/>
              </w:rPr>
              <w:t>总磷</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b/>
                <w:bCs/>
                <w:sz w:val="21"/>
                <w:szCs w:val="21"/>
              </w:rPr>
            </w:pPr>
            <w:r w:rsidRPr="00C748F7">
              <w:rPr>
                <w:rFonts w:ascii="Times New Roman" w:hAnsi="Times New Roman"/>
                <w:b/>
                <w:bCs/>
                <w:kern w:val="20"/>
                <w:sz w:val="21"/>
                <w:szCs w:val="21"/>
              </w:rPr>
              <w:t>硫化物</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b/>
                <w:bCs/>
                <w:sz w:val="21"/>
                <w:szCs w:val="21"/>
              </w:rPr>
            </w:pPr>
            <w:r w:rsidRPr="00C748F7">
              <w:rPr>
                <w:rFonts w:ascii="Times New Roman" w:hAnsi="Times New Roman"/>
                <w:b/>
                <w:bCs/>
                <w:sz w:val="21"/>
                <w:szCs w:val="21"/>
              </w:rPr>
              <w:t>氟化物</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b/>
                <w:bCs/>
                <w:sz w:val="21"/>
                <w:szCs w:val="21"/>
              </w:rPr>
            </w:pPr>
            <w:r w:rsidRPr="00C748F7">
              <w:rPr>
                <w:rFonts w:ascii="Times New Roman" w:hAnsi="Times New Roman"/>
                <w:b/>
                <w:bCs/>
                <w:sz w:val="21"/>
                <w:szCs w:val="21"/>
              </w:rPr>
              <w:t>挥发酚</w:t>
            </w:r>
          </w:p>
        </w:tc>
        <w:tc>
          <w:tcPr>
            <w:tcW w:w="1134" w:type="dxa"/>
            <w:noWrap/>
            <w:vAlign w:val="center"/>
            <w:hideMark/>
          </w:tcPr>
          <w:p w:rsidR="00F51126" w:rsidRPr="00C748F7" w:rsidRDefault="00F51126" w:rsidP="00C748F7">
            <w:pPr>
              <w:autoSpaceDE w:val="0"/>
              <w:spacing w:line="360" w:lineRule="exact"/>
              <w:ind w:firstLineChars="0" w:firstLine="0"/>
              <w:jc w:val="center"/>
              <w:textAlignment w:val="center"/>
              <w:rPr>
                <w:rFonts w:ascii="Times New Roman" w:hAnsi="Times New Roman"/>
                <w:b/>
                <w:bCs/>
                <w:sz w:val="21"/>
                <w:szCs w:val="21"/>
              </w:rPr>
            </w:pPr>
            <w:r w:rsidRPr="00C748F7">
              <w:rPr>
                <w:rFonts w:ascii="Times New Roman" w:hAnsi="Times New Roman"/>
                <w:b/>
                <w:bCs/>
                <w:kern w:val="20"/>
                <w:sz w:val="21"/>
                <w:szCs w:val="21"/>
              </w:rPr>
              <w:t>铅</w:t>
            </w:r>
          </w:p>
        </w:tc>
        <w:tc>
          <w:tcPr>
            <w:tcW w:w="992" w:type="dxa"/>
            <w:noWrap/>
            <w:vAlign w:val="center"/>
            <w:hideMark/>
          </w:tcPr>
          <w:p w:rsidR="00F51126" w:rsidRPr="00C748F7" w:rsidRDefault="00F51126" w:rsidP="00C748F7">
            <w:pPr>
              <w:autoSpaceDE w:val="0"/>
              <w:spacing w:line="360" w:lineRule="exact"/>
              <w:ind w:firstLineChars="0" w:firstLine="0"/>
              <w:jc w:val="center"/>
              <w:textAlignment w:val="center"/>
              <w:rPr>
                <w:rFonts w:ascii="Times New Roman" w:hAnsi="Times New Roman"/>
                <w:b/>
                <w:bCs/>
                <w:sz w:val="21"/>
                <w:szCs w:val="21"/>
              </w:rPr>
            </w:pPr>
            <w:r w:rsidRPr="00C748F7">
              <w:rPr>
                <w:rFonts w:ascii="Times New Roman" w:hAnsi="Times New Roman"/>
                <w:b/>
                <w:bCs/>
                <w:kern w:val="20"/>
                <w:sz w:val="21"/>
                <w:szCs w:val="21"/>
              </w:rPr>
              <w:t>镍</w:t>
            </w:r>
          </w:p>
        </w:tc>
        <w:tc>
          <w:tcPr>
            <w:tcW w:w="992" w:type="dxa"/>
            <w:noWrap/>
            <w:vAlign w:val="center"/>
            <w:hideMark/>
          </w:tcPr>
          <w:p w:rsidR="00F51126" w:rsidRPr="00C748F7" w:rsidRDefault="00F51126" w:rsidP="00C748F7">
            <w:pPr>
              <w:autoSpaceDE w:val="0"/>
              <w:spacing w:line="360" w:lineRule="exact"/>
              <w:ind w:firstLineChars="0" w:firstLine="0"/>
              <w:jc w:val="center"/>
              <w:textAlignment w:val="center"/>
              <w:rPr>
                <w:rFonts w:ascii="Times New Roman" w:hAnsi="Times New Roman"/>
                <w:b/>
                <w:bCs/>
                <w:sz w:val="21"/>
                <w:szCs w:val="21"/>
              </w:rPr>
            </w:pPr>
            <w:r w:rsidRPr="00C748F7">
              <w:rPr>
                <w:rFonts w:ascii="Times New Roman" w:hAnsi="Times New Roman"/>
                <w:b/>
                <w:bCs/>
                <w:kern w:val="20"/>
                <w:sz w:val="21"/>
                <w:szCs w:val="21"/>
              </w:rPr>
              <w:t>砷</w:t>
            </w:r>
          </w:p>
        </w:tc>
        <w:tc>
          <w:tcPr>
            <w:tcW w:w="1134" w:type="dxa"/>
            <w:noWrap/>
            <w:vAlign w:val="center"/>
            <w:hideMark/>
          </w:tcPr>
          <w:p w:rsidR="00F51126" w:rsidRPr="00C748F7" w:rsidRDefault="00F51126" w:rsidP="00C748F7">
            <w:pPr>
              <w:autoSpaceDE w:val="0"/>
              <w:spacing w:line="360" w:lineRule="exact"/>
              <w:ind w:firstLineChars="0" w:firstLine="0"/>
              <w:jc w:val="center"/>
              <w:textAlignment w:val="center"/>
              <w:rPr>
                <w:rFonts w:ascii="Times New Roman" w:hAnsi="Times New Roman"/>
                <w:b/>
                <w:bCs/>
                <w:sz w:val="21"/>
                <w:szCs w:val="21"/>
              </w:rPr>
            </w:pPr>
            <w:r w:rsidRPr="00C748F7">
              <w:rPr>
                <w:rFonts w:ascii="Times New Roman" w:hAnsi="Times New Roman"/>
                <w:b/>
                <w:bCs/>
                <w:kern w:val="20"/>
                <w:sz w:val="21"/>
                <w:szCs w:val="21"/>
              </w:rPr>
              <w:t>铜</w:t>
            </w:r>
          </w:p>
        </w:tc>
        <w:tc>
          <w:tcPr>
            <w:tcW w:w="1342" w:type="dxa"/>
            <w:vAlign w:val="center"/>
            <w:hideMark/>
          </w:tcPr>
          <w:p w:rsidR="00F51126" w:rsidRPr="00C748F7" w:rsidRDefault="00F51126" w:rsidP="00C748F7">
            <w:pPr>
              <w:autoSpaceDE w:val="0"/>
              <w:spacing w:line="360" w:lineRule="exact"/>
              <w:ind w:firstLineChars="0" w:firstLine="0"/>
              <w:jc w:val="center"/>
              <w:textAlignment w:val="center"/>
              <w:rPr>
                <w:rFonts w:ascii="Times New Roman" w:hAnsi="Times New Roman"/>
                <w:b/>
                <w:bCs/>
                <w:sz w:val="21"/>
                <w:szCs w:val="21"/>
              </w:rPr>
            </w:pPr>
            <w:r w:rsidRPr="00C748F7">
              <w:rPr>
                <w:rFonts w:ascii="Times New Roman" w:hAnsi="Times New Roman"/>
                <w:b/>
                <w:bCs/>
                <w:kern w:val="20"/>
                <w:sz w:val="21"/>
                <w:szCs w:val="21"/>
              </w:rPr>
              <w:t>锌</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b/>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b/>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b/>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eastAsia="微软雅黑" w:hAnsi="Times New Roman"/>
                <w:b/>
                <w:kern w:val="0"/>
                <w:sz w:val="21"/>
                <w:szCs w:val="21"/>
              </w:rPr>
              <w:t>Ⅲ</w:t>
            </w:r>
            <w:r w:rsidRPr="00C748F7">
              <w:rPr>
                <w:rFonts w:ascii="Times New Roman" w:hAnsi="Times New Roman"/>
                <w:b/>
                <w:kern w:val="0"/>
                <w:sz w:val="21"/>
                <w:szCs w:val="21"/>
              </w:rPr>
              <w:t>类标准限值</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1.0</w:t>
            </w:r>
          </w:p>
        </w:tc>
        <w:tc>
          <w:tcPr>
            <w:tcW w:w="993"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0.005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0.02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0.05</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1.0</w:t>
            </w:r>
          </w:p>
        </w:tc>
        <w:tc>
          <w:tcPr>
            <w:tcW w:w="1342" w:type="dxa"/>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1.0</w:t>
            </w:r>
          </w:p>
        </w:tc>
      </w:tr>
      <w:tr w:rsidR="00F51126" w:rsidRPr="00C748F7" w:rsidTr="009F4FA8">
        <w:trPr>
          <w:trHeight w:val="198"/>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b/>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b/>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b/>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eastAsia="微软雅黑" w:hAnsi="Times New Roman"/>
                <w:b/>
                <w:kern w:val="0"/>
                <w:sz w:val="21"/>
                <w:szCs w:val="21"/>
              </w:rPr>
              <w:t>Ⅳ</w:t>
            </w:r>
            <w:r w:rsidRPr="00C748F7">
              <w:rPr>
                <w:rFonts w:ascii="Times New Roman" w:hAnsi="Times New Roman"/>
                <w:b/>
                <w:kern w:val="0"/>
                <w:sz w:val="21"/>
                <w:szCs w:val="21"/>
              </w:rPr>
              <w:t>类标准限值</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0.3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1.5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0.01</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0.02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0.1</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1.0</w:t>
            </w:r>
          </w:p>
        </w:tc>
        <w:tc>
          <w:tcPr>
            <w:tcW w:w="1342" w:type="dxa"/>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b/>
                <w:kern w:val="0"/>
                <w:sz w:val="21"/>
                <w:szCs w:val="21"/>
              </w:rPr>
            </w:pPr>
            <w:r w:rsidRPr="00C748F7">
              <w:rPr>
                <w:rFonts w:ascii="Times New Roman" w:hAnsi="Times New Roman"/>
                <w:b/>
                <w:kern w:val="0"/>
                <w:sz w:val="21"/>
                <w:szCs w:val="21"/>
              </w:rPr>
              <w:t>2.0</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w:t>
            </w:r>
            <w:r w:rsidRPr="00C748F7">
              <w:rPr>
                <w:rFonts w:ascii="Times New Roman" w:hAnsi="Times New Roman"/>
                <w:kern w:val="0"/>
                <w:sz w:val="21"/>
                <w:szCs w:val="21"/>
              </w:rPr>
              <w:t>沫冲引河与三铺大沟交口</w:t>
            </w:r>
            <w:r w:rsidRPr="00C748F7">
              <w:rPr>
                <w:rFonts w:ascii="Times New Roman" w:hAnsi="Times New Roman"/>
                <w:kern w:val="0"/>
                <w:sz w:val="21"/>
                <w:szCs w:val="21"/>
              </w:rPr>
              <w:lastRenderedPageBreak/>
              <w:t>上游</w:t>
            </w:r>
            <w:r w:rsidRPr="00C748F7">
              <w:rPr>
                <w:rFonts w:ascii="Times New Roman" w:hAnsi="Times New Roman"/>
                <w:kern w:val="0"/>
                <w:sz w:val="21"/>
                <w:szCs w:val="21"/>
              </w:rPr>
              <w:t xml:space="preserve"> 500m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lastRenderedPageBreak/>
              <w:t>E</w:t>
            </w:r>
            <w:r w:rsidRPr="00C748F7">
              <w:rPr>
                <w:rFonts w:ascii="Times New Roman" w:hAnsi="Times New Roman"/>
                <w:sz w:val="21"/>
                <w:szCs w:val="21"/>
              </w:rPr>
              <w:t>：</w:t>
            </w:r>
            <w:r w:rsidRPr="00C748F7">
              <w:rPr>
                <w:rFonts w:ascii="Times New Roman" w:hAnsi="Times New Roman"/>
                <w:sz w:val="21"/>
                <w:szCs w:val="21"/>
              </w:rPr>
              <w:t>117°33'21.51"  N</w:t>
            </w:r>
            <w:r w:rsidRPr="00C748F7">
              <w:rPr>
                <w:rFonts w:ascii="Times New Roman" w:hAnsi="Times New Roman"/>
                <w:sz w:val="21"/>
                <w:szCs w:val="21"/>
              </w:rPr>
              <w:t>：</w:t>
            </w:r>
            <w:r w:rsidRPr="00C748F7">
              <w:rPr>
                <w:rFonts w:ascii="Times New Roman" w:hAnsi="Times New Roman"/>
                <w:sz w:val="21"/>
                <w:szCs w:val="21"/>
              </w:rPr>
              <w:lastRenderedPageBreak/>
              <w:t>32°58'48.89"</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lastRenderedPageBreak/>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0.92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0.014</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0.61</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0.007</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0.88</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0.006</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0.003</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0.18</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0.82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0.0025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3#</w:t>
            </w:r>
            <w:r w:rsidRPr="00C748F7">
              <w:rPr>
                <w:rFonts w:ascii="Times New Roman" w:hAnsi="Times New Roman"/>
                <w:kern w:val="0"/>
                <w:sz w:val="21"/>
                <w:szCs w:val="21"/>
              </w:rPr>
              <w:t>三铺大沟与沫冲引河交口上游</w:t>
            </w:r>
            <w:r w:rsidRPr="00C748F7">
              <w:rPr>
                <w:rFonts w:ascii="Times New Roman" w:hAnsi="Times New Roman"/>
                <w:kern w:val="0"/>
                <w:sz w:val="21"/>
                <w:szCs w:val="21"/>
              </w:rPr>
              <w:t>500m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117°33'09.34"  N</w:t>
            </w:r>
            <w:r w:rsidRPr="00C748F7">
              <w:rPr>
                <w:rFonts w:ascii="Times New Roman" w:hAnsi="Times New Roman"/>
                <w:sz w:val="21"/>
                <w:szCs w:val="21"/>
              </w:rPr>
              <w:t>：</w:t>
            </w:r>
            <w:r w:rsidRPr="00C748F7">
              <w:rPr>
                <w:rFonts w:ascii="Times New Roman" w:hAnsi="Times New Roman"/>
                <w:sz w:val="21"/>
                <w:szCs w:val="21"/>
              </w:rPr>
              <w:t>32°59'03.79"</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0.51</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0.82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0.55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0.0025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0.57</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0.51</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0.0025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5#-1</w:t>
            </w:r>
            <w:r w:rsidRPr="00C748F7">
              <w:rPr>
                <w:rFonts w:ascii="Times New Roman" w:hAnsi="Times New Roman"/>
                <w:kern w:val="0"/>
                <w:sz w:val="21"/>
                <w:szCs w:val="21"/>
              </w:rPr>
              <w:t>三铺大沟入淮河口处上游</w:t>
            </w:r>
            <w:r w:rsidRPr="00C748F7">
              <w:rPr>
                <w:rFonts w:ascii="Times New Roman" w:hAnsi="Times New Roman"/>
                <w:kern w:val="0"/>
                <w:sz w:val="21"/>
                <w:szCs w:val="21"/>
              </w:rPr>
              <w:t>500m</w:t>
            </w:r>
            <w:r w:rsidRPr="00C748F7">
              <w:rPr>
                <w:rFonts w:ascii="Times New Roman" w:hAnsi="Times New Roman"/>
                <w:kern w:val="0"/>
                <w:sz w:val="21"/>
                <w:szCs w:val="21"/>
              </w:rPr>
              <w:t>距北岸</w:t>
            </w:r>
            <w:r w:rsidRPr="00C748F7">
              <w:rPr>
                <w:rFonts w:ascii="Times New Roman" w:hAnsi="Times New Roman"/>
                <w:kern w:val="0"/>
                <w:sz w:val="21"/>
                <w:szCs w:val="21"/>
              </w:rPr>
              <w:t>20m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117°32'31.01"  N</w:t>
            </w:r>
            <w:r w:rsidRPr="00C748F7">
              <w:rPr>
                <w:rFonts w:ascii="Times New Roman" w:hAnsi="Times New Roman"/>
                <w:sz w:val="21"/>
                <w:szCs w:val="21"/>
              </w:rPr>
              <w:t>：</w:t>
            </w:r>
            <w:r w:rsidRPr="00C748F7">
              <w:rPr>
                <w:rFonts w:ascii="Times New Roman" w:hAnsi="Times New Roman"/>
                <w:sz w:val="21"/>
                <w:szCs w:val="21"/>
              </w:rPr>
              <w:t>32°58'36.51"</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5#-2</w:t>
            </w:r>
            <w:r w:rsidRPr="00C748F7">
              <w:rPr>
                <w:rFonts w:ascii="Times New Roman" w:hAnsi="Times New Roman"/>
                <w:kern w:val="0"/>
                <w:sz w:val="21"/>
                <w:szCs w:val="21"/>
              </w:rPr>
              <w:t>三铺大沟入淮河口处上游</w:t>
            </w:r>
            <w:r w:rsidRPr="00C748F7">
              <w:rPr>
                <w:rFonts w:ascii="Times New Roman" w:hAnsi="Times New Roman"/>
                <w:kern w:val="0"/>
                <w:sz w:val="21"/>
                <w:szCs w:val="21"/>
              </w:rPr>
              <w:t>500m</w:t>
            </w:r>
            <w:r w:rsidRPr="00C748F7">
              <w:rPr>
                <w:rFonts w:ascii="Times New Roman" w:hAnsi="Times New Roman"/>
                <w:kern w:val="0"/>
                <w:sz w:val="21"/>
                <w:szCs w:val="21"/>
              </w:rPr>
              <w:t>距北岸</w:t>
            </w:r>
            <w:r w:rsidRPr="00C748F7">
              <w:rPr>
                <w:rFonts w:ascii="Times New Roman" w:hAnsi="Times New Roman"/>
                <w:kern w:val="0"/>
                <w:sz w:val="21"/>
                <w:szCs w:val="21"/>
              </w:rPr>
              <w:t>50m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117°32'29.91"  N</w:t>
            </w:r>
            <w:r w:rsidRPr="00C748F7">
              <w:rPr>
                <w:rFonts w:ascii="Times New Roman" w:hAnsi="Times New Roman"/>
                <w:sz w:val="21"/>
                <w:szCs w:val="21"/>
              </w:rPr>
              <w:t>：</w:t>
            </w:r>
            <w:r w:rsidRPr="00C748F7">
              <w:rPr>
                <w:rFonts w:ascii="Times New Roman" w:hAnsi="Times New Roman"/>
                <w:sz w:val="21"/>
                <w:szCs w:val="21"/>
              </w:rPr>
              <w:t>32°58'35.15"</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lastRenderedPageBreak/>
              <w:t>5#-3</w:t>
            </w:r>
            <w:r w:rsidRPr="00C748F7">
              <w:rPr>
                <w:rFonts w:ascii="Times New Roman" w:hAnsi="Times New Roman"/>
                <w:kern w:val="0"/>
                <w:sz w:val="21"/>
                <w:szCs w:val="21"/>
              </w:rPr>
              <w:t>三铺大沟入淮河口处上游</w:t>
            </w:r>
            <w:r w:rsidRPr="00C748F7">
              <w:rPr>
                <w:rFonts w:ascii="Times New Roman" w:hAnsi="Times New Roman"/>
                <w:kern w:val="0"/>
                <w:sz w:val="21"/>
                <w:szCs w:val="21"/>
              </w:rPr>
              <w:t>500m</w:t>
            </w:r>
            <w:r w:rsidRPr="00C748F7">
              <w:rPr>
                <w:rFonts w:ascii="Times New Roman" w:hAnsi="Times New Roman"/>
                <w:kern w:val="0"/>
                <w:sz w:val="21"/>
                <w:szCs w:val="21"/>
              </w:rPr>
              <w:t>距北岸</w:t>
            </w:r>
            <w:r w:rsidRPr="00C748F7">
              <w:rPr>
                <w:rFonts w:ascii="Times New Roman" w:hAnsi="Times New Roman"/>
                <w:kern w:val="0"/>
                <w:sz w:val="21"/>
                <w:szCs w:val="21"/>
              </w:rPr>
              <w:t>100m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117°32'28.79"  N</w:t>
            </w:r>
            <w:r w:rsidRPr="00C748F7">
              <w:rPr>
                <w:rFonts w:ascii="Times New Roman" w:hAnsi="Times New Roman"/>
                <w:sz w:val="21"/>
                <w:szCs w:val="21"/>
              </w:rPr>
              <w:t>：</w:t>
            </w:r>
            <w:r w:rsidRPr="00C748F7">
              <w:rPr>
                <w:rFonts w:ascii="Times New Roman" w:hAnsi="Times New Roman"/>
                <w:sz w:val="21"/>
                <w:szCs w:val="21"/>
              </w:rPr>
              <w:t>32°58'33.88"</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6#-1</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500m</w:t>
            </w:r>
            <w:r w:rsidRPr="00C748F7">
              <w:rPr>
                <w:rFonts w:ascii="Times New Roman" w:hAnsi="Times New Roman"/>
                <w:kern w:val="0"/>
                <w:sz w:val="21"/>
                <w:szCs w:val="21"/>
              </w:rPr>
              <w:t>距北岸</w:t>
            </w:r>
            <w:r w:rsidRPr="00C748F7">
              <w:rPr>
                <w:rFonts w:ascii="Times New Roman" w:hAnsi="Times New Roman"/>
                <w:kern w:val="0"/>
                <w:sz w:val="21"/>
                <w:szCs w:val="21"/>
              </w:rPr>
              <w:t>20m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117°32'59.78"  N</w:t>
            </w:r>
            <w:r w:rsidRPr="00C748F7">
              <w:rPr>
                <w:rFonts w:ascii="Times New Roman" w:hAnsi="Times New Roman"/>
                <w:sz w:val="21"/>
                <w:szCs w:val="21"/>
              </w:rPr>
              <w:t>：</w:t>
            </w:r>
            <w:r w:rsidRPr="00C748F7">
              <w:rPr>
                <w:rFonts w:ascii="Times New Roman" w:hAnsi="Times New Roman"/>
                <w:sz w:val="21"/>
                <w:szCs w:val="21"/>
              </w:rPr>
              <w:t>32°58'14.68"</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6#-2</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500m</w:t>
            </w:r>
            <w:r w:rsidRPr="00C748F7">
              <w:rPr>
                <w:rFonts w:ascii="Times New Roman" w:hAnsi="Times New Roman"/>
                <w:kern w:val="0"/>
                <w:sz w:val="21"/>
                <w:szCs w:val="21"/>
              </w:rPr>
              <w:t>距北岸</w:t>
            </w:r>
            <w:r w:rsidRPr="00C748F7">
              <w:rPr>
                <w:rFonts w:ascii="Times New Roman" w:hAnsi="Times New Roman"/>
                <w:kern w:val="0"/>
                <w:sz w:val="21"/>
                <w:szCs w:val="21"/>
              </w:rPr>
              <w:t>50m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117°32'58.75"  N</w:t>
            </w:r>
            <w:r w:rsidRPr="00C748F7">
              <w:rPr>
                <w:rFonts w:ascii="Times New Roman" w:hAnsi="Times New Roman"/>
                <w:sz w:val="21"/>
                <w:szCs w:val="21"/>
              </w:rPr>
              <w:t>：</w:t>
            </w:r>
            <w:r w:rsidRPr="00C748F7">
              <w:rPr>
                <w:rFonts w:ascii="Times New Roman" w:hAnsi="Times New Roman"/>
                <w:sz w:val="21"/>
                <w:szCs w:val="21"/>
              </w:rPr>
              <w:t>32°58'13.92"</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0.47</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0.47</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lastRenderedPageBreak/>
              <w:t>6#-3</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500m</w:t>
            </w:r>
            <w:r w:rsidRPr="00C748F7">
              <w:rPr>
                <w:rFonts w:ascii="Times New Roman" w:hAnsi="Times New Roman"/>
                <w:kern w:val="0"/>
                <w:sz w:val="21"/>
                <w:szCs w:val="21"/>
              </w:rPr>
              <w:t>距北岸</w:t>
            </w:r>
            <w:r w:rsidRPr="00C748F7">
              <w:rPr>
                <w:rFonts w:ascii="Times New Roman" w:hAnsi="Times New Roman"/>
                <w:kern w:val="0"/>
                <w:sz w:val="21"/>
                <w:szCs w:val="21"/>
              </w:rPr>
              <w:t>100m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117°32'57.29"  N</w:t>
            </w:r>
            <w:r w:rsidRPr="00C748F7">
              <w:rPr>
                <w:rFonts w:ascii="Times New Roman" w:hAnsi="Times New Roman"/>
                <w:sz w:val="21"/>
                <w:szCs w:val="21"/>
              </w:rPr>
              <w:t>：</w:t>
            </w:r>
            <w:r w:rsidRPr="00C748F7">
              <w:rPr>
                <w:rFonts w:ascii="Times New Roman" w:hAnsi="Times New Roman"/>
                <w:sz w:val="21"/>
                <w:szCs w:val="21"/>
              </w:rPr>
              <w:t>32°58'12.84"</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0.75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0.45</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7#-1</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2000m</w:t>
            </w:r>
            <w:r w:rsidRPr="00C748F7">
              <w:rPr>
                <w:rFonts w:ascii="Times New Roman" w:hAnsi="Times New Roman"/>
                <w:kern w:val="0"/>
                <w:sz w:val="21"/>
                <w:szCs w:val="21"/>
              </w:rPr>
              <w:t>距北岸</w:t>
            </w:r>
            <w:r w:rsidRPr="00C748F7">
              <w:rPr>
                <w:rFonts w:ascii="Times New Roman" w:hAnsi="Times New Roman"/>
                <w:kern w:val="0"/>
                <w:sz w:val="21"/>
                <w:szCs w:val="21"/>
              </w:rPr>
              <w:t>20m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117°33'38.71"  N</w:t>
            </w:r>
            <w:r w:rsidRPr="00C748F7">
              <w:rPr>
                <w:rFonts w:ascii="Times New Roman" w:hAnsi="Times New Roman"/>
                <w:sz w:val="21"/>
                <w:szCs w:val="21"/>
              </w:rPr>
              <w:t>：</w:t>
            </w:r>
            <w:r w:rsidRPr="00C748F7">
              <w:rPr>
                <w:rFonts w:ascii="Times New Roman" w:hAnsi="Times New Roman"/>
                <w:sz w:val="21"/>
                <w:szCs w:val="21"/>
              </w:rPr>
              <w:t>32°57'39.59"</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0.006</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0.006</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0.37</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0.37</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7#-2</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2000m</w:t>
            </w:r>
            <w:r w:rsidRPr="00C748F7">
              <w:rPr>
                <w:rFonts w:ascii="Times New Roman" w:hAnsi="Times New Roman"/>
                <w:kern w:val="0"/>
                <w:sz w:val="21"/>
                <w:szCs w:val="21"/>
              </w:rPr>
              <w:t>距北岸</w:t>
            </w:r>
            <w:r w:rsidRPr="00C748F7">
              <w:rPr>
                <w:rFonts w:ascii="Times New Roman" w:hAnsi="Times New Roman"/>
                <w:kern w:val="0"/>
                <w:sz w:val="21"/>
                <w:szCs w:val="21"/>
              </w:rPr>
              <w:t>50m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117°33'38.03"  N</w:t>
            </w:r>
            <w:r w:rsidRPr="00C748F7">
              <w:rPr>
                <w:rFonts w:ascii="Times New Roman" w:hAnsi="Times New Roman"/>
                <w:sz w:val="21"/>
                <w:szCs w:val="21"/>
              </w:rPr>
              <w:t>：</w:t>
            </w:r>
            <w:r w:rsidRPr="00C748F7">
              <w:rPr>
                <w:rFonts w:ascii="Times New Roman" w:hAnsi="Times New Roman"/>
                <w:sz w:val="21"/>
                <w:szCs w:val="21"/>
              </w:rPr>
              <w:t>32°57'38.30"</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0.13</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lastRenderedPageBreak/>
              <w:t>7#-3</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2000m</w:t>
            </w:r>
            <w:r w:rsidRPr="00C748F7">
              <w:rPr>
                <w:rFonts w:ascii="Times New Roman" w:hAnsi="Times New Roman"/>
                <w:kern w:val="0"/>
                <w:sz w:val="21"/>
                <w:szCs w:val="21"/>
              </w:rPr>
              <w:t>距北岸</w:t>
            </w:r>
            <w:r w:rsidRPr="00C748F7">
              <w:rPr>
                <w:rFonts w:ascii="Times New Roman" w:hAnsi="Times New Roman"/>
                <w:kern w:val="0"/>
                <w:sz w:val="21"/>
                <w:szCs w:val="21"/>
              </w:rPr>
              <w:t>100m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117°33'36.86"  N</w:t>
            </w:r>
            <w:r w:rsidRPr="00C748F7">
              <w:rPr>
                <w:rFonts w:ascii="Times New Roman" w:hAnsi="Times New Roman"/>
                <w:sz w:val="21"/>
                <w:szCs w:val="21"/>
              </w:rPr>
              <w:t>：</w:t>
            </w:r>
            <w:r w:rsidRPr="00C748F7">
              <w:rPr>
                <w:rFonts w:ascii="Times New Roman" w:hAnsi="Times New Roman"/>
                <w:sz w:val="21"/>
                <w:szCs w:val="21"/>
              </w:rPr>
              <w:t>32°57'37.53"</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0.42</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0.6</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8#-1</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5000m</w:t>
            </w:r>
            <w:r w:rsidRPr="00C748F7">
              <w:rPr>
                <w:rFonts w:ascii="Times New Roman" w:hAnsi="Times New Roman"/>
                <w:kern w:val="0"/>
                <w:sz w:val="21"/>
                <w:szCs w:val="21"/>
              </w:rPr>
              <w:t>距北岸</w:t>
            </w:r>
            <w:r w:rsidRPr="00C748F7">
              <w:rPr>
                <w:rFonts w:ascii="Times New Roman" w:hAnsi="Times New Roman"/>
                <w:kern w:val="0"/>
                <w:sz w:val="21"/>
                <w:szCs w:val="21"/>
              </w:rPr>
              <w:t>20m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117°34'59.39"  N</w:t>
            </w:r>
            <w:r w:rsidRPr="00C748F7">
              <w:rPr>
                <w:rFonts w:ascii="Times New Roman" w:hAnsi="Times New Roman"/>
                <w:sz w:val="21"/>
                <w:szCs w:val="21"/>
              </w:rPr>
              <w:t>：</w:t>
            </w:r>
            <w:r w:rsidRPr="00C748F7">
              <w:rPr>
                <w:rFonts w:ascii="Times New Roman" w:hAnsi="Times New Roman"/>
                <w:sz w:val="21"/>
                <w:szCs w:val="21"/>
              </w:rPr>
              <w:t>32°56'29.50"</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0.09</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0.36</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8#-2</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5000m</w:t>
            </w:r>
            <w:r w:rsidRPr="00C748F7">
              <w:rPr>
                <w:rFonts w:ascii="Times New Roman" w:hAnsi="Times New Roman"/>
                <w:kern w:val="0"/>
                <w:sz w:val="21"/>
                <w:szCs w:val="21"/>
              </w:rPr>
              <w:t>距北岸</w:t>
            </w:r>
            <w:r w:rsidRPr="00C748F7">
              <w:rPr>
                <w:rFonts w:ascii="Times New Roman" w:hAnsi="Times New Roman"/>
                <w:kern w:val="0"/>
                <w:sz w:val="21"/>
                <w:szCs w:val="21"/>
              </w:rPr>
              <w:t>50m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117°34'58.45"  N</w:t>
            </w:r>
            <w:r w:rsidRPr="00C748F7">
              <w:rPr>
                <w:rFonts w:ascii="Times New Roman" w:hAnsi="Times New Roman"/>
                <w:sz w:val="21"/>
                <w:szCs w:val="21"/>
              </w:rPr>
              <w:t>：</w:t>
            </w:r>
            <w:r w:rsidRPr="00C748F7">
              <w:rPr>
                <w:rFonts w:ascii="Times New Roman" w:hAnsi="Times New Roman"/>
                <w:sz w:val="21"/>
                <w:szCs w:val="21"/>
              </w:rPr>
              <w:t>32°56'28.92"</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0.37</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0.37</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0.39</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restart"/>
            <w:noWrap/>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lastRenderedPageBreak/>
              <w:t>8#-3</w:t>
            </w:r>
            <w:r w:rsidRPr="00C748F7">
              <w:rPr>
                <w:rFonts w:ascii="Times New Roman" w:hAnsi="Times New Roman"/>
                <w:kern w:val="0"/>
                <w:sz w:val="21"/>
                <w:szCs w:val="21"/>
              </w:rPr>
              <w:t>三铺大沟入淮河口处下游</w:t>
            </w:r>
            <w:r w:rsidRPr="00C748F7">
              <w:rPr>
                <w:rFonts w:ascii="Times New Roman" w:hAnsi="Times New Roman"/>
                <w:kern w:val="0"/>
                <w:sz w:val="21"/>
                <w:szCs w:val="21"/>
              </w:rPr>
              <w:t>5000m</w:t>
            </w:r>
            <w:r w:rsidRPr="00C748F7">
              <w:rPr>
                <w:rFonts w:ascii="Times New Roman" w:hAnsi="Times New Roman"/>
                <w:kern w:val="0"/>
                <w:sz w:val="21"/>
                <w:szCs w:val="21"/>
              </w:rPr>
              <w:t>距北岸</w:t>
            </w:r>
            <w:r w:rsidRPr="00C748F7">
              <w:rPr>
                <w:rFonts w:ascii="Times New Roman" w:hAnsi="Times New Roman"/>
                <w:kern w:val="0"/>
                <w:sz w:val="21"/>
                <w:szCs w:val="21"/>
              </w:rPr>
              <w:t>100m</w:t>
            </w:r>
          </w:p>
        </w:tc>
        <w:tc>
          <w:tcPr>
            <w:tcW w:w="850" w:type="dxa"/>
            <w:vMerge w:val="restart"/>
            <w:vAlign w:val="center"/>
            <w:hideMark/>
          </w:tcPr>
          <w:p w:rsidR="00F51126" w:rsidRPr="00C748F7" w:rsidRDefault="00F51126" w:rsidP="00C748F7">
            <w:pPr>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sz w:val="21"/>
                <w:szCs w:val="21"/>
              </w:rPr>
              <w:t>E</w:t>
            </w:r>
            <w:r w:rsidRPr="00C748F7">
              <w:rPr>
                <w:rFonts w:ascii="Times New Roman" w:hAnsi="Times New Roman"/>
                <w:sz w:val="21"/>
                <w:szCs w:val="21"/>
              </w:rPr>
              <w:t>：</w:t>
            </w:r>
            <w:r w:rsidRPr="00C748F7">
              <w:rPr>
                <w:rFonts w:ascii="Times New Roman" w:hAnsi="Times New Roman"/>
                <w:sz w:val="21"/>
                <w:szCs w:val="21"/>
              </w:rPr>
              <w:t>117°34'55.92"  N</w:t>
            </w:r>
            <w:r w:rsidRPr="00C748F7">
              <w:rPr>
                <w:rFonts w:ascii="Times New Roman" w:hAnsi="Times New Roman"/>
                <w:sz w:val="21"/>
                <w:szCs w:val="21"/>
              </w:rPr>
              <w:t>：</w:t>
            </w:r>
            <w:r w:rsidRPr="00C748F7">
              <w:rPr>
                <w:rFonts w:ascii="Times New Roman" w:hAnsi="Times New Roman"/>
                <w:sz w:val="21"/>
                <w:szCs w:val="21"/>
              </w:rPr>
              <w:t>32°56'27.38"</w:t>
            </w: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2024.4.28</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0.41</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0.41</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2024.4.29</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kern w:val="0"/>
                <w:sz w:val="21"/>
                <w:szCs w:val="21"/>
              </w:rPr>
              <w:t>0.4</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39"/>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restart"/>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2024.4.30</w:t>
            </w: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Ci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0.09</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0.38</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0.0003</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0.01</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3×10</w:t>
            </w:r>
            <w:r w:rsidRPr="00C748F7">
              <w:rPr>
                <w:rFonts w:ascii="Times New Roman" w:hAnsi="Times New Roman"/>
                <w:kern w:val="0"/>
                <w:sz w:val="21"/>
                <w:szCs w:val="21"/>
                <w:vertAlign w:val="superscript"/>
              </w:rPr>
              <w:t>-4</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r w:rsidR="00F51126" w:rsidRPr="00C748F7" w:rsidTr="009F4FA8">
        <w:trPr>
          <w:trHeight w:val="143"/>
        </w:trPr>
        <w:tc>
          <w:tcPr>
            <w:tcW w:w="851"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850"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134" w:type="dxa"/>
            <w:vMerge/>
            <w:vAlign w:val="center"/>
            <w:hideMark/>
          </w:tcPr>
          <w:p w:rsidR="00F51126" w:rsidRPr="00C748F7" w:rsidRDefault="00F51126" w:rsidP="00C748F7">
            <w:pPr>
              <w:widowControl/>
              <w:spacing w:line="360" w:lineRule="exact"/>
              <w:ind w:firstLineChars="0" w:firstLine="0"/>
              <w:jc w:val="center"/>
              <w:rPr>
                <w:rFonts w:ascii="Times New Roman" w:hAnsi="Times New Roman"/>
                <w:kern w:val="0"/>
                <w:sz w:val="21"/>
                <w:szCs w:val="21"/>
              </w:rPr>
            </w:pPr>
          </w:p>
        </w:tc>
        <w:tc>
          <w:tcPr>
            <w:tcW w:w="1560" w:type="dxa"/>
            <w:noWrap/>
            <w:vAlign w:val="center"/>
            <w:hideMark/>
          </w:tcPr>
          <w:p w:rsidR="00F51126" w:rsidRPr="00C748F7" w:rsidRDefault="00F51126" w:rsidP="00C748F7">
            <w:pPr>
              <w:widowControl/>
              <w:autoSpaceDE w:val="0"/>
              <w:spacing w:line="360" w:lineRule="exact"/>
              <w:ind w:firstLineChars="0" w:firstLine="0"/>
              <w:jc w:val="center"/>
              <w:rPr>
                <w:rFonts w:ascii="Times New Roman" w:hAnsi="Times New Roman"/>
                <w:kern w:val="0"/>
                <w:sz w:val="21"/>
                <w:szCs w:val="21"/>
              </w:rPr>
            </w:pPr>
            <w:r w:rsidRPr="00C748F7">
              <w:rPr>
                <w:rFonts w:ascii="Times New Roman" w:hAnsi="Times New Roman"/>
                <w:kern w:val="0"/>
                <w:sz w:val="21"/>
                <w:szCs w:val="21"/>
              </w:rPr>
              <w:t>Si</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0.45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0.05</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kern w:val="0"/>
                <w:sz w:val="21"/>
                <w:szCs w:val="21"/>
              </w:rPr>
              <w:t>0.38</w:t>
            </w:r>
          </w:p>
        </w:tc>
        <w:tc>
          <w:tcPr>
            <w:tcW w:w="993"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0.2</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ND</w:t>
            </w:r>
          </w:p>
        </w:tc>
        <w:tc>
          <w:tcPr>
            <w:tcW w:w="992"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&lt;0.006</w:t>
            </w:r>
          </w:p>
        </w:tc>
        <w:tc>
          <w:tcPr>
            <w:tcW w:w="1134" w:type="dxa"/>
            <w:noWrap/>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kern w:val="0"/>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c>
          <w:tcPr>
            <w:tcW w:w="1342" w:type="dxa"/>
            <w:vAlign w:val="center"/>
            <w:hideMark/>
          </w:tcPr>
          <w:p w:rsidR="00F51126" w:rsidRPr="00C748F7" w:rsidRDefault="00F51126" w:rsidP="00C748F7">
            <w:pPr>
              <w:widowControl/>
              <w:autoSpaceDE w:val="0"/>
              <w:spacing w:line="360" w:lineRule="exact"/>
              <w:ind w:firstLineChars="0" w:firstLine="0"/>
              <w:jc w:val="center"/>
              <w:textAlignment w:val="center"/>
              <w:rPr>
                <w:rFonts w:ascii="Times New Roman" w:hAnsi="Times New Roman"/>
                <w:sz w:val="21"/>
                <w:szCs w:val="21"/>
              </w:rPr>
            </w:pPr>
            <w:r w:rsidRPr="00C748F7">
              <w:rPr>
                <w:rFonts w:ascii="Times New Roman" w:hAnsi="Times New Roman"/>
                <w:sz w:val="21"/>
                <w:szCs w:val="21"/>
              </w:rPr>
              <w:t>&lt;</w:t>
            </w:r>
            <w:r w:rsidRPr="00C748F7">
              <w:rPr>
                <w:rFonts w:ascii="Times New Roman" w:hAnsi="Times New Roman"/>
                <w:kern w:val="0"/>
                <w:sz w:val="21"/>
                <w:szCs w:val="21"/>
              </w:rPr>
              <w:t>0.005</w:t>
            </w:r>
          </w:p>
        </w:tc>
      </w:tr>
    </w:tbl>
    <w:p w:rsidR="004E3021" w:rsidRDefault="00606E48">
      <w:pPr>
        <w:ind w:firstLine="480"/>
        <w:sectPr w:rsidR="004E3021">
          <w:pgSz w:w="16838" w:h="11906" w:orient="landscape"/>
          <w:pgMar w:top="1440" w:right="1440" w:bottom="1440" w:left="1440" w:header="851" w:footer="992" w:gutter="0"/>
          <w:cols w:space="425"/>
          <w:docGrid w:type="lines" w:linePitch="326"/>
        </w:sectPr>
      </w:pPr>
      <w:r w:rsidRPr="00F51126">
        <w:t>由表</w:t>
      </w:r>
      <w:r w:rsidRPr="00F51126">
        <w:t>4.2.2-2</w:t>
      </w:r>
      <w:r w:rsidRPr="00F51126">
        <w:t>可知，沫冲引河和三铺大沟各断面水质均满足《地表水环境质量标准》（</w:t>
      </w:r>
      <w:r w:rsidRPr="00F51126">
        <w:t>GB3838-2002</w:t>
      </w:r>
      <w:r w:rsidRPr="00F51126">
        <w:t>）中的</w:t>
      </w:r>
      <w:r w:rsidRPr="00F51126">
        <w:t>Ⅳ</w:t>
      </w:r>
      <w:r w:rsidRPr="00F51126">
        <w:t>类标准；淮河（蚌埠段）各断面水质均满足《地表水环境质量标准》（</w:t>
      </w:r>
      <w:r w:rsidRPr="00F51126">
        <w:t>GB3838-2002</w:t>
      </w:r>
      <w:r w:rsidRPr="00F51126">
        <w:t>）中的</w:t>
      </w:r>
      <w:r w:rsidRPr="00F51126">
        <w:t>Ⅲ</w:t>
      </w:r>
      <w:r w:rsidRPr="00F51126">
        <w:t>类标准</w:t>
      </w:r>
      <w:r>
        <w:rPr>
          <w:rFonts w:ascii="宋体" w:hAnsi="宋体" w:hint="eastAsia"/>
        </w:rPr>
        <w:t>。</w:t>
      </w:r>
    </w:p>
    <w:p w:rsidR="004E3021" w:rsidRDefault="00606E48">
      <w:pPr>
        <w:pStyle w:val="afffffffffffffffff4"/>
      </w:pPr>
      <w:bookmarkStart w:id="301" w:name="_Toc100784020"/>
      <w:bookmarkStart w:id="302" w:name="_Toc108662629"/>
      <w:bookmarkStart w:id="303" w:name="_Toc101135852"/>
      <w:bookmarkStart w:id="304" w:name="_Toc221088781"/>
      <w:bookmarkStart w:id="305" w:name="_Toc221500996"/>
      <w:r>
        <w:rPr>
          <w:rFonts w:hint="eastAsia"/>
        </w:rPr>
        <w:lastRenderedPageBreak/>
        <w:t>4</w:t>
      </w:r>
      <w:r>
        <w:t>.2.3</w:t>
      </w:r>
      <w:r>
        <w:rPr>
          <w:rFonts w:ascii="黑体" w:hAnsi="黑体"/>
        </w:rPr>
        <w:t>声环境质量现状</w:t>
      </w:r>
      <w:bookmarkEnd w:id="301"/>
      <w:bookmarkEnd w:id="302"/>
      <w:bookmarkEnd w:id="303"/>
      <w:bookmarkEnd w:id="304"/>
      <w:bookmarkEnd w:id="305"/>
      <w:r>
        <w:tab/>
      </w:r>
    </w:p>
    <w:p w:rsidR="004E3021" w:rsidRDefault="00606E48">
      <w:pPr>
        <w:ind w:firstLine="480"/>
      </w:pPr>
      <w:r>
        <w:rPr>
          <w:rFonts w:ascii="宋体" w:hAnsi="宋体" w:hint="eastAsia"/>
        </w:rPr>
        <w:t>（</w:t>
      </w:r>
      <w:r>
        <w:rPr>
          <w:rFonts w:hint="eastAsia"/>
        </w:rPr>
        <w:t>1</w:t>
      </w:r>
      <w:r>
        <w:rPr>
          <w:rFonts w:ascii="宋体" w:hAnsi="宋体" w:hint="eastAsia"/>
        </w:rPr>
        <w:t>）监测点布设</w:t>
      </w:r>
    </w:p>
    <w:p w:rsidR="004E3021" w:rsidRDefault="00606E48">
      <w:pPr>
        <w:ind w:firstLine="480"/>
      </w:pPr>
      <w:r>
        <w:rPr>
          <w:rFonts w:ascii="宋体" w:hAnsi="宋体"/>
        </w:rPr>
        <w:t>根据声源的位置和周围情况</w:t>
      </w:r>
      <w:r>
        <w:rPr>
          <w:rFonts w:ascii="宋体" w:hAnsi="宋体" w:hint="eastAsia"/>
        </w:rPr>
        <w:t>，</w:t>
      </w:r>
      <w:r>
        <w:rPr>
          <w:rFonts w:ascii="宋体" w:hAnsi="宋体"/>
        </w:rPr>
        <w:t>在总厂界外布设</w:t>
      </w:r>
      <w:r>
        <w:rPr>
          <w:rFonts w:hint="eastAsia"/>
        </w:rPr>
        <w:t>4</w:t>
      </w:r>
      <w:r>
        <w:rPr>
          <w:rFonts w:ascii="宋体" w:hAnsi="宋体" w:hint="eastAsia"/>
        </w:rPr>
        <w:t>个监测点。</w:t>
      </w:r>
    </w:p>
    <w:p w:rsidR="004E3021" w:rsidRDefault="00606E48">
      <w:pPr>
        <w:pStyle w:val="afffff4"/>
        <w:ind w:firstLine="480"/>
      </w:pPr>
      <w:r>
        <w:rPr>
          <w:rFonts w:ascii="黑体" w:hAnsi="黑体"/>
        </w:rPr>
        <w:t>表</w:t>
      </w:r>
      <w:r>
        <w:rPr>
          <w:rFonts w:hint="eastAsia"/>
        </w:rPr>
        <w:t>4.</w:t>
      </w:r>
      <w:r>
        <w:t>2</w:t>
      </w:r>
      <w:r>
        <w:rPr>
          <w:rFonts w:hint="eastAsia"/>
        </w:rPr>
        <w:t>.</w:t>
      </w:r>
      <w:r>
        <w:t>3-</w:t>
      </w:r>
      <w:r>
        <w:rPr>
          <w:rFonts w:hint="eastAsia"/>
        </w:rPr>
        <w:t>1</w:t>
      </w:r>
      <w:r>
        <w:t xml:space="preserve">  </w:t>
      </w:r>
      <w:r>
        <w:rPr>
          <w:rFonts w:ascii="黑体" w:hAnsi="黑体"/>
        </w:rPr>
        <w:t>声环境质量现状监测点位</w:t>
      </w:r>
    </w:p>
    <w:tbl>
      <w:tblPr>
        <w:tblW w:w="9017"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626"/>
        <w:gridCol w:w="4011"/>
        <w:gridCol w:w="3380"/>
      </w:tblGrid>
      <w:tr w:rsidR="004E3021" w:rsidRPr="00A813A8">
        <w:trPr>
          <w:trHeight w:val="227"/>
          <w:jc w:val="center"/>
        </w:trPr>
        <w:tc>
          <w:tcPr>
            <w:tcW w:w="1626" w:type="dxa"/>
            <w:vAlign w:val="center"/>
          </w:tcPr>
          <w:p w:rsidR="004E3021" w:rsidRPr="006D5DB1" w:rsidRDefault="00606E48">
            <w:pPr>
              <w:pStyle w:val="afffffff2"/>
              <w:rPr>
                <w:b/>
                <w:sz w:val="21"/>
                <w:szCs w:val="21"/>
              </w:rPr>
            </w:pPr>
            <w:r w:rsidRPr="006D5DB1">
              <w:rPr>
                <w:b/>
                <w:sz w:val="21"/>
                <w:szCs w:val="21"/>
              </w:rPr>
              <w:t>编号</w:t>
            </w:r>
          </w:p>
        </w:tc>
        <w:tc>
          <w:tcPr>
            <w:tcW w:w="4011" w:type="dxa"/>
            <w:vAlign w:val="center"/>
          </w:tcPr>
          <w:p w:rsidR="004E3021" w:rsidRPr="006D5DB1" w:rsidRDefault="00606E48">
            <w:pPr>
              <w:pStyle w:val="afffffff2"/>
              <w:rPr>
                <w:b/>
                <w:sz w:val="21"/>
                <w:szCs w:val="21"/>
              </w:rPr>
            </w:pPr>
            <w:r w:rsidRPr="006D5DB1">
              <w:rPr>
                <w:rFonts w:hint="eastAsia"/>
                <w:b/>
                <w:sz w:val="21"/>
                <w:szCs w:val="21"/>
              </w:rPr>
              <w:t>监测点位描述</w:t>
            </w:r>
          </w:p>
        </w:tc>
        <w:tc>
          <w:tcPr>
            <w:tcW w:w="3380" w:type="dxa"/>
            <w:vAlign w:val="center"/>
          </w:tcPr>
          <w:p w:rsidR="004E3021" w:rsidRPr="006D5DB1" w:rsidRDefault="00606E48">
            <w:pPr>
              <w:pStyle w:val="afffffff2"/>
              <w:rPr>
                <w:b/>
                <w:sz w:val="21"/>
                <w:szCs w:val="21"/>
              </w:rPr>
            </w:pPr>
            <w:r w:rsidRPr="006D5DB1">
              <w:rPr>
                <w:b/>
                <w:sz w:val="21"/>
                <w:szCs w:val="21"/>
              </w:rPr>
              <w:t>监测点功能区</w:t>
            </w:r>
          </w:p>
        </w:tc>
      </w:tr>
      <w:tr w:rsidR="004E3021" w:rsidRPr="00A813A8">
        <w:trPr>
          <w:trHeight w:val="227"/>
          <w:jc w:val="center"/>
        </w:trPr>
        <w:tc>
          <w:tcPr>
            <w:tcW w:w="1626" w:type="dxa"/>
            <w:vAlign w:val="center"/>
          </w:tcPr>
          <w:p w:rsidR="004E3021" w:rsidRPr="00A813A8" w:rsidRDefault="00606E48">
            <w:pPr>
              <w:pStyle w:val="afffffff2"/>
              <w:rPr>
                <w:sz w:val="21"/>
                <w:szCs w:val="21"/>
              </w:rPr>
            </w:pPr>
            <w:r w:rsidRPr="00A813A8">
              <w:rPr>
                <w:sz w:val="21"/>
                <w:szCs w:val="21"/>
              </w:rPr>
              <w:t>N1</w:t>
            </w:r>
          </w:p>
        </w:tc>
        <w:tc>
          <w:tcPr>
            <w:tcW w:w="4011" w:type="dxa"/>
            <w:vAlign w:val="center"/>
          </w:tcPr>
          <w:p w:rsidR="004E3021" w:rsidRPr="00A813A8" w:rsidRDefault="00606E48">
            <w:pPr>
              <w:pStyle w:val="afffffff2"/>
              <w:rPr>
                <w:sz w:val="21"/>
                <w:szCs w:val="21"/>
              </w:rPr>
            </w:pPr>
            <w:r w:rsidRPr="00A813A8">
              <w:rPr>
                <w:rFonts w:hint="eastAsia"/>
                <w:sz w:val="21"/>
                <w:szCs w:val="21"/>
              </w:rPr>
              <w:t>北</w:t>
            </w:r>
            <w:r w:rsidRPr="00A813A8">
              <w:rPr>
                <w:sz w:val="21"/>
                <w:szCs w:val="21"/>
              </w:rPr>
              <w:t>厂界</w:t>
            </w:r>
          </w:p>
        </w:tc>
        <w:tc>
          <w:tcPr>
            <w:tcW w:w="3380" w:type="dxa"/>
            <w:vMerge w:val="restart"/>
            <w:vAlign w:val="center"/>
          </w:tcPr>
          <w:p w:rsidR="004E3021" w:rsidRPr="00A813A8" w:rsidRDefault="00606E48">
            <w:pPr>
              <w:pStyle w:val="afffffff2"/>
              <w:rPr>
                <w:sz w:val="21"/>
                <w:szCs w:val="21"/>
              </w:rPr>
            </w:pPr>
            <w:r w:rsidRPr="00A813A8">
              <w:rPr>
                <w:sz w:val="21"/>
                <w:szCs w:val="21"/>
              </w:rPr>
              <w:t>GB3096-2008  3</w:t>
            </w:r>
            <w:r w:rsidRPr="00A813A8">
              <w:rPr>
                <w:rFonts w:hint="eastAsia"/>
                <w:sz w:val="21"/>
                <w:szCs w:val="21"/>
              </w:rPr>
              <w:t>类区</w:t>
            </w:r>
          </w:p>
        </w:tc>
      </w:tr>
      <w:tr w:rsidR="004E3021" w:rsidRPr="00A813A8">
        <w:trPr>
          <w:trHeight w:val="227"/>
          <w:jc w:val="center"/>
        </w:trPr>
        <w:tc>
          <w:tcPr>
            <w:tcW w:w="1626" w:type="dxa"/>
            <w:vAlign w:val="center"/>
          </w:tcPr>
          <w:p w:rsidR="004E3021" w:rsidRPr="00A813A8" w:rsidRDefault="00606E48">
            <w:pPr>
              <w:pStyle w:val="afffffff2"/>
              <w:rPr>
                <w:sz w:val="21"/>
                <w:szCs w:val="21"/>
              </w:rPr>
            </w:pPr>
            <w:r w:rsidRPr="00A813A8">
              <w:rPr>
                <w:sz w:val="21"/>
                <w:szCs w:val="21"/>
              </w:rPr>
              <w:t>N2</w:t>
            </w:r>
          </w:p>
        </w:tc>
        <w:tc>
          <w:tcPr>
            <w:tcW w:w="4011" w:type="dxa"/>
            <w:vAlign w:val="center"/>
          </w:tcPr>
          <w:p w:rsidR="004E3021" w:rsidRPr="00A813A8" w:rsidRDefault="00606E48">
            <w:pPr>
              <w:pStyle w:val="afffffff2"/>
              <w:rPr>
                <w:sz w:val="21"/>
                <w:szCs w:val="21"/>
              </w:rPr>
            </w:pPr>
            <w:r w:rsidRPr="00A813A8">
              <w:rPr>
                <w:sz w:val="21"/>
                <w:szCs w:val="21"/>
              </w:rPr>
              <w:t>东厂界</w:t>
            </w:r>
          </w:p>
        </w:tc>
        <w:tc>
          <w:tcPr>
            <w:tcW w:w="3380" w:type="dxa"/>
            <w:vMerge/>
            <w:vAlign w:val="center"/>
          </w:tcPr>
          <w:p w:rsidR="004E3021" w:rsidRPr="00A813A8" w:rsidRDefault="004E3021">
            <w:pPr>
              <w:pStyle w:val="afffffff2"/>
              <w:rPr>
                <w:sz w:val="21"/>
                <w:szCs w:val="21"/>
              </w:rPr>
            </w:pPr>
          </w:p>
        </w:tc>
      </w:tr>
      <w:tr w:rsidR="004E3021" w:rsidRPr="00A813A8">
        <w:trPr>
          <w:trHeight w:val="227"/>
          <w:jc w:val="center"/>
        </w:trPr>
        <w:tc>
          <w:tcPr>
            <w:tcW w:w="1626" w:type="dxa"/>
            <w:vAlign w:val="center"/>
          </w:tcPr>
          <w:p w:rsidR="004E3021" w:rsidRPr="00A813A8" w:rsidRDefault="00606E48">
            <w:pPr>
              <w:pStyle w:val="afffffff2"/>
              <w:rPr>
                <w:sz w:val="21"/>
                <w:szCs w:val="21"/>
              </w:rPr>
            </w:pPr>
            <w:r w:rsidRPr="00A813A8">
              <w:rPr>
                <w:sz w:val="21"/>
                <w:szCs w:val="21"/>
              </w:rPr>
              <w:t>N3</w:t>
            </w:r>
          </w:p>
        </w:tc>
        <w:tc>
          <w:tcPr>
            <w:tcW w:w="4011" w:type="dxa"/>
            <w:vAlign w:val="center"/>
          </w:tcPr>
          <w:p w:rsidR="004E3021" w:rsidRPr="00A813A8" w:rsidRDefault="00606E48">
            <w:pPr>
              <w:pStyle w:val="afffffff2"/>
              <w:rPr>
                <w:sz w:val="21"/>
                <w:szCs w:val="21"/>
              </w:rPr>
            </w:pPr>
            <w:r w:rsidRPr="00A813A8">
              <w:rPr>
                <w:sz w:val="21"/>
                <w:szCs w:val="21"/>
              </w:rPr>
              <w:t>南厂界</w:t>
            </w:r>
          </w:p>
        </w:tc>
        <w:tc>
          <w:tcPr>
            <w:tcW w:w="3380" w:type="dxa"/>
            <w:vMerge/>
            <w:vAlign w:val="center"/>
          </w:tcPr>
          <w:p w:rsidR="004E3021" w:rsidRPr="00A813A8" w:rsidRDefault="004E3021">
            <w:pPr>
              <w:pStyle w:val="afffffff2"/>
              <w:rPr>
                <w:sz w:val="21"/>
                <w:szCs w:val="21"/>
              </w:rPr>
            </w:pPr>
          </w:p>
        </w:tc>
      </w:tr>
      <w:tr w:rsidR="004E3021" w:rsidRPr="00A813A8">
        <w:trPr>
          <w:trHeight w:val="227"/>
          <w:jc w:val="center"/>
        </w:trPr>
        <w:tc>
          <w:tcPr>
            <w:tcW w:w="1626" w:type="dxa"/>
            <w:vAlign w:val="center"/>
          </w:tcPr>
          <w:p w:rsidR="004E3021" w:rsidRPr="00A813A8" w:rsidRDefault="00606E48">
            <w:pPr>
              <w:pStyle w:val="afffffff2"/>
              <w:rPr>
                <w:sz w:val="21"/>
                <w:szCs w:val="21"/>
              </w:rPr>
            </w:pPr>
            <w:r w:rsidRPr="00A813A8">
              <w:rPr>
                <w:sz w:val="21"/>
                <w:szCs w:val="21"/>
              </w:rPr>
              <w:t>N4</w:t>
            </w:r>
          </w:p>
        </w:tc>
        <w:tc>
          <w:tcPr>
            <w:tcW w:w="4011" w:type="dxa"/>
            <w:vAlign w:val="center"/>
          </w:tcPr>
          <w:p w:rsidR="004E3021" w:rsidRPr="00A813A8" w:rsidRDefault="00606E48">
            <w:pPr>
              <w:pStyle w:val="afffffff2"/>
              <w:rPr>
                <w:sz w:val="21"/>
                <w:szCs w:val="21"/>
              </w:rPr>
            </w:pPr>
            <w:r w:rsidRPr="00A813A8">
              <w:rPr>
                <w:sz w:val="21"/>
                <w:szCs w:val="21"/>
              </w:rPr>
              <w:t>西厂界</w:t>
            </w:r>
          </w:p>
        </w:tc>
        <w:tc>
          <w:tcPr>
            <w:tcW w:w="3380" w:type="dxa"/>
            <w:vMerge/>
            <w:vAlign w:val="center"/>
          </w:tcPr>
          <w:p w:rsidR="004E3021" w:rsidRPr="00A813A8" w:rsidRDefault="004E3021">
            <w:pPr>
              <w:pStyle w:val="afffffff2"/>
              <w:rPr>
                <w:sz w:val="21"/>
                <w:szCs w:val="21"/>
              </w:rPr>
            </w:pPr>
          </w:p>
        </w:tc>
      </w:tr>
    </w:tbl>
    <w:p w:rsidR="00A813A8" w:rsidRDefault="005E413B" w:rsidP="00A813A8">
      <w:pPr>
        <w:ind w:firstLineChars="0" w:firstLine="0"/>
        <w:jc w:val="center"/>
        <w:rPr>
          <w:rFonts w:ascii="宋体" w:hAnsi="宋体"/>
        </w:rPr>
      </w:pPr>
      <w:r>
        <w:rPr>
          <w:rFonts w:ascii="宋体" w:hAnsi="宋体"/>
        </w:rPr>
        <w:pict>
          <v:shape id="_x0000_i1033" type="#_x0000_t75" style="width:453.75pt;height:306pt">
            <v:imagedata r:id="rId37" o:title="噪声及土壤监测点位" croptop="4792f" cropbottom="4328f" cropleft="2840f" cropright="3392f"/>
          </v:shape>
        </w:pict>
      </w:r>
    </w:p>
    <w:p w:rsidR="00A813A8" w:rsidRDefault="00A813A8" w:rsidP="00A813A8">
      <w:pPr>
        <w:spacing w:line="500" w:lineRule="exact"/>
        <w:ind w:firstLineChars="0" w:firstLine="0"/>
        <w:jc w:val="center"/>
        <w:rPr>
          <w:rFonts w:eastAsia="黑体"/>
        </w:rPr>
      </w:pPr>
      <w:r>
        <w:rPr>
          <w:rFonts w:eastAsia="黑体"/>
        </w:rPr>
        <w:t>图</w:t>
      </w:r>
      <w:r>
        <w:rPr>
          <w:rFonts w:eastAsia="黑体"/>
        </w:rPr>
        <w:t xml:space="preserve">4.2.3-1  </w:t>
      </w:r>
      <w:r>
        <w:rPr>
          <w:rFonts w:eastAsia="黑体" w:hint="eastAsia"/>
        </w:rPr>
        <w:t>本项目声环境现状监测点位</w:t>
      </w:r>
      <w:r>
        <w:rPr>
          <w:rFonts w:eastAsia="黑体"/>
        </w:rPr>
        <w:t>图</w:t>
      </w:r>
    </w:p>
    <w:p w:rsidR="004E3021" w:rsidRDefault="00606E48">
      <w:pPr>
        <w:ind w:firstLine="480"/>
      </w:pPr>
      <w:r>
        <w:rPr>
          <w:rFonts w:ascii="宋体" w:hAnsi="宋体" w:hint="eastAsia"/>
        </w:rPr>
        <w:t>（</w:t>
      </w:r>
      <w:r>
        <w:rPr>
          <w:rFonts w:hint="eastAsia"/>
        </w:rPr>
        <w:t>2</w:t>
      </w:r>
      <w:r>
        <w:rPr>
          <w:rFonts w:ascii="宋体" w:hAnsi="宋体" w:hint="eastAsia"/>
        </w:rPr>
        <w:t>）监测因子</w:t>
      </w:r>
    </w:p>
    <w:p w:rsidR="004E3021" w:rsidRDefault="00606E48">
      <w:pPr>
        <w:ind w:firstLine="480"/>
      </w:pPr>
      <w:r>
        <w:rPr>
          <w:rFonts w:ascii="宋体" w:hAnsi="宋体"/>
        </w:rPr>
        <w:t>等效连续</w:t>
      </w:r>
      <w:r>
        <w:t>A</w:t>
      </w:r>
      <w:r>
        <w:rPr>
          <w:rFonts w:ascii="宋体" w:hAnsi="宋体"/>
        </w:rPr>
        <w:t>声级</w:t>
      </w:r>
      <w:r>
        <w:rPr>
          <w:rFonts w:ascii="宋体" w:hAnsi="宋体" w:hint="eastAsia"/>
        </w:rPr>
        <w:t>。</w:t>
      </w:r>
    </w:p>
    <w:p w:rsidR="004E3021" w:rsidRDefault="00606E48">
      <w:pPr>
        <w:ind w:firstLine="480"/>
      </w:pPr>
      <w:r>
        <w:rPr>
          <w:rFonts w:ascii="宋体" w:hAnsi="宋体" w:hint="eastAsia"/>
        </w:rPr>
        <w:t>（</w:t>
      </w:r>
      <w:r>
        <w:rPr>
          <w:rFonts w:hint="eastAsia"/>
        </w:rPr>
        <w:t>3</w:t>
      </w:r>
      <w:r>
        <w:rPr>
          <w:rFonts w:ascii="宋体" w:hAnsi="宋体" w:hint="eastAsia"/>
        </w:rPr>
        <w:t>）监测时间和频次</w:t>
      </w:r>
    </w:p>
    <w:p w:rsidR="004E3021" w:rsidRDefault="00606E48">
      <w:pPr>
        <w:ind w:firstLine="480"/>
      </w:pPr>
      <w:r>
        <w:rPr>
          <w:rFonts w:hint="eastAsia"/>
        </w:rPr>
        <w:t>2</w:t>
      </w:r>
      <w:r>
        <w:t>02</w:t>
      </w:r>
      <w:r w:rsidR="00A813A8">
        <w:t>5</w:t>
      </w:r>
      <w:r>
        <w:rPr>
          <w:rFonts w:ascii="宋体" w:hAnsi="宋体"/>
        </w:rPr>
        <w:t>年</w:t>
      </w:r>
      <w:r>
        <w:rPr>
          <w:rFonts w:hint="eastAsia"/>
        </w:rPr>
        <w:t>1</w:t>
      </w:r>
      <w:r>
        <w:t>1.</w:t>
      </w:r>
      <w:r w:rsidR="00A813A8">
        <w:t>15</w:t>
      </w:r>
      <w:r>
        <w:rPr>
          <w:rFonts w:ascii="宋体" w:hAnsi="宋体"/>
        </w:rPr>
        <w:t>日</w:t>
      </w:r>
      <w:r>
        <w:rPr>
          <w:rFonts w:hint="eastAsia"/>
        </w:rPr>
        <w:t>~</w:t>
      </w:r>
      <w:r>
        <w:t>202</w:t>
      </w:r>
      <w:r w:rsidR="00A813A8">
        <w:t>5</w:t>
      </w:r>
      <w:r>
        <w:rPr>
          <w:rFonts w:ascii="宋体" w:hAnsi="宋体"/>
        </w:rPr>
        <w:t>年</w:t>
      </w:r>
      <w:r>
        <w:rPr>
          <w:rFonts w:hint="eastAsia"/>
        </w:rPr>
        <w:t>11</w:t>
      </w:r>
      <w:r>
        <w:t>.</w:t>
      </w:r>
      <w:r w:rsidR="00A813A8">
        <w:t>16</w:t>
      </w:r>
      <w:r>
        <w:rPr>
          <w:rFonts w:ascii="宋体" w:hAnsi="宋体"/>
        </w:rPr>
        <w:t>日</w:t>
      </w:r>
      <w:r>
        <w:rPr>
          <w:rFonts w:ascii="宋体" w:hAnsi="宋体" w:hint="eastAsia"/>
        </w:rPr>
        <w:t>，</w:t>
      </w:r>
      <w:r>
        <w:rPr>
          <w:rFonts w:ascii="宋体" w:hAnsi="宋体"/>
        </w:rPr>
        <w:t>连续监测</w:t>
      </w:r>
      <w:r>
        <w:rPr>
          <w:rFonts w:hint="eastAsia"/>
        </w:rPr>
        <w:t>2</w:t>
      </w:r>
      <w:r>
        <w:rPr>
          <w:rFonts w:ascii="宋体" w:hAnsi="宋体" w:hint="eastAsia"/>
        </w:rPr>
        <w:t>天，每天昼夜各监测一次。</w:t>
      </w:r>
    </w:p>
    <w:p w:rsidR="004E3021" w:rsidRDefault="00606E48">
      <w:pPr>
        <w:ind w:firstLine="480"/>
      </w:pPr>
      <w:r>
        <w:rPr>
          <w:rFonts w:ascii="宋体" w:hAnsi="宋体" w:hint="eastAsia"/>
        </w:rPr>
        <w:t>（</w:t>
      </w:r>
      <w:r>
        <w:rPr>
          <w:rFonts w:hint="eastAsia"/>
        </w:rPr>
        <w:t>4</w:t>
      </w:r>
      <w:r>
        <w:rPr>
          <w:rFonts w:ascii="宋体" w:hAnsi="宋体" w:hint="eastAsia"/>
        </w:rPr>
        <w:t>）监测方法</w:t>
      </w:r>
    </w:p>
    <w:p w:rsidR="004E3021" w:rsidRDefault="00606E48">
      <w:pPr>
        <w:ind w:firstLine="480"/>
      </w:pPr>
      <w:r>
        <w:rPr>
          <w:rFonts w:ascii="宋体" w:hAnsi="宋体"/>
        </w:rPr>
        <w:t>监测方法按</w:t>
      </w:r>
      <w:r>
        <w:rPr>
          <w:rFonts w:ascii="宋体" w:hAnsi="宋体" w:hint="eastAsia"/>
        </w:rPr>
        <w:t>《声环境质量标准》（</w:t>
      </w:r>
      <w:r>
        <w:rPr>
          <w:rFonts w:hint="eastAsia"/>
        </w:rPr>
        <w:t>G</w:t>
      </w:r>
      <w:r>
        <w:t>B3096-2008</w:t>
      </w:r>
      <w:r>
        <w:rPr>
          <w:rFonts w:ascii="宋体" w:hAnsi="宋体" w:hint="eastAsia"/>
        </w:rPr>
        <w:t>）、《工业企业厂界噪声环境排放</w:t>
      </w:r>
      <w:r>
        <w:rPr>
          <w:rFonts w:ascii="宋体" w:hAnsi="宋体" w:hint="eastAsia"/>
        </w:rPr>
        <w:lastRenderedPageBreak/>
        <w:t>标准》（</w:t>
      </w:r>
      <w:r>
        <w:rPr>
          <w:rFonts w:hint="eastAsia"/>
        </w:rPr>
        <w:t>G</w:t>
      </w:r>
      <w:r>
        <w:t>B12348-2008</w:t>
      </w:r>
      <w:r>
        <w:rPr>
          <w:rFonts w:ascii="宋体" w:hAnsi="宋体" w:hint="eastAsia"/>
        </w:rPr>
        <w:t>）执行。</w:t>
      </w:r>
    </w:p>
    <w:p w:rsidR="004E3021" w:rsidRDefault="00606E48">
      <w:pPr>
        <w:ind w:firstLine="480"/>
      </w:pPr>
      <w:r>
        <w:rPr>
          <w:rFonts w:ascii="宋体" w:hAnsi="宋体" w:hint="eastAsia"/>
        </w:rPr>
        <w:t>（</w:t>
      </w:r>
      <w:r>
        <w:rPr>
          <w:rFonts w:hint="eastAsia"/>
        </w:rPr>
        <w:t>5</w:t>
      </w:r>
      <w:r>
        <w:rPr>
          <w:rFonts w:ascii="宋体" w:hAnsi="宋体" w:hint="eastAsia"/>
        </w:rPr>
        <w:t>）监测结果与评价</w:t>
      </w:r>
    </w:p>
    <w:p w:rsidR="004E3021" w:rsidRDefault="00606E48">
      <w:pPr>
        <w:ind w:firstLine="480"/>
      </w:pPr>
      <w:r>
        <w:rPr>
          <w:rFonts w:ascii="宋体" w:hAnsi="宋体"/>
        </w:rPr>
        <w:t>声环境质量现状监测结果见表</w:t>
      </w:r>
      <w:r>
        <w:rPr>
          <w:rFonts w:hint="eastAsia"/>
        </w:rPr>
        <w:t>4</w:t>
      </w:r>
      <w:r>
        <w:t>.2.3-2</w:t>
      </w:r>
      <w:r>
        <w:rPr>
          <w:rFonts w:ascii="宋体" w:hAnsi="宋体" w:hint="eastAsia"/>
        </w:rPr>
        <w:t>。</w:t>
      </w:r>
    </w:p>
    <w:p w:rsidR="004E3021" w:rsidRDefault="00606E48">
      <w:pPr>
        <w:pStyle w:val="afffff4"/>
        <w:ind w:firstLine="480"/>
      </w:pPr>
      <w:r>
        <w:rPr>
          <w:rFonts w:ascii="黑体" w:hAnsi="黑体"/>
        </w:rPr>
        <w:t>表</w:t>
      </w:r>
      <w:r>
        <w:rPr>
          <w:rFonts w:hint="eastAsia"/>
        </w:rPr>
        <w:t>4</w:t>
      </w:r>
      <w:r>
        <w:t xml:space="preserve">.2.3-2 </w:t>
      </w:r>
      <w:r>
        <w:rPr>
          <w:rFonts w:ascii="黑体" w:hAnsi="黑体"/>
        </w:rPr>
        <w:t>声环境现状监测结果表</w:t>
      </w:r>
      <w:r>
        <w:rPr>
          <w:rFonts w:hint="eastAsia"/>
        </w:rPr>
        <w:t xml:space="preserve"> </w:t>
      </w:r>
      <w:r>
        <w:rPr>
          <w:rFonts w:ascii="黑体" w:hAnsi="黑体" w:hint="eastAsia"/>
        </w:rPr>
        <w:t>单位：</w:t>
      </w:r>
      <w:r>
        <w:rPr>
          <w:rFonts w:hint="eastAsia"/>
        </w:rPr>
        <w:t>d</w:t>
      </w:r>
      <w:r>
        <w:t>B</w:t>
      </w:r>
      <w:r>
        <w:rPr>
          <w:rFonts w:ascii="黑体" w:hAnsi="黑体" w:hint="eastAsia"/>
        </w:rPr>
        <w:t>（</w:t>
      </w:r>
      <w:r>
        <w:rPr>
          <w:rFonts w:hint="eastAsia"/>
        </w:rPr>
        <w:t>A</w:t>
      </w:r>
      <w:r>
        <w:rPr>
          <w:rFonts w:ascii="黑体" w:hAnsi="黑体" w:hint="eastAsia"/>
        </w:rPr>
        <w:t>）</w:t>
      </w:r>
    </w:p>
    <w:tbl>
      <w:tblPr>
        <w:tblW w:w="9342" w:type="dxa"/>
        <w:jc w:val="center"/>
        <w:tblBorders>
          <w:top w:val="single" w:sz="12" w:space="0" w:color="auto"/>
          <w:bottom w:val="single" w:sz="12" w:space="0" w:color="auto"/>
          <w:insideH w:val="single" w:sz="4" w:space="0" w:color="auto"/>
          <w:insideV w:val="single" w:sz="2" w:space="0" w:color="auto"/>
        </w:tblBorders>
        <w:tblLayout w:type="fixed"/>
        <w:tblLook w:val="04A0" w:firstRow="1" w:lastRow="0" w:firstColumn="1" w:lastColumn="0" w:noHBand="0" w:noVBand="1"/>
      </w:tblPr>
      <w:tblGrid>
        <w:gridCol w:w="1276"/>
        <w:gridCol w:w="2288"/>
        <w:gridCol w:w="1444"/>
        <w:gridCol w:w="1445"/>
        <w:gridCol w:w="1444"/>
        <w:gridCol w:w="1445"/>
      </w:tblGrid>
      <w:tr w:rsidR="00A813A8" w:rsidRPr="00A813A8" w:rsidTr="009F1962">
        <w:trPr>
          <w:trHeight w:val="425"/>
          <w:jc w:val="center"/>
        </w:trPr>
        <w:tc>
          <w:tcPr>
            <w:tcW w:w="1276" w:type="dxa"/>
            <w:vMerge w:val="restart"/>
            <w:vAlign w:val="center"/>
          </w:tcPr>
          <w:p w:rsidR="00A813A8" w:rsidRPr="006D5DB1" w:rsidRDefault="00A813A8" w:rsidP="00A813A8">
            <w:pPr>
              <w:pStyle w:val="afffffff2"/>
              <w:rPr>
                <w:b/>
                <w:sz w:val="21"/>
                <w:szCs w:val="21"/>
              </w:rPr>
            </w:pPr>
            <w:r w:rsidRPr="006D5DB1">
              <w:rPr>
                <w:b/>
                <w:sz w:val="21"/>
                <w:szCs w:val="21"/>
              </w:rPr>
              <w:t>点位编号</w:t>
            </w:r>
          </w:p>
        </w:tc>
        <w:tc>
          <w:tcPr>
            <w:tcW w:w="2288" w:type="dxa"/>
            <w:vMerge w:val="restart"/>
            <w:vAlign w:val="center"/>
          </w:tcPr>
          <w:p w:rsidR="00A813A8" w:rsidRPr="006D5DB1" w:rsidRDefault="00A813A8" w:rsidP="00A813A8">
            <w:pPr>
              <w:pStyle w:val="afffffff2"/>
              <w:rPr>
                <w:b/>
                <w:sz w:val="21"/>
                <w:szCs w:val="21"/>
              </w:rPr>
            </w:pPr>
            <w:r w:rsidRPr="006D5DB1">
              <w:rPr>
                <w:b/>
                <w:sz w:val="21"/>
                <w:szCs w:val="21"/>
              </w:rPr>
              <w:t>监测点位</w:t>
            </w:r>
          </w:p>
        </w:tc>
        <w:tc>
          <w:tcPr>
            <w:tcW w:w="2889" w:type="dxa"/>
            <w:gridSpan w:val="2"/>
          </w:tcPr>
          <w:p w:rsidR="00A813A8" w:rsidRPr="006D5DB1" w:rsidRDefault="00A813A8" w:rsidP="00A813A8">
            <w:pPr>
              <w:spacing w:line="360" w:lineRule="exact"/>
              <w:ind w:firstLineChars="0" w:firstLine="0"/>
              <w:jc w:val="center"/>
              <w:rPr>
                <w:b/>
                <w:sz w:val="21"/>
                <w:szCs w:val="21"/>
              </w:rPr>
            </w:pPr>
            <w:r w:rsidRPr="006D5DB1">
              <w:rPr>
                <w:b/>
                <w:sz w:val="21"/>
                <w:szCs w:val="21"/>
              </w:rPr>
              <w:t>2025.11.15</w:t>
            </w:r>
          </w:p>
        </w:tc>
        <w:tc>
          <w:tcPr>
            <w:tcW w:w="2889" w:type="dxa"/>
            <w:gridSpan w:val="2"/>
          </w:tcPr>
          <w:p w:rsidR="00A813A8" w:rsidRPr="006D5DB1" w:rsidRDefault="00A813A8" w:rsidP="00A813A8">
            <w:pPr>
              <w:spacing w:line="360" w:lineRule="exact"/>
              <w:ind w:firstLineChars="0" w:firstLine="0"/>
              <w:jc w:val="center"/>
              <w:rPr>
                <w:b/>
                <w:sz w:val="21"/>
                <w:szCs w:val="21"/>
              </w:rPr>
            </w:pPr>
            <w:r w:rsidRPr="006D5DB1">
              <w:rPr>
                <w:b/>
                <w:sz w:val="21"/>
                <w:szCs w:val="21"/>
              </w:rPr>
              <w:t>2025.11.16</w:t>
            </w:r>
          </w:p>
        </w:tc>
      </w:tr>
      <w:tr w:rsidR="004E3021" w:rsidRPr="00A813A8" w:rsidTr="00A813A8">
        <w:trPr>
          <w:trHeight w:val="425"/>
          <w:jc w:val="center"/>
        </w:trPr>
        <w:tc>
          <w:tcPr>
            <w:tcW w:w="1276" w:type="dxa"/>
            <w:vMerge/>
            <w:vAlign w:val="center"/>
          </w:tcPr>
          <w:p w:rsidR="004E3021" w:rsidRPr="006D5DB1" w:rsidRDefault="004E3021">
            <w:pPr>
              <w:pStyle w:val="afffffff2"/>
              <w:rPr>
                <w:b/>
                <w:sz w:val="21"/>
                <w:szCs w:val="21"/>
              </w:rPr>
            </w:pPr>
          </w:p>
        </w:tc>
        <w:tc>
          <w:tcPr>
            <w:tcW w:w="2288" w:type="dxa"/>
            <w:vMerge/>
            <w:vAlign w:val="center"/>
          </w:tcPr>
          <w:p w:rsidR="004E3021" w:rsidRPr="006D5DB1" w:rsidRDefault="004E3021">
            <w:pPr>
              <w:pStyle w:val="afffffff2"/>
              <w:rPr>
                <w:b/>
                <w:sz w:val="21"/>
                <w:szCs w:val="21"/>
              </w:rPr>
            </w:pPr>
          </w:p>
        </w:tc>
        <w:tc>
          <w:tcPr>
            <w:tcW w:w="1444" w:type="dxa"/>
            <w:vAlign w:val="center"/>
          </w:tcPr>
          <w:p w:rsidR="004E3021" w:rsidRPr="006D5DB1" w:rsidRDefault="00606E48">
            <w:pPr>
              <w:pStyle w:val="afffffff2"/>
              <w:rPr>
                <w:b/>
                <w:sz w:val="21"/>
                <w:szCs w:val="21"/>
              </w:rPr>
            </w:pPr>
            <w:r w:rsidRPr="006D5DB1">
              <w:rPr>
                <w:b/>
                <w:sz w:val="21"/>
                <w:szCs w:val="21"/>
              </w:rPr>
              <w:t>昼间</w:t>
            </w:r>
            <w:r w:rsidRPr="006D5DB1">
              <w:rPr>
                <w:b/>
                <w:sz w:val="21"/>
                <w:szCs w:val="21"/>
              </w:rPr>
              <w:t>Leq</w:t>
            </w:r>
          </w:p>
        </w:tc>
        <w:tc>
          <w:tcPr>
            <w:tcW w:w="1445" w:type="dxa"/>
            <w:vAlign w:val="center"/>
          </w:tcPr>
          <w:p w:rsidR="004E3021" w:rsidRPr="006D5DB1" w:rsidRDefault="00606E48">
            <w:pPr>
              <w:pStyle w:val="afffffff2"/>
              <w:rPr>
                <w:b/>
                <w:sz w:val="21"/>
                <w:szCs w:val="21"/>
              </w:rPr>
            </w:pPr>
            <w:r w:rsidRPr="006D5DB1">
              <w:rPr>
                <w:b/>
                <w:sz w:val="21"/>
                <w:szCs w:val="21"/>
              </w:rPr>
              <w:t>夜间</w:t>
            </w:r>
            <w:r w:rsidRPr="006D5DB1">
              <w:rPr>
                <w:b/>
                <w:sz w:val="21"/>
                <w:szCs w:val="21"/>
              </w:rPr>
              <w:t>Leq</w:t>
            </w:r>
          </w:p>
        </w:tc>
        <w:tc>
          <w:tcPr>
            <w:tcW w:w="1444" w:type="dxa"/>
            <w:vAlign w:val="center"/>
          </w:tcPr>
          <w:p w:rsidR="004E3021" w:rsidRPr="006D5DB1" w:rsidRDefault="00606E48">
            <w:pPr>
              <w:pStyle w:val="afffffff2"/>
              <w:rPr>
                <w:b/>
                <w:sz w:val="21"/>
                <w:szCs w:val="21"/>
              </w:rPr>
            </w:pPr>
            <w:r w:rsidRPr="006D5DB1">
              <w:rPr>
                <w:b/>
                <w:sz w:val="21"/>
                <w:szCs w:val="21"/>
              </w:rPr>
              <w:t>昼间</w:t>
            </w:r>
            <w:r w:rsidRPr="006D5DB1">
              <w:rPr>
                <w:b/>
                <w:sz w:val="21"/>
                <w:szCs w:val="21"/>
              </w:rPr>
              <w:t>Leq</w:t>
            </w:r>
          </w:p>
        </w:tc>
        <w:tc>
          <w:tcPr>
            <w:tcW w:w="1445" w:type="dxa"/>
            <w:vAlign w:val="center"/>
          </w:tcPr>
          <w:p w:rsidR="004E3021" w:rsidRPr="006D5DB1" w:rsidRDefault="00606E48">
            <w:pPr>
              <w:pStyle w:val="afffffff2"/>
              <w:rPr>
                <w:b/>
                <w:sz w:val="21"/>
                <w:szCs w:val="21"/>
              </w:rPr>
            </w:pPr>
            <w:r w:rsidRPr="006D5DB1">
              <w:rPr>
                <w:b/>
                <w:sz w:val="21"/>
                <w:szCs w:val="21"/>
              </w:rPr>
              <w:t>夜间</w:t>
            </w:r>
            <w:r w:rsidRPr="006D5DB1">
              <w:rPr>
                <w:b/>
                <w:sz w:val="21"/>
                <w:szCs w:val="21"/>
              </w:rPr>
              <w:t>Leq</w:t>
            </w:r>
          </w:p>
        </w:tc>
      </w:tr>
      <w:tr w:rsidR="00A813A8" w:rsidRPr="00A813A8">
        <w:trPr>
          <w:trHeight w:val="425"/>
          <w:jc w:val="center"/>
        </w:trPr>
        <w:tc>
          <w:tcPr>
            <w:tcW w:w="1276" w:type="dxa"/>
            <w:vAlign w:val="center"/>
          </w:tcPr>
          <w:p w:rsidR="00A813A8" w:rsidRPr="00A813A8" w:rsidRDefault="00A813A8" w:rsidP="00A813A8">
            <w:pPr>
              <w:pStyle w:val="afffffff2"/>
              <w:rPr>
                <w:sz w:val="21"/>
                <w:szCs w:val="21"/>
              </w:rPr>
            </w:pPr>
            <w:r w:rsidRPr="00A813A8">
              <w:rPr>
                <w:sz w:val="21"/>
                <w:szCs w:val="21"/>
              </w:rPr>
              <w:t xml:space="preserve">N1 </w:t>
            </w:r>
          </w:p>
        </w:tc>
        <w:tc>
          <w:tcPr>
            <w:tcW w:w="2288" w:type="dxa"/>
            <w:vAlign w:val="center"/>
          </w:tcPr>
          <w:p w:rsidR="00A813A8" w:rsidRPr="00A813A8" w:rsidRDefault="00A813A8" w:rsidP="00A813A8">
            <w:pPr>
              <w:pStyle w:val="afffffff2"/>
              <w:rPr>
                <w:sz w:val="21"/>
                <w:szCs w:val="21"/>
              </w:rPr>
            </w:pPr>
            <w:r w:rsidRPr="00A813A8">
              <w:rPr>
                <w:rFonts w:hint="eastAsia"/>
                <w:sz w:val="21"/>
                <w:szCs w:val="21"/>
              </w:rPr>
              <w:t>项目北厂界</w:t>
            </w:r>
          </w:p>
        </w:tc>
        <w:tc>
          <w:tcPr>
            <w:tcW w:w="1444" w:type="dxa"/>
            <w:vAlign w:val="center"/>
          </w:tcPr>
          <w:p w:rsidR="00A813A8" w:rsidRPr="00A813A8" w:rsidRDefault="00A813A8" w:rsidP="00A813A8">
            <w:pPr>
              <w:pStyle w:val="afffffff2"/>
              <w:rPr>
                <w:sz w:val="21"/>
                <w:szCs w:val="21"/>
              </w:rPr>
            </w:pPr>
            <w:r w:rsidRPr="00A813A8">
              <w:rPr>
                <w:rFonts w:hint="eastAsia"/>
                <w:sz w:val="21"/>
                <w:szCs w:val="21"/>
              </w:rPr>
              <w:t>59</w:t>
            </w:r>
          </w:p>
        </w:tc>
        <w:tc>
          <w:tcPr>
            <w:tcW w:w="1445" w:type="dxa"/>
            <w:vAlign w:val="center"/>
          </w:tcPr>
          <w:p w:rsidR="00A813A8" w:rsidRPr="00A813A8" w:rsidRDefault="00A813A8" w:rsidP="00A813A8">
            <w:pPr>
              <w:pStyle w:val="afffffff2"/>
              <w:rPr>
                <w:sz w:val="21"/>
                <w:szCs w:val="21"/>
              </w:rPr>
            </w:pPr>
            <w:r w:rsidRPr="00A813A8">
              <w:rPr>
                <w:rFonts w:hint="eastAsia"/>
                <w:sz w:val="21"/>
                <w:szCs w:val="21"/>
              </w:rPr>
              <w:t>50</w:t>
            </w:r>
          </w:p>
        </w:tc>
        <w:tc>
          <w:tcPr>
            <w:tcW w:w="1444" w:type="dxa"/>
            <w:vAlign w:val="center"/>
          </w:tcPr>
          <w:p w:rsidR="00A813A8" w:rsidRPr="00A813A8" w:rsidRDefault="00A813A8" w:rsidP="00A813A8">
            <w:pPr>
              <w:pStyle w:val="afffffff2"/>
              <w:rPr>
                <w:sz w:val="21"/>
                <w:szCs w:val="21"/>
              </w:rPr>
            </w:pPr>
            <w:r w:rsidRPr="00A813A8">
              <w:rPr>
                <w:rFonts w:hint="eastAsia"/>
                <w:sz w:val="21"/>
                <w:szCs w:val="21"/>
              </w:rPr>
              <w:t>56</w:t>
            </w:r>
          </w:p>
        </w:tc>
        <w:tc>
          <w:tcPr>
            <w:tcW w:w="1445" w:type="dxa"/>
            <w:vAlign w:val="center"/>
          </w:tcPr>
          <w:p w:rsidR="00A813A8" w:rsidRPr="00A813A8" w:rsidRDefault="00A813A8" w:rsidP="00A813A8">
            <w:pPr>
              <w:pStyle w:val="afffffff2"/>
              <w:rPr>
                <w:sz w:val="21"/>
                <w:szCs w:val="21"/>
              </w:rPr>
            </w:pPr>
            <w:r w:rsidRPr="00A813A8">
              <w:rPr>
                <w:rFonts w:hint="eastAsia"/>
                <w:sz w:val="21"/>
                <w:szCs w:val="21"/>
              </w:rPr>
              <w:t>51</w:t>
            </w:r>
          </w:p>
        </w:tc>
      </w:tr>
      <w:tr w:rsidR="00A813A8" w:rsidRPr="00A813A8">
        <w:trPr>
          <w:trHeight w:val="425"/>
          <w:jc w:val="center"/>
        </w:trPr>
        <w:tc>
          <w:tcPr>
            <w:tcW w:w="1276" w:type="dxa"/>
            <w:vAlign w:val="center"/>
          </w:tcPr>
          <w:p w:rsidR="00A813A8" w:rsidRPr="00A813A8" w:rsidRDefault="00A813A8" w:rsidP="00A813A8">
            <w:pPr>
              <w:pStyle w:val="afffffff2"/>
              <w:rPr>
                <w:sz w:val="21"/>
                <w:szCs w:val="21"/>
              </w:rPr>
            </w:pPr>
            <w:r w:rsidRPr="00A813A8">
              <w:rPr>
                <w:sz w:val="21"/>
                <w:szCs w:val="21"/>
              </w:rPr>
              <w:t xml:space="preserve">N2 </w:t>
            </w:r>
          </w:p>
        </w:tc>
        <w:tc>
          <w:tcPr>
            <w:tcW w:w="2288" w:type="dxa"/>
            <w:vAlign w:val="center"/>
          </w:tcPr>
          <w:p w:rsidR="00A813A8" w:rsidRPr="00A813A8" w:rsidRDefault="00A813A8" w:rsidP="00A813A8">
            <w:pPr>
              <w:pStyle w:val="afffffff2"/>
              <w:rPr>
                <w:sz w:val="21"/>
                <w:szCs w:val="21"/>
              </w:rPr>
            </w:pPr>
            <w:r w:rsidRPr="00A813A8">
              <w:rPr>
                <w:rFonts w:hint="eastAsia"/>
                <w:sz w:val="21"/>
                <w:szCs w:val="21"/>
              </w:rPr>
              <w:t>项目东厂界</w:t>
            </w:r>
          </w:p>
        </w:tc>
        <w:tc>
          <w:tcPr>
            <w:tcW w:w="1444" w:type="dxa"/>
            <w:vAlign w:val="center"/>
          </w:tcPr>
          <w:p w:rsidR="00A813A8" w:rsidRPr="00A813A8" w:rsidRDefault="00A813A8" w:rsidP="00A813A8">
            <w:pPr>
              <w:pStyle w:val="afffffff2"/>
              <w:rPr>
                <w:sz w:val="21"/>
                <w:szCs w:val="21"/>
              </w:rPr>
            </w:pPr>
            <w:r w:rsidRPr="00A813A8">
              <w:rPr>
                <w:rFonts w:hint="eastAsia"/>
                <w:sz w:val="21"/>
                <w:szCs w:val="21"/>
              </w:rPr>
              <w:t>54</w:t>
            </w:r>
          </w:p>
        </w:tc>
        <w:tc>
          <w:tcPr>
            <w:tcW w:w="1445" w:type="dxa"/>
            <w:vAlign w:val="center"/>
          </w:tcPr>
          <w:p w:rsidR="00A813A8" w:rsidRPr="00A813A8" w:rsidRDefault="00A813A8" w:rsidP="00A813A8">
            <w:pPr>
              <w:pStyle w:val="afffffff2"/>
              <w:rPr>
                <w:sz w:val="21"/>
                <w:szCs w:val="21"/>
              </w:rPr>
            </w:pPr>
            <w:r w:rsidRPr="00A813A8">
              <w:rPr>
                <w:rFonts w:hint="eastAsia"/>
                <w:sz w:val="21"/>
                <w:szCs w:val="21"/>
              </w:rPr>
              <w:t>50</w:t>
            </w:r>
          </w:p>
        </w:tc>
        <w:tc>
          <w:tcPr>
            <w:tcW w:w="1444" w:type="dxa"/>
            <w:vAlign w:val="center"/>
          </w:tcPr>
          <w:p w:rsidR="00A813A8" w:rsidRPr="00A813A8" w:rsidRDefault="00A813A8" w:rsidP="00A813A8">
            <w:pPr>
              <w:pStyle w:val="afffffff2"/>
              <w:rPr>
                <w:sz w:val="21"/>
                <w:szCs w:val="21"/>
              </w:rPr>
            </w:pPr>
            <w:r w:rsidRPr="00A813A8">
              <w:rPr>
                <w:rFonts w:hint="eastAsia"/>
                <w:sz w:val="21"/>
                <w:szCs w:val="21"/>
              </w:rPr>
              <w:t>53</w:t>
            </w:r>
          </w:p>
        </w:tc>
        <w:tc>
          <w:tcPr>
            <w:tcW w:w="1445" w:type="dxa"/>
            <w:vAlign w:val="center"/>
          </w:tcPr>
          <w:p w:rsidR="00A813A8" w:rsidRPr="00A813A8" w:rsidRDefault="00A813A8" w:rsidP="00A813A8">
            <w:pPr>
              <w:pStyle w:val="afffffff2"/>
              <w:rPr>
                <w:sz w:val="21"/>
                <w:szCs w:val="21"/>
              </w:rPr>
            </w:pPr>
            <w:r w:rsidRPr="00A813A8">
              <w:rPr>
                <w:rFonts w:hint="eastAsia"/>
                <w:sz w:val="21"/>
                <w:szCs w:val="21"/>
              </w:rPr>
              <w:t>50</w:t>
            </w:r>
          </w:p>
        </w:tc>
      </w:tr>
      <w:tr w:rsidR="00A813A8" w:rsidRPr="00A813A8">
        <w:trPr>
          <w:trHeight w:val="425"/>
          <w:jc w:val="center"/>
        </w:trPr>
        <w:tc>
          <w:tcPr>
            <w:tcW w:w="1276" w:type="dxa"/>
            <w:vAlign w:val="center"/>
          </w:tcPr>
          <w:p w:rsidR="00A813A8" w:rsidRPr="00A813A8" w:rsidRDefault="00A813A8" w:rsidP="00A813A8">
            <w:pPr>
              <w:pStyle w:val="afffffff2"/>
              <w:rPr>
                <w:sz w:val="21"/>
                <w:szCs w:val="21"/>
              </w:rPr>
            </w:pPr>
            <w:r w:rsidRPr="00A813A8">
              <w:rPr>
                <w:sz w:val="21"/>
                <w:szCs w:val="21"/>
              </w:rPr>
              <w:t xml:space="preserve">N3 </w:t>
            </w:r>
          </w:p>
        </w:tc>
        <w:tc>
          <w:tcPr>
            <w:tcW w:w="2288" w:type="dxa"/>
            <w:vAlign w:val="center"/>
          </w:tcPr>
          <w:p w:rsidR="00A813A8" w:rsidRPr="00A813A8" w:rsidRDefault="00A813A8" w:rsidP="00A813A8">
            <w:pPr>
              <w:pStyle w:val="afffffff2"/>
              <w:rPr>
                <w:sz w:val="21"/>
                <w:szCs w:val="21"/>
              </w:rPr>
            </w:pPr>
            <w:r w:rsidRPr="00A813A8">
              <w:rPr>
                <w:rFonts w:hint="eastAsia"/>
                <w:sz w:val="21"/>
                <w:szCs w:val="21"/>
              </w:rPr>
              <w:t>项目南厂界</w:t>
            </w:r>
          </w:p>
        </w:tc>
        <w:tc>
          <w:tcPr>
            <w:tcW w:w="1444" w:type="dxa"/>
            <w:vAlign w:val="center"/>
          </w:tcPr>
          <w:p w:rsidR="00A813A8" w:rsidRPr="00A813A8" w:rsidRDefault="00A813A8" w:rsidP="00A813A8">
            <w:pPr>
              <w:pStyle w:val="afffffff2"/>
              <w:rPr>
                <w:sz w:val="21"/>
                <w:szCs w:val="21"/>
              </w:rPr>
            </w:pPr>
            <w:r w:rsidRPr="00A813A8">
              <w:rPr>
                <w:rFonts w:hint="eastAsia"/>
                <w:sz w:val="21"/>
                <w:szCs w:val="21"/>
              </w:rPr>
              <w:t>51</w:t>
            </w:r>
          </w:p>
        </w:tc>
        <w:tc>
          <w:tcPr>
            <w:tcW w:w="1445" w:type="dxa"/>
            <w:vAlign w:val="center"/>
          </w:tcPr>
          <w:p w:rsidR="00A813A8" w:rsidRPr="00A813A8" w:rsidRDefault="00A813A8" w:rsidP="00A813A8">
            <w:pPr>
              <w:pStyle w:val="afffffff2"/>
              <w:rPr>
                <w:sz w:val="21"/>
                <w:szCs w:val="21"/>
              </w:rPr>
            </w:pPr>
            <w:r w:rsidRPr="00A813A8">
              <w:rPr>
                <w:rFonts w:hint="eastAsia"/>
                <w:sz w:val="21"/>
                <w:szCs w:val="21"/>
              </w:rPr>
              <w:t>50</w:t>
            </w:r>
          </w:p>
        </w:tc>
        <w:tc>
          <w:tcPr>
            <w:tcW w:w="1444" w:type="dxa"/>
            <w:vAlign w:val="center"/>
          </w:tcPr>
          <w:p w:rsidR="00A813A8" w:rsidRPr="00A813A8" w:rsidRDefault="00A813A8" w:rsidP="00A813A8">
            <w:pPr>
              <w:pStyle w:val="afffffff2"/>
              <w:rPr>
                <w:sz w:val="21"/>
                <w:szCs w:val="21"/>
              </w:rPr>
            </w:pPr>
            <w:r w:rsidRPr="00A813A8">
              <w:rPr>
                <w:rFonts w:hint="eastAsia"/>
                <w:sz w:val="21"/>
                <w:szCs w:val="21"/>
              </w:rPr>
              <w:t>46</w:t>
            </w:r>
          </w:p>
        </w:tc>
        <w:tc>
          <w:tcPr>
            <w:tcW w:w="1445" w:type="dxa"/>
            <w:vAlign w:val="center"/>
          </w:tcPr>
          <w:p w:rsidR="00A813A8" w:rsidRPr="00A813A8" w:rsidRDefault="00A813A8" w:rsidP="00A813A8">
            <w:pPr>
              <w:pStyle w:val="afffffff2"/>
              <w:rPr>
                <w:sz w:val="21"/>
                <w:szCs w:val="21"/>
              </w:rPr>
            </w:pPr>
            <w:r w:rsidRPr="00A813A8">
              <w:rPr>
                <w:rFonts w:hint="eastAsia"/>
                <w:sz w:val="21"/>
                <w:szCs w:val="21"/>
              </w:rPr>
              <w:t>47</w:t>
            </w:r>
          </w:p>
        </w:tc>
      </w:tr>
      <w:tr w:rsidR="00A813A8" w:rsidRPr="00A813A8">
        <w:trPr>
          <w:trHeight w:val="425"/>
          <w:jc w:val="center"/>
        </w:trPr>
        <w:tc>
          <w:tcPr>
            <w:tcW w:w="1276" w:type="dxa"/>
            <w:vAlign w:val="center"/>
          </w:tcPr>
          <w:p w:rsidR="00A813A8" w:rsidRPr="00A813A8" w:rsidRDefault="00A813A8" w:rsidP="00A813A8">
            <w:pPr>
              <w:pStyle w:val="afffffff2"/>
              <w:rPr>
                <w:sz w:val="21"/>
                <w:szCs w:val="21"/>
              </w:rPr>
            </w:pPr>
            <w:r w:rsidRPr="00A813A8">
              <w:rPr>
                <w:sz w:val="21"/>
                <w:szCs w:val="21"/>
              </w:rPr>
              <w:t xml:space="preserve">N4 </w:t>
            </w:r>
          </w:p>
        </w:tc>
        <w:tc>
          <w:tcPr>
            <w:tcW w:w="2288" w:type="dxa"/>
            <w:vAlign w:val="center"/>
          </w:tcPr>
          <w:p w:rsidR="00A813A8" w:rsidRPr="00A813A8" w:rsidRDefault="00A813A8" w:rsidP="00A813A8">
            <w:pPr>
              <w:pStyle w:val="afffffff2"/>
              <w:rPr>
                <w:sz w:val="21"/>
                <w:szCs w:val="21"/>
              </w:rPr>
            </w:pPr>
            <w:r w:rsidRPr="00A813A8">
              <w:rPr>
                <w:rFonts w:hint="eastAsia"/>
                <w:sz w:val="21"/>
                <w:szCs w:val="21"/>
              </w:rPr>
              <w:t>项目西厂界</w:t>
            </w:r>
          </w:p>
        </w:tc>
        <w:tc>
          <w:tcPr>
            <w:tcW w:w="1444" w:type="dxa"/>
            <w:vAlign w:val="center"/>
          </w:tcPr>
          <w:p w:rsidR="00A813A8" w:rsidRPr="00A813A8" w:rsidRDefault="00A813A8" w:rsidP="00A813A8">
            <w:pPr>
              <w:pStyle w:val="afffffff2"/>
              <w:rPr>
                <w:sz w:val="21"/>
                <w:szCs w:val="21"/>
              </w:rPr>
            </w:pPr>
            <w:r w:rsidRPr="00A813A8">
              <w:rPr>
                <w:rFonts w:hint="eastAsia"/>
                <w:sz w:val="21"/>
                <w:szCs w:val="21"/>
              </w:rPr>
              <w:t>51</w:t>
            </w:r>
          </w:p>
        </w:tc>
        <w:tc>
          <w:tcPr>
            <w:tcW w:w="1445" w:type="dxa"/>
            <w:vAlign w:val="center"/>
          </w:tcPr>
          <w:p w:rsidR="00A813A8" w:rsidRPr="00A813A8" w:rsidRDefault="00A813A8" w:rsidP="00A813A8">
            <w:pPr>
              <w:pStyle w:val="afffffff2"/>
              <w:rPr>
                <w:sz w:val="21"/>
                <w:szCs w:val="21"/>
              </w:rPr>
            </w:pPr>
            <w:r w:rsidRPr="00A813A8">
              <w:rPr>
                <w:rFonts w:hint="eastAsia"/>
                <w:sz w:val="21"/>
                <w:szCs w:val="21"/>
              </w:rPr>
              <w:t>52</w:t>
            </w:r>
          </w:p>
        </w:tc>
        <w:tc>
          <w:tcPr>
            <w:tcW w:w="1444" w:type="dxa"/>
            <w:vAlign w:val="center"/>
          </w:tcPr>
          <w:p w:rsidR="00A813A8" w:rsidRPr="00A813A8" w:rsidRDefault="00A813A8" w:rsidP="00A813A8">
            <w:pPr>
              <w:pStyle w:val="afffffff2"/>
              <w:rPr>
                <w:sz w:val="21"/>
                <w:szCs w:val="21"/>
              </w:rPr>
            </w:pPr>
            <w:r w:rsidRPr="00A813A8">
              <w:rPr>
                <w:rFonts w:hint="eastAsia"/>
                <w:sz w:val="21"/>
                <w:szCs w:val="21"/>
              </w:rPr>
              <w:t>59</w:t>
            </w:r>
          </w:p>
        </w:tc>
        <w:tc>
          <w:tcPr>
            <w:tcW w:w="1445" w:type="dxa"/>
            <w:vAlign w:val="center"/>
          </w:tcPr>
          <w:p w:rsidR="00A813A8" w:rsidRPr="00A813A8" w:rsidRDefault="00A813A8" w:rsidP="00A813A8">
            <w:pPr>
              <w:pStyle w:val="afffffff2"/>
              <w:rPr>
                <w:sz w:val="21"/>
                <w:szCs w:val="21"/>
              </w:rPr>
            </w:pPr>
            <w:r w:rsidRPr="00A813A8">
              <w:rPr>
                <w:rFonts w:hint="eastAsia"/>
                <w:sz w:val="21"/>
                <w:szCs w:val="21"/>
              </w:rPr>
              <w:t>50</w:t>
            </w:r>
          </w:p>
        </w:tc>
      </w:tr>
      <w:tr w:rsidR="004E3021" w:rsidRPr="00A813A8">
        <w:trPr>
          <w:trHeight w:val="425"/>
          <w:jc w:val="center"/>
        </w:trPr>
        <w:tc>
          <w:tcPr>
            <w:tcW w:w="3564" w:type="dxa"/>
            <w:gridSpan w:val="2"/>
            <w:vAlign w:val="center"/>
          </w:tcPr>
          <w:p w:rsidR="004E3021" w:rsidRPr="00A813A8" w:rsidRDefault="00606E48">
            <w:pPr>
              <w:pStyle w:val="afffffff2"/>
              <w:rPr>
                <w:kern w:val="0"/>
                <w:sz w:val="21"/>
                <w:szCs w:val="21"/>
              </w:rPr>
            </w:pPr>
            <w:r w:rsidRPr="00A813A8">
              <w:rPr>
                <w:sz w:val="21"/>
                <w:szCs w:val="21"/>
              </w:rPr>
              <w:t>标准值</w:t>
            </w:r>
            <w:r w:rsidRPr="00A813A8">
              <w:rPr>
                <w:rFonts w:hint="eastAsia"/>
                <w:sz w:val="21"/>
                <w:szCs w:val="21"/>
              </w:rPr>
              <w:t>（</w:t>
            </w:r>
            <w:r w:rsidRPr="00A813A8">
              <w:rPr>
                <w:rFonts w:hint="eastAsia"/>
                <w:sz w:val="21"/>
                <w:szCs w:val="21"/>
              </w:rPr>
              <w:t>3</w:t>
            </w:r>
            <w:r w:rsidRPr="00A813A8">
              <w:rPr>
                <w:rFonts w:hint="eastAsia"/>
                <w:sz w:val="21"/>
                <w:szCs w:val="21"/>
              </w:rPr>
              <w:t>类）</w:t>
            </w:r>
          </w:p>
        </w:tc>
        <w:tc>
          <w:tcPr>
            <w:tcW w:w="1444" w:type="dxa"/>
            <w:vAlign w:val="center"/>
          </w:tcPr>
          <w:p w:rsidR="004E3021" w:rsidRPr="00A813A8" w:rsidRDefault="00606E48">
            <w:pPr>
              <w:pStyle w:val="afffffff2"/>
              <w:rPr>
                <w:sz w:val="21"/>
                <w:szCs w:val="21"/>
              </w:rPr>
            </w:pPr>
            <w:r w:rsidRPr="00A813A8">
              <w:rPr>
                <w:rFonts w:hint="eastAsia"/>
                <w:kern w:val="0"/>
                <w:sz w:val="21"/>
                <w:szCs w:val="21"/>
              </w:rPr>
              <w:t>≤</w:t>
            </w:r>
            <w:r w:rsidRPr="00A813A8">
              <w:rPr>
                <w:kern w:val="0"/>
                <w:sz w:val="21"/>
                <w:szCs w:val="21"/>
              </w:rPr>
              <w:t>65</w:t>
            </w:r>
          </w:p>
        </w:tc>
        <w:tc>
          <w:tcPr>
            <w:tcW w:w="1445" w:type="dxa"/>
            <w:vAlign w:val="center"/>
          </w:tcPr>
          <w:p w:rsidR="004E3021" w:rsidRPr="00A813A8" w:rsidRDefault="00606E48">
            <w:pPr>
              <w:pStyle w:val="afffffff2"/>
              <w:rPr>
                <w:sz w:val="21"/>
                <w:szCs w:val="21"/>
              </w:rPr>
            </w:pPr>
            <w:r w:rsidRPr="00A813A8">
              <w:rPr>
                <w:rFonts w:hint="eastAsia"/>
                <w:kern w:val="0"/>
                <w:sz w:val="21"/>
                <w:szCs w:val="21"/>
              </w:rPr>
              <w:t>≤</w:t>
            </w:r>
            <w:r w:rsidRPr="00A813A8">
              <w:rPr>
                <w:kern w:val="0"/>
                <w:sz w:val="21"/>
                <w:szCs w:val="21"/>
              </w:rPr>
              <w:t>55</w:t>
            </w:r>
          </w:p>
        </w:tc>
        <w:tc>
          <w:tcPr>
            <w:tcW w:w="1444" w:type="dxa"/>
            <w:vAlign w:val="center"/>
          </w:tcPr>
          <w:p w:rsidR="004E3021" w:rsidRPr="00A813A8" w:rsidRDefault="00606E48">
            <w:pPr>
              <w:pStyle w:val="afffffff2"/>
              <w:rPr>
                <w:sz w:val="21"/>
                <w:szCs w:val="21"/>
              </w:rPr>
            </w:pPr>
            <w:r w:rsidRPr="00A813A8">
              <w:rPr>
                <w:rFonts w:hint="eastAsia"/>
                <w:kern w:val="0"/>
                <w:sz w:val="21"/>
                <w:szCs w:val="21"/>
              </w:rPr>
              <w:t>≤</w:t>
            </w:r>
            <w:r w:rsidRPr="00A813A8">
              <w:rPr>
                <w:kern w:val="0"/>
                <w:sz w:val="21"/>
                <w:szCs w:val="21"/>
              </w:rPr>
              <w:t>65</w:t>
            </w:r>
          </w:p>
        </w:tc>
        <w:tc>
          <w:tcPr>
            <w:tcW w:w="1445" w:type="dxa"/>
            <w:vAlign w:val="center"/>
          </w:tcPr>
          <w:p w:rsidR="004E3021" w:rsidRPr="00A813A8" w:rsidRDefault="00606E48">
            <w:pPr>
              <w:pStyle w:val="afffffff2"/>
              <w:rPr>
                <w:sz w:val="21"/>
                <w:szCs w:val="21"/>
              </w:rPr>
            </w:pPr>
            <w:r w:rsidRPr="00A813A8">
              <w:rPr>
                <w:rFonts w:hint="eastAsia"/>
                <w:kern w:val="0"/>
                <w:sz w:val="21"/>
                <w:szCs w:val="21"/>
              </w:rPr>
              <w:t>≤</w:t>
            </w:r>
            <w:r w:rsidRPr="00A813A8">
              <w:rPr>
                <w:kern w:val="0"/>
                <w:sz w:val="21"/>
                <w:szCs w:val="21"/>
              </w:rPr>
              <w:t>55</w:t>
            </w:r>
          </w:p>
        </w:tc>
      </w:tr>
    </w:tbl>
    <w:p w:rsidR="004E3021" w:rsidRDefault="00606E48">
      <w:pPr>
        <w:ind w:firstLine="480"/>
      </w:pPr>
      <w:r>
        <w:rPr>
          <w:rFonts w:ascii="宋体" w:hAnsi="宋体" w:hint="eastAsia"/>
        </w:rPr>
        <w:t>由表</w:t>
      </w:r>
      <w:r>
        <w:rPr>
          <w:rFonts w:hint="eastAsia"/>
        </w:rPr>
        <w:t>4</w:t>
      </w:r>
      <w:r>
        <w:t>.2.3-2</w:t>
      </w:r>
      <w:r>
        <w:rPr>
          <w:rFonts w:ascii="宋体" w:hAnsi="宋体"/>
        </w:rPr>
        <w:t>可知</w:t>
      </w:r>
      <w:r>
        <w:rPr>
          <w:rFonts w:ascii="宋体" w:hAnsi="宋体" w:hint="eastAsia"/>
        </w:rPr>
        <w:t>，</w:t>
      </w:r>
      <w:r>
        <w:rPr>
          <w:rFonts w:ascii="宋体" w:hAnsi="宋体"/>
        </w:rPr>
        <w:t>监测期间厂界各点位现状监测结果均可达到</w:t>
      </w:r>
      <w:r>
        <w:rPr>
          <w:rFonts w:ascii="宋体" w:hAnsi="宋体" w:hint="eastAsia"/>
        </w:rPr>
        <w:t>《声环境质量标准》（</w:t>
      </w:r>
      <w:r>
        <w:rPr>
          <w:rFonts w:hint="eastAsia"/>
        </w:rPr>
        <w:t>G</w:t>
      </w:r>
      <w:r>
        <w:t>B3096-2008</w:t>
      </w:r>
      <w:r>
        <w:rPr>
          <w:rFonts w:ascii="宋体" w:hAnsi="宋体" w:hint="eastAsia"/>
        </w:rPr>
        <w:t>）中的</w:t>
      </w:r>
      <w:r>
        <w:rPr>
          <w:rFonts w:hint="eastAsia"/>
        </w:rPr>
        <w:t>3</w:t>
      </w:r>
      <w:r>
        <w:rPr>
          <w:rFonts w:ascii="宋体" w:hAnsi="宋体" w:hint="eastAsia"/>
        </w:rPr>
        <w:t>类标准要求。</w:t>
      </w:r>
    </w:p>
    <w:p w:rsidR="004E3021" w:rsidRDefault="00606E48">
      <w:pPr>
        <w:pStyle w:val="afffffffffffffffff4"/>
      </w:pPr>
      <w:bookmarkStart w:id="306" w:name="_Toc100784021"/>
      <w:bookmarkStart w:id="307" w:name="_Toc108662630"/>
      <w:bookmarkStart w:id="308" w:name="_Toc101135853"/>
      <w:bookmarkStart w:id="309" w:name="_Toc221088782"/>
      <w:bookmarkStart w:id="310" w:name="_Toc221500997"/>
      <w:r>
        <w:rPr>
          <w:rFonts w:hint="eastAsia"/>
        </w:rPr>
        <w:t>4</w:t>
      </w:r>
      <w:r>
        <w:t>.2.4</w:t>
      </w:r>
      <w:r>
        <w:t>地下水质量现状</w:t>
      </w:r>
      <w:bookmarkEnd w:id="306"/>
      <w:bookmarkEnd w:id="307"/>
      <w:bookmarkEnd w:id="308"/>
      <w:bookmarkEnd w:id="309"/>
      <w:bookmarkEnd w:id="310"/>
    </w:p>
    <w:p w:rsidR="004E3021" w:rsidRDefault="00606E48">
      <w:pPr>
        <w:ind w:firstLine="482"/>
        <w:rPr>
          <w:b/>
        </w:rPr>
      </w:pPr>
      <w:r>
        <w:rPr>
          <w:rFonts w:ascii="宋体" w:hAnsi="宋体" w:hint="eastAsia"/>
          <w:b/>
        </w:rPr>
        <w:t>（</w:t>
      </w:r>
      <w:r>
        <w:rPr>
          <w:rFonts w:hint="eastAsia"/>
          <w:b/>
        </w:rPr>
        <w:t>1</w:t>
      </w:r>
      <w:r>
        <w:rPr>
          <w:rFonts w:ascii="宋体" w:hAnsi="宋体"/>
          <w:b/>
        </w:rPr>
        <w:t>）</w:t>
      </w:r>
      <w:r>
        <w:rPr>
          <w:rFonts w:ascii="宋体" w:hAnsi="宋体" w:hint="eastAsia"/>
          <w:b/>
        </w:rPr>
        <w:t>监测布点</w:t>
      </w:r>
      <w:r>
        <w:rPr>
          <w:rFonts w:ascii="宋体" w:hAnsi="宋体"/>
          <w:b/>
        </w:rPr>
        <w:t>和监测因子</w:t>
      </w:r>
    </w:p>
    <w:p w:rsidR="004E3021" w:rsidRDefault="009F1962">
      <w:pPr>
        <w:ind w:firstLine="480"/>
      </w:pPr>
      <w:r w:rsidRPr="006F7D98">
        <w:t>项目建设地周边</w:t>
      </w:r>
      <w:r w:rsidRPr="006F7D98">
        <w:rPr>
          <w:rFonts w:hint="eastAsia"/>
        </w:rPr>
        <w:t>布设地下水</w:t>
      </w:r>
      <w:r w:rsidRPr="006F7D98">
        <w:t>水质监测点</w:t>
      </w:r>
      <w:r>
        <w:t>5</w:t>
      </w:r>
      <w:r w:rsidRPr="006F7D98">
        <w:rPr>
          <w:rFonts w:hint="eastAsia"/>
        </w:rPr>
        <w:t>个，水位监测</w:t>
      </w:r>
      <w:r w:rsidRPr="006F7D98">
        <w:t>点位</w:t>
      </w:r>
      <w:r>
        <w:t>10</w:t>
      </w:r>
      <w:r w:rsidRPr="006F7D98">
        <w:t>个。</w:t>
      </w:r>
      <w:r>
        <w:rPr>
          <w:rFonts w:hint="eastAsia"/>
        </w:rPr>
        <w:t>其中</w:t>
      </w:r>
      <w:r>
        <w:rPr>
          <w:rFonts w:hint="eastAsia"/>
        </w:rPr>
        <w:t>D2</w:t>
      </w:r>
      <w:r>
        <w:rPr>
          <w:rFonts w:hint="eastAsia"/>
        </w:rPr>
        <w:t>、</w:t>
      </w:r>
      <w:r>
        <w:rPr>
          <w:rFonts w:hint="eastAsia"/>
        </w:rPr>
        <w:t>D</w:t>
      </w:r>
      <w:r>
        <w:t>5</w:t>
      </w:r>
      <w:r>
        <w:rPr>
          <w:rFonts w:hint="eastAsia"/>
        </w:rPr>
        <w:t>、</w:t>
      </w:r>
      <w:r>
        <w:rPr>
          <w:rFonts w:hint="eastAsia"/>
        </w:rPr>
        <w:t>D</w:t>
      </w:r>
      <w:r>
        <w:t>10</w:t>
      </w:r>
      <w:r>
        <w:rPr>
          <w:rFonts w:hint="eastAsia"/>
        </w:rPr>
        <w:t>为本次补充监测，其余引用。</w:t>
      </w:r>
      <w:r w:rsidRPr="006F7D98">
        <w:rPr>
          <w:rFonts w:hint="eastAsia"/>
        </w:rPr>
        <w:t>本次</w:t>
      </w:r>
      <w:r w:rsidRPr="006F7D98">
        <w:t>地下水</w:t>
      </w:r>
      <w:r w:rsidRPr="006F7D98">
        <w:rPr>
          <w:rFonts w:hint="eastAsia"/>
        </w:rPr>
        <w:t>监测</w:t>
      </w:r>
      <w:r w:rsidRPr="006F7D98">
        <w:t>因子为</w:t>
      </w:r>
      <w:r w:rsidRPr="00406DCA">
        <w:t>：</w:t>
      </w:r>
      <w:r w:rsidRPr="00406DCA">
        <w:rPr>
          <w:rFonts w:hint="eastAsia"/>
        </w:rPr>
        <w:t>pH</w:t>
      </w:r>
      <w:r w:rsidRPr="00406DCA">
        <w:rPr>
          <w:rFonts w:hint="eastAsia"/>
        </w:rPr>
        <w:t>、总硬度、溶解性总固体、氯化物、铁、锰、铜、锌、挥发酚、阴离子表面活性、耗氧量、氨氮、硫化物、镍、硝酸盐、亚硝酸盐、氰化物、氟化物、汞、砷、硒、镉、六价铬、铅、三氯甲烷、四氯化碳、苯、甲苯、</w:t>
      </w:r>
      <w:r w:rsidR="000D175E">
        <w:rPr>
          <w:rFonts w:hint="eastAsia"/>
        </w:rPr>
        <w:t>二甲苯、</w:t>
      </w:r>
      <w:r w:rsidRPr="00406DCA">
        <w:rPr>
          <w:rFonts w:hint="eastAsia"/>
        </w:rPr>
        <w:t>总大肠杆菌、菌落总数、</w:t>
      </w:r>
      <w:r w:rsidRPr="00406DCA">
        <w:t>K</w:t>
      </w:r>
      <w:r w:rsidRPr="00406DCA">
        <w:rPr>
          <w:vertAlign w:val="superscript"/>
        </w:rPr>
        <w:t>+</w:t>
      </w:r>
      <w:r w:rsidRPr="00406DCA">
        <w:t>、</w:t>
      </w:r>
      <w:r w:rsidRPr="00406DCA">
        <w:t>Na</w:t>
      </w:r>
      <w:r w:rsidRPr="00406DCA">
        <w:rPr>
          <w:vertAlign w:val="superscript"/>
        </w:rPr>
        <w:t>+</w:t>
      </w:r>
      <w:r w:rsidRPr="00406DCA">
        <w:t>、</w:t>
      </w:r>
      <w:r w:rsidRPr="00406DCA">
        <w:t>Ca</w:t>
      </w:r>
      <w:r w:rsidRPr="00406DCA">
        <w:rPr>
          <w:vertAlign w:val="superscript"/>
        </w:rPr>
        <w:t>2+</w:t>
      </w:r>
      <w:r w:rsidRPr="00406DCA">
        <w:t>、</w:t>
      </w:r>
      <w:r w:rsidRPr="00406DCA">
        <w:t>Mg</w:t>
      </w:r>
      <w:r w:rsidRPr="00406DCA">
        <w:rPr>
          <w:vertAlign w:val="superscript"/>
        </w:rPr>
        <w:t>2+</w:t>
      </w:r>
      <w:r w:rsidRPr="00406DCA">
        <w:t>、</w:t>
      </w:r>
      <w:r w:rsidRPr="00406DCA">
        <w:t>CO</w:t>
      </w:r>
      <w:r w:rsidRPr="00406DCA">
        <w:rPr>
          <w:vertAlign w:val="subscript"/>
        </w:rPr>
        <w:t>3</w:t>
      </w:r>
      <w:r w:rsidRPr="00406DCA">
        <w:rPr>
          <w:vertAlign w:val="superscript"/>
        </w:rPr>
        <w:t>2-</w:t>
      </w:r>
      <w:r w:rsidRPr="00406DCA">
        <w:t>、</w:t>
      </w:r>
      <w:r w:rsidRPr="00406DCA">
        <w:t>HCO</w:t>
      </w:r>
      <w:r w:rsidRPr="00406DCA">
        <w:rPr>
          <w:vertAlign w:val="superscript"/>
        </w:rPr>
        <w:t>3-</w:t>
      </w:r>
      <w:r w:rsidRPr="00406DCA">
        <w:t>、</w:t>
      </w:r>
      <w:r w:rsidRPr="00406DCA">
        <w:t>Cl</w:t>
      </w:r>
      <w:r w:rsidRPr="009F1962">
        <w:rPr>
          <w:vertAlign w:val="superscript"/>
        </w:rPr>
        <w:t>-</w:t>
      </w:r>
      <w:r w:rsidRPr="00406DCA">
        <w:t>、</w:t>
      </w:r>
      <w:r w:rsidRPr="00406DCA">
        <w:t>SO</w:t>
      </w:r>
      <w:r w:rsidRPr="00406DCA">
        <w:rPr>
          <w:vertAlign w:val="subscript"/>
        </w:rPr>
        <w:t>4</w:t>
      </w:r>
      <w:r w:rsidRPr="00406DCA">
        <w:rPr>
          <w:vertAlign w:val="superscript"/>
        </w:rPr>
        <w:t>2-</w:t>
      </w:r>
      <w:r w:rsidRPr="00406DCA">
        <w:t>，</w:t>
      </w:r>
      <w:r w:rsidRPr="00700307">
        <w:rPr>
          <w:b/>
        </w:rPr>
        <w:t>同时测量水温及地下水水位水层</w:t>
      </w:r>
      <w:r w:rsidRPr="0031778B">
        <w:rPr>
          <w:rFonts w:hint="eastAsia"/>
        </w:rPr>
        <w:t>。</w:t>
      </w:r>
      <w:r>
        <w:rPr>
          <w:rFonts w:hint="eastAsia"/>
        </w:rPr>
        <w:t>监测点位见下表及图</w:t>
      </w:r>
      <w:r>
        <w:rPr>
          <w:rFonts w:hint="eastAsia"/>
        </w:rPr>
        <w:t>4</w:t>
      </w:r>
      <w:r>
        <w:t>.2.1-1</w:t>
      </w:r>
      <w:r>
        <w:rPr>
          <w:rFonts w:hint="eastAsia"/>
        </w:rPr>
        <w:t>。</w:t>
      </w:r>
    </w:p>
    <w:p w:rsidR="004E3021" w:rsidRDefault="00606E48">
      <w:pPr>
        <w:spacing w:line="500" w:lineRule="exact"/>
        <w:ind w:firstLineChars="0" w:firstLine="0"/>
        <w:jc w:val="center"/>
        <w:rPr>
          <w:rFonts w:ascii="黑体" w:eastAsia="黑体" w:hAnsi="黑体"/>
        </w:rPr>
      </w:pPr>
      <w:r>
        <w:rPr>
          <w:rFonts w:ascii="黑体" w:eastAsia="黑体" w:hAnsi="黑体" w:hint="eastAsia"/>
        </w:rPr>
        <w:t>表</w:t>
      </w:r>
      <w:r>
        <w:rPr>
          <w:rFonts w:eastAsia="黑体" w:hint="eastAsia"/>
        </w:rPr>
        <w:t>4.</w:t>
      </w:r>
      <w:r>
        <w:rPr>
          <w:rFonts w:eastAsia="黑体"/>
        </w:rPr>
        <w:t>2</w:t>
      </w:r>
      <w:r>
        <w:rPr>
          <w:rFonts w:eastAsia="黑体" w:hint="eastAsia"/>
        </w:rPr>
        <w:t xml:space="preserve">.4-1  </w:t>
      </w:r>
      <w:r>
        <w:rPr>
          <w:rFonts w:ascii="黑体" w:eastAsia="黑体" w:hAnsi="黑体" w:hint="eastAsia"/>
        </w:rPr>
        <w:t>地下水环境质量现场监测布点及监测因子</w:t>
      </w:r>
    </w:p>
    <w:tbl>
      <w:tblPr>
        <w:tblStyle w:val="afff"/>
        <w:tblW w:w="5000" w:type="pct"/>
        <w:tblLook w:val="04A0" w:firstRow="1" w:lastRow="0" w:firstColumn="1" w:lastColumn="0" w:noHBand="0" w:noVBand="1"/>
      </w:tblPr>
      <w:tblGrid>
        <w:gridCol w:w="1134"/>
        <w:gridCol w:w="1986"/>
        <w:gridCol w:w="1700"/>
        <w:gridCol w:w="4206"/>
      </w:tblGrid>
      <w:tr w:rsidR="009F1962" w:rsidRPr="004A31DD" w:rsidTr="004A31DD">
        <w:trPr>
          <w:trHeight w:val="23"/>
        </w:trPr>
        <w:tc>
          <w:tcPr>
            <w:tcW w:w="628" w:type="pct"/>
            <w:hideMark/>
          </w:tcPr>
          <w:p w:rsidR="009F1962" w:rsidRPr="006D5DB1" w:rsidRDefault="009F1962" w:rsidP="009F1962">
            <w:pPr>
              <w:widowControl/>
              <w:spacing w:line="360" w:lineRule="exact"/>
              <w:ind w:firstLineChars="0" w:firstLine="0"/>
              <w:jc w:val="center"/>
              <w:textAlignment w:val="center"/>
              <w:rPr>
                <w:rFonts w:ascii="Times New Roman" w:hAnsi="Times New Roman"/>
                <w:b/>
                <w:sz w:val="21"/>
                <w:szCs w:val="21"/>
              </w:rPr>
            </w:pPr>
            <w:r w:rsidRPr="006D5DB1">
              <w:rPr>
                <w:rFonts w:ascii="Times New Roman" w:hAnsi="Times New Roman"/>
                <w:b/>
                <w:kern w:val="0"/>
                <w:sz w:val="21"/>
                <w:szCs w:val="21"/>
              </w:rPr>
              <w:t>点位编号</w:t>
            </w:r>
          </w:p>
        </w:tc>
        <w:tc>
          <w:tcPr>
            <w:tcW w:w="1100" w:type="pct"/>
            <w:hideMark/>
          </w:tcPr>
          <w:p w:rsidR="009F1962" w:rsidRPr="006D5DB1" w:rsidRDefault="009F1962" w:rsidP="009F1962">
            <w:pPr>
              <w:widowControl/>
              <w:spacing w:line="360" w:lineRule="exact"/>
              <w:ind w:firstLineChars="0" w:firstLine="0"/>
              <w:jc w:val="center"/>
              <w:textAlignment w:val="center"/>
              <w:rPr>
                <w:rFonts w:ascii="Times New Roman" w:hAnsi="Times New Roman"/>
                <w:b/>
                <w:sz w:val="21"/>
                <w:szCs w:val="21"/>
              </w:rPr>
            </w:pPr>
            <w:r w:rsidRPr="006D5DB1">
              <w:rPr>
                <w:rFonts w:ascii="Times New Roman" w:hAnsi="Times New Roman"/>
                <w:b/>
                <w:kern w:val="0"/>
                <w:sz w:val="21"/>
                <w:szCs w:val="21"/>
              </w:rPr>
              <w:t>点位名称</w:t>
            </w:r>
          </w:p>
        </w:tc>
        <w:tc>
          <w:tcPr>
            <w:tcW w:w="942" w:type="pct"/>
            <w:noWrap/>
            <w:hideMark/>
          </w:tcPr>
          <w:p w:rsidR="009F1962" w:rsidRPr="006D5DB1" w:rsidRDefault="009F1962" w:rsidP="009F1962">
            <w:pPr>
              <w:widowControl/>
              <w:spacing w:line="360" w:lineRule="exact"/>
              <w:ind w:firstLineChars="0" w:firstLine="0"/>
              <w:jc w:val="center"/>
              <w:textAlignment w:val="center"/>
              <w:rPr>
                <w:rFonts w:ascii="Times New Roman" w:hAnsi="Times New Roman"/>
                <w:b/>
                <w:sz w:val="21"/>
                <w:szCs w:val="21"/>
              </w:rPr>
            </w:pPr>
            <w:r w:rsidRPr="006D5DB1">
              <w:rPr>
                <w:rFonts w:ascii="Times New Roman" w:hAnsi="Times New Roman"/>
                <w:b/>
                <w:kern w:val="0"/>
                <w:sz w:val="21"/>
                <w:szCs w:val="21"/>
              </w:rPr>
              <w:t>监测内容</w:t>
            </w:r>
          </w:p>
        </w:tc>
        <w:tc>
          <w:tcPr>
            <w:tcW w:w="2330" w:type="pct"/>
            <w:noWrap/>
            <w:hideMark/>
          </w:tcPr>
          <w:p w:rsidR="009F1962" w:rsidRPr="006D5DB1" w:rsidRDefault="009F1962" w:rsidP="009F1962">
            <w:pPr>
              <w:widowControl/>
              <w:spacing w:line="360" w:lineRule="exact"/>
              <w:ind w:firstLineChars="0" w:firstLine="0"/>
              <w:jc w:val="center"/>
              <w:textAlignment w:val="center"/>
              <w:rPr>
                <w:rFonts w:ascii="Times New Roman" w:hAnsi="Times New Roman"/>
                <w:b/>
                <w:kern w:val="0"/>
                <w:sz w:val="21"/>
                <w:szCs w:val="21"/>
              </w:rPr>
            </w:pPr>
            <w:r w:rsidRPr="006D5DB1">
              <w:rPr>
                <w:rFonts w:ascii="Times New Roman" w:hAnsi="Times New Roman"/>
                <w:b/>
                <w:kern w:val="0"/>
                <w:sz w:val="21"/>
                <w:szCs w:val="21"/>
              </w:rPr>
              <w:t>数据来源</w:t>
            </w:r>
          </w:p>
        </w:tc>
      </w:tr>
      <w:tr w:rsidR="009F1962" w:rsidRPr="004A31DD" w:rsidTr="004A31DD">
        <w:trPr>
          <w:trHeight w:val="23"/>
        </w:trPr>
        <w:tc>
          <w:tcPr>
            <w:tcW w:w="628" w:type="pct"/>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t>D1</w:t>
            </w:r>
          </w:p>
        </w:tc>
        <w:tc>
          <w:tcPr>
            <w:tcW w:w="1100" w:type="pct"/>
          </w:tcPr>
          <w:p w:rsidR="009F1962" w:rsidRPr="004A31DD" w:rsidRDefault="009F1962" w:rsidP="009F1962">
            <w:pPr>
              <w:autoSpaceDE w:val="0"/>
              <w:spacing w:line="360" w:lineRule="exact"/>
              <w:ind w:firstLineChars="0" w:firstLine="0"/>
              <w:jc w:val="center"/>
              <w:rPr>
                <w:rFonts w:ascii="Times New Roman" w:hAnsi="Times New Roman"/>
                <w:sz w:val="21"/>
                <w:szCs w:val="21"/>
              </w:rPr>
            </w:pPr>
            <w:r w:rsidRPr="004A31DD">
              <w:rPr>
                <w:rFonts w:ascii="Times New Roman" w:hAnsi="Times New Roman"/>
                <w:sz w:val="21"/>
                <w:szCs w:val="21"/>
              </w:rPr>
              <w:t>项目厂区</w:t>
            </w:r>
          </w:p>
        </w:tc>
        <w:tc>
          <w:tcPr>
            <w:tcW w:w="942" w:type="pct"/>
            <w:noWrap/>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t>水质、水位</w:t>
            </w:r>
          </w:p>
        </w:tc>
        <w:tc>
          <w:tcPr>
            <w:tcW w:w="2330" w:type="pct"/>
            <w:noWrap/>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t>补充监测</w:t>
            </w:r>
          </w:p>
        </w:tc>
      </w:tr>
      <w:tr w:rsidR="009F1962" w:rsidRPr="004A31DD" w:rsidTr="004A31DD">
        <w:trPr>
          <w:trHeight w:val="23"/>
        </w:trPr>
        <w:tc>
          <w:tcPr>
            <w:tcW w:w="628" w:type="pct"/>
            <w:hideMark/>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t>D2</w:t>
            </w:r>
          </w:p>
        </w:tc>
        <w:tc>
          <w:tcPr>
            <w:tcW w:w="1100" w:type="pct"/>
            <w:hideMark/>
          </w:tcPr>
          <w:p w:rsidR="009F1962" w:rsidRPr="004A31DD" w:rsidRDefault="009F1962" w:rsidP="009F1962">
            <w:pPr>
              <w:autoSpaceDE w:val="0"/>
              <w:spacing w:line="360" w:lineRule="exact"/>
              <w:ind w:firstLineChars="0" w:firstLine="0"/>
              <w:jc w:val="center"/>
              <w:rPr>
                <w:rFonts w:ascii="Times New Roman" w:hAnsi="Times New Roman"/>
                <w:bCs/>
                <w:sz w:val="21"/>
                <w:szCs w:val="21"/>
              </w:rPr>
            </w:pPr>
            <w:r w:rsidRPr="004A31DD">
              <w:rPr>
                <w:rFonts w:ascii="Times New Roman" w:hAnsi="Times New Roman"/>
                <w:bCs/>
                <w:sz w:val="21"/>
                <w:szCs w:val="21"/>
              </w:rPr>
              <w:t>三铺村</w:t>
            </w:r>
          </w:p>
        </w:tc>
        <w:tc>
          <w:tcPr>
            <w:tcW w:w="942" w:type="pct"/>
            <w:hideMark/>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t>水质、水位</w:t>
            </w:r>
          </w:p>
        </w:tc>
        <w:tc>
          <w:tcPr>
            <w:tcW w:w="2330" w:type="pct"/>
            <w:vMerge w:val="restart"/>
            <w:hideMark/>
          </w:tcPr>
          <w:p w:rsidR="009F1962" w:rsidRPr="004A31DD" w:rsidRDefault="009F1962" w:rsidP="009F4FA8">
            <w:pPr>
              <w:spacing w:line="360" w:lineRule="exact"/>
              <w:ind w:firstLineChars="0" w:firstLine="0"/>
              <w:jc w:val="center"/>
              <w:rPr>
                <w:rFonts w:ascii="Times New Roman" w:hAnsi="Times New Roman"/>
                <w:sz w:val="21"/>
                <w:szCs w:val="21"/>
              </w:rPr>
            </w:pPr>
            <w:r w:rsidRPr="004A31DD">
              <w:rPr>
                <w:rFonts w:ascii="Times New Roman" w:hAnsi="Times New Roman"/>
                <w:sz w:val="21"/>
                <w:szCs w:val="21"/>
              </w:rPr>
              <w:t>镍、硒、三氯甲烷、四氯化碳</w:t>
            </w:r>
            <w:r w:rsidR="000D175E">
              <w:rPr>
                <w:rFonts w:ascii="Times New Roman" w:hAnsi="Times New Roman" w:hint="eastAsia"/>
                <w:sz w:val="21"/>
                <w:szCs w:val="21"/>
              </w:rPr>
              <w:t>、二甲苯</w:t>
            </w:r>
            <w:r w:rsidRPr="004A31DD">
              <w:rPr>
                <w:rFonts w:ascii="Times New Roman" w:hAnsi="Times New Roman"/>
                <w:sz w:val="21"/>
                <w:szCs w:val="21"/>
              </w:rPr>
              <w:t>引用</w:t>
            </w:r>
            <w:r w:rsidR="009F4FA8" w:rsidRPr="009F4FA8">
              <w:rPr>
                <w:rFonts w:ascii="Times New Roman" w:hAnsi="Times New Roman" w:hint="eastAsia"/>
                <w:sz w:val="21"/>
                <w:szCs w:val="21"/>
              </w:rPr>
              <w:t>蚌埠净界环保科技有限公司危险废物资源循环利用项目</w:t>
            </w:r>
            <w:r w:rsidR="0075233C" w:rsidRPr="0075233C">
              <w:rPr>
                <w:rFonts w:ascii="Times New Roman" w:hAnsi="Times New Roman" w:hint="eastAsia"/>
                <w:bCs/>
                <w:sz w:val="21"/>
                <w:szCs w:val="21"/>
              </w:rPr>
              <w:t>现状监测报告</w:t>
            </w:r>
            <w:r w:rsidRPr="004A31DD">
              <w:rPr>
                <w:rFonts w:ascii="Times New Roman" w:hAnsi="Times New Roman"/>
                <w:sz w:val="21"/>
                <w:szCs w:val="21"/>
              </w:rPr>
              <w:t>，其余因子及水位引用蚌埠精细化工高新技术产业基地环境影响区域评估</w:t>
            </w:r>
            <w:r w:rsidRPr="004A31DD">
              <w:rPr>
                <w:rFonts w:ascii="Times New Roman" w:hAnsi="Times New Roman"/>
                <w:sz w:val="21"/>
                <w:szCs w:val="21"/>
              </w:rPr>
              <w:t>+</w:t>
            </w:r>
            <w:r w:rsidRPr="004A31DD">
              <w:rPr>
                <w:rFonts w:ascii="Times New Roman" w:hAnsi="Times New Roman"/>
                <w:sz w:val="21"/>
                <w:szCs w:val="21"/>
              </w:rPr>
              <w:t>环境标准报告</w:t>
            </w:r>
          </w:p>
        </w:tc>
      </w:tr>
      <w:tr w:rsidR="009F1962" w:rsidRPr="004A31DD" w:rsidTr="004A31DD">
        <w:trPr>
          <w:trHeight w:val="23"/>
        </w:trPr>
        <w:tc>
          <w:tcPr>
            <w:tcW w:w="628" w:type="pct"/>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t>D3</w:t>
            </w:r>
          </w:p>
        </w:tc>
        <w:tc>
          <w:tcPr>
            <w:tcW w:w="1100" w:type="pct"/>
          </w:tcPr>
          <w:p w:rsidR="009F1962" w:rsidRPr="004A31DD" w:rsidRDefault="009F1962" w:rsidP="009F1962">
            <w:pPr>
              <w:autoSpaceDE w:val="0"/>
              <w:spacing w:line="360" w:lineRule="exact"/>
              <w:ind w:firstLineChars="0" w:firstLine="0"/>
              <w:jc w:val="center"/>
              <w:rPr>
                <w:rFonts w:ascii="Times New Roman" w:hAnsi="Times New Roman"/>
                <w:bCs/>
                <w:sz w:val="21"/>
                <w:szCs w:val="21"/>
              </w:rPr>
            </w:pPr>
            <w:r w:rsidRPr="004A31DD">
              <w:rPr>
                <w:rFonts w:ascii="Times New Roman" w:hAnsi="Times New Roman"/>
                <w:bCs/>
                <w:sz w:val="21"/>
                <w:szCs w:val="21"/>
              </w:rPr>
              <w:t>李洼</w:t>
            </w:r>
          </w:p>
        </w:tc>
        <w:tc>
          <w:tcPr>
            <w:tcW w:w="942" w:type="pct"/>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t>水质、水位</w:t>
            </w:r>
          </w:p>
        </w:tc>
        <w:tc>
          <w:tcPr>
            <w:tcW w:w="2330" w:type="pct"/>
            <w:vMerge/>
          </w:tcPr>
          <w:p w:rsidR="009F1962" w:rsidRPr="004A31DD" w:rsidRDefault="009F1962" w:rsidP="009F1962">
            <w:pPr>
              <w:spacing w:line="360" w:lineRule="exact"/>
              <w:ind w:firstLineChars="0" w:firstLine="0"/>
              <w:jc w:val="center"/>
              <w:rPr>
                <w:rFonts w:ascii="Times New Roman" w:hAnsi="Times New Roman"/>
                <w:sz w:val="21"/>
                <w:szCs w:val="21"/>
              </w:rPr>
            </w:pPr>
          </w:p>
        </w:tc>
      </w:tr>
      <w:tr w:rsidR="009F1962" w:rsidRPr="004A31DD" w:rsidTr="004A31DD">
        <w:trPr>
          <w:trHeight w:val="23"/>
        </w:trPr>
        <w:tc>
          <w:tcPr>
            <w:tcW w:w="628" w:type="pct"/>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t>D4</w:t>
            </w:r>
          </w:p>
        </w:tc>
        <w:tc>
          <w:tcPr>
            <w:tcW w:w="1100" w:type="pct"/>
          </w:tcPr>
          <w:p w:rsidR="009F1962" w:rsidRPr="004A31DD" w:rsidRDefault="009F1962" w:rsidP="009F1962">
            <w:pPr>
              <w:autoSpaceDE w:val="0"/>
              <w:spacing w:line="360" w:lineRule="exact"/>
              <w:ind w:firstLineChars="0" w:firstLine="0"/>
              <w:jc w:val="center"/>
              <w:rPr>
                <w:rFonts w:ascii="Times New Roman" w:hAnsi="Times New Roman"/>
                <w:bCs/>
                <w:sz w:val="21"/>
                <w:szCs w:val="21"/>
              </w:rPr>
            </w:pPr>
            <w:r w:rsidRPr="004A31DD">
              <w:rPr>
                <w:rFonts w:ascii="Times New Roman" w:hAnsi="Times New Roman"/>
                <w:bCs/>
                <w:sz w:val="21"/>
                <w:szCs w:val="21"/>
              </w:rPr>
              <w:t>汤陈村</w:t>
            </w:r>
          </w:p>
        </w:tc>
        <w:tc>
          <w:tcPr>
            <w:tcW w:w="942" w:type="pct"/>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t>水质、水位</w:t>
            </w:r>
          </w:p>
        </w:tc>
        <w:tc>
          <w:tcPr>
            <w:tcW w:w="2330" w:type="pct"/>
            <w:vMerge/>
          </w:tcPr>
          <w:p w:rsidR="009F1962" w:rsidRPr="004A31DD" w:rsidRDefault="009F1962" w:rsidP="009F1962">
            <w:pPr>
              <w:spacing w:line="360" w:lineRule="exact"/>
              <w:ind w:firstLineChars="0" w:firstLine="0"/>
              <w:jc w:val="center"/>
              <w:rPr>
                <w:rFonts w:ascii="Times New Roman" w:hAnsi="Times New Roman"/>
                <w:sz w:val="21"/>
                <w:szCs w:val="21"/>
              </w:rPr>
            </w:pPr>
          </w:p>
        </w:tc>
      </w:tr>
      <w:tr w:rsidR="009F1962" w:rsidRPr="004A31DD" w:rsidTr="004A31DD">
        <w:trPr>
          <w:trHeight w:val="23"/>
        </w:trPr>
        <w:tc>
          <w:tcPr>
            <w:tcW w:w="628" w:type="pct"/>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t>D5</w:t>
            </w:r>
          </w:p>
        </w:tc>
        <w:tc>
          <w:tcPr>
            <w:tcW w:w="1100" w:type="pct"/>
          </w:tcPr>
          <w:p w:rsidR="009F1962" w:rsidRPr="004A31DD" w:rsidRDefault="009F1962" w:rsidP="009F1962">
            <w:pPr>
              <w:autoSpaceDE w:val="0"/>
              <w:spacing w:line="360" w:lineRule="exact"/>
              <w:ind w:firstLineChars="0" w:firstLine="0"/>
              <w:jc w:val="center"/>
              <w:rPr>
                <w:rFonts w:ascii="Times New Roman" w:hAnsi="Times New Roman"/>
                <w:bCs/>
                <w:sz w:val="21"/>
                <w:szCs w:val="21"/>
              </w:rPr>
            </w:pPr>
            <w:r w:rsidRPr="004A31DD">
              <w:rPr>
                <w:rFonts w:ascii="Times New Roman" w:hAnsi="Times New Roman"/>
                <w:bCs/>
                <w:sz w:val="21"/>
                <w:szCs w:val="21"/>
              </w:rPr>
              <w:t>二铺</w:t>
            </w:r>
          </w:p>
        </w:tc>
        <w:tc>
          <w:tcPr>
            <w:tcW w:w="942" w:type="pct"/>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t>水质、水位</w:t>
            </w:r>
          </w:p>
        </w:tc>
        <w:tc>
          <w:tcPr>
            <w:tcW w:w="2330" w:type="pct"/>
            <w:vMerge/>
          </w:tcPr>
          <w:p w:rsidR="009F1962" w:rsidRPr="004A31DD" w:rsidRDefault="009F1962" w:rsidP="009F1962">
            <w:pPr>
              <w:spacing w:line="360" w:lineRule="exact"/>
              <w:ind w:firstLineChars="0" w:firstLine="0"/>
              <w:jc w:val="center"/>
              <w:rPr>
                <w:rFonts w:ascii="Times New Roman" w:hAnsi="Times New Roman"/>
                <w:sz w:val="21"/>
                <w:szCs w:val="21"/>
              </w:rPr>
            </w:pPr>
          </w:p>
        </w:tc>
      </w:tr>
      <w:tr w:rsidR="009F1962" w:rsidRPr="004A31DD" w:rsidTr="004A31DD">
        <w:trPr>
          <w:trHeight w:val="23"/>
        </w:trPr>
        <w:tc>
          <w:tcPr>
            <w:tcW w:w="628" w:type="pct"/>
            <w:noWrap/>
            <w:hideMark/>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t>D6</w:t>
            </w:r>
          </w:p>
        </w:tc>
        <w:tc>
          <w:tcPr>
            <w:tcW w:w="1100" w:type="pct"/>
            <w:hideMark/>
          </w:tcPr>
          <w:p w:rsidR="009F1962" w:rsidRPr="004A31DD" w:rsidRDefault="009F1962" w:rsidP="009F1962">
            <w:pPr>
              <w:autoSpaceDE w:val="0"/>
              <w:spacing w:line="360" w:lineRule="exact"/>
              <w:ind w:firstLineChars="0" w:firstLine="0"/>
              <w:jc w:val="center"/>
              <w:rPr>
                <w:rFonts w:ascii="Times New Roman" w:hAnsi="Times New Roman"/>
                <w:bCs/>
                <w:sz w:val="21"/>
                <w:szCs w:val="21"/>
              </w:rPr>
            </w:pPr>
            <w:r w:rsidRPr="004A31DD">
              <w:rPr>
                <w:rFonts w:ascii="Times New Roman" w:hAnsi="Times New Roman"/>
                <w:bCs/>
                <w:sz w:val="21"/>
                <w:szCs w:val="21"/>
              </w:rPr>
              <w:t>夏家湖</w:t>
            </w:r>
          </w:p>
        </w:tc>
        <w:tc>
          <w:tcPr>
            <w:tcW w:w="942" w:type="pct"/>
            <w:hideMark/>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t>水位</w:t>
            </w:r>
          </w:p>
        </w:tc>
        <w:tc>
          <w:tcPr>
            <w:tcW w:w="2330" w:type="pct"/>
            <w:vMerge w:val="restart"/>
            <w:hideMark/>
          </w:tcPr>
          <w:p w:rsidR="009F1962" w:rsidRPr="004A31DD" w:rsidRDefault="009F1962" w:rsidP="009F1962">
            <w:pPr>
              <w:spacing w:line="360" w:lineRule="exact"/>
              <w:ind w:firstLineChars="0" w:firstLine="0"/>
              <w:jc w:val="center"/>
              <w:rPr>
                <w:rFonts w:ascii="Times New Roman" w:hAnsi="Times New Roman"/>
                <w:sz w:val="21"/>
                <w:szCs w:val="21"/>
              </w:rPr>
            </w:pPr>
            <w:r w:rsidRPr="004A31DD">
              <w:rPr>
                <w:rFonts w:ascii="Times New Roman" w:hAnsi="Times New Roman"/>
                <w:sz w:val="21"/>
                <w:szCs w:val="21"/>
              </w:rPr>
              <w:t>引用蚌埠精细化工高新技术产业基地环境影</w:t>
            </w:r>
            <w:r w:rsidRPr="004A31DD">
              <w:rPr>
                <w:rFonts w:ascii="Times New Roman" w:hAnsi="Times New Roman"/>
                <w:sz w:val="21"/>
                <w:szCs w:val="21"/>
              </w:rPr>
              <w:lastRenderedPageBreak/>
              <w:t>响区域评估</w:t>
            </w:r>
            <w:r w:rsidRPr="004A31DD">
              <w:rPr>
                <w:rFonts w:ascii="Times New Roman" w:hAnsi="Times New Roman"/>
                <w:sz w:val="21"/>
                <w:szCs w:val="21"/>
              </w:rPr>
              <w:t>+</w:t>
            </w:r>
            <w:r w:rsidRPr="004A31DD">
              <w:rPr>
                <w:rFonts w:ascii="Times New Roman" w:hAnsi="Times New Roman"/>
                <w:sz w:val="21"/>
                <w:szCs w:val="21"/>
              </w:rPr>
              <w:t>环境标准报告</w:t>
            </w:r>
          </w:p>
        </w:tc>
      </w:tr>
      <w:tr w:rsidR="009F1962" w:rsidRPr="004A31DD" w:rsidTr="004A31DD">
        <w:trPr>
          <w:trHeight w:val="23"/>
        </w:trPr>
        <w:tc>
          <w:tcPr>
            <w:tcW w:w="628" w:type="pct"/>
            <w:noWrap/>
            <w:hideMark/>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lastRenderedPageBreak/>
              <w:t>D7</w:t>
            </w:r>
          </w:p>
        </w:tc>
        <w:tc>
          <w:tcPr>
            <w:tcW w:w="1100" w:type="pct"/>
            <w:hideMark/>
          </w:tcPr>
          <w:p w:rsidR="009F1962" w:rsidRPr="004A31DD" w:rsidRDefault="009F1962" w:rsidP="009F1962">
            <w:pPr>
              <w:autoSpaceDE w:val="0"/>
              <w:spacing w:line="360" w:lineRule="exact"/>
              <w:ind w:firstLineChars="0" w:firstLine="0"/>
              <w:jc w:val="center"/>
              <w:rPr>
                <w:rFonts w:ascii="Times New Roman" w:hAnsi="Times New Roman"/>
                <w:bCs/>
                <w:sz w:val="21"/>
                <w:szCs w:val="21"/>
              </w:rPr>
            </w:pPr>
            <w:r w:rsidRPr="004A31DD">
              <w:rPr>
                <w:rFonts w:ascii="Times New Roman" w:hAnsi="Times New Roman"/>
                <w:bCs/>
                <w:sz w:val="21"/>
                <w:szCs w:val="21"/>
              </w:rPr>
              <w:t>海华科技监测井</w:t>
            </w:r>
          </w:p>
        </w:tc>
        <w:tc>
          <w:tcPr>
            <w:tcW w:w="942" w:type="pct"/>
            <w:hideMark/>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t>水位</w:t>
            </w:r>
          </w:p>
        </w:tc>
        <w:tc>
          <w:tcPr>
            <w:tcW w:w="2330" w:type="pct"/>
            <w:vMerge/>
            <w:hideMark/>
          </w:tcPr>
          <w:p w:rsidR="009F1962" w:rsidRPr="004A31DD" w:rsidRDefault="009F1962" w:rsidP="009F1962">
            <w:pPr>
              <w:widowControl/>
              <w:spacing w:line="360" w:lineRule="exact"/>
              <w:ind w:firstLineChars="0" w:firstLine="0"/>
              <w:jc w:val="center"/>
              <w:rPr>
                <w:rFonts w:ascii="Times New Roman" w:hAnsi="Times New Roman"/>
                <w:sz w:val="21"/>
                <w:szCs w:val="21"/>
              </w:rPr>
            </w:pPr>
          </w:p>
        </w:tc>
      </w:tr>
      <w:tr w:rsidR="009F1962" w:rsidRPr="004A31DD" w:rsidTr="004A31DD">
        <w:trPr>
          <w:trHeight w:val="23"/>
        </w:trPr>
        <w:tc>
          <w:tcPr>
            <w:tcW w:w="628" w:type="pct"/>
            <w:noWrap/>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t>D8</w:t>
            </w:r>
          </w:p>
        </w:tc>
        <w:tc>
          <w:tcPr>
            <w:tcW w:w="1100" w:type="pct"/>
          </w:tcPr>
          <w:p w:rsidR="009F1962" w:rsidRPr="004A31DD" w:rsidRDefault="009F1962" w:rsidP="009F1962">
            <w:pPr>
              <w:autoSpaceDE w:val="0"/>
              <w:spacing w:line="360" w:lineRule="exact"/>
              <w:ind w:firstLineChars="0" w:firstLine="0"/>
              <w:jc w:val="center"/>
              <w:rPr>
                <w:rFonts w:ascii="Times New Roman" w:hAnsi="Times New Roman"/>
                <w:bCs/>
                <w:sz w:val="21"/>
                <w:szCs w:val="21"/>
              </w:rPr>
            </w:pPr>
            <w:r w:rsidRPr="004A31DD">
              <w:rPr>
                <w:rFonts w:ascii="Times New Roman" w:hAnsi="Times New Roman"/>
                <w:bCs/>
                <w:sz w:val="21"/>
                <w:szCs w:val="21"/>
              </w:rPr>
              <w:t>雪郎生物监测井</w:t>
            </w:r>
          </w:p>
        </w:tc>
        <w:tc>
          <w:tcPr>
            <w:tcW w:w="942" w:type="pct"/>
          </w:tcPr>
          <w:p w:rsidR="009F1962" w:rsidRPr="004A31DD" w:rsidRDefault="009F1962" w:rsidP="009F1962">
            <w:pPr>
              <w:widowControl/>
              <w:spacing w:line="360" w:lineRule="exact"/>
              <w:ind w:firstLineChars="0" w:firstLine="0"/>
              <w:jc w:val="center"/>
              <w:textAlignment w:val="center"/>
              <w:rPr>
                <w:rFonts w:ascii="Times New Roman" w:hAnsi="Times New Roman"/>
                <w:sz w:val="21"/>
                <w:szCs w:val="21"/>
              </w:rPr>
            </w:pPr>
            <w:r w:rsidRPr="004A31DD">
              <w:rPr>
                <w:rFonts w:ascii="Times New Roman" w:hAnsi="Times New Roman"/>
                <w:sz w:val="21"/>
                <w:szCs w:val="21"/>
              </w:rPr>
              <w:t>水位</w:t>
            </w:r>
          </w:p>
        </w:tc>
        <w:tc>
          <w:tcPr>
            <w:tcW w:w="2330" w:type="pct"/>
            <w:vMerge/>
          </w:tcPr>
          <w:p w:rsidR="009F1962" w:rsidRPr="004A31DD" w:rsidRDefault="009F1962" w:rsidP="009F1962">
            <w:pPr>
              <w:widowControl/>
              <w:spacing w:line="360" w:lineRule="exact"/>
              <w:ind w:firstLineChars="0" w:firstLine="0"/>
              <w:jc w:val="center"/>
              <w:rPr>
                <w:rFonts w:ascii="Times New Roman" w:hAnsi="Times New Roman"/>
                <w:sz w:val="21"/>
                <w:szCs w:val="21"/>
              </w:rPr>
            </w:pPr>
          </w:p>
        </w:tc>
      </w:tr>
      <w:tr w:rsidR="009F1962" w:rsidRPr="004A31DD" w:rsidTr="004A31DD">
        <w:trPr>
          <w:trHeight w:val="342"/>
        </w:trPr>
        <w:tc>
          <w:tcPr>
            <w:tcW w:w="628" w:type="pct"/>
            <w:noWrap/>
          </w:tcPr>
          <w:p w:rsidR="009F1962" w:rsidRPr="004A31DD" w:rsidRDefault="009F1962" w:rsidP="009F1962">
            <w:pPr>
              <w:widowControl/>
              <w:spacing w:line="360" w:lineRule="exact"/>
              <w:ind w:firstLineChars="0" w:firstLine="0"/>
              <w:jc w:val="center"/>
              <w:textAlignment w:val="center"/>
              <w:rPr>
                <w:rFonts w:ascii="Times New Roman" w:hAnsi="Times New Roman"/>
                <w:color w:val="000000"/>
                <w:sz w:val="21"/>
                <w:szCs w:val="21"/>
              </w:rPr>
            </w:pPr>
            <w:r w:rsidRPr="004A31DD">
              <w:rPr>
                <w:rFonts w:ascii="Times New Roman" w:hAnsi="Times New Roman"/>
                <w:color w:val="000000"/>
                <w:sz w:val="21"/>
                <w:szCs w:val="21"/>
              </w:rPr>
              <w:t>D9</w:t>
            </w:r>
          </w:p>
        </w:tc>
        <w:tc>
          <w:tcPr>
            <w:tcW w:w="1100" w:type="pct"/>
          </w:tcPr>
          <w:p w:rsidR="009F1962" w:rsidRPr="004A31DD" w:rsidRDefault="009F1962" w:rsidP="009F1962">
            <w:pPr>
              <w:autoSpaceDE w:val="0"/>
              <w:spacing w:line="360" w:lineRule="exact"/>
              <w:ind w:firstLineChars="0" w:firstLine="0"/>
              <w:jc w:val="center"/>
              <w:rPr>
                <w:rFonts w:ascii="Times New Roman" w:hAnsi="Times New Roman"/>
                <w:bCs/>
                <w:color w:val="000000"/>
                <w:sz w:val="21"/>
                <w:szCs w:val="21"/>
              </w:rPr>
            </w:pPr>
            <w:r w:rsidRPr="004A31DD">
              <w:rPr>
                <w:rFonts w:ascii="Times New Roman" w:hAnsi="Times New Roman"/>
                <w:color w:val="000000"/>
                <w:sz w:val="21"/>
                <w:szCs w:val="21"/>
              </w:rPr>
              <w:t>于家村</w:t>
            </w:r>
          </w:p>
        </w:tc>
        <w:tc>
          <w:tcPr>
            <w:tcW w:w="942" w:type="pct"/>
          </w:tcPr>
          <w:p w:rsidR="009F1962" w:rsidRPr="004A31DD" w:rsidRDefault="009F1962" w:rsidP="009F1962">
            <w:pPr>
              <w:widowControl/>
              <w:spacing w:line="360" w:lineRule="exact"/>
              <w:ind w:firstLineChars="0" w:firstLine="0"/>
              <w:jc w:val="center"/>
              <w:textAlignment w:val="center"/>
              <w:rPr>
                <w:rFonts w:ascii="Times New Roman" w:hAnsi="Times New Roman"/>
                <w:color w:val="000000"/>
                <w:sz w:val="21"/>
                <w:szCs w:val="21"/>
              </w:rPr>
            </w:pPr>
            <w:r w:rsidRPr="004A31DD">
              <w:rPr>
                <w:rFonts w:ascii="Times New Roman" w:hAnsi="Times New Roman"/>
                <w:color w:val="000000"/>
                <w:sz w:val="21"/>
                <w:szCs w:val="21"/>
              </w:rPr>
              <w:t>水位</w:t>
            </w:r>
          </w:p>
        </w:tc>
        <w:tc>
          <w:tcPr>
            <w:tcW w:w="2330" w:type="pct"/>
            <w:vMerge w:val="restart"/>
          </w:tcPr>
          <w:p w:rsidR="009F1962" w:rsidRPr="004A31DD" w:rsidRDefault="009F1962" w:rsidP="009F1962">
            <w:pPr>
              <w:widowControl/>
              <w:spacing w:line="360" w:lineRule="exact"/>
              <w:ind w:firstLineChars="0" w:firstLine="0"/>
              <w:jc w:val="center"/>
              <w:rPr>
                <w:rFonts w:ascii="Times New Roman" w:hAnsi="Times New Roman"/>
                <w:color w:val="FF0000"/>
                <w:sz w:val="21"/>
                <w:szCs w:val="21"/>
              </w:rPr>
            </w:pPr>
            <w:r w:rsidRPr="004A31DD">
              <w:rPr>
                <w:rFonts w:ascii="Times New Roman" w:hAnsi="Times New Roman"/>
                <w:sz w:val="21"/>
                <w:szCs w:val="21"/>
              </w:rPr>
              <w:t>引用</w:t>
            </w:r>
            <w:r w:rsidR="009F4FA8" w:rsidRPr="009F4FA8">
              <w:rPr>
                <w:rFonts w:ascii="Times New Roman" w:hAnsi="Times New Roman" w:hint="eastAsia"/>
                <w:bCs/>
                <w:sz w:val="21"/>
                <w:szCs w:val="21"/>
              </w:rPr>
              <w:t>蚌埠净界环保科技有限公司危险废物资源循环利用项目</w:t>
            </w:r>
            <w:r w:rsidR="009F4FA8" w:rsidRPr="0075233C">
              <w:rPr>
                <w:rFonts w:ascii="Times New Roman" w:hAnsi="Times New Roman" w:hint="eastAsia"/>
                <w:bCs/>
                <w:sz w:val="21"/>
                <w:szCs w:val="21"/>
              </w:rPr>
              <w:t>现状监测报告</w:t>
            </w:r>
          </w:p>
        </w:tc>
      </w:tr>
      <w:tr w:rsidR="009F1962" w:rsidRPr="004A31DD" w:rsidTr="004A31DD">
        <w:trPr>
          <w:trHeight w:val="342"/>
        </w:trPr>
        <w:tc>
          <w:tcPr>
            <w:tcW w:w="628" w:type="pct"/>
            <w:noWrap/>
          </w:tcPr>
          <w:p w:rsidR="009F1962" w:rsidRPr="004A31DD" w:rsidRDefault="009F1962" w:rsidP="009F1962">
            <w:pPr>
              <w:widowControl/>
              <w:spacing w:line="360" w:lineRule="exact"/>
              <w:ind w:firstLineChars="0" w:firstLine="0"/>
              <w:jc w:val="center"/>
              <w:textAlignment w:val="center"/>
              <w:rPr>
                <w:rFonts w:ascii="Times New Roman" w:hAnsi="Times New Roman"/>
                <w:color w:val="000000"/>
                <w:sz w:val="21"/>
                <w:szCs w:val="21"/>
              </w:rPr>
            </w:pPr>
            <w:r w:rsidRPr="004A31DD">
              <w:rPr>
                <w:rFonts w:ascii="Times New Roman" w:hAnsi="Times New Roman"/>
                <w:color w:val="000000"/>
                <w:sz w:val="21"/>
                <w:szCs w:val="21"/>
              </w:rPr>
              <w:t>D10</w:t>
            </w:r>
          </w:p>
        </w:tc>
        <w:tc>
          <w:tcPr>
            <w:tcW w:w="1100" w:type="pct"/>
          </w:tcPr>
          <w:p w:rsidR="009F1962" w:rsidRPr="004A31DD" w:rsidRDefault="009F1962" w:rsidP="009F1962">
            <w:pPr>
              <w:autoSpaceDE w:val="0"/>
              <w:spacing w:line="360" w:lineRule="exact"/>
              <w:ind w:firstLineChars="0" w:firstLine="0"/>
              <w:jc w:val="center"/>
              <w:rPr>
                <w:rFonts w:ascii="Times New Roman" w:hAnsi="Times New Roman"/>
                <w:bCs/>
                <w:color w:val="000000"/>
                <w:sz w:val="21"/>
                <w:szCs w:val="21"/>
              </w:rPr>
            </w:pPr>
            <w:r w:rsidRPr="004A31DD">
              <w:rPr>
                <w:rFonts w:ascii="Times New Roman" w:hAnsi="Times New Roman"/>
                <w:bCs/>
                <w:color w:val="000000"/>
                <w:sz w:val="21"/>
                <w:szCs w:val="21"/>
              </w:rPr>
              <w:t>石家</w:t>
            </w:r>
          </w:p>
        </w:tc>
        <w:tc>
          <w:tcPr>
            <w:tcW w:w="942" w:type="pct"/>
          </w:tcPr>
          <w:p w:rsidR="009F1962" w:rsidRPr="004A31DD" w:rsidRDefault="009F1962" w:rsidP="009F1962">
            <w:pPr>
              <w:widowControl/>
              <w:spacing w:line="360" w:lineRule="exact"/>
              <w:ind w:firstLineChars="0" w:firstLine="0"/>
              <w:jc w:val="center"/>
              <w:textAlignment w:val="center"/>
              <w:rPr>
                <w:rFonts w:ascii="Times New Roman" w:hAnsi="Times New Roman"/>
                <w:color w:val="000000"/>
                <w:sz w:val="21"/>
                <w:szCs w:val="21"/>
              </w:rPr>
            </w:pPr>
            <w:r w:rsidRPr="004A31DD">
              <w:rPr>
                <w:rFonts w:ascii="Times New Roman" w:hAnsi="Times New Roman"/>
                <w:color w:val="000000"/>
                <w:sz w:val="21"/>
                <w:szCs w:val="21"/>
              </w:rPr>
              <w:t>水位</w:t>
            </w:r>
          </w:p>
        </w:tc>
        <w:tc>
          <w:tcPr>
            <w:tcW w:w="2330" w:type="pct"/>
            <w:vMerge/>
          </w:tcPr>
          <w:p w:rsidR="009F1962" w:rsidRPr="004A31DD" w:rsidRDefault="009F1962" w:rsidP="009F1962">
            <w:pPr>
              <w:widowControl/>
              <w:spacing w:line="360" w:lineRule="exact"/>
              <w:ind w:firstLineChars="0" w:firstLine="0"/>
              <w:jc w:val="center"/>
              <w:rPr>
                <w:rFonts w:ascii="Times New Roman" w:hAnsi="Times New Roman"/>
                <w:color w:val="FF0000"/>
                <w:sz w:val="21"/>
                <w:szCs w:val="21"/>
              </w:rPr>
            </w:pPr>
          </w:p>
        </w:tc>
      </w:tr>
    </w:tbl>
    <w:p w:rsidR="004E3021" w:rsidRDefault="00606E48">
      <w:pPr>
        <w:ind w:firstLine="482"/>
        <w:rPr>
          <w:b/>
        </w:rPr>
      </w:pPr>
      <w:r>
        <w:rPr>
          <w:rFonts w:ascii="宋体" w:hAnsi="宋体" w:hint="eastAsia"/>
          <w:b/>
        </w:rPr>
        <w:t>（</w:t>
      </w:r>
      <w:r>
        <w:rPr>
          <w:rFonts w:hint="eastAsia"/>
          <w:b/>
        </w:rPr>
        <w:t>2</w:t>
      </w:r>
      <w:r>
        <w:rPr>
          <w:rFonts w:ascii="宋体" w:hAnsi="宋体"/>
          <w:b/>
        </w:rPr>
        <w:t>）</w:t>
      </w:r>
      <w:r>
        <w:rPr>
          <w:rFonts w:ascii="宋体" w:hAnsi="宋体" w:hint="eastAsia"/>
          <w:b/>
        </w:rPr>
        <w:t>监测</w:t>
      </w:r>
      <w:r>
        <w:rPr>
          <w:rFonts w:ascii="宋体" w:hAnsi="宋体"/>
          <w:b/>
        </w:rPr>
        <w:t>时间和频次</w:t>
      </w:r>
    </w:p>
    <w:p w:rsidR="004E3021" w:rsidRDefault="00606E48">
      <w:pPr>
        <w:ind w:firstLine="480"/>
      </w:pPr>
      <w:r>
        <w:rPr>
          <w:rFonts w:ascii="宋体" w:hAnsi="宋体"/>
        </w:rPr>
        <w:t>监测</w:t>
      </w:r>
      <w:r>
        <w:t>1</w:t>
      </w:r>
      <w:r>
        <w:rPr>
          <w:rFonts w:ascii="宋体" w:hAnsi="宋体" w:hint="eastAsia"/>
        </w:rPr>
        <w:t>天，</w:t>
      </w:r>
      <w:r>
        <w:rPr>
          <w:rFonts w:ascii="宋体" w:hAnsi="宋体"/>
        </w:rPr>
        <w:t>采样</w:t>
      </w:r>
      <w:r>
        <w:t>1</w:t>
      </w:r>
      <w:r>
        <w:rPr>
          <w:rFonts w:ascii="宋体" w:hAnsi="宋体"/>
        </w:rPr>
        <w:t>次。</w:t>
      </w:r>
    </w:p>
    <w:p w:rsidR="004E3021" w:rsidRDefault="00606E48">
      <w:pPr>
        <w:ind w:firstLine="480"/>
      </w:pPr>
      <w:r>
        <w:rPr>
          <w:rFonts w:ascii="宋体" w:hAnsi="宋体"/>
        </w:rPr>
        <w:t>采样及分析方案按照《水和废水监测分析方法》的有关规定和要求执行，质量控制按照《环境监测技术规范》执行。</w:t>
      </w:r>
    </w:p>
    <w:p w:rsidR="004E3021" w:rsidRDefault="00606E48">
      <w:pPr>
        <w:ind w:firstLine="482"/>
        <w:rPr>
          <w:b/>
        </w:rPr>
      </w:pPr>
      <w:r>
        <w:rPr>
          <w:rFonts w:ascii="宋体" w:hAnsi="宋体" w:hint="eastAsia"/>
          <w:b/>
        </w:rPr>
        <w:t>（</w:t>
      </w:r>
      <w:r>
        <w:rPr>
          <w:rFonts w:hint="eastAsia"/>
          <w:b/>
        </w:rPr>
        <w:t>3</w:t>
      </w:r>
      <w:r>
        <w:rPr>
          <w:rFonts w:ascii="宋体" w:hAnsi="宋体" w:hint="eastAsia"/>
          <w:b/>
        </w:rPr>
        <w:t>）</w:t>
      </w:r>
      <w:r>
        <w:rPr>
          <w:rFonts w:ascii="宋体" w:hAnsi="宋体"/>
          <w:b/>
        </w:rPr>
        <w:t>监测结果</w:t>
      </w:r>
    </w:p>
    <w:p w:rsidR="004E3021" w:rsidRDefault="00606E48">
      <w:pPr>
        <w:spacing w:line="500" w:lineRule="exact"/>
        <w:ind w:firstLineChars="0" w:firstLine="0"/>
        <w:jc w:val="center"/>
        <w:rPr>
          <w:rFonts w:eastAsia="黑体"/>
        </w:rPr>
      </w:pPr>
      <w:r>
        <w:rPr>
          <w:rFonts w:ascii="黑体" w:eastAsia="黑体" w:hAnsi="黑体"/>
        </w:rPr>
        <w:t>表</w:t>
      </w:r>
      <w:r>
        <w:rPr>
          <w:rFonts w:eastAsia="黑体" w:hint="eastAsia"/>
        </w:rPr>
        <w:t>4.</w:t>
      </w:r>
      <w:r>
        <w:rPr>
          <w:rFonts w:eastAsia="黑体"/>
        </w:rPr>
        <w:t>2.4</w:t>
      </w:r>
      <w:r>
        <w:rPr>
          <w:rFonts w:eastAsia="黑体" w:hint="eastAsia"/>
        </w:rPr>
        <w:t>-</w:t>
      </w:r>
      <w:r w:rsidR="0001666A">
        <w:rPr>
          <w:rFonts w:eastAsia="黑体"/>
        </w:rPr>
        <w:t>2</w:t>
      </w:r>
      <w:r>
        <w:rPr>
          <w:rFonts w:eastAsia="黑体"/>
        </w:rPr>
        <w:t xml:space="preserve">  </w:t>
      </w:r>
      <w:r>
        <w:rPr>
          <w:rFonts w:ascii="黑体" w:eastAsia="黑体" w:hAnsi="黑体"/>
        </w:rPr>
        <w:t>地下水环境质量现状</w:t>
      </w:r>
      <w:r>
        <w:rPr>
          <w:rFonts w:ascii="黑体" w:eastAsia="黑体" w:hAnsi="黑体" w:hint="eastAsia"/>
        </w:rPr>
        <w:t>监测</w:t>
      </w:r>
      <w:r>
        <w:rPr>
          <w:rFonts w:ascii="黑体" w:eastAsia="黑体" w:hAnsi="黑体"/>
        </w:rPr>
        <w:t>结果</w:t>
      </w:r>
      <w:r>
        <w:rPr>
          <w:rFonts w:eastAsia="黑体" w:hint="eastAsia"/>
        </w:rPr>
        <w:t xml:space="preserve">  </w:t>
      </w:r>
      <w:r>
        <w:rPr>
          <w:rFonts w:ascii="黑体" w:eastAsia="黑体" w:hAnsi="黑体"/>
        </w:rPr>
        <w:t>单位：</w:t>
      </w:r>
      <w:r>
        <w:rPr>
          <w:rFonts w:eastAsia="黑体"/>
        </w:rPr>
        <w:t>mg/L</w:t>
      </w:r>
      <w:r>
        <w:rPr>
          <w:rFonts w:ascii="黑体" w:eastAsia="黑体" w:hAnsi="黑体"/>
        </w:rPr>
        <w:t>，</w:t>
      </w:r>
      <w:r>
        <w:rPr>
          <w:rFonts w:eastAsia="黑体"/>
        </w:rPr>
        <w:t>pH</w:t>
      </w:r>
      <w:r>
        <w:rPr>
          <w:rFonts w:ascii="黑体" w:eastAsia="黑体" w:hAnsi="黑体"/>
        </w:rPr>
        <w:t>无量纲</w:t>
      </w:r>
    </w:p>
    <w:tbl>
      <w:tblPr>
        <w:tblStyle w:val="afff"/>
        <w:tblW w:w="5000" w:type="pct"/>
        <w:tblLook w:val="04A0" w:firstRow="1" w:lastRow="0" w:firstColumn="1" w:lastColumn="0" w:noHBand="0" w:noVBand="1"/>
      </w:tblPr>
      <w:tblGrid>
        <w:gridCol w:w="2786"/>
        <w:gridCol w:w="1221"/>
        <w:gridCol w:w="1006"/>
        <w:gridCol w:w="1005"/>
        <w:gridCol w:w="1005"/>
        <w:gridCol w:w="1007"/>
        <w:gridCol w:w="996"/>
      </w:tblGrid>
      <w:tr w:rsidR="004A31DD" w:rsidRPr="007C4A9C" w:rsidTr="00E60F0C">
        <w:trPr>
          <w:trHeight w:val="1134"/>
        </w:trPr>
        <w:tc>
          <w:tcPr>
            <w:tcW w:w="1543" w:type="pct"/>
            <w:tcBorders>
              <w:top w:val="single" w:sz="12" w:space="0" w:color="auto"/>
              <w:bottom w:val="single" w:sz="4" w:space="0" w:color="auto"/>
              <w:tl2br w:val="single" w:sz="4" w:space="0" w:color="auto"/>
            </w:tcBorders>
            <w:vAlign w:val="center"/>
          </w:tcPr>
          <w:p w:rsidR="004A31DD" w:rsidRPr="006D5DB1" w:rsidRDefault="004A31DD" w:rsidP="004A31DD">
            <w:pPr>
              <w:pStyle w:val="afffffff2"/>
              <w:jc w:val="right"/>
              <w:rPr>
                <w:rFonts w:ascii="Times New Roman" w:hAnsi="Times New Roman" w:cs="Times New Roman"/>
                <w:b/>
                <w:kern w:val="0"/>
                <w:sz w:val="21"/>
                <w:szCs w:val="21"/>
              </w:rPr>
            </w:pPr>
            <w:r w:rsidRPr="006D5DB1">
              <w:rPr>
                <w:rFonts w:ascii="Times New Roman" w:hAnsi="Times New Roman" w:cs="Times New Roman"/>
                <w:b/>
                <w:kern w:val="0"/>
                <w:sz w:val="21"/>
                <w:szCs w:val="21"/>
              </w:rPr>
              <w:t>监测因子</w:t>
            </w:r>
          </w:p>
          <w:p w:rsidR="004A31DD" w:rsidRPr="006D5DB1" w:rsidRDefault="004A31DD" w:rsidP="004A31DD">
            <w:pPr>
              <w:pStyle w:val="afffffff2"/>
              <w:jc w:val="left"/>
              <w:rPr>
                <w:rFonts w:ascii="Times New Roman" w:hAnsi="Times New Roman" w:cs="Times New Roman"/>
                <w:b/>
                <w:kern w:val="0"/>
                <w:sz w:val="21"/>
                <w:szCs w:val="21"/>
              </w:rPr>
            </w:pPr>
            <w:r w:rsidRPr="006D5DB1">
              <w:rPr>
                <w:rFonts w:ascii="Times New Roman" w:hAnsi="Times New Roman" w:cs="Times New Roman"/>
                <w:b/>
                <w:kern w:val="0"/>
                <w:sz w:val="21"/>
                <w:szCs w:val="21"/>
              </w:rPr>
              <w:t>监测点位</w:t>
            </w:r>
          </w:p>
        </w:tc>
        <w:tc>
          <w:tcPr>
            <w:tcW w:w="676" w:type="pct"/>
            <w:vAlign w:val="center"/>
          </w:tcPr>
          <w:p w:rsidR="004A31DD" w:rsidRPr="006D5DB1" w:rsidRDefault="004A31DD" w:rsidP="004A31DD">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D1</w:t>
            </w:r>
          </w:p>
        </w:tc>
        <w:tc>
          <w:tcPr>
            <w:tcW w:w="557" w:type="pct"/>
            <w:vAlign w:val="center"/>
          </w:tcPr>
          <w:p w:rsidR="004A31DD" w:rsidRPr="006D5DB1" w:rsidRDefault="004A31DD" w:rsidP="004A31DD">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D2</w:t>
            </w:r>
          </w:p>
        </w:tc>
        <w:tc>
          <w:tcPr>
            <w:tcW w:w="557" w:type="pct"/>
            <w:vAlign w:val="center"/>
          </w:tcPr>
          <w:p w:rsidR="004A31DD" w:rsidRPr="006D5DB1" w:rsidRDefault="004A31DD" w:rsidP="004A31DD">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D3</w:t>
            </w:r>
          </w:p>
        </w:tc>
        <w:tc>
          <w:tcPr>
            <w:tcW w:w="557" w:type="pct"/>
            <w:vAlign w:val="center"/>
          </w:tcPr>
          <w:p w:rsidR="004A31DD" w:rsidRPr="006D5DB1" w:rsidRDefault="004A31DD" w:rsidP="004A31DD">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D4</w:t>
            </w:r>
          </w:p>
        </w:tc>
        <w:tc>
          <w:tcPr>
            <w:tcW w:w="558" w:type="pct"/>
            <w:vAlign w:val="center"/>
          </w:tcPr>
          <w:p w:rsidR="004A31DD" w:rsidRPr="006D5DB1" w:rsidRDefault="004A31DD" w:rsidP="004A31DD">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D5</w:t>
            </w:r>
          </w:p>
        </w:tc>
        <w:tc>
          <w:tcPr>
            <w:tcW w:w="552" w:type="pct"/>
            <w:vAlign w:val="center"/>
          </w:tcPr>
          <w:p w:rsidR="004A31DD" w:rsidRPr="006D5DB1" w:rsidRDefault="004A31DD" w:rsidP="004A31DD">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评价标准</w:t>
            </w:r>
          </w:p>
        </w:tc>
      </w:tr>
      <w:tr w:rsidR="004A31DD" w:rsidRPr="007C4A9C" w:rsidTr="00E60F0C">
        <w:trPr>
          <w:trHeight w:val="149"/>
        </w:trPr>
        <w:tc>
          <w:tcPr>
            <w:tcW w:w="1543" w:type="pct"/>
            <w:tcBorders>
              <w:top w:val="single" w:sz="4" w:space="0" w:color="auto"/>
            </w:tcBorders>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监测时间</w:t>
            </w:r>
          </w:p>
        </w:tc>
        <w:tc>
          <w:tcPr>
            <w:tcW w:w="676"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2025.11.16</w:t>
            </w:r>
          </w:p>
        </w:tc>
        <w:tc>
          <w:tcPr>
            <w:tcW w:w="2229" w:type="pct"/>
            <w:gridSpan w:val="4"/>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sz w:val="21"/>
                <w:szCs w:val="21"/>
              </w:rPr>
              <w:t>镍、硒、三氯甲烷、四氯化碳</w:t>
            </w:r>
            <w:r w:rsidRPr="007C4A9C">
              <w:rPr>
                <w:rFonts w:ascii="Times New Roman" w:hAnsi="Times New Roman" w:cs="Times New Roman"/>
                <w:bCs/>
                <w:sz w:val="21"/>
                <w:szCs w:val="21"/>
              </w:rPr>
              <w:t>2025.11.21</w:t>
            </w:r>
            <w:r w:rsidRPr="007C4A9C">
              <w:rPr>
                <w:rFonts w:ascii="Times New Roman" w:hAnsi="Times New Roman" w:cs="Times New Roman"/>
                <w:bCs/>
                <w:sz w:val="21"/>
                <w:szCs w:val="21"/>
              </w:rPr>
              <w:t>；其余因子</w:t>
            </w:r>
            <w:r w:rsidRPr="007C4A9C">
              <w:rPr>
                <w:rFonts w:ascii="Times New Roman" w:hAnsi="Times New Roman" w:cs="Times New Roman"/>
                <w:bCs/>
                <w:sz w:val="21"/>
                <w:szCs w:val="21"/>
              </w:rPr>
              <w:t>2024</w:t>
            </w:r>
            <w:r w:rsidRPr="007C4A9C">
              <w:rPr>
                <w:rFonts w:ascii="Times New Roman" w:hAnsi="Times New Roman" w:cs="Times New Roman"/>
                <w:bCs/>
                <w:sz w:val="21"/>
                <w:szCs w:val="21"/>
              </w:rPr>
              <w:t>年</w:t>
            </w:r>
            <w:r w:rsidRPr="007C4A9C">
              <w:rPr>
                <w:rFonts w:ascii="Times New Roman" w:hAnsi="Times New Roman" w:cs="Times New Roman"/>
                <w:bCs/>
                <w:sz w:val="21"/>
                <w:szCs w:val="21"/>
              </w:rPr>
              <w:t>4</w:t>
            </w:r>
            <w:r w:rsidRPr="007C4A9C">
              <w:rPr>
                <w:rFonts w:ascii="Times New Roman" w:hAnsi="Times New Roman" w:cs="Times New Roman"/>
                <w:bCs/>
                <w:sz w:val="21"/>
                <w:szCs w:val="21"/>
              </w:rPr>
              <w:t>月</w:t>
            </w:r>
            <w:r w:rsidRPr="007C4A9C">
              <w:rPr>
                <w:rFonts w:ascii="Times New Roman" w:hAnsi="Times New Roman" w:cs="Times New Roman"/>
                <w:bCs/>
                <w:sz w:val="21"/>
                <w:szCs w:val="21"/>
              </w:rPr>
              <w:t>8</w:t>
            </w:r>
            <w:r w:rsidRPr="007C4A9C">
              <w:rPr>
                <w:rFonts w:ascii="Times New Roman" w:hAnsi="Times New Roman" w:cs="Times New Roman"/>
                <w:bCs/>
                <w:sz w:val="21"/>
                <w:szCs w:val="21"/>
              </w:rPr>
              <w:t>日</w:t>
            </w:r>
            <w:r w:rsidRPr="007C4A9C">
              <w:rPr>
                <w:rFonts w:ascii="Times New Roman" w:hAnsi="Times New Roman" w:cs="Times New Roman"/>
                <w:bCs/>
                <w:sz w:val="21"/>
                <w:szCs w:val="21"/>
              </w:rPr>
              <w:t>~4</w:t>
            </w:r>
            <w:r w:rsidRPr="007C4A9C">
              <w:rPr>
                <w:rFonts w:ascii="Times New Roman" w:hAnsi="Times New Roman" w:cs="Times New Roman"/>
                <w:bCs/>
                <w:sz w:val="21"/>
                <w:szCs w:val="21"/>
              </w:rPr>
              <w:t>月</w:t>
            </w:r>
            <w:r w:rsidRPr="007C4A9C">
              <w:rPr>
                <w:rFonts w:ascii="Times New Roman" w:hAnsi="Times New Roman" w:cs="Times New Roman"/>
                <w:bCs/>
                <w:sz w:val="21"/>
                <w:szCs w:val="21"/>
              </w:rPr>
              <w:t>9</w:t>
            </w:r>
            <w:r w:rsidRPr="007C4A9C">
              <w:rPr>
                <w:rFonts w:ascii="Times New Roman" w:hAnsi="Times New Roman" w:cs="Times New Roman"/>
                <w:bCs/>
                <w:sz w:val="21"/>
                <w:szCs w:val="21"/>
              </w:rPr>
              <w:t>日及</w:t>
            </w:r>
            <w:r w:rsidRPr="007C4A9C">
              <w:rPr>
                <w:rFonts w:ascii="Times New Roman" w:hAnsi="Times New Roman" w:cs="Times New Roman"/>
                <w:bCs/>
                <w:sz w:val="21"/>
                <w:szCs w:val="21"/>
              </w:rPr>
              <w:t>2024</w:t>
            </w:r>
            <w:r w:rsidRPr="007C4A9C">
              <w:rPr>
                <w:rFonts w:ascii="Times New Roman" w:hAnsi="Times New Roman" w:cs="Times New Roman"/>
                <w:bCs/>
                <w:sz w:val="21"/>
                <w:szCs w:val="21"/>
              </w:rPr>
              <w:t>年</w:t>
            </w:r>
            <w:r w:rsidRPr="007C4A9C">
              <w:rPr>
                <w:rFonts w:ascii="Times New Roman" w:hAnsi="Times New Roman" w:cs="Times New Roman"/>
                <w:bCs/>
                <w:sz w:val="21"/>
                <w:szCs w:val="21"/>
              </w:rPr>
              <w:t>8</w:t>
            </w:r>
            <w:r w:rsidRPr="007C4A9C">
              <w:rPr>
                <w:rFonts w:ascii="Times New Roman" w:hAnsi="Times New Roman" w:cs="Times New Roman"/>
                <w:bCs/>
                <w:sz w:val="21"/>
                <w:szCs w:val="21"/>
              </w:rPr>
              <w:t>月</w:t>
            </w:r>
            <w:r w:rsidRPr="007C4A9C">
              <w:rPr>
                <w:rFonts w:ascii="Times New Roman" w:hAnsi="Times New Roman" w:cs="Times New Roman"/>
                <w:bCs/>
                <w:sz w:val="21"/>
                <w:szCs w:val="21"/>
              </w:rPr>
              <w:t>20</w:t>
            </w:r>
            <w:r w:rsidRPr="007C4A9C">
              <w:rPr>
                <w:rFonts w:ascii="Times New Roman" w:hAnsi="Times New Roman" w:cs="Times New Roman"/>
                <w:bCs/>
                <w:sz w:val="21"/>
                <w:szCs w:val="21"/>
              </w:rPr>
              <w:t>日</w:t>
            </w:r>
            <w:r w:rsidRPr="007C4A9C">
              <w:rPr>
                <w:rFonts w:ascii="Times New Roman" w:hAnsi="Times New Roman" w:cs="Times New Roman"/>
                <w:bCs/>
                <w:sz w:val="21"/>
                <w:szCs w:val="21"/>
              </w:rPr>
              <w:t>~8</w:t>
            </w:r>
            <w:r w:rsidRPr="007C4A9C">
              <w:rPr>
                <w:rFonts w:ascii="Times New Roman" w:hAnsi="Times New Roman" w:cs="Times New Roman"/>
                <w:bCs/>
                <w:sz w:val="21"/>
                <w:szCs w:val="21"/>
              </w:rPr>
              <w:t>月</w:t>
            </w:r>
            <w:r w:rsidRPr="007C4A9C">
              <w:rPr>
                <w:rFonts w:ascii="Times New Roman" w:hAnsi="Times New Roman" w:cs="Times New Roman"/>
                <w:bCs/>
                <w:sz w:val="21"/>
                <w:szCs w:val="21"/>
              </w:rPr>
              <w:t>21</w:t>
            </w:r>
            <w:r w:rsidRPr="007C4A9C">
              <w:rPr>
                <w:rFonts w:ascii="Times New Roman" w:hAnsi="Times New Roman" w:cs="Times New Roman"/>
                <w:bCs/>
                <w:sz w:val="21"/>
                <w:szCs w:val="21"/>
              </w:rPr>
              <w:t>日</w:t>
            </w:r>
          </w:p>
        </w:tc>
        <w:tc>
          <w:tcPr>
            <w:tcW w:w="552" w:type="pct"/>
            <w:vAlign w:val="center"/>
          </w:tcPr>
          <w:p w:rsidR="004A31DD" w:rsidRPr="007C4A9C" w:rsidRDefault="004A31DD" w:rsidP="004A31DD">
            <w:pPr>
              <w:pStyle w:val="afffffff2"/>
              <w:rPr>
                <w:rFonts w:ascii="Times New Roman" w:hAnsi="Times New Roman" w:cs="Times New Roman"/>
                <w:sz w:val="21"/>
                <w:szCs w:val="21"/>
              </w:rPr>
            </w:pPr>
            <w:r w:rsidRPr="007C4A9C">
              <w:rPr>
                <w:rFonts w:ascii="Times New Roman" w:hAnsi="Times New Roman" w:cs="Times New Roman"/>
                <w:sz w:val="21"/>
                <w:szCs w:val="21"/>
              </w:rPr>
              <w:t>（</w:t>
            </w:r>
            <w:r w:rsidRPr="007C4A9C">
              <w:rPr>
                <w:rFonts w:ascii="Times New Roman" w:hAnsi="Times New Roman" w:cs="Times New Roman"/>
                <w:sz w:val="21"/>
                <w:szCs w:val="21"/>
              </w:rPr>
              <w:t>GB/T 14848-2017</w:t>
            </w:r>
            <w:r w:rsidRPr="007C4A9C">
              <w:rPr>
                <w:rFonts w:ascii="Times New Roman" w:hAnsi="Times New Roman" w:cs="Times New Roman"/>
                <w:sz w:val="21"/>
                <w:szCs w:val="21"/>
              </w:rPr>
              <w:t>）中</w:t>
            </w:r>
            <w:r w:rsidRPr="007C4A9C">
              <w:rPr>
                <w:rFonts w:ascii="Times New Roman" w:hAnsi="Times New Roman" w:cs="Times New Roman"/>
                <w:sz w:val="21"/>
                <w:szCs w:val="21"/>
              </w:rPr>
              <w:t>Ⅲ</w:t>
            </w:r>
            <w:r w:rsidRPr="007C4A9C">
              <w:rPr>
                <w:rFonts w:ascii="Times New Roman" w:hAnsi="Times New Roman" w:cs="Times New Roman"/>
                <w:sz w:val="21"/>
                <w:szCs w:val="21"/>
              </w:rPr>
              <w:t>类标准</w:t>
            </w:r>
          </w:p>
        </w:tc>
      </w:tr>
      <w:tr w:rsidR="004A31DD" w:rsidRPr="007C4A9C" w:rsidTr="00E60F0C">
        <w:trPr>
          <w:trHeight w:val="149"/>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pH</w:t>
            </w:r>
            <w:r w:rsidRPr="007C4A9C">
              <w:rPr>
                <w:rFonts w:ascii="Times New Roman" w:hAnsi="Times New Roman" w:cs="Times New Roman"/>
                <w:kern w:val="0"/>
                <w:sz w:val="21"/>
                <w:szCs w:val="21"/>
              </w:rPr>
              <w:t>（无量纲）</w:t>
            </w:r>
          </w:p>
        </w:tc>
        <w:tc>
          <w:tcPr>
            <w:tcW w:w="676" w:type="pct"/>
            <w:vAlign w:val="center"/>
          </w:tcPr>
          <w:p w:rsidR="004A31DD" w:rsidRPr="007C4A9C" w:rsidRDefault="007C4A9C" w:rsidP="007C4A9C">
            <w:pPr>
              <w:pStyle w:val="afffffff2"/>
              <w:rPr>
                <w:rFonts w:ascii="Times New Roman" w:hAnsi="Times New Roman" w:cs="Times New Roman"/>
                <w:kern w:val="0"/>
                <w:sz w:val="21"/>
                <w:szCs w:val="21"/>
              </w:rPr>
            </w:pPr>
            <w:r w:rsidRPr="007C4A9C">
              <w:rPr>
                <w:rFonts w:ascii="Times New Roman" w:hAnsi="Times New Roman" w:cs="Times New Roman"/>
                <w:sz w:val="21"/>
                <w:szCs w:val="21"/>
              </w:rPr>
              <w:t>7.9</w:t>
            </w:r>
            <w:r w:rsidRPr="007C4A9C">
              <w:rPr>
                <w:rFonts w:ascii="Times New Roman" w:hAnsi="Times New Roman" w:cs="Times New Roman"/>
                <w:sz w:val="21"/>
                <w:szCs w:val="21"/>
              </w:rPr>
              <w:t>（</w:t>
            </w:r>
            <w:r w:rsidRPr="007C4A9C">
              <w:rPr>
                <w:rFonts w:ascii="Times New Roman" w:hAnsi="Times New Roman" w:cs="Times New Roman"/>
                <w:sz w:val="21"/>
                <w:szCs w:val="21"/>
              </w:rPr>
              <w:t>20.0℃</w:t>
            </w:r>
            <w:r w:rsidRPr="007C4A9C">
              <w:rPr>
                <w:rFonts w:ascii="Times New Roman" w:hAnsi="Times New Roman" w:cs="Times New Roman"/>
                <w:sz w:val="21"/>
                <w:szCs w:val="21"/>
              </w:rPr>
              <w:t>）</w:t>
            </w:r>
          </w:p>
        </w:tc>
        <w:tc>
          <w:tcPr>
            <w:tcW w:w="557" w:type="pct"/>
            <w:vAlign w:val="center"/>
          </w:tcPr>
          <w:p w:rsidR="004A31DD" w:rsidRPr="007C4A9C" w:rsidRDefault="00E60F0C" w:rsidP="004A31DD">
            <w:pPr>
              <w:pStyle w:val="afffffff2"/>
              <w:rPr>
                <w:rFonts w:ascii="Times New Roman" w:hAnsi="Times New Roman" w:cs="Times New Roman"/>
                <w:kern w:val="0"/>
                <w:sz w:val="21"/>
                <w:szCs w:val="21"/>
              </w:rPr>
            </w:pPr>
            <w:r w:rsidRPr="00E60F0C">
              <w:rPr>
                <w:rFonts w:ascii="Times New Roman" w:hAnsi="Times New Roman" w:cs="Times New Roman" w:hint="eastAsia"/>
                <w:color w:val="000000"/>
                <w:kern w:val="0"/>
                <w:sz w:val="21"/>
                <w:szCs w:val="21"/>
              </w:rPr>
              <w:t>7.6(</w:t>
            </w:r>
            <w:r w:rsidRPr="00E60F0C">
              <w:rPr>
                <w:rFonts w:ascii="Times New Roman" w:hAnsi="Times New Roman" w:cs="Times New Roman" w:hint="eastAsia"/>
                <w:color w:val="000000"/>
                <w:kern w:val="0"/>
                <w:sz w:val="21"/>
                <w:szCs w:val="21"/>
              </w:rPr>
              <w:t>水温</w:t>
            </w:r>
            <w:r w:rsidRPr="00E60F0C">
              <w:rPr>
                <w:rFonts w:ascii="Times New Roman" w:hAnsi="Times New Roman" w:cs="Times New Roman" w:hint="eastAsia"/>
                <w:color w:val="000000"/>
                <w:kern w:val="0"/>
                <w:sz w:val="21"/>
                <w:szCs w:val="21"/>
              </w:rPr>
              <w:t>11.0</w:t>
            </w:r>
            <w:r w:rsidRPr="00E60F0C">
              <w:rPr>
                <w:rFonts w:ascii="Times New Roman" w:hAnsi="Times New Roman" w:cs="Times New Roman" w:hint="eastAsia"/>
                <w:color w:val="000000"/>
                <w:kern w:val="0"/>
                <w:sz w:val="21"/>
                <w:szCs w:val="21"/>
              </w:rPr>
              <w:t>℃）</w:t>
            </w:r>
          </w:p>
        </w:tc>
        <w:tc>
          <w:tcPr>
            <w:tcW w:w="557" w:type="pct"/>
            <w:vAlign w:val="center"/>
          </w:tcPr>
          <w:p w:rsidR="004A31DD" w:rsidRPr="007C4A9C" w:rsidRDefault="00E60F0C" w:rsidP="004A31DD">
            <w:pPr>
              <w:pStyle w:val="afffffff2"/>
              <w:rPr>
                <w:rFonts w:ascii="Times New Roman" w:hAnsi="Times New Roman" w:cs="Times New Roman"/>
                <w:kern w:val="0"/>
                <w:sz w:val="21"/>
                <w:szCs w:val="21"/>
              </w:rPr>
            </w:pPr>
            <w:r w:rsidRPr="004D19FD">
              <w:rPr>
                <w:rFonts w:ascii="Times New Roman" w:hAnsi="Times New Roman" w:cs="Times New Roman" w:hint="eastAsia"/>
                <w:kern w:val="0"/>
                <w:sz w:val="21"/>
                <w:szCs w:val="21"/>
              </w:rPr>
              <w:t>7.7(</w:t>
            </w:r>
            <w:r w:rsidRPr="004D19FD">
              <w:rPr>
                <w:rFonts w:ascii="Times New Roman" w:hAnsi="Times New Roman" w:cs="Times New Roman" w:hint="eastAsia"/>
                <w:kern w:val="0"/>
                <w:sz w:val="21"/>
                <w:szCs w:val="21"/>
              </w:rPr>
              <w:t>水温</w:t>
            </w:r>
            <w:r w:rsidRPr="004D19FD">
              <w:rPr>
                <w:rFonts w:ascii="Times New Roman" w:hAnsi="Times New Roman" w:cs="Times New Roman" w:hint="eastAsia"/>
                <w:kern w:val="0"/>
                <w:sz w:val="21"/>
                <w:szCs w:val="21"/>
              </w:rPr>
              <w:t>10.8</w:t>
            </w:r>
            <w:r w:rsidRPr="004D19FD">
              <w:rPr>
                <w:rFonts w:ascii="Times New Roman" w:hAnsi="Times New Roman" w:cs="Times New Roman" w:hint="eastAsia"/>
                <w:kern w:val="0"/>
                <w:sz w:val="21"/>
                <w:szCs w:val="21"/>
              </w:rPr>
              <w:t>℃）</w:t>
            </w:r>
          </w:p>
        </w:tc>
        <w:tc>
          <w:tcPr>
            <w:tcW w:w="557" w:type="pct"/>
            <w:vAlign w:val="center"/>
          </w:tcPr>
          <w:p w:rsidR="004A31DD" w:rsidRPr="007C4A9C" w:rsidRDefault="00E60F0C" w:rsidP="004A31DD">
            <w:pPr>
              <w:pStyle w:val="afffffff2"/>
              <w:rPr>
                <w:rFonts w:ascii="Times New Roman" w:hAnsi="Times New Roman" w:cs="Times New Roman"/>
                <w:kern w:val="0"/>
                <w:sz w:val="21"/>
                <w:szCs w:val="21"/>
              </w:rPr>
            </w:pPr>
            <w:r w:rsidRPr="004D19FD">
              <w:rPr>
                <w:rFonts w:ascii="Times New Roman" w:hAnsi="Times New Roman" w:cs="Times New Roman" w:hint="eastAsia"/>
                <w:kern w:val="0"/>
                <w:sz w:val="21"/>
                <w:szCs w:val="21"/>
              </w:rPr>
              <w:t>7.7(</w:t>
            </w:r>
            <w:r w:rsidRPr="004D19FD">
              <w:rPr>
                <w:rFonts w:ascii="Times New Roman" w:hAnsi="Times New Roman" w:cs="Times New Roman" w:hint="eastAsia"/>
                <w:kern w:val="0"/>
                <w:sz w:val="21"/>
                <w:szCs w:val="21"/>
              </w:rPr>
              <w:t>水温</w:t>
            </w:r>
            <w:r w:rsidRPr="004D19FD">
              <w:rPr>
                <w:rFonts w:ascii="Times New Roman" w:hAnsi="Times New Roman" w:cs="Times New Roman" w:hint="eastAsia"/>
                <w:kern w:val="0"/>
                <w:sz w:val="21"/>
                <w:szCs w:val="21"/>
              </w:rPr>
              <w:t>10.9</w:t>
            </w:r>
            <w:r w:rsidRPr="004D19FD">
              <w:rPr>
                <w:rFonts w:ascii="Times New Roman" w:hAnsi="Times New Roman" w:cs="Times New Roman" w:hint="eastAsia"/>
                <w:kern w:val="0"/>
                <w:sz w:val="21"/>
                <w:szCs w:val="21"/>
              </w:rPr>
              <w:t>℃）</w:t>
            </w:r>
          </w:p>
        </w:tc>
        <w:tc>
          <w:tcPr>
            <w:tcW w:w="558" w:type="pct"/>
            <w:vAlign w:val="center"/>
          </w:tcPr>
          <w:p w:rsidR="004A31DD" w:rsidRPr="007C4A9C" w:rsidRDefault="00E60F0C" w:rsidP="004A31DD">
            <w:pPr>
              <w:pStyle w:val="afffffff2"/>
              <w:rPr>
                <w:rFonts w:ascii="Times New Roman" w:hAnsi="Times New Roman" w:cs="Times New Roman"/>
                <w:kern w:val="0"/>
                <w:sz w:val="21"/>
                <w:szCs w:val="21"/>
              </w:rPr>
            </w:pPr>
            <w:r w:rsidRPr="004D19FD">
              <w:rPr>
                <w:rFonts w:ascii="Times New Roman" w:hAnsi="Times New Roman" w:cs="Times New Roman" w:hint="eastAsia"/>
                <w:kern w:val="0"/>
                <w:sz w:val="21"/>
                <w:szCs w:val="21"/>
              </w:rPr>
              <w:t>7.9(</w:t>
            </w:r>
            <w:r w:rsidRPr="004D19FD">
              <w:rPr>
                <w:rFonts w:ascii="Times New Roman" w:hAnsi="Times New Roman" w:cs="Times New Roman" w:hint="eastAsia"/>
                <w:kern w:val="0"/>
                <w:sz w:val="21"/>
                <w:szCs w:val="21"/>
              </w:rPr>
              <w:t>水温</w:t>
            </w:r>
            <w:r w:rsidRPr="004D19FD">
              <w:rPr>
                <w:rFonts w:ascii="Times New Roman" w:hAnsi="Times New Roman" w:cs="Times New Roman" w:hint="eastAsia"/>
                <w:kern w:val="0"/>
                <w:sz w:val="21"/>
                <w:szCs w:val="21"/>
              </w:rPr>
              <w:t>11.2</w:t>
            </w:r>
            <w:r w:rsidRPr="004D19FD">
              <w:rPr>
                <w:rFonts w:ascii="Times New Roman" w:hAnsi="Times New Roman" w:cs="Times New Roman" w:hint="eastAsia"/>
                <w:kern w:val="0"/>
                <w:sz w:val="21"/>
                <w:szCs w:val="21"/>
              </w:rPr>
              <w:t>℃）</w:t>
            </w:r>
          </w:p>
        </w:tc>
        <w:tc>
          <w:tcPr>
            <w:tcW w:w="552" w:type="pct"/>
            <w:vAlign w:val="center"/>
          </w:tcPr>
          <w:p w:rsidR="004A31DD" w:rsidRPr="007C4A9C" w:rsidRDefault="004A31DD" w:rsidP="004A31DD">
            <w:pPr>
              <w:pStyle w:val="afffffff2"/>
              <w:rPr>
                <w:rFonts w:ascii="Times New Roman" w:hAnsi="Times New Roman" w:cs="Times New Roman"/>
                <w:color w:val="000000"/>
                <w:kern w:val="0"/>
                <w:sz w:val="21"/>
                <w:szCs w:val="21"/>
              </w:rPr>
            </w:pPr>
            <w:r w:rsidRPr="007C4A9C">
              <w:rPr>
                <w:rFonts w:ascii="Times New Roman" w:hAnsi="Times New Roman" w:cs="Times New Roman"/>
                <w:color w:val="000000"/>
                <w:kern w:val="0"/>
                <w:sz w:val="21"/>
                <w:szCs w:val="21"/>
              </w:rPr>
              <w:t>6.5</w:t>
            </w:r>
            <w:r w:rsidRPr="007C4A9C">
              <w:rPr>
                <w:rFonts w:ascii="Times New Roman" w:hAnsi="Times New Roman" w:cs="Times New Roman"/>
                <w:color w:val="000000"/>
                <w:kern w:val="0"/>
                <w:sz w:val="21"/>
                <w:szCs w:val="21"/>
              </w:rPr>
              <w:t>～</w:t>
            </w:r>
            <w:r w:rsidRPr="007C4A9C">
              <w:rPr>
                <w:rFonts w:ascii="Times New Roman" w:hAnsi="Times New Roman" w:cs="Times New Roman"/>
                <w:color w:val="000000"/>
                <w:kern w:val="0"/>
                <w:sz w:val="21"/>
                <w:szCs w:val="21"/>
              </w:rPr>
              <w:t>8.5</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总硬度（</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247</w:t>
            </w:r>
          </w:p>
        </w:tc>
        <w:tc>
          <w:tcPr>
            <w:tcW w:w="557" w:type="pct"/>
            <w:vAlign w:val="center"/>
          </w:tcPr>
          <w:p w:rsidR="004A31DD" w:rsidRPr="007C4A9C" w:rsidRDefault="00E60F0C" w:rsidP="004A31DD">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323</w:t>
            </w:r>
          </w:p>
        </w:tc>
        <w:tc>
          <w:tcPr>
            <w:tcW w:w="557" w:type="pct"/>
            <w:vAlign w:val="center"/>
          </w:tcPr>
          <w:p w:rsidR="004A31DD" w:rsidRPr="007C4A9C" w:rsidRDefault="00E60F0C" w:rsidP="004A31DD">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335</w:t>
            </w:r>
          </w:p>
        </w:tc>
        <w:tc>
          <w:tcPr>
            <w:tcW w:w="557" w:type="pct"/>
            <w:vAlign w:val="center"/>
          </w:tcPr>
          <w:p w:rsidR="004A31DD" w:rsidRPr="007C4A9C" w:rsidRDefault="00E60F0C" w:rsidP="004A31DD">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33</w:t>
            </w:r>
            <w:r w:rsidR="004A31DD" w:rsidRPr="007C4A9C">
              <w:rPr>
                <w:rFonts w:ascii="Times New Roman" w:hAnsi="Times New Roman" w:cs="Times New Roman"/>
                <w:color w:val="000000"/>
                <w:kern w:val="0"/>
                <w:sz w:val="21"/>
                <w:szCs w:val="21"/>
              </w:rPr>
              <w:t>4</w:t>
            </w:r>
          </w:p>
        </w:tc>
        <w:tc>
          <w:tcPr>
            <w:tcW w:w="558" w:type="pct"/>
            <w:vAlign w:val="center"/>
          </w:tcPr>
          <w:p w:rsidR="004A31DD" w:rsidRPr="007C4A9C" w:rsidRDefault="00E60F0C" w:rsidP="004A31DD">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339</w:t>
            </w:r>
          </w:p>
        </w:tc>
        <w:tc>
          <w:tcPr>
            <w:tcW w:w="552" w:type="pct"/>
            <w:vAlign w:val="center"/>
          </w:tcPr>
          <w:p w:rsidR="004A31DD" w:rsidRPr="007C4A9C" w:rsidRDefault="00980708" w:rsidP="004A31DD">
            <w:pPr>
              <w:pStyle w:val="afffffff2"/>
              <w:rPr>
                <w:rFonts w:ascii="Times New Roman" w:hAnsi="Times New Roman" w:cs="Times New Roman"/>
                <w:color w:val="000000"/>
                <w:kern w:val="0"/>
                <w:sz w:val="21"/>
                <w:szCs w:val="21"/>
              </w:rPr>
            </w:pPr>
            <w:r w:rsidRPr="007C4A9C">
              <w:rPr>
                <w:rFonts w:ascii="Times New Roman" w:hAnsi="Times New Roman" w:cs="Times New Roman"/>
                <w:sz w:val="21"/>
                <w:szCs w:val="21"/>
              </w:rPr>
              <w:t>≤450</w:t>
            </w:r>
          </w:p>
        </w:tc>
      </w:tr>
      <w:tr w:rsidR="007C4A9C" w:rsidRPr="007C4A9C" w:rsidTr="00E60F0C">
        <w:trPr>
          <w:trHeight w:val="270"/>
        </w:trPr>
        <w:tc>
          <w:tcPr>
            <w:tcW w:w="1543" w:type="pct"/>
            <w:vAlign w:val="center"/>
          </w:tcPr>
          <w:p w:rsidR="007C4A9C" w:rsidRPr="007C4A9C" w:rsidRDefault="007C4A9C"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溶解性总固体</w:t>
            </w:r>
          </w:p>
        </w:tc>
        <w:tc>
          <w:tcPr>
            <w:tcW w:w="676" w:type="pct"/>
            <w:vAlign w:val="center"/>
          </w:tcPr>
          <w:p w:rsidR="007C4A9C" w:rsidRPr="007C4A9C" w:rsidRDefault="007C4A9C" w:rsidP="004A31DD">
            <w:pPr>
              <w:pStyle w:val="afffffff2"/>
              <w:rPr>
                <w:rFonts w:ascii="Times New Roman" w:hAnsi="Times New Roman" w:cs="Times New Roman"/>
                <w:color w:val="000000"/>
                <w:kern w:val="0"/>
                <w:sz w:val="21"/>
                <w:szCs w:val="21"/>
              </w:rPr>
            </w:pPr>
            <w:r w:rsidRPr="007C4A9C">
              <w:rPr>
                <w:rFonts w:ascii="Times New Roman" w:hAnsi="Times New Roman" w:cs="Times New Roman"/>
                <w:color w:val="000000"/>
                <w:kern w:val="0"/>
                <w:sz w:val="21"/>
                <w:szCs w:val="21"/>
              </w:rPr>
              <w:t>536</w:t>
            </w:r>
          </w:p>
        </w:tc>
        <w:tc>
          <w:tcPr>
            <w:tcW w:w="557" w:type="pct"/>
            <w:vAlign w:val="center"/>
          </w:tcPr>
          <w:p w:rsidR="007C4A9C" w:rsidRPr="007C4A9C" w:rsidRDefault="00E60F0C" w:rsidP="004A31DD">
            <w:pPr>
              <w:pStyle w:val="afffffff2"/>
              <w:rPr>
                <w:rFonts w:ascii="Times New Roman" w:hAnsi="Times New Roman" w:cs="Times New Roman"/>
                <w:color w:val="000000"/>
                <w:kern w:val="0"/>
                <w:sz w:val="21"/>
                <w:szCs w:val="21"/>
              </w:rPr>
            </w:pPr>
            <w:r>
              <w:rPr>
                <w:rFonts w:ascii="Times New Roman" w:hAnsi="Times New Roman" w:cs="Times New Roman"/>
                <w:color w:val="000000"/>
                <w:kern w:val="0"/>
                <w:sz w:val="21"/>
                <w:szCs w:val="21"/>
              </w:rPr>
              <w:t>489</w:t>
            </w:r>
          </w:p>
        </w:tc>
        <w:tc>
          <w:tcPr>
            <w:tcW w:w="557" w:type="pct"/>
            <w:vAlign w:val="center"/>
          </w:tcPr>
          <w:p w:rsidR="007C4A9C" w:rsidRPr="007C4A9C" w:rsidRDefault="00E60F0C" w:rsidP="004A31DD">
            <w:pPr>
              <w:pStyle w:val="afffffff2"/>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5</w:t>
            </w:r>
            <w:r>
              <w:rPr>
                <w:rFonts w:ascii="Times New Roman" w:hAnsi="Times New Roman" w:cs="Times New Roman"/>
                <w:color w:val="000000"/>
                <w:kern w:val="0"/>
                <w:sz w:val="21"/>
                <w:szCs w:val="21"/>
              </w:rPr>
              <w:t>02</w:t>
            </w:r>
          </w:p>
        </w:tc>
        <w:tc>
          <w:tcPr>
            <w:tcW w:w="557" w:type="pct"/>
            <w:vAlign w:val="center"/>
          </w:tcPr>
          <w:p w:rsidR="007C4A9C" w:rsidRPr="007C4A9C" w:rsidRDefault="00E60F0C" w:rsidP="004A31DD">
            <w:pPr>
              <w:pStyle w:val="afffffff2"/>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4</w:t>
            </w:r>
            <w:r>
              <w:rPr>
                <w:rFonts w:ascii="Times New Roman" w:hAnsi="Times New Roman" w:cs="Times New Roman"/>
                <w:color w:val="000000"/>
                <w:kern w:val="0"/>
                <w:sz w:val="21"/>
                <w:szCs w:val="21"/>
              </w:rPr>
              <w:t>17</w:t>
            </w:r>
          </w:p>
        </w:tc>
        <w:tc>
          <w:tcPr>
            <w:tcW w:w="558" w:type="pct"/>
            <w:vAlign w:val="center"/>
          </w:tcPr>
          <w:p w:rsidR="007C4A9C" w:rsidRPr="007C4A9C" w:rsidRDefault="00E60F0C" w:rsidP="004A31DD">
            <w:pPr>
              <w:pStyle w:val="afffffff2"/>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5</w:t>
            </w:r>
            <w:r>
              <w:rPr>
                <w:rFonts w:ascii="Times New Roman" w:hAnsi="Times New Roman" w:cs="Times New Roman"/>
                <w:color w:val="000000"/>
                <w:kern w:val="0"/>
                <w:sz w:val="21"/>
                <w:szCs w:val="21"/>
              </w:rPr>
              <w:t>11</w:t>
            </w:r>
          </w:p>
        </w:tc>
        <w:tc>
          <w:tcPr>
            <w:tcW w:w="552" w:type="pct"/>
            <w:vAlign w:val="center"/>
          </w:tcPr>
          <w:p w:rsidR="007C4A9C" w:rsidRPr="007C4A9C" w:rsidRDefault="007C4A9C" w:rsidP="004A31DD">
            <w:pPr>
              <w:pStyle w:val="afffffff2"/>
              <w:rPr>
                <w:rFonts w:ascii="Times New Roman" w:hAnsi="Times New Roman" w:cs="Times New Roman"/>
                <w:sz w:val="21"/>
                <w:szCs w:val="21"/>
              </w:rPr>
            </w:pPr>
            <w:r w:rsidRPr="007C4A9C">
              <w:rPr>
                <w:rFonts w:ascii="Times New Roman" w:hAnsi="Times New Roman" w:cs="Times New Roman"/>
                <w:bCs/>
                <w:sz w:val="21"/>
                <w:szCs w:val="21"/>
              </w:rPr>
              <w:t>≤1000</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氯化物（</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A31DD" w:rsidRPr="007C4A9C" w:rsidRDefault="007C4A9C" w:rsidP="004A31DD">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66.3</w:t>
            </w:r>
          </w:p>
        </w:tc>
        <w:tc>
          <w:tcPr>
            <w:tcW w:w="557" w:type="pct"/>
            <w:vAlign w:val="center"/>
          </w:tcPr>
          <w:p w:rsidR="004A31DD" w:rsidRPr="007C4A9C" w:rsidRDefault="00E60F0C" w:rsidP="004A31DD">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19.3</w:t>
            </w:r>
          </w:p>
        </w:tc>
        <w:tc>
          <w:tcPr>
            <w:tcW w:w="557" w:type="pct"/>
            <w:vAlign w:val="center"/>
          </w:tcPr>
          <w:p w:rsidR="004A31DD" w:rsidRPr="007C4A9C" w:rsidRDefault="00E60F0C" w:rsidP="004A31DD">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22.4</w:t>
            </w:r>
          </w:p>
        </w:tc>
        <w:tc>
          <w:tcPr>
            <w:tcW w:w="557" w:type="pct"/>
            <w:vAlign w:val="center"/>
          </w:tcPr>
          <w:p w:rsidR="004A31DD" w:rsidRPr="007C4A9C" w:rsidRDefault="00E60F0C"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9.72</w:t>
            </w:r>
          </w:p>
        </w:tc>
        <w:tc>
          <w:tcPr>
            <w:tcW w:w="558" w:type="pct"/>
            <w:vAlign w:val="center"/>
          </w:tcPr>
          <w:p w:rsidR="004A31DD" w:rsidRPr="007C4A9C" w:rsidRDefault="00E60F0C"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24</w:t>
            </w:r>
          </w:p>
        </w:tc>
        <w:tc>
          <w:tcPr>
            <w:tcW w:w="552" w:type="pct"/>
            <w:vAlign w:val="center"/>
          </w:tcPr>
          <w:p w:rsidR="004A31DD" w:rsidRPr="007C4A9C" w:rsidRDefault="00980708" w:rsidP="004A31DD">
            <w:pPr>
              <w:pStyle w:val="afffffff2"/>
              <w:rPr>
                <w:rFonts w:ascii="Times New Roman" w:hAnsi="Times New Roman" w:cs="Times New Roman"/>
                <w:kern w:val="0"/>
                <w:sz w:val="21"/>
                <w:szCs w:val="21"/>
              </w:rPr>
            </w:pPr>
            <w:r w:rsidRPr="007C4A9C">
              <w:rPr>
                <w:rFonts w:ascii="Times New Roman" w:hAnsi="Times New Roman" w:cs="Times New Roman"/>
                <w:sz w:val="21"/>
                <w:szCs w:val="21"/>
              </w:rPr>
              <w:t>≤250</w:t>
            </w:r>
          </w:p>
        </w:tc>
      </w:tr>
      <w:tr w:rsidR="00980708" w:rsidRPr="007C4A9C" w:rsidTr="00E60F0C">
        <w:trPr>
          <w:trHeight w:val="270"/>
        </w:trPr>
        <w:tc>
          <w:tcPr>
            <w:tcW w:w="1543" w:type="pct"/>
            <w:vAlign w:val="center"/>
          </w:tcPr>
          <w:p w:rsidR="00980708" w:rsidRPr="007C4A9C" w:rsidRDefault="00980708" w:rsidP="00980708">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铁（</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980708" w:rsidRPr="007C4A9C" w:rsidRDefault="00980708" w:rsidP="00980708">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0.03L</w:t>
            </w:r>
          </w:p>
        </w:tc>
        <w:tc>
          <w:tcPr>
            <w:tcW w:w="557" w:type="pct"/>
            <w:vAlign w:val="center"/>
          </w:tcPr>
          <w:p w:rsidR="00980708" w:rsidRPr="007C4A9C" w:rsidRDefault="00E60F0C" w:rsidP="00980708">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0.03</w:t>
            </w:r>
          </w:p>
        </w:tc>
        <w:tc>
          <w:tcPr>
            <w:tcW w:w="557" w:type="pct"/>
            <w:vAlign w:val="center"/>
          </w:tcPr>
          <w:p w:rsidR="00980708" w:rsidRPr="007C4A9C" w:rsidRDefault="00980708" w:rsidP="00632A2E">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w:t>
            </w:r>
            <w:r w:rsidR="00632A2E">
              <w:rPr>
                <w:rFonts w:ascii="Times New Roman" w:hAnsi="Times New Roman" w:cs="Times New Roman"/>
                <w:color w:val="000000"/>
                <w:kern w:val="0"/>
                <w:sz w:val="21"/>
                <w:szCs w:val="21"/>
              </w:rPr>
              <w:t>22</w:t>
            </w:r>
          </w:p>
        </w:tc>
        <w:tc>
          <w:tcPr>
            <w:tcW w:w="557" w:type="pct"/>
            <w:vAlign w:val="center"/>
          </w:tcPr>
          <w:p w:rsidR="00980708" w:rsidRPr="007C4A9C" w:rsidRDefault="00632A2E" w:rsidP="00980708">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0.03</w:t>
            </w:r>
          </w:p>
        </w:tc>
        <w:tc>
          <w:tcPr>
            <w:tcW w:w="558" w:type="pct"/>
            <w:vAlign w:val="center"/>
          </w:tcPr>
          <w:p w:rsidR="00980708" w:rsidRPr="007C4A9C" w:rsidRDefault="00980708" w:rsidP="00980708">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0.03L</w:t>
            </w:r>
          </w:p>
        </w:tc>
        <w:tc>
          <w:tcPr>
            <w:tcW w:w="552" w:type="pct"/>
            <w:vAlign w:val="center"/>
          </w:tcPr>
          <w:p w:rsidR="00980708" w:rsidRPr="007C4A9C" w:rsidRDefault="00980708" w:rsidP="00E60F0C">
            <w:pPr>
              <w:ind w:firstLineChars="0" w:firstLine="0"/>
              <w:jc w:val="center"/>
              <w:rPr>
                <w:rFonts w:ascii="Times New Roman" w:hAnsi="Times New Roman"/>
                <w:sz w:val="21"/>
                <w:szCs w:val="21"/>
              </w:rPr>
            </w:pPr>
            <w:r w:rsidRPr="007C4A9C">
              <w:rPr>
                <w:rFonts w:ascii="Times New Roman" w:hAnsi="Times New Roman"/>
                <w:sz w:val="21"/>
                <w:szCs w:val="21"/>
              </w:rPr>
              <w:t>≤0.3</w:t>
            </w:r>
          </w:p>
        </w:tc>
      </w:tr>
      <w:tr w:rsidR="00980708" w:rsidRPr="007C4A9C" w:rsidTr="00E60F0C">
        <w:trPr>
          <w:trHeight w:val="270"/>
        </w:trPr>
        <w:tc>
          <w:tcPr>
            <w:tcW w:w="1543" w:type="pct"/>
            <w:vAlign w:val="center"/>
          </w:tcPr>
          <w:p w:rsidR="00980708" w:rsidRPr="007C4A9C" w:rsidRDefault="00980708" w:rsidP="00980708">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锰（</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980708" w:rsidRPr="007C4A9C" w:rsidRDefault="007C4A9C" w:rsidP="00980708">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0.08</w:t>
            </w:r>
          </w:p>
        </w:tc>
        <w:tc>
          <w:tcPr>
            <w:tcW w:w="557" w:type="pct"/>
            <w:vAlign w:val="center"/>
          </w:tcPr>
          <w:p w:rsidR="00980708" w:rsidRPr="007C4A9C" w:rsidRDefault="00980708" w:rsidP="00632A2E">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w:t>
            </w:r>
            <w:r w:rsidR="00632A2E">
              <w:rPr>
                <w:rFonts w:ascii="Times New Roman" w:hAnsi="Times New Roman" w:cs="Times New Roman"/>
                <w:color w:val="000000"/>
                <w:kern w:val="0"/>
                <w:sz w:val="21"/>
                <w:szCs w:val="21"/>
              </w:rPr>
              <w:t>7</w:t>
            </w:r>
          </w:p>
        </w:tc>
        <w:tc>
          <w:tcPr>
            <w:tcW w:w="557" w:type="pct"/>
            <w:vAlign w:val="center"/>
          </w:tcPr>
          <w:p w:rsidR="00980708" w:rsidRPr="007C4A9C" w:rsidRDefault="00980708" w:rsidP="00632A2E">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w:t>
            </w:r>
            <w:r w:rsidR="00632A2E">
              <w:rPr>
                <w:rFonts w:ascii="Times New Roman" w:hAnsi="Times New Roman" w:cs="Times New Roman"/>
                <w:color w:val="000000"/>
                <w:kern w:val="0"/>
                <w:sz w:val="21"/>
                <w:szCs w:val="21"/>
              </w:rPr>
              <w:t>9</w:t>
            </w:r>
          </w:p>
        </w:tc>
        <w:tc>
          <w:tcPr>
            <w:tcW w:w="557" w:type="pct"/>
            <w:vAlign w:val="center"/>
          </w:tcPr>
          <w:p w:rsidR="00980708" w:rsidRPr="007C4A9C" w:rsidRDefault="00980708" w:rsidP="00632A2E">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w:t>
            </w:r>
            <w:r w:rsidR="00632A2E">
              <w:rPr>
                <w:rFonts w:ascii="Times New Roman" w:hAnsi="Times New Roman" w:cs="Times New Roman"/>
                <w:color w:val="000000"/>
                <w:kern w:val="0"/>
                <w:sz w:val="21"/>
                <w:szCs w:val="21"/>
              </w:rPr>
              <w:t>8</w:t>
            </w:r>
          </w:p>
        </w:tc>
        <w:tc>
          <w:tcPr>
            <w:tcW w:w="558" w:type="pct"/>
            <w:vAlign w:val="center"/>
          </w:tcPr>
          <w:p w:rsidR="00980708" w:rsidRPr="007C4A9C" w:rsidRDefault="00980708" w:rsidP="00980708">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0.01L</w:t>
            </w:r>
          </w:p>
        </w:tc>
        <w:tc>
          <w:tcPr>
            <w:tcW w:w="552" w:type="pct"/>
            <w:vAlign w:val="center"/>
          </w:tcPr>
          <w:p w:rsidR="00980708" w:rsidRPr="007C4A9C" w:rsidRDefault="00980708" w:rsidP="00E60F0C">
            <w:pPr>
              <w:ind w:firstLineChars="0" w:firstLine="0"/>
              <w:jc w:val="center"/>
              <w:rPr>
                <w:rFonts w:ascii="Times New Roman" w:hAnsi="Times New Roman"/>
                <w:sz w:val="21"/>
                <w:szCs w:val="21"/>
              </w:rPr>
            </w:pPr>
            <w:r w:rsidRPr="007C4A9C">
              <w:rPr>
                <w:rFonts w:ascii="Times New Roman" w:hAnsi="Times New Roman"/>
                <w:sz w:val="21"/>
                <w:szCs w:val="21"/>
              </w:rPr>
              <w:t>≤0.1</w:t>
            </w:r>
          </w:p>
        </w:tc>
      </w:tr>
      <w:tr w:rsidR="00980708" w:rsidRPr="007C4A9C" w:rsidTr="00E60F0C">
        <w:trPr>
          <w:trHeight w:val="270"/>
        </w:trPr>
        <w:tc>
          <w:tcPr>
            <w:tcW w:w="1543" w:type="pct"/>
            <w:vAlign w:val="center"/>
          </w:tcPr>
          <w:p w:rsidR="00980708" w:rsidRPr="007C4A9C" w:rsidRDefault="00980708" w:rsidP="00980708">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铜（</w:t>
            </w:r>
            <w:r w:rsidRPr="007C4A9C">
              <w:rPr>
                <w:rFonts w:ascii="Times New Roman" w:hAnsi="Times New Roman" w:cs="Times New Roman"/>
                <w:kern w:val="0"/>
                <w:sz w:val="21"/>
                <w:szCs w:val="21"/>
              </w:rPr>
              <w:t>μg/L</w:t>
            </w:r>
            <w:r w:rsidRPr="007C4A9C">
              <w:rPr>
                <w:rFonts w:ascii="Times New Roman" w:hAnsi="Times New Roman" w:cs="Times New Roman"/>
                <w:kern w:val="0"/>
                <w:sz w:val="21"/>
                <w:szCs w:val="21"/>
              </w:rPr>
              <w:t>）</w:t>
            </w:r>
          </w:p>
        </w:tc>
        <w:tc>
          <w:tcPr>
            <w:tcW w:w="676" w:type="pct"/>
            <w:vAlign w:val="center"/>
          </w:tcPr>
          <w:p w:rsidR="00980708" w:rsidRPr="007C4A9C" w:rsidRDefault="007C4A9C" w:rsidP="00980708">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3</w:t>
            </w:r>
          </w:p>
        </w:tc>
        <w:tc>
          <w:tcPr>
            <w:tcW w:w="557" w:type="pct"/>
            <w:vAlign w:val="center"/>
          </w:tcPr>
          <w:p w:rsidR="00980708" w:rsidRPr="007C4A9C" w:rsidRDefault="00632A2E" w:rsidP="00980708">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5</w:t>
            </w:r>
            <w:r w:rsidR="00980708" w:rsidRPr="007C4A9C">
              <w:rPr>
                <w:rFonts w:ascii="Times New Roman" w:hAnsi="Times New Roman" w:cs="Times New Roman"/>
                <w:color w:val="000000"/>
                <w:kern w:val="0"/>
                <w:sz w:val="21"/>
                <w:szCs w:val="21"/>
              </w:rPr>
              <w:t>L</w:t>
            </w:r>
          </w:p>
        </w:tc>
        <w:tc>
          <w:tcPr>
            <w:tcW w:w="557" w:type="pct"/>
            <w:vAlign w:val="center"/>
          </w:tcPr>
          <w:p w:rsidR="00980708" w:rsidRPr="007C4A9C" w:rsidRDefault="00632A2E" w:rsidP="00980708">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5</w:t>
            </w:r>
            <w:r w:rsidR="00980708" w:rsidRPr="007C4A9C">
              <w:rPr>
                <w:rFonts w:ascii="Times New Roman" w:hAnsi="Times New Roman" w:cs="Times New Roman"/>
                <w:color w:val="000000"/>
                <w:kern w:val="0"/>
                <w:sz w:val="21"/>
                <w:szCs w:val="21"/>
              </w:rPr>
              <w:t>L</w:t>
            </w:r>
          </w:p>
        </w:tc>
        <w:tc>
          <w:tcPr>
            <w:tcW w:w="557" w:type="pct"/>
            <w:vAlign w:val="center"/>
          </w:tcPr>
          <w:p w:rsidR="00980708" w:rsidRPr="007C4A9C" w:rsidRDefault="00632A2E" w:rsidP="00980708">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5</w:t>
            </w:r>
            <w:r w:rsidR="00980708" w:rsidRPr="007C4A9C">
              <w:rPr>
                <w:rFonts w:ascii="Times New Roman" w:hAnsi="Times New Roman" w:cs="Times New Roman"/>
                <w:color w:val="000000"/>
                <w:kern w:val="0"/>
                <w:sz w:val="21"/>
                <w:szCs w:val="21"/>
              </w:rPr>
              <w:t>L</w:t>
            </w:r>
          </w:p>
        </w:tc>
        <w:tc>
          <w:tcPr>
            <w:tcW w:w="558" w:type="pct"/>
            <w:vAlign w:val="center"/>
          </w:tcPr>
          <w:p w:rsidR="00980708" w:rsidRPr="007C4A9C" w:rsidRDefault="00632A2E" w:rsidP="00980708">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5</w:t>
            </w:r>
            <w:r w:rsidR="00980708" w:rsidRPr="007C4A9C">
              <w:rPr>
                <w:rFonts w:ascii="Times New Roman" w:hAnsi="Times New Roman" w:cs="Times New Roman"/>
                <w:color w:val="000000"/>
                <w:kern w:val="0"/>
                <w:sz w:val="21"/>
                <w:szCs w:val="21"/>
              </w:rPr>
              <w:t>L</w:t>
            </w:r>
          </w:p>
        </w:tc>
        <w:tc>
          <w:tcPr>
            <w:tcW w:w="552" w:type="pct"/>
            <w:vAlign w:val="center"/>
          </w:tcPr>
          <w:p w:rsidR="00980708" w:rsidRPr="007C4A9C" w:rsidRDefault="00980708" w:rsidP="007C4A9C">
            <w:pPr>
              <w:ind w:firstLineChars="0" w:firstLine="0"/>
              <w:jc w:val="center"/>
              <w:rPr>
                <w:rFonts w:ascii="Times New Roman" w:hAnsi="Times New Roman"/>
                <w:sz w:val="21"/>
                <w:szCs w:val="21"/>
              </w:rPr>
            </w:pPr>
            <w:r w:rsidRPr="007C4A9C">
              <w:rPr>
                <w:rFonts w:ascii="Times New Roman" w:hAnsi="Times New Roman"/>
                <w:sz w:val="21"/>
                <w:szCs w:val="21"/>
              </w:rPr>
              <w:t>≤</w:t>
            </w:r>
            <w:r w:rsidR="007C4A9C">
              <w:rPr>
                <w:rFonts w:ascii="Times New Roman" w:hAnsi="Times New Roman"/>
                <w:sz w:val="21"/>
                <w:szCs w:val="21"/>
              </w:rPr>
              <w:t>1000</w:t>
            </w:r>
          </w:p>
        </w:tc>
      </w:tr>
      <w:tr w:rsidR="00980708" w:rsidRPr="007C4A9C" w:rsidTr="00E60F0C">
        <w:trPr>
          <w:trHeight w:val="270"/>
        </w:trPr>
        <w:tc>
          <w:tcPr>
            <w:tcW w:w="1543" w:type="pct"/>
            <w:vAlign w:val="center"/>
          </w:tcPr>
          <w:p w:rsidR="00980708" w:rsidRPr="007C4A9C" w:rsidRDefault="00980708" w:rsidP="00980708">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锌（</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980708" w:rsidRPr="007C4A9C" w:rsidRDefault="00980708" w:rsidP="007C4A9C">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0.05</w:t>
            </w:r>
          </w:p>
        </w:tc>
        <w:tc>
          <w:tcPr>
            <w:tcW w:w="557" w:type="pct"/>
            <w:vAlign w:val="center"/>
          </w:tcPr>
          <w:p w:rsidR="00980708" w:rsidRPr="007C4A9C" w:rsidRDefault="00980708" w:rsidP="00632A2E">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w:t>
            </w:r>
            <w:r w:rsidR="00632A2E">
              <w:rPr>
                <w:rFonts w:ascii="Times New Roman" w:hAnsi="Times New Roman" w:cs="Times New Roman"/>
                <w:color w:val="000000"/>
                <w:kern w:val="0"/>
                <w:sz w:val="21"/>
                <w:szCs w:val="21"/>
              </w:rPr>
              <w:t>43</w:t>
            </w:r>
          </w:p>
        </w:tc>
        <w:tc>
          <w:tcPr>
            <w:tcW w:w="557" w:type="pct"/>
            <w:vAlign w:val="center"/>
          </w:tcPr>
          <w:p w:rsidR="00980708" w:rsidRPr="007C4A9C" w:rsidRDefault="00980708" w:rsidP="00980708">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0.05L</w:t>
            </w:r>
          </w:p>
        </w:tc>
        <w:tc>
          <w:tcPr>
            <w:tcW w:w="557" w:type="pct"/>
            <w:vAlign w:val="center"/>
          </w:tcPr>
          <w:p w:rsidR="00980708" w:rsidRPr="007C4A9C" w:rsidRDefault="00980708" w:rsidP="00980708">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0.05L</w:t>
            </w:r>
          </w:p>
        </w:tc>
        <w:tc>
          <w:tcPr>
            <w:tcW w:w="558" w:type="pct"/>
            <w:vAlign w:val="center"/>
          </w:tcPr>
          <w:p w:rsidR="00980708" w:rsidRPr="007C4A9C" w:rsidRDefault="00980708" w:rsidP="00980708">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0.05L</w:t>
            </w:r>
          </w:p>
        </w:tc>
        <w:tc>
          <w:tcPr>
            <w:tcW w:w="552" w:type="pct"/>
            <w:vAlign w:val="center"/>
          </w:tcPr>
          <w:p w:rsidR="00980708" w:rsidRPr="007C4A9C" w:rsidRDefault="00980708" w:rsidP="00980708">
            <w:pPr>
              <w:ind w:firstLineChars="0" w:firstLine="0"/>
              <w:jc w:val="center"/>
              <w:rPr>
                <w:rFonts w:ascii="Times New Roman" w:hAnsi="Times New Roman"/>
                <w:sz w:val="21"/>
                <w:szCs w:val="21"/>
              </w:rPr>
            </w:pPr>
            <w:r w:rsidRPr="007C4A9C">
              <w:rPr>
                <w:rFonts w:ascii="Times New Roman" w:hAnsi="Times New Roman"/>
                <w:sz w:val="21"/>
                <w:szCs w:val="21"/>
              </w:rPr>
              <w:t>≤1.0</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挥发酚（</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0.0003L</w:t>
            </w:r>
          </w:p>
        </w:tc>
        <w:tc>
          <w:tcPr>
            <w:tcW w:w="557"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0.0003L</w:t>
            </w:r>
          </w:p>
        </w:tc>
        <w:tc>
          <w:tcPr>
            <w:tcW w:w="557"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0.0003L</w:t>
            </w:r>
          </w:p>
        </w:tc>
        <w:tc>
          <w:tcPr>
            <w:tcW w:w="557"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0.0003L</w:t>
            </w:r>
          </w:p>
        </w:tc>
        <w:tc>
          <w:tcPr>
            <w:tcW w:w="558"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0.0003L</w:t>
            </w:r>
          </w:p>
        </w:tc>
        <w:tc>
          <w:tcPr>
            <w:tcW w:w="552" w:type="pct"/>
            <w:vAlign w:val="center"/>
          </w:tcPr>
          <w:p w:rsidR="004A31DD" w:rsidRPr="007C4A9C" w:rsidRDefault="00980708" w:rsidP="004A31DD">
            <w:pPr>
              <w:pStyle w:val="afffffff2"/>
              <w:rPr>
                <w:rFonts w:ascii="Times New Roman" w:hAnsi="Times New Roman" w:cs="Times New Roman"/>
                <w:color w:val="000000"/>
                <w:kern w:val="0"/>
                <w:sz w:val="21"/>
                <w:szCs w:val="21"/>
              </w:rPr>
            </w:pPr>
            <w:r w:rsidRPr="007C4A9C">
              <w:rPr>
                <w:rFonts w:ascii="Times New Roman" w:hAnsi="Times New Roman" w:cs="Times New Roman"/>
                <w:sz w:val="21"/>
                <w:szCs w:val="21"/>
              </w:rPr>
              <w:t>≤0.002</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阴离子表面活性剂（</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0.05L</w:t>
            </w:r>
          </w:p>
        </w:tc>
        <w:tc>
          <w:tcPr>
            <w:tcW w:w="557"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0.05L</w:t>
            </w:r>
          </w:p>
        </w:tc>
        <w:tc>
          <w:tcPr>
            <w:tcW w:w="557"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0.05L</w:t>
            </w:r>
          </w:p>
        </w:tc>
        <w:tc>
          <w:tcPr>
            <w:tcW w:w="557"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0.05L</w:t>
            </w:r>
          </w:p>
        </w:tc>
        <w:tc>
          <w:tcPr>
            <w:tcW w:w="558"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0.05L</w:t>
            </w:r>
          </w:p>
        </w:tc>
        <w:tc>
          <w:tcPr>
            <w:tcW w:w="552" w:type="pct"/>
            <w:vAlign w:val="center"/>
          </w:tcPr>
          <w:p w:rsidR="004A31DD" w:rsidRPr="007C4A9C" w:rsidRDefault="00980708" w:rsidP="004A31DD">
            <w:pPr>
              <w:pStyle w:val="afffffff2"/>
              <w:rPr>
                <w:rFonts w:ascii="Times New Roman" w:hAnsi="Times New Roman" w:cs="Times New Roman"/>
                <w:color w:val="000000"/>
                <w:kern w:val="0"/>
                <w:sz w:val="21"/>
                <w:szCs w:val="21"/>
              </w:rPr>
            </w:pPr>
            <w:r w:rsidRPr="007C4A9C">
              <w:rPr>
                <w:rFonts w:ascii="Times New Roman" w:hAnsi="Times New Roman" w:cs="Times New Roman"/>
                <w:sz w:val="21"/>
                <w:szCs w:val="21"/>
              </w:rPr>
              <w:t>≤0.3</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耗氧量（</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A31DD" w:rsidRPr="007C4A9C" w:rsidRDefault="007C4A9C" w:rsidP="004A31DD">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2.40</w:t>
            </w:r>
          </w:p>
        </w:tc>
        <w:tc>
          <w:tcPr>
            <w:tcW w:w="557" w:type="pct"/>
            <w:vAlign w:val="center"/>
          </w:tcPr>
          <w:p w:rsidR="004A31DD"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0.8</w:t>
            </w:r>
          </w:p>
        </w:tc>
        <w:tc>
          <w:tcPr>
            <w:tcW w:w="557" w:type="pct"/>
            <w:vAlign w:val="center"/>
          </w:tcPr>
          <w:p w:rsidR="004A31DD"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0.8</w:t>
            </w:r>
          </w:p>
        </w:tc>
        <w:tc>
          <w:tcPr>
            <w:tcW w:w="557" w:type="pct"/>
            <w:vAlign w:val="center"/>
          </w:tcPr>
          <w:p w:rsidR="004A31DD"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0.9</w:t>
            </w:r>
          </w:p>
        </w:tc>
        <w:tc>
          <w:tcPr>
            <w:tcW w:w="558" w:type="pct"/>
            <w:vAlign w:val="center"/>
          </w:tcPr>
          <w:p w:rsidR="004A31DD"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0.7</w:t>
            </w:r>
          </w:p>
        </w:tc>
        <w:tc>
          <w:tcPr>
            <w:tcW w:w="552" w:type="pct"/>
            <w:vAlign w:val="center"/>
          </w:tcPr>
          <w:p w:rsidR="004A31DD" w:rsidRPr="007C4A9C" w:rsidRDefault="00980708" w:rsidP="004A31DD">
            <w:pPr>
              <w:pStyle w:val="afffffff2"/>
              <w:rPr>
                <w:rFonts w:ascii="Times New Roman" w:hAnsi="Times New Roman" w:cs="Times New Roman"/>
                <w:kern w:val="0"/>
                <w:sz w:val="21"/>
                <w:szCs w:val="21"/>
              </w:rPr>
            </w:pPr>
            <w:r w:rsidRPr="007C4A9C">
              <w:rPr>
                <w:rFonts w:ascii="Times New Roman" w:hAnsi="Times New Roman" w:cs="Times New Roman"/>
                <w:bCs/>
                <w:kern w:val="0"/>
                <w:sz w:val="21"/>
                <w:szCs w:val="21"/>
              </w:rPr>
              <w:t>≤3.0</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氨氮（</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A31DD" w:rsidRPr="007C4A9C" w:rsidRDefault="007C4A9C" w:rsidP="004A31DD">
            <w:pPr>
              <w:pStyle w:val="afffffff2"/>
              <w:rPr>
                <w:rFonts w:ascii="Times New Roman" w:hAnsi="Times New Roman" w:cs="Times New Roman"/>
                <w:kern w:val="0"/>
                <w:sz w:val="21"/>
                <w:szCs w:val="21"/>
              </w:rPr>
            </w:pPr>
            <w:r>
              <w:rPr>
                <w:rFonts w:ascii="Times New Roman" w:hAnsi="Times New Roman" w:cs="Times New Roman"/>
                <w:color w:val="000000"/>
                <w:kern w:val="0"/>
                <w:sz w:val="21"/>
                <w:szCs w:val="21"/>
              </w:rPr>
              <w:t>0.043</w:t>
            </w:r>
          </w:p>
        </w:tc>
        <w:tc>
          <w:tcPr>
            <w:tcW w:w="557" w:type="pct"/>
            <w:vAlign w:val="center"/>
          </w:tcPr>
          <w:p w:rsidR="004A31DD" w:rsidRPr="007C4A9C" w:rsidRDefault="004A31DD" w:rsidP="00632A2E">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w:t>
            </w:r>
            <w:r w:rsidR="00632A2E">
              <w:rPr>
                <w:rFonts w:ascii="Times New Roman" w:hAnsi="Times New Roman" w:cs="Times New Roman"/>
                <w:color w:val="000000"/>
                <w:kern w:val="0"/>
                <w:sz w:val="21"/>
                <w:szCs w:val="21"/>
              </w:rPr>
              <w:t>186</w:t>
            </w:r>
          </w:p>
        </w:tc>
        <w:tc>
          <w:tcPr>
            <w:tcW w:w="557" w:type="pct"/>
            <w:vAlign w:val="center"/>
          </w:tcPr>
          <w:p w:rsidR="004A31DD" w:rsidRPr="007C4A9C" w:rsidRDefault="004A31DD" w:rsidP="00632A2E">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w:t>
            </w:r>
            <w:r w:rsidR="00632A2E">
              <w:rPr>
                <w:rFonts w:ascii="Times New Roman" w:hAnsi="Times New Roman" w:cs="Times New Roman"/>
                <w:color w:val="000000"/>
                <w:kern w:val="0"/>
                <w:sz w:val="21"/>
                <w:szCs w:val="21"/>
              </w:rPr>
              <w:t>267</w:t>
            </w:r>
          </w:p>
        </w:tc>
        <w:tc>
          <w:tcPr>
            <w:tcW w:w="557" w:type="pct"/>
            <w:vAlign w:val="center"/>
          </w:tcPr>
          <w:p w:rsidR="004A31DD" w:rsidRPr="007C4A9C" w:rsidRDefault="004A31DD" w:rsidP="00632A2E">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w:t>
            </w:r>
            <w:r w:rsidR="00632A2E">
              <w:rPr>
                <w:rFonts w:ascii="Times New Roman" w:hAnsi="Times New Roman" w:cs="Times New Roman"/>
                <w:color w:val="000000"/>
                <w:kern w:val="0"/>
                <w:sz w:val="21"/>
                <w:szCs w:val="21"/>
              </w:rPr>
              <w:t>214</w:t>
            </w:r>
          </w:p>
        </w:tc>
        <w:tc>
          <w:tcPr>
            <w:tcW w:w="558" w:type="pct"/>
            <w:vAlign w:val="center"/>
          </w:tcPr>
          <w:p w:rsidR="004A31DD" w:rsidRPr="007C4A9C" w:rsidRDefault="004A31DD" w:rsidP="00632A2E">
            <w:pPr>
              <w:pStyle w:val="afffffff2"/>
              <w:rPr>
                <w:rFonts w:ascii="Times New Roman" w:hAnsi="Times New Roman" w:cs="Times New Roman"/>
                <w:kern w:val="0"/>
                <w:sz w:val="21"/>
                <w:szCs w:val="21"/>
              </w:rPr>
            </w:pPr>
            <w:r w:rsidRPr="007C4A9C">
              <w:rPr>
                <w:rFonts w:ascii="Times New Roman" w:hAnsi="Times New Roman" w:cs="Times New Roman"/>
                <w:color w:val="000000"/>
                <w:kern w:val="0"/>
                <w:sz w:val="21"/>
                <w:szCs w:val="21"/>
              </w:rPr>
              <w:t>0.</w:t>
            </w:r>
            <w:r w:rsidR="00632A2E">
              <w:rPr>
                <w:rFonts w:ascii="Times New Roman" w:hAnsi="Times New Roman" w:cs="Times New Roman"/>
                <w:color w:val="000000"/>
                <w:kern w:val="0"/>
                <w:sz w:val="21"/>
                <w:szCs w:val="21"/>
              </w:rPr>
              <w:t>151</w:t>
            </w:r>
          </w:p>
        </w:tc>
        <w:tc>
          <w:tcPr>
            <w:tcW w:w="552" w:type="pct"/>
            <w:vAlign w:val="center"/>
          </w:tcPr>
          <w:p w:rsidR="004A31DD" w:rsidRPr="007C4A9C" w:rsidRDefault="00980708" w:rsidP="004A31DD">
            <w:pPr>
              <w:pStyle w:val="afffffff2"/>
              <w:rPr>
                <w:rFonts w:ascii="Times New Roman" w:hAnsi="Times New Roman" w:cs="Times New Roman"/>
                <w:color w:val="000000"/>
                <w:kern w:val="0"/>
                <w:sz w:val="21"/>
                <w:szCs w:val="21"/>
              </w:rPr>
            </w:pPr>
            <w:r w:rsidRPr="007C4A9C">
              <w:rPr>
                <w:rFonts w:ascii="Times New Roman" w:hAnsi="Times New Roman" w:cs="Times New Roman"/>
                <w:sz w:val="21"/>
                <w:szCs w:val="21"/>
              </w:rPr>
              <w:t>≤0.5</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硫化物（</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A31DD" w:rsidRPr="007C4A9C" w:rsidRDefault="004A31DD" w:rsidP="007C4A9C">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0.00</w:t>
            </w:r>
            <w:r w:rsidR="007C4A9C">
              <w:rPr>
                <w:rFonts w:ascii="Times New Roman" w:hAnsi="Times New Roman" w:cs="Times New Roman"/>
                <w:kern w:val="0"/>
                <w:sz w:val="21"/>
                <w:szCs w:val="21"/>
              </w:rPr>
              <w:t>3</w:t>
            </w:r>
            <w:r w:rsidRPr="007C4A9C">
              <w:rPr>
                <w:rFonts w:ascii="Times New Roman" w:hAnsi="Times New Roman" w:cs="Times New Roman"/>
                <w:kern w:val="0"/>
                <w:sz w:val="21"/>
                <w:szCs w:val="21"/>
              </w:rPr>
              <w:t>L</w:t>
            </w:r>
          </w:p>
        </w:tc>
        <w:tc>
          <w:tcPr>
            <w:tcW w:w="557" w:type="pct"/>
            <w:vAlign w:val="center"/>
          </w:tcPr>
          <w:p w:rsidR="004A31DD" w:rsidRPr="007C4A9C" w:rsidRDefault="004A31DD" w:rsidP="00632A2E">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0.00</w:t>
            </w:r>
            <w:r w:rsidR="00632A2E">
              <w:rPr>
                <w:rFonts w:ascii="Times New Roman" w:hAnsi="Times New Roman" w:cs="Times New Roman"/>
                <w:kern w:val="0"/>
                <w:sz w:val="21"/>
                <w:szCs w:val="21"/>
              </w:rPr>
              <w:t>4</w:t>
            </w:r>
          </w:p>
        </w:tc>
        <w:tc>
          <w:tcPr>
            <w:tcW w:w="557" w:type="pct"/>
            <w:vAlign w:val="center"/>
          </w:tcPr>
          <w:p w:rsidR="004A31DD" w:rsidRPr="007C4A9C" w:rsidRDefault="004A31DD" w:rsidP="00632A2E">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0.00</w:t>
            </w:r>
            <w:r w:rsidR="00632A2E">
              <w:rPr>
                <w:rFonts w:ascii="Times New Roman" w:hAnsi="Times New Roman" w:cs="Times New Roman"/>
                <w:kern w:val="0"/>
                <w:sz w:val="21"/>
                <w:szCs w:val="21"/>
              </w:rPr>
              <w:t>4</w:t>
            </w:r>
          </w:p>
        </w:tc>
        <w:tc>
          <w:tcPr>
            <w:tcW w:w="557" w:type="pct"/>
            <w:vAlign w:val="center"/>
          </w:tcPr>
          <w:p w:rsidR="004A31DD" w:rsidRPr="007C4A9C" w:rsidRDefault="004A31DD" w:rsidP="00632A2E">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0.00</w:t>
            </w:r>
            <w:r w:rsidR="00632A2E">
              <w:rPr>
                <w:rFonts w:ascii="Times New Roman" w:hAnsi="Times New Roman" w:cs="Times New Roman"/>
                <w:kern w:val="0"/>
                <w:sz w:val="21"/>
                <w:szCs w:val="21"/>
              </w:rPr>
              <w:t>4</w:t>
            </w:r>
          </w:p>
        </w:tc>
        <w:tc>
          <w:tcPr>
            <w:tcW w:w="558" w:type="pct"/>
            <w:vAlign w:val="center"/>
          </w:tcPr>
          <w:p w:rsidR="004A31DD" w:rsidRPr="007C4A9C" w:rsidRDefault="004A31DD" w:rsidP="00632A2E">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0.005</w:t>
            </w:r>
          </w:p>
        </w:tc>
        <w:tc>
          <w:tcPr>
            <w:tcW w:w="552" w:type="pct"/>
            <w:vAlign w:val="center"/>
          </w:tcPr>
          <w:p w:rsidR="004A31DD" w:rsidRPr="007C4A9C" w:rsidRDefault="00980708" w:rsidP="004A31DD">
            <w:pPr>
              <w:pStyle w:val="afffffff2"/>
              <w:rPr>
                <w:rFonts w:ascii="Times New Roman" w:hAnsi="Times New Roman" w:cs="Times New Roman"/>
                <w:kern w:val="0"/>
                <w:sz w:val="21"/>
                <w:szCs w:val="21"/>
              </w:rPr>
            </w:pPr>
            <w:r w:rsidRPr="007C4A9C">
              <w:rPr>
                <w:rFonts w:ascii="Times New Roman" w:hAnsi="Times New Roman" w:cs="Times New Roman"/>
                <w:sz w:val="21"/>
                <w:szCs w:val="21"/>
              </w:rPr>
              <w:t>≤0.02</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镍（</w:t>
            </w:r>
            <w:r w:rsidRPr="007C4A9C">
              <w:rPr>
                <w:rFonts w:ascii="Times New Roman" w:hAnsi="Times New Roman" w:cs="Times New Roman"/>
                <w:kern w:val="0"/>
                <w:sz w:val="21"/>
                <w:szCs w:val="21"/>
              </w:rPr>
              <w:t>μg/L</w:t>
            </w:r>
            <w:r w:rsidRPr="007C4A9C">
              <w:rPr>
                <w:rFonts w:ascii="Times New Roman" w:hAnsi="Times New Roman" w:cs="Times New Roman"/>
                <w:kern w:val="0"/>
                <w:sz w:val="21"/>
                <w:szCs w:val="21"/>
              </w:rPr>
              <w:t>）</w:t>
            </w:r>
          </w:p>
        </w:tc>
        <w:tc>
          <w:tcPr>
            <w:tcW w:w="676" w:type="pct"/>
            <w:vAlign w:val="center"/>
          </w:tcPr>
          <w:p w:rsidR="004A31DD" w:rsidRPr="007C4A9C" w:rsidRDefault="007C4A9C"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0.06</w:t>
            </w:r>
            <w:r>
              <w:rPr>
                <w:rFonts w:ascii="Times New Roman" w:hAnsi="Times New Roman" w:cs="Times New Roman" w:hint="eastAsia"/>
                <w:kern w:val="0"/>
                <w:sz w:val="21"/>
                <w:szCs w:val="21"/>
              </w:rPr>
              <w:t>L</w:t>
            </w:r>
          </w:p>
        </w:tc>
        <w:tc>
          <w:tcPr>
            <w:tcW w:w="557" w:type="pct"/>
            <w:vAlign w:val="center"/>
          </w:tcPr>
          <w:p w:rsidR="004A31DD"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0.06</w:t>
            </w:r>
            <w:r>
              <w:rPr>
                <w:rFonts w:ascii="Times New Roman" w:hAnsi="Times New Roman" w:cs="Times New Roman" w:hint="eastAsia"/>
                <w:kern w:val="0"/>
                <w:sz w:val="21"/>
                <w:szCs w:val="21"/>
              </w:rPr>
              <w:t>L</w:t>
            </w:r>
          </w:p>
        </w:tc>
        <w:tc>
          <w:tcPr>
            <w:tcW w:w="557" w:type="pct"/>
            <w:vAlign w:val="center"/>
          </w:tcPr>
          <w:p w:rsidR="004A31DD"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0.06</w:t>
            </w:r>
            <w:r>
              <w:rPr>
                <w:rFonts w:ascii="Times New Roman" w:hAnsi="Times New Roman" w:cs="Times New Roman" w:hint="eastAsia"/>
                <w:kern w:val="0"/>
                <w:sz w:val="21"/>
                <w:szCs w:val="21"/>
              </w:rPr>
              <w:t>L</w:t>
            </w:r>
          </w:p>
        </w:tc>
        <w:tc>
          <w:tcPr>
            <w:tcW w:w="557" w:type="pct"/>
            <w:vAlign w:val="center"/>
          </w:tcPr>
          <w:p w:rsidR="004A31DD"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0.06</w:t>
            </w:r>
            <w:r>
              <w:rPr>
                <w:rFonts w:ascii="Times New Roman" w:hAnsi="Times New Roman" w:cs="Times New Roman" w:hint="eastAsia"/>
                <w:kern w:val="0"/>
                <w:sz w:val="21"/>
                <w:szCs w:val="21"/>
              </w:rPr>
              <w:t>L</w:t>
            </w:r>
          </w:p>
        </w:tc>
        <w:tc>
          <w:tcPr>
            <w:tcW w:w="558" w:type="pct"/>
            <w:vAlign w:val="center"/>
          </w:tcPr>
          <w:p w:rsidR="004A31DD"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0.06</w:t>
            </w:r>
            <w:r>
              <w:rPr>
                <w:rFonts w:ascii="Times New Roman" w:hAnsi="Times New Roman" w:cs="Times New Roman" w:hint="eastAsia"/>
                <w:kern w:val="0"/>
                <w:sz w:val="21"/>
                <w:szCs w:val="21"/>
              </w:rPr>
              <w:t>L</w:t>
            </w:r>
          </w:p>
        </w:tc>
        <w:tc>
          <w:tcPr>
            <w:tcW w:w="552" w:type="pct"/>
            <w:vAlign w:val="center"/>
          </w:tcPr>
          <w:p w:rsidR="004A31DD" w:rsidRPr="007C4A9C" w:rsidRDefault="00980708" w:rsidP="007C4A9C">
            <w:pPr>
              <w:pStyle w:val="afffffff2"/>
              <w:rPr>
                <w:rFonts w:ascii="Times New Roman" w:hAnsi="Times New Roman" w:cs="Times New Roman"/>
                <w:kern w:val="0"/>
                <w:sz w:val="21"/>
                <w:szCs w:val="21"/>
              </w:rPr>
            </w:pPr>
            <w:r w:rsidRPr="007C4A9C">
              <w:rPr>
                <w:rFonts w:ascii="Times New Roman" w:hAnsi="Times New Roman" w:cs="Times New Roman"/>
                <w:sz w:val="21"/>
                <w:szCs w:val="21"/>
              </w:rPr>
              <w:t>≤</w:t>
            </w:r>
            <w:r w:rsidR="007C4A9C">
              <w:rPr>
                <w:rFonts w:ascii="Times New Roman" w:hAnsi="Times New Roman" w:cs="Times New Roman"/>
                <w:sz w:val="21"/>
                <w:szCs w:val="21"/>
              </w:rPr>
              <w:t>20</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硝酸盐（氮）（</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A31DD" w:rsidRPr="007C4A9C" w:rsidRDefault="007C4A9C"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5.26</w:t>
            </w:r>
          </w:p>
        </w:tc>
        <w:tc>
          <w:tcPr>
            <w:tcW w:w="557" w:type="pct"/>
            <w:vAlign w:val="center"/>
          </w:tcPr>
          <w:p w:rsidR="004A31DD"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8.66</w:t>
            </w:r>
          </w:p>
        </w:tc>
        <w:tc>
          <w:tcPr>
            <w:tcW w:w="557" w:type="pct"/>
            <w:vAlign w:val="center"/>
          </w:tcPr>
          <w:p w:rsidR="004A31DD"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1.08</w:t>
            </w:r>
          </w:p>
        </w:tc>
        <w:tc>
          <w:tcPr>
            <w:tcW w:w="557" w:type="pct"/>
            <w:vAlign w:val="center"/>
          </w:tcPr>
          <w:p w:rsidR="004A31DD"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1.29</w:t>
            </w:r>
          </w:p>
        </w:tc>
        <w:tc>
          <w:tcPr>
            <w:tcW w:w="558" w:type="pct"/>
            <w:vAlign w:val="center"/>
          </w:tcPr>
          <w:p w:rsidR="004A31DD" w:rsidRPr="007C4A9C" w:rsidRDefault="004A31DD" w:rsidP="00632A2E">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w:t>
            </w:r>
            <w:r w:rsidR="00632A2E">
              <w:rPr>
                <w:rFonts w:ascii="Times New Roman" w:hAnsi="Times New Roman" w:cs="Times New Roman"/>
                <w:kern w:val="0"/>
                <w:sz w:val="21"/>
                <w:szCs w:val="21"/>
              </w:rPr>
              <w:t>.9</w:t>
            </w:r>
            <w:r w:rsidRPr="007C4A9C">
              <w:rPr>
                <w:rFonts w:ascii="Times New Roman" w:hAnsi="Times New Roman" w:cs="Times New Roman"/>
                <w:kern w:val="0"/>
                <w:sz w:val="21"/>
                <w:szCs w:val="21"/>
              </w:rPr>
              <w:t>9</w:t>
            </w:r>
          </w:p>
        </w:tc>
        <w:tc>
          <w:tcPr>
            <w:tcW w:w="552" w:type="pct"/>
            <w:vAlign w:val="center"/>
          </w:tcPr>
          <w:p w:rsidR="004A31DD" w:rsidRPr="007C4A9C" w:rsidRDefault="00980708" w:rsidP="004A31DD">
            <w:pPr>
              <w:pStyle w:val="afffffff2"/>
              <w:rPr>
                <w:rFonts w:ascii="Times New Roman" w:hAnsi="Times New Roman" w:cs="Times New Roman"/>
                <w:kern w:val="0"/>
                <w:sz w:val="21"/>
                <w:szCs w:val="21"/>
              </w:rPr>
            </w:pPr>
            <w:r w:rsidRPr="007C4A9C">
              <w:rPr>
                <w:rFonts w:ascii="Times New Roman" w:hAnsi="Times New Roman" w:cs="Times New Roman"/>
                <w:sz w:val="21"/>
                <w:szCs w:val="21"/>
              </w:rPr>
              <w:t>≤20</w:t>
            </w:r>
          </w:p>
        </w:tc>
      </w:tr>
      <w:tr w:rsidR="00980708" w:rsidRPr="007C4A9C" w:rsidTr="00E60F0C">
        <w:trPr>
          <w:trHeight w:val="270"/>
        </w:trPr>
        <w:tc>
          <w:tcPr>
            <w:tcW w:w="1543" w:type="pct"/>
            <w:vAlign w:val="center"/>
          </w:tcPr>
          <w:p w:rsidR="00980708" w:rsidRPr="007C4A9C" w:rsidRDefault="00980708" w:rsidP="004A31DD">
            <w:pPr>
              <w:pStyle w:val="afffffff2"/>
              <w:rPr>
                <w:rFonts w:ascii="Times New Roman" w:hAnsi="Times New Roman" w:cs="Times New Roman"/>
                <w:kern w:val="0"/>
                <w:sz w:val="21"/>
                <w:szCs w:val="21"/>
              </w:rPr>
            </w:pPr>
            <w:r w:rsidRPr="007C4A9C">
              <w:rPr>
                <w:rFonts w:ascii="Times New Roman" w:hAnsi="Times New Roman" w:cs="Times New Roman"/>
                <w:bCs/>
                <w:kern w:val="0"/>
                <w:sz w:val="21"/>
                <w:szCs w:val="21"/>
              </w:rPr>
              <w:t>亚硝酸盐（</w:t>
            </w:r>
            <w:r w:rsidRPr="007C4A9C">
              <w:rPr>
                <w:rFonts w:ascii="Times New Roman" w:hAnsi="Times New Roman" w:cs="Times New Roman"/>
                <w:bCs/>
                <w:kern w:val="0"/>
                <w:sz w:val="21"/>
                <w:szCs w:val="21"/>
              </w:rPr>
              <w:t>mg/L</w:t>
            </w:r>
            <w:r w:rsidRPr="007C4A9C">
              <w:rPr>
                <w:rFonts w:ascii="Times New Roman" w:hAnsi="Times New Roman" w:cs="Times New Roman"/>
                <w:bCs/>
                <w:kern w:val="0"/>
                <w:sz w:val="21"/>
                <w:szCs w:val="21"/>
              </w:rPr>
              <w:t>）</w:t>
            </w:r>
          </w:p>
        </w:tc>
        <w:tc>
          <w:tcPr>
            <w:tcW w:w="676" w:type="pct"/>
            <w:vAlign w:val="center"/>
          </w:tcPr>
          <w:p w:rsidR="00980708" w:rsidRPr="007C4A9C" w:rsidRDefault="007C4A9C" w:rsidP="004A31D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.066</w:t>
            </w:r>
          </w:p>
        </w:tc>
        <w:tc>
          <w:tcPr>
            <w:tcW w:w="557" w:type="pct"/>
            <w:vAlign w:val="center"/>
          </w:tcPr>
          <w:p w:rsidR="00980708"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.012</w:t>
            </w:r>
          </w:p>
        </w:tc>
        <w:tc>
          <w:tcPr>
            <w:tcW w:w="557" w:type="pct"/>
            <w:vAlign w:val="center"/>
          </w:tcPr>
          <w:p w:rsidR="00980708"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.005</w:t>
            </w:r>
          </w:p>
        </w:tc>
        <w:tc>
          <w:tcPr>
            <w:tcW w:w="557" w:type="pct"/>
            <w:vAlign w:val="center"/>
          </w:tcPr>
          <w:p w:rsidR="00980708"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.005</w:t>
            </w:r>
          </w:p>
        </w:tc>
        <w:tc>
          <w:tcPr>
            <w:tcW w:w="558" w:type="pct"/>
            <w:vAlign w:val="center"/>
          </w:tcPr>
          <w:p w:rsidR="00980708"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.006</w:t>
            </w:r>
          </w:p>
        </w:tc>
        <w:tc>
          <w:tcPr>
            <w:tcW w:w="552" w:type="pct"/>
            <w:vAlign w:val="center"/>
          </w:tcPr>
          <w:p w:rsidR="00980708" w:rsidRPr="007C4A9C" w:rsidRDefault="00980708" w:rsidP="004A31DD">
            <w:pPr>
              <w:pStyle w:val="afffffff2"/>
              <w:rPr>
                <w:rFonts w:ascii="Times New Roman" w:hAnsi="Times New Roman" w:cs="Times New Roman"/>
                <w:sz w:val="21"/>
                <w:szCs w:val="21"/>
              </w:rPr>
            </w:pPr>
            <w:r w:rsidRPr="007C4A9C">
              <w:rPr>
                <w:rFonts w:ascii="Times New Roman" w:hAnsi="Times New Roman" w:cs="Times New Roman"/>
                <w:bCs/>
                <w:kern w:val="0"/>
                <w:sz w:val="21"/>
                <w:szCs w:val="21"/>
              </w:rPr>
              <w:t>≤1.00</w:t>
            </w:r>
          </w:p>
        </w:tc>
      </w:tr>
      <w:tr w:rsidR="00980708" w:rsidRPr="007C4A9C" w:rsidTr="00E60F0C">
        <w:trPr>
          <w:trHeight w:val="270"/>
        </w:trPr>
        <w:tc>
          <w:tcPr>
            <w:tcW w:w="1543" w:type="pct"/>
            <w:vAlign w:val="center"/>
          </w:tcPr>
          <w:p w:rsidR="00980708" w:rsidRPr="007C4A9C" w:rsidRDefault="00980708" w:rsidP="004A31DD">
            <w:pPr>
              <w:pStyle w:val="afffffff2"/>
              <w:rPr>
                <w:rFonts w:ascii="Times New Roman" w:hAnsi="Times New Roman" w:cs="Times New Roman"/>
                <w:bCs/>
                <w:kern w:val="0"/>
                <w:sz w:val="21"/>
                <w:szCs w:val="21"/>
              </w:rPr>
            </w:pPr>
            <w:r w:rsidRPr="007C4A9C">
              <w:rPr>
                <w:rFonts w:ascii="Times New Roman" w:hAnsi="Times New Roman" w:cs="Times New Roman"/>
                <w:bCs/>
                <w:kern w:val="0"/>
                <w:sz w:val="21"/>
                <w:szCs w:val="21"/>
              </w:rPr>
              <w:lastRenderedPageBreak/>
              <w:t>氰化物（</w:t>
            </w:r>
            <w:r w:rsidRPr="007C4A9C">
              <w:rPr>
                <w:rFonts w:ascii="Times New Roman" w:hAnsi="Times New Roman" w:cs="Times New Roman"/>
                <w:bCs/>
                <w:kern w:val="0"/>
                <w:sz w:val="21"/>
                <w:szCs w:val="21"/>
              </w:rPr>
              <w:t>mg/L</w:t>
            </w:r>
            <w:r w:rsidRPr="007C4A9C">
              <w:rPr>
                <w:rFonts w:ascii="Times New Roman" w:hAnsi="Times New Roman" w:cs="Times New Roman"/>
                <w:bCs/>
                <w:kern w:val="0"/>
                <w:sz w:val="21"/>
                <w:szCs w:val="21"/>
              </w:rPr>
              <w:t>）</w:t>
            </w:r>
          </w:p>
        </w:tc>
        <w:tc>
          <w:tcPr>
            <w:tcW w:w="676" w:type="pct"/>
            <w:vAlign w:val="center"/>
          </w:tcPr>
          <w:p w:rsidR="00980708" w:rsidRPr="007C4A9C" w:rsidRDefault="007C4A9C" w:rsidP="004A31D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.002</w:t>
            </w:r>
            <w:r>
              <w:rPr>
                <w:rFonts w:ascii="Times New Roman" w:hAnsi="Times New Roman" w:cs="Times New Roman" w:hint="eastAsia"/>
                <w:kern w:val="0"/>
                <w:sz w:val="21"/>
                <w:szCs w:val="21"/>
              </w:rPr>
              <w:t>L</w:t>
            </w:r>
          </w:p>
        </w:tc>
        <w:tc>
          <w:tcPr>
            <w:tcW w:w="557" w:type="pct"/>
            <w:vAlign w:val="center"/>
          </w:tcPr>
          <w:p w:rsidR="00980708"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.002</w:t>
            </w:r>
            <w:r>
              <w:rPr>
                <w:rFonts w:ascii="Times New Roman" w:hAnsi="Times New Roman" w:cs="Times New Roman" w:hint="eastAsia"/>
                <w:kern w:val="0"/>
                <w:sz w:val="21"/>
                <w:szCs w:val="21"/>
              </w:rPr>
              <w:t>L</w:t>
            </w:r>
          </w:p>
        </w:tc>
        <w:tc>
          <w:tcPr>
            <w:tcW w:w="557" w:type="pct"/>
            <w:vAlign w:val="center"/>
          </w:tcPr>
          <w:p w:rsidR="00980708"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.002</w:t>
            </w:r>
            <w:r>
              <w:rPr>
                <w:rFonts w:ascii="Times New Roman" w:hAnsi="Times New Roman" w:cs="Times New Roman" w:hint="eastAsia"/>
                <w:kern w:val="0"/>
                <w:sz w:val="21"/>
                <w:szCs w:val="21"/>
              </w:rPr>
              <w:t>L</w:t>
            </w:r>
          </w:p>
        </w:tc>
        <w:tc>
          <w:tcPr>
            <w:tcW w:w="557" w:type="pct"/>
            <w:vAlign w:val="center"/>
          </w:tcPr>
          <w:p w:rsidR="00980708"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.002</w:t>
            </w:r>
            <w:r>
              <w:rPr>
                <w:rFonts w:ascii="Times New Roman" w:hAnsi="Times New Roman" w:cs="Times New Roman" w:hint="eastAsia"/>
                <w:kern w:val="0"/>
                <w:sz w:val="21"/>
                <w:szCs w:val="21"/>
              </w:rPr>
              <w:t>L</w:t>
            </w:r>
          </w:p>
        </w:tc>
        <w:tc>
          <w:tcPr>
            <w:tcW w:w="558" w:type="pct"/>
            <w:vAlign w:val="center"/>
          </w:tcPr>
          <w:p w:rsidR="00980708" w:rsidRPr="007C4A9C" w:rsidRDefault="00632A2E" w:rsidP="004A31D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.002</w:t>
            </w:r>
            <w:r>
              <w:rPr>
                <w:rFonts w:ascii="Times New Roman" w:hAnsi="Times New Roman" w:cs="Times New Roman" w:hint="eastAsia"/>
                <w:kern w:val="0"/>
                <w:sz w:val="21"/>
                <w:szCs w:val="21"/>
              </w:rPr>
              <w:t>L</w:t>
            </w:r>
          </w:p>
        </w:tc>
        <w:tc>
          <w:tcPr>
            <w:tcW w:w="552" w:type="pct"/>
            <w:vAlign w:val="center"/>
          </w:tcPr>
          <w:p w:rsidR="00980708" w:rsidRPr="007C4A9C" w:rsidRDefault="00980708" w:rsidP="004A31DD">
            <w:pPr>
              <w:pStyle w:val="afffffff2"/>
              <w:rPr>
                <w:rFonts w:ascii="Times New Roman" w:hAnsi="Times New Roman" w:cs="Times New Roman"/>
                <w:bCs/>
                <w:kern w:val="0"/>
                <w:sz w:val="21"/>
                <w:szCs w:val="21"/>
              </w:rPr>
            </w:pPr>
            <w:r w:rsidRPr="007C4A9C">
              <w:rPr>
                <w:rFonts w:ascii="Times New Roman" w:hAnsi="Times New Roman" w:cs="Times New Roman"/>
                <w:bCs/>
                <w:kern w:val="0"/>
                <w:sz w:val="21"/>
                <w:szCs w:val="21"/>
              </w:rPr>
              <w:t>≤0.05</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氟化物（</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A31DD" w:rsidRPr="007C4A9C" w:rsidRDefault="004A31DD" w:rsidP="007C4A9C">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w:t>
            </w:r>
            <w:r w:rsidR="007C4A9C">
              <w:rPr>
                <w:rFonts w:ascii="Times New Roman" w:hAnsi="Times New Roman" w:cs="Times New Roman"/>
                <w:kern w:val="0"/>
                <w:sz w:val="21"/>
                <w:szCs w:val="21"/>
              </w:rPr>
              <w:t>56</w:t>
            </w:r>
          </w:p>
        </w:tc>
        <w:tc>
          <w:tcPr>
            <w:tcW w:w="557" w:type="pct"/>
            <w:vAlign w:val="center"/>
          </w:tcPr>
          <w:p w:rsidR="004A31DD" w:rsidRPr="007C4A9C" w:rsidRDefault="004A31DD" w:rsidP="00632A2E">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w:t>
            </w:r>
            <w:r w:rsidR="00632A2E">
              <w:rPr>
                <w:rFonts w:ascii="Times New Roman" w:hAnsi="Times New Roman" w:cs="Times New Roman"/>
                <w:kern w:val="0"/>
                <w:sz w:val="21"/>
                <w:szCs w:val="21"/>
              </w:rPr>
              <w:t>31</w:t>
            </w:r>
          </w:p>
        </w:tc>
        <w:tc>
          <w:tcPr>
            <w:tcW w:w="557" w:type="pct"/>
            <w:vAlign w:val="center"/>
          </w:tcPr>
          <w:p w:rsidR="004A31DD" w:rsidRPr="007C4A9C" w:rsidRDefault="004A31DD" w:rsidP="00632A2E">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w:t>
            </w:r>
            <w:r w:rsidR="00632A2E">
              <w:rPr>
                <w:rFonts w:ascii="Times New Roman" w:hAnsi="Times New Roman" w:cs="Times New Roman"/>
                <w:kern w:val="0"/>
                <w:sz w:val="21"/>
                <w:szCs w:val="21"/>
              </w:rPr>
              <w:t>302</w:t>
            </w:r>
          </w:p>
        </w:tc>
        <w:tc>
          <w:tcPr>
            <w:tcW w:w="557" w:type="pct"/>
            <w:vAlign w:val="center"/>
          </w:tcPr>
          <w:p w:rsidR="004A31DD" w:rsidRPr="007C4A9C" w:rsidRDefault="004A31DD" w:rsidP="00632A2E">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w:t>
            </w:r>
            <w:r w:rsidR="00632A2E">
              <w:rPr>
                <w:rFonts w:ascii="Times New Roman" w:hAnsi="Times New Roman" w:cs="Times New Roman"/>
                <w:kern w:val="0"/>
                <w:sz w:val="21"/>
                <w:szCs w:val="21"/>
              </w:rPr>
              <w:t>304</w:t>
            </w:r>
          </w:p>
        </w:tc>
        <w:tc>
          <w:tcPr>
            <w:tcW w:w="558" w:type="pct"/>
            <w:vAlign w:val="center"/>
          </w:tcPr>
          <w:p w:rsidR="004A31DD" w:rsidRPr="007C4A9C" w:rsidRDefault="004A31DD" w:rsidP="00632A2E">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w:t>
            </w:r>
            <w:r w:rsidR="00632A2E">
              <w:rPr>
                <w:rFonts w:ascii="Times New Roman" w:hAnsi="Times New Roman" w:cs="Times New Roman"/>
                <w:kern w:val="0"/>
                <w:sz w:val="21"/>
                <w:szCs w:val="21"/>
              </w:rPr>
              <w:t>677</w:t>
            </w:r>
          </w:p>
        </w:tc>
        <w:tc>
          <w:tcPr>
            <w:tcW w:w="552" w:type="pct"/>
            <w:vAlign w:val="center"/>
          </w:tcPr>
          <w:p w:rsidR="004A31DD" w:rsidRPr="007C4A9C" w:rsidRDefault="00980708" w:rsidP="004A31DD">
            <w:pPr>
              <w:pStyle w:val="afffffff2"/>
              <w:rPr>
                <w:rFonts w:ascii="Times New Roman" w:hAnsi="Times New Roman" w:cs="Times New Roman"/>
                <w:kern w:val="0"/>
                <w:sz w:val="21"/>
                <w:szCs w:val="21"/>
              </w:rPr>
            </w:pPr>
            <w:r w:rsidRPr="007C4A9C">
              <w:rPr>
                <w:rFonts w:ascii="Times New Roman" w:hAnsi="Times New Roman" w:cs="Times New Roman"/>
                <w:sz w:val="21"/>
                <w:szCs w:val="21"/>
              </w:rPr>
              <w:t>≤1.0</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汞（</w:t>
            </w:r>
            <w:r w:rsidRPr="007C4A9C">
              <w:rPr>
                <w:rFonts w:ascii="Times New Roman" w:hAnsi="Times New Roman" w:cs="Times New Roman"/>
                <w:kern w:val="0"/>
                <w:sz w:val="21"/>
                <w:szCs w:val="21"/>
              </w:rPr>
              <w:t>μg/L</w:t>
            </w:r>
            <w:r w:rsidRPr="007C4A9C">
              <w:rPr>
                <w:rFonts w:ascii="Times New Roman" w:hAnsi="Times New Roman" w:cs="Times New Roman"/>
                <w:kern w:val="0"/>
                <w:sz w:val="21"/>
                <w:szCs w:val="21"/>
              </w:rPr>
              <w:t>）</w:t>
            </w:r>
          </w:p>
        </w:tc>
        <w:tc>
          <w:tcPr>
            <w:tcW w:w="676" w:type="pct"/>
            <w:vAlign w:val="center"/>
          </w:tcPr>
          <w:p w:rsidR="004A31DD" w:rsidRPr="007C4A9C" w:rsidRDefault="004A31DD" w:rsidP="007C4A9C">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w:t>
            </w:r>
            <w:r w:rsidR="007C4A9C">
              <w:rPr>
                <w:rFonts w:ascii="Times New Roman" w:hAnsi="Times New Roman" w:cs="Times New Roman"/>
                <w:kern w:val="0"/>
                <w:sz w:val="21"/>
                <w:szCs w:val="21"/>
              </w:rPr>
              <w:t>10</w:t>
            </w:r>
          </w:p>
        </w:tc>
        <w:tc>
          <w:tcPr>
            <w:tcW w:w="557" w:type="pct"/>
            <w:vAlign w:val="center"/>
          </w:tcPr>
          <w:p w:rsidR="004A31DD" w:rsidRPr="007C4A9C" w:rsidRDefault="00632A2E" w:rsidP="00632A2E">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0.04L</w:t>
            </w:r>
          </w:p>
        </w:tc>
        <w:tc>
          <w:tcPr>
            <w:tcW w:w="557" w:type="pct"/>
            <w:vAlign w:val="center"/>
          </w:tcPr>
          <w:p w:rsidR="004A31DD" w:rsidRPr="007C4A9C" w:rsidRDefault="00632A2E"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0.04L</w:t>
            </w:r>
          </w:p>
        </w:tc>
        <w:tc>
          <w:tcPr>
            <w:tcW w:w="557"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0.04L</w:t>
            </w:r>
          </w:p>
        </w:tc>
        <w:tc>
          <w:tcPr>
            <w:tcW w:w="558"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0.04L</w:t>
            </w:r>
          </w:p>
        </w:tc>
        <w:tc>
          <w:tcPr>
            <w:tcW w:w="552" w:type="pct"/>
            <w:vAlign w:val="center"/>
          </w:tcPr>
          <w:p w:rsidR="004A31DD" w:rsidRPr="007C4A9C" w:rsidRDefault="00980708" w:rsidP="007C4A9C">
            <w:pPr>
              <w:pStyle w:val="afffffff2"/>
              <w:rPr>
                <w:rFonts w:ascii="Times New Roman" w:hAnsi="Times New Roman" w:cs="Times New Roman"/>
                <w:kern w:val="0"/>
                <w:sz w:val="21"/>
                <w:szCs w:val="21"/>
              </w:rPr>
            </w:pPr>
            <w:r w:rsidRPr="007C4A9C">
              <w:rPr>
                <w:rFonts w:ascii="Times New Roman" w:hAnsi="Times New Roman" w:cs="Times New Roman"/>
                <w:sz w:val="21"/>
                <w:szCs w:val="21"/>
              </w:rPr>
              <w:t>≤1</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砷（</w:t>
            </w:r>
            <w:r w:rsidRPr="007C4A9C">
              <w:rPr>
                <w:rFonts w:ascii="Times New Roman" w:hAnsi="Times New Roman" w:cs="Times New Roman"/>
                <w:kern w:val="0"/>
                <w:sz w:val="21"/>
                <w:szCs w:val="21"/>
              </w:rPr>
              <w:t>μg/L</w:t>
            </w:r>
            <w:r w:rsidRPr="007C4A9C">
              <w:rPr>
                <w:rFonts w:ascii="Times New Roman" w:hAnsi="Times New Roman" w:cs="Times New Roman"/>
                <w:kern w:val="0"/>
                <w:sz w:val="21"/>
                <w:szCs w:val="21"/>
              </w:rPr>
              <w:t>）</w:t>
            </w:r>
          </w:p>
        </w:tc>
        <w:tc>
          <w:tcPr>
            <w:tcW w:w="676"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0.3L</w:t>
            </w:r>
          </w:p>
        </w:tc>
        <w:tc>
          <w:tcPr>
            <w:tcW w:w="557"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0.3L</w:t>
            </w:r>
          </w:p>
        </w:tc>
        <w:tc>
          <w:tcPr>
            <w:tcW w:w="557"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0.3L</w:t>
            </w:r>
          </w:p>
        </w:tc>
        <w:tc>
          <w:tcPr>
            <w:tcW w:w="557"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0.3L</w:t>
            </w:r>
          </w:p>
        </w:tc>
        <w:tc>
          <w:tcPr>
            <w:tcW w:w="558"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0.3L</w:t>
            </w:r>
          </w:p>
        </w:tc>
        <w:tc>
          <w:tcPr>
            <w:tcW w:w="552" w:type="pct"/>
            <w:vAlign w:val="center"/>
          </w:tcPr>
          <w:p w:rsidR="004A31DD" w:rsidRPr="007C4A9C" w:rsidRDefault="00980708" w:rsidP="007C4A9C">
            <w:pPr>
              <w:pStyle w:val="afffffff2"/>
              <w:rPr>
                <w:rFonts w:ascii="Times New Roman" w:hAnsi="Times New Roman" w:cs="Times New Roman"/>
                <w:kern w:val="0"/>
                <w:sz w:val="21"/>
                <w:szCs w:val="21"/>
              </w:rPr>
            </w:pPr>
            <w:r w:rsidRPr="007C4A9C">
              <w:rPr>
                <w:rFonts w:ascii="Times New Roman" w:hAnsi="Times New Roman" w:cs="Times New Roman"/>
                <w:sz w:val="21"/>
                <w:szCs w:val="21"/>
              </w:rPr>
              <w:t>≤</w:t>
            </w:r>
            <w:r w:rsidR="007C4A9C">
              <w:rPr>
                <w:rFonts w:ascii="Times New Roman" w:hAnsi="Times New Roman" w:cs="Times New Roman"/>
                <w:sz w:val="21"/>
                <w:szCs w:val="21"/>
              </w:rPr>
              <w:t>10</w:t>
            </w:r>
          </w:p>
        </w:tc>
      </w:tr>
      <w:tr w:rsidR="00D75351" w:rsidRPr="007C4A9C" w:rsidTr="00E60F0C">
        <w:trPr>
          <w:trHeight w:val="270"/>
        </w:trPr>
        <w:tc>
          <w:tcPr>
            <w:tcW w:w="1543" w:type="pct"/>
            <w:vAlign w:val="center"/>
          </w:tcPr>
          <w:p w:rsidR="00D75351" w:rsidRPr="007C4A9C" w:rsidRDefault="00D75351" w:rsidP="00D75351">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硒（</w:t>
            </w:r>
            <w:r w:rsidRPr="007C4A9C">
              <w:rPr>
                <w:rFonts w:ascii="Times New Roman" w:hAnsi="Times New Roman" w:cs="Times New Roman"/>
                <w:kern w:val="0"/>
                <w:sz w:val="21"/>
                <w:szCs w:val="21"/>
              </w:rPr>
              <w:t>μg/L</w:t>
            </w:r>
            <w:r w:rsidRPr="007C4A9C">
              <w:rPr>
                <w:rFonts w:ascii="Times New Roman" w:hAnsi="Times New Roman" w:cs="Times New Roman"/>
                <w:kern w:val="0"/>
                <w:sz w:val="21"/>
                <w:szCs w:val="21"/>
              </w:rPr>
              <w:t>）</w:t>
            </w:r>
          </w:p>
        </w:tc>
        <w:tc>
          <w:tcPr>
            <w:tcW w:w="676" w:type="pct"/>
            <w:vAlign w:val="center"/>
          </w:tcPr>
          <w:p w:rsidR="00D75351" w:rsidRPr="007C4A9C" w:rsidRDefault="00D75351" w:rsidP="00D75351">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0.4L</w:t>
            </w:r>
          </w:p>
        </w:tc>
        <w:tc>
          <w:tcPr>
            <w:tcW w:w="557" w:type="pct"/>
            <w:vAlign w:val="center"/>
          </w:tcPr>
          <w:p w:rsidR="00D75351" w:rsidRPr="007C4A9C" w:rsidRDefault="00D75351" w:rsidP="00D75351">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0.4L</w:t>
            </w:r>
          </w:p>
        </w:tc>
        <w:tc>
          <w:tcPr>
            <w:tcW w:w="557" w:type="pct"/>
            <w:vAlign w:val="center"/>
          </w:tcPr>
          <w:p w:rsidR="00D75351" w:rsidRPr="007C4A9C" w:rsidRDefault="00D75351" w:rsidP="00D75351">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0.4L</w:t>
            </w:r>
          </w:p>
        </w:tc>
        <w:tc>
          <w:tcPr>
            <w:tcW w:w="557" w:type="pct"/>
            <w:vAlign w:val="center"/>
          </w:tcPr>
          <w:p w:rsidR="00D75351" w:rsidRPr="007C4A9C" w:rsidRDefault="00D75351" w:rsidP="00D75351">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0.4L</w:t>
            </w:r>
          </w:p>
        </w:tc>
        <w:tc>
          <w:tcPr>
            <w:tcW w:w="558" w:type="pct"/>
            <w:vAlign w:val="center"/>
          </w:tcPr>
          <w:p w:rsidR="00D75351" w:rsidRPr="007C4A9C" w:rsidRDefault="00D75351" w:rsidP="00D75351">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0.4L</w:t>
            </w:r>
          </w:p>
        </w:tc>
        <w:tc>
          <w:tcPr>
            <w:tcW w:w="552" w:type="pct"/>
            <w:vAlign w:val="center"/>
          </w:tcPr>
          <w:p w:rsidR="00D75351" w:rsidRPr="007C4A9C" w:rsidRDefault="00D75351" w:rsidP="007C4A9C">
            <w:pPr>
              <w:widowControl/>
              <w:autoSpaceDE w:val="0"/>
              <w:spacing w:line="360" w:lineRule="exact"/>
              <w:ind w:firstLineChars="0" w:firstLine="0"/>
              <w:jc w:val="center"/>
              <w:rPr>
                <w:rFonts w:ascii="Times New Roman" w:hAnsi="Times New Roman"/>
                <w:bCs/>
                <w:kern w:val="0"/>
                <w:sz w:val="21"/>
                <w:szCs w:val="21"/>
              </w:rPr>
            </w:pPr>
            <w:r w:rsidRPr="007C4A9C">
              <w:rPr>
                <w:rFonts w:ascii="Times New Roman" w:hAnsi="Times New Roman"/>
                <w:bCs/>
                <w:kern w:val="0"/>
                <w:sz w:val="21"/>
                <w:szCs w:val="21"/>
              </w:rPr>
              <w:t>≤</w:t>
            </w:r>
            <w:r w:rsidR="007C4A9C">
              <w:rPr>
                <w:rFonts w:ascii="Times New Roman" w:hAnsi="Times New Roman"/>
                <w:bCs/>
                <w:kern w:val="0"/>
                <w:sz w:val="21"/>
                <w:szCs w:val="21"/>
              </w:rPr>
              <w:t>10</w:t>
            </w:r>
          </w:p>
        </w:tc>
      </w:tr>
      <w:tr w:rsidR="00D75351" w:rsidRPr="007C4A9C" w:rsidTr="00E60F0C">
        <w:trPr>
          <w:trHeight w:val="270"/>
        </w:trPr>
        <w:tc>
          <w:tcPr>
            <w:tcW w:w="1543" w:type="pct"/>
            <w:vAlign w:val="center"/>
          </w:tcPr>
          <w:p w:rsidR="00D75351" w:rsidRPr="007C4A9C" w:rsidRDefault="00D75351" w:rsidP="00D75351">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镉（</w:t>
            </w:r>
            <w:r w:rsidRPr="007C4A9C">
              <w:rPr>
                <w:rFonts w:ascii="Times New Roman" w:hAnsi="Times New Roman" w:cs="Times New Roman"/>
                <w:kern w:val="0"/>
                <w:sz w:val="21"/>
                <w:szCs w:val="21"/>
              </w:rPr>
              <w:t>μg/L</w:t>
            </w:r>
            <w:r w:rsidRPr="007C4A9C">
              <w:rPr>
                <w:rFonts w:ascii="Times New Roman" w:hAnsi="Times New Roman" w:cs="Times New Roman"/>
                <w:kern w:val="0"/>
                <w:sz w:val="21"/>
                <w:szCs w:val="21"/>
              </w:rPr>
              <w:t>）</w:t>
            </w:r>
          </w:p>
        </w:tc>
        <w:tc>
          <w:tcPr>
            <w:tcW w:w="676" w:type="pct"/>
            <w:vAlign w:val="center"/>
          </w:tcPr>
          <w:p w:rsidR="00D75351" w:rsidRPr="007C4A9C" w:rsidRDefault="00D75351" w:rsidP="007C4A9C">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w:t>
            </w:r>
            <w:r w:rsidR="007C4A9C">
              <w:rPr>
                <w:rFonts w:ascii="Times New Roman" w:hAnsi="Times New Roman" w:cs="Times New Roman"/>
                <w:kern w:val="0"/>
                <w:sz w:val="21"/>
                <w:szCs w:val="21"/>
              </w:rPr>
              <w:t>3</w:t>
            </w:r>
          </w:p>
        </w:tc>
        <w:tc>
          <w:tcPr>
            <w:tcW w:w="557" w:type="pct"/>
            <w:vAlign w:val="center"/>
          </w:tcPr>
          <w:p w:rsidR="00D75351" w:rsidRPr="007C4A9C" w:rsidRDefault="00632A2E" w:rsidP="00D75351">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7C4A9C">
              <w:rPr>
                <w:rFonts w:ascii="Times New Roman" w:hAnsi="Times New Roman" w:cs="Times New Roman"/>
                <w:kern w:val="0"/>
                <w:sz w:val="21"/>
                <w:szCs w:val="21"/>
              </w:rPr>
              <w:t>L</w:t>
            </w:r>
          </w:p>
        </w:tc>
        <w:tc>
          <w:tcPr>
            <w:tcW w:w="557" w:type="pct"/>
            <w:vAlign w:val="center"/>
          </w:tcPr>
          <w:p w:rsidR="00D75351" w:rsidRPr="007C4A9C" w:rsidRDefault="00632A2E" w:rsidP="00D75351">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7C4A9C">
              <w:rPr>
                <w:rFonts w:ascii="Times New Roman" w:hAnsi="Times New Roman" w:cs="Times New Roman"/>
                <w:kern w:val="0"/>
                <w:sz w:val="21"/>
                <w:szCs w:val="21"/>
              </w:rPr>
              <w:t>L</w:t>
            </w:r>
          </w:p>
        </w:tc>
        <w:tc>
          <w:tcPr>
            <w:tcW w:w="557" w:type="pct"/>
            <w:vAlign w:val="center"/>
          </w:tcPr>
          <w:p w:rsidR="00D75351" w:rsidRPr="007C4A9C" w:rsidRDefault="00632A2E" w:rsidP="00D75351">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7C4A9C">
              <w:rPr>
                <w:rFonts w:ascii="Times New Roman" w:hAnsi="Times New Roman" w:cs="Times New Roman"/>
                <w:kern w:val="0"/>
                <w:sz w:val="21"/>
                <w:szCs w:val="21"/>
              </w:rPr>
              <w:t>L</w:t>
            </w:r>
          </w:p>
        </w:tc>
        <w:tc>
          <w:tcPr>
            <w:tcW w:w="558" w:type="pct"/>
            <w:vAlign w:val="center"/>
          </w:tcPr>
          <w:p w:rsidR="00D75351" w:rsidRPr="007C4A9C" w:rsidRDefault="00632A2E" w:rsidP="00D75351">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7C4A9C">
              <w:rPr>
                <w:rFonts w:ascii="Times New Roman" w:hAnsi="Times New Roman" w:cs="Times New Roman"/>
                <w:kern w:val="0"/>
                <w:sz w:val="21"/>
                <w:szCs w:val="21"/>
              </w:rPr>
              <w:t>L</w:t>
            </w:r>
          </w:p>
        </w:tc>
        <w:tc>
          <w:tcPr>
            <w:tcW w:w="552" w:type="pct"/>
            <w:vAlign w:val="center"/>
          </w:tcPr>
          <w:p w:rsidR="00D75351" w:rsidRPr="007C4A9C" w:rsidRDefault="00D75351" w:rsidP="007C4A9C">
            <w:pPr>
              <w:widowControl/>
              <w:autoSpaceDE w:val="0"/>
              <w:spacing w:line="360" w:lineRule="exact"/>
              <w:ind w:firstLineChars="0" w:firstLine="0"/>
              <w:jc w:val="center"/>
              <w:rPr>
                <w:rFonts w:ascii="Times New Roman" w:hAnsi="Times New Roman"/>
                <w:bCs/>
                <w:kern w:val="0"/>
                <w:sz w:val="21"/>
                <w:szCs w:val="21"/>
              </w:rPr>
            </w:pPr>
            <w:r w:rsidRPr="007C4A9C">
              <w:rPr>
                <w:rFonts w:ascii="Times New Roman" w:hAnsi="Times New Roman"/>
                <w:bCs/>
                <w:kern w:val="0"/>
                <w:sz w:val="21"/>
                <w:szCs w:val="21"/>
              </w:rPr>
              <w:t>≤5</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六价铬（</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0.004L</w:t>
            </w:r>
          </w:p>
        </w:tc>
        <w:tc>
          <w:tcPr>
            <w:tcW w:w="557"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0.004L</w:t>
            </w:r>
          </w:p>
        </w:tc>
        <w:tc>
          <w:tcPr>
            <w:tcW w:w="557"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0.004L</w:t>
            </w:r>
          </w:p>
        </w:tc>
        <w:tc>
          <w:tcPr>
            <w:tcW w:w="557"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0.004L</w:t>
            </w:r>
          </w:p>
        </w:tc>
        <w:tc>
          <w:tcPr>
            <w:tcW w:w="558"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0.004L</w:t>
            </w:r>
          </w:p>
        </w:tc>
        <w:tc>
          <w:tcPr>
            <w:tcW w:w="552" w:type="pct"/>
            <w:vAlign w:val="center"/>
          </w:tcPr>
          <w:p w:rsidR="004A31DD" w:rsidRPr="007C4A9C" w:rsidRDefault="00D75351" w:rsidP="004A31DD">
            <w:pPr>
              <w:pStyle w:val="afffffff2"/>
              <w:rPr>
                <w:rFonts w:ascii="Times New Roman" w:hAnsi="Times New Roman" w:cs="Times New Roman"/>
                <w:kern w:val="0"/>
                <w:sz w:val="21"/>
                <w:szCs w:val="21"/>
              </w:rPr>
            </w:pPr>
            <w:r w:rsidRPr="007C4A9C">
              <w:rPr>
                <w:rFonts w:ascii="Times New Roman" w:hAnsi="Times New Roman" w:cs="Times New Roman"/>
                <w:bCs/>
                <w:kern w:val="0"/>
                <w:sz w:val="21"/>
                <w:szCs w:val="21"/>
              </w:rPr>
              <w:t>≤0.05</w:t>
            </w:r>
          </w:p>
        </w:tc>
      </w:tr>
      <w:tr w:rsidR="007E0053" w:rsidRPr="007C4A9C" w:rsidTr="00E60F0C">
        <w:trPr>
          <w:trHeight w:val="270"/>
        </w:trPr>
        <w:tc>
          <w:tcPr>
            <w:tcW w:w="1543" w:type="pct"/>
            <w:vAlign w:val="center"/>
          </w:tcPr>
          <w:p w:rsidR="007E0053" w:rsidRPr="007C4A9C" w:rsidRDefault="007E0053" w:rsidP="007E0053">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铅（</w:t>
            </w:r>
            <w:r w:rsidRPr="007C4A9C">
              <w:rPr>
                <w:rFonts w:ascii="Times New Roman" w:hAnsi="Times New Roman" w:cs="Times New Roman"/>
                <w:kern w:val="0"/>
                <w:sz w:val="21"/>
                <w:szCs w:val="21"/>
              </w:rPr>
              <w:t>μg/L</w:t>
            </w:r>
            <w:r w:rsidRPr="007C4A9C">
              <w:rPr>
                <w:rFonts w:ascii="Times New Roman" w:hAnsi="Times New Roman" w:cs="Times New Roman"/>
                <w:kern w:val="0"/>
                <w:sz w:val="21"/>
                <w:szCs w:val="21"/>
              </w:rPr>
              <w:t>）</w:t>
            </w:r>
          </w:p>
        </w:tc>
        <w:tc>
          <w:tcPr>
            <w:tcW w:w="676" w:type="pct"/>
            <w:vAlign w:val="center"/>
          </w:tcPr>
          <w:p w:rsidR="007E0053" w:rsidRPr="007C4A9C" w:rsidRDefault="007E0053" w:rsidP="006D5DB1">
            <w:pPr>
              <w:pStyle w:val="afffffff2"/>
              <w:rPr>
                <w:rFonts w:ascii="Times New Roman" w:hAnsi="Times New Roman" w:cs="Times New Roman"/>
                <w:kern w:val="0"/>
                <w:sz w:val="21"/>
                <w:szCs w:val="21"/>
              </w:rPr>
            </w:pPr>
            <w:r>
              <w:rPr>
                <w:rFonts w:ascii="Times New Roman" w:hAnsi="Times New Roman" w:cs="Times New Roman"/>
                <w:kern w:val="0"/>
                <w:sz w:val="21"/>
                <w:szCs w:val="21"/>
              </w:rPr>
              <w:t>3</w:t>
            </w:r>
          </w:p>
        </w:tc>
        <w:tc>
          <w:tcPr>
            <w:tcW w:w="557" w:type="pct"/>
            <w:vAlign w:val="center"/>
          </w:tcPr>
          <w:p w:rsidR="007E0053" w:rsidRPr="00E60F0C" w:rsidRDefault="007E0053" w:rsidP="007E0053">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.5</w:t>
            </w:r>
            <w:r>
              <w:rPr>
                <w:rFonts w:ascii="Times New Roman" w:hAnsi="Times New Roman" w:cs="Times New Roman" w:hint="eastAsia"/>
                <w:kern w:val="0"/>
                <w:sz w:val="21"/>
                <w:szCs w:val="21"/>
              </w:rPr>
              <w:t>L</w:t>
            </w:r>
          </w:p>
        </w:tc>
        <w:tc>
          <w:tcPr>
            <w:tcW w:w="557" w:type="pct"/>
            <w:vAlign w:val="center"/>
          </w:tcPr>
          <w:p w:rsidR="007E0053" w:rsidRPr="00E60F0C" w:rsidRDefault="007E0053" w:rsidP="007E0053">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.5</w:t>
            </w:r>
            <w:r>
              <w:rPr>
                <w:rFonts w:ascii="Times New Roman" w:hAnsi="Times New Roman" w:cs="Times New Roman" w:hint="eastAsia"/>
                <w:kern w:val="0"/>
                <w:sz w:val="21"/>
                <w:szCs w:val="21"/>
              </w:rPr>
              <w:t>L</w:t>
            </w:r>
          </w:p>
        </w:tc>
        <w:tc>
          <w:tcPr>
            <w:tcW w:w="557" w:type="pct"/>
            <w:vAlign w:val="center"/>
          </w:tcPr>
          <w:p w:rsidR="007E0053" w:rsidRPr="00E60F0C" w:rsidRDefault="007E0053" w:rsidP="007E0053">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.5</w:t>
            </w:r>
            <w:r>
              <w:rPr>
                <w:rFonts w:ascii="Times New Roman" w:hAnsi="Times New Roman" w:cs="Times New Roman" w:hint="eastAsia"/>
                <w:kern w:val="0"/>
                <w:sz w:val="21"/>
                <w:szCs w:val="21"/>
              </w:rPr>
              <w:t>L</w:t>
            </w:r>
          </w:p>
        </w:tc>
        <w:tc>
          <w:tcPr>
            <w:tcW w:w="558" w:type="pct"/>
            <w:vAlign w:val="center"/>
          </w:tcPr>
          <w:p w:rsidR="007E0053" w:rsidRPr="00E60F0C" w:rsidRDefault="007E0053" w:rsidP="007E0053">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.5</w:t>
            </w:r>
            <w:r>
              <w:rPr>
                <w:rFonts w:ascii="Times New Roman" w:hAnsi="Times New Roman" w:cs="Times New Roman" w:hint="eastAsia"/>
                <w:kern w:val="0"/>
                <w:sz w:val="21"/>
                <w:szCs w:val="21"/>
              </w:rPr>
              <w:t>L</w:t>
            </w:r>
          </w:p>
        </w:tc>
        <w:tc>
          <w:tcPr>
            <w:tcW w:w="552" w:type="pct"/>
            <w:vAlign w:val="center"/>
          </w:tcPr>
          <w:p w:rsidR="007E0053" w:rsidRPr="007C4A9C" w:rsidRDefault="007E0053" w:rsidP="007E0053">
            <w:pPr>
              <w:pStyle w:val="afffffff2"/>
              <w:rPr>
                <w:rFonts w:ascii="Times New Roman" w:hAnsi="Times New Roman" w:cs="Times New Roman"/>
                <w:kern w:val="0"/>
                <w:sz w:val="21"/>
                <w:szCs w:val="21"/>
              </w:rPr>
            </w:pPr>
            <w:r w:rsidRPr="007C4A9C">
              <w:rPr>
                <w:rFonts w:ascii="Times New Roman" w:hAnsi="Times New Roman" w:cs="Times New Roman"/>
                <w:bCs/>
                <w:kern w:val="0"/>
                <w:sz w:val="21"/>
                <w:szCs w:val="21"/>
              </w:rPr>
              <w:t>≤</w:t>
            </w:r>
            <w:r>
              <w:rPr>
                <w:rFonts w:ascii="Times New Roman" w:hAnsi="Times New Roman" w:cs="Times New Roman"/>
                <w:bCs/>
                <w:kern w:val="0"/>
                <w:sz w:val="21"/>
                <w:szCs w:val="21"/>
              </w:rPr>
              <w:t>10</w:t>
            </w:r>
          </w:p>
        </w:tc>
      </w:tr>
      <w:tr w:rsidR="00E60F0C" w:rsidRPr="007C4A9C" w:rsidTr="00E60F0C">
        <w:trPr>
          <w:trHeight w:val="270"/>
        </w:trPr>
        <w:tc>
          <w:tcPr>
            <w:tcW w:w="1543" w:type="pct"/>
            <w:vAlign w:val="center"/>
          </w:tcPr>
          <w:p w:rsidR="00E60F0C" w:rsidRPr="00E60F0C" w:rsidRDefault="00E60F0C" w:rsidP="00E60F0C">
            <w:pPr>
              <w:widowControl/>
              <w:autoSpaceDE w:val="0"/>
              <w:spacing w:line="360" w:lineRule="exact"/>
              <w:ind w:firstLineChars="0" w:firstLine="0"/>
              <w:jc w:val="center"/>
              <w:rPr>
                <w:rFonts w:ascii="Times New Roman" w:hAnsi="Times New Roman"/>
                <w:bCs/>
                <w:kern w:val="0"/>
                <w:sz w:val="21"/>
                <w:szCs w:val="21"/>
              </w:rPr>
            </w:pPr>
            <w:r w:rsidRPr="00E60F0C">
              <w:rPr>
                <w:rFonts w:ascii="Times New Roman" w:hAnsi="Times New Roman"/>
                <w:bCs/>
                <w:kern w:val="0"/>
                <w:sz w:val="21"/>
                <w:szCs w:val="21"/>
              </w:rPr>
              <w:t>苯（</w:t>
            </w:r>
            <w:r w:rsidRPr="00E60F0C">
              <w:rPr>
                <w:rFonts w:ascii="Times New Roman" w:eastAsia="黑体" w:hAnsi="Times New Roman"/>
                <w:sz w:val="21"/>
                <w:szCs w:val="21"/>
              </w:rPr>
              <w:t>μg/L</w:t>
            </w:r>
            <w:r w:rsidRPr="00E60F0C">
              <w:rPr>
                <w:rFonts w:ascii="Times New Roman" w:hAnsi="Times New Roman"/>
                <w:bCs/>
                <w:kern w:val="0"/>
                <w:sz w:val="21"/>
                <w:szCs w:val="21"/>
              </w:rPr>
              <w:t>）</w:t>
            </w:r>
          </w:p>
        </w:tc>
        <w:tc>
          <w:tcPr>
            <w:tcW w:w="676" w:type="pct"/>
            <w:vAlign w:val="center"/>
          </w:tcPr>
          <w:p w:rsidR="00E60F0C" w:rsidRPr="00E60F0C" w:rsidRDefault="00E60F0C" w:rsidP="00E60F0C">
            <w:pPr>
              <w:pStyle w:val="afffffff2"/>
              <w:rPr>
                <w:rFonts w:ascii="Times New Roman" w:hAnsi="Times New Roman" w:cs="Times New Roman"/>
                <w:kern w:val="0"/>
                <w:sz w:val="21"/>
                <w:szCs w:val="21"/>
              </w:rPr>
            </w:pPr>
            <w:r w:rsidRPr="00E60F0C">
              <w:rPr>
                <w:rFonts w:ascii="Times New Roman" w:hAnsi="Times New Roman" w:cs="Times New Roman" w:hint="eastAsia"/>
                <w:kern w:val="0"/>
                <w:sz w:val="21"/>
                <w:szCs w:val="21"/>
              </w:rPr>
              <w:t>0.02L</w:t>
            </w:r>
          </w:p>
        </w:tc>
        <w:tc>
          <w:tcPr>
            <w:tcW w:w="557" w:type="pct"/>
            <w:vAlign w:val="center"/>
          </w:tcPr>
          <w:p w:rsidR="00E60F0C" w:rsidRPr="00E60F0C" w:rsidRDefault="007E0053" w:rsidP="00E60F0C">
            <w:pPr>
              <w:pStyle w:val="afffffff2"/>
              <w:rPr>
                <w:rFonts w:ascii="Times New Roman" w:hAnsi="Times New Roman" w:cs="Times New Roman"/>
                <w:kern w:val="0"/>
                <w:sz w:val="21"/>
                <w:szCs w:val="21"/>
              </w:rPr>
            </w:pPr>
            <w:r w:rsidRPr="00E60F0C">
              <w:rPr>
                <w:rFonts w:ascii="Times New Roman" w:hAnsi="Times New Roman" w:cs="Times New Roman" w:hint="eastAsia"/>
                <w:kern w:val="0"/>
                <w:sz w:val="21"/>
                <w:szCs w:val="21"/>
              </w:rPr>
              <w:t>0.02L</w:t>
            </w:r>
          </w:p>
        </w:tc>
        <w:tc>
          <w:tcPr>
            <w:tcW w:w="557" w:type="pct"/>
            <w:vAlign w:val="center"/>
          </w:tcPr>
          <w:p w:rsidR="00E60F0C" w:rsidRPr="00E60F0C" w:rsidRDefault="007E0053" w:rsidP="00E60F0C">
            <w:pPr>
              <w:pStyle w:val="afffffff2"/>
              <w:rPr>
                <w:rFonts w:ascii="Times New Roman" w:hAnsi="Times New Roman" w:cs="Times New Roman"/>
                <w:kern w:val="0"/>
                <w:sz w:val="21"/>
                <w:szCs w:val="21"/>
              </w:rPr>
            </w:pPr>
            <w:r w:rsidRPr="00E60F0C">
              <w:rPr>
                <w:rFonts w:ascii="Times New Roman" w:hAnsi="Times New Roman" w:cs="Times New Roman" w:hint="eastAsia"/>
                <w:kern w:val="0"/>
                <w:sz w:val="21"/>
                <w:szCs w:val="21"/>
              </w:rPr>
              <w:t>0.02L</w:t>
            </w:r>
          </w:p>
        </w:tc>
        <w:tc>
          <w:tcPr>
            <w:tcW w:w="557" w:type="pct"/>
            <w:vAlign w:val="center"/>
          </w:tcPr>
          <w:p w:rsidR="00E60F0C" w:rsidRPr="00E60F0C" w:rsidRDefault="007E0053" w:rsidP="00E60F0C">
            <w:pPr>
              <w:pStyle w:val="afffffff2"/>
              <w:rPr>
                <w:rFonts w:ascii="Times New Roman" w:hAnsi="Times New Roman" w:cs="Times New Roman"/>
                <w:kern w:val="0"/>
                <w:sz w:val="21"/>
                <w:szCs w:val="21"/>
              </w:rPr>
            </w:pPr>
            <w:r w:rsidRPr="00E60F0C">
              <w:rPr>
                <w:rFonts w:ascii="Times New Roman" w:hAnsi="Times New Roman" w:cs="Times New Roman" w:hint="eastAsia"/>
                <w:kern w:val="0"/>
                <w:sz w:val="21"/>
                <w:szCs w:val="21"/>
              </w:rPr>
              <w:t>0.02L</w:t>
            </w:r>
          </w:p>
        </w:tc>
        <w:tc>
          <w:tcPr>
            <w:tcW w:w="558" w:type="pct"/>
            <w:vAlign w:val="center"/>
          </w:tcPr>
          <w:p w:rsidR="00E60F0C" w:rsidRPr="00E60F0C" w:rsidRDefault="007E0053" w:rsidP="00E60F0C">
            <w:pPr>
              <w:pStyle w:val="afffffff2"/>
              <w:rPr>
                <w:rFonts w:ascii="Times New Roman" w:hAnsi="Times New Roman" w:cs="Times New Roman"/>
                <w:kern w:val="0"/>
                <w:sz w:val="21"/>
                <w:szCs w:val="21"/>
              </w:rPr>
            </w:pPr>
            <w:r w:rsidRPr="00E60F0C">
              <w:rPr>
                <w:rFonts w:ascii="Times New Roman" w:hAnsi="Times New Roman" w:cs="Times New Roman" w:hint="eastAsia"/>
                <w:kern w:val="0"/>
                <w:sz w:val="21"/>
                <w:szCs w:val="21"/>
              </w:rPr>
              <w:t>0.02L</w:t>
            </w:r>
          </w:p>
        </w:tc>
        <w:tc>
          <w:tcPr>
            <w:tcW w:w="552" w:type="pct"/>
            <w:vAlign w:val="center"/>
          </w:tcPr>
          <w:p w:rsidR="00E60F0C" w:rsidRPr="00E60F0C" w:rsidRDefault="00E60F0C" w:rsidP="00E60F0C">
            <w:pPr>
              <w:widowControl/>
              <w:autoSpaceDE w:val="0"/>
              <w:spacing w:line="360" w:lineRule="exact"/>
              <w:ind w:firstLineChars="0" w:firstLine="0"/>
              <w:jc w:val="center"/>
              <w:rPr>
                <w:rFonts w:ascii="Times New Roman" w:hAnsi="Times New Roman"/>
                <w:bCs/>
                <w:kern w:val="0"/>
                <w:sz w:val="21"/>
                <w:szCs w:val="21"/>
              </w:rPr>
            </w:pPr>
            <w:r w:rsidRPr="00E60F0C">
              <w:rPr>
                <w:rFonts w:ascii="Times New Roman" w:hAnsi="Times New Roman"/>
                <w:bCs/>
                <w:kern w:val="0"/>
                <w:sz w:val="21"/>
                <w:szCs w:val="21"/>
              </w:rPr>
              <w:t>≤10.0</w:t>
            </w:r>
          </w:p>
        </w:tc>
      </w:tr>
      <w:tr w:rsidR="00E60F0C" w:rsidRPr="007C4A9C" w:rsidTr="00E60F0C">
        <w:trPr>
          <w:trHeight w:val="270"/>
        </w:trPr>
        <w:tc>
          <w:tcPr>
            <w:tcW w:w="1543" w:type="pct"/>
            <w:vAlign w:val="center"/>
          </w:tcPr>
          <w:p w:rsidR="00E60F0C" w:rsidRPr="00E60F0C" w:rsidRDefault="00E60F0C" w:rsidP="00E60F0C">
            <w:pPr>
              <w:widowControl/>
              <w:autoSpaceDE w:val="0"/>
              <w:spacing w:line="360" w:lineRule="exact"/>
              <w:ind w:firstLineChars="0" w:firstLine="0"/>
              <w:jc w:val="center"/>
              <w:rPr>
                <w:rFonts w:ascii="Times New Roman" w:hAnsi="Times New Roman"/>
                <w:bCs/>
                <w:kern w:val="0"/>
                <w:sz w:val="21"/>
                <w:szCs w:val="21"/>
              </w:rPr>
            </w:pPr>
            <w:r w:rsidRPr="00E60F0C">
              <w:rPr>
                <w:rFonts w:ascii="Times New Roman" w:hAnsi="Times New Roman"/>
                <w:bCs/>
                <w:kern w:val="0"/>
                <w:sz w:val="21"/>
                <w:szCs w:val="21"/>
              </w:rPr>
              <w:t>甲苯（</w:t>
            </w:r>
            <w:r w:rsidRPr="00E60F0C">
              <w:rPr>
                <w:rFonts w:ascii="Times New Roman" w:eastAsia="黑体" w:hAnsi="Times New Roman"/>
                <w:sz w:val="21"/>
                <w:szCs w:val="21"/>
              </w:rPr>
              <w:t>μg/L</w:t>
            </w:r>
            <w:r w:rsidRPr="00E60F0C">
              <w:rPr>
                <w:rFonts w:ascii="Times New Roman" w:hAnsi="Times New Roman"/>
                <w:bCs/>
                <w:kern w:val="0"/>
                <w:sz w:val="21"/>
                <w:szCs w:val="21"/>
              </w:rPr>
              <w:t>）</w:t>
            </w:r>
          </w:p>
        </w:tc>
        <w:tc>
          <w:tcPr>
            <w:tcW w:w="676" w:type="pct"/>
            <w:vAlign w:val="center"/>
          </w:tcPr>
          <w:p w:rsidR="00E60F0C" w:rsidRPr="00E60F0C" w:rsidRDefault="00E60F0C" w:rsidP="007E0053">
            <w:pPr>
              <w:pStyle w:val="afffffff2"/>
              <w:rPr>
                <w:rFonts w:ascii="Times New Roman" w:hAnsi="Times New Roman" w:cs="Times New Roman"/>
                <w:kern w:val="0"/>
                <w:sz w:val="21"/>
                <w:szCs w:val="21"/>
              </w:rPr>
            </w:pPr>
            <w:r w:rsidRPr="00E60F0C">
              <w:rPr>
                <w:rFonts w:ascii="Times New Roman" w:hAnsi="Times New Roman" w:cs="Times New Roman" w:hint="eastAsia"/>
                <w:kern w:val="0"/>
                <w:sz w:val="21"/>
                <w:szCs w:val="21"/>
              </w:rPr>
              <w:t>0.0</w:t>
            </w:r>
            <w:r w:rsidR="007E0053">
              <w:rPr>
                <w:rFonts w:ascii="Times New Roman" w:hAnsi="Times New Roman" w:cs="Times New Roman"/>
                <w:kern w:val="0"/>
                <w:sz w:val="21"/>
                <w:szCs w:val="21"/>
              </w:rPr>
              <w:t>2</w:t>
            </w:r>
            <w:r w:rsidRPr="00E60F0C">
              <w:rPr>
                <w:rFonts w:ascii="Times New Roman" w:hAnsi="Times New Roman" w:cs="Times New Roman" w:hint="eastAsia"/>
                <w:kern w:val="0"/>
                <w:sz w:val="21"/>
                <w:szCs w:val="21"/>
              </w:rPr>
              <w:t>L</w:t>
            </w:r>
          </w:p>
        </w:tc>
        <w:tc>
          <w:tcPr>
            <w:tcW w:w="557" w:type="pct"/>
            <w:vAlign w:val="center"/>
          </w:tcPr>
          <w:p w:rsidR="00E60F0C" w:rsidRPr="00E60F0C" w:rsidRDefault="007E0053" w:rsidP="007E0053">
            <w:pPr>
              <w:pStyle w:val="afffffff2"/>
              <w:rPr>
                <w:rFonts w:ascii="Times New Roman" w:hAnsi="Times New Roman" w:cs="Times New Roman"/>
                <w:kern w:val="0"/>
                <w:sz w:val="21"/>
                <w:szCs w:val="21"/>
              </w:rPr>
            </w:pPr>
            <w:r w:rsidRPr="00E60F0C">
              <w:rPr>
                <w:rFonts w:ascii="Times New Roman" w:hAnsi="Times New Roman" w:cs="Times New Roman" w:hint="eastAsia"/>
                <w:kern w:val="0"/>
                <w:sz w:val="21"/>
                <w:szCs w:val="21"/>
              </w:rPr>
              <w:t>0.0</w:t>
            </w:r>
            <w:r>
              <w:rPr>
                <w:rFonts w:ascii="Times New Roman" w:hAnsi="Times New Roman" w:cs="Times New Roman"/>
                <w:kern w:val="0"/>
                <w:sz w:val="21"/>
                <w:szCs w:val="21"/>
              </w:rPr>
              <w:t>2</w:t>
            </w:r>
            <w:r w:rsidRPr="00E60F0C">
              <w:rPr>
                <w:rFonts w:ascii="Times New Roman" w:hAnsi="Times New Roman" w:cs="Times New Roman" w:hint="eastAsia"/>
                <w:kern w:val="0"/>
                <w:sz w:val="21"/>
                <w:szCs w:val="21"/>
              </w:rPr>
              <w:t>L</w:t>
            </w:r>
          </w:p>
        </w:tc>
        <w:tc>
          <w:tcPr>
            <w:tcW w:w="557" w:type="pct"/>
            <w:vAlign w:val="center"/>
          </w:tcPr>
          <w:p w:rsidR="00E60F0C" w:rsidRPr="00E60F0C" w:rsidRDefault="007E0053" w:rsidP="00E60F0C">
            <w:pPr>
              <w:pStyle w:val="afffffff2"/>
              <w:rPr>
                <w:rFonts w:ascii="Times New Roman" w:hAnsi="Times New Roman" w:cs="Times New Roman"/>
                <w:kern w:val="0"/>
                <w:sz w:val="21"/>
                <w:szCs w:val="21"/>
              </w:rPr>
            </w:pPr>
            <w:r w:rsidRPr="00E60F0C">
              <w:rPr>
                <w:rFonts w:ascii="Times New Roman" w:hAnsi="Times New Roman" w:cs="Times New Roman" w:hint="eastAsia"/>
                <w:kern w:val="0"/>
                <w:sz w:val="21"/>
                <w:szCs w:val="21"/>
              </w:rPr>
              <w:t>0.0</w:t>
            </w:r>
            <w:r>
              <w:rPr>
                <w:rFonts w:ascii="Times New Roman" w:hAnsi="Times New Roman" w:cs="Times New Roman"/>
                <w:kern w:val="0"/>
                <w:sz w:val="21"/>
                <w:szCs w:val="21"/>
              </w:rPr>
              <w:t>2</w:t>
            </w:r>
            <w:r w:rsidRPr="00E60F0C">
              <w:rPr>
                <w:rFonts w:ascii="Times New Roman" w:hAnsi="Times New Roman" w:cs="Times New Roman" w:hint="eastAsia"/>
                <w:kern w:val="0"/>
                <w:sz w:val="21"/>
                <w:szCs w:val="21"/>
              </w:rPr>
              <w:t>L</w:t>
            </w:r>
          </w:p>
        </w:tc>
        <w:tc>
          <w:tcPr>
            <w:tcW w:w="557" w:type="pct"/>
            <w:vAlign w:val="center"/>
          </w:tcPr>
          <w:p w:rsidR="00E60F0C" w:rsidRPr="00E60F0C" w:rsidRDefault="007E0053" w:rsidP="00E60F0C">
            <w:pPr>
              <w:pStyle w:val="afffffff2"/>
              <w:rPr>
                <w:rFonts w:ascii="Times New Roman" w:hAnsi="Times New Roman" w:cs="Times New Roman"/>
                <w:kern w:val="0"/>
                <w:sz w:val="21"/>
                <w:szCs w:val="21"/>
              </w:rPr>
            </w:pPr>
            <w:r w:rsidRPr="00E60F0C">
              <w:rPr>
                <w:rFonts w:ascii="Times New Roman" w:hAnsi="Times New Roman" w:cs="Times New Roman" w:hint="eastAsia"/>
                <w:kern w:val="0"/>
                <w:sz w:val="21"/>
                <w:szCs w:val="21"/>
              </w:rPr>
              <w:t>0.0</w:t>
            </w:r>
            <w:r>
              <w:rPr>
                <w:rFonts w:ascii="Times New Roman" w:hAnsi="Times New Roman" w:cs="Times New Roman"/>
                <w:kern w:val="0"/>
                <w:sz w:val="21"/>
                <w:szCs w:val="21"/>
              </w:rPr>
              <w:t>2</w:t>
            </w:r>
            <w:r w:rsidRPr="00E60F0C">
              <w:rPr>
                <w:rFonts w:ascii="Times New Roman" w:hAnsi="Times New Roman" w:cs="Times New Roman" w:hint="eastAsia"/>
                <w:kern w:val="0"/>
                <w:sz w:val="21"/>
                <w:szCs w:val="21"/>
              </w:rPr>
              <w:t>L</w:t>
            </w:r>
          </w:p>
        </w:tc>
        <w:tc>
          <w:tcPr>
            <w:tcW w:w="558" w:type="pct"/>
            <w:vAlign w:val="center"/>
          </w:tcPr>
          <w:p w:rsidR="00E60F0C" w:rsidRPr="00E60F0C" w:rsidRDefault="007E0053" w:rsidP="00E60F0C">
            <w:pPr>
              <w:pStyle w:val="afffffff2"/>
              <w:rPr>
                <w:rFonts w:ascii="Times New Roman" w:hAnsi="Times New Roman" w:cs="Times New Roman"/>
                <w:kern w:val="0"/>
                <w:sz w:val="21"/>
                <w:szCs w:val="21"/>
              </w:rPr>
            </w:pPr>
            <w:r w:rsidRPr="00E60F0C">
              <w:rPr>
                <w:rFonts w:ascii="Times New Roman" w:hAnsi="Times New Roman" w:cs="Times New Roman" w:hint="eastAsia"/>
                <w:kern w:val="0"/>
                <w:sz w:val="21"/>
                <w:szCs w:val="21"/>
              </w:rPr>
              <w:t>0.0</w:t>
            </w:r>
            <w:r>
              <w:rPr>
                <w:rFonts w:ascii="Times New Roman" w:hAnsi="Times New Roman" w:cs="Times New Roman"/>
                <w:kern w:val="0"/>
                <w:sz w:val="21"/>
                <w:szCs w:val="21"/>
              </w:rPr>
              <w:t>2</w:t>
            </w:r>
            <w:r w:rsidRPr="00E60F0C">
              <w:rPr>
                <w:rFonts w:ascii="Times New Roman" w:hAnsi="Times New Roman" w:cs="Times New Roman" w:hint="eastAsia"/>
                <w:kern w:val="0"/>
                <w:sz w:val="21"/>
                <w:szCs w:val="21"/>
              </w:rPr>
              <w:t>L</w:t>
            </w:r>
          </w:p>
        </w:tc>
        <w:tc>
          <w:tcPr>
            <w:tcW w:w="552" w:type="pct"/>
            <w:vAlign w:val="center"/>
          </w:tcPr>
          <w:p w:rsidR="00E60F0C" w:rsidRPr="00E60F0C" w:rsidRDefault="00E60F0C" w:rsidP="00E60F0C">
            <w:pPr>
              <w:widowControl/>
              <w:autoSpaceDE w:val="0"/>
              <w:spacing w:line="360" w:lineRule="exact"/>
              <w:ind w:firstLineChars="0" w:firstLine="0"/>
              <w:jc w:val="center"/>
              <w:rPr>
                <w:rFonts w:ascii="Times New Roman" w:hAnsi="Times New Roman"/>
                <w:bCs/>
                <w:kern w:val="0"/>
                <w:sz w:val="21"/>
                <w:szCs w:val="21"/>
              </w:rPr>
            </w:pPr>
            <w:r w:rsidRPr="00E60F0C">
              <w:rPr>
                <w:rFonts w:ascii="Times New Roman" w:hAnsi="Times New Roman"/>
                <w:bCs/>
                <w:kern w:val="0"/>
                <w:sz w:val="21"/>
                <w:szCs w:val="21"/>
              </w:rPr>
              <w:t>≤700</w:t>
            </w:r>
          </w:p>
        </w:tc>
      </w:tr>
      <w:tr w:rsidR="000D175E" w:rsidRPr="007C4A9C" w:rsidTr="00E60F0C">
        <w:trPr>
          <w:trHeight w:val="270"/>
        </w:trPr>
        <w:tc>
          <w:tcPr>
            <w:tcW w:w="1543" w:type="pct"/>
            <w:vAlign w:val="center"/>
          </w:tcPr>
          <w:p w:rsidR="000D175E" w:rsidRPr="00E60F0C" w:rsidRDefault="000D175E" w:rsidP="000D175E">
            <w:pPr>
              <w:widowControl/>
              <w:autoSpaceDE w:val="0"/>
              <w:spacing w:line="360" w:lineRule="exact"/>
              <w:ind w:firstLineChars="0" w:firstLine="0"/>
              <w:jc w:val="center"/>
              <w:rPr>
                <w:rFonts w:ascii="Times New Roman" w:hAnsi="Times New Roman"/>
                <w:bCs/>
                <w:kern w:val="0"/>
                <w:sz w:val="21"/>
                <w:szCs w:val="21"/>
              </w:rPr>
            </w:pPr>
            <w:r>
              <w:rPr>
                <w:rFonts w:ascii="Times New Roman" w:hAnsi="Times New Roman" w:hint="eastAsia"/>
                <w:bCs/>
                <w:kern w:val="0"/>
                <w:sz w:val="21"/>
                <w:szCs w:val="21"/>
              </w:rPr>
              <w:t>二</w:t>
            </w:r>
            <w:r w:rsidRPr="00E60F0C">
              <w:rPr>
                <w:rFonts w:ascii="Times New Roman" w:hAnsi="Times New Roman"/>
                <w:bCs/>
                <w:kern w:val="0"/>
                <w:sz w:val="21"/>
                <w:szCs w:val="21"/>
              </w:rPr>
              <w:t>甲苯（</w:t>
            </w:r>
            <w:r w:rsidRPr="00E60F0C">
              <w:rPr>
                <w:rFonts w:ascii="Times New Roman" w:eastAsia="黑体" w:hAnsi="Times New Roman"/>
                <w:sz w:val="21"/>
                <w:szCs w:val="21"/>
              </w:rPr>
              <w:t>μg/L</w:t>
            </w:r>
            <w:r w:rsidRPr="00E60F0C">
              <w:rPr>
                <w:rFonts w:ascii="Times New Roman" w:hAnsi="Times New Roman"/>
                <w:bCs/>
                <w:kern w:val="0"/>
                <w:sz w:val="21"/>
                <w:szCs w:val="21"/>
              </w:rPr>
              <w:t>）</w:t>
            </w:r>
          </w:p>
        </w:tc>
        <w:tc>
          <w:tcPr>
            <w:tcW w:w="676" w:type="pct"/>
            <w:vAlign w:val="center"/>
          </w:tcPr>
          <w:p w:rsidR="000D175E" w:rsidRPr="00E60F0C" w:rsidRDefault="000D175E" w:rsidP="000D175E">
            <w:pPr>
              <w:pStyle w:val="afffffff2"/>
              <w:rPr>
                <w:rFonts w:ascii="Times New Roman" w:hAnsi="Times New Roman" w:cs="Times New Roman"/>
                <w:kern w:val="0"/>
                <w:sz w:val="21"/>
                <w:szCs w:val="21"/>
              </w:rPr>
            </w:pPr>
            <w:r w:rsidRPr="00E60F0C">
              <w:rPr>
                <w:rFonts w:ascii="Times New Roman" w:hAnsi="Times New Roman" w:cs="Times New Roman" w:hint="eastAsia"/>
                <w:kern w:val="0"/>
                <w:sz w:val="21"/>
                <w:szCs w:val="21"/>
              </w:rPr>
              <w:t>0.0</w:t>
            </w:r>
            <w:r>
              <w:rPr>
                <w:rFonts w:ascii="Times New Roman" w:hAnsi="Times New Roman" w:cs="Times New Roman"/>
                <w:kern w:val="0"/>
                <w:sz w:val="21"/>
                <w:szCs w:val="21"/>
              </w:rPr>
              <w:t>2</w:t>
            </w:r>
            <w:r w:rsidRPr="00E60F0C">
              <w:rPr>
                <w:rFonts w:ascii="Times New Roman" w:hAnsi="Times New Roman" w:cs="Times New Roman" w:hint="eastAsia"/>
                <w:kern w:val="0"/>
                <w:sz w:val="21"/>
                <w:szCs w:val="21"/>
              </w:rPr>
              <w:t>L</w:t>
            </w:r>
          </w:p>
        </w:tc>
        <w:tc>
          <w:tcPr>
            <w:tcW w:w="557" w:type="pct"/>
            <w:vAlign w:val="center"/>
          </w:tcPr>
          <w:p w:rsidR="000D175E" w:rsidRPr="00E60F0C" w:rsidRDefault="000D175E" w:rsidP="000D175E">
            <w:pPr>
              <w:pStyle w:val="afffffff2"/>
              <w:rPr>
                <w:rFonts w:ascii="Times New Roman" w:hAnsi="Times New Roman" w:cs="Times New Roman"/>
                <w:kern w:val="0"/>
                <w:sz w:val="21"/>
                <w:szCs w:val="21"/>
              </w:rPr>
            </w:pPr>
            <w:r w:rsidRPr="00E60F0C">
              <w:rPr>
                <w:rFonts w:ascii="Times New Roman" w:hAnsi="Times New Roman" w:cs="Times New Roman" w:hint="eastAsia"/>
                <w:kern w:val="0"/>
                <w:sz w:val="21"/>
                <w:szCs w:val="21"/>
              </w:rPr>
              <w:t>0.0</w:t>
            </w:r>
            <w:r>
              <w:rPr>
                <w:rFonts w:ascii="Times New Roman" w:hAnsi="Times New Roman" w:cs="Times New Roman"/>
                <w:kern w:val="0"/>
                <w:sz w:val="21"/>
                <w:szCs w:val="21"/>
              </w:rPr>
              <w:t>2</w:t>
            </w:r>
            <w:r w:rsidRPr="00E60F0C">
              <w:rPr>
                <w:rFonts w:ascii="Times New Roman" w:hAnsi="Times New Roman" w:cs="Times New Roman" w:hint="eastAsia"/>
                <w:kern w:val="0"/>
                <w:sz w:val="21"/>
                <w:szCs w:val="21"/>
              </w:rPr>
              <w:t>L</w:t>
            </w:r>
          </w:p>
        </w:tc>
        <w:tc>
          <w:tcPr>
            <w:tcW w:w="557" w:type="pct"/>
            <w:vAlign w:val="center"/>
          </w:tcPr>
          <w:p w:rsidR="000D175E" w:rsidRPr="00E60F0C" w:rsidRDefault="000D175E" w:rsidP="000D175E">
            <w:pPr>
              <w:pStyle w:val="afffffff2"/>
              <w:rPr>
                <w:rFonts w:ascii="Times New Roman" w:hAnsi="Times New Roman" w:cs="Times New Roman"/>
                <w:kern w:val="0"/>
                <w:sz w:val="21"/>
                <w:szCs w:val="21"/>
              </w:rPr>
            </w:pPr>
            <w:r w:rsidRPr="00E60F0C">
              <w:rPr>
                <w:rFonts w:ascii="Times New Roman" w:hAnsi="Times New Roman" w:cs="Times New Roman" w:hint="eastAsia"/>
                <w:kern w:val="0"/>
                <w:sz w:val="21"/>
                <w:szCs w:val="21"/>
              </w:rPr>
              <w:t>0.0</w:t>
            </w:r>
            <w:r>
              <w:rPr>
                <w:rFonts w:ascii="Times New Roman" w:hAnsi="Times New Roman" w:cs="Times New Roman"/>
                <w:kern w:val="0"/>
                <w:sz w:val="21"/>
                <w:szCs w:val="21"/>
              </w:rPr>
              <w:t>2</w:t>
            </w:r>
            <w:r w:rsidRPr="00E60F0C">
              <w:rPr>
                <w:rFonts w:ascii="Times New Roman" w:hAnsi="Times New Roman" w:cs="Times New Roman" w:hint="eastAsia"/>
                <w:kern w:val="0"/>
                <w:sz w:val="21"/>
                <w:szCs w:val="21"/>
              </w:rPr>
              <w:t>L</w:t>
            </w:r>
          </w:p>
        </w:tc>
        <w:tc>
          <w:tcPr>
            <w:tcW w:w="557" w:type="pct"/>
            <w:vAlign w:val="center"/>
          </w:tcPr>
          <w:p w:rsidR="000D175E" w:rsidRPr="00E60F0C" w:rsidRDefault="000D175E" w:rsidP="000D175E">
            <w:pPr>
              <w:pStyle w:val="afffffff2"/>
              <w:rPr>
                <w:rFonts w:ascii="Times New Roman" w:hAnsi="Times New Roman" w:cs="Times New Roman"/>
                <w:kern w:val="0"/>
                <w:sz w:val="21"/>
                <w:szCs w:val="21"/>
              </w:rPr>
            </w:pPr>
            <w:r w:rsidRPr="00E60F0C">
              <w:rPr>
                <w:rFonts w:ascii="Times New Roman" w:hAnsi="Times New Roman" w:cs="Times New Roman" w:hint="eastAsia"/>
                <w:kern w:val="0"/>
                <w:sz w:val="21"/>
                <w:szCs w:val="21"/>
              </w:rPr>
              <w:t>0.0</w:t>
            </w:r>
            <w:r>
              <w:rPr>
                <w:rFonts w:ascii="Times New Roman" w:hAnsi="Times New Roman" w:cs="Times New Roman"/>
                <w:kern w:val="0"/>
                <w:sz w:val="21"/>
                <w:szCs w:val="21"/>
              </w:rPr>
              <w:t>2</w:t>
            </w:r>
            <w:r w:rsidRPr="00E60F0C">
              <w:rPr>
                <w:rFonts w:ascii="Times New Roman" w:hAnsi="Times New Roman" w:cs="Times New Roman" w:hint="eastAsia"/>
                <w:kern w:val="0"/>
                <w:sz w:val="21"/>
                <w:szCs w:val="21"/>
              </w:rPr>
              <w:t>L</w:t>
            </w:r>
          </w:p>
        </w:tc>
        <w:tc>
          <w:tcPr>
            <w:tcW w:w="558" w:type="pct"/>
            <w:vAlign w:val="center"/>
          </w:tcPr>
          <w:p w:rsidR="000D175E" w:rsidRPr="00E60F0C" w:rsidRDefault="000D175E" w:rsidP="000D175E">
            <w:pPr>
              <w:pStyle w:val="afffffff2"/>
              <w:rPr>
                <w:rFonts w:ascii="Times New Roman" w:hAnsi="Times New Roman" w:cs="Times New Roman"/>
                <w:kern w:val="0"/>
                <w:sz w:val="21"/>
                <w:szCs w:val="21"/>
              </w:rPr>
            </w:pPr>
            <w:r w:rsidRPr="00E60F0C">
              <w:rPr>
                <w:rFonts w:ascii="Times New Roman" w:hAnsi="Times New Roman" w:cs="Times New Roman" w:hint="eastAsia"/>
                <w:kern w:val="0"/>
                <w:sz w:val="21"/>
                <w:szCs w:val="21"/>
              </w:rPr>
              <w:t>0.0</w:t>
            </w:r>
            <w:r>
              <w:rPr>
                <w:rFonts w:ascii="Times New Roman" w:hAnsi="Times New Roman" w:cs="Times New Roman"/>
                <w:kern w:val="0"/>
                <w:sz w:val="21"/>
                <w:szCs w:val="21"/>
              </w:rPr>
              <w:t>2</w:t>
            </w:r>
            <w:r w:rsidRPr="00E60F0C">
              <w:rPr>
                <w:rFonts w:ascii="Times New Roman" w:hAnsi="Times New Roman" w:cs="Times New Roman" w:hint="eastAsia"/>
                <w:kern w:val="0"/>
                <w:sz w:val="21"/>
                <w:szCs w:val="21"/>
              </w:rPr>
              <w:t>L</w:t>
            </w:r>
          </w:p>
        </w:tc>
        <w:tc>
          <w:tcPr>
            <w:tcW w:w="552" w:type="pct"/>
            <w:vAlign w:val="center"/>
          </w:tcPr>
          <w:p w:rsidR="000D175E" w:rsidRPr="00E60F0C" w:rsidRDefault="000D175E" w:rsidP="000D175E">
            <w:pPr>
              <w:widowControl/>
              <w:autoSpaceDE w:val="0"/>
              <w:spacing w:line="360" w:lineRule="exact"/>
              <w:ind w:firstLineChars="0" w:firstLine="0"/>
              <w:jc w:val="center"/>
              <w:rPr>
                <w:rFonts w:ascii="Times New Roman" w:hAnsi="Times New Roman"/>
                <w:bCs/>
                <w:kern w:val="0"/>
                <w:sz w:val="21"/>
                <w:szCs w:val="21"/>
              </w:rPr>
            </w:pPr>
            <w:r w:rsidRPr="00E60F0C">
              <w:rPr>
                <w:rFonts w:ascii="Times New Roman" w:hAnsi="Times New Roman"/>
                <w:bCs/>
                <w:kern w:val="0"/>
                <w:sz w:val="21"/>
                <w:szCs w:val="21"/>
              </w:rPr>
              <w:t>≤</w:t>
            </w:r>
            <w:r>
              <w:rPr>
                <w:rFonts w:ascii="Times New Roman" w:hAnsi="Times New Roman"/>
                <w:bCs/>
                <w:kern w:val="0"/>
                <w:sz w:val="21"/>
                <w:szCs w:val="21"/>
              </w:rPr>
              <w:t>5</w:t>
            </w:r>
            <w:r w:rsidRPr="00E60F0C">
              <w:rPr>
                <w:rFonts w:ascii="Times New Roman" w:hAnsi="Times New Roman"/>
                <w:bCs/>
                <w:kern w:val="0"/>
                <w:sz w:val="21"/>
                <w:szCs w:val="21"/>
              </w:rPr>
              <w:t>00</w:t>
            </w:r>
          </w:p>
        </w:tc>
      </w:tr>
      <w:tr w:rsidR="007E0053" w:rsidRPr="007C4A9C" w:rsidTr="00E60F0C">
        <w:trPr>
          <w:trHeight w:val="270"/>
        </w:trPr>
        <w:tc>
          <w:tcPr>
            <w:tcW w:w="1543" w:type="pct"/>
            <w:vAlign w:val="center"/>
          </w:tcPr>
          <w:p w:rsidR="007E0053" w:rsidRPr="00E60F0C" w:rsidRDefault="007E0053" w:rsidP="007E0053">
            <w:pPr>
              <w:widowControl/>
              <w:autoSpaceDE w:val="0"/>
              <w:spacing w:line="360" w:lineRule="exact"/>
              <w:ind w:firstLineChars="0" w:firstLine="0"/>
              <w:jc w:val="center"/>
              <w:rPr>
                <w:rFonts w:ascii="Times New Roman" w:hAnsi="Times New Roman"/>
                <w:bCs/>
                <w:kern w:val="0"/>
                <w:sz w:val="21"/>
                <w:szCs w:val="21"/>
              </w:rPr>
            </w:pPr>
            <w:r w:rsidRPr="00E60F0C">
              <w:rPr>
                <w:rFonts w:ascii="Times New Roman" w:hAnsi="Times New Roman"/>
                <w:bCs/>
                <w:kern w:val="0"/>
                <w:sz w:val="21"/>
                <w:szCs w:val="21"/>
              </w:rPr>
              <w:t>三氯甲烷（</w:t>
            </w:r>
            <w:r w:rsidRPr="00E60F0C">
              <w:rPr>
                <w:rFonts w:ascii="Times New Roman" w:eastAsia="黑体" w:hAnsi="Times New Roman"/>
                <w:sz w:val="21"/>
                <w:szCs w:val="21"/>
              </w:rPr>
              <w:t>μg/L</w:t>
            </w:r>
            <w:r w:rsidRPr="00E60F0C">
              <w:rPr>
                <w:rFonts w:ascii="Times New Roman" w:hAnsi="Times New Roman"/>
                <w:bCs/>
                <w:kern w:val="0"/>
                <w:sz w:val="21"/>
                <w:szCs w:val="21"/>
              </w:rPr>
              <w:t>）</w:t>
            </w:r>
          </w:p>
        </w:tc>
        <w:tc>
          <w:tcPr>
            <w:tcW w:w="676" w:type="pct"/>
            <w:vAlign w:val="center"/>
          </w:tcPr>
          <w:p w:rsidR="007E0053" w:rsidRPr="00E60F0C" w:rsidRDefault="007E0053" w:rsidP="007E0053">
            <w:pPr>
              <w:pStyle w:val="afffffff2"/>
              <w:rPr>
                <w:rFonts w:ascii="Times New Roman" w:hAnsi="Times New Roman" w:cs="Times New Roman"/>
                <w:kern w:val="0"/>
                <w:sz w:val="21"/>
                <w:szCs w:val="21"/>
              </w:rPr>
            </w:pPr>
            <w:r>
              <w:rPr>
                <w:rFonts w:ascii="Times New Roman" w:hAnsi="Times New Roman" w:cs="Times New Roman"/>
                <w:kern w:val="0"/>
                <w:sz w:val="21"/>
                <w:szCs w:val="21"/>
              </w:rPr>
              <w:t>0.0</w:t>
            </w:r>
            <w:r w:rsidRPr="00E60F0C">
              <w:rPr>
                <w:rFonts w:ascii="Times New Roman" w:hAnsi="Times New Roman" w:cs="Times New Roman" w:hint="eastAsia"/>
                <w:kern w:val="0"/>
                <w:sz w:val="21"/>
                <w:szCs w:val="21"/>
              </w:rPr>
              <w:t>2L</w:t>
            </w:r>
          </w:p>
        </w:tc>
        <w:tc>
          <w:tcPr>
            <w:tcW w:w="557" w:type="pct"/>
            <w:vAlign w:val="center"/>
          </w:tcPr>
          <w:p w:rsidR="007E0053" w:rsidRPr="00E60F0C" w:rsidRDefault="007E0053" w:rsidP="007E0053">
            <w:pPr>
              <w:pStyle w:val="afffffff2"/>
              <w:rPr>
                <w:rFonts w:ascii="Times New Roman" w:hAnsi="Times New Roman" w:cs="Times New Roman"/>
                <w:kern w:val="0"/>
                <w:sz w:val="21"/>
                <w:szCs w:val="21"/>
              </w:rPr>
            </w:pPr>
            <w:r>
              <w:rPr>
                <w:rFonts w:ascii="Times New Roman" w:hAnsi="Times New Roman" w:cs="Times New Roman"/>
                <w:kern w:val="0"/>
                <w:sz w:val="21"/>
                <w:szCs w:val="21"/>
              </w:rPr>
              <w:t>0.0</w:t>
            </w:r>
            <w:r w:rsidRPr="00E60F0C">
              <w:rPr>
                <w:rFonts w:ascii="Times New Roman" w:hAnsi="Times New Roman" w:cs="Times New Roman" w:hint="eastAsia"/>
                <w:kern w:val="0"/>
                <w:sz w:val="21"/>
                <w:szCs w:val="21"/>
              </w:rPr>
              <w:t>2L</w:t>
            </w:r>
          </w:p>
        </w:tc>
        <w:tc>
          <w:tcPr>
            <w:tcW w:w="557" w:type="pct"/>
            <w:vAlign w:val="center"/>
          </w:tcPr>
          <w:p w:rsidR="007E0053" w:rsidRPr="00E60F0C" w:rsidRDefault="007E0053" w:rsidP="007E0053">
            <w:pPr>
              <w:pStyle w:val="afffffff2"/>
              <w:rPr>
                <w:rFonts w:ascii="Times New Roman" w:hAnsi="Times New Roman" w:cs="Times New Roman"/>
                <w:kern w:val="0"/>
                <w:sz w:val="21"/>
                <w:szCs w:val="21"/>
              </w:rPr>
            </w:pPr>
            <w:r>
              <w:rPr>
                <w:rFonts w:ascii="Times New Roman" w:hAnsi="Times New Roman" w:cs="Times New Roman"/>
                <w:kern w:val="0"/>
                <w:sz w:val="21"/>
                <w:szCs w:val="21"/>
              </w:rPr>
              <w:t>0.0</w:t>
            </w:r>
            <w:r w:rsidRPr="00E60F0C">
              <w:rPr>
                <w:rFonts w:ascii="Times New Roman" w:hAnsi="Times New Roman" w:cs="Times New Roman" w:hint="eastAsia"/>
                <w:kern w:val="0"/>
                <w:sz w:val="21"/>
                <w:szCs w:val="21"/>
              </w:rPr>
              <w:t>2L</w:t>
            </w:r>
          </w:p>
        </w:tc>
        <w:tc>
          <w:tcPr>
            <w:tcW w:w="557" w:type="pct"/>
            <w:vAlign w:val="center"/>
          </w:tcPr>
          <w:p w:rsidR="007E0053" w:rsidRPr="00E60F0C" w:rsidRDefault="007E0053" w:rsidP="007E0053">
            <w:pPr>
              <w:pStyle w:val="afffffff2"/>
              <w:rPr>
                <w:rFonts w:ascii="Times New Roman" w:hAnsi="Times New Roman" w:cs="Times New Roman"/>
                <w:kern w:val="0"/>
                <w:sz w:val="21"/>
                <w:szCs w:val="21"/>
              </w:rPr>
            </w:pPr>
            <w:r>
              <w:rPr>
                <w:rFonts w:ascii="Times New Roman" w:hAnsi="Times New Roman" w:cs="Times New Roman"/>
                <w:kern w:val="0"/>
                <w:sz w:val="21"/>
                <w:szCs w:val="21"/>
              </w:rPr>
              <w:t>0.0</w:t>
            </w:r>
            <w:r w:rsidRPr="00E60F0C">
              <w:rPr>
                <w:rFonts w:ascii="Times New Roman" w:hAnsi="Times New Roman" w:cs="Times New Roman" w:hint="eastAsia"/>
                <w:kern w:val="0"/>
                <w:sz w:val="21"/>
                <w:szCs w:val="21"/>
              </w:rPr>
              <w:t>2L</w:t>
            </w:r>
          </w:p>
        </w:tc>
        <w:tc>
          <w:tcPr>
            <w:tcW w:w="558" w:type="pct"/>
            <w:vAlign w:val="center"/>
          </w:tcPr>
          <w:p w:rsidR="007E0053" w:rsidRPr="00E60F0C" w:rsidRDefault="007E0053" w:rsidP="007E0053">
            <w:pPr>
              <w:pStyle w:val="afffffff2"/>
              <w:rPr>
                <w:rFonts w:ascii="Times New Roman" w:hAnsi="Times New Roman" w:cs="Times New Roman"/>
                <w:kern w:val="0"/>
                <w:sz w:val="21"/>
                <w:szCs w:val="21"/>
              </w:rPr>
            </w:pPr>
            <w:r>
              <w:rPr>
                <w:rFonts w:ascii="Times New Roman" w:hAnsi="Times New Roman" w:cs="Times New Roman"/>
                <w:kern w:val="0"/>
                <w:sz w:val="21"/>
                <w:szCs w:val="21"/>
              </w:rPr>
              <w:t>0.0</w:t>
            </w:r>
            <w:r w:rsidRPr="00E60F0C">
              <w:rPr>
                <w:rFonts w:ascii="Times New Roman" w:hAnsi="Times New Roman" w:cs="Times New Roman" w:hint="eastAsia"/>
                <w:kern w:val="0"/>
                <w:sz w:val="21"/>
                <w:szCs w:val="21"/>
              </w:rPr>
              <w:t>2L</w:t>
            </w:r>
          </w:p>
        </w:tc>
        <w:tc>
          <w:tcPr>
            <w:tcW w:w="552" w:type="pct"/>
            <w:vAlign w:val="center"/>
          </w:tcPr>
          <w:p w:rsidR="007E0053" w:rsidRPr="00E60F0C" w:rsidRDefault="007E0053" w:rsidP="007E0053">
            <w:pPr>
              <w:widowControl/>
              <w:autoSpaceDE w:val="0"/>
              <w:spacing w:line="360" w:lineRule="exact"/>
              <w:ind w:firstLineChars="0" w:firstLine="0"/>
              <w:jc w:val="center"/>
              <w:rPr>
                <w:rFonts w:ascii="Times New Roman" w:hAnsi="Times New Roman"/>
                <w:bCs/>
                <w:kern w:val="0"/>
                <w:sz w:val="21"/>
                <w:szCs w:val="21"/>
              </w:rPr>
            </w:pPr>
            <w:r w:rsidRPr="00E60F0C">
              <w:rPr>
                <w:rFonts w:ascii="Times New Roman" w:hAnsi="Times New Roman"/>
                <w:bCs/>
                <w:kern w:val="0"/>
                <w:sz w:val="21"/>
                <w:szCs w:val="21"/>
              </w:rPr>
              <w:t>≤60</w:t>
            </w:r>
          </w:p>
        </w:tc>
      </w:tr>
      <w:tr w:rsidR="007E0053" w:rsidRPr="007C4A9C" w:rsidTr="00E60F0C">
        <w:trPr>
          <w:trHeight w:val="270"/>
        </w:trPr>
        <w:tc>
          <w:tcPr>
            <w:tcW w:w="1543" w:type="pct"/>
            <w:vAlign w:val="center"/>
          </w:tcPr>
          <w:p w:rsidR="007E0053" w:rsidRPr="00E60F0C" w:rsidRDefault="007E0053" w:rsidP="007E0053">
            <w:pPr>
              <w:widowControl/>
              <w:autoSpaceDE w:val="0"/>
              <w:spacing w:line="360" w:lineRule="exact"/>
              <w:ind w:firstLineChars="0" w:firstLine="0"/>
              <w:jc w:val="center"/>
              <w:rPr>
                <w:rFonts w:ascii="Times New Roman" w:hAnsi="Times New Roman"/>
                <w:bCs/>
                <w:kern w:val="0"/>
                <w:sz w:val="21"/>
                <w:szCs w:val="21"/>
              </w:rPr>
            </w:pPr>
            <w:r w:rsidRPr="00E60F0C">
              <w:rPr>
                <w:rFonts w:ascii="Times New Roman" w:hAnsi="Times New Roman"/>
                <w:bCs/>
                <w:kern w:val="0"/>
                <w:sz w:val="21"/>
                <w:szCs w:val="21"/>
              </w:rPr>
              <w:t>四氯化碳（</w:t>
            </w:r>
            <w:r w:rsidRPr="00E60F0C">
              <w:rPr>
                <w:rFonts w:ascii="Times New Roman" w:eastAsia="黑体" w:hAnsi="Times New Roman"/>
                <w:sz w:val="21"/>
                <w:szCs w:val="21"/>
              </w:rPr>
              <w:t>μg/L</w:t>
            </w:r>
            <w:r w:rsidRPr="00E60F0C">
              <w:rPr>
                <w:rFonts w:ascii="Times New Roman" w:hAnsi="Times New Roman"/>
                <w:bCs/>
                <w:kern w:val="0"/>
                <w:sz w:val="21"/>
                <w:szCs w:val="21"/>
              </w:rPr>
              <w:t>）</w:t>
            </w:r>
          </w:p>
        </w:tc>
        <w:tc>
          <w:tcPr>
            <w:tcW w:w="676" w:type="pct"/>
            <w:vAlign w:val="center"/>
          </w:tcPr>
          <w:p w:rsidR="007E0053" w:rsidRPr="00E60F0C" w:rsidRDefault="007E0053" w:rsidP="007E0053">
            <w:pPr>
              <w:pStyle w:val="afffffff2"/>
              <w:rPr>
                <w:rFonts w:ascii="Times New Roman" w:hAnsi="Times New Roman" w:cs="Times New Roman"/>
                <w:kern w:val="0"/>
                <w:sz w:val="21"/>
                <w:szCs w:val="21"/>
              </w:rPr>
            </w:pPr>
            <w:r>
              <w:rPr>
                <w:rFonts w:ascii="Times New Roman" w:hAnsi="Times New Roman" w:cs="Times New Roman"/>
                <w:kern w:val="0"/>
                <w:sz w:val="21"/>
                <w:szCs w:val="21"/>
              </w:rPr>
              <w:t>0.03</w:t>
            </w:r>
            <w:r w:rsidRPr="00E60F0C">
              <w:rPr>
                <w:rFonts w:ascii="Times New Roman" w:hAnsi="Times New Roman" w:cs="Times New Roman" w:hint="eastAsia"/>
                <w:kern w:val="0"/>
                <w:sz w:val="21"/>
                <w:szCs w:val="21"/>
              </w:rPr>
              <w:t>L</w:t>
            </w:r>
          </w:p>
        </w:tc>
        <w:tc>
          <w:tcPr>
            <w:tcW w:w="557" w:type="pct"/>
            <w:vAlign w:val="center"/>
          </w:tcPr>
          <w:p w:rsidR="007E0053" w:rsidRPr="00E60F0C" w:rsidRDefault="007E0053" w:rsidP="007E0053">
            <w:pPr>
              <w:pStyle w:val="afffffff2"/>
              <w:rPr>
                <w:rFonts w:ascii="Times New Roman" w:hAnsi="Times New Roman" w:cs="Times New Roman"/>
                <w:kern w:val="0"/>
                <w:sz w:val="21"/>
                <w:szCs w:val="21"/>
              </w:rPr>
            </w:pPr>
            <w:r>
              <w:rPr>
                <w:rFonts w:ascii="Times New Roman" w:hAnsi="Times New Roman" w:cs="Times New Roman"/>
                <w:kern w:val="0"/>
                <w:sz w:val="21"/>
                <w:szCs w:val="21"/>
              </w:rPr>
              <w:t>0.03</w:t>
            </w:r>
            <w:r w:rsidRPr="00E60F0C">
              <w:rPr>
                <w:rFonts w:ascii="Times New Roman" w:hAnsi="Times New Roman" w:cs="Times New Roman" w:hint="eastAsia"/>
                <w:kern w:val="0"/>
                <w:sz w:val="21"/>
                <w:szCs w:val="21"/>
              </w:rPr>
              <w:t>L</w:t>
            </w:r>
          </w:p>
        </w:tc>
        <w:tc>
          <w:tcPr>
            <w:tcW w:w="557" w:type="pct"/>
            <w:vAlign w:val="center"/>
          </w:tcPr>
          <w:p w:rsidR="007E0053" w:rsidRPr="00E60F0C" w:rsidRDefault="007E0053" w:rsidP="007E0053">
            <w:pPr>
              <w:pStyle w:val="afffffff2"/>
              <w:rPr>
                <w:rFonts w:ascii="Times New Roman" w:hAnsi="Times New Roman" w:cs="Times New Roman"/>
                <w:kern w:val="0"/>
                <w:sz w:val="21"/>
                <w:szCs w:val="21"/>
              </w:rPr>
            </w:pPr>
            <w:r>
              <w:rPr>
                <w:rFonts w:ascii="Times New Roman" w:hAnsi="Times New Roman" w:cs="Times New Roman"/>
                <w:kern w:val="0"/>
                <w:sz w:val="21"/>
                <w:szCs w:val="21"/>
              </w:rPr>
              <w:t>0.03</w:t>
            </w:r>
            <w:r w:rsidRPr="00E60F0C">
              <w:rPr>
                <w:rFonts w:ascii="Times New Roman" w:hAnsi="Times New Roman" w:cs="Times New Roman" w:hint="eastAsia"/>
                <w:kern w:val="0"/>
                <w:sz w:val="21"/>
                <w:szCs w:val="21"/>
              </w:rPr>
              <w:t>L</w:t>
            </w:r>
          </w:p>
        </w:tc>
        <w:tc>
          <w:tcPr>
            <w:tcW w:w="557" w:type="pct"/>
            <w:vAlign w:val="center"/>
          </w:tcPr>
          <w:p w:rsidR="007E0053" w:rsidRPr="00E60F0C" w:rsidRDefault="007E0053" w:rsidP="007E0053">
            <w:pPr>
              <w:pStyle w:val="afffffff2"/>
              <w:rPr>
                <w:rFonts w:ascii="Times New Roman" w:hAnsi="Times New Roman" w:cs="Times New Roman"/>
                <w:kern w:val="0"/>
                <w:sz w:val="21"/>
                <w:szCs w:val="21"/>
              </w:rPr>
            </w:pPr>
            <w:r>
              <w:rPr>
                <w:rFonts w:ascii="Times New Roman" w:hAnsi="Times New Roman" w:cs="Times New Roman"/>
                <w:kern w:val="0"/>
                <w:sz w:val="21"/>
                <w:szCs w:val="21"/>
              </w:rPr>
              <w:t>0.03</w:t>
            </w:r>
            <w:r w:rsidRPr="00E60F0C">
              <w:rPr>
                <w:rFonts w:ascii="Times New Roman" w:hAnsi="Times New Roman" w:cs="Times New Roman" w:hint="eastAsia"/>
                <w:kern w:val="0"/>
                <w:sz w:val="21"/>
                <w:szCs w:val="21"/>
              </w:rPr>
              <w:t>L</w:t>
            </w:r>
          </w:p>
        </w:tc>
        <w:tc>
          <w:tcPr>
            <w:tcW w:w="558" w:type="pct"/>
            <w:vAlign w:val="center"/>
          </w:tcPr>
          <w:p w:rsidR="007E0053" w:rsidRPr="00E60F0C" w:rsidRDefault="007E0053" w:rsidP="007E0053">
            <w:pPr>
              <w:pStyle w:val="afffffff2"/>
              <w:rPr>
                <w:rFonts w:ascii="Times New Roman" w:hAnsi="Times New Roman" w:cs="Times New Roman"/>
                <w:kern w:val="0"/>
                <w:sz w:val="21"/>
                <w:szCs w:val="21"/>
              </w:rPr>
            </w:pPr>
            <w:r>
              <w:rPr>
                <w:rFonts w:ascii="Times New Roman" w:hAnsi="Times New Roman" w:cs="Times New Roman"/>
                <w:kern w:val="0"/>
                <w:sz w:val="21"/>
                <w:szCs w:val="21"/>
              </w:rPr>
              <w:t>0.03</w:t>
            </w:r>
            <w:r w:rsidRPr="00E60F0C">
              <w:rPr>
                <w:rFonts w:ascii="Times New Roman" w:hAnsi="Times New Roman" w:cs="Times New Roman" w:hint="eastAsia"/>
                <w:kern w:val="0"/>
                <w:sz w:val="21"/>
                <w:szCs w:val="21"/>
              </w:rPr>
              <w:t>L</w:t>
            </w:r>
          </w:p>
        </w:tc>
        <w:tc>
          <w:tcPr>
            <w:tcW w:w="552" w:type="pct"/>
            <w:vAlign w:val="center"/>
          </w:tcPr>
          <w:p w:rsidR="007E0053" w:rsidRPr="00E60F0C" w:rsidRDefault="007E0053" w:rsidP="007E0053">
            <w:pPr>
              <w:widowControl/>
              <w:autoSpaceDE w:val="0"/>
              <w:spacing w:line="360" w:lineRule="exact"/>
              <w:ind w:firstLineChars="0" w:firstLine="0"/>
              <w:jc w:val="center"/>
              <w:rPr>
                <w:rFonts w:ascii="Times New Roman" w:hAnsi="Times New Roman"/>
                <w:bCs/>
                <w:kern w:val="0"/>
                <w:sz w:val="21"/>
                <w:szCs w:val="21"/>
              </w:rPr>
            </w:pPr>
            <w:r w:rsidRPr="00E60F0C">
              <w:rPr>
                <w:rFonts w:ascii="Times New Roman" w:hAnsi="Times New Roman"/>
                <w:bCs/>
                <w:kern w:val="0"/>
                <w:sz w:val="21"/>
                <w:szCs w:val="21"/>
              </w:rPr>
              <w:t>≤2.0</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菌落总数（</w:t>
            </w:r>
            <w:r w:rsidRPr="007C4A9C">
              <w:rPr>
                <w:rFonts w:ascii="Times New Roman" w:hAnsi="Times New Roman" w:cs="Times New Roman"/>
                <w:kern w:val="0"/>
                <w:sz w:val="21"/>
                <w:szCs w:val="21"/>
              </w:rPr>
              <w:t>CFU/mL</w:t>
            </w:r>
            <w:r w:rsidRPr="007C4A9C">
              <w:rPr>
                <w:rFonts w:ascii="Times New Roman" w:hAnsi="Times New Roman" w:cs="Times New Roman"/>
                <w:kern w:val="0"/>
                <w:sz w:val="21"/>
                <w:szCs w:val="21"/>
              </w:rPr>
              <w:t>）</w:t>
            </w:r>
          </w:p>
        </w:tc>
        <w:tc>
          <w:tcPr>
            <w:tcW w:w="676" w:type="pct"/>
            <w:vAlign w:val="center"/>
          </w:tcPr>
          <w:p w:rsidR="004A31DD" w:rsidRPr="007C4A9C" w:rsidRDefault="007C4A9C"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24</w:t>
            </w:r>
          </w:p>
        </w:tc>
        <w:tc>
          <w:tcPr>
            <w:tcW w:w="557" w:type="pct"/>
            <w:vAlign w:val="center"/>
          </w:tcPr>
          <w:p w:rsidR="004A31DD" w:rsidRPr="007C4A9C" w:rsidRDefault="004A31DD" w:rsidP="007E0053">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4</w:t>
            </w:r>
            <w:r w:rsidR="007E0053">
              <w:rPr>
                <w:rFonts w:ascii="Times New Roman" w:hAnsi="Times New Roman" w:cs="Times New Roman"/>
                <w:kern w:val="0"/>
                <w:sz w:val="21"/>
                <w:szCs w:val="21"/>
              </w:rPr>
              <w:t>4</w:t>
            </w:r>
          </w:p>
        </w:tc>
        <w:tc>
          <w:tcPr>
            <w:tcW w:w="557" w:type="pct"/>
            <w:vAlign w:val="center"/>
          </w:tcPr>
          <w:p w:rsidR="004A31DD" w:rsidRPr="007C4A9C" w:rsidRDefault="004A31DD" w:rsidP="007E0053">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4</w:t>
            </w:r>
            <w:r w:rsidR="007E0053">
              <w:rPr>
                <w:rFonts w:ascii="Times New Roman" w:hAnsi="Times New Roman" w:cs="Times New Roman"/>
                <w:kern w:val="0"/>
                <w:sz w:val="21"/>
                <w:szCs w:val="21"/>
              </w:rPr>
              <w:t>4</w:t>
            </w:r>
          </w:p>
        </w:tc>
        <w:tc>
          <w:tcPr>
            <w:tcW w:w="557" w:type="pct"/>
            <w:vAlign w:val="center"/>
          </w:tcPr>
          <w:p w:rsidR="004A31DD" w:rsidRPr="007C4A9C" w:rsidRDefault="004A31DD" w:rsidP="007E0053">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4</w:t>
            </w:r>
            <w:r w:rsidR="007E0053">
              <w:rPr>
                <w:rFonts w:ascii="Times New Roman" w:hAnsi="Times New Roman" w:cs="Times New Roman"/>
                <w:kern w:val="0"/>
                <w:sz w:val="21"/>
                <w:szCs w:val="21"/>
              </w:rPr>
              <w:t>0</w:t>
            </w:r>
          </w:p>
        </w:tc>
        <w:tc>
          <w:tcPr>
            <w:tcW w:w="558" w:type="pct"/>
            <w:vAlign w:val="center"/>
          </w:tcPr>
          <w:p w:rsidR="004A31DD" w:rsidRPr="007C4A9C" w:rsidRDefault="007E0053" w:rsidP="007E0053">
            <w:pPr>
              <w:pStyle w:val="afffffff2"/>
              <w:rPr>
                <w:rFonts w:ascii="Times New Roman" w:hAnsi="Times New Roman" w:cs="Times New Roman"/>
                <w:kern w:val="0"/>
                <w:sz w:val="21"/>
                <w:szCs w:val="21"/>
              </w:rPr>
            </w:pPr>
            <w:r>
              <w:rPr>
                <w:rFonts w:ascii="Times New Roman" w:hAnsi="Times New Roman" w:cs="Times New Roman"/>
                <w:kern w:val="0"/>
                <w:sz w:val="21"/>
                <w:szCs w:val="21"/>
              </w:rPr>
              <w:t>43</w:t>
            </w:r>
          </w:p>
        </w:tc>
        <w:tc>
          <w:tcPr>
            <w:tcW w:w="552" w:type="pct"/>
            <w:vAlign w:val="center"/>
          </w:tcPr>
          <w:p w:rsidR="004A31DD" w:rsidRPr="007C4A9C" w:rsidRDefault="00D75351" w:rsidP="004A31DD">
            <w:pPr>
              <w:pStyle w:val="afffffff2"/>
              <w:rPr>
                <w:rFonts w:ascii="Times New Roman" w:hAnsi="Times New Roman" w:cs="Times New Roman"/>
                <w:kern w:val="0"/>
                <w:sz w:val="21"/>
                <w:szCs w:val="21"/>
              </w:rPr>
            </w:pPr>
            <w:r w:rsidRPr="007C4A9C">
              <w:rPr>
                <w:rFonts w:ascii="Times New Roman" w:hAnsi="Times New Roman" w:cs="Times New Roman"/>
                <w:bCs/>
                <w:kern w:val="0"/>
                <w:sz w:val="21"/>
                <w:szCs w:val="21"/>
              </w:rPr>
              <w:t>≤100</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总大肠菌群（</w:t>
            </w:r>
            <w:r w:rsidRPr="007C4A9C">
              <w:rPr>
                <w:rFonts w:ascii="Times New Roman" w:hAnsi="Times New Roman" w:cs="Times New Roman"/>
                <w:kern w:val="0"/>
                <w:sz w:val="21"/>
                <w:szCs w:val="21"/>
              </w:rPr>
              <w:t>MPN/100mL</w:t>
            </w:r>
            <w:r w:rsidRPr="007C4A9C">
              <w:rPr>
                <w:rFonts w:ascii="Times New Roman" w:hAnsi="Times New Roman" w:cs="Times New Roman"/>
                <w:kern w:val="0"/>
                <w:sz w:val="21"/>
                <w:szCs w:val="21"/>
              </w:rPr>
              <w:t>）</w:t>
            </w:r>
          </w:p>
        </w:tc>
        <w:tc>
          <w:tcPr>
            <w:tcW w:w="676"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2L</w:t>
            </w:r>
          </w:p>
        </w:tc>
        <w:tc>
          <w:tcPr>
            <w:tcW w:w="557"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3</w:t>
            </w:r>
            <w:r w:rsidR="004A31DD" w:rsidRPr="007C4A9C">
              <w:rPr>
                <w:rFonts w:ascii="Times New Roman" w:hAnsi="Times New Roman" w:cs="Times New Roman"/>
                <w:kern w:val="0"/>
                <w:sz w:val="21"/>
                <w:szCs w:val="21"/>
              </w:rPr>
              <w:t>L</w:t>
            </w:r>
          </w:p>
        </w:tc>
        <w:tc>
          <w:tcPr>
            <w:tcW w:w="557"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3</w:t>
            </w:r>
            <w:r w:rsidR="004A31DD" w:rsidRPr="007C4A9C">
              <w:rPr>
                <w:rFonts w:ascii="Times New Roman" w:hAnsi="Times New Roman" w:cs="Times New Roman"/>
                <w:kern w:val="0"/>
                <w:sz w:val="21"/>
                <w:szCs w:val="21"/>
              </w:rPr>
              <w:t>L</w:t>
            </w:r>
          </w:p>
        </w:tc>
        <w:tc>
          <w:tcPr>
            <w:tcW w:w="557"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3</w:t>
            </w:r>
            <w:r w:rsidR="004A31DD" w:rsidRPr="007C4A9C">
              <w:rPr>
                <w:rFonts w:ascii="Times New Roman" w:hAnsi="Times New Roman" w:cs="Times New Roman"/>
                <w:kern w:val="0"/>
                <w:sz w:val="21"/>
                <w:szCs w:val="21"/>
              </w:rPr>
              <w:t>L</w:t>
            </w:r>
          </w:p>
        </w:tc>
        <w:tc>
          <w:tcPr>
            <w:tcW w:w="558"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3</w:t>
            </w:r>
            <w:r w:rsidR="004A31DD" w:rsidRPr="007C4A9C">
              <w:rPr>
                <w:rFonts w:ascii="Times New Roman" w:hAnsi="Times New Roman" w:cs="Times New Roman"/>
                <w:kern w:val="0"/>
                <w:sz w:val="21"/>
                <w:szCs w:val="21"/>
              </w:rPr>
              <w:t>L</w:t>
            </w:r>
          </w:p>
        </w:tc>
        <w:tc>
          <w:tcPr>
            <w:tcW w:w="552" w:type="pct"/>
            <w:vAlign w:val="center"/>
          </w:tcPr>
          <w:p w:rsidR="004A31DD" w:rsidRPr="007C4A9C" w:rsidRDefault="00D75351" w:rsidP="004A31DD">
            <w:pPr>
              <w:pStyle w:val="afffffff2"/>
              <w:rPr>
                <w:rFonts w:ascii="Times New Roman" w:hAnsi="Times New Roman" w:cs="Times New Roman"/>
                <w:kern w:val="0"/>
                <w:sz w:val="21"/>
                <w:szCs w:val="21"/>
              </w:rPr>
            </w:pPr>
            <w:r w:rsidRPr="007C4A9C">
              <w:rPr>
                <w:rFonts w:ascii="Times New Roman" w:hAnsi="Times New Roman" w:cs="Times New Roman"/>
                <w:bCs/>
                <w:kern w:val="0"/>
                <w:sz w:val="21"/>
                <w:szCs w:val="21"/>
              </w:rPr>
              <w:t>≤3</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钾（</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A31DD" w:rsidRPr="007C4A9C" w:rsidRDefault="007C4A9C"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3.16</w:t>
            </w:r>
          </w:p>
        </w:tc>
        <w:tc>
          <w:tcPr>
            <w:tcW w:w="557"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6.28</w:t>
            </w:r>
          </w:p>
        </w:tc>
        <w:tc>
          <w:tcPr>
            <w:tcW w:w="557"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3.23</w:t>
            </w:r>
          </w:p>
        </w:tc>
        <w:tc>
          <w:tcPr>
            <w:tcW w:w="557"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3.41</w:t>
            </w:r>
          </w:p>
        </w:tc>
        <w:tc>
          <w:tcPr>
            <w:tcW w:w="558"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2.33</w:t>
            </w:r>
          </w:p>
        </w:tc>
        <w:tc>
          <w:tcPr>
            <w:tcW w:w="552" w:type="pct"/>
            <w:vAlign w:val="center"/>
          </w:tcPr>
          <w:p w:rsidR="004A31DD" w:rsidRPr="007C4A9C" w:rsidRDefault="00D75351"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钠（</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A31DD" w:rsidRPr="007C4A9C" w:rsidRDefault="007C4A9C"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44.2</w:t>
            </w:r>
          </w:p>
        </w:tc>
        <w:tc>
          <w:tcPr>
            <w:tcW w:w="557"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42.6</w:t>
            </w:r>
          </w:p>
        </w:tc>
        <w:tc>
          <w:tcPr>
            <w:tcW w:w="557"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21.1</w:t>
            </w:r>
          </w:p>
        </w:tc>
        <w:tc>
          <w:tcPr>
            <w:tcW w:w="557"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22</w:t>
            </w:r>
            <w:r w:rsidR="004A31DD" w:rsidRPr="007C4A9C">
              <w:rPr>
                <w:rFonts w:ascii="Times New Roman" w:hAnsi="Times New Roman" w:cs="Times New Roman"/>
                <w:kern w:val="0"/>
                <w:sz w:val="21"/>
                <w:szCs w:val="21"/>
              </w:rPr>
              <w:t>.7</w:t>
            </w:r>
          </w:p>
        </w:tc>
        <w:tc>
          <w:tcPr>
            <w:tcW w:w="558"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37.3</w:t>
            </w:r>
          </w:p>
        </w:tc>
        <w:tc>
          <w:tcPr>
            <w:tcW w:w="552" w:type="pct"/>
            <w:vAlign w:val="center"/>
          </w:tcPr>
          <w:p w:rsidR="004A31DD" w:rsidRPr="007C4A9C" w:rsidRDefault="00D75351"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钙（</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A31DD" w:rsidRPr="007C4A9C" w:rsidRDefault="007C4A9C"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105</w:t>
            </w:r>
          </w:p>
        </w:tc>
        <w:tc>
          <w:tcPr>
            <w:tcW w:w="557"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363</w:t>
            </w:r>
          </w:p>
        </w:tc>
        <w:tc>
          <w:tcPr>
            <w:tcW w:w="557"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96.4</w:t>
            </w:r>
          </w:p>
        </w:tc>
        <w:tc>
          <w:tcPr>
            <w:tcW w:w="557"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86.9</w:t>
            </w:r>
          </w:p>
        </w:tc>
        <w:tc>
          <w:tcPr>
            <w:tcW w:w="558"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77</w:t>
            </w:r>
            <w:r w:rsidR="004A31DD" w:rsidRPr="007C4A9C">
              <w:rPr>
                <w:rFonts w:ascii="Times New Roman" w:hAnsi="Times New Roman" w:cs="Times New Roman"/>
                <w:kern w:val="0"/>
                <w:sz w:val="21"/>
                <w:szCs w:val="21"/>
              </w:rPr>
              <w:t>.4</w:t>
            </w:r>
          </w:p>
        </w:tc>
        <w:tc>
          <w:tcPr>
            <w:tcW w:w="552" w:type="pct"/>
            <w:vAlign w:val="center"/>
          </w:tcPr>
          <w:p w:rsidR="004A31DD" w:rsidRPr="007C4A9C" w:rsidRDefault="00D75351"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镁（</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A31DD" w:rsidRPr="007C4A9C" w:rsidRDefault="007C4A9C"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20.2</w:t>
            </w:r>
          </w:p>
        </w:tc>
        <w:tc>
          <w:tcPr>
            <w:tcW w:w="557"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32</w:t>
            </w:r>
            <w:r w:rsidR="004A31DD" w:rsidRPr="007C4A9C">
              <w:rPr>
                <w:rFonts w:ascii="Times New Roman" w:hAnsi="Times New Roman" w:cs="Times New Roman"/>
                <w:kern w:val="0"/>
                <w:sz w:val="21"/>
                <w:szCs w:val="21"/>
              </w:rPr>
              <w:t>.4</w:t>
            </w:r>
          </w:p>
        </w:tc>
        <w:tc>
          <w:tcPr>
            <w:tcW w:w="557"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16.9</w:t>
            </w:r>
          </w:p>
        </w:tc>
        <w:tc>
          <w:tcPr>
            <w:tcW w:w="557"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13.3</w:t>
            </w:r>
          </w:p>
        </w:tc>
        <w:tc>
          <w:tcPr>
            <w:tcW w:w="558"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22.1</w:t>
            </w:r>
          </w:p>
        </w:tc>
        <w:tc>
          <w:tcPr>
            <w:tcW w:w="552" w:type="pct"/>
            <w:vAlign w:val="center"/>
          </w:tcPr>
          <w:p w:rsidR="004A31DD" w:rsidRPr="007C4A9C" w:rsidRDefault="00D75351"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w:t>
            </w:r>
          </w:p>
        </w:tc>
      </w:tr>
      <w:tr w:rsidR="007E0053" w:rsidRPr="007C4A9C" w:rsidTr="00E60F0C">
        <w:trPr>
          <w:trHeight w:val="270"/>
        </w:trPr>
        <w:tc>
          <w:tcPr>
            <w:tcW w:w="1543" w:type="pct"/>
            <w:vAlign w:val="center"/>
          </w:tcPr>
          <w:p w:rsidR="007E0053" w:rsidRPr="007C4A9C" w:rsidRDefault="007E0053" w:rsidP="007E0053">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Cl</w:t>
            </w:r>
            <w:r w:rsidRPr="007C4A9C">
              <w:rPr>
                <w:rFonts w:ascii="Times New Roman" w:hAnsi="Times New Roman" w:cs="Times New Roman"/>
                <w:kern w:val="0"/>
                <w:sz w:val="21"/>
                <w:szCs w:val="21"/>
                <w:vertAlign w:val="superscript"/>
              </w:rPr>
              <w:t>-</w:t>
            </w:r>
            <w:r w:rsidRPr="007C4A9C">
              <w:rPr>
                <w:rFonts w:ascii="Times New Roman" w:hAnsi="Times New Roman" w:cs="Times New Roman"/>
                <w:kern w:val="0"/>
                <w:sz w:val="21"/>
                <w:szCs w:val="21"/>
              </w:rPr>
              <w:t>（</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7E0053" w:rsidRPr="007C4A9C" w:rsidRDefault="007E0053" w:rsidP="007E0053">
            <w:pPr>
              <w:pStyle w:val="afffffff2"/>
              <w:rPr>
                <w:rFonts w:ascii="Times New Roman" w:hAnsi="Times New Roman" w:cs="Times New Roman"/>
                <w:kern w:val="0"/>
                <w:sz w:val="21"/>
                <w:szCs w:val="21"/>
              </w:rPr>
            </w:pPr>
            <w:r>
              <w:rPr>
                <w:rFonts w:ascii="Times New Roman" w:hAnsi="Times New Roman" w:cs="Times New Roman"/>
                <w:kern w:val="0"/>
                <w:sz w:val="21"/>
                <w:szCs w:val="21"/>
              </w:rPr>
              <w:t>66.3</w:t>
            </w:r>
          </w:p>
        </w:tc>
        <w:tc>
          <w:tcPr>
            <w:tcW w:w="557" w:type="pct"/>
            <w:vAlign w:val="center"/>
          </w:tcPr>
          <w:p w:rsidR="007E0053" w:rsidRPr="007C4A9C" w:rsidRDefault="007E0053" w:rsidP="007E0053">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w:t>
            </w:r>
            <w:r>
              <w:rPr>
                <w:rFonts w:ascii="Times New Roman" w:hAnsi="Times New Roman" w:cs="Times New Roman"/>
                <w:kern w:val="0"/>
                <w:sz w:val="21"/>
                <w:szCs w:val="21"/>
              </w:rPr>
              <w:t>31</w:t>
            </w:r>
          </w:p>
        </w:tc>
        <w:tc>
          <w:tcPr>
            <w:tcW w:w="557" w:type="pct"/>
            <w:vAlign w:val="center"/>
          </w:tcPr>
          <w:p w:rsidR="007E0053" w:rsidRPr="007C4A9C" w:rsidRDefault="007E0053" w:rsidP="007E0053">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w:t>
            </w:r>
            <w:r>
              <w:rPr>
                <w:rFonts w:ascii="Times New Roman" w:hAnsi="Times New Roman" w:cs="Times New Roman"/>
                <w:kern w:val="0"/>
                <w:sz w:val="21"/>
                <w:szCs w:val="21"/>
              </w:rPr>
              <w:t>302</w:t>
            </w:r>
          </w:p>
        </w:tc>
        <w:tc>
          <w:tcPr>
            <w:tcW w:w="557" w:type="pct"/>
            <w:vAlign w:val="center"/>
          </w:tcPr>
          <w:p w:rsidR="007E0053" w:rsidRPr="007C4A9C" w:rsidRDefault="007E0053" w:rsidP="007E0053">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w:t>
            </w:r>
            <w:r>
              <w:rPr>
                <w:rFonts w:ascii="Times New Roman" w:hAnsi="Times New Roman" w:cs="Times New Roman"/>
                <w:kern w:val="0"/>
                <w:sz w:val="21"/>
                <w:szCs w:val="21"/>
              </w:rPr>
              <w:t>304</w:t>
            </w:r>
          </w:p>
        </w:tc>
        <w:tc>
          <w:tcPr>
            <w:tcW w:w="558" w:type="pct"/>
            <w:vAlign w:val="center"/>
          </w:tcPr>
          <w:p w:rsidR="007E0053" w:rsidRPr="007C4A9C" w:rsidRDefault="007E0053" w:rsidP="007E0053">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0.</w:t>
            </w:r>
            <w:r>
              <w:rPr>
                <w:rFonts w:ascii="Times New Roman" w:hAnsi="Times New Roman" w:cs="Times New Roman"/>
                <w:kern w:val="0"/>
                <w:sz w:val="21"/>
                <w:szCs w:val="21"/>
              </w:rPr>
              <w:t>677</w:t>
            </w:r>
          </w:p>
        </w:tc>
        <w:tc>
          <w:tcPr>
            <w:tcW w:w="552" w:type="pct"/>
            <w:vAlign w:val="center"/>
          </w:tcPr>
          <w:p w:rsidR="007E0053" w:rsidRPr="007C4A9C" w:rsidRDefault="007E0053" w:rsidP="007E0053">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SO</w:t>
            </w:r>
            <w:r w:rsidRPr="007C4A9C">
              <w:rPr>
                <w:rFonts w:ascii="Times New Roman" w:hAnsi="Times New Roman" w:cs="Times New Roman"/>
                <w:kern w:val="0"/>
                <w:sz w:val="21"/>
                <w:szCs w:val="21"/>
                <w:vertAlign w:val="subscript"/>
              </w:rPr>
              <w:t>4</w:t>
            </w:r>
            <w:r w:rsidRPr="007C4A9C">
              <w:rPr>
                <w:rFonts w:ascii="Times New Roman" w:hAnsi="Times New Roman" w:cs="Times New Roman"/>
                <w:kern w:val="0"/>
                <w:sz w:val="21"/>
                <w:szCs w:val="21"/>
                <w:vertAlign w:val="superscript"/>
              </w:rPr>
              <w:t>2-</w:t>
            </w:r>
            <w:r w:rsidRPr="007C4A9C">
              <w:rPr>
                <w:rFonts w:ascii="Times New Roman" w:hAnsi="Times New Roman" w:cs="Times New Roman"/>
                <w:kern w:val="0"/>
                <w:sz w:val="21"/>
                <w:szCs w:val="21"/>
              </w:rPr>
              <w:t>（</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A31DD" w:rsidRPr="007C4A9C" w:rsidRDefault="007C4A9C"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64.8</w:t>
            </w:r>
          </w:p>
        </w:tc>
        <w:tc>
          <w:tcPr>
            <w:tcW w:w="557" w:type="pct"/>
            <w:vAlign w:val="center"/>
          </w:tcPr>
          <w:p w:rsidR="004A31DD" w:rsidRPr="007C4A9C" w:rsidRDefault="007E0053"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13.1</w:t>
            </w:r>
          </w:p>
        </w:tc>
        <w:tc>
          <w:tcPr>
            <w:tcW w:w="557" w:type="pct"/>
            <w:vAlign w:val="center"/>
          </w:tcPr>
          <w:p w:rsidR="004A31DD" w:rsidRPr="007C4A9C" w:rsidRDefault="004D19FD"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2.15</w:t>
            </w:r>
          </w:p>
        </w:tc>
        <w:tc>
          <w:tcPr>
            <w:tcW w:w="557" w:type="pct"/>
            <w:vAlign w:val="center"/>
          </w:tcPr>
          <w:p w:rsidR="004A31DD" w:rsidRPr="007C4A9C" w:rsidRDefault="004D19FD"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4.42</w:t>
            </w:r>
          </w:p>
        </w:tc>
        <w:tc>
          <w:tcPr>
            <w:tcW w:w="558" w:type="pct"/>
            <w:vAlign w:val="center"/>
          </w:tcPr>
          <w:p w:rsidR="004A31DD" w:rsidRPr="007C4A9C" w:rsidRDefault="004D19FD"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3.04</w:t>
            </w:r>
          </w:p>
        </w:tc>
        <w:tc>
          <w:tcPr>
            <w:tcW w:w="552" w:type="pct"/>
            <w:vAlign w:val="center"/>
          </w:tcPr>
          <w:p w:rsidR="004A31DD" w:rsidRPr="007C4A9C" w:rsidRDefault="00D75351"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w:t>
            </w:r>
          </w:p>
        </w:tc>
      </w:tr>
      <w:tr w:rsidR="004D19FD" w:rsidRPr="007C4A9C" w:rsidTr="00E60F0C">
        <w:trPr>
          <w:trHeight w:val="270"/>
        </w:trPr>
        <w:tc>
          <w:tcPr>
            <w:tcW w:w="1543" w:type="pct"/>
            <w:vAlign w:val="center"/>
          </w:tcPr>
          <w:p w:rsidR="004D19FD" w:rsidRPr="007C4A9C" w:rsidRDefault="004D19FD" w:rsidP="004D19F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碳酸根（</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D19FD" w:rsidRPr="007C4A9C" w:rsidRDefault="004D19FD" w:rsidP="004D19F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5L</w:t>
            </w:r>
          </w:p>
        </w:tc>
        <w:tc>
          <w:tcPr>
            <w:tcW w:w="557" w:type="pct"/>
            <w:vAlign w:val="center"/>
          </w:tcPr>
          <w:p w:rsidR="004D19FD" w:rsidRPr="007C4A9C" w:rsidRDefault="004D19FD" w:rsidP="004D19FD">
            <w:pPr>
              <w:pStyle w:val="afffffff2"/>
              <w:rPr>
                <w:rFonts w:ascii="Times New Roman" w:hAnsi="Times New Roman" w:cs="Times New Roman"/>
                <w:kern w:val="0"/>
                <w:sz w:val="21"/>
                <w:szCs w:val="21"/>
              </w:rPr>
            </w:pPr>
            <w:r>
              <w:rPr>
                <w:rFonts w:ascii="Times New Roman" w:hAnsi="Times New Roman" w:cs="Times New Roman"/>
                <w:kern w:val="0"/>
                <w:sz w:val="21"/>
                <w:szCs w:val="21"/>
              </w:rPr>
              <w:t>0.28</w:t>
            </w:r>
          </w:p>
        </w:tc>
        <w:tc>
          <w:tcPr>
            <w:tcW w:w="557" w:type="pct"/>
            <w:vAlign w:val="center"/>
          </w:tcPr>
          <w:p w:rsidR="004D19FD" w:rsidRPr="007C4A9C" w:rsidRDefault="004D19FD" w:rsidP="004D19F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5L</w:t>
            </w:r>
          </w:p>
        </w:tc>
        <w:tc>
          <w:tcPr>
            <w:tcW w:w="557" w:type="pct"/>
            <w:vAlign w:val="center"/>
          </w:tcPr>
          <w:p w:rsidR="004D19FD" w:rsidRPr="007C4A9C" w:rsidRDefault="004D19FD" w:rsidP="004D19FD">
            <w:pPr>
              <w:pStyle w:val="afffffff2"/>
              <w:rPr>
                <w:rFonts w:ascii="Times New Roman" w:hAnsi="Times New Roman" w:cs="Times New Roman"/>
                <w:kern w:val="0"/>
                <w:sz w:val="21"/>
                <w:szCs w:val="21"/>
              </w:rPr>
            </w:pPr>
            <w:r>
              <w:rPr>
                <w:rFonts w:ascii="Times New Roman" w:hAnsi="Times New Roman" w:cs="Times New Roman"/>
                <w:kern w:val="0"/>
                <w:sz w:val="21"/>
                <w:szCs w:val="21"/>
              </w:rPr>
              <w:t>0.06</w:t>
            </w:r>
          </w:p>
        </w:tc>
        <w:tc>
          <w:tcPr>
            <w:tcW w:w="558" w:type="pct"/>
            <w:vAlign w:val="center"/>
          </w:tcPr>
          <w:p w:rsidR="004D19FD" w:rsidRPr="007C4A9C" w:rsidRDefault="004D19FD" w:rsidP="004D19FD">
            <w:pPr>
              <w:pStyle w:val="afffffff2"/>
              <w:rPr>
                <w:rFonts w:ascii="Times New Roman" w:hAnsi="Times New Roman" w:cs="Times New Roman"/>
                <w:kern w:val="0"/>
                <w:sz w:val="21"/>
                <w:szCs w:val="21"/>
              </w:rPr>
            </w:pPr>
            <w:r>
              <w:rPr>
                <w:rFonts w:ascii="Times New Roman" w:hAnsi="Times New Roman" w:cs="Times New Roman"/>
                <w:kern w:val="0"/>
                <w:sz w:val="21"/>
                <w:szCs w:val="21"/>
              </w:rPr>
              <w:t>0.34</w:t>
            </w:r>
          </w:p>
        </w:tc>
        <w:tc>
          <w:tcPr>
            <w:tcW w:w="552" w:type="pct"/>
            <w:vAlign w:val="center"/>
          </w:tcPr>
          <w:p w:rsidR="004D19FD" w:rsidRPr="007C4A9C" w:rsidRDefault="004D19FD" w:rsidP="004D19F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w:t>
            </w:r>
          </w:p>
        </w:tc>
      </w:tr>
      <w:tr w:rsidR="004A31DD" w:rsidRPr="007C4A9C" w:rsidTr="00E60F0C">
        <w:trPr>
          <w:trHeight w:val="270"/>
        </w:trPr>
        <w:tc>
          <w:tcPr>
            <w:tcW w:w="1543" w:type="pct"/>
            <w:vAlign w:val="center"/>
          </w:tcPr>
          <w:p w:rsidR="004A31DD" w:rsidRPr="007C4A9C" w:rsidRDefault="004A31DD"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碳酸氢根（</w:t>
            </w:r>
            <w:r w:rsidRPr="007C4A9C">
              <w:rPr>
                <w:rFonts w:ascii="Times New Roman" w:hAnsi="Times New Roman" w:cs="Times New Roman"/>
                <w:kern w:val="0"/>
                <w:sz w:val="21"/>
                <w:szCs w:val="21"/>
              </w:rPr>
              <w:t>mg/L</w:t>
            </w:r>
            <w:r w:rsidRPr="007C4A9C">
              <w:rPr>
                <w:rFonts w:ascii="Times New Roman" w:hAnsi="Times New Roman" w:cs="Times New Roman"/>
                <w:kern w:val="0"/>
                <w:sz w:val="21"/>
                <w:szCs w:val="21"/>
              </w:rPr>
              <w:t>）</w:t>
            </w:r>
          </w:p>
        </w:tc>
        <w:tc>
          <w:tcPr>
            <w:tcW w:w="676" w:type="pct"/>
            <w:vAlign w:val="center"/>
          </w:tcPr>
          <w:p w:rsidR="004A31DD" w:rsidRPr="007C4A9C" w:rsidRDefault="007C4A9C" w:rsidP="007C4A9C">
            <w:pPr>
              <w:pStyle w:val="afffffff2"/>
              <w:rPr>
                <w:rFonts w:ascii="Times New Roman" w:hAnsi="Times New Roman" w:cs="Times New Roman"/>
                <w:kern w:val="0"/>
                <w:sz w:val="21"/>
                <w:szCs w:val="21"/>
              </w:rPr>
            </w:pPr>
            <w:r>
              <w:rPr>
                <w:rFonts w:ascii="Times New Roman" w:hAnsi="Times New Roman" w:cs="Times New Roman"/>
                <w:kern w:val="0"/>
                <w:sz w:val="21"/>
                <w:szCs w:val="21"/>
              </w:rPr>
              <w:t>274</w:t>
            </w:r>
          </w:p>
        </w:tc>
        <w:tc>
          <w:tcPr>
            <w:tcW w:w="557" w:type="pct"/>
            <w:vAlign w:val="center"/>
          </w:tcPr>
          <w:p w:rsidR="004A31DD" w:rsidRPr="007C4A9C" w:rsidRDefault="004D19FD"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5.08</w:t>
            </w:r>
          </w:p>
        </w:tc>
        <w:tc>
          <w:tcPr>
            <w:tcW w:w="557" w:type="pct"/>
            <w:vAlign w:val="center"/>
          </w:tcPr>
          <w:p w:rsidR="004A31DD" w:rsidRPr="007C4A9C" w:rsidRDefault="004D19FD"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5.47</w:t>
            </w:r>
          </w:p>
        </w:tc>
        <w:tc>
          <w:tcPr>
            <w:tcW w:w="557" w:type="pct"/>
            <w:vAlign w:val="center"/>
          </w:tcPr>
          <w:p w:rsidR="004A31DD" w:rsidRPr="007C4A9C" w:rsidRDefault="004D19FD" w:rsidP="004A31DD">
            <w:pPr>
              <w:pStyle w:val="afffffff2"/>
              <w:rPr>
                <w:rFonts w:ascii="Times New Roman" w:hAnsi="Times New Roman" w:cs="Times New Roman"/>
                <w:kern w:val="0"/>
                <w:sz w:val="21"/>
                <w:szCs w:val="21"/>
              </w:rPr>
            </w:pPr>
            <w:r>
              <w:rPr>
                <w:rFonts w:ascii="Times New Roman" w:hAnsi="Times New Roman" w:cs="Times New Roman"/>
                <w:kern w:val="0"/>
                <w:sz w:val="21"/>
                <w:szCs w:val="21"/>
              </w:rPr>
              <w:t>6.50</w:t>
            </w:r>
          </w:p>
        </w:tc>
        <w:tc>
          <w:tcPr>
            <w:tcW w:w="558" w:type="pct"/>
            <w:vAlign w:val="center"/>
          </w:tcPr>
          <w:p w:rsidR="004A31DD" w:rsidRPr="007C4A9C" w:rsidRDefault="004D19FD" w:rsidP="004D19FD">
            <w:pPr>
              <w:pStyle w:val="afffffff2"/>
              <w:rPr>
                <w:rFonts w:ascii="Times New Roman" w:hAnsi="Times New Roman" w:cs="Times New Roman"/>
                <w:kern w:val="0"/>
                <w:sz w:val="21"/>
                <w:szCs w:val="21"/>
              </w:rPr>
            </w:pPr>
            <w:r>
              <w:rPr>
                <w:rFonts w:ascii="Times New Roman" w:hAnsi="Times New Roman" w:cs="Times New Roman"/>
                <w:kern w:val="0"/>
                <w:sz w:val="21"/>
                <w:szCs w:val="21"/>
              </w:rPr>
              <w:t>5.10</w:t>
            </w:r>
          </w:p>
        </w:tc>
        <w:tc>
          <w:tcPr>
            <w:tcW w:w="552" w:type="pct"/>
            <w:vAlign w:val="center"/>
          </w:tcPr>
          <w:p w:rsidR="004A31DD" w:rsidRPr="007C4A9C" w:rsidRDefault="00D75351" w:rsidP="004A31DD">
            <w:pPr>
              <w:pStyle w:val="afffffff2"/>
              <w:rPr>
                <w:rFonts w:ascii="Times New Roman" w:hAnsi="Times New Roman" w:cs="Times New Roman"/>
                <w:kern w:val="0"/>
                <w:sz w:val="21"/>
                <w:szCs w:val="21"/>
              </w:rPr>
            </w:pPr>
            <w:r w:rsidRPr="007C4A9C">
              <w:rPr>
                <w:rFonts w:ascii="Times New Roman" w:hAnsi="Times New Roman" w:cs="Times New Roman"/>
                <w:kern w:val="0"/>
                <w:sz w:val="21"/>
                <w:szCs w:val="21"/>
              </w:rPr>
              <w:t>/</w:t>
            </w:r>
          </w:p>
        </w:tc>
      </w:tr>
    </w:tbl>
    <w:p w:rsidR="004E3021" w:rsidRDefault="00606E48">
      <w:pPr>
        <w:spacing w:line="500" w:lineRule="exact"/>
        <w:ind w:firstLineChars="0" w:firstLine="0"/>
        <w:jc w:val="center"/>
      </w:pPr>
      <w:r>
        <w:rPr>
          <w:rFonts w:ascii="黑体" w:eastAsia="黑体" w:hAnsi="黑体" w:hint="eastAsia"/>
        </w:rPr>
        <w:t>表</w:t>
      </w:r>
      <w:r>
        <w:rPr>
          <w:rFonts w:eastAsia="黑体"/>
        </w:rPr>
        <w:t>4.2.4-</w:t>
      </w:r>
      <w:r w:rsidR="0001666A">
        <w:rPr>
          <w:rFonts w:eastAsia="黑体"/>
        </w:rPr>
        <w:t>3</w:t>
      </w:r>
      <w:r>
        <w:rPr>
          <w:rFonts w:eastAsia="黑体" w:hint="eastAsia"/>
        </w:rPr>
        <w:t xml:space="preserve">  </w:t>
      </w:r>
      <w:r>
        <w:rPr>
          <w:rFonts w:ascii="黑体" w:eastAsia="黑体" w:hAnsi="黑体" w:hint="eastAsia"/>
        </w:rPr>
        <w:t>地下水水位监测结果</w:t>
      </w:r>
    </w:p>
    <w:tbl>
      <w:tblPr>
        <w:tblStyle w:val="afff"/>
        <w:tblW w:w="5000" w:type="pct"/>
        <w:tblLook w:val="04A0" w:firstRow="1" w:lastRow="0" w:firstColumn="1" w:lastColumn="0" w:noHBand="0" w:noVBand="1"/>
      </w:tblPr>
      <w:tblGrid>
        <w:gridCol w:w="993"/>
        <w:gridCol w:w="1758"/>
        <w:gridCol w:w="1080"/>
        <w:gridCol w:w="1397"/>
        <w:gridCol w:w="1240"/>
        <w:gridCol w:w="1240"/>
        <w:gridCol w:w="1318"/>
      </w:tblGrid>
      <w:tr w:rsidR="004D19FD" w:rsidRPr="004D19FD" w:rsidTr="00CE270D">
        <w:trPr>
          <w:trHeight w:val="289"/>
        </w:trPr>
        <w:tc>
          <w:tcPr>
            <w:tcW w:w="550" w:type="pct"/>
          </w:tcPr>
          <w:p w:rsidR="004D19FD" w:rsidRPr="006D5DB1" w:rsidRDefault="004D19FD" w:rsidP="004D19FD">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编号</w:t>
            </w:r>
          </w:p>
        </w:tc>
        <w:tc>
          <w:tcPr>
            <w:tcW w:w="974" w:type="pct"/>
          </w:tcPr>
          <w:p w:rsidR="004D19FD" w:rsidRPr="006D5DB1" w:rsidRDefault="004D19FD" w:rsidP="004D19FD">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点位名称</w:t>
            </w:r>
          </w:p>
        </w:tc>
        <w:tc>
          <w:tcPr>
            <w:tcW w:w="598" w:type="pct"/>
          </w:tcPr>
          <w:p w:rsidR="004D19FD" w:rsidRPr="006D5DB1" w:rsidRDefault="004D19FD" w:rsidP="004D19FD">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方位</w:t>
            </w:r>
          </w:p>
        </w:tc>
        <w:tc>
          <w:tcPr>
            <w:tcW w:w="774" w:type="pct"/>
          </w:tcPr>
          <w:p w:rsidR="004D19FD" w:rsidRPr="006D5DB1" w:rsidRDefault="004D19FD" w:rsidP="004D19FD">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距离（</w:t>
            </w:r>
            <w:r w:rsidRPr="006D5DB1">
              <w:rPr>
                <w:rFonts w:ascii="Times New Roman" w:hAnsi="Times New Roman" w:cs="Times New Roman"/>
                <w:b/>
                <w:kern w:val="0"/>
                <w:sz w:val="21"/>
                <w:szCs w:val="21"/>
              </w:rPr>
              <w:t>m</w:t>
            </w:r>
            <w:r w:rsidRPr="006D5DB1">
              <w:rPr>
                <w:rFonts w:ascii="Times New Roman" w:hAnsi="Times New Roman" w:cs="Times New Roman"/>
                <w:b/>
                <w:kern w:val="0"/>
                <w:sz w:val="21"/>
                <w:szCs w:val="21"/>
              </w:rPr>
              <w:t>）</w:t>
            </w:r>
          </w:p>
        </w:tc>
        <w:tc>
          <w:tcPr>
            <w:tcW w:w="687" w:type="pct"/>
          </w:tcPr>
          <w:p w:rsidR="004D19FD" w:rsidRPr="006D5DB1" w:rsidRDefault="004D19FD" w:rsidP="004D19FD">
            <w:pPr>
              <w:pStyle w:val="afffffff2"/>
              <w:rPr>
                <w:rFonts w:cs="Times New Roman"/>
                <w:b/>
                <w:kern w:val="0"/>
                <w:sz w:val="21"/>
                <w:szCs w:val="21"/>
              </w:rPr>
            </w:pPr>
            <w:r w:rsidRPr="006D5DB1">
              <w:rPr>
                <w:rFonts w:cs="Times New Roman" w:hint="eastAsia"/>
                <w:b/>
                <w:kern w:val="0"/>
                <w:sz w:val="21"/>
                <w:szCs w:val="21"/>
              </w:rPr>
              <w:t>井深</w:t>
            </w:r>
            <w:r w:rsidRPr="006D5DB1">
              <w:rPr>
                <w:rFonts w:ascii="Times New Roman" w:hAnsi="Times New Roman" w:cs="Times New Roman"/>
                <w:b/>
                <w:kern w:val="0"/>
                <w:sz w:val="21"/>
                <w:szCs w:val="21"/>
              </w:rPr>
              <w:t>（</w:t>
            </w:r>
            <w:r w:rsidRPr="006D5DB1">
              <w:rPr>
                <w:rFonts w:ascii="Times New Roman" w:hAnsi="Times New Roman" w:cs="Times New Roman"/>
                <w:b/>
                <w:kern w:val="0"/>
                <w:sz w:val="21"/>
                <w:szCs w:val="21"/>
              </w:rPr>
              <w:t>m</w:t>
            </w:r>
            <w:r w:rsidRPr="006D5DB1">
              <w:rPr>
                <w:rFonts w:ascii="Times New Roman" w:hAnsi="Times New Roman" w:cs="Times New Roman"/>
                <w:b/>
                <w:kern w:val="0"/>
                <w:sz w:val="21"/>
                <w:szCs w:val="21"/>
              </w:rPr>
              <w:t>）</w:t>
            </w:r>
          </w:p>
        </w:tc>
        <w:tc>
          <w:tcPr>
            <w:tcW w:w="687" w:type="pct"/>
          </w:tcPr>
          <w:p w:rsidR="004D19FD" w:rsidRPr="006D5DB1" w:rsidRDefault="004D19FD" w:rsidP="004D19FD">
            <w:pPr>
              <w:pStyle w:val="afffffff2"/>
              <w:rPr>
                <w:rFonts w:ascii="Times New Roman" w:hAnsi="Times New Roman" w:cs="Times New Roman"/>
                <w:b/>
                <w:kern w:val="0"/>
                <w:sz w:val="21"/>
                <w:szCs w:val="21"/>
              </w:rPr>
            </w:pPr>
            <w:r w:rsidRPr="006D5DB1">
              <w:rPr>
                <w:rFonts w:ascii="Times New Roman" w:hAnsi="Times New Roman" w:cs="Times New Roman" w:hint="eastAsia"/>
                <w:b/>
                <w:kern w:val="0"/>
                <w:sz w:val="21"/>
                <w:szCs w:val="21"/>
              </w:rPr>
              <w:t>埋深</w:t>
            </w:r>
            <w:r w:rsidRPr="006D5DB1">
              <w:rPr>
                <w:rFonts w:ascii="Times New Roman" w:hAnsi="Times New Roman" w:cs="Times New Roman"/>
                <w:b/>
                <w:kern w:val="0"/>
                <w:sz w:val="21"/>
                <w:szCs w:val="21"/>
              </w:rPr>
              <w:t>（</w:t>
            </w:r>
            <w:r w:rsidRPr="006D5DB1">
              <w:rPr>
                <w:rFonts w:ascii="Times New Roman" w:hAnsi="Times New Roman" w:cs="Times New Roman"/>
                <w:b/>
                <w:kern w:val="0"/>
                <w:sz w:val="21"/>
                <w:szCs w:val="21"/>
              </w:rPr>
              <w:t>m</w:t>
            </w:r>
            <w:r w:rsidRPr="006D5DB1">
              <w:rPr>
                <w:rFonts w:ascii="Times New Roman" w:hAnsi="Times New Roman" w:cs="Times New Roman"/>
                <w:b/>
                <w:kern w:val="0"/>
                <w:sz w:val="21"/>
                <w:szCs w:val="21"/>
              </w:rPr>
              <w:t>）</w:t>
            </w:r>
          </w:p>
        </w:tc>
        <w:tc>
          <w:tcPr>
            <w:tcW w:w="730" w:type="pct"/>
            <w:vAlign w:val="center"/>
          </w:tcPr>
          <w:p w:rsidR="004D19FD" w:rsidRPr="006D5DB1" w:rsidRDefault="004D19FD" w:rsidP="00CE270D">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监测层位</w:t>
            </w:r>
          </w:p>
        </w:tc>
      </w:tr>
      <w:tr w:rsidR="004D19FD" w:rsidRPr="004D19FD" w:rsidTr="00CE270D">
        <w:trPr>
          <w:trHeight w:val="420"/>
        </w:trPr>
        <w:tc>
          <w:tcPr>
            <w:tcW w:w="550"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D1</w:t>
            </w:r>
          </w:p>
        </w:tc>
        <w:tc>
          <w:tcPr>
            <w:tcW w:w="974"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项目所在地</w:t>
            </w:r>
          </w:p>
        </w:tc>
        <w:tc>
          <w:tcPr>
            <w:tcW w:w="598"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w:t>
            </w:r>
          </w:p>
        </w:tc>
        <w:tc>
          <w:tcPr>
            <w:tcW w:w="774"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w:t>
            </w:r>
          </w:p>
        </w:tc>
        <w:tc>
          <w:tcPr>
            <w:tcW w:w="687"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9</w:t>
            </w:r>
          </w:p>
        </w:tc>
        <w:tc>
          <w:tcPr>
            <w:tcW w:w="687"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1.7</w:t>
            </w:r>
          </w:p>
        </w:tc>
        <w:tc>
          <w:tcPr>
            <w:tcW w:w="730" w:type="pct"/>
            <w:vMerge w:val="restart"/>
            <w:vAlign w:val="center"/>
          </w:tcPr>
          <w:p w:rsidR="004D19FD" w:rsidRPr="004D19FD" w:rsidRDefault="004D19FD" w:rsidP="00CE270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第一含水层</w:t>
            </w:r>
          </w:p>
        </w:tc>
      </w:tr>
      <w:tr w:rsidR="004D19FD" w:rsidRPr="004D19FD" w:rsidTr="004D19FD">
        <w:trPr>
          <w:trHeight w:val="368"/>
        </w:trPr>
        <w:tc>
          <w:tcPr>
            <w:tcW w:w="550"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D2</w:t>
            </w:r>
          </w:p>
        </w:tc>
        <w:tc>
          <w:tcPr>
            <w:tcW w:w="974" w:type="pct"/>
          </w:tcPr>
          <w:p w:rsidR="004D19FD" w:rsidRPr="004A31DD" w:rsidRDefault="004D19FD" w:rsidP="004D19FD">
            <w:pPr>
              <w:autoSpaceDE w:val="0"/>
              <w:spacing w:line="360" w:lineRule="exact"/>
              <w:ind w:firstLineChars="0" w:firstLine="0"/>
              <w:jc w:val="center"/>
              <w:rPr>
                <w:rFonts w:ascii="Times New Roman" w:hAnsi="Times New Roman"/>
                <w:bCs/>
                <w:sz w:val="21"/>
                <w:szCs w:val="21"/>
              </w:rPr>
            </w:pPr>
            <w:r w:rsidRPr="004A31DD">
              <w:rPr>
                <w:rFonts w:ascii="Times New Roman" w:hAnsi="Times New Roman"/>
                <w:bCs/>
                <w:sz w:val="21"/>
                <w:szCs w:val="21"/>
              </w:rPr>
              <w:t>三铺村</w:t>
            </w:r>
          </w:p>
        </w:tc>
        <w:tc>
          <w:tcPr>
            <w:tcW w:w="598" w:type="pct"/>
          </w:tcPr>
          <w:p w:rsidR="004D19FD" w:rsidRPr="004D19FD" w:rsidRDefault="00CE270D" w:rsidP="004D19F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N</w:t>
            </w:r>
            <w:r w:rsidR="004D19FD" w:rsidRPr="004D19FD">
              <w:rPr>
                <w:rFonts w:ascii="Times New Roman" w:hAnsi="Times New Roman" w:cs="Times New Roman"/>
                <w:kern w:val="0"/>
                <w:sz w:val="21"/>
                <w:szCs w:val="21"/>
              </w:rPr>
              <w:t>W</w:t>
            </w:r>
          </w:p>
        </w:tc>
        <w:tc>
          <w:tcPr>
            <w:tcW w:w="774" w:type="pct"/>
          </w:tcPr>
          <w:p w:rsidR="004D19FD" w:rsidRPr="004D19FD" w:rsidRDefault="00CE270D" w:rsidP="004D19FD">
            <w:pPr>
              <w:pStyle w:val="afffffff2"/>
              <w:rPr>
                <w:rFonts w:ascii="Times New Roman" w:hAnsi="Times New Roman" w:cs="Times New Roman"/>
                <w:kern w:val="0"/>
                <w:sz w:val="21"/>
                <w:szCs w:val="21"/>
              </w:rPr>
            </w:pPr>
            <w:r>
              <w:rPr>
                <w:rFonts w:ascii="Times New Roman" w:hAnsi="Times New Roman" w:cs="Times New Roman"/>
                <w:kern w:val="0"/>
                <w:sz w:val="21"/>
                <w:szCs w:val="21"/>
              </w:rPr>
              <w:t>1028</w:t>
            </w:r>
          </w:p>
        </w:tc>
        <w:tc>
          <w:tcPr>
            <w:tcW w:w="687" w:type="pct"/>
          </w:tcPr>
          <w:p w:rsidR="004D19FD" w:rsidRPr="004D19FD" w:rsidRDefault="004D19FD" w:rsidP="004D19F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2</w:t>
            </w:r>
            <w:r>
              <w:rPr>
                <w:rFonts w:ascii="Times New Roman" w:hAnsi="Times New Roman" w:cs="Times New Roman"/>
                <w:kern w:val="0"/>
                <w:sz w:val="21"/>
                <w:szCs w:val="21"/>
              </w:rPr>
              <w:t>0</w:t>
            </w:r>
          </w:p>
        </w:tc>
        <w:tc>
          <w:tcPr>
            <w:tcW w:w="687" w:type="pct"/>
          </w:tcPr>
          <w:p w:rsidR="004D19FD" w:rsidRPr="004D19FD" w:rsidRDefault="004D19FD" w:rsidP="004D19FD">
            <w:pPr>
              <w:pStyle w:val="afffffff2"/>
              <w:rPr>
                <w:rFonts w:ascii="Times New Roman" w:hAnsi="Times New Roman" w:cs="Times New Roman"/>
                <w:kern w:val="0"/>
                <w:sz w:val="21"/>
                <w:szCs w:val="21"/>
              </w:rPr>
            </w:pPr>
            <w:r>
              <w:rPr>
                <w:rFonts w:ascii="Times New Roman" w:hAnsi="Times New Roman" w:cs="Times New Roman"/>
                <w:kern w:val="0"/>
                <w:sz w:val="21"/>
                <w:szCs w:val="21"/>
              </w:rPr>
              <w:t>1.8</w:t>
            </w:r>
          </w:p>
        </w:tc>
        <w:tc>
          <w:tcPr>
            <w:tcW w:w="730" w:type="pct"/>
            <w:vMerge/>
          </w:tcPr>
          <w:p w:rsidR="004D19FD" w:rsidRPr="004D19FD" w:rsidRDefault="004D19FD" w:rsidP="004D19FD">
            <w:pPr>
              <w:pStyle w:val="afffffff2"/>
              <w:rPr>
                <w:rFonts w:ascii="Times New Roman" w:hAnsi="Times New Roman" w:cs="Times New Roman"/>
                <w:kern w:val="0"/>
                <w:sz w:val="21"/>
                <w:szCs w:val="21"/>
              </w:rPr>
            </w:pPr>
          </w:p>
        </w:tc>
      </w:tr>
      <w:tr w:rsidR="004D19FD" w:rsidRPr="004D19FD" w:rsidTr="004D19FD">
        <w:trPr>
          <w:trHeight w:val="162"/>
        </w:trPr>
        <w:tc>
          <w:tcPr>
            <w:tcW w:w="550"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D3</w:t>
            </w:r>
          </w:p>
        </w:tc>
        <w:tc>
          <w:tcPr>
            <w:tcW w:w="974" w:type="pct"/>
          </w:tcPr>
          <w:p w:rsidR="004D19FD" w:rsidRPr="004A31DD" w:rsidRDefault="004D19FD" w:rsidP="004D19FD">
            <w:pPr>
              <w:autoSpaceDE w:val="0"/>
              <w:spacing w:line="360" w:lineRule="exact"/>
              <w:ind w:firstLineChars="0" w:firstLine="0"/>
              <w:jc w:val="center"/>
              <w:rPr>
                <w:rFonts w:ascii="Times New Roman" w:hAnsi="Times New Roman"/>
                <w:bCs/>
                <w:sz w:val="21"/>
                <w:szCs w:val="21"/>
              </w:rPr>
            </w:pPr>
            <w:r w:rsidRPr="004A31DD">
              <w:rPr>
                <w:rFonts w:ascii="Times New Roman" w:hAnsi="Times New Roman"/>
                <w:bCs/>
                <w:sz w:val="21"/>
                <w:szCs w:val="21"/>
              </w:rPr>
              <w:t>李洼</w:t>
            </w:r>
          </w:p>
        </w:tc>
        <w:tc>
          <w:tcPr>
            <w:tcW w:w="598"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NW</w:t>
            </w:r>
          </w:p>
        </w:tc>
        <w:tc>
          <w:tcPr>
            <w:tcW w:w="774" w:type="pct"/>
          </w:tcPr>
          <w:p w:rsidR="004D19FD" w:rsidRPr="004D19FD" w:rsidRDefault="004D19FD" w:rsidP="00CE270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2</w:t>
            </w:r>
            <w:r w:rsidR="00CE270D">
              <w:rPr>
                <w:rFonts w:ascii="Times New Roman" w:hAnsi="Times New Roman" w:cs="Times New Roman"/>
                <w:kern w:val="0"/>
                <w:sz w:val="21"/>
                <w:szCs w:val="21"/>
              </w:rPr>
              <w:t>186</w:t>
            </w:r>
          </w:p>
        </w:tc>
        <w:tc>
          <w:tcPr>
            <w:tcW w:w="687" w:type="pct"/>
          </w:tcPr>
          <w:p w:rsidR="004D19FD" w:rsidRPr="004D19FD" w:rsidRDefault="004D19FD" w:rsidP="004D19F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1</w:t>
            </w:r>
            <w:r>
              <w:rPr>
                <w:rFonts w:ascii="Times New Roman" w:hAnsi="Times New Roman" w:cs="Times New Roman"/>
                <w:kern w:val="0"/>
                <w:sz w:val="21"/>
                <w:szCs w:val="21"/>
              </w:rPr>
              <w:t>2</w:t>
            </w:r>
          </w:p>
        </w:tc>
        <w:tc>
          <w:tcPr>
            <w:tcW w:w="687"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1</w:t>
            </w:r>
            <w:r>
              <w:rPr>
                <w:rFonts w:ascii="Times New Roman" w:hAnsi="Times New Roman" w:cs="Times New Roman"/>
                <w:kern w:val="0"/>
                <w:sz w:val="21"/>
                <w:szCs w:val="21"/>
              </w:rPr>
              <w:t>.5</w:t>
            </w:r>
          </w:p>
        </w:tc>
        <w:tc>
          <w:tcPr>
            <w:tcW w:w="730" w:type="pct"/>
            <w:vMerge/>
          </w:tcPr>
          <w:p w:rsidR="004D19FD" w:rsidRPr="004D19FD" w:rsidRDefault="004D19FD" w:rsidP="004D19FD">
            <w:pPr>
              <w:pStyle w:val="afffffff2"/>
              <w:rPr>
                <w:rFonts w:ascii="Times New Roman" w:hAnsi="Times New Roman" w:cs="Times New Roman"/>
                <w:kern w:val="0"/>
                <w:sz w:val="21"/>
                <w:szCs w:val="21"/>
              </w:rPr>
            </w:pPr>
          </w:p>
        </w:tc>
      </w:tr>
      <w:tr w:rsidR="004D19FD" w:rsidRPr="004D19FD" w:rsidTr="004D19FD">
        <w:trPr>
          <w:trHeight w:val="98"/>
        </w:trPr>
        <w:tc>
          <w:tcPr>
            <w:tcW w:w="550"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D4</w:t>
            </w:r>
          </w:p>
        </w:tc>
        <w:tc>
          <w:tcPr>
            <w:tcW w:w="974" w:type="pct"/>
          </w:tcPr>
          <w:p w:rsidR="004D19FD" w:rsidRPr="004A31DD" w:rsidRDefault="004D19FD" w:rsidP="004D19FD">
            <w:pPr>
              <w:autoSpaceDE w:val="0"/>
              <w:spacing w:line="360" w:lineRule="exact"/>
              <w:ind w:firstLineChars="0" w:firstLine="0"/>
              <w:jc w:val="center"/>
              <w:rPr>
                <w:rFonts w:ascii="Times New Roman" w:hAnsi="Times New Roman"/>
                <w:bCs/>
                <w:sz w:val="21"/>
                <w:szCs w:val="21"/>
              </w:rPr>
            </w:pPr>
            <w:r w:rsidRPr="004A31DD">
              <w:rPr>
                <w:rFonts w:ascii="Times New Roman" w:hAnsi="Times New Roman"/>
                <w:bCs/>
                <w:sz w:val="21"/>
                <w:szCs w:val="21"/>
              </w:rPr>
              <w:t>汤陈村</w:t>
            </w:r>
          </w:p>
        </w:tc>
        <w:tc>
          <w:tcPr>
            <w:tcW w:w="598" w:type="pct"/>
          </w:tcPr>
          <w:p w:rsidR="004D19FD" w:rsidRPr="004D19FD" w:rsidRDefault="00CE270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SW</w:t>
            </w:r>
          </w:p>
        </w:tc>
        <w:tc>
          <w:tcPr>
            <w:tcW w:w="774" w:type="pct"/>
          </w:tcPr>
          <w:p w:rsidR="004D19FD" w:rsidRPr="004D19FD" w:rsidRDefault="00CE270D" w:rsidP="004D19FD">
            <w:pPr>
              <w:pStyle w:val="afffffff2"/>
              <w:rPr>
                <w:rFonts w:ascii="Times New Roman" w:hAnsi="Times New Roman" w:cs="Times New Roman"/>
                <w:kern w:val="0"/>
                <w:sz w:val="21"/>
                <w:szCs w:val="21"/>
              </w:rPr>
            </w:pPr>
            <w:r>
              <w:rPr>
                <w:rFonts w:ascii="Times New Roman" w:hAnsi="Times New Roman" w:cs="Times New Roman"/>
                <w:kern w:val="0"/>
                <w:sz w:val="21"/>
                <w:szCs w:val="21"/>
              </w:rPr>
              <w:t>3391</w:t>
            </w:r>
          </w:p>
        </w:tc>
        <w:tc>
          <w:tcPr>
            <w:tcW w:w="687" w:type="pct"/>
          </w:tcPr>
          <w:p w:rsidR="004D19FD" w:rsidRPr="004D19FD" w:rsidRDefault="004D19FD" w:rsidP="004D19F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2</w:t>
            </w:r>
            <w:r>
              <w:rPr>
                <w:rFonts w:ascii="Times New Roman" w:hAnsi="Times New Roman" w:cs="Times New Roman"/>
                <w:kern w:val="0"/>
                <w:sz w:val="21"/>
                <w:szCs w:val="21"/>
              </w:rPr>
              <w:t>0</w:t>
            </w:r>
          </w:p>
        </w:tc>
        <w:tc>
          <w:tcPr>
            <w:tcW w:w="687"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1</w:t>
            </w:r>
            <w:r>
              <w:rPr>
                <w:rFonts w:ascii="Times New Roman" w:hAnsi="Times New Roman" w:cs="Times New Roman"/>
                <w:kern w:val="0"/>
                <w:sz w:val="21"/>
                <w:szCs w:val="21"/>
              </w:rPr>
              <w:t>.7</w:t>
            </w:r>
          </w:p>
        </w:tc>
        <w:tc>
          <w:tcPr>
            <w:tcW w:w="730" w:type="pct"/>
            <w:vMerge/>
          </w:tcPr>
          <w:p w:rsidR="004D19FD" w:rsidRPr="004D19FD" w:rsidRDefault="004D19FD" w:rsidP="004D19FD">
            <w:pPr>
              <w:pStyle w:val="afffffff2"/>
              <w:rPr>
                <w:rFonts w:ascii="Times New Roman" w:hAnsi="Times New Roman" w:cs="Times New Roman"/>
                <w:kern w:val="0"/>
                <w:sz w:val="21"/>
                <w:szCs w:val="21"/>
              </w:rPr>
            </w:pPr>
          </w:p>
        </w:tc>
      </w:tr>
      <w:tr w:rsidR="004D19FD" w:rsidRPr="004D19FD" w:rsidTr="004D19FD">
        <w:trPr>
          <w:trHeight w:val="176"/>
        </w:trPr>
        <w:tc>
          <w:tcPr>
            <w:tcW w:w="550"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D5</w:t>
            </w:r>
          </w:p>
        </w:tc>
        <w:tc>
          <w:tcPr>
            <w:tcW w:w="974" w:type="pct"/>
          </w:tcPr>
          <w:p w:rsidR="004D19FD" w:rsidRPr="004A31DD" w:rsidRDefault="004D19FD" w:rsidP="004D19FD">
            <w:pPr>
              <w:autoSpaceDE w:val="0"/>
              <w:spacing w:line="360" w:lineRule="exact"/>
              <w:ind w:firstLineChars="0" w:firstLine="0"/>
              <w:jc w:val="center"/>
              <w:rPr>
                <w:rFonts w:ascii="Times New Roman" w:hAnsi="Times New Roman"/>
                <w:bCs/>
                <w:sz w:val="21"/>
                <w:szCs w:val="21"/>
              </w:rPr>
            </w:pPr>
            <w:r w:rsidRPr="004A31DD">
              <w:rPr>
                <w:rFonts w:ascii="Times New Roman" w:hAnsi="Times New Roman"/>
                <w:bCs/>
                <w:sz w:val="21"/>
                <w:szCs w:val="21"/>
              </w:rPr>
              <w:t>二铺</w:t>
            </w:r>
          </w:p>
        </w:tc>
        <w:tc>
          <w:tcPr>
            <w:tcW w:w="598"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SE</w:t>
            </w:r>
          </w:p>
        </w:tc>
        <w:tc>
          <w:tcPr>
            <w:tcW w:w="774" w:type="pct"/>
          </w:tcPr>
          <w:p w:rsidR="004D19FD" w:rsidRPr="004D19FD" w:rsidRDefault="00CE270D" w:rsidP="004D19FD">
            <w:pPr>
              <w:pStyle w:val="afffffff2"/>
              <w:rPr>
                <w:rFonts w:ascii="Times New Roman" w:hAnsi="Times New Roman" w:cs="Times New Roman"/>
                <w:kern w:val="0"/>
                <w:sz w:val="21"/>
                <w:szCs w:val="21"/>
              </w:rPr>
            </w:pPr>
            <w:r>
              <w:rPr>
                <w:rFonts w:ascii="Times New Roman" w:hAnsi="Times New Roman" w:cs="Times New Roman"/>
                <w:kern w:val="0"/>
                <w:sz w:val="21"/>
                <w:szCs w:val="21"/>
              </w:rPr>
              <w:t>4331</w:t>
            </w:r>
          </w:p>
        </w:tc>
        <w:tc>
          <w:tcPr>
            <w:tcW w:w="687" w:type="pct"/>
          </w:tcPr>
          <w:p w:rsidR="004D19FD" w:rsidRPr="004D19FD" w:rsidRDefault="004D19FD" w:rsidP="004D19F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3</w:t>
            </w:r>
            <w:r>
              <w:rPr>
                <w:rFonts w:ascii="Times New Roman" w:hAnsi="Times New Roman" w:cs="Times New Roman"/>
                <w:kern w:val="0"/>
                <w:sz w:val="21"/>
                <w:szCs w:val="21"/>
              </w:rPr>
              <w:t>2</w:t>
            </w:r>
          </w:p>
        </w:tc>
        <w:tc>
          <w:tcPr>
            <w:tcW w:w="687" w:type="pct"/>
          </w:tcPr>
          <w:p w:rsidR="004D19FD" w:rsidRPr="004D19FD" w:rsidRDefault="004D19FD" w:rsidP="004D19FD">
            <w:pPr>
              <w:pStyle w:val="afffffff2"/>
              <w:rPr>
                <w:rFonts w:ascii="Times New Roman" w:hAnsi="Times New Roman" w:cs="Times New Roman"/>
                <w:kern w:val="0"/>
                <w:sz w:val="21"/>
                <w:szCs w:val="21"/>
              </w:rPr>
            </w:pPr>
            <w:r>
              <w:rPr>
                <w:rFonts w:ascii="Times New Roman" w:hAnsi="Times New Roman" w:cs="Times New Roman"/>
                <w:kern w:val="0"/>
                <w:sz w:val="21"/>
                <w:szCs w:val="21"/>
              </w:rPr>
              <w:t>2.7</w:t>
            </w:r>
          </w:p>
        </w:tc>
        <w:tc>
          <w:tcPr>
            <w:tcW w:w="730" w:type="pct"/>
            <w:vMerge/>
          </w:tcPr>
          <w:p w:rsidR="004D19FD" w:rsidRPr="004D19FD" w:rsidRDefault="004D19FD" w:rsidP="004D19FD">
            <w:pPr>
              <w:pStyle w:val="afffffff2"/>
              <w:rPr>
                <w:rFonts w:ascii="Times New Roman" w:hAnsi="Times New Roman" w:cs="Times New Roman"/>
                <w:kern w:val="0"/>
                <w:sz w:val="21"/>
                <w:szCs w:val="21"/>
              </w:rPr>
            </w:pPr>
          </w:p>
        </w:tc>
      </w:tr>
      <w:tr w:rsidR="004D19FD" w:rsidRPr="004D19FD" w:rsidTr="004D19FD">
        <w:trPr>
          <w:trHeight w:val="112"/>
        </w:trPr>
        <w:tc>
          <w:tcPr>
            <w:tcW w:w="550"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D6</w:t>
            </w:r>
          </w:p>
        </w:tc>
        <w:tc>
          <w:tcPr>
            <w:tcW w:w="974" w:type="pct"/>
          </w:tcPr>
          <w:p w:rsidR="004D19FD" w:rsidRPr="004A31DD" w:rsidRDefault="004D19FD" w:rsidP="004D19FD">
            <w:pPr>
              <w:autoSpaceDE w:val="0"/>
              <w:spacing w:line="360" w:lineRule="exact"/>
              <w:ind w:firstLineChars="0" w:firstLine="0"/>
              <w:jc w:val="center"/>
              <w:rPr>
                <w:rFonts w:ascii="Times New Roman" w:hAnsi="Times New Roman"/>
                <w:bCs/>
                <w:sz w:val="21"/>
                <w:szCs w:val="21"/>
              </w:rPr>
            </w:pPr>
            <w:r w:rsidRPr="004A31DD">
              <w:rPr>
                <w:rFonts w:ascii="Times New Roman" w:hAnsi="Times New Roman"/>
                <w:bCs/>
                <w:sz w:val="21"/>
                <w:szCs w:val="21"/>
              </w:rPr>
              <w:t>夏家湖</w:t>
            </w:r>
          </w:p>
        </w:tc>
        <w:tc>
          <w:tcPr>
            <w:tcW w:w="598" w:type="pct"/>
          </w:tcPr>
          <w:p w:rsidR="004D19FD" w:rsidRPr="004D19FD" w:rsidRDefault="00CE270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E</w:t>
            </w:r>
          </w:p>
        </w:tc>
        <w:tc>
          <w:tcPr>
            <w:tcW w:w="774" w:type="pct"/>
          </w:tcPr>
          <w:p w:rsidR="004D19FD" w:rsidRPr="004D19FD" w:rsidRDefault="00CE270D" w:rsidP="004D19FD">
            <w:pPr>
              <w:pStyle w:val="afffffff2"/>
              <w:rPr>
                <w:rFonts w:ascii="Times New Roman" w:hAnsi="Times New Roman" w:cs="Times New Roman"/>
                <w:kern w:val="0"/>
                <w:sz w:val="21"/>
                <w:szCs w:val="21"/>
              </w:rPr>
            </w:pPr>
            <w:r>
              <w:rPr>
                <w:rFonts w:ascii="Times New Roman" w:hAnsi="Times New Roman" w:cs="Times New Roman"/>
                <w:kern w:val="0"/>
                <w:sz w:val="21"/>
                <w:szCs w:val="21"/>
              </w:rPr>
              <w:t>4163</w:t>
            </w:r>
          </w:p>
        </w:tc>
        <w:tc>
          <w:tcPr>
            <w:tcW w:w="687" w:type="pct"/>
          </w:tcPr>
          <w:p w:rsidR="004D19FD" w:rsidRPr="004D19FD" w:rsidRDefault="004D19FD" w:rsidP="004D19F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1</w:t>
            </w:r>
            <w:r>
              <w:rPr>
                <w:rFonts w:ascii="Times New Roman" w:hAnsi="Times New Roman" w:cs="Times New Roman"/>
                <w:kern w:val="0"/>
                <w:sz w:val="21"/>
                <w:szCs w:val="21"/>
              </w:rPr>
              <w:t>5</w:t>
            </w:r>
          </w:p>
        </w:tc>
        <w:tc>
          <w:tcPr>
            <w:tcW w:w="687"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1</w:t>
            </w:r>
            <w:r>
              <w:rPr>
                <w:rFonts w:ascii="Times New Roman" w:hAnsi="Times New Roman" w:cs="Times New Roman"/>
                <w:kern w:val="0"/>
                <w:sz w:val="21"/>
                <w:szCs w:val="21"/>
              </w:rPr>
              <w:t>.9</w:t>
            </w:r>
          </w:p>
        </w:tc>
        <w:tc>
          <w:tcPr>
            <w:tcW w:w="730" w:type="pct"/>
            <w:vMerge/>
          </w:tcPr>
          <w:p w:rsidR="004D19FD" w:rsidRPr="004D19FD" w:rsidRDefault="004D19FD" w:rsidP="004D19FD">
            <w:pPr>
              <w:pStyle w:val="afffffff2"/>
              <w:rPr>
                <w:rFonts w:ascii="Times New Roman" w:hAnsi="Times New Roman" w:cs="Times New Roman"/>
                <w:kern w:val="0"/>
                <w:sz w:val="21"/>
                <w:szCs w:val="21"/>
              </w:rPr>
            </w:pPr>
          </w:p>
        </w:tc>
      </w:tr>
      <w:tr w:rsidR="004D19FD" w:rsidRPr="004D19FD" w:rsidTr="004D19FD">
        <w:trPr>
          <w:trHeight w:val="332"/>
        </w:trPr>
        <w:tc>
          <w:tcPr>
            <w:tcW w:w="550"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D7</w:t>
            </w:r>
          </w:p>
        </w:tc>
        <w:tc>
          <w:tcPr>
            <w:tcW w:w="974" w:type="pct"/>
          </w:tcPr>
          <w:p w:rsidR="004D19FD" w:rsidRPr="004A31DD" w:rsidRDefault="004D19FD" w:rsidP="004D19FD">
            <w:pPr>
              <w:autoSpaceDE w:val="0"/>
              <w:spacing w:line="360" w:lineRule="exact"/>
              <w:ind w:firstLineChars="0" w:firstLine="0"/>
              <w:jc w:val="center"/>
              <w:rPr>
                <w:rFonts w:ascii="Times New Roman" w:hAnsi="Times New Roman"/>
                <w:bCs/>
                <w:sz w:val="21"/>
                <w:szCs w:val="21"/>
              </w:rPr>
            </w:pPr>
            <w:r w:rsidRPr="004A31DD">
              <w:rPr>
                <w:rFonts w:ascii="Times New Roman" w:hAnsi="Times New Roman"/>
                <w:bCs/>
                <w:sz w:val="21"/>
                <w:szCs w:val="21"/>
              </w:rPr>
              <w:t>海华科技监测井</w:t>
            </w:r>
          </w:p>
        </w:tc>
        <w:tc>
          <w:tcPr>
            <w:tcW w:w="598" w:type="pct"/>
          </w:tcPr>
          <w:p w:rsidR="004D19FD" w:rsidRPr="004D19FD" w:rsidRDefault="00CE270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E</w:t>
            </w:r>
          </w:p>
        </w:tc>
        <w:tc>
          <w:tcPr>
            <w:tcW w:w="774" w:type="pct"/>
          </w:tcPr>
          <w:p w:rsidR="004D19FD" w:rsidRPr="004D19FD" w:rsidRDefault="00CE270D" w:rsidP="004D19FD">
            <w:pPr>
              <w:pStyle w:val="afffffff2"/>
              <w:rPr>
                <w:rFonts w:ascii="Times New Roman" w:hAnsi="Times New Roman" w:cs="Times New Roman"/>
                <w:kern w:val="0"/>
                <w:sz w:val="21"/>
                <w:szCs w:val="21"/>
              </w:rPr>
            </w:pPr>
            <w:r>
              <w:rPr>
                <w:rFonts w:ascii="Times New Roman" w:hAnsi="Times New Roman" w:cs="Times New Roman"/>
                <w:kern w:val="0"/>
                <w:sz w:val="21"/>
                <w:szCs w:val="21"/>
              </w:rPr>
              <w:t>1640</w:t>
            </w:r>
          </w:p>
        </w:tc>
        <w:tc>
          <w:tcPr>
            <w:tcW w:w="687" w:type="pct"/>
          </w:tcPr>
          <w:p w:rsidR="004D19FD" w:rsidRPr="004D19FD" w:rsidRDefault="004D19FD" w:rsidP="004D19F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1</w:t>
            </w:r>
            <w:r>
              <w:rPr>
                <w:rFonts w:ascii="Times New Roman" w:hAnsi="Times New Roman" w:cs="Times New Roman"/>
                <w:kern w:val="0"/>
                <w:sz w:val="21"/>
                <w:szCs w:val="21"/>
              </w:rPr>
              <w:t>7</w:t>
            </w:r>
          </w:p>
        </w:tc>
        <w:tc>
          <w:tcPr>
            <w:tcW w:w="687" w:type="pct"/>
          </w:tcPr>
          <w:p w:rsidR="004D19FD" w:rsidRPr="004D19FD" w:rsidRDefault="004D19FD" w:rsidP="004D19FD">
            <w:pPr>
              <w:pStyle w:val="afffffff2"/>
              <w:rPr>
                <w:rFonts w:ascii="Times New Roman" w:hAnsi="Times New Roman" w:cs="Times New Roman"/>
                <w:kern w:val="0"/>
                <w:sz w:val="21"/>
                <w:szCs w:val="21"/>
              </w:rPr>
            </w:pPr>
            <w:r>
              <w:rPr>
                <w:rFonts w:ascii="Times New Roman" w:hAnsi="Times New Roman" w:cs="Times New Roman"/>
                <w:kern w:val="0"/>
                <w:sz w:val="21"/>
                <w:szCs w:val="21"/>
              </w:rPr>
              <w:t>2.0</w:t>
            </w:r>
          </w:p>
        </w:tc>
        <w:tc>
          <w:tcPr>
            <w:tcW w:w="730" w:type="pct"/>
            <w:vMerge/>
          </w:tcPr>
          <w:p w:rsidR="004D19FD" w:rsidRPr="004D19FD" w:rsidRDefault="004D19FD" w:rsidP="004D19FD">
            <w:pPr>
              <w:pStyle w:val="afffffff2"/>
              <w:rPr>
                <w:rFonts w:ascii="Times New Roman" w:hAnsi="Times New Roman" w:cs="Times New Roman"/>
                <w:kern w:val="0"/>
                <w:sz w:val="21"/>
                <w:szCs w:val="21"/>
              </w:rPr>
            </w:pPr>
          </w:p>
        </w:tc>
      </w:tr>
      <w:tr w:rsidR="004D19FD" w:rsidRPr="004D19FD" w:rsidTr="004D19FD">
        <w:trPr>
          <w:trHeight w:val="409"/>
        </w:trPr>
        <w:tc>
          <w:tcPr>
            <w:tcW w:w="550"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D8</w:t>
            </w:r>
          </w:p>
        </w:tc>
        <w:tc>
          <w:tcPr>
            <w:tcW w:w="974" w:type="pct"/>
          </w:tcPr>
          <w:p w:rsidR="004D19FD" w:rsidRPr="004A31DD" w:rsidRDefault="004D19FD" w:rsidP="004D19FD">
            <w:pPr>
              <w:autoSpaceDE w:val="0"/>
              <w:spacing w:line="360" w:lineRule="exact"/>
              <w:ind w:firstLineChars="0" w:firstLine="0"/>
              <w:jc w:val="center"/>
              <w:rPr>
                <w:rFonts w:ascii="Times New Roman" w:hAnsi="Times New Roman"/>
                <w:bCs/>
                <w:sz w:val="21"/>
                <w:szCs w:val="21"/>
              </w:rPr>
            </w:pPr>
            <w:r w:rsidRPr="004A31DD">
              <w:rPr>
                <w:rFonts w:ascii="Times New Roman" w:hAnsi="Times New Roman"/>
                <w:bCs/>
                <w:sz w:val="21"/>
                <w:szCs w:val="21"/>
              </w:rPr>
              <w:t>雪郎生物监测井</w:t>
            </w:r>
          </w:p>
        </w:tc>
        <w:tc>
          <w:tcPr>
            <w:tcW w:w="598"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SW</w:t>
            </w:r>
          </w:p>
        </w:tc>
        <w:tc>
          <w:tcPr>
            <w:tcW w:w="774" w:type="pct"/>
          </w:tcPr>
          <w:p w:rsidR="004D19FD" w:rsidRPr="004D19FD" w:rsidRDefault="004D19FD" w:rsidP="00CE270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1</w:t>
            </w:r>
            <w:r w:rsidR="00CE270D">
              <w:rPr>
                <w:rFonts w:ascii="Times New Roman" w:hAnsi="Times New Roman" w:cs="Times New Roman"/>
                <w:kern w:val="0"/>
                <w:sz w:val="21"/>
                <w:szCs w:val="21"/>
              </w:rPr>
              <w:t>133</w:t>
            </w:r>
          </w:p>
        </w:tc>
        <w:tc>
          <w:tcPr>
            <w:tcW w:w="687" w:type="pct"/>
          </w:tcPr>
          <w:p w:rsidR="004D19FD" w:rsidRPr="004D19FD" w:rsidRDefault="004D19FD" w:rsidP="004D19F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1</w:t>
            </w:r>
            <w:r>
              <w:rPr>
                <w:rFonts w:ascii="Times New Roman" w:hAnsi="Times New Roman" w:cs="Times New Roman"/>
                <w:kern w:val="0"/>
                <w:sz w:val="21"/>
                <w:szCs w:val="21"/>
              </w:rPr>
              <w:t>8</w:t>
            </w:r>
          </w:p>
        </w:tc>
        <w:tc>
          <w:tcPr>
            <w:tcW w:w="687" w:type="pct"/>
          </w:tcPr>
          <w:p w:rsidR="004D19FD" w:rsidRPr="004D19FD" w:rsidRDefault="004D19FD" w:rsidP="004D19FD">
            <w:pPr>
              <w:pStyle w:val="afffffff2"/>
              <w:rPr>
                <w:rFonts w:ascii="Times New Roman" w:hAnsi="Times New Roman" w:cs="Times New Roman"/>
                <w:kern w:val="0"/>
                <w:sz w:val="21"/>
                <w:szCs w:val="21"/>
              </w:rPr>
            </w:pPr>
            <w:r>
              <w:rPr>
                <w:rFonts w:ascii="Times New Roman" w:hAnsi="Times New Roman" w:cs="Times New Roman"/>
                <w:kern w:val="0"/>
                <w:sz w:val="21"/>
                <w:szCs w:val="21"/>
              </w:rPr>
              <w:t>1.8</w:t>
            </w:r>
          </w:p>
        </w:tc>
        <w:tc>
          <w:tcPr>
            <w:tcW w:w="730" w:type="pct"/>
            <w:vMerge/>
          </w:tcPr>
          <w:p w:rsidR="004D19FD" w:rsidRPr="004D19FD" w:rsidRDefault="004D19FD" w:rsidP="004D19FD">
            <w:pPr>
              <w:pStyle w:val="afffffff2"/>
              <w:rPr>
                <w:rFonts w:ascii="Times New Roman" w:hAnsi="Times New Roman" w:cs="Times New Roman"/>
                <w:kern w:val="0"/>
                <w:sz w:val="21"/>
                <w:szCs w:val="21"/>
              </w:rPr>
            </w:pPr>
          </w:p>
        </w:tc>
      </w:tr>
      <w:tr w:rsidR="004D19FD" w:rsidRPr="004D19FD" w:rsidTr="004D19FD">
        <w:trPr>
          <w:trHeight w:val="346"/>
        </w:trPr>
        <w:tc>
          <w:tcPr>
            <w:tcW w:w="550"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D9</w:t>
            </w:r>
          </w:p>
        </w:tc>
        <w:tc>
          <w:tcPr>
            <w:tcW w:w="974" w:type="pct"/>
          </w:tcPr>
          <w:p w:rsidR="004D19FD" w:rsidRPr="004A31DD" w:rsidRDefault="004D19FD" w:rsidP="004D19FD">
            <w:pPr>
              <w:autoSpaceDE w:val="0"/>
              <w:spacing w:line="360" w:lineRule="exact"/>
              <w:ind w:firstLineChars="0" w:firstLine="0"/>
              <w:jc w:val="center"/>
              <w:rPr>
                <w:rFonts w:ascii="Times New Roman" w:hAnsi="Times New Roman"/>
                <w:bCs/>
                <w:color w:val="000000"/>
                <w:sz w:val="21"/>
                <w:szCs w:val="21"/>
              </w:rPr>
            </w:pPr>
            <w:r w:rsidRPr="004A31DD">
              <w:rPr>
                <w:rFonts w:ascii="Times New Roman" w:hAnsi="Times New Roman"/>
                <w:color w:val="000000"/>
                <w:sz w:val="21"/>
                <w:szCs w:val="21"/>
              </w:rPr>
              <w:t>于家村</w:t>
            </w:r>
          </w:p>
        </w:tc>
        <w:tc>
          <w:tcPr>
            <w:tcW w:w="598" w:type="pct"/>
          </w:tcPr>
          <w:p w:rsidR="004D19FD" w:rsidRPr="004D19FD" w:rsidRDefault="00CE270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SW</w:t>
            </w:r>
          </w:p>
        </w:tc>
        <w:tc>
          <w:tcPr>
            <w:tcW w:w="774" w:type="pct"/>
          </w:tcPr>
          <w:p w:rsidR="004D19FD" w:rsidRPr="004D19FD" w:rsidRDefault="00CE270D" w:rsidP="00CE270D">
            <w:pPr>
              <w:pStyle w:val="afffffff2"/>
              <w:rPr>
                <w:rFonts w:ascii="Times New Roman" w:hAnsi="Times New Roman" w:cs="Times New Roman"/>
                <w:kern w:val="0"/>
                <w:sz w:val="21"/>
                <w:szCs w:val="21"/>
              </w:rPr>
            </w:pPr>
            <w:r>
              <w:rPr>
                <w:rFonts w:ascii="Times New Roman" w:hAnsi="Times New Roman" w:cs="Times New Roman"/>
                <w:kern w:val="0"/>
                <w:sz w:val="21"/>
                <w:szCs w:val="21"/>
              </w:rPr>
              <w:t>3277</w:t>
            </w:r>
          </w:p>
        </w:tc>
        <w:tc>
          <w:tcPr>
            <w:tcW w:w="687" w:type="pct"/>
          </w:tcPr>
          <w:p w:rsidR="004D19FD" w:rsidRPr="004D19FD" w:rsidRDefault="004D19FD" w:rsidP="004D19F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3</w:t>
            </w:r>
            <w:r>
              <w:rPr>
                <w:rFonts w:ascii="Times New Roman" w:hAnsi="Times New Roman" w:cs="Times New Roman"/>
                <w:kern w:val="0"/>
                <w:sz w:val="21"/>
                <w:szCs w:val="21"/>
              </w:rPr>
              <w:t>0</w:t>
            </w:r>
          </w:p>
        </w:tc>
        <w:tc>
          <w:tcPr>
            <w:tcW w:w="687" w:type="pct"/>
          </w:tcPr>
          <w:p w:rsidR="004D19FD" w:rsidRPr="004D19FD" w:rsidRDefault="004D19FD" w:rsidP="004D19FD">
            <w:pPr>
              <w:pStyle w:val="afffffff2"/>
              <w:rPr>
                <w:rFonts w:ascii="Times New Roman" w:hAnsi="Times New Roman" w:cs="Times New Roman"/>
                <w:kern w:val="0"/>
                <w:sz w:val="21"/>
                <w:szCs w:val="21"/>
              </w:rPr>
            </w:pPr>
            <w:r>
              <w:rPr>
                <w:rFonts w:ascii="Times New Roman" w:hAnsi="Times New Roman" w:cs="Times New Roman"/>
                <w:kern w:val="0"/>
                <w:sz w:val="21"/>
                <w:szCs w:val="21"/>
              </w:rPr>
              <w:t>3.2</w:t>
            </w:r>
          </w:p>
        </w:tc>
        <w:tc>
          <w:tcPr>
            <w:tcW w:w="730" w:type="pct"/>
            <w:vMerge/>
          </w:tcPr>
          <w:p w:rsidR="004D19FD" w:rsidRPr="004D19FD" w:rsidRDefault="004D19FD" w:rsidP="004D19FD">
            <w:pPr>
              <w:pStyle w:val="afffffff2"/>
              <w:rPr>
                <w:rFonts w:ascii="Times New Roman" w:hAnsi="Times New Roman" w:cs="Times New Roman"/>
                <w:kern w:val="0"/>
                <w:sz w:val="21"/>
                <w:szCs w:val="21"/>
              </w:rPr>
            </w:pPr>
          </w:p>
        </w:tc>
      </w:tr>
      <w:tr w:rsidR="004D19FD" w:rsidRPr="004D19FD" w:rsidTr="004D19FD">
        <w:trPr>
          <w:trHeight w:val="282"/>
        </w:trPr>
        <w:tc>
          <w:tcPr>
            <w:tcW w:w="550" w:type="pct"/>
          </w:tcPr>
          <w:p w:rsidR="004D19FD" w:rsidRPr="004D19FD" w:rsidRDefault="004D19FD" w:rsidP="004D19FD">
            <w:pPr>
              <w:pStyle w:val="afffffff2"/>
              <w:rPr>
                <w:rFonts w:ascii="Times New Roman" w:hAnsi="Times New Roman" w:cs="Times New Roman"/>
                <w:kern w:val="0"/>
                <w:sz w:val="21"/>
                <w:szCs w:val="21"/>
              </w:rPr>
            </w:pPr>
            <w:r w:rsidRPr="004D19FD">
              <w:rPr>
                <w:rFonts w:ascii="Times New Roman" w:hAnsi="Times New Roman" w:cs="Times New Roman"/>
                <w:kern w:val="0"/>
                <w:sz w:val="21"/>
                <w:szCs w:val="21"/>
              </w:rPr>
              <w:t>D10</w:t>
            </w:r>
          </w:p>
        </w:tc>
        <w:tc>
          <w:tcPr>
            <w:tcW w:w="974" w:type="pct"/>
          </w:tcPr>
          <w:p w:rsidR="004D19FD" w:rsidRPr="004A31DD" w:rsidRDefault="004D19FD" w:rsidP="004D19FD">
            <w:pPr>
              <w:autoSpaceDE w:val="0"/>
              <w:spacing w:line="360" w:lineRule="exact"/>
              <w:ind w:firstLineChars="0" w:firstLine="0"/>
              <w:jc w:val="center"/>
              <w:rPr>
                <w:rFonts w:ascii="Times New Roman" w:hAnsi="Times New Roman"/>
                <w:bCs/>
                <w:color w:val="000000"/>
                <w:sz w:val="21"/>
                <w:szCs w:val="21"/>
              </w:rPr>
            </w:pPr>
            <w:r w:rsidRPr="004A31DD">
              <w:rPr>
                <w:rFonts w:ascii="Times New Roman" w:hAnsi="Times New Roman"/>
                <w:bCs/>
                <w:color w:val="000000"/>
                <w:sz w:val="21"/>
                <w:szCs w:val="21"/>
              </w:rPr>
              <w:t>石家</w:t>
            </w:r>
          </w:p>
        </w:tc>
        <w:tc>
          <w:tcPr>
            <w:tcW w:w="598" w:type="pct"/>
          </w:tcPr>
          <w:p w:rsidR="004D19FD" w:rsidRPr="004D19FD" w:rsidRDefault="00CE270D" w:rsidP="004D19F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S</w:t>
            </w:r>
            <w:r w:rsidR="004D19FD" w:rsidRPr="004D19FD">
              <w:rPr>
                <w:rFonts w:ascii="Times New Roman" w:hAnsi="Times New Roman" w:cs="Times New Roman"/>
                <w:kern w:val="0"/>
                <w:sz w:val="21"/>
                <w:szCs w:val="21"/>
              </w:rPr>
              <w:t>E</w:t>
            </w:r>
          </w:p>
        </w:tc>
        <w:tc>
          <w:tcPr>
            <w:tcW w:w="774" w:type="pct"/>
          </w:tcPr>
          <w:p w:rsidR="004D19FD" w:rsidRPr="004D19FD" w:rsidRDefault="00CE270D" w:rsidP="004D19FD">
            <w:pPr>
              <w:pStyle w:val="afffffff2"/>
              <w:rPr>
                <w:rFonts w:ascii="Times New Roman" w:hAnsi="Times New Roman" w:cs="Times New Roman"/>
                <w:kern w:val="0"/>
                <w:sz w:val="21"/>
                <w:szCs w:val="21"/>
              </w:rPr>
            </w:pPr>
            <w:r>
              <w:rPr>
                <w:rFonts w:ascii="Times New Roman" w:hAnsi="Times New Roman" w:cs="Times New Roman"/>
                <w:kern w:val="0"/>
                <w:sz w:val="21"/>
                <w:szCs w:val="21"/>
              </w:rPr>
              <w:t>3457</w:t>
            </w:r>
          </w:p>
        </w:tc>
        <w:tc>
          <w:tcPr>
            <w:tcW w:w="687" w:type="pct"/>
          </w:tcPr>
          <w:p w:rsidR="004D19FD" w:rsidRPr="004D19FD" w:rsidRDefault="004D19FD" w:rsidP="004D19F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2</w:t>
            </w:r>
            <w:r>
              <w:rPr>
                <w:rFonts w:ascii="Times New Roman" w:hAnsi="Times New Roman" w:cs="Times New Roman"/>
                <w:kern w:val="0"/>
                <w:sz w:val="21"/>
                <w:szCs w:val="21"/>
              </w:rPr>
              <w:t>5</w:t>
            </w:r>
          </w:p>
        </w:tc>
        <w:tc>
          <w:tcPr>
            <w:tcW w:w="687" w:type="pct"/>
          </w:tcPr>
          <w:p w:rsidR="004D19FD" w:rsidRPr="004D19FD" w:rsidRDefault="004D19FD" w:rsidP="004D19FD">
            <w:pPr>
              <w:pStyle w:val="afffffff2"/>
              <w:rPr>
                <w:rFonts w:ascii="Times New Roman" w:hAnsi="Times New Roman" w:cs="Times New Roman"/>
                <w:kern w:val="0"/>
                <w:sz w:val="21"/>
                <w:szCs w:val="21"/>
              </w:rPr>
            </w:pPr>
            <w:r>
              <w:rPr>
                <w:rFonts w:ascii="Times New Roman" w:hAnsi="Times New Roman" w:cs="Times New Roman"/>
                <w:kern w:val="0"/>
                <w:sz w:val="21"/>
                <w:szCs w:val="21"/>
              </w:rPr>
              <w:t>2.9</w:t>
            </w:r>
          </w:p>
        </w:tc>
        <w:tc>
          <w:tcPr>
            <w:tcW w:w="730" w:type="pct"/>
            <w:vMerge/>
          </w:tcPr>
          <w:p w:rsidR="004D19FD" w:rsidRPr="004D19FD" w:rsidRDefault="004D19FD" w:rsidP="004D19FD">
            <w:pPr>
              <w:pStyle w:val="afffffff2"/>
              <w:rPr>
                <w:rFonts w:ascii="Times New Roman" w:hAnsi="Times New Roman" w:cs="Times New Roman"/>
                <w:kern w:val="0"/>
                <w:sz w:val="21"/>
                <w:szCs w:val="21"/>
              </w:rPr>
            </w:pPr>
          </w:p>
        </w:tc>
      </w:tr>
    </w:tbl>
    <w:p w:rsidR="004E3021" w:rsidRDefault="00606E48">
      <w:pPr>
        <w:ind w:firstLine="480"/>
      </w:pPr>
      <w:r>
        <w:rPr>
          <w:rFonts w:ascii="宋体" w:hAnsi="宋体" w:hint="eastAsia"/>
        </w:rPr>
        <w:lastRenderedPageBreak/>
        <w:t>根据表</w:t>
      </w:r>
      <w:r>
        <w:t>4.2.4</w:t>
      </w:r>
      <w:r>
        <w:rPr>
          <w:rFonts w:hint="eastAsia"/>
        </w:rPr>
        <w:t>-</w:t>
      </w:r>
      <w:r w:rsidR="0001666A">
        <w:t>2</w:t>
      </w:r>
      <w:r>
        <w:rPr>
          <w:rFonts w:ascii="宋体" w:hAnsi="宋体" w:hint="eastAsia"/>
        </w:rPr>
        <w:t>所示，各监测点位各指标均达到《地下水质量标准》（</w:t>
      </w:r>
      <w:r>
        <w:t>GB/T14848-2017</w:t>
      </w:r>
      <w:r>
        <w:rPr>
          <w:rFonts w:ascii="宋体" w:hAnsi="宋体" w:hint="eastAsia"/>
        </w:rPr>
        <w:t>）中</w:t>
      </w:r>
      <w:r w:rsidRPr="0001666A">
        <w:t>Ⅲ</w:t>
      </w:r>
      <w:r>
        <w:rPr>
          <w:rFonts w:hint="eastAsia"/>
        </w:rPr>
        <w:t>类标准。</w:t>
      </w:r>
    </w:p>
    <w:p w:rsidR="004E3021" w:rsidRDefault="00606E48">
      <w:pPr>
        <w:pStyle w:val="afffffffffffffffff4"/>
      </w:pPr>
      <w:bookmarkStart w:id="311" w:name="_Toc101135854"/>
      <w:bookmarkStart w:id="312" w:name="_Toc100784022"/>
      <w:bookmarkStart w:id="313" w:name="_Toc108662631"/>
      <w:bookmarkStart w:id="314" w:name="_Toc221088783"/>
      <w:bookmarkStart w:id="315" w:name="_Toc221500998"/>
      <w:r>
        <w:rPr>
          <w:rFonts w:hint="eastAsia"/>
        </w:rPr>
        <w:t>4</w:t>
      </w:r>
      <w:r>
        <w:t>.2.5</w:t>
      </w:r>
      <w:r>
        <w:t>土壤环境质量现状</w:t>
      </w:r>
      <w:bookmarkEnd w:id="311"/>
      <w:bookmarkEnd w:id="312"/>
      <w:bookmarkEnd w:id="313"/>
      <w:bookmarkEnd w:id="314"/>
      <w:bookmarkEnd w:id="315"/>
    </w:p>
    <w:p w:rsidR="004E3021" w:rsidRPr="000E22F5" w:rsidRDefault="00606E48">
      <w:pPr>
        <w:ind w:firstLine="482"/>
        <w:rPr>
          <w:b/>
        </w:rPr>
      </w:pPr>
      <w:r w:rsidRPr="000E22F5">
        <w:rPr>
          <w:rFonts w:ascii="宋体" w:hAnsi="宋体" w:hint="eastAsia"/>
          <w:b/>
        </w:rPr>
        <w:t>（</w:t>
      </w:r>
      <w:r w:rsidRPr="000E22F5">
        <w:rPr>
          <w:rFonts w:hint="eastAsia"/>
          <w:b/>
        </w:rPr>
        <w:t>1</w:t>
      </w:r>
      <w:r w:rsidRPr="000E22F5">
        <w:rPr>
          <w:rFonts w:ascii="宋体" w:hAnsi="宋体" w:hint="eastAsia"/>
          <w:b/>
        </w:rPr>
        <w:t>）监测点布设</w:t>
      </w:r>
    </w:p>
    <w:p w:rsidR="004E3021" w:rsidRDefault="00606E48">
      <w:pPr>
        <w:ind w:firstLine="480"/>
      </w:pPr>
      <w:r>
        <w:rPr>
          <w:rFonts w:ascii="宋体" w:hAnsi="宋体" w:hint="eastAsia"/>
        </w:rPr>
        <w:t>本次评价共布设</w:t>
      </w:r>
      <w:r>
        <w:t>11</w:t>
      </w:r>
      <w:r>
        <w:rPr>
          <w:rFonts w:ascii="宋体" w:hAnsi="宋体" w:hint="eastAsia"/>
        </w:rPr>
        <w:t>个土壤环境质量现状监测点位，</w:t>
      </w:r>
      <w:r w:rsidR="0075233C" w:rsidRPr="00991CBD">
        <w:rPr>
          <w:rFonts w:hint="eastAsia"/>
        </w:rPr>
        <w:t>其中</w:t>
      </w:r>
      <w:r w:rsidR="0075233C" w:rsidRPr="00991CBD">
        <w:t>项目所在地范围内</w:t>
      </w:r>
      <w:r w:rsidR="0075233C" w:rsidRPr="00991CBD">
        <w:rPr>
          <w:rFonts w:hint="eastAsia"/>
        </w:rPr>
        <w:t>7</w:t>
      </w:r>
      <w:r w:rsidR="0075233C" w:rsidRPr="00991CBD">
        <w:rPr>
          <w:rFonts w:hint="eastAsia"/>
        </w:rPr>
        <w:t>个点位</w:t>
      </w:r>
      <w:r w:rsidR="0075233C" w:rsidRPr="00991CBD">
        <w:t>（</w:t>
      </w:r>
      <w:r w:rsidR="0075233C" w:rsidRPr="00991CBD">
        <w:rPr>
          <w:rFonts w:hint="eastAsia"/>
        </w:rPr>
        <w:t>5</w:t>
      </w:r>
      <w:r w:rsidR="0075233C" w:rsidRPr="00991CBD">
        <w:rPr>
          <w:rFonts w:hint="eastAsia"/>
        </w:rPr>
        <w:t>个</w:t>
      </w:r>
      <w:r w:rsidR="0075233C" w:rsidRPr="00991CBD">
        <w:t>为柱状样</w:t>
      </w:r>
      <w:r w:rsidR="0075233C" w:rsidRPr="00991CBD">
        <w:rPr>
          <w:rFonts w:hint="eastAsia"/>
        </w:rPr>
        <w:t>，</w:t>
      </w:r>
      <w:r w:rsidR="0075233C" w:rsidRPr="00991CBD">
        <w:rPr>
          <w:rFonts w:hint="eastAsia"/>
        </w:rPr>
        <w:t>2</w:t>
      </w:r>
      <w:r w:rsidR="0075233C" w:rsidRPr="00991CBD">
        <w:rPr>
          <w:rFonts w:hint="eastAsia"/>
        </w:rPr>
        <w:t>个</w:t>
      </w:r>
      <w:r w:rsidR="0075233C" w:rsidRPr="00991CBD">
        <w:t>为表层样）</w:t>
      </w:r>
      <w:r w:rsidR="0075233C" w:rsidRPr="00991CBD">
        <w:rPr>
          <w:rFonts w:hint="eastAsia"/>
        </w:rPr>
        <w:t>，</w:t>
      </w:r>
      <w:r w:rsidR="0075233C" w:rsidRPr="00991CBD">
        <w:t>项目周边</w:t>
      </w:r>
      <w:r w:rsidR="0075233C" w:rsidRPr="00991CBD">
        <w:rPr>
          <w:rFonts w:hint="eastAsia"/>
        </w:rPr>
        <w:t>耕地</w:t>
      </w:r>
      <w:r w:rsidR="0075233C" w:rsidRPr="00991CBD">
        <w:t>及</w:t>
      </w:r>
      <w:r w:rsidR="0075233C" w:rsidRPr="00991CBD">
        <w:rPr>
          <w:rFonts w:hint="eastAsia"/>
        </w:rPr>
        <w:t>厂区</w:t>
      </w:r>
      <w:r w:rsidR="0075233C" w:rsidRPr="00991CBD">
        <w:t>敏感点</w:t>
      </w:r>
      <w:r w:rsidR="0075233C" w:rsidRPr="00991CBD">
        <w:rPr>
          <w:rFonts w:hint="eastAsia"/>
        </w:rPr>
        <w:t>4</w:t>
      </w:r>
      <w:r w:rsidR="0075233C" w:rsidRPr="00991CBD">
        <w:rPr>
          <w:rFonts w:hint="eastAsia"/>
        </w:rPr>
        <w:t>个</w:t>
      </w:r>
      <w:r w:rsidR="0075233C" w:rsidRPr="00991CBD">
        <w:t>点位</w:t>
      </w:r>
      <w:r w:rsidR="0075233C">
        <w:rPr>
          <w:rFonts w:hint="eastAsia"/>
        </w:rPr>
        <w:t>（表层样）</w:t>
      </w:r>
      <w:r>
        <w:rPr>
          <w:rFonts w:ascii="宋体" w:hAnsi="宋体" w:hint="eastAsia"/>
        </w:rPr>
        <w:t>，具体监测点位、监测因子见表</w:t>
      </w:r>
      <w:r>
        <w:t>4.2.5-1</w:t>
      </w:r>
      <w:r w:rsidR="0075233C">
        <w:rPr>
          <w:rFonts w:ascii="宋体" w:hAnsi="宋体"/>
        </w:rPr>
        <w:t>及</w:t>
      </w:r>
      <w:r>
        <w:rPr>
          <w:rFonts w:ascii="宋体" w:hAnsi="宋体"/>
        </w:rPr>
        <w:t>图</w:t>
      </w:r>
      <w:r>
        <w:rPr>
          <w:rFonts w:hint="eastAsia"/>
        </w:rPr>
        <w:t>4</w:t>
      </w:r>
      <w:r>
        <w:t>.2.3-1</w:t>
      </w:r>
      <w:r>
        <w:rPr>
          <w:rFonts w:ascii="宋体" w:hAnsi="宋体" w:hint="eastAsia"/>
        </w:rPr>
        <w:t>。</w:t>
      </w:r>
    </w:p>
    <w:p w:rsidR="004E3021" w:rsidRDefault="00606E48">
      <w:pPr>
        <w:spacing w:line="500" w:lineRule="exact"/>
        <w:ind w:firstLineChars="0" w:firstLine="0"/>
        <w:jc w:val="center"/>
        <w:rPr>
          <w:rFonts w:ascii="黑体" w:eastAsia="黑体" w:hAnsi="黑体"/>
        </w:rPr>
      </w:pPr>
      <w:r>
        <w:rPr>
          <w:rFonts w:ascii="黑体" w:eastAsia="黑体" w:hAnsi="黑体" w:hint="eastAsia"/>
        </w:rPr>
        <w:t>表</w:t>
      </w:r>
      <w:r>
        <w:rPr>
          <w:rFonts w:eastAsia="黑体" w:hint="eastAsia"/>
        </w:rPr>
        <w:t>4.</w:t>
      </w:r>
      <w:r>
        <w:rPr>
          <w:rFonts w:eastAsia="黑体"/>
        </w:rPr>
        <w:t>2</w:t>
      </w:r>
      <w:r>
        <w:rPr>
          <w:rFonts w:eastAsia="黑体" w:hint="eastAsia"/>
        </w:rPr>
        <w:t xml:space="preserve">.5-1  </w:t>
      </w:r>
      <w:r>
        <w:rPr>
          <w:rFonts w:ascii="黑体" w:eastAsia="黑体" w:hAnsi="黑体" w:hint="eastAsia"/>
        </w:rPr>
        <w:t>土壤环境质量现状监测点位和监测因子</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7"/>
        <w:gridCol w:w="1276"/>
        <w:gridCol w:w="1986"/>
        <w:gridCol w:w="1417"/>
        <w:gridCol w:w="1395"/>
        <w:gridCol w:w="2385"/>
      </w:tblGrid>
      <w:tr w:rsidR="002D12F2" w:rsidRPr="0075233C" w:rsidTr="007F5CF1">
        <w:trPr>
          <w:trHeight w:val="543"/>
          <w:jc w:val="center"/>
        </w:trPr>
        <w:tc>
          <w:tcPr>
            <w:tcW w:w="314" w:type="pct"/>
            <w:tcBorders>
              <w:top w:val="single" w:sz="12" w:space="0" w:color="auto"/>
              <w:left w:val="nil"/>
              <w:bottom w:val="single" w:sz="4" w:space="0" w:color="auto"/>
              <w:right w:val="single" w:sz="4" w:space="0" w:color="auto"/>
            </w:tcBorders>
            <w:tcMar>
              <w:top w:w="12" w:type="dxa"/>
              <w:left w:w="12" w:type="dxa"/>
              <w:bottom w:w="0" w:type="dxa"/>
              <w:right w:w="12" w:type="dxa"/>
            </w:tcMar>
            <w:vAlign w:val="center"/>
            <w:hideMark/>
          </w:tcPr>
          <w:p w:rsidR="002D12F2" w:rsidRPr="006D5DB1" w:rsidRDefault="002D12F2" w:rsidP="007F5CF1">
            <w:pPr>
              <w:widowControl/>
              <w:autoSpaceDE w:val="0"/>
              <w:spacing w:line="360" w:lineRule="exact"/>
              <w:ind w:firstLineChars="0" w:firstLine="0"/>
              <w:jc w:val="center"/>
              <w:textAlignment w:val="center"/>
              <w:rPr>
                <w:b/>
                <w:sz w:val="21"/>
                <w:szCs w:val="21"/>
              </w:rPr>
            </w:pPr>
            <w:r w:rsidRPr="006D5DB1">
              <w:rPr>
                <w:b/>
                <w:kern w:val="0"/>
                <w:sz w:val="21"/>
                <w:szCs w:val="21"/>
              </w:rPr>
              <w:t>点位</w:t>
            </w:r>
            <w:r w:rsidRPr="006D5DB1">
              <w:rPr>
                <w:b/>
                <w:sz w:val="21"/>
                <w:szCs w:val="21"/>
              </w:rPr>
              <w:t>编号</w:t>
            </w:r>
          </w:p>
        </w:tc>
        <w:tc>
          <w:tcPr>
            <w:tcW w:w="707" w:type="pct"/>
            <w:tcBorders>
              <w:top w:val="single" w:sz="12" w:space="0" w:color="auto"/>
              <w:left w:val="single" w:sz="4" w:space="0" w:color="auto"/>
              <w:bottom w:val="single" w:sz="4" w:space="0" w:color="auto"/>
              <w:right w:val="single" w:sz="4" w:space="0" w:color="auto"/>
            </w:tcBorders>
            <w:tcMar>
              <w:top w:w="12" w:type="dxa"/>
              <w:left w:w="12" w:type="dxa"/>
              <w:bottom w:w="0" w:type="dxa"/>
              <w:right w:w="12" w:type="dxa"/>
            </w:tcMar>
            <w:vAlign w:val="center"/>
            <w:hideMark/>
          </w:tcPr>
          <w:p w:rsidR="002D12F2" w:rsidRPr="006D5DB1" w:rsidRDefault="002D12F2" w:rsidP="007F5CF1">
            <w:pPr>
              <w:widowControl/>
              <w:autoSpaceDE w:val="0"/>
              <w:spacing w:line="360" w:lineRule="exact"/>
              <w:ind w:firstLineChars="0" w:firstLine="0"/>
              <w:jc w:val="center"/>
              <w:textAlignment w:val="center"/>
              <w:rPr>
                <w:b/>
                <w:sz w:val="21"/>
                <w:szCs w:val="21"/>
              </w:rPr>
            </w:pPr>
            <w:r w:rsidRPr="006D5DB1">
              <w:rPr>
                <w:b/>
                <w:kern w:val="0"/>
                <w:sz w:val="21"/>
                <w:szCs w:val="21"/>
              </w:rPr>
              <w:t>点位名称</w:t>
            </w:r>
          </w:p>
        </w:tc>
        <w:tc>
          <w:tcPr>
            <w:tcW w:w="1100" w:type="pct"/>
            <w:tcBorders>
              <w:top w:val="single" w:sz="12" w:space="0" w:color="auto"/>
              <w:left w:val="single" w:sz="4" w:space="0" w:color="auto"/>
              <w:bottom w:val="single" w:sz="4" w:space="0" w:color="auto"/>
              <w:right w:val="single" w:sz="4" w:space="0" w:color="auto"/>
            </w:tcBorders>
            <w:noWrap/>
            <w:tcMar>
              <w:top w:w="12" w:type="dxa"/>
              <w:left w:w="12" w:type="dxa"/>
              <w:bottom w:w="0" w:type="dxa"/>
              <w:right w:w="12" w:type="dxa"/>
            </w:tcMar>
            <w:vAlign w:val="center"/>
            <w:hideMark/>
          </w:tcPr>
          <w:p w:rsidR="002D12F2" w:rsidRPr="006D5DB1" w:rsidRDefault="002D12F2" w:rsidP="007F5CF1">
            <w:pPr>
              <w:widowControl/>
              <w:autoSpaceDE w:val="0"/>
              <w:spacing w:line="360" w:lineRule="exact"/>
              <w:ind w:firstLineChars="0" w:firstLine="0"/>
              <w:jc w:val="center"/>
              <w:textAlignment w:val="center"/>
              <w:rPr>
                <w:b/>
                <w:sz w:val="21"/>
                <w:szCs w:val="21"/>
              </w:rPr>
            </w:pPr>
            <w:r w:rsidRPr="006D5DB1">
              <w:rPr>
                <w:b/>
                <w:kern w:val="0"/>
                <w:sz w:val="21"/>
                <w:szCs w:val="21"/>
              </w:rPr>
              <w:t>监测因子</w:t>
            </w:r>
          </w:p>
        </w:tc>
        <w:tc>
          <w:tcPr>
            <w:tcW w:w="785" w:type="pct"/>
            <w:tcBorders>
              <w:top w:val="single" w:sz="12" w:space="0" w:color="auto"/>
              <w:left w:val="single" w:sz="4" w:space="0" w:color="auto"/>
              <w:bottom w:val="single" w:sz="4" w:space="0" w:color="auto"/>
              <w:right w:val="single" w:sz="4" w:space="0" w:color="auto"/>
            </w:tcBorders>
            <w:noWrap/>
            <w:tcMar>
              <w:top w:w="12" w:type="dxa"/>
              <w:left w:w="12" w:type="dxa"/>
              <w:bottom w:w="0" w:type="dxa"/>
              <w:right w:w="12" w:type="dxa"/>
            </w:tcMar>
            <w:vAlign w:val="center"/>
            <w:hideMark/>
          </w:tcPr>
          <w:p w:rsidR="002D12F2" w:rsidRPr="006D5DB1" w:rsidRDefault="002D12F2" w:rsidP="007F5CF1">
            <w:pPr>
              <w:widowControl/>
              <w:autoSpaceDE w:val="0"/>
              <w:spacing w:line="360" w:lineRule="exact"/>
              <w:ind w:firstLineChars="0" w:firstLine="0"/>
              <w:jc w:val="center"/>
              <w:textAlignment w:val="center"/>
              <w:rPr>
                <w:b/>
                <w:kern w:val="0"/>
                <w:sz w:val="21"/>
                <w:szCs w:val="21"/>
              </w:rPr>
            </w:pPr>
            <w:r w:rsidRPr="006D5DB1">
              <w:rPr>
                <w:b/>
                <w:kern w:val="0"/>
                <w:sz w:val="21"/>
                <w:szCs w:val="21"/>
              </w:rPr>
              <w:t>数据来源</w:t>
            </w:r>
          </w:p>
        </w:tc>
        <w:tc>
          <w:tcPr>
            <w:tcW w:w="773" w:type="pct"/>
            <w:tcBorders>
              <w:top w:val="single" w:sz="12" w:space="0" w:color="auto"/>
              <w:left w:val="single" w:sz="4" w:space="0" w:color="auto"/>
              <w:bottom w:val="single" w:sz="4" w:space="0" w:color="auto"/>
              <w:right w:val="single" w:sz="4" w:space="0" w:color="auto"/>
            </w:tcBorders>
            <w:vAlign w:val="center"/>
          </w:tcPr>
          <w:p w:rsidR="002D12F2" w:rsidRPr="006D5DB1" w:rsidRDefault="002D12F2" w:rsidP="007F5CF1">
            <w:pPr>
              <w:widowControl/>
              <w:autoSpaceDE w:val="0"/>
              <w:spacing w:line="360" w:lineRule="exact"/>
              <w:ind w:firstLineChars="0" w:firstLine="0"/>
              <w:jc w:val="center"/>
              <w:textAlignment w:val="center"/>
              <w:rPr>
                <w:b/>
                <w:kern w:val="0"/>
                <w:sz w:val="21"/>
                <w:szCs w:val="21"/>
              </w:rPr>
            </w:pPr>
            <w:r w:rsidRPr="006D5DB1">
              <w:rPr>
                <w:rFonts w:hint="eastAsia"/>
                <w:b/>
                <w:kern w:val="0"/>
                <w:sz w:val="21"/>
                <w:szCs w:val="21"/>
              </w:rPr>
              <w:t>监测时间</w:t>
            </w:r>
          </w:p>
        </w:tc>
        <w:tc>
          <w:tcPr>
            <w:tcW w:w="1321" w:type="pct"/>
            <w:tcBorders>
              <w:top w:val="single" w:sz="12" w:space="0" w:color="auto"/>
              <w:left w:val="single" w:sz="4" w:space="0" w:color="auto"/>
              <w:bottom w:val="single" w:sz="4" w:space="0" w:color="auto"/>
              <w:right w:val="nil"/>
            </w:tcBorders>
            <w:noWrap/>
            <w:tcMar>
              <w:top w:w="12" w:type="dxa"/>
              <w:left w:w="12" w:type="dxa"/>
              <w:bottom w:w="0" w:type="dxa"/>
              <w:right w:w="12" w:type="dxa"/>
            </w:tcMar>
            <w:vAlign w:val="center"/>
            <w:hideMark/>
          </w:tcPr>
          <w:p w:rsidR="002D12F2" w:rsidRPr="006D5DB1" w:rsidRDefault="002D12F2" w:rsidP="007F5CF1">
            <w:pPr>
              <w:widowControl/>
              <w:autoSpaceDE w:val="0"/>
              <w:spacing w:line="360" w:lineRule="exact"/>
              <w:ind w:firstLineChars="0" w:firstLine="0"/>
              <w:jc w:val="center"/>
              <w:textAlignment w:val="center"/>
              <w:rPr>
                <w:b/>
                <w:sz w:val="21"/>
                <w:szCs w:val="21"/>
              </w:rPr>
            </w:pPr>
            <w:r w:rsidRPr="006D5DB1">
              <w:rPr>
                <w:b/>
                <w:kern w:val="0"/>
                <w:sz w:val="21"/>
                <w:szCs w:val="21"/>
              </w:rPr>
              <w:t>备注</w:t>
            </w:r>
          </w:p>
        </w:tc>
      </w:tr>
      <w:tr w:rsidR="002D12F2" w:rsidRPr="0075233C" w:rsidTr="007F5CF1">
        <w:trPr>
          <w:trHeight w:val="1253"/>
          <w:jc w:val="center"/>
        </w:trPr>
        <w:tc>
          <w:tcPr>
            <w:tcW w:w="314" w:type="pct"/>
            <w:tcBorders>
              <w:top w:val="single" w:sz="4" w:space="0" w:color="auto"/>
              <w:left w:val="nil"/>
              <w:bottom w:val="single" w:sz="4" w:space="0" w:color="auto"/>
              <w:right w:val="single" w:sz="4" w:space="0" w:color="auto"/>
            </w:tcBorders>
            <w:tcMar>
              <w:top w:w="12" w:type="dxa"/>
              <w:left w:w="12" w:type="dxa"/>
              <w:bottom w:w="0" w:type="dxa"/>
              <w:right w:w="12" w:type="dxa"/>
            </w:tcMar>
            <w:vAlign w:val="center"/>
            <w:hideMark/>
          </w:tcPr>
          <w:p w:rsidR="002D12F2" w:rsidRPr="0075233C" w:rsidRDefault="002D12F2" w:rsidP="007F5CF1">
            <w:pPr>
              <w:widowControl/>
              <w:autoSpaceDE w:val="0"/>
              <w:spacing w:line="360" w:lineRule="exact"/>
              <w:ind w:firstLineChars="0" w:firstLine="0"/>
              <w:jc w:val="center"/>
              <w:textAlignment w:val="center"/>
              <w:rPr>
                <w:sz w:val="21"/>
                <w:szCs w:val="21"/>
              </w:rPr>
            </w:pPr>
            <w:r w:rsidRPr="0075233C">
              <w:rPr>
                <w:kern w:val="0"/>
                <w:sz w:val="21"/>
                <w:szCs w:val="21"/>
              </w:rPr>
              <w:t>T1</w:t>
            </w:r>
          </w:p>
        </w:tc>
        <w:tc>
          <w:tcPr>
            <w:tcW w:w="707" w:type="pct"/>
            <w:tcBorders>
              <w:top w:val="single" w:sz="4" w:space="0" w:color="auto"/>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现有</w:t>
            </w:r>
            <w:r w:rsidRPr="0075233C">
              <w:rPr>
                <w:kern w:val="0"/>
                <w:sz w:val="21"/>
                <w:szCs w:val="21"/>
              </w:rPr>
              <w:t>工程厂区</w:t>
            </w:r>
          </w:p>
        </w:tc>
        <w:tc>
          <w:tcPr>
            <w:tcW w:w="1100" w:type="pct"/>
            <w:tcBorders>
              <w:top w:val="single" w:sz="4" w:space="0" w:color="auto"/>
              <w:left w:val="single" w:sz="4" w:space="0" w:color="auto"/>
              <w:bottom w:val="single" w:sz="4" w:space="0" w:color="auto"/>
              <w:right w:val="single" w:sz="4" w:space="0" w:color="auto"/>
            </w:tcBorders>
            <w:vAlign w:val="center"/>
            <w:hideMark/>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pH</w:t>
            </w:r>
            <w:r w:rsidRPr="0075233C">
              <w:rPr>
                <w:rFonts w:hint="eastAsia"/>
                <w:kern w:val="0"/>
                <w:sz w:val="21"/>
                <w:szCs w:val="21"/>
              </w:rPr>
              <w:t>、石油烃、砷、</w:t>
            </w:r>
            <w:r w:rsidRPr="0075233C">
              <w:rPr>
                <w:kern w:val="0"/>
                <w:sz w:val="21"/>
                <w:szCs w:val="21"/>
              </w:rPr>
              <w:t>镉、铬（</w:t>
            </w:r>
            <w:r w:rsidRPr="0075233C">
              <w:rPr>
                <w:rFonts w:hint="eastAsia"/>
                <w:kern w:val="0"/>
                <w:sz w:val="21"/>
                <w:szCs w:val="21"/>
              </w:rPr>
              <w:t>六价</w:t>
            </w:r>
            <w:r w:rsidRPr="0075233C">
              <w:rPr>
                <w:kern w:val="0"/>
                <w:sz w:val="21"/>
                <w:szCs w:val="21"/>
              </w:rPr>
              <w:t>）</w:t>
            </w:r>
            <w:r w:rsidRPr="0075233C">
              <w:rPr>
                <w:rFonts w:hint="eastAsia"/>
                <w:kern w:val="0"/>
                <w:sz w:val="21"/>
                <w:szCs w:val="21"/>
              </w:rPr>
              <w:t>、</w:t>
            </w:r>
            <w:r w:rsidRPr="0075233C">
              <w:rPr>
                <w:kern w:val="0"/>
                <w:sz w:val="21"/>
                <w:szCs w:val="21"/>
              </w:rPr>
              <w:t>铜、铅、汞、镍</w:t>
            </w:r>
          </w:p>
        </w:tc>
        <w:tc>
          <w:tcPr>
            <w:tcW w:w="785" w:type="pct"/>
            <w:vMerge w:val="restart"/>
            <w:tcBorders>
              <w:top w:val="single" w:sz="4" w:space="0" w:color="auto"/>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补充监测</w:t>
            </w:r>
          </w:p>
        </w:tc>
        <w:tc>
          <w:tcPr>
            <w:tcW w:w="773" w:type="pct"/>
            <w:vMerge w:val="restart"/>
            <w:tcBorders>
              <w:top w:val="single" w:sz="4" w:space="0" w:color="auto"/>
              <w:left w:val="single" w:sz="4" w:space="0" w:color="auto"/>
              <w:right w:val="single" w:sz="4" w:space="0" w:color="auto"/>
            </w:tcBorders>
            <w:vAlign w:val="center"/>
          </w:tcPr>
          <w:p w:rsidR="002D12F2" w:rsidRPr="0075233C" w:rsidRDefault="002D12F2" w:rsidP="007F5CF1">
            <w:pPr>
              <w:widowControl/>
              <w:autoSpaceDE w:val="0"/>
              <w:spacing w:line="360" w:lineRule="exact"/>
              <w:ind w:firstLineChars="0" w:firstLine="0"/>
              <w:jc w:val="center"/>
              <w:textAlignment w:val="center"/>
              <w:rPr>
                <w:sz w:val="21"/>
                <w:szCs w:val="21"/>
              </w:rPr>
            </w:pPr>
            <w:r w:rsidRPr="00446A0D">
              <w:rPr>
                <w:rFonts w:hint="eastAsia"/>
                <w:sz w:val="21"/>
                <w:szCs w:val="21"/>
              </w:rPr>
              <w:t>2025.11.18</w:t>
            </w:r>
          </w:p>
        </w:tc>
        <w:tc>
          <w:tcPr>
            <w:tcW w:w="1321" w:type="pct"/>
            <w:tcBorders>
              <w:top w:val="single" w:sz="4" w:space="0" w:color="auto"/>
              <w:left w:val="single" w:sz="4" w:space="0" w:color="auto"/>
              <w:bottom w:val="single" w:sz="4" w:space="0" w:color="auto"/>
              <w:right w:val="nil"/>
            </w:tcBorders>
            <w:tcMar>
              <w:top w:w="12" w:type="dxa"/>
              <w:left w:w="12" w:type="dxa"/>
              <w:bottom w:w="0" w:type="dxa"/>
              <w:right w:w="12" w:type="dxa"/>
            </w:tcMar>
            <w:vAlign w:val="center"/>
            <w:hideMark/>
          </w:tcPr>
          <w:p w:rsidR="002D12F2" w:rsidRPr="0075233C" w:rsidRDefault="002D12F2" w:rsidP="007F5CF1">
            <w:pPr>
              <w:widowControl/>
              <w:autoSpaceDE w:val="0"/>
              <w:spacing w:line="360" w:lineRule="exact"/>
              <w:ind w:firstLineChars="0" w:firstLine="0"/>
              <w:jc w:val="center"/>
              <w:textAlignment w:val="center"/>
              <w:rPr>
                <w:sz w:val="21"/>
                <w:szCs w:val="21"/>
              </w:rPr>
            </w:pPr>
            <w:r w:rsidRPr="0075233C">
              <w:rPr>
                <w:rFonts w:hint="eastAsia"/>
                <w:sz w:val="21"/>
                <w:szCs w:val="21"/>
              </w:rPr>
              <w:t>0</w:t>
            </w:r>
            <w:r w:rsidRPr="0075233C">
              <w:rPr>
                <w:sz w:val="21"/>
                <w:szCs w:val="21"/>
              </w:rPr>
              <w:t>~0.2m</w:t>
            </w:r>
            <w:r w:rsidRPr="0075233C">
              <w:rPr>
                <w:kern w:val="0"/>
                <w:sz w:val="21"/>
                <w:szCs w:val="21"/>
              </w:rPr>
              <w:t>表层样</w:t>
            </w:r>
          </w:p>
        </w:tc>
      </w:tr>
      <w:tr w:rsidR="002D12F2" w:rsidRPr="0075233C" w:rsidTr="007F5CF1">
        <w:trPr>
          <w:trHeight w:val="23"/>
          <w:jc w:val="center"/>
        </w:trPr>
        <w:tc>
          <w:tcPr>
            <w:tcW w:w="314" w:type="pct"/>
            <w:tcBorders>
              <w:top w:val="single" w:sz="4" w:space="0" w:color="auto"/>
              <w:left w:val="nil"/>
              <w:bottom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sz w:val="21"/>
                <w:szCs w:val="21"/>
              </w:rPr>
            </w:pPr>
            <w:r w:rsidRPr="0075233C">
              <w:rPr>
                <w:kern w:val="0"/>
                <w:sz w:val="21"/>
                <w:szCs w:val="21"/>
              </w:rPr>
              <w:t>T2</w:t>
            </w:r>
          </w:p>
        </w:tc>
        <w:tc>
          <w:tcPr>
            <w:tcW w:w="707" w:type="pct"/>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现有</w:t>
            </w:r>
            <w:r w:rsidRPr="0075233C">
              <w:rPr>
                <w:kern w:val="0"/>
                <w:sz w:val="21"/>
                <w:szCs w:val="21"/>
              </w:rPr>
              <w:t>工程厂区</w:t>
            </w:r>
          </w:p>
        </w:tc>
        <w:tc>
          <w:tcPr>
            <w:tcW w:w="1100" w:type="pct"/>
            <w:vMerge w:val="restart"/>
            <w:tcBorders>
              <w:top w:val="single" w:sz="4" w:space="0" w:color="auto"/>
              <w:left w:val="single" w:sz="4" w:space="0" w:color="auto"/>
              <w:right w:val="single" w:sz="4" w:space="0" w:color="auto"/>
            </w:tcBorders>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pH</w:t>
            </w:r>
            <w:r w:rsidRPr="0075233C">
              <w:rPr>
                <w:rFonts w:hint="eastAsia"/>
                <w:kern w:val="0"/>
                <w:sz w:val="21"/>
                <w:szCs w:val="21"/>
              </w:rPr>
              <w:t>、石油烃、砷、</w:t>
            </w:r>
            <w:r w:rsidRPr="0075233C">
              <w:rPr>
                <w:kern w:val="0"/>
                <w:sz w:val="21"/>
                <w:szCs w:val="21"/>
              </w:rPr>
              <w:t>镉、铬（</w:t>
            </w:r>
            <w:r w:rsidRPr="0075233C">
              <w:rPr>
                <w:rFonts w:hint="eastAsia"/>
                <w:kern w:val="0"/>
                <w:sz w:val="21"/>
                <w:szCs w:val="21"/>
              </w:rPr>
              <w:t>六价</w:t>
            </w:r>
            <w:r w:rsidRPr="0075233C">
              <w:rPr>
                <w:kern w:val="0"/>
                <w:sz w:val="21"/>
                <w:szCs w:val="21"/>
              </w:rPr>
              <w:t>）</w:t>
            </w:r>
            <w:r w:rsidRPr="0075233C">
              <w:rPr>
                <w:rFonts w:hint="eastAsia"/>
                <w:kern w:val="0"/>
                <w:sz w:val="21"/>
                <w:szCs w:val="21"/>
              </w:rPr>
              <w:t>、</w:t>
            </w:r>
            <w:r w:rsidRPr="0075233C">
              <w:rPr>
                <w:kern w:val="0"/>
                <w:sz w:val="21"/>
                <w:szCs w:val="21"/>
              </w:rPr>
              <w:t>铜、铅、汞、镍</w:t>
            </w:r>
          </w:p>
        </w:tc>
        <w:tc>
          <w:tcPr>
            <w:tcW w:w="785" w:type="pct"/>
            <w:vMerge/>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p>
        </w:tc>
        <w:tc>
          <w:tcPr>
            <w:tcW w:w="773" w:type="pct"/>
            <w:vMerge/>
            <w:tcBorders>
              <w:left w:val="single" w:sz="4" w:space="0" w:color="auto"/>
              <w:right w:val="single" w:sz="4" w:space="0" w:color="auto"/>
            </w:tcBorders>
            <w:vAlign w:val="center"/>
          </w:tcPr>
          <w:p w:rsidR="002D12F2" w:rsidRPr="0075233C" w:rsidRDefault="002D12F2" w:rsidP="007F5CF1">
            <w:pPr>
              <w:widowControl/>
              <w:autoSpaceDE w:val="0"/>
              <w:spacing w:line="360" w:lineRule="exact"/>
              <w:ind w:firstLineChars="0" w:firstLine="0"/>
              <w:jc w:val="center"/>
              <w:textAlignment w:val="center"/>
              <w:rPr>
                <w:sz w:val="21"/>
                <w:szCs w:val="21"/>
              </w:rPr>
            </w:pPr>
          </w:p>
        </w:tc>
        <w:tc>
          <w:tcPr>
            <w:tcW w:w="1321" w:type="pct"/>
            <w:tcBorders>
              <w:top w:val="single" w:sz="4" w:space="0" w:color="auto"/>
              <w:left w:val="single" w:sz="4" w:space="0" w:color="auto"/>
              <w:bottom w:val="single" w:sz="4" w:space="0" w:color="auto"/>
              <w:right w:val="nil"/>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sz w:val="21"/>
                <w:szCs w:val="21"/>
              </w:rPr>
            </w:pPr>
            <w:r w:rsidRPr="0075233C">
              <w:rPr>
                <w:rFonts w:hint="eastAsia"/>
                <w:sz w:val="21"/>
                <w:szCs w:val="21"/>
              </w:rPr>
              <w:t>0</w:t>
            </w:r>
            <w:r w:rsidRPr="0075233C">
              <w:rPr>
                <w:sz w:val="21"/>
                <w:szCs w:val="21"/>
              </w:rPr>
              <w:t>~0.2m</w:t>
            </w:r>
            <w:r w:rsidRPr="0075233C">
              <w:rPr>
                <w:kern w:val="0"/>
                <w:sz w:val="21"/>
                <w:szCs w:val="21"/>
              </w:rPr>
              <w:t>表层样</w:t>
            </w:r>
          </w:p>
        </w:tc>
      </w:tr>
      <w:tr w:rsidR="002D12F2" w:rsidRPr="0075233C" w:rsidTr="007F5CF1">
        <w:trPr>
          <w:trHeight w:val="23"/>
          <w:jc w:val="center"/>
        </w:trPr>
        <w:tc>
          <w:tcPr>
            <w:tcW w:w="314" w:type="pct"/>
            <w:tcBorders>
              <w:top w:val="single" w:sz="4" w:space="0" w:color="auto"/>
              <w:left w:val="nil"/>
              <w:bottom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kern w:val="0"/>
                <w:sz w:val="21"/>
                <w:szCs w:val="21"/>
              </w:rPr>
              <w:t>T3</w:t>
            </w:r>
          </w:p>
        </w:tc>
        <w:tc>
          <w:tcPr>
            <w:tcW w:w="707" w:type="pct"/>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现有</w:t>
            </w:r>
            <w:r w:rsidRPr="0075233C">
              <w:rPr>
                <w:kern w:val="0"/>
                <w:sz w:val="21"/>
                <w:szCs w:val="21"/>
              </w:rPr>
              <w:t>工程厂区</w:t>
            </w:r>
          </w:p>
        </w:tc>
        <w:tc>
          <w:tcPr>
            <w:tcW w:w="1100" w:type="pct"/>
            <w:vMerge/>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p>
        </w:tc>
        <w:tc>
          <w:tcPr>
            <w:tcW w:w="785" w:type="pct"/>
            <w:vMerge/>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p>
        </w:tc>
        <w:tc>
          <w:tcPr>
            <w:tcW w:w="773" w:type="pct"/>
            <w:vMerge w:val="restart"/>
            <w:tcBorders>
              <w:left w:val="single" w:sz="4" w:space="0" w:color="auto"/>
              <w:right w:val="single" w:sz="4" w:space="0" w:color="auto"/>
            </w:tcBorders>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446A0D">
              <w:rPr>
                <w:rFonts w:hint="eastAsia"/>
                <w:sz w:val="21"/>
                <w:szCs w:val="21"/>
              </w:rPr>
              <w:t>2025.11.1</w:t>
            </w:r>
            <w:r>
              <w:rPr>
                <w:sz w:val="21"/>
                <w:szCs w:val="21"/>
              </w:rPr>
              <w:t>6</w:t>
            </w:r>
          </w:p>
        </w:tc>
        <w:tc>
          <w:tcPr>
            <w:tcW w:w="1321" w:type="pct"/>
            <w:vMerge w:val="restart"/>
            <w:tcBorders>
              <w:top w:val="single" w:sz="4" w:space="0" w:color="auto"/>
              <w:left w:val="single" w:sz="4" w:space="0" w:color="auto"/>
              <w:right w:val="nil"/>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kern w:val="0"/>
                <w:sz w:val="21"/>
                <w:szCs w:val="21"/>
              </w:rPr>
              <w:t>0~</w:t>
            </w:r>
            <w:r w:rsidRPr="0075233C">
              <w:rPr>
                <w:rFonts w:hint="eastAsia"/>
                <w:kern w:val="0"/>
                <w:sz w:val="21"/>
                <w:szCs w:val="21"/>
              </w:rPr>
              <w:t>0.</w:t>
            </w:r>
            <w:r w:rsidRPr="0075233C">
              <w:rPr>
                <w:kern w:val="0"/>
                <w:sz w:val="21"/>
                <w:szCs w:val="21"/>
              </w:rPr>
              <w:t>5</w:t>
            </w:r>
            <w:r w:rsidRPr="0075233C">
              <w:rPr>
                <w:rFonts w:hint="eastAsia"/>
                <w:kern w:val="0"/>
                <w:sz w:val="21"/>
                <w:szCs w:val="21"/>
              </w:rPr>
              <w:t>m</w:t>
            </w:r>
            <w:r w:rsidRPr="0075233C">
              <w:rPr>
                <w:rFonts w:hint="eastAsia"/>
                <w:kern w:val="0"/>
                <w:sz w:val="21"/>
                <w:szCs w:val="21"/>
              </w:rPr>
              <w:t>处柱状样</w:t>
            </w:r>
          </w:p>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kern w:val="0"/>
                <w:sz w:val="21"/>
                <w:szCs w:val="21"/>
              </w:rPr>
              <w:t>0.5~1.5</w:t>
            </w:r>
            <w:r w:rsidRPr="0075233C">
              <w:rPr>
                <w:rFonts w:hint="eastAsia"/>
                <w:kern w:val="0"/>
                <w:sz w:val="21"/>
                <w:szCs w:val="21"/>
              </w:rPr>
              <w:t>m</w:t>
            </w:r>
            <w:r w:rsidRPr="0075233C">
              <w:rPr>
                <w:rFonts w:hint="eastAsia"/>
                <w:kern w:val="0"/>
                <w:sz w:val="21"/>
                <w:szCs w:val="21"/>
              </w:rPr>
              <w:t>处柱状样</w:t>
            </w:r>
          </w:p>
          <w:p w:rsidR="002D12F2" w:rsidRPr="0075233C" w:rsidRDefault="002D12F2" w:rsidP="007F5CF1">
            <w:pPr>
              <w:autoSpaceDE w:val="0"/>
              <w:spacing w:line="360" w:lineRule="exact"/>
              <w:ind w:firstLineChars="0" w:firstLine="0"/>
              <w:jc w:val="center"/>
              <w:textAlignment w:val="center"/>
              <w:rPr>
                <w:kern w:val="0"/>
                <w:sz w:val="21"/>
                <w:szCs w:val="21"/>
              </w:rPr>
            </w:pPr>
            <w:r w:rsidRPr="0075233C">
              <w:rPr>
                <w:kern w:val="0"/>
                <w:sz w:val="21"/>
                <w:szCs w:val="21"/>
              </w:rPr>
              <w:t>1.5~3</w:t>
            </w:r>
            <w:r w:rsidRPr="0075233C">
              <w:rPr>
                <w:rFonts w:hint="eastAsia"/>
                <w:kern w:val="0"/>
                <w:sz w:val="21"/>
                <w:szCs w:val="21"/>
              </w:rPr>
              <w:t>m</w:t>
            </w:r>
            <w:r w:rsidRPr="0075233C">
              <w:rPr>
                <w:rFonts w:hint="eastAsia"/>
                <w:kern w:val="0"/>
                <w:sz w:val="21"/>
                <w:szCs w:val="21"/>
              </w:rPr>
              <w:t>处柱状样</w:t>
            </w:r>
          </w:p>
        </w:tc>
      </w:tr>
      <w:tr w:rsidR="002D12F2" w:rsidRPr="0075233C" w:rsidTr="007F5CF1">
        <w:trPr>
          <w:trHeight w:val="23"/>
          <w:jc w:val="center"/>
        </w:trPr>
        <w:tc>
          <w:tcPr>
            <w:tcW w:w="314" w:type="pct"/>
            <w:tcBorders>
              <w:top w:val="single" w:sz="4" w:space="0" w:color="auto"/>
              <w:left w:val="nil"/>
              <w:bottom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kern w:val="0"/>
                <w:sz w:val="21"/>
                <w:szCs w:val="21"/>
              </w:rPr>
              <w:t>T4</w:t>
            </w:r>
          </w:p>
        </w:tc>
        <w:tc>
          <w:tcPr>
            <w:tcW w:w="707" w:type="pct"/>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现有</w:t>
            </w:r>
            <w:r w:rsidRPr="0075233C">
              <w:rPr>
                <w:kern w:val="0"/>
                <w:sz w:val="21"/>
                <w:szCs w:val="21"/>
              </w:rPr>
              <w:t>工程厂区</w:t>
            </w:r>
          </w:p>
        </w:tc>
        <w:tc>
          <w:tcPr>
            <w:tcW w:w="1100" w:type="pct"/>
            <w:vMerge/>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p>
        </w:tc>
        <w:tc>
          <w:tcPr>
            <w:tcW w:w="785" w:type="pct"/>
            <w:vMerge/>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p>
        </w:tc>
        <w:tc>
          <w:tcPr>
            <w:tcW w:w="773" w:type="pct"/>
            <w:vMerge/>
            <w:tcBorders>
              <w:left w:val="single" w:sz="4" w:space="0" w:color="auto"/>
              <w:right w:val="single" w:sz="4" w:space="0" w:color="auto"/>
            </w:tcBorders>
            <w:vAlign w:val="center"/>
          </w:tcPr>
          <w:p w:rsidR="002D12F2" w:rsidRPr="0075233C" w:rsidRDefault="002D12F2" w:rsidP="007F5CF1">
            <w:pPr>
              <w:autoSpaceDE w:val="0"/>
              <w:spacing w:line="360" w:lineRule="exact"/>
              <w:ind w:firstLineChars="0" w:firstLine="0"/>
              <w:jc w:val="center"/>
              <w:textAlignment w:val="center"/>
              <w:rPr>
                <w:kern w:val="0"/>
                <w:sz w:val="21"/>
                <w:szCs w:val="21"/>
              </w:rPr>
            </w:pPr>
          </w:p>
        </w:tc>
        <w:tc>
          <w:tcPr>
            <w:tcW w:w="1321" w:type="pct"/>
            <w:vMerge/>
            <w:tcBorders>
              <w:left w:val="single" w:sz="4" w:space="0" w:color="auto"/>
              <w:right w:val="nil"/>
            </w:tcBorders>
            <w:tcMar>
              <w:top w:w="12" w:type="dxa"/>
              <w:left w:w="12" w:type="dxa"/>
              <w:bottom w:w="0" w:type="dxa"/>
              <w:right w:w="12" w:type="dxa"/>
            </w:tcMar>
            <w:vAlign w:val="center"/>
          </w:tcPr>
          <w:p w:rsidR="002D12F2" w:rsidRPr="0075233C" w:rsidRDefault="002D12F2" w:rsidP="007F5CF1">
            <w:pPr>
              <w:autoSpaceDE w:val="0"/>
              <w:spacing w:line="360" w:lineRule="exact"/>
              <w:ind w:firstLineChars="0" w:firstLine="0"/>
              <w:jc w:val="center"/>
              <w:textAlignment w:val="center"/>
              <w:rPr>
                <w:kern w:val="0"/>
                <w:sz w:val="21"/>
                <w:szCs w:val="21"/>
              </w:rPr>
            </w:pPr>
          </w:p>
        </w:tc>
      </w:tr>
      <w:tr w:rsidR="002D12F2" w:rsidRPr="0075233C" w:rsidTr="007F5CF1">
        <w:trPr>
          <w:trHeight w:val="23"/>
          <w:jc w:val="center"/>
        </w:trPr>
        <w:tc>
          <w:tcPr>
            <w:tcW w:w="314" w:type="pct"/>
            <w:tcBorders>
              <w:top w:val="single" w:sz="4" w:space="0" w:color="auto"/>
              <w:left w:val="nil"/>
              <w:bottom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kern w:val="0"/>
                <w:sz w:val="21"/>
                <w:szCs w:val="21"/>
              </w:rPr>
              <w:t>T5</w:t>
            </w:r>
          </w:p>
        </w:tc>
        <w:tc>
          <w:tcPr>
            <w:tcW w:w="707" w:type="pct"/>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中间</w:t>
            </w:r>
            <w:r w:rsidRPr="0075233C">
              <w:rPr>
                <w:kern w:val="0"/>
                <w:sz w:val="21"/>
                <w:szCs w:val="21"/>
              </w:rPr>
              <w:t>罐区</w:t>
            </w:r>
          </w:p>
        </w:tc>
        <w:tc>
          <w:tcPr>
            <w:tcW w:w="1100" w:type="pct"/>
            <w:vMerge/>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p>
        </w:tc>
        <w:tc>
          <w:tcPr>
            <w:tcW w:w="785" w:type="pct"/>
            <w:vMerge/>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p>
        </w:tc>
        <w:tc>
          <w:tcPr>
            <w:tcW w:w="773" w:type="pct"/>
            <w:vMerge/>
            <w:tcBorders>
              <w:left w:val="single" w:sz="4" w:space="0" w:color="auto"/>
              <w:right w:val="single" w:sz="4" w:space="0" w:color="auto"/>
            </w:tcBorders>
            <w:vAlign w:val="center"/>
          </w:tcPr>
          <w:p w:rsidR="002D12F2" w:rsidRPr="0075233C" w:rsidRDefault="002D12F2" w:rsidP="007F5CF1">
            <w:pPr>
              <w:autoSpaceDE w:val="0"/>
              <w:spacing w:line="360" w:lineRule="exact"/>
              <w:ind w:firstLineChars="0" w:firstLine="0"/>
              <w:jc w:val="center"/>
              <w:textAlignment w:val="center"/>
              <w:rPr>
                <w:kern w:val="0"/>
                <w:sz w:val="21"/>
                <w:szCs w:val="21"/>
              </w:rPr>
            </w:pPr>
          </w:p>
        </w:tc>
        <w:tc>
          <w:tcPr>
            <w:tcW w:w="1321" w:type="pct"/>
            <w:vMerge/>
            <w:tcBorders>
              <w:left w:val="single" w:sz="4" w:space="0" w:color="auto"/>
              <w:right w:val="nil"/>
            </w:tcBorders>
            <w:tcMar>
              <w:top w:w="12" w:type="dxa"/>
              <w:left w:w="12" w:type="dxa"/>
              <w:bottom w:w="0" w:type="dxa"/>
              <w:right w:w="12" w:type="dxa"/>
            </w:tcMar>
            <w:vAlign w:val="center"/>
          </w:tcPr>
          <w:p w:rsidR="002D12F2" w:rsidRPr="0075233C" w:rsidRDefault="002D12F2" w:rsidP="007F5CF1">
            <w:pPr>
              <w:autoSpaceDE w:val="0"/>
              <w:spacing w:line="360" w:lineRule="exact"/>
              <w:ind w:firstLineChars="0" w:firstLine="0"/>
              <w:jc w:val="center"/>
              <w:textAlignment w:val="center"/>
              <w:rPr>
                <w:kern w:val="0"/>
                <w:sz w:val="21"/>
                <w:szCs w:val="21"/>
              </w:rPr>
            </w:pPr>
          </w:p>
        </w:tc>
      </w:tr>
      <w:tr w:rsidR="002D12F2" w:rsidRPr="0075233C" w:rsidTr="007F5CF1">
        <w:trPr>
          <w:trHeight w:val="23"/>
          <w:jc w:val="center"/>
        </w:trPr>
        <w:tc>
          <w:tcPr>
            <w:tcW w:w="314" w:type="pct"/>
            <w:tcBorders>
              <w:top w:val="single" w:sz="4" w:space="0" w:color="auto"/>
              <w:left w:val="nil"/>
              <w:bottom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kern w:val="0"/>
                <w:sz w:val="21"/>
                <w:szCs w:val="21"/>
              </w:rPr>
              <w:t>T6</w:t>
            </w:r>
          </w:p>
        </w:tc>
        <w:tc>
          <w:tcPr>
            <w:tcW w:w="707" w:type="pct"/>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罐区</w:t>
            </w:r>
          </w:p>
        </w:tc>
        <w:tc>
          <w:tcPr>
            <w:tcW w:w="1100" w:type="pct"/>
            <w:vMerge w:val="restart"/>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pH</w:t>
            </w:r>
            <w:r w:rsidRPr="0075233C">
              <w:rPr>
                <w:rFonts w:hint="eastAsia"/>
                <w:kern w:val="0"/>
                <w:sz w:val="21"/>
                <w:szCs w:val="21"/>
              </w:rPr>
              <w:t>、石油烃、</w:t>
            </w:r>
            <w:r w:rsidRPr="0075233C">
              <w:rPr>
                <w:kern w:val="0"/>
                <w:sz w:val="21"/>
                <w:szCs w:val="21"/>
              </w:rPr>
              <w:t>45</w:t>
            </w:r>
            <w:r w:rsidRPr="0075233C">
              <w:rPr>
                <w:kern w:val="0"/>
                <w:sz w:val="21"/>
                <w:szCs w:val="21"/>
              </w:rPr>
              <w:t>项</w:t>
            </w:r>
          </w:p>
        </w:tc>
        <w:tc>
          <w:tcPr>
            <w:tcW w:w="785" w:type="pct"/>
            <w:vMerge/>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p>
        </w:tc>
        <w:tc>
          <w:tcPr>
            <w:tcW w:w="773" w:type="pct"/>
            <w:vMerge/>
            <w:tcBorders>
              <w:left w:val="single" w:sz="4" w:space="0" w:color="auto"/>
              <w:right w:val="single" w:sz="4" w:space="0" w:color="auto"/>
            </w:tcBorders>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p>
        </w:tc>
        <w:tc>
          <w:tcPr>
            <w:tcW w:w="1321" w:type="pct"/>
            <w:vMerge/>
            <w:tcBorders>
              <w:left w:val="single" w:sz="4" w:space="0" w:color="auto"/>
              <w:bottom w:val="single" w:sz="4" w:space="0" w:color="auto"/>
              <w:right w:val="nil"/>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p>
        </w:tc>
      </w:tr>
      <w:tr w:rsidR="002D12F2" w:rsidRPr="0075233C" w:rsidTr="007F5CF1">
        <w:trPr>
          <w:trHeight w:val="23"/>
          <w:jc w:val="center"/>
        </w:trPr>
        <w:tc>
          <w:tcPr>
            <w:tcW w:w="314" w:type="pct"/>
            <w:tcBorders>
              <w:top w:val="single" w:sz="4" w:space="0" w:color="auto"/>
              <w:left w:val="nil"/>
              <w:bottom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kern w:val="0"/>
                <w:sz w:val="21"/>
                <w:szCs w:val="21"/>
              </w:rPr>
              <w:t>T7</w:t>
            </w:r>
          </w:p>
        </w:tc>
        <w:tc>
          <w:tcPr>
            <w:tcW w:w="707" w:type="pct"/>
            <w:tcBorders>
              <w:left w:val="single" w:sz="4" w:space="0" w:color="auto"/>
              <w:bottom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污水</w:t>
            </w:r>
            <w:r w:rsidRPr="0075233C">
              <w:rPr>
                <w:kern w:val="0"/>
                <w:sz w:val="21"/>
                <w:szCs w:val="21"/>
              </w:rPr>
              <w:t>处理站</w:t>
            </w:r>
          </w:p>
        </w:tc>
        <w:tc>
          <w:tcPr>
            <w:tcW w:w="1100" w:type="pct"/>
            <w:vMerge/>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p>
        </w:tc>
        <w:tc>
          <w:tcPr>
            <w:tcW w:w="785" w:type="pct"/>
            <w:vMerge/>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p>
        </w:tc>
        <w:tc>
          <w:tcPr>
            <w:tcW w:w="773" w:type="pct"/>
            <w:vMerge/>
            <w:tcBorders>
              <w:left w:val="single" w:sz="4" w:space="0" w:color="auto"/>
              <w:right w:val="single" w:sz="4" w:space="0" w:color="auto"/>
            </w:tcBorders>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p>
        </w:tc>
        <w:tc>
          <w:tcPr>
            <w:tcW w:w="1321" w:type="pct"/>
            <w:tcBorders>
              <w:top w:val="single" w:sz="4" w:space="0" w:color="auto"/>
              <w:left w:val="single" w:sz="4" w:space="0" w:color="auto"/>
              <w:bottom w:val="single" w:sz="4" w:space="0" w:color="auto"/>
              <w:right w:val="nil"/>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kern w:val="0"/>
                <w:sz w:val="21"/>
                <w:szCs w:val="21"/>
              </w:rPr>
              <w:t>0~</w:t>
            </w:r>
            <w:r w:rsidRPr="0075233C">
              <w:rPr>
                <w:rFonts w:hint="eastAsia"/>
                <w:kern w:val="0"/>
                <w:sz w:val="21"/>
                <w:szCs w:val="21"/>
              </w:rPr>
              <w:t>0.</w:t>
            </w:r>
            <w:r w:rsidRPr="0075233C">
              <w:rPr>
                <w:kern w:val="0"/>
                <w:sz w:val="21"/>
                <w:szCs w:val="21"/>
              </w:rPr>
              <w:t>5</w:t>
            </w:r>
            <w:r w:rsidRPr="0075233C">
              <w:rPr>
                <w:rFonts w:hint="eastAsia"/>
                <w:kern w:val="0"/>
                <w:sz w:val="21"/>
                <w:szCs w:val="21"/>
              </w:rPr>
              <w:t>m</w:t>
            </w:r>
            <w:r w:rsidRPr="0075233C">
              <w:rPr>
                <w:rFonts w:hint="eastAsia"/>
                <w:kern w:val="0"/>
                <w:sz w:val="21"/>
                <w:szCs w:val="21"/>
              </w:rPr>
              <w:t>处柱状样</w:t>
            </w:r>
          </w:p>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kern w:val="0"/>
                <w:sz w:val="21"/>
                <w:szCs w:val="21"/>
              </w:rPr>
              <w:t>0.5~1.5</w:t>
            </w:r>
            <w:r w:rsidRPr="0075233C">
              <w:rPr>
                <w:rFonts w:hint="eastAsia"/>
                <w:kern w:val="0"/>
                <w:sz w:val="21"/>
                <w:szCs w:val="21"/>
              </w:rPr>
              <w:t>m</w:t>
            </w:r>
            <w:r w:rsidRPr="0075233C">
              <w:rPr>
                <w:rFonts w:hint="eastAsia"/>
                <w:kern w:val="0"/>
                <w:sz w:val="21"/>
                <w:szCs w:val="21"/>
              </w:rPr>
              <w:t>处柱状样</w:t>
            </w:r>
          </w:p>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kern w:val="0"/>
                <w:sz w:val="21"/>
                <w:szCs w:val="21"/>
              </w:rPr>
              <w:t>1.5~4.5</w:t>
            </w:r>
            <w:r w:rsidRPr="0075233C">
              <w:rPr>
                <w:rFonts w:hint="eastAsia"/>
                <w:kern w:val="0"/>
                <w:sz w:val="21"/>
                <w:szCs w:val="21"/>
              </w:rPr>
              <w:t>m</w:t>
            </w:r>
            <w:r w:rsidRPr="0075233C">
              <w:rPr>
                <w:rFonts w:hint="eastAsia"/>
                <w:kern w:val="0"/>
                <w:sz w:val="21"/>
                <w:szCs w:val="21"/>
              </w:rPr>
              <w:t>处柱状样</w:t>
            </w:r>
          </w:p>
        </w:tc>
      </w:tr>
      <w:tr w:rsidR="002D12F2" w:rsidRPr="0075233C" w:rsidTr="007F5CF1">
        <w:trPr>
          <w:trHeight w:val="23"/>
          <w:jc w:val="center"/>
        </w:trPr>
        <w:tc>
          <w:tcPr>
            <w:tcW w:w="314" w:type="pct"/>
            <w:tcBorders>
              <w:top w:val="single" w:sz="4" w:space="0" w:color="auto"/>
              <w:left w:val="nil"/>
              <w:bottom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kern w:val="0"/>
                <w:sz w:val="21"/>
                <w:szCs w:val="21"/>
              </w:rPr>
              <w:t>T8</w:t>
            </w:r>
          </w:p>
        </w:tc>
        <w:tc>
          <w:tcPr>
            <w:tcW w:w="707" w:type="pct"/>
            <w:tcBorders>
              <w:top w:val="single" w:sz="4" w:space="0" w:color="auto"/>
              <w:left w:val="single" w:sz="4" w:space="0" w:color="auto"/>
              <w:bottom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南侧八一化工</w:t>
            </w:r>
            <w:r w:rsidRPr="0075233C">
              <w:rPr>
                <w:kern w:val="0"/>
                <w:sz w:val="21"/>
                <w:szCs w:val="21"/>
              </w:rPr>
              <w:t>厂区</w:t>
            </w:r>
          </w:p>
        </w:tc>
        <w:tc>
          <w:tcPr>
            <w:tcW w:w="1100" w:type="pct"/>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pH</w:t>
            </w:r>
            <w:r w:rsidRPr="0075233C">
              <w:rPr>
                <w:rFonts w:hint="eastAsia"/>
                <w:kern w:val="0"/>
                <w:sz w:val="21"/>
                <w:szCs w:val="21"/>
              </w:rPr>
              <w:t>、石油烃、砷、</w:t>
            </w:r>
            <w:r w:rsidRPr="0075233C">
              <w:rPr>
                <w:kern w:val="0"/>
                <w:sz w:val="21"/>
                <w:szCs w:val="21"/>
              </w:rPr>
              <w:t>镉、铬（</w:t>
            </w:r>
            <w:r w:rsidRPr="0075233C">
              <w:rPr>
                <w:rFonts w:hint="eastAsia"/>
                <w:kern w:val="0"/>
                <w:sz w:val="21"/>
                <w:szCs w:val="21"/>
              </w:rPr>
              <w:t>六价</w:t>
            </w:r>
            <w:r w:rsidRPr="0075233C">
              <w:rPr>
                <w:kern w:val="0"/>
                <w:sz w:val="21"/>
                <w:szCs w:val="21"/>
              </w:rPr>
              <w:t>）</w:t>
            </w:r>
            <w:r w:rsidRPr="0075233C">
              <w:rPr>
                <w:rFonts w:hint="eastAsia"/>
                <w:kern w:val="0"/>
                <w:sz w:val="21"/>
                <w:szCs w:val="21"/>
              </w:rPr>
              <w:t>、</w:t>
            </w:r>
            <w:r w:rsidRPr="0075233C">
              <w:rPr>
                <w:kern w:val="0"/>
                <w:sz w:val="21"/>
                <w:szCs w:val="21"/>
              </w:rPr>
              <w:t>铜、铅、汞、镍</w:t>
            </w:r>
          </w:p>
        </w:tc>
        <w:tc>
          <w:tcPr>
            <w:tcW w:w="785" w:type="pct"/>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color w:val="FF0000"/>
                <w:kern w:val="0"/>
                <w:sz w:val="21"/>
                <w:szCs w:val="21"/>
              </w:rPr>
            </w:pPr>
            <w:r w:rsidRPr="0075233C">
              <w:rPr>
                <w:rFonts w:hint="eastAsia"/>
                <w:kern w:val="0"/>
                <w:sz w:val="21"/>
                <w:szCs w:val="21"/>
              </w:rPr>
              <w:t>引用</w:t>
            </w:r>
            <w:r w:rsidRPr="0075233C">
              <w:rPr>
                <w:bCs/>
                <w:kern w:val="0"/>
                <w:sz w:val="21"/>
                <w:szCs w:val="21"/>
              </w:rPr>
              <w:t>危险废物资源循环利用</w:t>
            </w:r>
            <w:r w:rsidRPr="0075233C">
              <w:rPr>
                <w:rFonts w:hint="eastAsia"/>
                <w:bCs/>
                <w:kern w:val="0"/>
                <w:sz w:val="21"/>
                <w:szCs w:val="21"/>
              </w:rPr>
              <w:t>项目</w:t>
            </w:r>
            <w:r>
              <w:rPr>
                <w:rFonts w:hint="eastAsia"/>
                <w:bCs/>
                <w:kern w:val="0"/>
                <w:sz w:val="21"/>
                <w:szCs w:val="21"/>
              </w:rPr>
              <w:t>现状监测报告</w:t>
            </w:r>
          </w:p>
        </w:tc>
        <w:tc>
          <w:tcPr>
            <w:tcW w:w="773" w:type="pct"/>
            <w:vMerge w:val="restart"/>
            <w:tcBorders>
              <w:left w:val="single" w:sz="4" w:space="0" w:color="auto"/>
              <w:right w:val="single" w:sz="4" w:space="0" w:color="auto"/>
            </w:tcBorders>
            <w:vAlign w:val="center"/>
          </w:tcPr>
          <w:p w:rsidR="002D12F2" w:rsidRPr="00446A0D" w:rsidRDefault="002D12F2" w:rsidP="007F5CF1">
            <w:pPr>
              <w:widowControl/>
              <w:autoSpaceDE w:val="0"/>
              <w:spacing w:line="360" w:lineRule="exact"/>
              <w:ind w:firstLineChars="0" w:firstLine="0"/>
              <w:jc w:val="center"/>
              <w:textAlignment w:val="center"/>
              <w:rPr>
                <w:sz w:val="21"/>
                <w:szCs w:val="21"/>
              </w:rPr>
            </w:pPr>
            <w:r w:rsidRPr="00446A0D">
              <w:rPr>
                <w:rFonts w:hint="eastAsia"/>
                <w:sz w:val="21"/>
                <w:szCs w:val="21"/>
              </w:rPr>
              <w:t>2025.11.18</w:t>
            </w:r>
          </w:p>
        </w:tc>
        <w:tc>
          <w:tcPr>
            <w:tcW w:w="1321" w:type="pct"/>
            <w:tcBorders>
              <w:top w:val="single" w:sz="4" w:space="0" w:color="auto"/>
              <w:left w:val="single" w:sz="4" w:space="0" w:color="auto"/>
              <w:bottom w:val="single" w:sz="4" w:space="0" w:color="auto"/>
              <w:right w:val="nil"/>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sz w:val="21"/>
                <w:szCs w:val="21"/>
              </w:rPr>
              <w:t>0</w:t>
            </w:r>
            <w:r w:rsidRPr="0075233C">
              <w:rPr>
                <w:sz w:val="21"/>
                <w:szCs w:val="21"/>
              </w:rPr>
              <w:t>~0.2m</w:t>
            </w:r>
            <w:r w:rsidRPr="0075233C">
              <w:rPr>
                <w:kern w:val="0"/>
                <w:sz w:val="21"/>
                <w:szCs w:val="21"/>
              </w:rPr>
              <w:t>表层样</w:t>
            </w:r>
          </w:p>
        </w:tc>
      </w:tr>
      <w:tr w:rsidR="002D12F2" w:rsidRPr="0075233C" w:rsidTr="007F5CF1">
        <w:trPr>
          <w:trHeight w:val="23"/>
          <w:jc w:val="center"/>
        </w:trPr>
        <w:tc>
          <w:tcPr>
            <w:tcW w:w="314" w:type="pct"/>
            <w:tcBorders>
              <w:top w:val="single" w:sz="4" w:space="0" w:color="auto"/>
              <w:left w:val="nil"/>
              <w:bottom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kern w:val="0"/>
                <w:sz w:val="21"/>
                <w:szCs w:val="21"/>
              </w:rPr>
              <w:t>T9</w:t>
            </w:r>
          </w:p>
        </w:tc>
        <w:tc>
          <w:tcPr>
            <w:tcW w:w="707" w:type="pct"/>
            <w:tcBorders>
              <w:top w:val="single" w:sz="4" w:space="0" w:color="auto"/>
              <w:left w:val="single" w:sz="4" w:space="0" w:color="auto"/>
              <w:bottom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东侧空地</w:t>
            </w:r>
          </w:p>
        </w:tc>
        <w:tc>
          <w:tcPr>
            <w:tcW w:w="1100" w:type="pct"/>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pH</w:t>
            </w:r>
            <w:r w:rsidRPr="0075233C">
              <w:rPr>
                <w:rFonts w:hint="eastAsia"/>
                <w:kern w:val="0"/>
                <w:sz w:val="21"/>
                <w:szCs w:val="21"/>
              </w:rPr>
              <w:t>、石油烃、砷、</w:t>
            </w:r>
            <w:r w:rsidRPr="0075233C">
              <w:rPr>
                <w:kern w:val="0"/>
                <w:sz w:val="21"/>
                <w:szCs w:val="21"/>
              </w:rPr>
              <w:t>镉、铬（</w:t>
            </w:r>
            <w:r w:rsidRPr="0075233C">
              <w:rPr>
                <w:rFonts w:hint="eastAsia"/>
                <w:kern w:val="0"/>
                <w:sz w:val="21"/>
                <w:szCs w:val="21"/>
              </w:rPr>
              <w:t>六价</w:t>
            </w:r>
            <w:r w:rsidRPr="0075233C">
              <w:rPr>
                <w:kern w:val="0"/>
                <w:sz w:val="21"/>
                <w:szCs w:val="21"/>
              </w:rPr>
              <w:t>）</w:t>
            </w:r>
            <w:r w:rsidRPr="0075233C">
              <w:rPr>
                <w:rFonts w:hint="eastAsia"/>
                <w:kern w:val="0"/>
                <w:sz w:val="21"/>
                <w:szCs w:val="21"/>
              </w:rPr>
              <w:t>、</w:t>
            </w:r>
            <w:r w:rsidRPr="0075233C">
              <w:rPr>
                <w:kern w:val="0"/>
                <w:sz w:val="21"/>
                <w:szCs w:val="21"/>
              </w:rPr>
              <w:t>铜、铅、汞、镍</w:t>
            </w:r>
          </w:p>
        </w:tc>
        <w:tc>
          <w:tcPr>
            <w:tcW w:w="785" w:type="pct"/>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补充监测</w:t>
            </w:r>
          </w:p>
        </w:tc>
        <w:tc>
          <w:tcPr>
            <w:tcW w:w="773" w:type="pct"/>
            <w:vMerge/>
            <w:tcBorders>
              <w:left w:val="single" w:sz="4" w:space="0" w:color="auto"/>
              <w:right w:val="single" w:sz="4" w:space="0" w:color="auto"/>
            </w:tcBorders>
            <w:vAlign w:val="center"/>
          </w:tcPr>
          <w:p w:rsidR="002D12F2" w:rsidRPr="0075233C" w:rsidRDefault="002D12F2" w:rsidP="007F5CF1">
            <w:pPr>
              <w:widowControl/>
              <w:autoSpaceDE w:val="0"/>
              <w:spacing w:line="360" w:lineRule="exact"/>
              <w:ind w:firstLineChars="0" w:firstLine="0"/>
              <w:jc w:val="center"/>
              <w:textAlignment w:val="center"/>
              <w:rPr>
                <w:sz w:val="21"/>
                <w:szCs w:val="21"/>
              </w:rPr>
            </w:pPr>
          </w:p>
        </w:tc>
        <w:tc>
          <w:tcPr>
            <w:tcW w:w="1321" w:type="pct"/>
            <w:tcBorders>
              <w:top w:val="single" w:sz="4" w:space="0" w:color="auto"/>
              <w:left w:val="single" w:sz="4" w:space="0" w:color="auto"/>
              <w:bottom w:val="single" w:sz="4" w:space="0" w:color="auto"/>
              <w:right w:val="nil"/>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sz w:val="21"/>
                <w:szCs w:val="21"/>
              </w:rPr>
              <w:t>0</w:t>
            </w:r>
            <w:r w:rsidRPr="0075233C">
              <w:rPr>
                <w:sz w:val="21"/>
                <w:szCs w:val="21"/>
              </w:rPr>
              <w:t>~0.2m</w:t>
            </w:r>
            <w:r w:rsidRPr="0075233C">
              <w:rPr>
                <w:kern w:val="0"/>
                <w:sz w:val="21"/>
                <w:szCs w:val="21"/>
              </w:rPr>
              <w:t>表层样</w:t>
            </w:r>
          </w:p>
        </w:tc>
      </w:tr>
      <w:tr w:rsidR="002D12F2" w:rsidRPr="0075233C" w:rsidTr="007F5CF1">
        <w:trPr>
          <w:trHeight w:val="23"/>
          <w:jc w:val="center"/>
        </w:trPr>
        <w:tc>
          <w:tcPr>
            <w:tcW w:w="314" w:type="pct"/>
            <w:tcBorders>
              <w:top w:val="single" w:sz="4" w:space="0" w:color="auto"/>
              <w:left w:val="nil"/>
              <w:bottom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kern w:val="0"/>
                <w:sz w:val="21"/>
                <w:szCs w:val="21"/>
              </w:rPr>
              <w:lastRenderedPageBreak/>
              <w:t>T10</w:t>
            </w:r>
          </w:p>
        </w:tc>
        <w:tc>
          <w:tcPr>
            <w:tcW w:w="707" w:type="pct"/>
            <w:tcBorders>
              <w:top w:val="single" w:sz="4" w:space="0" w:color="auto"/>
              <w:left w:val="single" w:sz="4" w:space="0" w:color="auto"/>
              <w:bottom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西侧空地</w:t>
            </w:r>
          </w:p>
        </w:tc>
        <w:tc>
          <w:tcPr>
            <w:tcW w:w="1100" w:type="pct"/>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pH</w:t>
            </w:r>
            <w:r w:rsidRPr="0075233C">
              <w:rPr>
                <w:rFonts w:hint="eastAsia"/>
                <w:kern w:val="0"/>
                <w:sz w:val="21"/>
                <w:szCs w:val="21"/>
              </w:rPr>
              <w:t>、石油烃、砷、</w:t>
            </w:r>
            <w:r w:rsidRPr="0075233C">
              <w:rPr>
                <w:kern w:val="0"/>
                <w:sz w:val="21"/>
                <w:szCs w:val="21"/>
              </w:rPr>
              <w:t>镉、铬（</w:t>
            </w:r>
            <w:r w:rsidRPr="0075233C">
              <w:rPr>
                <w:rFonts w:hint="eastAsia"/>
                <w:kern w:val="0"/>
                <w:sz w:val="21"/>
                <w:szCs w:val="21"/>
              </w:rPr>
              <w:t>六价</w:t>
            </w:r>
            <w:r w:rsidRPr="0075233C">
              <w:rPr>
                <w:kern w:val="0"/>
                <w:sz w:val="21"/>
                <w:szCs w:val="21"/>
              </w:rPr>
              <w:t>）</w:t>
            </w:r>
            <w:r w:rsidRPr="0075233C">
              <w:rPr>
                <w:rFonts w:hint="eastAsia"/>
                <w:kern w:val="0"/>
                <w:sz w:val="21"/>
                <w:szCs w:val="21"/>
              </w:rPr>
              <w:t>、</w:t>
            </w:r>
            <w:r w:rsidRPr="0075233C">
              <w:rPr>
                <w:kern w:val="0"/>
                <w:sz w:val="21"/>
                <w:szCs w:val="21"/>
              </w:rPr>
              <w:t>铜、铅、汞、镍</w:t>
            </w:r>
          </w:p>
        </w:tc>
        <w:tc>
          <w:tcPr>
            <w:tcW w:w="785" w:type="pct"/>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补充监测</w:t>
            </w:r>
          </w:p>
        </w:tc>
        <w:tc>
          <w:tcPr>
            <w:tcW w:w="773" w:type="pct"/>
            <w:vMerge/>
            <w:tcBorders>
              <w:left w:val="single" w:sz="4" w:space="0" w:color="auto"/>
              <w:right w:val="single" w:sz="4" w:space="0" w:color="auto"/>
            </w:tcBorders>
            <w:vAlign w:val="center"/>
          </w:tcPr>
          <w:p w:rsidR="002D12F2" w:rsidRPr="0075233C" w:rsidRDefault="002D12F2" w:rsidP="007F5CF1">
            <w:pPr>
              <w:widowControl/>
              <w:autoSpaceDE w:val="0"/>
              <w:spacing w:line="360" w:lineRule="exact"/>
              <w:ind w:firstLineChars="0" w:firstLine="0"/>
              <w:jc w:val="center"/>
              <w:textAlignment w:val="center"/>
              <w:rPr>
                <w:sz w:val="21"/>
                <w:szCs w:val="21"/>
              </w:rPr>
            </w:pPr>
          </w:p>
        </w:tc>
        <w:tc>
          <w:tcPr>
            <w:tcW w:w="1321" w:type="pct"/>
            <w:tcBorders>
              <w:top w:val="single" w:sz="4" w:space="0" w:color="auto"/>
              <w:left w:val="single" w:sz="4" w:space="0" w:color="auto"/>
              <w:bottom w:val="single" w:sz="4" w:space="0" w:color="auto"/>
              <w:right w:val="nil"/>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sz w:val="21"/>
                <w:szCs w:val="21"/>
              </w:rPr>
              <w:t>0</w:t>
            </w:r>
            <w:r w:rsidRPr="0075233C">
              <w:rPr>
                <w:sz w:val="21"/>
                <w:szCs w:val="21"/>
              </w:rPr>
              <w:t>~0.2m</w:t>
            </w:r>
            <w:r w:rsidRPr="0075233C">
              <w:rPr>
                <w:kern w:val="0"/>
                <w:sz w:val="21"/>
                <w:szCs w:val="21"/>
              </w:rPr>
              <w:t>表层样</w:t>
            </w:r>
          </w:p>
        </w:tc>
      </w:tr>
      <w:tr w:rsidR="002D12F2" w:rsidRPr="0075233C" w:rsidTr="007F5CF1">
        <w:trPr>
          <w:trHeight w:val="23"/>
          <w:jc w:val="center"/>
        </w:trPr>
        <w:tc>
          <w:tcPr>
            <w:tcW w:w="314" w:type="pct"/>
            <w:tcBorders>
              <w:top w:val="single" w:sz="4" w:space="0" w:color="auto"/>
              <w:left w:val="nil"/>
              <w:bottom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kern w:val="0"/>
                <w:sz w:val="21"/>
                <w:szCs w:val="21"/>
              </w:rPr>
              <w:t>T11</w:t>
            </w:r>
          </w:p>
        </w:tc>
        <w:tc>
          <w:tcPr>
            <w:tcW w:w="707" w:type="pct"/>
            <w:tcBorders>
              <w:top w:val="single" w:sz="4" w:space="0" w:color="auto"/>
              <w:left w:val="single" w:sz="4" w:space="0" w:color="auto"/>
              <w:bottom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北侧农用地</w:t>
            </w:r>
          </w:p>
        </w:tc>
        <w:tc>
          <w:tcPr>
            <w:tcW w:w="1100" w:type="pct"/>
            <w:tcBorders>
              <w:left w:val="single" w:sz="4" w:space="0" w:color="auto"/>
              <w:bottom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kern w:val="0"/>
                <w:sz w:val="21"/>
                <w:szCs w:val="21"/>
              </w:rPr>
              <w:t>pH</w:t>
            </w:r>
            <w:r w:rsidRPr="0075233C">
              <w:rPr>
                <w:rFonts w:hint="eastAsia"/>
                <w:kern w:val="0"/>
                <w:sz w:val="21"/>
                <w:szCs w:val="21"/>
              </w:rPr>
              <w:t>、镉、汞、砷、铅、铬、铜、镍、锌</w:t>
            </w:r>
          </w:p>
        </w:tc>
        <w:tc>
          <w:tcPr>
            <w:tcW w:w="785" w:type="pct"/>
            <w:tcBorders>
              <w:left w:val="single" w:sz="4" w:space="0" w:color="auto"/>
              <w:right w:val="single" w:sz="4" w:space="0" w:color="auto"/>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kern w:val="0"/>
                <w:sz w:val="21"/>
                <w:szCs w:val="21"/>
              </w:rPr>
              <w:t>补充监测</w:t>
            </w:r>
          </w:p>
        </w:tc>
        <w:tc>
          <w:tcPr>
            <w:tcW w:w="773" w:type="pct"/>
            <w:vMerge/>
            <w:tcBorders>
              <w:left w:val="single" w:sz="4" w:space="0" w:color="auto"/>
              <w:right w:val="single" w:sz="4" w:space="0" w:color="auto"/>
            </w:tcBorders>
            <w:vAlign w:val="center"/>
          </w:tcPr>
          <w:p w:rsidR="002D12F2" w:rsidRPr="0075233C" w:rsidRDefault="002D12F2" w:rsidP="007F5CF1">
            <w:pPr>
              <w:widowControl/>
              <w:autoSpaceDE w:val="0"/>
              <w:spacing w:line="360" w:lineRule="exact"/>
              <w:ind w:firstLineChars="0" w:firstLine="0"/>
              <w:jc w:val="center"/>
              <w:textAlignment w:val="center"/>
              <w:rPr>
                <w:sz w:val="21"/>
                <w:szCs w:val="21"/>
              </w:rPr>
            </w:pPr>
          </w:p>
        </w:tc>
        <w:tc>
          <w:tcPr>
            <w:tcW w:w="1321" w:type="pct"/>
            <w:tcBorders>
              <w:top w:val="single" w:sz="4" w:space="0" w:color="auto"/>
              <w:left w:val="single" w:sz="4" w:space="0" w:color="auto"/>
              <w:bottom w:val="single" w:sz="4" w:space="0" w:color="auto"/>
              <w:right w:val="nil"/>
            </w:tcBorders>
            <w:tcMar>
              <w:top w:w="12" w:type="dxa"/>
              <w:left w:w="12" w:type="dxa"/>
              <w:bottom w:w="0" w:type="dxa"/>
              <w:right w:w="12" w:type="dxa"/>
            </w:tcMar>
            <w:vAlign w:val="center"/>
          </w:tcPr>
          <w:p w:rsidR="002D12F2" w:rsidRPr="0075233C" w:rsidRDefault="002D12F2" w:rsidP="007F5CF1">
            <w:pPr>
              <w:widowControl/>
              <w:autoSpaceDE w:val="0"/>
              <w:spacing w:line="360" w:lineRule="exact"/>
              <w:ind w:firstLineChars="0" w:firstLine="0"/>
              <w:jc w:val="center"/>
              <w:textAlignment w:val="center"/>
              <w:rPr>
                <w:kern w:val="0"/>
                <w:sz w:val="21"/>
                <w:szCs w:val="21"/>
              </w:rPr>
            </w:pPr>
            <w:r w:rsidRPr="0075233C">
              <w:rPr>
                <w:rFonts w:hint="eastAsia"/>
                <w:sz w:val="21"/>
                <w:szCs w:val="21"/>
              </w:rPr>
              <w:t>0</w:t>
            </w:r>
            <w:r w:rsidRPr="0075233C">
              <w:rPr>
                <w:sz w:val="21"/>
                <w:szCs w:val="21"/>
              </w:rPr>
              <w:t>~0.2m</w:t>
            </w:r>
            <w:r w:rsidRPr="0075233C">
              <w:rPr>
                <w:kern w:val="0"/>
                <w:sz w:val="21"/>
                <w:szCs w:val="21"/>
              </w:rPr>
              <w:t>表层样</w:t>
            </w:r>
          </w:p>
        </w:tc>
      </w:tr>
    </w:tbl>
    <w:p w:rsidR="00414CCC" w:rsidRPr="000E22F5" w:rsidRDefault="00414CCC" w:rsidP="00414CCC">
      <w:pPr>
        <w:ind w:firstLine="482"/>
        <w:rPr>
          <w:b/>
        </w:rPr>
      </w:pPr>
      <w:r w:rsidRPr="000E22F5">
        <w:rPr>
          <w:rFonts w:ascii="宋体" w:hAnsi="宋体" w:hint="eastAsia"/>
          <w:b/>
        </w:rPr>
        <w:t>（</w:t>
      </w:r>
      <w:r w:rsidRPr="000E22F5">
        <w:rPr>
          <w:rFonts w:hint="eastAsia"/>
          <w:b/>
        </w:rPr>
        <w:t>2</w:t>
      </w:r>
      <w:r w:rsidRPr="000E22F5">
        <w:rPr>
          <w:rFonts w:ascii="宋体" w:hAnsi="宋体" w:hint="eastAsia"/>
          <w:b/>
        </w:rPr>
        <w:t>）监测频次与分析方法</w:t>
      </w:r>
    </w:p>
    <w:p w:rsidR="00414CCC" w:rsidRDefault="00414CCC" w:rsidP="00414CCC">
      <w:pPr>
        <w:ind w:firstLine="480"/>
      </w:pPr>
      <w:r>
        <w:rPr>
          <w:rFonts w:ascii="宋体" w:hAnsi="宋体" w:hint="eastAsia"/>
        </w:rPr>
        <w:t>采样</w:t>
      </w:r>
      <w:r>
        <w:t>1</w:t>
      </w:r>
      <w:r>
        <w:rPr>
          <w:rFonts w:ascii="宋体" w:hAnsi="宋体" w:hint="eastAsia"/>
        </w:rPr>
        <w:t>次，监测</w:t>
      </w:r>
      <w:r>
        <w:t>1</w:t>
      </w:r>
      <w:r>
        <w:rPr>
          <w:rFonts w:ascii="宋体" w:hAnsi="宋体" w:hint="eastAsia"/>
        </w:rPr>
        <w:t>次。采样及分析方案按照《土壤环境质量 建设用地土壤污染风险管控标准（试行）》（</w:t>
      </w:r>
      <w:r>
        <w:t>GB36600-2018</w:t>
      </w:r>
      <w:r>
        <w:rPr>
          <w:rFonts w:ascii="宋体" w:hAnsi="宋体" w:hint="eastAsia"/>
        </w:rPr>
        <w:t>）第二类用地筛选值。</w:t>
      </w:r>
    </w:p>
    <w:p w:rsidR="00414CCC" w:rsidRDefault="00414CCC" w:rsidP="00414CCC">
      <w:pPr>
        <w:ind w:firstLine="482"/>
        <w:rPr>
          <w:b/>
        </w:rPr>
      </w:pPr>
      <w:r>
        <w:rPr>
          <w:rFonts w:ascii="宋体" w:hAnsi="宋体" w:hint="eastAsia"/>
          <w:b/>
        </w:rPr>
        <w:t>（</w:t>
      </w:r>
      <w:r>
        <w:rPr>
          <w:b/>
        </w:rPr>
        <w:t>3</w:t>
      </w:r>
      <w:r>
        <w:rPr>
          <w:rFonts w:ascii="宋体" w:hAnsi="宋体" w:hint="eastAsia"/>
          <w:b/>
        </w:rPr>
        <w:t>）监测结果与评价</w:t>
      </w:r>
    </w:p>
    <w:p w:rsidR="00414CCC" w:rsidRDefault="00414CCC" w:rsidP="00414CCC">
      <w:pPr>
        <w:tabs>
          <w:tab w:val="left" w:pos="690"/>
        </w:tabs>
        <w:ind w:firstLineChars="0"/>
        <w:rPr>
          <w:rFonts w:ascii="宋体" w:hAnsi="宋体"/>
          <w:b/>
        </w:rPr>
      </w:pPr>
      <w:r>
        <w:rPr>
          <w:rFonts w:ascii="宋体" w:hAnsi="宋体" w:hint="eastAsia"/>
        </w:rPr>
        <w:t>土壤环境质量现状监测结果见表</w:t>
      </w:r>
      <w:r>
        <w:t>4.2.</w:t>
      </w:r>
      <w:r>
        <w:rPr>
          <w:rFonts w:hint="eastAsia"/>
        </w:rPr>
        <w:t>5</w:t>
      </w:r>
      <w:r>
        <w:t>-2~</w:t>
      </w:r>
      <w:r>
        <w:rPr>
          <w:rFonts w:hint="eastAsia"/>
        </w:rPr>
        <w:t>4</w:t>
      </w:r>
      <w:r>
        <w:rPr>
          <w:rFonts w:ascii="宋体" w:hAnsi="宋体" w:hint="eastAsia"/>
        </w:rPr>
        <w:t>。</w:t>
      </w:r>
    </w:p>
    <w:p w:rsidR="002D12F2" w:rsidRPr="00414CCC" w:rsidRDefault="00414CCC" w:rsidP="00414CCC">
      <w:pPr>
        <w:tabs>
          <w:tab w:val="left" w:pos="690"/>
        </w:tabs>
        <w:ind w:firstLine="480"/>
        <w:rPr>
          <w:rFonts w:ascii="宋体" w:hAnsi="宋体"/>
        </w:rPr>
        <w:sectPr w:rsidR="002D12F2" w:rsidRPr="00414CCC">
          <w:pgSz w:w="11906" w:h="16838"/>
          <w:pgMar w:top="1440" w:right="1440" w:bottom="1440" w:left="1440" w:header="851" w:footer="992" w:gutter="0"/>
          <w:cols w:space="425"/>
          <w:docGrid w:type="lines" w:linePitch="326"/>
        </w:sectPr>
      </w:pPr>
      <w:r>
        <w:rPr>
          <w:rFonts w:ascii="宋体" w:hAnsi="宋体"/>
        </w:rPr>
        <w:tab/>
      </w:r>
    </w:p>
    <w:p w:rsidR="004E3021" w:rsidRDefault="00606E48">
      <w:pPr>
        <w:pStyle w:val="afffff4"/>
        <w:ind w:firstLine="480"/>
      </w:pPr>
      <w:r>
        <w:rPr>
          <w:rFonts w:ascii="黑体" w:hAnsi="黑体" w:hint="eastAsia"/>
        </w:rPr>
        <w:lastRenderedPageBreak/>
        <w:t>表</w:t>
      </w:r>
      <w:r>
        <w:rPr>
          <w:rFonts w:hint="eastAsia"/>
        </w:rPr>
        <w:t>4.</w:t>
      </w:r>
      <w:r>
        <w:t>2</w:t>
      </w:r>
      <w:r>
        <w:rPr>
          <w:rFonts w:hint="eastAsia"/>
        </w:rPr>
        <w:t xml:space="preserve">.5-2 </w:t>
      </w:r>
      <w:r>
        <w:t xml:space="preserve"> </w:t>
      </w:r>
      <w:r w:rsidR="007F5CF1">
        <w:t>项目地土壤环境监测结果</w:t>
      </w:r>
      <w:r w:rsidR="007F5CF1">
        <w:rPr>
          <w:rFonts w:hint="eastAsia"/>
        </w:rPr>
        <w:t xml:space="preserve">  </w:t>
      </w:r>
      <w:r w:rsidR="007F5CF1">
        <w:t>单位：</w:t>
      </w:r>
      <w:r w:rsidR="007F5CF1">
        <w:t>mg/kg</w:t>
      </w:r>
      <w:r w:rsidR="007F5CF1">
        <w:rPr>
          <w:rFonts w:hint="eastAsia"/>
        </w:rPr>
        <w:t>，</w:t>
      </w:r>
      <w:r w:rsidR="007F5CF1">
        <w:rPr>
          <w:rFonts w:hint="eastAsia"/>
        </w:rPr>
        <w:t>pH:</w:t>
      </w:r>
      <w:r w:rsidR="007F5CF1">
        <w:rPr>
          <w:rFonts w:hint="eastAsia"/>
        </w:rPr>
        <w:t>无量纲</w:t>
      </w:r>
    </w:p>
    <w:tbl>
      <w:tblPr>
        <w:tblStyle w:val="afff"/>
        <w:tblW w:w="5000" w:type="pct"/>
        <w:tblLook w:val="04A0" w:firstRow="1" w:lastRow="0" w:firstColumn="1" w:lastColumn="0" w:noHBand="0" w:noVBand="1"/>
      </w:tblPr>
      <w:tblGrid>
        <w:gridCol w:w="858"/>
        <w:gridCol w:w="2613"/>
        <w:gridCol w:w="1616"/>
        <w:gridCol w:w="1008"/>
        <w:gridCol w:w="983"/>
        <w:gridCol w:w="904"/>
        <w:gridCol w:w="904"/>
        <w:gridCol w:w="985"/>
        <w:gridCol w:w="1145"/>
        <w:gridCol w:w="1038"/>
        <w:gridCol w:w="1080"/>
        <w:gridCol w:w="824"/>
      </w:tblGrid>
      <w:tr w:rsidR="00232A28" w:rsidRPr="000B3D51" w:rsidTr="007F5CF1">
        <w:trPr>
          <w:trHeight w:val="176"/>
        </w:trPr>
        <w:tc>
          <w:tcPr>
            <w:tcW w:w="307" w:type="pct"/>
            <w:vAlign w:val="center"/>
          </w:tcPr>
          <w:p w:rsidR="000B3D51" w:rsidRPr="006D5DB1" w:rsidRDefault="000B3D51" w:rsidP="000B3D51">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检测点位</w:t>
            </w:r>
          </w:p>
        </w:tc>
        <w:tc>
          <w:tcPr>
            <w:tcW w:w="936" w:type="pct"/>
            <w:vAlign w:val="center"/>
          </w:tcPr>
          <w:p w:rsidR="000B3D51" w:rsidRPr="006D5DB1" w:rsidRDefault="000B3D51" w:rsidP="000B3D51">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点位坐标</w:t>
            </w:r>
          </w:p>
        </w:tc>
        <w:tc>
          <w:tcPr>
            <w:tcW w:w="579" w:type="pct"/>
            <w:vAlign w:val="center"/>
          </w:tcPr>
          <w:p w:rsidR="000B3D51" w:rsidRPr="006D5DB1" w:rsidRDefault="000B3D51" w:rsidP="000B3D51">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采样深度</w:t>
            </w:r>
          </w:p>
        </w:tc>
        <w:tc>
          <w:tcPr>
            <w:tcW w:w="361" w:type="pct"/>
            <w:vAlign w:val="center"/>
          </w:tcPr>
          <w:p w:rsidR="000B3D51" w:rsidRPr="006D5DB1" w:rsidRDefault="000B3D51" w:rsidP="000B3D51">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pH</w:t>
            </w:r>
            <w:r w:rsidRPr="006D5DB1">
              <w:rPr>
                <w:rFonts w:ascii="Times New Roman" w:hAnsi="Times New Roman" w:cs="Times New Roman"/>
                <w:b/>
                <w:kern w:val="0"/>
                <w:sz w:val="21"/>
                <w:szCs w:val="21"/>
              </w:rPr>
              <w:t>值</w:t>
            </w:r>
          </w:p>
        </w:tc>
        <w:tc>
          <w:tcPr>
            <w:tcW w:w="352" w:type="pct"/>
            <w:vAlign w:val="center"/>
          </w:tcPr>
          <w:p w:rsidR="000B3D51" w:rsidRPr="006D5DB1" w:rsidRDefault="000B3D51" w:rsidP="000B3D51">
            <w:pPr>
              <w:pStyle w:val="afffffff2"/>
              <w:rPr>
                <w:rFonts w:ascii="Times New Roman" w:hAnsi="Times New Roman" w:cs="Times New Roman"/>
                <w:b/>
                <w:kern w:val="0"/>
                <w:sz w:val="21"/>
                <w:szCs w:val="21"/>
              </w:rPr>
            </w:pPr>
            <w:r w:rsidRPr="006D5DB1">
              <w:rPr>
                <w:rFonts w:ascii="Times New Roman" w:hAnsi="Times New Roman" w:cs="Times New Roman" w:hint="eastAsia"/>
                <w:b/>
                <w:kern w:val="0"/>
                <w:sz w:val="21"/>
                <w:szCs w:val="21"/>
              </w:rPr>
              <w:t>石油烃</w:t>
            </w:r>
          </w:p>
        </w:tc>
        <w:tc>
          <w:tcPr>
            <w:tcW w:w="324" w:type="pct"/>
            <w:vAlign w:val="center"/>
          </w:tcPr>
          <w:p w:rsidR="000B3D51" w:rsidRPr="006D5DB1" w:rsidRDefault="000B3D51" w:rsidP="000B3D51">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砷</w:t>
            </w:r>
          </w:p>
        </w:tc>
        <w:tc>
          <w:tcPr>
            <w:tcW w:w="324" w:type="pct"/>
            <w:vAlign w:val="center"/>
          </w:tcPr>
          <w:p w:rsidR="000B3D51" w:rsidRPr="006D5DB1" w:rsidRDefault="000B3D51" w:rsidP="000B3D51">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镉</w:t>
            </w:r>
          </w:p>
        </w:tc>
        <w:tc>
          <w:tcPr>
            <w:tcW w:w="353" w:type="pct"/>
            <w:vAlign w:val="center"/>
          </w:tcPr>
          <w:p w:rsidR="000B3D51" w:rsidRPr="006D5DB1" w:rsidRDefault="000B3D51" w:rsidP="000B3D51">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铬（六价）</w:t>
            </w:r>
          </w:p>
        </w:tc>
        <w:tc>
          <w:tcPr>
            <w:tcW w:w="410" w:type="pct"/>
            <w:vAlign w:val="center"/>
          </w:tcPr>
          <w:p w:rsidR="000B3D51" w:rsidRPr="006D5DB1" w:rsidRDefault="000B3D51" w:rsidP="000B3D51">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铜</w:t>
            </w:r>
          </w:p>
        </w:tc>
        <w:tc>
          <w:tcPr>
            <w:tcW w:w="372" w:type="pct"/>
            <w:vAlign w:val="center"/>
          </w:tcPr>
          <w:p w:rsidR="000B3D51" w:rsidRPr="006D5DB1" w:rsidRDefault="000B3D51" w:rsidP="000B3D51">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铅</w:t>
            </w:r>
          </w:p>
        </w:tc>
        <w:tc>
          <w:tcPr>
            <w:tcW w:w="387" w:type="pct"/>
            <w:vAlign w:val="center"/>
          </w:tcPr>
          <w:p w:rsidR="000B3D51" w:rsidRPr="006D5DB1" w:rsidRDefault="000B3D51" w:rsidP="000B3D51">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汞</w:t>
            </w:r>
          </w:p>
        </w:tc>
        <w:tc>
          <w:tcPr>
            <w:tcW w:w="295" w:type="pct"/>
            <w:vAlign w:val="center"/>
          </w:tcPr>
          <w:p w:rsidR="000B3D51" w:rsidRPr="006D5DB1" w:rsidRDefault="000B3D51" w:rsidP="000B3D51">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镍</w:t>
            </w:r>
          </w:p>
        </w:tc>
      </w:tr>
      <w:tr w:rsidR="00232A28" w:rsidRPr="000B3D51" w:rsidTr="007F5CF1">
        <w:trPr>
          <w:trHeight w:val="191"/>
        </w:trPr>
        <w:tc>
          <w:tcPr>
            <w:tcW w:w="307"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T1</w:t>
            </w:r>
          </w:p>
        </w:tc>
        <w:tc>
          <w:tcPr>
            <w:tcW w:w="936"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bCs/>
                <w:kern w:val="0"/>
                <w:sz w:val="21"/>
                <w:szCs w:val="21"/>
              </w:rPr>
              <w:t>117.577695°E</w:t>
            </w:r>
            <w:r w:rsidRPr="000B3D51">
              <w:rPr>
                <w:rFonts w:ascii="Times New Roman" w:hAnsi="Times New Roman" w:cs="Times New Roman"/>
                <w:bCs/>
                <w:kern w:val="0"/>
                <w:sz w:val="21"/>
                <w:szCs w:val="21"/>
              </w:rPr>
              <w:t>，</w:t>
            </w:r>
            <w:r w:rsidRPr="000B3D51">
              <w:rPr>
                <w:rFonts w:ascii="Times New Roman" w:hAnsi="Times New Roman" w:cs="Times New Roman"/>
                <w:bCs/>
                <w:kern w:val="0"/>
                <w:sz w:val="21"/>
                <w:szCs w:val="21"/>
              </w:rPr>
              <w:t>32.994327°N</w:t>
            </w:r>
          </w:p>
        </w:tc>
        <w:tc>
          <w:tcPr>
            <w:tcW w:w="579"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0~0.2m</w:t>
            </w:r>
          </w:p>
        </w:tc>
        <w:tc>
          <w:tcPr>
            <w:tcW w:w="361" w:type="pct"/>
            <w:vAlign w:val="center"/>
          </w:tcPr>
          <w:p w:rsidR="000B3D51" w:rsidRPr="000B3D51" w:rsidRDefault="000B3D51"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7.53</w:t>
            </w:r>
          </w:p>
        </w:tc>
        <w:tc>
          <w:tcPr>
            <w:tcW w:w="352" w:type="pct"/>
            <w:vAlign w:val="center"/>
          </w:tcPr>
          <w:p w:rsidR="000B3D51" w:rsidRPr="000B3D51" w:rsidRDefault="000B3D51" w:rsidP="000B3D51">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1</w:t>
            </w:r>
            <w:r>
              <w:rPr>
                <w:rFonts w:ascii="Times New Roman" w:hAnsi="Times New Roman" w:cs="Times New Roman"/>
                <w:kern w:val="0"/>
                <w:sz w:val="21"/>
                <w:szCs w:val="21"/>
              </w:rPr>
              <w:t>0</w:t>
            </w:r>
          </w:p>
        </w:tc>
        <w:tc>
          <w:tcPr>
            <w:tcW w:w="324" w:type="pct"/>
            <w:vAlign w:val="center"/>
          </w:tcPr>
          <w:p w:rsidR="000B3D51" w:rsidRPr="000B3D51" w:rsidRDefault="000B3D51"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11.4</w:t>
            </w:r>
          </w:p>
        </w:tc>
        <w:tc>
          <w:tcPr>
            <w:tcW w:w="324"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0.04</w:t>
            </w:r>
          </w:p>
        </w:tc>
        <w:tc>
          <w:tcPr>
            <w:tcW w:w="353"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13</w:t>
            </w:r>
          </w:p>
        </w:tc>
        <w:tc>
          <w:tcPr>
            <w:tcW w:w="372"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w:t>
            </w:r>
            <w:r>
              <w:rPr>
                <w:rFonts w:ascii="Times New Roman" w:hAnsi="Times New Roman" w:cs="Times New Roman"/>
                <w:kern w:val="0"/>
                <w:sz w:val="21"/>
                <w:szCs w:val="21"/>
              </w:rPr>
              <w:t>3.3</w:t>
            </w:r>
          </w:p>
        </w:tc>
        <w:tc>
          <w:tcPr>
            <w:tcW w:w="387"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0.07</w:t>
            </w:r>
            <w:r>
              <w:rPr>
                <w:rFonts w:ascii="Times New Roman" w:hAnsi="Times New Roman" w:cs="Times New Roman"/>
                <w:kern w:val="0"/>
                <w:sz w:val="21"/>
                <w:szCs w:val="21"/>
              </w:rPr>
              <w:t>1</w:t>
            </w:r>
          </w:p>
        </w:tc>
        <w:tc>
          <w:tcPr>
            <w:tcW w:w="295" w:type="pct"/>
            <w:vAlign w:val="center"/>
          </w:tcPr>
          <w:p w:rsidR="000B3D51" w:rsidRPr="000B3D51" w:rsidRDefault="000B3D51"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28</w:t>
            </w:r>
          </w:p>
        </w:tc>
      </w:tr>
      <w:tr w:rsidR="00232A28" w:rsidRPr="000B3D51" w:rsidTr="007F5CF1">
        <w:trPr>
          <w:trHeight w:val="191"/>
        </w:trPr>
        <w:tc>
          <w:tcPr>
            <w:tcW w:w="307"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T</w:t>
            </w:r>
            <w:r>
              <w:rPr>
                <w:rFonts w:ascii="Times New Roman" w:hAnsi="Times New Roman" w:cs="Times New Roman"/>
                <w:kern w:val="0"/>
                <w:sz w:val="21"/>
                <w:szCs w:val="21"/>
              </w:rPr>
              <w:t>2</w:t>
            </w:r>
          </w:p>
        </w:tc>
        <w:tc>
          <w:tcPr>
            <w:tcW w:w="936"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hint="eastAsia"/>
                <w:bCs/>
                <w:kern w:val="0"/>
                <w:sz w:val="21"/>
                <w:szCs w:val="21"/>
              </w:rPr>
              <w:t>117.576639</w:t>
            </w:r>
            <w:r w:rsidRPr="000B3D51">
              <w:rPr>
                <w:rFonts w:ascii="Times New Roman" w:hAnsi="Times New Roman" w:cs="Times New Roman"/>
                <w:bCs/>
                <w:kern w:val="0"/>
                <w:sz w:val="21"/>
                <w:szCs w:val="21"/>
              </w:rPr>
              <w:t>°E</w:t>
            </w:r>
            <w:r w:rsidRPr="000B3D51">
              <w:rPr>
                <w:rFonts w:ascii="Times New Roman" w:hAnsi="Times New Roman" w:cs="Times New Roman"/>
                <w:bCs/>
                <w:kern w:val="0"/>
                <w:sz w:val="21"/>
                <w:szCs w:val="21"/>
              </w:rPr>
              <w:t>，</w:t>
            </w:r>
            <w:r w:rsidRPr="000B3D51">
              <w:rPr>
                <w:rFonts w:ascii="Times New Roman" w:hAnsi="Times New Roman" w:cs="Times New Roman" w:hint="eastAsia"/>
                <w:bCs/>
                <w:kern w:val="0"/>
                <w:sz w:val="21"/>
                <w:szCs w:val="21"/>
              </w:rPr>
              <w:t>32.993522</w:t>
            </w:r>
            <w:r w:rsidRPr="000B3D51">
              <w:rPr>
                <w:rFonts w:ascii="Times New Roman" w:hAnsi="Times New Roman" w:cs="Times New Roman"/>
                <w:bCs/>
                <w:kern w:val="0"/>
                <w:sz w:val="21"/>
                <w:szCs w:val="21"/>
              </w:rPr>
              <w:t>°N</w:t>
            </w:r>
          </w:p>
        </w:tc>
        <w:tc>
          <w:tcPr>
            <w:tcW w:w="579"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0~0.2m</w:t>
            </w:r>
          </w:p>
        </w:tc>
        <w:tc>
          <w:tcPr>
            <w:tcW w:w="361" w:type="pct"/>
            <w:vAlign w:val="center"/>
          </w:tcPr>
          <w:p w:rsidR="000B3D51" w:rsidRPr="000B3D51" w:rsidRDefault="000B3D51"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7.57</w:t>
            </w:r>
          </w:p>
        </w:tc>
        <w:tc>
          <w:tcPr>
            <w:tcW w:w="352" w:type="pct"/>
            <w:vAlign w:val="center"/>
          </w:tcPr>
          <w:p w:rsidR="000B3D51" w:rsidRPr="000B3D51" w:rsidRDefault="000B3D51" w:rsidP="000B3D51">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5</w:t>
            </w:r>
            <w:r>
              <w:rPr>
                <w:rFonts w:ascii="Times New Roman" w:hAnsi="Times New Roman" w:cs="Times New Roman"/>
                <w:kern w:val="0"/>
                <w:sz w:val="21"/>
                <w:szCs w:val="21"/>
              </w:rPr>
              <w:t>5</w:t>
            </w:r>
          </w:p>
        </w:tc>
        <w:tc>
          <w:tcPr>
            <w:tcW w:w="324" w:type="pct"/>
            <w:vAlign w:val="center"/>
          </w:tcPr>
          <w:p w:rsidR="000B3D51" w:rsidRPr="000B3D51" w:rsidRDefault="000B3D51"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13.3</w:t>
            </w:r>
          </w:p>
        </w:tc>
        <w:tc>
          <w:tcPr>
            <w:tcW w:w="324"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7</w:t>
            </w:r>
          </w:p>
        </w:tc>
        <w:tc>
          <w:tcPr>
            <w:tcW w:w="353"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w:t>
            </w:r>
            <w:r>
              <w:rPr>
                <w:rFonts w:ascii="Times New Roman" w:hAnsi="Times New Roman" w:cs="Times New Roman"/>
                <w:kern w:val="0"/>
                <w:sz w:val="21"/>
                <w:szCs w:val="21"/>
              </w:rPr>
              <w:t>0</w:t>
            </w:r>
          </w:p>
        </w:tc>
        <w:tc>
          <w:tcPr>
            <w:tcW w:w="372"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11.</w:t>
            </w:r>
            <w:r>
              <w:rPr>
                <w:rFonts w:ascii="Times New Roman" w:hAnsi="Times New Roman" w:cs="Times New Roman"/>
                <w:kern w:val="0"/>
                <w:sz w:val="21"/>
                <w:szCs w:val="21"/>
              </w:rPr>
              <w:t>9</w:t>
            </w:r>
          </w:p>
        </w:tc>
        <w:tc>
          <w:tcPr>
            <w:tcW w:w="387"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68</w:t>
            </w:r>
          </w:p>
        </w:tc>
        <w:tc>
          <w:tcPr>
            <w:tcW w:w="295" w:type="pct"/>
            <w:vAlign w:val="center"/>
          </w:tcPr>
          <w:p w:rsidR="000B3D51" w:rsidRPr="000B3D51" w:rsidRDefault="000B3D51"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26</w:t>
            </w:r>
          </w:p>
        </w:tc>
      </w:tr>
      <w:tr w:rsidR="00232A28" w:rsidRPr="000B3D51" w:rsidTr="007F5CF1">
        <w:trPr>
          <w:trHeight w:val="191"/>
        </w:trPr>
        <w:tc>
          <w:tcPr>
            <w:tcW w:w="307" w:type="pct"/>
            <w:vMerge w:val="restar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T3</w:t>
            </w:r>
          </w:p>
        </w:tc>
        <w:tc>
          <w:tcPr>
            <w:tcW w:w="936" w:type="pct"/>
            <w:vMerge w:val="restar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hint="eastAsia"/>
                <w:bCs/>
                <w:kern w:val="0"/>
                <w:sz w:val="21"/>
                <w:szCs w:val="21"/>
              </w:rPr>
              <w:t>117.576051</w:t>
            </w:r>
            <w:r w:rsidRPr="000B3D51">
              <w:rPr>
                <w:rFonts w:ascii="Times New Roman" w:hAnsi="Times New Roman" w:cs="Times New Roman"/>
                <w:bCs/>
                <w:kern w:val="0"/>
                <w:sz w:val="21"/>
                <w:szCs w:val="21"/>
              </w:rPr>
              <w:t>°E</w:t>
            </w:r>
            <w:r w:rsidRPr="000B3D51">
              <w:rPr>
                <w:rFonts w:ascii="Times New Roman" w:hAnsi="Times New Roman" w:cs="Times New Roman"/>
                <w:bCs/>
                <w:kern w:val="0"/>
                <w:sz w:val="21"/>
                <w:szCs w:val="21"/>
              </w:rPr>
              <w:t>，</w:t>
            </w:r>
            <w:r w:rsidRPr="000B3D51">
              <w:rPr>
                <w:rFonts w:ascii="Times New Roman" w:hAnsi="Times New Roman" w:cs="Times New Roman" w:hint="eastAsia"/>
                <w:bCs/>
                <w:kern w:val="0"/>
                <w:sz w:val="21"/>
                <w:szCs w:val="21"/>
              </w:rPr>
              <w:t>32.992816</w:t>
            </w:r>
            <w:r w:rsidRPr="000B3D51">
              <w:rPr>
                <w:rFonts w:ascii="Times New Roman" w:hAnsi="Times New Roman" w:cs="Times New Roman"/>
                <w:bCs/>
                <w:kern w:val="0"/>
                <w:sz w:val="21"/>
                <w:szCs w:val="21"/>
              </w:rPr>
              <w:t>°N</w:t>
            </w:r>
          </w:p>
        </w:tc>
        <w:tc>
          <w:tcPr>
            <w:tcW w:w="579"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0~0.5m</w:t>
            </w:r>
          </w:p>
        </w:tc>
        <w:tc>
          <w:tcPr>
            <w:tcW w:w="361" w:type="pct"/>
            <w:vAlign w:val="center"/>
          </w:tcPr>
          <w:p w:rsidR="000B3D51" w:rsidRPr="000B3D51" w:rsidRDefault="00232A28"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7.26</w:t>
            </w:r>
          </w:p>
        </w:tc>
        <w:tc>
          <w:tcPr>
            <w:tcW w:w="352" w:type="pct"/>
            <w:vAlign w:val="center"/>
          </w:tcPr>
          <w:p w:rsidR="000B3D51" w:rsidRPr="000B3D51" w:rsidRDefault="00232A28" w:rsidP="000B3D51">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2</w:t>
            </w:r>
            <w:r>
              <w:rPr>
                <w:rFonts w:ascii="Times New Roman" w:hAnsi="Times New Roman" w:cs="Times New Roman"/>
                <w:kern w:val="0"/>
                <w:sz w:val="21"/>
                <w:szCs w:val="21"/>
              </w:rPr>
              <w:t>0</w:t>
            </w:r>
          </w:p>
        </w:tc>
        <w:tc>
          <w:tcPr>
            <w:tcW w:w="324" w:type="pct"/>
            <w:vAlign w:val="center"/>
          </w:tcPr>
          <w:p w:rsidR="000B3D51" w:rsidRPr="000B3D51" w:rsidRDefault="00232A28"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19.9</w:t>
            </w:r>
          </w:p>
        </w:tc>
        <w:tc>
          <w:tcPr>
            <w:tcW w:w="324" w:type="pct"/>
            <w:vAlign w:val="center"/>
          </w:tcPr>
          <w:p w:rsidR="000B3D51" w:rsidRPr="000B3D51" w:rsidRDefault="000B3D51"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sidR="00232A28">
              <w:rPr>
                <w:rFonts w:ascii="Times New Roman" w:hAnsi="Times New Roman" w:cs="Times New Roman"/>
                <w:kern w:val="0"/>
                <w:sz w:val="21"/>
                <w:szCs w:val="21"/>
              </w:rPr>
              <w:t>4</w:t>
            </w:r>
          </w:p>
        </w:tc>
        <w:tc>
          <w:tcPr>
            <w:tcW w:w="353"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0B3D51" w:rsidRPr="000B3D51" w:rsidRDefault="000B3D51"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w:t>
            </w:r>
            <w:r w:rsidR="00232A28">
              <w:rPr>
                <w:rFonts w:ascii="Times New Roman" w:hAnsi="Times New Roman" w:cs="Times New Roman"/>
                <w:kern w:val="0"/>
                <w:sz w:val="21"/>
                <w:szCs w:val="21"/>
              </w:rPr>
              <w:t>3</w:t>
            </w:r>
          </w:p>
        </w:tc>
        <w:tc>
          <w:tcPr>
            <w:tcW w:w="372" w:type="pct"/>
            <w:vAlign w:val="center"/>
          </w:tcPr>
          <w:p w:rsidR="000B3D51" w:rsidRPr="000B3D51" w:rsidRDefault="000B3D51"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w:t>
            </w:r>
            <w:r w:rsidR="00232A28">
              <w:rPr>
                <w:rFonts w:ascii="Times New Roman" w:hAnsi="Times New Roman" w:cs="Times New Roman"/>
                <w:kern w:val="0"/>
                <w:sz w:val="21"/>
                <w:szCs w:val="21"/>
              </w:rPr>
              <w:t>3</w:t>
            </w:r>
            <w:r w:rsidRPr="000B3D51">
              <w:rPr>
                <w:rFonts w:ascii="Times New Roman" w:hAnsi="Times New Roman" w:cs="Times New Roman"/>
                <w:kern w:val="0"/>
                <w:sz w:val="21"/>
                <w:szCs w:val="21"/>
              </w:rPr>
              <w:t>.1</w:t>
            </w:r>
          </w:p>
        </w:tc>
        <w:tc>
          <w:tcPr>
            <w:tcW w:w="387" w:type="pct"/>
            <w:vAlign w:val="center"/>
          </w:tcPr>
          <w:p w:rsidR="000B3D51" w:rsidRPr="000B3D51" w:rsidRDefault="000B3D51"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sidR="00232A28">
              <w:rPr>
                <w:rFonts w:ascii="Times New Roman" w:hAnsi="Times New Roman" w:cs="Times New Roman"/>
                <w:kern w:val="0"/>
                <w:sz w:val="21"/>
                <w:szCs w:val="21"/>
              </w:rPr>
              <w:t>68</w:t>
            </w:r>
          </w:p>
        </w:tc>
        <w:tc>
          <w:tcPr>
            <w:tcW w:w="295" w:type="pct"/>
            <w:vAlign w:val="center"/>
          </w:tcPr>
          <w:p w:rsidR="000B3D51" w:rsidRPr="000B3D51" w:rsidRDefault="00232A28"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41</w:t>
            </w:r>
          </w:p>
        </w:tc>
      </w:tr>
      <w:tr w:rsidR="00232A28" w:rsidRPr="000B3D51" w:rsidTr="007F5CF1">
        <w:trPr>
          <w:trHeight w:val="191"/>
        </w:trPr>
        <w:tc>
          <w:tcPr>
            <w:tcW w:w="307" w:type="pct"/>
            <w:vMerge/>
            <w:vAlign w:val="center"/>
          </w:tcPr>
          <w:p w:rsidR="000B3D51" w:rsidRPr="000B3D51" w:rsidRDefault="000B3D51" w:rsidP="000B3D51">
            <w:pPr>
              <w:pStyle w:val="afffffff2"/>
              <w:rPr>
                <w:rFonts w:ascii="Times New Roman" w:hAnsi="Times New Roman" w:cs="Times New Roman"/>
                <w:kern w:val="0"/>
                <w:sz w:val="21"/>
                <w:szCs w:val="21"/>
              </w:rPr>
            </w:pPr>
          </w:p>
        </w:tc>
        <w:tc>
          <w:tcPr>
            <w:tcW w:w="936" w:type="pct"/>
            <w:vMerge/>
            <w:vAlign w:val="center"/>
          </w:tcPr>
          <w:p w:rsidR="000B3D51" w:rsidRPr="000B3D51" w:rsidRDefault="000B3D51" w:rsidP="000B3D51">
            <w:pPr>
              <w:pStyle w:val="afffffff2"/>
              <w:rPr>
                <w:rFonts w:ascii="Times New Roman" w:hAnsi="Times New Roman" w:cs="Times New Roman"/>
                <w:kern w:val="0"/>
                <w:sz w:val="21"/>
                <w:szCs w:val="21"/>
              </w:rPr>
            </w:pPr>
          </w:p>
        </w:tc>
        <w:tc>
          <w:tcPr>
            <w:tcW w:w="579"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0.5~1.5m</w:t>
            </w:r>
          </w:p>
        </w:tc>
        <w:tc>
          <w:tcPr>
            <w:tcW w:w="361" w:type="pct"/>
            <w:vAlign w:val="center"/>
          </w:tcPr>
          <w:p w:rsidR="000B3D51" w:rsidRPr="000B3D51" w:rsidRDefault="00232A28"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7.22</w:t>
            </w:r>
          </w:p>
        </w:tc>
        <w:tc>
          <w:tcPr>
            <w:tcW w:w="352" w:type="pct"/>
            <w:vAlign w:val="center"/>
          </w:tcPr>
          <w:p w:rsidR="000B3D51" w:rsidRPr="000B3D51" w:rsidRDefault="00232A28" w:rsidP="000B3D51">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1</w:t>
            </w:r>
            <w:r>
              <w:rPr>
                <w:rFonts w:ascii="Times New Roman" w:hAnsi="Times New Roman" w:cs="Times New Roman"/>
                <w:kern w:val="0"/>
                <w:sz w:val="21"/>
                <w:szCs w:val="21"/>
              </w:rPr>
              <w:t>3</w:t>
            </w:r>
          </w:p>
        </w:tc>
        <w:tc>
          <w:tcPr>
            <w:tcW w:w="324" w:type="pct"/>
            <w:vAlign w:val="center"/>
          </w:tcPr>
          <w:p w:rsidR="000B3D51" w:rsidRPr="000B3D51" w:rsidRDefault="00232A28"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17.6</w:t>
            </w:r>
          </w:p>
        </w:tc>
        <w:tc>
          <w:tcPr>
            <w:tcW w:w="324" w:type="pct"/>
            <w:vAlign w:val="center"/>
          </w:tcPr>
          <w:p w:rsidR="000B3D51" w:rsidRPr="000B3D51" w:rsidRDefault="000B3D51"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sidR="00232A28">
              <w:rPr>
                <w:rFonts w:ascii="Times New Roman" w:hAnsi="Times New Roman" w:cs="Times New Roman"/>
                <w:kern w:val="0"/>
                <w:sz w:val="21"/>
                <w:szCs w:val="21"/>
              </w:rPr>
              <w:t>7</w:t>
            </w:r>
          </w:p>
        </w:tc>
        <w:tc>
          <w:tcPr>
            <w:tcW w:w="353"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0B3D51" w:rsidRPr="000B3D51" w:rsidRDefault="000B3D51"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w:t>
            </w:r>
            <w:r w:rsidR="00232A28">
              <w:rPr>
                <w:rFonts w:ascii="Times New Roman" w:hAnsi="Times New Roman" w:cs="Times New Roman"/>
                <w:kern w:val="0"/>
                <w:sz w:val="21"/>
                <w:szCs w:val="21"/>
              </w:rPr>
              <w:t>7</w:t>
            </w:r>
          </w:p>
        </w:tc>
        <w:tc>
          <w:tcPr>
            <w:tcW w:w="372" w:type="pct"/>
            <w:vAlign w:val="center"/>
          </w:tcPr>
          <w:p w:rsidR="000B3D51" w:rsidRPr="000B3D51" w:rsidRDefault="00232A28"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15.0</w:t>
            </w:r>
          </w:p>
        </w:tc>
        <w:tc>
          <w:tcPr>
            <w:tcW w:w="387" w:type="pct"/>
            <w:vAlign w:val="center"/>
          </w:tcPr>
          <w:p w:rsidR="000B3D51" w:rsidRPr="000B3D51" w:rsidRDefault="000B3D51"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0.08</w:t>
            </w:r>
            <w:r w:rsidR="00232A28">
              <w:rPr>
                <w:rFonts w:ascii="Times New Roman" w:hAnsi="Times New Roman" w:cs="Times New Roman"/>
                <w:kern w:val="0"/>
                <w:sz w:val="21"/>
                <w:szCs w:val="21"/>
              </w:rPr>
              <w:t>4</w:t>
            </w:r>
          </w:p>
        </w:tc>
        <w:tc>
          <w:tcPr>
            <w:tcW w:w="295" w:type="pct"/>
            <w:vAlign w:val="center"/>
          </w:tcPr>
          <w:p w:rsidR="000B3D51" w:rsidRPr="000B3D51" w:rsidRDefault="00232A28"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50</w:t>
            </w:r>
          </w:p>
        </w:tc>
      </w:tr>
      <w:tr w:rsidR="00232A28" w:rsidRPr="000B3D51" w:rsidTr="007F5CF1">
        <w:trPr>
          <w:trHeight w:val="191"/>
        </w:trPr>
        <w:tc>
          <w:tcPr>
            <w:tcW w:w="307" w:type="pct"/>
            <w:vMerge/>
            <w:vAlign w:val="center"/>
          </w:tcPr>
          <w:p w:rsidR="000B3D51" w:rsidRPr="000B3D51" w:rsidRDefault="000B3D51" w:rsidP="000B3D51">
            <w:pPr>
              <w:pStyle w:val="afffffff2"/>
              <w:rPr>
                <w:rFonts w:ascii="Times New Roman" w:hAnsi="Times New Roman" w:cs="Times New Roman"/>
                <w:kern w:val="0"/>
                <w:sz w:val="21"/>
                <w:szCs w:val="21"/>
              </w:rPr>
            </w:pPr>
          </w:p>
        </w:tc>
        <w:tc>
          <w:tcPr>
            <w:tcW w:w="936" w:type="pct"/>
            <w:vMerge/>
            <w:vAlign w:val="center"/>
          </w:tcPr>
          <w:p w:rsidR="000B3D51" w:rsidRPr="000B3D51" w:rsidRDefault="000B3D51" w:rsidP="000B3D51">
            <w:pPr>
              <w:pStyle w:val="afffffff2"/>
              <w:rPr>
                <w:rFonts w:ascii="Times New Roman" w:hAnsi="Times New Roman" w:cs="Times New Roman"/>
                <w:kern w:val="0"/>
                <w:sz w:val="21"/>
                <w:szCs w:val="21"/>
              </w:rPr>
            </w:pPr>
          </w:p>
        </w:tc>
        <w:tc>
          <w:tcPr>
            <w:tcW w:w="579"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1.5~3.0m</w:t>
            </w:r>
          </w:p>
        </w:tc>
        <w:tc>
          <w:tcPr>
            <w:tcW w:w="361" w:type="pct"/>
            <w:vAlign w:val="center"/>
          </w:tcPr>
          <w:p w:rsidR="000B3D51" w:rsidRPr="000B3D51" w:rsidRDefault="00232A28"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6.71</w:t>
            </w:r>
          </w:p>
        </w:tc>
        <w:tc>
          <w:tcPr>
            <w:tcW w:w="352" w:type="pct"/>
            <w:vAlign w:val="center"/>
          </w:tcPr>
          <w:p w:rsidR="000B3D51" w:rsidRPr="000B3D51" w:rsidRDefault="00232A28" w:rsidP="000B3D51">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3</w:t>
            </w:r>
            <w:r>
              <w:rPr>
                <w:rFonts w:ascii="Times New Roman" w:hAnsi="Times New Roman" w:cs="Times New Roman"/>
                <w:kern w:val="0"/>
                <w:sz w:val="21"/>
                <w:szCs w:val="21"/>
              </w:rPr>
              <w:t>9</w:t>
            </w:r>
          </w:p>
        </w:tc>
        <w:tc>
          <w:tcPr>
            <w:tcW w:w="324" w:type="pct"/>
            <w:vAlign w:val="center"/>
          </w:tcPr>
          <w:p w:rsidR="000B3D51" w:rsidRPr="000B3D51" w:rsidRDefault="00232A28"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15.6</w:t>
            </w:r>
          </w:p>
        </w:tc>
        <w:tc>
          <w:tcPr>
            <w:tcW w:w="324" w:type="pct"/>
            <w:vAlign w:val="center"/>
          </w:tcPr>
          <w:p w:rsidR="000B3D51" w:rsidRPr="000B3D51" w:rsidRDefault="000B3D51"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sidR="00232A28">
              <w:rPr>
                <w:rFonts w:ascii="Times New Roman" w:hAnsi="Times New Roman" w:cs="Times New Roman"/>
                <w:kern w:val="0"/>
                <w:sz w:val="21"/>
                <w:szCs w:val="21"/>
              </w:rPr>
              <w:t>8</w:t>
            </w:r>
          </w:p>
        </w:tc>
        <w:tc>
          <w:tcPr>
            <w:tcW w:w="353"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0B3D51" w:rsidRPr="000B3D51" w:rsidRDefault="000B3D51" w:rsidP="000B3D5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16</w:t>
            </w:r>
          </w:p>
        </w:tc>
        <w:tc>
          <w:tcPr>
            <w:tcW w:w="372" w:type="pct"/>
            <w:vAlign w:val="center"/>
          </w:tcPr>
          <w:p w:rsidR="000B3D51" w:rsidRPr="000B3D51" w:rsidRDefault="00232A28"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15.9</w:t>
            </w:r>
          </w:p>
        </w:tc>
        <w:tc>
          <w:tcPr>
            <w:tcW w:w="387" w:type="pct"/>
            <w:vAlign w:val="center"/>
          </w:tcPr>
          <w:p w:rsidR="000B3D51" w:rsidRPr="000B3D51" w:rsidRDefault="000B3D51"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sidR="00232A28">
              <w:rPr>
                <w:rFonts w:ascii="Times New Roman" w:hAnsi="Times New Roman" w:cs="Times New Roman"/>
                <w:kern w:val="0"/>
                <w:sz w:val="21"/>
                <w:szCs w:val="21"/>
              </w:rPr>
              <w:t>84</w:t>
            </w:r>
          </w:p>
        </w:tc>
        <w:tc>
          <w:tcPr>
            <w:tcW w:w="295" w:type="pct"/>
            <w:vAlign w:val="center"/>
          </w:tcPr>
          <w:p w:rsidR="000B3D51" w:rsidRPr="000B3D51" w:rsidRDefault="00232A28" w:rsidP="000B3D51">
            <w:pPr>
              <w:pStyle w:val="afffffff2"/>
              <w:rPr>
                <w:rFonts w:ascii="Times New Roman" w:hAnsi="Times New Roman" w:cs="Times New Roman"/>
                <w:kern w:val="0"/>
                <w:sz w:val="21"/>
                <w:szCs w:val="21"/>
              </w:rPr>
            </w:pPr>
            <w:r>
              <w:rPr>
                <w:rFonts w:ascii="Times New Roman" w:hAnsi="Times New Roman" w:cs="Times New Roman"/>
                <w:kern w:val="0"/>
                <w:sz w:val="21"/>
                <w:szCs w:val="21"/>
              </w:rPr>
              <w:t>38</w:t>
            </w:r>
          </w:p>
        </w:tc>
      </w:tr>
      <w:tr w:rsidR="00232A28" w:rsidRPr="000B3D51" w:rsidTr="007F5CF1">
        <w:trPr>
          <w:trHeight w:val="272"/>
        </w:trPr>
        <w:tc>
          <w:tcPr>
            <w:tcW w:w="307" w:type="pct"/>
            <w:vMerge w:val="restar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T4</w:t>
            </w:r>
          </w:p>
        </w:tc>
        <w:tc>
          <w:tcPr>
            <w:tcW w:w="936" w:type="pct"/>
            <w:vMerge w:val="restart"/>
            <w:vAlign w:val="center"/>
          </w:tcPr>
          <w:p w:rsidR="00232A28" w:rsidRPr="000B3D51" w:rsidRDefault="00232A28" w:rsidP="00232A28">
            <w:pPr>
              <w:pStyle w:val="afffffff2"/>
              <w:rPr>
                <w:rFonts w:ascii="Times New Roman" w:hAnsi="Times New Roman" w:cs="Times New Roman"/>
                <w:kern w:val="0"/>
                <w:sz w:val="21"/>
                <w:szCs w:val="21"/>
              </w:rPr>
            </w:pPr>
            <w:r w:rsidRPr="00232A28">
              <w:rPr>
                <w:rFonts w:ascii="Times New Roman" w:hAnsi="Times New Roman" w:cs="Times New Roman" w:hint="eastAsia"/>
                <w:bCs/>
                <w:kern w:val="0"/>
                <w:sz w:val="21"/>
                <w:szCs w:val="21"/>
              </w:rPr>
              <w:t>117.575492</w:t>
            </w:r>
            <w:r w:rsidRPr="00232A28">
              <w:rPr>
                <w:rFonts w:ascii="Times New Roman" w:hAnsi="Times New Roman" w:cs="Times New Roman"/>
                <w:bCs/>
                <w:kern w:val="0"/>
                <w:sz w:val="21"/>
                <w:szCs w:val="21"/>
              </w:rPr>
              <w:t>°E</w:t>
            </w:r>
            <w:r w:rsidRPr="00232A28">
              <w:rPr>
                <w:rFonts w:ascii="Times New Roman" w:hAnsi="Times New Roman" w:cs="Times New Roman"/>
                <w:bCs/>
                <w:kern w:val="0"/>
                <w:sz w:val="21"/>
                <w:szCs w:val="21"/>
              </w:rPr>
              <w:t>，</w:t>
            </w:r>
            <w:r w:rsidRPr="00232A28">
              <w:rPr>
                <w:rFonts w:ascii="Times New Roman" w:hAnsi="Times New Roman" w:cs="Times New Roman" w:hint="eastAsia"/>
                <w:bCs/>
                <w:kern w:val="0"/>
                <w:sz w:val="21"/>
                <w:szCs w:val="21"/>
              </w:rPr>
              <w:t>32.994584</w:t>
            </w:r>
            <w:r w:rsidRPr="00232A28">
              <w:rPr>
                <w:rFonts w:ascii="Times New Roman" w:hAnsi="Times New Roman" w:cs="Times New Roman"/>
                <w:bCs/>
                <w:kern w:val="0"/>
                <w:sz w:val="21"/>
                <w:szCs w:val="21"/>
              </w:rPr>
              <w:t>°N</w:t>
            </w:r>
          </w:p>
        </w:tc>
        <w:tc>
          <w:tcPr>
            <w:tcW w:w="579"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0~0.5m</w:t>
            </w:r>
          </w:p>
        </w:tc>
        <w:tc>
          <w:tcPr>
            <w:tcW w:w="361"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7.19</w:t>
            </w:r>
          </w:p>
        </w:tc>
        <w:tc>
          <w:tcPr>
            <w:tcW w:w="352"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2</w:t>
            </w:r>
            <w:r>
              <w:rPr>
                <w:rFonts w:ascii="Times New Roman" w:hAnsi="Times New Roman" w:cs="Times New Roman"/>
                <w:kern w:val="0"/>
                <w:sz w:val="21"/>
                <w:szCs w:val="21"/>
              </w:rPr>
              <w:t>0</w:t>
            </w:r>
          </w:p>
        </w:tc>
        <w:tc>
          <w:tcPr>
            <w:tcW w:w="324"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15.4</w:t>
            </w:r>
          </w:p>
        </w:tc>
        <w:tc>
          <w:tcPr>
            <w:tcW w:w="324"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2</w:t>
            </w:r>
          </w:p>
        </w:tc>
        <w:tc>
          <w:tcPr>
            <w:tcW w:w="353"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1.2</w:t>
            </w:r>
          </w:p>
        </w:tc>
        <w:tc>
          <w:tcPr>
            <w:tcW w:w="410"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11</w:t>
            </w:r>
          </w:p>
        </w:tc>
        <w:tc>
          <w:tcPr>
            <w:tcW w:w="372"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8.3</w:t>
            </w:r>
          </w:p>
        </w:tc>
        <w:tc>
          <w:tcPr>
            <w:tcW w:w="387"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60</w:t>
            </w:r>
          </w:p>
        </w:tc>
        <w:tc>
          <w:tcPr>
            <w:tcW w:w="295"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44</w:t>
            </w:r>
          </w:p>
        </w:tc>
      </w:tr>
      <w:tr w:rsidR="00232A28" w:rsidRPr="000B3D51" w:rsidTr="007F5CF1">
        <w:trPr>
          <w:trHeight w:val="272"/>
        </w:trPr>
        <w:tc>
          <w:tcPr>
            <w:tcW w:w="307" w:type="pct"/>
            <w:vMerge/>
            <w:vAlign w:val="center"/>
          </w:tcPr>
          <w:p w:rsidR="00232A28" w:rsidRPr="000B3D51" w:rsidRDefault="00232A28" w:rsidP="00232A28">
            <w:pPr>
              <w:pStyle w:val="afffffff2"/>
              <w:rPr>
                <w:rFonts w:cs="Times New Roman"/>
                <w:kern w:val="0"/>
                <w:sz w:val="21"/>
                <w:szCs w:val="21"/>
              </w:rPr>
            </w:pPr>
          </w:p>
        </w:tc>
        <w:tc>
          <w:tcPr>
            <w:tcW w:w="936" w:type="pct"/>
            <w:vMerge/>
            <w:vAlign w:val="center"/>
          </w:tcPr>
          <w:p w:rsidR="00232A28" w:rsidRPr="000B3D51" w:rsidRDefault="00232A28" w:rsidP="00232A28">
            <w:pPr>
              <w:pStyle w:val="afffffff2"/>
              <w:rPr>
                <w:rFonts w:cs="Times New Roman"/>
                <w:kern w:val="0"/>
                <w:sz w:val="21"/>
                <w:szCs w:val="21"/>
              </w:rPr>
            </w:pPr>
          </w:p>
        </w:tc>
        <w:tc>
          <w:tcPr>
            <w:tcW w:w="579"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0.5~1.5m</w:t>
            </w:r>
          </w:p>
        </w:tc>
        <w:tc>
          <w:tcPr>
            <w:tcW w:w="361"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7.60</w:t>
            </w:r>
          </w:p>
        </w:tc>
        <w:tc>
          <w:tcPr>
            <w:tcW w:w="352"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1</w:t>
            </w:r>
            <w:r>
              <w:rPr>
                <w:rFonts w:ascii="Times New Roman" w:hAnsi="Times New Roman" w:cs="Times New Roman"/>
                <w:kern w:val="0"/>
                <w:sz w:val="21"/>
                <w:szCs w:val="21"/>
              </w:rPr>
              <w:t>6</w:t>
            </w:r>
          </w:p>
        </w:tc>
        <w:tc>
          <w:tcPr>
            <w:tcW w:w="324"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17.1</w:t>
            </w:r>
          </w:p>
        </w:tc>
        <w:tc>
          <w:tcPr>
            <w:tcW w:w="324"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4</w:t>
            </w:r>
          </w:p>
        </w:tc>
        <w:tc>
          <w:tcPr>
            <w:tcW w:w="353"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8</w:t>
            </w:r>
          </w:p>
        </w:tc>
        <w:tc>
          <w:tcPr>
            <w:tcW w:w="372"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12.6</w:t>
            </w:r>
          </w:p>
        </w:tc>
        <w:tc>
          <w:tcPr>
            <w:tcW w:w="387"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64</w:t>
            </w:r>
          </w:p>
        </w:tc>
        <w:tc>
          <w:tcPr>
            <w:tcW w:w="295"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33</w:t>
            </w:r>
          </w:p>
        </w:tc>
      </w:tr>
      <w:tr w:rsidR="00232A28" w:rsidRPr="000B3D51" w:rsidTr="007F5CF1">
        <w:trPr>
          <w:trHeight w:val="272"/>
        </w:trPr>
        <w:tc>
          <w:tcPr>
            <w:tcW w:w="307" w:type="pct"/>
            <w:vMerge/>
            <w:vAlign w:val="center"/>
          </w:tcPr>
          <w:p w:rsidR="00232A28" w:rsidRPr="000B3D51" w:rsidRDefault="00232A28" w:rsidP="00232A28">
            <w:pPr>
              <w:pStyle w:val="afffffff2"/>
              <w:rPr>
                <w:rFonts w:cs="Times New Roman"/>
                <w:kern w:val="0"/>
                <w:sz w:val="21"/>
                <w:szCs w:val="21"/>
              </w:rPr>
            </w:pPr>
          </w:p>
        </w:tc>
        <w:tc>
          <w:tcPr>
            <w:tcW w:w="936" w:type="pct"/>
            <w:vMerge/>
            <w:vAlign w:val="center"/>
          </w:tcPr>
          <w:p w:rsidR="00232A28" w:rsidRPr="000B3D51" w:rsidRDefault="00232A28" w:rsidP="00232A28">
            <w:pPr>
              <w:pStyle w:val="afffffff2"/>
              <w:rPr>
                <w:rFonts w:cs="Times New Roman"/>
                <w:kern w:val="0"/>
                <w:sz w:val="21"/>
                <w:szCs w:val="21"/>
              </w:rPr>
            </w:pPr>
          </w:p>
        </w:tc>
        <w:tc>
          <w:tcPr>
            <w:tcW w:w="579"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1.5~3.0m</w:t>
            </w:r>
          </w:p>
        </w:tc>
        <w:tc>
          <w:tcPr>
            <w:tcW w:w="361"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7.34</w:t>
            </w:r>
          </w:p>
        </w:tc>
        <w:tc>
          <w:tcPr>
            <w:tcW w:w="352"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14</w:t>
            </w:r>
          </w:p>
        </w:tc>
        <w:tc>
          <w:tcPr>
            <w:tcW w:w="324"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21.5</w:t>
            </w:r>
          </w:p>
        </w:tc>
        <w:tc>
          <w:tcPr>
            <w:tcW w:w="324"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4</w:t>
            </w:r>
          </w:p>
        </w:tc>
        <w:tc>
          <w:tcPr>
            <w:tcW w:w="353"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w:t>
            </w:r>
            <w:r>
              <w:rPr>
                <w:rFonts w:ascii="Times New Roman" w:hAnsi="Times New Roman" w:cs="Times New Roman"/>
                <w:kern w:val="0"/>
                <w:sz w:val="21"/>
                <w:szCs w:val="21"/>
              </w:rPr>
              <w:t>3</w:t>
            </w:r>
          </w:p>
        </w:tc>
        <w:tc>
          <w:tcPr>
            <w:tcW w:w="372"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12.8</w:t>
            </w:r>
          </w:p>
        </w:tc>
        <w:tc>
          <w:tcPr>
            <w:tcW w:w="387"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w:t>
            </w:r>
            <w:r>
              <w:rPr>
                <w:rFonts w:ascii="Times New Roman" w:hAnsi="Times New Roman" w:cs="Times New Roman"/>
                <w:kern w:val="0"/>
                <w:sz w:val="21"/>
                <w:szCs w:val="21"/>
              </w:rPr>
              <w:t>060</w:t>
            </w:r>
          </w:p>
        </w:tc>
        <w:tc>
          <w:tcPr>
            <w:tcW w:w="295"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38</w:t>
            </w:r>
          </w:p>
        </w:tc>
      </w:tr>
      <w:tr w:rsidR="00232A28" w:rsidRPr="000B3D51" w:rsidTr="007F5CF1">
        <w:trPr>
          <w:trHeight w:val="245"/>
        </w:trPr>
        <w:tc>
          <w:tcPr>
            <w:tcW w:w="307" w:type="pct"/>
            <w:vMerge w:val="restar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T5</w:t>
            </w:r>
          </w:p>
        </w:tc>
        <w:tc>
          <w:tcPr>
            <w:tcW w:w="936" w:type="pct"/>
            <w:vMerge w:val="restart"/>
            <w:vAlign w:val="center"/>
          </w:tcPr>
          <w:p w:rsidR="00232A28" w:rsidRPr="000B3D51" w:rsidRDefault="00D405F7" w:rsidP="00232A28">
            <w:pPr>
              <w:pStyle w:val="afffffff2"/>
              <w:rPr>
                <w:rFonts w:ascii="Times New Roman" w:hAnsi="Times New Roman" w:cs="Times New Roman"/>
                <w:kern w:val="0"/>
                <w:sz w:val="21"/>
                <w:szCs w:val="21"/>
              </w:rPr>
            </w:pPr>
            <w:r w:rsidRPr="00D405F7">
              <w:rPr>
                <w:rFonts w:ascii="Times New Roman" w:hAnsi="Times New Roman" w:cs="Times New Roman" w:hint="eastAsia"/>
                <w:bCs/>
                <w:kern w:val="0"/>
                <w:sz w:val="21"/>
                <w:szCs w:val="21"/>
              </w:rPr>
              <w:t>117.575811</w:t>
            </w:r>
            <w:r w:rsidRPr="00D405F7">
              <w:rPr>
                <w:rFonts w:ascii="Times New Roman" w:hAnsi="Times New Roman" w:cs="Times New Roman"/>
                <w:bCs/>
                <w:kern w:val="0"/>
                <w:sz w:val="21"/>
                <w:szCs w:val="21"/>
              </w:rPr>
              <w:t>°E</w:t>
            </w:r>
            <w:r w:rsidRPr="00D405F7">
              <w:rPr>
                <w:rFonts w:ascii="Times New Roman" w:hAnsi="Times New Roman" w:cs="Times New Roman"/>
                <w:bCs/>
                <w:kern w:val="0"/>
                <w:sz w:val="21"/>
                <w:szCs w:val="21"/>
              </w:rPr>
              <w:t>，</w:t>
            </w:r>
            <w:r w:rsidRPr="00D405F7">
              <w:rPr>
                <w:rFonts w:ascii="Times New Roman" w:hAnsi="Times New Roman" w:cs="Times New Roman" w:hint="eastAsia"/>
                <w:bCs/>
                <w:kern w:val="0"/>
                <w:sz w:val="21"/>
                <w:szCs w:val="21"/>
              </w:rPr>
              <w:t>32.990646</w:t>
            </w:r>
            <w:r w:rsidRPr="00D405F7">
              <w:rPr>
                <w:rFonts w:ascii="Times New Roman" w:hAnsi="Times New Roman" w:cs="Times New Roman"/>
                <w:bCs/>
                <w:kern w:val="0"/>
                <w:sz w:val="21"/>
                <w:szCs w:val="21"/>
              </w:rPr>
              <w:t>°N</w:t>
            </w:r>
          </w:p>
        </w:tc>
        <w:tc>
          <w:tcPr>
            <w:tcW w:w="579"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0~0.5m</w:t>
            </w:r>
          </w:p>
        </w:tc>
        <w:tc>
          <w:tcPr>
            <w:tcW w:w="361"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7.22</w:t>
            </w:r>
          </w:p>
        </w:tc>
        <w:tc>
          <w:tcPr>
            <w:tcW w:w="352"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16</w:t>
            </w:r>
          </w:p>
        </w:tc>
        <w:tc>
          <w:tcPr>
            <w:tcW w:w="324"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18.8</w:t>
            </w:r>
          </w:p>
        </w:tc>
        <w:tc>
          <w:tcPr>
            <w:tcW w:w="324"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5</w:t>
            </w:r>
          </w:p>
        </w:tc>
        <w:tc>
          <w:tcPr>
            <w:tcW w:w="353"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1.2</w:t>
            </w:r>
          </w:p>
        </w:tc>
        <w:tc>
          <w:tcPr>
            <w:tcW w:w="410"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14</w:t>
            </w:r>
          </w:p>
        </w:tc>
        <w:tc>
          <w:tcPr>
            <w:tcW w:w="372"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13.6</w:t>
            </w:r>
          </w:p>
        </w:tc>
        <w:tc>
          <w:tcPr>
            <w:tcW w:w="387"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74</w:t>
            </w:r>
          </w:p>
        </w:tc>
        <w:tc>
          <w:tcPr>
            <w:tcW w:w="295"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34</w:t>
            </w:r>
          </w:p>
        </w:tc>
      </w:tr>
      <w:tr w:rsidR="00232A28" w:rsidRPr="000B3D51" w:rsidTr="007F5CF1">
        <w:trPr>
          <w:trHeight w:val="245"/>
        </w:trPr>
        <w:tc>
          <w:tcPr>
            <w:tcW w:w="307" w:type="pct"/>
            <w:vMerge/>
            <w:vAlign w:val="center"/>
          </w:tcPr>
          <w:p w:rsidR="00232A28" w:rsidRPr="000B3D51" w:rsidRDefault="00232A28" w:rsidP="00232A28">
            <w:pPr>
              <w:pStyle w:val="afffffff2"/>
              <w:rPr>
                <w:rFonts w:cs="Times New Roman"/>
                <w:kern w:val="0"/>
                <w:sz w:val="21"/>
                <w:szCs w:val="21"/>
              </w:rPr>
            </w:pPr>
          </w:p>
        </w:tc>
        <w:tc>
          <w:tcPr>
            <w:tcW w:w="936" w:type="pct"/>
            <w:vMerge/>
            <w:vAlign w:val="center"/>
          </w:tcPr>
          <w:p w:rsidR="00232A28" w:rsidRPr="000B3D51" w:rsidRDefault="00232A28" w:rsidP="00232A28">
            <w:pPr>
              <w:pStyle w:val="afffffff2"/>
              <w:rPr>
                <w:rFonts w:cs="Times New Roman"/>
                <w:kern w:val="0"/>
                <w:sz w:val="21"/>
                <w:szCs w:val="21"/>
              </w:rPr>
            </w:pPr>
          </w:p>
        </w:tc>
        <w:tc>
          <w:tcPr>
            <w:tcW w:w="579"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0.5~1.5m</w:t>
            </w:r>
          </w:p>
        </w:tc>
        <w:tc>
          <w:tcPr>
            <w:tcW w:w="361"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7.18</w:t>
            </w:r>
          </w:p>
        </w:tc>
        <w:tc>
          <w:tcPr>
            <w:tcW w:w="352"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1</w:t>
            </w:r>
            <w:r>
              <w:rPr>
                <w:rFonts w:ascii="Times New Roman" w:hAnsi="Times New Roman" w:cs="Times New Roman"/>
                <w:kern w:val="0"/>
                <w:sz w:val="21"/>
                <w:szCs w:val="21"/>
              </w:rPr>
              <w:t>9</w:t>
            </w:r>
          </w:p>
        </w:tc>
        <w:tc>
          <w:tcPr>
            <w:tcW w:w="324"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12.8</w:t>
            </w:r>
          </w:p>
        </w:tc>
        <w:tc>
          <w:tcPr>
            <w:tcW w:w="324"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4</w:t>
            </w:r>
          </w:p>
        </w:tc>
        <w:tc>
          <w:tcPr>
            <w:tcW w:w="353"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16</w:t>
            </w:r>
          </w:p>
        </w:tc>
        <w:tc>
          <w:tcPr>
            <w:tcW w:w="372"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13.6</w:t>
            </w:r>
          </w:p>
        </w:tc>
        <w:tc>
          <w:tcPr>
            <w:tcW w:w="387"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85</w:t>
            </w:r>
          </w:p>
        </w:tc>
        <w:tc>
          <w:tcPr>
            <w:tcW w:w="295"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50</w:t>
            </w:r>
          </w:p>
        </w:tc>
      </w:tr>
      <w:tr w:rsidR="00232A28" w:rsidRPr="000B3D51" w:rsidTr="007F5CF1">
        <w:trPr>
          <w:trHeight w:val="516"/>
        </w:trPr>
        <w:tc>
          <w:tcPr>
            <w:tcW w:w="307" w:type="pct"/>
            <w:vMerge/>
            <w:vAlign w:val="center"/>
          </w:tcPr>
          <w:p w:rsidR="00232A28" w:rsidRPr="000B3D51" w:rsidRDefault="00232A28" w:rsidP="00232A28">
            <w:pPr>
              <w:pStyle w:val="afffffff2"/>
              <w:rPr>
                <w:rFonts w:cs="Times New Roman"/>
                <w:kern w:val="0"/>
                <w:sz w:val="21"/>
                <w:szCs w:val="21"/>
              </w:rPr>
            </w:pPr>
          </w:p>
        </w:tc>
        <w:tc>
          <w:tcPr>
            <w:tcW w:w="936" w:type="pct"/>
            <w:vMerge/>
            <w:vAlign w:val="center"/>
          </w:tcPr>
          <w:p w:rsidR="00232A28" w:rsidRPr="000B3D51" w:rsidRDefault="00232A28" w:rsidP="00232A28">
            <w:pPr>
              <w:pStyle w:val="afffffff2"/>
              <w:rPr>
                <w:rFonts w:cs="Times New Roman"/>
                <w:kern w:val="0"/>
                <w:sz w:val="21"/>
                <w:szCs w:val="21"/>
              </w:rPr>
            </w:pPr>
          </w:p>
        </w:tc>
        <w:tc>
          <w:tcPr>
            <w:tcW w:w="579"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1.5~3.0m</w:t>
            </w:r>
          </w:p>
        </w:tc>
        <w:tc>
          <w:tcPr>
            <w:tcW w:w="361"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7.24</w:t>
            </w:r>
          </w:p>
        </w:tc>
        <w:tc>
          <w:tcPr>
            <w:tcW w:w="352"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15</w:t>
            </w:r>
          </w:p>
        </w:tc>
        <w:tc>
          <w:tcPr>
            <w:tcW w:w="324"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7.87</w:t>
            </w:r>
          </w:p>
        </w:tc>
        <w:tc>
          <w:tcPr>
            <w:tcW w:w="324"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5</w:t>
            </w:r>
          </w:p>
        </w:tc>
        <w:tc>
          <w:tcPr>
            <w:tcW w:w="353"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w:t>
            </w:r>
            <w:r>
              <w:rPr>
                <w:rFonts w:ascii="Times New Roman" w:hAnsi="Times New Roman" w:cs="Times New Roman"/>
                <w:kern w:val="0"/>
                <w:sz w:val="21"/>
                <w:szCs w:val="21"/>
              </w:rPr>
              <w:t>2</w:t>
            </w:r>
          </w:p>
        </w:tc>
        <w:tc>
          <w:tcPr>
            <w:tcW w:w="372"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13.1</w:t>
            </w:r>
          </w:p>
        </w:tc>
        <w:tc>
          <w:tcPr>
            <w:tcW w:w="387" w:type="pct"/>
            <w:vAlign w:val="center"/>
          </w:tcPr>
          <w:p w:rsidR="00232A28" w:rsidRPr="000B3D51" w:rsidRDefault="00232A28" w:rsidP="00232A28">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w:t>
            </w:r>
            <w:r>
              <w:rPr>
                <w:rFonts w:ascii="Times New Roman" w:hAnsi="Times New Roman" w:cs="Times New Roman"/>
                <w:kern w:val="0"/>
                <w:sz w:val="21"/>
                <w:szCs w:val="21"/>
              </w:rPr>
              <w:t>063</w:t>
            </w:r>
          </w:p>
        </w:tc>
        <w:tc>
          <w:tcPr>
            <w:tcW w:w="295" w:type="pct"/>
            <w:vAlign w:val="center"/>
          </w:tcPr>
          <w:p w:rsidR="00232A28" w:rsidRPr="000B3D51" w:rsidRDefault="00232A28" w:rsidP="00232A28">
            <w:pPr>
              <w:pStyle w:val="afffffff2"/>
              <w:rPr>
                <w:rFonts w:ascii="Times New Roman" w:hAnsi="Times New Roman" w:cs="Times New Roman"/>
                <w:kern w:val="0"/>
                <w:sz w:val="21"/>
                <w:szCs w:val="21"/>
              </w:rPr>
            </w:pPr>
            <w:r>
              <w:rPr>
                <w:rFonts w:ascii="Times New Roman" w:hAnsi="Times New Roman" w:cs="Times New Roman"/>
                <w:kern w:val="0"/>
                <w:sz w:val="21"/>
                <w:szCs w:val="21"/>
              </w:rPr>
              <w:t>33</w:t>
            </w:r>
          </w:p>
        </w:tc>
      </w:tr>
      <w:tr w:rsidR="007F5CF1" w:rsidRPr="000B3D51" w:rsidTr="007F5CF1">
        <w:trPr>
          <w:trHeight w:val="245"/>
        </w:trPr>
        <w:tc>
          <w:tcPr>
            <w:tcW w:w="307" w:type="pct"/>
            <w:vMerge w:val="restar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T</w:t>
            </w:r>
            <w:r>
              <w:rPr>
                <w:rFonts w:ascii="Times New Roman" w:hAnsi="Times New Roman" w:cs="Times New Roman"/>
                <w:kern w:val="0"/>
                <w:sz w:val="21"/>
                <w:szCs w:val="21"/>
              </w:rPr>
              <w:t>6</w:t>
            </w:r>
          </w:p>
        </w:tc>
        <w:tc>
          <w:tcPr>
            <w:tcW w:w="936" w:type="pct"/>
            <w:vMerge w:val="restart"/>
            <w:vAlign w:val="center"/>
          </w:tcPr>
          <w:p w:rsidR="007F5CF1" w:rsidRPr="000B3D51" w:rsidRDefault="007F5CF1" w:rsidP="007F5CF1">
            <w:pPr>
              <w:pStyle w:val="afffffff2"/>
              <w:rPr>
                <w:rFonts w:ascii="Times New Roman" w:hAnsi="Times New Roman" w:cs="Times New Roman"/>
                <w:kern w:val="0"/>
                <w:sz w:val="21"/>
                <w:szCs w:val="21"/>
              </w:rPr>
            </w:pPr>
            <w:r w:rsidRPr="007F5CF1">
              <w:rPr>
                <w:rFonts w:ascii="Times New Roman" w:hAnsi="Times New Roman" w:cs="Times New Roman" w:hint="eastAsia"/>
                <w:bCs/>
                <w:kern w:val="0"/>
                <w:sz w:val="21"/>
                <w:szCs w:val="21"/>
              </w:rPr>
              <w:t>117.572760</w:t>
            </w:r>
            <w:r w:rsidRPr="007F5CF1">
              <w:rPr>
                <w:rFonts w:ascii="Times New Roman" w:hAnsi="Times New Roman" w:cs="Times New Roman"/>
                <w:bCs/>
                <w:kern w:val="0"/>
                <w:sz w:val="21"/>
                <w:szCs w:val="21"/>
              </w:rPr>
              <w:t>°E</w:t>
            </w:r>
            <w:r w:rsidRPr="007F5CF1">
              <w:rPr>
                <w:rFonts w:ascii="Times New Roman" w:hAnsi="Times New Roman" w:cs="Times New Roman"/>
                <w:bCs/>
                <w:kern w:val="0"/>
                <w:sz w:val="21"/>
                <w:szCs w:val="21"/>
              </w:rPr>
              <w:t>，</w:t>
            </w:r>
            <w:r w:rsidRPr="007F5CF1">
              <w:rPr>
                <w:rFonts w:ascii="Times New Roman" w:hAnsi="Times New Roman" w:cs="Times New Roman" w:hint="eastAsia"/>
                <w:bCs/>
                <w:kern w:val="0"/>
                <w:sz w:val="21"/>
                <w:szCs w:val="21"/>
              </w:rPr>
              <w:t>32.992555</w:t>
            </w:r>
            <w:r w:rsidRPr="007F5CF1">
              <w:rPr>
                <w:rFonts w:ascii="Times New Roman" w:hAnsi="Times New Roman" w:cs="Times New Roman"/>
                <w:bCs/>
                <w:kern w:val="0"/>
                <w:sz w:val="21"/>
                <w:szCs w:val="21"/>
              </w:rPr>
              <w:t>°N</w:t>
            </w:r>
          </w:p>
        </w:tc>
        <w:tc>
          <w:tcPr>
            <w:tcW w:w="579"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0~0.5m</w:t>
            </w:r>
          </w:p>
        </w:tc>
        <w:tc>
          <w:tcPr>
            <w:tcW w:w="361"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7.34</w:t>
            </w:r>
          </w:p>
        </w:tc>
        <w:tc>
          <w:tcPr>
            <w:tcW w:w="352"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29</w:t>
            </w:r>
          </w:p>
        </w:tc>
        <w:tc>
          <w:tcPr>
            <w:tcW w:w="324"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3.12</w:t>
            </w:r>
          </w:p>
        </w:tc>
        <w:tc>
          <w:tcPr>
            <w:tcW w:w="324"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w:t>
            </w:r>
            <w:r>
              <w:rPr>
                <w:rFonts w:ascii="Times New Roman" w:hAnsi="Times New Roman" w:cs="Times New Roman"/>
                <w:kern w:val="0"/>
                <w:sz w:val="21"/>
                <w:szCs w:val="21"/>
              </w:rPr>
              <w:t>11</w:t>
            </w:r>
          </w:p>
        </w:tc>
        <w:tc>
          <w:tcPr>
            <w:tcW w:w="353"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10</w:t>
            </w:r>
          </w:p>
        </w:tc>
        <w:tc>
          <w:tcPr>
            <w:tcW w:w="372"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11.0</w:t>
            </w:r>
          </w:p>
        </w:tc>
        <w:tc>
          <w:tcPr>
            <w:tcW w:w="387"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90</w:t>
            </w:r>
          </w:p>
        </w:tc>
        <w:tc>
          <w:tcPr>
            <w:tcW w:w="295"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34</w:t>
            </w:r>
          </w:p>
        </w:tc>
      </w:tr>
      <w:tr w:rsidR="007F5CF1" w:rsidRPr="000B3D51" w:rsidTr="007F5CF1">
        <w:trPr>
          <w:trHeight w:val="245"/>
        </w:trPr>
        <w:tc>
          <w:tcPr>
            <w:tcW w:w="307" w:type="pct"/>
            <w:vMerge/>
            <w:vAlign w:val="center"/>
          </w:tcPr>
          <w:p w:rsidR="007F5CF1" w:rsidRPr="000B3D51" w:rsidRDefault="007F5CF1" w:rsidP="007F5CF1">
            <w:pPr>
              <w:pStyle w:val="afffffff2"/>
              <w:rPr>
                <w:rFonts w:cs="Times New Roman"/>
                <w:kern w:val="0"/>
                <w:sz w:val="21"/>
                <w:szCs w:val="21"/>
              </w:rPr>
            </w:pPr>
          </w:p>
        </w:tc>
        <w:tc>
          <w:tcPr>
            <w:tcW w:w="936" w:type="pct"/>
            <w:vMerge/>
            <w:vAlign w:val="center"/>
          </w:tcPr>
          <w:p w:rsidR="007F5CF1" w:rsidRPr="000B3D51" w:rsidRDefault="007F5CF1" w:rsidP="007F5CF1">
            <w:pPr>
              <w:pStyle w:val="afffffff2"/>
              <w:rPr>
                <w:rFonts w:cs="Times New Roman"/>
                <w:kern w:val="0"/>
                <w:sz w:val="21"/>
                <w:szCs w:val="21"/>
              </w:rPr>
            </w:pPr>
          </w:p>
        </w:tc>
        <w:tc>
          <w:tcPr>
            <w:tcW w:w="579"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0.5~1.5m</w:t>
            </w:r>
          </w:p>
        </w:tc>
        <w:tc>
          <w:tcPr>
            <w:tcW w:w="361"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7.29</w:t>
            </w:r>
          </w:p>
        </w:tc>
        <w:tc>
          <w:tcPr>
            <w:tcW w:w="352"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24</w:t>
            </w:r>
          </w:p>
        </w:tc>
        <w:tc>
          <w:tcPr>
            <w:tcW w:w="324"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2.08</w:t>
            </w:r>
          </w:p>
        </w:tc>
        <w:tc>
          <w:tcPr>
            <w:tcW w:w="324"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5</w:t>
            </w:r>
          </w:p>
        </w:tc>
        <w:tc>
          <w:tcPr>
            <w:tcW w:w="353"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16</w:t>
            </w:r>
          </w:p>
        </w:tc>
        <w:tc>
          <w:tcPr>
            <w:tcW w:w="372"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14.9</w:t>
            </w:r>
          </w:p>
        </w:tc>
        <w:tc>
          <w:tcPr>
            <w:tcW w:w="387"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61</w:t>
            </w:r>
          </w:p>
        </w:tc>
        <w:tc>
          <w:tcPr>
            <w:tcW w:w="295"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45</w:t>
            </w:r>
          </w:p>
        </w:tc>
      </w:tr>
      <w:tr w:rsidR="007F5CF1" w:rsidRPr="000B3D51" w:rsidTr="007F5CF1">
        <w:trPr>
          <w:trHeight w:val="245"/>
        </w:trPr>
        <w:tc>
          <w:tcPr>
            <w:tcW w:w="307" w:type="pct"/>
            <w:vMerge/>
            <w:vAlign w:val="center"/>
          </w:tcPr>
          <w:p w:rsidR="007F5CF1" w:rsidRPr="000B3D51" w:rsidRDefault="007F5CF1" w:rsidP="007F5CF1">
            <w:pPr>
              <w:pStyle w:val="afffffff2"/>
              <w:rPr>
                <w:rFonts w:cs="Times New Roman"/>
                <w:kern w:val="0"/>
                <w:sz w:val="21"/>
                <w:szCs w:val="21"/>
              </w:rPr>
            </w:pPr>
          </w:p>
        </w:tc>
        <w:tc>
          <w:tcPr>
            <w:tcW w:w="936" w:type="pct"/>
            <w:vMerge/>
            <w:vAlign w:val="center"/>
          </w:tcPr>
          <w:p w:rsidR="007F5CF1" w:rsidRPr="000B3D51" w:rsidRDefault="007F5CF1" w:rsidP="007F5CF1">
            <w:pPr>
              <w:pStyle w:val="afffffff2"/>
              <w:rPr>
                <w:rFonts w:cs="Times New Roman"/>
                <w:kern w:val="0"/>
                <w:sz w:val="21"/>
                <w:szCs w:val="21"/>
              </w:rPr>
            </w:pPr>
          </w:p>
        </w:tc>
        <w:tc>
          <w:tcPr>
            <w:tcW w:w="579"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1.5~3.0m</w:t>
            </w:r>
          </w:p>
        </w:tc>
        <w:tc>
          <w:tcPr>
            <w:tcW w:w="361"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7.23</w:t>
            </w:r>
          </w:p>
        </w:tc>
        <w:tc>
          <w:tcPr>
            <w:tcW w:w="352"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16</w:t>
            </w:r>
          </w:p>
        </w:tc>
        <w:tc>
          <w:tcPr>
            <w:tcW w:w="324"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7.04</w:t>
            </w:r>
          </w:p>
        </w:tc>
        <w:tc>
          <w:tcPr>
            <w:tcW w:w="324"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4</w:t>
            </w:r>
          </w:p>
        </w:tc>
        <w:tc>
          <w:tcPr>
            <w:tcW w:w="353"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w:t>
            </w:r>
            <w:r>
              <w:rPr>
                <w:rFonts w:ascii="Times New Roman" w:hAnsi="Times New Roman" w:cs="Times New Roman"/>
                <w:kern w:val="0"/>
                <w:sz w:val="21"/>
                <w:szCs w:val="21"/>
              </w:rPr>
              <w:t>1</w:t>
            </w:r>
          </w:p>
        </w:tc>
        <w:tc>
          <w:tcPr>
            <w:tcW w:w="372"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11.9</w:t>
            </w:r>
          </w:p>
        </w:tc>
        <w:tc>
          <w:tcPr>
            <w:tcW w:w="387"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w:t>
            </w:r>
            <w:r>
              <w:rPr>
                <w:rFonts w:ascii="Times New Roman" w:hAnsi="Times New Roman" w:cs="Times New Roman"/>
                <w:kern w:val="0"/>
                <w:sz w:val="21"/>
                <w:szCs w:val="21"/>
              </w:rPr>
              <w:t>056</w:t>
            </w:r>
          </w:p>
        </w:tc>
        <w:tc>
          <w:tcPr>
            <w:tcW w:w="295"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36</w:t>
            </w:r>
          </w:p>
        </w:tc>
      </w:tr>
      <w:tr w:rsidR="007F5CF1" w:rsidRPr="000B3D51" w:rsidTr="007F5CF1">
        <w:trPr>
          <w:trHeight w:val="245"/>
        </w:trPr>
        <w:tc>
          <w:tcPr>
            <w:tcW w:w="307" w:type="pct"/>
            <w:vMerge w:val="restar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T</w:t>
            </w:r>
            <w:r>
              <w:rPr>
                <w:rFonts w:ascii="Times New Roman" w:hAnsi="Times New Roman" w:cs="Times New Roman"/>
                <w:kern w:val="0"/>
                <w:sz w:val="21"/>
                <w:szCs w:val="21"/>
              </w:rPr>
              <w:t>7</w:t>
            </w:r>
          </w:p>
        </w:tc>
        <w:tc>
          <w:tcPr>
            <w:tcW w:w="936" w:type="pct"/>
            <w:vMerge w:val="restart"/>
            <w:vAlign w:val="center"/>
          </w:tcPr>
          <w:p w:rsidR="007F5CF1" w:rsidRPr="000B3D51" w:rsidRDefault="007F5CF1" w:rsidP="007F5CF1">
            <w:pPr>
              <w:pStyle w:val="afffffff2"/>
              <w:rPr>
                <w:rFonts w:ascii="Times New Roman" w:hAnsi="Times New Roman" w:cs="Times New Roman"/>
                <w:kern w:val="0"/>
                <w:sz w:val="21"/>
                <w:szCs w:val="21"/>
              </w:rPr>
            </w:pPr>
            <w:r w:rsidRPr="007F5CF1">
              <w:rPr>
                <w:rFonts w:ascii="Times New Roman" w:hAnsi="Times New Roman" w:cs="Times New Roman" w:hint="eastAsia"/>
                <w:bCs/>
                <w:kern w:val="0"/>
                <w:sz w:val="21"/>
                <w:szCs w:val="21"/>
              </w:rPr>
              <w:t>117.574861</w:t>
            </w:r>
            <w:r w:rsidRPr="007F5CF1">
              <w:rPr>
                <w:rFonts w:ascii="Times New Roman" w:hAnsi="Times New Roman" w:cs="Times New Roman"/>
                <w:bCs/>
                <w:kern w:val="0"/>
                <w:sz w:val="21"/>
                <w:szCs w:val="21"/>
              </w:rPr>
              <w:t>°E</w:t>
            </w:r>
            <w:r w:rsidRPr="007F5CF1">
              <w:rPr>
                <w:rFonts w:ascii="Times New Roman" w:hAnsi="Times New Roman" w:cs="Times New Roman"/>
                <w:bCs/>
                <w:kern w:val="0"/>
                <w:sz w:val="21"/>
                <w:szCs w:val="21"/>
              </w:rPr>
              <w:t>，</w:t>
            </w:r>
            <w:r w:rsidRPr="007F5CF1">
              <w:rPr>
                <w:rFonts w:ascii="Times New Roman" w:hAnsi="Times New Roman" w:cs="Times New Roman" w:hint="eastAsia"/>
                <w:bCs/>
                <w:kern w:val="0"/>
                <w:sz w:val="21"/>
                <w:szCs w:val="21"/>
              </w:rPr>
              <w:t>32.991954</w:t>
            </w:r>
            <w:r w:rsidRPr="007F5CF1">
              <w:rPr>
                <w:rFonts w:ascii="Times New Roman" w:hAnsi="Times New Roman" w:cs="Times New Roman"/>
                <w:bCs/>
                <w:kern w:val="0"/>
                <w:sz w:val="21"/>
                <w:szCs w:val="21"/>
              </w:rPr>
              <w:t>°N</w:t>
            </w:r>
          </w:p>
        </w:tc>
        <w:tc>
          <w:tcPr>
            <w:tcW w:w="579"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0~0.5m</w:t>
            </w:r>
          </w:p>
        </w:tc>
        <w:tc>
          <w:tcPr>
            <w:tcW w:w="361"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7.55</w:t>
            </w:r>
          </w:p>
        </w:tc>
        <w:tc>
          <w:tcPr>
            <w:tcW w:w="352"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33</w:t>
            </w:r>
          </w:p>
        </w:tc>
        <w:tc>
          <w:tcPr>
            <w:tcW w:w="324"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13.5</w:t>
            </w:r>
          </w:p>
        </w:tc>
        <w:tc>
          <w:tcPr>
            <w:tcW w:w="324"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9</w:t>
            </w:r>
          </w:p>
        </w:tc>
        <w:tc>
          <w:tcPr>
            <w:tcW w:w="353"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18</w:t>
            </w:r>
          </w:p>
        </w:tc>
        <w:tc>
          <w:tcPr>
            <w:tcW w:w="372"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22.2</w:t>
            </w:r>
          </w:p>
        </w:tc>
        <w:tc>
          <w:tcPr>
            <w:tcW w:w="387"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90</w:t>
            </w:r>
          </w:p>
        </w:tc>
        <w:tc>
          <w:tcPr>
            <w:tcW w:w="295"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36</w:t>
            </w:r>
          </w:p>
        </w:tc>
      </w:tr>
      <w:tr w:rsidR="007F5CF1" w:rsidRPr="000B3D51" w:rsidTr="007F5CF1">
        <w:trPr>
          <w:trHeight w:val="245"/>
        </w:trPr>
        <w:tc>
          <w:tcPr>
            <w:tcW w:w="307" w:type="pct"/>
            <w:vMerge/>
            <w:vAlign w:val="center"/>
          </w:tcPr>
          <w:p w:rsidR="007F5CF1" w:rsidRPr="000B3D51" w:rsidRDefault="007F5CF1" w:rsidP="007F5CF1">
            <w:pPr>
              <w:pStyle w:val="afffffff2"/>
              <w:rPr>
                <w:rFonts w:cs="Times New Roman"/>
                <w:kern w:val="0"/>
                <w:sz w:val="21"/>
                <w:szCs w:val="21"/>
              </w:rPr>
            </w:pPr>
          </w:p>
        </w:tc>
        <w:tc>
          <w:tcPr>
            <w:tcW w:w="936" w:type="pct"/>
            <w:vMerge/>
            <w:vAlign w:val="center"/>
          </w:tcPr>
          <w:p w:rsidR="007F5CF1" w:rsidRPr="000B3D51" w:rsidRDefault="007F5CF1" w:rsidP="007F5CF1">
            <w:pPr>
              <w:pStyle w:val="afffffff2"/>
              <w:rPr>
                <w:rFonts w:cs="Times New Roman"/>
                <w:kern w:val="0"/>
                <w:sz w:val="21"/>
                <w:szCs w:val="21"/>
              </w:rPr>
            </w:pPr>
          </w:p>
        </w:tc>
        <w:tc>
          <w:tcPr>
            <w:tcW w:w="579"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0.5~1.5m</w:t>
            </w:r>
          </w:p>
        </w:tc>
        <w:tc>
          <w:tcPr>
            <w:tcW w:w="361"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7.57</w:t>
            </w:r>
          </w:p>
        </w:tc>
        <w:tc>
          <w:tcPr>
            <w:tcW w:w="352"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64</w:t>
            </w:r>
          </w:p>
        </w:tc>
        <w:tc>
          <w:tcPr>
            <w:tcW w:w="324"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8.09</w:t>
            </w:r>
          </w:p>
        </w:tc>
        <w:tc>
          <w:tcPr>
            <w:tcW w:w="324"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2</w:t>
            </w:r>
          </w:p>
        </w:tc>
        <w:tc>
          <w:tcPr>
            <w:tcW w:w="353"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14</w:t>
            </w:r>
          </w:p>
        </w:tc>
        <w:tc>
          <w:tcPr>
            <w:tcW w:w="372"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14.0</w:t>
            </w:r>
          </w:p>
        </w:tc>
        <w:tc>
          <w:tcPr>
            <w:tcW w:w="387"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48</w:t>
            </w:r>
          </w:p>
        </w:tc>
        <w:tc>
          <w:tcPr>
            <w:tcW w:w="295"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40</w:t>
            </w:r>
          </w:p>
        </w:tc>
      </w:tr>
      <w:tr w:rsidR="007F5CF1" w:rsidRPr="000B3D51" w:rsidTr="007F5CF1">
        <w:trPr>
          <w:trHeight w:val="245"/>
        </w:trPr>
        <w:tc>
          <w:tcPr>
            <w:tcW w:w="307" w:type="pct"/>
            <w:vMerge/>
            <w:vAlign w:val="center"/>
          </w:tcPr>
          <w:p w:rsidR="007F5CF1" w:rsidRPr="000B3D51" w:rsidRDefault="007F5CF1" w:rsidP="007F5CF1">
            <w:pPr>
              <w:pStyle w:val="afffffff2"/>
              <w:rPr>
                <w:rFonts w:cs="Times New Roman"/>
                <w:kern w:val="0"/>
                <w:sz w:val="21"/>
                <w:szCs w:val="21"/>
              </w:rPr>
            </w:pPr>
          </w:p>
        </w:tc>
        <w:tc>
          <w:tcPr>
            <w:tcW w:w="936" w:type="pct"/>
            <w:vMerge/>
            <w:vAlign w:val="center"/>
          </w:tcPr>
          <w:p w:rsidR="007F5CF1" w:rsidRPr="000B3D51" w:rsidRDefault="007F5CF1" w:rsidP="007F5CF1">
            <w:pPr>
              <w:pStyle w:val="afffffff2"/>
              <w:rPr>
                <w:rFonts w:cs="Times New Roman"/>
                <w:kern w:val="0"/>
                <w:sz w:val="21"/>
                <w:szCs w:val="21"/>
              </w:rPr>
            </w:pPr>
          </w:p>
        </w:tc>
        <w:tc>
          <w:tcPr>
            <w:tcW w:w="579"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1.5~</w:t>
            </w:r>
            <w:r>
              <w:rPr>
                <w:rFonts w:ascii="Times New Roman" w:hAnsi="Times New Roman" w:cs="Times New Roman"/>
                <w:kern w:val="0"/>
                <w:sz w:val="21"/>
                <w:szCs w:val="21"/>
              </w:rPr>
              <w:t>4.5</w:t>
            </w:r>
            <w:r w:rsidRPr="000B3D51">
              <w:rPr>
                <w:rFonts w:ascii="Times New Roman" w:hAnsi="Times New Roman" w:cs="Times New Roman"/>
                <w:kern w:val="0"/>
                <w:sz w:val="21"/>
                <w:szCs w:val="21"/>
              </w:rPr>
              <w:t>m</w:t>
            </w:r>
          </w:p>
        </w:tc>
        <w:tc>
          <w:tcPr>
            <w:tcW w:w="361"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7.53</w:t>
            </w:r>
          </w:p>
        </w:tc>
        <w:tc>
          <w:tcPr>
            <w:tcW w:w="352"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66</w:t>
            </w:r>
          </w:p>
        </w:tc>
        <w:tc>
          <w:tcPr>
            <w:tcW w:w="324"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18.1</w:t>
            </w:r>
          </w:p>
        </w:tc>
        <w:tc>
          <w:tcPr>
            <w:tcW w:w="324"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5</w:t>
            </w:r>
          </w:p>
        </w:tc>
        <w:tc>
          <w:tcPr>
            <w:tcW w:w="353"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w:t>
            </w:r>
            <w:r>
              <w:rPr>
                <w:rFonts w:ascii="Times New Roman" w:hAnsi="Times New Roman" w:cs="Times New Roman"/>
                <w:kern w:val="0"/>
                <w:sz w:val="21"/>
                <w:szCs w:val="21"/>
              </w:rPr>
              <w:t>8</w:t>
            </w:r>
          </w:p>
        </w:tc>
        <w:tc>
          <w:tcPr>
            <w:tcW w:w="372"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15.3</w:t>
            </w:r>
          </w:p>
        </w:tc>
        <w:tc>
          <w:tcPr>
            <w:tcW w:w="387" w:type="pct"/>
            <w:vAlign w:val="center"/>
          </w:tcPr>
          <w:p w:rsidR="007F5CF1" w:rsidRPr="000B3D51" w:rsidRDefault="007F5CF1" w:rsidP="007F5CF1">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w:t>
            </w:r>
            <w:r>
              <w:rPr>
                <w:rFonts w:ascii="Times New Roman" w:hAnsi="Times New Roman" w:cs="Times New Roman"/>
                <w:kern w:val="0"/>
                <w:sz w:val="21"/>
                <w:szCs w:val="21"/>
              </w:rPr>
              <w:t>083</w:t>
            </w:r>
          </w:p>
        </w:tc>
        <w:tc>
          <w:tcPr>
            <w:tcW w:w="295" w:type="pct"/>
            <w:vAlign w:val="center"/>
          </w:tcPr>
          <w:p w:rsidR="007F5CF1" w:rsidRPr="000B3D51" w:rsidRDefault="007F5CF1" w:rsidP="007F5CF1">
            <w:pPr>
              <w:pStyle w:val="afffffff2"/>
              <w:rPr>
                <w:rFonts w:ascii="Times New Roman" w:hAnsi="Times New Roman" w:cs="Times New Roman"/>
                <w:kern w:val="0"/>
                <w:sz w:val="21"/>
                <w:szCs w:val="21"/>
              </w:rPr>
            </w:pPr>
            <w:r>
              <w:rPr>
                <w:rFonts w:ascii="Times New Roman" w:hAnsi="Times New Roman" w:cs="Times New Roman"/>
                <w:kern w:val="0"/>
                <w:sz w:val="21"/>
                <w:szCs w:val="21"/>
              </w:rPr>
              <w:t>39</w:t>
            </w:r>
          </w:p>
        </w:tc>
      </w:tr>
      <w:tr w:rsidR="00446A0D" w:rsidRPr="000B3D51" w:rsidTr="007F5CF1">
        <w:trPr>
          <w:trHeight w:val="245"/>
        </w:trPr>
        <w:tc>
          <w:tcPr>
            <w:tcW w:w="307"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lastRenderedPageBreak/>
              <w:t>T</w:t>
            </w:r>
            <w:r>
              <w:rPr>
                <w:rFonts w:ascii="Times New Roman" w:hAnsi="Times New Roman" w:cs="Times New Roman"/>
                <w:kern w:val="0"/>
                <w:sz w:val="21"/>
                <w:szCs w:val="21"/>
              </w:rPr>
              <w:t>8</w:t>
            </w:r>
          </w:p>
        </w:tc>
        <w:tc>
          <w:tcPr>
            <w:tcW w:w="936" w:type="pct"/>
            <w:vAlign w:val="center"/>
          </w:tcPr>
          <w:p w:rsidR="00446A0D" w:rsidRPr="000B3D51" w:rsidRDefault="00446A0D" w:rsidP="00446A0D">
            <w:pPr>
              <w:pStyle w:val="afffffff2"/>
              <w:rPr>
                <w:rFonts w:ascii="Times New Roman" w:hAnsi="Times New Roman" w:cs="Times New Roman"/>
                <w:kern w:val="0"/>
                <w:sz w:val="21"/>
                <w:szCs w:val="21"/>
              </w:rPr>
            </w:pPr>
            <w:r>
              <w:rPr>
                <w:rFonts w:ascii="Times New Roman" w:hAnsi="Times New Roman" w:cs="Times New Roman" w:hint="eastAsia"/>
                <w:bCs/>
                <w:sz w:val="21"/>
                <w:szCs w:val="21"/>
              </w:rPr>
              <w:t>117.584277</w:t>
            </w:r>
            <w:r>
              <w:rPr>
                <w:rFonts w:ascii="Times New Roman" w:hAnsi="Times New Roman" w:cs="Times New Roman"/>
                <w:bCs/>
                <w:sz w:val="21"/>
                <w:szCs w:val="21"/>
              </w:rPr>
              <w:t>°E</w:t>
            </w:r>
            <w:r>
              <w:rPr>
                <w:rFonts w:ascii="Times New Roman" w:hAnsi="Times New Roman" w:cs="Times New Roman"/>
                <w:bCs/>
                <w:sz w:val="21"/>
                <w:szCs w:val="21"/>
              </w:rPr>
              <w:t>，</w:t>
            </w:r>
            <w:r>
              <w:rPr>
                <w:rFonts w:ascii="Times New Roman" w:hAnsi="Times New Roman" w:cs="Times New Roman"/>
                <w:bCs/>
                <w:sz w:val="21"/>
                <w:szCs w:val="21"/>
              </w:rPr>
              <w:t xml:space="preserve"> 3</w:t>
            </w:r>
            <w:r>
              <w:rPr>
                <w:rFonts w:ascii="Times New Roman" w:hAnsi="Times New Roman" w:cs="Times New Roman" w:hint="eastAsia"/>
                <w:bCs/>
                <w:sz w:val="21"/>
                <w:szCs w:val="21"/>
              </w:rPr>
              <w:t>2.980128</w:t>
            </w:r>
            <w:r>
              <w:rPr>
                <w:rFonts w:ascii="Times New Roman" w:hAnsi="Times New Roman" w:cs="Times New Roman"/>
                <w:bCs/>
                <w:sz w:val="21"/>
                <w:szCs w:val="21"/>
              </w:rPr>
              <w:t>°N</w:t>
            </w:r>
          </w:p>
        </w:tc>
        <w:tc>
          <w:tcPr>
            <w:tcW w:w="579"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2</w:t>
            </w:r>
            <w:r w:rsidRPr="000B3D51">
              <w:rPr>
                <w:rFonts w:ascii="Times New Roman" w:hAnsi="Times New Roman" w:cs="Times New Roman"/>
                <w:kern w:val="0"/>
                <w:sz w:val="21"/>
                <w:szCs w:val="21"/>
              </w:rPr>
              <w:t>m</w:t>
            </w:r>
          </w:p>
        </w:tc>
        <w:tc>
          <w:tcPr>
            <w:tcW w:w="361" w:type="pct"/>
            <w:vAlign w:val="center"/>
          </w:tcPr>
          <w:p w:rsidR="00446A0D" w:rsidRPr="000B3D51" w:rsidRDefault="00446A0D" w:rsidP="00446A0D">
            <w:pPr>
              <w:pStyle w:val="afffffff2"/>
              <w:rPr>
                <w:rFonts w:ascii="Times New Roman" w:hAnsi="Times New Roman" w:cs="Times New Roman"/>
                <w:kern w:val="0"/>
                <w:sz w:val="21"/>
                <w:szCs w:val="21"/>
              </w:rPr>
            </w:pPr>
            <w:r>
              <w:rPr>
                <w:rFonts w:ascii="Times New Roman" w:hAnsi="Times New Roman" w:cs="Times New Roman"/>
                <w:kern w:val="0"/>
                <w:sz w:val="21"/>
                <w:szCs w:val="21"/>
              </w:rPr>
              <w:t>7.33</w:t>
            </w:r>
          </w:p>
        </w:tc>
        <w:tc>
          <w:tcPr>
            <w:tcW w:w="352" w:type="pct"/>
            <w:vAlign w:val="center"/>
          </w:tcPr>
          <w:p w:rsidR="00446A0D" w:rsidRPr="000B3D51" w:rsidRDefault="00446A0D" w:rsidP="00446A0D">
            <w:pPr>
              <w:pStyle w:val="afffffff2"/>
              <w:rPr>
                <w:rFonts w:ascii="Times New Roman" w:hAnsi="Times New Roman" w:cs="Times New Roman"/>
                <w:kern w:val="0"/>
                <w:sz w:val="21"/>
                <w:szCs w:val="21"/>
              </w:rPr>
            </w:pPr>
            <w:r>
              <w:rPr>
                <w:rFonts w:ascii="Times New Roman" w:hAnsi="Times New Roman" w:cs="Times New Roman"/>
                <w:kern w:val="0"/>
                <w:sz w:val="21"/>
                <w:szCs w:val="21"/>
              </w:rPr>
              <w:t>19</w:t>
            </w:r>
          </w:p>
        </w:tc>
        <w:tc>
          <w:tcPr>
            <w:tcW w:w="324" w:type="pct"/>
            <w:vAlign w:val="center"/>
          </w:tcPr>
          <w:p w:rsidR="00446A0D" w:rsidRPr="000B3D51" w:rsidRDefault="00446A0D" w:rsidP="00446A0D">
            <w:pPr>
              <w:pStyle w:val="afffffff2"/>
              <w:rPr>
                <w:rFonts w:ascii="Times New Roman" w:hAnsi="Times New Roman" w:cs="Times New Roman"/>
                <w:kern w:val="0"/>
                <w:sz w:val="21"/>
                <w:szCs w:val="21"/>
              </w:rPr>
            </w:pPr>
            <w:r>
              <w:rPr>
                <w:rFonts w:ascii="Times New Roman" w:hAnsi="Times New Roman" w:cs="Times New Roman"/>
                <w:kern w:val="0"/>
                <w:sz w:val="21"/>
                <w:szCs w:val="21"/>
              </w:rPr>
              <w:t>16.7</w:t>
            </w:r>
          </w:p>
        </w:tc>
        <w:tc>
          <w:tcPr>
            <w:tcW w:w="324"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8</w:t>
            </w:r>
          </w:p>
        </w:tc>
        <w:tc>
          <w:tcPr>
            <w:tcW w:w="353"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446A0D" w:rsidRPr="000B3D51" w:rsidRDefault="00446A0D" w:rsidP="00446A0D">
            <w:pPr>
              <w:pStyle w:val="afffffff2"/>
              <w:rPr>
                <w:rFonts w:ascii="Times New Roman" w:hAnsi="Times New Roman" w:cs="Times New Roman"/>
                <w:kern w:val="0"/>
                <w:sz w:val="21"/>
                <w:szCs w:val="21"/>
              </w:rPr>
            </w:pPr>
            <w:r>
              <w:rPr>
                <w:rFonts w:ascii="Times New Roman" w:hAnsi="Times New Roman" w:cs="Times New Roman"/>
                <w:kern w:val="0"/>
                <w:sz w:val="21"/>
                <w:szCs w:val="21"/>
              </w:rPr>
              <w:t>20</w:t>
            </w:r>
          </w:p>
        </w:tc>
        <w:tc>
          <w:tcPr>
            <w:tcW w:w="372" w:type="pct"/>
            <w:vAlign w:val="center"/>
          </w:tcPr>
          <w:p w:rsidR="00446A0D" w:rsidRPr="000B3D51" w:rsidRDefault="00446A0D" w:rsidP="00446A0D">
            <w:pPr>
              <w:pStyle w:val="afffffff2"/>
              <w:rPr>
                <w:rFonts w:ascii="Times New Roman" w:hAnsi="Times New Roman" w:cs="Times New Roman"/>
                <w:kern w:val="0"/>
                <w:sz w:val="21"/>
                <w:szCs w:val="21"/>
              </w:rPr>
            </w:pPr>
            <w:r>
              <w:rPr>
                <w:rFonts w:ascii="Times New Roman" w:hAnsi="Times New Roman" w:cs="Times New Roman"/>
                <w:kern w:val="0"/>
                <w:sz w:val="21"/>
                <w:szCs w:val="21"/>
              </w:rPr>
              <w:t>32.2</w:t>
            </w:r>
          </w:p>
        </w:tc>
        <w:tc>
          <w:tcPr>
            <w:tcW w:w="387"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53</w:t>
            </w:r>
          </w:p>
        </w:tc>
        <w:tc>
          <w:tcPr>
            <w:tcW w:w="295" w:type="pct"/>
            <w:vAlign w:val="center"/>
          </w:tcPr>
          <w:p w:rsidR="00446A0D" w:rsidRPr="000B3D51" w:rsidRDefault="00446A0D" w:rsidP="00446A0D">
            <w:pPr>
              <w:pStyle w:val="afffffff2"/>
              <w:rPr>
                <w:rFonts w:ascii="Times New Roman" w:hAnsi="Times New Roman" w:cs="Times New Roman"/>
                <w:kern w:val="0"/>
                <w:sz w:val="21"/>
                <w:szCs w:val="21"/>
              </w:rPr>
            </w:pPr>
            <w:r>
              <w:rPr>
                <w:rFonts w:ascii="Times New Roman" w:hAnsi="Times New Roman" w:cs="Times New Roman"/>
                <w:kern w:val="0"/>
                <w:sz w:val="21"/>
                <w:szCs w:val="21"/>
              </w:rPr>
              <w:t>44</w:t>
            </w:r>
          </w:p>
        </w:tc>
      </w:tr>
      <w:tr w:rsidR="00446A0D" w:rsidRPr="000B3D51" w:rsidTr="007F5CF1">
        <w:trPr>
          <w:trHeight w:val="245"/>
        </w:trPr>
        <w:tc>
          <w:tcPr>
            <w:tcW w:w="307"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T</w:t>
            </w:r>
            <w:r>
              <w:rPr>
                <w:rFonts w:ascii="Times New Roman" w:hAnsi="Times New Roman" w:cs="Times New Roman"/>
                <w:kern w:val="0"/>
                <w:sz w:val="21"/>
                <w:szCs w:val="21"/>
              </w:rPr>
              <w:t>9</w:t>
            </w:r>
          </w:p>
        </w:tc>
        <w:tc>
          <w:tcPr>
            <w:tcW w:w="936" w:type="pct"/>
            <w:vAlign w:val="center"/>
          </w:tcPr>
          <w:p w:rsidR="00446A0D" w:rsidRDefault="00446A0D" w:rsidP="00446A0D">
            <w:pPr>
              <w:pStyle w:val="afffffff2"/>
              <w:rPr>
                <w:rFonts w:cs="宋体"/>
                <w:bCs/>
                <w:szCs w:val="21"/>
              </w:rPr>
            </w:pPr>
            <w:r w:rsidRPr="00D405F7">
              <w:rPr>
                <w:rFonts w:ascii="Times New Roman" w:hAnsi="Times New Roman" w:cs="Times New Roman" w:hint="eastAsia"/>
                <w:bCs/>
                <w:kern w:val="0"/>
                <w:sz w:val="21"/>
                <w:szCs w:val="21"/>
              </w:rPr>
              <w:t>117.575642</w:t>
            </w:r>
            <w:r w:rsidRPr="00D405F7">
              <w:rPr>
                <w:rFonts w:ascii="Times New Roman" w:hAnsi="Times New Roman" w:cs="Times New Roman"/>
                <w:bCs/>
                <w:kern w:val="0"/>
                <w:sz w:val="21"/>
                <w:szCs w:val="21"/>
              </w:rPr>
              <w:t>°E</w:t>
            </w:r>
            <w:r w:rsidRPr="00D405F7">
              <w:rPr>
                <w:rFonts w:ascii="Times New Roman" w:hAnsi="Times New Roman" w:cs="Times New Roman"/>
                <w:bCs/>
                <w:kern w:val="0"/>
                <w:sz w:val="21"/>
                <w:szCs w:val="21"/>
              </w:rPr>
              <w:t>，</w:t>
            </w:r>
            <w:r w:rsidRPr="00D405F7">
              <w:rPr>
                <w:rFonts w:ascii="Times New Roman" w:hAnsi="Times New Roman" w:cs="Times New Roman" w:hint="eastAsia"/>
                <w:bCs/>
                <w:kern w:val="0"/>
                <w:sz w:val="21"/>
                <w:szCs w:val="21"/>
              </w:rPr>
              <w:t>32.990634</w:t>
            </w:r>
            <w:r w:rsidRPr="00D405F7">
              <w:rPr>
                <w:rFonts w:ascii="Times New Roman" w:hAnsi="Times New Roman" w:cs="Times New Roman"/>
                <w:bCs/>
                <w:kern w:val="0"/>
                <w:sz w:val="21"/>
                <w:szCs w:val="21"/>
              </w:rPr>
              <w:t>°N</w:t>
            </w:r>
          </w:p>
        </w:tc>
        <w:tc>
          <w:tcPr>
            <w:tcW w:w="579"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2</w:t>
            </w:r>
            <w:r w:rsidRPr="000B3D51">
              <w:rPr>
                <w:rFonts w:ascii="Times New Roman" w:hAnsi="Times New Roman" w:cs="Times New Roman"/>
                <w:kern w:val="0"/>
                <w:sz w:val="21"/>
                <w:szCs w:val="21"/>
              </w:rPr>
              <w:t>m</w:t>
            </w:r>
          </w:p>
        </w:tc>
        <w:tc>
          <w:tcPr>
            <w:tcW w:w="361" w:type="pct"/>
            <w:vAlign w:val="center"/>
          </w:tcPr>
          <w:p w:rsidR="00446A0D" w:rsidRPr="000B3D51" w:rsidRDefault="00446A0D" w:rsidP="00056784">
            <w:pPr>
              <w:pStyle w:val="afffffff2"/>
              <w:rPr>
                <w:rFonts w:ascii="Times New Roman" w:hAnsi="Times New Roman" w:cs="Times New Roman"/>
                <w:kern w:val="0"/>
                <w:sz w:val="21"/>
                <w:szCs w:val="21"/>
              </w:rPr>
            </w:pPr>
            <w:r>
              <w:rPr>
                <w:rFonts w:ascii="Times New Roman" w:hAnsi="Times New Roman" w:cs="Times New Roman"/>
                <w:kern w:val="0"/>
                <w:sz w:val="21"/>
                <w:szCs w:val="21"/>
              </w:rPr>
              <w:t>7.</w:t>
            </w:r>
            <w:r w:rsidR="00056784">
              <w:rPr>
                <w:rFonts w:ascii="Times New Roman" w:hAnsi="Times New Roman" w:cs="Times New Roman"/>
                <w:kern w:val="0"/>
                <w:sz w:val="21"/>
                <w:szCs w:val="21"/>
              </w:rPr>
              <w:t>63</w:t>
            </w:r>
          </w:p>
        </w:tc>
        <w:tc>
          <w:tcPr>
            <w:tcW w:w="352" w:type="pct"/>
            <w:vAlign w:val="center"/>
          </w:tcPr>
          <w:p w:rsidR="00446A0D" w:rsidRPr="000B3D51" w:rsidRDefault="00056784" w:rsidP="00446A0D">
            <w:pPr>
              <w:pStyle w:val="afffffff2"/>
              <w:rPr>
                <w:rFonts w:ascii="Times New Roman" w:hAnsi="Times New Roman" w:cs="Times New Roman"/>
                <w:kern w:val="0"/>
                <w:sz w:val="21"/>
                <w:szCs w:val="21"/>
              </w:rPr>
            </w:pPr>
            <w:r>
              <w:rPr>
                <w:rFonts w:ascii="Times New Roman" w:hAnsi="Times New Roman" w:cs="Times New Roman"/>
                <w:kern w:val="0"/>
                <w:sz w:val="21"/>
                <w:szCs w:val="21"/>
              </w:rPr>
              <w:t>7</w:t>
            </w:r>
            <w:r w:rsidR="00446A0D">
              <w:rPr>
                <w:rFonts w:ascii="Times New Roman" w:hAnsi="Times New Roman" w:cs="Times New Roman"/>
                <w:kern w:val="0"/>
                <w:sz w:val="21"/>
                <w:szCs w:val="21"/>
              </w:rPr>
              <w:t>6</w:t>
            </w:r>
          </w:p>
        </w:tc>
        <w:tc>
          <w:tcPr>
            <w:tcW w:w="324" w:type="pct"/>
            <w:vAlign w:val="center"/>
          </w:tcPr>
          <w:p w:rsidR="00446A0D" w:rsidRPr="000B3D51" w:rsidRDefault="00446A0D" w:rsidP="00056784">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00056784">
              <w:rPr>
                <w:rFonts w:ascii="Times New Roman" w:hAnsi="Times New Roman" w:cs="Times New Roman"/>
                <w:kern w:val="0"/>
                <w:sz w:val="21"/>
                <w:szCs w:val="21"/>
              </w:rPr>
              <w:t>9.6</w:t>
            </w:r>
          </w:p>
        </w:tc>
        <w:tc>
          <w:tcPr>
            <w:tcW w:w="324"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5</w:t>
            </w:r>
          </w:p>
        </w:tc>
        <w:tc>
          <w:tcPr>
            <w:tcW w:w="353"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446A0D" w:rsidRPr="000B3D51" w:rsidRDefault="00F73E1B" w:rsidP="00446A0D">
            <w:pPr>
              <w:pStyle w:val="afffffff2"/>
              <w:rPr>
                <w:rFonts w:ascii="Times New Roman" w:hAnsi="Times New Roman" w:cs="Times New Roman"/>
                <w:kern w:val="0"/>
                <w:sz w:val="21"/>
                <w:szCs w:val="21"/>
              </w:rPr>
            </w:pPr>
            <w:r>
              <w:rPr>
                <w:rFonts w:ascii="Times New Roman" w:hAnsi="Times New Roman" w:cs="Times New Roman"/>
                <w:kern w:val="0"/>
                <w:sz w:val="21"/>
                <w:szCs w:val="21"/>
              </w:rPr>
              <w:t>8</w:t>
            </w:r>
          </w:p>
        </w:tc>
        <w:tc>
          <w:tcPr>
            <w:tcW w:w="372" w:type="pct"/>
            <w:vAlign w:val="center"/>
          </w:tcPr>
          <w:p w:rsidR="00446A0D" w:rsidRPr="000B3D51" w:rsidRDefault="00F73E1B" w:rsidP="00446A0D">
            <w:pPr>
              <w:pStyle w:val="afffffff2"/>
              <w:rPr>
                <w:rFonts w:ascii="Times New Roman" w:hAnsi="Times New Roman" w:cs="Times New Roman"/>
                <w:kern w:val="0"/>
                <w:sz w:val="21"/>
                <w:szCs w:val="21"/>
              </w:rPr>
            </w:pPr>
            <w:r>
              <w:rPr>
                <w:rFonts w:ascii="Times New Roman" w:hAnsi="Times New Roman" w:cs="Times New Roman"/>
                <w:kern w:val="0"/>
                <w:sz w:val="21"/>
                <w:szCs w:val="21"/>
              </w:rPr>
              <w:t>9.7</w:t>
            </w:r>
          </w:p>
        </w:tc>
        <w:tc>
          <w:tcPr>
            <w:tcW w:w="387"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Pr>
                <w:rFonts w:ascii="Times New Roman" w:hAnsi="Times New Roman" w:cs="Times New Roman"/>
                <w:kern w:val="0"/>
                <w:sz w:val="21"/>
                <w:szCs w:val="21"/>
              </w:rPr>
              <w:t>74</w:t>
            </w:r>
          </w:p>
        </w:tc>
        <w:tc>
          <w:tcPr>
            <w:tcW w:w="295" w:type="pct"/>
            <w:vAlign w:val="center"/>
          </w:tcPr>
          <w:p w:rsidR="00446A0D" w:rsidRPr="000B3D51" w:rsidRDefault="00F73E1B" w:rsidP="00446A0D">
            <w:pPr>
              <w:pStyle w:val="afffffff2"/>
              <w:rPr>
                <w:rFonts w:ascii="Times New Roman" w:hAnsi="Times New Roman" w:cs="Times New Roman"/>
                <w:kern w:val="0"/>
                <w:sz w:val="21"/>
                <w:szCs w:val="21"/>
              </w:rPr>
            </w:pPr>
            <w:r>
              <w:rPr>
                <w:rFonts w:ascii="Times New Roman" w:hAnsi="Times New Roman" w:cs="Times New Roman"/>
                <w:kern w:val="0"/>
                <w:sz w:val="21"/>
                <w:szCs w:val="21"/>
              </w:rPr>
              <w:t>23</w:t>
            </w:r>
          </w:p>
        </w:tc>
      </w:tr>
      <w:tr w:rsidR="00446A0D" w:rsidRPr="000B3D51" w:rsidTr="007F5CF1">
        <w:trPr>
          <w:trHeight w:val="245"/>
        </w:trPr>
        <w:tc>
          <w:tcPr>
            <w:tcW w:w="307"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T1</w:t>
            </w:r>
            <w:r>
              <w:rPr>
                <w:rFonts w:ascii="Times New Roman" w:hAnsi="Times New Roman" w:cs="Times New Roman"/>
                <w:kern w:val="0"/>
                <w:sz w:val="21"/>
                <w:szCs w:val="21"/>
              </w:rPr>
              <w:t>0</w:t>
            </w:r>
          </w:p>
        </w:tc>
        <w:tc>
          <w:tcPr>
            <w:tcW w:w="936" w:type="pct"/>
            <w:vAlign w:val="center"/>
          </w:tcPr>
          <w:p w:rsidR="00446A0D" w:rsidRPr="000B3D51" w:rsidRDefault="00446A0D" w:rsidP="00446A0D">
            <w:pPr>
              <w:pStyle w:val="afffffff2"/>
              <w:rPr>
                <w:rFonts w:ascii="Times New Roman" w:hAnsi="Times New Roman" w:cs="Times New Roman"/>
                <w:kern w:val="0"/>
                <w:sz w:val="21"/>
                <w:szCs w:val="21"/>
              </w:rPr>
            </w:pPr>
            <w:r w:rsidRPr="00D405F7">
              <w:rPr>
                <w:rFonts w:ascii="Times New Roman" w:hAnsi="Times New Roman" w:cs="Times New Roman" w:hint="eastAsia"/>
                <w:bCs/>
                <w:kern w:val="0"/>
                <w:sz w:val="21"/>
                <w:szCs w:val="21"/>
              </w:rPr>
              <w:t>117.574493</w:t>
            </w:r>
            <w:r w:rsidRPr="00D405F7">
              <w:rPr>
                <w:rFonts w:ascii="Times New Roman" w:hAnsi="Times New Roman" w:cs="Times New Roman"/>
                <w:bCs/>
                <w:kern w:val="0"/>
                <w:sz w:val="21"/>
                <w:szCs w:val="21"/>
              </w:rPr>
              <w:t>°E</w:t>
            </w:r>
            <w:r w:rsidRPr="00D405F7">
              <w:rPr>
                <w:rFonts w:ascii="Times New Roman" w:hAnsi="Times New Roman" w:cs="Times New Roman"/>
                <w:bCs/>
                <w:kern w:val="0"/>
                <w:sz w:val="21"/>
                <w:szCs w:val="21"/>
              </w:rPr>
              <w:t>，</w:t>
            </w:r>
            <w:r w:rsidRPr="00D405F7">
              <w:rPr>
                <w:rFonts w:ascii="Times New Roman" w:hAnsi="Times New Roman" w:cs="Times New Roman" w:hint="eastAsia"/>
                <w:bCs/>
                <w:kern w:val="0"/>
                <w:sz w:val="21"/>
                <w:szCs w:val="21"/>
              </w:rPr>
              <w:t>32.991080</w:t>
            </w:r>
            <w:r w:rsidRPr="00D405F7">
              <w:rPr>
                <w:rFonts w:ascii="Times New Roman" w:hAnsi="Times New Roman" w:cs="Times New Roman"/>
                <w:bCs/>
                <w:kern w:val="0"/>
                <w:sz w:val="21"/>
                <w:szCs w:val="21"/>
              </w:rPr>
              <w:t>°N</w:t>
            </w:r>
          </w:p>
        </w:tc>
        <w:tc>
          <w:tcPr>
            <w:tcW w:w="579"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0~0.2m</w:t>
            </w:r>
          </w:p>
        </w:tc>
        <w:tc>
          <w:tcPr>
            <w:tcW w:w="361" w:type="pct"/>
            <w:vAlign w:val="center"/>
          </w:tcPr>
          <w:p w:rsidR="00446A0D" w:rsidRPr="000B3D51" w:rsidRDefault="00446A0D" w:rsidP="00056784">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7.</w:t>
            </w:r>
            <w:r w:rsidR="00056784">
              <w:rPr>
                <w:rFonts w:ascii="Times New Roman" w:hAnsi="Times New Roman" w:cs="Times New Roman"/>
                <w:kern w:val="0"/>
                <w:sz w:val="21"/>
                <w:szCs w:val="21"/>
              </w:rPr>
              <w:t>56</w:t>
            </w:r>
          </w:p>
        </w:tc>
        <w:tc>
          <w:tcPr>
            <w:tcW w:w="352" w:type="pct"/>
            <w:vAlign w:val="center"/>
          </w:tcPr>
          <w:p w:rsidR="00446A0D" w:rsidRPr="000B3D51" w:rsidRDefault="00056784" w:rsidP="00446A0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9</w:t>
            </w:r>
            <w:r>
              <w:rPr>
                <w:rFonts w:ascii="Times New Roman" w:hAnsi="Times New Roman" w:cs="Times New Roman"/>
                <w:kern w:val="0"/>
                <w:sz w:val="21"/>
                <w:szCs w:val="21"/>
              </w:rPr>
              <w:t>0</w:t>
            </w:r>
          </w:p>
        </w:tc>
        <w:tc>
          <w:tcPr>
            <w:tcW w:w="324" w:type="pct"/>
            <w:vAlign w:val="center"/>
          </w:tcPr>
          <w:p w:rsidR="00446A0D" w:rsidRPr="000B3D51" w:rsidRDefault="00446A0D" w:rsidP="00056784">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w:t>
            </w:r>
            <w:r w:rsidR="00056784">
              <w:rPr>
                <w:rFonts w:ascii="Times New Roman" w:hAnsi="Times New Roman" w:cs="Times New Roman"/>
                <w:kern w:val="0"/>
                <w:sz w:val="21"/>
                <w:szCs w:val="21"/>
              </w:rPr>
              <w:t>7.0</w:t>
            </w:r>
          </w:p>
        </w:tc>
        <w:tc>
          <w:tcPr>
            <w:tcW w:w="324" w:type="pct"/>
            <w:vAlign w:val="center"/>
          </w:tcPr>
          <w:p w:rsidR="00446A0D" w:rsidRPr="000B3D51" w:rsidRDefault="00446A0D" w:rsidP="00056784">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0.0</w:t>
            </w:r>
            <w:r w:rsidR="00056784">
              <w:rPr>
                <w:rFonts w:ascii="Times New Roman" w:hAnsi="Times New Roman" w:cs="Times New Roman"/>
                <w:kern w:val="0"/>
                <w:sz w:val="21"/>
                <w:szCs w:val="21"/>
              </w:rPr>
              <w:t>3</w:t>
            </w:r>
          </w:p>
        </w:tc>
        <w:tc>
          <w:tcPr>
            <w:tcW w:w="353"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ND</w:t>
            </w:r>
          </w:p>
        </w:tc>
        <w:tc>
          <w:tcPr>
            <w:tcW w:w="410"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6</w:t>
            </w:r>
          </w:p>
        </w:tc>
        <w:tc>
          <w:tcPr>
            <w:tcW w:w="372" w:type="pct"/>
            <w:vAlign w:val="center"/>
          </w:tcPr>
          <w:p w:rsidR="00446A0D" w:rsidRPr="000B3D51" w:rsidRDefault="00F73E1B" w:rsidP="00446A0D">
            <w:pPr>
              <w:pStyle w:val="afffffff2"/>
              <w:rPr>
                <w:rFonts w:ascii="Times New Roman" w:hAnsi="Times New Roman" w:cs="Times New Roman"/>
                <w:kern w:val="0"/>
                <w:sz w:val="21"/>
                <w:szCs w:val="21"/>
              </w:rPr>
            </w:pPr>
            <w:r>
              <w:rPr>
                <w:rFonts w:ascii="Times New Roman" w:hAnsi="Times New Roman" w:cs="Times New Roman"/>
                <w:kern w:val="0"/>
                <w:sz w:val="21"/>
                <w:szCs w:val="21"/>
              </w:rPr>
              <w:t>8.6</w:t>
            </w:r>
          </w:p>
        </w:tc>
        <w:tc>
          <w:tcPr>
            <w:tcW w:w="387" w:type="pct"/>
            <w:vAlign w:val="center"/>
          </w:tcPr>
          <w:p w:rsidR="00446A0D" w:rsidRPr="000B3D51" w:rsidRDefault="00446A0D" w:rsidP="00F73E1B">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0.</w:t>
            </w:r>
            <w:r w:rsidR="00F73E1B">
              <w:rPr>
                <w:rFonts w:ascii="Times New Roman" w:hAnsi="Times New Roman" w:cs="Times New Roman"/>
                <w:kern w:val="0"/>
                <w:sz w:val="21"/>
                <w:szCs w:val="21"/>
              </w:rPr>
              <w:t>1</w:t>
            </w:r>
            <w:r w:rsidRPr="000B3D51">
              <w:rPr>
                <w:rFonts w:ascii="Times New Roman" w:hAnsi="Times New Roman" w:cs="Times New Roman"/>
                <w:kern w:val="0"/>
                <w:sz w:val="21"/>
                <w:szCs w:val="21"/>
              </w:rPr>
              <w:t>6</w:t>
            </w:r>
            <w:r w:rsidR="00F73E1B">
              <w:rPr>
                <w:rFonts w:ascii="Times New Roman" w:hAnsi="Times New Roman" w:cs="Times New Roman"/>
                <w:kern w:val="0"/>
                <w:sz w:val="21"/>
                <w:szCs w:val="21"/>
              </w:rPr>
              <w:t>4</w:t>
            </w:r>
          </w:p>
        </w:tc>
        <w:tc>
          <w:tcPr>
            <w:tcW w:w="295" w:type="pct"/>
            <w:vAlign w:val="center"/>
          </w:tcPr>
          <w:p w:rsidR="00446A0D" w:rsidRPr="000B3D51" w:rsidRDefault="00F73E1B" w:rsidP="00446A0D">
            <w:pPr>
              <w:pStyle w:val="afffffff2"/>
              <w:rPr>
                <w:rFonts w:ascii="Times New Roman" w:hAnsi="Times New Roman" w:cs="Times New Roman"/>
                <w:kern w:val="0"/>
                <w:sz w:val="21"/>
                <w:szCs w:val="21"/>
              </w:rPr>
            </w:pPr>
            <w:r>
              <w:rPr>
                <w:rFonts w:ascii="Times New Roman" w:hAnsi="Times New Roman" w:cs="Times New Roman"/>
                <w:kern w:val="0"/>
                <w:sz w:val="21"/>
                <w:szCs w:val="21"/>
              </w:rPr>
              <w:t>18</w:t>
            </w:r>
          </w:p>
        </w:tc>
      </w:tr>
      <w:tr w:rsidR="002D12F2" w:rsidRPr="000B3D51" w:rsidTr="007F5CF1">
        <w:trPr>
          <w:trHeight w:val="245"/>
        </w:trPr>
        <w:tc>
          <w:tcPr>
            <w:tcW w:w="1822" w:type="pct"/>
            <w:gridSpan w:val="3"/>
            <w:vAlign w:val="center"/>
          </w:tcPr>
          <w:p w:rsidR="00446A0D" w:rsidRPr="00446A0D" w:rsidRDefault="00446A0D" w:rsidP="006D5DB1">
            <w:pPr>
              <w:pStyle w:val="afffffff2"/>
              <w:rPr>
                <w:rFonts w:cs="Times New Roman"/>
                <w:kern w:val="0"/>
                <w:sz w:val="21"/>
                <w:szCs w:val="21"/>
              </w:rPr>
            </w:pPr>
            <w:r w:rsidRPr="00446A0D">
              <w:rPr>
                <w:rFonts w:ascii="Times New Roman" w:hAnsi="Times New Roman"/>
                <w:bCs/>
                <w:kern w:val="0"/>
                <w:sz w:val="21"/>
                <w:szCs w:val="21"/>
              </w:rPr>
              <w:t>《土壤环境质量</w:t>
            </w:r>
            <w:r w:rsidRPr="00446A0D">
              <w:rPr>
                <w:rFonts w:ascii="Times New Roman" w:hAnsi="Times New Roman"/>
                <w:bCs/>
                <w:kern w:val="0"/>
                <w:sz w:val="21"/>
                <w:szCs w:val="21"/>
              </w:rPr>
              <w:t xml:space="preserve"> </w:t>
            </w:r>
            <w:r w:rsidRPr="00446A0D">
              <w:rPr>
                <w:rFonts w:ascii="Times New Roman" w:hAnsi="Times New Roman"/>
                <w:bCs/>
                <w:kern w:val="0"/>
                <w:sz w:val="21"/>
                <w:szCs w:val="21"/>
              </w:rPr>
              <w:t>建设用地土壤污染风险管控标准（试行）》（</w:t>
            </w:r>
            <w:r w:rsidRPr="00446A0D">
              <w:rPr>
                <w:rFonts w:ascii="Times New Roman" w:hAnsi="Times New Roman"/>
                <w:bCs/>
                <w:kern w:val="0"/>
                <w:sz w:val="21"/>
                <w:szCs w:val="21"/>
              </w:rPr>
              <w:t>GB36600-2018</w:t>
            </w:r>
            <w:r w:rsidRPr="00446A0D">
              <w:rPr>
                <w:rFonts w:ascii="Times New Roman" w:hAnsi="Times New Roman"/>
                <w:bCs/>
                <w:kern w:val="0"/>
                <w:sz w:val="21"/>
                <w:szCs w:val="21"/>
              </w:rPr>
              <w:t>）中第二类用地</w:t>
            </w:r>
            <w:r w:rsidRPr="00446A0D">
              <w:rPr>
                <w:rFonts w:ascii="Times New Roman" w:hAnsi="Times New Roman"/>
                <w:kern w:val="0"/>
                <w:sz w:val="21"/>
                <w:szCs w:val="21"/>
              </w:rPr>
              <w:t>筛选值</w:t>
            </w:r>
          </w:p>
        </w:tc>
        <w:tc>
          <w:tcPr>
            <w:tcW w:w="361" w:type="pct"/>
            <w:vAlign w:val="center"/>
          </w:tcPr>
          <w:p w:rsidR="00446A0D" w:rsidRPr="000B351E" w:rsidRDefault="00446A0D" w:rsidP="00446A0D">
            <w:pPr>
              <w:pStyle w:val="afffffff2"/>
              <w:rPr>
                <w:rFonts w:ascii="Times New Roman" w:hAnsi="Times New Roman"/>
                <w:kern w:val="0"/>
                <w:szCs w:val="21"/>
              </w:rPr>
            </w:pPr>
            <w:r w:rsidRPr="000B351E">
              <w:rPr>
                <w:rFonts w:ascii="Times New Roman" w:hAnsi="Times New Roman"/>
                <w:kern w:val="0"/>
                <w:szCs w:val="21"/>
              </w:rPr>
              <w:t>/</w:t>
            </w:r>
          </w:p>
        </w:tc>
        <w:tc>
          <w:tcPr>
            <w:tcW w:w="352"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4500</w:t>
            </w:r>
          </w:p>
        </w:tc>
        <w:tc>
          <w:tcPr>
            <w:tcW w:w="324"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60</w:t>
            </w:r>
          </w:p>
        </w:tc>
        <w:tc>
          <w:tcPr>
            <w:tcW w:w="324"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65</w:t>
            </w:r>
          </w:p>
        </w:tc>
        <w:tc>
          <w:tcPr>
            <w:tcW w:w="353"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5.7</w:t>
            </w:r>
          </w:p>
        </w:tc>
        <w:tc>
          <w:tcPr>
            <w:tcW w:w="410"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18000</w:t>
            </w:r>
          </w:p>
        </w:tc>
        <w:tc>
          <w:tcPr>
            <w:tcW w:w="372" w:type="pct"/>
            <w:vAlign w:val="center"/>
          </w:tcPr>
          <w:p w:rsidR="00446A0D" w:rsidRPr="000B3D51" w:rsidRDefault="00446A0D" w:rsidP="00446A0D">
            <w:pPr>
              <w:pStyle w:val="afffffff2"/>
              <w:rPr>
                <w:rFonts w:ascii="Times New Roman" w:hAnsi="Times New Roman" w:cs="Times New Roman"/>
                <w:kern w:val="0"/>
                <w:sz w:val="21"/>
                <w:szCs w:val="21"/>
              </w:rPr>
            </w:pPr>
            <w:r>
              <w:rPr>
                <w:rFonts w:ascii="Times New Roman" w:hAnsi="Times New Roman" w:cs="Times New Roman"/>
                <w:kern w:val="0"/>
                <w:sz w:val="21"/>
                <w:szCs w:val="21"/>
              </w:rPr>
              <w:t>80</w:t>
            </w:r>
            <w:r w:rsidRPr="000B3D51">
              <w:rPr>
                <w:rFonts w:ascii="Times New Roman" w:hAnsi="Times New Roman" w:cs="Times New Roman"/>
                <w:kern w:val="0"/>
                <w:sz w:val="21"/>
                <w:szCs w:val="21"/>
              </w:rPr>
              <w:t>0</w:t>
            </w:r>
          </w:p>
        </w:tc>
        <w:tc>
          <w:tcPr>
            <w:tcW w:w="387"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38</w:t>
            </w:r>
          </w:p>
        </w:tc>
        <w:tc>
          <w:tcPr>
            <w:tcW w:w="295" w:type="pct"/>
            <w:vAlign w:val="center"/>
          </w:tcPr>
          <w:p w:rsidR="00446A0D" w:rsidRPr="000B3D51" w:rsidRDefault="00446A0D" w:rsidP="00446A0D">
            <w:pPr>
              <w:pStyle w:val="afffffff2"/>
              <w:rPr>
                <w:rFonts w:ascii="Times New Roman" w:hAnsi="Times New Roman" w:cs="Times New Roman"/>
                <w:kern w:val="0"/>
                <w:sz w:val="21"/>
                <w:szCs w:val="21"/>
              </w:rPr>
            </w:pPr>
            <w:r w:rsidRPr="000B3D51">
              <w:rPr>
                <w:rFonts w:ascii="Times New Roman" w:hAnsi="Times New Roman" w:cs="Times New Roman"/>
                <w:kern w:val="0"/>
                <w:sz w:val="21"/>
                <w:szCs w:val="21"/>
              </w:rPr>
              <w:t>900</w:t>
            </w:r>
          </w:p>
        </w:tc>
      </w:tr>
    </w:tbl>
    <w:p w:rsidR="002D12F2" w:rsidRDefault="002D12F2">
      <w:pPr>
        <w:pStyle w:val="afffff4"/>
        <w:ind w:firstLine="480"/>
        <w:rPr>
          <w:rFonts w:ascii="黑体" w:hAnsi="黑体"/>
        </w:rPr>
        <w:sectPr w:rsidR="002D12F2" w:rsidSect="002D12F2">
          <w:pgSz w:w="16838" w:h="11906" w:orient="landscape"/>
          <w:pgMar w:top="1440" w:right="1440" w:bottom="1440" w:left="1440" w:header="851" w:footer="992" w:gutter="0"/>
          <w:cols w:space="425"/>
          <w:docGrid w:type="lines" w:linePitch="326"/>
        </w:sectPr>
      </w:pPr>
    </w:p>
    <w:p w:rsidR="004E3021" w:rsidRDefault="00606E48">
      <w:pPr>
        <w:pStyle w:val="afffff4"/>
        <w:ind w:firstLine="480"/>
        <w:rPr>
          <w:rFonts w:ascii="黑体" w:hAnsi="黑体"/>
        </w:rPr>
      </w:pPr>
      <w:r>
        <w:rPr>
          <w:rFonts w:ascii="黑体" w:hAnsi="黑体" w:hint="eastAsia"/>
        </w:rPr>
        <w:lastRenderedPageBreak/>
        <w:t>表</w:t>
      </w:r>
      <w:r>
        <w:rPr>
          <w:rFonts w:hint="eastAsia"/>
        </w:rPr>
        <w:t>4.2.5-</w:t>
      </w:r>
      <w:r>
        <w:t>3</w:t>
      </w:r>
      <w:r>
        <w:rPr>
          <w:rFonts w:hint="eastAsia"/>
        </w:rPr>
        <w:t xml:space="preserve">  </w:t>
      </w:r>
      <w:r w:rsidR="007F5CF1">
        <w:t>项目地土壤环境监测结果</w:t>
      </w:r>
      <w:r w:rsidR="007F5CF1">
        <w:rPr>
          <w:rFonts w:hint="eastAsia"/>
        </w:rPr>
        <w:t xml:space="preserve">  </w:t>
      </w:r>
      <w:r w:rsidR="007F5CF1">
        <w:t>单位：</w:t>
      </w:r>
      <w:r w:rsidR="007F5CF1">
        <w:t>mg/kg</w:t>
      </w:r>
      <w:r w:rsidR="007F5CF1">
        <w:rPr>
          <w:rFonts w:hint="eastAsia"/>
        </w:rPr>
        <w:t>，</w:t>
      </w:r>
      <w:r w:rsidR="007F5CF1">
        <w:rPr>
          <w:rFonts w:hint="eastAsia"/>
        </w:rPr>
        <w:t>pH:</w:t>
      </w:r>
      <w:r w:rsidR="007F5CF1">
        <w:rPr>
          <w:rFonts w:hint="eastAsia"/>
        </w:rPr>
        <w:t>无量纲</w:t>
      </w:r>
    </w:p>
    <w:tbl>
      <w:tblPr>
        <w:tblStyle w:val="afff"/>
        <w:tblW w:w="5000" w:type="pct"/>
        <w:tblLook w:val="04A0" w:firstRow="1" w:lastRow="0" w:firstColumn="1" w:lastColumn="0" w:noHBand="0" w:noVBand="1"/>
      </w:tblPr>
      <w:tblGrid>
        <w:gridCol w:w="2126"/>
        <w:gridCol w:w="1557"/>
        <w:gridCol w:w="1276"/>
        <w:gridCol w:w="1561"/>
        <w:gridCol w:w="1558"/>
        <w:gridCol w:w="1561"/>
        <w:gridCol w:w="1276"/>
        <w:gridCol w:w="3043"/>
      </w:tblGrid>
      <w:tr w:rsidR="007F5CF1" w:rsidRPr="007F5CF1" w:rsidTr="007F5CF1">
        <w:tc>
          <w:tcPr>
            <w:tcW w:w="762" w:type="pct"/>
            <w:vMerge w:val="restart"/>
            <w:tcBorders>
              <w:top w:val="single" w:sz="12" w:space="0" w:color="auto"/>
              <w:bottom w:val="single" w:sz="4" w:space="0" w:color="auto"/>
              <w:tl2br w:val="single" w:sz="4" w:space="0" w:color="auto"/>
            </w:tcBorders>
            <w:vAlign w:val="center"/>
          </w:tcPr>
          <w:p w:rsidR="007F5CF1" w:rsidRPr="007F5CF1" w:rsidRDefault="007F5CF1" w:rsidP="007F5CF1">
            <w:pPr>
              <w:pStyle w:val="afffffff2"/>
              <w:rPr>
                <w:rFonts w:ascii="Times New Roman" w:hAnsi="Times New Roman"/>
                <w:b/>
                <w:kern w:val="0"/>
                <w:sz w:val="21"/>
                <w:szCs w:val="21"/>
              </w:rPr>
            </w:pPr>
            <w:r w:rsidRPr="007F5CF1">
              <w:rPr>
                <w:rFonts w:ascii="Times New Roman" w:hAnsi="Times New Roman"/>
                <w:b/>
                <w:kern w:val="0"/>
                <w:sz w:val="21"/>
                <w:szCs w:val="21"/>
              </w:rPr>
              <w:t xml:space="preserve">       </w:t>
            </w:r>
            <w:r w:rsidRPr="007F5CF1">
              <w:rPr>
                <w:rFonts w:ascii="Times New Roman" w:hAnsi="Times New Roman"/>
                <w:b/>
                <w:kern w:val="0"/>
                <w:sz w:val="21"/>
                <w:szCs w:val="21"/>
              </w:rPr>
              <w:t>监测点位</w:t>
            </w:r>
          </w:p>
          <w:p w:rsidR="007F5CF1" w:rsidRPr="007F5CF1" w:rsidRDefault="007F5CF1" w:rsidP="007F5CF1">
            <w:pPr>
              <w:pStyle w:val="afffffff2"/>
              <w:jc w:val="both"/>
              <w:rPr>
                <w:rFonts w:ascii="Times New Roman" w:hAnsi="Times New Roman"/>
                <w:b/>
                <w:kern w:val="0"/>
                <w:sz w:val="21"/>
                <w:szCs w:val="21"/>
              </w:rPr>
            </w:pPr>
            <w:r w:rsidRPr="007F5CF1">
              <w:rPr>
                <w:rFonts w:ascii="Times New Roman" w:hAnsi="Times New Roman"/>
                <w:b/>
                <w:kern w:val="0"/>
                <w:sz w:val="21"/>
                <w:szCs w:val="21"/>
              </w:rPr>
              <w:t>监测项目</w:t>
            </w:r>
          </w:p>
        </w:tc>
        <w:tc>
          <w:tcPr>
            <w:tcW w:w="1574" w:type="pct"/>
            <w:gridSpan w:val="3"/>
            <w:vAlign w:val="center"/>
          </w:tcPr>
          <w:p w:rsidR="007F5CF1" w:rsidRPr="007F5CF1" w:rsidRDefault="007F5CF1" w:rsidP="007F5CF1">
            <w:pPr>
              <w:pStyle w:val="afffffff2"/>
              <w:rPr>
                <w:b/>
                <w:kern w:val="0"/>
                <w:sz w:val="21"/>
                <w:szCs w:val="21"/>
              </w:rPr>
            </w:pPr>
            <w:r w:rsidRPr="007F5CF1">
              <w:rPr>
                <w:rFonts w:ascii="Times New Roman" w:hAnsi="Times New Roman"/>
                <w:b/>
                <w:kern w:val="0"/>
                <w:sz w:val="21"/>
                <w:szCs w:val="21"/>
              </w:rPr>
              <w:t>T6</w:t>
            </w:r>
            <w:r w:rsidRPr="007F5CF1">
              <w:rPr>
                <w:rFonts w:ascii="Times New Roman" w:hAnsi="Times New Roman" w:hint="eastAsia"/>
                <w:b/>
                <w:kern w:val="0"/>
                <w:sz w:val="21"/>
                <w:szCs w:val="21"/>
              </w:rPr>
              <w:t>罐区</w:t>
            </w:r>
          </w:p>
        </w:tc>
        <w:tc>
          <w:tcPr>
            <w:tcW w:w="1574" w:type="pct"/>
            <w:gridSpan w:val="3"/>
            <w:vAlign w:val="center"/>
          </w:tcPr>
          <w:p w:rsidR="007F5CF1" w:rsidRPr="007F5CF1" w:rsidRDefault="007F5CF1" w:rsidP="007F5CF1">
            <w:pPr>
              <w:pStyle w:val="afffffff2"/>
              <w:rPr>
                <w:rFonts w:ascii="Times New Roman" w:hAnsi="Times New Roman"/>
                <w:b/>
                <w:kern w:val="0"/>
                <w:sz w:val="21"/>
                <w:szCs w:val="21"/>
              </w:rPr>
            </w:pPr>
            <w:r w:rsidRPr="007F5CF1">
              <w:rPr>
                <w:rFonts w:ascii="Times New Roman" w:hAnsi="Times New Roman"/>
                <w:b/>
                <w:kern w:val="0"/>
                <w:sz w:val="21"/>
                <w:szCs w:val="21"/>
              </w:rPr>
              <w:t>T7</w:t>
            </w:r>
            <w:r w:rsidRPr="007F5CF1">
              <w:rPr>
                <w:rFonts w:ascii="Times New Roman" w:hAnsi="Times New Roman" w:hint="eastAsia"/>
                <w:b/>
                <w:kern w:val="0"/>
                <w:sz w:val="21"/>
                <w:szCs w:val="21"/>
              </w:rPr>
              <w:t>污水</w:t>
            </w:r>
            <w:r w:rsidRPr="007F5CF1">
              <w:rPr>
                <w:rFonts w:ascii="Times New Roman" w:hAnsi="Times New Roman"/>
                <w:b/>
                <w:kern w:val="0"/>
                <w:sz w:val="21"/>
                <w:szCs w:val="21"/>
              </w:rPr>
              <w:t>处理站</w:t>
            </w:r>
          </w:p>
        </w:tc>
        <w:tc>
          <w:tcPr>
            <w:tcW w:w="1090" w:type="pct"/>
            <w:vMerge w:val="restart"/>
            <w:vAlign w:val="center"/>
          </w:tcPr>
          <w:p w:rsidR="007F5CF1" w:rsidRPr="007F5CF1" w:rsidRDefault="007F5CF1" w:rsidP="007F5CF1">
            <w:pPr>
              <w:pStyle w:val="afffffff2"/>
              <w:rPr>
                <w:rFonts w:ascii="Times New Roman" w:hAnsi="Times New Roman"/>
                <w:b/>
                <w:kern w:val="0"/>
                <w:sz w:val="21"/>
                <w:szCs w:val="21"/>
              </w:rPr>
            </w:pPr>
            <w:r w:rsidRPr="007F5CF1">
              <w:rPr>
                <w:rFonts w:ascii="Times New Roman" w:hAnsi="Times New Roman"/>
                <w:b/>
                <w:bCs/>
                <w:kern w:val="0"/>
                <w:sz w:val="21"/>
                <w:szCs w:val="21"/>
              </w:rPr>
              <w:t>《土壤环境质量</w:t>
            </w:r>
            <w:r w:rsidRPr="007F5CF1">
              <w:rPr>
                <w:rFonts w:ascii="Times New Roman" w:hAnsi="Times New Roman"/>
                <w:b/>
                <w:bCs/>
                <w:kern w:val="0"/>
                <w:sz w:val="21"/>
                <w:szCs w:val="21"/>
              </w:rPr>
              <w:t xml:space="preserve"> </w:t>
            </w:r>
            <w:r w:rsidRPr="007F5CF1">
              <w:rPr>
                <w:rFonts w:ascii="Times New Roman" w:hAnsi="Times New Roman"/>
                <w:b/>
                <w:bCs/>
                <w:kern w:val="0"/>
                <w:sz w:val="21"/>
                <w:szCs w:val="21"/>
              </w:rPr>
              <w:t>建设用地土壤污染风险管控标准（试行）》（</w:t>
            </w:r>
            <w:r w:rsidRPr="007F5CF1">
              <w:rPr>
                <w:rFonts w:ascii="Times New Roman" w:hAnsi="Times New Roman"/>
                <w:b/>
                <w:bCs/>
                <w:kern w:val="0"/>
                <w:sz w:val="21"/>
                <w:szCs w:val="21"/>
              </w:rPr>
              <w:t>GB36600-2018</w:t>
            </w:r>
            <w:r w:rsidRPr="007F5CF1">
              <w:rPr>
                <w:rFonts w:ascii="Times New Roman" w:hAnsi="Times New Roman"/>
                <w:b/>
                <w:bCs/>
                <w:kern w:val="0"/>
                <w:sz w:val="21"/>
                <w:szCs w:val="21"/>
              </w:rPr>
              <w:t>）中第二类用地</w:t>
            </w:r>
            <w:r w:rsidRPr="007F5CF1">
              <w:rPr>
                <w:rFonts w:ascii="Times New Roman" w:hAnsi="Times New Roman"/>
                <w:b/>
                <w:kern w:val="0"/>
                <w:sz w:val="21"/>
                <w:szCs w:val="21"/>
              </w:rPr>
              <w:t>筛选值标准</w:t>
            </w:r>
          </w:p>
        </w:tc>
      </w:tr>
      <w:tr w:rsidR="007F5CF1" w:rsidRPr="007F5CF1" w:rsidTr="007F5CF1">
        <w:tc>
          <w:tcPr>
            <w:tcW w:w="762" w:type="pct"/>
            <w:vMerge/>
            <w:tcBorders>
              <w:top w:val="single" w:sz="4" w:space="0" w:color="auto"/>
              <w:bottom w:val="single" w:sz="4" w:space="0" w:color="auto"/>
              <w:tl2br w:val="single" w:sz="4" w:space="0" w:color="auto"/>
            </w:tcBorders>
            <w:vAlign w:val="center"/>
          </w:tcPr>
          <w:p w:rsidR="007F5CF1" w:rsidRPr="007F5CF1" w:rsidRDefault="007F5CF1" w:rsidP="007F5CF1">
            <w:pPr>
              <w:pStyle w:val="afffffff2"/>
              <w:rPr>
                <w:rFonts w:ascii="Times New Roman" w:hAnsi="Times New Roman"/>
                <w:kern w:val="0"/>
                <w:sz w:val="21"/>
                <w:szCs w:val="21"/>
              </w:rPr>
            </w:pPr>
          </w:p>
        </w:tc>
        <w:tc>
          <w:tcPr>
            <w:tcW w:w="558" w:type="pct"/>
            <w:vAlign w:val="center"/>
          </w:tcPr>
          <w:p w:rsidR="007F5CF1" w:rsidRPr="006D5DB1" w:rsidRDefault="007F5CF1" w:rsidP="007F5CF1">
            <w:pPr>
              <w:pStyle w:val="afffffff2"/>
              <w:rPr>
                <w:rFonts w:ascii="Times New Roman" w:hAnsi="Times New Roman"/>
                <w:b/>
                <w:kern w:val="0"/>
                <w:sz w:val="21"/>
                <w:szCs w:val="21"/>
              </w:rPr>
            </w:pPr>
            <w:r w:rsidRPr="006D5DB1">
              <w:rPr>
                <w:rFonts w:ascii="Times New Roman" w:hAnsi="Times New Roman"/>
                <w:b/>
                <w:kern w:val="0"/>
                <w:sz w:val="21"/>
                <w:szCs w:val="21"/>
              </w:rPr>
              <w:t>0~0.5m</w:t>
            </w:r>
          </w:p>
        </w:tc>
        <w:tc>
          <w:tcPr>
            <w:tcW w:w="457" w:type="pct"/>
            <w:vAlign w:val="center"/>
          </w:tcPr>
          <w:p w:rsidR="007F5CF1" w:rsidRPr="006D5DB1" w:rsidRDefault="007F5CF1" w:rsidP="007F5CF1">
            <w:pPr>
              <w:pStyle w:val="afffffff2"/>
              <w:rPr>
                <w:rFonts w:ascii="Times New Roman" w:hAnsi="Times New Roman"/>
                <w:b/>
                <w:kern w:val="0"/>
                <w:sz w:val="21"/>
                <w:szCs w:val="21"/>
              </w:rPr>
            </w:pPr>
            <w:r w:rsidRPr="006D5DB1">
              <w:rPr>
                <w:rFonts w:ascii="Times New Roman" w:hAnsi="Times New Roman"/>
                <w:b/>
                <w:kern w:val="0"/>
                <w:sz w:val="21"/>
                <w:szCs w:val="21"/>
              </w:rPr>
              <w:t>0.5~1.5m</w:t>
            </w:r>
          </w:p>
        </w:tc>
        <w:tc>
          <w:tcPr>
            <w:tcW w:w="559" w:type="pct"/>
            <w:vAlign w:val="center"/>
          </w:tcPr>
          <w:p w:rsidR="007F5CF1" w:rsidRPr="006D5DB1" w:rsidRDefault="007F5CF1" w:rsidP="007F5CF1">
            <w:pPr>
              <w:pStyle w:val="afffffff2"/>
              <w:rPr>
                <w:rFonts w:ascii="Times New Roman" w:hAnsi="Times New Roman"/>
                <w:b/>
                <w:kern w:val="0"/>
                <w:sz w:val="21"/>
                <w:szCs w:val="21"/>
              </w:rPr>
            </w:pPr>
            <w:r w:rsidRPr="006D5DB1">
              <w:rPr>
                <w:rFonts w:ascii="Times New Roman" w:hAnsi="Times New Roman"/>
                <w:b/>
                <w:kern w:val="0"/>
                <w:sz w:val="21"/>
                <w:szCs w:val="21"/>
              </w:rPr>
              <w:t>1.5~3m</w:t>
            </w:r>
          </w:p>
        </w:tc>
        <w:tc>
          <w:tcPr>
            <w:tcW w:w="558" w:type="pct"/>
            <w:vAlign w:val="center"/>
          </w:tcPr>
          <w:p w:rsidR="007F5CF1" w:rsidRPr="006D5DB1" w:rsidRDefault="007F5CF1" w:rsidP="007F5CF1">
            <w:pPr>
              <w:pStyle w:val="afffffff2"/>
              <w:rPr>
                <w:rFonts w:ascii="Times New Roman" w:hAnsi="Times New Roman"/>
                <w:b/>
                <w:kern w:val="0"/>
                <w:sz w:val="21"/>
                <w:szCs w:val="21"/>
              </w:rPr>
            </w:pPr>
            <w:r w:rsidRPr="006D5DB1">
              <w:rPr>
                <w:rFonts w:ascii="Times New Roman" w:hAnsi="Times New Roman"/>
                <w:b/>
                <w:kern w:val="0"/>
                <w:sz w:val="21"/>
                <w:szCs w:val="21"/>
              </w:rPr>
              <w:t>0~0.5m</w:t>
            </w:r>
          </w:p>
        </w:tc>
        <w:tc>
          <w:tcPr>
            <w:tcW w:w="559" w:type="pct"/>
            <w:vAlign w:val="center"/>
          </w:tcPr>
          <w:p w:rsidR="007F5CF1" w:rsidRPr="006D5DB1" w:rsidRDefault="007F5CF1" w:rsidP="007F5CF1">
            <w:pPr>
              <w:pStyle w:val="afffffff2"/>
              <w:rPr>
                <w:rFonts w:ascii="Times New Roman" w:hAnsi="Times New Roman"/>
                <w:b/>
                <w:kern w:val="0"/>
                <w:sz w:val="21"/>
                <w:szCs w:val="21"/>
              </w:rPr>
            </w:pPr>
            <w:r w:rsidRPr="006D5DB1">
              <w:rPr>
                <w:rFonts w:ascii="Times New Roman" w:hAnsi="Times New Roman"/>
                <w:b/>
                <w:kern w:val="0"/>
                <w:sz w:val="21"/>
                <w:szCs w:val="21"/>
              </w:rPr>
              <w:t>0.5~1.5m</w:t>
            </w:r>
          </w:p>
        </w:tc>
        <w:tc>
          <w:tcPr>
            <w:tcW w:w="457" w:type="pct"/>
            <w:vAlign w:val="center"/>
          </w:tcPr>
          <w:p w:rsidR="007F5CF1" w:rsidRPr="006D5DB1" w:rsidRDefault="007F5CF1" w:rsidP="007F5CF1">
            <w:pPr>
              <w:pStyle w:val="afffffff2"/>
              <w:rPr>
                <w:rFonts w:ascii="Times New Roman" w:hAnsi="Times New Roman"/>
                <w:b/>
                <w:kern w:val="0"/>
                <w:sz w:val="21"/>
                <w:szCs w:val="21"/>
              </w:rPr>
            </w:pPr>
            <w:r w:rsidRPr="006D5DB1">
              <w:rPr>
                <w:rFonts w:ascii="Times New Roman" w:hAnsi="Times New Roman"/>
                <w:b/>
                <w:kern w:val="0"/>
                <w:sz w:val="21"/>
                <w:szCs w:val="21"/>
              </w:rPr>
              <w:t>1.5~4.5m</w:t>
            </w:r>
          </w:p>
        </w:tc>
        <w:tc>
          <w:tcPr>
            <w:tcW w:w="1090" w:type="pct"/>
            <w:vMerge/>
            <w:vAlign w:val="center"/>
          </w:tcPr>
          <w:p w:rsidR="007F5CF1" w:rsidRPr="007F5CF1" w:rsidRDefault="007F5CF1" w:rsidP="007F5CF1">
            <w:pPr>
              <w:pStyle w:val="afffffff2"/>
              <w:rPr>
                <w:rFonts w:ascii="Times New Roman" w:hAnsi="Times New Roman"/>
                <w:kern w:val="0"/>
                <w:sz w:val="21"/>
                <w:szCs w:val="21"/>
              </w:rPr>
            </w:pPr>
          </w:p>
        </w:tc>
      </w:tr>
      <w:tr w:rsidR="007F5CF1" w:rsidRPr="007F5CF1" w:rsidTr="007F5CF1">
        <w:tc>
          <w:tcPr>
            <w:tcW w:w="762" w:type="pct"/>
            <w:tcBorders>
              <w:top w:val="single" w:sz="4" w:space="0" w:color="auto"/>
            </w:tcBorders>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点位坐标</w:t>
            </w:r>
          </w:p>
        </w:tc>
        <w:tc>
          <w:tcPr>
            <w:tcW w:w="1574" w:type="pct"/>
            <w:gridSpan w:val="3"/>
            <w:vAlign w:val="center"/>
          </w:tcPr>
          <w:p w:rsidR="007F5CF1" w:rsidRPr="007F5CF1" w:rsidRDefault="007F5CF1" w:rsidP="007F5CF1">
            <w:pPr>
              <w:pStyle w:val="afffffff2"/>
              <w:rPr>
                <w:kern w:val="0"/>
                <w:sz w:val="21"/>
                <w:szCs w:val="21"/>
              </w:rPr>
            </w:pPr>
            <w:r w:rsidRPr="007F5CF1">
              <w:rPr>
                <w:rFonts w:ascii="Times New Roman" w:hAnsi="Times New Roman" w:cs="Times New Roman" w:hint="eastAsia"/>
                <w:bCs/>
                <w:kern w:val="0"/>
                <w:sz w:val="21"/>
                <w:szCs w:val="21"/>
              </w:rPr>
              <w:t>117.572760</w:t>
            </w:r>
            <w:r w:rsidRPr="007F5CF1">
              <w:rPr>
                <w:rFonts w:ascii="Times New Roman" w:hAnsi="Times New Roman" w:cs="Times New Roman"/>
                <w:bCs/>
                <w:kern w:val="0"/>
                <w:sz w:val="21"/>
                <w:szCs w:val="21"/>
              </w:rPr>
              <w:t>°E</w:t>
            </w:r>
            <w:r w:rsidRPr="007F5CF1">
              <w:rPr>
                <w:rFonts w:ascii="Times New Roman" w:hAnsi="Times New Roman" w:cs="Times New Roman"/>
                <w:bCs/>
                <w:kern w:val="0"/>
                <w:sz w:val="21"/>
                <w:szCs w:val="21"/>
              </w:rPr>
              <w:t>，</w:t>
            </w:r>
            <w:r w:rsidRPr="007F5CF1">
              <w:rPr>
                <w:rFonts w:ascii="Times New Roman" w:hAnsi="Times New Roman" w:cs="Times New Roman" w:hint="eastAsia"/>
                <w:bCs/>
                <w:kern w:val="0"/>
                <w:sz w:val="21"/>
                <w:szCs w:val="21"/>
              </w:rPr>
              <w:t>32.992555</w:t>
            </w:r>
            <w:r w:rsidRPr="007F5CF1">
              <w:rPr>
                <w:rFonts w:ascii="Times New Roman" w:hAnsi="Times New Roman" w:cs="Times New Roman"/>
                <w:bCs/>
                <w:kern w:val="0"/>
                <w:sz w:val="21"/>
                <w:szCs w:val="21"/>
              </w:rPr>
              <w:t>°N</w:t>
            </w:r>
          </w:p>
        </w:tc>
        <w:tc>
          <w:tcPr>
            <w:tcW w:w="1574" w:type="pct"/>
            <w:gridSpan w:val="3"/>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cs="Times New Roman" w:hint="eastAsia"/>
                <w:bCs/>
                <w:kern w:val="0"/>
                <w:sz w:val="21"/>
                <w:szCs w:val="21"/>
              </w:rPr>
              <w:t>117.574861</w:t>
            </w:r>
            <w:r w:rsidRPr="007F5CF1">
              <w:rPr>
                <w:rFonts w:ascii="Times New Roman" w:hAnsi="Times New Roman" w:cs="Times New Roman"/>
                <w:bCs/>
                <w:kern w:val="0"/>
                <w:sz w:val="21"/>
                <w:szCs w:val="21"/>
              </w:rPr>
              <w:t>°E</w:t>
            </w:r>
            <w:r w:rsidRPr="007F5CF1">
              <w:rPr>
                <w:rFonts w:ascii="Times New Roman" w:hAnsi="Times New Roman" w:cs="Times New Roman"/>
                <w:bCs/>
                <w:kern w:val="0"/>
                <w:sz w:val="21"/>
                <w:szCs w:val="21"/>
              </w:rPr>
              <w:t>，</w:t>
            </w:r>
            <w:r w:rsidRPr="007F5CF1">
              <w:rPr>
                <w:rFonts w:ascii="Times New Roman" w:hAnsi="Times New Roman" w:cs="Times New Roman" w:hint="eastAsia"/>
                <w:bCs/>
                <w:kern w:val="0"/>
                <w:sz w:val="21"/>
                <w:szCs w:val="21"/>
              </w:rPr>
              <w:t>32.991954</w:t>
            </w:r>
            <w:r w:rsidRPr="007F5CF1">
              <w:rPr>
                <w:rFonts w:ascii="Times New Roman" w:hAnsi="Times New Roman" w:cs="Times New Roman"/>
                <w:bCs/>
                <w:kern w:val="0"/>
                <w:sz w:val="21"/>
                <w:szCs w:val="21"/>
              </w:rPr>
              <w:t>°N</w:t>
            </w:r>
          </w:p>
        </w:tc>
        <w:tc>
          <w:tcPr>
            <w:tcW w:w="1090" w:type="pct"/>
            <w:vMerge/>
            <w:vAlign w:val="center"/>
          </w:tcPr>
          <w:p w:rsidR="007F5CF1" w:rsidRPr="007F5CF1" w:rsidRDefault="007F5CF1" w:rsidP="007F5CF1">
            <w:pPr>
              <w:pStyle w:val="afffffff2"/>
              <w:rPr>
                <w:rFonts w:ascii="Times New Roman" w:hAnsi="Times New Roman"/>
                <w:kern w:val="0"/>
                <w:sz w:val="21"/>
                <w:szCs w:val="21"/>
              </w:rPr>
            </w:pP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四氯化碳</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2.8</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氯仿</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0.9</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氯甲烷</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37</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1,1-</w:t>
            </w:r>
            <w:r w:rsidRPr="007F5CF1">
              <w:rPr>
                <w:rFonts w:ascii="Times New Roman" w:hAnsi="Times New Roman"/>
                <w:kern w:val="0"/>
                <w:sz w:val="21"/>
                <w:szCs w:val="21"/>
              </w:rPr>
              <w:t>二氯乙烷</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9</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1,2-</w:t>
            </w:r>
            <w:r w:rsidRPr="007F5CF1">
              <w:rPr>
                <w:rFonts w:ascii="Times New Roman" w:hAnsi="Times New Roman"/>
                <w:kern w:val="0"/>
                <w:sz w:val="21"/>
                <w:szCs w:val="21"/>
              </w:rPr>
              <w:t>二氯乙烷</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5</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1,1-</w:t>
            </w:r>
            <w:r w:rsidRPr="007F5CF1">
              <w:rPr>
                <w:rFonts w:ascii="Times New Roman" w:hAnsi="Times New Roman"/>
                <w:kern w:val="0"/>
                <w:sz w:val="21"/>
                <w:szCs w:val="21"/>
              </w:rPr>
              <w:t>二氯乙烯</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66</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顺</w:t>
            </w:r>
            <w:r w:rsidRPr="007F5CF1">
              <w:rPr>
                <w:rFonts w:ascii="Times New Roman" w:hAnsi="Times New Roman"/>
                <w:kern w:val="0"/>
                <w:sz w:val="21"/>
                <w:szCs w:val="21"/>
              </w:rPr>
              <w:t>-1,2-</w:t>
            </w:r>
            <w:r w:rsidRPr="007F5CF1">
              <w:rPr>
                <w:rFonts w:ascii="Times New Roman" w:hAnsi="Times New Roman"/>
                <w:kern w:val="0"/>
                <w:sz w:val="21"/>
                <w:szCs w:val="21"/>
              </w:rPr>
              <w:t>二氯乙烯</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596</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反</w:t>
            </w:r>
            <w:r w:rsidRPr="007F5CF1">
              <w:rPr>
                <w:rFonts w:ascii="Times New Roman" w:hAnsi="Times New Roman"/>
                <w:kern w:val="0"/>
                <w:sz w:val="21"/>
                <w:szCs w:val="21"/>
              </w:rPr>
              <w:t>-1,2-</w:t>
            </w:r>
            <w:r w:rsidRPr="007F5CF1">
              <w:rPr>
                <w:rFonts w:ascii="Times New Roman" w:hAnsi="Times New Roman"/>
                <w:kern w:val="0"/>
                <w:sz w:val="21"/>
                <w:szCs w:val="21"/>
              </w:rPr>
              <w:t>二氯乙烯</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54</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二氯甲烷</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616</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1,2-</w:t>
            </w:r>
            <w:r w:rsidRPr="007F5CF1">
              <w:rPr>
                <w:rFonts w:ascii="Times New Roman" w:hAnsi="Times New Roman"/>
                <w:kern w:val="0"/>
                <w:sz w:val="21"/>
                <w:szCs w:val="21"/>
              </w:rPr>
              <w:t>二氯丙烷</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5</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1,1,1,2-</w:t>
            </w:r>
            <w:r w:rsidRPr="007F5CF1">
              <w:rPr>
                <w:rFonts w:ascii="Times New Roman" w:hAnsi="Times New Roman"/>
                <w:kern w:val="0"/>
                <w:sz w:val="21"/>
                <w:szCs w:val="21"/>
              </w:rPr>
              <w:t>四氯乙烷</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10</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1,1,2,2-</w:t>
            </w:r>
            <w:r w:rsidRPr="007F5CF1">
              <w:rPr>
                <w:rFonts w:ascii="Times New Roman" w:hAnsi="Times New Roman"/>
                <w:kern w:val="0"/>
                <w:sz w:val="21"/>
                <w:szCs w:val="21"/>
              </w:rPr>
              <w:t>四氯乙烷</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6.8</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四氯乙烯</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53</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1,1,1-</w:t>
            </w:r>
            <w:r w:rsidRPr="007F5CF1">
              <w:rPr>
                <w:rFonts w:ascii="Times New Roman" w:hAnsi="Times New Roman"/>
                <w:kern w:val="0"/>
                <w:sz w:val="21"/>
                <w:szCs w:val="21"/>
              </w:rPr>
              <w:t>三氯乙烷</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840</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1,1,2-</w:t>
            </w:r>
            <w:r w:rsidRPr="007F5CF1">
              <w:rPr>
                <w:rFonts w:ascii="Times New Roman" w:hAnsi="Times New Roman"/>
                <w:kern w:val="0"/>
                <w:sz w:val="21"/>
                <w:szCs w:val="21"/>
              </w:rPr>
              <w:t>三氯乙烷</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2.8</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三氯乙烯</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2.8</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1,2,3-</w:t>
            </w:r>
            <w:r w:rsidRPr="007F5CF1">
              <w:rPr>
                <w:rFonts w:ascii="Times New Roman" w:hAnsi="Times New Roman"/>
                <w:kern w:val="0"/>
                <w:sz w:val="21"/>
                <w:szCs w:val="21"/>
              </w:rPr>
              <w:t>三氯丙烷</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0.5</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氯乙烯</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0.43</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lastRenderedPageBreak/>
              <w:t>苯</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4</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氯苯</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270</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1,2-</w:t>
            </w:r>
            <w:r w:rsidRPr="007F5CF1">
              <w:rPr>
                <w:rFonts w:ascii="Times New Roman" w:hAnsi="Times New Roman"/>
                <w:kern w:val="0"/>
                <w:sz w:val="21"/>
                <w:szCs w:val="21"/>
              </w:rPr>
              <w:t>二氯苯</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560</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1,4-</w:t>
            </w:r>
            <w:r w:rsidRPr="007F5CF1">
              <w:rPr>
                <w:rFonts w:ascii="Times New Roman" w:hAnsi="Times New Roman"/>
                <w:kern w:val="0"/>
                <w:sz w:val="21"/>
                <w:szCs w:val="21"/>
              </w:rPr>
              <w:t>二氯苯</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20</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乙苯</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28</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苯乙烯</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1290</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甲苯</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1200</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间二甲苯</w:t>
            </w:r>
            <w:r w:rsidRPr="007F5CF1">
              <w:rPr>
                <w:rFonts w:ascii="Times New Roman" w:hAnsi="Times New Roman"/>
                <w:kern w:val="0"/>
                <w:sz w:val="21"/>
                <w:szCs w:val="21"/>
              </w:rPr>
              <w:t>+</w:t>
            </w:r>
            <w:r w:rsidRPr="007F5CF1">
              <w:rPr>
                <w:rFonts w:ascii="Times New Roman" w:hAnsi="Times New Roman"/>
                <w:kern w:val="0"/>
                <w:sz w:val="21"/>
                <w:szCs w:val="21"/>
              </w:rPr>
              <w:t>对二甲苯</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570</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邻二甲苯</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640</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硝基苯</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76</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苯胺</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260</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2-</w:t>
            </w:r>
            <w:r w:rsidRPr="007F5CF1">
              <w:rPr>
                <w:rFonts w:ascii="Times New Roman" w:hAnsi="Times New Roman"/>
                <w:kern w:val="0"/>
                <w:sz w:val="21"/>
                <w:szCs w:val="21"/>
              </w:rPr>
              <w:t>氯酚</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2256</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苯并</w:t>
            </w:r>
            <w:r w:rsidRPr="007F5CF1">
              <w:rPr>
                <w:rFonts w:ascii="Times New Roman" w:hAnsi="Times New Roman"/>
                <w:kern w:val="0"/>
                <w:sz w:val="21"/>
                <w:szCs w:val="21"/>
              </w:rPr>
              <w:t>[a]</w:t>
            </w:r>
            <w:r w:rsidRPr="007F5CF1">
              <w:rPr>
                <w:rFonts w:ascii="Times New Roman" w:hAnsi="Times New Roman"/>
                <w:kern w:val="0"/>
                <w:sz w:val="21"/>
                <w:szCs w:val="21"/>
              </w:rPr>
              <w:t>芘</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15</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苯并</w:t>
            </w:r>
            <w:r w:rsidRPr="007F5CF1">
              <w:rPr>
                <w:rFonts w:ascii="Times New Roman" w:hAnsi="Times New Roman"/>
                <w:kern w:val="0"/>
                <w:sz w:val="21"/>
                <w:szCs w:val="21"/>
              </w:rPr>
              <w:t>[a]</w:t>
            </w:r>
            <w:r w:rsidRPr="007F5CF1">
              <w:rPr>
                <w:rFonts w:ascii="Times New Roman" w:hAnsi="Times New Roman"/>
                <w:kern w:val="0"/>
                <w:sz w:val="21"/>
                <w:szCs w:val="21"/>
              </w:rPr>
              <w:t>蒽</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1.5</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苯并</w:t>
            </w:r>
            <w:r w:rsidRPr="007F5CF1">
              <w:rPr>
                <w:rFonts w:ascii="Times New Roman" w:hAnsi="Times New Roman"/>
                <w:kern w:val="0"/>
                <w:sz w:val="21"/>
                <w:szCs w:val="21"/>
              </w:rPr>
              <w:t>[b]</w:t>
            </w:r>
            <w:r w:rsidRPr="007F5CF1">
              <w:rPr>
                <w:rFonts w:ascii="Times New Roman" w:hAnsi="Times New Roman"/>
                <w:kern w:val="0"/>
                <w:sz w:val="21"/>
                <w:szCs w:val="21"/>
              </w:rPr>
              <w:t>荧蒽</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15</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苯并</w:t>
            </w:r>
            <w:r w:rsidRPr="007F5CF1">
              <w:rPr>
                <w:rFonts w:ascii="Times New Roman" w:hAnsi="Times New Roman"/>
                <w:kern w:val="0"/>
                <w:sz w:val="21"/>
                <w:szCs w:val="21"/>
              </w:rPr>
              <w:t>[k]</w:t>
            </w:r>
            <w:r w:rsidRPr="007F5CF1">
              <w:rPr>
                <w:rFonts w:ascii="Times New Roman" w:hAnsi="Times New Roman"/>
                <w:kern w:val="0"/>
                <w:sz w:val="21"/>
                <w:szCs w:val="21"/>
              </w:rPr>
              <w:t>荧蒽</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151</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䓛</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1293</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二苯并</w:t>
            </w:r>
            <w:r w:rsidRPr="007F5CF1">
              <w:rPr>
                <w:rFonts w:ascii="Times New Roman" w:hAnsi="Times New Roman"/>
                <w:kern w:val="0"/>
                <w:sz w:val="21"/>
                <w:szCs w:val="21"/>
              </w:rPr>
              <w:t>[a,h]</w:t>
            </w:r>
            <w:r w:rsidRPr="007F5CF1">
              <w:rPr>
                <w:rFonts w:ascii="Times New Roman" w:hAnsi="Times New Roman"/>
                <w:kern w:val="0"/>
                <w:sz w:val="21"/>
                <w:szCs w:val="21"/>
              </w:rPr>
              <w:t>蒽</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1.5</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茚并</w:t>
            </w:r>
            <w:r w:rsidRPr="007F5CF1">
              <w:rPr>
                <w:rFonts w:ascii="Times New Roman" w:hAnsi="Times New Roman"/>
                <w:kern w:val="0"/>
                <w:sz w:val="21"/>
                <w:szCs w:val="21"/>
              </w:rPr>
              <w:t>[1,2,3-cd]</w:t>
            </w:r>
            <w:r w:rsidRPr="007F5CF1">
              <w:rPr>
                <w:rFonts w:ascii="Times New Roman" w:hAnsi="Times New Roman"/>
                <w:kern w:val="0"/>
                <w:sz w:val="21"/>
                <w:szCs w:val="21"/>
              </w:rPr>
              <w:t>芘</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15</w:t>
            </w:r>
          </w:p>
        </w:tc>
      </w:tr>
      <w:tr w:rsidR="007F5CF1" w:rsidRPr="007F5CF1" w:rsidTr="007F5CF1">
        <w:tc>
          <w:tcPr>
            <w:tcW w:w="762"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萘</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8"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559"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457"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ND</w:t>
            </w:r>
          </w:p>
        </w:tc>
        <w:tc>
          <w:tcPr>
            <w:tcW w:w="1090" w:type="pct"/>
            <w:vAlign w:val="center"/>
          </w:tcPr>
          <w:p w:rsidR="007F5CF1" w:rsidRPr="007F5CF1" w:rsidRDefault="007F5CF1" w:rsidP="007F5CF1">
            <w:pPr>
              <w:pStyle w:val="afffffff2"/>
              <w:rPr>
                <w:rFonts w:ascii="Times New Roman" w:hAnsi="Times New Roman"/>
                <w:kern w:val="0"/>
                <w:sz w:val="21"/>
                <w:szCs w:val="21"/>
              </w:rPr>
            </w:pPr>
            <w:r w:rsidRPr="007F5CF1">
              <w:rPr>
                <w:rFonts w:ascii="Times New Roman" w:hAnsi="Times New Roman"/>
                <w:kern w:val="0"/>
                <w:sz w:val="21"/>
                <w:szCs w:val="21"/>
              </w:rPr>
              <w:t>70</w:t>
            </w:r>
          </w:p>
        </w:tc>
      </w:tr>
    </w:tbl>
    <w:p w:rsidR="007F5CF1" w:rsidRDefault="007F5CF1">
      <w:pPr>
        <w:pStyle w:val="afffff4"/>
        <w:ind w:firstLine="480"/>
      </w:pPr>
    </w:p>
    <w:p w:rsidR="004E3021" w:rsidRDefault="004E3021">
      <w:pPr>
        <w:pStyle w:val="afffff4"/>
        <w:ind w:firstLine="480"/>
        <w:rPr>
          <w:rFonts w:ascii="黑体" w:hAnsi="黑体"/>
        </w:rPr>
        <w:sectPr w:rsidR="004E3021" w:rsidSect="007F5CF1">
          <w:pgSz w:w="16838" w:h="11906" w:orient="landscape"/>
          <w:pgMar w:top="1440" w:right="1440" w:bottom="1440" w:left="1440" w:header="851" w:footer="992" w:gutter="0"/>
          <w:cols w:space="425"/>
          <w:docGrid w:type="lines" w:linePitch="326"/>
        </w:sectPr>
      </w:pPr>
    </w:p>
    <w:p w:rsidR="004E3021" w:rsidRDefault="00606E48">
      <w:pPr>
        <w:pStyle w:val="afffff4"/>
      </w:pPr>
      <w:r>
        <w:lastRenderedPageBreak/>
        <w:t>表</w:t>
      </w:r>
      <w:r>
        <w:t xml:space="preserve">4.2.5-4  </w:t>
      </w:r>
      <w:r w:rsidR="007F5CF1">
        <w:rPr>
          <w:rFonts w:hint="eastAsia"/>
        </w:rPr>
        <w:t>项目周边农用地土壤环境监测结果</w:t>
      </w:r>
      <w:r w:rsidR="007F5CF1">
        <w:rPr>
          <w:rFonts w:hint="eastAsia"/>
        </w:rPr>
        <w:t xml:space="preserve">  </w:t>
      </w:r>
      <w:r w:rsidR="007F5CF1">
        <w:rPr>
          <w:rFonts w:hint="eastAsia"/>
        </w:rPr>
        <w:t>单位</w:t>
      </w:r>
      <w:r w:rsidR="007F5CF1">
        <w:t>：</w:t>
      </w:r>
      <w:r w:rsidR="007F5CF1">
        <w:t>mg/kg</w:t>
      </w:r>
      <w:r w:rsidR="007F5CF1">
        <w:rPr>
          <w:rFonts w:hint="eastAsia"/>
        </w:rPr>
        <w:t>，</w:t>
      </w:r>
      <w:r w:rsidR="007F5CF1">
        <w:rPr>
          <w:rFonts w:hint="eastAsia"/>
        </w:rPr>
        <w:t>pH:</w:t>
      </w:r>
      <w:r w:rsidR="007F5CF1">
        <w:rPr>
          <w:rFonts w:hint="eastAsia"/>
        </w:rPr>
        <w:t>无量纲</w:t>
      </w:r>
    </w:p>
    <w:tbl>
      <w:tblPr>
        <w:tblStyle w:val="afff"/>
        <w:tblW w:w="5000" w:type="pct"/>
        <w:tblLook w:val="04A0" w:firstRow="1" w:lastRow="0" w:firstColumn="1" w:lastColumn="0" w:noHBand="0" w:noVBand="1"/>
      </w:tblPr>
      <w:tblGrid>
        <w:gridCol w:w="2410"/>
        <w:gridCol w:w="3119"/>
        <w:gridCol w:w="3497"/>
      </w:tblGrid>
      <w:tr w:rsidR="007F5CF1" w:rsidRPr="007F5CF1" w:rsidTr="007F5CF1">
        <w:trPr>
          <w:trHeight w:val="454"/>
        </w:trPr>
        <w:tc>
          <w:tcPr>
            <w:tcW w:w="1335" w:type="pct"/>
            <w:vAlign w:val="center"/>
          </w:tcPr>
          <w:p w:rsidR="007F5CF1" w:rsidRPr="006D5DB1" w:rsidRDefault="007F5CF1" w:rsidP="007F5CF1">
            <w:pPr>
              <w:spacing w:line="360" w:lineRule="exact"/>
              <w:ind w:firstLineChars="0" w:firstLine="0"/>
              <w:jc w:val="center"/>
              <w:rPr>
                <w:b/>
                <w:color w:val="000000"/>
                <w:kern w:val="0"/>
                <w:sz w:val="21"/>
                <w:szCs w:val="21"/>
              </w:rPr>
            </w:pPr>
            <w:r w:rsidRPr="006D5DB1">
              <w:rPr>
                <w:rFonts w:ascii="Times New Roman" w:hAnsi="Times New Roman"/>
                <w:b/>
                <w:sz w:val="21"/>
                <w:szCs w:val="21"/>
              </w:rPr>
              <w:t>检测点位</w:t>
            </w:r>
          </w:p>
        </w:tc>
        <w:tc>
          <w:tcPr>
            <w:tcW w:w="1728" w:type="pct"/>
            <w:vAlign w:val="center"/>
          </w:tcPr>
          <w:p w:rsidR="007F5CF1" w:rsidRPr="006D5DB1" w:rsidRDefault="007F5CF1" w:rsidP="007F5CF1">
            <w:pPr>
              <w:spacing w:line="360" w:lineRule="exact"/>
              <w:ind w:firstLineChars="0" w:firstLine="0"/>
              <w:jc w:val="center"/>
              <w:rPr>
                <w:rFonts w:ascii="Times New Roman" w:hAnsi="Times New Roman"/>
                <w:b/>
                <w:sz w:val="21"/>
                <w:szCs w:val="21"/>
              </w:rPr>
            </w:pPr>
            <w:r w:rsidRPr="006D5DB1">
              <w:rPr>
                <w:rFonts w:ascii="Times New Roman" w:hAnsi="Times New Roman"/>
                <w:b/>
                <w:bCs/>
                <w:kern w:val="0"/>
                <w:sz w:val="21"/>
                <w:szCs w:val="21"/>
              </w:rPr>
              <w:t>T11</w:t>
            </w:r>
            <w:r w:rsidRPr="006D5DB1">
              <w:rPr>
                <w:rFonts w:ascii="Times New Roman" w:hAnsi="Times New Roman"/>
                <w:b/>
                <w:bCs/>
                <w:kern w:val="0"/>
                <w:sz w:val="21"/>
                <w:szCs w:val="21"/>
              </w:rPr>
              <w:t>北侧农用地</w:t>
            </w:r>
          </w:p>
        </w:tc>
        <w:tc>
          <w:tcPr>
            <w:tcW w:w="1937" w:type="pct"/>
            <w:vMerge w:val="restart"/>
            <w:vAlign w:val="center"/>
          </w:tcPr>
          <w:p w:rsidR="007F5CF1" w:rsidRPr="006D5DB1" w:rsidRDefault="007F5CF1" w:rsidP="007F5CF1">
            <w:pPr>
              <w:spacing w:line="360" w:lineRule="exact"/>
              <w:ind w:firstLineChars="0" w:firstLine="0"/>
              <w:jc w:val="center"/>
              <w:rPr>
                <w:rFonts w:ascii="Times New Roman" w:hAnsi="Times New Roman"/>
                <w:b/>
                <w:sz w:val="21"/>
                <w:szCs w:val="21"/>
              </w:rPr>
            </w:pPr>
            <w:r w:rsidRPr="006D5DB1">
              <w:rPr>
                <w:b/>
                <w:sz w:val="21"/>
                <w:szCs w:val="21"/>
              </w:rPr>
              <w:t>《土壤环境质量</w:t>
            </w:r>
            <w:r w:rsidRPr="006D5DB1">
              <w:rPr>
                <w:b/>
                <w:sz w:val="21"/>
                <w:szCs w:val="21"/>
              </w:rPr>
              <w:t xml:space="preserve"> </w:t>
            </w:r>
            <w:r w:rsidRPr="006D5DB1">
              <w:rPr>
                <w:b/>
                <w:sz w:val="21"/>
                <w:szCs w:val="21"/>
              </w:rPr>
              <w:t>农用地土壤污染风险管控标准（试行）》</w:t>
            </w:r>
            <w:r w:rsidRPr="006D5DB1">
              <w:rPr>
                <w:rFonts w:ascii="Times New Roman" w:hAnsi="Times New Roman"/>
                <w:b/>
                <w:sz w:val="21"/>
                <w:szCs w:val="21"/>
              </w:rPr>
              <w:t>（</w:t>
            </w:r>
            <w:r w:rsidRPr="006D5DB1">
              <w:rPr>
                <w:rFonts w:ascii="Times New Roman" w:hAnsi="Times New Roman"/>
                <w:b/>
                <w:sz w:val="21"/>
                <w:szCs w:val="21"/>
              </w:rPr>
              <w:t>GB15618-2018</w:t>
            </w:r>
            <w:r w:rsidRPr="006D5DB1">
              <w:rPr>
                <w:rFonts w:ascii="Times New Roman" w:hAnsi="Times New Roman"/>
                <w:b/>
                <w:sz w:val="21"/>
                <w:szCs w:val="21"/>
              </w:rPr>
              <w:t>）中风险筛选值</w:t>
            </w:r>
          </w:p>
        </w:tc>
      </w:tr>
      <w:tr w:rsidR="007F5CF1" w:rsidRPr="007F5CF1" w:rsidTr="007F5CF1">
        <w:trPr>
          <w:trHeight w:val="454"/>
        </w:trPr>
        <w:tc>
          <w:tcPr>
            <w:tcW w:w="1335" w:type="pct"/>
            <w:vAlign w:val="center"/>
          </w:tcPr>
          <w:p w:rsidR="007F5CF1" w:rsidRPr="007F5CF1" w:rsidRDefault="007F5CF1" w:rsidP="007F5CF1">
            <w:pPr>
              <w:spacing w:line="360" w:lineRule="exact"/>
              <w:ind w:firstLineChars="0" w:firstLine="0"/>
              <w:jc w:val="center"/>
              <w:rPr>
                <w:sz w:val="21"/>
                <w:szCs w:val="21"/>
              </w:rPr>
            </w:pPr>
            <w:r w:rsidRPr="007F5CF1">
              <w:rPr>
                <w:rFonts w:ascii="Times New Roman" w:hAnsi="Times New Roman"/>
                <w:sz w:val="21"/>
                <w:szCs w:val="21"/>
              </w:rPr>
              <w:t>点位坐标</w:t>
            </w:r>
          </w:p>
        </w:tc>
        <w:tc>
          <w:tcPr>
            <w:tcW w:w="1728" w:type="pct"/>
            <w:vAlign w:val="center"/>
          </w:tcPr>
          <w:p w:rsidR="007F5CF1" w:rsidRPr="007F5CF1" w:rsidRDefault="007F5CF1" w:rsidP="007F5CF1">
            <w:pPr>
              <w:pStyle w:val="afffffff2"/>
              <w:rPr>
                <w:rFonts w:ascii="Times New Roman" w:hAnsi="Times New Roman" w:cs="Times New Roman"/>
                <w:bCs/>
                <w:sz w:val="21"/>
                <w:szCs w:val="21"/>
              </w:rPr>
            </w:pPr>
            <w:r w:rsidRPr="007F5CF1">
              <w:rPr>
                <w:rFonts w:ascii="Times New Roman" w:hAnsi="Times New Roman" w:cs="Times New Roman"/>
                <w:bCs/>
                <w:sz w:val="21"/>
                <w:szCs w:val="21"/>
              </w:rPr>
              <w:t>117.577271°E</w:t>
            </w:r>
            <w:r w:rsidRPr="007F5CF1">
              <w:rPr>
                <w:rFonts w:ascii="Times New Roman" w:hAnsi="Times New Roman" w:cs="Times New Roman"/>
                <w:bCs/>
                <w:sz w:val="21"/>
                <w:szCs w:val="21"/>
              </w:rPr>
              <w:t>，</w:t>
            </w:r>
            <w:r w:rsidRPr="007F5CF1">
              <w:rPr>
                <w:rFonts w:ascii="Times New Roman" w:hAnsi="Times New Roman" w:cs="Times New Roman"/>
                <w:bCs/>
                <w:sz w:val="21"/>
                <w:szCs w:val="21"/>
              </w:rPr>
              <w:t>33.001360°N</w:t>
            </w:r>
          </w:p>
        </w:tc>
        <w:tc>
          <w:tcPr>
            <w:tcW w:w="1937" w:type="pct"/>
            <w:vMerge/>
            <w:vAlign w:val="center"/>
          </w:tcPr>
          <w:p w:rsidR="007F5CF1" w:rsidRPr="007F5CF1" w:rsidRDefault="007F5CF1" w:rsidP="007F5CF1">
            <w:pPr>
              <w:pStyle w:val="afffffff2"/>
              <w:rPr>
                <w:rFonts w:ascii="Times New Roman" w:hAnsi="Times New Roman" w:cs="Times New Roman"/>
                <w:bCs/>
                <w:sz w:val="21"/>
                <w:szCs w:val="21"/>
              </w:rPr>
            </w:pPr>
          </w:p>
        </w:tc>
      </w:tr>
      <w:tr w:rsidR="007F5CF1" w:rsidRPr="007F5CF1" w:rsidTr="007F5CF1">
        <w:trPr>
          <w:trHeight w:val="454"/>
        </w:trPr>
        <w:tc>
          <w:tcPr>
            <w:tcW w:w="1335" w:type="pct"/>
            <w:vAlign w:val="center"/>
          </w:tcPr>
          <w:p w:rsidR="007F5CF1" w:rsidRPr="007F5CF1" w:rsidRDefault="007F5CF1" w:rsidP="007F5CF1">
            <w:pPr>
              <w:spacing w:line="360" w:lineRule="exact"/>
              <w:ind w:firstLineChars="0" w:firstLine="0"/>
              <w:jc w:val="center"/>
              <w:rPr>
                <w:sz w:val="21"/>
                <w:szCs w:val="21"/>
              </w:rPr>
            </w:pPr>
            <w:r w:rsidRPr="007F5CF1">
              <w:rPr>
                <w:rFonts w:ascii="Times New Roman" w:hAnsi="Times New Roman"/>
                <w:sz w:val="21"/>
                <w:szCs w:val="21"/>
              </w:rPr>
              <w:t>采样深度</w:t>
            </w:r>
          </w:p>
        </w:tc>
        <w:tc>
          <w:tcPr>
            <w:tcW w:w="1728" w:type="pct"/>
            <w:vAlign w:val="center"/>
          </w:tcPr>
          <w:p w:rsidR="007F5CF1" w:rsidRPr="007F5CF1" w:rsidRDefault="007F5CF1" w:rsidP="007F5CF1">
            <w:pPr>
              <w:spacing w:line="360" w:lineRule="exact"/>
              <w:ind w:firstLineChars="0" w:firstLine="0"/>
              <w:jc w:val="center"/>
              <w:rPr>
                <w:rFonts w:ascii="Times New Roman" w:hAnsi="Times New Roman"/>
                <w:color w:val="000000"/>
                <w:sz w:val="21"/>
                <w:szCs w:val="21"/>
              </w:rPr>
            </w:pPr>
            <w:r w:rsidRPr="007F5CF1">
              <w:rPr>
                <w:rFonts w:ascii="Times New Roman" w:hAnsi="Times New Roman"/>
                <w:bCs/>
                <w:sz w:val="21"/>
                <w:szCs w:val="21"/>
              </w:rPr>
              <w:t>0~0.2m</w:t>
            </w:r>
          </w:p>
        </w:tc>
        <w:tc>
          <w:tcPr>
            <w:tcW w:w="1937" w:type="pct"/>
            <w:vMerge/>
            <w:vAlign w:val="center"/>
          </w:tcPr>
          <w:p w:rsidR="007F5CF1" w:rsidRPr="007F5CF1" w:rsidRDefault="007F5CF1" w:rsidP="007F5CF1">
            <w:pPr>
              <w:spacing w:line="360" w:lineRule="exact"/>
              <w:ind w:firstLineChars="0" w:firstLine="0"/>
              <w:jc w:val="center"/>
              <w:rPr>
                <w:rFonts w:ascii="Times New Roman" w:hAnsi="Times New Roman"/>
                <w:color w:val="000000"/>
                <w:sz w:val="21"/>
                <w:szCs w:val="21"/>
              </w:rPr>
            </w:pPr>
          </w:p>
        </w:tc>
      </w:tr>
      <w:tr w:rsidR="007F5CF1" w:rsidRPr="007F5CF1" w:rsidTr="007F5CF1">
        <w:trPr>
          <w:trHeight w:val="454"/>
        </w:trPr>
        <w:tc>
          <w:tcPr>
            <w:tcW w:w="1335" w:type="pct"/>
            <w:vAlign w:val="center"/>
          </w:tcPr>
          <w:p w:rsidR="007F5CF1" w:rsidRPr="007F5CF1" w:rsidRDefault="007F5CF1" w:rsidP="007F5CF1">
            <w:pPr>
              <w:widowControl/>
              <w:spacing w:line="360" w:lineRule="exact"/>
              <w:ind w:firstLineChars="0" w:firstLine="0"/>
              <w:jc w:val="center"/>
              <w:textAlignment w:val="center"/>
              <w:rPr>
                <w:rFonts w:ascii="Times New Roman" w:hAnsi="Times New Roman"/>
                <w:sz w:val="21"/>
                <w:szCs w:val="21"/>
              </w:rPr>
            </w:pPr>
            <w:r w:rsidRPr="007F5CF1">
              <w:rPr>
                <w:rFonts w:ascii="Times New Roman" w:hAnsi="Times New Roman"/>
                <w:bCs/>
                <w:kern w:val="0"/>
                <w:sz w:val="21"/>
                <w:szCs w:val="21"/>
              </w:rPr>
              <w:t>pH</w:t>
            </w:r>
          </w:p>
        </w:tc>
        <w:tc>
          <w:tcPr>
            <w:tcW w:w="1728" w:type="pct"/>
            <w:vAlign w:val="center"/>
          </w:tcPr>
          <w:p w:rsidR="007F5CF1" w:rsidRPr="007F5CF1" w:rsidRDefault="007F5CF1" w:rsidP="007F5CF1">
            <w:pPr>
              <w:widowControl/>
              <w:spacing w:line="360" w:lineRule="exact"/>
              <w:ind w:firstLineChars="0" w:firstLine="0"/>
              <w:jc w:val="center"/>
              <w:textAlignment w:val="center"/>
              <w:rPr>
                <w:rFonts w:ascii="Times New Roman" w:hAnsi="Times New Roman"/>
                <w:sz w:val="21"/>
                <w:szCs w:val="21"/>
              </w:rPr>
            </w:pPr>
            <w:r w:rsidRPr="007F5CF1">
              <w:rPr>
                <w:rFonts w:ascii="Times New Roman" w:hAnsi="Times New Roman"/>
                <w:sz w:val="21"/>
                <w:szCs w:val="21"/>
              </w:rPr>
              <w:t>7.83</w:t>
            </w:r>
          </w:p>
        </w:tc>
        <w:tc>
          <w:tcPr>
            <w:tcW w:w="1937" w:type="pct"/>
            <w:vAlign w:val="center"/>
          </w:tcPr>
          <w:p w:rsidR="007F5CF1" w:rsidRPr="007F5CF1" w:rsidRDefault="007F5CF1" w:rsidP="007F5CF1">
            <w:pPr>
              <w:widowControl/>
              <w:spacing w:line="360" w:lineRule="exact"/>
              <w:ind w:firstLineChars="0" w:firstLine="0"/>
              <w:jc w:val="center"/>
              <w:textAlignment w:val="center"/>
              <w:rPr>
                <w:rFonts w:ascii="Times New Roman" w:hAnsi="Times New Roman"/>
                <w:sz w:val="21"/>
                <w:szCs w:val="21"/>
              </w:rPr>
            </w:pPr>
            <w:r>
              <w:rPr>
                <w:rFonts w:ascii="Times New Roman" w:hAnsi="Times New Roman"/>
                <w:sz w:val="21"/>
                <w:szCs w:val="21"/>
              </w:rPr>
              <w:t>/</w:t>
            </w:r>
          </w:p>
        </w:tc>
      </w:tr>
      <w:tr w:rsidR="007F5CF1" w:rsidRPr="007F5CF1" w:rsidTr="007F5CF1">
        <w:trPr>
          <w:trHeight w:val="454"/>
        </w:trPr>
        <w:tc>
          <w:tcPr>
            <w:tcW w:w="1335" w:type="pct"/>
            <w:vAlign w:val="center"/>
          </w:tcPr>
          <w:p w:rsidR="007F5CF1" w:rsidRPr="007F5CF1" w:rsidRDefault="007F5CF1" w:rsidP="007F5CF1">
            <w:pPr>
              <w:widowControl/>
              <w:spacing w:line="360" w:lineRule="exact"/>
              <w:ind w:firstLineChars="0" w:firstLine="0"/>
              <w:jc w:val="center"/>
              <w:textAlignment w:val="center"/>
              <w:rPr>
                <w:rFonts w:ascii="Times New Roman" w:hAnsi="Times New Roman"/>
                <w:color w:val="000000"/>
                <w:sz w:val="21"/>
                <w:szCs w:val="21"/>
              </w:rPr>
            </w:pPr>
            <w:r w:rsidRPr="007F5CF1">
              <w:rPr>
                <w:rFonts w:ascii="Times New Roman" w:hAnsi="Times New Roman"/>
                <w:bCs/>
                <w:kern w:val="0"/>
                <w:sz w:val="21"/>
                <w:szCs w:val="21"/>
              </w:rPr>
              <w:t>镉</w:t>
            </w:r>
          </w:p>
        </w:tc>
        <w:tc>
          <w:tcPr>
            <w:tcW w:w="1728" w:type="pct"/>
            <w:vAlign w:val="center"/>
          </w:tcPr>
          <w:p w:rsidR="007F5CF1" w:rsidRPr="007F5CF1" w:rsidRDefault="007F5CF1" w:rsidP="007F5CF1">
            <w:pPr>
              <w:spacing w:line="360" w:lineRule="exact"/>
              <w:ind w:firstLineChars="0" w:firstLine="0"/>
              <w:jc w:val="center"/>
              <w:rPr>
                <w:rFonts w:ascii="Times New Roman" w:hAnsi="Times New Roman"/>
                <w:sz w:val="21"/>
                <w:szCs w:val="21"/>
              </w:rPr>
            </w:pPr>
            <w:r w:rsidRPr="007F5CF1">
              <w:rPr>
                <w:rFonts w:ascii="Times New Roman" w:hAnsi="Times New Roman"/>
                <w:sz w:val="21"/>
                <w:szCs w:val="21"/>
              </w:rPr>
              <w:t>0.04</w:t>
            </w:r>
          </w:p>
        </w:tc>
        <w:tc>
          <w:tcPr>
            <w:tcW w:w="1937" w:type="pct"/>
            <w:vAlign w:val="center"/>
          </w:tcPr>
          <w:p w:rsidR="007F5CF1" w:rsidRPr="007F5CF1" w:rsidRDefault="007F5CF1" w:rsidP="007F5CF1">
            <w:pPr>
              <w:spacing w:line="360" w:lineRule="exact"/>
              <w:ind w:firstLineChars="0" w:firstLine="0"/>
              <w:jc w:val="center"/>
              <w:rPr>
                <w:rFonts w:ascii="Times New Roman" w:hAnsi="Times New Roman"/>
                <w:sz w:val="21"/>
                <w:szCs w:val="21"/>
              </w:rPr>
            </w:pPr>
            <w:r w:rsidRPr="007F5CF1">
              <w:rPr>
                <w:rFonts w:ascii="Times New Roman" w:hAnsi="Times New Roman"/>
                <w:sz w:val="21"/>
                <w:szCs w:val="21"/>
              </w:rPr>
              <w:t>0.</w:t>
            </w:r>
            <w:r>
              <w:rPr>
                <w:rFonts w:ascii="Times New Roman" w:hAnsi="Times New Roman"/>
                <w:sz w:val="21"/>
                <w:szCs w:val="21"/>
              </w:rPr>
              <w:t>6</w:t>
            </w:r>
          </w:p>
        </w:tc>
      </w:tr>
      <w:tr w:rsidR="007F5CF1" w:rsidRPr="007F5CF1" w:rsidTr="007F5CF1">
        <w:trPr>
          <w:trHeight w:val="454"/>
        </w:trPr>
        <w:tc>
          <w:tcPr>
            <w:tcW w:w="1335" w:type="pct"/>
            <w:vAlign w:val="center"/>
          </w:tcPr>
          <w:p w:rsidR="007F5CF1" w:rsidRPr="007F5CF1" w:rsidRDefault="007F5CF1" w:rsidP="007F5CF1">
            <w:pPr>
              <w:widowControl/>
              <w:spacing w:line="360" w:lineRule="exact"/>
              <w:ind w:firstLineChars="0" w:firstLine="0"/>
              <w:jc w:val="center"/>
              <w:textAlignment w:val="center"/>
              <w:rPr>
                <w:rFonts w:ascii="Times New Roman" w:hAnsi="Times New Roman"/>
                <w:color w:val="000000"/>
                <w:sz w:val="21"/>
                <w:szCs w:val="21"/>
              </w:rPr>
            </w:pPr>
            <w:r w:rsidRPr="007F5CF1">
              <w:rPr>
                <w:rFonts w:ascii="Times New Roman" w:hAnsi="Times New Roman"/>
                <w:bCs/>
                <w:kern w:val="0"/>
                <w:sz w:val="21"/>
                <w:szCs w:val="21"/>
              </w:rPr>
              <w:t>汞</w:t>
            </w:r>
          </w:p>
        </w:tc>
        <w:tc>
          <w:tcPr>
            <w:tcW w:w="1728" w:type="pct"/>
            <w:vAlign w:val="center"/>
          </w:tcPr>
          <w:p w:rsidR="007F5CF1" w:rsidRPr="007F5CF1" w:rsidRDefault="007F5CF1" w:rsidP="007F5CF1">
            <w:pPr>
              <w:spacing w:line="360" w:lineRule="exact"/>
              <w:ind w:firstLineChars="0" w:firstLine="0"/>
              <w:jc w:val="center"/>
              <w:rPr>
                <w:rFonts w:ascii="Times New Roman" w:hAnsi="Times New Roman"/>
                <w:sz w:val="21"/>
                <w:szCs w:val="21"/>
              </w:rPr>
            </w:pPr>
            <w:r w:rsidRPr="007F5CF1">
              <w:rPr>
                <w:rFonts w:ascii="Times New Roman" w:hAnsi="Times New Roman"/>
                <w:sz w:val="21"/>
                <w:szCs w:val="21"/>
              </w:rPr>
              <w:t>0.071</w:t>
            </w:r>
          </w:p>
        </w:tc>
        <w:tc>
          <w:tcPr>
            <w:tcW w:w="1937" w:type="pct"/>
            <w:vAlign w:val="center"/>
          </w:tcPr>
          <w:p w:rsidR="007F5CF1" w:rsidRPr="007F5CF1" w:rsidRDefault="007F5CF1" w:rsidP="007F5CF1">
            <w:pPr>
              <w:spacing w:line="360" w:lineRule="exact"/>
              <w:ind w:firstLineChars="0" w:firstLine="0"/>
              <w:jc w:val="center"/>
              <w:rPr>
                <w:rFonts w:ascii="Times New Roman" w:hAnsi="Times New Roman"/>
                <w:sz w:val="21"/>
                <w:szCs w:val="21"/>
              </w:rPr>
            </w:pPr>
            <w:r>
              <w:rPr>
                <w:rFonts w:ascii="Times New Roman" w:hAnsi="Times New Roman"/>
                <w:sz w:val="21"/>
                <w:szCs w:val="21"/>
              </w:rPr>
              <w:t>3.4</w:t>
            </w:r>
          </w:p>
        </w:tc>
      </w:tr>
      <w:tr w:rsidR="007F5CF1" w:rsidRPr="007F5CF1" w:rsidTr="007F5CF1">
        <w:trPr>
          <w:trHeight w:val="454"/>
        </w:trPr>
        <w:tc>
          <w:tcPr>
            <w:tcW w:w="1335" w:type="pct"/>
            <w:vAlign w:val="center"/>
          </w:tcPr>
          <w:p w:rsidR="007F5CF1" w:rsidRPr="007F5CF1" w:rsidRDefault="007F5CF1" w:rsidP="007F5CF1">
            <w:pPr>
              <w:widowControl/>
              <w:spacing w:line="360" w:lineRule="exact"/>
              <w:ind w:firstLineChars="0" w:firstLine="0"/>
              <w:jc w:val="center"/>
              <w:textAlignment w:val="center"/>
              <w:rPr>
                <w:rFonts w:ascii="Times New Roman" w:hAnsi="Times New Roman"/>
                <w:color w:val="000000"/>
                <w:sz w:val="21"/>
                <w:szCs w:val="21"/>
              </w:rPr>
            </w:pPr>
            <w:r w:rsidRPr="007F5CF1">
              <w:rPr>
                <w:rFonts w:ascii="Times New Roman" w:hAnsi="Times New Roman"/>
                <w:bCs/>
                <w:kern w:val="0"/>
                <w:sz w:val="21"/>
                <w:szCs w:val="21"/>
              </w:rPr>
              <w:t>砷</w:t>
            </w:r>
          </w:p>
        </w:tc>
        <w:tc>
          <w:tcPr>
            <w:tcW w:w="1728" w:type="pct"/>
            <w:vAlign w:val="center"/>
          </w:tcPr>
          <w:p w:rsidR="007F5CF1" w:rsidRPr="007F5CF1" w:rsidRDefault="007F5CF1" w:rsidP="007F5CF1">
            <w:pPr>
              <w:spacing w:line="360" w:lineRule="exact"/>
              <w:ind w:firstLineChars="0" w:firstLine="0"/>
              <w:jc w:val="center"/>
              <w:rPr>
                <w:rFonts w:ascii="Times New Roman" w:hAnsi="Times New Roman"/>
                <w:sz w:val="21"/>
                <w:szCs w:val="21"/>
              </w:rPr>
            </w:pPr>
            <w:r w:rsidRPr="007F5CF1">
              <w:rPr>
                <w:rFonts w:ascii="Times New Roman" w:hAnsi="Times New Roman"/>
                <w:sz w:val="21"/>
                <w:szCs w:val="21"/>
              </w:rPr>
              <w:t>19.6</w:t>
            </w:r>
          </w:p>
        </w:tc>
        <w:tc>
          <w:tcPr>
            <w:tcW w:w="1937" w:type="pct"/>
            <w:vAlign w:val="center"/>
          </w:tcPr>
          <w:p w:rsidR="007F5CF1" w:rsidRPr="007F5CF1" w:rsidRDefault="007F5CF1" w:rsidP="007F5CF1">
            <w:pPr>
              <w:spacing w:line="360" w:lineRule="exact"/>
              <w:ind w:firstLineChars="0" w:firstLine="0"/>
              <w:jc w:val="center"/>
              <w:rPr>
                <w:rFonts w:ascii="Times New Roman" w:hAnsi="Times New Roman"/>
                <w:sz w:val="21"/>
                <w:szCs w:val="21"/>
              </w:rPr>
            </w:pPr>
            <w:r>
              <w:rPr>
                <w:rFonts w:ascii="Times New Roman" w:hAnsi="Times New Roman"/>
                <w:sz w:val="21"/>
                <w:szCs w:val="21"/>
              </w:rPr>
              <w:t>25</w:t>
            </w:r>
          </w:p>
        </w:tc>
      </w:tr>
      <w:tr w:rsidR="007F5CF1" w:rsidRPr="007F5CF1" w:rsidTr="007F5CF1">
        <w:trPr>
          <w:trHeight w:val="454"/>
        </w:trPr>
        <w:tc>
          <w:tcPr>
            <w:tcW w:w="1335" w:type="pct"/>
            <w:vAlign w:val="center"/>
          </w:tcPr>
          <w:p w:rsidR="007F5CF1" w:rsidRPr="007F5CF1" w:rsidRDefault="007F5CF1" w:rsidP="007F5CF1">
            <w:pPr>
              <w:widowControl/>
              <w:spacing w:line="360" w:lineRule="exact"/>
              <w:ind w:firstLineChars="0" w:firstLine="0"/>
              <w:jc w:val="center"/>
              <w:textAlignment w:val="center"/>
              <w:rPr>
                <w:rFonts w:ascii="Times New Roman" w:hAnsi="Times New Roman"/>
                <w:color w:val="000000"/>
                <w:sz w:val="21"/>
                <w:szCs w:val="21"/>
              </w:rPr>
            </w:pPr>
            <w:r w:rsidRPr="007F5CF1">
              <w:rPr>
                <w:rFonts w:ascii="Times New Roman" w:hAnsi="Times New Roman"/>
                <w:bCs/>
                <w:kern w:val="0"/>
                <w:sz w:val="21"/>
                <w:szCs w:val="21"/>
              </w:rPr>
              <w:t>铅</w:t>
            </w:r>
          </w:p>
        </w:tc>
        <w:tc>
          <w:tcPr>
            <w:tcW w:w="1728" w:type="pct"/>
            <w:vAlign w:val="center"/>
          </w:tcPr>
          <w:p w:rsidR="007F5CF1" w:rsidRPr="007F5CF1" w:rsidRDefault="007F5CF1" w:rsidP="007F5CF1">
            <w:pPr>
              <w:spacing w:line="360" w:lineRule="exact"/>
              <w:ind w:firstLineChars="0" w:firstLine="0"/>
              <w:jc w:val="center"/>
              <w:rPr>
                <w:rFonts w:ascii="Times New Roman" w:hAnsi="Times New Roman"/>
                <w:sz w:val="21"/>
                <w:szCs w:val="21"/>
              </w:rPr>
            </w:pPr>
            <w:r w:rsidRPr="007F5CF1">
              <w:rPr>
                <w:rFonts w:ascii="Times New Roman" w:hAnsi="Times New Roman"/>
                <w:sz w:val="21"/>
                <w:szCs w:val="21"/>
              </w:rPr>
              <w:t>7.5</w:t>
            </w:r>
          </w:p>
        </w:tc>
        <w:tc>
          <w:tcPr>
            <w:tcW w:w="1937" w:type="pct"/>
            <w:vAlign w:val="center"/>
          </w:tcPr>
          <w:p w:rsidR="007F5CF1" w:rsidRPr="007F5CF1" w:rsidRDefault="007F5CF1" w:rsidP="007F5CF1">
            <w:pPr>
              <w:spacing w:line="360" w:lineRule="exact"/>
              <w:ind w:firstLineChars="0" w:firstLine="0"/>
              <w:jc w:val="center"/>
              <w:rPr>
                <w:rFonts w:ascii="Times New Roman" w:hAnsi="Times New Roman"/>
                <w:sz w:val="21"/>
                <w:szCs w:val="21"/>
              </w:rPr>
            </w:pPr>
            <w:r>
              <w:rPr>
                <w:rFonts w:ascii="Times New Roman" w:hAnsi="Times New Roman"/>
                <w:sz w:val="21"/>
                <w:szCs w:val="21"/>
              </w:rPr>
              <w:t>170</w:t>
            </w:r>
          </w:p>
        </w:tc>
      </w:tr>
      <w:tr w:rsidR="007F5CF1" w:rsidRPr="007F5CF1" w:rsidTr="007F5CF1">
        <w:trPr>
          <w:trHeight w:val="454"/>
        </w:trPr>
        <w:tc>
          <w:tcPr>
            <w:tcW w:w="1335" w:type="pct"/>
            <w:vAlign w:val="center"/>
          </w:tcPr>
          <w:p w:rsidR="007F5CF1" w:rsidRPr="007F5CF1" w:rsidRDefault="007F5CF1" w:rsidP="007F5CF1">
            <w:pPr>
              <w:widowControl/>
              <w:spacing w:line="360" w:lineRule="exact"/>
              <w:ind w:firstLineChars="0" w:firstLine="0"/>
              <w:jc w:val="center"/>
              <w:textAlignment w:val="center"/>
              <w:rPr>
                <w:rFonts w:ascii="Times New Roman" w:hAnsi="Times New Roman"/>
                <w:color w:val="000000"/>
                <w:sz w:val="21"/>
                <w:szCs w:val="21"/>
              </w:rPr>
            </w:pPr>
            <w:r w:rsidRPr="007F5CF1">
              <w:rPr>
                <w:rFonts w:ascii="Times New Roman" w:hAnsi="Times New Roman"/>
                <w:bCs/>
                <w:kern w:val="0"/>
                <w:sz w:val="21"/>
                <w:szCs w:val="21"/>
              </w:rPr>
              <w:t>铬</w:t>
            </w:r>
          </w:p>
        </w:tc>
        <w:tc>
          <w:tcPr>
            <w:tcW w:w="1728" w:type="pct"/>
            <w:vAlign w:val="center"/>
          </w:tcPr>
          <w:p w:rsidR="007F5CF1" w:rsidRPr="007F5CF1" w:rsidRDefault="007F5CF1" w:rsidP="007F5CF1">
            <w:pPr>
              <w:spacing w:line="360" w:lineRule="exact"/>
              <w:ind w:firstLineChars="0" w:firstLine="0"/>
              <w:jc w:val="center"/>
              <w:rPr>
                <w:rFonts w:ascii="Times New Roman" w:hAnsi="Times New Roman"/>
                <w:sz w:val="21"/>
                <w:szCs w:val="21"/>
              </w:rPr>
            </w:pPr>
            <w:r w:rsidRPr="007F5CF1">
              <w:rPr>
                <w:rFonts w:ascii="Times New Roman" w:hAnsi="Times New Roman"/>
                <w:sz w:val="21"/>
                <w:szCs w:val="21"/>
              </w:rPr>
              <w:t>24</w:t>
            </w:r>
          </w:p>
        </w:tc>
        <w:tc>
          <w:tcPr>
            <w:tcW w:w="1937" w:type="pct"/>
            <w:vAlign w:val="center"/>
          </w:tcPr>
          <w:p w:rsidR="007F5CF1" w:rsidRPr="007F5CF1" w:rsidRDefault="007F5CF1" w:rsidP="007F5CF1">
            <w:pPr>
              <w:spacing w:line="360" w:lineRule="exact"/>
              <w:ind w:firstLineChars="0" w:firstLine="0"/>
              <w:jc w:val="center"/>
              <w:rPr>
                <w:rFonts w:ascii="Times New Roman" w:hAnsi="Times New Roman"/>
                <w:sz w:val="21"/>
                <w:szCs w:val="21"/>
              </w:rPr>
            </w:pPr>
            <w:r>
              <w:rPr>
                <w:rFonts w:ascii="Times New Roman" w:hAnsi="Times New Roman"/>
                <w:sz w:val="21"/>
                <w:szCs w:val="21"/>
              </w:rPr>
              <w:t>250</w:t>
            </w:r>
          </w:p>
        </w:tc>
      </w:tr>
      <w:tr w:rsidR="007F5CF1" w:rsidRPr="007F5CF1" w:rsidTr="007F5CF1">
        <w:trPr>
          <w:trHeight w:val="454"/>
        </w:trPr>
        <w:tc>
          <w:tcPr>
            <w:tcW w:w="1335" w:type="pct"/>
            <w:vAlign w:val="center"/>
          </w:tcPr>
          <w:p w:rsidR="007F5CF1" w:rsidRPr="007F5CF1" w:rsidRDefault="007F5CF1" w:rsidP="007F5CF1">
            <w:pPr>
              <w:widowControl/>
              <w:spacing w:line="360" w:lineRule="exact"/>
              <w:ind w:firstLineChars="0" w:firstLine="0"/>
              <w:jc w:val="center"/>
              <w:textAlignment w:val="center"/>
              <w:rPr>
                <w:rFonts w:ascii="Times New Roman" w:hAnsi="Times New Roman"/>
                <w:bCs/>
                <w:kern w:val="0"/>
                <w:sz w:val="21"/>
                <w:szCs w:val="21"/>
              </w:rPr>
            </w:pPr>
            <w:r w:rsidRPr="007F5CF1">
              <w:rPr>
                <w:rFonts w:ascii="Times New Roman" w:hAnsi="Times New Roman"/>
                <w:bCs/>
                <w:kern w:val="0"/>
                <w:sz w:val="21"/>
                <w:szCs w:val="21"/>
              </w:rPr>
              <w:t>铜</w:t>
            </w:r>
          </w:p>
        </w:tc>
        <w:tc>
          <w:tcPr>
            <w:tcW w:w="1728" w:type="pct"/>
            <w:vAlign w:val="center"/>
          </w:tcPr>
          <w:p w:rsidR="007F5CF1" w:rsidRPr="007F5CF1" w:rsidRDefault="007F5CF1" w:rsidP="007F5CF1">
            <w:pPr>
              <w:spacing w:line="360" w:lineRule="exact"/>
              <w:ind w:firstLineChars="0" w:firstLine="0"/>
              <w:jc w:val="center"/>
              <w:rPr>
                <w:rFonts w:ascii="Times New Roman" w:hAnsi="Times New Roman"/>
                <w:sz w:val="21"/>
                <w:szCs w:val="21"/>
              </w:rPr>
            </w:pPr>
            <w:r w:rsidRPr="007F5CF1">
              <w:rPr>
                <w:rFonts w:ascii="Times New Roman" w:hAnsi="Times New Roman"/>
                <w:sz w:val="21"/>
                <w:szCs w:val="21"/>
              </w:rPr>
              <w:t>6</w:t>
            </w:r>
          </w:p>
        </w:tc>
        <w:tc>
          <w:tcPr>
            <w:tcW w:w="1937" w:type="pct"/>
            <w:vAlign w:val="center"/>
          </w:tcPr>
          <w:p w:rsidR="007F5CF1" w:rsidRPr="007F5CF1" w:rsidRDefault="007F5CF1" w:rsidP="007F5CF1">
            <w:pPr>
              <w:spacing w:line="360" w:lineRule="exact"/>
              <w:ind w:firstLineChars="0" w:firstLine="0"/>
              <w:jc w:val="center"/>
              <w:rPr>
                <w:rFonts w:ascii="Times New Roman" w:hAnsi="Times New Roman"/>
                <w:sz w:val="21"/>
                <w:szCs w:val="21"/>
              </w:rPr>
            </w:pPr>
            <w:r>
              <w:rPr>
                <w:rFonts w:ascii="Times New Roman" w:hAnsi="Times New Roman"/>
                <w:sz w:val="21"/>
                <w:szCs w:val="21"/>
              </w:rPr>
              <w:t>100</w:t>
            </w:r>
          </w:p>
        </w:tc>
      </w:tr>
      <w:tr w:rsidR="007F5CF1" w:rsidRPr="007F5CF1" w:rsidTr="007F5CF1">
        <w:trPr>
          <w:trHeight w:val="454"/>
        </w:trPr>
        <w:tc>
          <w:tcPr>
            <w:tcW w:w="1335" w:type="pct"/>
            <w:vAlign w:val="center"/>
          </w:tcPr>
          <w:p w:rsidR="007F5CF1" w:rsidRPr="007F5CF1" w:rsidRDefault="007F5CF1" w:rsidP="007F5CF1">
            <w:pPr>
              <w:widowControl/>
              <w:spacing w:line="360" w:lineRule="exact"/>
              <w:ind w:firstLineChars="0" w:firstLine="0"/>
              <w:jc w:val="center"/>
              <w:textAlignment w:val="center"/>
              <w:rPr>
                <w:rFonts w:ascii="Times New Roman" w:hAnsi="Times New Roman"/>
                <w:bCs/>
                <w:kern w:val="0"/>
                <w:sz w:val="21"/>
                <w:szCs w:val="21"/>
              </w:rPr>
            </w:pPr>
            <w:r w:rsidRPr="007F5CF1">
              <w:rPr>
                <w:rFonts w:ascii="Times New Roman" w:hAnsi="Times New Roman"/>
                <w:bCs/>
                <w:kern w:val="0"/>
                <w:sz w:val="21"/>
                <w:szCs w:val="21"/>
              </w:rPr>
              <w:t>镍</w:t>
            </w:r>
          </w:p>
        </w:tc>
        <w:tc>
          <w:tcPr>
            <w:tcW w:w="1728" w:type="pct"/>
            <w:vAlign w:val="center"/>
          </w:tcPr>
          <w:p w:rsidR="007F5CF1" w:rsidRPr="007F5CF1" w:rsidRDefault="007F5CF1" w:rsidP="007F5CF1">
            <w:pPr>
              <w:spacing w:line="360" w:lineRule="exact"/>
              <w:ind w:firstLineChars="0" w:firstLine="0"/>
              <w:jc w:val="center"/>
              <w:rPr>
                <w:rFonts w:ascii="Times New Roman" w:hAnsi="Times New Roman"/>
                <w:sz w:val="21"/>
                <w:szCs w:val="21"/>
              </w:rPr>
            </w:pPr>
            <w:r w:rsidRPr="007F5CF1">
              <w:rPr>
                <w:rFonts w:ascii="Times New Roman" w:hAnsi="Times New Roman"/>
                <w:sz w:val="21"/>
                <w:szCs w:val="21"/>
              </w:rPr>
              <w:t>26</w:t>
            </w:r>
          </w:p>
        </w:tc>
        <w:tc>
          <w:tcPr>
            <w:tcW w:w="1937" w:type="pct"/>
            <w:vAlign w:val="center"/>
          </w:tcPr>
          <w:p w:rsidR="007F5CF1" w:rsidRPr="007F5CF1" w:rsidRDefault="007F5CF1" w:rsidP="007F5CF1">
            <w:pPr>
              <w:spacing w:line="360" w:lineRule="exact"/>
              <w:ind w:firstLineChars="0" w:firstLine="0"/>
              <w:jc w:val="center"/>
              <w:rPr>
                <w:rFonts w:ascii="Times New Roman" w:hAnsi="Times New Roman"/>
                <w:sz w:val="21"/>
                <w:szCs w:val="21"/>
              </w:rPr>
            </w:pPr>
            <w:r>
              <w:rPr>
                <w:rFonts w:ascii="Times New Roman" w:hAnsi="Times New Roman"/>
                <w:sz w:val="21"/>
                <w:szCs w:val="21"/>
              </w:rPr>
              <w:t>90</w:t>
            </w:r>
          </w:p>
        </w:tc>
      </w:tr>
      <w:tr w:rsidR="007F5CF1" w:rsidRPr="007F5CF1" w:rsidTr="007F5CF1">
        <w:trPr>
          <w:trHeight w:val="454"/>
        </w:trPr>
        <w:tc>
          <w:tcPr>
            <w:tcW w:w="1335" w:type="pct"/>
            <w:vAlign w:val="center"/>
          </w:tcPr>
          <w:p w:rsidR="007F5CF1" w:rsidRPr="007F5CF1" w:rsidRDefault="007F5CF1" w:rsidP="007F5CF1">
            <w:pPr>
              <w:widowControl/>
              <w:spacing w:line="360" w:lineRule="exact"/>
              <w:ind w:firstLineChars="0" w:firstLine="0"/>
              <w:jc w:val="center"/>
              <w:textAlignment w:val="center"/>
              <w:rPr>
                <w:rFonts w:ascii="Times New Roman" w:hAnsi="Times New Roman"/>
                <w:bCs/>
                <w:kern w:val="0"/>
                <w:sz w:val="21"/>
                <w:szCs w:val="21"/>
              </w:rPr>
            </w:pPr>
            <w:r w:rsidRPr="007F5CF1">
              <w:rPr>
                <w:rFonts w:ascii="Times New Roman" w:hAnsi="Times New Roman"/>
                <w:bCs/>
                <w:kern w:val="0"/>
                <w:sz w:val="21"/>
                <w:szCs w:val="21"/>
              </w:rPr>
              <w:t>锌</w:t>
            </w:r>
          </w:p>
        </w:tc>
        <w:tc>
          <w:tcPr>
            <w:tcW w:w="1728" w:type="pct"/>
            <w:vAlign w:val="center"/>
          </w:tcPr>
          <w:p w:rsidR="007F5CF1" w:rsidRPr="007F5CF1" w:rsidRDefault="007F5CF1" w:rsidP="007F5CF1">
            <w:pPr>
              <w:spacing w:line="360" w:lineRule="exact"/>
              <w:ind w:firstLineChars="0" w:firstLine="0"/>
              <w:jc w:val="center"/>
              <w:rPr>
                <w:rFonts w:ascii="Times New Roman" w:hAnsi="Times New Roman"/>
                <w:sz w:val="21"/>
                <w:szCs w:val="21"/>
              </w:rPr>
            </w:pPr>
            <w:r w:rsidRPr="007F5CF1">
              <w:rPr>
                <w:rFonts w:ascii="Times New Roman" w:hAnsi="Times New Roman"/>
                <w:sz w:val="21"/>
                <w:szCs w:val="21"/>
              </w:rPr>
              <w:t>30</w:t>
            </w:r>
          </w:p>
        </w:tc>
        <w:tc>
          <w:tcPr>
            <w:tcW w:w="1937" w:type="pct"/>
            <w:vAlign w:val="center"/>
          </w:tcPr>
          <w:p w:rsidR="007F5CF1" w:rsidRPr="007F5CF1" w:rsidRDefault="007F5CF1" w:rsidP="007F5CF1">
            <w:pPr>
              <w:spacing w:line="360" w:lineRule="exact"/>
              <w:ind w:firstLineChars="0" w:firstLine="0"/>
              <w:jc w:val="center"/>
              <w:rPr>
                <w:rFonts w:ascii="Times New Roman" w:hAnsi="Times New Roman"/>
                <w:sz w:val="21"/>
                <w:szCs w:val="21"/>
              </w:rPr>
            </w:pPr>
            <w:r w:rsidRPr="007F5CF1">
              <w:rPr>
                <w:rFonts w:ascii="Times New Roman" w:hAnsi="Times New Roman"/>
                <w:sz w:val="21"/>
                <w:szCs w:val="21"/>
              </w:rPr>
              <w:t>30</w:t>
            </w:r>
            <w:r>
              <w:rPr>
                <w:rFonts w:ascii="Times New Roman" w:hAnsi="Times New Roman"/>
                <w:sz w:val="21"/>
                <w:szCs w:val="21"/>
              </w:rPr>
              <w:t>0</w:t>
            </w:r>
          </w:p>
        </w:tc>
      </w:tr>
    </w:tbl>
    <w:p w:rsidR="007F5CF1" w:rsidRDefault="007F5CF1">
      <w:pPr>
        <w:pStyle w:val="afffff4"/>
      </w:pPr>
    </w:p>
    <w:p w:rsidR="007F5CF1" w:rsidRDefault="007F5CF1">
      <w:pPr>
        <w:pStyle w:val="afffff4"/>
      </w:pPr>
    </w:p>
    <w:p w:rsidR="004E3021" w:rsidRDefault="004E3021">
      <w:pPr>
        <w:pStyle w:val="afffff4"/>
        <w:ind w:firstLine="480"/>
        <w:rPr>
          <w:rFonts w:ascii="黑体" w:hAnsi="黑体"/>
        </w:rPr>
        <w:sectPr w:rsidR="004E3021" w:rsidSect="007F5CF1">
          <w:pgSz w:w="11906" w:h="16838"/>
          <w:pgMar w:top="1440" w:right="1440" w:bottom="1440" w:left="1440" w:header="851" w:footer="992" w:gutter="0"/>
          <w:cols w:space="425"/>
          <w:docGrid w:type="lines" w:linePitch="326"/>
        </w:sectPr>
      </w:pPr>
    </w:p>
    <w:p w:rsidR="004E3021" w:rsidRDefault="00606E48">
      <w:pPr>
        <w:pStyle w:val="afffff4"/>
        <w:ind w:firstLine="480"/>
        <w:rPr>
          <w:rFonts w:cs="Times New Roman"/>
        </w:rPr>
      </w:pPr>
      <w:r>
        <w:rPr>
          <w:rFonts w:ascii="黑体" w:hAnsi="黑体" w:hint="eastAsia"/>
        </w:rPr>
        <w:lastRenderedPageBreak/>
        <w:t>表</w:t>
      </w:r>
      <w:r>
        <w:rPr>
          <w:rFonts w:hint="eastAsia"/>
        </w:rPr>
        <w:t>4.2.5</w:t>
      </w:r>
      <w:r>
        <w:t xml:space="preserve">-5  </w:t>
      </w:r>
      <w:r>
        <w:rPr>
          <w:rFonts w:ascii="黑体" w:hAnsi="黑体" w:hint="eastAsia"/>
        </w:rPr>
        <w:t>土壤理化性质一览表</w:t>
      </w:r>
    </w:p>
    <w:tbl>
      <w:tblPr>
        <w:tblStyle w:val="afff"/>
        <w:tblW w:w="5000" w:type="pct"/>
        <w:tblLook w:val="04A0" w:firstRow="1" w:lastRow="0" w:firstColumn="1" w:lastColumn="0" w:noHBand="0" w:noVBand="1"/>
      </w:tblPr>
      <w:tblGrid>
        <w:gridCol w:w="525"/>
        <w:gridCol w:w="3018"/>
        <w:gridCol w:w="2127"/>
        <w:gridCol w:w="1986"/>
        <w:gridCol w:w="1370"/>
      </w:tblGrid>
      <w:tr w:rsidR="004E3021" w:rsidRPr="00742E1C" w:rsidTr="00742E1C">
        <w:tc>
          <w:tcPr>
            <w:tcW w:w="1963" w:type="pct"/>
            <w:gridSpan w:val="2"/>
            <w:vAlign w:val="center"/>
          </w:tcPr>
          <w:p w:rsidR="004E3021" w:rsidRPr="006D5DB1" w:rsidRDefault="00606E48" w:rsidP="00742E1C">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点号</w:t>
            </w:r>
          </w:p>
        </w:tc>
        <w:tc>
          <w:tcPr>
            <w:tcW w:w="3037" w:type="pct"/>
            <w:gridSpan w:val="3"/>
            <w:vAlign w:val="center"/>
          </w:tcPr>
          <w:p w:rsidR="004E3021" w:rsidRPr="006D5DB1" w:rsidRDefault="00606E48" w:rsidP="00742E1C">
            <w:pPr>
              <w:pStyle w:val="afffffff2"/>
              <w:rPr>
                <w:rFonts w:ascii="Times New Roman" w:hAnsi="Times New Roman" w:cs="Times New Roman"/>
                <w:b/>
                <w:kern w:val="0"/>
                <w:sz w:val="21"/>
                <w:szCs w:val="21"/>
              </w:rPr>
            </w:pPr>
            <w:r w:rsidRPr="006D5DB1">
              <w:rPr>
                <w:rFonts w:ascii="Times New Roman" w:hAnsi="Times New Roman" w:cs="Times New Roman"/>
                <w:b/>
                <w:kern w:val="0"/>
                <w:sz w:val="21"/>
                <w:szCs w:val="21"/>
              </w:rPr>
              <w:t>T</w:t>
            </w:r>
            <w:r w:rsidR="00742E1C" w:rsidRPr="006D5DB1">
              <w:rPr>
                <w:rFonts w:ascii="Times New Roman" w:hAnsi="Times New Roman" w:cs="Times New Roman"/>
                <w:b/>
                <w:kern w:val="0"/>
                <w:sz w:val="21"/>
                <w:szCs w:val="21"/>
              </w:rPr>
              <w:t>6</w:t>
            </w:r>
          </w:p>
        </w:tc>
      </w:tr>
      <w:tr w:rsidR="004E3021" w:rsidRPr="00742E1C" w:rsidTr="00742E1C">
        <w:tc>
          <w:tcPr>
            <w:tcW w:w="1963" w:type="pct"/>
            <w:gridSpan w:val="2"/>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时间</w:t>
            </w:r>
          </w:p>
        </w:tc>
        <w:tc>
          <w:tcPr>
            <w:tcW w:w="3037" w:type="pct"/>
            <w:gridSpan w:val="3"/>
            <w:vAlign w:val="center"/>
          </w:tcPr>
          <w:p w:rsidR="004E3021" w:rsidRPr="00742E1C" w:rsidRDefault="00742E1C" w:rsidP="00742E1C">
            <w:pPr>
              <w:pStyle w:val="afffffff2"/>
              <w:rPr>
                <w:rFonts w:ascii="Times New Roman" w:hAnsi="Times New Roman" w:cs="Times New Roman"/>
                <w:kern w:val="0"/>
                <w:sz w:val="21"/>
                <w:szCs w:val="21"/>
              </w:rPr>
            </w:pPr>
            <w:r w:rsidRPr="00742E1C">
              <w:rPr>
                <w:rFonts w:ascii="Times New Roman" w:hAnsi="Times New Roman" w:cs="Times New Roman" w:hint="eastAsia"/>
                <w:kern w:val="0"/>
                <w:sz w:val="21"/>
                <w:szCs w:val="21"/>
              </w:rPr>
              <w:t>2025.11.16</w:t>
            </w:r>
          </w:p>
        </w:tc>
      </w:tr>
      <w:tr w:rsidR="004E3021" w:rsidRPr="00742E1C" w:rsidTr="00742E1C">
        <w:tc>
          <w:tcPr>
            <w:tcW w:w="1963" w:type="pct"/>
            <w:gridSpan w:val="2"/>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经纬度</w:t>
            </w:r>
          </w:p>
        </w:tc>
        <w:tc>
          <w:tcPr>
            <w:tcW w:w="3037" w:type="pct"/>
            <w:gridSpan w:val="3"/>
            <w:vAlign w:val="center"/>
          </w:tcPr>
          <w:p w:rsidR="004E3021" w:rsidRPr="00742E1C" w:rsidRDefault="00742E1C" w:rsidP="00742E1C">
            <w:pPr>
              <w:pStyle w:val="afffffff2"/>
              <w:rPr>
                <w:rFonts w:ascii="Times New Roman" w:hAnsi="Times New Roman" w:cs="Times New Roman"/>
                <w:kern w:val="0"/>
                <w:sz w:val="21"/>
                <w:szCs w:val="21"/>
              </w:rPr>
            </w:pPr>
            <w:r w:rsidRPr="007F5CF1">
              <w:rPr>
                <w:rFonts w:ascii="Times New Roman" w:hAnsi="Times New Roman" w:cs="Times New Roman" w:hint="eastAsia"/>
                <w:bCs/>
                <w:kern w:val="0"/>
                <w:sz w:val="21"/>
                <w:szCs w:val="21"/>
              </w:rPr>
              <w:t>117.572760</w:t>
            </w:r>
            <w:r w:rsidRPr="007F5CF1">
              <w:rPr>
                <w:rFonts w:ascii="Times New Roman" w:hAnsi="Times New Roman" w:cs="Times New Roman"/>
                <w:bCs/>
                <w:kern w:val="0"/>
                <w:sz w:val="21"/>
                <w:szCs w:val="21"/>
              </w:rPr>
              <w:t>°E</w:t>
            </w:r>
            <w:r w:rsidRPr="007F5CF1">
              <w:rPr>
                <w:rFonts w:ascii="Times New Roman" w:hAnsi="Times New Roman" w:cs="Times New Roman"/>
                <w:bCs/>
                <w:kern w:val="0"/>
                <w:sz w:val="21"/>
                <w:szCs w:val="21"/>
              </w:rPr>
              <w:t>，</w:t>
            </w:r>
            <w:r w:rsidRPr="007F5CF1">
              <w:rPr>
                <w:rFonts w:ascii="Times New Roman" w:hAnsi="Times New Roman" w:cs="Times New Roman" w:hint="eastAsia"/>
                <w:bCs/>
                <w:kern w:val="0"/>
                <w:sz w:val="21"/>
                <w:szCs w:val="21"/>
              </w:rPr>
              <w:t>32.992555</w:t>
            </w:r>
            <w:r w:rsidRPr="007F5CF1">
              <w:rPr>
                <w:rFonts w:ascii="Times New Roman" w:hAnsi="Times New Roman" w:cs="Times New Roman"/>
                <w:bCs/>
                <w:kern w:val="0"/>
                <w:sz w:val="21"/>
                <w:szCs w:val="21"/>
              </w:rPr>
              <w:t>°N</w:t>
            </w:r>
          </w:p>
        </w:tc>
      </w:tr>
      <w:tr w:rsidR="004E3021" w:rsidRPr="00742E1C" w:rsidTr="00742E1C">
        <w:tc>
          <w:tcPr>
            <w:tcW w:w="1963" w:type="pct"/>
            <w:gridSpan w:val="2"/>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层次</w:t>
            </w:r>
          </w:p>
        </w:tc>
        <w:tc>
          <w:tcPr>
            <w:tcW w:w="1178"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0~0.5m</w:t>
            </w:r>
          </w:p>
        </w:tc>
        <w:tc>
          <w:tcPr>
            <w:tcW w:w="1100"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0.5~1.5m</w:t>
            </w:r>
          </w:p>
        </w:tc>
        <w:tc>
          <w:tcPr>
            <w:tcW w:w="759"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1.5~3.0m</w:t>
            </w:r>
          </w:p>
        </w:tc>
      </w:tr>
      <w:tr w:rsidR="004E3021" w:rsidRPr="00742E1C" w:rsidTr="00742E1C">
        <w:tc>
          <w:tcPr>
            <w:tcW w:w="291" w:type="pct"/>
            <w:vMerge w:val="restar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现场记录</w:t>
            </w:r>
          </w:p>
        </w:tc>
        <w:tc>
          <w:tcPr>
            <w:tcW w:w="1672"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颜色</w:t>
            </w:r>
          </w:p>
        </w:tc>
        <w:tc>
          <w:tcPr>
            <w:tcW w:w="1178"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棕色</w:t>
            </w:r>
          </w:p>
        </w:tc>
        <w:tc>
          <w:tcPr>
            <w:tcW w:w="1100"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棕色</w:t>
            </w:r>
          </w:p>
        </w:tc>
        <w:tc>
          <w:tcPr>
            <w:tcW w:w="759"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棕色</w:t>
            </w:r>
          </w:p>
        </w:tc>
      </w:tr>
      <w:tr w:rsidR="004E3021" w:rsidRPr="00742E1C" w:rsidTr="00742E1C">
        <w:tc>
          <w:tcPr>
            <w:tcW w:w="291" w:type="pct"/>
            <w:vMerge/>
            <w:vAlign w:val="center"/>
          </w:tcPr>
          <w:p w:rsidR="004E3021" w:rsidRPr="00742E1C" w:rsidRDefault="004E3021" w:rsidP="00742E1C">
            <w:pPr>
              <w:pStyle w:val="afffffff2"/>
              <w:rPr>
                <w:rFonts w:ascii="Times New Roman" w:hAnsi="Times New Roman" w:cs="Times New Roman"/>
                <w:kern w:val="0"/>
                <w:sz w:val="21"/>
                <w:szCs w:val="21"/>
              </w:rPr>
            </w:pPr>
          </w:p>
        </w:tc>
        <w:tc>
          <w:tcPr>
            <w:tcW w:w="1672"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结构</w:t>
            </w:r>
          </w:p>
        </w:tc>
        <w:tc>
          <w:tcPr>
            <w:tcW w:w="1178"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团粒</w:t>
            </w:r>
          </w:p>
        </w:tc>
        <w:tc>
          <w:tcPr>
            <w:tcW w:w="1100"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团粒</w:t>
            </w:r>
          </w:p>
        </w:tc>
        <w:tc>
          <w:tcPr>
            <w:tcW w:w="759"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团粒</w:t>
            </w:r>
          </w:p>
        </w:tc>
      </w:tr>
      <w:tr w:rsidR="004E3021" w:rsidRPr="00742E1C" w:rsidTr="00742E1C">
        <w:tc>
          <w:tcPr>
            <w:tcW w:w="291" w:type="pct"/>
            <w:vMerge/>
            <w:vAlign w:val="center"/>
          </w:tcPr>
          <w:p w:rsidR="004E3021" w:rsidRPr="00742E1C" w:rsidRDefault="004E3021" w:rsidP="00742E1C">
            <w:pPr>
              <w:pStyle w:val="afffffff2"/>
              <w:rPr>
                <w:rFonts w:ascii="Times New Roman" w:hAnsi="Times New Roman" w:cs="Times New Roman"/>
                <w:kern w:val="0"/>
                <w:sz w:val="21"/>
                <w:szCs w:val="21"/>
              </w:rPr>
            </w:pPr>
          </w:p>
        </w:tc>
        <w:tc>
          <w:tcPr>
            <w:tcW w:w="1672"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质地</w:t>
            </w:r>
          </w:p>
        </w:tc>
        <w:tc>
          <w:tcPr>
            <w:tcW w:w="1178"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轻壤土</w:t>
            </w:r>
          </w:p>
        </w:tc>
        <w:tc>
          <w:tcPr>
            <w:tcW w:w="1100"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轻壤土</w:t>
            </w:r>
          </w:p>
        </w:tc>
        <w:tc>
          <w:tcPr>
            <w:tcW w:w="759"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轻壤土</w:t>
            </w:r>
          </w:p>
        </w:tc>
      </w:tr>
      <w:tr w:rsidR="004E3021" w:rsidRPr="00742E1C" w:rsidTr="00742E1C">
        <w:tc>
          <w:tcPr>
            <w:tcW w:w="291" w:type="pct"/>
            <w:vMerge/>
            <w:vAlign w:val="center"/>
          </w:tcPr>
          <w:p w:rsidR="004E3021" w:rsidRPr="00742E1C" w:rsidRDefault="004E3021" w:rsidP="00742E1C">
            <w:pPr>
              <w:pStyle w:val="afffffff2"/>
              <w:rPr>
                <w:rFonts w:ascii="Times New Roman" w:hAnsi="Times New Roman" w:cs="Times New Roman"/>
                <w:kern w:val="0"/>
                <w:sz w:val="21"/>
                <w:szCs w:val="21"/>
              </w:rPr>
            </w:pPr>
          </w:p>
        </w:tc>
        <w:tc>
          <w:tcPr>
            <w:tcW w:w="1672"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砂砾含量</w:t>
            </w:r>
          </w:p>
        </w:tc>
        <w:tc>
          <w:tcPr>
            <w:tcW w:w="1178"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1</w:t>
            </w:r>
            <w:r w:rsidR="00742E1C">
              <w:rPr>
                <w:rFonts w:ascii="Times New Roman" w:hAnsi="Times New Roman" w:cs="Times New Roman"/>
                <w:kern w:val="0"/>
                <w:sz w:val="21"/>
                <w:szCs w:val="21"/>
              </w:rPr>
              <w:t>1</w:t>
            </w:r>
            <w:r w:rsidRPr="00742E1C">
              <w:rPr>
                <w:rFonts w:ascii="Times New Roman" w:hAnsi="Times New Roman" w:cs="Times New Roman"/>
                <w:kern w:val="0"/>
                <w:sz w:val="21"/>
                <w:szCs w:val="21"/>
              </w:rPr>
              <w:t>%</w:t>
            </w:r>
          </w:p>
        </w:tc>
        <w:tc>
          <w:tcPr>
            <w:tcW w:w="1100"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kern w:val="0"/>
                <w:sz w:val="21"/>
                <w:szCs w:val="21"/>
              </w:rPr>
              <w:t>8</w:t>
            </w:r>
            <w:r w:rsidR="00606E48" w:rsidRPr="00742E1C">
              <w:rPr>
                <w:rFonts w:ascii="Times New Roman" w:hAnsi="Times New Roman" w:cs="Times New Roman"/>
                <w:kern w:val="0"/>
                <w:sz w:val="21"/>
                <w:szCs w:val="21"/>
              </w:rPr>
              <w:t>%</w:t>
            </w:r>
          </w:p>
        </w:tc>
        <w:tc>
          <w:tcPr>
            <w:tcW w:w="759"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5%</w:t>
            </w:r>
          </w:p>
        </w:tc>
      </w:tr>
      <w:tr w:rsidR="004E3021" w:rsidRPr="00742E1C" w:rsidTr="00742E1C">
        <w:tc>
          <w:tcPr>
            <w:tcW w:w="291" w:type="pct"/>
            <w:vMerge/>
            <w:vAlign w:val="center"/>
          </w:tcPr>
          <w:p w:rsidR="004E3021" w:rsidRPr="00742E1C" w:rsidRDefault="004E3021" w:rsidP="00742E1C">
            <w:pPr>
              <w:pStyle w:val="afffffff2"/>
              <w:rPr>
                <w:rFonts w:ascii="Times New Roman" w:hAnsi="Times New Roman" w:cs="Times New Roman"/>
                <w:kern w:val="0"/>
                <w:sz w:val="21"/>
                <w:szCs w:val="21"/>
              </w:rPr>
            </w:pPr>
          </w:p>
        </w:tc>
        <w:tc>
          <w:tcPr>
            <w:tcW w:w="1672"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其他异物</w:t>
            </w:r>
          </w:p>
        </w:tc>
        <w:tc>
          <w:tcPr>
            <w:tcW w:w="1178" w:type="pct"/>
            <w:vAlign w:val="center"/>
          </w:tcPr>
          <w:p w:rsidR="004E3021" w:rsidRPr="00742E1C" w:rsidRDefault="00742E1C"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无</w:t>
            </w:r>
          </w:p>
        </w:tc>
        <w:tc>
          <w:tcPr>
            <w:tcW w:w="1100" w:type="pct"/>
            <w:vAlign w:val="center"/>
          </w:tcPr>
          <w:p w:rsidR="004E3021" w:rsidRPr="00742E1C" w:rsidRDefault="00742E1C"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无</w:t>
            </w:r>
          </w:p>
        </w:tc>
        <w:tc>
          <w:tcPr>
            <w:tcW w:w="759"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无</w:t>
            </w:r>
          </w:p>
        </w:tc>
      </w:tr>
      <w:tr w:rsidR="004E3021" w:rsidRPr="00742E1C" w:rsidTr="00742E1C">
        <w:tc>
          <w:tcPr>
            <w:tcW w:w="291" w:type="pct"/>
            <w:vMerge w:val="restar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实验室测定</w:t>
            </w:r>
          </w:p>
        </w:tc>
        <w:tc>
          <w:tcPr>
            <w:tcW w:w="1672"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pH</w:t>
            </w:r>
          </w:p>
        </w:tc>
        <w:tc>
          <w:tcPr>
            <w:tcW w:w="1178"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7.</w:t>
            </w:r>
            <w:r w:rsidR="00742E1C">
              <w:rPr>
                <w:rFonts w:ascii="Times New Roman" w:hAnsi="Times New Roman" w:cs="Times New Roman"/>
                <w:kern w:val="0"/>
                <w:sz w:val="21"/>
                <w:szCs w:val="21"/>
              </w:rPr>
              <w:t>34</w:t>
            </w:r>
          </w:p>
        </w:tc>
        <w:tc>
          <w:tcPr>
            <w:tcW w:w="1100"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7.</w:t>
            </w:r>
            <w:r w:rsidR="00742E1C">
              <w:rPr>
                <w:rFonts w:ascii="Times New Roman" w:hAnsi="Times New Roman" w:cs="Times New Roman"/>
                <w:kern w:val="0"/>
                <w:sz w:val="21"/>
                <w:szCs w:val="21"/>
              </w:rPr>
              <w:t>2</w:t>
            </w:r>
            <w:r w:rsidRPr="00742E1C">
              <w:rPr>
                <w:rFonts w:ascii="Times New Roman" w:hAnsi="Times New Roman" w:cs="Times New Roman"/>
                <w:kern w:val="0"/>
                <w:sz w:val="21"/>
                <w:szCs w:val="21"/>
              </w:rPr>
              <w:t>9</w:t>
            </w:r>
          </w:p>
        </w:tc>
        <w:tc>
          <w:tcPr>
            <w:tcW w:w="759"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7.</w:t>
            </w:r>
            <w:r w:rsidR="00742E1C">
              <w:rPr>
                <w:rFonts w:ascii="Times New Roman" w:hAnsi="Times New Roman" w:cs="Times New Roman"/>
                <w:kern w:val="0"/>
                <w:sz w:val="21"/>
                <w:szCs w:val="21"/>
              </w:rPr>
              <w:t>2</w:t>
            </w:r>
            <w:r w:rsidRPr="00742E1C">
              <w:rPr>
                <w:rFonts w:ascii="Times New Roman" w:hAnsi="Times New Roman" w:cs="Times New Roman"/>
                <w:kern w:val="0"/>
                <w:sz w:val="21"/>
                <w:szCs w:val="21"/>
              </w:rPr>
              <w:t>3</w:t>
            </w:r>
          </w:p>
        </w:tc>
      </w:tr>
      <w:tr w:rsidR="004E3021" w:rsidRPr="00742E1C" w:rsidTr="00742E1C">
        <w:tc>
          <w:tcPr>
            <w:tcW w:w="291" w:type="pct"/>
            <w:vMerge/>
            <w:vAlign w:val="center"/>
          </w:tcPr>
          <w:p w:rsidR="004E3021" w:rsidRPr="00742E1C" w:rsidRDefault="004E3021" w:rsidP="00742E1C">
            <w:pPr>
              <w:pStyle w:val="afffffff2"/>
              <w:rPr>
                <w:rFonts w:ascii="Times New Roman" w:hAnsi="Times New Roman" w:cs="Times New Roman"/>
                <w:kern w:val="0"/>
                <w:sz w:val="21"/>
                <w:szCs w:val="21"/>
              </w:rPr>
            </w:pPr>
          </w:p>
        </w:tc>
        <w:tc>
          <w:tcPr>
            <w:tcW w:w="1672"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阳离子交换量（</w:t>
            </w:r>
            <w:r w:rsidRPr="00742E1C">
              <w:rPr>
                <w:rFonts w:ascii="Times New Roman" w:hAnsi="Times New Roman" w:cs="Times New Roman"/>
                <w:kern w:val="0"/>
                <w:sz w:val="21"/>
                <w:szCs w:val="21"/>
              </w:rPr>
              <w:t>cmol(+)/kg</w:t>
            </w:r>
            <w:r w:rsidRPr="00742E1C">
              <w:rPr>
                <w:rFonts w:ascii="Times New Roman" w:hAnsi="Times New Roman" w:cs="Times New Roman"/>
                <w:kern w:val="0"/>
                <w:sz w:val="21"/>
                <w:szCs w:val="21"/>
              </w:rPr>
              <w:t>）</w:t>
            </w:r>
          </w:p>
        </w:tc>
        <w:tc>
          <w:tcPr>
            <w:tcW w:w="1178"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kern w:val="0"/>
                <w:sz w:val="21"/>
                <w:szCs w:val="21"/>
              </w:rPr>
              <w:t>21.6</w:t>
            </w:r>
          </w:p>
        </w:tc>
        <w:tc>
          <w:tcPr>
            <w:tcW w:w="1100"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kern w:val="0"/>
                <w:sz w:val="21"/>
                <w:szCs w:val="21"/>
              </w:rPr>
              <w:t>23.1</w:t>
            </w:r>
          </w:p>
        </w:tc>
        <w:tc>
          <w:tcPr>
            <w:tcW w:w="759"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kern w:val="0"/>
                <w:sz w:val="21"/>
                <w:szCs w:val="21"/>
              </w:rPr>
              <w:t>30.2</w:t>
            </w:r>
          </w:p>
        </w:tc>
      </w:tr>
      <w:tr w:rsidR="004E3021" w:rsidRPr="00742E1C" w:rsidTr="00742E1C">
        <w:tc>
          <w:tcPr>
            <w:tcW w:w="291" w:type="pct"/>
            <w:vMerge/>
            <w:vAlign w:val="center"/>
          </w:tcPr>
          <w:p w:rsidR="004E3021" w:rsidRPr="00742E1C" w:rsidRDefault="004E3021" w:rsidP="00742E1C">
            <w:pPr>
              <w:pStyle w:val="afffffff2"/>
              <w:rPr>
                <w:rFonts w:ascii="Times New Roman" w:hAnsi="Times New Roman" w:cs="Times New Roman"/>
                <w:kern w:val="0"/>
                <w:sz w:val="21"/>
                <w:szCs w:val="21"/>
              </w:rPr>
            </w:pPr>
          </w:p>
        </w:tc>
        <w:tc>
          <w:tcPr>
            <w:tcW w:w="1672"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氧化还原电位（</w:t>
            </w:r>
            <w:r w:rsidRPr="00742E1C">
              <w:rPr>
                <w:rFonts w:ascii="Times New Roman" w:hAnsi="Times New Roman" w:cs="Times New Roman"/>
                <w:kern w:val="0"/>
                <w:sz w:val="21"/>
                <w:szCs w:val="21"/>
              </w:rPr>
              <w:t>mV</w:t>
            </w:r>
            <w:r w:rsidRPr="00742E1C">
              <w:rPr>
                <w:rFonts w:ascii="Times New Roman" w:hAnsi="Times New Roman" w:cs="Times New Roman"/>
                <w:kern w:val="0"/>
                <w:sz w:val="21"/>
                <w:szCs w:val="21"/>
              </w:rPr>
              <w:t>）</w:t>
            </w:r>
          </w:p>
        </w:tc>
        <w:tc>
          <w:tcPr>
            <w:tcW w:w="1178"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kern w:val="0"/>
                <w:sz w:val="21"/>
                <w:szCs w:val="21"/>
              </w:rPr>
              <w:t>517</w:t>
            </w:r>
          </w:p>
        </w:tc>
        <w:tc>
          <w:tcPr>
            <w:tcW w:w="1100"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kern w:val="0"/>
                <w:sz w:val="21"/>
                <w:szCs w:val="21"/>
              </w:rPr>
              <w:t>504</w:t>
            </w:r>
          </w:p>
        </w:tc>
        <w:tc>
          <w:tcPr>
            <w:tcW w:w="759"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kern w:val="0"/>
                <w:sz w:val="21"/>
                <w:szCs w:val="21"/>
              </w:rPr>
              <w:t>492</w:t>
            </w:r>
          </w:p>
        </w:tc>
      </w:tr>
      <w:tr w:rsidR="004E3021" w:rsidRPr="00742E1C" w:rsidTr="00742E1C">
        <w:tc>
          <w:tcPr>
            <w:tcW w:w="291" w:type="pct"/>
            <w:vMerge/>
            <w:vAlign w:val="center"/>
          </w:tcPr>
          <w:p w:rsidR="004E3021" w:rsidRPr="00742E1C" w:rsidRDefault="004E3021" w:rsidP="00742E1C">
            <w:pPr>
              <w:pStyle w:val="afffffff2"/>
              <w:rPr>
                <w:rFonts w:ascii="Times New Roman" w:hAnsi="Times New Roman" w:cs="Times New Roman"/>
                <w:kern w:val="0"/>
                <w:sz w:val="21"/>
                <w:szCs w:val="21"/>
              </w:rPr>
            </w:pPr>
          </w:p>
        </w:tc>
        <w:tc>
          <w:tcPr>
            <w:tcW w:w="1672"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饱和导水率（</w:t>
            </w:r>
            <w:r w:rsidRPr="00742E1C">
              <w:rPr>
                <w:rFonts w:ascii="Times New Roman" w:hAnsi="Times New Roman" w:cs="Times New Roman"/>
                <w:kern w:val="0"/>
                <w:sz w:val="21"/>
                <w:szCs w:val="21"/>
              </w:rPr>
              <w:t>cm/s</w:t>
            </w:r>
            <w:r w:rsidRPr="00742E1C">
              <w:rPr>
                <w:rFonts w:ascii="Times New Roman" w:hAnsi="Times New Roman" w:cs="Times New Roman"/>
                <w:kern w:val="0"/>
                <w:sz w:val="21"/>
                <w:szCs w:val="21"/>
              </w:rPr>
              <w:t>）</w:t>
            </w:r>
          </w:p>
        </w:tc>
        <w:tc>
          <w:tcPr>
            <w:tcW w:w="1178"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kern w:val="0"/>
                <w:sz w:val="21"/>
                <w:szCs w:val="21"/>
              </w:rPr>
              <w:t>0.33</w:t>
            </w:r>
          </w:p>
        </w:tc>
        <w:tc>
          <w:tcPr>
            <w:tcW w:w="1100"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0.</w:t>
            </w:r>
            <w:r w:rsidR="00742E1C">
              <w:rPr>
                <w:rFonts w:ascii="Times New Roman" w:hAnsi="Times New Roman" w:cs="Times New Roman"/>
                <w:kern w:val="0"/>
                <w:sz w:val="21"/>
                <w:szCs w:val="21"/>
              </w:rPr>
              <w:t>30</w:t>
            </w:r>
          </w:p>
        </w:tc>
        <w:tc>
          <w:tcPr>
            <w:tcW w:w="759"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0</w:t>
            </w:r>
            <w:r w:rsidR="00742E1C">
              <w:rPr>
                <w:rFonts w:ascii="Times New Roman" w:hAnsi="Times New Roman" w:cs="Times New Roman"/>
                <w:kern w:val="0"/>
                <w:sz w:val="21"/>
                <w:szCs w:val="21"/>
              </w:rPr>
              <w:t>.28</w:t>
            </w:r>
          </w:p>
        </w:tc>
      </w:tr>
      <w:tr w:rsidR="004E3021" w:rsidRPr="00742E1C" w:rsidTr="00742E1C">
        <w:trPr>
          <w:trHeight w:val="64"/>
        </w:trPr>
        <w:tc>
          <w:tcPr>
            <w:tcW w:w="291" w:type="pct"/>
            <w:vMerge/>
            <w:vAlign w:val="center"/>
          </w:tcPr>
          <w:p w:rsidR="004E3021" w:rsidRPr="00742E1C" w:rsidRDefault="004E3021" w:rsidP="00742E1C">
            <w:pPr>
              <w:pStyle w:val="afffffff2"/>
              <w:rPr>
                <w:rFonts w:ascii="Times New Roman" w:hAnsi="Times New Roman" w:cs="Times New Roman"/>
                <w:kern w:val="0"/>
                <w:sz w:val="21"/>
                <w:szCs w:val="21"/>
              </w:rPr>
            </w:pPr>
          </w:p>
        </w:tc>
        <w:tc>
          <w:tcPr>
            <w:tcW w:w="1672"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土壤容重（</w:t>
            </w:r>
            <w:r w:rsidRPr="00742E1C">
              <w:rPr>
                <w:rFonts w:ascii="Times New Roman" w:hAnsi="Times New Roman" w:cs="Times New Roman"/>
                <w:kern w:val="0"/>
                <w:sz w:val="21"/>
                <w:szCs w:val="21"/>
              </w:rPr>
              <w:t>g/</w:t>
            </w:r>
            <w:r w:rsidR="00742E1C">
              <w:rPr>
                <w:rFonts w:ascii="Times New Roman" w:hAnsi="Times New Roman" w:cs="Times New Roman" w:hint="eastAsia"/>
                <w:kern w:val="0"/>
                <w:sz w:val="21"/>
                <w:szCs w:val="21"/>
              </w:rPr>
              <w:t>kg</w:t>
            </w:r>
            <w:r w:rsidRPr="00742E1C">
              <w:rPr>
                <w:rFonts w:ascii="Times New Roman" w:hAnsi="Times New Roman" w:cs="Times New Roman"/>
                <w:kern w:val="0"/>
                <w:sz w:val="21"/>
                <w:szCs w:val="21"/>
              </w:rPr>
              <w:t>）</w:t>
            </w:r>
          </w:p>
        </w:tc>
        <w:tc>
          <w:tcPr>
            <w:tcW w:w="1178"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kern w:val="0"/>
                <w:sz w:val="21"/>
                <w:szCs w:val="21"/>
              </w:rPr>
              <w:t>0.75</w:t>
            </w:r>
          </w:p>
        </w:tc>
        <w:tc>
          <w:tcPr>
            <w:tcW w:w="1100"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kern w:val="0"/>
                <w:sz w:val="21"/>
                <w:szCs w:val="21"/>
              </w:rPr>
              <w:t>0.54</w:t>
            </w:r>
          </w:p>
        </w:tc>
        <w:tc>
          <w:tcPr>
            <w:tcW w:w="759" w:type="pct"/>
            <w:vAlign w:val="center"/>
          </w:tcPr>
          <w:p w:rsidR="004E3021" w:rsidRPr="00742E1C" w:rsidRDefault="00742E1C" w:rsidP="00742E1C">
            <w:pPr>
              <w:pStyle w:val="afffffff2"/>
              <w:rPr>
                <w:rFonts w:ascii="Times New Roman" w:hAnsi="Times New Roman" w:cs="Times New Roman"/>
                <w:kern w:val="0"/>
                <w:sz w:val="21"/>
                <w:szCs w:val="21"/>
              </w:rPr>
            </w:pPr>
            <w:r>
              <w:rPr>
                <w:rFonts w:ascii="Times New Roman" w:hAnsi="Times New Roman" w:cs="Times New Roman"/>
                <w:kern w:val="0"/>
                <w:sz w:val="21"/>
                <w:szCs w:val="21"/>
              </w:rPr>
              <w:t>0.90</w:t>
            </w:r>
          </w:p>
        </w:tc>
      </w:tr>
      <w:tr w:rsidR="004E3021" w:rsidRPr="00742E1C" w:rsidTr="00742E1C">
        <w:trPr>
          <w:trHeight w:val="205"/>
        </w:trPr>
        <w:tc>
          <w:tcPr>
            <w:tcW w:w="291" w:type="pct"/>
            <w:vMerge/>
            <w:vAlign w:val="center"/>
          </w:tcPr>
          <w:p w:rsidR="004E3021" w:rsidRPr="00742E1C" w:rsidRDefault="004E3021" w:rsidP="00742E1C">
            <w:pPr>
              <w:pStyle w:val="afffffff2"/>
              <w:rPr>
                <w:rFonts w:ascii="Times New Roman" w:hAnsi="Times New Roman" w:cs="Times New Roman"/>
                <w:kern w:val="0"/>
                <w:sz w:val="21"/>
                <w:szCs w:val="21"/>
              </w:rPr>
            </w:pPr>
          </w:p>
        </w:tc>
        <w:tc>
          <w:tcPr>
            <w:tcW w:w="1672"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土壤密度（</w:t>
            </w:r>
            <w:r w:rsidRPr="00742E1C">
              <w:rPr>
                <w:rFonts w:ascii="Times New Roman" w:hAnsi="Times New Roman" w:cs="Times New Roman"/>
                <w:kern w:val="0"/>
                <w:sz w:val="21"/>
                <w:szCs w:val="21"/>
              </w:rPr>
              <w:t>g/cm</w:t>
            </w:r>
            <w:r w:rsidRPr="00742E1C">
              <w:rPr>
                <w:rFonts w:ascii="Times New Roman" w:hAnsi="Times New Roman" w:cs="Times New Roman"/>
                <w:kern w:val="0"/>
                <w:sz w:val="21"/>
                <w:szCs w:val="21"/>
                <w:vertAlign w:val="superscript"/>
              </w:rPr>
              <w:t>3</w:t>
            </w:r>
            <w:r w:rsidRPr="00742E1C">
              <w:rPr>
                <w:rFonts w:ascii="Times New Roman" w:hAnsi="Times New Roman" w:cs="Times New Roman"/>
                <w:kern w:val="0"/>
                <w:sz w:val="21"/>
                <w:szCs w:val="21"/>
              </w:rPr>
              <w:t>）</w:t>
            </w:r>
          </w:p>
        </w:tc>
        <w:tc>
          <w:tcPr>
            <w:tcW w:w="1178"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2.</w:t>
            </w:r>
            <w:r w:rsidR="00742E1C">
              <w:rPr>
                <w:rFonts w:ascii="Times New Roman" w:hAnsi="Times New Roman" w:cs="Times New Roman"/>
                <w:kern w:val="0"/>
                <w:sz w:val="21"/>
                <w:szCs w:val="21"/>
              </w:rPr>
              <w:t>49</w:t>
            </w:r>
          </w:p>
        </w:tc>
        <w:tc>
          <w:tcPr>
            <w:tcW w:w="1100"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2.42</w:t>
            </w:r>
          </w:p>
        </w:tc>
        <w:tc>
          <w:tcPr>
            <w:tcW w:w="759" w:type="pct"/>
            <w:vAlign w:val="center"/>
          </w:tcPr>
          <w:p w:rsidR="004E3021" w:rsidRPr="00742E1C" w:rsidRDefault="00606E48"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2.</w:t>
            </w:r>
            <w:r w:rsidR="00742E1C">
              <w:rPr>
                <w:rFonts w:ascii="Times New Roman" w:hAnsi="Times New Roman" w:cs="Times New Roman"/>
                <w:kern w:val="0"/>
                <w:sz w:val="21"/>
                <w:szCs w:val="21"/>
              </w:rPr>
              <w:t>58</w:t>
            </w:r>
          </w:p>
        </w:tc>
      </w:tr>
    </w:tbl>
    <w:p w:rsidR="004E3021" w:rsidRDefault="00606E48">
      <w:pPr>
        <w:pStyle w:val="afffff4"/>
        <w:ind w:firstLine="480"/>
      </w:pPr>
      <w:r>
        <w:rPr>
          <w:rFonts w:ascii="黑体" w:hAnsi="黑体" w:hint="eastAsia"/>
        </w:rPr>
        <w:t>表</w:t>
      </w:r>
      <w:r>
        <w:rPr>
          <w:rFonts w:hint="eastAsia"/>
        </w:rPr>
        <w:t>4.2.</w:t>
      </w:r>
      <w:r>
        <w:t>5</w:t>
      </w:r>
      <w:r>
        <w:rPr>
          <w:rFonts w:hint="eastAsia"/>
        </w:rPr>
        <w:t>-</w:t>
      </w:r>
      <w:r>
        <w:t>6</w:t>
      </w:r>
      <w:r>
        <w:rPr>
          <w:rFonts w:hint="eastAsia"/>
        </w:rPr>
        <w:t xml:space="preserve">  </w:t>
      </w:r>
      <w:r>
        <w:rPr>
          <w:rFonts w:ascii="黑体" w:hAnsi="黑体" w:hint="eastAsia"/>
        </w:rPr>
        <w:t>土体构型（土壤剖面）</w:t>
      </w:r>
    </w:p>
    <w:tbl>
      <w:tblPr>
        <w:tblStyle w:val="afff"/>
        <w:tblW w:w="5000" w:type="pct"/>
        <w:tblLook w:val="04A0" w:firstRow="1" w:lastRow="0" w:firstColumn="1" w:lastColumn="0" w:noHBand="0" w:noVBand="1"/>
      </w:tblPr>
      <w:tblGrid>
        <w:gridCol w:w="550"/>
        <w:gridCol w:w="4100"/>
        <w:gridCol w:w="4376"/>
      </w:tblGrid>
      <w:tr w:rsidR="00742E1C" w:rsidRPr="00742E1C" w:rsidTr="00742E1C">
        <w:trPr>
          <w:trHeight w:val="494"/>
        </w:trPr>
        <w:tc>
          <w:tcPr>
            <w:tcW w:w="305" w:type="pct"/>
            <w:vAlign w:val="center"/>
          </w:tcPr>
          <w:p w:rsidR="00742E1C" w:rsidRPr="00742E1C" w:rsidRDefault="00742E1C"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点号</w:t>
            </w:r>
          </w:p>
        </w:tc>
        <w:tc>
          <w:tcPr>
            <w:tcW w:w="2271" w:type="pct"/>
            <w:vAlign w:val="center"/>
          </w:tcPr>
          <w:p w:rsidR="00742E1C" w:rsidRPr="00742E1C" w:rsidRDefault="00742E1C"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景观照片</w:t>
            </w:r>
          </w:p>
        </w:tc>
        <w:tc>
          <w:tcPr>
            <w:tcW w:w="2424" w:type="pct"/>
            <w:vAlign w:val="center"/>
          </w:tcPr>
          <w:p w:rsidR="00742E1C" w:rsidRPr="00742E1C" w:rsidRDefault="00742E1C"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土壤剖面照片</w:t>
            </w:r>
          </w:p>
        </w:tc>
      </w:tr>
      <w:tr w:rsidR="00742E1C" w:rsidRPr="00742E1C" w:rsidTr="00742E1C">
        <w:trPr>
          <w:trHeight w:val="1097"/>
        </w:trPr>
        <w:tc>
          <w:tcPr>
            <w:tcW w:w="305" w:type="pct"/>
            <w:vMerge w:val="restart"/>
            <w:vAlign w:val="center"/>
          </w:tcPr>
          <w:p w:rsidR="00742E1C" w:rsidRPr="00742E1C" w:rsidRDefault="00742E1C" w:rsidP="00742E1C">
            <w:pPr>
              <w:pStyle w:val="afffffff2"/>
              <w:rPr>
                <w:rFonts w:ascii="Times New Roman" w:hAnsi="Times New Roman" w:cs="Times New Roman"/>
                <w:kern w:val="0"/>
                <w:sz w:val="21"/>
                <w:szCs w:val="21"/>
              </w:rPr>
            </w:pPr>
            <w:r w:rsidRPr="00742E1C">
              <w:rPr>
                <w:rFonts w:ascii="Times New Roman" w:hAnsi="Times New Roman" w:cs="Times New Roman"/>
                <w:kern w:val="0"/>
                <w:sz w:val="21"/>
                <w:szCs w:val="21"/>
              </w:rPr>
              <w:t>T</w:t>
            </w:r>
            <w:r>
              <w:rPr>
                <w:rFonts w:ascii="Times New Roman" w:hAnsi="Times New Roman" w:cs="Times New Roman"/>
                <w:kern w:val="0"/>
                <w:sz w:val="21"/>
                <w:szCs w:val="21"/>
              </w:rPr>
              <w:t>6</w:t>
            </w:r>
          </w:p>
        </w:tc>
        <w:tc>
          <w:tcPr>
            <w:tcW w:w="2271" w:type="pct"/>
            <w:vMerge w:val="restart"/>
            <w:vAlign w:val="center"/>
          </w:tcPr>
          <w:p w:rsidR="00742E1C" w:rsidRPr="00742E1C" w:rsidRDefault="00742E1C" w:rsidP="00742E1C">
            <w:pPr>
              <w:ind w:firstLineChars="0" w:firstLine="0"/>
              <w:jc w:val="center"/>
              <w:rPr>
                <w:rFonts w:ascii="Times New Roman" w:hAnsi="Times New Roman"/>
                <w:kern w:val="0"/>
                <w:sz w:val="21"/>
                <w:szCs w:val="21"/>
              </w:rPr>
            </w:pPr>
            <w:r w:rsidRPr="00742E1C">
              <w:rPr>
                <w:noProof/>
                <w:kern w:val="0"/>
                <w:sz w:val="21"/>
                <w:szCs w:val="21"/>
              </w:rPr>
              <w:drawing>
                <wp:inline distT="0" distB="0" distL="0" distR="0" wp14:anchorId="0AC7ADEF" wp14:editId="29685D4D">
                  <wp:extent cx="1990725" cy="1953260"/>
                  <wp:effectExtent l="0" t="0" r="0" b="8890"/>
                  <wp:docPr id="48" name="图片 48" descr="C:\Users\ADMINI~1\AppData\Local\Temp\1650220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ADMINI~1\AppData\Local\Temp\165022011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2035928" cy="1997874"/>
                          </a:xfrm>
                          <a:prstGeom prst="rect">
                            <a:avLst/>
                          </a:prstGeom>
                          <a:noFill/>
                          <a:ln>
                            <a:noFill/>
                          </a:ln>
                        </pic:spPr>
                      </pic:pic>
                    </a:graphicData>
                  </a:graphic>
                </wp:inline>
              </w:drawing>
            </w:r>
          </w:p>
        </w:tc>
        <w:tc>
          <w:tcPr>
            <w:tcW w:w="2424" w:type="pct"/>
            <w:vMerge w:val="restart"/>
            <w:vAlign w:val="center"/>
          </w:tcPr>
          <w:p w:rsidR="00742E1C" w:rsidRPr="00742E1C" w:rsidRDefault="00742E1C" w:rsidP="00742E1C">
            <w:pPr>
              <w:ind w:firstLineChars="0" w:firstLine="0"/>
              <w:jc w:val="center"/>
              <w:rPr>
                <w:rFonts w:ascii="Times New Roman" w:hAnsi="Times New Roman"/>
                <w:kern w:val="0"/>
                <w:sz w:val="21"/>
                <w:szCs w:val="21"/>
              </w:rPr>
            </w:pPr>
            <w:r w:rsidRPr="00742E1C">
              <w:rPr>
                <w:noProof/>
                <w:kern w:val="0"/>
                <w:sz w:val="21"/>
                <w:szCs w:val="21"/>
              </w:rPr>
              <w:drawing>
                <wp:inline distT="0" distB="0" distL="0" distR="0" wp14:anchorId="23D024A6" wp14:editId="031AA756">
                  <wp:extent cx="2132330" cy="1857375"/>
                  <wp:effectExtent l="0" t="0" r="127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9"/>
                          <a:stretch>
                            <a:fillRect/>
                          </a:stretch>
                        </pic:blipFill>
                        <pic:spPr>
                          <a:xfrm>
                            <a:off x="0" y="0"/>
                            <a:ext cx="2170863" cy="1890493"/>
                          </a:xfrm>
                          <a:prstGeom prst="rect">
                            <a:avLst/>
                          </a:prstGeom>
                        </pic:spPr>
                      </pic:pic>
                    </a:graphicData>
                  </a:graphic>
                </wp:inline>
              </w:drawing>
            </w:r>
          </w:p>
        </w:tc>
      </w:tr>
      <w:tr w:rsidR="00742E1C" w:rsidRPr="00742E1C" w:rsidTr="00742E1C">
        <w:trPr>
          <w:trHeight w:val="1097"/>
        </w:trPr>
        <w:tc>
          <w:tcPr>
            <w:tcW w:w="305" w:type="pct"/>
            <w:vMerge/>
            <w:vAlign w:val="center"/>
          </w:tcPr>
          <w:p w:rsidR="00742E1C" w:rsidRPr="00742E1C" w:rsidRDefault="00742E1C" w:rsidP="00742E1C">
            <w:pPr>
              <w:pStyle w:val="afffffff2"/>
              <w:rPr>
                <w:rFonts w:ascii="Times New Roman" w:hAnsi="Times New Roman" w:cs="Times New Roman"/>
                <w:kern w:val="0"/>
                <w:sz w:val="21"/>
                <w:szCs w:val="21"/>
              </w:rPr>
            </w:pPr>
          </w:p>
        </w:tc>
        <w:tc>
          <w:tcPr>
            <w:tcW w:w="2271" w:type="pct"/>
            <w:vMerge/>
            <w:vAlign w:val="center"/>
          </w:tcPr>
          <w:p w:rsidR="00742E1C" w:rsidRPr="00742E1C" w:rsidRDefault="00742E1C" w:rsidP="00742E1C">
            <w:pPr>
              <w:pStyle w:val="afffffff2"/>
              <w:rPr>
                <w:rFonts w:ascii="Times New Roman" w:hAnsi="Times New Roman" w:cs="Times New Roman"/>
                <w:kern w:val="0"/>
                <w:sz w:val="21"/>
                <w:szCs w:val="21"/>
                <w:vertAlign w:val="subscript"/>
              </w:rPr>
            </w:pPr>
          </w:p>
        </w:tc>
        <w:tc>
          <w:tcPr>
            <w:tcW w:w="2424" w:type="pct"/>
            <w:vMerge/>
            <w:vAlign w:val="center"/>
          </w:tcPr>
          <w:p w:rsidR="00742E1C" w:rsidRPr="00742E1C" w:rsidRDefault="00742E1C" w:rsidP="00742E1C">
            <w:pPr>
              <w:pStyle w:val="afffffff2"/>
              <w:rPr>
                <w:rFonts w:ascii="Times New Roman" w:hAnsi="Times New Roman" w:cs="Times New Roman"/>
                <w:kern w:val="0"/>
                <w:sz w:val="21"/>
                <w:szCs w:val="21"/>
              </w:rPr>
            </w:pPr>
          </w:p>
        </w:tc>
      </w:tr>
      <w:tr w:rsidR="00742E1C" w:rsidRPr="00742E1C" w:rsidTr="00742E1C">
        <w:trPr>
          <w:trHeight w:val="983"/>
        </w:trPr>
        <w:tc>
          <w:tcPr>
            <w:tcW w:w="305" w:type="pct"/>
            <w:vMerge/>
            <w:vAlign w:val="center"/>
          </w:tcPr>
          <w:p w:rsidR="00742E1C" w:rsidRPr="00742E1C" w:rsidRDefault="00742E1C" w:rsidP="00742E1C">
            <w:pPr>
              <w:pStyle w:val="afffffff2"/>
              <w:rPr>
                <w:rFonts w:ascii="Times New Roman" w:hAnsi="Times New Roman" w:cs="Times New Roman"/>
                <w:kern w:val="0"/>
                <w:sz w:val="21"/>
                <w:szCs w:val="21"/>
                <w:vertAlign w:val="subscript"/>
              </w:rPr>
            </w:pPr>
          </w:p>
        </w:tc>
        <w:tc>
          <w:tcPr>
            <w:tcW w:w="2271" w:type="pct"/>
            <w:vMerge/>
            <w:vAlign w:val="center"/>
          </w:tcPr>
          <w:p w:rsidR="00742E1C" w:rsidRPr="00742E1C" w:rsidRDefault="00742E1C" w:rsidP="00742E1C">
            <w:pPr>
              <w:pStyle w:val="afffffff2"/>
              <w:rPr>
                <w:rFonts w:ascii="Times New Roman" w:hAnsi="Times New Roman" w:cs="Times New Roman"/>
                <w:kern w:val="0"/>
                <w:sz w:val="21"/>
                <w:szCs w:val="21"/>
              </w:rPr>
            </w:pPr>
          </w:p>
        </w:tc>
        <w:tc>
          <w:tcPr>
            <w:tcW w:w="2424" w:type="pct"/>
            <w:vMerge/>
            <w:vAlign w:val="center"/>
          </w:tcPr>
          <w:p w:rsidR="00742E1C" w:rsidRPr="00742E1C" w:rsidRDefault="00742E1C" w:rsidP="00742E1C">
            <w:pPr>
              <w:pStyle w:val="afffffff2"/>
              <w:rPr>
                <w:rFonts w:ascii="Times New Roman" w:hAnsi="Times New Roman" w:cs="Times New Roman"/>
                <w:kern w:val="0"/>
                <w:sz w:val="21"/>
                <w:szCs w:val="21"/>
              </w:rPr>
            </w:pPr>
          </w:p>
        </w:tc>
      </w:tr>
      <w:tr w:rsidR="00742E1C" w:rsidRPr="00742E1C" w:rsidTr="00742E1C">
        <w:trPr>
          <w:trHeight w:val="1125"/>
        </w:trPr>
        <w:tc>
          <w:tcPr>
            <w:tcW w:w="305" w:type="pct"/>
            <w:vMerge/>
            <w:vAlign w:val="center"/>
          </w:tcPr>
          <w:p w:rsidR="00742E1C" w:rsidRPr="00742E1C" w:rsidRDefault="00742E1C" w:rsidP="00742E1C">
            <w:pPr>
              <w:pStyle w:val="afffffff2"/>
              <w:rPr>
                <w:rFonts w:ascii="Times New Roman" w:hAnsi="Times New Roman" w:cs="Times New Roman"/>
                <w:kern w:val="0"/>
                <w:sz w:val="21"/>
                <w:szCs w:val="21"/>
                <w:vertAlign w:val="subscript"/>
              </w:rPr>
            </w:pPr>
          </w:p>
        </w:tc>
        <w:tc>
          <w:tcPr>
            <w:tcW w:w="2271" w:type="pct"/>
            <w:vMerge/>
            <w:vAlign w:val="center"/>
          </w:tcPr>
          <w:p w:rsidR="00742E1C" w:rsidRPr="00742E1C" w:rsidRDefault="00742E1C" w:rsidP="00742E1C">
            <w:pPr>
              <w:pStyle w:val="afffffff2"/>
              <w:rPr>
                <w:rFonts w:ascii="Times New Roman" w:hAnsi="Times New Roman" w:cs="Times New Roman"/>
                <w:kern w:val="0"/>
                <w:sz w:val="21"/>
                <w:szCs w:val="21"/>
              </w:rPr>
            </w:pPr>
          </w:p>
        </w:tc>
        <w:tc>
          <w:tcPr>
            <w:tcW w:w="2424" w:type="pct"/>
            <w:vMerge/>
            <w:vAlign w:val="center"/>
          </w:tcPr>
          <w:p w:rsidR="00742E1C" w:rsidRPr="00742E1C" w:rsidRDefault="00742E1C" w:rsidP="00742E1C">
            <w:pPr>
              <w:pStyle w:val="afffffff2"/>
              <w:rPr>
                <w:rFonts w:ascii="Times New Roman" w:hAnsi="Times New Roman" w:cs="Times New Roman"/>
                <w:kern w:val="0"/>
                <w:sz w:val="21"/>
                <w:szCs w:val="21"/>
              </w:rPr>
            </w:pPr>
          </w:p>
        </w:tc>
      </w:tr>
    </w:tbl>
    <w:p w:rsidR="004E3021" w:rsidRDefault="00606E48">
      <w:pPr>
        <w:ind w:firstLine="480"/>
        <w:rPr>
          <w:rFonts w:ascii="宋体" w:hAnsi="宋体"/>
        </w:rPr>
      </w:pPr>
      <w:r>
        <w:rPr>
          <w:rFonts w:ascii="宋体" w:hAnsi="宋体" w:hint="eastAsia"/>
        </w:rPr>
        <w:t>根据表</w:t>
      </w:r>
      <w:r>
        <w:t>4.2.</w:t>
      </w:r>
      <w:r>
        <w:rPr>
          <w:rFonts w:hint="eastAsia"/>
        </w:rPr>
        <w:t>5</w:t>
      </w:r>
      <w:r>
        <w:t>-2~</w:t>
      </w:r>
      <w:r>
        <w:rPr>
          <w:rFonts w:hint="eastAsia"/>
        </w:rPr>
        <w:t>4</w:t>
      </w:r>
      <w:r>
        <w:rPr>
          <w:rFonts w:ascii="宋体" w:hAnsi="宋体" w:hint="eastAsia"/>
        </w:rPr>
        <w:t>所示，项目占地和评价范围监测点（指标均小于《土壤环境质量</w:t>
      </w:r>
      <w:r>
        <w:t xml:space="preserve"> </w:t>
      </w:r>
      <w:r>
        <w:rPr>
          <w:rFonts w:ascii="宋体" w:hAnsi="宋体"/>
        </w:rPr>
        <w:t>建设用地土壤污染风险管控标准（试行）》（</w:t>
      </w:r>
      <w:r>
        <w:t>GB36600-2018</w:t>
      </w:r>
      <w:r>
        <w:rPr>
          <w:rFonts w:ascii="宋体" w:hAnsi="宋体" w:hint="eastAsia"/>
        </w:rPr>
        <w:t>）中第二类用地风险筛选值要求，</w:t>
      </w:r>
      <w:r>
        <w:rPr>
          <w:rFonts w:ascii="宋体" w:hAnsi="宋体"/>
        </w:rPr>
        <w:t xml:space="preserve"> 农用</w:t>
      </w:r>
      <w:r>
        <w:rPr>
          <w:rFonts w:ascii="宋体" w:hAnsi="宋体" w:hint="eastAsia"/>
        </w:rPr>
        <w:t>地</w:t>
      </w:r>
      <w:r>
        <w:rPr>
          <w:rFonts w:ascii="宋体" w:hAnsi="宋体"/>
        </w:rPr>
        <w:t>满足</w:t>
      </w:r>
      <w:r>
        <w:rPr>
          <w:rFonts w:ascii="宋体" w:hAnsi="宋体" w:hint="eastAsia"/>
        </w:rPr>
        <w:t>《土壤环境质量</w:t>
      </w:r>
      <w:r>
        <w:t xml:space="preserve"> </w:t>
      </w:r>
      <w:r>
        <w:rPr>
          <w:rFonts w:ascii="宋体" w:hAnsi="宋体"/>
        </w:rPr>
        <w:t>农用地土壤污染风险管控标准（试行）》（</w:t>
      </w:r>
      <w:r>
        <w:t>GB15618-2018</w:t>
      </w:r>
      <w:r>
        <w:rPr>
          <w:rFonts w:ascii="宋体" w:hAnsi="宋体" w:hint="eastAsia"/>
        </w:rPr>
        <w:t>）表</w:t>
      </w:r>
      <w:r>
        <w:t>1</w:t>
      </w:r>
      <w:r>
        <w:rPr>
          <w:rFonts w:ascii="宋体" w:hAnsi="宋体" w:hint="eastAsia"/>
        </w:rPr>
        <w:t>中风险筛选值要求。</w:t>
      </w:r>
    </w:p>
    <w:p w:rsidR="00FA79D2" w:rsidRDefault="00FA79D2" w:rsidP="00FA79D2">
      <w:pPr>
        <w:pStyle w:val="afffffffffffffffff4"/>
      </w:pPr>
      <w:bookmarkStart w:id="316" w:name="_Toc221088784"/>
      <w:bookmarkStart w:id="317" w:name="_Toc221500999"/>
      <w:r>
        <w:rPr>
          <w:rFonts w:hint="eastAsia"/>
        </w:rPr>
        <w:lastRenderedPageBreak/>
        <w:t>4</w:t>
      </w:r>
      <w:r>
        <w:t>.2.6</w:t>
      </w:r>
      <w:r>
        <w:rPr>
          <w:rFonts w:hint="eastAsia"/>
        </w:rPr>
        <w:t>底泥</w:t>
      </w:r>
      <w:r>
        <w:t>质量现状</w:t>
      </w:r>
      <w:bookmarkEnd w:id="316"/>
      <w:bookmarkEnd w:id="317"/>
    </w:p>
    <w:p w:rsidR="00FA79D2" w:rsidRDefault="00FA79D2" w:rsidP="00FA79D2">
      <w:pPr>
        <w:ind w:firstLine="482"/>
        <w:rPr>
          <w:b/>
        </w:rPr>
      </w:pPr>
      <w:r>
        <w:rPr>
          <w:rFonts w:ascii="宋体" w:hAnsi="宋体" w:hint="eastAsia"/>
          <w:b/>
        </w:rPr>
        <w:t>（</w:t>
      </w:r>
      <w:r>
        <w:rPr>
          <w:rFonts w:hint="eastAsia"/>
          <w:b/>
        </w:rPr>
        <w:t>1</w:t>
      </w:r>
      <w:r>
        <w:rPr>
          <w:rFonts w:ascii="宋体" w:hAnsi="宋体"/>
          <w:b/>
        </w:rPr>
        <w:t>）</w:t>
      </w:r>
      <w:r>
        <w:rPr>
          <w:rFonts w:ascii="宋体" w:hAnsi="宋体" w:hint="eastAsia"/>
          <w:b/>
        </w:rPr>
        <w:t>监测布点</w:t>
      </w:r>
      <w:r>
        <w:rPr>
          <w:rFonts w:ascii="宋体" w:hAnsi="宋体"/>
          <w:b/>
        </w:rPr>
        <w:t>和监测因子</w:t>
      </w:r>
    </w:p>
    <w:p w:rsidR="00FA79D2" w:rsidRDefault="00FA79D2" w:rsidP="00FA79D2">
      <w:pPr>
        <w:ind w:firstLine="480"/>
      </w:pPr>
      <w:r w:rsidRPr="00B718FE">
        <w:rPr>
          <w:rFonts w:hint="eastAsia"/>
        </w:rPr>
        <w:t>本次环评</w:t>
      </w:r>
      <w:r>
        <w:rPr>
          <w:rFonts w:hint="eastAsia"/>
        </w:rPr>
        <w:t>布设</w:t>
      </w:r>
      <w:r w:rsidRPr="00B718FE">
        <w:t>1</w:t>
      </w:r>
      <w:r w:rsidRPr="00B718FE">
        <w:rPr>
          <w:rFonts w:hint="eastAsia"/>
        </w:rPr>
        <w:t>个</w:t>
      </w:r>
      <w:r>
        <w:rPr>
          <w:rFonts w:hint="eastAsia"/>
        </w:rPr>
        <w:t>底泥</w:t>
      </w:r>
      <w:r w:rsidRPr="00B718FE">
        <w:t>监测点</w:t>
      </w:r>
      <w:r w:rsidRPr="00B718FE">
        <w:rPr>
          <w:rFonts w:hint="eastAsia"/>
        </w:rPr>
        <w:t>，</w:t>
      </w:r>
      <w:r w:rsidRPr="00B718FE">
        <w:t>监测因子包括</w:t>
      </w:r>
      <w:r w:rsidRPr="00B718FE">
        <w:rPr>
          <w:rFonts w:hint="eastAsia"/>
        </w:rPr>
        <w:t>镉、汞、砷、铅、铬、铜、镍、锌</w:t>
      </w:r>
      <w:r w:rsidRPr="00B718FE">
        <w:t>。具体</w:t>
      </w:r>
      <w:r w:rsidRPr="00B718FE">
        <w:rPr>
          <w:rFonts w:hint="eastAsia"/>
        </w:rPr>
        <w:t>监测</w:t>
      </w:r>
      <w:r w:rsidRPr="00B718FE">
        <w:t>点位及监测因子见</w:t>
      </w:r>
      <w:r w:rsidRPr="00B718FE">
        <w:rPr>
          <w:rFonts w:hint="eastAsia"/>
        </w:rPr>
        <w:t>下</w:t>
      </w:r>
      <w:r w:rsidRPr="00B718FE">
        <w:t>表</w:t>
      </w:r>
      <w:r w:rsidRPr="00B718FE">
        <w:rPr>
          <w:rFonts w:hint="eastAsia"/>
        </w:rPr>
        <w:t>。</w:t>
      </w:r>
    </w:p>
    <w:p w:rsidR="00FA79D2" w:rsidRDefault="00FA79D2" w:rsidP="00FA79D2">
      <w:pPr>
        <w:spacing w:line="500" w:lineRule="exact"/>
        <w:ind w:firstLineChars="0" w:firstLine="0"/>
        <w:jc w:val="center"/>
        <w:rPr>
          <w:rFonts w:ascii="黑体" w:eastAsia="黑体" w:hAnsi="黑体"/>
        </w:rPr>
      </w:pPr>
      <w:r>
        <w:rPr>
          <w:rFonts w:ascii="黑体" w:eastAsia="黑体" w:hAnsi="黑体" w:hint="eastAsia"/>
        </w:rPr>
        <w:t>表</w:t>
      </w:r>
      <w:r>
        <w:rPr>
          <w:rFonts w:eastAsia="黑体" w:hint="eastAsia"/>
        </w:rPr>
        <w:t>4.</w:t>
      </w:r>
      <w:r>
        <w:rPr>
          <w:rFonts w:eastAsia="黑体"/>
        </w:rPr>
        <w:t>2</w:t>
      </w:r>
      <w:r>
        <w:rPr>
          <w:rFonts w:eastAsia="黑体" w:hint="eastAsia"/>
        </w:rPr>
        <w:t>.</w:t>
      </w:r>
      <w:r>
        <w:rPr>
          <w:rFonts w:eastAsia="黑体"/>
        </w:rPr>
        <w:t>6</w:t>
      </w:r>
      <w:r>
        <w:rPr>
          <w:rFonts w:eastAsia="黑体" w:hint="eastAsia"/>
        </w:rPr>
        <w:t xml:space="preserve">-1  </w:t>
      </w:r>
      <w:r>
        <w:rPr>
          <w:rFonts w:eastAsia="黑体" w:hint="eastAsia"/>
        </w:rPr>
        <w:t>底泥</w:t>
      </w:r>
      <w:r>
        <w:rPr>
          <w:rFonts w:ascii="黑体" w:eastAsia="黑体" w:hAnsi="黑体" w:hint="eastAsia"/>
        </w:rPr>
        <w:t>环境质量现场监测布点及监测因子</w:t>
      </w:r>
    </w:p>
    <w:tbl>
      <w:tblPr>
        <w:tblStyle w:val="afff"/>
        <w:tblW w:w="5000" w:type="pct"/>
        <w:tblLook w:val="04A0" w:firstRow="1" w:lastRow="0" w:firstColumn="1" w:lastColumn="0" w:noHBand="0" w:noVBand="1"/>
      </w:tblPr>
      <w:tblGrid>
        <w:gridCol w:w="1136"/>
        <w:gridCol w:w="1136"/>
        <w:gridCol w:w="1982"/>
        <w:gridCol w:w="1700"/>
        <w:gridCol w:w="3072"/>
      </w:tblGrid>
      <w:tr w:rsidR="00FA79D2" w:rsidRPr="00FA79D2" w:rsidTr="00FA79D2">
        <w:tc>
          <w:tcPr>
            <w:tcW w:w="629" w:type="pct"/>
            <w:vAlign w:val="center"/>
          </w:tcPr>
          <w:p w:rsidR="00FA79D2" w:rsidRPr="006D5DB1" w:rsidRDefault="00FA79D2" w:rsidP="00FA79D2">
            <w:pPr>
              <w:pStyle w:val="afffffff2"/>
              <w:rPr>
                <w:rFonts w:ascii="Times New Roman" w:hAnsi="Times New Roman" w:cs="Times New Roman"/>
                <w:b/>
                <w:sz w:val="21"/>
                <w:szCs w:val="21"/>
              </w:rPr>
            </w:pPr>
            <w:r w:rsidRPr="006D5DB1">
              <w:rPr>
                <w:rFonts w:ascii="Times New Roman" w:hAnsi="Times New Roman" w:cs="Times New Roman"/>
                <w:b/>
                <w:sz w:val="21"/>
                <w:szCs w:val="21"/>
              </w:rPr>
              <w:t>监测点位</w:t>
            </w:r>
          </w:p>
        </w:tc>
        <w:tc>
          <w:tcPr>
            <w:tcW w:w="629" w:type="pct"/>
            <w:vAlign w:val="center"/>
          </w:tcPr>
          <w:p w:rsidR="00FA79D2" w:rsidRPr="006D5DB1" w:rsidRDefault="00FA79D2" w:rsidP="00FA79D2">
            <w:pPr>
              <w:pStyle w:val="afffffff2"/>
              <w:rPr>
                <w:rFonts w:ascii="Times New Roman" w:hAnsi="Times New Roman" w:cs="Times New Roman"/>
                <w:b/>
                <w:sz w:val="21"/>
                <w:szCs w:val="21"/>
              </w:rPr>
            </w:pPr>
            <w:r w:rsidRPr="006D5DB1">
              <w:rPr>
                <w:rFonts w:ascii="Times New Roman" w:hAnsi="Times New Roman" w:cs="Times New Roman"/>
                <w:b/>
                <w:sz w:val="21"/>
                <w:szCs w:val="21"/>
              </w:rPr>
              <w:t>监测水系</w:t>
            </w:r>
          </w:p>
        </w:tc>
        <w:tc>
          <w:tcPr>
            <w:tcW w:w="1098" w:type="pct"/>
            <w:vAlign w:val="center"/>
          </w:tcPr>
          <w:p w:rsidR="00FA79D2" w:rsidRPr="006D5DB1" w:rsidRDefault="00FA79D2" w:rsidP="00FA79D2">
            <w:pPr>
              <w:pStyle w:val="afffffff2"/>
              <w:rPr>
                <w:rFonts w:ascii="Times New Roman" w:hAnsi="Times New Roman" w:cs="Times New Roman"/>
                <w:b/>
                <w:sz w:val="21"/>
                <w:szCs w:val="21"/>
              </w:rPr>
            </w:pPr>
            <w:r w:rsidRPr="006D5DB1">
              <w:rPr>
                <w:rFonts w:ascii="Times New Roman" w:hAnsi="Times New Roman" w:cs="Times New Roman"/>
                <w:b/>
                <w:sz w:val="21"/>
                <w:szCs w:val="21"/>
              </w:rPr>
              <w:t>监测断面布设位置</w:t>
            </w:r>
          </w:p>
        </w:tc>
        <w:tc>
          <w:tcPr>
            <w:tcW w:w="942" w:type="pct"/>
            <w:vAlign w:val="center"/>
          </w:tcPr>
          <w:p w:rsidR="00FA79D2" w:rsidRPr="006D5DB1" w:rsidRDefault="00FA79D2" w:rsidP="00FA79D2">
            <w:pPr>
              <w:pStyle w:val="afffffff2"/>
              <w:rPr>
                <w:rFonts w:ascii="Times New Roman" w:hAnsi="Times New Roman" w:cs="Times New Roman"/>
                <w:b/>
                <w:sz w:val="21"/>
                <w:szCs w:val="21"/>
              </w:rPr>
            </w:pPr>
            <w:r w:rsidRPr="006D5DB1">
              <w:rPr>
                <w:rFonts w:ascii="Times New Roman" w:hAnsi="Times New Roman" w:cs="Times New Roman"/>
                <w:b/>
                <w:sz w:val="21"/>
                <w:szCs w:val="21"/>
              </w:rPr>
              <w:t>监测因子</w:t>
            </w:r>
          </w:p>
        </w:tc>
        <w:tc>
          <w:tcPr>
            <w:tcW w:w="1702" w:type="pct"/>
            <w:vAlign w:val="center"/>
          </w:tcPr>
          <w:p w:rsidR="00FA79D2" w:rsidRPr="006D5DB1" w:rsidRDefault="00FA79D2" w:rsidP="00FA79D2">
            <w:pPr>
              <w:pStyle w:val="afffffff2"/>
              <w:rPr>
                <w:rFonts w:ascii="Times New Roman" w:hAnsi="Times New Roman" w:cs="Times New Roman"/>
                <w:b/>
                <w:sz w:val="21"/>
                <w:szCs w:val="21"/>
              </w:rPr>
            </w:pPr>
            <w:r w:rsidRPr="006D5DB1">
              <w:rPr>
                <w:rFonts w:ascii="Times New Roman" w:hAnsi="Times New Roman" w:cs="Times New Roman" w:hint="eastAsia"/>
                <w:b/>
                <w:sz w:val="21"/>
                <w:szCs w:val="21"/>
              </w:rPr>
              <w:t>数据来源</w:t>
            </w:r>
          </w:p>
        </w:tc>
      </w:tr>
      <w:tr w:rsidR="00FA79D2" w:rsidRPr="00FA79D2" w:rsidTr="00FA79D2">
        <w:tc>
          <w:tcPr>
            <w:tcW w:w="629" w:type="pct"/>
            <w:vAlign w:val="center"/>
          </w:tcPr>
          <w:p w:rsidR="00FA79D2" w:rsidRPr="00FA79D2" w:rsidRDefault="00FA79D2" w:rsidP="00FA79D2">
            <w:pPr>
              <w:pStyle w:val="afffffff2"/>
              <w:rPr>
                <w:rFonts w:ascii="Times New Roman" w:hAnsi="Times New Roman" w:cs="Times New Roman"/>
                <w:sz w:val="21"/>
                <w:szCs w:val="21"/>
              </w:rPr>
            </w:pPr>
            <w:r w:rsidRPr="00FA79D2">
              <w:rPr>
                <w:rFonts w:ascii="Times New Roman" w:hAnsi="Times New Roman" w:cs="Times New Roman"/>
                <w:sz w:val="21"/>
                <w:szCs w:val="21"/>
              </w:rPr>
              <w:t>SD1</w:t>
            </w:r>
          </w:p>
        </w:tc>
        <w:tc>
          <w:tcPr>
            <w:tcW w:w="629" w:type="pct"/>
            <w:vAlign w:val="center"/>
          </w:tcPr>
          <w:p w:rsidR="00FA79D2" w:rsidRPr="00FA79D2" w:rsidRDefault="00FA79D2" w:rsidP="00FA79D2">
            <w:pPr>
              <w:pStyle w:val="afffffff2"/>
              <w:rPr>
                <w:rFonts w:ascii="Times New Roman" w:hAnsi="Times New Roman" w:cs="Times New Roman"/>
                <w:sz w:val="21"/>
                <w:szCs w:val="21"/>
              </w:rPr>
            </w:pPr>
            <w:r w:rsidRPr="00FA79D2">
              <w:rPr>
                <w:rFonts w:ascii="Times New Roman" w:hAnsi="Times New Roman" w:cs="Times New Roman"/>
                <w:sz w:val="21"/>
                <w:szCs w:val="21"/>
              </w:rPr>
              <w:t>沫冲引河</w:t>
            </w:r>
          </w:p>
        </w:tc>
        <w:tc>
          <w:tcPr>
            <w:tcW w:w="1098" w:type="pct"/>
            <w:vAlign w:val="center"/>
          </w:tcPr>
          <w:p w:rsidR="00FA79D2" w:rsidRPr="00FA79D2" w:rsidRDefault="00FA79D2" w:rsidP="00FA79D2">
            <w:pPr>
              <w:pStyle w:val="afffffff2"/>
              <w:rPr>
                <w:rFonts w:ascii="Times New Roman" w:hAnsi="Times New Roman" w:cs="Times New Roman"/>
                <w:sz w:val="21"/>
                <w:szCs w:val="21"/>
              </w:rPr>
            </w:pPr>
            <w:r w:rsidRPr="00FA79D2">
              <w:rPr>
                <w:rFonts w:ascii="Times New Roman" w:hAnsi="Times New Roman" w:cs="Times New Roman"/>
                <w:sz w:val="21"/>
                <w:szCs w:val="21"/>
              </w:rPr>
              <w:t>厂界南侧</w:t>
            </w:r>
          </w:p>
        </w:tc>
        <w:tc>
          <w:tcPr>
            <w:tcW w:w="942" w:type="pct"/>
            <w:vAlign w:val="center"/>
          </w:tcPr>
          <w:p w:rsidR="00FA79D2" w:rsidRPr="00FA79D2" w:rsidRDefault="00FA79D2" w:rsidP="00FA79D2">
            <w:pPr>
              <w:pStyle w:val="afffffff2"/>
              <w:rPr>
                <w:rFonts w:ascii="Times New Roman" w:hAnsi="Times New Roman" w:cs="Times New Roman"/>
                <w:sz w:val="21"/>
                <w:szCs w:val="21"/>
              </w:rPr>
            </w:pPr>
            <w:r w:rsidRPr="00FA79D2">
              <w:rPr>
                <w:rFonts w:ascii="Times New Roman" w:hAnsi="Times New Roman" w:cs="Times New Roman"/>
                <w:sz w:val="21"/>
                <w:szCs w:val="21"/>
              </w:rPr>
              <w:t>镉、汞、砷、铅、铬、铜、镍、锌</w:t>
            </w:r>
          </w:p>
        </w:tc>
        <w:tc>
          <w:tcPr>
            <w:tcW w:w="1702" w:type="pct"/>
            <w:vAlign w:val="center"/>
          </w:tcPr>
          <w:p w:rsidR="00FA79D2" w:rsidRPr="00FA79D2" w:rsidRDefault="00FA79D2" w:rsidP="00FA79D2">
            <w:pPr>
              <w:pStyle w:val="afffffff2"/>
              <w:rPr>
                <w:rFonts w:ascii="Times New Roman" w:hAnsi="Times New Roman" w:cs="Times New Roman"/>
                <w:sz w:val="21"/>
                <w:szCs w:val="21"/>
              </w:rPr>
            </w:pPr>
            <w:r w:rsidRPr="0075233C">
              <w:rPr>
                <w:rFonts w:hint="eastAsia"/>
                <w:kern w:val="0"/>
                <w:sz w:val="21"/>
                <w:szCs w:val="21"/>
              </w:rPr>
              <w:t>引用</w:t>
            </w:r>
            <w:r>
              <w:rPr>
                <w:rFonts w:hint="eastAsia"/>
                <w:kern w:val="0"/>
                <w:sz w:val="21"/>
                <w:szCs w:val="21"/>
              </w:rPr>
              <w:t>蚌埠康源生态环境科技有限公司技改项目</w:t>
            </w:r>
            <w:r>
              <w:rPr>
                <w:rFonts w:hint="eastAsia"/>
                <w:bCs/>
                <w:kern w:val="0"/>
                <w:sz w:val="21"/>
                <w:szCs w:val="21"/>
              </w:rPr>
              <w:t>现状监测报告</w:t>
            </w:r>
          </w:p>
        </w:tc>
      </w:tr>
    </w:tbl>
    <w:p w:rsidR="00FA79D2" w:rsidRPr="00FA79D2" w:rsidRDefault="00FA79D2" w:rsidP="00FA79D2">
      <w:pPr>
        <w:ind w:firstLine="482"/>
        <w:rPr>
          <w:b/>
        </w:rPr>
      </w:pPr>
      <w:r w:rsidRPr="00FA79D2">
        <w:rPr>
          <w:rFonts w:hint="eastAsia"/>
          <w:b/>
        </w:rPr>
        <w:t>（</w:t>
      </w:r>
      <w:r w:rsidRPr="00FA79D2">
        <w:rPr>
          <w:rFonts w:hint="eastAsia"/>
          <w:b/>
        </w:rPr>
        <w:t>2</w:t>
      </w:r>
      <w:r w:rsidRPr="00FA79D2">
        <w:rPr>
          <w:rFonts w:hint="eastAsia"/>
          <w:b/>
        </w:rPr>
        <w:t>）监测</w:t>
      </w:r>
      <w:r w:rsidRPr="00FA79D2">
        <w:rPr>
          <w:b/>
        </w:rPr>
        <w:t>因</w:t>
      </w:r>
      <w:r w:rsidRPr="00FA79D2">
        <w:rPr>
          <w:rFonts w:hint="eastAsia"/>
          <w:b/>
        </w:rPr>
        <w:t>分析方法</w:t>
      </w:r>
    </w:p>
    <w:p w:rsidR="00FA79D2" w:rsidRPr="00FA79D2" w:rsidRDefault="00FA79D2" w:rsidP="00FA79D2">
      <w:pPr>
        <w:ind w:firstLine="480"/>
      </w:pPr>
      <w:r w:rsidRPr="00B718FE">
        <w:t>本项目监测、分析方法参照《土壤环境质量</w:t>
      </w:r>
      <w:r w:rsidRPr="00B718FE">
        <w:rPr>
          <w:rFonts w:hint="eastAsia"/>
        </w:rPr>
        <w:t xml:space="preserve"> </w:t>
      </w:r>
      <w:r w:rsidRPr="00B718FE">
        <w:rPr>
          <w:rFonts w:hint="eastAsia"/>
        </w:rPr>
        <w:t>农用地土壤污染风险管控标准</w:t>
      </w:r>
      <w:r w:rsidRPr="00B718FE">
        <w:t>》（</w:t>
      </w:r>
      <w:r w:rsidRPr="00B718FE">
        <w:t>GB15618-2018</w:t>
      </w:r>
      <w:r w:rsidRPr="00B718FE">
        <w:t>）中规定的方法执行。</w:t>
      </w:r>
    </w:p>
    <w:p w:rsidR="00FA79D2" w:rsidRDefault="00FA79D2" w:rsidP="00FA79D2">
      <w:pPr>
        <w:ind w:firstLine="482"/>
        <w:rPr>
          <w:b/>
        </w:rPr>
      </w:pPr>
      <w:r>
        <w:rPr>
          <w:rFonts w:ascii="宋体" w:hAnsi="宋体" w:hint="eastAsia"/>
          <w:b/>
        </w:rPr>
        <w:t>（</w:t>
      </w:r>
      <w:r>
        <w:rPr>
          <w:b/>
        </w:rPr>
        <w:t>3</w:t>
      </w:r>
      <w:r>
        <w:rPr>
          <w:rFonts w:ascii="宋体" w:hAnsi="宋体" w:hint="eastAsia"/>
          <w:b/>
        </w:rPr>
        <w:t>）监测结果与评价</w:t>
      </w:r>
    </w:p>
    <w:p w:rsidR="00FA79D2" w:rsidRDefault="00FA79D2" w:rsidP="00FA79D2">
      <w:pPr>
        <w:ind w:firstLine="480"/>
        <w:rPr>
          <w:rFonts w:ascii="宋体" w:hAnsi="宋体"/>
        </w:rPr>
      </w:pPr>
      <w:r>
        <w:rPr>
          <w:rFonts w:ascii="宋体" w:hAnsi="宋体" w:hint="eastAsia"/>
        </w:rPr>
        <w:t>底泥环境质量现状监测结果见表</w:t>
      </w:r>
      <w:r>
        <w:t>4.2.6-2</w:t>
      </w:r>
      <w:r>
        <w:rPr>
          <w:rFonts w:ascii="宋体" w:hAnsi="宋体" w:hint="eastAsia"/>
        </w:rPr>
        <w:t>。</w:t>
      </w:r>
    </w:p>
    <w:p w:rsidR="00FA79D2" w:rsidRPr="00FA79D2" w:rsidRDefault="00FA79D2" w:rsidP="00FA79D2">
      <w:pPr>
        <w:pStyle w:val="afffff4"/>
      </w:pPr>
      <w:r>
        <w:t>表</w:t>
      </w:r>
      <w:r>
        <w:t xml:space="preserve">4.2.6-2  </w:t>
      </w:r>
      <w:r>
        <w:rPr>
          <w:rFonts w:hint="eastAsia"/>
        </w:rPr>
        <w:t>底泥环境监测结果</w:t>
      </w:r>
      <w:r>
        <w:rPr>
          <w:rFonts w:hint="eastAsia"/>
        </w:rPr>
        <w:t xml:space="preserve">  </w:t>
      </w:r>
      <w:r>
        <w:rPr>
          <w:rFonts w:hint="eastAsia"/>
        </w:rPr>
        <w:t>单位</w:t>
      </w:r>
      <w:r>
        <w:t>：</w:t>
      </w:r>
      <w:r>
        <w:t xml:space="preserve">mg/kg </w:t>
      </w:r>
    </w:p>
    <w:tbl>
      <w:tblPr>
        <w:tblStyle w:val="afff"/>
        <w:tblW w:w="5000" w:type="pct"/>
        <w:tblLook w:val="04A0" w:firstRow="1" w:lastRow="0" w:firstColumn="1" w:lastColumn="0" w:noHBand="0" w:noVBand="1"/>
      </w:tblPr>
      <w:tblGrid>
        <w:gridCol w:w="2410"/>
        <w:gridCol w:w="3119"/>
        <w:gridCol w:w="3497"/>
      </w:tblGrid>
      <w:tr w:rsidR="00FA79D2" w:rsidRPr="007F5CF1" w:rsidTr="009564C3">
        <w:trPr>
          <w:trHeight w:val="454"/>
        </w:trPr>
        <w:tc>
          <w:tcPr>
            <w:tcW w:w="1335" w:type="pct"/>
            <w:vAlign w:val="center"/>
          </w:tcPr>
          <w:p w:rsidR="00FA79D2" w:rsidRPr="006D5DB1" w:rsidRDefault="00FA79D2" w:rsidP="009564C3">
            <w:pPr>
              <w:spacing w:line="360" w:lineRule="exact"/>
              <w:ind w:firstLineChars="0" w:firstLine="0"/>
              <w:jc w:val="center"/>
              <w:rPr>
                <w:b/>
                <w:color w:val="000000"/>
                <w:kern w:val="0"/>
                <w:sz w:val="21"/>
                <w:szCs w:val="21"/>
              </w:rPr>
            </w:pPr>
            <w:r w:rsidRPr="006D5DB1">
              <w:rPr>
                <w:rFonts w:ascii="Times New Roman" w:hAnsi="Times New Roman"/>
                <w:b/>
                <w:sz w:val="21"/>
                <w:szCs w:val="21"/>
              </w:rPr>
              <w:t>检测点位</w:t>
            </w:r>
          </w:p>
        </w:tc>
        <w:tc>
          <w:tcPr>
            <w:tcW w:w="1728" w:type="pct"/>
            <w:vAlign w:val="center"/>
          </w:tcPr>
          <w:p w:rsidR="00FA79D2" w:rsidRPr="006D5DB1" w:rsidRDefault="00FA79D2" w:rsidP="009564C3">
            <w:pPr>
              <w:spacing w:line="360" w:lineRule="exact"/>
              <w:ind w:firstLineChars="0" w:firstLine="0"/>
              <w:jc w:val="center"/>
              <w:rPr>
                <w:rFonts w:ascii="Times New Roman" w:hAnsi="Times New Roman"/>
                <w:b/>
                <w:sz w:val="21"/>
                <w:szCs w:val="21"/>
              </w:rPr>
            </w:pPr>
            <w:r w:rsidRPr="006D5DB1">
              <w:rPr>
                <w:rFonts w:ascii="Times New Roman" w:hAnsi="Times New Roman" w:hint="eastAsia"/>
                <w:b/>
                <w:sz w:val="21"/>
                <w:szCs w:val="21"/>
              </w:rPr>
              <w:t>SD</w:t>
            </w:r>
            <w:r w:rsidRPr="006D5DB1">
              <w:rPr>
                <w:rFonts w:ascii="Times New Roman" w:hAnsi="Times New Roman"/>
                <w:b/>
                <w:sz w:val="21"/>
                <w:szCs w:val="21"/>
              </w:rPr>
              <w:t>1</w:t>
            </w:r>
          </w:p>
        </w:tc>
        <w:tc>
          <w:tcPr>
            <w:tcW w:w="1937" w:type="pct"/>
            <w:vMerge w:val="restart"/>
            <w:vAlign w:val="center"/>
          </w:tcPr>
          <w:p w:rsidR="00FA79D2" w:rsidRPr="006D5DB1" w:rsidRDefault="00FA79D2" w:rsidP="009564C3">
            <w:pPr>
              <w:spacing w:line="360" w:lineRule="exact"/>
              <w:ind w:firstLineChars="0" w:firstLine="0"/>
              <w:jc w:val="center"/>
              <w:rPr>
                <w:rFonts w:ascii="Times New Roman" w:hAnsi="Times New Roman"/>
                <w:b/>
                <w:sz w:val="21"/>
                <w:szCs w:val="21"/>
              </w:rPr>
            </w:pPr>
            <w:r w:rsidRPr="006D5DB1">
              <w:rPr>
                <w:b/>
                <w:sz w:val="21"/>
                <w:szCs w:val="21"/>
              </w:rPr>
              <w:t>《土壤环境质量</w:t>
            </w:r>
            <w:r w:rsidRPr="006D5DB1">
              <w:rPr>
                <w:b/>
                <w:sz w:val="21"/>
                <w:szCs w:val="21"/>
              </w:rPr>
              <w:t xml:space="preserve"> </w:t>
            </w:r>
            <w:r w:rsidRPr="006D5DB1">
              <w:rPr>
                <w:b/>
                <w:sz w:val="21"/>
                <w:szCs w:val="21"/>
              </w:rPr>
              <w:t>农用地土壤污染风险管控标准（试行）》</w:t>
            </w:r>
            <w:r w:rsidRPr="006D5DB1">
              <w:rPr>
                <w:rFonts w:ascii="Times New Roman" w:hAnsi="Times New Roman"/>
                <w:b/>
                <w:sz w:val="21"/>
                <w:szCs w:val="21"/>
              </w:rPr>
              <w:t>（</w:t>
            </w:r>
            <w:r w:rsidRPr="006D5DB1">
              <w:rPr>
                <w:rFonts w:ascii="Times New Roman" w:hAnsi="Times New Roman"/>
                <w:b/>
                <w:sz w:val="21"/>
                <w:szCs w:val="21"/>
              </w:rPr>
              <w:t>GB15618-2018</w:t>
            </w:r>
            <w:r w:rsidRPr="006D5DB1">
              <w:rPr>
                <w:rFonts w:ascii="Times New Roman" w:hAnsi="Times New Roman"/>
                <w:b/>
                <w:sz w:val="21"/>
                <w:szCs w:val="21"/>
              </w:rPr>
              <w:t>）中风险筛选值</w:t>
            </w:r>
          </w:p>
        </w:tc>
      </w:tr>
      <w:tr w:rsidR="00FA79D2" w:rsidRPr="007F5CF1" w:rsidTr="009564C3">
        <w:trPr>
          <w:trHeight w:val="454"/>
        </w:trPr>
        <w:tc>
          <w:tcPr>
            <w:tcW w:w="1335" w:type="pct"/>
            <w:vAlign w:val="center"/>
          </w:tcPr>
          <w:p w:rsidR="00FA79D2" w:rsidRPr="007F5CF1" w:rsidRDefault="00FA79D2" w:rsidP="009564C3">
            <w:pPr>
              <w:spacing w:line="360" w:lineRule="exact"/>
              <w:ind w:firstLineChars="0" w:firstLine="0"/>
              <w:jc w:val="center"/>
              <w:rPr>
                <w:sz w:val="21"/>
                <w:szCs w:val="21"/>
              </w:rPr>
            </w:pPr>
            <w:r w:rsidRPr="007F5CF1">
              <w:rPr>
                <w:rFonts w:ascii="Times New Roman" w:hAnsi="Times New Roman"/>
                <w:sz w:val="21"/>
                <w:szCs w:val="21"/>
              </w:rPr>
              <w:t>采样</w:t>
            </w:r>
            <w:r>
              <w:rPr>
                <w:rFonts w:ascii="Times New Roman" w:hAnsi="Times New Roman" w:hint="eastAsia"/>
                <w:sz w:val="21"/>
                <w:szCs w:val="21"/>
              </w:rPr>
              <w:t>时间</w:t>
            </w:r>
          </w:p>
        </w:tc>
        <w:tc>
          <w:tcPr>
            <w:tcW w:w="1728" w:type="pct"/>
            <w:vAlign w:val="center"/>
          </w:tcPr>
          <w:p w:rsidR="00FA79D2" w:rsidRPr="007F5CF1" w:rsidRDefault="00FA79D2" w:rsidP="009564C3">
            <w:pPr>
              <w:spacing w:line="360" w:lineRule="exact"/>
              <w:ind w:firstLineChars="0" w:firstLine="0"/>
              <w:jc w:val="center"/>
              <w:rPr>
                <w:rFonts w:ascii="Times New Roman" w:hAnsi="Times New Roman"/>
                <w:color w:val="000000"/>
                <w:sz w:val="21"/>
                <w:szCs w:val="21"/>
              </w:rPr>
            </w:pPr>
            <w:r>
              <w:rPr>
                <w:rFonts w:ascii="Times New Roman" w:hAnsi="Times New Roman"/>
                <w:bCs/>
                <w:sz w:val="21"/>
                <w:szCs w:val="21"/>
              </w:rPr>
              <w:t>2025.11.21</w:t>
            </w:r>
          </w:p>
        </w:tc>
        <w:tc>
          <w:tcPr>
            <w:tcW w:w="1937" w:type="pct"/>
            <w:vMerge/>
            <w:vAlign w:val="center"/>
          </w:tcPr>
          <w:p w:rsidR="00FA79D2" w:rsidRPr="007F5CF1" w:rsidRDefault="00FA79D2" w:rsidP="009564C3">
            <w:pPr>
              <w:spacing w:line="360" w:lineRule="exact"/>
              <w:ind w:firstLineChars="0" w:firstLine="0"/>
              <w:jc w:val="center"/>
              <w:rPr>
                <w:rFonts w:ascii="Times New Roman" w:hAnsi="Times New Roman"/>
                <w:color w:val="000000"/>
                <w:sz w:val="21"/>
                <w:szCs w:val="21"/>
              </w:rPr>
            </w:pPr>
          </w:p>
        </w:tc>
      </w:tr>
      <w:tr w:rsidR="00FA79D2" w:rsidRPr="007F5CF1" w:rsidTr="009564C3">
        <w:trPr>
          <w:trHeight w:val="454"/>
        </w:trPr>
        <w:tc>
          <w:tcPr>
            <w:tcW w:w="1335" w:type="pct"/>
            <w:vAlign w:val="center"/>
          </w:tcPr>
          <w:p w:rsidR="00FA79D2" w:rsidRPr="007F5CF1" w:rsidRDefault="00FA79D2" w:rsidP="009564C3">
            <w:pPr>
              <w:widowControl/>
              <w:spacing w:line="360" w:lineRule="exact"/>
              <w:ind w:firstLineChars="0" w:firstLine="0"/>
              <w:jc w:val="center"/>
              <w:textAlignment w:val="center"/>
              <w:rPr>
                <w:rFonts w:ascii="Times New Roman" w:hAnsi="Times New Roman"/>
                <w:color w:val="000000"/>
                <w:sz w:val="21"/>
                <w:szCs w:val="21"/>
              </w:rPr>
            </w:pPr>
            <w:r w:rsidRPr="007F5CF1">
              <w:rPr>
                <w:rFonts w:ascii="Times New Roman" w:hAnsi="Times New Roman"/>
                <w:bCs/>
                <w:kern w:val="0"/>
                <w:sz w:val="21"/>
                <w:szCs w:val="21"/>
              </w:rPr>
              <w:t>镉</w:t>
            </w:r>
          </w:p>
        </w:tc>
        <w:tc>
          <w:tcPr>
            <w:tcW w:w="1728" w:type="pct"/>
            <w:vAlign w:val="center"/>
          </w:tcPr>
          <w:p w:rsidR="00FA79D2" w:rsidRPr="007F5CF1" w:rsidRDefault="00FA79D2" w:rsidP="00FA79D2">
            <w:pPr>
              <w:spacing w:line="360" w:lineRule="exact"/>
              <w:ind w:firstLineChars="0" w:firstLine="0"/>
              <w:jc w:val="center"/>
              <w:rPr>
                <w:rFonts w:ascii="Times New Roman" w:hAnsi="Times New Roman"/>
                <w:sz w:val="21"/>
                <w:szCs w:val="21"/>
              </w:rPr>
            </w:pPr>
            <w:r w:rsidRPr="007F5CF1">
              <w:rPr>
                <w:rFonts w:ascii="Times New Roman" w:hAnsi="Times New Roman"/>
                <w:sz w:val="21"/>
                <w:szCs w:val="21"/>
              </w:rPr>
              <w:t>0.</w:t>
            </w:r>
            <w:r>
              <w:rPr>
                <w:rFonts w:ascii="Times New Roman" w:hAnsi="Times New Roman"/>
                <w:sz w:val="21"/>
                <w:szCs w:val="21"/>
              </w:rPr>
              <w:t>13</w:t>
            </w:r>
          </w:p>
        </w:tc>
        <w:tc>
          <w:tcPr>
            <w:tcW w:w="1937" w:type="pct"/>
            <w:vAlign w:val="center"/>
          </w:tcPr>
          <w:p w:rsidR="00FA79D2" w:rsidRPr="007F5CF1" w:rsidRDefault="00FA79D2" w:rsidP="009564C3">
            <w:pPr>
              <w:spacing w:line="360" w:lineRule="exact"/>
              <w:ind w:firstLineChars="0" w:firstLine="0"/>
              <w:jc w:val="center"/>
              <w:rPr>
                <w:rFonts w:ascii="Times New Roman" w:hAnsi="Times New Roman"/>
                <w:sz w:val="21"/>
                <w:szCs w:val="21"/>
              </w:rPr>
            </w:pPr>
            <w:r w:rsidRPr="007F5CF1">
              <w:rPr>
                <w:rFonts w:ascii="Times New Roman" w:hAnsi="Times New Roman"/>
                <w:sz w:val="21"/>
                <w:szCs w:val="21"/>
              </w:rPr>
              <w:t>0.</w:t>
            </w:r>
            <w:r>
              <w:rPr>
                <w:rFonts w:ascii="Times New Roman" w:hAnsi="Times New Roman"/>
                <w:sz w:val="21"/>
                <w:szCs w:val="21"/>
              </w:rPr>
              <w:t>6</w:t>
            </w:r>
          </w:p>
        </w:tc>
      </w:tr>
      <w:tr w:rsidR="00FA79D2" w:rsidRPr="007F5CF1" w:rsidTr="009564C3">
        <w:trPr>
          <w:trHeight w:val="454"/>
        </w:trPr>
        <w:tc>
          <w:tcPr>
            <w:tcW w:w="1335" w:type="pct"/>
            <w:vAlign w:val="center"/>
          </w:tcPr>
          <w:p w:rsidR="00FA79D2" w:rsidRPr="007F5CF1" w:rsidRDefault="00FA79D2" w:rsidP="009564C3">
            <w:pPr>
              <w:widowControl/>
              <w:spacing w:line="360" w:lineRule="exact"/>
              <w:ind w:firstLineChars="0" w:firstLine="0"/>
              <w:jc w:val="center"/>
              <w:textAlignment w:val="center"/>
              <w:rPr>
                <w:rFonts w:ascii="Times New Roman" w:hAnsi="Times New Roman"/>
                <w:color w:val="000000"/>
                <w:sz w:val="21"/>
                <w:szCs w:val="21"/>
              </w:rPr>
            </w:pPr>
            <w:r w:rsidRPr="007F5CF1">
              <w:rPr>
                <w:rFonts w:ascii="Times New Roman" w:hAnsi="Times New Roman"/>
                <w:bCs/>
                <w:kern w:val="0"/>
                <w:sz w:val="21"/>
                <w:szCs w:val="21"/>
              </w:rPr>
              <w:t>汞</w:t>
            </w:r>
          </w:p>
        </w:tc>
        <w:tc>
          <w:tcPr>
            <w:tcW w:w="1728" w:type="pct"/>
            <w:vAlign w:val="center"/>
          </w:tcPr>
          <w:p w:rsidR="00FA79D2" w:rsidRPr="007F5CF1" w:rsidRDefault="00FA79D2" w:rsidP="00FA79D2">
            <w:pPr>
              <w:spacing w:line="360" w:lineRule="exact"/>
              <w:ind w:firstLineChars="0" w:firstLine="0"/>
              <w:jc w:val="center"/>
              <w:rPr>
                <w:rFonts w:ascii="Times New Roman" w:hAnsi="Times New Roman"/>
                <w:sz w:val="21"/>
                <w:szCs w:val="21"/>
              </w:rPr>
            </w:pPr>
            <w:r w:rsidRPr="007F5CF1">
              <w:rPr>
                <w:rFonts w:ascii="Times New Roman" w:hAnsi="Times New Roman"/>
                <w:sz w:val="21"/>
                <w:szCs w:val="21"/>
              </w:rPr>
              <w:t>0.0</w:t>
            </w:r>
            <w:r>
              <w:rPr>
                <w:rFonts w:ascii="Times New Roman" w:hAnsi="Times New Roman"/>
                <w:sz w:val="21"/>
                <w:szCs w:val="21"/>
              </w:rPr>
              <w:t>96</w:t>
            </w:r>
          </w:p>
        </w:tc>
        <w:tc>
          <w:tcPr>
            <w:tcW w:w="1937" w:type="pct"/>
            <w:vAlign w:val="center"/>
          </w:tcPr>
          <w:p w:rsidR="00FA79D2" w:rsidRPr="007F5CF1" w:rsidRDefault="00FA79D2" w:rsidP="009564C3">
            <w:pPr>
              <w:spacing w:line="360" w:lineRule="exact"/>
              <w:ind w:firstLineChars="0" w:firstLine="0"/>
              <w:jc w:val="center"/>
              <w:rPr>
                <w:rFonts w:ascii="Times New Roman" w:hAnsi="Times New Roman"/>
                <w:sz w:val="21"/>
                <w:szCs w:val="21"/>
              </w:rPr>
            </w:pPr>
            <w:r>
              <w:rPr>
                <w:rFonts w:ascii="Times New Roman" w:hAnsi="Times New Roman"/>
                <w:sz w:val="21"/>
                <w:szCs w:val="21"/>
              </w:rPr>
              <w:t>3.4</w:t>
            </w:r>
          </w:p>
        </w:tc>
      </w:tr>
      <w:tr w:rsidR="00FA79D2" w:rsidRPr="007F5CF1" w:rsidTr="009564C3">
        <w:trPr>
          <w:trHeight w:val="454"/>
        </w:trPr>
        <w:tc>
          <w:tcPr>
            <w:tcW w:w="1335" w:type="pct"/>
            <w:vAlign w:val="center"/>
          </w:tcPr>
          <w:p w:rsidR="00FA79D2" w:rsidRPr="007F5CF1" w:rsidRDefault="00FA79D2" w:rsidP="009564C3">
            <w:pPr>
              <w:widowControl/>
              <w:spacing w:line="360" w:lineRule="exact"/>
              <w:ind w:firstLineChars="0" w:firstLine="0"/>
              <w:jc w:val="center"/>
              <w:textAlignment w:val="center"/>
              <w:rPr>
                <w:rFonts w:ascii="Times New Roman" w:hAnsi="Times New Roman"/>
                <w:color w:val="000000"/>
                <w:sz w:val="21"/>
                <w:szCs w:val="21"/>
              </w:rPr>
            </w:pPr>
            <w:r w:rsidRPr="007F5CF1">
              <w:rPr>
                <w:rFonts w:ascii="Times New Roman" w:hAnsi="Times New Roman"/>
                <w:bCs/>
                <w:kern w:val="0"/>
                <w:sz w:val="21"/>
                <w:szCs w:val="21"/>
              </w:rPr>
              <w:t>砷</w:t>
            </w:r>
          </w:p>
        </w:tc>
        <w:tc>
          <w:tcPr>
            <w:tcW w:w="1728" w:type="pct"/>
            <w:vAlign w:val="center"/>
          </w:tcPr>
          <w:p w:rsidR="00FA79D2" w:rsidRPr="007F5CF1" w:rsidRDefault="00FA79D2" w:rsidP="00FA79D2">
            <w:pPr>
              <w:spacing w:line="360" w:lineRule="exact"/>
              <w:ind w:firstLineChars="0" w:firstLine="0"/>
              <w:jc w:val="center"/>
              <w:rPr>
                <w:rFonts w:ascii="Times New Roman" w:hAnsi="Times New Roman"/>
                <w:sz w:val="21"/>
                <w:szCs w:val="21"/>
              </w:rPr>
            </w:pPr>
            <w:r w:rsidRPr="007F5CF1">
              <w:rPr>
                <w:rFonts w:ascii="Times New Roman" w:hAnsi="Times New Roman"/>
                <w:sz w:val="21"/>
                <w:szCs w:val="21"/>
              </w:rPr>
              <w:t>1</w:t>
            </w:r>
            <w:r>
              <w:rPr>
                <w:rFonts w:ascii="Times New Roman" w:hAnsi="Times New Roman"/>
                <w:sz w:val="21"/>
                <w:szCs w:val="21"/>
              </w:rPr>
              <w:t>2.4</w:t>
            </w:r>
          </w:p>
        </w:tc>
        <w:tc>
          <w:tcPr>
            <w:tcW w:w="1937" w:type="pct"/>
            <w:vAlign w:val="center"/>
          </w:tcPr>
          <w:p w:rsidR="00FA79D2" w:rsidRPr="007F5CF1" w:rsidRDefault="00FA79D2" w:rsidP="009564C3">
            <w:pPr>
              <w:spacing w:line="360" w:lineRule="exact"/>
              <w:ind w:firstLineChars="0" w:firstLine="0"/>
              <w:jc w:val="center"/>
              <w:rPr>
                <w:rFonts w:ascii="Times New Roman" w:hAnsi="Times New Roman"/>
                <w:sz w:val="21"/>
                <w:szCs w:val="21"/>
              </w:rPr>
            </w:pPr>
            <w:r>
              <w:rPr>
                <w:rFonts w:ascii="Times New Roman" w:hAnsi="Times New Roman"/>
                <w:sz w:val="21"/>
                <w:szCs w:val="21"/>
              </w:rPr>
              <w:t>25</w:t>
            </w:r>
          </w:p>
        </w:tc>
      </w:tr>
      <w:tr w:rsidR="00FA79D2" w:rsidRPr="007F5CF1" w:rsidTr="009564C3">
        <w:trPr>
          <w:trHeight w:val="454"/>
        </w:trPr>
        <w:tc>
          <w:tcPr>
            <w:tcW w:w="1335" w:type="pct"/>
            <w:vAlign w:val="center"/>
          </w:tcPr>
          <w:p w:rsidR="00FA79D2" w:rsidRPr="007F5CF1" w:rsidRDefault="00FA79D2" w:rsidP="009564C3">
            <w:pPr>
              <w:widowControl/>
              <w:spacing w:line="360" w:lineRule="exact"/>
              <w:ind w:firstLineChars="0" w:firstLine="0"/>
              <w:jc w:val="center"/>
              <w:textAlignment w:val="center"/>
              <w:rPr>
                <w:rFonts w:ascii="Times New Roman" w:hAnsi="Times New Roman"/>
                <w:color w:val="000000"/>
                <w:sz w:val="21"/>
                <w:szCs w:val="21"/>
              </w:rPr>
            </w:pPr>
            <w:r w:rsidRPr="007F5CF1">
              <w:rPr>
                <w:rFonts w:ascii="Times New Roman" w:hAnsi="Times New Roman"/>
                <w:bCs/>
                <w:kern w:val="0"/>
                <w:sz w:val="21"/>
                <w:szCs w:val="21"/>
              </w:rPr>
              <w:t>铅</w:t>
            </w:r>
          </w:p>
        </w:tc>
        <w:tc>
          <w:tcPr>
            <w:tcW w:w="1728" w:type="pct"/>
            <w:vAlign w:val="center"/>
          </w:tcPr>
          <w:p w:rsidR="00FA79D2" w:rsidRPr="007F5CF1" w:rsidRDefault="00FA79D2" w:rsidP="009564C3">
            <w:pPr>
              <w:spacing w:line="360" w:lineRule="exact"/>
              <w:ind w:firstLineChars="0" w:firstLine="0"/>
              <w:jc w:val="center"/>
              <w:rPr>
                <w:rFonts w:ascii="Times New Roman" w:hAnsi="Times New Roman"/>
                <w:sz w:val="21"/>
                <w:szCs w:val="21"/>
              </w:rPr>
            </w:pPr>
            <w:r>
              <w:rPr>
                <w:rFonts w:ascii="Times New Roman" w:hAnsi="Times New Roman"/>
                <w:sz w:val="21"/>
                <w:szCs w:val="21"/>
              </w:rPr>
              <w:t>16</w:t>
            </w:r>
          </w:p>
        </w:tc>
        <w:tc>
          <w:tcPr>
            <w:tcW w:w="1937" w:type="pct"/>
            <w:vAlign w:val="center"/>
          </w:tcPr>
          <w:p w:rsidR="00FA79D2" w:rsidRPr="007F5CF1" w:rsidRDefault="00FA79D2" w:rsidP="009564C3">
            <w:pPr>
              <w:spacing w:line="360" w:lineRule="exact"/>
              <w:ind w:firstLineChars="0" w:firstLine="0"/>
              <w:jc w:val="center"/>
              <w:rPr>
                <w:rFonts w:ascii="Times New Roman" w:hAnsi="Times New Roman"/>
                <w:sz w:val="21"/>
                <w:szCs w:val="21"/>
              </w:rPr>
            </w:pPr>
            <w:r>
              <w:rPr>
                <w:rFonts w:ascii="Times New Roman" w:hAnsi="Times New Roman"/>
                <w:sz w:val="21"/>
                <w:szCs w:val="21"/>
              </w:rPr>
              <w:t>170</w:t>
            </w:r>
          </w:p>
        </w:tc>
      </w:tr>
      <w:tr w:rsidR="00FA79D2" w:rsidRPr="007F5CF1" w:rsidTr="009564C3">
        <w:trPr>
          <w:trHeight w:val="454"/>
        </w:trPr>
        <w:tc>
          <w:tcPr>
            <w:tcW w:w="1335" w:type="pct"/>
            <w:vAlign w:val="center"/>
          </w:tcPr>
          <w:p w:rsidR="00FA79D2" w:rsidRPr="007F5CF1" w:rsidRDefault="00FA79D2" w:rsidP="009564C3">
            <w:pPr>
              <w:widowControl/>
              <w:spacing w:line="360" w:lineRule="exact"/>
              <w:ind w:firstLineChars="0" w:firstLine="0"/>
              <w:jc w:val="center"/>
              <w:textAlignment w:val="center"/>
              <w:rPr>
                <w:rFonts w:ascii="Times New Roman" w:hAnsi="Times New Roman"/>
                <w:color w:val="000000"/>
                <w:sz w:val="21"/>
                <w:szCs w:val="21"/>
              </w:rPr>
            </w:pPr>
            <w:r w:rsidRPr="007F5CF1">
              <w:rPr>
                <w:rFonts w:ascii="Times New Roman" w:hAnsi="Times New Roman"/>
                <w:bCs/>
                <w:kern w:val="0"/>
                <w:sz w:val="21"/>
                <w:szCs w:val="21"/>
              </w:rPr>
              <w:t>铬</w:t>
            </w:r>
          </w:p>
        </w:tc>
        <w:tc>
          <w:tcPr>
            <w:tcW w:w="1728" w:type="pct"/>
            <w:vAlign w:val="center"/>
          </w:tcPr>
          <w:p w:rsidR="00FA79D2" w:rsidRPr="007F5CF1" w:rsidRDefault="00FA79D2" w:rsidP="009564C3">
            <w:pPr>
              <w:spacing w:line="360" w:lineRule="exact"/>
              <w:ind w:firstLineChars="0" w:firstLine="0"/>
              <w:jc w:val="center"/>
              <w:rPr>
                <w:rFonts w:ascii="Times New Roman" w:hAnsi="Times New Roman"/>
                <w:sz w:val="21"/>
                <w:szCs w:val="21"/>
              </w:rPr>
            </w:pPr>
            <w:r>
              <w:rPr>
                <w:rFonts w:ascii="Times New Roman" w:hAnsi="Times New Roman"/>
                <w:sz w:val="21"/>
                <w:szCs w:val="21"/>
              </w:rPr>
              <w:t>34</w:t>
            </w:r>
          </w:p>
        </w:tc>
        <w:tc>
          <w:tcPr>
            <w:tcW w:w="1937" w:type="pct"/>
            <w:vAlign w:val="center"/>
          </w:tcPr>
          <w:p w:rsidR="00FA79D2" w:rsidRPr="007F5CF1" w:rsidRDefault="00FA79D2" w:rsidP="009564C3">
            <w:pPr>
              <w:spacing w:line="360" w:lineRule="exact"/>
              <w:ind w:firstLineChars="0" w:firstLine="0"/>
              <w:jc w:val="center"/>
              <w:rPr>
                <w:rFonts w:ascii="Times New Roman" w:hAnsi="Times New Roman"/>
                <w:sz w:val="21"/>
                <w:szCs w:val="21"/>
              </w:rPr>
            </w:pPr>
            <w:r>
              <w:rPr>
                <w:rFonts w:ascii="Times New Roman" w:hAnsi="Times New Roman"/>
                <w:sz w:val="21"/>
                <w:szCs w:val="21"/>
              </w:rPr>
              <w:t>250</w:t>
            </w:r>
          </w:p>
        </w:tc>
      </w:tr>
      <w:tr w:rsidR="00FA79D2" w:rsidRPr="007F5CF1" w:rsidTr="009564C3">
        <w:trPr>
          <w:trHeight w:val="454"/>
        </w:trPr>
        <w:tc>
          <w:tcPr>
            <w:tcW w:w="1335" w:type="pct"/>
            <w:vAlign w:val="center"/>
          </w:tcPr>
          <w:p w:rsidR="00FA79D2" w:rsidRPr="007F5CF1" w:rsidRDefault="00FA79D2" w:rsidP="009564C3">
            <w:pPr>
              <w:widowControl/>
              <w:spacing w:line="360" w:lineRule="exact"/>
              <w:ind w:firstLineChars="0" w:firstLine="0"/>
              <w:jc w:val="center"/>
              <w:textAlignment w:val="center"/>
              <w:rPr>
                <w:rFonts w:ascii="Times New Roman" w:hAnsi="Times New Roman"/>
                <w:bCs/>
                <w:kern w:val="0"/>
                <w:sz w:val="21"/>
                <w:szCs w:val="21"/>
              </w:rPr>
            </w:pPr>
            <w:r w:rsidRPr="007F5CF1">
              <w:rPr>
                <w:rFonts w:ascii="Times New Roman" w:hAnsi="Times New Roman"/>
                <w:bCs/>
                <w:kern w:val="0"/>
                <w:sz w:val="21"/>
                <w:szCs w:val="21"/>
              </w:rPr>
              <w:t>铜</w:t>
            </w:r>
          </w:p>
        </w:tc>
        <w:tc>
          <w:tcPr>
            <w:tcW w:w="1728" w:type="pct"/>
            <w:vAlign w:val="center"/>
          </w:tcPr>
          <w:p w:rsidR="00FA79D2" w:rsidRPr="007F5CF1" w:rsidRDefault="00FA79D2" w:rsidP="009564C3">
            <w:pPr>
              <w:spacing w:line="360" w:lineRule="exact"/>
              <w:ind w:firstLineChars="0" w:firstLine="0"/>
              <w:jc w:val="center"/>
              <w:rPr>
                <w:rFonts w:ascii="Times New Roman" w:hAnsi="Times New Roman"/>
                <w:sz w:val="21"/>
                <w:szCs w:val="21"/>
              </w:rPr>
            </w:pPr>
            <w:r>
              <w:rPr>
                <w:rFonts w:ascii="Times New Roman" w:hAnsi="Times New Roman"/>
                <w:sz w:val="21"/>
                <w:szCs w:val="21"/>
              </w:rPr>
              <w:t>20</w:t>
            </w:r>
          </w:p>
        </w:tc>
        <w:tc>
          <w:tcPr>
            <w:tcW w:w="1937" w:type="pct"/>
            <w:vAlign w:val="center"/>
          </w:tcPr>
          <w:p w:rsidR="00FA79D2" w:rsidRPr="007F5CF1" w:rsidRDefault="00FA79D2" w:rsidP="009564C3">
            <w:pPr>
              <w:spacing w:line="360" w:lineRule="exact"/>
              <w:ind w:firstLineChars="0" w:firstLine="0"/>
              <w:jc w:val="center"/>
              <w:rPr>
                <w:rFonts w:ascii="Times New Roman" w:hAnsi="Times New Roman"/>
                <w:sz w:val="21"/>
                <w:szCs w:val="21"/>
              </w:rPr>
            </w:pPr>
            <w:r>
              <w:rPr>
                <w:rFonts w:ascii="Times New Roman" w:hAnsi="Times New Roman"/>
                <w:sz w:val="21"/>
                <w:szCs w:val="21"/>
              </w:rPr>
              <w:t>100</w:t>
            </w:r>
          </w:p>
        </w:tc>
      </w:tr>
      <w:tr w:rsidR="00FA79D2" w:rsidRPr="007F5CF1" w:rsidTr="009564C3">
        <w:trPr>
          <w:trHeight w:val="454"/>
        </w:trPr>
        <w:tc>
          <w:tcPr>
            <w:tcW w:w="1335" w:type="pct"/>
            <w:vAlign w:val="center"/>
          </w:tcPr>
          <w:p w:rsidR="00FA79D2" w:rsidRPr="007F5CF1" w:rsidRDefault="00FA79D2" w:rsidP="009564C3">
            <w:pPr>
              <w:widowControl/>
              <w:spacing w:line="360" w:lineRule="exact"/>
              <w:ind w:firstLineChars="0" w:firstLine="0"/>
              <w:jc w:val="center"/>
              <w:textAlignment w:val="center"/>
              <w:rPr>
                <w:rFonts w:ascii="Times New Roman" w:hAnsi="Times New Roman"/>
                <w:bCs/>
                <w:kern w:val="0"/>
                <w:sz w:val="21"/>
                <w:szCs w:val="21"/>
              </w:rPr>
            </w:pPr>
            <w:r w:rsidRPr="007F5CF1">
              <w:rPr>
                <w:rFonts w:ascii="Times New Roman" w:hAnsi="Times New Roman"/>
                <w:bCs/>
                <w:kern w:val="0"/>
                <w:sz w:val="21"/>
                <w:szCs w:val="21"/>
              </w:rPr>
              <w:t>镍</w:t>
            </w:r>
          </w:p>
        </w:tc>
        <w:tc>
          <w:tcPr>
            <w:tcW w:w="1728" w:type="pct"/>
            <w:vAlign w:val="center"/>
          </w:tcPr>
          <w:p w:rsidR="00FA79D2" w:rsidRPr="007F5CF1" w:rsidRDefault="00FA79D2" w:rsidP="009564C3">
            <w:pPr>
              <w:spacing w:line="360" w:lineRule="exact"/>
              <w:ind w:firstLineChars="0" w:firstLine="0"/>
              <w:jc w:val="center"/>
              <w:rPr>
                <w:rFonts w:ascii="Times New Roman" w:hAnsi="Times New Roman"/>
                <w:sz w:val="21"/>
                <w:szCs w:val="21"/>
              </w:rPr>
            </w:pPr>
            <w:r>
              <w:rPr>
                <w:rFonts w:ascii="Times New Roman" w:hAnsi="Times New Roman"/>
                <w:sz w:val="21"/>
                <w:szCs w:val="21"/>
              </w:rPr>
              <w:t>3</w:t>
            </w:r>
            <w:r w:rsidRPr="007F5CF1">
              <w:rPr>
                <w:rFonts w:ascii="Times New Roman" w:hAnsi="Times New Roman"/>
                <w:sz w:val="21"/>
                <w:szCs w:val="21"/>
              </w:rPr>
              <w:t>6</w:t>
            </w:r>
          </w:p>
        </w:tc>
        <w:tc>
          <w:tcPr>
            <w:tcW w:w="1937" w:type="pct"/>
            <w:vAlign w:val="center"/>
          </w:tcPr>
          <w:p w:rsidR="00FA79D2" w:rsidRPr="007F5CF1" w:rsidRDefault="00FA79D2" w:rsidP="009564C3">
            <w:pPr>
              <w:spacing w:line="360" w:lineRule="exact"/>
              <w:ind w:firstLineChars="0" w:firstLine="0"/>
              <w:jc w:val="center"/>
              <w:rPr>
                <w:rFonts w:ascii="Times New Roman" w:hAnsi="Times New Roman"/>
                <w:sz w:val="21"/>
                <w:szCs w:val="21"/>
              </w:rPr>
            </w:pPr>
            <w:r>
              <w:rPr>
                <w:rFonts w:ascii="Times New Roman" w:hAnsi="Times New Roman"/>
                <w:sz w:val="21"/>
                <w:szCs w:val="21"/>
              </w:rPr>
              <w:t>90</w:t>
            </w:r>
          </w:p>
        </w:tc>
      </w:tr>
      <w:tr w:rsidR="00FA79D2" w:rsidRPr="007F5CF1" w:rsidTr="009564C3">
        <w:trPr>
          <w:trHeight w:val="454"/>
        </w:trPr>
        <w:tc>
          <w:tcPr>
            <w:tcW w:w="1335" w:type="pct"/>
            <w:vAlign w:val="center"/>
          </w:tcPr>
          <w:p w:rsidR="00FA79D2" w:rsidRPr="007F5CF1" w:rsidRDefault="00FA79D2" w:rsidP="009564C3">
            <w:pPr>
              <w:widowControl/>
              <w:spacing w:line="360" w:lineRule="exact"/>
              <w:ind w:firstLineChars="0" w:firstLine="0"/>
              <w:jc w:val="center"/>
              <w:textAlignment w:val="center"/>
              <w:rPr>
                <w:rFonts w:ascii="Times New Roman" w:hAnsi="Times New Roman"/>
                <w:bCs/>
                <w:kern w:val="0"/>
                <w:sz w:val="21"/>
                <w:szCs w:val="21"/>
              </w:rPr>
            </w:pPr>
            <w:r w:rsidRPr="007F5CF1">
              <w:rPr>
                <w:rFonts w:ascii="Times New Roman" w:hAnsi="Times New Roman"/>
                <w:bCs/>
                <w:kern w:val="0"/>
                <w:sz w:val="21"/>
                <w:szCs w:val="21"/>
              </w:rPr>
              <w:t>锌</w:t>
            </w:r>
          </w:p>
        </w:tc>
        <w:tc>
          <w:tcPr>
            <w:tcW w:w="1728" w:type="pct"/>
            <w:vAlign w:val="center"/>
          </w:tcPr>
          <w:p w:rsidR="00FA79D2" w:rsidRPr="007F5CF1" w:rsidRDefault="00FA79D2" w:rsidP="009564C3">
            <w:pPr>
              <w:spacing w:line="360" w:lineRule="exact"/>
              <w:ind w:firstLineChars="0" w:firstLine="0"/>
              <w:jc w:val="center"/>
              <w:rPr>
                <w:rFonts w:ascii="Times New Roman" w:hAnsi="Times New Roman"/>
                <w:sz w:val="21"/>
                <w:szCs w:val="21"/>
              </w:rPr>
            </w:pPr>
            <w:r>
              <w:rPr>
                <w:rFonts w:ascii="Times New Roman" w:hAnsi="Times New Roman"/>
                <w:sz w:val="21"/>
                <w:szCs w:val="21"/>
              </w:rPr>
              <w:t>6</w:t>
            </w:r>
            <w:r w:rsidRPr="007F5CF1">
              <w:rPr>
                <w:rFonts w:ascii="Times New Roman" w:hAnsi="Times New Roman"/>
                <w:sz w:val="21"/>
                <w:szCs w:val="21"/>
              </w:rPr>
              <w:t>0</w:t>
            </w:r>
          </w:p>
        </w:tc>
        <w:tc>
          <w:tcPr>
            <w:tcW w:w="1937" w:type="pct"/>
            <w:vAlign w:val="center"/>
          </w:tcPr>
          <w:p w:rsidR="00FA79D2" w:rsidRPr="007F5CF1" w:rsidRDefault="00FA79D2" w:rsidP="009564C3">
            <w:pPr>
              <w:spacing w:line="360" w:lineRule="exact"/>
              <w:ind w:firstLineChars="0" w:firstLine="0"/>
              <w:jc w:val="center"/>
              <w:rPr>
                <w:rFonts w:ascii="Times New Roman" w:hAnsi="Times New Roman"/>
                <w:sz w:val="21"/>
                <w:szCs w:val="21"/>
              </w:rPr>
            </w:pPr>
            <w:r w:rsidRPr="007F5CF1">
              <w:rPr>
                <w:rFonts w:ascii="Times New Roman" w:hAnsi="Times New Roman"/>
                <w:sz w:val="21"/>
                <w:szCs w:val="21"/>
              </w:rPr>
              <w:t>30</w:t>
            </w:r>
            <w:r>
              <w:rPr>
                <w:rFonts w:ascii="Times New Roman" w:hAnsi="Times New Roman"/>
                <w:sz w:val="21"/>
                <w:szCs w:val="21"/>
              </w:rPr>
              <w:t>0</w:t>
            </w:r>
          </w:p>
        </w:tc>
      </w:tr>
    </w:tbl>
    <w:p w:rsidR="00FA79D2" w:rsidRPr="00FA79D2" w:rsidRDefault="00FA79D2">
      <w:pPr>
        <w:ind w:firstLine="480"/>
      </w:pPr>
      <w:r>
        <w:rPr>
          <w:rFonts w:ascii="宋体" w:hAnsi="宋体" w:hint="eastAsia"/>
        </w:rPr>
        <w:t>根据上表所示，底泥</w:t>
      </w:r>
      <w:r>
        <w:rPr>
          <w:rFonts w:ascii="宋体" w:hAnsi="宋体"/>
        </w:rPr>
        <w:t>满足</w:t>
      </w:r>
      <w:r>
        <w:rPr>
          <w:rFonts w:ascii="宋体" w:hAnsi="宋体" w:hint="eastAsia"/>
        </w:rPr>
        <w:t>《土壤环境质量</w:t>
      </w:r>
      <w:r>
        <w:t xml:space="preserve"> </w:t>
      </w:r>
      <w:r>
        <w:rPr>
          <w:rFonts w:ascii="宋体" w:hAnsi="宋体"/>
        </w:rPr>
        <w:t>农用地土壤污染风险管控标准（试行）》（</w:t>
      </w:r>
      <w:r>
        <w:t>GB15618-2018</w:t>
      </w:r>
      <w:r>
        <w:rPr>
          <w:rFonts w:ascii="宋体" w:hAnsi="宋体" w:hint="eastAsia"/>
        </w:rPr>
        <w:t>）表</w:t>
      </w:r>
      <w:r>
        <w:t>1</w:t>
      </w:r>
      <w:r>
        <w:rPr>
          <w:rFonts w:ascii="宋体" w:hAnsi="宋体" w:hint="eastAsia"/>
        </w:rPr>
        <w:t>中风险筛选值要求。</w:t>
      </w:r>
    </w:p>
    <w:p w:rsidR="00FA79D2" w:rsidRDefault="00FA79D2">
      <w:pPr>
        <w:ind w:firstLine="480"/>
      </w:pPr>
    </w:p>
    <w:p w:rsidR="004209AA" w:rsidRPr="004209AA" w:rsidRDefault="004209AA" w:rsidP="004209AA">
      <w:pPr>
        <w:pStyle w:val="a0"/>
        <w:ind w:firstLine="480"/>
      </w:pPr>
    </w:p>
    <w:p w:rsidR="004E3021" w:rsidRDefault="00606E48">
      <w:pPr>
        <w:pStyle w:val="afffffffffffffffff3"/>
      </w:pPr>
      <w:bookmarkStart w:id="318" w:name="_Toc221501000"/>
      <w:r>
        <w:rPr>
          <w:rFonts w:hint="eastAsia"/>
        </w:rPr>
        <w:lastRenderedPageBreak/>
        <w:t>4</w:t>
      </w:r>
      <w:r>
        <w:t>.3</w:t>
      </w:r>
      <w:r>
        <w:t>区域污染源调查</w:t>
      </w:r>
      <w:bookmarkEnd w:id="318"/>
    </w:p>
    <w:p w:rsidR="00FA089D" w:rsidRDefault="00FA089D" w:rsidP="00FA089D">
      <w:pPr>
        <w:pStyle w:val="afffffffffffffffff4"/>
      </w:pPr>
      <w:bookmarkStart w:id="319" w:name="_Toc221088786"/>
      <w:bookmarkStart w:id="320" w:name="_Toc221501001"/>
      <w:bookmarkStart w:id="321" w:name="OLE_LINK15"/>
      <w:r>
        <w:t>4.3.1</w:t>
      </w:r>
      <w:r>
        <w:rPr>
          <w:rFonts w:hint="eastAsia"/>
        </w:rPr>
        <w:t>调查内容</w:t>
      </w:r>
      <w:bookmarkEnd w:id="319"/>
      <w:bookmarkEnd w:id="320"/>
    </w:p>
    <w:p w:rsidR="00FA089D" w:rsidRDefault="00FA089D" w:rsidP="00FA089D">
      <w:pPr>
        <w:ind w:firstLine="480"/>
      </w:pPr>
      <w:r>
        <w:t>根据《环境影响评价技术导则</w:t>
      </w:r>
      <w:r>
        <w:t xml:space="preserve"> </w:t>
      </w:r>
      <w:r>
        <w:t>大气环境》（</w:t>
      </w:r>
      <w:r>
        <w:t>HJ2.3-2018</w:t>
      </w:r>
      <w:r>
        <w:t>），一级评价项目需进行区域污染源调查。其中，除本项目不同排放方案有组织及无组织排放源外，还需要调查内容包括：</w:t>
      </w:r>
    </w:p>
    <w:p w:rsidR="00FA089D" w:rsidRDefault="00FA089D" w:rsidP="00FA089D">
      <w:pPr>
        <w:ind w:firstLine="480"/>
      </w:pPr>
      <w:r>
        <w:t>（</w:t>
      </w:r>
      <w:r>
        <w:t>1</w:t>
      </w:r>
      <w:r>
        <w:t>）本项目所有拟被替代的污染源，包括被替代污染源名称、位置、排放污染物及排放量、拟被替代时间等。</w:t>
      </w:r>
    </w:p>
    <w:p w:rsidR="00FA089D" w:rsidRDefault="00FA089D" w:rsidP="00FA089D">
      <w:pPr>
        <w:ind w:firstLine="480"/>
      </w:pPr>
      <w:r>
        <w:t>（</w:t>
      </w:r>
      <w:r>
        <w:t>2</w:t>
      </w:r>
      <w:r>
        <w:t>）评价范围内与评价项目排放污染物有关的其他在建项目、已批复环境影响评价文件的拟建项目等污染源。</w:t>
      </w:r>
    </w:p>
    <w:p w:rsidR="00FA089D" w:rsidRDefault="00FA089D" w:rsidP="00FA089D">
      <w:pPr>
        <w:ind w:firstLine="480"/>
      </w:pPr>
      <w:r>
        <w:t>根据《环境影响评价技术导则</w:t>
      </w:r>
      <w:r>
        <w:t xml:space="preserve"> </w:t>
      </w:r>
      <w:r>
        <w:t>土壤环境</w:t>
      </w:r>
      <w:r>
        <w:t>(</w:t>
      </w:r>
      <w:r>
        <w:t>试行</w:t>
      </w:r>
      <w:r>
        <w:t>)</w:t>
      </w:r>
      <w:r>
        <w:t>》（</w:t>
      </w:r>
      <w:r>
        <w:t>HJ964-2018</w:t>
      </w:r>
      <w:r>
        <w:t>），应进行影响源调查。</w:t>
      </w:r>
    </w:p>
    <w:p w:rsidR="00FA089D" w:rsidRDefault="00FA089D" w:rsidP="00FA089D">
      <w:pPr>
        <w:ind w:firstLine="480"/>
      </w:pPr>
      <w:r>
        <w:t>（</w:t>
      </w:r>
      <w:r>
        <w:t>1</w:t>
      </w:r>
      <w:r>
        <w:t>）与本项目建设产生同种特征因子或造成相同土壤环境影响后果的影响源。</w:t>
      </w:r>
    </w:p>
    <w:p w:rsidR="00FA089D" w:rsidRDefault="00FA089D" w:rsidP="00FA089D">
      <w:pPr>
        <w:ind w:firstLine="480"/>
      </w:pPr>
      <w:r>
        <w:t>（</w:t>
      </w:r>
      <w:r>
        <w:t>2</w:t>
      </w:r>
      <w:r>
        <w:t>）改、扩建的污染影响型建设项目，其评价等级为一级、二级的，应对现有工程的土壤环境保护措施情况进行调查，并重点调查主要装置或设施附近的土壤污染现状。</w:t>
      </w:r>
    </w:p>
    <w:p w:rsidR="00FA089D" w:rsidRDefault="00FA089D" w:rsidP="00FA089D">
      <w:pPr>
        <w:ind w:firstLine="480"/>
      </w:pPr>
      <w:r>
        <w:t>根据《环境影响评价技术导则</w:t>
      </w:r>
      <w:r>
        <w:t xml:space="preserve"> </w:t>
      </w:r>
      <w:r>
        <w:t>地表水环境》（</w:t>
      </w:r>
      <w:r>
        <w:t>HJ2.3-2018</w:t>
      </w:r>
      <w:r>
        <w:t>），水污染影响型三级</w:t>
      </w:r>
      <w:r>
        <w:t xml:space="preserve"> B </w:t>
      </w:r>
      <w:r>
        <w:t>评价，可不开展区域污染源调查，主要调查依托污水处理设施的日处理能力、处理工艺、设计进水水质、处理后的废水稳定达标排放情况，同时应调查依托污水处理设施执行的排放标准是否涵盖建设项目排放的有毒有害的特征水污染物。</w:t>
      </w:r>
    </w:p>
    <w:p w:rsidR="00FA089D" w:rsidRDefault="00FA089D" w:rsidP="00FA089D">
      <w:pPr>
        <w:ind w:firstLine="480"/>
      </w:pPr>
      <w:r>
        <w:rPr>
          <w:rFonts w:hint="eastAsia"/>
        </w:rPr>
        <w:t>对本项目</w:t>
      </w:r>
      <w:r>
        <w:t>环评区域范围内的重点企业的</w:t>
      </w:r>
      <w:r>
        <w:rPr>
          <w:rFonts w:hint="eastAsia"/>
        </w:rPr>
        <w:t>大气</w:t>
      </w:r>
      <w:r>
        <w:t>、水污染源进行调查，通过实际</w:t>
      </w:r>
      <w:r>
        <w:rPr>
          <w:rFonts w:hint="eastAsia"/>
        </w:rPr>
        <w:t>调查</w:t>
      </w:r>
      <w:r>
        <w:t>，对该地区的各污染源源强、排放的污染因子及排放特性进行核实和汇总，</w:t>
      </w:r>
      <w:r>
        <w:rPr>
          <w:rFonts w:hint="eastAsia"/>
        </w:rPr>
        <w:t>具体如下</w:t>
      </w:r>
      <w:r>
        <w:t>：</w:t>
      </w:r>
    </w:p>
    <w:p w:rsidR="00FA089D" w:rsidRDefault="00FA089D" w:rsidP="00FA089D">
      <w:pPr>
        <w:pStyle w:val="afffffffffffffffff4"/>
      </w:pPr>
      <w:bookmarkStart w:id="322" w:name="_Toc221088787"/>
      <w:bookmarkStart w:id="323" w:name="_Toc221501002"/>
      <w:r>
        <w:t>4.3.2</w:t>
      </w:r>
      <w:r>
        <w:rPr>
          <w:rFonts w:hint="eastAsia"/>
        </w:rPr>
        <w:t>调查结果</w:t>
      </w:r>
      <w:bookmarkEnd w:id="322"/>
      <w:bookmarkEnd w:id="323"/>
    </w:p>
    <w:p w:rsidR="00FA089D" w:rsidRDefault="00FA089D" w:rsidP="00FA089D">
      <w:pPr>
        <w:ind w:firstLine="472"/>
        <w:rPr>
          <w:spacing w:val="-2"/>
          <w:kern w:val="0"/>
          <w:szCs w:val="20"/>
        </w:rPr>
      </w:pPr>
      <w:r>
        <w:rPr>
          <w:rFonts w:hint="eastAsia"/>
          <w:spacing w:val="-2"/>
          <w:kern w:val="0"/>
          <w:szCs w:val="20"/>
        </w:rPr>
        <w:t>（</w:t>
      </w:r>
      <w:r>
        <w:rPr>
          <w:rFonts w:hint="eastAsia"/>
          <w:spacing w:val="-2"/>
          <w:kern w:val="0"/>
          <w:szCs w:val="20"/>
        </w:rPr>
        <w:t>1</w:t>
      </w:r>
      <w:r>
        <w:rPr>
          <w:rFonts w:hint="eastAsia"/>
          <w:spacing w:val="-2"/>
          <w:kern w:val="0"/>
          <w:szCs w:val="20"/>
        </w:rPr>
        <w:t>）正常排放污染源</w:t>
      </w:r>
    </w:p>
    <w:p w:rsidR="00FA089D" w:rsidRDefault="00FA089D" w:rsidP="00FA089D">
      <w:pPr>
        <w:ind w:firstLine="472"/>
        <w:rPr>
          <w:spacing w:val="-2"/>
          <w:kern w:val="0"/>
          <w:szCs w:val="20"/>
        </w:rPr>
      </w:pPr>
      <w:r>
        <w:rPr>
          <w:rFonts w:hint="eastAsia"/>
          <w:spacing w:val="-2"/>
          <w:kern w:val="0"/>
          <w:szCs w:val="20"/>
        </w:rPr>
        <w:t>本项目正常排放情况下，有组织废气及无组织废气排放污染源见表</w:t>
      </w:r>
      <w:r>
        <w:rPr>
          <w:rFonts w:hint="eastAsia"/>
          <w:spacing w:val="-2"/>
          <w:kern w:val="0"/>
          <w:szCs w:val="20"/>
        </w:rPr>
        <w:t>3</w:t>
      </w:r>
      <w:r>
        <w:rPr>
          <w:spacing w:val="-2"/>
          <w:kern w:val="0"/>
          <w:szCs w:val="20"/>
        </w:rPr>
        <w:t>.4.1</w:t>
      </w:r>
      <w:r>
        <w:rPr>
          <w:rFonts w:hint="eastAsia"/>
          <w:spacing w:val="-2"/>
          <w:kern w:val="0"/>
          <w:szCs w:val="20"/>
        </w:rPr>
        <w:t>-</w:t>
      </w:r>
      <w:r>
        <w:rPr>
          <w:spacing w:val="-2"/>
          <w:kern w:val="0"/>
          <w:szCs w:val="20"/>
        </w:rPr>
        <w:t>5</w:t>
      </w:r>
      <w:r>
        <w:rPr>
          <w:rFonts w:hint="eastAsia"/>
          <w:spacing w:val="-2"/>
          <w:kern w:val="0"/>
          <w:szCs w:val="20"/>
        </w:rPr>
        <w:t>~</w:t>
      </w:r>
      <w:r>
        <w:rPr>
          <w:spacing w:val="-2"/>
          <w:kern w:val="0"/>
          <w:szCs w:val="20"/>
        </w:rPr>
        <w:t>6</w:t>
      </w:r>
      <w:r>
        <w:rPr>
          <w:rFonts w:hint="eastAsia"/>
          <w:spacing w:val="-2"/>
          <w:kern w:val="0"/>
          <w:szCs w:val="20"/>
        </w:rPr>
        <w:t>。</w:t>
      </w:r>
    </w:p>
    <w:p w:rsidR="00FA089D" w:rsidRDefault="00FA089D" w:rsidP="00FA089D">
      <w:pPr>
        <w:ind w:firstLine="472"/>
        <w:rPr>
          <w:spacing w:val="-2"/>
          <w:kern w:val="0"/>
          <w:szCs w:val="20"/>
        </w:rPr>
      </w:pPr>
      <w:r>
        <w:rPr>
          <w:rFonts w:hint="eastAsia"/>
          <w:spacing w:val="-2"/>
          <w:kern w:val="0"/>
          <w:szCs w:val="20"/>
        </w:rPr>
        <w:t>（</w:t>
      </w:r>
      <w:r>
        <w:rPr>
          <w:rFonts w:hint="eastAsia"/>
          <w:spacing w:val="-2"/>
          <w:kern w:val="0"/>
          <w:szCs w:val="20"/>
        </w:rPr>
        <w:t>2</w:t>
      </w:r>
      <w:r>
        <w:rPr>
          <w:rFonts w:hint="eastAsia"/>
          <w:spacing w:val="-2"/>
          <w:kern w:val="0"/>
          <w:szCs w:val="20"/>
        </w:rPr>
        <w:t>）非正常排放污染源</w:t>
      </w:r>
    </w:p>
    <w:p w:rsidR="00FA089D" w:rsidRDefault="00FA089D" w:rsidP="00FA089D">
      <w:pPr>
        <w:ind w:firstLine="472"/>
        <w:rPr>
          <w:spacing w:val="-2"/>
          <w:kern w:val="0"/>
          <w:szCs w:val="20"/>
        </w:rPr>
      </w:pPr>
      <w:r>
        <w:rPr>
          <w:rFonts w:hint="eastAsia"/>
          <w:spacing w:val="-2"/>
          <w:kern w:val="0"/>
          <w:szCs w:val="20"/>
        </w:rPr>
        <w:t>本项目非正常排放污染源情况见表</w:t>
      </w:r>
      <w:r>
        <w:rPr>
          <w:rFonts w:hint="eastAsia"/>
          <w:spacing w:val="-2"/>
          <w:kern w:val="0"/>
          <w:szCs w:val="20"/>
        </w:rPr>
        <w:t>3</w:t>
      </w:r>
      <w:r>
        <w:rPr>
          <w:spacing w:val="-2"/>
          <w:kern w:val="0"/>
          <w:szCs w:val="20"/>
        </w:rPr>
        <w:t>.5.5</w:t>
      </w:r>
      <w:r>
        <w:rPr>
          <w:rFonts w:hint="eastAsia"/>
          <w:spacing w:val="-2"/>
          <w:kern w:val="0"/>
          <w:szCs w:val="20"/>
        </w:rPr>
        <w:t>-</w:t>
      </w:r>
      <w:r>
        <w:rPr>
          <w:spacing w:val="-2"/>
          <w:kern w:val="0"/>
          <w:szCs w:val="20"/>
        </w:rPr>
        <w:t>1</w:t>
      </w:r>
      <w:r>
        <w:rPr>
          <w:rFonts w:hint="eastAsia"/>
          <w:spacing w:val="-2"/>
          <w:kern w:val="0"/>
          <w:szCs w:val="20"/>
        </w:rPr>
        <w:t>。</w:t>
      </w:r>
    </w:p>
    <w:p w:rsidR="00FA089D" w:rsidRDefault="00FA089D" w:rsidP="00FA089D">
      <w:pPr>
        <w:ind w:firstLine="472"/>
        <w:rPr>
          <w:spacing w:val="-2"/>
          <w:kern w:val="0"/>
          <w:szCs w:val="20"/>
        </w:rPr>
      </w:pPr>
      <w:r>
        <w:rPr>
          <w:rFonts w:hint="eastAsia"/>
          <w:spacing w:val="-2"/>
          <w:kern w:val="0"/>
          <w:szCs w:val="20"/>
        </w:rPr>
        <w:t>（</w:t>
      </w:r>
      <w:r>
        <w:rPr>
          <w:rFonts w:hint="eastAsia"/>
          <w:spacing w:val="-2"/>
          <w:kern w:val="0"/>
          <w:szCs w:val="20"/>
        </w:rPr>
        <w:t>3</w:t>
      </w:r>
      <w:r>
        <w:rPr>
          <w:rFonts w:hint="eastAsia"/>
          <w:spacing w:val="-2"/>
          <w:kern w:val="0"/>
          <w:szCs w:val="20"/>
        </w:rPr>
        <w:t>）其他在建、已批未建项目污染源</w:t>
      </w:r>
    </w:p>
    <w:p w:rsidR="00FA089D" w:rsidRDefault="00FA089D" w:rsidP="00FA089D">
      <w:pPr>
        <w:ind w:firstLine="472"/>
        <w:rPr>
          <w:spacing w:val="-2"/>
          <w:kern w:val="0"/>
          <w:szCs w:val="20"/>
        </w:rPr>
      </w:pPr>
      <w:r>
        <w:rPr>
          <w:spacing w:val="-2"/>
          <w:kern w:val="0"/>
          <w:szCs w:val="20"/>
        </w:rPr>
        <w:t>项目选址位于</w:t>
      </w:r>
      <w:r>
        <w:rPr>
          <w:rFonts w:ascii="宋体" w:hAnsi="宋体" w:hint="eastAsia"/>
        </w:rPr>
        <w:t>安徽蚌埠淮上区</w:t>
      </w:r>
      <w:r>
        <w:rPr>
          <w:rFonts w:hint="eastAsia"/>
        </w:rPr>
        <w:t>蚌埠精细化工</w:t>
      </w:r>
      <w:r>
        <w:t>高新技术产业基地</w:t>
      </w:r>
      <w:r>
        <w:rPr>
          <w:rFonts w:hint="eastAsia"/>
        </w:rPr>
        <w:t>内</w:t>
      </w:r>
      <w:r>
        <w:rPr>
          <w:bCs/>
          <w:spacing w:val="-2"/>
          <w:kern w:val="0"/>
          <w:szCs w:val="20"/>
        </w:rPr>
        <w:t>，</w:t>
      </w:r>
      <w:r>
        <w:rPr>
          <w:spacing w:val="-2"/>
          <w:kern w:val="0"/>
          <w:szCs w:val="20"/>
        </w:rPr>
        <w:t>项目主要大气污</w:t>
      </w:r>
      <w:r>
        <w:rPr>
          <w:spacing w:val="-2"/>
          <w:kern w:val="0"/>
          <w:szCs w:val="20"/>
        </w:rPr>
        <w:lastRenderedPageBreak/>
        <w:t>染物包括颗粒物、</w:t>
      </w:r>
      <w:r>
        <w:rPr>
          <w:rFonts w:hint="eastAsia"/>
          <w:spacing w:val="-2"/>
          <w:kern w:val="0"/>
          <w:szCs w:val="20"/>
        </w:rPr>
        <w:t>非甲烷总烃</w:t>
      </w:r>
      <w:r>
        <w:rPr>
          <w:spacing w:val="-2"/>
          <w:kern w:val="0"/>
          <w:szCs w:val="20"/>
        </w:rPr>
        <w:t>、</w:t>
      </w:r>
      <w:r>
        <w:rPr>
          <w:rFonts w:hint="eastAsia"/>
          <w:spacing w:val="-2"/>
          <w:kern w:val="0"/>
          <w:szCs w:val="20"/>
        </w:rPr>
        <w:t>甲醇</w:t>
      </w:r>
      <w:r>
        <w:rPr>
          <w:spacing w:val="-2"/>
          <w:kern w:val="0"/>
          <w:szCs w:val="20"/>
        </w:rPr>
        <w:t>、</w:t>
      </w:r>
      <w:r>
        <w:rPr>
          <w:rFonts w:hint="eastAsia"/>
          <w:spacing w:val="-2"/>
          <w:kern w:val="0"/>
          <w:szCs w:val="20"/>
        </w:rPr>
        <w:t>氨气、硫化氢</w:t>
      </w:r>
      <w:r>
        <w:rPr>
          <w:spacing w:val="-2"/>
          <w:kern w:val="0"/>
          <w:szCs w:val="20"/>
        </w:rPr>
        <w:t>等，根据现场调查资料可知，项目大气评价范围内，</w:t>
      </w:r>
      <w:r>
        <w:rPr>
          <w:rFonts w:hint="eastAsia"/>
          <w:spacing w:val="-2"/>
          <w:kern w:val="0"/>
          <w:szCs w:val="20"/>
        </w:rPr>
        <w:t>在建、已批未建项目污染源排放源强见表</w:t>
      </w:r>
      <w:r>
        <w:rPr>
          <w:spacing w:val="-2"/>
          <w:kern w:val="0"/>
          <w:szCs w:val="20"/>
        </w:rPr>
        <w:t>4.3</w:t>
      </w:r>
      <w:r>
        <w:rPr>
          <w:rFonts w:hint="eastAsia"/>
          <w:spacing w:val="-2"/>
          <w:kern w:val="0"/>
          <w:szCs w:val="20"/>
        </w:rPr>
        <w:t>-</w:t>
      </w:r>
      <w:r>
        <w:rPr>
          <w:spacing w:val="-2"/>
          <w:kern w:val="0"/>
          <w:szCs w:val="20"/>
        </w:rPr>
        <w:t>2</w:t>
      </w:r>
      <w:r>
        <w:rPr>
          <w:spacing w:val="-2"/>
          <w:kern w:val="0"/>
          <w:szCs w:val="20"/>
        </w:rPr>
        <w:t>。</w:t>
      </w:r>
    </w:p>
    <w:p w:rsidR="00FA089D" w:rsidRDefault="00FA089D" w:rsidP="00FA089D">
      <w:pPr>
        <w:ind w:firstLine="472"/>
        <w:rPr>
          <w:spacing w:val="-2"/>
          <w:kern w:val="0"/>
          <w:szCs w:val="20"/>
        </w:rPr>
      </w:pPr>
      <w:r>
        <w:rPr>
          <w:rFonts w:hint="eastAsia"/>
          <w:spacing w:val="-2"/>
          <w:kern w:val="0"/>
          <w:szCs w:val="20"/>
        </w:rPr>
        <w:t>（</w:t>
      </w:r>
      <w:r>
        <w:rPr>
          <w:rFonts w:hint="eastAsia"/>
          <w:spacing w:val="-2"/>
          <w:kern w:val="0"/>
          <w:szCs w:val="20"/>
        </w:rPr>
        <w:t>4</w:t>
      </w:r>
      <w:r>
        <w:rPr>
          <w:rFonts w:hint="eastAsia"/>
          <w:spacing w:val="-2"/>
          <w:kern w:val="0"/>
          <w:szCs w:val="20"/>
        </w:rPr>
        <w:t>）交通运输移动源</w:t>
      </w:r>
    </w:p>
    <w:p w:rsidR="00FA089D" w:rsidRDefault="00FA089D" w:rsidP="00FA089D">
      <w:pPr>
        <w:ind w:firstLine="472"/>
      </w:pPr>
      <w:r>
        <w:rPr>
          <w:rFonts w:hint="eastAsia"/>
          <w:spacing w:val="-2"/>
          <w:kern w:val="0"/>
          <w:szCs w:val="20"/>
        </w:rPr>
        <w:t>本项目</w:t>
      </w:r>
      <w:r w:rsidR="00855703">
        <w:rPr>
          <w:rFonts w:hint="eastAsia"/>
          <w:spacing w:val="-2"/>
          <w:kern w:val="0"/>
          <w:szCs w:val="20"/>
        </w:rPr>
        <w:t>原料</w:t>
      </w:r>
      <w:r>
        <w:rPr>
          <w:rFonts w:hint="eastAsia"/>
          <w:spacing w:val="-2"/>
          <w:kern w:val="0"/>
          <w:szCs w:val="20"/>
        </w:rPr>
        <w:t>运输采用</w:t>
      </w:r>
      <w:r w:rsidR="00855703">
        <w:rPr>
          <w:rFonts w:hint="eastAsia"/>
          <w:spacing w:val="-2"/>
          <w:kern w:val="0"/>
          <w:szCs w:val="20"/>
        </w:rPr>
        <w:t>汽运</w:t>
      </w:r>
      <w:r>
        <w:rPr>
          <w:rFonts w:hint="eastAsia"/>
          <w:spacing w:val="-2"/>
          <w:kern w:val="0"/>
          <w:szCs w:val="20"/>
        </w:rPr>
        <w:t>，运输道路均</w:t>
      </w:r>
      <w:r>
        <w:t>依托现有</w:t>
      </w:r>
      <w:r w:rsidR="00855703">
        <w:rPr>
          <w:rFonts w:hint="eastAsia"/>
        </w:rPr>
        <w:t>蚌埠</w:t>
      </w:r>
      <w:r>
        <w:t>市域公路网，不新建厂外运输道路。</w:t>
      </w:r>
    </w:p>
    <w:p w:rsidR="00FA089D" w:rsidRDefault="00FA089D" w:rsidP="00FA089D">
      <w:pPr>
        <w:ind w:firstLine="480"/>
      </w:pPr>
      <w:r>
        <w:fldChar w:fldCharType="begin"/>
      </w:r>
      <w:r>
        <w:instrText xml:space="preserve"> </w:instrText>
      </w:r>
      <w:r>
        <w:rPr>
          <w:rFonts w:hint="eastAsia"/>
        </w:rPr>
        <w:instrText>= 1 \* GB3</w:instrText>
      </w:r>
      <w:r>
        <w:instrText xml:space="preserve"> </w:instrText>
      </w:r>
      <w:r>
        <w:fldChar w:fldCharType="separate"/>
      </w:r>
      <w:r>
        <w:rPr>
          <w:rFonts w:hint="eastAsia"/>
        </w:rPr>
        <w:t>①</w:t>
      </w:r>
      <w:r>
        <w:fldChar w:fldCharType="end"/>
      </w:r>
      <w:r>
        <w:rPr>
          <w:rFonts w:hint="eastAsia"/>
        </w:rPr>
        <w:t>运输车辆尾气</w:t>
      </w:r>
    </w:p>
    <w:p w:rsidR="00FA089D" w:rsidRDefault="00FA089D" w:rsidP="00FA089D">
      <w:pPr>
        <w:ind w:firstLine="480"/>
        <w:rPr>
          <w:spacing w:val="-2"/>
          <w:kern w:val="0"/>
          <w:szCs w:val="20"/>
        </w:rPr>
      </w:pPr>
      <w:r>
        <w:rPr>
          <w:rFonts w:hint="eastAsia"/>
        </w:rPr>
        <w:t>运输距离按照蚌埠市距离</w:t>
      </w:r>
      <w:r w:rsidR="00855703">
        <w:rPr>
          <w:rFonts w:hint="eastAsia"/>
        </w:rPr>
        <w:t>安徽凯盛</w:t>
      </w:r>
      <w:r>
        <w:rPr>
          <w:rFonts w:hint="eastAsia"/>
        </w:rPr>
        <w:t>平均距离计（约</w:t>
      </w:r>
      <w:r>
        <w:t>30</w:t>
      </w:r>
      <w:r>
        <w:rPr>
          <w:rFonts w:hint="eastAsia"/>
        </w:rPr>
        <w:t>km</w:t>
      </w:r>
      <w:r>
        <w:rPr>
          <w:rFonts w:hint="eastAsia"/>
        </w:rPr>
        <w:t>），项目</w:t>
      </w:r>
      <w:r>
        <w:t>设计运输车辆规模约为</w:t>
      </w:r>
      <w:r>
        <w:t>1</w:t>
      </w:r>
      <w:r w:rsidR="00381228">
        <w:t>0</w:t>
      </w:r>
      <w:r>
        <w:t>t/</w:t>
      </w:r>
      <w:r>
        <w:t>辆，按</w:t>
      </w:r>
      <w:r w:rsidR="00381228">
        <w:rPr>
          <w:rFonts w:hint="eastAsia"/>
        </w:rPr>
        <w:t>原料总量</w:t>
      </w:r>
      <w:r>
        <w:t>运输量</w:t>
      </w:r>
      <w:r w:rsidR="00381228">
        <w:t>30</w:t>
      </w:r>
      <w:r>
        <w:t>t/d</w:t>
      </w:r>
      <w:r>
        <w:t>计，则每天运输车辆最多需要</w:t>
      </w:r>
      <w:r w:rsidR="00381228">
        <w:t>3</w:t>
      </w:r>
      <w:r>
        <w:t>辆。如果仅考虑白天运输，按昼间运输时间</w:t>
      </w:r>
      <w:r>
        <w:t>1</w:t>
      </w:r>
      <w:r w:rsidR="00381228">
        <w:t>2</w:t>
      </w:r>
      <w:r>
        <w:t>h</w:t>
      </w:r>
      <w:r>
        <w:t>计，则小时车流量最多增加</w:t>
      </w:r>
      <w:r>
        <w:t>1</w:t>
      </w:r>
      <w:r>
        <w:t>辆。</w:t>
      </w:r>
    </w:p>
    <w:p w:rsidR="00FA089D" w:rsidRDefault="00FA089D" w:rsidP="00FA089D">
      <w:pPr>
        <w:pStyle w:val="afffff4"/>
      </w:pPr>
      <w:r>
        <w:rPr>
          <w:rFonts w:hint="eastAsia"/>
        </w:rPr>
        <w:t>表</w:t>
      </w:r>
      <w:r>
        <w:rPr>
          <w:rFonts w:hint="eastAsia"/>
        </w:rPr>
        <w:t>4</w:t>
      </w:r>
      <w:r>
        <w:t>.3.2</w:t>
      </w:r>
      <w:r>
        <w:rPr>
          <w:rFonts w:hint="eastAsia"/>
        </w:rPr>
        <w:t>-</w:t>
      </w:r>
      <w:r>
        <w:t xml:space="preserve">1  </w:t>
      </w:r>
      <w:r>
        <w:rPr>
          <w:rFonts w:hint="eastAsia"/>
        </w:rPr>
        <w:t>交通运输污染物排放量</w:t>
      </w:r>
    </w:p>
    <w:tbl>
      <w:tblPr>
        <w:tblStyle w:val="afff"/>
        <w:tblW w:w="5000" w:type="pct"/>
        <w:tblLayout w:type="fixed"/>
        <w:tblLook w:val="04A0" w:firstRow="1" w:lastRow="0" w:firstColumn="1" w:lastColumn="0" w:noHBand="0" w:noVBand="1"/>
      </w:tblPr>
      <w:tblGrid>
        <w:gridCol w:w="3009"/>
        <w:gridCol w:w="3008"/>
        <w:gridCol w:w="3009"/>
      </w:tblGrid>
      <w:tr w:rsidR="00FA089D" w:rsidRPr="00855703" w:rsidTr="00DA2501">
        <w:trPr>
          <w:trHeight w:val="145"/>
        </w:trPr>
        <w:tc>
          <w:tcPr>
            <w:tcW w:w="3327" w:type="dxa"/>
          </w:tcPr>
          <w:p w:rsidR="00FA089D" w:rsidRPr="00855703" w:rsidRDefault="00FA089D" w:rsidP="00855703">
            <w:pPr>
              <w:pStyle w:val="afffffff2"/>
              <w:rPr>
                <w:rFonts w:ascii="Times New Roman" w:hAnsi="Times New Roman" w:cs="Times New Roman"/>
                <w:b/>
                <w:kern w:val="0"/>
                <w:sz w:val="21"/>
                <w:szCs w:val="21"/>
              </w:rPr>
            </w:pPr>
            <w:r w:rsidRPr="00855703">
              <w:rPr>
                <w:rFonts w:ascii="Times New Roman" w:hAnsi="Times New Roman" w:cs="Times New Roman"/>
                <w:b/>
                <w:kern w:val="0"/>
                <w:sz w:val="21"/>
                <w:szCs w:val="21"/>
              </w:rPr>
              <w:t>污染物</w:t>
            </w:r>
          </w:p>
        </w:tc>
        <w:tc>
          <w:tcPr>
            <w:tcW w:w="3326" w:type="dxa"/>
          </w:tcPr>
          <w:p w:rsidR="00FA089D" w:rsidRPr="00855703" w:rsidRDefault="00FA089D" w:rsidP="00855703">
            <w:pPr>
              <w:pStyle w:val="afffffff2"/>
              <w:rPr>
                <w:rFonts w:ascii="Times New Roman" w:hAnsi="Times New Roman" w:cs="Times New Roman"/>
                <w:b/>
                <w:kern w:val="0"/>
                <w:sz w:val="21"/>
                <w:szCs w:val="21"/>
              </w:rPr>
            </w:pPr>
            <w:r w:rsidRPr="00855703">
              <w:rPr>
                <w:rFonts w:ascii="Times New Roman" w:hAnsi="Times New Roman" w:cs="Times New Roman"/>
                <w:b/>
                <w:kern w:val="0"/>
                <w:sz w:val="21"/>
                <w:szCs w:val="21"/>
              </w:rPr>
              <w:t>CO</w:t>
            </w:r>
          </w:p>
        </w:tc>
        <w:tc>
          <w:tcPr>
            <w:tcW w:w="3327" w:type="dxa"/>
          </w:tcPr>
          <w:p w:rsidR="00FA089D" w:rsidRPr="00855703" w:rsidRDefault="00FA089D" w:rsidP="00855703">
            <w:pPr>
              <w:pStyle w:val="afffffff2"/>
              <w:rPr>
                <w:rFonts w:ascii="Times New Roman" w:hAnsi="Times New Roman" w:cs="Times New Roman"/>
                <w:b/>
                <w:kern w:val="0"/>
                <w:sz w:val="21"/>
                <w:szCs w:val="21"/>
              </w:rPr>
            </w:pPr>
            <w:r w:rsidRPr="00855703">
              <w:rPr>
                <w:rFonts w:ascii="Times New Roman" w:hAnsi="Times New Roman" w:cs="Times New Roman"/>
                <w:b/>
                <w:kern w:val="0"/>
                <w:sz w:val="21"/>
                <w:szCs w:val="21"/>
              </w:rPr>
              <w:t>NOx</w:t>
            </w:r>
          </w:p>
        </w:tc>
      </w:tr>
      <w:tr w:rsidR="00FA089D" w:rsidRPr="00855703" w:rsidTr="00DA2501">
        <w:trPr>
          <w:trHeight w:val="145"/>
        </w:trPr>
        <w:tc>
          <w:tcPr>
            <w:tcW w:w="3327" w:type="dxa"/>
          </w:tcPr>
          <w:p w:rsidR="00FA089D" w:rsidRPr="00855703" w:rsidRDefault="00FA089D" w:rsidP="00855703">
            <w:pPr>
              <w:pStyle w:val="afffffff2"/>
              <w:rPr>
                <w:rFonts w:ascii="Times New Roman" w:hAnsi="Times New Roman" w:cs="Times New Roman"/>
                <w:kern w:val="0"/>
                <w:sz w:val="21"/>
                <w:szCs w:val="21"/>
              </w:rPr>
            </w:pPr>
            <w:r w:rsidRPr="00855703">
              <w:rPr>
                <w:rFonts w:ascii="Times New Roman" w:hAnsi="Times New Roman" w:cs="Times New Roman"/>
                <w:kern w:val="0"/>
                <w:sz w:val="21"/>
                <w:szCs w:val="21"/>
              </w:rPr>
              <w:t>排放系数，</w:t>
            </w:r>
            <w:r w:rsidRPr="00855703">
              <w:rPr>
                <w:rFonts w:ascii="Times New Roman" w:hAnsi="Times New Roman" w:cs="Times New Roman"/>
                <w:kern w:val="0"/>
                <w:sz w:val="21"/>
                <w:szCs w:val="21"/>
              </w:rPr>
              <w:t>g/km</w:t>
            </w:r>
            <w:r w:rsidRPr="00855703">
              <w:rPr>
                <w:rFonts w:ascii="Times New Roman" w:hAnsi="Times New Roman" w:cs="Times New Roman"/>
                <w:kern w:val="0"/>
                <w:sz w:val="21"/>
                <w:szCs w:val="21"/>
              </w:rPr>
              <w:t>辆</w:t>
            </w:r>
          </w:p>
        </w:tc>
        <w:tc>
          <w:tcPr>
            <w:tcW w:w="3326" w:type="dxa"/>
          </w:tcPr>
          <w:p w:rsidR="00FA089D" w:rsidRPr="00855703" w:rsidRDefault="00FA089D" w:rsidP="00855703">
            <w:pPr>
              <w:pStyle w:val="afffffff2"/>
              <w:rPr>
                <w:rFonts w:ascii="Times New Roman" w:hAnsi="Times New Roman" w:cs="Times New Roman"/>
                <w:kern w:val="0"/>
                <w:sz w:val="21"/>
                <w:szCs w:val="21"/>
              </w:rPr>
            </w:pPr>
            <w:r w:rsidRPr="00855703">
              <w:rPr>
                <w:rFonts w:ascii="Times New Roman" w:hAnsi="Times New Roman" w:cs="Times New Roman"/>
                <w:kern w:val="0"/>
                <w:sz w:val="21"/>
                <w:szCs w:val="21"/>
              </w:rPr>
              <w:t>2.18</w:t>
            </w:r>
          </w:p>
        </w:tc>
        <w:tc>
          <w:tcPr>
            <w:tcW w:w="3327" w:type="dxa"/>
          </w:tcPr>
          <w:p w:rsidR="00FA089D" w:rsidRPr="00855703" w:rsidRDefault="00FA089D" w:rsidP="00855703">
            <w:pPr>
              <w:pStyle w:val="afffffff2"/>
              <w:rPr>
                <w:rFonts w:ascii="Times New Roman" w:hAnsi="Times New Roman" w:cs="Times New Roman"/>
                <w:kern w:val="0"/>
                <w:sz w:val="21"/>
                <w:szCs w:val="21"/>
              </w:rPr>
            </w:pPr>
            <w:r w:rsidRPr="00855703">
              <w:rPr>
                <w:rFonts w:ascii="Times New Roman" w:hAnsi="Times New Roman" w:cs="Times New Roman"/>
                <w:kern w:val="0"/>
                <w:sz w:val="21"/>
                <w:szCs w:val="21"/>
              </w:rPr>
              <w:t>5.08</w:t>
            </w:r>
          </w:p>
        </w:tc>
      </w:tr>
      <w:tr w:rsidR="00FA089D" w:rsidRPr="00855703" w:rsidTr="00DA2501">
        <w:trPr>
          <w:trHeight w:val="148"/>
        </w:trPr>
        <w:tc>
          <w:tcPr>
            <w:tcW w:w="3327" w:type="dxa"/>
          </w:tcPr>
          <w:p w:rsidR="00FA089D" w:rsidRPr="00855703" w:rsidRDefault="00FA089D" w:rsidP="00855703">
            <w:pPr>
              <w:pStyle w:val="afffffff2"/>
              <w:rPr>
                <w:rFonts w:ascii="Times New Roman" w:hAnsi="Times New Roman" w:cs="Times New Roman"/>
                <w:kern w:val="0"/>
                <w:sz w:val="21"/>
                <w:szCs w:val="21"/>
              </w:rPr>
            </w:pPr>
            <w:r w:rsidRPr="00855703">
              <w:rPr>
                <w:rFonts w:ascii="Times New Roman" w:hAnsi="Times New Roman" w:cs="Times New Roman"/>
                <w:kern w:val="0"/>
                <w:sz w:val="21"/>
                <w:szCs w:val="21"/>
              </w:rPr>
              <w:t>排放量，</w:t>
            </w:r>
            <w:r w:rsidRPr="00855703">
              <w:rPr>
                <w:rFonts w:ascii="Times New Roman" w:hAnsi="Times New Roman" w:cs="Times New Roman"/>
                <w:kern w:val="0"/>
                <w:sz w:val="21"/>
                <w:szCs w:val="21"/>
              </w:rPr>
              <w:t>kg/d</w:t>
            </w:r>
          </w:p>
        </w:tc>
        <w:tc>
          <w:tcPr>
            <w:tcW w:w="3326" w:type="dxa"/>
          </w:tcPr>
          <w:p w:rsidR="00FA089D" w:rsidRPr="00855703" w:rsidRDefault="00FA089D" w:rsidP="00855703">
            <w:pPr>
              <w:pStyle w:val="afffffff2"/>
              <w:rPr>
                <w:rFonts w:ascii="Times New Roman" w:hAnsi="Times New Roman" w:cs="Times New Roman"/>
                <w:kern w:val="0"/>
                <w:sz w:val="21"/>
                <w:szCs w:val="21"/>
              </w:rPr>
            </w:pPr>
            <w:r w:rsidRPr="00855703">
              <w:rPr>
                <w:rFonts w:ascii="Times New Roman" w:hAnsi="Times New Roman" w:cs="Times New Roman"/>
                <w:kern w:val="0"/>
                <w:sz w:val="21"/>
                <w:szCs w:val="21"/>
              </w:rPr>
              <w:t>0.4578</w:t>
            </w:r>
          </w:p>
        </w:tc>
        <w:tc>
          <w:tcPr>
            <w:tcW w:w="3327" w:type="dxa"/>
          </w:tcPr>
          <w:p w:rsidR="00FA089D" w:rsidRPr="00855703" w:rsidRDefault="00FA089D" w:rsidP="00855703">
            <w:pPr>
              <w:pStyle w:val="afffffff2"/>
              <w:rPr>
                <w:rFonts w:ascii="Times New Roman" w:hAnsi="Times New Roman" w:cs="Times New Roman"/>
                <w:kern w:val="0"/>
                <w:sz w:val="21"/>
                <w:szCs w:val="21"/>
              </w:rPr>
            </w:pPr>
            <w:r w:rsidRPr="00855703">
              <w:rPr>
                <w:rFonts w:ascii="Times New Roman" w:hAnsi="Times New Roman" w:cs="Times New Roman"/>
                <w:kern w:val="0"/>
                <w:sz w:val="21"/>
                <w:szCs w:val="21"/>
              </w:rPr>
              <w:t>1.0668</w:t>
            </w:r>
          </w:p>
        </w:tc>
      </w:tr>
      <w:tr w:rsidR="00FA089D" w:rsidRPr="00855703" w:rsidTr="00DA2501">
        <w:trPr>
          <w:trHeight w:val="148"/>
        </w:trPr>
        <w:tc>
          <w:tcPr>
            <w:tcW w:w="3327" w:type="dxa"/>
          </w:tcPr>
          <w:p w:rsidR="00FA089D" w:rsidRPr="00855703" w:rsidRDefault="00FA089D" w:rsidP="00855703">
            <w:pPr>
              <w:pStyle w:val="afffffff2"/>
              <w:rPr>
                <w:rFonts w:ascii="Times New Roman" w:hAnsi="Times New Roman" w:cs="Times New Roman"/>
                <w:kern w:val="0"/>
                <w:sz w:val="21"/>
                <w:szCs w:val="21"/>
              </w:rPr>
            </w:pPr>
            <w:r w:rsidRPr="00855703">
              <w:rPr>
                <w:rFonts w:ascii="Times New Roman" w:hAnsi="Times New Roman" w:cs="Times New Roman"/>
                <w:kern w:val="0"/>
                <w:sz w:val="21"/>
                <w:szCs w:val="21"/>
              </w:rPr>
              <w:t>排放量，</w:t>
            </w:r>
            <w:r w:rsidRPr="00855703">
              <w:rPr>
                <w:rFonts w:ascii="Times New Roman" w:hAnsi="Times New Roman" w:cs="Times New Roman"/>
                <w:kern w:val="0"/>
                <w:sz w:val="21"/>
                <w:szCs w:val="21"/>
              </w:rPr>
              <w:t>t/a</w:t>
            </w:r>
          </w:p>
        </w:tc>
        <w:tc>
          <w:tcPr>
            <w:tcW w:w="3326" w:type="dxa"/>
            <w:vAlign w:val="center"/>
          </w:tcPr>
          <w:p w:rsidR="00FA089D" w:rsidRPr="00855703" w:rsidRDefault="00FA089D" w:rsidP="00855703">
            <w:pPr>
              <w:pStyle w:val="afffffff2"/>
              <w:rPr>
                <w:rFonts w:ascii="Times New Roman" w:hAnsi="Times New Roman" w:cs="Times New Roman"/>
                <w:kern w:val="0"/>
                <w:sz w:val="21"/>
                <w:szCs w:val="21"/>
              </w:rPr>
            </w:pPr>
            <w:r w:rsidRPr="00855703">
              <w:rPr>
                <w:rFonts w:ascii="Times New Roman" w:hAnsi="Times New Roman" w:cs="Times New Roman"/>
                <w:kern w:val="0"/>
                <w:sz w:val="21"/>
                <w:szCs w:val="21"/>
              </w:rPr>
              <w:t>0.137</w:t>
            </w:r>
          </w:p>
        </w:tc>
        <w:tc>
          <w:tcPr>
            <w:tcW w:w="3327" w:type="dxa"/>
            <w:vAlign w:val="center"/>
          </w:tcPr>
          <w:p w:rsidR="00FA089D" w:rsidRPr="00855703" w:rsidRDefault="00FA089D" w:rsidP="00855703">
            <w:pPr>
              <w:pStyle w:val="afffffff2"/>
              <w:rPr>
                <w:rFonts w:ascii="Times New Roman" w:hAnsi="Times New Roman" w:cs="Times New Roman"/>
                <w:kern w:val="0"/>
                <w:sz w:val="21"/>
                <w:szCs w:val="21"/>
              </w:rPr>
            </w:pPr>
            <w:r w:rsidRPr="00855703">
              <w:rPr>
                <w:rFonts w:ascii="Times New Roman" w:hAnsi="Times New Roman" w:cs="Times New Roman"/>
                <w:kern w:val="0"/>
                <w:sz w:val="21"/>
                <w:szCs w:val="21"/>
              </w:rPr>
              <w:t>0.320</w:t>
            </w:r>
          </w:p>
        </w:tc>
      </w:tr>
    </w:tbl>
    <w:p w:rsidR="00FA089D" w:rsidRDefault="00FA089D" w:rsidP="00FA089D">
      <w:pPr>
        <w:widowControl/>
        <w:ind w:firstLine="400"/>
        <w:contextualSpacing/>
        <w:jc w:val="left"/>
        <w:rPr>
          <w:sz w:val="20"/>
          <w:szCs w:val="20"/>
        </w:rPr>
      </w:pPr>
      <w:r>
        <w:rPr>
          <w:sz w:val="20"/>
          <w:szCs w:val="20"/>
        </w:rPr>
        <w:t>注：按大型车、国</w:t>
      </w:r>
      <w:r>
        <w:rPr>
          <w:sz w:val="20"/>
          <w:szCs w:val="20"/>
        </w:rPr>
        <w:fldChar w:fldCharType="begin"/>
      </w:r>
      <w:r>
        <w:rPr>
          <w:sz w:val="20"/>
          <w:szCs w:val="20"/>
        </w:rPr>
        <w:instrText xml:space="preserve"> </w:instrText>
      </w:r>
      <w:r>
        <w:rPr>
          <w:rFonts w:hint="eastAsia"/>
          <w:sz w:val="20"/>
          <w:szCs w:val="20"/>
        </w:rPr>
        <w:instrText>= 5 \* ROMAN</w:instrText>
      </w:r>
      <w:r>
        <w:rPr>
          <w:sz w:val="20"/>
          <w:szCs w:val="20"/>
        </w:rPr>
        <w:instrText xml:space="preserve"> </w:instrText>
      </w:r>
      <w:r>
        <w:rPr>
          <w:sz w:val="20"/>
          <w:szCs w:val="20"/>
        </w:rPr>
        <w:fldChar w:fldCharType="separate"/>
      </w:r>
      <w:r>
        <w:rPr>
          <w:sz w:val="20"/>
          <w:szCs w:val="20"/>
        </w:rPr>
        <w:t>V</w:t>
      </w:r>
      <w:r>
        <w:rPr>
          <w:sz w:val="20"/>
          <w:szCs w:val="20"/>
        </w:rPr>
        <w:fldChar w:fldCharType="end"/>
      </w:r>
      <w:r>
        <w:rPr>
          <w:sz w:val="20"/>
          <w:szCs w:val="20"/>
        </w:rPr>
        <w:t>标准排放水平给出。</w:t>
      </w:r>
    </w:p>
    <w:p w:rsidR="00FA089D" w:rsidRDefault="00FA089D" w:rsidP="00FA089D">
      <w:pPr>
        <w:ind w:firstLine="480"/>
      </w:pPr>
      <w:r>
        <w:rPr>
          <w:rFonts w:hint="eastAsia"/>
        </w:rPr>
        <w:t>②运输过程中产生的扬尘</w:t>
      </w:r>
    </w:p>
    <w:p w:rsidR="004E3021" w:rsidRDefault="00FA089D" w:rsidP="00FA089D">
      <w:pPr>
        <w:ind w:firstLine="480"/>
      </w:pPr>
      <w:r>
        <w:rPr>
          <w:rFonts w:hint="eastAsia"/>
        </w:rPr>
        <w:t>本项目运输交由专业运输车辆运送，</w:t>
      </w:r>
      <w:r w:rsidR="00381228">
        <w:rPr>
          <w:rFonts w:hint="eastAsia"/>
        </w:rPr>
        <w:t>不涉及粉料运输</w:t>
      </w:r>
      <w:r>
        <w:rPr>
          <w:rFonts w:hint="eastAsia"/>
        </w:rPr>
        <w:t>，运输过程扬尘产生量较小，可忽略不计</w:t>
      </w:r>
      <w:bookmarkEnd w:id="321"/>
      <w:r>
        <w:rPr>
          <w:rFonts w:hint="eastAsia"/>
        </w:rPr>
        <w:t>。</w:t>
      </w:r>
      <w:r w:rsidR="00606E48">
        <w:rPr>
          <w:rFonts w:ascii="宋体" w:hAnsi="宋体" w:hint="eastAsia"/>
        </w:rPr>
        <w:t>对本项目环评区域范围内的重点企业在建、拟建的大气污染源进行调查，通过实际调查，对该地区的各污染源源强、排放的污染因子及排放特性进行核实和汇总，具体调查结果见表</w:t>
      </w:r>
      <w:r w:rsidR="00606E48">
        <w:rPr>
          <w:rFonts w:hint="eastAsia"/>
        </w:rPr>
        <w:t>4.3</w:t>
      </w:r>
      <w:r w:rsidR="00855703">
        <w:t>.2</w:t>
      </w:r>
      <w:r w:rsidR="00606E48">
        <w:t>-1</w:t>
      </w:r>
      <w:r w:rsidR="00606E48">
        <w:rPr>
          <w:rFonts w:ascii="宋体" w:hAnsi="宋体" w:hint="eastAsia"/>
        </w:rPr>
        <w:t>。</w:t>
      </w:r>
    </w:p>
    <w:p w:rsidR="004E3021" w:rsidRDefault="004E3021">
      <w:pPr>
        <w:ind w:firstLineChars="0" w:firstLine="0"/>
        <w:sectPr w:rsidR="004E3021">
          <w:pgSz w:w="11906" w:h="16838"/>
          <w:pgMar w:top="1440" w:right="1440" w:bottom="1440" w:left="1440" w:header="851" w:footer="992" w:gutter="0"/>
          <w:cols w:space="425"/>
          <w:docGrid w:type="lines" w:linePitch="326"/>
        </w:sectPr>
      </w:pPr>
    </w:p>
    <w:p w:rsidR="004E3021" w:rsidRPr="00FA089D" w:rsidRDefault="00606E48" w:rsidP="00FA089D">
      <w:pPr>
        <w:spacing w:line="500" w:lineRule="exact"/>
        <w:ind w:firstLineChars="0" w:firstLine="0"/>
        <w:jc w:val="center"/>
        <w:rPr>
          <w:rFonts w:eastAsia="黑体"/>
        </w:rPr>
      </w:pPr>
      <w:r>
        <w:rPr>
          <w:rFonts w:ascii="黑体" w:eastAsia="黑体" w:hAnsi="黑体" w:hint="eastAsia"/>
        </w:rPr>
        <w:lastRenderedPageBreak/>
        <w:t>表</w:t>
      </w:r>
      <w:r>
        <w:rPr>
          <w:rFonts w:eastAsia="黑体" w:hint="eastAsia"/>
        </w:rPr>
        <w:t>4.3</w:t>
      </w:r>
      <w:r w:rsidR="00855703">
        <w:rPr>
          <w:rFonts w:eastAsia="黑体"/>
        </w:rPr>
        <w:t>.2</w:t>
      </w:r>
      <w:r>
        <w:rPr>
          <w:rFonts w:eastAsia="黑体"/>
        </w:rPr>
        <w:t xml:space="preserve">-1  </w:t>
      </w:r>
      <w:r w:rsidR="00381228" w:rsidRPr="00381228">
        <w:rPr>
          <w:rFonts w:ascii="黑体" w:eastAsia="黑体" w:hAnsi="黑体"/>
        </w:rPr>
        <w:t>区域在建及已批复</w:t>
      </w:r>
      <w:r w:rsidR="00381228" w:rsidRPr="00381228">
        <w:rPr>
          <w:rFonts w:ascii="黑体" w:eastAsia="黑体" w:hAnsi="黑体" w:hint="eastAsia"/>
        </w:rPr>
        <w:t>排</w:t>
      </w:r>
      <w:r w:rsidR="00381228" w:rsidRPr="00381228">
        <w:rPr>
          <w:rFonts w:ascii="黑体" w:eastAsia="黑体" w:hAnsi="黑体"/>
        </w:rPr>
        <w:t>放污染物与本项目有关的项目</w:t>
      </w:r>
      <w:r w:rsidR="00381228" w:rsidRPr="00381228">
        <w:rPr>
          <w:rFonts w:ascii="黑体" w:eastAsia="黑体" w:hAnsi="黑体" w:hint="eastAsia"/>
        </w:rPr>
        <w:t>有组织</w:t>
      </w:r>
      <w:r w:rsidR="00381228" w:rsidRPr="00381228">
        <w:rPr>
          <w:rFonts w:ascii="黑体" w:eastAsia="黑体" w:hAnsi="黑体"/>
        </w:rPr>
        <w:t>统计</w:t>
      </w:r>
      <w:r w:rsidR="00381228" w:rsidRPr="00381228">
        <w:rPr>
          <w:rFonts w:ascii="黑体" w:eastAsia="黑体" w:hAnsi="黑体" w:hint="eastAsia"/>
        </w:rPr>
        <w:t>（</w:t>
      </w:r>
      <w:r w:rsidR="00381228" w:rsidRPr="00381228">
        <w:rPr>
          <w:rFonts w:eastAsia="黑体"/>
        </w:rPr>
        <w:t>kg/h</w:t>
      </w:r>
      <w:r w:rsidR="00381228" w:rsidRPr="00381228">
        <w:rPr>
          <w:rFonts w:ascii="黑体" w:eastAsia="黑体" w:hAnsi="黑体" w:hint="eastAsia"/>
        </w:rPr>
        <w:t>）</w:t>
      </w:r>
    </w:p>
    <w:tbl>
      <w:tblPr>
        <w:tblStyle w:val="afff"/>
        <w:tblW w:w="5000" w:type="pct"/>
        <w:tblLook w:val="0000" w:firstRow="0" w:lastRow="0" w:firstColumn="0" w:lastColumn="0" w:noHBand="0" w:noVBand="0"/>
      </w:tblPr>
      <w:tblGrid>
        <w:gridCol w:w="814"/>
        <w:gridCol w:w="1699"/>
        <w:gridCol w:w="849"/>
        <w:gridCol w:w="748"/>
        <w:gridCol w:w="748"/>
        <w:gridCol w:w="751"/>
        <w:gridCol w:w="740"/>
        <w:gridCol w:w="794"/>
        <w:gridCol w:w="706"/>
        <w:gridCol w:w="994"/>
        <w:gridCol w:w="1108"/>
        <w:gridCol w:w="1195"/>
        <w:gridCol w:w="698"/>
        <w:gridCol w:w="1005"/>
        <w:gridCol w:w="1109"/>
      </w:tblGrid>
      <w:tr w:rsidR="004836A8" w:rsidRPr="004836A8" w:rsidTr="002C399B">
        <w:trPr>
          <w:trHeight w:val="340"/>
        </w:trPr>
        <w:tc>
          <w:tcPr>
            <w:tcW w:w="292" w:type="pct"/>
            <w:vMerge w:val="restar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sz w:val="21"/>
              </w:rPr>
              <w:t>公司名称</w:t>
            </w:r>
          </w:p>
        </w:tc>
        <w:tc>
          <w:tcPr>
            <w:tcW w:w="609" w:type="pct"/>
            <w:vMerge w:val="restar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sz w:val="21"/>
              </w:rPr>
              <w:t>项目名称或工程内容</w:t>
            </w:r>
          </w:p>
        </w:tc>
        <w:tc>
          <w:tcPr>
            <w:tcW w:w="304" w:type="pct"/>
            <w:vMerge w:val="restar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sz w:val="21"/>
              </w:rPr>
              <w:t>污染源</w:t>
            </w:r>
          </w:p>
        </w:tc>
        <w:tc>
          <w:tcPr>
            <w:tcW w:w="536" w:type="pct"/>
            <w:gridSpan w:val="2"/>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sz w:val="21"/>
              </w:rPr>
              <w:t>坐标</w:t>
            </w:r>
          </w:p>
        </w:tc>
        <w:tc>
          <w:tcPr>
            <w:tcW w:w="269" w:type="pct"/>
            <w:vMerge w:val="restar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sz w:val="21"/>
              </w:rPr>
              <w:t>排气筒高度</w:t>
            </w:r>
            <w:r w:rsidRPr="004836A8">
              <w:rPr>
                <w:rFonts w:ascii="Times New Roman" w:hAnsi="Times New Roman"/>
                <w:b/>
                <w:sz w:val="21"/>
              </w:rPr>
              <w:t>m</w:t>
            </w:r>
          </w:p>
        </w:tc>
        <w:tc>
          <w:tcPr>
            <w:tcW w:w="265" w:type="pct"/>
            <w:vMerge w:val="restar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sz w:val="21"/>
              </w:rPr>
              <w:t>排气筒内径</w:t>
            </w:r>
            <w:r w:rsidRPr="004836A8">
              <w:rPr>
                <w:rFonts w:ascii="Times New Roman" w:hAnsi="Times New Roman"/>
                <w:b/>
                <w:sz w:val="21"/>
              </w:rPr>
              <w:t>m</w:t>
            </w:r>
          </w:p>
        </w:tc>
        <w:tc>
          <w:tcPr>
            <w:tcW w:w="284" w:type="pct"/>
            <w:vMerge w:val="restar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bCs/>
                <w:sz w:val="21"/>
                <w:lang w:bidi="ar"/>
              </w:rPr>
              <w:t>排气量</w:t>
            </w:r>
            <w:r w:rsidRPr="004836A8">
              <w:rPr>
                <w:rFonts w:ascii="Times New Roman" w:hAnsi="Times New Roman"/>
                <w:b/>
                <w:bCs/>
                <w:sz w:val="21"/>
                <w:lang w:bidi="ar"/>
              </w:rPr>
              <w:t>m</w:t>
            </w:r>
            <w:r w:rsidRPr="004836A8">
              <w:rPr>
                <w:rFonts w:ascii="Times New Roman" w:hAnsi="Times New Roman"/>
                <w:b/>
                <w:bCs/>
                <w:sz w:val="21"/>
                <w:vertAlign w:val="superscript"/>
                <w:lang w:bidi="ar"/>
              </w:rPr>
              <w:t>3</w:t>
            </w:r>
            <w:r w:rsidRPr="004836A8">
              <w:rPr>
                <w:rFonts w:ascii="Times New Roman" w:hAnsi="Times New Roman"/>
                <w:b/>
                <w:bCs/>
                <w:sz w:val="21"/>
                <w:lang w:bidi="ar"/>
              </w:rPr>
              <w:t>/h</w:t>
            </w:r>
          </w:p>
        </w:tc>
        <w:tc>
          <w:tcPr>
            <w:tcW w:w="253" w:type="pct"/>
            <w:vMerge w:val="restar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sz w:val="21"/>
              </w:rPr>
              <w:t>烟气温度</w:t>
            </w:r>
            <w:r w:rsidRPr="004836A8">
              <w:rPr>
                <w:rFonts w:ascii="Times New Roman" w:hAnsi="Times New Roman"/>
                <w:b/>
                <w:sz w:val="21"/>
              </w:rPr>
              <w:t>℃</w:t>
            </w:r>
          </w:p>
        </w:tc>
        <w:tc>
          <w:tcPr>
            <w:tcW w:w="356" w:type="pct"/>
            <w:vMerge w:val="restar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sz w:val="21"/>
              </w:rPr>
              <w:t>年排放小时数</w:t>
            </w:r>
            <w:r w:rsidRPr="004836A8">
              <w:rPr>
                <w:rFonts w:ascii="Times New Roman" w:hAnsi="Times New Roman"/>
                <w:b/>
                <w:sz w:val="21"/>
              </w:rPr>
              <w:t>h</w:t>
            </w:r>
          </w:p>
        </w:tc>
        <w:tc>
          <w:tcPr>
            <w:tcW w:w="1832" w:type="pct"/>
            <w:gridSpan w:val="5"/>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sz w:val="21"/>
              </w:rPr>
              <w:t>污染物排放速率</w:t>
            </w:r>
            <w:r w:rsidRPr="004836A8">
              <w:rPr>
                <w:rFonts w:ascii="Times New Roman" w:hAnsi="Times New Roman"/>
                <w:b/>
                <w:sz w:val="21"/>
              </w:rPr>
              <w:t>kg/h</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
                <w:sz w:val="21"/>
              </w:rPr>
            </w:pPr>
          </w:p>
        </w:tc>
        <w:tc>
          <w:tcPr>
            <w:tcW w:w="304" w:type="pct"/>
            <w:vMerge/>
            <w:vAlign w:val="center"/>
          </w:tcPr>
          <w:p w:rsidR="004836A8" w:rsidRPr="004836A8" w:rsidRDefault="004836A8" w:rsidP="004836A8">
            <w:pPr>
              <w:widowControl/>
              <w:ind w:firstLineChars="0" w:firstLine="0"/>
              <w:jc w:val="center"/>
              <w:rPr>
                <w:rFonts w:ascii="Times New Roman" w:hAnsi="Times New Roman"/>
                <w:b/>
                <w:sz w:val="21"/>
              </w:rPr>
            </w:pPr>
          </w:p>
        </w:tc>
        <w:tc>
          <w:tcPr>
            <w:tcW w:w="268" w:type="pc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sz w:val="21"/>
              </w:rPr>
              <w:t>X</w:t>
            </w:r>
          </w:p>
        </w:tc>
        <w:tc>
          <w:tcPr>
            <w:tcW w:w="268" w:type="pc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sz w:val="21"/>
              </w:rPr>
              <w:t>Y</w:t>
            </w:r>
          </w:p>
        </w:tc>
        <w:tc>
          <w:tcPr>
            <w:tcW w:w="269" w:type="pct"/>
            <w:vMerge/>
            <w:vAlign w:val="center"/>
          </w:tcPr>
          <w:p w:rsidR="004836A8" w:rsidRPr="004836A8" w:rsidRDefault="004836A8" w:rsidP="004836A8">
            <w:pPr>
              <w:widowControl/>
              <w:ind w:firstLineChars="0" w:firstLine="0"/>
              <w:jc w:val="center"/>
              <w:rPr>
                <w:rFonts w:ascii="Times New Roman" w:hAnsi="Times New Roman"/>
                <w:b/>
                <w:sz w:val="21"/>
              </w:rPr>
            </w:pPr>
          </w:p>
        </w:tc>
        <w:tc>
          <w:tcPr>
            <w:tcW w:w="265" w:type="pct"/>
            <w:vMerge/>
            <w:vAlign w:val="center"/>
          </w:tcPr>
          <w:p w:rsidR="004836A8" w:rsidRPr="004836A8" w:rsidRDefault="004836A8" w:rsidP="004836A8">
            <w:pPr>
              <w:widowControl/>
              <w:ind w:firstLineChars="0" w:firstLine="0"/>
              <w:jc w:val="center"/>
              <w:rPr>
                <w:rFonts w:ascii="Times New Roman" w:hAnsi="Times New Roman"/>
                <w:b/>
                <w:sz w:val="21"/>
              </w:rPr>
            </w:pPr>
          </w:p>
        </w:tc>
        <w:tc>
          <w:tcPr>
            <w:tcW w:w="284" w:type="pct"/>
            <w:vMerge/>
            <w:vAlign w:val="center"/>
          </w:tcPr>
          <w:p w:rsidR="004836A8" w:rsidRPr="004836A8" w:rsidRDefault="004836A8" w:rsidP="004836A8">
            <w:pPr>
              <w:widowControl/>
              <w:ind w:firstLineChars="0" w:firstLine="0"/>
              <w:jc w:val="center"/>
              <w:rPr>
                <w:rFonts w:ascii="Times New Roman" w:hAnsi="Times New Roman"/>
                <w:b/>
                <w:sz w:val="21"/>
              </w:rPr>
            </w:pPr>
          </w:p>
        </w:tc>
        <w:tc>
          <w:tcPr>
            <w:tcW w:w="253" w:type="pct"/>
            <w:vMerge/>
            <w:vAlign w:val="center"/>
          </w:tcPr>
          <w:p w:rsidR="004836A8" w:rsidRPr="004836A8" w:rsidRDefault="004836A8" w:rsidP="004836A8">
            <w:pPr>
              <w:widowControl/>
              <w:ind w:firstLineChars="0" w:firstLine="0"/>
              <w:jc w:val="center"/>
              <w:rPr>
                <w:rFonts w:ascii="Times New Roman" w:hAnsi="Times New Roman"/>
                <w:b/>
                <w:sz w:val="21"/>
              </w:rPr>
            </w:pPr>
          </w:p>
        </w:tc>
        <w:tc>
          <w:tcPr>
            <w:tcW w:w="356" w:type="pct"/>
            <w:vMerge/>
            <w:vAlign w:val="center"/>
          </w:tcPr>
          <w:p w:rsidR="004836A8" w:rsidRPr="004836A8" w:rsidRDefault="004836A8" w:rsidP="004836A8">
            <w:pPr>
              <w:widowControl/>
              <w:ind w:firstLineChars="0" w:firstLine="0"/>
              <w:jc w:val="center"/>
              <w:rPr>
                <w:rFonts w:ascii="Times New Roman" w:hAnsi="Times New Roman"/>
                <w:b/>
                <w:sz w:val="21"/>
              </w:rPr>
            </w:pPr>
          </w:p>
        </w:tc>
        <w:tc>
          <w:tcPr>
            <w:tcW w:w="397" w:type="pc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sz w:val="21"/>
              </w:rPr>
              <w:t>PM</w:t>
            </w:r>
            <w:r w:rsidRPr="004836A8">
              <w:rPr>
                <w:rFonts w:ascii="Times New Roman" w:hAnsi="Times New Roman"/>
                <w:b/>
                <w:sz w:val="21"/>
                <w:vertAlign w:val="subscript"/>
              </w:rPr>
              <w:t>10</w:t>
            </w:r>
          </w:p>
        </w:tc>
        <w:tc>
          <w:tcPr>
            <w:tcW w:w="428" w:type="pc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sz w:val="21"/>
              </w:rPr>
              <w:t>非甲烷总烃</w:t>
            </w:r>
          </w:p>
        </w:tc>
        <w:tc>
          <w:tcPr>
            <w:tcW w:w="250" w:type="pc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sz w:val="21"/>
              </w:rPr>
              <w:t>甲醇</w:t>
            </w:r>
          </w:p>
        </w:tc>
        <w:tc>
          <w:tcPr>
            <w:tcW w:w="360" w:type="pc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sz w:val="21"/>
              </w:rPr>
              <w:t>氨</w:t>
            </w:r>
          </w:p>
        </w:tc>
        <w:tc>
          <w:tcPr>
            <w:tcW w:w="397" w:type="pc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
                <w:sz w:val="21"/>
              </w:rPr>
              <w:t>硫化氢</w:t>
            </w:r>
          </w:p>
        </w:tc>
      </w:tr>
      <w:tr w:rsidR="004836A8" w:rsidRPr="004836A8" w:rsidTr="00F74256">
        <w:trPr>
          <w:trHeight w:val="340"/>
        </w:trPr>
        <w:tc>
          <w:tcPr>
            <w:tcW w:w="292" w:type="pct"/>
            <w:vMerge w:val="restar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Cs/>
                <w:sz w:val="21"/>
              </w:rPr>
              <w:t>蚌埠晟特新材料有限公司</w:t>
            </w:r>
          </w:p>
        </w:tc>
        <w:tc>
          <w:tcPr>
            <w:tcW w:w="609" w:type="pct"/>
            <w:vMerge w:val="restart"/>
            <w:vAlign w:val="center"/>
          </w:tcPr>
          <w:p w:rsidR="004836A8" w:rsidRPr="004836A8" w:rsidRDefault="004836A8" w:rsidP="004836A8">
            <w:pPr>
              <w:widowControl/>
              <w:ind w:firstLineChars="0" w:firstLine="0"/>
              <w:jc w:val="center"/>
              <w:rPr>
                <w:rFonts w:ascii="Times New Roman" w:hAnsi="Times New Roman"/>
                <w:b/>
                <w:sz w:val="21"/>
              </w:rPr>
            </w:pPr>
            <w:r w:rsidRPr="004836A8">
              <w:rPr>
                <w:rFonts w:ascii="Times New Roman" w:hAnsi="Times New Roman"/>
                <w:bCs/>
                <w:sz w:val="21"/>
              </w:rPr>
              <w:t>年产</w:t>
            </w:r>
            <w:r w:rsidRPr="004836A8">
              <w:rPr>
                <w:rFonts w:ascii="Times New Roman" w:hAnsi="Times New Roman"/>
                <w:bCs/>
                <w:sz w:val="21"/>
              </w:rPr>
              <w:t>3</w:t>
            </w:r>
            <w:r w:rsidRPr="004836A8">
              <w:rPr>
                <w:rFonts w:ascii="Times New Roman" w:hAnsi="Times New Roman"/>
                <w:bCs/>
                <w:sz w:val="21"/>
              </w:rPr>
              <w:t>万吨酚醛和特种热固性树脂（一期）项目（重新报批</w:t>
            </w:r>
            <w:r w:rsidRPr="004836A8">
              <w:rPr>
                <w:rFonts w:ascii="Times New Roman" w:hAnsi="Times New Roman"/>
                <w:b/>
                <w:sz w:val="21"/>
              </w:rPr>
              <w:t>）</w:t>
            </w: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DA001</w:t>
            </w:r>
          </w:p>
        </w:tc>
        <w:tc>
          <w:tcPr>
            <w:tcW w:w="268"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-804</w:t>
            </w:r>
          </w:p>
        </w:tc>
        <w:tc>
          <w:tcPr>
            <w:tcW w:w="268"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-623</w:t>
            </w:r>
          </w:p>
        </w:tc>
        <w:tc>
          <w:tcPr>
            <w:tcW w:w="269"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265"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0.5</w:t>
            </w:r>
          </w:p>
        </w:tc>
        <w:tc>
          <w:tcPr>
            <w:tcW w:w="28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10000</w:t>
            </w:r>
          </w:p>
        </w:tc>
        <w:tc>
          <w:tcPr>
            <w:tcW w:w="253"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150</w:t>
            </w:r>
          </w:p>
        </w:tc>
        <w:tc>
          <w:tcPr>
            <w:tcW w:w="356"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428"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0.412</w:t>
            </w:r>
          </w:p>
        </w:tc>
        <w:tc>
          <w:tcPr>
            <w:tcW w:w="25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0.003</w:t>
            </w:r>
          </w:p>
        </w:tc>
        <w:tc>
          <w:tcPr>
            <w:tcW w:w="36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DA002</w:t>
            </w:r>
          </w:p>
        </w:tc>
        <w:tc>
          <w:tcPr>
            <w:tcW w:w="268" w:type="pct"/>
            <w:vAlign w:val="center"/>
          </w:tcPr>
          <w:p w:rsidR="004836A8" w:rsidRPr="004836A8" w:rsidRDefault="004836A8"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813</w:t>
            </w:r>
          </w:p>
        </w:tc>
        <w:tc>
          <w:tcPr>
            <w:tcW w:w="268" w:type="pct"/>
            <w:vAlign w:val="center"/>
          </w:tcPr>
          <w:p w:rsidR="004836A8" w:rsidRPr="004836A8" w:rsidRDefault="004836A8"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631</w:t>
            </w:r>
          </w:p>
        </w:tc>
        <w:tc>
          <w:tcPr>
            <w:tcW w:w="269"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20</w:t>
            </w:r>
          </w:p>
        </w:tc>
        <w:tc>
          <w:tcPr>
            <w:tcW w:w="265"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0.6</w:t>
            </w:r>
          </w:p>
        </w:tc>
        <w:tc>
          <w:tcPr>
            <w:tcW w:w="28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16000</w:t>
            </w:r>
          </w:p>
        </w:tc>
        <w:tc>
          <w:tcPr>
            <w:tcW w:w="253"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356"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0.21</w:t>
            </w:r>
          </w:p>
        </w:tc>
        <w:tc>
          <w:tcPr>
            <w:tcW w:w="428"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0.293</w:t>
            </w:r>
          </w:p>
        </w:tc>
        <w:tc>
          <w:tcPr>
            <w:tcW w:w="25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DA003</w:t>
            </w:r>
          </w:p>
        </w:tc>
        <w:tc>
          <w:tcPr>
            <w:tcW w:w="268" w:type="pct"/>
            <w:vAlign w:val="center"/>
          </w:tcPr>
          <w:p w:rsidR="004836A8" w:rsidRPr="004836A8" w:rsidRDefault="004836A8"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804</w:t>
            </w:r>
          </w:p>
        </w:tc>
        <w:tc>
          <w:tcPr>
            <w:tcW w:w="268" w:type="pct"/>
            <w:vAlign w:val="center"/>
          </w:tcPr>
          <w:p w:rsidR="004836A8" w:rsidRPr="004836A8" w:rsidRDefault="004836A8"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634</w:t>
            </w:r>
          </w:p>
        </w:tc>
        <w:tc>
          <w:tcPr>
            <w:tcW w:w="269"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20</w:t>
            </w:r>
          </w:p>
        </w:tc>
        <w:tc>
          <w:tcPr>
            <w:tcW w:w="265"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0.4</w:t>
            </w:r>
          </w:p>
        </w:tc>
        <w:tc>
          <w:tcPr>
            <w:tcW w:w="28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6000</w:t>
            </w:r>
          </w:p>
        </w:tc>
        <w:tc>
          <w:tcPr>
            <w:tcW w:w="253"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356"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428"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sz w:val="21"/>
                <w:lang w:bidi="ar"/>
              </w:rPr>
              <w:t>0.001</w:t>
            </w:r>
          </w:p>
        </w:tc>
        <w:tc>
          <w:tcPr>
            <w:tcW w:w="25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sz w:val="21"/>
              </w:rPr>
              <w:t>0.001</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sz w:val="21"/>
                <w:lang w:bidi="ar"/>
              </w:rPr>
              <w:t>0.00004</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DA004</w:t>
            </w:r>
          </w:p>
        </w:tc>
        <w:tc>
          <w:tcPr>
            <w:tcW w:w="268" w:type="pct"/>
            <w:vAlign w:val="center"/>
          </w:tcPr>
          <w:p w:rsidR="004836A8" w:rsidRPr="004836A8" w:rsidRDefault="004836A8"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811</w:t>
            </w:r>
          </w:p>
        </w:tc>
        <w:tc>
          <w:tcPr>
            <w:tcW w:w="268" w:type="pct"/>
            <w:vAlign w:val="center"/>
          </w:tcPr>
          <w:p w:rsidR="004836A8" w:rsidRPr="004836A8" w:rsidRDefault="004836A8"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637</w:t>
            </w:r>
          </w:p>
        </w:tc>
        <w:tc>
          <w:tcPr>
            <w:tcW w:w="269"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20</w:t>
            </w:r>
          </w:p>
        </w:tc>
        <w:tc>
          <w:tcPr>
            <w:tcW w:w="265"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0.2</w:t>
            </w:r>
          </w:p>
        </w:tc>
        <w:tc>
          <w:tcPr>
            <w:tcW w:w="28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1366.2</w:t>
            </w:r>
          </w:p>
        </w:tc>
        <w:tc>
          <w:tcPr>
            <w:tcW w:w="253"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150</w:t>
            </w:r>
          </w:p>
        </w:tc>
        <w:tc>
          <w:tcPr>
            <w:tcW w:w="356"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0.011</w:t>
            </w:r>
          </w:p>
        </w:tc>
        <w:tc>
          <w:tcPr>
            <w:tcW w:w="428" w:type="pct"/>
            <w:vAlign w:val="center"/>
          </w:tcPr>
          <w:p w:rsidR="004836A8" w:rsidRPr="004836A8" w:rsidRDefault="004836A8" w:rsidP="004836A8">
            <w:pPr>
              <w:widowControl/>
              <w:ind w:firstLineChars="0" w:firstLine="0"/>
              <w:jc w:val="center"/>
              <w:rPr>
                <w:rFonts w:ascii="Times New Roman" w:hAnsi="Times New Roman"/>
                <w:sz w:val="21"/>
                <w:lang w:bidi="ar"/>
              </w:rPr>
            </w:pPr>
            <w:r w:rsidRPr="004836A8">
              <w:rPr>
                <w:rFonts w:ascii="Times New Roman" w:hAnsi="Times New Roman"/>
                <w:bCs/>
                <w:sz w:val="21"/>
              </w:rPr>
              <w:t>/</w:t>
            </w:r>
          </w:p>
        </w:tc>
        <w:tc>
          <w:tcPr>
            <w:tcW w:w="25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4836A8" w:rsidRPr="004836A8" w:rsidRDefault="004836A8" w:rsidP="004836A8">
            <w:pPr>
              <w:widowControl/>
              <w:ind w:firstLineChars="0" w:firstLine="0"/>
              <w:jc w:val="center"/>
              <w:rPr>
                <w:rFonts w:ascii="Times New Roman" w:hAnsi="Times New Roman"/>
                <w:sz w:val="21"/>
              </w:rPr>
            </w:pPr>
            <w:r w:rsidRPr="004836A8">
              <w:rPr>
                <w:rFonts w:ascii="Times New Roman" w:hAnsi="Times New Roman"/>
                <w:bCs/>
                <w:sz w:val="21"/>
              </w:rPr>
              <w:t>/</w:t>
            </w:r>
          </w:p>
        </w:tc>
        <w:tc>
          <w:tcPr>
            <w:tcW w:w="397" w:type="pct"/>
            <w:vAlign w:val="center"/>
          </w:tcPr>
          <w:p w:rsidR="004836A8" w:rsidRPr="004836A8" w:rsidRDefault="004836A8" w:rsidP="004836A8">
            <w:pPr>
              <w:widowControl/>
              <w:ind w:firstLineChars="0" w:firstLine="0"/>
              <w:jc w:val="center"/>
              <w:rPr>
                <w:rFonts w:ascii="Times New Roman" w:hAnsi="Times New Roman"/>
                <w:sz w:val="21"/>
                <w:lang w:bidi="ar"/>
              </w:rPr>
            </w:pPr>
            <w:r w:rsidRPr="004836A8">
              <w:rPr>
                <w:rFonts w:ascii="Times New Roman" w:hAnsi="Times New Roman"/>
                <w:bCs/>
                <w:sz w:val="21"/>
              </w:rPr>
              <w:t>/</w:t>
            </w:r>
          </w:p>
        </w:tc>
      </w:tr>
      <w:tr w:rsidR="004836A8" w:rsidRPr="004836A8" w:rsidTr="00F74256">
        <w:trPr>
          <w:trHeight w:val="658"/>
        </w:trPr>
        <w:tc>
          <w:tcPr>
            <w:tcW w:w="292" w:type="pct"/>
            <w:vMerge w:val="restar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安徽东欣迅启生物科技有限公司</w:t>
            </w:r>
          </w:p>
        </w:tc>
        <w:tc>
          <w:tcPr>
            <w:tcW w:w="609" w:type="pct"/>
            <w:vMerge w:val="restar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年产</w:t>
            </w:r>
            <w:r w:rsidRPr="004836A8">
              <w:rPr>
                <w:rFonts w:ascii="Times New Roman" w:hAnsi="Times New Roman"/>
                <w:bCs/>
                <w:sz w:val="21"/>
              </w:rPr>
              <w:t>2000</w:t>
            </w:r>
            <w:r w:rsidRPr="004836A8">
              <w:rPr>
                <w:rFonts w:ascii="Times New Roman" w:hAnsi="Times New Roman"/>
                <w:bCs/>
                <w:sz w:val="21"/>
              </w:rPr>
              <w:t>吨丁酰乳酸丁酯及</w:t>
            </w:r>
            <w:r w:rsidRPr="004836A8">
              <w:rPr>
                <w:rFonts w:ascii="Times New Roman" w:hAnsi="Times New Roman"/>
                <w:bCs/>
                <w:sz w:val="21"/>
              </w:rPr>
              <w:t>100</w:t>
            </w:r>
            <w:r w:rsidRPr="004836A8">
              <w:rPr>
                <w:rFonts w:ascii="Times New Roman" w:hAnsi="Times New Roman"/>
                <w:bCs/>
                <w:sz w:val="21"/>
              </w:rPr>
              <w:t>吨反式</w:t>
            </w:r>
            <w:r w:rsidRPr="004836A8">
              <w:rPr>
                <w:rFonts w:ascii="Times New Roman" w:hAnsi="Times New Roman"/>
                <w:bCs/>
                <w:sz w:val="21"/>
              </w:rPr>
              <w:t>2-</w:t>
            </w:r>
            <w:r w:rsidRPr="004836A8">
              <w:rPr>
                <w:rFonts w:ascii="Times New Roman" w:hAnsi="Times New Roman"/>
                <w:bCs/>
                <w:sz w:val="21"/>
              </w:rPr>
              <w:t>己烯醛项目</w:t>
            </w: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DA001</w:t>
            </w:r>
          </w:p>
        </w:tc>
        <w:tc>
          <w:tcPr>
            <w:tcW w:w="268" w:type="pct"/>
            <w:vAlign w:val="center"/>
          </w:tcPr>
          <w:p w:rsidR="004836A8" w:rsidRPr="004836A8" w:rsidRDefault="004836A8"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1682</w:t>
            </w:r>
          </w:p>
        </w:tc>
        <w:tc>
          <w:tcPr>
            <w:tcW w:w="268" w:type="pct"/>
            <w:vAlign w:val="center"/>
          </w:tcPr>
          <w:p w:rsidR="004836A8" w:rsidRPr="004836A8" w:rsidRDefault="004836A8"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49</w:t>
            </w:r>
          </w:p>
        </w:tc>
        <w:tc>
          <w:tcPr>
            <w:tcW w:w="269"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15</w:t>
            </w:r>
          </w:p>
        </w:tc>
        <w:tc>
          <w:tcPr>
            <w:tcW w:w="265"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0.6</w:t>
            </w:r>
          </w:p>
        </w:tc>
        <w:tc>
          <w:tcPr>
            <w:tcW w:w="28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16000</w:t>
            </w:r>
          </w:p>
        </w:tc>
        <w:tc>
          <w:tcPr>
            <w:tcW w:w="253"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150</w:t>
            </w:r>
          </w:p>
        </w:tc>
        <w:tc>
          <w:tcPr>
            <w:tcW w:w="356"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428"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0.292</w:t>
            </w:r>
          </w:p>
        </w:tc>
        <w:tc>
          <w:tcPr>
            <w:tcW w:w="25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DA002</w:t>
            </w:r>
          </w:p>
        </w:tc>
        <w:tc>
          <w:tcPr>
            <w:tcW w:w="268" w:type="pct"/>
            <w:vAlign w:val="center"/>
          </w:tcPr>
          <w:p w:rsidR="004836A8" w:rsidRPr="004836A8" w:rsidRDefault="004836A8"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1688</w:t>
            </w:r>
          </w:p>
        </w:tc>
        <w:tc>
          <w:tcPr>
            <w:tcW w:w="268" w:type="pct"/>
            <w:vAlign w:val="center"/>
          </w:tcPr>
          <w:p w:rsidR="004836A8" w:rsidRPr="004836A8" w:rsidRDefault="004836A8"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60</w:t>
            </w:r>
          </w:p>
        </w:tc>
        <w:tc>
          <w:tcPr>
            <w:tcW w:w="269"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15</w:t>
            </w:r>
          </w:p>
        </w:tc>
        <w:tc>
          <w:tcPr>
            <w:tcW w:w="265"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0.3</w:t>
            </w:r>
          </w:p>
        </w:tc>
        <w:tc>
          <w:tcPr>
            <w:tcW w:w="28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6000</w:t>
            </w:r>
          </w:p>
        </w:tc>
        <w:tc>
          <w:tcPr>
            <w:tcW w:w="253"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356"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428"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0.004</w:t>
            </w:r>
          </w:p>
        </w:tc>
        <w:tc>
          <w:tcPr>
            <w:tcW w:w="25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0.0006</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0.00001</w:t>
            </w:r>
          </w:p>
        </w:tc>
      </w:tr>
      <w:tr w:rsidR="005C7A62" w:rsidRPr="004836A8" w:rsidTr="00F74256">
        <w:trPr>
          <w:trHeight w:val="340"/>
        </w:trPr>
        <w:tc>
          <w:tcPr>
            <w:tcW w:w="292" w:type="pct"/>
            <w:vMerge w:val="restar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蚌埠市圣光化工有</w:t>
            </w:r>
            <w:r w:rsidRPr="004836A8">
              <w:rPr>
                <w:rFonts w:ascii="Times New Roman" w:hAnsi="Times New Roman"/>
                <w:bCs/>
                <w:sz w:val="21"/>
              </w:rPr>
              <w:lastRenderedPageBreak/>
              <w:t>限公司</w:t>
            </w:r>
          </w:p>
        </w:tc>
        <w:tc>
          <w:tcPr>
            <w:tcW w:w="609" w:type="pct"/>
            <w:vMerge w:val="restart"/>
            <w:vAlign w:val="center"/>
          </w:tcPr>
          <w:p w:rsidR="005C7A62" w:rsidRPr="004836A8" w:rsidRDefault="005C7A62" w:rsidP="005C7A62">
            <w:pPr>
              <w:widowControl/>
              <w:ind w:firstLineChars="0" w:firstLine="0"/>
              <w:jc w:val="center"/>
              <w:rPr>
                <w:rFonts w:ascii="Times New Roman" w:hAnsi="Times New Roman"/>
                <w:bCs/>
                <w:sz w:val="21"/>
              </w:rPr>
            </w:pPr>
            <w:bookmarkStart w:id="324" w:name="OLE_LINK14"/>
            <w:r w:rsidRPr="004836A8">
              <w:rPr>
                <w:rFonts w:ascii="Times New Roman" w:hAnsi="Times New Roman"/>
                <w:bCs/>
                <w:sz w:val="21"/>
              </w:rPr>
              <w:lastRenderedPageBreak/>
              <w:t>年产</w:t>
            </w:r>
            <w:r w:rsidRPr="004836A8">
              <w:rPr>
                <w:rFonts w:ascii="Times New Roman" w:hAnsi="Times New Roman"/>
                <w:bCs/>
                <w:sz w:val="21"/>
              </w:rPr>
              <w:t>5</w:t>
            </w:r>
            <w:r w:rsidRPr="004836A8">
              <w:rPr>
                <w:rFonts w:ascii="Times New Roman" w:hAnsi="Times New Roman"/>
                <w:bCs/>
                <w:sz w:val="21"/>
              </w:rPr>
              <w:t>万吨七水硫酸镁、</w:t>
            </w:r>
            <w:r w:rsidRPr="004836A8">
              <w:rPr>
                <w:rFonts w:ascii="Times New Roman" w:hAnsi="Times New Roman"/>
                <w:bCs/>
                <w:sz w:val="21"/>
              </w:rPr>
              <w:t>1</w:t>
            </w:r>
            <w:r w:rsidRPr="004836A8">
              <w:rPr>
                <w:rFonts w:ascii="Times New Roman" w:hAnsi="Times New Roman"/>
                <w:bCs/>
                <w:sz w:val="21"/>
              </w:rPr>
              <w:t>万吨无水硫酸镁及</w:t>
            </w:r>
            <w:r w:rsidRPr="004836A8">
              <w:rPr>
                <w:rFonts w:ascii="Times New Roman" w:hAnsi="Times New Roman"/>
                <w:bCs/>
                <w:sz w:val="21"/>
              </w:rPr>
              <w:t>2</w:t>
            </w:r>
            <w:r w:rsidRPr="004836A8">
              <w:rPr>
                <w:rFonts w:ascii="Times New Roman" w:hAnsi="Times New Roman"/>
                <w:bCs/>
                <w:sz w:val="21"/>
              </w:rPr>
              <w:lastRenderedPageBreak/>
              <w:t>万吨三水醋酸钠项目</w:t>
            </w:r>
            <w:bookmarkEnd w:id="324"/>
          </w:p>
        </w:tc>
        <w:tc>
          <w:tcPr>
            <w:tcW w:w="304"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lastRenderedPageBreak/>
              <w:t>DA002</w:t>
            </w:r>
          </w:p>
        </w:tc>
        <w:tc>
          <w:tcPr>
            <w:tcW w:w="268" w:type="pct"/>
            <w:vAlign w:val="center"/>
          </w:tcPr>
          <w:p w:rsidR="005C7A62" w:rsidRPr="004836A8" w:rsidRDefault="005C7A62" w:rsidP="005C7A62">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63</w:t>
            </w:r>
          </w:p>
        </w:tc>
        <w:tc>
          <w:tcPr>
            <w:tcW w:w="268" w:type="pct"/>
            <w:vAlign w:val="center"/>
          </w:tcPr>
          <w:p w:rsidR="005C7A62" w:rsidRPr="004836A8" w:rsidRDefault="005C7A62" w:rsidP="005C7A62">
            <w:pPr>
              <w:widowControl/>
              <w:ind w:firstLineChars="0" w:firstLine="0"/>
              <w:jc w:val="center"/>
              <w:rPr>
                <w:rFonts w:ascii="Times New Roman" w:hAnsi="Times New Roman"/>
                <w:bCs/>
                <w:sz w:val="21"/>
              </w:rPr>
            </w:pPr>
            <w:r>
              <w:rPr>
                <w:rFonts w:ascii="Times New Roman" w:hAnsi="Times New Roman" w:hint="eastAsia"/>
                <w:bCs/>
                <w:sz w:val="21"/>
              </w:rPr>
              <w:t>5</w:t>
            </w:r>
            <w:r>
              <w:rPr>
                <w:rFonts w:ascii="Times New Roman" w:hAnsi="Times New Roman"/>
                <w:bCs/>
                <w:sz w:val="21"/>
              </w:rPr>
              <w:t>98</w:t>
            </w:r>
          </w:p>
        </w:tc>
        <w:tc>
          <w:tcPr>
            <w:tcW w:w="269"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15</w:t>
            </w:r>
          </w:p>
        </w:tc>
        <w:tc>
          <w:tcPr>
            <w:tcW w:w="265"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0.5</w:t>
            </w:r>
          </w:p>
        </w:tc>
        <w:tc>
          <w:tcPr>
            <w:tcW w:w="284"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10000</w:t>
            </w:r>
          </w:p>
        </w:tc>
        <w:tc>
          <w:tcPr>
            <w:tcW w:w="253"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50</w:t>
            </w:r>
          </w:p>
        </w:tc>
        <w:tc>
          <w:tcPr>
            <w:tcW w:w="356"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0.048</w:t>
            </w:r>
          </w:p>
        </w:tc>
        <w:tc>
          <w:tcPr>
            <w:tcW w:w="428"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250"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97"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w:t>
            </w:r>
          </w:p>
        </w:tc>
      </w:tr>
      <w:tr w:rsidR="005C7A62" w:rsidRPr="004836A8" w:rsidTr="00F74256">
        <w:trPr>
          <w:trHeight w:val="340"/>
        </w:trPr>
        <w:tc>
          <w:tcPr>
            <w:tcW w:w="292" w:type="pct"/>
            <w:vMerge/>
            <w:vAlign w:val="center"/>
          </w:tcPr>
          <w:p w:rsidR="005C7A62" w:rsidRPr="004836A8" w:rsidRDefault="005C7A62" w:rsidP="005C7A62">
            <w:pPr>
              <w:widowControl/>
              <w:ind w:firstLineChars="0" w:firstLine="0"/>
              <w:jc w:val="center"/>
              <w:rPr>
                <w:rFonts w:ascii="Times New Roman" w:hAnsi="Times New Roman"/>
                <w:bCs/>
                <w:sz w:val="21"/>
              </w:rPr>
            </w:pPr>
          </w:p>
        </w:tc>
        <w:tc>
          <w:tcPr>
            <w:tcW w:w="609" w:type="pct"/>
            <w:vMerge/>
            <w:vAlign w:val="center"/>
          </w:tcPr>
          <w:p w:rsidR="005C7A62" w:rsidRPr="004836A8" w:rsidRDefault="005C7A62" w:rsidP="005C7A62">
            <w:pPr>
              <w:widowControl/>
              <w:ind w:firstLineChars="0" w:firstLine="0"/>
              <w:jc w:val="center"/>
              <w:rPr>
                <w:rFonts w:ascii="Times New Roman" w:hAnsi="Times New Roman"/>
                <w:bCs/>
                <w:sz w:val="21"/>
              </w:rPr>
            </w:pPr>
          </w:p>
        </w:tc>
        <w:tc>
          <w:tcPr>
            <w:tcW w:w="304"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DA003</w:t>
            </w:r>
          </w:p>
        </w:tc>
        <w:tc>
          <w:tcPr>
            <w:tcW w:w="268" w:type="pct"/>
            <w:vAlign w:val="center"/>
          </w:tcPr>
          <w:p w:rsidR="005C7A62" w:rsidRPr="004836A8" w:rsidRDefault="005C7A62" w:rsidP="005C7A62">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50</w:t>
            </w:r>
          </w:p>
        </w:tc>
        <w:tc>
          <w:tcPr>
            <w:tcW w:w="268" w:type="pct"/>
            <w:vAlign w:val="center"/>
          </w:tcPr>
          <w:p w:rsidR="005C7A62" w:rsidRPr="004836A8" w:rsidRDefault="005C7A62" w:rsidP="005C7A62">
            <w:pPr>
              <w:widowControl/>
              <w:ind w:firstLineChars="0" w:firstLine="0"/>
              <w:jc w:val="center"/>
              <w:rPr>
                <w:rFonts w:ascii="Times New Roman" w:hAnsi="Times New Roman"/>
                <w:bCs/>
                <w:sz w:val="21"/>
              </w:rPr>
            </w:pPr>
            <w:r>
              <w:rPr>
                <w:rFonts w:ascii="Times New Roman" w:hAnsi="Times New Roman" w:hint="eastAsia"/>
                <w:bCs/>
                <w:sz w:val="21"/>
              </w:rPr>
              <w:t>6</w:t>
            </w:r>
            <w:r>
              <w:rPr>
                <w:rFonts w:ascii="Times New Roman" w:hAnsi="Times New Roman"/>
                <w:bCs/>
                <w:sz w:val="21"/>
              </w:rPr>
              <w:t>04</w:t>
            </w:r>
          </w:p>
        </w:tc>
        <w:tc>
          <w:tcPr>
            <w:tcW w:w="269"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15</w:t>
            </w:r>
          </w:p>
        </w:tc>
        <w:tc>
          <w:tcPr>
            <w:tcW w:w="265"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1.0</w:t>
            </w:r>
          </w:p>
        </w:tc>
        <w:tc>
          <w:tcPr>
            <w:tcW w:w="284"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15000</w:t>
            </w:r>
          </w:p>
        </w:tc>
        <w:tc>
          <w:tcPr>
            <w:tcW w:w="253"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50</w:t>
            </w:r>
          </w:p>
        </w:tc>
        <w:tc>
          <w:tcPr>
            <w:tcW w:w="356"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0.09</w:t>
            </w:r>
          </w:p>
        </w:tc>
        <w:tc>
          <w:tcPr>
            <w:tcW w:w="428"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250"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97"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w:t>
            </w:r>
          </w:p>
        </w:tc>
      </w:tr>
      <w:tr w:rsidR="005C7A62" w:rsidRPr="004836A8" w:rsidTr="00F74256">
        <w:trPr>
          <w:trHeight w:val="340"/>
        </w:trPr>
        <w:tc>
          <w:tcPr>
            <w:tcW w:w="292" w:type="pct"/>
            <w:vMerge/>
            <w:vAlign w:val="center"/>
          </w:tcPr>
          <w:p w:rsidR="005C7A62" w:rsidRPr="004836A8" w:rsidRDefault="005C7A62" w:rsidP="005C7A62">
            <w:pPr>
              <w:widowControl/>
              <w:ind w:firstLineChars="0" w:firstLine="0"/>
              <w:jc w:val="center"/>
              <w:rPr>
                <w:rFonts w:ascii="Times New Roman" w:hAnsi="Times New Roman"/>
                <w:bCs/>
                <w:sz w:val="21"/>
              </w:rPr>
            </w:pPr>
          </w:p>
        </w:tc>
        <w:tc>
          <w:tcPr>
            <w:tcW w:w="609" w:type="pct"/>
            <w:vMerge/>
            <w:vAlign w:val="center"/>
          </w:tcPr>
          <w:p w:rsidR="005C7A62" w:rsidRPr="004836A8" w:rsidRDefault="005C7A62" w:rsidP="005C7A62">
            <w:pPr>
              <w:widowControl/>
              <w:ind w:firstLineChars="0" w:firstLine="0"/>
              <w:jc w:val="center"/>
              <w:rPr>
                <w:rFonts w:ascii="Times New Roman" w:hAnsi="Times New Roman"/>
                <w:bCs/>
                <w:sz w:val="21"/>
              </w:rPr>
            </w:pPr>
          </w:p>
        </w:tc>
        <w:tc>
          <w:tcPr>
            <w:tcW w:w="304"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DA004</w:t>
            </w:r>
          </w:p>
        </w:tc>
        <w:tc>
          <w:tcPr>
            <w:tcW w:w="268" w:type="pct"/>
            <w:vAlign w:val="center"/>
          </w:tcPr>
          <w:p w:rsidR="005C7A62" w:rsidRPr="004836A8" w:rsidRDefault="005C7A62" w:rsidP="005C7A62">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47</w:t>
            </w:r>
          </w:p>
        </w:tc>
        <w:tc>
          <w:tcPr>
            <w:tcW w:w="268" w:type="pct"/>
            <w:vAlign w:val="center"/>
          </w:tcPr>
          <w:p w:rsidR="005C7A62" w:rsidRPr="004836A8" w:rsidRDefault="005C7A62" w:rsidP="005C7A62">
            <w:pPr>
              <w:widowControl/>
              <w:ind w:firstLineChars="0" w:firstLine="0"/>
              <w:jc w:val="center"/>
              <w:rPr>
                <w:rFonts w:ascii="Times New Roman" w:hAnsi="Times New Roman"/>
                <w:bCs/>
                <w:sz w:val="21"/>
              </w:rPr>
            </w:pPr>
            <w:r>
              <w:rPr>
                <w:rFonts w:ascii="Times New Roman" w:hAnsi="Times New Roman" w:hint="eastAsia"/>
                <w:bCs/>
                <w:sz w:val="21"/>
              </w:rPr>
              <w:t>6</w:t>
            </w:r>
            <w:r>
              <w:rPr>
                <w:rFonts w:ascii="Times New Roman" w:hAnsi="Times New Roman"/>
                <w:bCs/>
                <w:sz w:val="21"/>
              </w:rPr>
              <w:t>14</w:t>
            </w:r>
          </w:p>
        </w:tc>
        <w:tc>
          <w:tcPr>
            <w:tcW w:w="269"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15</w:t>
            </w:r>
          </w:p>
        </w:tc>
        <w:tc>
          <w:tcPr>
            <w:tcW w:w="265"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0.4</w:t>
            </w:r>
          </w:p>
        </w:tc>
        <w:tc>
          <w:tcPr>
            <w:tcW w:w="284"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5000</w:t>
            </w:r>
          </w:p>
        </w:tc>
        <w:tc>
          <w:tcPr>
            <w:tcW w:w="253"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356"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0.029</w:t>
            </w:r>
          </w:p>
        </w:tc>
        <w:tc>
          <w:tcPr>
            <w:tcW w:w="428"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250"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97"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w:t>
            </w:r>
          </w:p>
        </w:tc>
      </w:tr>
      <w:tr w:rsidR="005C7A62" w:rsidRPr="004836A8" w:rsidTr="00F74256">
        <w:trPr>
          <w:trHeight w:val="340"/>
        </w:trPr>
        <w:tc>
          <w:tcPr>
            <w:tcW w:w="292" w:type="pct"/>
            <w:vMerge/>
            <w:vAlign w:val="center"/>
          </w:tcPr>
          <w:p w:rsidR="005C7A62" w:rsidRPr="004836A8" w:rsidRDefault="005C7A62" w:rsidP="005C7A62">
            <w:pPr>
              <w:widowControl/>
              <w:ind w:firstLineChars="0" w:firstLine="0"/>
              <w:jc w:val="center"/>
              <w:rPr>
                <w:rFonts w:ascii="Times New Roman" w:hAnsi="Times New Roman"/>
                <w:bCs/>
                <w:sz w:val="21"/>
              </w:rPr>
            </w:pPr>
          </w:p>
        </w:tc>
        <w:tc>
          <w:tcPr>
            <w:tcW w:w="609" w:type="pct"/>
            <w:vMerge/>
            <w:vAlign w:val="center"/>
          </w:tcPr>
          <w:p w:rsidR="005C7A62" w:rsidRPr="004836A8" w:rsidRDefault="005C7A62" w:rsidP="005C7A62">
            <w:pPr>
              <w:widowControl/>
              <w:ind w:firstLineChars="0" w:firstLine="0"/>
              <w:jc w:val="center"/>
              <w:rPr>
                <w:rFonts w:ascii="Times New Roman" w:hAnsi="Times New Roman"/>
                <w:bCs/>
                <w:sz w:val="21"/>
              </w:rPr>
            </w:pPr>
          </w:p>
        </w:tc>
        <w:tc>
          <w:tcPr>
            <w:tcW w:w="304"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DA005</w:t>
            </w:r>
          </w:p>
        </w:tc>
        <w:tc>
          <w:tcPr>
            <w:tcW w:w="268" w:type="pct"/>
            <w:vAlign w:val="center"/>
          </w:tcPr>
          <w:p w:rsidR="005C7A62" w:rsidRPr="004836A8" w:rsidRDefault="005C7A62" w:rsidP="005C7A62">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47</w:t>
            </w:r>
          </w:p>
        </w:tc>
        <w:tc>
          <w:tcPr>
            <w:tcW w:w="268" w:type="pct"/>
            <w:vAlign w:val="center"/>
          </w:tcPr>
          <w:p w:rsidR="005C7A62" w:rsidRPr="004836A8" w:rsidRDefault="005C7A62" w:rsidP="005C7A62">
            <w:pPr>
              <w:widowControl/>
              <w:ind w:firstLineChars="0" w:firstLine="0"/>
              <w:jc w:val="center"/>
              <w:rPr>
                <w:rFonts w:ascii="Times New Roman" w:hAnsi="Times New Roman"/>
                <w:bCs/>
                <w:sz w:val="21"/>
              </w:rPr>
            </w:pPr>
            <w:r>
              <w:rPr>
                <w:rFonts w:ascii="Times New Roman" w:hAnsi="Times New Roman" w:hint="eastAsia"/>
                <w:bCs/>
                <w:sz w:val="21"/>
              </w:rPr>
              <w:t>6</w:t>
            </w:r>
            <w:r>
              <w:rPr>
                <w:rFonts w:ascii="Times New Roman" w:hAnsi="Times New Roman"/>
                <w:bCs/>
                <w:sz w:val="21"/>
              </w:rPr>
              <w:t>32</w:t>
            </w:r>
          </w:p>
        </w:tc>
        <w:tc>
          <w:tcPr>
            <w:tcW w:w="269"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15</w:t>
            </w:r>
          </w:p>
        </w:tc>
        <w:tc>
          <w:tcPr>
            <w:tcW w:w="265"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0.3</w:t>
            </w:r>
          </w:p>
        </w:tc>
        <w:tc>
          <w:tcPr>
            <w:tcW w:w="284"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2500</w:t>
            </w:r>
          </w:p>
        </w:tc>
        <w:tc>
          <w:tcPr>
            <w:tcW w:w="253"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356"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428"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0.012</w:t>
            </w:r>
          </w:p>
        </w:tc>
        <w:tc>
          <w:tcPr>
            <w:tcW w:w="250"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97" w:type="pct"/>
            <w:vAlign w:val="center"/>
          </w:tcPr>
          <w:p w:rsidR="005C7A62" w:rsidRPr="004836A8" w:rsidRDefault="005C7A62" w:rsidP="005C7A62">
            <w:pPr>
              <w:widowControl/>
              <w:ind w:firstLineChars="0" w:firstLine="0"/>
              <w:jc w:val="center"/>
              <w:rPr>
                <w:rFonts w:ascii="Times New Roman" w:hAnsi="Times New Roman"/>
                <w:bCs/>
                <w:sz w:val="21"/>
              </w:rPr>
            </w:pPr>
            <w:r w:rsidRPr="004836A8">
              <w:rPr>
                <w:rFonts w:ascii="Times New Roman" w:hAnsi="Times New Roman"/>
                <w:bCs/>
                <w:sz w:val="21"/>
              </w:rPr>
              <w:t>/</w:t>
            </w:r>
          </w:p>
        </w:tc>
      </w:tr>
      <w:tr w:rsidR="004836A8" w:rsidRPr="004836A8" w:rsidTr="00F74256">
        <w:trPr>
          <w:trHeight w:val="545"/>
        </w:trPr>
        <w:tc>
          <w:tcPr>
            <w:tcW w:w="292" w:type="pct"/>
            <w:vMerge w:val="restar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蚌埠阿迪亚新材料有限公司</w:t>
            </w:r>
          </w:p>
        </w:tc>
        <w:tc>
          <w:tcPr>
            <w:tcW w:w="609" w:type="pct"/>
            <w:vMerge w:val="restar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年产</w:t>
            </w:r>
            <w:r w:rsidRPr="004836A8">
              <w:rPr>
                <w:rFonts w:ascii="Times New Roman" w:hAnsi="Times New Roman"/>
                <w:bCs/>
                <w:sz w:val="21"/>
              </w:rPr>
              <w:t>5000</w:t>
            </w:r>
            <w:r w:rsidRPr="004836A8">
              <w:rPr>
                <w:rFonts w:ascii="Times New Roman" w:hAnsi="Times New Roman"/>
                <w:bCs/>
                <w:sz w:val="21"/>
              </w:rPr>
              <w:t>吨水性封闭聚异氰酸酯项目</w:t>
            </w: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DA001</w:t>
            </w:r>
          </w:p>
        </w:tc>
        <w:tc>
          <w:tcPr>
            <w:tcW w:w="268" w:type="pct"/>
            <w:vAlign w:val="center"/>
          </w:tcPr>
          <w:p w:rsidR="004836A8" w:rsidRPr="004836A8" w:rsidRDefault="005C7A62" w:rsidP="005C7A62">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1034</w:t>
            </w:r>
          </w:p>
        </w:tc>
        <w:tc>
          <w:tcPr>
            <w:tcW w:w="268" w:type="pct"/>
            <w:vAlign w:val="center"/>
          </w:tcPr>
          <w:p w:rsidR="004836A8" w:rsidRPr="004836A8" w:rsidRDefault="005C7A62" w:rsidP="004836A8">
            <w:pPr>
              <w:widowControl/>
              <w:ind w:firstLineChars="0" w:firstLine="0"/>
              <w:jc w:val="center"/>
              <w:rPr>
                <w:rFonts w:ascii="Times New Roman" w:hAnsi="Times New Roman"/>
                <w:bCs/>
                <w:sz w:val="21"/>
              </w:rPr>
            </w:pPr>
            <w:r>
              <w:rPr>
                <w:rFonts w:ascii="Times New Roman" w:hAnsi="Times New Roman" w:hint="eastAsia"/>
                <w:bCs/>
                <w:sz w:val="21"/>
              </w:rPr>
              <w:t>1</w:t>
            </w:r>
            <w:r>
              <w:rPr>
                <w:rFonts w:ascii="Times New Roman" w:hAnsi="Times New Roman"/>
                <w:bCs/>
                <w:sz w:val="21"/>
              </w:rPr>
              <w:t>01</w:t>
            </w:r>
          </w:p>
        </w:tc>
        <w:tc>
          <w:tcPr>
            <w:tcW w:w="269"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15</w:t>
            </w:r>
          </w:p>
        </w:tc>
        <w:tc>
          <w:tcPr>
            <w:tcW w:w="265"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0.4</w:t>
            </w:r>
          </w:p>
        </w:tc>
        <w:tc>
          <w:tcPr>
            <w:tcW w:w="28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10000</w:t>
            </w:r>
          </w:p>
        </w:tc>
        <w:tc>
          <w:tcPr>
            <w:tcW w:w="253"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356"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428"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0.085</w:t>
            </w:r>
          </w:p>
        </w:tc>
        <w:tc>
          <w:tcPr>
            <w:tcW w:w="25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r>
      <w:tr w:rsidR="004836A8" w:rsidRPr="004836A8" w:rsidTr="00F74256">
        <w:trPr>
          <w:trHeight w:val="431"/>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DA002</w:t>
            </w:r>
          </w:p>
        </w:tc>
        <w:tc>
          <w:tcPr>
            <w:tcW w:w="268" w:type="pct"/>
            <w:vAlign w:val="center"/>
          </w:tcPr>
          <w:p w:rsidR="004836A8" w:rsidRPr="004836A8" w:rsidRDefault="005C7A62" w:rsidP="005C7A62">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1027</w:t>
            </w:r>
          </w:p>
        </w:tc>
        <w:tc>
          <w:tcPr>
            <w:tcW w:w="268" w:type="pct"/>
            <w:vAlign w:val="center"/>
          </w:tcPr>
          <w:p w:rsidR="004836A8" w:rsidRPr="004836A8" w:rsidRDefault="005C7A62" w:rsidP="004836A8">
            <w:pPr>
              <w:widowControl/>
              <w:ind w:firstLineChars="0" w:firstLine="0"/>
              <w:jc w:val="center"/>
              <w:rPr>
                <w:rFonts w:ascii="Times New Roman" w:hAnsi="Times New Roman"/>
                <w:bCs/>
                <w:sz w:val="21"/>
              </w:rPr>
            </w:pPr>
            <w:r>
              <w:rPr>
                <w:rFonts w:ascii="Times New Roman" w:hAnsi="Times New Roman" w:hint="eastAsia"/>
                <w:bCs/>
                <w:sz w:val="21"/>
              </w:rPr>
              <w:t>9</w:t>
            </w:r>
            <w:r>
              <w:rPr>
                <w:rFonts w:ascii="Times New Roman" w:hAnsi="Times New Roman"/>
                <w:bCs/>
                <w:sz w:val="21"/>
              </w:rPr>
              <w:t>8</w:t>
            </w:r>
          </w:p>
        </w:tc>
        <w:tc>
          <w:tcPr>
            <w:tcW w:w="269"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15</w:t>
            </w:r>
          </w:p>
        </w:tc>
        <w:tc>
          <w:tcPr>
            <w:tcW w:w="265"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0.2</w:t>
            </w:r>
          </w:p>
        </w:tc>
        <w:tc>
          <w:tcPr>
            <w:tcW w:w="28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2000</w:t>
            </w:r>
          </w:p>
        </w:tc>
        <w:tc>
          <w:tcPr>
            <w:tcW w:w="253"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60</w:t>
            </w:r>
          </w:p>
        </w:tc>
        <w:tc>
          <w:tcPr>
            <w:tcW w:w="356"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0.006</w:t>
            </w:r>
          </w:p>
        </w:tc>
        <w:tc>
          <w:tcPr>
            <w:tcW w:w="428"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25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r>
      <w:tr w:rsidR="004836A8" w:rsidRPr="004836A8" w:rsidTr="00F74256">
        <w:trPr>
          <w:trHeight w:val="340"/>
        </w:trPr>
        <w:tc>
          <w:tcPr>
            <w:tcW w:w="292" w:type="pct"/>
            <w:vMerge w:val="restar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安徽新天地生物肥业有限公司</w:t>
            </w:r>
          </w:p>
        </w:tc>
        <w:tc>
          <w:tcPr>
            <w:tcW w:w="609" w:type="pct"/>
            <w:vMerge w:val="restar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年产</w:t>
            </w:r>
            <w:r w:rsidRPr="004836A8">
              <w:rPr>
                <w:rFonts w:ascii="Times New Roman" w:hAnsi="Times New Roman"/>
                <w:bCs/>
                <w:sz w:val="21"/>
              </w:rPr>
              <w:t>6000</w:t>
            </w:r>
            <w:r w:rsidRPr="004836A8">
              <w:rPr>
                <w:rFonts w:ascii="Times New Roman" w:hAnsi="Times New Roman"/>
                <w:bCs/>
                <w:sz w:val="21"/>
              </w:rPr>
              <w:t>吨生物农药及环境友好型新制剂生产装置扩建项目</w:t>
            </w: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DA004</w:t>
            </w:r>
          </w:p>
        </w:tc>
        <w:tc>
          <w:tcPr>
            <w:tcW w:w="268" w:type="pct"/>
            <w:vAlign w:val="center"/>
          </w:tcPr>
          <w:p w:rsidR="004836A8" w:rsidRPr="005C7A62" w:rsidRDefault="005C7A62" w:rsidP="005C7A62">
            <w:pPr>
              <w:widowControl/>
              <w:ind w:firstLineChars="0" w:firstLine="0"/>
              <w:jc w:val="center"/>
              <w:rPr>
                <w:rFonts w:ascii="Times New Roman" w:hAnsi="Times New Roman"/>
                <w:snapToGrid w:val="0"/>
                <w:sz w:val="21"/>
                <w:szCs w:val="21"/>
              </w:rPr>
            </w:pPr>
            <w:r w:rsidRPr="005C7A62">
              <w:rPr>
                <w:rFonts w:ascii="Times New Roman" w:hAnsi="Times New Roman" w:hint="eastAsia"/>
                <w:snapToGrid w:val="0"/>
                <w:sz w:val="21"/>
                <w:szCs w:val="21"/>
              </w:rPr>
              <w:t>-</w:t>
            </w:r>
            <w:r w:rsidRPr="005C7A62">
              <w:rPr>
                <w:rFonts w:ascii="Times New Roman" w:hAnsi="Times New Roman"/>
                <w:snapToGrid w:val="0"/>
                <w:sz w:val="21"/>
                <w:szCs w:val="21"/>
              </w:rPr>
              <w:t>1486</w:t>
            </w:r>
          </w:p>
        </w:tc>
        <w:tc>
          <w:tcPr>
            <w:tcW w:w="268" w:type="pct"/>
            <w:vAlign w:val="center"/>
          </w:tcPr>
          <w:p w:rsidR="004836A8" w:rsidRPr="005C7A62" w:rsidRDefault="005C7A62" w:rsidP="005C7A62">
            <w:pPr>
              <w:widowControl/>
              <w:ind w:firstLineChars="0" w:firstLine="0"/>
              <w:jc w:val="center"/>
              <w:rPr>
                <w:rFonts w:ascii="Times New Roman" w:hAnsi="Times New Roman"/>
                <w:snapToGrid w:val="0"/>
                <w:sz w:val="21"/>
                <w:szCs w:val="21"/>
              </w:rPr>
            </w:pPr>
            <w:r>
              <w:rPr>
                <w:rFonts w:ascii="Times New Roman" w:hAnsi="Times New Roman" w:hint="eastAsia"/>
                <w:snapToGrid w:val="0"/>
                <w:sz w:val="21"/>
                <w:szCs w:val="21"/>
              </w:rPr>
              <w:t>6</w:t>
            </w:r>
            <w:r>
              <w:rPr>
                <w:rFonts w:ascii="Times New Roman" w:hAnsi="Times New Roman"/>
                <w:snapToGrid w:val="0"/>
                <w:sz w:val="21"/>
                <w:szCs w:val="21"/>
              </w:rPr>
              <w:t>7</w:t>
            </w:r>
          </w:p>
        </w:tc>
        <w:tc>
          <w:tcPr>
            <w:tcW w:w="269"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snapToGrid w:val="0"/>
                <w:sz w:val="21"/>
                <w:szCs w:val="21"/>
              </w:rPr>
              <w:t>15</w:t>
            </w:r>
          </w:p>
        </w:tc>
        <w:tc>
          <w:tcPr>
            <w:tcW w:w="265" w:type="pct"/>
            <w:vAlign w:val="center"/>
          </w:tcPr>
          <w:p w:rsidR="004836A8" w:rsidRPr="005C7A62" w:rsidRDefault="004836A8" w:rsidP="005C7A62">
            <w:pPr>
              <w:widowControl/>
              <w:ind w:firstLineChars="0" w:firstLine="0"/>
              <w:jc w:val="center"/>
              <w:textAlignment w:val="center"/>
              <w:rPr>
                <w:rFonts w:ascii="Times New Roman" w:hAnsi="Times New Roman"/>
                <w:bCs/>
                <w:sz w:val="21"/>
                <w:szCs w:val="21"/>
              </w:rPr>
            </w:pPr>
            <w:r w:rsidRPr="005C7A62">
              <w:rPr>
                <w:rFonts w:ascii="Times New Roman" w:hAnsi="Times New Roman"/>
                <w:kern w:val="0"/>
                <w:sz w:val="21"/>
                <w:szCs w:val="21"/>
                <w:lang w:bidi="ar"/>
              </w:rPr>
              <w:t>0.5</w:t>
            </w:r>
          </w:p>
        </w:tc>
        <w:tc>
          <w:tcPr>
            <w:tcW w:w="284"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10000</w:t>
            </w:r>
          </w:p>
        </w:tc>
        <w:tc>
          <w:tcPr>
            <w:tcW w:w="253"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25</w:t>
            </w:r>
          </w:p>
        </w:tc>
        <w:tc>
          <w:tcPr>
            <w:tcW w:w="356"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7200</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0.0004</w:t>
            </w:r>
          </w:p>
        </w:tc>
        <w:tc>
          <w:tcPr>
            <w:tcW w:w="428"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0.013</w:t>
            </w:r>
          </w:p>
        </w:tc>
        <w:tc>
          <w:tcPr>
            <w:tcW w:w="25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6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DA005</w:t>
            </w:r>
          </w:p>
        </w:tc>
        <w:tc>
          <w:tcPr>
            <w:tcW w:w="268" w:type="pct"/>
            <w:vAlign w:val="center"/>
          </w:tcPr>
          <w:p w:rsidR="004836A8" w:rsidRPr="005C7A62" w:rsidRDefault="00387AF2" w:rsidP="005C7A62">
            <w:pPr>
              <w:widowControl/>
              <w:ind w:firstLineChars="0" w:firstLine="0"/>
              <w:jc w:val="center"/>
              <w:rPr>
                <w:rFonts w:ascii="Times New Roman" w:hAnsi="Times New Roman"/>
                <w:snapToGrid w:val="0"/>
                <w:sz w:val="21"/>
                <w:szCs w:val="21"/>
              </w:rPr>
            </w:pPr>
            <w:r>
              <w:rPr>
                <w:rFonts w:ascii="Times New Roman" w:hAnsi="Times New Roman" w:hint="eastAsia"/>
                <w:snapToGrid w:val="0"/>
                <w:sz w:val="21"/>
                <w:szCs w:val="21"/>
              </w:rPr>
              <w:t>-</w:t>
            </w:r>
            <w:r>
              <w:rPr>
                <w:rFonts w:ascii="Times New Roman" w:hAnsi="Times New Roman"/>
                <w:snapToGrid w:val="0"/>
                <w:sz w:val="21"/>
                <w:szCs w:val="21"/>
              </w:rPr>
              <w:t>1519</w:t>
            </w:r>
          </w:p>
        </w:tc>
        <w:tc>
          <w:tcPr>
            <w:tcW w:w="268" w:type="pct"/>
            <w:vAlign w:val="center"/>
          </w:tcPr>
          <w:p w:rsidR="004836A8" w:rsidRPr="005C7A62" w:rsidRDefault="00387AF2" w:rsidP="005C7A62">
            <w:pPr>
              <w:widowControl/>
              <w:ind w:firstLineChars="0" w:firstLine="0"/>
              <w:jc w:val="center"/>
              <w:rPr>
                <w:rFonts w:ascii="Times New Roman" w:hAnsi="Times New Roman"/>
                <w:snapToGrid w:val="0"/>
                <w:sz w:val="21"/>
                <w:szCs w:val="21"/>
              </w:rPr>
            </w:pPr>
            <w:r>
              <w:rPr>
                <w:rFonts w:ascii="Times New Roman" w:hAnsi="Times New Roman" w:hint="eastAsia"/>
                <w:snapToGrid w:val="0"/>
                <w:sz w:val="21"/>
                <w:szCs w:val="21"/>
              </w:rPr>
              <w:t>7</w:t>
            </w:r>
            <w:r>
              <w:rPr>
                <w:rFonts w:ascii="Times New Roman" w:hAnsi="Times New Roman"/>
                <w:snapToGrid w:val="0"/>
                <w:sz w:val="21"/>
                <w:szCs w:val="21"/>
              </w:rPr>
              <w:t>4</w:t>
            </w:r>
          </w:p>
        </w:tc>
        <w:tc>
          <w:tcPr>
            <w:tcW w:w="269"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snapToGrid w:val="0"/>
                <w:sz w:val="21"/>
                <w:szCs w:val="21"/>
              </w:rPr>
              <w:t>15</w:t>
            </w:r>
          </w:p>
        </w:tc>
        <w:tc>
          <w:tcPr>
            <w:tcW w:w="265" w:type="pct"/>
            <w:vAlign w:val="center"/>
          </w:tcPr>
          <w:p w:rsidR="004836A8" w:rsidRPr="005C7A62" w:rsidRDefault="004836A8" w:rsidP="005C7A62">
            <w:pPr>
              <w:widowControl/>
              <w:ind w:firstLineChars="0" w:firstLine="0"/>
              <w:jc w:val="center"/>
              <w:textAlignment w:val="center"/>
              <w:rPr>
                <w:rFonts w:ascii="Times New Roman" w:hAnsi="Times New Roman"/>
                <w:bCs/>
                <w:sz w:val="21"/>
                <w:szCs w:val="21"/>
              </w:rPr>
            </w:pPr>
            <w:r w:rsidRPr="005C7A62">
              <w:rPr>
                <w:rFonts w:ascii="Times New Roman" w:hAnsi="Times New Roman"/>
                <w:kern w:val="0"/>
                <w:sz w:val="21"/>
                <w:szCs w:val="21"/>
                <w:lang w:bidi="ar"/>
              </w:rPr>
              <w:t>0.5</w:t>
            </w:r>
          </w:p>
        </w:tc>
        <w:tc>
          <w:tcPr>
            <w:tcW w:w="284"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10000</w:t>
            </w:r>
          </w:p>
        </w:tc>
        <w:tc>
          <w:tcPr>
            <w:tcW w:w="253"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25</w:t>
            </w:r>
          </w:p>
        </w:tc>
        <w:tc>
          <w:tcPr>
            <w:tcW w:w="356"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7200</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0.00001</w:t>
            </w:r>
          </w:p>
        </w:tc>
        <w:tc>
          <w:tcPr>
            <w:tcW w:w="428"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0.0186</w:t>
            </w:r>
          </w:p>
        </w:tc>
        <w:tc>
          <w:tcPr>
            <w:tcW w:w="25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6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DA006</w:t>
            </w:r>
          </w:p>
        </w:tc>
        <w:tc>
          <w:tcPr>
            <w:tcW w:w="268" w:type="pct"/>
            <w:vAlign w:val="center"/>
          </w:tcPr>
          <w:p w:rsidR="004836A8" w:rsidRPr="005C7A62" w:rsidRDefault="00387AF2" w:rsidP="005C7A62">
            <w:pPr>
              <w:widowControl/>
              <w:ind w:firstLineChars="0" w:firstLine="0"/>
              <w:jc w:val="center"/>
              <w:rPr>
                <w:rFonts w:ascii="Times New Roman" w:hAnsi="Times New Roman"/>
                <w:snapToGrid w:val="0"/>
                <w:sz w:val="21"/>
                <w:szCs w:val="21"/>
              </w:rPr>
            </w:pPr>
            <w:r>
              <w:rPr>
                <w:rFonts w:ascii="Times New Roman" w:hAnsi="Times New Roman" w:hint="eastAsia"/>
                <w:snapToGrid w:val="0"/>
                <w:sz w:val="21"/>
                <w:szCs w:val="21"/>
              </w:rPr>
              <w:t>-</w:t>
            </w:r>
            <w:r>
              <w:rPr>
                <w:rFonts w:ascii="Times New Roman" w:hAnsi="Times New Roman"/>
                <w:snapToGrid w:val="0"/>
                <w:sz w:val="21"/>
                <w:szCs w:val="21"/>
              </w:rPr>
              <w:t>1513</w:t>
            </w:r>
          </w:p>
        </w:tc>
        <w:tc>
          <w:tcPr>
            <w:tcW w:w="268" w:type="pct"/>
            <w:vAlign w:val="center"/>
          </w:tcPr>
          <w:p w:rsidR="004836A8" w:rsidRPr="005C7A62" w:rsidRDefault="00387AF2" w:rsidP="005C7A62">
            <w:pPr>
              <w:widowControl/>
              <w:ind w:firstLineChars="0" w:firstLine="0"/>
              <w:jc w:val="center"/>
              <w:rPr>
                <w:rFonts w:ascii="Times New Roman" w:hAnsi="Times New Roman"/>
                <w:snapToGrid w:val="0"/>
                <w:sz w:val="21"/>
                <w:szCs w:val="21"/>
              </w:rPr>
            </w:pPr>
            <w:r>
              <w:rPr>
                <w:rFonts w:ascii="Times New Roman" w:hAnsi="Times New Roman" w:hint="eastAsia"/>
                <w:snapToGrid w:val="0"/>
                <w:sz w:val="21"/>
                <w:szCs w:val="21"/>
              </w:rPr>
              <w:t>5</w:t>
            </w:r>
            <w:r>
              <w:rPr>
                <w:rFonts w:ascii="Times New Roman" w:hAnsi="Times New Roman"/>
                <w:snapToGrid w:val="0"/>
                <w:sz w:val="21"/>
                <w:szCs w:val="21"/>
              </w:rPr>
              <w:t>1</w:t>
            </w:r>
          </w:p>
        </w:tc>
        <w:tc>
          <w:tcPr>
            <w:tcW w:w="269" w:type="pct"/>
            <w:vAlign w:val="center"/>
          </w:tcPr>
          <w:p w:rsidR="004836A8" w:rsidRPr="005C7A62" w:rsidRDefault="00387AF2" w:rsidP="005C7A62">
            <w:pPr>
              <w:widowControl/>
              <w:ind w:firstLineChars="0" w:firstLine="0"/>
              <w:jc w:val="center"/>
              <w:rPr>
                <w:rFonts w:ascii="Times New Roman" w:hAnsi="Times New Roman"/>
                <w:bCs/>
                <w:sz w:val="21"/>
                <w:szCs w:val="21"/>
              </w:rPr>
            </w:pPr>
            <w:r>
              <w:rPr>
                <w:rFonts w:ascii="Times New Roman" w:hAnsi="Times New Roman"/>
                <w:snapToGrid w:val="0"/>
                <w:sz w:val="21"/>
                <w:szCs w:val="21"/>
              </w:rPr>
              <w:t>15</w:t>
            </w:r>
          </w:p>
        </w:tc>
        <w:tc>
          <w:tcPr>
            <w:tcW w:w="265" w:type="pct"/>
            <w:vAlign w:val="center"/>
          </w:tcPr>
          <w:p w:rsidR="004836A8" w:rsidRPr="005C7A62" w:rsidRDefault="004836A8" w:rsidP="005C7A62">
            <w:pPr>
              <w:widowControl/>
              <w:ind w:firstLineChars="0" w:firstLine="0"/>
              <w:jc w:val="center"/>
              <w:textAlignment w:val="center"/>
              <w:rPr>
                <w:rFonts w:ascii="Times New Roman" w:hAnsi="Times New Roman"/>
                <w:bCs/>
                <w:sz w:val="21"/>
                <w:szCs w:val="21"/>
              </w:rPr>
            </w:pPr>
            <w:r w:rsidRPr="005C7A62">
              <w:rPr>
                <w:rFonts w:ascii="Times New Roman" w:hAnsi="Times New Roman"/>
                <w:kern w:val="0"/>
                <w:sz w:val="21"/>
                <w:szCs w:val="21"/>
                <w:lang w:bidi="ar"/>
              </w:rPr>
              <w:t>0.5</w:t>
            </w:r>
          </w:p>
        </w:tc>
        <w:tc>
          <w:tcPr>
            <w:tcW w:w="284"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10000</w:t>
            </w:r>
          </w:p>
        </w:tc>
        <w:tc>
          <w:tcPr>
            <w:tcW w:w="253"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25</w:t>
            </w:r>
          </w:p>
        </w:tc>
        <w:tc>
          <w:tcPr>
            <w:tcW w:w="356"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7200</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0.0066</w:t>
            </w:r>
          </w:p>
        </w:tc>
        <w:tc>
          <w:tcPr>
            <w:tcW w:w="428"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25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6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DA007</w:t>
            </w:r>
          </w:p>
        </w:tc>
        <w:tc>
          <w:tcPr>
            <w:tcW w:w="268" w:type="pct"/>
            <w:vAlign w:val="center"/>
          </w:tcPr>
          <w:p w:rsidR="004836A8" w:rsidRPr="005C7A62" w:rsidRDefault="00387AF2" w:rsidP="005C7A62">
            <w:pPr>
              <w:widowControl/>
              <w:ind w:firstLineChars="0" w:firstLine="0"/>
              <w:jc w:val="center"/>
              <w:rPr>
                <w:rFonts w:ascii="Times New Roman" w:hAnsi="Times New Roman"/>
                <w:bCs/>
                <w:sz w:val="21"/>
                <w:szCs w:val="21"/>
              </w:rPr>
            </w:pPr>
            <w:r>
              <w:rPr>
                <w:rFonts w:ascii="Times New Roman" w:hAnsi="Times New Roman" w:hint="eastAsia"/>
                <w:bCs/>
                <w:sz w:val="21"/>
                <w:szCs w:val="21"/>
              </w:rPr>
              <w:t>-</w:t>
            </w:r>
            <w:r>
              <w:rPr>
                <w:rFonts w:ascii="Times New Roman" w:hAnsi="Times New Roman"/>
                <w:bCs/>
                <w:sz w:val="21"/>
                <w:szCs w:val="21"/>
              </w:rPr>
              <w:t>1483</w:t>
            </w:r>
          </w:p>
        </w:tc>
        <w:tc>
          <w:tcPr>
            <w:tcW w:w="268" w:type="pct"/>
            <w:vAlign w:val="center"/>
          </w:tcPr>
          <w:p w:rsidR="004836A8" w:rsidRPr="005C7A62" w:rsidRDefault="00387AF2" w:rsidP="005C7A62">
            <w:pPr>
              <w:widowControl/>
              <w:ind w:firstLineChars="0" w:firstLine="0"/>
              <w:jc w:val="center"/>
              <w:rPr>
                <w:rFonts w:ascii="Times New Roman" w:hAnsi="Times New Roman"/>
                <w:bCs/>
                <w:sz w:val="21"/>
                <w:szCs w:val="21"/>
              </w:rPr>
            </w:pPr>
            <w:r>
              <w:rPr>
                <w:rFonts w:ascii="Times New Roman" w:hAnsi="Times New Roman" w:hint="eastAsia"/>
                <w:bCs/>
                <w:sz w:val="21"/>
                <w:szCs w:val="21"/>
              </w:rPr>
              <w:t>4</w:t>
            </w:r>
            <w:r>
              <w:rPr>
                <w:rFonts w:ascii="Times New Roman" w:hAnsi="Times New Roman"/>
                <w:bCs/>
                <w:sz w:val="21"/>
                <w:szCs w:val="21"/>
              </w:rPr>
              <w:t>7</w:t>
            </w:r>
          </w:p>
        </w:tc>
        <w:tc>
          <w:tcPr>
            <w:tcW w:w="269"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15</w:t>
            </w:r>
          </w:p>
        </w:tc>
        <w:tc>
          <w:tcPr>
            <w:tcW w:w="265"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0.3</w:t>
            </w:r>
          </w:p>
        </w:tc>
        <w:tc>
          <w:tcPr>
            <w:tcW w:w="284"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2000</w:t>
            </w:r>
          </w:p>
        </w:tc>
        <w:tc>
          <w:tcPr>
            <w:tcW w:w="253"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25</w:t>
            </w:r>
          </w:p>
        </w:tc>
        <w:tc>
          <w:tcPr>
            <w:tcW w:w="356"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7200</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0.00007</w:t>
            </w:r>
          </w:p>
        </w:tc>
        <w:tc>
          <w:tcPr>
            <w:tcW w:w="428"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25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6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DA008</w:t>
            </w:r>
          </w:p>
        </w:tc>
        <w:tc>
          <w:tcPr>
            <w:tcW w:w="268" w:type="pct"/>
            <w:vAlign w:val="center"/>
          </w:tcPr>
          <w:p w:rsidR="004836A8" w:rsidRPr="005C7A62" w:rsidRDefault="00387AF2" w:rsidP="005C7A62">
            <w:pPr>
              <w:widowControl/>
              <w:ind w:firstLineChars="0" w:firstLine="0"/>
              <w:jc w:val="center"/>
              <w:rPr>
                <w:rFonts w:ascii="Times New Roman" w:hAnsi="Times New Roman"/>
                <w:bCs/>
                <w:sz w:val="21"/>
                <w:szCs w:val="21"/>
              </w:rPr>
            </w:pPr>
            <w:r>
              <w:rPr>
                <w:rFonts w:ascii="Times New Roman" w:hAnsi="Times New Roman" w:hint="eastAsia"/>
                <w:bCs/>
                <w:sz w:val="21"/>
                <w:szCs w:val="21"/>
              </w:rPr>
              <w:t>-</w:t>
            </w:r>
            <w:r>
              <w:rPr>
                <w:rFonts w:ascii="Times New Roman" w:hAnsi="Times New Roman"/>
                <w:bCs/>
                <w:sz w:val="21"/>
                <w:szCs w:val="21"/>
              </w:rPr>
              <w:t>1463</w:t>
            </w:r>
          </w:p>
        </w:tc>
        <w:tc>
          <w:tcPr>
            <w:tcW w:w="268" w:type="pct"/>
            <w:vAlign w:val="center"/>
          </w:tcPr>
          <w:p w:rsidR="004836A8" w:rsidRPr="005C7A62" w:rsidRDefault="00387AF2" w:rsidP="005C7A62">
            <w:pPr>
              <w:widowControl/>
              <w:ind w:firstLineChars="0" w:firstLine="0"/>
              <w:jc w:val="center"/>
              <w:rPr>
                <w:rFonts w:ascii="Times New Roman" w:hAnsi="Times New Roman"/>
                <w:bCs/>
                <w:sz w:val="21"/>
                <w:szCs w:val="21"/>
              </w:rPr>
            </w:pPr>
            <w:r>
              <w:rPr>
                <w:rFonts w:ascii="Times New Roman" w:hAnsi="Times New Roman" w:hint="eastAsia"/>
                <w:bCs/>
                <w:sz w:val="21"/>
                <w:szCs w:val="21"/>
              </w:rPr>
              <w:t>4</w:t>
            </w:r>
            <w:r>
              <w:rPr>
                <w:rFonts w:ascii="Times New Roman" w:hAnsi="Times New Roman"/>
                <w:bCs/>
                <w:sz w:val="21"/>
                <w:szCs w:val="21"/>
              </w:rPr>
              <w:t>7</w:t>
            </w:r>
          </w:p>
        </w:tc>
        <w:tc>
          <w:tcPr>
            <w:tcW w:w="269"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15</w:t>
            </w:r>
          </w:p>
        </w:tc>
        <w:tc>
          <w:tcPr>
            <w:tcW w:w="265"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0.4</w:t>
            </w:r>
          </w:p>
        </w:tc>
        <w:tc>
          <w:tcPr>
            <w:tcW w:w="284"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5000</w:t>
            </w:r>
          </w:p>
        </w:tc>
        <w:tc>
          <w:tcPr>
            <w:tcW w:w="253"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25</w:t>
            </w:r>
          </w:p>
        </w:tc>
        <w:tc>
          <w:tcPr>
            <w:tcW w:w="356"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7200</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0.00008</w:t>
            </w:r>
          </w:p>
        </w:tc>
        <w:tc>
          <w:tcPr>
            <w:tcW w:w="428"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0.016</w:t>
            </w:r>
          </w:p>
        </w:tc>
        <w:tc>
          <w:tcPr>
            <w:tcW w:w="25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6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DA009</w:t>
            </w:r>
          </w:p>
        </w:tc>
        <w:tc>
          <w:tcPr>
            <w:tcW w:w="268" w:type="pct"/>
            <w:vAlign w:val="center"/>
          </w:tcPr>
          <w:p w:rsidR="004836A8" w:rsidRPr="005C7A62" w:rsidRDefault="00387AF2" w:rsidP="005C7A62">
            <w:pPr>
              <w:widowControl/>
              <w:ind w:firstLineChars="0" w:firstLine="0"/>
              <w:jc w:val="center"/>
              <w:rPr>
                <w:rFonts w:ascii="Times New Roman" w:hAnsi="Times New Roman"/>
                <w:bCs/>
                <w:sz w:val="21"/>
                <w:szCs w:val="21"/>
              </w:rPr>
            </w:pPr>
            <w:r>
              <w:rPr>
                <w:rFonts w:ascii="Times New Roman" w:hAnsi="Times New Roman" w:hint="eastAsia"/>
                <w:bCs/>
                <w:sz w:val="21"/>
                <w:szCs w:val="21"/>
              </w:rPr>
              <w:t>-</w:t>
            </w:r>
            <w:r>
              <w:rPr>
                <w:rFonts w:ascii="Times New Roman" w:hAnsi="Times New Roman"/>
                <w:bCs/>
                <w:sz w:val="21"/>
                <w:szCs w:val="21"/>
              </w:rPr>
              <w:t>1443</w:t>
            </w:r>
          </w:p>
        </w:tc>
        <w:tc>
          <w:tcPr>
            <w:tcW w:w="268" w:type="pct"/>
            <w:vAlign w:val="center"/>
          </w:tcPr>
          <w:p w:rsidR="004836A8" w:rsidRPr="005C7A62" w:rsidRDefault="00387AF2" w:rsidP="005C7A62">
            <w:pPr>
              <w:widowControl/>
              <w:ind w:firstLineChars="0" w:firstLine="0"/>
              <w:jc w:val="center"/>
              <w:rPr>
                <w:rFonts w:ascii="Times New Roman" w:hAnsi="Times New Roman"/>
                <w:bCs/>
                <w:sz w:val="21"/>
                <w:szCs w:val="21"/>
              </w:rPr>
            </w:pPr>
            <w:r>
              <w:rPr>
                <w:rFonts w:ascii="Times New Roman" w:hAnsi="Times New Roman" w:hint="eastAsia"/>
                <w:bCs/>
                <w:sz w:val="21"/>
                <w:szCs w:val="21"/>
              </w:rPr>
              <w:t>4</w:t>
            </w:r>
            <w:r>
              <w:rPr>
                <w:rFonts w:ascii="Times New Roman" w:hAnsi="Times New Roman"/>
                <w:bCs/>
                <w:sz w:val="21"/>
                <w:szCs w:val="21"/>
              </w:rPr>
              <w:t>1</w:t>
            </w:r>
          </w:p>
        </w:tc>
        <w:tc>
          <w:tcPr>
            <w:tcW w:w="269"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15</w:t>
            </w:r>
          </w:p>
        </w:tc>
        <w:tc>
          <w:tcPr>
            <w:tcW w:w="265"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0.4</w:t>
            </w:r>
          </w:p>
        </w:tc>
        <w:tc>
          <w:tcPr>
            <w:tcW w:w="284"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2000</w:t>
            </w:r>
          </w:p>
        </w:tc>
        <w:tc>
          <w:tcPr>
            <w:tcW w:w="253"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25</w:t>
            </w:r>
          </w:p>
        </w:tc>
        <w:tc>
          <w:tcPr>
            <w:tcW w:w="356"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7200</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428"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eastAsia="等线" w:hAnsi="Times New Roman"/>
                <w:kern w:val="0"/>
                <w:sz w:val="21"/>
                <w:szCs w:val="21"/>
                <w:lang w:bidi="ar"/>
              </w:rPr>
              <w:t>0.000261</w:t>
            </w:r>
          </w:p>
        </w:tc>
        <w:tc>
          <w:tcPr>
            <w:tcW w:w="25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6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0.000018</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eastAsia="等线" w:hAnsi="Times New Roman"/>
                <w:kern w:val="0"/>
                <w:sz w:val="21"/>
                <w:szCs w:val="21"/>
                <w:lang w:bidi="ar"/>
              </w:rPr>
              <w:t>0.0000007</w:t>
            </w:r>
          </w:p>
        </w:tc>
      </w:tr>
      <w:tr w:rsidR="004836A8" w:rsidRPr="004836A8" w:rsidTr="00F74256">
        <w:trPr>
          <w:trHeight w:val="340"/>
        </w:trPr>
        <w:tc>
          <w:tcPr>
            <w:tcW w:w="292" w:type="pct"/>
            <w:vMerge w:val="restar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安徽天润化学工业股份</w:t>
            </w:r>
            <w:r w:rsidRPr="004836A8">
              <w:rPr>
                <w:rFonts w:ascii="Times New Roman" w:hAnsi="Times New Roman"/>
                <w:bCs/>
                <w:sz w:val="21"/>
              </w:rPr>
              <w:lastRenderedPageBreak/>
              <w:t>有限公司</w:t>
            </w:r>
          </w:p>
        </w:tc>
        <w:tc>
          <w:tcPr>
            <w:tcW w:w="609" w:type="pct"/>
            <w:vMerge w:val="restar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lastRenderedPageBreak/>
              <w:t>3</w:t>
            </w:r>
            <w:r w:rsidRPr="004836A8">
              <w:rPr>
                <w:rFonts w:ascii="Times New Roman" w:hAnsi="Times New Roman"/>
                <w:bCs/>
                <w:sz w:val="21"/>
              </w:rPr>
              <w:t>万吨</w:t>
            </w:r>
            <w:r w:rsidRPr="004836A8">
              <w:rPr>
                <w:rFonts w:ascii="Times New Roman" w:hAnsi="Times New Roman"/>
                <w:bCs/>
                <w:sz w:val="21"/>
              </w:rPr>
              <w:t>/</w:t>
            </w:r>
            <w:r w:rsidRPr="004836A8">
              <w:rPr>
                <w:rFonts w:ascii="Times New Roman" w:hAnsi="Times New Roman"/>
                <w:bCs/>
                <w:sz w:val="21"/>
              </w:rPr>
              <w:t>年聚丙烯酰胺干粉项目</w:t>
            </w: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DA018</w:t>
            </w:r>
          </w:p>
        </w:tc>
        <w:tc>
          <w:tcPr>
            <w:tcW w:w="268" w:type="pct"/>
            <w:vAlign w:val="center"/>
          </w:tcPr>
          <w:p w:rsidR="004836A8" w:rsidRPr="005C7A62" w:rsidRDefault="00387AF2" w:rsidP="005C7A62">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368</w:t>
            </w:r>
          </w:p>
        </w:tc>
        <w:tc>
          <w:tcPr>
            <w:tcW w:w="268" w:type="pct"/>
            <w:vAlign w:val="center"/>
          </w:tcPr>
          <w:p w:rsidR="004836A8" w:rsidRPr="005C7A62" w:rsidRDefault="00387AF2" w:rsidP="00387AF2">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447</w:t>
            </w:r>
          </w:p>
        </w:tc>
        <w:tc>
          <w:tcPr>
            <w:tcW w:w="269" w:type="pct"/>
            <w:vAlign w:val="center"/>
          </w:tcPr>
          <w:p w:rsidR="004836A8" w:rsidRPr="005C7A62" w:rsidRDefault="004836A8" w:rsidP="005C7A62">
            <w:pPr>
              <w:widowControl/>
              <w:spacing w:line="240" w:lineRule="auto"/>
              <w:ind w:firstLineChars="0" w:firstLine="0"/>
              <w:jc w:val="center"/>
              <w:rPr>
                <w:rFonts w:ascii="Times New Roman" w:hAnsi="Times New Roman"/>
                <w:bCs/>
                <w:sz w:val="21"/>
                <w:szCs w:val="21"/>
              </w:rPr>
            </w:pPr>
            <w:r w:rsidRPr="005C7A62">
              <w:rPr>
                <w:rFonts w:ascii="Times New Roman" w:hAnsi="Times New Roman"/>
                <w:sz w:val="21"/>
                <w:szCs w:val="21"/>
              </w:rPr>
              <w:t>30</w:t>
            </w:r>
          </w:p>
        </w:tc>
        <w:tc>
          <w:tcPr>
            <w:tcW w:w="265" w:type="pct"/>
            <w:vAlign w:val="center"/>
          </w:tcPr>
          <w:p w:rsidR="004836A8" w:rsidRPr="005C7A62" w:rsidRDefault="004836A8" w:rsidP="005C7A62">
            <w:pPr>
              <w:widowControl/>
              <w:spacing w:line="240" w:lineRule="auto"/>
              <w:ind w:firstLineChars="0" w:firstLine="0"/>
              <w:jc w:val="center"/>
              <w:rPr>
                <w:rFonts w:ascii="Times New Roman" w:hAnsi="Times New Roman"/>
                <w:bCs/>
                <w:sz w:val="21"/>
                <w:szCs w:val="21"/>
              </w:rPr>
            </w:pPr>
            <w:r w:rsidRPr="005C7A62">
              <w:rPr>
                <w:rFonts w:ascii="Times New Roman" w:hAnsi="Times New Roman"/>
                <w:sz w:val="21"/>
                <w:szCs w:val="21"/>
              </w:rPr>
              <w:t>0.7</w:t>
            </w:r>
          </w:p>
        </w:tc>
        <w:tc>
          <w:tcPr>
            <w:tcW w:w="284"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18400</w:t>
            </w:r>
          </w:p>
        </w:tc>
        <w:tc>
          <w:tcPr>
            <w:tcW w:w="253"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25</w:t>
            </w:r>
          </w:p>
        </w:tc>
        <w:tc>
          <w:tcPr>
            <w:tcW w:w="356"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7200</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428" w:type="pct"/>
            <w:vAlign w:val="center"/>
          </w:tcPr>
          <w:p w:rsidR="004836A8" w:rsidRPr="005C7A62" w:rsidRDefault="004836A8" w:rsidP="005C7A62">
            <w:pPr>
              <w:widowControl/>
              <w:ind w:firstLineChars="0" w:firstLine="0"/>
              <w:jc w:val="center"/>
              <w:rPr>
                <w:rFonts w:ascii="Times New Roman" w:eastAsia="等线" w:hAnsi="Times New Roman"/>
                <w:kern w:val="0"/>
                <w:sz w:val="21"/>
                <w:szCs w:val="21"/>
                <w:lang w:bidi="ar"/>
              </w:rPr>
            </w:pPr>
            <w:r w:rsidRPr="005C7A62">
              <w:rPr>
                <w:rFonts w:ascii="Times New Roman" w:eastAsia="等线" w:hAnsi="Times New Roman"/>
                <w:kern w:val="0"/>
                <w:sz w:val="21"/>
                <w:szCs w:val="21"/>
                <w:lang w:bidi="ar"/>
              </w:rPr>
              <w:t>0.12</w:t>
            </w:r>
          </w:p>
        </w:tc>
        <w:tc>
          <w:tcPr>
            <w:tcW w:w="25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6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0.01</w:t>
            </w:r>
          </w:p>
        </w:tc>
        <w:tc>
          <w:tcPr>
            <w:tcW w:w="397" w:type="pct"/>
            <w:vAlign w:val="center"/>
          </w:tcPr>
          <w:p w:rsidR="004836A8" w:rsidRPr="005C7A62" w:rsidRDefault="004836A8" w:rsidP="005C7A62">
            <w:pPr>
              <w:widowControl/>
              <w:ind w:firstLineChars="0" w:firstLine="0"/>
              <w:jc w:val="center"/>
              <w:rPr>
                <w:rFonts w:ascii="Times New Roman" w:eastAsia="等线" w:hAnsi="Times New Roman"/>
                <w:kern w:val="0"/>
                <w:sz w:val="21"/>
                <w:szCs w:val="21"/>
                <w:lang w:bidi="ar"/>
              </w:rPr>
            </w:pPr>
            <w:r w:rsidRPr="005C7A62">
              <w:rPr>
                <w:rFonts w:ascii="Times New Roman" w:hAnsi="Times New Roman"/>
                <w:bCs/>
                <w:sz w:val="21"/>
                <w:szCs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DA019</w:t>
            </w:r>
          </w:p>
        </w:tc>
        <w:tc>
          <w:tcPr>
            <w:tcW w:w="268" w:type="pct"/>
            <w:vAlign w:val="center"/>
          </w:tcPr>
          <w:p w:rsidR="004836A8" w:rsidRPr="005C7A62" w:rsidRDefault="00387AF2" w:rsidP="005C7A62">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332</w:t>
            </w:r>
          </w:p>
        </w:tc>
        <w:tc>
          <w:tcPr>
            <w:tcW w:w="268" w:type="pct"/>
            <w:vAlign w:val="center"/>
          </w:tcPr>
          <w:p w:rsidR="004836A8" w:rsidRPr="005C7A62" w:rsidRDefault="00387AF2" w:rsidP="005C7A62">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455</w:t>
            </w:r>
          </w:p>
        </w:tc>
        <w:tc>
          <w:tcPr>
            <w:tcW w:w="269" w:type="pct"/>
            <w:vAlign w:val="center"/>
          </w:tcPr>
          <w:p w:rsidR="004836A8" w:rsidRPr="005C7A62" w:rsidRDefault="004836A8" w:rsidP="005C7A62">
            <w:pPr>
              <w:widowControl/>
              <w:spacing w:line="240" w:lineRule="auto"/>
              <w:ind w:firstLineChars="0" w:firstLine="0"/>
              <w:jc w:val="center"/>
              <w:rPr>
                <w:rFonts w:ascii="Times New Roman" w:hAnsi="Times New Roman"/>
                <w:bCs/>
                <w:sz w:val="21"/>
                <w:szCs w:val="21"/>
              </w:rPr>
            </w:pPr>
            <w:r w:rsidRPr="005C7A62">
              <w:rPr>
                <w:rFonts w:ascii="Times New Roman" w:hAnsi="Times New Roman"/>
                <w:sz w:val="21"/>
                <w:szCs w:val="21"/>
              </w:rPr>
              <w:t>30</w:t>
            </w:r>
          </w:p>
        </w:tc>
        <w:tc>
          <w:tcPr>
            <w:tcW w:w="265" w:type="pct"/>
            <w:vAlign w:val="center"/>
          </w:tcPr>
          <w:p w:rsidR="004836A8" w:rsidRPr="005C7A62" w:rsidRDefault="004836A8" w:rsidP="005C7A62">
            <w:pPr>
              <w:widowControl/>
              <w:spacing w:line="240" w:lineRule="auto"/>
              <w:ind w:firstLineChars="0" w:firstLine="0"/>
              <w:jc w:val="center"/>
              <w:rPr>
                <w:rFonts w:ascii="Times New Roman" w:hAnsi="Times New Roman"/>
                <w:bCs/>
                <w:sz w:val="21"/>
                <w:szCs w:val="21"/>
              </w:rPr>
            </w:pPr>
            <w:r w:rsidRPr="005C7A62">
              <w:rPr>
                <w:rFonts w:ascii="Times New Roman" w:hAnsi="Times New Roman"/>
                <w:sz w:val="21"/>
                <w:szCs w:val="21"/>
              </w:rPr>
              <w:t>1.4</w:t>
            </w:r>
          </w:p>
        </w:tc>
        <w:tc>
          <w:tcPr>
            <w:tcW w:w="284"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80000</w:t>
            </w:r>
          </w:p>
        </w:tc>
        <w:tc>
          <w:tcPr>
            <w:tcW w:w="253"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25</w:t>
            </w:r>
          </w:p>
        </w:tc>
        <w:tc>
          <w:tcPr>
            <w:tcW w:w="356"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7200</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0.21</w:t>
            </w:r>
          </w:p>
        </w:tc>
        <w:tc>
          <w:tcPr>
            <w:tcW w:w="428" w:type="pct"/>
            <w:vAlign w:val="center"/>
          </w:tcPr>
          <w:p w:rsidR="004836A8" w:rsidRPr="005C7A62" w:rsidRDefault="004836A8" w:rsidP="005C7A62">
            <w:pPr>
              <w:widowControl/>
              <w:ind w:firstLineChars="0" w:firstLine="0"/>
              <w:jc w:val="center"/>
              <w:rPr>
                <w:rFonts w:ascii="Times New Roman" w:eastAsia="等线" w:hAnsi="Times New Roman"/>
                <w:kern w:val="0"/>
                <w:sz w:val="21"/>
                <w:szCs w:val="21"/>
                <w:lang w:bidi="ar"/>
              </w:rPr>
            </w:pPr>
            <w:r w:rsidRPr="005C7A62">
              <w:rPr>
                <w:rFonts w:ascii="Times New Roman" w:hAnsi="Times New Roman"/>
                <w:bCs/>
                <w:sz w:val="21"/>
                <w:szCs w:val="21"/>
              </w:rPr>
              <w:t>/</w:t>
            </w:r>
          </w:p>
        </w:tc>
        <w:tc>
          <w:tcPr>
            <w:tcW w:w="25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6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97" w:type="pct"/>
            <w:vAlign w:val="center"/>
          </w:tcPr>
          <w:p w:rsidR="004836A8" w:rsidRPr="005C7A62" w:rsidRDefault="004836A8" w:rsidP="005C7A62">
            <w:pPr>
              <w:widowControl/>
              <w:ind w:firstLineChars="0" w:firstLine="0"/>
              <w:jc w:val="center"/>
              <w:rPr>
                <w:rFonts w:ascii="Times New Roman" w:eastAsia="等线" w:hAnsi="Times New Roman"/>
                <w:kern w:val="0"/>
                <w:sz w:val="21"/>
                <w:szCs w:val="21"/>
                <w:lang w:bidi="ar"/>
              </w:rPr>
            </w:pPr>
            <w:r w:rsidRPr="005C7A62">
              <w:rPr>
                <w:rFonts w:ascii="Times New Roman" w:hAnsi="Times New Roman"/>
                <w:bCs/>
                <w:sz w:val="21"/>
                <w:szCs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DA005</w:t>
            </w:r>
          </w:p>
        </w:tc>
        <w:tc>
          <w:tcPr>
            <w:tcW w:w="268" w:type="pct"/>
            <w:vAlign w:val="center"/>
          </w:tcPr>
          <w:p w:rsidR="004836A8" w:rsidRPr="005C7A62" w:rsidRDefault="00387AF2" w:rsidP="005C7A62">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332</w:t>
            </w:r>
          </w:p>
        </w:tc>
        <w:tc>
          <w:tcPr>
            <w:tcW w:w="268" w:type="pct"/>
            <w:vAlign w:val="center"/>
          </w:tcPr>
          <w:p w:rsidR="004836A8" w:rsidRPr="005C7A62" w:rsidRDefault="00387AF2" w:rsidP="00387AF2">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476</w:t>
            </w:r>
          </w:p>
        </w:tc>
        <w:tc>
          <w:tcPr>
            <w:tcW w:w="269" w:type="pct"/>
            <w:vAlign w:val="center"/>
          </w:tcPr>
          <w:p w:rsidR="004836A8" w:rsidRPr="005C7A62" w:rsidRDefault="004836A8" w:rsidP="005C7A62">
            <w:pPr>
              <w:widowControl/>
              <w:spacing w:line="240" w:lineRule="auto"/>
              <w:ind w:firstLineChars="0" w:firstLine="0"/>
              <w:jc w:val="center"/>
              <w:rPr>
                <w:rFonts w:ascii="Times New Roman" w:hAnsi="Times New Roman"/>
                <w:bCs/>
                <w:sz w:val="21"/>
                <w:szCs w:val="21"/>
              </w:rPr>
            </w:pPr>
            <w:r w:rsidRPr="005C7A62">
              <w:rPr>
                <w:rFonts w:ascii="Times New Roman" w:hAnsi="Times New Roman"/>
                <w:sz w:val="21"/>
                <w:szCs w:val="21"/>
              </w:rPr>
              <w:t>35</w:t>
            </w:r>
          </w:p>
        </w:tc>
        <w:tc>
          <w:tcPr>
            <w:tcW w:w="265" w:type="pct"/>
            <w:vAlign w:val="center"/>
          </w:tcPr>
          <w:p w:rsidR="004836A8" w:rsidRPr="005C7A62" w:rsidRDefault="004836A8" w:rsidP="005C7A62">
            <w:pPr>
              <w:widowControl/>
              <w:spacing w:line="240" w:lineRule="auto"/>
              <w:ind w:firstLineChars="0" w:firstLine="0"/>
              <w:jc w:val="center"/>
              <w:rPr>
                <w:rFonts w:ascii="Times New Roman" w:hAnsi="Times New Roman"/>
                <w:bCs/>
                <w:sz w:val="21"/>
                <w:szCs w:val="21"/>
              </w:rPr>
            </w:pPr>
            <w:r w:rsidRPr="005C7A62">
              <w:rPr>
                <w:rFonts w:ascii="Times New Roman" w:hAnsi="Times New Roman"/>
                <w:sz w:val="21"/>
                <w:szCs w:val="21"/>
              </w:rPr>
              <w:t>0.3</w:t>
            </w:r>
          </w:p>
        </w:tc>
        <w:tc>
          <w:tcPr>
            <w:tcW w:w="284"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4000</w:t>
            </w:r>
          </w:p>
        </w:tc>
        <w:tc>
          <w:tcPr>
            <w:tcW w:w="253"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25</w:t>
            </w:r>
          </w:p>
        </w:tc>
        <w:tc>
          <w:tcPr>
            <w:tcW w:w="356"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7200</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428"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0.002</w:t>
            </w:r>
          </w:p>
        </w:tc>
        <w:tc>
          <w:tcPr>
            <w:tcW w:w="25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6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DA014</w:t>
            </w:r>
          </w:p>
        </w:tc>
        <w:tc>
          <w:tcPr>
            <w:tcW w:w="268" w:type="pct"/>
            <w:vAlign w:val="center"/>
          </w:tcPr>
          <w:p w:rsidR="004836A8" w:rsidRPr="005C7A62" w:rsidRDefault="00D4019D" w:rsidP="005C7A62">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311</w:t>
            </w:r>
          </w:p>
        </w:tc>
        <w:tc>
          <w:tcPr>
            <w:tcW w:w="268" w:type="pct"/>
            <w:vAlign w:val="center"/>
          </w:tcPr>
          <w:p w:rsidR="004836A8" w:rsidRPr="005C7A62" w:rsidRDefault="00D4019D" w:rsidP="005C7A62">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488</w:t>
            </w:r>
          </w:p>
        </w:tc>
        <w:tc>
          <w:tcPr>
            <w:tcW w:w="269" w:type="pct"/>
            <w:vAlign w:val="center"/>
          </w:tcPr>
          <w:p w:rsidR="004836A8" w:rsidRPr="005C7A62" w:rsidRDefault="004836A8" w:rsidP="005C7A62">
            <w:pPr>
              <w:widowControl/>
              <w:spacing w:line="240" w:lineRule="auto"/>
              <w:ind w:firstLineChars="0" w:firstLine="0"/>
              <w:jc w:val="center"/>
              <w:rPr>
                <w:rFonts w:ascii="Times New Roman" w:hAnsi="Times New Roman"/>
                <w:bCs/>
                <w:sz w:val="21"/>
                <w:szCs w:val="21"/>
              </w:rPr>
            </w:pPr>
            <w:r w:rsidRPr="005C7A62">
              <w:rPr>
                <w:rFonts w:ascii="Times New Roman" w:hAnsi="Times New Roman"/>
                <w:sz w:val="21"/>
                <w:szCs w:val="21"/>
              </w:rPr>
              <w:t>15</w:t>
            </w:r>
          </w:p>
        </w:tc>
        <w:tc>
          <w:tcPr>
            <w:tcW w:w="265" w:type="pct"/>
            <w:vAlign w:val="center"/>
          </w:tcPr>
          <w:p w:rsidR="004836A8" w:rsidRPr="005C7A62" w:rsidRDefault="004836A8" w:rsidP="005C7A62">
            <w:pPr>
              <w:widowControl/>
              <w:spacing w:line="240" w:lineRule="auto"/>
              <w:ind w:firstLineChars="0" w:firstLine="0"/>
              <w:jc w:val="center"/>
              <w:rPr>
                <w:rFonts w:ascii="Times New Roman" w:hAnsi="Times New Roman"/>
                <w:bCs/>
                <w:sz w:val="21"/>
                <w:szCs w:val="21"/>
              </w:rPr>
            </w:pPr>
            <w:r w:rsidRPr="005C7A62">
              <w:rPr>
                <w:rFonts w:ascii="Times New Roman" w:hAnsi="Times New Roman"/>
                <w:sz w:val="21"/>
                <w:szCs w:val="21"/>
              </w:rPr>
              <w:t>0.5</w:t>
            </w:r>
          </w:p>
        </w:tc>
        <w:tc>
          <w:tcPr>
            <w:tcW w:w="284"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9000</w:t>
            </w:r>
          </w:p>
        </w:tc>
        <w:tc>
          <w:tcPr>
            <w:tcW w:w="253"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25</w:t>
            </w:r>
          </w:p>
        </w:tc>
        <w:tc>
          <w:tcPr>
            <w:tcW w:w="356"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7200</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428"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0.008</w:t>
            </w:r>
          </w:p>
        </w:tc>
        <w:tc>
          <w:tcPr>
            <w:tcW w:w="25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6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DA011</w:t>
            </w:r>
          </w:p>
        </w:tc>
        <w:tc>
          <w:tcPr>
            <w:tcW w:w="268" w:type="pct"/>
            <w:vAlign w:val="center"/>
          </w:tcPr>
          <w:p w:rsidR="004836A8" w:rsidRPr="005C7A62" w:rsidRDefault="00D4019D" w:rsidP="005C7A62">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332</w:t>
            </w:r>
          </w:p>
        </w:tc>
        <w:tc>
          <w:tcPr>
            <w:tcW w:w="268" w:type="pct"/>
            <w:vAlign w:val="center"/>
          </w:tcPr>
          <w:p w:rsidR="004836A8" w:rsidRPr="005C7A62" w:rsidRDefault="00D4019D" w:rsidP="005C7A62">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480</w:t>
            </w:r>
          </w:p>
        </w:tc>
        <w:tc>
          <w:tcPr>
            <w:tcW w:w="269" w:type="pct"/>
            <w:vAlign w:val="center"/>
          </w:tcPr>
          <w:p w:rsidR="004836A8" w:rsidRPr="005C7A62" w:rsidRDefault="004836A8" w:rsidP="005C7A62">
            <w:pPr>
              <w:widowControl/>
              <w:spacing w:line="240" w:lineRule="auto"/>
              <w:ind w:firstLineChars="0" w:firstLine="0"/>
              <w:jc w:val="center"/>
              <w:rPr>
                <w:rFonts w:ascii="Times New Roman" w:hAnsi="Times New Roman"/>
                <w:bCs/>
                <w:sz w:val="21"/>
                <w:szCs w:val="21"/>
              </w:rPr>
            </w:pPr>
            <w:r w:rsidRPr="005C7A62">
              <w:rPr>
                <w:rFonts w:ascii="Times New Roman" w:hAnsi="Times New Roman"/>
                <w:sz w:val="21"/>
                <w:szCs w:val="21"/>
              </w:rPr>
              <w:t>20</w:t>
            </w:r>
          </w:p>
        </w:tc>
        <w:tc>
          <w:tcPr>
            <w:tcW w:w="265" w:type="pct"/>
            <w:vAlign w:val="center"/>
          </w:tcPr>
          <w:p w:rsidR="004836A8" w:rsidRPr="005C7A62" w:rsidRDefault="004836A8" w:rsidP="005C7A62">
            <w:pPr>
              <w:widowControl/>
              <w:spacing w:line="240" w:lineRule="auto"/>
              <w:ind w:firstLineChars="0" w:firstLine="0"/>
              <w:jc w:val="center"/>
              <w:rPr>
                <w:rFonts w:ascii="Times New Roman" w:hAnsi="Times New Roman"/>
                <w:bCs/>
                <w:sz w:val="21"/>
                <w:szCs w:val="21"/>
              </w:rPr>
            </w:pPr>
            <w:r w:rsidRPr="005C7A62">
              <w:rPr>
                <w:rFonts w:ascii="Times New Roman" w:hAnsi="Times New Roman"/>
                <w:sz w:val="21"/>
                <w:szCs w:val="21"/>
              </w:rPr>
              <w:t>0.4</w:t>
            </w:r>
          </w:p>
        </w:tc>
        <w:tc>
          <w:tcPr>
            <w:tcW w:w="284"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6000</w:t>
            </w:r>
          </w:p>
        </w:tc>
        <w:tc>
          <w:tcPr>
            <w:tcW w:w="253"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25</w:t>
            </w:r>
          </w:p>
        </w:tc>
        <w:tc>
          <w:tcPr>
            <w:tcW w:w="356"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7200</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428"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0.001</w:t>
            </w:r>
          </w:p>
        </w:tc>
        <w:tc>
          <w:tcPr>
            <w:tcW w:w="25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6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DA015</w:t>
            </w:r>
          </w:p>
        </w:tc>
        <w:tc>
          <w:tcPr>
            <w:tcW w:w="268" w:type="pct"/>
            <w:vAlign w:val="center"/>
          </w:tcPr>
          <w:p w:rsidR="004836A8" w:rsidRPr="005C7A62" w:rsidRDefault="00D4019D" w:rsidP="005C7A62">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357</w:t>
            </w:r>
          </w:p>
        </w:tc>
        <w:tc>
          <w:tcPr>
            <w:tcW w:w="268" w:type="pct"/>
            <w:vAlign w:val="center"/>
          </w:tcPr>
          <w:p w:rsidR="004836A8" w:rsidRPr="005C7A62" w:rsidRDefault="00D4019D" w:rsidP="005C7A62">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484</w:t>
            </w:r>
          </w:p>
        </w:tc>
        <w:tc>
          <w:tcPr>
            <w:tcW w:w="269" w:type="pct"/>
            <w:vAlign w:val="center"/>
          </w:tcPr>
          <w:p w:rsidR="004836A8" w:rsidRPr="005C7A62" w:rsidRDefault="004836A8" w:rsidP="005C7A62">
            <w:pPr>
              <w:widowControl/>
              <w:spacing w:line="240" w:lineRule="auto"/>
              <w:ind w:firstLineChars="0" w:firstLine="0"/>
              <w:jc w:val="center"/>
              <w:rPr>
                <w:rFonts w:ascii="Times New Roman" w:hAnsi="Times New Roman"/>
                <w:bCs/>
                <w:sz w:val="21"/>
                <w:szCs w:val="21"/>
              </w:rPr>
            </w:pPr>
            <w:r w:rsidRPr="005C7A62">
              <w:rPr>
                <w:rFonts w:ascii="Times New Roman" w:hAnsi="Times New Roman"/>
                <w:sz w:val="21"/>
                <w:szCs w:val="21"/>
              </w:rPr>
              <w:t>15</w:t>
            </w:r>
          </w:p>
        </w:tc>
        <w:tc>
          <w:tcPr>
            <w:tcW w:w="265" w:type="pct"/>
            <w:vAlign w:val="center"/>
          </w:tcPr>
          <w:p w:rsidR="004836A8" w:rsidRPr="005C7A62" w:rsidRDefault="004836A8" w:rsidP="005C7A62">
            <w:pPr>
              <w:widowControl/>
              <w:spacing w:line="240" w:lineRule="auto"/>
              <w:ind w:firstLineChars="0" w:firstLine="0"/>
              <w:jc w:val="center"/>
              <w:rPr>
                <w:rFonts w:ascii="Times New Roman" w:hAnsi="Times New Roman"/>
                <w:bCs/>
                <w:sz w:val="21"/>
                <w:szCs w:val="21"/>
              </w:rPr>
            </w:pPr>
            <w:r w:rsidRPr="005C7A62">
              <w:rPr>
                <w:rFonts w:ascii="Times New Roman" w:hAnsi="Times New Roman"/>
                <w:sz w:val="21"/>
                <w:szCs w:val="21"/>
              </w:rPr>
              <w:t>0.5</w:t>
            </w:r>
          </w:p>
        </w:tc>
        <w:tc>
          <w:tcPr>
            <w:tcW w:w="284"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10000</w:t>
            </w:r>
          </w:p>
        </w:tc>
        <w:tc>
          <w:tcPr>
            <w:tcW w:w="253"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25</w:t>
            </w:r>
          </w:p>
        </w:tc>
        <w:tc>
          <w:tcPr>
            <w:tcW w:w="356"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7200</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428"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25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6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0.000008</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0.000008</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DA016</w:t>
            </w:r>
          </w:p>
        </w:tc>
        <w:tc>
          <w:tcPr>
            <w:tcW w:w="268" w:type="pct"/>
            <w:vAlign w:val="center"/>
          </w:tcPr>
          <w:p w:rsidR="004836A8" w:rsidRPr="005C7A62" w:rsidRDefault="00D4019D" w:rsidP="005C7A62">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357</w:t>
            </w:r>
          </w:p>
        </w:tc>
        <w:tc>
          <w:tcPr>
            <w:tcW w:w="268" w:type="pct"/>
            <w:vAlign w:val="center"/>
          </w:tcPr>
          <w:p w:rsidR="004836A8" w:rsidRPr="005C7A62" w:rsidRDefault="00D4019D" w:rsidP="005C7A62">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505</w:t>
            </w:r>
          </w:p>
        </w:tc>
        <w:tc>
          <w:tcPr>
            <w:tcW w:w="269" w:type="pct"/>
            <w:vAlign w:val="center"/>
          </w:tcPr>
          <w:p w:rsidR="004836A8" w:rsidRPr="005C7A62" w:rsidRDefault="004836A8" w:rsidP="005C7A62">
            <w:pPr>
              <w:widowControl/>
              <w:spacing w:line="240" w:lineRule="auto"/>
              <w:ind w:firstLineChars="0" w:firstLine="0"/>
              <w:jc w:val="center"/>
              <w:rPr>
                <w:rFonts w:ascii="Times New Roman" w:hAnsi="Times New Roman"/>
                <w:bCs/>
                <w:sz w:val="21"/>
                <w:szCs w:val="21"/>
              </w:rPr>
            </w:pPr>
            <w:r w:rsidRPr="005C7A62">
              <w:rPr>
                <w:rFonts w:ascii="Times New Roman" w:hAnsi="Times New Roman"/>
                <w:sz w:val="21"/>
                <w:szCs w:val="21"/>
              </w:rPr>
              <w:t>30</w:t>
            </w:r>
          </w:p>
        </w:tc>
        <w:tc>
          <w:tcPr>
            <w:tcW w:w="265" w:type="pct"/>
            <w:vAlign w:val="center"/>
          </w:tcPr>
          <w:p w:rsidR="004836A8" w:rsidRPr="005C7A62" w:rsidRDefault="004836A8" w:rsidP="005C7A62">
            <w:pPr>
              <w:widowControl/>
              <w:spacing w:line="240" w:lineRule="auto"/>
              <w:ind w:firstLineChars="0" w:firstLine="0"/>
              <w:jc w:val="center"/>
              <w:rPr>
                <w:rFonts w:ascii="Times New Roman" w:hAnsi="Times New Roman"/>
                <w:bCs/>
                <w:sz w:val="21"/>
                <w:szCs w:val="21"/>
              </w:rPr>
            </w:pPr>
            <w:r w:rsidRPr="005C7A62">
              <w:rPr>
                <w:rFonts w:ascii="Times New Roman" w:hAnsi="Times New Roman"/>
                <w:sz w:val="21"/>
                <w:szCs w:val="21"/>
              </w:rPr>
              <w:t>0.7</w:t>
            </w:r>
          </w:p>
        </w:tc>
        <w:tc>
          <w:tcPr>
            <w:tcW w:w="284"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19000</w:t>
            </w:r>
          </w:p>
        </w:tc>
        <w:tc>
          <w:tcPr>
            <w:tcW w:w="253"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25</w:t>
            </w:r>
          </w:p>
        </w:tc>
        <w:tc>
          <w:tcPr>
            <w:tcW w:w="356"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7200</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428"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0.209</w:t>
            </w:r>
          </w:p>
        </w:tc>
        <w:tc>
          <w:tcPr>
            <w:tcW w:w="25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c>
          <w:tcPr>
            <w:tcW w:w="360"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0.016</w:t>
            </w:r>
          </w:p>
        </w:tc>
        <w:tc>
          <w:tcPr>
            <w:tcW w:w="397" w:type="pct"/>
            <w:vAlign w:val="center"/>
          </w:tcPr>
          <w:p w:rsidR="004836A8" w:rsidRPr="005C7A62" w:rsidRDefault="004836A8" w:rsidP="005C7A62">
            <w:pPr>
              <w:widowControl/>
              <w:ind w:firstLineChars="0" w:firstLine="0"/>
              <w:jc w:val="center"/>
              <w:rPr>
                <w:rFonts w:ascii="Times New Roman" w:hAnsi="Times New Roman"/>
                <w:bCs/>
                <w:sz w:val="21"/>
                <w:szCs w:val="21"/>
              </w:rPr>
            </w:pPr>
            <w:r w:rsidRPr="005C7A62">
              <w:rPr>
                <w:rFonts w:ascii="Times New Roman" w:hAnsi="Times New Roman"/>
                <w:bCs/>
                <w:sz w:val="21"/>
                <w:szCs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DA017</w:t>
            </w:r>
          </w:p>
        </w:tc>
        <w:tc>
          <w:tcPr>
            <w:tcW w:w="268" w:type="pct"/>
            <w:vAlign w:val="center"/>
          </w:tcPr>
          <w:p w:rsidR="004836A8" w:rsidRPr="004836A8" w:rsidRDefault="00D4019D" w:rsidP="004836A8">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13</w:t>
            </w:r>
            <w:r>
              <w:rPr>
                <w:rFonts w:ascii="Times New Roman" w:hAnsi="Times New Roman"/>
                <w:sz w:val="21"/>
                <w:szCs w:val="21"/>
              </w:rPr>
              <w:t>61</w:t>
            </w:r>
          </w:p>
        </w:tc>
        <w:tc>
          <w:tcPr>
            <w:tcW w:w="268" w:type="pct"/>
            <w:vAlign w:val="center"/>
          </w:tcPr>
          <w:p w:rsidR="004836A8" w:rsidRPr="004836A8" w:rsidRDefault="00D4019D" w:rsidP="004836A8">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472</w:t>
            </w:r>
          </w:p>
        </w:tc>
        <w:tc>
          <w:tcPr>
            <w:tcW w:w="269" w:type="pct"/>
            <w:vAlign w:val="center"/>
          </w:tcPr>
          <w:p w:rsidR="004836A8" w:rsidRPr="004836A8" w:rsidRDefault="004836A8" w:rsidP="004836A8">
            <w:pPr>
              <w:widowControl/>
              <w:spacing w:line="240" w:lineRule="auto"/>
              <w:ind w:firstLineChars="0" w:firstLine="0"/>
              <w:jc w:val="center"/>
              <w:rPr>
                <w:rFonts w:ascii="Times New Roman" w:hAnsi="Times New Roman"/>
                <w:bCs/>
                <w:sz w:val="21"/>
              </w:rPr>
            </w:pPr>
            <w:r w:rsidRPr="004836A8">
              <w:rPr>
                <w:rFonts w:ascii="Times New Roman" w:hAnsi="Times New Roman"/>
                <w:sz w:val="21"/>
                <w:szCs w:val="21"/>
              </w:rPr>
              <w:t>30</w:t>
            </w:r>
          </w:p>
        </w:tc>
        <w:tc>
          <w:tcPr>
            <w:tcW w:w="265" w:type="pct"/>
            <w:vAlign w:val="center"/>
          </w:tcPr>
          <w:p w:rsidR="004836A8" w:rsidRPr="004836A8" w:rsidRDefault="004836A8" w:rsidP="004836A8">
            <w:pPr>
              <w:widowControl/>
              <w:spacing w:line="240" w:lineRule="auto"/>
              <w:ind w:firstLineChars="0" w:firstLine="0"/>
              <w:jc w:val="center"/>
              <w:rPr>
                <w:rFonts w:ascii="Times New Roman" w:hAnsi="Times New Roman"/>
                <w:bCs/>
                <w:sz w:val="21"/>
              </w:rPr>
            </w:pPr>
            <w:r w:rsidRPr="004836A8">
              <w:rPr>
                <w:rFonts w:ascii="Times New Roman" w:hAnsi="Times New Roman"/>
                <w:sz w:val="21"/>
                <w:szCs w:val="21"/>
              </w:rPr>
              <w:t>0.18</w:t>
            </w:r>
          </w:p>
        </w:tc>
        <w:tc>
          <w:tcPr>
            <w:tcW w:w="28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1200</w:t>
            </w:r>
          </w:p>
        </w:tc>
        <w:tc>
          <w:tcPr>
            <w:tcW w:w="253"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356"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428"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0.003</w:t>
            </w:r>
          </w:p>
        </w:tc>
        <w:tc>
          <w:tcPr>
            <w:tcW w:w="25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r>
      <w:tr w:rsidR="00D4019D" w:rsidRPr="004836A8" w:rsidTr="00F74256">
        <w:trPr>
          <w:trHeight w:val="574"/>
        </w:trPr>
        <w:tc>
          <w:tcPr>
            <w:tcW w:w="292" w:type="pct"/>
            <w:vAlign w:val="center"/>
          </w:tcPr>
          <w:p w:rsidR="00D4019D" w:rsidRPr="004836A8" w:rsidRDefault="00D4019D" w:rsidP="00D4019D">
            <w:pPr>
              <w:widowControl/>
              <w:ind w:firstLineChars="0" w:firstLine="0"/>
              <w:jc w:val="center"/>
              <w:rPr>
                <w:rFonts w:ascii="Times New Roman" w:hAnsi="Times New Roman"/>
                <w:bCs/>
                <w:sz w:val="21"/>
              </w:rPr>
            </w:pPr>
            <w:r w:rsidRPr="004836A8">
              <w:rPr>
                <w:rFonts w:ascii="Times New Roman" w:hAnsi="Times New Roman"/>
                <w:bCs/>
                <w:sz w:val="21"/>
              </w:rPr>
              <w:t>安徽德诺化工有限公司</w:t>
            </w:r>
          </w:p>
        </w:tc>
        <w:tc>
          <w:tcPr>
            <w:tcW w:w="609" w:type="pct"/>
            <w:vAlign w:val="center"/>
          </w:tcPr>
          <w:p w:rsidR="00D4019D" w:rsidRPr="004836A8" w:rsidRDefault="00D4019D" w:rsidP="00D4019D">
            <w:pPr>
              <w:widowControl/>
              <w:ind w:firstLineChars="0" w:firstLine="0"/>
              <w:jc w:val="center"/>
              <w:rPr>
                <w:rFonts w:ascii="Times New Roman" w:hAnsi="Times New Roman"/>
                <w:bCs/>
                <w:sz w:val="21"/>
              </w:rPr>
            </w:pPr>
            <w:r w:rsidRPr="004836A8">
              <w:rPr>
                <w:rFonts w:ascii="Times New Roman" w:hAnsi="Times New Roman"/>
                <w:bCs/>
                <w:sz w:val="21"/>
              </w:rPr>
              <w:t>年产</w:t>
            </w:r>
            <w:r w:rsidRPr="004836A8">
              <w:rPr>
                <w:rFonts w:ascii="Times New Roman" w:hAnsi="Times New Roman"/>
                <w:bCs/>
                <w:sz w:val="21"/>
              </w:rPr>
              <w:t>20</w:t>
            </w:r>
            <w:r w:rsidRPr="004836A8">
              <w:rPr>
                <w:rFonts w:ascii="Times New Roman" w:hAnsi="Times New Roman"/>
                <w:bCs/>
                <w:sz w:val="21"/>
              </w:rPr>
              <w:t>万吨甲醛、</w:t>
            </w:r>
            <w:r w:rsidRPr="004836A8">
              <w:rPr>
                <w:rFonts w:ascii="Times New Roman" w:hAnsi="Times New Roman"/>
                <w:bCs/>
                <w:sz w:val="21"/>
              </w:rPr>
              <w:t>10</w:t>
            </w:r>
            <w:r w:rsidRPr="004836A8">
              <w:rPr>
                <w:rFonts w:ascii="Times New Roman" w:hAnsi="Times New Roman"/>
                <w:bCs/>
                <w:sz w:val="21"/>
              </w:rPr>
              <w:t>万吨脲醛树脂及</w:t>
            </w:r>
            <w:r w:rsidRPr="004836A8">
              <w:rPr>
                <w:rFonts w:ascii="Times New Roman" w:hAnsi="Times New Roman"/>
                <w:bCs/>
                <w:sz w:val="21"/>
              </w:rPr>
              <w:t>5</w:t>
            </w:r>
            <w:r w:rsidRPr="004836A8">
              <w:rPr>
                <w:rFonts w:ascii="Times New Roman" w:hAnsi="Times New Roman"/>
                <w:bCs/>
                <w:sz w:val="21"/>
              </w:rPr>
              <w:t>万吨酚醛树脂项目</w:t>
            </w:r>
          </w:p>
        </w:tc>
        <w:tc>
          <w:tcPr>
            <w:tcW w:w="304" w:type="pct"/>
            <w:vAlign w:val="center"/>
          </w:tcPr>
          <w:p w:rsidR="00D4019D" w:rsidRPr="004836A8" w:rsidRDefault="00D4019D" w:rsidP="00D4019D">
            <w:pPr>
              <w:widowControl/>
              <w:ind w:firstLineChars="0" w:firstLine="0"/>
              <w:jc w:val="center"/>
              <w:rPr>
                <w:rFonts w:ascii="Times New Roman" w:hAnsi="Times New Roman"/>
                <w:bCs/>
                <w:sz w:val="21"/>
              </w:rPr>
            </w:pPr>
            <w:r w:rsidRPr="004836A8">
              <w:rPr>
                <w:rFonts w:ascii="Times New Roman" w:hAnsi="Times New Roman"/>
                <w:bCs/>
                <w:sz w:val="21"/>
              </w:rPr>
              <w:t>DA00</w:t>
            </w:r>
            <w:r>
              <w:rPr>
                <w:rFonts w:ascii="Times New Roman" w:hAnsi="Times New Roman"/>
                <w:bCs/>
                <w:sz w:val="21"/>
              </w:rPr>
              <w:t>3</w:t>
            </w:r>
          </w:p>
        </w:tc>
        <w:tc>
          <w:tcPr>
            <w:tcW w:w="268" w:type="pct"/>
            <w:vAlign w:val="center"/>
          </w:tcPr>
          <w:p w:rsidR="00D4019D" w:rsidRPr="004836A8" w:rsidRDefault="00D4019D" w:rsidP="00D4019D">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816</w:t>
            </w:r>
          </w:p>
        </w:tc>
        <w:tc>
          <w:tcPr>
            <w:tcW w:w="268" w:type="pct"/>
            <w:vAlign w:val="center"/>
          </w:tcPr>
          <w:p w:rsidR="00D4019D" w:rsidRPr="004836A8" w:rsidRDefault="00D4019D" w:rsidP="00D4019D">
            <w:pPr>
              <w:widowControl/>
              <w:spacing w:line="240" w:lineRule="auto"/>
              <w:ind w:firstLineChars="0" w:firstLine="0"/>
              <w:jc w:val="center"/>
              <w:rPr>
                <w:rFonts w:ascii="Times New Roman" w:hAnsi="Times New Roman"/>
                <w:sz w:val="21"/>
                <w:szCs w:val="21"/>
              </w:rPr>
            </w:pPr>
            <w:r>
              <w:rPr>
                <w:rFonts w:ascii="Times New Roman" w:hAnsi="Times New Roman" w:hint="eastAsia"/>
                <w:sz w:val="21"/>
                <w:szCs w:val="21"/>
              </w:rPr>
              <w:t>4</w:t>
            </w:r>
            <w:r>
              <w:rPr>
                <w:rFonts w:ascii="Times New Roman" w:hAnsi="Times New Roman"/>
                <w:sz w:val="21"/>
                <w:szCs w:val="21"/>
              </w:rPr>
              <w:t>23</w:t>
            </w:r>
          </w:p>
        </w:tc>
        <w:tc>
          <w:tcPr>
            <w:tcW w:w="269" w:type="pct"/>
            <w:vAlign w:val="center"/>
          </w:tcPr>
          <w:p w:rsidR="00D4019D" w:rsidRPr="004836A8" w:rsidRDefault="00D4019D" w:rsidP="00D4019D">
            <w:pPr>
              <w:widowControl/>
              <w:spacing w:line="240" w:lineRule="auto"/>
              <w:ind w:firstLineChars="0" w:firstLine="0"/>
              <w:jc w:val="center"/>
              <w:rPr>
                <w:rFonts w:ascii="Times New Roman" w:hAnsi="Times New Roman"/>
                <w:sz w:val="21"/>
                <w:szCs w:val="21"/>
              </w:rPr>
            </w:pPr>
            <w:r w:rsidRPr="004836A8">
              <w:rPr>
                <w:rFonts w:ascii="Times New Roman" w:hAnsi="Times New Roman"/>
                <w:sz w:val="21"/>
                <w:szCs w:val="21"/>
              </w:rPr>
              <w:t>20</w:t>
            </w:r>
          </w:p>
        </w:tc>
        <w:tc>
          <w:tcPr>
            <w:tcW w:w="265" w:type="pct"/>
            <w:vAlign w:val="center"/>
          </w:tcPr>
          <w:p w:rsidR="00D4019D" w:rsidRPr="004836A8" w:rsidRDefault="00D4019D" w:rsidP="00D4019D">
            <w:pPr>
              <w:widowControl/>
              <w:spacing w:line="240" w:lineRule="auto"/>
              <w:ind w:firstLineChars="0" w:firstLine="0"/>
              <w:jc w:val="center"/>
              <w:rPr>
                <w:rFonts w:ascii="Times New Roman" w:hAnsi="Times New Roman"/>
                <w:sz w:val="21"/>
                <w:szCs w:val="21"/>
              </w:rPr>
            </w:pPr>
            <w:r w:rsidRPr="004836A8">
              <w:rPr>
                <w:rFonts w:ascii="Times New Roman" w:hAnsi="Times New Roman"/>
                <w:sz w:val="21"/>
                <w:szCs w:val="21"/>
              </w:rPr>
              <w:t>0.5</w:t>
            </w:r>
          </w:p>
        </w:tc>
        <w:tc>
          <w:tcPr>
            <w:tcW w:w="284" w:type="pct"/>
            <w:vAlign w:val="center"/>
          </w:tcPr>
          <w:p w:rsidR="00D4019D" w:rsidRPr="004836A8" w:rsidRDefault="00D4019D" w:rsidP="00D4019D">
            <w:pPr>
              <w:widowControl/>
              <w:ind w:firstLineChars="0" w:firstLine="0"/>
              <w:jc w:val="center"/>
              <w:rPr>
                <w:rFonts w:ascii="Times New Roman" w:hAnsi="Times New Roman"/>
                <w:bCs/>
                <w:sz w:val="21"/>
              </w:rPr>
            </w:pPr>
            <w:r w:rsidRPr="004836A8">
              <w:rPr>
                <w:rFonts w:ascii="Times New Roman" w:hAnsi="Times New Roman"/>
                <w:bCs/>
                <w:sz w:val="21"/>
              </w:rPr>
              <w:t>5000</w:t>
            </w:r>
          </w:p>
        </w:tc>
        <w:tc>
          <w:tcPr>
            <w:tcW w:w="253" w:type="pct"/>
            <w:vAlign w:val="center"/>
          </w:tcPr>
          <w:p w:rsidR="00D4019D" w:rsidRPr="004836A8" w:rsidRDefault="00D4019D" w:rsidP="00D4019D">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356" w:type="pct"/>
            <w:vAlign w:val="center"/>
          </w:tcPr>
          <w:p w:rsidR="00D4019D" w:rsidRPr="004836A8" w:rsidRDefault="00D4019D" w:rsidP="00D4019D">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D4019D" w:rsidRPr="004836A8" w:rsidRDefault="00D4019D" w:rsidP="00D4019D">
            <w:pPr>
              <w:widowControl/>
              <w:ind w:firstLineChars="0" w:firstLine="0"/>
              <w:jc w:val="center"/>
              <w:rPr>
                <w:rFonts w:ascii="Times New Roman" w:hAnsi="Times New Roman"/>
                <w:bCs/>
                <w:sz w:val="21"/>
              </w:rPr>
            </w:pPr>
            <w:r w:rsidRPr="004836A8">
              <w:rPr>
                <w:rFonts w:ascii="Times New Roman" w:hAnsi="Times New Roman"/>
                <w:bCs/>
                <w:sz w:val="21"/>
              </w:rPr>
              <w:t>0.0084</w:t>
            </w:r>
          </w:p>
        </w:tc>
        <w:tc>
          <w:tcPr>
            <w:tcW w:w="428" w:type="pct"/>
            <w:vAlign w:val="center"/>
          </w:tcPr>
          <w:p w:rsidR="00D4019D" w:rsidRPr="004836A8" w:rsidRDefault="00D4019D" w:rsidP="00D4019D">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250" w:type="pct"/>
            <w:vAlign w:val="center"/>
          </w:tcPr>
          <w:p w:rsidR="00D4019D" w:rsidRPr="004836A8" w:rsidRDefault="00D4019D" w:rsidP="00D4019D">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D4019D" w:rsidRPr="004836A8" w:rsidRDefault="00D4019D" w:rsidP="00D4019D">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97" w:type="pct"/>
            <w:vAlign w:val="center"/>
          </w:tcPr>
          <w:p w:rsidR="00D4019D" w:rsidRPr="004836A8" w:rsidRDefault="00D4019D" w:rsidP="00D4019D">
            <w:pPr>
              <w:widowControl/>
              <w:ind w:firstLineChars="0" w:firstLine="0"/>
              <w:jc w:val="center"/>
              <w:rPr>
                <w:rFonts w:ascii="Times New Roman" w:hAnsi="Times New Roman"/>
                <w:bCs/>
                <w:sz w:val="21"/>
              </w:rPr>
            </w:pPr>
            <w:r w:rsidRPr="004836A8">
              <w:rPr>
                <w:rFonts w:ascii="Times New Roman" w:hAnsi="Times New Roman"/>
                <w:bCs/>
                <w:sz w:val="21"/>
              </w:rPr>
              <w:t>/</w:t>
            </w:r>
          </w:p>
        </w:tc>
      </w:tr>
      <w:tr w:rsidR="004836A8" w:rsidRPr="004836A8" w:rsidTr="00F74256">
        <w:trPr>
          <w:trHeight w:val="340"/>
        </w:trPr>
        <w:tc>
          <w:tcPr>
            <w:tcW w:w="292" w:type="pct"/>
            <w:vMerge w:val="restar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安徽裕康新材料有限公司</w:t>
            </w:r>
          </w:p>
        </w:tc>
        <w:tc>
          <w:tcPr>
            <w:tcW w:w="609" w:type="pct"/>
            <w:vMerge w:val="restar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年产</w:t>
            </w:r>
            <w:r w:rsidRPr="004836A8">
              <w:rPr>
                <w:rFonts w:ascii="Times New Roman" w:hAnsi="Times New Roman"/>
                <w:bCs/>
                <w:sz w:val="21"/>
              </w:rPr>
              <w:t>20000</w:t>
            </w:r>
            <w:r w:rsidRPr="004836A8">
              <w:rPr>
                <w:rFonts w:ascii="Times New Roman" w:hAnsi="Times New Roman"/>
                <w:bCs/>
                <w:sz w:val="21"/>
              </w:rPr>
              <w:t>吨肌氨酸钠技改项目（一期工程）</w:t>
            </w: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DA001</w:t>
            </w:r>
          </w:p>
        </w:tc>
        <w:tc>
          <w:tcPr>
            <w:tcW w:w="268" w:type="pct"/>
            <w:vAlign w:val="center"/>
          </w:tcPr>
          <w:p w:rsidR="004836A8" w:rsidRPr="004836A8" w:rsidRDefault="00D4019D"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1578</w:t>
            </w:r>
          </w:p>
        </w:tc>
        <w:tc>
          <w:tcPr>
            <w:tcW w:w="268" w:type="pct"/>
            <w:vAlign w:val="center"/>
          </w:tcPr>
          <w:p w:rsidR="004836A8" w:rsidRPr="004836A8" w:rsidRDefault="00D4019D"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179</w:t>
            </w:r>
          </w:p>
        </w:tc>
        <w:tc>
          <w:tcPr>
            <w:tcW w:w="269"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265"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0.6</w:t>
            </w:r>
          </w:p>
        </w:tc>
        <w:tc>
          <w:tcPr>
            <w:tcW w:w="28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2323</w:t>
            </w:r>
          </w:p>
        </w:tc>
        <w:tc>
          <w:tcPr>
            <w:tcW w:w="253"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60</w:t>
            </w:r>
          </w:p>
        </w:tc>
        <w:tc>
          <w:tcPr>
            <w:tcW w:w="356"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0.02</w:t>
            </w:r>
          </w:p>
        </w:tc>
        <w:tc>
          <w:tcPr>
            <w:tcW w:w="428"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0.015</w:t>
            </w:r>
          </w:p>
        </w:tc>
        <w:tc>
          <w:tcPr>
            <w:tcW w:w="25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0.005</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DA002</w:t>
            </w:r>
          </w:p>
        </w:tc>
        <w:tc>
          <w:tcPr>
            <w:tcW w:w="268" w:type="pct"/>
            <w:vAlign w:val="center"/>
          </w:tcPr>
          <w:p w:rsidR="004836A8" w:rsidRPr="004836A8" w:rsidRDefault="00D4019D"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1519</w:t>
            </w:r>
          </w:p>
        </w:tc>
        <w:tc>
          <w:tcPr>
            <w:tcW w:w="268" w:type="pct"/>
            <w:vAlign w:val="center"/>
          </w:tcPr>
          <w:p w:rsidR="004836A8" w:rsidRPr="004836A8" w:rsidRDefault="00D4019D"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175</w:t>
            </w:r>
          </w:p>
        </w:tc>
        <w:tc>
          <w:tcPr>
            <w:tcW w:w="269"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265"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0.5</w:t>
            </w:r>
          </w:p>
        </w:tc>
        <w:tc>
          <w:tcPr>
            <w:tcW w:w="28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1000</w:t>
            </w:r>
          </w:p>
        </w:tc>
        <w:tc>
          <w:tcPr>
            <w:tcW w:w="253"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356"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428"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0.004</w:t>
            </w:r>
          </w:p>
        </w:tc>
        <w:tc>
          <w:tcPr>
            <w:tcW w:w="25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0.003</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DA003</w:t>
            </w:r>
          </w:p>
        </w:tc>
        <w:tc>
          <w:tcPr>
            <w:tcW w:w="268" w:type="pct"/>
            <w:vAlign w:val="center"/>
          </w:tcPr>
          <w:p w:rsidR="004836A8" w:rsidRPr="004836A8" w:rsidRDefault="00D4019D"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1494</w:t>
            </w:r>
          </w:p>
        </w:tc>
        <w:tc>
          <w:tcPr>
            <w:tcW w:w="268" w:type="pct"/>
            <w:vAlign w:val="center"/>
          </w:tcPr>
          <w:p w:rsidR="004836A8" w:rsidRPr="004836A8" w:rsidRDefault="00D4019D"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150</w:t>
            </w:r>
          </w:p>
        </w:tc>
        <w:tc>
          <w:tcPr>
            <w:tcW w:w="269"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265"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0.35</w:t>
            </w:r>
          </w:p>
        </w:tc>
        <w:tc>
          <w:tcPr>
            <w:tcW w:w="28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3600</w:t>
            </w:r>
          </w:p>
        </w:tc>
        <w:tc>
          <w:tcPr>
            <w:tcW w:w="253"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356"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428"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0.011</w:t>
            </w:r>
          </w:p>
        </w:tc>
        <w:tc>
          <w:tcPr>
            <w:tcW w:w="250" w:type="pct"/>
            <w:vAlign w:val="center"/>
          </w:tcPr>
          <w:p w:rsidR="004836A8" w:rsidRPr="004836A8" w:rsidRDefault="004836A8" w:rsidP="004836A8">
            <w:pPr>
              <w:widowControl/>
              <w:ind w:firstLineChars="0" w:firstLine="0"/>
              <w:jc w:val="center"/>
              <w:rPr>
                <w:rFonts w:ascii="Times New Roman" w:hAnsi="Times New Roman"/>
                <w:bCs/>
                <w:sz w:val="21"/>
              </w:rPr>
            </w:pPr>
          </w:p>
        </w:tc>
        <w:tc>
          <w:tcPr>
            <w:tcW w:w="36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0.0005</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r>
      <w:tr w:rsidR="004836A8" w:rsidRPr="004836A8" w:rsidTr="00F74256">
        <w:trPr>
          <w:trHeight w:val="340"/>
        </w:trPr>
        <w:tc>
          <w:tcPr>
            <w:tcW w:w="292"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609" w:type="pct"/>
            <w:vMerge/>
            <w:vAlign w:val="center"/>
          </w:tcPr>
          <w:p w:rsidR="004836A8" w:rsidRPr="004836A8" w:rsidRDefault="004836A8" w:rsidP="004836A8">
            <w:pPr>
              <w:widowControl/>
              <w:ind w:firstLineChars="0" w:firstLine="0"/>
              <w:jc w:val="center"/>
              <w:rPr>
                <w:rFonts w:ascii="Times New Roman" w:hAnsi="Times New Roman"/>
                <w:bCs/>
                <w:sz w:val="21"/>
              </w:rPr>
            </w:pP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DA010</w:t>
            </w:r>
          </w:p>
        </w:tc>
        <w:tc>
          <w:tcPr>
            <w:tcW w:w="268" w:type="pct"/>
            <w:vAlign w:val="center"/>
          </w:tcPr>
          <w:p w:rsidR="004836A8" w:rsidRPr="004836A8" w:rsidRDefault="00D4019D" w:rsidP="004836A8">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1536</w:t>
            </w:r>
          </w:p>
        </w:tc>
        <w:tc>
          <w:tcPr>
            <w:tcW w:w="268" w:type="pct"/>
            <w:vAlign w:val="center"/>
          </w:tcPr>
          <w:p w:rsidR="004836A8" w:rsidRPr="004836A8" w:rsidRDefault="00D4019D" w:rsidP="004836A8">
            <w:pPr>
              <w:widowControl/>
              <w:ind w:firstLineChars="0" w:firstLine="0"/>
              <w:jc w:val="center"/>
              <w:rPr>
                <w:rFonts w:ascii="Times New Roman" w:hAnsi="Times New Roman"/>
                <w:bCs/>
                <w:sz w:val="21"/>
              </w:rPr>
            </w:pPr>
            <w:r>
              <w:rPr>
                <w:rFonts w:ascii="Times New Roman" w:hAnsi="Times New Roman"/>
                <w:bCs/>
                <w:sz w:val="21"/>
              </w:rPr>
              <w:t>-</w:t>
            </w:r>
            <w:r>
              <w:rPr>
                <w:rFonts w:ascii="Times New Roman" w:hAnsi="Times New Roman" w:hint="eastAsia"/>
                <w:bCs/>
                <w:sz w:val="21"/>
              </w:rPr>
              <w:t>1</w:t>
            </w:r>
            <w:r>
              <w:rPr>
                <w:rFonts w:ascii="Times New Roman" w:hAnsi="Times New Roman"/>
                <w:bCs/>
                <w:sz w:val="21"/>
              </w:rPr>
              <w:t>71</w:t>
            </w:r>
          </w:p>
        </w:tc>
        <w:tc>
          <w:tcPr>
            <w:tcW w:w="269"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15</w:t>
            </w:r>
          </w:p>
        </w:tc>
        <w:tc>
          <w:tcPr>
            <w:tcW w:w="265"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0.3</w:t>
            </w:r>
          </w:p>
        </w:tc>
        <w:tc>
          <w:tcPr>
            <w:tcW w:w="28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6000</w:t>
            </w:r>
          </w:p>
        </w:tc>
        <w:tc>
          <w:tcPr>
            <w:tcW w:w="253"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356"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7200</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428"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0.0018</w:t>
            </w:r>
          </w:p>
        </w:tc>
        <w:tc>
          <w:tcPr>
            <w:tcW w:w="25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0.0005</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0.00002</w:t>
            </w:r>
          </w:p>
        </w:tc>
      </w:tr>
      <w:tr w:rsidR="004836A8" w:rsidRPr="004836A8" w:rsidTr="00F74256">
        <w:trPr>
          <w:trHeight w:val="340"/>
        </w:trPr>
        <w:tc>
          <w:tcPr>
            <w:tcW w:w="292"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安徽百川生物科技有限公司</w:t>
            </w:r>
          </w:p>
        </w:tc>
        <w:tc>
          <w:tcPr>
            <w:tcW w:w="609"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G10</w:t>
            </w:r>
            <w:r w:rsidRPr="004836A8">
              <w:rPr>
                <w:rFonts w:ascii="Times New Roman" w:hAnsi="Times New Roman"/>
                <w:bCs/>
                <w:sz w:val="21"/>
              </w:rPr>
              <w:t>车间医用气体生产项目</w:t>
            </w:r>
          </w:p>
        </w:tc>
        <w:tc>
          <w:tcPr>
            <w:tcW w:w="30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DA016</w:t>
            </w:r>
          </w:p>
        </w:tc>
        <w:tc>
          <w:tcPr>
            <w:tcW w:w="268" w:type="pct"/>
            <w:vAlign w:val="center"/>
          </w:tcPr>
          <w:p w:rsidR="004836A8" w:rsidRPr="004836A8" w:rsidRDefault="00D4019D" w:rsidP="004836A8">
            <w:pPr>
              <w:widowControl/>
              <w:ind w:firstLineChars="0" w:firstLine="0"/>
              <w:jc w:val="center"/>
              <w:rPr>
                <w:rFonts w:ascii="Times New Roman" w:hAnsi="Times New Roman"/>
                <w:bCs/>
                <w:sz w:val="21"/>
              </w:rPr>
            </w:pPr>
            <w:r>
              <w:rPr>
                <w:rFonts w:ascii="Times New Roman" w:hAnsi="Times New Roman" w:hint="eastAsia"/>
                <w:bCs/>
                <w:sz w:val="21"/>
              </w:rPr>
              <w:t>8</w:t>
            </w:r>
            <w:r>
              <w:rPr>
                <w:rFonts w:ascii="Times New Roman" w:hAnsi="Times New Roman"/>
                <w:bCs/>
                <w:sz w:val="21"/>
              </w:rPr>
              <w:t>22</w:t>
            </w:r>
          </w:p>
        </w:tc>
        <w:tc>
          <w:tcPr>
            <w:tcW w:w="268" w:type="pct"/>
            <w:vAlign w:val="center"/>
          </w:tcPr>
          <w:p w:rsidR="004836A8" w:rsidRPr="004836A8" w:rsidRDefault="00D4019D" w:rsidP="004836A8">
            <w:pPr>
              <w:widowControl/>
              <w:ind w:firstLineChars="0" w:firstLine="0"/>
              <w:jc w:val="center"/>
              <w:rPr>
                <w:rFonts w:ascii="Times New Roman" w:hAnsi="Times New Roman"/>
                <w:bCs/>
                <w:sz w:val="21"/>
              </w:rPr>
            </w:pPr>
            <w:r>
              <w:rPr>
                <w:rFonts w:ascii="Times New Roman" w:hAnsi="Times New Roman" w:hint="eastAsia"/>
                <w:bCs/>
                <w:sz w:val="21"/>
              </w:rPr>
              <w:t>6</w:t>
            </w:r>
            <w:r>
              <w:rPr>
                <w:rFonts w:ascii="Times New Roman" w:hAnsi="Times New Roman"/>
                <w:bCs/>
                <w:sz w:val="21"/>
              </w:rPr>
              <w:t>32</w:t>
            </w:r>
          </w:p>
        </w:tc>
        <w:tc>
          <w:tcPr>
            <w:tcW w:w="269"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265"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0.6</w:t>
            </w:r>
          </w:p>
        </w:tc>
        <w:tc>
          <w:tcPr>
            <w:tcW w:w="284"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40752</w:t>
            </w:r>
          </w:p>
        </w:tc>
        <w:tc>
          <w:tcPr>
            <w:tcW w:w="253"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25</w:t>
            </w:r>
          </w:p>
        </w:tc>
        <w:tc>
          <w:tcPr>
            <w:tcW w:w="356"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7920</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0.001</w:t>
            </w:r>
          </w:p>
        </w:tc>
        <w:tc>
          <w:tcPr>
            <w:tcW w:w="428"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25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60"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c>
          <w:tcPr>
            <w:tcW w:w="397" w:type="pct"/>
            <w:vAlign w:val="center"/>
          </w:tcPr>
          <w:p w:rsidR="004836A8" w:rsidRPr="004836A8" w:rsidRDefault="004836A8" w:rsidP="004836A8">
            <w:pPr>
              <w:widowControl/>
              <w:ind w:firstLineChars="0" w:firstLine="0"/>
              <w:jc w:val="center"/>
              <w:rPr>
                <w:rFonts w:ascii="Times New Roman" w:hAnsi="Times New Roman"/>
                <w:bCs/>
                <w:sz w:val="21"/>
              </w:rPr>
            </w:pPr>
            <w:r w:rsidRPr="004836A8">
              <w:rPr>
                <w:rFonts w:ascii="Times New Roman" w:hAnsi="Times New Roman"/>
                <w:bCs/>
                <w:sz w:val="21"/>
              </w:rPr>
              <w:t>/</w:t>
            </w:r>
          </w:p>
        </w:tc>
      </w:tr>
      <w:tr w:rsidR="002C399B" w:rsidRPr="004836A8" w:rsidTr="00F74256">
        <w:trPr>
          <w:trHeight w:val="340"/>
        </w:trPr>
        <w:tc>
          <w:tcPr>
            <w:tcW w:w="292" w:type="pct"/>
            <w:vMerge w:val="restart"/>
            <w:vAlign w:val="center"/>
          </w:tcPr>
          <w:p w:rsidR="002C399B" w:rsidRPr="004836A8" w:rsidRDefault="002C399B" w:rsidP="002C399B">
            <w:pPr>
              <w:widowControl/>
              <w:ind w:firstLineChars="0" w:firstLine="0"/>
              <w:jc w:val="center"/>
              <w:rPr>
                <w:bCs/>
                <w:sz w:val="21"/>
              </w:rPr>
            </w:pPr>
            <w:r>
              <w:rPr>
                <w:rFonts w:hint="eastAsia"/>
                <w:bCs/>
                <w:sz w:val="21"/>
              </w:rPr>
              <w:t>安徽凯盛</w:t>
            </w:r>
            <w:r>
              <w:rPr>
                <w:rFonts w:hint="eastAsia"/>
                <w:bCs/>
                <w:sz w:val="21"/>
              </w:rPr>
              <w:lastRenderedPageBreak/>
              <w:t>应用材料有限公司</w:t>
            </w:r>
          </w:p>
        </w:tc>
        <w:tc>
          <w:tcPr>
            <w:tcW w:w="609" w:type="pct"/>
            <w:vMerge w:val="restart"/>
            <w:vAlign w:val="center"/>
          </w:tcPr>
          <w:p w:rsidR="002C399B" w:rsidRPr="004836A8" w:rsidRDefault="002C399B" w:rsidP="002C399B">
            <w:pPr>
              <w:ind w:firstLineChars="0" w:firstLine="0"/>
              <w:jc w:val="center"/>
              <w:rPr>
                <w:bCs/>
                <w:sz w:val="21"/>
              </w:rPr>
            </w:pPr>
            <w:r w:rsidRPr="00195FD6">
              <w:rPr>
                <w:rFonts w:ascii="Times New Roman" w:hAnsi="Times New Roman"/>
                <w:kern w:val="0"/>
                <w:sz w:val="21"/>
                <w:szCs w:val="21"/>
              </w:rPr>
              <w:lastRenderedPageBreak/>
              <w:t>陶瓷颗粒研发实验基地建设项目</w:t>
            </w:r>
          </w:p>
        </w:tc>
        <w:tc>
          <w:tcPr>
            <w:tcW w:w="304" w:type="pct"/>
            <w:vAlign w:val="center"/>
          </w:tcPr>
          <w:p w:rsidR="002C399B" w:rsidRPr="00F74256" w:rsidRDefault="002C399B" w:rsidP="002C399B">
            <w:pPr>
              <w:widowControl/>
              <w:ind w:firstLineChars="0" w:firstLine="0"/>
              <w:jc w:val="center"/>
              <w:rPr>
                <w:rFonts w:ascii="Times New Roman" w:hAnsi="Times New Roman"/>
                <w:bCs/>
                <w:sz w:val="21"/>
              </w:rPr>
            </w:pPr>
            <w:r w:rsidRPr="00F74256">
              <w:rPr>
                <w:rFonts w:ascii="Times New Roman" w:hAnsi="Times New Roman"/>
                <w:bCs/>
                <w:sz w:val="21"/>
              </w:rPr>
              <w:t>DA0</w:t>
            </w:r>
            <w:r>
              <w:rPr>
                <w:rFonts w:ascii="Times New Roman" w:hAnsi="Times New Roman"/>
                <w:bCs/>
                <w:sz w:val="21"/>
              </w:rPr>
              <w:t>35</w:t>
            </w:r>
          </w:p>
        </w:tc>
        <w:tc>
          <w:tcPr>
            <w:tcW w:w="268" w:type="pct"/>
            <w:vAlign w:val="center"/>
          </w:tcPr>
          <w:p w:rsidR="002C399B" w:rsidRPr="00F74256" w:rsidRDefault="002C399B" w:rsidP="002C399B">
            <w:pPr>
              <w:widowControl/>
              <w:ind w:firstLineChars="0" w:firstLine="0"/>
              <w:jc w:val="center"/>
              <w:rPr>
                <w:rFonts w:ascii="Times New Roman" w:hAnsi="Times New Roman"/>
                <w:bCs/>
                <w:sz w:val="21"/>
              </w:rPr>
            </w:pPr>
            <w:r>
              <w:rPr>
                <w:rFonts w:ascii="Times New Roman" w:hAnsi="Times New Roman" w:hint="eastAsia"/>
                <w:bCs/>
                <w:sz w:val="21"/>
              </w:rPr>
              <w:t>3</w:t>
            </w:r>
            <w:r>
              <w:rPr>
                <w:rFonts w:ascii="Times New Roman" w:hAnsi="Times New Roman"/>
                <w:bCs/>
                <w:sz w:val="21"/>
              </w:rPr>
              <w:t>6</w:t>
            </w:r>
          </w:p>
        </w:tc>
        <w:tc>
          <w:tcPr>
            <w:tcW w:w="268" w:type="pct"/>
            <w:vAlign w:val="center"/>
          </w:tcPr>
          <w:p w:rsidR="002C399B" w:rsidRPr="00F74256" w:rsidRDefault="002C399B" w:rsidP="002C399B">
            <w:pPr>
              <w:widowControl/>
              <w:ind w:firstLineChars="0" w:firstLine="0"/>
              <w:jc w:val="center"/>
              <w:rPr>
                <w:rFonts w:ascii="Times New Roman" w:hAnsi="Times New Roman"/>
                <w:bCs/>
                <w:sz w:val="21"/>
              </w:rPr>
            </w:pPr>
            <w:r>
              <w:rPr>
                <w:rFonts w:ascii="Times New Roman" w:hAnsi="Times New Roman" w:hint="eastAsia"/>
                <w:bCs/>
                <w:sz w:val="21"/>
              </w:rPr>
              <w:t>-</w:t>
            </w:r>
            <w:r>
              <w:rPr>
                <w:rFonts w:ascii="Times New Roman" w:hAnsi="Times New Roman"/>
                <w:bCs/>
                <w:sz w:val="21"/>
              </w:rPr>
              <w:t>268</w:t>
            </w:r>
          </w:p>
        </w:tc>
        <w:tc>
          <w:tcPr>
            <w:tcW w:w="269" w:type="pct"/>
            <w:vAlign w:val="center"/>
          </w:tcPr>
          <w:p w:rsidR="002C399B" w:rsidRPr="00F74256" w:rsidRDefault="002C399B" w:rsidP="002C399B">
            <w:pPr>
              <w:widowControl/>
              <w:ind w:firstLineChars="0" w:firstLine="0"/>
              <w:jc w:val="center"/>
              <w:rPr>
                <w:rFonts w:ascii="Times New Roman" w:hAnsi="Times New Roman"/>
                <w:bCs/>
                <w:sz w:val="21"/>
              </w:rPr>
            </w:pPr>
            <w:r>
              <w:rPr>
                <w:rFonts w:ascii="Times New Roman" w:hAnsi="Times New Roman" w:hint="eastAsia"/>
                <w:bCs/>
                <w:sz w:val="21"/>
              </w:rPr>
              <w:t>1</w:t>
            </w:r>
            <w:r>
              <w:rPr>
                <w:rFonts w:ascii="Times New Roman" w:hAnsi="Times New Roman"/>
                <w:bCs/>
                <w:sz w:val="21"/>
              </w:rPr>
              <w:t>5</w:t>
            </w:r>
          </w:p>
        </w:tc>
        <w:tc>
          <w:tcPr>
            <w:tcW w:w="265" w:type="pct"/>
            <w:vAlign w:val="center"/>
          </w:tcPr>
          <w:p w:rsidR="002C399B" w:rsidRPr="00F74256" w:rsidRDefault="002C399B" w:rsidP="002C399B">
            <w:pPr>
              <w:widowControl/>
              <w:ind w:firstLineChars="0" w:firstLine="0"/>
              <w:jc w:val="center"/>
              <w:rPr>
                <w:rFonts w:ascii="Times New Roman" w:hAnsi="Times New Roman"/>
                <w:bCs/>
                <w:sz w:val="21"/>
              </w:rPr>
            </w:pPr>
            <w:r>
              <w:rPr>
                <w:rFonts w:ascii="Times New Roman" w:hAnsi="Times New Roman" w:hint="eastAsia"/>
                <w:bCs/>
                <w:sz w:val="21"/>
              </w:rPr>
              <w:t>0.</w:t>
            </w:r>
            <w:r>
              <w:rPr>
                <w:rFonts w:ascii="Times New Roman" w:hAnsi="Times New Roman"/>
                <w:bCs/>
                <w:sz w:val="21"/>
              </w:rPr>
              <w:t>6</w:t>
            </w:r>
          </w:p>
        </w:tc>
        <w:tc>
          <w:tcPr>
            <w:tcW w:w="284" w:type="pct"/>
            <w:vAlign w:val="center"/>
          </w:tcPr>
          <w:p w:rsidR="002C399B" w:rsidRPr="00F74256" w:rsidRDefault="002C399B" w:rsidP="002C399B">
            <w:pPr>
              <w:widowControl/>
              <w:ind w:firstLineChars="0" w:firstLine="0"/>
              <w:jc w:val="center"/>
              <w:rPr>
                <w:rFonts w:ascii="Times New Roman" w:hAnsi="Times New Roman"/>
                <w:bCs/>
                <w:sz w:val="21"/>
              </w:rPr>
            </w:pPr>
            <w:r>
              <w:rPr>
                <w:rFonts w:ascii="Times New Roman" w:hAnsi="Times New Roman" w:hint="eastAsia"/>
                <w:bCs/>
                <w:sz w:val="21"/>
              </w:rPr>
              <w:t>4</w:t>
            </w:r>
            <w:r>
              <w:rPr>
                <w:rFonts w:ascii="Times New Roman" w:hAnsi="Times New Roman"/>
                <w:bCs/>
                <w:sz w:val="21"/>
              </w:rPr>
              <w:t>500</w:t>
            </w:r>
          </w:p>
        </w:tc>
        <w:tc>
          <w:tcPr>
            <w:tcW w:w="253" w:type="pct"/>
            <w:vAlign w:val="center"/>
          </w:tcPr>
          <w:p w:rsidR="002C399B" w:rsidRPr="00F74256" w:rsidRDefault="002C399B" w:rsidP="002C399B">
            <w:pPr>
              <w:widowControl/>
              <w:ind w:firstLineChars="0" w:firstLine="0"/>
              <w:jc w:val="center"/>
              <w:rPr>
                <w:rFonts w:ascii="Times New Roman" w:hAnsi="Times New Roman"/>
                <w:bCs/>
                <w:sz w:val="21"/>
              </w:rPr>
            </w:pPr>
            <w:r>
              <w:rPr>
                <w:rFonts w:ascii="Times New Roman" w:hAnsi="Times New Roman" w:hint="eastAsia"/>
                <w:bCs/>
                <w:sz w:val="21"/>
              </w:rPr>
              <w:t>2</w:t>
            </w:r>
            <w:r>
              <w:rPr>
                <w:rFonts w:ascii="Times New Roman" w:hAnsi="Times New Roman"/>
                <w:bCs/>
                <w:sz w:val="21"/>
              </w:rPr>
              <w:t>0</w:t>
            </w:r>
          </w:p>
        </w:tc>
        <w:tc>
          <w:tcPr>
            <w:tcW w:w="356" w:type="pct"/>
            <w:vAlign w:val="center"/>
          </w:tcPr>
          <w:p w:rsidR="002C399B" w:rsidRPr="00F74256" w:rsidRDefault="002C399B" w:rsidP="002C399B">
            <w:pPr>
              <w:widowControl/>
              <w:ind w:firstLineChars="0" w:firstLine="0"/>
              <w:jc w:val="center"/>
              <w:rPr>
                <w:rFonts w:ascii="Times New Roman" w:hAnsi="Times New Roman"/>
                <w:bCs/>
                <w:sz w:val="21"/>
              </w:rPr>
            </w:pPr>
            <w:r>
              <w:rPr>
                <w:rFonts w:ascii="Times New Roman" w:hAnsi="Times New Roman" w:hint="eastAsia"/>
                <w:bCs/>
                <w:sz w:val="21"/>
              </w:rPr>
              <w:t>9</w:t>
            </w:r>
            <w:r>
              <w:rPr>
                <w:rFonts w:ascii="Times New Roman" w:hAnsi="Times New Roman"/>
                <w:bCs/>
                <w:sz w:val="21"/>
              </w:rPr>
              <w:t>60</w:t>
            </w:r>
          </w:p>
        </w:tc>
        <w:tc>
          <w:tcPr>
            <w:tcW w:w="397" w:type="pct"/>
            <w:vAlign w:val="center"/>
          </w:tcPr>
          <w:p w:rsidR="002C399B" w:rsidRPr="00F74256" w:rsidRDefault="002C399B" w:rsidP="002C399B">
            <w:pPr>
              <w:widowControl/>
              <w:ind w:firstLineChars="0" w:firstLine="0"/>
              <w:jc w:val="center"/>
              <w:rPr>
                <w:rFonts w:ascii="Times New Roman" w:hAnsi="Times New Roman"/>
                <w:bCs/>
                <w:sz w:val="21"/>
              </w:rPr>
            </w:pPr>
            <w:r>
              <w:rPr>
                <w:rFonts w:ascii="Times New Roman" w:hAnsi="Times New Roman" w:hint="eastAsia"/>
                <w:bCs/>
                <w:sz w:val="21"/>
              </w:rPr>
              <w:t>/</w:t>
            </w:r>
          </w:p>
        </w:tc>
        <w:tc>
          <w:tcPr>
            <w:tcW w:w="428" w:type="pct"/>
            <w:vAlign w:val="center"/>
          </w:tcPr>
          <w:p w:rsidR="002C399B" w:rsidRPr="00F74256" w:rsidRDefault="002C399B" w:rsidP="002C399B">
            <w:pPr>
              <w:widowControl/>
              <w:ind w:firstLineChars="0" w:firstLine="0"/>
              <w:jc w:val="center"/>
              <w:rPr>
                <w:rFonts w:ascii="Times New Roman" w:hAnsi="Times New Roman"/>
                <w:bCs/>
                <w:sz w:val="21"/>
              </w:rPr>
            </w:pPr>
            <w:r>
              <w:rPr>
                <w:rFonts w:ascii="Times New Roman" w:hAnsi="Times New Roman" w:hint="eastAsia"/>
                <w:bCs/>
                <w:sz w:val="21"/>
              </w:rPr>
              <w:t>/</w:t>
            </w:r>
          </w:p>
        </w:tc>
        <w:tc>
          <w:tcPr>
            <w:tcW w:w="250" w:type="pct"/>
            <w:vAlign w:val="center"/>
          </w:tcPr>
          <w:p w:rsidR="002C399B" w:rsidRPr="00F74256" w:rsidRDefault="002C399B" w:rsidP="002C399B">
            <w:pPr>
              <w:widowControl/>
              <w:ind w:firstLineChars="0" w:firstLine="0"/>
              <w:jc w:val="center"/>
              <w:rPr>
                <w:rFonts w:ascii="Times New Roman" w:hAnsi="Times New Roman"/>
                <w:bCs/>
                <w:sz w:val="21"/>
              </w:rPr>
            </w:pPr>
            <w:r>
              <w:rPr>
                <w:rFonts w:ascii="Times New Roman" w:hAnsi="Times New Roman" w:hint="eastAsia"/>
                <w:bCs/>
                <w:sz w:val="21"/>
              </w:rPr>
              <w:t>/</w:t>
            </w:r>
          </w:p>
        </w:tc>
        <w:tc>
          <w:tcPr>
            <w:tcW w:w="360" w:type="pct"/>
            <w:vAlign w:val="center"/>
          </w:tcPr>
          <w:p w:rsidR="002C399B" w:rsidRPr="00F74256" w:rsidRDefault="002C399B" w:rsidP="002C399B">
            <w:pPr>
              <w:widowControl/>
              <w:ind w:firstLineChars="0" w:firstLine="0"/>
              <w:jc w:val="center"/>
              <w:rPr>
                <w:rFonts w:ascii="Times New Roman" w:hAnsi="Times New Roman"/>
                <w:bCs/>
                <w:sz w:val="21"/>
              </w:rPr>
            </w:pPr>
            <w:r>
              <w:rPr>
                <w:rFonts w:ascii="Times New Roman" w:hAnsi="Times New Roman" w:hint="eastAsia"/>
                <w:bCs/>
                <w:sz w:val="21"/>
              </w:rPr>
              <w:t>0.</w:t>
            </w:r>
            <w:r>
              <w:rPr>
                <w:rFonts w:ascii="Times New Roman" w:hAnsi="Times New Roman"/>
                <w:bCs/>
                <w:sz w:val="21"/>
              </w:rPr>
              <w:t>263</w:t>
            </w:r>
          </w:p>
        </w:tc>
        <w:tc>
          <w:tcPr>
            <w:tcW w:w="397" w:type="pct"/>
            <w:vAlign w:val="center"/>
          </w:tcPr>
          <w:p w:rsidR="002C399B" w:rsidRPr="00F74256" w:rsidRDefault="002C399B" w:rsidP="002C399B">
            <w:pPr>
              <w:widowControl/>
              <w:ind w:firstLineChars="0" w:firstLine="0"/>
              <w:jc w:val="center"/>
              <w:rPr>
                <w:rFonts w:ascii="Times New Roman" w:hAnsi="Times New Roman"/>
                <w:bCs/>
                <w:sz w:val="21"/>
              </w:rPr>
            </w:pPr>
            <w:r>
              <w:rPr>
                <w:rFonts w:ascii="Times New Roman" w:hAnsi="Times New Roman" w:hint="eastAsia"/>
                <w:bCs/>
                <w:sz w:val="21"/>
              </w:rPr>
              <w:t>/</w:t>
            </w:r>
          </w:p>
        </w:tc>
      </w:tr>
      <w:tr w:rsidR="002C399B" w:rsidRPr="004836A8" w:rsidTr="00F74256">
        <w:trPr>
          <w:trHeight w:val="340"/>
        </w:trPr>
        <w:tc>
          <w:tcPr>
            <w:tcW w:w="292" w:type="pct"/>
            <w:vMerge/>
            <w:vAlign w:val="center"/>
          </w:tcPr>
          <w:p w:rsidR="002C399B" w:rsidRPr="004836A8" w:rsidRDefault="002C399B" w:rsidP="00F74256">
            <w:pPr>
              <w:widowControl/>
              <w:ind w:firstLineChars="0" w:firstLine="0"/>
              <w:jc w:val="center"/>
              <w:rPr>
                <w:bCs/>
                <w:sz w:val="21"/>
              </w:rPr>
            </w:pPr>
          </w:p>
        </w:tc>
        <w:tc>
          <w:tcPr>
            <w:tcW w:w="609" w:type="pct"/>
            <w:vMerge/>
            <w:vAlign w:val="center"/>
          </w:tcPr>
          <w:p w:rsidR="002C399B" w:rsidRPr="00195FD6" w:rsidRDefault="002C399B" w:rsidP="00F74256">
            <w:pPr>
              <w:widowControl/>
              <w:ind w:firstLineChars="0" w:firstLine="0"/>
              <w:jc w:val="center"/>
              <w:rPr>
                <w:kern w:val="0"/>
                <w:sz w:val="21"/>
                <w:szCs w:val="21"/>
              </w:rPr>
            </w:pPr>
          </w:p>
        </w:tc>
        <w:tc>
          <w:tcPr>
            <w:tcW w:w="304" w:type="pct"/>
            <w:vAlign w:val="center"/>
          </w:tcPr>
          <w:p w:rsidR="002C399B" w:rsidRPr="00F74256" w:rsidRDefault="002C399B" w:rsidP="00F74256">
            <w:pPr>
              <w:widowControl/>
              <w:ind w:firstLineChars="0" w:firstLine="0"/>
              <w:jc w:val="center"/>
              <w:rPr>
                <w:rFonts w:ascii="Times New Roman" w:hAnsi="Times New Roman"/>
                <w:bCs/>
                <w:sz w:val="21"/>
              </w:rPr>
            </w:pPr>
            <w:r w:rsidRPr="00F74256">
              <w:rPr>
                <w:rFonts w:ascii="Times New Roman" w:hAnsi="Times New Roman"/>
                <w:bCs/>
                <w:sz w:val="21"/>
              </w:rPr>
              <w:t>DA0</w:t>
            </w:r>
            <w:r>
              <w:rPr>
                <w:rFonts w:ascii="Times New Roman" w:hAnsi="Times New Roman"/>
                <w:bCs/>
                <w:sz w:val="21"/>
              </w:rPr>
              <w:t>36</w:t>
            </w:r>
          </w:p>
        </w:tc>
        <w:tc>
          <w:tcPr>
            <w:tcW w:w="268"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3</w:t>
            </w:r>
            <w:r w:rsidRPr="00CD011F">
              <w:rPr>
                <w:rFonts w:ascii="Times New Roman" w:hAnsi="Times New Roman"/>
                <w:bCs/>
                <w:sz w:val="21"/>
              </w:rPr>
              <w:t>9</w:t>
            </w:r>
          </w:p>
        </w:tc>
        <w:tc>
          <w:tcPr>
            <w:tcW w:w="268"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w:t>
            </w:r>
            <w:r w:rsidRPr="00CD011F">
              <w:rPr>
                <w:rFonts w:ascii="Times New Roman" w:hAnsi="Times New Roman"/>
                <w:bCs/>
                <w:sz w:val="21"/>
              </w:rPr>
              <w:t>268</w:t>
            </w:r>
          </w:p>
        </w:tc>
        <w:tc>
          <w:tcPr>
            <w:tcW w:w="269" w:type="pct"/>
            <w:vAlign w:val="center"/>
          </w:tcPr>
          <w:p w:rsidR="002C399B" w:rsidRPr="00F74256" w:rsidRDefault="002C399B" w:rsidP="00F74256">
            <w:pPr>
              <w:widowControl/>
              <w:ind w:firstLineChars="0" w:firstLine="0"/>
              <w:jc w:val="center"/>
              <w:rPr>
                <w:rFonts w:ascii="Times New Roman" w:hAnsi="Times New Roman"/>
                <w:bCs/>
                <w:sz w:val="21"/>
              </w:rPr>
            </w:pPr>
            <w:r>
              <w:rPr>
                <w:rFonts w:ascii="Times New Roman" w:hAnsi="Times New Roman" w:hint="eastAsia"/>
                <w:bCs/>
                <w:sz w:val="21"/>
              </w:rPr>
              <w:t>1</w:t>
            </w:r>
            <w:r>
              <w:rPr>
                <w:rFonts w:ascii="Times New Roman" w:hAnsi="Times New Roman"/>
                <w:bCs/>
                <w:sz w:val="21"/>
              </w:rPr>
              <w:t>5</w:t>
            </w:r>
          </w:p>
        </w:tc>
        <w:tc>
          <w:tcPr>
            <w:tcW w:w="265" w:type="pct"/>
            <w:vAlign w:val="center"/>
          </w:tcPr>
          <w:p w:rsidR="002C399B" w:rsidRPr="00F74256" w:rsidRDefault="002C399B" w:rsidP="00F74256">
            <w:pPr>
              <w:widowControl/>
              <w:ind w:firstLineChars="0" w:firstLine="0"/>
              <w:jc w:val="center"/>
              <w:rPr>
                <w:rFonts w:ascii="Times New Roman" w:hAnsi="Times New Roman"/>
                <w:bCs/>
                <w:sz w:val="21"/>
              </w:rPr>
            </w:pPr>
            <w:r>
              <w:rPr>
                <w:rFonts w:ascii="Times New Roman" w:hAnsi="Times New Roman" w:hint="eastAsia"/>
                <w:bCs/>
                <w:sz w:val="21"/>
              </w:rPr>
              <w:t>0.</w:t>
            </w:r>
            <w:r>
              <w:rPr>
                <w:rFonts w:ascii="Times New Roman" w:hAnsi="Times New Roman"/>
                <w:bCs/>
                <w:sz w:val="21"/>
              </w:rPr>
              <w:t>6</w:t>
            </w:r>
          </w:p>
        </w:tc>
        <w:tc>
          <w:tcPr>
            <w:tcW w:w="284"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bCs/>
                <w:sz w:val="21"/>
              </w:rPr>
              <w:t>4500</w:t>
            </w:r>
          </w:p>
        </w:tc>
        <w:tc>
          <w:tcPr>
            <w:tcW w:w="253"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2</w:t>
            </w:r>
            <w:r w:rsidRPr="00CD011F">
              <w:rPr>
                <w:rFonts w:ascii="Times New Roman" w:hAnsi="Times New Roman"/>
                <w:bCs/>
                <w:sz w:val="21"/>
              </w:rPr>
              <w:t>0</w:t>
            </w:r>
          </w:p>
        </w:tc>
        <w:tc>
          <w:tcPr>
            <w:tcW w:w="356"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10</w:t>
            </w:r>
            <w:r w:rsidRPr="00CD011F">
              <w:rPr>
                <w:rFonts w:ascii="Times New Roman" w:hAnsi="Times New Roman"/>
                <w:bCs/>
                <w:sz w:val="21"/>
              </w:rPr>
              <w:t>0</w:t>
            </w:r>
          </w:p>
        </w:tc>
        <w:tc>
          <w:tcPr>
            <w:tcW w:w="397"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w:t>
            </w:r>
          </w:p>
        </w:tc>
        <w:tc>
          <w:tcPr>
            <w:tcW w:w="428"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w:t>
            </w:r>
          </w:p>
        </w:tc>
        <w:tc>
          <w:tcPr>
            <w:tcW w:w="250"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w:t>
            </w:r>
          </w:p>
        </w:tc>
        <w:tc>
          <w:tcPr>
            <w:tcW w:w="360"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0.</w:t>
            </w:r>
            <w:r w:rsidRPr="00CD011F">
              <w:rPr>
                <w:rFonts w:ascii="Times New Roman" w:hAnsi="Times New Roman"/>
                <w:bCs/>
                <w:sz w:val="21"/>
              </w:rPr>
              <w:t>072</w:t>
            </w:r>
          </w:p>
        </w:tc>
        <w:tc>
          <w:tcPr>
            <w:tcW w:w="397"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w:t>
            </w:r>
          </w:p>
        </w:tc>
      </w:tr>
      <w:tr w:rsidR="002C399B" w:rsidRPr="004836A8" w:rsidTr="00F74256">
        <w:trPr>
          <w:trHeight w:val="232"/>
        </w:trPr>
        <w:tc>
          <w:tcPr>
            <w:tcW w:w="292" w:type="pct"/>
            <w:vMerge/>
            <w:vAlign w:val="center"/>
          </w:tcPr>
          <w:p w:rsidR="002C399B" w:rsidRPr="004836A8" w:rsidRDefault="002C399B" w:rsidP="00F74256">
            <w:pPr>
              <w:widowControl/>
              <w:ind w:firstLineChars="0" w:firstLine="0"/>
              <w:jc w:val="center"/>
              <w:rPr>
                <w:bCs/>
                <w:sz w:val="21"/>
              </w:rPr>
            </w:pPr>
          </w:p>
        </w:tc>
        <w:tc>
          <w:tcPr>
            <w:tcW w:w="609" w:type="pct"/>
            <w:vMerge/>
            <w:vAlign w:val="center"/>
          </w:tcPr>
          <w:p w:rsidR="002C399B" w:rsidRPr="00195FD6" w:rsidRDefault="002C399B" w:rsidP="00F74256">
            <w:pPr>
              <w:widowControl/>
              <w:ind w:firstLineChars="0" w:firstLine="0"/>
              <w:jc w:val="center"/>
              <w:rPr>
                <w:kern w:val="0"/>
                <w:sz w:val="21"/>
                <w:szCs w:val="21"/>
              </w:rPr>
            </w:pPr>
          </w:p>
        </w:tc>
        <w:tc>
          <w:tcPr>
            <w:tcW w:w="304" w:type="pct"/>
            <w:vAlign w:val="center"/>
          </w:tcPr>
          <w:p w:rsidR="002C399B" w:rsidRPr="00F74256" w:rsidRDefault="002C399B" w:rsidP="00F74256">
            <w:pPr>
              <w:widowControl/>
              <w:ind w:firstLineChars="0" w:firstLine="0"/>
              <w:jc w:val="center"/>
              <w:rPr>
                <w:rFonts w:ascii="Times New Roman" w:hAnsi="Times New Roman"/>
                <w:bCs/>
                <w:sz w:val="21"/>
              </w:rPr>
            </w:pPr>
            <w:r w:rsidRPr="00F74256">
              <w:rPr>
                <w:rFonts w:ascii="Times New Roman" w:hAnsi="Times New Roman"/>
                <w:bCs/>
                <w:sz w:val="21"/>
              </w:rPr>
              <w:t>DA0</w:t>
            </w:r>
            <w:r>
              <w:rPr>
                <w:rFonts w:ascii="Times New Roman" w:hAnsi="Times New Roman"/>
                <w:bCs/>
                <w:sz w:val="21"/>
              </w:rPr>
              <w:t>37</w:t>
            </w:r>
          </w:p>
        </w:tc>
        <w:tc>
          <w:tcPr>
            <w:tcW w:w="268"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2</w:t>
            </w:r>
            <w:r w:rsidRPr="00CD011F">
              <w:rPr>
                <w:rFonts w:ascii="Times New Roman" w:hAnsi="Times New Roman"/>
                <w:bCs/>
                <w:sz w:val="21"/>
              </w:rPr>
              <w:t>5</w:t>
            </w:r>
          </w:p>
        </w:tc>
        <w:tc>
          <w:tcPr>
            <w:tcW w:w="268"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w:t>
            </w:r>
            <w:r w:rsidRPr="00CD011F">
              <w:rPr>
                <w:rFonts w:ascii="Times New Roman" w:hAnsi="Times New Roman"/>
                <w:bCs/>
                <w:sz w:val="21"/>
              </w:rPr>
              <w:t>268</w:t>
            </w:r>
          </w:p>
        </w:tc>
        <w:tc>
          <w:tcPr>
            <w:tcW w:w="269" w:type="pct"/>
            <w:vAlign w:val="center"/>
          </w:tcPr>
          <w:p w:rsidR="002C399B" w:rsidRPr="00F74256" w:rsidRDefault="002C399B" w:rsidP="00F74256">
            <w:pPr>
              <w:widowControl/>
              <w:ind w:firstLineChars="0" w:firstLine="0"/>
              <w:jc w:val="center"/>
              <w:rPr>
                <w:rFonts w:ascii="Times New Roman" w:hAnsi="Times New Roman"/>
                <w:bCs/>
                <w:sz w:val="21"/>
              </w:rPr>
            </w:pPr>
            <w:r>
              <w:rPr>
                <w:rFonts w:ascii="Times New Roman" w:hAnsi="Times New Roman" w:hint="eastAsia"/>
                <w:bCs/>
                <w:sz w:val="21"/>
              </w:rPr>
              <w:t>1</w:t>
            </w:r>
            <w:r>
              <w:rPr>
                <w:rFonts w:ascii="Times New Roman" w:hAnsi="Times New Roman"/>
                <w:bCs/>
                <w:sz w:val="21"/>
              </w:rPr>
              <w:t>5</w:t>
            </w:r>
          </w:p>
        </w:tc>
        <w:tc>
          <w:tcPr>
            <w:tcW w:w="265" w:type="pct"/>
            <w:vAlign w:val="center"/>
          </w:tcPr>
          <w:p w:rsidR="002C399B" w:rsidRPr="00F74256" w:rsidRDefault="002C399B" w:rsidP="00F74256">
            <w:pPr>
              <w:widowControl/>
              <w:ind w:firstLineChars="0" w:firstLine="0"/>
              <w:jc w:val="center"/>
              <w:rPr>
                <w:rFonts w:ascii="Times New Roman" w:hAnsi="Times New Roman"/>
                <w:bCs/>
                <w:sz w:val="21"/>
              </w:rPr>
            </w:pPr>
            <w:r>
              <w:rPr>
                <w:rFonts w:ascii="Times New Roman" w:hAnsi="Times New Roman" w:hint="eastAsia"/>
                <w:bCs/>
                <w:sz w:val="21"/>
              </w:rPr>
              <w:t>0.</w:t>
            </w:r>
            <w:r>
              <w:rPr>
                <w:rFonts w:ascii="Times New Roman" w:hAnsi="Times New Roman"/>
                <w:bCs/>
                <w:sz w:val="21"/>
              </w:rPr>
              <w:t>6</w:t>
            </w:r>
          </w:p>
        </w:tc>
        <w:tc>
          <w:tcPr>
            <w:tcW w:w="284"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6</w:t>
            </w:r>
            <w:r w:rsidRPr="00CD011F">
              <w:rPr>
                <w:rFonts w:ascii="Times New Roman" w:hAnsi="Times New Roman"/>
                <w:bCs/>
                <w:sz w:val="21"/>
              </w:rPr>
              <w:t>00</w:t>
            </w:r>
          </w:p>
        </w:tc>
        <w:tc>
          <w:tcPr>
            <w:tcW w:w="253"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bCs/>
                <w:sz w:val="21"/>
              </w:rPr>
              <w:t>300</w:t>
            </w:r>
          </w:p>
        </w:tc>
        <w:tc>
          <w:tcPr>
            <w:tcW w:w="356"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1</w:t>
            </w:r>
            <w:r w:rsidRPr="00CD011F">
              <w:rPr>
                <w:rFonts w:ascii="Times New Roman" w:hAnsi="Times New Roman"/>
                <w:bCs/>
                <w:sz w:val="21"/>
              </w:rPr>
              <w:t>360</w:t>
            </w:r>
          </w:p>
        </w:tc>
        <w:tc>
          <w:tcPr>
            <w:tcW w:w="397"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0.</w:t>
            </w:r>
            <w:r w:rsidRPr="00CD011F">
              <w:rPr>
                <w:rFonts w:ascii="Times New Roman" w:hAnsi="Times New Roman"/>
                <w:bCs/>
                <w:sz w:val="21"/>
              </w:rPr>
              <w:t>00095</w:t>
            </w:r>
          </w:p>
        </w:tc>
        <w:tc>
          <w:tcPr>
            <w:tcW w:w="428"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w:t>
            </w:r>
          </w:p>
        </w:tc>
        <w:tc>
          <w:tcPr>
            <w:tcW w:w="250"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w:t>
            </w:r>
          </w:p>
        </w:tc>
        <w:tc>
          <w:tcPr>
            <w:tcW w:w="360"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w:t>
            </w:r>
          </w:p>
        </w:tc>
        <w:tc>
          <w:tcPr>
            <w:tcW w:w="397"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w:t>
            </w:r>
          </w:p>
        </w:tc>
      </w:tr>
      <w:tr w:rsidR="002C399B" w:rsidRPr="004836A8" w:rsidTr="00F74256">
        <w:trPr>
          <w:trHeight w:val="340"/>
        </w:trPr>
        <w:tc>
          <w:tcPr>
            <w:tcW w:w="292" w:type="pct"/>
            <w:vMerge/>
            <w:vAlign w:val="center"/>
          </w:tcPr>
          <w:p w:rsidR="002C399B" w:rsidRPr="004836A8" w:rsidRDefault="002C399B" w:rsidP="00F74256">
            <w:pPr>
              <w:widowControl/>
              <w:ind w:firstLineChars="0" w:firstLine="0"/>
              <w:jc w:val="center"/>
              <w:rPr>
                <w:bCs/>
                <w:sz w:val="21"/>
              </w:rPr>
            </w:pPr>
          </w:p>
        </w:tc>
        <w:tc>
          <w:tcPr>
            <w:tcW w:w="609" w:type="pct"/>
            <w:vMerge/>
            <w:vAlign w:val="center"/>
          </w:tcPr>
          <w:p w:rsidR="002C399B" w:rsidRPr="00195FD6" w:rsidRDefault="002C399B" w:rsidP="00F74256">
            <w:pPr>
              <w:widowControl/>
              <w:ind w:firstLineChars="0" w:firstLine="0"/>
              <w:jc w:val="center"/>
              <w:rPr>
                <w:kern w:val="0"/>
                <w:sz w:val="21"/>
                <w:szCs w:val="21"/>
              </w:rPr>
            </w:pPr>
          </w:p>
        </w:tc>
        <w:tc>
          <w:tcPr>
            <w:tcW w:w="304" w:type="pct"/>
            <w:vAlign w:val="center"/>
          </w:tcPr>
          <w:p w:rsidR="002C399B" w:rsidRPr="00F74256" w:rsidRDefault="002C399B" w:rsidP="00F74256">
            <w:pPr>
              <w:widowControl/>
              <w:ind w:firstLineChars="0" w:firstLine="0"/>
              <w:jc w:val="center"/>
              <w:rPr>
                <w:rFonts w:ascii="Times New Roman" w:hAnsi="Times New Roman"/>
                <w:bCs/>
                <w:sz w:val="21"/>
              </w:rPr>
            </w:pPr>
            <w:r w:rsidRPr="00F74256">
              <w:rPr>
                <w:rFonts w:ascii="Times New Roman" w:hAnsi="Times New Roman"/>
                <w:bCs/>
                <w:sz w:val="21"/>
              </w:rPr>
              <w:t>DA0</w:t>
            </w:r>
            <w:r>
              <w:rPr>
                <w:rFonts w:ascii="Times New Roman" w:hAnsi="Times New Roman"/>
                <w:bCs/>
                <w:sz w:val="21"/>
              </w:rPr>
              <w:t>38</w:t>
            </w:r>
          </w:p>
        </w:tc>
        <w:tc>
          <w:tcPr>
            <w:tcW w:w="268"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3</w:t>
            </w:r>
            <w:r w:rsidRPr="00CD011F">
              <w:rPr>
                <w:rFonts w:ascii="Times New Roman" w:hAnsi="Times New Roman"/>
                <w:bCs/>
                <w:sz w:val="21"/>
              </w:rPr>
              <w:t>0</w:t>
            </w:r>
          </w:p>
        </w:tc>
        <w:tc>
          <w:tcPr>
            <w:tcW w:w="268"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w:t>
            </w:r>
            <w:r w:rsidRPr="00CD011F">
              <w:rPr>
                <w:rFonts w:ascii="Times New Roman" w:hAnsi="Times New Roman"/>
                <w:bCs/>
                <w:sz w:val="21"/>
              </w:rPr>
              <w:t>268</w:t>
            </w:r>
          </w:p>
        </w:tc>
        <w:tc>
          <w:tcPr>
            <w:tcW w:w="269" w:type="pct"/>
            <w:vAlign w:val="center"/>
          </w:tcPr>
          <w:p w:rsidR="002C399B" w:rsidRPr="00F74256" w:rsidRDefault="002C399B" w:rsidP="00F74256">
            <w:pPr>
              <w:widowControl/>
              <w:ind w:firstLineChars="0" w:firstLine="0"/>
              <w:jc w:val="center"/>
              <w:rPr>
                <w:rFonts w:ascii="Times New Roman" w:hAnsi="Times New Roman"/>
                <w:bCs/>
                <w:sz w:val="21"/>
              </w:rPr>
            </w:pPr>
            <w:r>
              <w:rPr>
                <w:rFonts w:ascii="Times New Roman" w:hAnsi="Times New Roman" w:hint="eastAsia"/>
                <w:bCs/>
                <w:sz w:val="21"/>
              </w:rPr>
              <w:t>1</w:t>
            </w:r>
            <w:r>
              <w:rPr>
                <w:rFonts w:ascii="Times New Roman" w:hAnsi="Times New Roman"/>
                <w:bCs/>
                <w:sz w:val="21"/>
              </w:rPr>
              <w:t>5</w:t>
            </w:r>
          </w:p>
        </w:tc>
        <w:tc>
          <w:tcPr>
            <w:tcW w:w="265" w:type="pct"/>
            <w:vAlign w:val="center"/>
          </w:tcPr>
          <w:p w:rsidR="002C399B" w:rsidRPr="00F74256" w:rsidRDefault="002C399B" w:rsidP="00F74256">
            <w:pPr>
              <w:widowControl/>
              <w:ind w:firstLineChars="0" w:firstLine="0"/>
              <w:jc w:val="center"/>
              <w:rPr>
                <w:rFonts w:ascii="Times New Roman" w:hAnsi="Times New Roman"/>
                <w:bCs/>
                <w:sz w:val="21"/>
              </w:rPr>
            </w:pPr>
            <w:r>
              <w:rPr>
                <w:rFonts w:ascii="Times New Roman" w:hAnsi="Times New Roman" w:hint="eastAsia"/>
                <w:bCs/>
                <w:sz w:val="21"/>
              </w:rPr>
              <w:t>0.</w:t>
            </w:r>
            <w:r>
              <w:rPr>
                <w:rFonts w:ascii="Times New Roman" w:hAnsi="Times New Roman"/>
                <w:bCs/>
                <w:sz w:val="21"/>
              </w:rPr>
              <w:t>6</w:t>
            </w:r>
          </w:p>
        </w:tc>
        <w:tc>
          <w:tcPr>
            <w:tcW w:w="284"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6</w:t>
            </w:r>
            <w:r w:rsidRPr="00CD011F">
              <w:rPr>
                <w:rFonts w:ascii="Times New Roman" w:hAnsi="Times New Roman"/>
                <w:bCs/>
                <w:sz w:val="21"/>
              </w:rPr>
              <w:t>00</w:t>
            </w:r>
          </w:p>
        </w:tc>
        <w:tc>
          <w:tcPr>
            <w:tcW w:w="253"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bCs/>
                <w:sz w:val="21"/>
              </w:rPr>
              <w:t>300</w:t>
            </w:r>
          </w:p>
        </w:tc>
        <w:tc>
          <w:tcPr>
            <w:tcW w:w="356"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1</w:t>
            </w:r>
            <w:r w:rsidRPr="00CD011F">
              <w:rPr>
                <w:rFonts w:ascii="Times New Roman" w:hAnsi="Times New Roman"/>
                <w:bCs/>
                <w:sz w:val="21"/>
              </w:rPr>
              <w:t>360</w:t>
            </w:r>
          </w:p>
        </w:tc>
        <w:tc>
          <w:tcPr>
            <w:tcW w:w="397"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0</w:t>
            </w:r>
            <w:r w:rsidRPr="00CD011F">
              <w:rPr>
                <w:rFonts w:ascii="Times New Roman" w:hAnsi="Times New Roman"/>
                <w:bCs/>
                <w:sz w:val="21"/>
              </w:rPr>
              <w:t>.00095</w:t>
            </w:r>
          </w:p>
        </w:tc>
        <w:tc>
          <w:tcPr>
            <w:tcW w:w="428"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w:t>
            </w:r>
          </w:p>
        </w:tc>
        <w:tc>
          <w:tcPr>
            <w:tcW w:w="250"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w:t>
            </w:r>
          </w:p>
        </w:tc>
        <w:tc>
          <w:tcPr>
            <w:tcW w:w="360"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w:t>
            </w:r>
          </w:p>
        </w:tc>
        <w:tc>
          <w:tcPr>
            <w:tcW w:w="397" w:type="pct"/>
            <w:vAlign w:val="center"/>
          </w:tcPr>
          <w:p w:rsidR="002C399B" w:rsidRPr="00CD011F" w:rsidRDefault="002C399B" w:rsidP="00F74256">
            <w:pPr>
              <w:widowControl/>
              <w:ind w:firstLineChars="0" w:firstLine="0"/>
              <w:jc w:val="center"/>
              <w:rPr>
                <w:rFonts w:ascii="Times New Roman" w:hAnsi="Times New Roman"/>
                <w:bCs/>
                <w:sz w:val="21"/>
              </w:rPr>
            </w:pPr>
            <w:r w:rsidRPr="00CD011F">
              <w:rPr>
                <w:rFonts w:ascii="Times New Roman" w:hAnsi="Times New Roman" w:hint="eastAsia"/>
                <w:bCs/>
                <w:sz w:val="21"/>
              </w:rPr>
              <w:t>/</w:t>
            </w:r>
          </w:p>
        </w:tc>
      </w:tr>
    </w:tbl>
    <w:p w:rsidR="00381228" w:rsidRDefault="00381228" w:rsidP="00381228">
      <w:pPr>
        <w:pStyle w:val="afffff4"/>
      </w:pPr>
      <w:r>
        <w:rPr>
          <w:rFonts w:hint="eastAsia"/>
        </w:rPr>
        <w:t>表</w:t>
      </w:r>
      <w:r>
        <w:t>4</w:t>
      </w:r>
      <w:r>
        <w:rPr>
          <w:rFonts w:hint="eastAsia"/>
        </w:rPr>
        <w:t>.3</w:t>
      </w:r>
      <w:r>
        <w:t xml:space="preserve">.2-3  </w:t>
      </w:r>
      <w:r>
        <w:rPr>
          <w:color w:val="000000" w:themeColor="text1"/>
        </w:rPr>
        <w:t xml:space="preserve">  </w:t>
      </w:r>
      <w:r>
        <w:rPr>
          <w:color w:val="000000" w:themeColor="text1"/>
        </w:rPr>
        <w:t>区域在建及已批复</w:t>
      </w:r>
      <w:r>
        <w:rPr>
          <w:rFonts w:hint="eastAsia"/>
          <w:color w:val="000000" w:themeColor="text1"/>
        </w:rPr>
        <w:t>排</w:t>
      </w:r>
      <w:r>
        <w:rPr>
          <w:color w:val="000000" w:themeColor="text1"/>
        </w:rPr>
        <w:t>放污染物与本项目有关的项目</w:t>
      </w:r>
      <w:r>
        <w:rPr>
          <w:rFonts w:hint="eastAsia"/>
          <w:color w:val="000000" w:themeColor="text1"/>
        </w:rPr>
        <w:t>无组织</w:t>
      </w:r>
      <w:r>
        <w:rPr>
          <w:color w:val="000000" w:themeColor="text1"/>
        </w:rPr>
        <w:t>统计</w:t>
      </w:r>
      <w:r>
        <w:rPr>
          <w:rFonts w:hint="eastAsia"/>
        </w:rPr>
        <w:t>（</w:t>
      </w:r>
      <w:r>
        <w:rPr>
          <w:rFonts w:hint="eastAsia"/>
        </w:rPr>
        <w:t>kg/h</w:t>
      </w:r>
      <w:r>
        <w:rPr>
          <w:rFonts w:hint="eastAsia"/>
        </w:rPr>
        <w:t>）</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89"/>
        <w:gridCol w:w="1270"/>
        <w:gridCol w:w="935"/>
        <w:gridCol w:w="745"/>
        <w:gridCol w:w="636"/>
        <w:gridCol w:w="1013"/>
        <w:gridCol w:w="826"/>
        <w:gridCol w:w="757"/>
        <w:gridCol w:w="1025"/>
        <w:gridCol w:w="1231"/>
        <w:gridCol w:w="999"/>
        <w:gridCol w:w="634"/>
        <w:gridCol w:w="1424"/>
        <w:gridCol w:w="1474"/>
      </w:tblGrid>
      <w:tr w:rsidR="00381228" w:rsidRPr="00381228" w:rsidTr="00B03838">
        <w:trPr>
          <w:trHeight w:val="369"/>
          <w:jc w:val="center"/>
        </w:trPr>
        <w:tc>
          <w:tcPr>
            <w:tcW w:w="354" w:type="pct"/>
            <w:vMerge w:val="restart"/>
            <w:vAlign w:val="center"/>
          </w:tcPr>
          <w:p w:rsidR="00381228" w:rsidRPr="00381228" w:rsidRDefault="00381228" w:rsidP="00DA2501">
            <w:pPr>
              <w:overflowPunct w:val="0"/>
              <w:spacing w:line="360" w:lineRule="exact"/>
              <w:ind w:firstLineChars="0" w:firstLine="0"/>
              <w:jc w:val="center"/>
              <w:rPr>
                <w:b/>
                <w:color w:val="000000"/>
                <w:sz w:val="21"/>
                <w:szCs w:val="21"/>
              </w:rPr>
            </w:pPr>
            <w:r w:rsidRPr="00381228">
              <w:rPr>
                <w:rFonts w:hint="eastAsia"/>
                <w:b/>
                <w:color w:val="000000"/>
                <w:sz w:val="21"/>
                <w:szCs w:val="21"/>
              </w:rPr>
              <w:t>企业名称</w:t>
            </w:r>
          </w:p>
        </w:tc>
        <w:tc>
          <w:tcPr>
            <w:tcW w:w="455" w:type="pct"/>
            <w:vMerge w:val="restart"/>
            <w:vAlign w:val="center"/>
          </w:tcPr>
          <w:p w:rsidR="00381228" w:rsidRPr="00381228" w:rsidRDefault="00381228" w:rsidP="00DA2501">
            <w:pPr>
              <w:overflowPunct w:val="0"/>
              <w:spacing w:line="360" w:lineRule="exact"/>
              <w:ind w:firstLineChars="0" w:firstLine="0"/>
              <w:jc w:val="center"/>
              <w:rPr>
                <w:b/>
                <w:color w:val="000000"/>
                <w:sz w:val="21"/>
                <w:szCs w:val="21"/>
              </w:rPr>
            </w:pPr>
            <w:r w:rsidRPr="00381228">
              <w:rPr>
                <w:rFonts w:hint="eastAsia"/>
                <w:b/>
                <w:color w:val="000000"/>
                <w:sz w:val="21"/>
                <w:szCs w:val="21"/>
              </w:rPr>
              <w:t>项目名称</w:t>
            </w:r>
          </w:p>
        </w:tc>
        <w:tc>
          <w:tcPr>
            <w:tcW w:w="335" w:type="pct"/>
            <w:vMerge w:val="restart"/>
            <w:vAlign w:val="center"/>
          </w:tcPr>
          <w:p w:rsidR="00381228" w:rsidRPr="00381228" w:rsidRDefault="00381228" w:rsidP="00DA2501">
            <w:pPr>
              <w:overflowPunct w:val="0"/>
              <w:spacing w:line="360" w:lineRule="exact"/>
              <w:ind w:firstLineChars="0" w:firstLine="0"/>
              <w:jc w:val="center"/>
              <w:rPr>
                <w:b/>
                <w:color w:val="000000"/>
                <w:sz w:val="21"/>
                <w:szCs w:val="21"/>
              </w:rPr>
            </w:pPr>
            <w:r w:rsidRPr="00381228">
              <w:rPr>
                <w:b/>
                <w:color w:val="000000"/>
                <w:sz w:val="21"/>
                <w:szCs w:val="21"/>
              </w:rPr>
              <w:t>名称</w:t>
            </w:r>
          </w:p>
        </w:tc>
        <w:tc>
          <w:tcPr>
            <w:tcW w:w="495" w:type="pct"/>
            <w:gridSpan w:val="2"/>
            <w:vAlign w:val="center"/>
          </w:tcPr>
          <w:p w:rsidR="00381228" w:rsidRPr="00381228" w:rsidRDefault="00381228" w:rsidP="00DA2501">
            <w:pPr>
              <w:overflowPunct w:val="0"/>
              <w:spacing w:line="360" w:lineRule="exact"/>
              <w:ind w:firstLineChars="0" w:firstLine="0"/>
              <w:jc w:val="center"/>
              <w:rPr>
                <w:b/>
                <w:color w:val="000000"/>
                <w:sz w:val="21"/>
                <w:szCs w:val="21"/>
              </w:rPr>
            </w:pPr>
            <w:r w:rsidRPr="00381228">
              <w:rPr>
                <w:b/>
                <w:color w:val="000000"/>
                <w:sz w:val="21"/>
                <w:szCs w:val="21"/>
              </w:rPr>
              <w:t>面源中心坐标</w:t>
            </w:r>
          </w:p>
        </w:tc>
        <w:tc>
          <w:tcPr>
            <w:tcW w:w="363" w:type="pct"/>
            <w:vMerge w:val="restart"/>
            <w:vAlign w:val="center"/>
          </w:tcPr>
          <w:p w:rsidR="00381228" w:rsidRPr="00381228" w:rsidRDefault="00381228" w:rsidP="00DA2501">
            <w:pPr>
              <w:overflowPunct w:val="0"/>
              <w:spacing w:line="360" w:lineRule="exact"/>
              <w:ind w:firstLineChars="0" w:firstLine="0"/>
              <w:jc w:val="center"/>
              <w:rPr>
                <w:b/>
                <w:color w:val="000000"/>
                <w:sz w:val="21"/>
                <w:szCs w:val="21"/>
              </w:rPr>
            </w:pPr>
            <w:r w:rsidRPr="00381228">
              <w:rPr>
                <w:b/>
                <w:color w:val="000000"/>
                <w:sz w:val="21"/>
                <w:szCs w:val="21"/>
              </w:rPr>
              <w:t>面源海拔高度</w:t>
            </w:r>
            <w:r w:rsidRPr="00381228">
              <w:rPr>
                <w:b/>
                <w:color w:val="000000"/>
                <w:sz w:val="21"/>
                <w:szCs w:val="21"/>
              </w:rPr>
              <w:t>/m</w:t>
            </w:r>
          </w:p>
        </w:tc>
        <w:tc>
          <w:tcPr>
            <w:tcW w:w="296" w:type="pct"/>
            <w:vMerge w:val="restart"/>
            <w:vAlign w:val="center"/>
          </w:tcPr>
          <w:p w:rsidR="00381228" w:rsidRPr="00381228" w:rsidRDefault="00381228" w:rsidP="00DA2501">
            <w:pPr>
              <w:overflowPunct w:val="0"/>
              <w:spacing w:line="360" w:lineRule="exact"/>
              <w:ind w:firstLineChars="0" w:firstLine="0"/>
              <w:jc w:val="center"/>
              <w:rPr>
                <w:b/>
                <w:color w:val="000000"/>
                <w:sz w:val="21"/>
                <w:szCs w:val="21"/>
              </w:rPr>
            </w:pPr>
            <w:r w:rsidRPr="00381228">
              <w:rPr>
                <w:b/>
                <w:color w:val="000000"/>
                <w:sz w:val="21"/>
                <w:szCs w:val="21"/>
              </w:rPr>
              <w:t>面源长度</w:t>
            </w:r>
            <w:r w:rsidRPr="00381228">
              <w:rPr>
                <w:b/>
                <w:color w:val="000000"/>
                <w:sz w:val="21"/>
                <w:szCs w:val="21"/>
              </w:rPr>
              <w:t>/m</w:t>
            </w:r>
          </w:p>
        </w:tc>
        <w:tc>
          <w:tcPr>
            <w:tcW w:w="271" w:type="pct"/>
            <w:vMerge w:val="restart"/>
            <w:vAlign w:val="center"/>
          </w:tcPr>
          <w:p w:rsidR="00381228" w:rsidRPr="00381228" w:rsidRDefault="00381228" w:rsidP="00DA2501">
            <w:pPr>
              <w:overflowPunct w:val="0"/>
              <w:spacing w:line="360" w:lineRule="exact"/>
              <w:ind w:firstLineChars="0" w:firstLine="0"/>
              <w:jc w:val="center"/>
              <w:rPr>
                <w:b/>
                <w:color w:val="000000"/>
                <w:sz w:val="21"/>
                <w:szCs w:val="21"/>
              </w:rPr>
            </w:pPr>
            <w:r w:rsidRPr="00381228">
              <w:rPr>
                <w:b/>
                <w:color w:val="000000"/>
                <w:sz w:val="21"/>
                <w:szCs w:val="21"/>
              </w:rPr>
              <w:t>面源宽度</w:t>
            </w:r>
            <w:r w:rsidRPr="00381228">
              <w:rPr>
                <w:b/>
                <w:color w:val="000000"/>
                <w:sz w:val="21"/>
                <w:szCs w:val="21"/>
              </w:rPr>
              <w:t>/m</w:t>
            </w:r>
          </w:p>
        </w:tc>
        <w:tc>
          <w:tcPr>
            <w:tcW w:w="367" w:type="pct"/>
            <w:vMerge w:val="restart"/>
            <w:vAlign w:val="center"/>
          </w:tcPr>
          <w:p w:rsidR="00381228" w:rsidRPr="00381228" w:rsidRDefault="00381228" w:rsidP="00DA2501">
            <w:pPr>
              <w:overflowPunct w:val="0"/>
              <w:spacing w:line="360" w:lineRule="exact"/>
              <w:ind w:firstLineChars="0" w:firstLine="0"/>
              <w:jc w:val="center"/>
              <w:rPr>
                <w:b/>
                <w:color w:val="000000"/>
                <w:sz w:val="21"/>
                <w:szCs w:val="21"/>
              </w:rPr>
            </w:pPr>
            <w:r w:rsidRPr="00381228">
              <w:rPr>
                <w:b/>
                <w:color w:val="000000"/>
                <w:sz w:val="21"/>
                <w:szCs w:val="21"/>
              </w:rPr>
              <w:t>与正北向夹角</w:t>
            </w:r>
            <w:r w:rsidRPr="00381228">
              <w:rPr>
                <w:b/>
                <w:color w:val="000000"/>
                <w:sz w:val="21"/>
                <w:szCs w:val="21"/>
              </w:rPr>
              <w:t>/°</w:t>
            </w:r>
          </w:p>
        </w:tc>
        <w:tc>
          <w:tcPr>
            <w:tcW w:w="441" w:type="pct"/>
            <w:vMerge w:val="restart"/>
            <w:vAlign w:val="center"/>
          </w:tcPr>
          <w:p w:rsidR="00381228" w:rsidRPr="00381228" w:rsidRDefault="00381228" w:rsidP="00DA2501">
            <w:pPr>
              <w:overflowPunct w:val="0"/>
              <w:spacing w:line="360" w:lineRule="exact"/>
              <w:ind w:firstLineChars="0" w:firstLine="0"/>
              <w:jc w:val="center"/>
              <w:rPr>
                <w:b/>
                <w:color w:val="000000"/>
                <w:sz w:val="21"/>
                <w:szCs w:val="21"/>
              </w:rPr>
            </w:pPr>
            <w:r w:rsidRPr="00381228">
              <w:rPr>
                <w:b/>
                <w:color w:val="000000"/>
                <w:sz w:val="21"/>
                <w:szCs w:val="21"/>
              </w:rPr>
              <w:t>面源有效排放高度</w:t>
            </w:r>
            <w:r w:rsidRPr="00381228">
              <w:rPr>
                <w:b/>
                <w:color w:val="000000"/>
                <w:sz w:val="21"/>
                <w:szCs w:val="21"/>
              </w:rPr>
              <w:t>/m</w:t>
            </w:r>
          </w:p>
        </w:tc>
        <w:tc>
          <w:tcPr>
            <w:tcW w:w="358" w:type="pct"/>
            <w:vMerge w:val="restart"/>
            <w:vAlign w:val="center"/>
          </w:tcPr>
          <w:p w:rsidR="00381228" w:rsidRPr="00381228" w:rsidRDefault="00381228" w:rsidP="00DA2501">
            <w:pPr>
              <w:overflowPunct w:val="0"/>
              <w:spacing w:line="360" w:lineRule="exact"/>
              <w:ind w:firstLineChars="0" w:firstLine="0"/>
              <w:jc w:val="center"/>
              <w:rPr>
                <w:b/>
                <w:color w:val="000000"/>
                <w:sz w:val="21"/>
                <w:szCs w:val="21"/>
              </w:rPr>
            </w:pPr>
            <w:r w:rsidRPr="00381228">
              <w:rPr>
                <w:b/>
                <w:color w:val="000000"/>
                <w:sz w:val="21"/>
                <w:szCs w:val="21"/>
              </w:rPr>
              <w:t>年排放小时数</w:t>
            </w:r>
            <w:r w:rsidRPr="00381228">
              <w:rPr>
                <w:b/>
                <w:color w:val="000000"/>
                <w:sz w:val="21"/>
                <w:szCs w:val="21"/>
              </w:rPr>
              <w:t>/h</w:t>
            </w:r>
          </w:p>
        </w:tc>
        <w:tc>
          <w:tcPr>
            <w:tcW w:w="227" w:type="pct"/>
            <w:vMerge w:val="restart"/>
            <w:vAlign w:val="center"/>
          </w:tcPr>
          <w:p w:rsidR="00381228" w:rsidRPr="00381228" w:rsidRDefault="00381228" w:rsidP="00DA2501">
            <w:pPr>
              <w:overflowPunct w:val="0"/>
              <w:spacing w:line="360" w:lineRule="exact"/>
              <w:ind w:firstLineChars="0" w:firstLine="0"/>
              <w:jc w:val="center"/>
              <w:rPr>
                <w:b/>
                <w:color w:val="000000"/>
                <w:sz w:val="21"/>
                <w:szCs w:val="21"/>
              </w:rPr>
            </w:pPr>
            <w:r w:rsidRPr="00381228">
              <w:rPr>
                <w:b/>
                <w:color w:val="000000"/>
                <w:sz w:val="21"/>
                <w:szCs w:val="21"/>
              </w:rPr>
              <w:t>排放工况</w:t>
            </w:r>
          </w:p>
        </w:tc>
        <w:tc>
          <w:tcPr>
            <w:tcW w:w="510" w:type="pct"/>
            <w:vMerge w:val="restart"/>
            <w:vAlign w:val="center"/>
          </w:tcPr>
          <w:p w:rsidR="00381228" w:rsidRPr="00381228" w:rsidRDefault="00381228" w:rsidP="00DA2501">
            <w:pPr>
              <w:overflowPunct w:val="0"/>
              <w:spacing w:line="360" w:lineRule="exact"/>
              <w:ind w:firstLineChars="0" w:firstLine="0"/>
              <w:jc w:val="center"/>
              <w:rPr>
                <w:b/>
                <w:color w:val="000000"/>
                <w:sz w:val="21"/>
                <w:szCs w:val="21"/>
              </w:rPr>
            </w:pPr>
            <w:r w:rsidRPr="00381228">
              <w:rPr>
                <w:b/>
                <w:color w:val="000000"/>
                <w:sz w:val="21"/>
                <w:szCs w:val="21"/>
              </w:rPr>
              <w:t>污染物</w:t>
            </w:r>
          </w:p>
        </w:tc>
        <w:tc>
          <w:tcPr>
            <w:tcW w:w="528" w:type="pct"/>
            <w:vMerge w:val="restart"/>
            <w:vAlign w:val="center"/>
          </w:tcPr>
          <w:p w:rsidR="00381228" w:rsidRPr="00381228" w:rsidRDefault="00381228" w:rsidP="00DA2501">
            <w:pPr>
              <w:overflowPunct w:val="0"/>
              <w:spacing w:line="360" w:lineRule="exact"/>
              <w:ind w:firstLineChars="0" w:firstLine="0"/>
              <w:jc w:val="center"/>
              <w:rPr>
                <w:b/>
                <w:color w:val="000000"/>
                <w:sz w:val="21"/>
                <w:szCs w:val="21"/>
              </w:rPr>
            </w:pPr>
            <w:r w:rsidRPr="00381228">
              <w:rPr>
                <w:b/>
                <w:color w:val="000000"/>
                <w:sz w:val="21"/>
                <w:szCs w:val="21"/>
              </w:rPr>
              <w:t>排放速率（</w:t>
            </w:r>
            <w:r w:rsidRPr="00381228">
              <w:rPr>
                <w:b/>
                <w:color w:val="000000"/>
                <w:sz w:val="21"/>
                <w:szCs w:val="21"/>
              </w:rPr>
              <w:t>kg/h</w:t>
            </w:r>
            <w:r w:rsidRPr="00381228">
              <w:rPr>
                <w:b/>
                <w:color w:val="000000"/>
                <w:sz w:val="21"/>
                <w:szCs w:val="21"/>
              </w:rPr>
              <w:t>）</w:t>
            </w:r>
          </w:p>
        </w:tc>
      </w:tr>
      <w:tr w:rsidR="00381228" w:rsidRPr="00381228" w:rsidTr="00B03838">
        <w:trPr>
          <w:trHeight w:val="369"/>
          <w:jc w:val="center"/>
        </w:trPr>
        <w:tc>
          <w:tcPr>
            <w:tcW w:w="354" w:type="pct"/>
            <w:vMerge/>
            <w:vAlign w:val="center"/>
          </w:tcPr>
          <w:p w:rsidR="00381228" w:rsidRPr="00381228" w:rsidRDefault="00381228" w:rsidP="00DA2501">
            <w:pPr>
              <w:widowControl/>
              <w:spacing w:line="360" w:lineRule="exact"/>
              <w:ind w:firstLineChars="0" w:firstLine="0"/>
              <w:jc w:val="center"/>
              <w:rPr>
                <w:b/>
                <w:color w:val="000000"/>
                <w:sz w:val="21"/>
                <w:szCs w:val="21"/>
              </w:rPr>
            </w:pPr>
          </w:p>
        </w:tc>
        <w:tc>
          <w:tcPr>
            <w:tcW w:w="455" w:type="pct"/>
            <w:vMerge/>
            <w:vAlign w:val="center"/>
          </w:tcPr>
          <w:p w:rsidR="00381228" w:rsidRPr="00381228" w:rsidRDefault="00381228" w:rsidP="00DA2501">
            <w:pPr>
              <w:widowControl/>
              <w:spacing w:line="360" w:lineRule="exact"/>
              <w:ind w:firstLineChars="0" w:firstLine="0"/>
              <w:jc w:val="center"/>
              <w:rPr>
                <w:b/>
                <w:color w:val="000000"/>
                <w:sz w:val="21"/>
                <w:szCs w:val="21"/>
              </w:rPr>
            </w:pPr>
          </w:p>
        </w:tc>
        <w:tc>
          <w:tcPr>
            <w:tcW w:w="335" w:type="pct"/>
            <w:vMerge/>
            <w:vAlign w:val="center"/>
          </w:tcPr>
          <w:p w:rsidR="00381228" w:rsidRPr="00381228" w:rsidRDefault="00381228" w:rsidP="00DA2501">
            <w:pPr>
              <w:widowControl/>
              <w:spacing w:line="360" w:lineRule="exact"/>
              <w:ind w:firstLineChars="0" w:firstLine="0"/>
              <w:jc w:val="center"/>
              <w:rPr>
                <w:b/>
                <w:color w:val="000000"/>
                <w:sz w:val="21"/>
                <w:szCs w:val="21"/>
              </w:rPr>
            </w:pPr>
          </w:p>
        </w:tc>
        <w:tc>
          <w:tcPr>
            <w:tcW w:w="267" w:type="pct"/>
            <w:vAlign w:val="center"/>
          </w:tcPr>
          <w:p w:rsidR="00381228" w:rsidRPr="00381228" w:rsidRDefault="00381228" w:rsidP="00DA2501">
            <w:pPr>
              <w:overflowPunct w:val="0"/>
              <w:spacing w:line="360" w:lineRule="exact"/>
              <w:ind w:firstLineChars="0" w:firstLine="0"/>
              <w:jc w:val="center"/>
              <w:rPr>
                <w:b/>
                <w:color w:val="000000"/>
                <w:sz w:val="21"/>
                <w:szCs w:val="21"/>
              </w:rPr>
            </w:pPr>
            <w:r w:rsidRPr="00381228">
              <w:rPr>
                <w:b/>
                <w:color w:val="000000"/>
                <w:sz w:val="21"/>
                <w:szCs w:val="21"/>
              </w:rPr>
              <w:t>X</w:t>
            </w:r>
          </w:p>
        </w:tc>
        <w:tc>
          <w:tcPr>
            <w:tcW w:w="228" w:type="pct"/>
            <w:vAlign w:val="center"/>
          </w:tcPr>
          <w:p w:rsidR="00381228" w:rsidRPr="00381228" w:rsidRDefault="00381228" w:rsidP="00DA2501">
            <w:pPr>
              <w:overflowPunct w:val="0"/>
              <w:spacing w:line="360" w:lineRule="exact"/>
              <w:ind w:firstLineChars="0" w:firstLine="0"/>
              <w:jc w:val="center"/>
              <w:rPr>
                <w:b/>
                <w:color w:val="000000"/>
                <w:sz w:val="21"/>
                <w:szCs w:val="21"/>
              </w:rPr>
            </w:pPr>
            <w:r w:rsidRPr="00381228">
              <w:rPr>
                <w:b/>
                <w:color w:val="000000"/>
                <w:sz w:val="21"/>
                <w:szCs w:val="21"/>
              </w:rPr>
              <w:t>Y</w:t>
            </w:r>
          </w:p>
        </w:tc>
        <w:tc>
          <w:tcPr>
            <w:tcW w:w="363" w:type="pct"/>
            <w:vMerge/>
            <w:vAlign w:val="center"/>
          </w:tcPr>
          <w:p w:rsidR="00381228" w:rsidRPr="00381228" w:rsidRDefault="00381228" w:rsidP="00DA2501">
            <w:pPr>
              <w:widowControl/>
              <w:spacing w:line="360" w:lineRule="exact"/>
              <w:ind w:firstLineChars="0" w:firstLine="0"/>
              <w:jc w:val="center"/>
              <w:rPr>
                <w:b/>
                <w:color w:val="000000"/>
                <w:sz w:val="21"/>
                <w:szCs w:val="21"/>
              </w:rPr>
            </w:pPr>
          </w:p>
        </w:tc>
        <w:tc>
          <w:tcPr>
            <w:tcW w:w="296" w:type="pct"/>
            <w:vMerge/>
            <w:vAlign w:val="center"/>
          </w:tcPr>
          <w:p w:rsidR="00381228" w:rsidRPr="00381228" w:rsidRDefault="00381228" w:rsidP="00DA2501">
            <w:pPr>
              <w:widowControl/>
              <w:spacing w:line="360" w:lineRule="exact"/>
              <w:ind w:firstLineChars="0" w:firstLine="0"/>
              <w:jc w:val="center"/>
              <w:rPr>
                <w:b/>
                <w:color w:val="000000"/>
                <w:sz w:val="21"/>
                <w:szCs w:val="21"/>
              </w:rPr>
            </w:pPr>
          </w:p>
        </w:tc>
        <w:tc>
          <w:tcPr>
            <w:tcW w:w="271" w:type="pct"/>
            <w:vMerge/>
            <w:vAlign w:val="center"/>
          </w:tcPr>
          <w:p w:rsidR="00381228" w:rsidRPr="00381228" w:rsidRDefault="00381228" w:rsidP="00DA2501">
            <w:pPr>
              <w:widowControl/>
              <w:spacing w:line="360" w:lineRule="exact"/>
              <w:ind w:firstLineChars="0" w:firstLine="0"/>
              <w:jc w:val="center"/>
              <w:rPr>
                <w:b/>
                <w:color w:val="000000"/>
                <w:sz w:val="21"/>
                <w:szCs w:val="21"/>
              </w:rPr>
            </w:pPr>
          </w:p>
        </w:tc>
        <w:tc>
          <w:tcPr>
            <w:tcW w:w="367" w:type="pct"/>
            <w:vMerge/>
            <w:vAlign w:val="center"/>
          </w:tcPr>
          <w:p w:rsidR="00381228" w:rsidRPr="00381228" w:rsidRDefault="00381228" w:rsidP="00DA2501">
            <w:pPr>
              <w:widowControl/>
              <w:spacing w:line="360" w:lineRule="exact"/>
              <w:ind w:firstLineChars="0" w:firstLine="0"/>
              <w:jc w:val="center"/>
              <w:rPr>
                <w:b/>
                <w:color w:val="000000"/>
                <w:sz w:val="21"/>
                <w:szCs w:val="21"/>
              </w:rPr>
            </w:pPr>
          </w:p>
        </w:tc>
        <w:tc>
          <w:tcPr>
            <w:tcW w:w="441" w:type="pct"/>
            <w:vMerge/>
            <w:vAlign w:val="center"/>
          </w:tcPr>
          <w:p w:rsidR="00381228" w:rsidRPr="00381228" w:rsidRDefault="00381228" w:rsidP="00DA2501">
            <w:pPr>
              <w:widowControl/>
              <w:spacing w:line="360" w:lineRule="exact"/>
              <w:ind w:firstLineChars="0" w:firstLine="0"/>
              <w:jc w:val="center"/>
              <w:rPr>
                <w:b/>
                <w:color w:val="000000"/>
                <w:sz w:val="21"/>
                <w:szCs w:val="21"/>
              </w:rPr>
            </w:pPr>
          </w:p>
        </w:tc>
        <w:tc>
          <w:tcPr>
            <w:tcW w:w="358" w:type="pct"/>
            <w:vMerge/>
            <w:vAlign w:val="center"/>
          </w:tcPr>
          <w:p w:rsidR="00381228" w:rsidRPr="00381228" w:rsidRDefault="00381228" w:rsidP="00DA2501">
            <w:pPr>
              <w:widowControl/>
              <w:spacing w:line="360" w:lineRule="exact"/>
              <w:ind w:firstLineChars="0" w:firstLine="0"/>
              <w:jc w:val="center"/>
              <w:rPr>
                <w:b/>
                <w:color w:val="000000"/>
                <w:sz w:val="21"/>
                <w:szCs w:val="21"/>
              </w:rPr>
            </w:pPr>
          </w:p>
        </w:tc>
        <w:tc>
          <w:tcPr>
            <w:tcW w:w="227" w:type="pct"/>
            <w:vMerge/>
            <w:vAlign w:val="center"/>
          </w:tcPr>
          <w:p w:rsidR="00381228" w:rsidRPr="00381228" w:rsidRDefault="00381228" w:rsidP="00DA2501">
            <w:pPr>
              <w:widowControl/>
              <w:spacing w:line="360" w:lineRule="exact"/>
              <w:ind w:firstLineChars="0" w:firstLine="0"/>
              <w:jc w:val="center"/>
              <w:rPr>
                <w:b/>
                <w:color w:val="000000"/>
                <w:sz w:val="21"/>
                <w:szCs w:val="21"/>
              </w:rPr>
            </w:pPr>
          </w:p>
        </w:tc>
        <w:tc>
          <w:tcPr>
            <w:tcW w:w="510" w:type="pct"/>
            <w:vMerge/>
            <w:vAlign w:val="center"/>
          </w:tcPr>
          <w:p w:rsidR="00381228" w:rsidRPr="00381228" w:rsidRDefault="00381228" w:rsidP="00DA2501">
            <w:pPr>
              <w:overflowPunct w:val="0"/>
              <w:spacing w:line="360" w:lineRule="exact"/>
              <w:ind w:firstLineChars="0" w:firstLine="0"/>
              <w:jc w:val="center"/>
              <w:rPr>
                <w:color w:val="000000"/>
                <w:sz w:val="21"/>
                <w:szCs w:val="21"/>
              </w:rPr>
            </w:pPr>
          </w:p>
        </w:tc>
        <w:tc>
          <w:tcPr>
            <w:tcW w:w="528" w:type="pct"/>
            <w:vMerge/>
            <w:vAlign w:val="center"/>
          </w:tcPr>
          <w:p w:rsidR="00381228" w:rsidRPr="00381228" w:rsidRDefault="00381228" w:rsidP="00DA2501">
            <w:pPr>
              <w:overflowPunct w:val="0"/>
              <w:spacing w:line="360" w:lineRule="exact"/>
              <w:ind w:firstLineChars="0" w:firstLine="0"/>
              <w:jc w:val="center"/>
              <w:rPr>
                <w:color w:val="000000"/>
                <w:sz w:val="21"/>
                <w:szCs w:val="21"/>
              </w:rPr>
            </w:pPr>
          </w:p>
        </w:tc>
      </w:tr>
      <w:tr w:rsidR="00DA2501" w:rsidRPr="00381228" w:rsidTr="00B03838">
        <w:trPr>
          <w:trHeight w:val="240"/>
          <w:jc w:val="center"/>
        </w:trPr>
        <w:tc>
          <w:tcPr>
            <w:tcW w:w="354" w:type="pct"/>
            <w:vMerge w:val="restart"/>
            <w:vAlign w:val="center"/>
          </w:tcPr>
          <w:p w:rsidR="00DA2501" w:rsidRPr="00381228" w:rsidRDefault="00DA2501" w:rsidP="00381228">
            <w:pPr>
              <w:widowControl/>
              <w:ind w:firstLineChars="0" w:firstLine="0"/>
              <w:jc w:val="center"/>
              <w:rPr>
                <w:b/>
                <w:sz w:val="21"/>
                <w:szCs w:val="21"/>
              </w:rPr>
            </w:pPr>
            <w:r w:rsidRPr="00381228">
              <w:rPr>
                <w:bCs/>
                <w:sz w:val="21"/>
                <w:szCs w:val="21"/>
              </w:rPr>
              <w:t>蚌埠晟特新材料有限公司</w:t>
            </w:r>
          </w:p>
        </w:tc>
        <w:tc>
          <w:tcPr>
            <w:tcW w:w="455" w:type="pct"/>
            <w:vMerge w:val="restart"/>
            <w:vAlign w:val="center"/>
          </w:tcPr>
          <w:p w:rsidR="00DA2501" w:rsidRPr="00381228" w:rsidRDefault="00DA2501" w:rsidP="00381228">
            <w:pPr>
              <w:widowControl/>
              <w:ind w:firstLineChars="0" w:firstLine="0"/>
              <w:jc w:val="center"/>
              <w:rPr>
                <w:b/>
                <w:sz w:val="21"/>
                <w:szCs w:val="21"/>
              </w:rPr>
            </w:pPr>
            <w:r w:rsidRPr="00381228">
              <w:rPr>
                <w:bCs/>
                <w:sz w:val="21"/>
                <w:szCs w:val="21"/>
              </w:rPr>
              <w:t>年产</w:t>
            </w:r>
            <w:r w:rsidRPr="00381228">
              <w:rPr>
                <w:bCs/>
                <w:sz w:val="21"/>
                <w:szCs w:val="21"/>
              </w:rPr>
              <w:t>3</w:t>
            </w:r>
            <w:r w:rsidRPr="00381228">
              <w:rPr>
                <w:bCs/>
                <w:sz w:val="21"/>
                <w:szCs w:val="21"/>
              </w:rPr>
              <w:t>万吨酚醛和特种热固性树脂（一期）项目（重新报批</w:t>
            </w:r>
            <w:r w:rsidRPr="00381228">
              <w:rPr>
                <w:b/>
                <w:sz w:val="21"/>
                <w:szCs w:val="21"/>
              </w:rPr>
              <w:t>）</w:t>
            </w:r>
          </w:p>
        </w:tc>
        <w:tc>
          <w:tcPr>
            <w:tcW w:w="335" w:type="pct"/>
            <w:vMerge w:val="restart"/>
            <w:vAlign w:val="center"/>
          </w:tcPr>
          <w:p w:rsidR="00DA2501" w:rsidRPr="00381228" w:rsidRDefault="00DA2501" w:rsidP="00381228">
            <w:pPr>
              <w:overflowPunct w:val="0"/>
              <w:spacing w:line="360" w:lineRule="exact"/>
              <w:ind w:firstLineChars="0" w:firstLine="0"/>
              <w:jc w:val="center"/>
              <w:rPr>
                <w:sz w:val="21"/>
                <w:szCs w:val="21"/>
              </w:rPr>
            </w:pPr>
            <w:r>
              <w:rPr>
                <w:snapToGrid w:val="0"/>
                <w:sz w:val="21"/>
              </w:rPr>
              <w:t>1#</w:t>
            </w:r>
            <w:r>
              <w:rPr>
                <w:rFonts w:hint="eastAsia"/>
                <w:snapToGrid w:val="0"/>
                <w:sz w:val="21"/>
              </w:rPr>
              <w:t>甲类车间</w:t>
            </w:r>
          </w:p>
        </w:tc>
        <w:tc>
          <w:tcPr>
            <w:tcW w:w="267" w:type="pct"/>
            <w:vMerge w:val="restart"/>
            <w:vAlign w:val="center"/>
          </w:tcPr>
          <w:p w:rsidR="00DA2501" w:rsidRPr="00381228" w:rsidRDefault="00DA2501" w:rsidP="00381228">
            <w:pPr>
              <w:overflowPunct w:val="0"/>
              <w:spacing w:line="360" w:lineRule="exact"/>
              <w:ind w:firstLineChars="0" w:firstLine="0"/>
              <w:jc w:val="center"/>
              <w:rPr>
                <w:sz w:val="21"/>
                <w:szCs w:val="21"/>
              </w:rPr>
            </w:pPr>
            <w:r w:rsidRPr="00381228">
              <w:rPr>
                <w:sz w:val="21"/>
                <w:szCs w:val="21"/>
              </w:rPr>
              <w:t>580</w:t>
            </w:r>
          </w:p>
        </w:tc>
        <w:tc>
          <w:tcPr>
            <w:tcW w:w="228" w:type="pct"/>
            <w:vMerge w:val="restart"/>
            <w:vAlign w:val="center"/>
          </w:tcPr>
          <w:p w:rsidR="00DA2501" w:rsidRPr="00381228" w:rsidRDefault="00DA2501" w:rsidP="00381228">
            <w:pPr>
              <w:overflowPunct w:val="0"/>
              <w:spacing w:line="360" w:lineRule="exact"/>
              <w:ind w:firstLineChars="0" w:firstLine="0"/>
              <w:jc w:val="center"/>
              <w:rPr>
                <w:sz w:val="21"/>
                <w:szCs w:val="21"/>
              </w:rPr>
            </w:pPr>
            <w:r w:rsidRPr="00381228">
              <w:rPr>
                <w:sz w:val="21"/>
                <w:szCs w:val="21"/>
              </w:rPr>
              <w:t>1833</w:t>
            </w:r>
          </w:p>
        </w:tc>
        <w:tc>
          <w:tcPr>
            <w:tcW w:w="363" w:type="pct"/>
            <w:vMerge w:val="restart"/>
            <w:vAlign w:val="center"/>
          </w:tcPr>
          <w:p w:rsidR="00DA2501" w:rsidRPr="00381228" w:rsidRDefault="00DA2501" w:rsidP="00381228">
            <w:pPr>
              <w:widowControl/>
              <w:spacing w:line="360" w:lineRule="exact"/>
              <w:ind w:firstLineChars="0" w:firstLine="0"/>
              <w:jc w:val="center"/>
              <w:rPr>
                <w:sz w:val="21"/>
                <w:szCs w:val="21"/>
              </w:rPr>
            </w:pPr>
            <w:r>
              <w:rPr>
                <w:sz w:val="21"/>
                <w:szCs w:val="21"/>
              </w:rPr>
              <w:t>16</w:t>
            </w:r>
          </w:p>
        </w:tc>
        <w:tc>
          <w:tcPr>
            <w:tcW w:w="296" w:type="pct"/>
            <w:vMerge w:val="restart"/>
            <w:vAlign w:val="center"/>
          </w:tcPr>
          <w:p w:rsidR="00DA2501" w:rsidRPr="00381228" w:rsidRDefault="00DA2501" w:rsidP="00381228">
            <w:pPr>
              <w:overflowPunct w:val="0"/>
              <w:spacing w:line="360" w:lineRule="exact"/>
              <w:ind w:firstLineChars="0" w:firstLine="0"/>
              <w:jc w:val="center"/>
              <w:rPr>
                <w:sz w:val="21"/>
                <w:szCs w:val="21"/>
              </w:rPr>
            </w:pPr>
            <w:r>
              <w:rPr>
                <w:sz w:val="21"/>
                <w:szCs w:val="21"/>
              </w:rPr>
              <w:t>40.7</w:t>
            </w:r>
          </w:p>
        </w:tc>
        <w:tc>
          <w:tcPr>
            <w:tcW w:w="271" w:type="pct"/>
            <w:vMerge w:val="restart"/>
            <w:vAlign w:val="center"/>
          </w:tcPr>
          <w:p w:rsidR="00DA2501" w:rsidRPr="00381228" w:rsidRDefault="00DA2501" w:rsidP="00381228">
            <w:pPr>
              <w:overflowPunct w:val="0"/>
              <w:spacing w:line="360" w:lineRule="exact"/>
              <w:ind w:firstLineChars="0" w:firstLine="0"/>
              <w:jc w:val="center"/>
              <w:rPr>
                <w:sz w:val="21"/>
                <w:szCs w:val="21"/>
              </w:rPr>
            </w:pPr>
            <w:r>
              <w:rPr>
                <w:sz w:val="21"/>
                <w:szCs w:val="21"/>
              </w:rPr>
              <w:t>20.7</w:t>
            </w:r>
          </w:p>
        </w:tc>
        <w:tc>
          <w:tcPr>
            <w:tcW w:w="367" w:type="pct"/>
            <w:vMerge w:val="restart"/>
            <w:vAlign w:val="center"/>
          </w:tcPr>
          <w:p w:rsidR="00DA2501" w:rsidRPr="00381228" w:rsidRDefault="00DA2501" w:rsidP="00381228">
            <w:pPr>
              <w:overflowPunct w:val="0"/>
              <w:spacing w:line="360" w:lineRule="exact"/>
              <w:ind w:firstLineChars="0" w:firstLine="0"/>
              <w:jc w:val="center"/>
              <w:rPr>
                <w:sz w:val="21"/>
                <w:szCs w:val="21"/>
              </w:rPr>
            </w:pPr>
            <w:r>
              <w:rPr>
                <w:sz w:val="21"/>
                <w:szCs w:val="21"/>
              </w:rPr>
              <w:t>0</w:t>
            </w:r>
          </w:p>
        </w:tc>
        <w:tc>
          <w:tcPr>
            <w:tcW w:w="441" w:type="pct"/>
            <w:vMerge w:val="restart"/>
            <w:vAlign w:val="center"/>
          </w:tcPr>
          <w:p w:rsidR="00DA2501" w:rsidRPr="00381228" w:rsidRDefault="00DA2501" w:rsidP="00381228">
            <w:pPr>
              <w:widowControl/>
              <w:spacing w:line="360" w:lineRule="exact"/>
              <w:ind w:firstLineChars="0" w:firstLine="0"/>
              <w:jc w:val="center"/>
              <w:rPr>
                <w:sz w:val="21"/>
                <w:szCs w:val="21"/>
              </w:rPr>
            </w:pPr>
            <w:r>
              <w:rPr>
                <w:sz w:val="21"/>
                <w:szCs w:val="21"/>
              </w:rPr>
              <w:t>5</w:t>
            </w:r>
          </w:p>
        </w:tc>
        <w:tc>
          <w:tcPr>
            <w:tcW w:w="358" w:type="pct"/>
            <w:vMerge w:val="restart"/>
            <w:vAlign w:val="center"/>
          </w:tcPr>
          <w:p w:rsidR="00DA2501" w:rsidRPr="00381228" w:rsidRDefault="00DA2501" w:rsidP="00381228">
            <w:pPr>
              <w:overflowPunct w:val="0"/>
              <w:spacing w:line="360" w:lineRule="exact"/>
              <w:ind w:firstLineChars="0" w:firstLine="0"/>
              <w:jc w:val="center"/>
              <w:rPr>
                <w:sz w:val="21"/>
                <w:szCs w:val="21"/>
              </w:rPr>
            </w:pPr>
            <w:r w:rsidRPr="00381228">
              <w:rPr>
                <w:sz w:val="21"/>
                <w:szCs w:val="21"/>
              </w:rPr>
              <w:t>7200</w:t>
            </w:r>
          </w:p>
        </w:tc>
        <w:tc>
          <w:tcPr>
            <w:tcW w:w="227" w:type="pct"/>
            <w:vMerge w:val="restart"/>
            <w:vAlign w:val="center"/>
          </w:tcPr>
          <w:p w:rsidR="00DA2501" w:rsidRPr="00381228" w:rsidRDefault="00DA2501" w:rsidP="00381228">
            <w:pPr>
              <w:overflowPunct w:val="0"/>
              <w:spacing w:line="360" w:lineRule="exact"/>
              <w:ind w:firstLineChars="0" w:firstLine="0"/>
              <w:jc w:val="center"/>
              <w:rPr>
                <w:sz w:val="21"/>
                <w:szCs w:val="21"/>
              </w:rPr>
            </w:pPr>
            <w:r w:rsidRPr="00381228">
              <w:rPr>
                <w:sz w:val="21"/>
                <w:szCs w:val="21"/>
              </w:rPr>
              <w:t>正常</w:t>
            </w:r>
          </w:p>
        </w:tc>
        <w:tc>
          <w:tcPr>
            <w:tcW w:w="510" w:type="pct"/>
            <w:vAlign w:val="center"/>
          </w:tcPr>
          <w:p w:rsidR="00DA2501" w:rsidRPr="00381228" w:rsidRDefault="00DA2501" w:rsidP="00381228">
            <w:pPr>
              <w:widowControl/>
              <w:spacing w:line="360" w:lineRule="exact"/>
              <w:ind w:firstLineChars="0" w:firstLine="0"/>
              <w:jc w:val="center"/>
              <w:textAlignment w:val="center"/>
              <w:rPr>
                <w:sz w:val="21"/>
                <w:szCs w:val="21"/>
              </w:rPr>
            </w:pPr>
            <w:r w:rsidRPr="00381228">
              <w:rPr>
                <w:sz w:val="21"/>
                <w:szCs w:val="21"/>
              </w:rPr>
              <w:t>TSP</w:t>
            </w:r>
          </w:p>
        </w:tc>
        <w:tc>
          <w:tcPr>
            <w:tcW w:w="528" w:type="pct"/>
            <w:vAlign w:val="center"/>
          </w:tcPr>
          <w:p w:rsidR="00DA2501" w:rsidRPr="00381228" w:rsidRDefault="00DA2501" w:rsidP="00381228">
            <w:pPr>
              <w:widowControl/>
              <w:spacing w:line="360" w:lineRule="exact"/>
              <w:ind w:firstLineChars="0" w:firstLine="0"/>
              <w:jc w:val="center"/>
              <w:textAlignment w:val="center"/>
              <w:rPr>
                <w:sz w:val="21"/>
                <w:szCs w:val="21"/>
              </w:rPr>
            </w:pPr>
            <w:r>
              <w:rPr>
                <w:sz w:val="21"/>
                <w:szCs w:val="21"/>
              </w:rPr>
              <w:t>0.039</w:t>
            </w:r>
          </w:p>
        </w:tc>
      </w:tr>
      <w:tr w:rsidR="00DA2501" w:rsidRPr="00381228" w:rsidTr="00B03838">
        <w:trPr>
          <w:trHeight w:val="240"/>
          <w:jc w:val="center"/>
        </w:trPr>
        <w:tc>
          <w:tcPr>
            <w:tcW w:w="354" w:type="pct"/>
            <w:vMerge/>
            <w:vAlign w:val="center"/>
          </w:tcPr>
          <w:p w:rsidR="00DA2501" w:rsidRPr="00381228" w:rsidRDefault="00DA2501" w:rsidP="00381228">
            <w:pPr>
              <w:widowControl/>
              <w:ind w:firstLineChars="0" w:firstLine="0"/>
              <w:jc w:val="center"/>
              <w:rPr>
                <w:bCs/>
                <w:sz w:val="21"/>
                <w:szCs w:val="21"/>
              </w:rPr>
            </w:pPr>
          </w:p>
        </w:tc>
        <w:tc>
          <w:tcPr>
            <w:tcW w:w="455" w:type="pct"/>
            <w:vMerge/>
            <w:vAlign w:val="center"/>
          </w:tcPr>
          <w:p w:rsidR="00DA2501" w:rsidRPr="00381228" w:rsidRDefault="00DA2501" w:rsidP="00381228">
            <w:pPr>
              <w:widowControl/>
              <w:ind w:firstLineChars="0" w:firstLine="0"/>
              <w:jc w:val="center"/>
              <w:rPr>
                <w:bCs/>
                <w:sz w:val="21"/>
                <w:szCs w:val="21"/>
              </w:rPr>
            </w:pPr>
          </w:p>
        </w:tc>
        <w:tc>
          <w:tcPr>
            <w:tcW w:w="335" w:type="pct"/>
            <w:vMerge/>
            <w:vAlign w:val="center"/>
          </w:tcPr>
          <w:p w:rsidR="00DA2501" w:rsidRDefault="00DA2501" w:rsidP="00381228">
            <w:pPr>
              <w:overflowPunct w:val="0"/>
              <w:spacing w:line="360" w:lineRule="exact"/>
              <w:ind w:firstLineChars="0" w:firstLine="0"/>
              <w:jc w:val="center"/>
              <w:rPr>
                <w:snapToGrid w:val="0"/>
                <w:sz w:val="21"/>
              </w:rPr>
            </w:pPr>
          </w:p>
        </w:tc>
        <w:tc>
          <w:tcPr>
            <w:tcW w:w="267" w:type="pct"/>
            <w:vMerge/>
            <w:vAlign w:val="center"/>
          </w:tcPr>
          <w:p w:rsidR="00DA2501" w:rsidRPr="00381228" w:rsidRDefault="00DA2501" w:rsidP="00381228">
            <w:pPr>
              <w:overflowPunct w:val="0"/>
              <w:spacing w:line="360" w:lineRule="exact"/>
              <w:ind w:firstLineChars="0" w:firstLine="0"/>
              <w:jc w:val="center"/>
              <w:rPr>
                <w:sz w:val="21"/>
                <w:szCs w:val="21"/>
              </w:rPr>
            </w:pPr>
          </w:p>
        </w:tc>
        <w:tc>
          <w:tcPr>
            <w:tcW w:w="228" w:type="pct"/>
            <w:vMerge/>
            <w:vAlign w:val="center"/>
          </w:tcPr>
          <w:p w:rsidR="00DA2501" w:rsidRPr="00381228" w:rsidRDefault="00DA2501" w:rsidP="00381228">
            <w:pPr>
              <w:overflowPunct w:val="0"/>
              <w:spacing w:line="360" w:lineRule="exact"/>
              <w:ind w:firstLineChars="0" w:firstLine="0"/>
              <w:jc w:val="center"/>
              <w:rPr>
                <w:sz w:val="21"/>
                <w:szCs w:val="21"/>
              </w:rPr>
            </w:pPr>
          </w:p>
        </w:tc>
        <w:tc>
          <w:tcPr>
            <w:tcW w:w="363" w:type="pct"/>
            <w:vMerge/>
            <w:vAlign w:val="center"/>
          </w:tcPr>
          <w:p w:rsidR="00DA2501" w:rsidRDefault="00DA2501" w:rsidP="00381228">
            <w:pPr>
              <w:widowControl/>
              <w:spacing w:line="360" w:lineRule="exact"/>
              <w:ind w:firstLineChars="0" w:firstLine="0"/>
              <w:jc w:val="center"/>
              <w:rPr>
                <w:sz w:val="21"/>
                <w:szCs w:val="21"/>
              </w:rPr>
            </w:pPr>
          </w:p>
        </w:tc>
        <w:tc>
          <w:tcPr>
            <w:tcW w:w="296" w:type="pct"/>
            <w:vMerge/>
            <w:vAlign w:val="center"/>
          </w:tcPr>
          <w:p w:rsidR="00DA2501" w:rsidRDefault="00DA2501" w:rsidP="00381228">
            <w:pPr>
              <w:overflowPunct w:val="0"/>
              <w:spacing w:line="360" w:lineRule="exact"/>
              <w:ind w:firstLineChars="0" w:firstLine="0"/>
              <w:jc w:val="center"/>
              <w:rPr>
                <w:sz w:val="21"/>
                <w:szCs w:val="21"/>
              </w:rPr>
            </w:pPr>
          </w:p>
        </w:tc>
        <w:tc>
          <w:tcPr>
            <w:tcW w:w="271" w:type="pct"/>
            <w:vMerge/>
            <w:vAlign w:val="center"/>
          </w:tcPr>
          <w:p w:rsidR="00DA2501" w:rsidRDefault="00DA2501" w:rsidP="00381228">
            <w:pPr>
              <w:overflowPunct w:val="0"/>
              <w:spacing w:line="360" w:lineRule="exact"/>
              <w:ind w:firstLineChars="0" w:firstLine="0"/>
              <w:jc w:val="center"/>
              <w:rPr>
                <w:sz w:val="21"/>
                <w:szCs w:val="21"/>
              </w:rPr>
            </w:pPr>
          </w:p>
        </w:tc>
        <w:tc>
          <w:tcPr>
            <w:tcW w:w="367" w:type="pct"/>
            <w:vMerge/>
            <w:vAlign w:val="center"/>
          </w:tcPr>
          <w:p w:rsidR="00DA2501" w:rsidRDefault="00DA2501" w:rsidP="00381228">
            <w:pPr>
              <w:overflowPunct w:val="0"/>
              <w:spacing w:line="360" w:lineRule="exact"/>
              <w:ind w:firstLineChars="0" w:firstLine="0"/>
              <w:jc w:val="center"/>
              <w:rPr>
                <w:sz w:val="21"/>
                <w:szCs w:val="21"/>
              </w:rPr>
            </w:pPr>
          </w:p>
        </w:tc>
        <w:tc>
          <w:tcPr>
            <w:tcW w:w="441" w:type="pct"/>
            <w:vMerge/>
            <w:vAlign w:val="center"/>
          </w:tcPr>
          <w:p w:rsidR="00DA2501" w:rsidRDefault="00DA2501" w:rsidP="00381228">
            <w:pPr>
              <w:widowControl/>
              <w:spacing w:line="360" w:lineRule="exact"/>
              <w:ind w:firstLineChars="0" w:firstLine="0"/>
              <w:jc w:val="center"/>
              <w:rPr>
                <w:sz w:val="21"/>
                <w:szCs w:val="21"/>
              </w:rPr>
            </w:pPr>
          </w:p>
        </w:tc>
        <w:tc>
          <w:tcPr>
            <w:tcW w:w="358" w:type="pct"/>
            <w:vMerge/>
            <w:vAlign w:val="center"/>
          </w:tcPr>
          <w:p w:rsidR="00DA2501" w:rsidRPr="00381228" w:rsidRDefault="00DA2501" w:rsidP="00381228">
            <w:pPr>
              <w:overflowPunct w:val="0"/>
              <w:spacing w:line="360" w:lineRule="exact"/>
              <w:ind w:firstLineChars="0" w:firstLine="0"/>
              <w:jc w:val="center"/>
              <w:rPr>
                <w:sz w:val="21"/>
                <w:szCs w:val="21"/>
              </w:rPr>
            </w:pPr>
          </w:p>
        </w:tc>
        <w:tc>
          <w:tcPr>
            <w:tcW w:w="227" w:type="pct"/>
            <w:vMerge/>
            <w:vAlign w:val="center"/>
          </w:tcPr>
          <w:p w:rsidR="00DA2501" w:rsidRPr="00381228" w:rsidRDefault="00DA2501" w:rsidP="00381228">
            <w:pPr>
              <w:overflowPunct w:val="0"/>
              <w:spacing w:line="360" w:lineRule="exact"/>
              <w:ind w:firstLineChars="0" w:firstLine="0"/>
              <w:jc w:val="center"/>
              <w:rPr>
                <w:sz w:val="21"/>
                <w:szCs w:val="21"/>
              </w:rPr>
            </w:pPr>
          </w:p>
        </w:tc>
        <w:tc>
          <w:tcPr>
            <w:tcW w:w="510" w:type="pct"/>
            <w:vAlign w:val="center"/>
          </w:tcPr>
          <w:p w:rsidR="00DA2501" w:rsidRPr="00381228" w:rsidRDefault="00DA2501" w:rsidP="00381228">
            <w:pPr>
              <w:widowControl/>
              <w:spacing w:line="360" w:lineRule="exact"/>
              <w:ind w:firstLineChars="0" w:firstLine="0"/>
              <w:jc w:val="center"/>
              <w:textAlignment w:val="center"/>
              <w:rPr>
                <w:sz w:val="21"/>
                <w:szCs w:val="21"/>
              </w:rPr>
            </w:pPr>
            <w:r>
              <w:rPr>
                <w:rFonts w:hint="eastAsia"/>
                <w:sz w:val="21"/>
                <w:szCs w:val="21"/>
              </w:rPr>
              <w:t>非甲烷总烃</w:t>
            </w:r>
          </w:p>
        </w:tc>
        <w:tc>
          <w:tcPr>
            <w:tcW w:w="528" w:type="pct"/>
            <w:vAlign w:val="center"/>
          </w:tcPr>
          <w:p w:rsidR="00DA2501" w:rsidRPr="00381228" w:rsidRDefault="00DA2501" w:rsidP="00381228">
            <w:pPr>
              <w:widowControl/>
              <w:spacing w:line="360" w:lineRule="exact"/>
              <w:ind w:firstLineChars="0" w:firstLine="0"/>
              <w:jc w:val="center"/>
              <w:textAlignment w:val="center"/>
              <w:rPr>
                <w:sz w:val="21"/>
                <w:szCs w:val="21"/>
              </w:rPr>
            </w:pPr>
            <w:r>
              <w:rPr>
                <w:rFonts w:hint="eastAsia"/>
                <w:sz w:val="21"/>
                <w:szCs w:val="21"/>
              </w:rPr>
              <w:t>0.</w:t>
            </w:r>
            <w:r>
              <w:rPr>
                <w:sz w:val="21"/>
                <w:szCs w:val="21"/>
              </w:rPr>
              <w:t>353</w:t>
            </w:r>
          </w:p>
        </w:tc>
      </w:tr>
      <w:tr w:rsidR="00DA2501" w:rsidRPr="00381228" w:rsidTr="00B03838">
        <w:trPr>
          <w:trHeight w:val="240"/>
          <w:jc w:val="center"/>
        </w:trPr>
        <w:tc>
          <w:tcPr>
            <w:tcW w:w="354" w:type="pct"/>
            <w:vMerge/>
            <w:vAlign w:val="center"/>
          </w:tcPr>
          <w:p w:rsidR="00DA2501" w:rsidRPr="00381228" w:rsidRDefault="00DA2501" w:rsidP="00381228">
            <w:pPr>
              <w:widowControl/>
              <w:ind w:firstLineChars="0" w:firstLine="0"/>
              <w:jc w:val="center"/>
              <w:rPr>
                <w:bCs/>
                <w:sz w:val="21"/>
                <w:szCs w:val="21"/>
              </w:rPr>
            </w:pPr>
          </w:p>
        </w:tc>
        <w:tc>
          <w:tcPr>
            <w:tcW w:w="455" w:type="pct"/>
            <w:vMerge/>
            <w:vAlign w:val="center"/>
          </w:tcPr>
          <w:p w:rsidR="00DA2501" w:rsidRPr="00381228" w:rsidRDefault="00DA2501" w:rsidP="00381228">
            <w:pPr>
              <w:widowControl/>
              <w:ind w:firstLineChars="0" w:firstLine="0"/>
              <w:jc w:val="center"/>
              <w:rPr>
                <w:bCs/>
                <w:sz w:val="21"/>
                <w:szCs w:val="21"/>
              </w:rPr>
            </w:pPr>
          </w:p>
        </w:tc>
        <w:tc>
          <w:tcPr>
            <w:tcW w:w="335" w:type="pct"/>
            <w:vMerge/>
            <w:vAlign w:val="center"/>
          </w:tcPr>
          <w:p w:rsidR="00DA2501" w:rsidRDefault="00DA2501" w:rsidP="00381228">
            <w:pPr>
              <w:overflowPunct w:val="0"/>
              <w:spacing w:line="360" w:lineRule="exact"/>
              <w:ind w:firstLineChars="0" w:firstLine="0"/>
              <w:jc w:val="center"/>
              <w:rPr>
                <w:snapToGrid w:val="0"/>
                <w:sz w:val="21"/>
              </w:rPr>
            </w:pPr>
          </w:p>
        </w:tc>
        <w:tc>
          <w:tcPr>
            <w:tcW w:w="267" w:type="pct"/>
            <w:vMerge/>
            <w:vAlign w:val="center"/>
          </w:tcPr>
          <w:p w:rsidR="00DA2501" w:rsidRPr="00381228" w:rsidRDefault="00DA2501" w:rsidP="00381228">
            <w:pPr>
              <w:overflowPunct w:val="0"/>
              <w:spacing w:line="360" w:lineRule="exact"/>
              <w:ind w:firstLineChars="0" w:firstLine="0"/>
              <w:jc w:val="center"/>
              <w:rPr>
                <w:sz w:val="21"/>
                <w:szCs w:val="21"/>
              </w:rPr>
            </w:pPr>
          </w:p>
        </w:tc>
        <w:tc>
          <w:tcPr>
            <w:tcW w:w="228" w:type="pct"/>
            <w:vMerge/>
            <w:vAlign w:val="center"/>
          </w:tcPr>
          <w:p w:rsidR="00DA2501" w:rsidRPr="00381228" w:rsidRDefault="00DA2501" w:rsidP="00381228">
            <w:pPr>
              <w:overflowPunct w:val="0"/>
              <w:spacing w:line="360" w:lineRule="exact"/>
              <w:ind w:firstLineChars="0" w:firstLine="0"/>
              <w:jc w:val="center"/>
              <w:rPr>
                <w:sz w:val="21"/>
                <w:szCs w:val="21"/>
              </w:rPr>
            </w:pPr>
          </w:p>
        </w:tc>
        <w:tc>
          <w:tcPr>
            <w:tcW w:w="363" w:type="pct"/>
            <w:vMerge/>
            <w:vAlign w:val="center"/>
          </w:tcPr>
          <w:p w:rsidR="00DA2501" w:rsidRDefault="00DA2501" w:rsidP="00381228">
            <w:pPr>
              <w:widowControl/>
              <w:spacing w:line="360" w:lineRule="exact"/>
              <w:ind w:firstLineChars="0" w:firstLine="0"/>
              <w:jc w:val="center"/>
              <w:rPr>
                <w:sz w:val="21"/>
                <w:szCs w:val="21"/>
              </w:rPr>
            </w:pPr>
          </w:p>
        </w:tc>
        <w:tc>
          <w:tcPr>
            <w:tcW w:w="296" w:type="pct"/>
            <w:vMerge/>
            <w:vAlign w:val="center"/>
          </w:tcPr>
          <w:p w:rsidR="00DA2501" w:rsidRDefault="00DA2501" w:rsidP="00381228">
            <w:pPr>
              <w:overflowPunct w:val="0"/>
              <w:spacing w:line="360" w:lineRule="exact"/>
              <w:ind w:firstLineChars="0" w:firstLine="0"/>
              <w:jc w:val="center"/>
              <w:rPr>
                <w:sz w:val="21"/>
                <w:szCs w:val="21"/>
              </w:rPr>
            </w:pPr>
          </w:p>
        </w:tc>
        <w:tc>
          <w:tcPr>
            <w:tcW w:w="271" w:type="pct"/>
            <w:vMerge/>
            <w:vAlign w:val="center"/>
          </w:tcPr>
          <w:p w:rsidR="00DA2501" w:rsidRDefault="00DA2501" w:rsidP="00381228">
            <w:pPr>
              <w:overflowPunct w:val="0"/>
              <w:spacing w:line="360" w:lineRule="exact"/>
              <w:ind w:firstLineChars="0" w:firstLine="0"/>
              <w:jc w:val="center"/>
              <w:rPr>
                <w:sz w:val="21"/>
                <w:szCs w:val="21"/>
              </w:rPr>
            </w:pPr>
          </w:p>
        </w:tc>
        <w:tc>
          <w:tcPr>
            <w:tcW w:w="367" w:type="pct"/>
            <w:vMerge/>
            <w:vAlign w:val="center"/>
          </w:tcPr>
          <w:p w:rsidR="00DA2501" w:rsidRDefault="00DA2501" w:rsidP="00381228">
            <w:pPr>
              <w:overflowPunct w:val="0"/>
              <w:spacing w:line="360" w:lineRule="exact"/>
              <w:ind w:firstLineChars="0" w:firstLine="0"/>
              <w:jc w:val="center"/>
              <w:rPr>
                <w:sz w:val="21"/>
                <w:szCs w:val="21"/>
              </w:rPr>
            </w:pPr>
          </w:p>
        </w:tc>
        <w:tc>
          <w:tcPr>
            <w:tcW w:w="441" w:type="pct"/>
            <w:vMerge/>
            <w:vAlign w:val="center"/>
          </w:tcPr>
          <w:p w:rsidR="00DA2501" w:rsidRDefault="00DA2501" w:rsidP="00381228">
            <w:pPr>
              <w:widowControl/>
              <w:spacing w:line="360" w:lineRule="exact"/>
              <w:ind w:firstLineChars="0" w:firstLine="0"/>
              <w:jc w:val="center"/>
              <w:rPr>
                <w:sz w:val="21"/>
                <w:szCs w:val="21"/>
              </w:rPr>
            </w:pPr>
          </w:p>
        </w:tc>
        <w:tc>
          <w:tcPr>
            <w:tcW w:w="358" w:type="pct"/>
            <w:vMerge/>
            <w:vAlign w:val="center"/>
          </w:tcPr>
          <w:p w:rsidR="00DA2501" w:rsidRPr="00381228" w:rsidRDefault="00DA2501" w:rsidP="00381228">
            <w:pPr>
              <w:overflowPunct w:val="0"/>
              <w:spacing w:line="360" w:lineRule="exact"/>
              <w:ind w:firstLineChars="0" w:firstLine="0"/>
              <w:jc w:val="center"/>
              <w:rPr>
                <w:sz w:val="21"/>
                <w:szCs w:val="21"/>
              </w:rPr>
            </w:pPr>
          </w:p>
        </w:tc>
        <w:tc>
          <w:tcPr>
            <w:tcW w:w="227" w:type="pct"/>
            <w:vMerge/>
            <w:vAlign w:val="center"/>
          </w:tcPr>
          <w:p w:rsidR="00DA2501" w:rsidRPr="00381228" w:rsidRDefault="00DA2501" w:rsidP="00381228">
            <w:pPr>
              <w:overflowPunct w:val="0"/>
              <w:spacing w:line="360" w:lineRule="exact"/>
              <w:ind w:firstLineChars="0" w:firstLine="0"/>
              <w:jc w:val="center"/>
              <w:rPr>
                <w:sz w:val="21"/>
                <w:szCs w:val="21"/>
              </w:rPr>
            </w:pPr>
          </w:p>
        </w:tc>
        <w:tc>
          <w:tcPr>
            <w:tcW w:w="510" w:type="pct"/>
            <w:vAlign w:val="center"/>
          </w:tcPr>
          <w:p w:rsidR="00DA2501" w:rsidRPr="00381228" w:rsidRDefault="00DA2501" w:rsidP="00381228">
            <w:pPr>
              <w:widowControl/>
              <w:spacing w:line="360" w:lineRule="exact"/>
              <w:ind w:firstLineChars="0" w:firstLine="0"/>
              <w:jc w:val="center"/>
              <w:textAlignment w:val="center"/>
              <w:rPr>
                <w:sz w:val="21"/>
                <w:szCs w:val="21"/>
              </w:rPr>
            </w:pPr>
            <w:r>
              <w:rPr>
                <w:rFonts w:hint="eastAsia"/>
                <w:sz w:val="21"/>
                <w:szCs w:val="21"/>
              </w:rPr>
              <w:t>甲醇</w:t>
            </w:r>
          </w:p>
        </w:tc>
        <w:tc>
          <w:tcPr>
            <w:tcW w:w="528" w:type="pct"/>
            <w:vAlign w:val="center"/>
          </w:tcPr>
          <w:p w:rsidR="00DA2501" w:rsidRPr="00381228" w:rsidRDefault="00DA2501" w:rsidP="00381228">
            <w:pPr>
              <w:widowControl/>
              <w:spacing w:line="360" w:lineRule="exact"/>
              <w:ind w:firstLineChars="0" w:firstLine="0"/>
              <w:jc w:val="center"/>
              <w:textAlignment w:val="center"/>
              <w:rPr>
                <w:sz w:val="21"/>
                <w:szCs w:val="21"/>
              </w:rPr>
            </w:pPr>
            <w:r>
              <w:rPr>
                <w:rFonts w:hint="eastAsia"/>
                <w:sz w:val="21"/>
                <w:szCs w:val="21"/>
              </w:rPr>
              <w:t>0.</w:t>
            </w:r>
            <w:r>
              <w:rPr>
                <w:sz w:val="21"/>
                <w:szCs w:val="21"/>
              </w:rPr>
              <w:t>018</w:t>
            </w:r>
          </w:p>
        </w:tc>
      </w:tr>
      <w:tr w:rsidR="00DA2501" w:rsidRPr="00381228" w:rsidTr="00B03838">
        <w:trPr>
          <w:trHeight w:val="369"/>
          <w:jc w:val="center"/>
        </w:trPr>
        <w:tc>
          <w:tcPr>
            <w:tcW w:w="354"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455"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335" w:type="pct"/>
            <w:vAlign w:val="center"/>
          </w:tcPr>
          <w:p w:rsidR="00DA2501" w:rsidRPr="00381228" w:rsidRDefault="00DA2501" w:rsidP="00DA2501">
            <w:pPr>
              <w:overflowPunct w:val="0"/>
              <w:spacing w:line="360" w:lineRule="exact"/>
              <w:ind w:firstLineChars="0" w:firstLine="0"/>
              <w:jc w:val="center"/>
              <w:rPr>
                <w:sz w:val="21"/>
                <w:szCs w:val="21"/>
              </w:rPr>
            </w:pPr>
            <w:r>
              <w:rPr>
                <w:rFonts w:hint="eastAsia"/>
                <w:sz w:val="21"/>
                <w:szCs w:val="21"/>
              </w:rPr>
              <w:t>危废库</w:t>
            </w:r>
          </w:p>
        </w:tc>
        <w:tc>
          <w:tcPr>
            <w:tcW w:w="267" w:type="pct"/>
            <w:vAlign w:val="center"/>
          </w:tcPr>
          <w:p w:rsidR="00DA2501" w:rsidRPr="00381228" w:rsidRDefault="00DA2501" w:rsidP="00DA2501">
            <w:pPr>
              <w:overflowPunct w:val="0"/>
              <w:spacing w:line="360" w:lineRule="exact"/>
              <w:ind w:firstLineChars="0" w:firstLine="0"/>
              <w:jc w:val="center"/>
              <w:rPr>
                <w:sz w:val="21"/>
                <w:szCs w:val="21"/>
              </w:rPr>
            </w:pPr>
            <w:r w:rsidRPr="00381228">
              <w:rPr>
                <w:sz w:val="21"/>
                <w:szCs w:val="21"/>
              </w:rPr>
              <w:t>1632</w:t>
            </w:r>
          </w:p>
        </w:tc>
        <w:tc>
          <w:tcPr>
            <w:tcW w:w="228" w:type="pct"/>
            <w:vAlign w:val="center"/>
          </w:tcPr>
          <w:p w:rsidR="00DA2501" w:rsidRPr="00381228" w:rsidRDefault="00DA2501" w:rsidP="00DA2501">
            <w:pPr>
              <w:overflowPunct w:val="0"/>
              <w:spacing w:line="360" w:lineRule="exact"/>
              <w:ind w:firstLineChars="0" w:firstLine="0"/>
              <w:jc w:val="center"/>
              <w:rPr>
                <w:sz w:val="21"/>
                <w:szCs w:val="21"/>
              </w:rPr>
            </w:pPr>
            <w:r w:rsidRPr="00381228">
              <w:rPr>
                <w:sz w:val="21"/>
                <w:szCs w:val="21"/>
              </w:rPr>
              <w:t>1708</w:t>
            </w:r>
          </w:p>
        </w:tc>
        <w:tc>
          <w:tcPr>
            <w:tcW w:w="363" w:type="pct"/>
            <w:vAlign w:val="center"/>
          </w:tcPr>
          <w:p w:rsidR="00DA2501" w:rsidRPr="00381228" w:rsidRDefault="00DA2501" w:rsidP="00DA2501">
            <w:pPr>
              <w:widowControl/>
              <w:spacing w:line="360" w:lineRule="exact"/>
              <w:ind w:firstLineChars="0" w:firstLine="0"/>
              <w:jc w:val="center"/>
              <w:rPr>
                <w:sz w:val="21"/>
                <w:szCs w:val="21"/>
              </w:rPr>
            </w:pPr>
            <w:r>
              <w:rPr>
                <w:sz w:val="21"/>
                <w:szCs w:val="21"/>
              </w:rPr>
              <w:t>16</w:t>
            </w:r>
          </w:p>
        </w:tc>
        <w:tc>
          <w:tcPr>
            <w:tcW w:w="296" w:type="pct"/>
            <w:vAlign w:val="center"/>
          </w:tcPr>
          <w:p w:rsidR="00DA2501" w:rsidRPr="00381228" w:rsidRDefault="00DA2501" w:rsidP="00DA2501">
            <w:pPr>
              <w:overflowPunct w:val="0"/>
              <w:spacing w:line="360" w:lineRule="exact"/>
              <w:ind w:firstLineChars="0" w:firstLine="0"/>
              <w:jc w:val="center"/>
              <w:rPr>
                <w:sz w:val="21"/>
                <w:szCs w:val="21"/>
              </w:rPr>
            </w:pPr>
            <w:r>
              <w:rPr>
                <w:sz w:val="21"/>
                <w:szCs w:val="21"/>
              </w:rPr>
              <w:t>10</w:t>
            </w:r>
          </w:p>
        </w:tc>
        <w:tc>
          <w:tcPr>
            <w:tcW w:w="271" w:type="pct"/>
            <w:vAlign w:val="center"/>
          </w:tcPr>
          <w:p w:rsidR="00DA2501" w:rsidRPr="00381228" w:rsidRDefault="00DA2501" w:rsidP="00DA2501">
            <w:pPr>
              <w:overflowPunct w:val="0"/>
              <w:spacing w:line="360" w:lineRule="exact"/>
              <w:ind w:firstLineChars="0" w:firstLine="0"/>
              <w:jc w:val="center"/>
              <w:rPr>
                <w:sz w:val="21"/>
                <w:szCs w:val="21"/>
              </w:rPr>
            </w:pPr>
            <w:r>
              <w:rPr>
                <w:sz w:val="21"/>
                <w:szCs w:val="21"/>
              </w:rPr>
              <w:t>10</w:t>
            </w:r>
          </w:p>
        </w:tc>
        <w:tc>
          <w:tcPr>
            <w:tcW w:w="367" w:type="pct"/>
            <w:vAlign w:val="center"/>
          </w:tcPr>
          <w:p w:rsidR="00DA2501" w:rsidRPr="00381228" w:rsidRDefault="00DA2501" w:rsidP="00DA2501">
            <w:pPr>
              <w:overflowPunct w:val="0"/>
              <w:spacing w:line="360" w:lineRule="exact"/>
              <w:ind w:firstLineChars="0" w:firstLine="0"/>
              <w:jc w:val="center"/>
              <w:rPr>
                <w:sz w:val="21"/>
                <w:szCs w:val="21"/>
              </w:rPr>
            </w:pPr>
            <w:r>
              <w:rPr>
                <w:sz w:val="21"/>
                <w:szCs w:val="21"/>
              </w:rPr>
              <w:t>0</w:t>
            </w:r>
          </w:p>
        </w:tc>
        <w:tc>
          <w:tcPr>
            <w:tcW w:w="441" w:type="pct"/>
            <w:vAlign w:val="center"/>
          </w:tcPr>
          <w:p w:rsidR="00DA2501" w:rsidRPr="00381228" w:rsidRDefault="00DA2501" w:rsidP="00DA2501">
            <w:pPr>
              <w:widowControl/>
              <w:spacing w:line="360" w:lineRule="exact"/>
              <w:ind w:firstLineChars="0" w:firstLine="0"/>
              <w:jc w:val="center"/>
              <w:rPr>
                <w:sz w:val="21"/>
                <w:szCs w:val="21"/>
              </w:rPr>
            </w:pPr>
            <w:r>
              <w:rPr>
                <w:sz w:val="21"/>
                <w:szCs w:val="21"/>
              </w:rPr>
              <w:t>5</w:t>
            </w:r>
          </w:p>
        </w:tc>
        <w:tc>
          <w:tcPr>
            <w:tcW w:w="358" w:type="pct"/>
            <w:vAlign w:val="center"/>
          </w:tcPr>
          <w:p w:rsidR="00DA2501" w:rsidRPr="00381228" w:rsidRDefault="00DA2501" w:rsidP="00DA2501">
            <w:pPr>
              <w:overflowPunct w:val="0"/>
              <w:spacing w:line="360" w:lineRule="exact"/>
              <w:ind w:firstLineChars="0" w:firstLine="0"/>
              <w:jc w:val="center"/>
              <w:rPr>
                <w:sz w:val="21"/>
                <w:szCs w:val="21"/>
              </w:rPr>
            </w:pPr>
            <w:r w:rsidRPr="00381228">
              <w:rPr>
                <w:sz w:val="21"/>
                <w:szCs w:val="21"/>
              </w:rPr>
              <w:t>7200</w:t>
            </w:r>
          </w:p>
        </w:tc>
        <w:tc>
          <w:tcPr>
            <w:tcW w:w="227" w:type="pct"/>
            <w:vAlign w:val="center"/>
          </w:tcPr>
          <w:p w:rsidR="00DA2501" w:rsidRPr="00381228" w:rsidRDefault="00DA2501" w:rsidP="00DA2501">
            <w:pPr>
              <w:overflowPunct w:val="0"/>
              <w:spacing w:line="360" w:lineRule="exact"/>
              <w:ind w:firstLineChars="0" w:firstLine="0"/>
              <w:jc w:val="center"/>
              <w:rPr>
                <w:sz w:val="21"/>
                <w:szCs w:val="21"/>
              </w:rPr>
            </w:pPr>
            <w:r w:rsidRPr="00381228">
              <w:rPr>
                <w:sz w:val="21"/>
                <w:szCs w:val="21"/>
              </w:rPr>
              <w:t>正常</w:t>
            </w:r>
          </w:p>
        </w:tc>
        <w:tc>
          <w:tcPr>
            <w:tcW w:w="510" w:type="pct"/>
            <w:vAlign w:val="center"/>
          </w:tcPr>
          <w:p w:rsidR="00DA2501" w:rsidRPr="00381228" w:rsidRDefault="00DA2501" w:rsidP="00DA2501">
            <w:pPr>
              <w:widowControl/>
              <w:spacing w:line="360" w:lineRule="exact"/>
              <w:ind w:firstLineChars="0" w:firstLine="0"/>
              <w:jc w:val="center"/>
              <w:textAlignment w:val="center"/>
              <w:rPr>
                <w:sz w:val="21"/>
                <w:szCs w:val="21"/>
              </w:rPr>
            </w:pPr>
            <w:r>
              <w:rPr>
                <w:rFonts w:hint="eastAsia"/>
                <w:sz w:val="21"/>
                <w:szCs w:val="21"/>
              </w:rPr>
              <w:t>非甲烷总烃</w:t>
            </w:r>
          </w:p>
        </w:tc>
        <w:tc>
          <w:tcPr>
            <w:tcW w:w="528" w:type="pct"/>
            <w:vAlign w:val="center"/>
          </w:tcPr>
          <w:p w:rsidR="00DA2501" w:rsidRPr="00381228" w:rsidRDefault="00DA2501" w:rsidP="00DA2501">
            <w:pPr>
              <w:widowControl/>
              <w:spacing w:line="360" w:lineRule="exact"/>
              <w:ind w:firstLineChars="0" w:firstLine="0"/>
              <w:jc w:val="center"/>
              <w:textAlignment w:val="center"/>
              <w:rPr>
                <w:sz w:val="21"/>
                <w:szCs w:val="21"/>
              </w:rPr>
            </w:pPr>
            <w:r>
              <w:rPr>
                <w:sz w:val="21"/>
                <w:szCs w:val="21"/>
              </w:rPr>
              <w:t>0.0004</w:t>
            </w:r>
          </w:p>
        </w:tc>
      </w:tr>
      <w:tr w:rsidR="00DA2501" w:rsidRPr="00381228" w:rsidTr="00B03838">
        <w:trPr>
          <w:trHeight w:val="358"/>
          <w:jc w:val="center"/>
        </w:trPr>
        <w:tc>
          <w:tcPr>
            <w:tcW w:w="354" w:type="pct"/>
            <w:vMerge/>
            <w:vAlign w:val="center"/>
          </w:tcPr>
          <w:p w:rsidR="00DA2501" w:rsidRPr="00381228" w:rsidRDefault="00DA2501" w:rsidP="00DA2501">
            <w:pPr>
              <w:widowControl/>
              <w:spacing w:line="360" w:lineRule="exact"/>
              <w:ind w:firstLineChars="0" w:firstLine="0"/>
              <w:jc w:val="center"/>
              <w:textAlignment w:val="center"/>
              <w:rPr>
                <w:color w:val="000000"/>
                <w:spacing w:val="-2"/>
                <w:kern w:val="0"/>
                <w:sz w:val="21"/>
                <w:szCs w:val="21"/>
                <w:lang w:bidi="ar"/>
              </w:rPr>
            </w:pPr>
          </w:p>
        </w:tc>
        <w:tc>
          <w:tcPr>
            <w:tcW w:w="455" w:type="pct"/>
            <w:vMerge/>
            <w:vAlign w:val="center"/>
          </w:tcPr>
          <w:p w:rsidR="00DA2501" w:rsidRPr="00381228" w:rsidRDefault="00DA2501" w:rsidP="00DA2501">
            <w:pPr>
              <w:widowControl/>
              <w:spacing w:line="360" w:lineRule="exact"/>
              <w:ind w:firstLineChars="0" w:firstLine="0"/>
              <w:jc w:val="center"/>
              <w:textAlignment w:val="center"/>
              <w:rPr>
                <w:color w:val="000000"/>
                <w:spacing w:val="-2"/>
                <w:kern w:val="0"/>
                <w:sz w:val="21"/>
                <w:szCs w:val="21"/>
                <w:lang w:bidi="ar"/>
              </w:rPr>
            </w:pPr>
          </w:p>
        </w:tc>
        <w:tc>
          <w:tcPr>
            <w:tcW w:w="335" w:type="pct"/>
            <w:vMerge w:val="restart"/>
            <w:vAlign w:val="center"/>
          </w:tcPr>
          <w:p w:rsidR="00DA2501" w:rsidRPr="00381228" w:rsidRDefault="00DA2501" w:rsidP="00DA2501">
            <w:pPr>
              <w:overflowPunct w:val="0"/>
              <w:spacing w:line="360" w:lineRule="exact"/>
              <w:ind w:firstLineChars="0" w:firstLine="0"/>
              <w:jc w:val="center"/>
              <w:rPr>
                <w:sz w:val="21"/>
                <w:szCs w:val="21"/>
              </w:rPr>
            </w:pPr>
            <w:r>
              <w:rPr>
                <w:rFonts w:hint="eastAsia"/>
                <w:sz w:val="21"/>
                <w:szCs w:val="21"/>
              </w:rPr>
              <w:t>污水处理站</w:t>
            </w:r>
          </w:p>
        </w:tc>
        <w:tc>
          <w:tcPr>
            <w:tcW w:w="267" w:type="pct"/>
            <w:vMerge w:val="restart"/>
            <w:vAlign w:val="center"/>
          </w:tcPr>
          <w:p w:rsidR="00DA2501" w:rsidRPr="00381228" w:rsidRDefault="00DA2501" w:rsidP="00DA2501">
            <w:pPr>
              <w:overflowPunct w:val="0"/>
              <w:spacing w:line="360" w:lineRule="exact"/>
              <w:ind w:firstLineChars="0" w:firstLine="0"/>
              <w:jc w:val="center"/>
              <w:rPr>
                <w:sz w:val="21"/>
                <w:szCs w:val="21"/>
              </w:rPr>
            </w:pPr>
            <w:r w:rsidRPr="00381228">
              <w:rPr>
                <w:sz w:val="21"/>
                <w:szCs w:val="21"/>
              </w:rPr>
              <w:t>1802</w:t>
            </w:r>
          </w:p>
        </w:tc>
        <w:tc>
          <w:tcPr>
            <w:tcW w:w="228" w:type="pct"/>
            <w:vMerge w:val="restart"/>
            <w:vAlign w:val="center"/>
          </w:tcPr>
          <w:p w:rsidR="00DA2501" w:rsidRPr="00381228" w:rsidRDefault="00DA2501" w:rsidP="00DA2501">
            <w:pPr>
              <w:overflowPunct w:val="0"/>
              <w:spacing w:line="360" w:lineRule="exact"/>
              <w:ind w:firstLineChars="0" w:firstLine="0"/>
              <w:jc w:val="center"/>
              <w:rPr>
                <w:sz w:val="21"/>
                <w:szCs w:val="21"/>
              </w:rPr>
            </w:pPr>
            <w:r w:rsidRPr="00381228">
              <w:rPr>
                <w:sz w:val="21"/>
                <w:szCs w:val="21"/>
              </w:rPr>
              <w:t>2057</w:t>
            </w:r>
          </w:p>
        </w:tc>
        <w:tc>
          <w:tcPr>
            <w:tcW w:w="363" w:type="pct"/>
            <w:vMerge w:val="restart"/>
            <w:vAlign w:val="center"/>
          </w:tcPr>
          <w:p w:rsidR="00DA2501" w:rsidRPr="00381228" w:rsidRDefault="00DA2501" w:rsidP="00DA2501">
            <w:pPr>
              <w:overflowPunct w:val="0"/>
              <w:spacing w:line="360" w:lineRule="exact"/>
              <w:ind w:firstLineChars="0" w:firstLine="0"/>
              <w:jc w:val="center"/>
              <w:rPr>
                <w:sz w:val="21"/>
                <w:szCs w:val="21"/>
              </w:rPr>
            </w:pPr>
            <w:r>
              <w:rPr>
                <w:sz w:val="21"/>
                <w:szCs w:val="21"/>
              </w:rPr>
              <w:t>16</w:t>
            </w:r>
          </w:p>
        </w:tc>
        <w:tc>
          <w:tcPr>
            <w:tcW w:w="296" w:type="pct"/>
            <w:vMerge w:val="restart"/>
            <w:vAlign w:val="center"/>
          </w:tcPr>
          <w:p w:rsidR="00DA2501" w:rsidRPr="00381228" w:rsidRDefault="00DA2501" w:rsidP="00DA2501">
            <w:pPr>
              <w:overflowPunct w:val="0"/>
              <w:spacing w:line="360" w:lineRule="exact"/>
              <w:ind w:firstLineChars="0" w:firstLine="0"/>
              <w:jc w:val="center"/>
              <w:rPr>
                <w:sz w:val="21"/>
                <w:szCs w:val="21"/>
              </w:rPr>
            </w:pPr>
            <w:r>
              <w:rPr>
                <w:sz w:val="21"/>
                <w:szCs w:val="21"/>
              </w:rPr>
              <w:t>24</w:t>
            </w:r>
          </w:p>
        </w:tc>
        <w:tc>
          <w:tcPr>
            <w:tcW w:w="271" w:type="pct"/>
            <w:vMerge w:val="restart"/>
            <w:vAlign w:val="center"/>
          </w:tcPr>
          <w:p w:rsidR="00DA2501" w:rsidRPr="00381228" w:rsidRDefault="00DA2501" w:rsidP="00DA2501">
            <w:pPr>
              <w:overflowPunct w:val="0"/>
              <w:spacing w:line="360" w:lineRule="exact"/>
              <w:ind w:firstLineChars="0" w:firstLine="0"/>
              <w:jc w:val="center"/>
              <w:rPr>
                <w:sz w:val="21"/>
                <w:szCs w:val="21"/>
              </w:rPr>
            </w:pPr>
            <w:r>
              <w:rPr>
                <w:sz w:val="21"/>
                <w:szCs w:val="21"/>
              </w:rPr>
              <w:t>11.6</w:t>
            </w:r>
          </w:p>
        </w:tc>
        <w:tc>
          <w:tcPr>
            <w:tcW w:w="367" w:type="pct"/>
            <w:vMerge w:val="restart"/>
            <w:vAlign w:val="center"/>
          </w:tcPr>
          <w:p w:rsidR="00DA2501" w:rsidRPr="00381228" w:rsidRDefault="00DA2501" w:rsidP="00DA2501">
            <w:pPr>
              <w:overflowPunct w:val="0"/>
              <w:spacing w:line="360" w:lineRule="exact"/>
              <w:ind w:firstLineChars="0" w:firstLine="0"/>
              <w:jc w:val="center"/>
              <w:rPr>
                <w:sz w:val="21"/>
                <w:szCs w:val="21"/>
              </w:rPr>
            </w:pPr>
            <w:r>
              <w:rPr>
                <w:sz w:val="21"/>
                <w:szCs w:val="21"/>
              </w:rPr>
              <w:t>0</w:t>
            </w:r>
          </w:p>
        </w:tc>
        <w:tc>
          <w:tcPr>
            <w:tcW w:w="441" w:type="pct"/>
            <w:vMerge w:val="restart"/>
            <w:vAlign w:val="center"/>
          </w:tcPr>
          <w:p w:rsidR="00DA2501" w:rsidRPr="00381228" w:rsidRDefault="00DA2501" w:rsidP="00DA2501">
            <w:pPr>
              <w:overflowPunct w:val="0"/>
              <w:spacing w:line="360" w:lineRule="exact"/>
              <w:ind w:firstLineChars="0" w:firstLine="0"/>
              <w:jc w:val="center"/>
              <w:rPr>
                <w:sz w:val="21"/>
                <w:szCs w:val="21"/>
              </w:rPr>
            </w:pPr>
            <w:r>
              <w:rPr>
                <w:sz w:val="21"/>
                <w:szCs w:val="21"/>
              </w:rPr>
              <w:t>3</w:t>
            </w:r>
          </w:p>
        </w:tc>
        <w:tc>
          <w:tcPr>
            <w:tcW w:w="358" w:type="pct"/>
            <w:vMerge w:val="restart"/>
            <w:vAlign w:val="center"/>
          </w:tcPr>
          <w:p w:rsidR="00DA2501" w:rsidRPr="00381228" w:rsidRDefault="00DA2501" w:rsidP="00DA2501">
            <w:pPr>
              <w:overflowPunct w:val="0"/>
              <w:spacing w:line="360" w:lineRule="exact"/>
              <w:ind w:firstLineChars="0" w:firstLine="0"/>
              <w:jc w:val="center"/>
              <w:rPr>
                <w:sz w:val="21"/>
                <w:szCs w:val="21"/>
              </w:rPr>
            </w:pPr>
            <w:r w:rsidRPr="00381228">
              <w:rPr>
                <w:sz w:val="21"/>
                <w:szCs w:val="21"/>
              </w:rPr>
              <w:t>7200</w:t>
            </w:r>
          </w:p>
        </w:tc>
        <w:tc>
          <w:tcPr>
            <w:tcW w:w="227" w:type="pct"/>
            <w:vMerge w:val="restart"/>
            <w:vAlign w:val="center"/>
          </w:tcPr>
          <w:p w:rsidR="00DA2501" w:rsidRPr="00381228" w:rsidRDefault="00DA2501" w:rsidP="00DA2501">
            <w:pPr>
              <w:overflowPunct w:val="0"/>
              <w:spacing w:line="360" w:lineRule="exact"/>
              <w:ind w:firstLineChars="0" w:firstLine="0"/>
              <w:jc w:val="center"/>
              <w:rPr>
                <w:sz w:val="21"/>
                <w:szCs w:val="21"/>
              </w:rPr>
            </w:pPr>
            <w:r w:rsidRPr="00381228">
              <w:rPr>
                <w:sz w:val="21"/>
                <w:szCs w:val="21"/>
              </w:rPr>
              <w:t>正常</w:t>
            </w:r>
          </w:p>
        </w:tc>
        <w:tc>
          <w:tcPr>
            <w:tcW w:w="510" w:type="pct"/>
            <w:vAlign w:val="center"/>
          </w:tcPr>
          <w:p w:rsidR="00DA2501" w:rsidRPr="00381228" w:rsidRDefault="00DA2501" w:rsidP="00DA2501">
            <w:pPr>
              <w:overflowPunct w:val="0"/>
              <w:spacing w:line="360" w:lineRule="exact"/>
              <w:ind w:firstLineChars="0" w:firstLine="0"/>
              <w:jc w:val="center"/>
              <w:rPr>
                <w:sz w:val="21"/>
                <w:szCs w:val="21"/>
              </w:rPr>
            </w:pPr>
            <w:r>
              <w:rPr>
                <w:rFonts w:hint="eastAsia"/>
                <w:sz w:val="21"/>
                <w:szCs w:val="21"/>
              </w:rPr>
              <w:t>非甲烷总烃</w:t>
            </w:r>
          </w:p>
        </w:tc>
        <w:tc>
          <w:tcPr>
            <w:tcW w:w="528" w:type="pct"/>
            <w:vAlign w:val="center"/>
          </w:tcPr>
          <w:p w:rsidR="00DA2501" w:rsidRPr="00381228" w:rsidRDefault="00DA2501" w:rsidP="00DA2501">
            <w:pPr>
              <w:overflowPunct w:val="0"/>
              <w:spacing w:line="360" w:lineRule="exact"/>
              <w:ind w:firstLineChars="0" w:firstLine="0"/>
              <w:jc w:val="center"/>
              <w:rPr>
                <w:sz w:val="21"/>
                <w:szCs w:val="21"/>
              </w:rPr>
            </w:pPr>
            <w:r>
              <w:rPr>
                <w:sz w:val="21"/>
                <w:szCs w:val="21"/>
              </w:rPr>
              <w:t>0.0006</w:t>
            </w:r>
          </w:p>
        </w:tc>
      </w:tr>
      <w:tr w:rsidR="00DA2501" w:rsidRPr="00381228" w:rsidTr="00B03838">
        <w:trPr>
          <w:trHeight w:val="357"/>
          <w:jc w:val="center"/>
        </w:trPr>
        <w:tc>
          <w:tcPr>
            <w:tcW w:w="354" w:type="pct"/>
            <w:vMerge/>
            <w:vAlign w:val="center"/>
          </w:tcPr>
          <w:p w:rsidR="00DA2501" w:rsidRPr="00381228" w:rsidRDefault="00DA2501" w:rsidP="00DA2501">
            <w:pPr>
              <w:widowControl/>
              <w:spacing w:line="360" w:lineRule="exact"/>
              <w:ind w:firstLineChars="0" w:firstLine="0"/>
              <w:jc w:val="center"/>
              <w:textAlignment w:val="center"/>
              <w:rPr>
                <w:color w:val="000000"/>
                <w:spacing w:val="-2"/>
                <w:kern w:val="0"/>
                <w:sz w:val="21"/>
                <w:szCs w:val="21"/>
                <w:lang w:bidi="ar"/>
              </w:rPr>
            </w:pPr>
          </w:p>
        </w:tc>
        <w:tc>
          <w:tcPr>
            <w:tcW w:w="455" w:type="pct"/>
            <w:vMerge/>
            <w:vAlign w:val="center"/>
          </w:tcPr>
          <w:p w:rsidR="00DA2501" w:rsidRPr="00381228" w:rsidRDefault="00DA2501" w:rsidP="00DA2501">
            <w:pPr>
              <w:widowControl/>
              <w:spacing w:line="360" w:lineRule="exact"/>
              <w:ind w:firstLineChars="0" w:firstLine="0"/>
              <w:jc w:val="center"/>
              <w:textAlignment w:val="center"/>
              <w:rPr>
                <w:color w:val="000000"/>
                <w:spacing w:val="-2"/>
                <w:kern w:val="0"/>
                <w:sz w:val="21"/>
                <w:szCs w:val="21"/>
                <w:lang w:bidi="ar"/>
              </w:rPr>
            </w:pPr>
          </w:p>
        </w:tc>
        <w:tc>
          <w:tcPr>
            <w:tcW w:w="335" w:type="pct"/>
            <w:vMerge/>
            <w:vAlign w:val="center"/>
          </w:tcPr>
          <w:p w:rsidR="00DA2501" w:rsidRDefault="00DA2501" w:rsidP="00DA2501">
            <w:pPr>
              <w:overflowPunct w:val="0"/>
              <w:spacing w:line="360" w:lineRule="exact"/>
              <w:ind w:firstLineChars="0" w:firstLine="0"/>
              <w:jc w:val="center"/>
              <w:rPr>
                <w:sz w:val="21"/>
                <w:szCs w:val="21"/>
              </w:rPr>
            </w:pPr>
          </w:p>
        </w:tc>
        <w:tc>
          <w:tcPr>
            <w:tcW w:w="267"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228"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363" w:type="pct"/>
            <w:vMerge/>
            <w:vAlign w:val="center"/>
          </w:tcPr>
          <w:p w:rsidR="00DA2501" w:rsidRDefault="00DA2501" w:rsidP="00DA2501">
            <w:pPr>
              <w:overflowPunct w:val="0"/>
              <w:spacing w:line="360" w:lineRule="exact"/>
              <w:ind w:firstLineChars="0" w:firstLine="0"/>
              <w:jc w:val="center"/>
              <w:rPr>
                <w:sz w:val="21"/>
                <w:szCs w:val="21"/>
              </w:rPr>
            </w:pPr>
          </w:p>
        </w:tc>
        <w:tc>
          <w:tcPr>
            <w:tcW w:w="296" w:type="pct"/>
            <w:vMerge/>
            <w:vAlign w:val="center"/>
          </w:tcPr>
          <w:p w:rsidR="00DA2501" w:rsidRDefault="00DA2501" w:rsidP="00DA2501">
            <w:pPr>
              <w:overflowPunct w:val="0"/>
              <w:spacing w:line="360" w:lineRule="exact"/>
              <w:ind w:firstLineChars="0" w:firstLine="0"/>
              <w:jc w:val="center"/>
              <w:rPr>
                <w:sz w:val="21"/>
                <w:szCs w:val="21"/>
              </w:rPr>
            </w:pPr>
          </w:p>
        </w:tc>
        <w:tc>
          <w:tcPr>
            <w:tcW w:w="271" w:type="pct"/>
            <w:vMerge/>
            <w:vAlign w:val="center"/>
          </w:tcPr>
          <w:p w:rsidR="00DA2501" w:rsidRDefault="00DA2501" w:rsidP="00DA2501">
            <w:pPr>
              <w:overflowPunct w:val="0"/>
              <w:spacing w:line="360" w:lineRule="exact"/>
              <w:ind w:firstLineChars="0" w:firstLine="0"/>
              <w:jc w:val="center"/>
              <w:rPr>
                <w:sz w:val="21"/>
                <w:szCs w:val="21"/>
              </w:rPr>
            </w:pPr>
          </w:p>
        </w:tc>
        <w:tc>
          <w:tcPr>
            <w:tcW w:w="367" w:type="pct"/>
            <w:vMerge/>
            <w:vAlign w:val="center"/>
          </w:tcPr>
          <w:p w:rsidR="00DA2501" w:rsidRDefault="00DA2501" w:rsidP="00DA2501">
            <w:pPr>
              <w:overflowPunct w:val="0"/>
              <w:spacing w:line="360" w:lineRule="exact"/>
              <w:ind w:firstLineChars="0" w:firstLine="0"/>
              <w:jc w:val="center"/>
              <w:rPr>
                <w:sz w:val="21"/>
                <w:szCs w:val="21"/>
              </w:rPr>
            </w:pPr>
          </w:p>
        </w:tc>
        <w:tc>
          <w:tcPr>
            <w:tcW w:w="441" w:type="pct"/>
            <w:vMerge/>
            <w:vAlign w:val="center"/>
          </w:tcPr>
          <w:p w:rsidR="00DA2501" w:rsidRDefault="00DA2501" w:rsidP="00DA2501">
            <w:pPr>
              <w:overflowPunct w:val="0"/>
              <w:spacing w:line="360" w:lineRule="exact"/>
              <w:ind w:firstLineChars="0" w:firstLine="0"/>
              <w:jc w:val="center"/>
              <w:rPr>
                <w:sz w:val="21"/>
                <w:szCs w:val="21"/>
              </w:rPr>
            </w:pPr>
          </w:p>
        </w:tc>
        <w:tc>
          <w:tcPr>
            <w:tcW w:w="358"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227"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510" w:type="pct"/>
            <w:vAlign w:val="center"/>
          </w:tcPr>
          <w:p w:rsidR="00DA2501" w:rsidRPr="00381228" w:rsidRDefault="00DA2501" w:rsidP="00DA2501">
            <w:pPr>
              <w:overflowPunct w:val="0"/>
              <w:spacing w:line="360" w:lineRule="exact"/>
              <w:ind w:firstLineChars="0" w:firstLine="0"/>
              <w:jc w:val="center"/>
              <w:rPr>
                <w:sz w:val="21"/>
                <w:szCs w:val="21"/>
              </w:rPr>
            </w:pPr>
            <w:r>
              <w:rPr>
                <w:rFonts w:hint="eastAsia"/>
                <w:sz w:val="21"/>
                <w:szCs w:val="21"/>
              </w:rPr>
              <w:t>氨</w:t>
            </w:r>
          </w:p>
        </w:tc>
        <w:tc>
          <w:tcPr>
            <w:tcW w:w="528" w:type="pct"/>
            <w:vAlign w:val="center"/>
          </w:tcPr>
          <w:p w:rsidR="00DA2501" w:rsidRPr="00381228" w:rsidRDefault="00DA2501" w:rsidP="00DA2501">
            <w:pPr>
              <w:overflowPunct w:val="0"/>
              <w:spacing w:line="360" w:lineRule="exact"/>
              <w:ind w:firstLineChars="0" w:firstLine="0"/>
              <w:jc w:val="center"/>
              <w:rPr>
                <w:sz w:val="21"/>
                <w:szCs w:val="21"/>
              </w:rPr>
            </w:pPr>
            <w:r>
              <w:rPr>
                <w:rFonts w:hint="eastAsia"/>
                <w:sz w:val="21"/>
                <w:szCs w:val="21"/>
              </w:rPr>
              <w:t>0</w:t>
            </w:r>
            <w:r>
              <w:rPr>
                <w:sz w:val="21"/>
                <w:szCs w:val="21"/>
              </w:rPr>
              <w:t>.002</w:t>
            </w:r>
          </w:p>
        </w:tc>
      </w:tr>
      <w:tr w:rsidR="00DA2501" w:rsidRPr="00381228" w:rsidTr="00B03838">
        <w:trPr>
          <w:trHeight w:val="357"/>
          <w:jc w:val="center"/>
        </w:trPr>
        <w:tc>
          <w:tcPr>
            <w:tcW w:w="354" w:type="pct"/>
            <w:vMerge/>
            <w:vAlign w:val="center"/>
          </w:tcPr>
          <w:p w:rsidR="00DA2501" w:rsidRPr="00381228" w:rsidRDefault="00DA2501" w:rsidP="00DA2501">
            <w:pPr>
              <w:widowControl/>
              <w:spacing w:line="360" w:lineRule="exact"/>
              <w:ind w:firstLineChars="0" w:firstLine="0"/>
              <w:jc w:val="center"/>
              <w:textAlignment w:val="center"/>
              <w:rPr>
                <w:color w:val="000000"/>
                <w:spacing w:val="-2"/>
                <w:kern w:val="0"/>
                <w:sz w:val="21"/>
                <w:szCs w:val="21"/>
                <w:lang w:bidi="ar"/>
              </w:rPr>
            </w:pPr>
          </w:p>
        </w:tc>
        <w:tc>
          <w:tcPr>
            <w:tcW w:w="455" w:type="pct"/>
            <w:vMerge/>
            <w:vAlign w:val="center"/>
          </w:tcPr>
          <w:p w:rsidR="00DA2501" w:rsidRPr="00381228" w:rsidRDefault="00DA2501" w:rsidP="00DA2501">
            <w:pPr>
              <w:widowControl/>
              <w:spacing w:line="360" w:lineRule="exact"/>
              <w:ind w:firstLineChars="0" w:firstLine="0"/>
              <w:jc w:val="center"/>
              <w:textAlignment w:val="center"/>
              <w:rPr>
                <w:color w:val="000000"/>
                <w:spacing w:val="-2"/>
                <w:kern w:val="0"/>
                <w:sz w:val="21"/>
                <w:szCs w:val="21"/>
                <w:lang w:bidi="ar"/>
              </w:rPr>
            </w:pPr>
          </w:p>
        </w:tc>
        <w:tc>
          <w:tcPr>
            <w:tcW w:w="335" w:type="pct"/>
            <w:vMerge/>
            <w:vAlign w:val="center"/>
          </w:tcPr>
          <w:p w:rsidR="00DA2501" w:rsidRDefault="00DA2501" w:rsidP="00DA2501">
            <w:pPr>
              <w:overflowPunct w:val="0"/>
              <w:spacing w:line="360" w:lineRule="exact"/>
              <w:ind w:firstLineChars="0" w:firstLine="0"/>
              <w:jc w:val="center"/>
              <w:rPr>
                <w:sz w:val="21"/>
                <w:szCs w:val="21"/>
              </w:rPr>
            </w:pPr>
          </w:p>
        </w:tc>
        <w:tc>
          <w:tcPr>
            <w:tcW w:w="267"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228"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363" w:type="pct"/>
            <w:vMerge/>
            <w:vAlign w:val="center"/>
          </w:tcPr>
          <w:p w:rsidR="00DA2501" w:rsidRDefault="00DA2501" w:rsidP="00DA2501">
            <w:pPr>
              <w:overflowPunct w:val="0"/>
              <w:spacing w:line="360" w:lineRule="exact"/>
              <w:ind w:firstLineChars="0" w:firstLine="0"/>
              <w:jc w:val="center"/>
              <w:rPr>
                <w:sz w:val="21"/>
                <w:szCs w:val="21"/>
              </w:rPr>
            </w:pPr>
          </w:p>
        </w:tc>
        <w:tc>
          <w:tcPr>
            <w:tcW w:w="296" w:type="pct"/>
            <w:vMerge/>
            <w:vAlign w:val="center"/>
          </w:tcPr>
          <w:p w:rsidR="00DA2501" w:rsidRDefault="00DA2501" w:rsidP="00DA2501">
            <w:pPr>
              <w:overflowPunct w:val="0"/>
              <w:spacing w:line="360" w:lineRule="exact"/>
              <w:ind w:firstLineChars="0" w:firstLine="0"/>
              <w:jc w:val="center"/>
              <w:rPr>
                <w:sz w:val="21"/>
                <w:szCs w:val="21"/>
              </w:rPr>
            </w:pPr>
          </w:p>
        </w:tc>
        <w:tc>
          <w:tcPr>
            <w:tcW w:w="271" w:type="pct"/>
            <w:vMerge/>
            <w:vAlign w:val="center"/>
          </w:tcPr>
          <w:p w:rsidR="00DA2501" w:rsidRDefault="00DA2501" w:rsidP="00DA2501">
            <w:pPr>
              <w:overflowPunct w:val="0"/>
              <w:spacing w:line="360" w:lineRule="exact"/>
              <w:ind w:firstLineChars="0" w:firstLine="0"/>
              <w:jc w:val="center"/>
              <w:rPr>
                <w:sz w:val="21"/>
                <w:szCs w:val="21"/>
              </w:rPr>
            </w:pPr>
          </w:p>
        </w:tc>
        <w:tc>
          <w:tcPr>
            <w:tcW w:w="367" w:type="pct"/>
            <w:vMerge/>
            <w:vAlign w:val="center"/>
          </w:tcPr>
          <w:p w:rsidR="00DA2501" w:rsidRDefault="00DA2501" w:rsidP="00DA2501">
            <w:pPr>
              <w:overflowPunct w:val="0"/>
              <w:spacing w:line="360" w:lineRule="exact"/>
              <w:ind w:firstLineChars="0" w:firstLine="0"/>
              <w:jc w:val="center"/>
              <w:rPr>
                <w:sz w:val="21"/>
                <w:szCs w:val="21"/>
              </w:rPr>
            </w:pPr>
          </w:p>
        </w:tc>
        <w:tc>
          <w:tcPr>
            <w:tcW w:w="441" w:type="pct"/>
            <w:vMerge/>
            <w:vAlign w:val="center"/>
          </w:tcPr>
          <w:p w:rsidR="00DA2501" w:rsidRDefault="00DA2501" w:rsidP="00DA2501">
            <w:pPr>
              <w:overflowPunct w:val="0"/>
              <w:spacing w:line="360" w:lineRule="exact"/>
              <w:ind w:firstLineChars="0" w:firstLine="0"/>
              <w:jc w:val="center"/>
              <w:rPr>
                <w:sz w:val="21"/>
                <w:szCs w:val="21"/>
              </w:rPr>
            </w:pPr>
          </w:p>
        </w:tc>
        <w:tc>
          <w:tcPr>
            <w:tcW w:w="358"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227"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510" w:type="pct"/>
            <w:vAlign w:val="center"/>
          </w:tcPr>
          <w:p w:rsidR="00DA2501" w:rsidRPr="00381228" w:rsidRDefault="00DA2501" w:rsidP="00DA2501">
            <w:pPr>
              <w:overflowPunct w:val="0"/>
              <w:spacing w:line="360" w:lineRule="exact"/>
              <w:ind w:firstLineChars="0" w:firstLine="0"/>
              <w:jc w:val="center"/>
              <w:rPr>
                <w:sz w:val="21"/>
                <w:szCs w:val="21"/>
              </w:rPr>
            </w:pPr>
            <w:r>
              <w:rPr>
                <w:rFonts w:hint="eastAsia"/>
                <w:sz w:val="21"/>
                <w:szCs w:val="21"/>
              </w:rPr>
              <w:t>硫化氢</w:t>
            </w:r>
          </w:p>
        </w:tc>
        <w:tc>
          <w:tcPr>
            <w:tcW w:w="528" w:type="pct"/>
            <w:vAlign w:val="center"/>
          </w:tcPr>
          <w:p w:rsidR="00DA2501" w:rsidRPr="00381228" w:rsidRDefault="00DA2501" w:rsidP="00DA2501">
            <w:pPr>
              <w:overflowPunct w:val="0"/>
              <w:spacing w:line="360" w:lineRule="exact"/>
              <w:ind w:firstLineChars="0" w:firstLine="0"/>
              <w:jc w:val="center"/>
              <w:rPr>
                <w:sz w:val="21"/>
                <w:szCs w:val="21"/>
              </w:rPr>
            </w:pPr>
            <w:r>
              <w:rPr>
                <w:rFonts w:hint="eastAsia"/>
                <w:sz w:val="21"/>
                <w:szCs w:val="21"/>
              </w:rPr>
              <w:t>0</w:t>
            </w:r>
            <w:r>
              <w:rPr>
                <w:sz w:val="21"/>
                <w:szCs w:val="21"/>
              </w:rPr>
              <w:t>.0001</w:t>
            </w:r>
          </w:p>
        </w:tc>
      </w:tr>
      <w:tr w:rsidR="00DA2501" w:rsidRPr="00381228" w:rsidTr="00B03838">
        <w:trPr>
          <w:trHeight w:val="369"/>
          <w:jc w:val="center"/>
        </w:trPr>
        <w:tc>
          <w:tcPr>
            <w:tcW w:w="354" w:type="pct"/>
            <w:vMerge w:val="restart"/>
            <w:vAlign w:val="center"/>
          </w:tcPr>
          <w:p w:rsidR="00DA2501" w:rsidRPr="00381228" w:rsidRDefault="00DA2501" w:rsidP="00DA2501">
            <w:pPr>
              <w:widowControl/>
              <w:ind w:firstLineChars="0" w:firstLine="0"/>
              <w:jc w:val="center"/>
              <w:rPr>
                <w:bCs/>
                <w:sz w:val="21"/>
              </w:rPr>
            </w:pPr>
            <w:r w:rsidRPr="00381228">
              <w:rPr>
                <w:bCs/>
                <w:sz w:val="21"/>
              </w:rPr>
              <w:t>安徽东欣迅启生物科技有限公司</w:t>
            </w:r>
          </w:p>
        </w:tc>
        <w:tc>
          <w:tcPr>
            <w:tcW w:w="455" w:type="pct"/>
            <w:vMerge w:val="restart"/>
            <w:vAlign w:val="center"/>
          </w:tcPr>
          <w:p w:rsidR="00DA2501" w:rsidRPr="00381228" w:rsidRDefault="00DA2501" w:rsidP="00DA2501">
            <w:pPr>
              <w:widowControl/>
              <w:ind w:firstLineChars="0" w:firstLine="0"/>
              <w:jc w:val="center"/>
              <w:rPr>
                <w:bCs/>
                <w:sz w:val="21"/>
              </w:rPr>
            </w:pPr>
            <w:r w:rsidRPr="00381228">
              <w:rPr>
                <w:bCs/>
                <w:sz w:val="21"/>
              </w:rPr>
              <w:t>年产</w:t>
            </w:r>
            <w:r w:rsidRPr="00381228">
              <w:rPr>
                <w:bCs/>
                <w:sz w:val="21"/>
              </w:rPr>
              <w:t>2000</w:t>
            </w:r>
            <w:r w:rsidRPr="00381228">
              <w:rPr>
                <w:bCs/>
                <w:sz w:val="21"/>
              </w:rPr>
              <w:t>吨丁酰乳酸丁酯及</w:t>
            </w:r>
            <w:r w:rsidRPr="00381228">
              <w:rPr>
                <w:bCs/>
                <w:sz w:val="21"/>
              </w:rPr>
              <w:t>100</w:t>
            </w:r>
            <w:r w:rsidRPr="00381228">
              <w:rPr>
                <w:bCs/>
                <w:sz w:val="21"/>
              </w:rPr>
              <w:t>吨反式</w:t>
            </w:r>
            <w:r w:rsidRPr="00381228">
              <w:rPr>
                <w:bCs/>
                <w:sz w:val="21"/>
              </w:rPr>
              <w:t>2-</w:t>
            </w:r>
            <w:r w:rsidRPr="00381228">
              <w:rPr>
                <w:bCs/>
                <w:sz w:val="21"/>
              </w:rPr>
              <w:t>己烯醛项目</w:t>
            </w:r>
          </w:p>
        </w:tc>
        <w:tc>
          <w:tcPr>
            <w:tcW w:w="335" w:type="pct"/>
            <w:vAlign w:val="center"/>
          </w:tcPr>
          <w:p w:rsidR="00DA2501" w:rsidRPr="00381228" w:rsidRDefault="00DA2501" w:rsidP="00DA2501">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生产车间</w:t>
            </w:r>
          </w:p>
        </w:tc>
        <w:tc>
          <w:tcPr>
            <w:tcW w:w="267" w:type="pct"/>
            <w:vAlign w:val="center"/>
          </w:tcPr>
          <w:p w:rsidR="00DA2501" w:rsidRPr="00381228" w:rsidRDefault="00DA2501" w:rsidP="00DA2501">
            <w:pPr>
              <w:widowControl/>
              <w:spacing w:line="360" w:lineRule="exact"/>
              <w:ind w:firstLineChars="0" w:firstLine="0"/>
              <w:jc w:val="center"/>
              <w:textAlignment w:val="center"/>
              <w:rPr>
                <w:color w:val="000000"/>
                <w:spacing w:val="-2"/>
                <w:kern w:val="0"/>
                <w:sz w:val="21"/>
                <w:szCs w:val="21"/>
                <w:lang w:bidi="ar"/>
              </w:rPr>
            </w:pPr>
            <w:r w:rsidRPr="00381228">
              <w:rPr>
                <w:sz w:val="21"/>
                <w:szCs w:val="21"/>
              </w:rPr>
              <w:t>-25</w:t>
            </w:r>
          </w:p>
        </w:tc>
        <w:tc>
          <w:tcPr>
            <w:tcW w:w="228" w:type="pct"/>
            <w:vAlign w:val="center"/>
          </w:tcPr>
          <w:p w:rsidR="00DA2501" w:rsidRPr="00381228" w:rsidRDefault="00DA2501" w:rsidP="00DA2501">
            <w:pPr>
              <w:widowControl/>
              <w:spacing w:line="360" w:lineRule="exact"/>
              <w:ind w:firstLineChars="0" w:firstLine="0"/>
              <w:jc w:val="center"/>
              <w:textAlignment w:val="center"/>
              <w:rPr>
                <w:color w:val="000000"/>
                <w:spacing w:val="-2"/>
                <w:kern w:val="0"/>
                <w:sz w:val="21"/>
                <w:szCs w:val="21"/>
                <w:lang w:bidi="ar"/>
              </w:rPr>
            </w:pPr>
            <w:r w:rsidRPr="00381228">
              <w:rPr>
                <w:sz w:val="21"/>
                <w:szCs w:val="21"/>
              </w:rPr>
              <w:t>-1050</w:t>
            </w:r>
          </w:p>
        </w:tc>
        <w:tc>
          <w:tcPr>
            <w:tcW w:w="363" w:type="pct"/>
            <w:vAlign w:val="center"/>
          </w:tcPr>
          <w:p w:rsidR="00DA2501" w:rsidRPr="00381228" w:rsidRDefault="00DA2501" w:rsidP="00DA2501">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16.7</w:t>
            </w:r>
          </w:p>
        </w:tc>
        <w:tc>
          <w:tcPr>
            <w:tcW w:w="296" w:type="pct"/>
            <w:vAlign w:val="center"/>
          </w:tcPr>
          <w:p w:rsidR="00DA2501" w:rsidRPr="00381228" w:rsidRDefault="00DA2501" w:rsidP="00DA2501">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41</w:t>
            </w:r>
          </w:p>
        </w:tc>
        <w:tc>
          <w:tcPr>
            <w:tcW w:w="271" w:type="pct"/>
            <w:vAlign w:val="center"/>
          </w:tcPr>
          <w:p w:rsidR="00DA2501" w:rsidRPr="00381228" w:rsidRDefault="00DA2501" w:rsidP="00DA2501">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18</w:t>
            </w:r>
          </w:p>
        </w:tc>
        <w:tc>
          <w:tcPr>
            <w:tcW w:w="367" w:type="pct"/>
            <w:vAlign w:val="center"/>
          </w:tcPr>
          <w:p w:rsidR="00DA2501" w:rsidRPr="00381228" w:rsidRDefault="00DA2501" w:rsidP="00DA2501">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68</w:t>
            </w:r>
          </w:p>
        </w:tc>
        <w:tc>
          <w:tcPr>
            <w:tcW w:w="441" w:type="pct"/>
            <w:vAlign w:val="center"/>
          </w:tcPr>
          <w:p w:rsidR="00DA2501" w:rsidRPr="00381228" w:rsidRDefault="00DA2501" w:rsidP="00DA2501">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5.4</w:t>
            </w:r>
          </w:p>
        </w:tc>
        <w:tc>
          <w:tcPr>
            <w:tcW w:w="358" w:type="pct"/>
            <w:vAlign w:val="center"/>
          </w:tcPr>
          <w:p w:rsidR="00DA2501" w:rsidRPr="00381228" w:rsidRDefault="00DA2501" w:rsidP="00DA2501">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7</w:t>
            </w:r>
            <w:r w:rsidRPr="00381228">
              <w:rPr>
                <w:color w:val="000000"/>
                <w:spacing w:val="-2"/>
                <w:kern w:val="0"/>
                <w:sz w:val="21"/>
                <w:szCs w:val="21"/>
                <w:lang w:bidi="ar"/>
              </w:rPr>
              <w:t>200</w:t>
            </w:r>
          </w:p>
        </w:tc>
        <w:tc>
          <w:tcPr>
            <w:tcW w:w="227" w:type="pct"/>
            <w:vAlign w:val="center"/>
          </w:tcPr>
          <w:p w:rsidR="00DA2501" w:rsidRPr="00381228" w:rsidRDefault="00DA2501" w:rsidP="00DA2501">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正常</w:t>
            </w:r>
          </w:p>
        </w:tc>
        <w:tc>
          <w:tcPr>
            <w:tcW w:w="510" w:type="pct"/>
            <w:vAlign w:val="center"/>
          </w:tcPr>
          <w:p w:rsidR="00DA2501" w:rsidRPr="00381228" w:rsidRDefault="00DA2501" w:rsidP="00DA2501">
            <w:pPr>
              <w:widowControl/>
              <w:spacing w:line="360" w:lineRule="exact"/>
              <w:ind w:firstLineChars="0" w:firstLine="0"/>
              <w:jc w:val="center"/>
              <w:textAlignment w:val="center"/>
              <w:rPr>
                <w:sz w:val="21"/>
                <w:szCs w:val="21"/>
              </w:rPr>
            </w:pPr>
            <w:r>
              <w:rPr>
                <w:rFonts w:hint="eastAsia"/>
                <w:sz w:val="21"/>
                <w:szCs w:val="21"/>
              </w:rPr>
              <w:t>非甲烷总烃</w:t>
            </w:r>
          </w:p>
        </w:tc>
        <w:tc>
          <w:tcPr>
            <w:tcW w:w="528" w:type="pct"/>
            <w:vAlign w:val="center"/>
          </w:tcPr>
          <w:p w:rsidR="00DA2501" w:rsidRPr="00381228" w:rsidRDefault="00DA2501" w:rsidP="00DA2501">
            <w:pPr>
              <w:widowControl/>
              <w:spacing w:line="360" w:lineRule="exact"/>
              <w:ind w:firstLineChars="0" w:firstLine="0"/>
              <w:jc w:val="center"/>
              <w:textAlignment w:val="center"/>
              <w:rPr>
                <w:sz w:val="21"/>
                <w:szCs w:val="21"/>
              </w:rPr>
            </w:pPr>
            <w:r>
              <w:rPr>
                <w:sz w:val="21"/>
                <w:szCs w:val="21"/>
              </w:rPr>
              <w:t>0.296</w:t>
            </w:r>
          </w:p>
        </w:tc>
      </w:tr>
      <w:tr w:rsidR="00DA2501" w:rsidRPr="00381228" w:rsidTr="00B03838">
        <w:trPr>
          <w:trHeight w:val="491"/>
          <w:jc w:val="center"/>
        </w:trPr>
        <w:tc>
          <w:tcPr>
            <w:tcW w:w="354" w:type="pct"/>
            <w:vMerge/>
            <w:vAlign w:val="center"/>
          </w:tcPr>
          <w:p w:rsidR="00DA2501" w:rsidRPr="00381228" w:rsidRDefault="00DA2501" w:rsidP="00DA2501">
            <w:pPr>
              <w:widowControl/>
              <w:ind w:firstLineChars="0" w:firstLine="0"/>
              <w:jc w:val="center"/>
              <w:rPr>
                <w:bCs/>
                <w:sz w:val="21"/>
              </w:rPr>
            </w:pPr>
          </w:p>
        </w:tc>
        <w:tc>
          <w:tcPr>
            <w:tcW w:w="455" w:type="pct"/>
            <w:vMerge/>
            <w:vAlign w:val="center"/>
          </w:tcPr>
          <w:p w:rsidR="00DA2501" w:rsidRPr="00381228" w:rsidRDefault="00DA2501" w:rsidP="00DA2501">
            <w:pPr>
              <w:widowControl/>
              <w:ind w:firstLineChars="0" w:firstLine="0"/>
              <w:jc w:val="center"/>
              <w:rPr>
                <w:bCs/>
                <w:sz w:val="21"/>
              </w:rPr>
            </w:pPr>
          </w:p>
        </w:tc>
        <w:tc>
          <w:tcPr>
            <w:tcW w:w="335" w:type="pct"/>
            <w:vMerge w:val="restart"/>
            <w:vAlign w:val="center"/>
          </w:tcPr>
          <w:p w:rsidR="00DA2501" w:rsidRPr="00381228" w:rsidRDefault="00DA2501" w:rsidP="00DA2501">
            <w:pPr>
              <w:overflowPunct w:val="0"/>
              <w:spacing w:line="360" w:lineRule="exact"/>
              <w:ind w:firstLineChars="0" w:firstLine="0"/>
              <w:jc w:val="center"/>
              <w:rPr>
                <w:sz w:val="21"/>
                <w:szCs w:val="21"/>
              </w:rPr>
            </w:pPr>
            <w:r>
              <w:rPr>
                <w:rFonts w:hint="eastAsia"/>
                <w:sz w:val="21"/>
                <w:szCs w:val="21"/>
              </w:rPr>
              <w:t>污水处理站</w:t>
            </w:r>
          </w:p>
        </w:tc>
        <w:tc>
          <w:tcPr>
            <w:tcW w:w="267" w:type="pct"/>
            <w:vMerge w:val="restart"/>
            <w:vAlign w:val="center"/>
          </w:tcPr>
          <w:p w:rsidR="00DA2501" w:rsidRPr="00381228" w:rsidRDefault="00DA2501" w:rsidP="00DA2501">
            <w:pPr>
              <w:overflowPunct w:val="0"/>
              <w:spacing w:line="360" w:lineRule="exact"/>
              <w:ind w:firstLineChars="0" w:firstLine="0"/>
              <w:jc w:val="center"/>
              <w:rPr>
                <w:sz w:val="21"/>
                <w:szCs w:val="21"/>
              </w:rPr>
            </w:pPr>
            <w:r w:rsidRPr="00381228">
              <w:rPr>
                <w:sz w:val="21"/>
                <w:szCs w:val="21"/>
              </w:rPr>
              <w:t>1802</w:t>
            </w:r>
          </w:p>
        </w:tc>
        <w:tc>
          <w:tcPr>
            <w:tcW w:w="228" w:type="pct"/>
            <w:vMerge w:val="restart"/>
            <w:vAlign w:val="center"/>
          </w:tcPr>
          <w:p w:rsidR="00DA2501" w:rsidRPr="00381228" w:rsidRDefault="00DA2501" w:rsidP="00DA2501">
            <w:pPr>
              <w:overflowPunct w:val="0"/>
              <w:spacing w:line="360" w:lineRule="exact"/>
              <w:ind w:firstLineChars="0" w:firstLine="0"/>
              <w:jc w:val="center"/>
              <w:rPr>
                <w:sz w:val="21"/>
                <w:szCs w:val="21"/>
              </w:rPr>
            </w:pPr>
            <w:r w:rsidRPr="00381228">
              <w:rPr>
                <w:sz w:val="21"/>
                <w:szCs w:val="21"/>
              </w:rPr>
              <w:t>2057</w:t>
            </w:r>
          </w:p>
        </w:tc>
        <w:tc>
          <w:tcPr>
            <w:tcW w:w="363" w:type="pct"/>
            <w:vMerge w:val="restart"/>
            <w:vAlign w:val="center"/>
          </w:tcPr>
          <w:p w:rsidR="00DA2501" w:rsidRPr="00381228" w:rsidRDefault="00DA2501" w:rsidP="00DA2501">
            <w:pPr>
              <w:overflowPunct w:val="0"/>
              <w:spacing w:line="360" w:lineRule="exact"/>
              <w:ind w:firstLineChars="0" w:firstLine="0"/>
              <w:jc w:val="center"/>
              <w:rPr>
                <w:sz w:val="21"/>
                <w:szCs w:val="21"/>
              </w:rPr>
            </w:pPr>
            <w:r>
              <w:rPr>
                <w:sz w:val="21"/>
                <w:szCs w:val="21"/>
              </w:rPr>
              <w:t>16.7</w:t>
            </w:r>
          </w:p>
        </w:tc>
        <w:tc>
          <w:tcPr>
            <w:tcW w:w="296" w:type="pct"/>
            <w:vMerge w:val="restart"/>
            <w:vAlign w:val="center"/>
          </w:tcPr>
          <w:p w:rsidR="00DA2501" w:rsidRPr="00381228" w:rsidRDefault="00DA2501" w:rsidP="00DA2501">
            <w:pPr>
              <w:overflowPunct w:val="0"/>
              <w:spacing w:line="360" w:lineRule="exact"/>
              <w:ind w:firstLineChars="0" w:firstLine="0"/>
              <w:jc w:val="center"/>
              <w:rPr>
                <w:sz w:val="21"/>
                <w:szCs w:val="21"/>
              </w:rPr>
            </w:pPr>
            <w:r>
              <w:rPr>
                <w:sz w:val="21"/>
                <w:szCs w:val="21"/>
              </w:rPr>
              <w:t>20</w:t>
            </w:r>
          </w:p>
        </w:tc>
        <w:tc>
          <w:tcPr>
            <w:tcW w:w="271" w:type="pct"/>
            <w:vMerge w:val="restart"/>
            <w:vAlign w:val="center"/>
          </w:tcPr>
          <w:p w:rsidR="00DA2501" w:rsidRPr="00381228" w:rsidRDefault="00DA2501" w:rsidP="00DA2501">
            <w:pPr>
              <w:overflowPunct w:val="0"/>
              <w:spacing w:line="360" w:lineRule="exact"/>
              <w:ind w:firstLineChars="0" w:firstLine="0"/>
              <w:jc w:val="center"/>
              <w:rPr>
                <w:sz w:val="21"/>
                <w:szCs w:val="21"/>
              </w:rPr>
            </w:pPr>
            <w:r>
              <w:rPr>
                <w:sz w:val="21"/>
                <w:szCs w:val="21"/>
              </w:rPr>
              <w:t>15</w:t>
            </w:r>
          </w:p>
        </w:tc>
        <w:tc>
          <w:tcPr>
            <w:tcW w:w="367" w:type="pct"/>
            <w:vMerge w:val="restart"/>
            <w:vAlign w:val="center"/>
          </w:tcPr>
          <w:p w:rsidR="00DA2501" w:rsidRPr="00381228" w:rsidRDefault="00DA2501" w:rsidP="00DA2501">
            <w:pPr>
              <w:overflowPunct w:val="0"/>
              <w:spacing w:line="360" w:lineRule="exact"/>
              <w:ind w:firstLineChars="0" w:firstLine="0"/>
              <w:jc w:val="center"/>
              <w:rPr>
                <w:sz w:val="21"/>
                <w:szCs w:val="21"/>
              </w:rPr>
            </w:pPr>
            <w:r>
              <w:rPr>
                <w:sz w:val="21"/>
                <w:szCs w:val="21"/>
              </w:rPr>
              <w:t>68</w:t>
            </w:r>
          </w:p>
        </w:tc>
        <w:tc>
          <w:tcPr>
            <w:tcW w:w="441" w:type="pct"/>
            <w:vMerge w:val="restart"/>
            <w:vAlign w:val="center"/>
          </w:tcPr>
          <w:p w:rsidR="00DA2501" w:rsidRPr="00381228" w:rsidRDefault="00DA2501" w:rsidP="00DA2501">
            <w:pPr>
              <w:overflowPunct w:val="0"/>
              <w:spacing w:line="360" w:lineRule="exact"/>
              <w:ind w:firstLineChars="0" w:firstLine="0"/>
              <w:jc w:val="center"/>
              <w:rPr>
                <w:sz w:val="21"/>
                <w:szCs w:val="21"/>
              </w:rPr>
            </w:pPr>
            <w:r>
              <w:rPr>
                <w:sz w:val="21"/>
                <w:szCs w:val="21"/>
              </w:rPr>
              <w:t>5.4</w:t>
            </w:r>
          </w:p>
        </w:tc>
        <w:tc>
          <w:tcPr>
            <w:tcW w:w="358" w:type="pct"/>
            <w:vMerge w:val="restart"/>
            <w:vAlign w:val="center"/>
          </w:tcPr>
          <w:p w:rsidR="00DA2501" w:rsidRPr="00381228" w:rsidRDefault="00DA2501" w:rsidP="00DA2501">
            <w:pPr>
              <w:overflowPunct w:val="0"/>
              <w:spacing w:line="360" w:lineRule="exact"/>
              <w:ind w:firstLineChars="0" w:firstLine="0"/>
              <w:jc w:val="center"/>
              <w:rPr>
                <w:sz w:val="21"/>
                <w:szCs w:val="21"/>
              </w:rPr>
            </w:pPr>
            <w:r w:rsidRPr="00381228">
              <w:rPr>
                <w:sz w:val="21"/>
                <w:szCs w:val="21"/>
              </w:rPr>
              <w:t>7200</w:t>
            </w:r>
          </w:p>
        </w:tc>
        <w:tc>
          <w:tcPr>
            <w:tcW w:w="227" w:type="pct"/>
            <w:vMerge w:val="restart"/>
            <w:vAlign w:val="center"/>
          </w:tcPr>
          <w:p w:rsidR="00DA2501" w:rsidRPr="00381228" w:rsidRDefault="00DA2501" w:rsidP="00DA2501">
            <w:pPr>
              <w:overflowPunct w:val="0"/>
              <w:spacing w:line="360" w:lineRule="exact"/>
              <w:ind w:firstLineChars="0" w:firstLine="0"/>
              <w:jc w:val="center"/>
              <w:rPr>
                <w:sz w:val="21"/>
                <w:szCs w:val="21"/>
              </w:rPr>
            </w:pPr>
            <w:r w:rsidRPr="00381228">
              <w:rPr>
                <w:sz w:val="21"/>
                <w:szCs w:val="21"/>
              </w:rPr>
              <w:t>正常</w:t>
            </w:r>
          </w:p>
        </w:tc>
        <w:tc>
          <w:tcPr>
            <w:tcW w:w="510" w:type="pct"/>
            <w:vAlign w:val="center"/>
          </w:tcPr>
          <w:p w:rsidR="00DA2501" w:rsidRPr="00381228" w:rsidRDefault="00DA2501" w:rsidP="00DA2501">
            <w:pPr>
              <w:overflowPunct w:val="0"/>
              <w:spacing w:line="360" w:lineRule="exact"/>
              <w:ind w:firstLineChars="0" w:firstLine="0"/>
              <w:jc w:val="center"/>
              <w:rPr>
                <w:sz w:val="21"/>
                <w:szCs w:val="21"/>
              </w:rPr>
            </w:pPr>
            <w:r>
              <w:rPr>
                <w:rFonts w:hint="eastAsia"/>
                <w:sz w:val="21"/>
                <w:szCs w:val="21"/>
              </w:rPr>
              <w:t>非甲烷总烃</w:t>
            </w:r>
          </w:p>
        </w:tc>
        <w:tc>
          <w:tcPr>
            <w:tcW w:w="528" w:type="pct"/>
            <w:vAlign w:val="center"/>
          </w:tcPr>
          <w:p w:rsidR="00DA2501" w:rsidRPr="00381228" w:rsidRDefault="00DA2501" w:rsidP="00DA2501">
            <w:pPr>
              <w:overflowPunct w:val="0"/>
              <w:spacing w:line="360" w:lineRule="exact"/>
              <w:ind w:firstLineChars="0" w:firstLine="0"/>
              <w:jc w:val="center"/>
              <w:rPr>
                <w:sz w:val="21"/>
                <w:szCs w:val="21"/>
              </w:rPr>
            </w:pPr>
            <w:r>
              <w:rPr>
                <w:sz w:val="21"/>
                <w:szCs w:val="21"/>
              </w:rPr>
              <w:t>0.0003</w:t>
            </w:r>
          </w:p>
        </w:tc>
      </w:tr>
      <w:tr w:rsidR="00DA2501" w:rsidRPr="00381228" w:rsidTr="00B03838">
        <w:trPr>
          <w:trHeight w:val="491"/>
          <w:jc w:val="center"/>
        </w:trPr>
        <w:tc>
          <w:tcPr>
            <w:tcW w:w="354" w:type="pct"/>
            <w:vMerge/>
            <w:vAlign w:val="center"/>
          </w:tcPr>
          <w:p w:rsidR="00DA2501" w:rsidRPr="00381228" w:rsidRDefault="00DA2501" w:rsidP="00DA2501">
            <w:pPr>
              <w:widowControl/>
              <w:ind w:firstLineChars="0" w:firstLine="0"/>
              <w:jc w:val="center"/>
              <w:rPr>
                <w:bCs/>
                <w:sz w:val="21"/>
              </w:rPr>
            </w:pPr>
          </w:p>
        </w:tc>
        <w:tc>
          <w:tcPr>
            <w:tcW w:w="455" w:type="pct"/>
            <w:vMerge/>
            <w:vAlign w:val="center"/>
          </w:tcPr>
          <w:p w:rsidR="00DA2501" w:rsidRPr="00381228" w:rsidRDefault="00DA2501" w:rsidP="00DA2501">
            <w:pPr>
              <w:widowControl/>
              <w:ind w:firstLineChars="0" w:firstLine="0"/>
              <w:jc w:val="center"/>
              <w:rPr>
                <w:bCs/>
                <w:sz w:val="21"/>
              </w:rPr>
            </w:pPr>
          </w:p>
        </w:tc>
        <w:tc>
          <w:tcPr>
            <w:tcW w:w="335" w:type="pct"/>
            <w:vMerge/>
            <w:vAlign w:val="center"/>
          </w:tcPr>
          <w:p w:rsidR="00DA2501" w:rsidRDefault="00DA2501" w:rsidP="00DA2501">
            <w:pPr>
              <w:overflowPunct w:val="0"/>
              <w:spacing w:line="360" w:lineRule="exact"/>
              <w:ind w:firstLineChars="0" w:firstLine="0"/>
              <w:jc w:val="center"/>
              <w:rPr>
                <w:sz w:val="21"/>
                <w:szCs w:val="21"/>
              </w:rPr>
            </w:pPr>
          </w:p>
        </w:tc>
        <w:tc>
          <w:tcPr>
            <w:tcW w:w="267"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228"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363" w:type="pct"/>
            <w:vMerge/>
            <w:vAlign w:val="center"/>
          </w:tcPr>
          <w:p w:rsidR="00DA2501" w:rsidRDefault="00DA2501" w:rsidP="00DA2501">
            <w:pPr>
              <w:overflowPunct w:val="0"/>
              <w:spacing w:line="360" w:lineRule="exact"/>
              <w:ind w:firstLineChars="0" w:firstLine="0"/>
              <w:jc w:val="center"/>
              <w:rPr>
                <w:sz w:val="21"/>
                <w:szCs w:val="21"/>
              </w:rPr>
            </w:pPr>
          </w:p>
        </w:tc>
        <w:tc>
          <w:tcPr>
            <w:tcW w:w="296" w:type="pct"/>
            <w:vMerge/>
            <w:vAlign w:val="center"/>
          </w:tcPr>
          <w:p w:rsidR="00DA2501" w:rsidRDefault="00DA2501" w:rsidP="00DA2501">
            <w:pPr>
              <w:overflowPunct w:val="0"/>
              <w:spacing w:line="360" w:lineRule="exact"/>
              <w:ind w:firstLineChars="0" w:firstLine="0"/>
              <w:jc w:val="center"/>
              <w:rPr>
                <w:sz w:val="21"/>
                <w:szCs w:val="21"/>
              </w:rPr>
            </w:pPr>
          </w:p>
        </w:tc>
        <w:tc>
          <w:tcPr>
            <w:tcW w:w="271" w:type="pct"/>
            <w:vMerge/>
            <w:vAlign w:val="center"/>
          </w:tcPr>
          <w:p w:rsidR="00DA2501" w:rsidRDefault="00DA2501" w:rsidP="00DA2501">
            <w:pPr>
              <w:overflowPunct w:val="0"/>
              <w:spacing w:line="360" w:lineRule="exact"/>
              <w:ind w:firstLineChars="0" w:firstLine="0"/>
              <w:jc w:val="center"/>
              <w:rPr>
                <w:sz w:val="21"/>
                <w:szCs w:val="21"/>
              </w:rPr>
            </w:pPr>
          </w:p>
        </w:tc>
        <w:tc>
          <w:tcPr>
            <w:tcW w:w="367" w:type="pct"/>
            <w:vMerge/>
            <w:vAlign w:val="center"/>
          </w:tcPr>
          <w:p w:rsidR="00DA2501" w:rsidRDefault="00DA2501" w:rsidP="00DA2501">
            <w:pPr>
              <w:overflowPunct w:val="0"/>
              <w:spacing w:line="360" w:lineRule="exact"/>
              <w:ind w:firstLineChars="0" w:firstLine="0"/>
              <w:jc w:val="center"/>
              <w:rPr>
                <w:sz w:val="21"/>
                <w:szCs w:val="21"/>
              </w:rPr>
            </w:pPr>
          </w:p>
        </w:tc>
        <w:tc>
          <w:tcPr>
            <w:tcW w:w="441" w:type="pct"/>
            <w:vMerge/>
            <w:vAlign w:val="center"/>
          </w:tcPr>
          <w:p w:rsidR="00DA2501" w:rsidRDefault="00DA2501" w:rsidP="00DA2501">
            <w:pPr>
              <w:overflowPunct w:val="0"/>
              <w:spacing w:line="360" w:lineRule="exact"/>
              <w:ind w:firstLineChars="0" w:firstLine="0"/>
              <w:jc w:val="center"/>
              <w:rPr>
                <w:sz w:val="21"/>
                <w:szCs w:val="21"/>
              </w:rPr>
            </w:pPr>
          </w:p>
        </w:tc>
        <w:tc>
          <w:tcPr>
            <w:tcW w:w="358"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227"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510" w:type="pct"/>
            <w:vAlign w:val="center"/>
          </w:tcPr>
          <w:p w:rsidR="00DA2501" w:rsidRPr="00381228" w:rsidRDefault="00DA2501" w:rsidP="00DA2501">
            <w:pPr>
              <w:overflowPunct w:val="0"/>
              <w:spacing w:line="360" w:lineRule="exact"/>
              <w:ind w:firstLineChars="0" w:firstLine="0"/>
              <w:jc w:val="center"/>
              <w:rPr>
                <w:sz w:val="21"/>
                <w:szCs w:val="21"/>
              </w:rPr>
            </w:pPr>
            <w:r>
              <w:rPr>
                <w:rFonts w:hint="eastAsia"/>
                <w:sz w:val="21"/>
                <w:szCs w:val="21"/>
              </w:rPr>
              <w:t>氨</w:t>
            </w:r>
          </w:p>
        </w:tc>
        <w:tc>
          <w:tcPr>
            <w:tcW w:w="528" w:type="pct"/>
            <w:vAlign w:val="center"/>
          </w:tcPr>
          <w:p w:rsidR="00DA2501" w:rsidRPr="00381228" w:rsidRDefault="00DA2501" w:rsidP="00DA2501">
            <w:pPr>
              <w:overflowPunct w:val="0"/>
              <w:spacing w:line="360" w:lineRule="exact"/>
              <w:ind w:firstLineChars="0" w:firstLine="0"/>
              <w:jc w:val="center"/>
              <w:rPr>
                <w:sz w:val="21"/>
                <w:szCs w:val="21"/>
              </w:rPr>
            </w:pPr>
            <w:r>
              <w:rPr>
                <w:rFonts w:hint="eastAsia"/>
                <w:sz w:val="21"/>
                <w:szCs w:val="21"/>
              </w:rPr>
              <w:t>0</w:t>
            </w:r>
            <w:r>
              <w:rPr>
                <w:sz w:val="21"/>
                <w:szCs w:val="21"/>
              </w:rPr>
              <w:t>.0007</w:t>
            </w:r>
          </w:p>
        </w:tc>
      </w:tr>
      <w:tr w:rsidR="00DA2501" w:rsidRPr="00381228" w:rsidTr="00B03838">
        <w:trPr>
          <w:trHeight w:val="491"/>
          <w:jc w:val="center"/>
        </w:trPr>
        <w:tc>
          <w:tcPr>
            <w:tcW w:w="354" w:type="pct"/>
            <w:vMerge/>
            <w:vAlign w:val="center"/>
          </w:tcPr>
          <w:p w:rsidR="00DA2501" w:rsidRPr="00381228" w:rsidRDefault="00DA2501" w:rsidP="00DA2501">
            <w:pPr>
              <w:widowControl/>
              <w:ind w:firstLineChars="0" w:firstLine="0"/>
              <w:jc w:val="center"/>
              <w:rPr>
                <w:bCs/>
                <w:sz w:val="21"/>
              </w:rPr>
            </w:pPr>
          </w:p>
        </w:tc>
        <w:tc>
          <w:tcPr>
            <w:tcW w:w="455" w:type="pct"/>
            <w:vMerge/>
            <w:vAlign w:val="center"/>
          </w:tcPr>
          <w:p w:rsidR="00DA2501" w:rsidRPr="00381228" w:rsidRDefault="00DA2501" w:rsidP="00DA2501">
            <w:pPr>
              <w:widowControl/>
              <w:ind w:firstLineChars="0" w:firstLine="0"/>
              <w:jc w:val="center"/>
              <w:rPr>
                <w:bCs/>
                <w:sz w:val="21"/>
              </w:rPr>
            </w:pPr>
          </w:p>
        </w:tc>
        <w:tc>
          <w:tcPr>
            <w:tcW w:w="335" w:type="pct"/>
            <w:vMerge/>
            <w:vAlign w:val="center"/>
          </w:tcPr>
          <w:p w:rsidR="00DA2501" w:rsidRDefault="00DA2501" w:rsidP="00DA2501">
            <w:pPr>
              <w:overflowPunct w:val="0"/>
              <w:spacing w:line="360" w:lineRule="exact"/>
              <w:ind w:firstLineChars="0" w:firstLine="0"/>
              <w:jc w:val="center"/>
              <w:rPr>
                <w:sz w:val="21"/>
                <w:szCs w:val="21"/>
              </w:rPr>
            </w:pPr>
          </w:p>
        </w:tc>
        <w:tc>
          <w:tcPr>
            <w:tcW w:w="267"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228"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363" w:type="pct"/>
            <w:vMerge/>
            <w:vAlign w:val="center"/>
          </w:tcPr>
          <w:p w:rsidR="00DA2501" w:rsidRDefault="00DA2501" w:rsidP="00DA2501">
            <w:pPr>
              <w:overflowPunct w:val="0"/>
              <w:spacing w:line="360" w:lineRule="exact"/>
              <w:ind w:firstLineChars="0" w:firstLine="0"/>
              <w:jc w:val="center"/>
              <w:rPr>
                <w:sz w:val="21"/>
                <w:szCs w:val="21"/>
              </w:rPr>
            </w:pPr>
          </w:p>
        </w:tc>
        <w:tc>
          <w:tcPr>
            <w:tcW w:w="296" w:type="pct"/>
            <w:vMerge/>
            <w:vAlign w:val="center"/>
          </w:tcPr>
          <w:p w:rsidR="00DA2501" w:rsidRDefault="00DA2501" w:rsidP="00DA2501">
            <w:pPr>
              <w:overflowPunct w:val="0"/>
              <w:spacing w:line="360" w:lineRule="exact"/>
              <w:ind w:firstLineChars="0" w:firstLine="0"/>
              <w:jc w:val="center"/>
              <w:rPr>
                <w:sz w:val="21"/>
                <w:szCs w:val="21"/>
              </w:rPr>
            </w:pPr>
          </w:p>
        </w:tc>
        <w:tc>
          <w:tcPr>
            <w:tcW w:w="271" w:type="pct"/>
            <w:vMerge/>
            <w:vAlign w:val="center"/>
          </w:tcPr>
          <w:p w:rsidR="00DA2501" w:rsidRDefault="00DA2501" w:rsidP="00DA2501">
            <w:pPr>
              <w:overflowPunct w:val="0"/>
              <w:spacing w:line="360" w:lineRule="exact"/>
              <w:ind w:firstLineChars="0" w:firstLine="0"/>
              <w:jc w:val="center"/>
              <w:rPr>
                <w:sz w:val="21"/>
                <w:szCs w:val="21"/>
              </w:rPr>
            </w:pPr>
          </w:p>
        </w:tc>
        <w:tc>
          <w:tcPr>
            <w:tcW w:w="367" w:type="pct"/>
            <w:vMerge/>
            <w:vAlign w:val="center"/>
          </w:tcPr>
          <w:p w:rsidR="00DA2501" w:rsidRDefault="00DA2501" w:rsidP="00DA2501">
            <w:pPr>
              <w:overflowPunct w:val="0"/>
              <w:spacing w:line="360" w:lineRule="exact"/>
              <w:ind w:firstLineChars="0" w:firstLine="0"/>
              <w:jc w:val="center"/>
              <w:rPr>
                <w:sz w:val="21"/>
                <w:szCs w:val="21"/>
              </w:rPr>
            </w:pPr>
          </w:p>
        </w:tc>
        <w:tc>
          <w:tcPr>
            <w:tcW w:w="441" w:type="pct"/>
            <w:vMerge/>
            <w:vAlign w:val="center"/>
          </w:tcPr>
          <w:p w:rsidR="00DA2501" w:rsidRDefault="00DA2501" w:rsidP="00DA2501">
            <w:pPr>
              <w:overflowPunct w:val="0"/>
              <w:spacing w:line="360" w:lineRule="exact"/>
              <w:ind w:firstLineChars="0" w:firstLine="0"/>
              <w:jc w:val="center"/>
              <w:rPr>
                <w:sz w:val="21"/>
                <w:szCs w:val="21"/>
              </w:rPr>
            </w:pPr>
          </w:p>
        </w:tc>
        <w:tc>
          <w:tcPr>
            <w:tcW w:w="358"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227" w:type="pct"/>
            <w:vMerge/>
            <w:vAlign w:val="center"/>
          </w:tcPr>
          <w:p w:rsidR="00DA2501" w:rsidRPr="00381228" w:rsidRDefault="00DA2501" w:rsidP="00DA2501">
            <w:pPr>
              <w:overflowPunct w:val="0"/>
              <w:spacing w:line="360" w:lineRule="exact"/>
              <w:ind w:firstLineChars="0" w:firstLine="0"/>
              <w:jc w:val="center"/>
              <w:rPr>
                <w:sz w:val="21"/>
                <w:szCs w:val="21"/>
              </w:rPr>
            </w:pPr>
          </w:p>
        </w:tc>
        <w:tc>
          <w:tcPr>
            <w:tcW w:w="510" w:type="pct"/>
            <w:vAlign w:val="center"/>
          </w:tcPr>
          <w:p w:rsidR="00DA2501" w:rsidRPr="00381228" w:rsidRDefault="00DA2501" w:rsidP="00DA2501">
            <w:pPr>
              <w:overflowPunct w:val="0"/>
              <w:spacing w:line="360" w:lineRule="exact"/>
              <w:ind w:firstLineChars="0" w:firstLine="0"/>
              <w:jc w:val="center"/>
              <w:rPr>
                <w:sz w:val="21"/>
                <w:szCs w:val="21"/>
              </w:rPr>
            </w:pPr>
            <w:r>
              <w:rPr>
                <w:rFonts w:hint="eastAsia"/>
                <w:sz w:val="21"/>
                <w:szCs w:val="21"/>
              </w:rPr>
              <w:t>硫化氢</w:t>
            </w:r>
          </w:p>
        </w:tc>
        <w:tc>
          <w:tcPr>
            <w:tcW w:w="528" w:type="pct"/>
            <w:vAlign w:val="center"/>
          </w:tcPr>
          <w:p w:rsidR="00DA2501" w:rsidRPr="00381228" w:rsidRDefault="00DA2501" w:rsidP="00DA2501">
            <w:pPr>
              <w:overflowPunct w:val="0"/>
              <w:spacing w:line="360" w:lineRule="exact"/>
              <w:ind w:firstLineChars="0" w:firstLine="0"/>
              <w:jc w:val="center"/>
              <w:rPr>
                <w:sz w:val="21"/>
                <w:szCs w:val="21"/>
              </w:rPr>
            </w:pPr>
            <w:r>
              <w:rPr>
                <w:rFonts w:hint="eastAsia"/>
                <w:sz w:val="21"/>
                <w:szCs w:val="21"/>
              </w:rPr>
              <w:t>0</w:t>
            </w:r>
            <w:r>
              <w:rPr>
                <w:sz w:val="21"/>
                <w:szCs w:val="21"/>
              </w:rPr>
              <w:t>.0001</w:t>
            </w:r>
          </w:p>
        </w:tc>
      </w:tr>
      <w:tr w:rsidR="00D64D0E" w:rsidRPr="00381228" w:rsidTr="00B03838">
        <w:trPr>
          <w:trHeight w:val="1266"/>
          <w:jc w:val="center"/>
        </w:trPr>
        <w:tc>
          <w:tcPr>
            <w:tcW w:w="354" w:type="pct"/>
            <w:vMerge w:val="restart"/>
            <w:vAlign w:val="center"/>
          </w:tcPr>
          <w:p w:rsidR="00D64D0E" w:rsidRPr="00381228" w:rsidRDefault="00D64D0E" w:rsidP="00D64D0E">
            <w:pPr>
              <w:widowControl/>
              <w:ind w:firstLineChars="0" w:firstLine="0"/>
              <w:jc w:val="center"/>
              <w:rPr>
                <w:bCs/>
                <w:sz w:val="21"/>
              </w:rPr>
            </w:pPr>
            <w:r w:rsidRPr="00381228">
              <w:rPr>
                <w:bCs/>
                <w:sz w:val="21"/>
              </w:rPr>
              <w:lastRenderedPageBreak/>
              <w:t>蚌埠市圣光化工有限公司</w:t>
            </w:r>
          </w:p>
        </w:tc>
        <w:tc>
          <w:tcPr>
            <w:tcW w:w="455" w:type="pct"/>
            <w:vMerge w:val="restart"/>
            <w:vAlign w:val="center"/>
          </w:tcPr>
          <w:p w:rsidR="00D64D0E" w:rsidRPr="00381228" w:rsidRDefault="00D64D0E" w:rsidP="00D64D0E">
            <w:pPr>
              <w:widowControl/>
              <w:ind w:firstLineChars="0" w:firstLine="0"/>
              <w:jc w:val="center"/>
              <w:rPr>
                <w:bCs/>
                <w:sz w:val="21"/>
              </w:rPr>
            </w:pPr>
            <w:r w:rsidRPr="00381228">
              <w:rPr>
                <w:bCs/>
                <w:sz w:val="21"/>
              </w:rPr>
              <w:t>年产</w:t>
            </w:r>
            <w:r w:rsidRPr="00381228">
              <w:rPr>
                <w:bCs/>
                <w:sz w:val="21"/>
              </w:rPr>
              <w:t>5</w:t>
            </w:r>
            <w:r w:rsidRPr="00381228">
              <w:rPr>
                <w:bCs/>
                <w:sz w:val="21"/>
              </w:rPr>
              <w:t>万吨七水硫酸镁、</w:t>
            </w:r>
            <w:r w:rsidRPr="00381228">
              <w:rPr>
                <w:bCs/>
                <w:sz w:val="21"/>
              </w:rPr>
              <w:t>1</w:t>
            </w:r>
            <w:r w:rsidRPr="00381228">
              <w:rPr>
                <w:bCs/>
                <w:sz w:val="21"/>
              </w:rPr>
              <w:t>万吨无水硫酸镁及</w:t>
            </w:r>
            <w:r w:rsidRPr="00381228">
              <w:rPr>
                <w:bCs/>
                <w:sz w:val="21"/>
              </w:rPr>
              <w:t>2</w:t>
            </w:r>
            <w:r w:rsidRPr="00381228">
              <w:rPr>
                <w:bCs/>
                <w:sz w:val="21"/>
              </w:rPr>
              <w:t>万吨三水醋酸钠项目</w:t>
            </w:r>
          </w:p>
        </w:tc>
        <w:tc>
          <w:tcPr>
            <w:tcW w:w="335" w:type="pct"/>
            <w:vMerge w:val="restar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生产车间</w:t>
            </w:r>
          </w:p>
        </w:tc>
        <w:tc>
          <w:tcPr>
            <w:tcW w:w="267" w:type="pct"/>
            <w:vMerge w:val="restar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3</w:t>
            </w:r>
            <w:r w:rsidRPr="00381228">
              <w:rPr>
                <w:color w:val="000000"/>
                <w:spacing w:val="-2"/>
                <w:kern w:val="0"/>
                <w:sz w:val="21"/>
                <w:szCs w:val="21"/>
                <w:lang w:bidi="ar"/>
              </w:rPr>
              <w:t>0</w:t>
            </w:r>
          </w:p>
        </w:tc>
        <w:tc>
          <w:tcPr>
            <w:tcW w:w="228" w:type="pct"/>
            <w:vMerge w:val="restar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sidRPr="00381228">
              <w:rPr>
                <w:color w:val="000000"/>
                <w:spacing w:val="-2"/>
                <w:kern w:val="0"/>
                <w:sz w:val="21"/>
                <w:szCs w:val="21"/>
                <w:lang w:bidi="ar"/>
              </w:rPr>
              <w:t>409</w:t>
            </w:r>
          </w:p>
        </w:tc>
        <w:tc>
          <w:tcPr>
            <w:tcW w:w="363" w:type="pct"/>
            <w:vMerge w:val="restar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17.4</w:t>
            </w:r>
          </w:p>
        </w:tc>
        <w:tc>
          <w:tcPr>
            <w:tcW w:w="296" w:type="pct"/>
            <w:vMerge w:val="restar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51</w:t>
            </w:r>
          </w:p>
        </w:tc>
        <w:tc>
          <w:tcPr>
            <w:tcW w:w="271" w:type="pct"/>
            <w:vMerge w:val="restar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24</w:t>
            </w:r>
          </w:p>
        </w:tc>
        <w:tc>
          <w:tcPr>
            <w:tcW w:w="367" w:type="pct"/>
            <w:vMerge w:val="restar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15</w:t>
            </w:r>
          </w:p>
        </w:tc>
        <w:tc>
          <w:tcPr>
            <w:tcW w:w="441" w:type="pct"/>
            <w:vMerge w:val="restar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8</w:t>
            </w:r>
          </w:p>
        </w:tc>
        <w:tc>
          <w:tcPr>
            <w:tcW w:w="358" w:type="pct"/>
            <w:vMerge w:val="restar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7</w:t>
            </w:r>
            <w:r w:rsidRPr="00381228">
              <w:rPr>
                <w:color w:val="000000"/>
                <w:spacing w:val="-2"/>
                <w:kern w:val="0"/>
                <w:sz w:val="21"/>
                <w:szCs w:val="21"/>
                <w:lang w:bidi="ar"/>
              </w:rPr>
              <w:t>200</w:t>
            </w:r>
          </w:p>
        </w:tc>
        <w:tc>
          <w:tcPr>
            <w:tcW w:w="227" w:type="pct"/>
            <w:vMerge w:val="restar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正常</w:t>
            </w:r>
          </w:p>
        </w:tc>
        <w:tc>
          <w:tcPr>
            <w:tcW w:w="510" w:type="pct"/>
            <w:vAlign w:val="center"/>
          </w:tcPr>
          <w:p w:rsidR="00D64D0E" w:rsidRPr="00381228" w:rsidRDefault="00D64D0E" w:rsidP="00D64D0E">
            <w:pPr>
              <w:widowControl/>
              <w:spacing w:line="360" w:lineRule="exact"/>
              <w:ind w:firstLineChars="0" w:firstLine="0"/>
              <w:jc w:val="center"/>
              <w:textAlignment w:val="center"/>
              <w:rPr>
                <w:sz w:val="21"/>
                <w:szCs w:val="21"/>
              </w:rPr>
            </w:pPr>
            <w:r w:rsidRPr="00381228">
              <w:rPr>
                <w:sz w:val="21"/>
                <w:szCs w:val="21"/>
              </w:rPr>
              <w:t>TSP</w:t>
            </w:r>
          </w:p>
        </w:tc>
        <w:tc>
          <w:tcPr>
            <w:tcW w:w="528" w:type="pct"/>
            <w:vAlign w:val="center"/>
          </w:tcPr>
          <w:p w:rsidR="00D64D0E" w:rsidRPr="00381228" w:rsidRDefault="00D64D0E" w:rsidP="00D64D0E">
            <w:pPr>
              <w:widowControl/>
              <w:spacing w:line="360" w:lineRule="exact"/>
              <w:ind w:firstLineChars="0" w:firstLine="0"/>
              <w:jc w:val="center"/>
              <w:textAlignment w:val="center"/>
              <w:rPr>
                <w:sz w:val="21"/>
                <w:szCs w:val="21"/>
              </w:rPr>
            </w:pPr>
            <w:r>
              <w:rPr>
                <w:sz w:val="21"/>
                <w:szCs w:val="21"/>
              </w:rPr>
              <w:t>0.053</w:t>
            </w:r>
          </w:p>
        </w:tc>
      </w:tr>
      <w:tr w:rsidR="00D64D0E" w:rsidRPr="00381228" w:rsidTr="00B03838">
        <w:trPr>
          <w:trHeight w:val="402"/>
          <w:jc w:val="center"/>
        </w:trPr>
        <w:tc>
          <w:tcPr>
            <w:tcW w:w="354" w:type="pct"/>
            <w:vMerge/>
            <w:vAlign w:val="center"/>
          </w:tcPr>
          <w:p w:rsidR="00D64D0E" w:rsidRPr="00381228" w:rsidRDefault="00D64D0E" w:rsidP="00D64D0E">
            <w:pPr>
              <w:widowControl/>
              <w:ind w:firstLineChars="0" w:firstLine="0"/>
              <w:jc w:val="center"/>
              <w:rPr>
                <w:bCs/>
                <w:sz w:val="21"/>
              </w:rPr>
            </w:pPr>
          </w:p>
        </w:tc>
        <w:tc>
          <w:tcPr>
            <w:tcW w:w="455" w:type="pct"/>
            <w:vMerge/>
            <w:vAlign w:val="center"/>
          </w:tcPr>
          <w:p w:rsidR="00D64D0E" w:rsidRPr="00381228" w:rsidRDefault="00D64D0E" w:rsidP="00D64D0E">
            <w:pPr>
              <w:widowControl/>
              <w:ind w:firstLineChars="0" w:firstLine="0"/>
              <w:jc w:val="center"/>
              <w:rPr>
                <w:bCs/>
                <w:sz w:val="21"/>
              </w:rPr>
            </w:pPr>
          </w:p>
        </w:tc>
        <w:tc>
          <w:tcPr>
            <w:tcW w:w="335" w:type="pct"/>
            <w:vMerge/>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p>
        </w:tc>
        <w:tc>
          <w:tcPr>
            <w:tcW w:w="267" w:type="pct"/>
            <w:vMerge/>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p>
        </w:tc>
        <w:tc>
          <w:tcPr>
            <w:tcW w:w="228" w:type="pct"/>
            <w:vMerge/>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p>
        </w:tc>
        <w:tc>
          <w:tcPr>
            <w:tcW w:w="363" w:type="pct"/>
            <w:vMerge/>
            <w:vAlign w:val="center"/>
          </w:tcPr>
          <w:p w:rsidR="00D64D0E" w:rsidRDefault="00D64D0E" w:rsidP="00D64D0E">
            <w:pPr>
              <w:widowControl/>
              <w:spacing w:line="360" w:lineRule="exact"/>
              <w:ind w:firstLineChars="0" w:firstLine="0"/>
              <w:jc w:val="center"/>
              <w:textAlignment w:val="center"/>
              <w:rPr>
                <w:color w:val="000000"/>
                <w:spacing w:val="-2"/>
                <w:kern w:val="0"/>
                <w:sz w:val="21"/>
                <w:szCs w:val="21"/>
                <w:lang w:bidi="ar"/>
              </w:rPr>
            </w:pPr>
          </w:p>
        </w:tc>
        <w:tc>
          <w:tcPr>
            <w:tcW w:w="296" w:type="pct"/>
            <w:vMerge/>
            <w:vAlign w:val="center"/>
          </w:tcPr>
          <w:p w:rsidR="00D64D0E" w:rsidRDefault="00D64D0E" w:rsidP="00D64D0E">
            <w:pPr>
              <w:widowControl/>
              <w:spacing w:line="360" w:lineRule="exact"/>
              <w:ind w:firstLineChars="0" w:firstLine="0"/>
              <w:jc w:val="center"/>
              <w:textAlignment w:val="center"/>
              <w:rPr>
                <w:color w:val="000000"/>
                <w:spacing w:val="-2"/>
                <w:kern w:val="0"/>
                <w:sz w:val="21"/>
                <w:szCs w:val="21"/>
                <w:lang w:bidi="ar"/>
              </w:rPr>
            </w:pPr>
          </w:p>
        </w:tc>
        <w:tc>
          <w:tcPr>
            <w:tcW w:w="271" w:type="pct"/>
            <w:vMerge/>
            <w:vAlign w:val="center"/>
          </w:tcPr>
          <w:p w:rsidR="00D64D0E" w:rsidRDefault="00D64D0E" w:rsidP="00D64D0E">
            <w:pPr>
              <w:widowControl/>
              <w:spacing w:line="360" w:lineRule="exact"/>
              <w:ind w:firstLineChars="0" w:firstLine="0"/>
              <w:jc w:val="center"/>
              <w:textAlignment w:val="center"/>
              <w:rPr>
                <w:color w:val="000000"/>
                <w:spacing w:val="-2"/>
                <w:kern w:val="0"/>
                <w:sz w:val="21"/>
                <w:szCs w:val="21"/>
                <w:lang w:bidi="ar"/>
              </w:rPr>
            </w:pPr>
          </w:p>
        </w:tc>
        <w:tc>
          <w:tcPr>
            <w:tcW w:w="367" w:type="pct"/>
            <w:vMerge/>
            <w:vAlign w:val="center"/>
          </w:tcPr>
          <w:p w:rsidR="00D64D0E" w:rsidRDefault="00D64D0E" w:rsidP="00D64D0E">
            <w:pPr>
              <w:widowControl/>
              <w:spacing w:line="360" w:lineRule="exact"/>
              <w:ind w:firstLineChars="0" w:firstLine="0"/>
              <w:jc w:val="center"/>
              <w:textAlignment w:val="center"/>
              <w:rPr>
                <w:color w:val="000000"/>
                <w:spacing w:val="-2"/>
                <w:kern w:val="0"/>
                <w:sz w:val="21"/>
                <w:szCs w:val="21"/>
                <w:lang w:bidi="ar"/>
              </w:rPr>
            </w:pPr>
          </w:p>
        </w:tc>
        <w:tc>
          <w:tcPr>
            <w:tcW w:w="441" w:type="pct"/>
            <w:vMerge/>
            <w:vAlign w:val="center"/>
          </w:tcPr>
          <w:p w:rsidR="00D64D0E" w:rsidRDefault="00D64D0E" w:rsidP="00D64D0E">
            <w:pPr>
              <w:widowControl/>
              <w:spacing w:line="360" w:lineRule="exact"/>
              <w:ind w:firstLineChars="0" w:firstLine="0"/>
              <w:jc w:val="center"/>
              <w:textAlignment w:val="center"/>
              <w:rPr>
                <w:color w:val="000000"/>
                <w:spacing w:val="-2"/>
                <w:kern w:val="0"/>
                <w:sz w:val="21"/>
                <w:szCs w:val="21"/>
                <w:lang w:bidi="ar"/>
              </w:rPr>
            </w:pPr>
          </w:p>
        </w:tc>
        <w:tc>
          <w:tcPr>
            <w:tcW w:w="358" w:type="pct"/>
            <w:vMerge/>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p>
        </w:tc>
        <w:tc>
          <w:tcPr>
            <w:tcW w:w="227" w:type="pct"/>
            <w:vMerge/>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p>
        </w:tc>
        <w:tc>
          <w:tcPr>
            <w:tcW w:w="510" w:type="pct"/>
            <w:vAlign w:val="center"/>
          </w:tcPr>
          <w:p w:rsidR="00D64D0E" w:rsidRPr="00381228" w:rsidRDefault="00D64D0E" w:rsidP="00D64D0E">
            <w:pPr>
              <w:widowControl/>
              <w:spacing w:line="360" w:lineRule="exact"/>
              <w:ind w:firstLineChars="0" w:firstLine="0"/>
              <w:jc w:val="center"/>
              <w:textAlignment w:val="center"/>
              <w:rPr>
                <w:sz w:val="21"/>
                <w:szCs w:val="21"/>
              </w:rPr>
            </w:pPr>
            <w:r>
              <w:rPr>
                <w:rFonts w:hint="eastAsia"/>
                <w:sz w:val="21"/>
                <w:szCs w:val="21"/>
              </w:rPr>
              <w:t>非甲烷总烃</w:t>
            </w:r>
          </w:p>
        </w:tc>
        <w:tc>
          <w:tcPr>
            <w:tcW w:w="528" w:type="pct"/>
            <w:vAlign w:val="center"/>
          </w:tcPr>
          <w:p w:rsidR="00D64D0E" w:rsidRPr="00381228" w:rsidRDefault="00D64D0E" w:rsidP="00D64D0E">
            <w:pPr>
              <w:widowControl/>
              <w:spacing w:line="360" w:lineRule="exact"/>
              <w:ind w:firstLineChars="0" w:firstLine="0"/>
              <w:jc w:val="center"/>
              <w:textAlignment w:val="center"/>
              <w:rPr>
                <w:sz w:val="21"/>
                <w:szCs w:val="21"/>
              </w:rPr>
            </w:pPr>
            <w:r>
              <w:rPr>
                <w:rFonts w:hint="eastAsia"/>
                <w:sz w:val="21"/>
                <w:szCs w:val="21"/>
              </w:rPr>
              <w:t>0.</w:t>
            </w:r>
            <w:r>
              <w:rPr>
                <w:sz w:val="21"/>
                <w:szCs w:val="21"/>
              </w:rPr>
              <w:t>013</w:t>
            </w:r>
          </w:p>
        </w:tc>
      </w:tr>
      <w:tr w:rsidR="00D64D0E" w:rsidRPr="00381228" w:rsidTr="00B03838">
        <w:trPr>
          <w:trHeight w:val="369"/>
          <w:jc w:val="center"/>
        </w:trPr>
        <w:tc>
          <w:tcPr>
            <w:tcW w:w="354" w:type="pct"/>
            <w:vMerge w:val="restart"/>
            <w:vAlign w:val="center"/>
          </w:tcPr>
          <w:p w:rsidR="00D64D0E" w:rsidRPr="00381228" w:rsidRDefault="00D64D0E" w:rsidP="00D64D0E">
            <w:pPr>
              <w:widowControl/>
              <w:ind w:firstLineChars="0" w:firstLine="0"/>
              <w:jc w:val="center"/>
              <w:rPr>
                <w:bCs/>
                <w:sz w:val="21"/>
              </w:rPr>
            </w:pPr>
            <w:r w:rsidRPr="00381228">
              <w:rPr>
                <w:bCs/>
                <w:sz w:val="21"/>
              </w:rPr>
              <w:t>蚌埠阿迪亚新材料有限公司</w:t>
            </w:r>
          </w:p>
        </w:tc>
        <w:tc>
          <w:tcPr>
            <w:tcW w:w="455" w:type="pct"/>
            <w:vMerge w:val="restart"/>
            <w:vAlign w:val="center"/>
          </w:tcPr>
          <w:p w:rsidR="00D64D0E" w:rsidRPr="00381228" w:rsidRDefault="00D64D0E" w:rsidP="00D64D0E">
            <w:pPr>
              <w:widowControl/>
              <w:ind w:firstLineChars="0" w:firstLine="0"/>
              <w:jc w:val="center"/>
              <w:rPr>
                <w:bCs/>
                <w:sz w:val="21"/>
              </w:rPr>
            </w:pPr>
            <w:r w:rsidRPr="00381228">
              <w:rPr>
                <w:bCs/>
                <w:sz w:val="21"/>
              </w:rPr>
              <w:t>年产</w:t>
            </w:r>
            <w:r w:rsidRPr="00381228">
              <w:rPr>
                <w:bCs/>
                <w:sz w:val="21"/>
              </w:rPr>
              <w:t>5000</w:t>
            </w:r>
            <w:r w:rsidRPr="00381228">
              <w:rPr>
                <w:bCs/>
                <w:sz w:val="21"/>
              </w:rPr>
              <w:t>吨水性封闭聚异氰酸酯项目</w:t>
            </w:r>
          </w:p>
        </w:tc>
        <w:tc>
          <w:tcPr>
            <w:tcW w:w="335"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生产车间</w:t>
            </w:r>
          </w:p>
        </w:tc>
        <w:tc>
          <w:tcPr>
            <w:tcW w:w="267"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3</w:t>
            </w:r>
            <w:r w:rsidRPr="00381228">
              <w:rPr>
                <w:color w:val="000000"/>
                <w:spacing w:val="-2"/>
                <w:kern w:val="0"/>
                <w:sz w:val="21"/>
                <w:szCs w:val="21"/>
                <w:lang w:bidi="ar"/>
              </w:rPr>
              <w:t>3</w:t>
            </w:r>
          </w:p>
        </w:tc>
        <w:tc>
          <w:tcPr>
            <w:tcW w:w="228"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2</w:t>
            </w:r>
            <w:r w:rsidRPr="00381228">
              <w:rPr>
                <w:color w:val="000000"/>
                <w:spacing w:val="-2"/>
                <w:kern w:val="0"/>
                <w:sz w:val="21"/>
                <w:szCs w:val="21"/>
                <w:lang w:bidi="ar"/>
              </w:rPr>
              <w:t>36</w:t>
            </w:r>
          </w:p>
        </w:tc>
        <w:tc>
          <w:tcPr>
            <w:tcW w:w="363"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17</w:t>
            </w:r>
          </w:p>
        </w:tc>
        <w:tc>
          <w:tcPr>
            <w:tcW w:w="296"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kern w:val="0"/>
                <w:sz w:val="21"/>
                <w:szCs w:val="21"/>
              </w:rPr>
              <w:t>40</w:t>
            </w:r>
          </w:p>
        </w:tc>
        <w:tc>
          <w:tcPr>
            <w:tcW w:w="271"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kern w:val="0"/>
                <w:sz w:val="21"/>
                <w:szCs w:val="21"/>
              </w:rPr>
              <w:t>25</w:t>
            </w:r>
          </w:p>
        </w:tc>
        <w:tc>
          <w:tcPr>
            <w:tcW w:w="367"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0</w:t>
            </w:r>
          </w:p>
        </w:tc>
        <w:tc>
          <w:tcPr>
            <w:tcW w:w="441"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kern w:val="0"/>
                <w:sz w:val="21"/>
                <w:szCs w:val="21"/>
              </w:rPr>
              <w:t>12</w:t>
            </w:r>
          </w:p>
        </w:tc>
        <w:tc>
          <w:tcPr>
            <w:tcW w:w="358"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27</w:t>
            </w:r>
            <w:r w:rsidRPr="00381228">
              <w:rPr>
                <w:color w:val="000000"/>
                <w:spacing w:val="-2"/>
                <w:kern w:val="0"/>
                <w:sz w:val="21"/>
                <w:szCs w:val="21"/>
                <w:lang w:bidi="ar"/>
              </w:rPr>
              <w:t>00</w:t>
            </w:r>
          </w:p>
        </w:tc>
        <w:tc>
          <w:tcPr>
            <w:tcW w:w="227"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正常</w:t>
            </w:r>
          </w:p>
        </w:tc>
        <w:tc>
          <w:tcPr>
            <w:tcW w:w="510" w:type="pct"/>
            <w:vAlign w:val="center"/>
          </w:tcPr>
          <w:p w:rsidR="00D64D0E" w:rsidRPr="00381228" w:rsidRDefault="00D64D0E" w:rsidP="00D64D0E">
            <w:pPr>
              <w:widowControl/>
              <w:spacing w:line="360" w:lineRule="exact"/>
              <w:ind w:firstLineChars="0" w:firstLine="0"/>
              <w:jc w:val="center"/>
              <w:textAlignment w:val="center"/>
              <w:rPr>
                <w:sz w:val="21"/>
                <w:szCs w:val="21"/>
              </w:rPr>
            </w:pPr>
            <w:r>
              <w:rPr>
                <w:rFonts w:hint="eastAsia"/>
                <w:sz w:val="21"/>
                <w:szCs w:val="21"/>
              </w:rPr>
              <w:t>非甲烷总烃</w:t>
            </w:r>
          </w:p>
        </w:tc>
        <w:tc>
          <w:tcPr>
            <w:tcW w:w="528" w:type="pct"/>
            <w:vAlign w:val="center"/>
          </w:tcPr>
          <w:p w:rsidR="00D64D0E" w:rsidRPr="00381228" w:rsidRDefault="00D64D0E" w:rsidP="00D64D0E">
            <w:pPr>
              <w:widowControl/>
              <w:spacing w:line="360" w:lineRule="exact"/>
              <w:ind w:firstLineChars="0" w:firstLine="0"/>
              <w:jc w:val="center"/>
              <w:textAlignment w:val="center"/>
              <w:rPr>
                <w:sz w:val="21"/>
                <w:szCs w:val="21"/>
              </w:rPr>
            </w:pPr>
            <w:r>
              <w:rPr>
                <w:rFonts w:hint="eastAsia"/>
                <w:sz w:val="21"/>
                <w:szCs w:val="21"/>
              </w:rPr>
              <w:t>0.</w:t>
            </w:r>
            <w:r>
              <w:rPr>
                <w:sz w:val="21"/>
                <w:szCs w:val="21"/>
              </w:rPr>
              <w:t>259</w:t>
            </w:r>
          </w:p>
        </w:tc>
      </w:tr>
      <w:tr w:rsidR="00D64D0E" w:rsidRPr="00381228" w:rsidTr="00B03838">
        <w:trPr>
          <w:trHeight w:val="369"/>
          <w:jc w:val="center"/>
        </w:trPr>
        <w:tc>
          <w:tcPr>
            <w:tcW w:w="354" w:type="pct"/>
            <w:vMerge/>
            <w:vAlign w:val="center"/>
          </w:tcPr>
          <w:p w:rsidR="00D64D0E" w:rsidRPr="00381228" w:rsidRDefault="00D64D0E" w:rsidP="00D64D0E">
            <w:pPr>
              <w:widowControl/>
              <w:ind w:firstLineChars="0" w:firstLine="0"/>
              <w:jc w:val="center"/>
              <w:rPr>
                <w:bCs/>
                <w:sz w:val="21"/>
              </w:rPr>
            </w:pPr>
          </w:p>
        </w:tc>
        <w:tc>
          <w:tcPr>
            <w:tcW w:w="455" w:type="pct"/>
            <w:vMerge/>
            <w:vAlign w:val="center"/>
          </w:tcPr>
          <w:p w:rsidR="00D64D0E" w:rsidRPr="00381228" w:rsidRDefault="00D64D0E" w:rsidP="00D64D0E">
            <w:pPr>
              <w:widowControl/>
              <w:ind w:firstLineChars="0" w:firstLine="0"/>
              <w:jc w:val="center"/>
              <w:rPr>
                <w:bCs/>
                <w:sz w:val="21"/>
              </w:rPr>
            </w:pPr>
          </w:p>
        </w:tc>
        <w:tc>
          <w:tcPr>
            <w:tcW w:w="335"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rFonts w:hint="eastAsia"/>
                <w:sz w:val="21"/>
                <w:szCs w:val="21"/>
              </w:rPr>
              <w:t>危废库</w:t>
            </w:r>
          </w:p>
        </w:tc>
        <w:tc>
          <w:tcPr>
            <w:tcW w:w="267"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3</w:t>
            </w:r>
            <w:r w:rsidRPr="00381228">
              <w:rPr>
                <w:color w:val="000000"/>
                <w:spacing w:val="-2"/>
                <w:kern w:val="0"/>
                <w:sz w:val="21"/>
                <w:szCs w:val="21"/>
                <w:lang w:bidi="ar"/>
              </w:rPr>
              <w:t>3</w:t>
            </w:r>
          </w:p>
        </w:tc>
        <w:tc>
          <w:tcPr>
            <w:tcW w:w="228"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2</w:t>
            </w:r>
            <w:r w:rsidRPr="00381228">
              <w:rPr>
                <w:color w:val="000000"/>
                <w:spacing w:val="-2"/>
                <w:kern w:val="0"/>
                <w:sz w:val="21"/>
                <w:szCs w:val="21"/>
                <w:lang w:bidi="ar"/>
              </w:rPr>
              <w:t>36</w:t>
            </w:r>
          </w:p>
        </w:tc>
        <w:tc>
          <w:tcPr>
            <w:tcW w:w="363"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17</w:t>
            </w:r>
          </w:p>
        </w:tc>
        <w:tc>
          <w:tcPr>
            <w:tcW w:w="296"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kern w:val="0"/>
                <w:sz w:val="21"/>
                <w:szCs w:val="21"/>
              </w:rPr>
              <w:t>8</w:t>
            </w:r>
          </w:p>
        </w:tc>
        <w:tc>
          <w:tcPr>
            <w:tcW w:w="271"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kern w:val="0"/>
                <w:sz w:val="21"/>
                <w:szCs w:val="21"/>
              </w:rPr>
              <w:t>6</w:t>
            </w:r>
          </w:p>
        </w:tc>
        <w:tc>
          <w:tcPr>
            <w:tcW w:w="367"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0</w:t>
            </w:r>
          </w:p>
        </w:tc>
        <w:tc>
          <w:tcPr>
            <w:tcW w:w="441"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kern w:val="0"/>
                <w:sz w:val="21"/>
                <w:szCs w:val="21"/>
              </w:rPr>
              <w:t>10.7</w:t>
            </w:r>
          </w:p>
        </w:tc>
        <w:tc>
          <w:tcPr>
            <w:tcW w:w="358"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72</w:t>
            </w:r>
            <w:r w:rsidRPr="00381228">
              <w:rPr>
                <w:color w:val="000000"/>
                <w:spacing w:val="-2"/>
                <w:kern w:val="0"/>
                <w:sz w:val="21"/>
                <w:szCs w:val="21"/>
                <w:lang w:bidi="ar"/>
              </w:rPr>
              <w:t>00</w:t>
            </w:r>
          </w:p>
        </w:tc>
        <w:tc>
          <w:tcPr>
            <w:tcW w:w="227" w:type="pct"/>
            <w:vAlign w:val="center"/>
          </w:tcPr>
          <w:p w:rsidR="00D64D0E" w:rsidRPr="00381228" w:rsidRDefault="00D64D0E" w:rsidP="00D64D0E">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正常</w:t>
            </w:r>
          </w:p>
        </w:tc>
        <w:tc>
          <w:tcPr>
            <w:tcW w:w="510" w:type="pct"/>
            <w:vAlign w:val="center"/>
          </w:tcPr>
          <w:p w:rsidR="00D64D0E" w:rsidRPr="00381228" w:rsidRDefault="00D64D0E" w:rsidP="00D64D0E">
            <w:pPr>
              <w:widowControl/>
              <w:spacing w:line="360" w:lineRule="exact"/>
              <w:ind w:firstLineChars="0" w:firstLine="0"/>
              <w:jc w:val="center"/>
              <w:textAlignment w:val="center"/>
              <w:rPr>
                <w:sz w:val="21"/>
                <w:szCs w:val="21"/>
              </w:rPr>
            </w:pPr>
            <w:r>
              <w:rPr>
                <w:rFonts w:hint="eastAsia"/>
                <w:sz w:val="21"/>
                <w:szCs w:val="21"/>
              </w:rPr>
              <w:t>非甲烷总烃</w:t>
            </w:r>
          </w:p>
        </w:tc>
        <w:tc>
          <w:tcPr>
            <w:tcW w:w="528" w:type="pct"/>
            <w:vAlign w:val="center"/>
          </w:tcPr>
          <w:p w:rsidR="00D64D0E" w:rsidRPr="00381228" w:rsidRDefault="00D64D0E" w:rsidP="00D64D0E">
            <w:pPr>
              <w:widowControl/>
              <w:spacing w:line="360" w:lineRule="exact"/>
              <w:ind w:firstLineChars="0" w:firstLine="0"/>
              <w:jc w:val="center"/>
              <w:textAlignment w:val="center"/>
              <w:rPr>
                <w:sz w:val="21"/>
                <w:szCs w:val="21"/>
              </w:rPr>
            </w:pPr>
            <w:r>
              <w:rPr>
                <w:rFonts w:hint="eastAsia"/>
                <w:sz w:val="21"/>
                <w:szCs w:val="21"/>
              </w:rPr>
              <w:t>0.</w:t>
            </w:r>
            <w:r>
              <w:rPr>
                <w:sz w:val="21"/>
                <w:szCs w:val="21"/>
              </w:rPr>
              <w:t>003</w:t>
            </w:r>
          </w:p>
        </w:tc>
      </w:tr>
      <w:tr w:rsidR="0098622F" w:rsidRPr="00381228" w:rsidTr="00B03838">
        <w:trPr>
          <w:trHeight w:val="402"/>
          <w:jc w:val="center"/>
        </w:trPr>
        <w:tc>
          <w:tcPr>
            <w:tcW w:w="354" w:type="pct"/>
            <w:vMerge w:val="restart"/>
            <w:vAlign w:val="center"/>
          </w:tcPr>
          <w:p w:rsidR="0098622F" w:rsidRPr="00381228" w:rsidRDefault="0098622F" w:rsidP="00B03838">
            <w:pPr>
              <w:widowControl/>
              <w:ind w:firstLineChars="0" w:firstLine="0"/>
              <w:jc w:val="center"/>
              <w:rPr>
                <w:bCs/>
                <w:sz w:val="21"/>
              </w:rPr>
            </w:pPr>
            <w:r w:rsidRPr="00381228">
              <w:rPr>
                <w:bCs/>
                <w:sz w:val="21"/>
              </w:rPr>
              <w:t>安徽天润化学工业股份有限公司</w:t>
            </w:r>
          </w:p>
        </w:tc>
        <w:tc>
          <w:tcPr>
            <w:tcW w:w="455" w:type="pct"/>
            <w:vMerge w:val="restart"/>
            <w:vAlign w:val="center"/>
          </w:tcPr>
          <w:p w:rsidR="0098622F" w:rsidRPr="00381228" w:rsidRDefault="0098622F" w:rsidP="00B03838">
            <w:pPr>
              <w:widowControl/>
              <w:ind w:firstLineChars="0" w:firstLine="0"/>
              <w:jc w:val="center"/>
              <w:rPr>
                <w:bCs/>
                <w:sz w:val="21"/>
              </w:rPr>
            </w:pPr>
            <w:r w:rsidRPr="00381228">
              <w:rPr>
                <w:bCs/>
                <w:sz w:val="21"/>
              </w:rPr>
              <w:t>3</w:t>
            </w:r>
            <w:r w:rsidRPr="00381228">
              <w:rPr>
                <w:bCs/>
                <w:sz w:val="21"/>
              </w:rPr>
              <w:t>万吨</w:t>
            </w:r>
            <w:r w:rsidRPr="00381228">
              <w:rPr>
                <w:bCs/>
                <w:sz w:val="21"/>
              </w:rPr>
              <w:t>/</w:t>
            </w:r>
            <w:r w:rsidRPr="00381228">
              <w:rPr>
                <w:bCs/>
                <w:sz w:val="21"/>
              </w:rPr>
              <w:t>年聚丙烯酰胺干粉项目</w:t>
            </w:r>
          </w:p>
        </w:tc>
        <w:tc>
          <w:tcPr>
            <w:tcW w:w="335" w:type="pct"/>
            <w:vMerge w:val="restar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聚丙烯酰胺干粉车间</w:t>
            </w:r>
          </w:p>
        </w:tc>
        <w:tc>
          <w:tcPr>
            <w:tcW w:w="267" w:type="pct"/>
            <w:vMerge w:val="restar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25</w:t>
            </w:r>
          </w:p>
        </w:tc>
        <w:tc>
          <w:tcPr>
            <w:tcW w:w="228" w:type="pct"/>
            <w:vMerge w:val="restar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265</w:t>
            </w:r>
          </w:p>
        </w:tc>
        <w:tc>
          <w:tcPr>
            <w:tcW w:w="363" w:type="pct"/>
            <w:vMerge w:val="restar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16.4</w:t>
            </w:r>
          </w:p>
        </w:tc>
        <w:tc>
          <w:tcPr>
            <w:tcW w:w="296" w:type="pct"/>
            <w:vMerge w:val="restar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100</w:t>
            </w:r>
          </w:p>
        </w:tc>
        <w:tc>
          <w:tcPr>
            <w:tcW w:w="271" w:type="pct"/>
            <w:vMerge w:val="restar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4</w:t>
            </w:r>
            <w:r w:rsidRPr="00D64D0E">
              <w:rPr>
                <w:rFonts w:hint="eastAsia"/>
                <w:color w:val="000000"/>
                <w:spacing w:val="-2"/>
                <w:kern w:val="0"/>
                <w:sz w:val="21"/>
                <w:szCs w:val="21"/>
                <w:lang w:bidi="ar"/>
              </w:rPr>
              <w:t>4</w:t>
            </w:r>
          </w:p>
        </w:tc>
        <w:tc>
          <w:tcPr>
            <w:tcW w:w="367" w:type="pct"/>
            <w:vMerge w:val="restar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12.8</w:t>
            </w:r>
          </w:p>
        </w:tc>
        <w:tc>
          <w:tcPr>
            <w:tcW w:w="441" w:type="pct"/>
            <w:vMerge w:val="restar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20</w:t>
            </w:r>
          </w:p>
        </w:tc>
        <w:tc>
          <w:tcPr>
            <w:tcW w:w="358" w:type="pct"/>
            <w:vMerge w:val="restar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7200</w:t>
            </w:r>
          </w:p>
        </w:tc>
        <w:tc>
          <w:tcPr>
            <w:tcW w:w="227" w:type="pct"/>
            <w:vMerge w:val="restart"/>
            <w:vAlign w:val="center"/>
          </w:tcPr>
          <w:p w:rsidR="0098622F" w:rsidRPr="00381228" w:rsidRDefault="0098622F" w:rsidP="00B03838">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正常</w:t>
            </w:r>
          </w:p>
        </w:tc>
        <w:tc>
          <w:tcPr>
            <w:tcW w:w="510" w:type="pct"/>
            <w:vAlign w:val="center"/>
          </w:tcPr>
          <w:p w:rsidR="0098622F" w:rsidRPr="00381228" w:rsidRDefault="0098622F" w:rsidP="00B03838">
            <w:pPr>
              <w:widowControl/>
              <w:spacing w:line="360" w:lineRule="exact"/>
              <w:ind w:firstLineChars="0" w:firstLine="0"/>
              <w:jc w:val="center"/>
              <w:textAlignment w:val="center"/>
              <w:rPr>
                <w:sz w:val="21"/>
                <w:szCs w:val="21"/>
              </w:rPr>
            </w:pPr>
            <w:r w:rsidRPr="00381228">
              <w:rPr>
                <w:sz w:val="21"/>
                <w:szCs w:val="21"/>
              </w:rPr>
              <w:t>TSP</w:t>
            </w:r>
          </w:p>
        </w:tc>
        <w:tc>
          <w:tcPr>
            <w:tcW w:w="528" w:type="pct"/>
            <w:vAlign w:val="center"/>
          </w:tcPr>
          <w:p w:rsidR="0098622F" w:rsidRPr="00381228" w:rsidRDefault="0098622F" w:rsidP="00B03838">
            <w:pPr>
              <w:widowControl/>
              <w:spacing w:line="360" w:lineRule="exact"/>
              <w:ind w:firstLineChars="0" w:firstLine="0"/>
              <w:jc w:val="center"/>
              <w:textAlignment w:val="center"/>
              <w:rPr>
                <w:sz w:val="21"/>
                <w:szCs w:val="21"/>
              </w:rPr>
            </w:pPr>
            <w:r>
              <w:rPr>
                <w:sz w:val="21"/>
                <w:szCs w:val="21"/>
              </w:rPr>
              <w:t>0.040</w:t>
            </w:r>
          </w:p>
        </w:tc>
      </w:tr>
      <w:tr w:rsidR="0098622F" w:rsidRPr="00381228" w:rsidTr="00B03838">
        <w:trPr>
          <w:trHeight w:val="402"/>
          <w:jc w:val="center"/>
        </w:trPr>
        <w:tc>
          <w:tcPr>
            <w:tcW w:w="354" w:type="pct"/>
            <w:vMerge/>
            <w:vAlign w:val="center"/>
          </w:tcPr>
          <w:p w:rsidR="0098622F" w:rsidRPr="00381228" w:rsidRDefault="0098622F" w:rsidP="00B03838">
            <w:pPr>
              <w:widowControl/>
              <w:ind w:firstLineChars="0" w:firstLine="0"/>
              <w:jc w:val="center"/>
              <w:rPr>
                <w:bCs/>
                <w:sz w:val="21"/>
              </w:rPr>
            </w:pPr>
          </w:p>
        </w:tc>
        <w:tc>
          <w:tcPr>
            <w:tcW w:w="455" w:type="pct"/>
            <w:vMerge/>
            <w:vAlign w:val="center"/>
          </w:tcPr>
          <w:p w:rsidR="0098622F" w:rsidRPr="00381228" w:rsidRDefault="0098622F" w:rsidP="00B03838">
            <w:pPr>
              <w:widowControl/>
              <w:ind w:firstLineChars="0" w:firstLine="0"/>
              <w:jc w:val="center"/>
              <w:rPr>
                <w:bCs/>
                <w:sz w:val="21"/>
              </w:rPr>
            </w:pPr>
          </w:p>
        </w:tc>
        <w:tc>
          <w:tcPr>
            <w:tcW w:w="335" w:type="pct"/>
            <w:vMerge/>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p>
        </w:tc>
        <w:tc>
          <w:tcPr>
            <w:tcW w:w="267" w:type="pct"/>
            <w:vMerge/>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p>
        </w:tc>
        <w:tc>
          <w:tcPr>
            <w:tcW w:w="228" w:type="pct"/>
            <w:vMerge/>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p>
        </w:tc>
        <w:tc>
          <w:tcPr>
            <w:tcW w:w="363" w:type="pct"/>
            <w:vMerge/>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p>
        </w:tc>
        <w:tc>
          <w:tcPr>
            <w:tcW w:w="296" w:type="pct"/>
            <w:vMerge/>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p>
        </w:tc>
        <w:tc>
          <w:tcPr>
            <w:tcW w:w="271" w:type="pct"/>
            <w:vMerge/>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p>
        </w:tc>
        <w:tc>
          <w:tcPr>
            <w:tcW w:w="367" w:type="pct"/>
            <w:vMerge/>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p>
        </w:tc>
        <w:tc>
          <w:tcPr>
            <w:tcW w:w="441" w:type="pct"/>
            <w:vMerge/>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p>
        </w:tc>
        <w:tc>
          <w:tcPr>
            <w:tcW w:w="358" w:type="pct"/>
            <w:vMerge/>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p>
        </w:tc>
        <w:tc>
          <w:tcPr>
            <w:tcW w:w="227" w:type="pct"/>
            <w:vMerge/>
            <w:vAlign w:val="center"/>
          </w:tcPr>
          <w:p w:rsidR="0098622F" w:rsidRPr="00381228" w:rsidRDefault="0098622F" w:rsidP="00B03838">
            <w:pPr>
              <w:widowControl/>
              <w:spacing w:line="360" w:lineRule="exact"/>
              <w:ind w:firstLineChars="0" w:firstLine="0"/>
              <w:jc w:val="center"/>
              <w:textAlignment w:val="center"/>
              <w:rPr>
                <w:color w:val="000000"/>
                <w:spacing w:val="-2"/>
                <w:kern w:val="0"/>
                <w:sz w:val="21"/>
                <w:szCs w:val="21"/>
                <w:lang w:bidi="ar"/>
              </w:rPr>
            </w:pPr>
          </w:p>
        </w:tc>
        <w:tc>
          <w:tcPr>
            <w:tcW w:w="510" w:type="pct"/>
            <w:vAlign w:val="center"/>
          </w:tcPr>
          <w:p w:rsidR="0098622F" w:rsidRPr="00381228" w:rsidRDefault="0098622F" w:rsidP="00B03838">
            <w:pPr>
              <w:widowControl/>
              <w:spacing w:line="360" w:lineRule="exact"/>
              <w:ind w:firstLineChars="0" w:firstLine="0"/>
              <w:jc w:val="center"/>
              <w:textAlignment w:val="center"/>
              <w:rPr>
                <w:sz w:val="21"/>
                <w:szCs w:val="21"/>
              </w:rPr>
            </w:pPr>
            <w:r>
              <w:rPr>
                <w:rFonts w:hint="eastAsia"/>
                <w:sz w:val="21"/>
                <w:szCs w:val="21"/>
              </w:rPr>
              <w:t>非甲烷总烃</w:t>
            </w:r>
          </w:p>
        </w:tc>
        <w:tc>
          <w:tcPr>
            <w:tcW w:w="528" w:type="pct"/>
            <w:vAlign w:val="center"/>
          </w:tcPr>
          <w:p w:rsidR="0098622F" w:rsidRPr="00381228" w:rsidRDefault="0098622F" w:rsidP="00B03838">
            <w:pPr>
              <w:widowControl/>
              <w:spacing w:line="360" w:lineRule="exact"/>
              <w:ind w:firstLineChars="0" w:firstLine="0"/>
              <w:jc w:val="center"/>
              <w:textAlignment w:val="center"/>
              <w:rPr>
                <w:sz w:val="21"/>
                <w:szCs w:val="21"/>
              </w:rPr>
            </w:pPr>
            <w:r>
              <w:rPr>
                <w:sz w:val="21"/>
                <w:szCs w:val="21"/>
              </w:rPr>
              <w:t>0.241</w:t>
            </w:r>
          </w:p>
        </w:tc>
      </w:tr>
      <w:tr w:rsidR="0098622F" w:rsidRPr="00381228" w:rsidTr="00B03838">
        <w:trPr>
          <w:trHeight w:val="402"/>
          <w:jc w:val="center"/>
        </w:trPr>
        <w:tc>
          <w:tcPr>
            <w:tcW w:w="354" w:type="pct"/>
            <w:vMerge/>
            <w:vAlign w:val="center"/>
          </w:tcPr>
          <w:p w:rsidR="0098622F" w:rsidRPr="00381228" w:rsidRDefault="0098622F" w:rsidP="00D64D0E">
            <w:pPr>
              <w:widowControl/>
              <w:ind w:firstLineChars="0" w:firstLine="0"/>
              <w:jc w:val="center"/>
              <w:rPr>
                <w:bCs/>
                <w:sz w:val="21"/>
              </w:rPr>
            </w:pPr>
          </w:p>
        </w:tc>
        <w:tc>
          <w:tcPr>
            <w:tcW w:w="455" w:type="pct"/>
            <w:vMerge/>
            <w:vAlign w:val="center"/>
          </w:tcPr>
          <w:p w:rsidR="0098622F" w:rsidRPr="00381228" w:rsidRDefault="0098622F" w:rsidP="00D64D0E">
            <w:pPr>
              <w:widowControl/>
              <w:ind w:firstLineChars="0" w:firstLine="0"/>
              <w:jc w:val="center"/>
              <w:rPr>
                <w:bCs/>
                <w:sz w:val="21"/>
              </w:rPr>
            </w:pPr>
          </w:p>
        </w:tc>
        <w:tc>
          <w:tcPr>
            <w:tcW w:w="335"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267"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228"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363"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296"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271"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367"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441"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358"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227" w:type="pct"/>
            <w:vMerge/>
            <w:vAlign w:val="center"/>
          </w:tcPr>
          <w:p w:rsidR="0098622F" w:rsidRPr="00381228"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510" w:type="pct"/>
            <w:vAlign w:val="center"/>
          </w:tcPr>
          <w:p w:rsidR="0098622F" w:rsidRPr="00381228" w:rsidRDefault="0098622F" w:rsidP="00D64D0E">
            <w:pPr>
              <w:spacing w:line="360" w:lineRule="exact"/>
              <w:ind w:firstLineChars="0" w:firstLine="0"/>
              <w:jc w:val="center"/>
              <w:rPr>
                <w:color w:val="000000"/>
                <w:spacing w:val="-2"/>
                <w:kern w:val="0"/>
                <w:sz w:val="21"/>
                <w:szCs w:val="21"/>
                <w:lang w:val="zh-CN"/>
              </w:rPr>
            </w:pPr>
            <w:r>
              <w:rPr>
                <w:rFonts w:hint="eastAsia"/>
                <w:color w:val="000000"/>
                <w:spacing w:val="-2"/>
                <w:kern w:val="0"/>
                <w:sz w:val="21"/>
                <w:szCs w:val="21"/>
                <w:lang w:val="zh-CN"/>
              </w:rPr>
              <w:t>氨</w:t>
            </w:r>
          </w:p>
        </w:tc>
        <w:tc>
          <w:tcPr>
            <w:tcW w:w="528" w:type="pct"/>
            <w:vAlign w:val="center"/>
          </w:tcPr>
          <w:p w:rsidR="0098622F" w:rsidRPr="00381228" w:rsidRDefault="0098622F" w:rsidP="00D64D0E">
            <w:pPr>
              <w:widowControl/>
              <w:spacing w:line="360" w:lineRule="exact"/>
              <w:ind w:firstLineChars="0" w:firstLine="0"/>
              <w:jc w:val="center"/>
              <w:textAlignment w:val="center"/>
              <w:rPr>
                <w:color w:val="000000"/>
                <w:sz w:val="21"/>
                <w:szCs w:val="21"/>
                <w:lang w:bidi="ar"/>
              </w:rPr>
            </w:pPr>
            <w:r>
              <w:rPr>
                <w:rFonts w:hint="eastAsia"/>
                <w:color w:val="000000"/>
                <w:sz w:val="21"/>
                <w:szCs w:val="21"/>
                <w:lang w:bidi="ar"/>
              </w:rPr>
              <w:t>0.</w:t>
            </w:r>
            <w:r>
              <w:rPr>
                <w:color w:val="000000"/>
                <w:sz w:val="21"/>
                <w:szCs w:val="21"/>
                <w:lang w:bidi="ar"/>
              </w:rPr>
              <w:t>001</w:t>
            </w:r>
          </w:p>
        </w:tc>
      </w:tr>
      <w:tr w:rsidR="0098622F" w:rsidRPr="00381228" w:rsidTr="00B03838">
        <w:trPr>
          <w:trHeight w:val="360"/>
          <w:jc w:val="center"/>
        </w:trPr>
        <w:tc>
          <w:tcPr>
            <w:tcW w:w="354" w:type="pct"/>
            <w:vMerge/>
            <w:vAlign w:val="center"/>
          </w:tcPr>
          <w:p w:rsidR="0098622F" w:rsidRPr="00381228" w:rsidRDefault="0098622F" w:rsidP="00B03838">
            <w:pPr>
              <w:widowControl/>
              <w:ind w:firstLineChars="0" w:firstLine="0"/>
              <w:jc w:val="center"/>
              <w:rPr>
                <w:bCs/>
                <w:sz w:val="21"/>
              </w:rPr>
            </w:pPr>
          </w:p>
        </w:tc>
        <w:tc>
          <w:tcPr>
            <w:tcW w:w="455" w:type="pct"/>
            <w:vMerge/>
            <w:vAlign w:val="center"/>
          </w:tcPr>
          <w:p w:rsidR="0098622F" w:rsidRPr="00381228" w:rsidRDefault="0098622F" w:rsidP="00B03838">
            <w:pPr>
              <w:widowControl/>
              <w:ind w:firstLineChars="0" w:firstLine="0"/>
              <w:jc w:val="center"/>
              <w:rPr>
                <w:bCs/>
                <w:sz w:val="21"/>
              </w:rPr>
            </w:pPr>
          </w:p>
        </w:tc>
        <w:tc>
          <w:tcPr>
            <w:tcW w:w="335" w:type="pc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AM</w:t>
            </w:r>
            <w:r w:rsidRPr="00D64D0E">
              <w:rPr>
                <w:color w:val="000000"/>
                <w:spacing w:val="-2"/>
                <w:kern w:val="0"/>
                <w:sz w:val="21"/>
                <w:szCs w:val="21"/>
                <w:lang w:bidi="ar"/>
              </w:rPr>
              <w:t>罐区</w:t>
            </w:r>
          </w:p>
        </w:tc>
        <w:tc>
          <w:tcPr>
            <w:tcW w:w="267" w:type="pc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155</w:t>
            </w:r>
          </w:p>
        </w:tc>
        <w:tc>
          <w:tcPr>
            <w:tcW w:w="228" w:type="pc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430</w:t>
            </w:r>
          </w:p>
        </w:tc>
        <w:tc>
          <w:tcPr>
            <w:tcW w:w="363" w:type="pc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16.4</w:t>
            </w:r>
          </w:p>
        </w:tc>
        <w:tc>
          <w:tcPr>
            <w:tcW w:w="296" w:type="pc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20</w:t>
            </w:r>
          </w:p>
        </w:tc>
        <w:tc>
          <w:tcPr>
            <w:tcW w:w="271" w:type="pc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10</w:t>
            </w:r>
          </w:p>
        </w:tc>
        <w:tc>
          <w:tcPr>
            <w:tcW w:w="367" w:type="pc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12.8</w:t>
            </w:r>
          </w:p>
        </w:tc>
        <w:tc>
          <w:tcPr>
            <w:tcW w:w="441" w:type="pc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5</w:t>
            </w:r>
          </w:p>
        </w:tc>
        <w:tc>
          <w:tcPr>
            <w:tcW w:w="358" w:type="pct"/>
            <w:vAlign w:val="center"/>
          </w:tcPr>
          <w:p w:rsidR="0098622F" w:rsidRPr="00D64D0E" w:rsidRDefault="0098622F" w:rsidP="00B03838">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7200</w:t>
            </w:r>
          </w:p>
        </w:tc>
        <w:tc>
          <w:tcPr>
            <w:tcW w:w="227" w:type="pct"/>
            <w:vAlign w:val="center"/>
          </w:tcPr>
          <w:p w:rsidR="0098622F" w:rsidRPr="00381228" w:rsidRDefault="0098622F" w:rsidP="00B03838">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正常</w:t>
            </w:r>
          </w:p>
        </w:tc>
        <w:tc>
          <w:tcPr>
            <w:tcW w:w="510" w:type="pct"/>
            <w:vAlign w:val="center"/>
          </w:tcPr>
          <w:p w:rsidR="0098622F" w:rsidRPr="00381228" w:rsidRDefault="0098622F" w:rsidP="00B03838">
            <w:pPr>
              <w:widowControl/>
              <w:spacing w:line="360" w:lineRule="exact"/>
              <w:ind w:firstLineChars="0" w:firstLine="0"/>
              <w:jc w:val="center"/>
              <w:textAlignment w:val="center"/>
              <w:rPr>
                <w:sz w:val="21"/>
                <w:szCs w:val="21"/>
              </w:rPr>
            </w:pPr>
            <w:r>
              <w:rPr>
                <w:rFonts w:hint="eastAsia"/>
                <w:sz w:val="21"/>
                <w:szCs w:val="21"/>
              </w:rPr>
              <w:t>非甲烷总烃</w:t>
            </w:r>
          </w:p>
        </w:tc>
        <w:tc>
          <w:tcPr>
            <w:tcW w:w="528" w:type="pct"/>
            <w:vAlign w:val="center"/>
          </w:tcPr>
          <w:p w:rsidR="0098622F" w:rsidRPr="00381228" w:rsidRDefault="0098622F" w:rsidP="0098622F">
            <w:pPr>
              <w:widowControl/>
              <w:spacing w:line="360" w:lineRule="exact"/>
              <w:ind w:firstLineChars="0" w:firstLine="0"/>
              <w:jc w:val="center"/>
              <w:textAlignment w:val="center"/>
              <w:rPr>
                <w:sz w:val="21"/>
                <w:szCs w:val="21"/>
              </w:rPr>
            </w:pPr>
            <w:r>
              <w:rPr>
                <w:sz w:val="21"/>
                <w:szCs w:val="21"/>
              </w:rPr>
              <w:t>0.001</w:t>
            </w:r>
          </w:p>
        </w:tc>
      </w:tr>
      <w:tr w:rsidR="0098622F" w:rsidRPr="00381228" w:rsidTr="00B03838">
        <w:trPr>
          <w:trHeight w:val="360"/>
          <w:jc w:val="center"/>
        </w:trPr>
        <w:tc>
          <w:tcPr>
            <w:tcW w:w="354" w:type="pct"/>
            <w:vMerge/>
            <w:vAlign w:val="center"/>
          </w:tcPr>
          <w:p w:rsidR="0098622F" w:rsidRPr="00381228" w:rsidRDefault="0098622F" w:rsidP="0098622F">
            <w:pPr>
              <w:widowControl/>
              <w:ind w:firstLineChars="0" w:firstLine="0"/>
              <w:jc w:val="center"/>
              <w:rPr>
                <w:bCs/>
                <w:sz w:val="21"/>
              </w:rPr>
            </w:pPr>
          </w:p>
        </w:tc>
        <w:tc>
          <w:tcPr>
            <w:tcW w:w="455" w:type="pct"/>
            <w:vMerge/>
            <w:vAlign w:val="center"/>
          </w:tcPr>
          <w:p w:rsidR="0098622F" w:rsidRPr="00381228" w:rsidRDefault="0098622F" w:rsidP="0098622F">
            <w:pPr>
              <w:widowControl/>
              <w:ind w:firstLineChars="0" w:firstLine="0"/>
              <w:jc w:val="center"/>
              <w:rPr>
                <w:bCs/>
                <w:sz w:val="21"/>
              </w:rPr>
            </w:pPr>
          </w:p>
        </w:tc>
        <w:tc>
          <w:tcPr>
            <w:tcW w:w="335"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丙烯酸</w:t>
            </w:r>
          </w:p>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罐区</w:t>
            </w:r>
          </w:p>
        </w:tc>
        <w:tc>
          <w:tcPr>
            <w:tcW w:w="267"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136</w:t>
            </w:r>
          </w:p>
        </w:tc>
        <w:tc>
          <w:tcPr>
            <w:tcW w:w="228"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496</w:t>
            </w:r>
          </w:p>
        </w:tc>
        <w:tc>
          <w:tcPr>
            <w:tcW w:w="363"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16.4</w:t>
            </w:r>
          </w:p>
        </w:tc>
        <w:tc>
          <w:tcPr>
            <w:tcW w:w="296"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128</w:t>
            </w:r>
          </w:p>
        </w:tc>
        <w:tc>
          <w:tcPr>
            <w:tcW w:w="271"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10</w:t>
            </w:r>
          </w:p>
        </w:tc>
        <w:tc>
          <w:tcPr>
            <w:tcW w:w="367"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12.8</w:t>
            </w:r>
          </w:p>
        </w:tc>
        <w:tc>
          <w:tcPr>
            <w:tcW w:w="441"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5</w:t>
            </w:r>
          </w:p>
        </w:tc>
        <w:tc>
          <w:tcPr>
            <w:tcW w:w="358"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7200</w:t>
            </w:r>
          </w:p>
        </w:tc>
        <w:tc>
          <w:tcPr>
            <w:tcW w:w="227" w:type="pc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正常</w:t>
            </w:r>
          </w:p>
        </w:tc>
        <w:tc>
          <w:tcPr>
            <w:tcW w:w="510" w:type="pct"/>
            <w:vAlign w:val="center"/>
          </w:tcPr>
          <w:p w:rsidR="0098622F" w:rsidRPr="00381228" w:rsidRDefault="0098622F" w:rsidP="0098622F">
            <w:pPr>
              <w:widowControl/>
              <w:spacing w:line="360" w:lineRule="exact"/>
              <w:ind w:firstLineChars="0" w:firstLine="0"/>
              <w:jc w:val="center"/>
              <w:textAlignment w:val="center"/>
              <w:rPr>
                <w:sz w:val="21"/>
                <w:szCs w:val="21"/>
              </w:rPr>
            </w:pPr>
            <w:r>
              <w:rPr>
                <w:rFonts w:hint="eastAsia"/>
                <w:sz w:val="21"/>
                <w:szCs w:val="21"/>
              </w:rPr>
              <w:t>非甲烷总烃</w:t>
            </w:r>
          </w:p>
        </w:tc>
        <w:tc>
          <w:tcPr>
            <w:tcW w:w="528" w:type="pct"/>
            <w:vAlign w:val="center"/>
          </w:tcPr>
          <w:p w:rsidR="0098622F" w:rsidRPr="00381228" w:rsidRDefault="0098622F" w:rsidP="0098622F">
            <w:pPr>
              <w:widowControl/>
              <w:spacing w:line="360" w:lineRule="exact"/>
              <w:ind w:firstLineChars="0" w:firstLine="0"/>
              <w:jc w:val="center"/>
              <w:textAlignment w:val="center"/>
              <w:rPr>
                <w:sz w:val="21"/>
                <w:szCs w:val="21"/>
              </w:rPr>
            </w:pPr>
            <w:r>
              <w:rPr>
                <w:sz w:val="21"/>
                <w:szCs w:val="21"/>
              </w:rPr>
              <w:t>0.0005</w:t>
            </w:r>
          </w:p>
        </w:tc>
      </w:tr>
      <w:tr w:rsidR="0098622F" w:rsidRPr="00381228" w:rsidTr="00B03838">
        <w:trPr>
          <w:trHeight w:val="360"/>
          <w:jc w:val="center"/>
        </w:trPr>
        <w:tc>
          <w:tcPr>
            <w:tcW w:w="354" w:type="pct"/>
            <w:vMerge/>
            <w:vAlign w:val="center"/>
          </w:tcPr>
          <w:p w:rsidR="0098622F" w:rsidRPr="00381228" w:rsidRDefault="0098622F" w:rsidP="0098622F">
            <w:pPr>
              <w:widowControl/>
              <w:ind w:firstLineChars="0" w:firstLine="0"/>
              <w:jc w:val="center"/>
              <w:rPr>
                <w:bCs/>
                <w:sz w:val="21"/>
              </w:rPr>
            </w:pPr>
          </w:p>
        </w:tc>
        <w:tc>
          <w:tcPr>
            <w:tcW w:w="455" w:type="pct"/>
            <w:vMerge/>
            <w:vAlign w:val="center"/>
          </w:tcPr>
          <w:p w:rsidR="0098622F" w:rsidRPr="00381228" w:rsidRDefault="0098622F" w:rsidP="0098622F">
            <w:pPr>
              <w:widowControl/>
              <w:ind w:firstLineChars="0" w:firstLine="0"/>
              <w:jc w:val="center"/>
              <w:rPr>
                <w:bCs/>
                <w:sz w:val="21"/>
              </w:rPr>
            </w:pPr>
          </w:p>
        </w:tc>
        <w:tc>
          <w:tcPr>
            <w:tcW w:w="335"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危废间</w:t>
            </w:r>
          </w:p>
        </w:tc>
        <w:tc>
          <w:tcPr>
            <w:tcW w:w="267"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130</w:t>
            </w:r>
          </w:p>
        </w:tc>
        <w:tc>
          <w:tcPr>
            <w:tcW w:w="228"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540</w:t>
            </w:r>
          </w:p>
        </w:tc>
        <w:tc>
          <w:tcPr>
            <w:tcW w:w="363"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16.7</w:t>
            </w:r>
          </w:p>
        </w:tc>
        <w:tc>
          <w:tcPr>
            <w:tcW w:w="296"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20</w:t>
            </w:r>
          </w:p>
        </w:tc>
        <w:tc>
          <w:tcPr>
            <w:tcW w:w="271"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15</w:t>
            </w:r>
          </w:p>
        </w:tc>
        <w:tc>
          <w:tcPr>
            <w:tcW w:w="367"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12.8</w:t>
            </w:r>
          </w:p>
        </w:tc>
        <w:tc>
          <w:tcPr>
            <w:tcW w:w="441"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5</w:t>
            </w:r>
          </w:p>
        </w:tc>
        <w:tc>
          <w:tcPr>
            <w:tcW w:w="358"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7200</w:t>
            </w:r>
          </w:p>
        </w:tc>
        <w:tc>
          <w:tcPr>
            <w:tcW w:w="227" w:type="pc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正常</w:t>
            </w:r>
          </w:p>
        </w:tc>
        <w:tc>
          <w:tcPr>
            <w:tcW w:w="510" w:type="pct"/>
            <w:vAlign w:val="center"/>
          </w:tcPr>
          <w:p w:rsidR="0098622F" w:rsidRPr="00381228" w:rsidRDefault="0098622F" w:rsidP="0098622F">
            <w:pPr>
              <w:widowControl/>
              <w:spacing w:line="360" w:lineRule="exact"/>
              <w:ind w:firstLineChars="0" w:firstLine="0"/>
              <w:jc w:val="center"/>
              <w:textAlignment w:val="center"/>
              <w:rPr>
                <w:sz w:val="21"/>
                <w:szCs w:val="21"/>
              </w:rPr>
            </w:pPr>
            <w:r>
              <w:rPr>
                <w:rFonts w:hint="eastAsia"/>
                <w:sz w:val="21"/>
                <w:szCs w:val="21"/>
              </w:rPr>
              <w:t>非甲烷总烃</w:t>
            </w:r>
          </w:p>
        </w:tc>
        <w:tc>
          <w:tcPr>
            <w:tcW w:w="528" w:type="pct"/>
            <w:vAlign w:val="center"/>
          </w:tcPr>
          <w:p w:rsidR="0098622F" w:rsidRPr="00381228" w:rsidRDefault="0098622F" w:rsidP="0098622F">
            <w:pPr>
              <w:widowControl/>
              <w:spacing w:line="360" w:lineRule="exact"/>
              <w:ind w:firstLineChars="0" w:firstLine="0"/>
              <w:jc w:val="center"/>
              <w:textAlignment w:val="center"/>
              <w:rPr>
                <w:sz w:val="21"/>
                <w:szCs w:val="21"/>
              </w:rPr>
            </w:pPr>
            <w:r>
              <w:rPr>
                <w:sz w:val="21"/>
                <w:szCs w:val="21"/>
              </w:rPr>
              <w:t>0.001</w:t>
            </w:r>
          </w:p>
        </w:tc>
      </w:tr>
      <w:tr w:rsidR="0098622F" w:rsidRPr="00381228" w:rsidTr="00B03838">
        <w:trPr>
          <w:trHeight w:val="360"/>
          <w:jc w:val="center"/>
        </w:trPr>
        <w:tc>
          <w:tcPr>
            <w:tcW w:w="354" w:type="pct"/>
            <w:vMerge/>
            <w:vAlign w:val="center"/>
          </w:tcPr>
          <w:p w:rsidR="0098622F" w:rsidRPr="00381228" w:rsidRDefault="0098622F" w:rsidP="0098622F">
            <w:pPr>
              <w:widowControl/>
              <w:ind w:firstLineChars="0" w:firstLine="0"/>
              <w:jc w:val="center"/>
              <w:rPr>
                <w:bCs/>
                <w:sz w:val="21"/>
              </w:rPr>
            </w:pPr>
          </w:p>
        </w:tc>
        <w:tc>
          <w:tcPr>
            <w:tcW w:w="455" w:type="pct"/>
            <w:vMerge/>
            <w:vAlign w:val="center"/>
          </w:tcPr>
          <w:p w:rsidR="0098622F" w:rsidRPr="00381228" w:rsidRDefault="0098622F" w:rsidP="0098622F">
            <w:pPr>
              <w:widowControl/>
              <w:ind w:firstLineChars="0" w:firstLine="0"/>
              <w:jc w:val="center"/>
              <w:rPr>
                <w:bCs/>
                <w:sz w:val="21"/>
              </w:rPr>
            </w:pPr>
          </w:p>
        </w:tc>
        <w:tc>
          <w:tcPr>
            <w:tcW w:w="335"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研发楼</w:t>
            </w:r>
          </w:p>
        </w:tc>
        <w:tc>
          <w:tcPr>
            <w:tcW w:w="267"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220</w:t>
            </w:r>
          </w:p>
        </w:tc>
        <w:tc>
          <w:tcPr>
            <w:tcW w:w="228"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230</w:t>
            </w:r>
          </w:p>
        </w:tc>
        <w:tc>
          <w:tcPr>
            <w:tcW w:w="363"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16.7</w:t>
            </w:r>
          </w:p>
        </w:tc>
        <w:tc>
          <w:tcPr>
            <w:tcW w:w="296"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100</w:t>
            </w:r>
          </w:p>
        </w:tc>
        <w:tc>
          <w:tcPr>
            <w:tcW w:w="271"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35.64</w:t>
            </w:r>
          </w:p>
        </w:tc>
        <w:tc>
          <w:tcPr>
            <w:tcW w:w="367"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12.8</w:t>
            </w:r>
          </w:p>
        </w:tc>
        <w:tc>
          <w:tcPr>
            <w:tcW w:w="441"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14.85</w:t>
            </w:r>
          </w:p>
        </w:tc>
        <w:tc>
          <w:tcPr>
            <w:tcW w:w="358"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7200</w:t>
            </w:r>
          </w:p>
        </w:tc>
        <w:tc>
          <w:tcPr>
            <w:tcW w:w="227" w:type="pc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正常</w:t>
            </w:r>
          </w:p>
        </w:tc>
        <w:tc>
          <w:tcPr>
            <w:tcW w:w="510" w:type="pct"/>
            <w:vAlign w:val="center"/>
          </w:tcPr>
          <w:p w:rsidR="0098622F" w:rsidRPr="00381228" w:rsidRDefault="0098622F" w:rsidP="0098622F">
            <w:pPr>
              <w:widowControl/>
              <w:spacing w:line="360" w:lineRule="exact"/>
              <w:ind w:firstLineChars="0" w:firstLine="0"/>
              <w:jc w:val="center"/>
              <w:textAlignment w:val="center"/>
              <w:rPr>
                <w:sz w:val="21"/>
                <w:szCs w:val="21"/>
              </w:rPr>
            </w:pPr>
            <w:r>
              <w:rPr>
                <w:rFonts w:hint="eastAsia"/>
                <w:sz w:val="21"/>
                <w:szCs w:val="21"/>
              </w:rPr>
              <w:t>非甲烷总烃</w:t>
            </w:r>
          </w:p>
        </w:tc>
        <w:tc>
          <w:tcPr>
            <w:tcW w:w="528" w:type="pct"/>
            <w:vAlign w:val="center"/>
          </w:tcPr>
          <w:p w:rsidR="0098622F" w:rsidRPr="00381228" w:rsidRDefault="0098622F" w:rsidP="0098622F">
            <w:pPr>
              <w:widowControl/>
              <w:spacing w:line="360" w:lineRule="exact"/>
              <w:ind w:firstLineChars="0" w:firstLine="0"/>
              <w:jc w:val="center"/>
              <w:textAlignment w:val="center"/>
              <w:rPr>
                <w:sz w:val="21"/>
                <w:szCs w:val="21"/>
              </w:rPr>
            </w:pPr>
            <w:r>
              <w:rPr>
                <w:sz w:val="21"/>
                <w:szCs w:val="21"/>
              </w:rPr>
              <w:t>0.001</w:t>
            </w:r>
          </w:p>
        </w:tc>
      </w:tr>
      <w:tr w:rsidR="0098622F" w:rsidRPr="00381228" w:rsidTr="0098622F">
        <w:trPr>
          <w:trHeight w:val="201"/>
          <w:jc w:val="center"/>
        </w:trPr>
        <w:tc>
          <w:tcPr>
            <w:tcW w:w="354" w:type="pct"/>
            <w:vMerge/>
            <w:vAlign w:val="center"/>
          </w:tcPr>
          <w:p w:rsidR="0098622F" w:rsidRPr="00381228" w:rsidRDefault="0098622F" w:rsidP="00D64D0E">
            <w:pPr>
              <w:widowControl/>
              <w:ind w:firstLineChars="0" w:firstLine="0"/>
              <w:jc w:val="center"/>
              <w:rPr>
                <w:bCs/>
                <w:sz w:val="21"/>
              </w:rPr>
            </w:pPr>
          </w:p>
        </w:tc>
        <w:tc>
          <w:tcPr>
            <w:tcW w:w="455" w:type="pct"/>
            <w:vMerge/>
            <w:vAlign w:val="center"/>
          </w:tcPr>
          <w:p w:rsidR="0098622F" w:rsidRPr="00381228" w:rsidRDefault="0098622F" w:rsidP="00D64D0E">
            <w:pPr>
              <w:widowControl/>
              <w:ind w:firstLineChars="0" w:firstLine="0"/>
              <w:jc w:val="center"/>
              <w:rPr>
                <w:bCs/>
                <w:sz w:val="21"/>
              </w:rPr>
            </w:pPr>
          </w:p>
        </w:tc>
        <w:tc>
          <w:tcPr>
            <w:tcW w:w="335" w:type="pct"/>
            <w:vMerge w:val="restar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污水站</w:t>
            </w:r>
          </w:p>
        </w:tc>
        <w:tc>
          <w:tcPr>
            <w:tcW w:w="267" w:type="pct"/>
            <w:vMerge w:val="restar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315</w:t>
            </w:r>
          </w:p>
        </w:tc>
        <w:tc>
          <w:tcPr>
            <w:tcW w:w="228" w:type="pct"/>
            <w:vMerge w:val="restar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575</w:t>
            </w:r>
          </w:p>
        </w:tc>
        <w:tc>
          <w:tcPr>
            <w:tcW w:w="363" w:type="pct"/>
            <w:vMerge w:val="restar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16.9</w:t>
            </w:r>
          </w:p>
        </w:tc>
        <w:tc>
          <w:tcPr>
            <w:tcW w:w="296" w:type="pct"/>
            <w:vMerge w:val="restar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30</w:t>
            </w:r>
          </w:p>
        </w:tc>
        <w:tc>
          <w:tcPr>
            <w:tcW w:w="271" w:type="pct"/>
            <w:vMerge w:val="restar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18.5</w:t>
            </w:r>
          </w:p>
        </w:tc>
        <w:tc>
          <w:tcPr>
            <w:tcW w:w="367" w:type="pct"/>
            <w:vMerge w:val="restar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12.8</w:t>
            </w:r>
          </w:p>
        </w:tc>
        <w:tc>
          <w:tcPr>
            <w:tcW w:w="441" w:type="pct"/>
            <w:vMerge w:val="restar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6</w:t>
            </w:r>
          </w:p>
        </w:tc>
        <w:tc>
          <w:tcPr>
            <w:tcW w:w="358" w:type="pct"/>
            <w:vMerge w:val="restar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7200</w:t>
            </w:r>
          </w:p>
        </w:tc>
        <w:tc>
          <w:tcPr>
            <w:tcW w:w="227" w:type="pct"/>
            <w:vMerge w:val="restart"/>
            <w:vAlign w:val="center"/>
          </w:tcPr>
          <w:p w:rsidR="0098622F" w:rsidRPr="00381228" w:rsidRDefault="0098622F" w:rsidP="00D64D0E">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正常</w:t>
            </w:r>
          </w:p>
        </w:tc>
        <w:tc>
          <w:tcPr>
            <w:tcW w:w="510" w:type="pct"/>
            <w:vAlign w:val="center"/>
          </w:tcPr>
          <w:p w:rsidR="0098622F" w:rsidRPr="00381228" w:rsidRDefault="0098622F" w:rsidP="00D64D0E">
            <w:pPr>
              <w:spacing w:line="360" w:lineRule="exact"/>
              <w:ind w:firstLineChars="0" w:firstLine="0"/>
              <w:jc w:val="center"/>
              <w:rPr>
                <w:color w:val="000000"/>
                <w:spacing w:val="-2"/>
                <w:kern w:val="0"/>
                <w:sz w:val="21"/>
                <w:szCs w:val="21"/>
                <w:lang w:val="zh-CN"/>
              </w:rPr>
            </w:pPr>
            <w:r>
              <w:rPr>
                <w:rFonts w:hint="eastAsia"/>
                <w:color w:val="000000"/>
                <w:spacing w:val="-2"/>
                <w:kern w:val="0"/>
                <w:sz w:val="21"/>
                <w:szCs w:val="21"/>
                <w:lang w:val="zh-CN"/>
              </w:rPr>
              <w:t>氨</w:t>
            </w:r>
          </w:p>
        </w:tc>
        <w:tc>
          <w:tcPr>
            <w:tcW w:w="528" w:type="pct"/>
            <w:vAlign w:val="center"/>
          </w:tcPr>
          <w:p w:rsidR="0098622F" w:rsidRPr="00381228" w:rsidRDefault="0098622F" w:rsidP="00D64D0E">
            <w:pPr>
              <w:widowControl/>
              <w:spacing w:line="360" w:lineRule="exact"/>
              <w:ind w:firstLineChars="0" w:firstLine="0"/>
              <w:jc w:val="center"/>
              <w:textAlignment w:val="center"/>
              <w:rPr>
                <w:color w:val="000000"/>
                <w:sz w:val="21"/>
                <w:szCs w:val="21"/>
                <w:lang w:bidi="ar"/>
              </w:rPr>
            </w:pPr>
            <w:r>
              <w:rPr>
                <w:sz w:val="21"/>
                <w:szCs w:val="21"/>
              </w:rPr>
              <w:t>0.000017</w:t>
            </w:r>
          </w:p>
        </w:tc>
      </w:tr>
      <w:tr w:rsidR="0098622F" w:rsidRPr="00381228" w:rsidTr="00B03838">
        <w:trPr>
          <w:trHeight w:val="201"/>
          <w:jc w:val="center"/>
        </w:trPr>
        <w:tc>
          <w:tcPr>
            <w:tcW w:w="354" w:type="pct"/>
            <w:vMerge/>
            <w:vAlign w:val="center"/>
          </w:tcPr>
          <w:p w:rsidR="0098622F" w:rsidRPr="00381228" w:rsidRDefault="0098622F" w:rsidP="00D64D0E">
            <w:pPr>
              <w:widowControl/>
              <w:ind w:firstLineChars="0" w:firstLine="0"/>
              <w:jc w:val="center"/>
              <w:rPr>
                <w:bCs/>
                <w:sz w:val="21"/>
              </w:rPr>
            </w:pPr>
          </w:p>
        </w:tc>
        <w:tc>
          <w:tcPr>
            <w:tcW w:w="455" w:type="pct"/>
            <w:vMerge/>
            <w:vAlign w:val="center"/>
          </w:tcPr>
          <w:p w:rsidR="0098622F" w:rsidRPr="00381228" w:rsidRDefault="0098622F" w:rsidP="00D64D0E">
            <w:pPr>
              <w:widowControl/>
              <w:ind w:firstLineChars="0" w:firstLine="0"/>
              <w:jc w:val="center"/>
              <w:rPr>
                <w:bCs/>
                <w:sz w:val="21"/>
              </w:rPr>
            </w:pPr>
          </w:p>
        </w:tc>
        <w:tc>
          <w:tcPr>
            <w:tcW w:w="335"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267"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228"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363"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296"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271"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367"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441"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358" w:type="pct"/>
            <w:vMerge/>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227" w:type="pct"/>
            <w:vMerge/>
            <w:vAlign w:val="center"/>
          </w:tcPr>
          <w:p w:rsidR="0098622F" w:rsidRPr="00381228" w:rsidRDefault="0098622F" w:rsidP="00D64D0E">
            <w:pPr>
              <w:widowControl/>
              <w:spacing w:line="360" w:lineRule="exact"/>
              <w:ind w:firstLineChars="0" w:firstLine="0"/>
              <w:jc w:val="center"/>
              <w:textAlignment w:val="center"/>
              <w:rPr>
                <w:color w:val="000000"/>
                <w:spacing w:val="-2"/>
                <w:kern w:val="0"/>
                <w:sz w:val="21"/>
                <w:szCs w:val="21"/>
                <w:lang w:bidi="ar"/>
              </w:rPr>
            </w:pPr>
          </w:p>
        </w:tc>
        <w:tc>
          <w:tcPr>
            <w:tcW w:w="510" w:type="pct"/>
            <w:vAlign w:val="center"/>
          </w:tcPr>
          <w:p w:rsidR="0098622F" w:rsidRPr="00381228" w:rsidRDefault="0098622F" w:rsidP="00D64D0E">
            <w:pPr>
              <w:spacing w:line="360" w:lineRule="exact"/>
              <w:ind w:firstLineChars="0" w:firstLine="0"/>
              <w:jc w:val="center"/>
              <w:rPr>
                <w:color w:val="000000"/>
                <w:spacing w:val="-2"/>
                <w:kern w:val="0"/>
                <w:sz w:val="21"/>
                <w:szCs w:val="21"/>
                <w:lang w:val="zh-CN"/>
              </w:rPr>
            </w:pPr>
            <w:r>
              <w:rPr>
                <w:rFonts w:hint="eastAsia"/>
                <w:color w:val="000000"/>
                <w:spacing w:val="-2"/>
                <w:kern w:val="0"/>
                <w:sz w:val="21"/>
                <w:szCs w:val="21"/>
                <w:lang w:val="zh-CN"/>
              </w:rPr>
              <w:t>硫化氢</w:t>
            </w:r>
          </w:p>
        </w:tc>
        <w:tc>
          <w:tcPr>
            <w:tcW w:w="528" w:type="pct"/>
            <w:vAlign w:val="center"/>
          </w:tcPr>
          <w:p w:rsidR="0098622F" w:rsidRPr="00381228" w:rsidRDefault="0098622F" w:rsidP="00D64D0E">
            <w:pPr>
              <w:widowControl/>
              <w:spacing w:line="360" w:lineRule="exact"/>
              <w:ind w:firstLineChars="0" w:firstLine="0"/>
              <w:jc w:val="center"/>
              <w:textAlignment w:val="center"/>
              <w:rPr>
                <w:color w:val="000000"/>
                <w:sz w:val="21"/>
                <w:szCs w:val="21"/>
                <w:lang w:bidi="ar"/>
              </w:rPr>
            </w:pPr>
            <w:r>
              <w:rPr>
                <w:sz w:val="21"/>
                <w:szCs w:val="21"/>
              </w:rPr>
              <w:t>0.000001</w:t>
            </w:r>
          </w:p>
        </w:tc>
      </w:tr>
      <w:tr w:rsidR="0098622F" w:rsidRPr="00381228" w:rsidTr="0098622F">
        <w:trPr>
          <w:trHeight w:val="402"/>
          <w:jc w:val="center"/>
        </w:trPr>
        <w:tc>
          <w:tcPr>
            <w:tcW w:w="354" w:type="pct"/>
            <w:vMerge/>
            <w:vAlign w:val="center"/>
          </w:tcPr>
          <w:p w:rsidR="0098622F" w:rsidRPr="00381228" w:rsidRDefault="0098622F" w:rsidP="0098622F">
            <w:pPr>
              <w:widowControl/>
              <w:ind w:firstLineChars="0" w:firstLine="0"/>
              <w:jc w:val="center"/>
              <w:rPr>
                <w:bCs/>
                <w:sz w:val="21"/>
              </w:rPr>
            </w:pPr>
          </w:p>
        </w:tc>
        <w:tc>
          <w:tcPr>
            <w:tcW w:w="455" w:type="pct"/>
            <w:vMerge/>
            <w:vAlign w:val="center"/>
          </w:tcPr>
          <w:p w:rsidR="0098622F" w:rsidRPr="00381228" w:rsidRDefault="0098622F" w:rsidP="0098622F">
            <w:pPr>
              <w:widowControl/>
              <w:ind w:firstLineChars="0" w:firstLine="0"/>
              <w:jc w:val="center"/>
              <w:rPr>
                <w:bCs/>
                <w:sz w:val="21"/>
              </w:rPr>
            </w:pPr>
          </w:p>
        </w:tc>
        <w:tc>
          <w:tcPr>
            <w:tcW w:w="335" w:type="pct"/>
            <w:vMerge w:val="restar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PAM</w:t>
            </w:r>
            <w:r w:rsidRPr="00D64D0E">
              <w:rPr>
                <w:color w:val="000000"/>
                <w:spacing w:val="-2"/>
                <w:kern w:val="0"/>
                <w:sz w:val="21"/>
                <w:szCs w:val="21"/>
                <w:lang w:bidi="ar"/>
              </w:rPr>
              <w:t>聚合车间</w:t>
            </w:r>
          </w:p>
        </w:tc>
        <w:tc>
          <w:tcPr>
            <w:tcW w:w="267" w:type="pct"/>
            <w:vMerge w:val="restar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64</w:t>
            </w:r>
          </w:p>
        </w:tc>
        <w:tc>
          <w:tcPr>
            <w:tcW w:w="228" w:type="pct"/>
            <w:vMerge w:val="restar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568</w:t>
            </w:r>
          </w:p>
        </w:tc>
        <w:tc>
          <w:tcPr>
            <w:tcW w:w="363" w:type="pct"/>
            <w:vMerge w:val="restar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16.4</w:t>
            </w:r>
          </w:p>
        </w:tc>
        <w:tc>
          <w:tcPr>
            <w:tcW w:w="296" w:type="pct"/>
            <w:vMerge w:val="restar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160</w:t>
            </w:r>
          </w:p>
        </w:tc>
        <w:tc>
          <w:tcPr>
            <w:tcW w:w="271" w:type="pct"/>
            <w:vMerge w:val="restar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48.8</w:t>
            </w:r>
          </w:p>
        </w:tc>
        <w:tc>
          <w:tcPr>
            <w:tcW w:w="367" w:type="pct"/>
            <w:vMerge w:val="restar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12.8</w:t>
            </w:r>
          </w:p>
        </w:tc>
        <w:tc>
          <w:tcPr>
            <w:tcW w:w="441" w:type="pct"/>
            <w:vMerge w:val="restar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rFonts w:hint="eastAsia"/>
                <w:color w:val="000000"/>
                <w:spacing w:val="-2"/>
                <w:kern w:val="0"/>
                <w:sz w:val="21"/>
                <w:szCs w:val="21"/>
                <w:lang w:bidi="ar"/>
              </w:rPr>
              <w:t>20.15</w:t>
            </w:r>
          </w:p>
        </w:tc>
        <w:tc>
          <w:tcPr>
            <w:tcW w:w="358" w:type="pct"/>
            <w:vMerge w:val="restar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7200</w:t>
            </w:r>
          </w:p>
        </w:tc>
        <w:tc>
          <w:tcPr>
            <w:tcW w:w="227" w:type="pct"/>
            <w:vMerge w:val="restar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正常</w:t>
            </w:r>
          </w:p>
        </w:tc>
        <w:tc>
          <w:tcPr>
            <w:tcW w:w="510" w:type="pct"/>
            <w:vAlign w:val="center"/>
          </w:tcPr>
          <w:p w:rsidR="0098622F" w:rsidRPr="00381228" w:rsidRDefault="0098622F" w:rsidP="0098622F">
            <w:pPr>
              <w:widowControl/>
              <w:spacing w:line="360" w:lineRule="exact"/>
              <w:ind w:firstLineChars="0" w:firstLine="0"/>
              <w:jc w:val="center"/>
              <w:textAlignment w:val="center"/>
              <w:rPr>
                <w:sz w:val="21"/>
                <w:szCs w:val="21"/>
              </w:rPr>
            </w:pPr>
            <w:r>
              <w:rPr>
                <w:rFonts w:hint="eastAsia"/>
                <w:sz w:val="21"/>
                <w:szCs w:val="21"/>
              </w:rPr>
              <w:t>非甲烷总烃</w:t>
            </w:r>
          </w:p>
        </w:tc>
        <w:tc>
          <w:tcPr>
            <w:tcW w:w="528" w:type="pct"/>
            <w:vAlign w:val="center"/>
          </w:tcPr>
          <w:p w:rsidR="0098622F" w:rsidRPr="00381228" w:rsidRDefault="0098622F" w:rsidP="0098622F">
            <w:pPr>
              <w:widowControl/>
              <w:spacing w:line="360" w:lineRule="exact"/>
              <w:ind w:firstLineChars="0" w:firstLine="0"/>
              <w:jc w:val="center"/>
              <w:textAlignment w:val="center"/>
              <w:rPr>
                <w:sz w:val="21"/>
                <w:szCs w:val="21"/>
              </w:rPr>
            </w:pPr>
            <w:r>
              <w:rPr>
                <w:sz w:val="21"/>
                <w:szCs w:val="21"/>
              </w:rPr>
              <w:t>0.427</w:t>
            </w:r>
          </w:p>
        </w:tc>
      </w:tr>
      <w:tr w:rsidR="0098622F" w:rsidRPr="00381228" w:rsidTr="00B03838">
        <w:trPr>
          <w:trHeight w:val="402"/>
          <w:jc w:val="center"/>
        </w:trPr>
        <w:tc>
          <w:tcPr>
            <w:tcW w:w="354" w:type="pct"/>
            <w:vMerge/>
            <w:vAlign w:val="center"/>
          </w:tcPr>
          <w:p w:rsidR="0098622F" w:rsidRPr="00381228" w:rsidRDefault="0098622F" w:rsidP="0098622F">
            <w:pPr>
              <w:widowControl/>
              <w:ind w:firstLineChars="0" w:firstLine="0"/>
              <w:jc w:val="center"/>
              <w:rPr>
                <w:bCs/>
                <w:sz w:val="21"/>
              </w:rPr>
            </w:pPr>
          </w:p>
        </w:tc>
        <w:tc>
          <w:tcPr>
            <w:tcW w:w="455" w:type="pct"/>
            <w:vMerge/>
            <w:vAlign w:val="center"/>
          </w:tcPr>
          <w:p w:rsidR="0098622F" w:rsidRPr="00381228" w:rsidRDefault="0098622F" w:rsidP="0098622F">
            <w:pPr>
              <w:widowControl/>
              <w:ind w:firstLineChars="0" w:firstLine="0"/>
              <w:jc w:val="center"/>
              <w:rPr>
                <w:bCs/>
                <w:sz w:val="21"/>
              </w:rPr>
            </w:pPr>
          </w:p>
        </w:tc>
        <w:tc>
          <w:tcPr>
            <w:tcW w:w="335" w:type="pct"/>
            <w:vMerge/>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267" w:type="pct"/>
            <w:vMerge/>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228" w:type="pct"/>
            <w:vMerge/>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363" w:type="pct"/>
            <w:vMerge/>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296" w:type="pct"/>
            <w:vMerge/>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271" w:type="pct"/>
            <w:vMerge/>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367" w:type="pct"/>
            <w:vMerge/>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441" w:type="pct"/>
            <w:vMerge/>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358" w:type="pct"/>
            <w:vMerge/>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227" w:type="pct"/>
            <w:vMerge/>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510" w:type="pct"/>
            <w:vAlign w:val="center"/>
          </w:tcPr>
          <w:p w:rsidR="0098622F" w:rsidRPr="00381228" w:rsidRDefault="0098622F" w:rsidP="0098622F">
            <w:pPr>
              <w:spacing w:line="360" w:lineRule="exact"/>
              <w:ind w:firstLineChars="0" w:firstLine="0"/>
              <w:jc w:val="center"/>
              <w:rPr>
                <w:color w:val="000000"/>
                <w:spacing w:val="-2"/>
                <w:kern w:val="0"/>
                <w:sz w:val="21"/>
                <w:szCs w:val="21"/>
                <w:lang w:val="zh-CN"/>
              </w:rPr>
            </w:pPr>
            <w:r>
              <w:rPr>
                <w:rFonts w:hint="eastAsia"/>
                <w:color w:val="000000"/>
                <w:spacing w:val="-2"/>
                <w:kern w:val="0"/>
                <w:sz w:val="21"/>
                <w:szCs w:val="21"/>
                <w:lang w:val="zh-CN"/>
              </w:rPr>
              <w:t>氨</w:t>
            </w:r>
          </w:p>
        </w:tc>
        <w:tc>
          <w:tcPr>
            <w:tcW w:w="528" w:type="pct"/>
            <w:vAlign w:val="center"/>
          </w:tcPr>
          <w:p w:rsidR="0098622F" w:rsidRPr="00381228" w:rsidRDefault="0098622F" w:rsidP="0098622F">
            <w:pPr>
              <w:widowControl/>
              <w:spacing w:line="360" w:lineRule="exact"/>
              <w:ind w:firstLineChars="0" w:firstLine="0"/>
              <w:jc w:val="center"/>
              <w:textAlignment w:val="center"/>
              <w:rPr>
                <w:color w:val="000000"/>
                <w:sz w:val="21"/>
                <w:szCs w:val="21"/>
                <w:lang w:bidi="ar"/>
              </w:rPr>
            </w:pPr>
            <w:r>
              <w:rPr>
                <w:rFonts w:hint="eastAsia"/>
                <w:color w:val="000000"/>
                <w:sz w:val="21"/>
                <w:szCs w:val="21"/>
                <w:lang w:bidi="ar"/>
              </w:rPr>
              <w:t>0.</w:t>
            </w:r>
            <w:r>
              <w:rPr>
                <w:color w:val="000000"/>
                <w:sz w:val="21"/>
                <w:szCs w:val="21"/>
                <w:lang w:bidi="ar"/>
              </w:rPr>
              <w:t>002</w:t>
            </w:r>
          </w:p>
        </w:tc>
      </w:tr>
      <w:tr w:rsidR="0098622F" w:rsidRPr="00381228" w:rsidTr="00B03838">
        <w:trPr>
          <w:trHeight w:val="360"/>
          <w:jc w:val="center"/>
        </w:trPr>
        <w:tc>
          <w:tcPr>
            <w:tcW w:w="354" w:type="pct"/>
            <w:vMerge/>
            <w:vAlign w:val="center"/>
          </w:tcPr>
          <w:p w:rsidR="0098622F" w:rsidRPr="00381228" w:rsidRDefault="0098622F" w:rsidP="00D64D0E">
            <w:pPr>
              <w:widowControl/>
              <w:ind w:firstLineChars="0" w:firstLine="0"/>
              <w:jc w:val="center"/>
              <w:rPr>
                <w:bCs/>
                <w:sz w:val="21"/>
              </w:rPr>
            </w:pPr>
          </w:p>
        </w:tc>
        <w:tc>
          <w:tcPr>
            <w:tcW w:w="455" w:type="pct"/>
            <w:vMerge/>
            <w:vAlign w:val="center"/>
          </w:tcPr>
          <w:p w:rsidR="0098622F" w:rsidRPr="00381228" w:rsidRDefault="0098622F" w:rsidP="00D64D0E">
            <w:pPr>
              <w:widowControl/>
              <w:ind w:firstLineChars="0" w:firstLine="0"/>
              <w:jc w:val="center"/>
              <w:rPr>
                <w:bCs/>
                <w:sz w:val="21"/>
              </w:rPr>
            </w:pPr>
          </w:p>
        </w:tc>
        <w:tc>
          <w:tcPr>
            <w:tcW w:w="335" w:type="pc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乳液车间</w:t>
            </w:r>
          </w:p>
        </w:tc>
        <w:tc>
          <w:tcPr>
            <w:tcW w:w="267" w:type="pc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195</w:t>
            </w:r>
          </w:p>
        </w:tc>
        <w:tc>
          <w:tcPr>
            <w:tcW w:w="228" w:type="pc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186</w:t>
            </w:r>
          </w:p>
        </w:tc>
        <w:tc>
          <w:tcPr>
            <w:tcW w:w="363" w:type="pc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16.5</w:t>
            </w:r>
          </w:p>
        </w:tc>
        <w:tc>
          <w:tcPr>
            <w:tcW w:w="296" w:type="pc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67.5</w:t>
            </w:r>
          </w:p>
        </w:tc>
        <w:tc>
          <w:tcPr>
            <w:tcW w:w="271" w:type="pc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40</w:t>
            </w:r>
          </w:p>
        </w:tc>
        <w:tc>
          <w:tcPr>
            <w:tcW w:w="367" w:type="pc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12.8</w:t>
            </w:r>
          </w:p>
        </w:tc>
        <w:tc>
          <w:tcPr>
            <w:tcW w:w="441" w:type="pc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rFonts w:hint="eastAsia"/>
                <w:color w:val="000000"/>
                <w:spacing w:val="-2"/>
                <w:kern w:val="0"/>
                <w:sz w:val="21"/>
                <w:szCs w:val="21"/>
                <w:lang w:bidi="ar"/>
              </w:rPr>
              <w:t>11.3</w:t>
            </w:r>
          </w:p>
        </w:tc>
        <w:tc>
          <w:tcPr>
            <w:tcW w:w="358" w:type="pct"/>
            <w:vAlign w:val="center"/>
          </w:tcPr>
          <w:p w:rsidR="0098622F" w:rsidRPr="00D64D0E" w:rsidRDefault="0098622F" w:rsidP="00D64D0E">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7200</w:t>
            </w:r>
          </w:p>
        </w:tc>
        <w:tc>
          <w:tcPr>
            <w:tcW w:w="227" w:type="pct"/>
            <w:vAlign w:val="center"/>
          </w:tcPr>
          <w:p w:rsidR="0098622F" w:rsidRPr="00381228" w:rsidRDefault="0098622F" w:rsidP="00D64D0E">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正常</w:t>
            </w:r>
          </w:p>
        </w:tc>
        <w:tc>
          <w:tcPr>
            <w:tcW w:w="510" w:type="pct"/>
            <w:vAlign w:val="center"/>
          </w:tcPr>
          <w:p w:rsidR="0098622F" w:rsidRPr="00381228" w:rsidRDefault="0098622F" w:rsidP="00D64D0E">
            <w:pPr>
              <w:spacing w:line="360" w:lineRule="exact"/>
              <w:ind w:firstLineChars="0" w:firstLine="0"/>
              <w:jc w:val="center"/>
              <w:rPr>
                <w:color w:val="000000"/>
                <w:spacing w:val="-2"/>
                <w:kern w:val="0"/>
                <w:sz w:val="21"/>
                <w:szCs w:val="21"/>
                <w:lang w:val="zh-CN"/>
              </w:rPr>
            </w:pPr>
            <w:r>
              <w:rPr>
                <w:rFonts w:hint="eastAsia"/>
                <w:sz w:val="21"/>
                <w:szCs w:val="21"/>
              </w:rPr>
              <w:t>非甲烷总烃</w:t>
            </w:r>
          </w:p>
        </w:tc>
        <w:tc>
          <w:tcPr>
            <w:tcW w:w="528" w:type="pct"/>
            <w:vAlign w:val="center"/>
          </w:tcPr>
          <w:p w:rsidR="0098622F" w:rsidRPr="00381228" w:rsidRDefault="0098622F" w:rsidP="00D64D0E">
            <w:pPr>
              <w:widowControl/>
              <w:spacing w:line="360" w:lineRule="exact"/>
              <w:ind w:firstLineChars="0" w:firstLine="0"/>
              <w:jc w:val="center"/>
              <w:textAlignment w:val="center"/>
              <w:rPr>
                <w:color w:val="000000"/>
                <w:sz w:val="21"/>
                <w:szCs w:val="21"/>
                <w:lang w:bidi="ar"/>
              </w:rPr>
            </w:pPr>
            <w:r>
              <w:rPr>
                <w:rFonts w:hint="eastAsia"/>
                <w:color w:val="000000"/>
                <w:sz w:val="21"/>
                <w:szCs w:val="21"/>
                <w:lang w:bidi="ar"/>
              </w:rPr>
              <w:t>0</w:t>
            </w:r>
            <w:r>
              <w:rPr>
                <w:color w:val="000000"/>
                <w:sz w:val="21"/>
                <w:szCs w:val="21"/>
                <w:lang w:bidi="ar"/>
              </w:rPr>
              <w:t>.007</w:t>
            </w:r>
          </w:p>
        </w:tc>
      </w:tr>
      <w:tr w:rsidR="0098622F" w:rsidRPr="00381228" w:rsidTr="0098622F">
        <w:trPr>
          <w:trHeight w:val="944"/>
          <w:jc w:val="center"/>
        </w:trPr>
        <w:tc>
          <w:tcPr>
            <w:tcW w:w="354" w:type="pct"/>
            <w:vMerge w:val="restart"/>
            <w:vAlign w:val="center"/>
          </w:tcPr>
          <w:p w:rsidR="0098622F" w:rsidRPr="00381228" w:rsidRDefault="0098622F" w:rsidP="0098622F">
            <w:pPr>
              <w:widowControl/>
              <w:ind w:firstLineChars="0" w:firstLine="0"/>
              <w:jc w:val="center"/>
              <w:rPr>
                <w:bCs/>
                <w:sz w:val="21"/>
              </w:rPr>
            </w:pPr>
            <w:r w:rsidRPr="00381228">
              <w:rPr>
                <w:bCs/>
                <w:sz w:val="21"/>
              </w:rPr>
              <w:t>安徽德诺化工有限公司</w:t>
            </w:r>
          </w:p>
        </w:tc>
        <w:tc>
          <w:tcPr>
            <w:tcW w:w="455" w:type="pct"/>
            <w:vMerge w:val="restart"/>
            <w:vAlign w:val="center"/>
          </w:tcPr>
          <w:p w:rsidR="0098622F" w:rsidRPr="00381228" w:rsidRDefault="0098622F" w:rsidP="0098622F">
            <w:pPr>
              <w:widowControl/>
              <w:ind w:firstLineChars="0" w:firstLine="0"/>
              <w:jc w:val="center"/>
              <w:rPr>
                <w:bCs/>
                <w:sz w:val="21"/>
              </w:rPr>
            </w:pPr>
            <w:r w:rsidRPr="00381228">
              <w:rPr>
                <w:bCs/>
                <w:sz w:val="21"/>
              </w:rPr>
              <w:t>年产</w:t>
            </w:r>
            <w:r w:rsidRPr="00381228">
              <w:rPr>
                <w:bCs/>
                <w:sz w:val="21"/>
              </w:rPr>
              <w:t>20</w:t>
            </w:r>
            <w:r w:rsidRPr="00381228">
              <w:rPr>
                <w:bCs/>
                <w:sz w:val="21"/>
              </w:rPr>
              <w:t>万吨甲醛、</w:t>
            </w:r>
            <w:r w:rsidRPr="00381228">
              <w:rPr>
                <w:bCs/>
                <w:sz w:val="21"/>
              </w:rPr>
              <w:t>10</w:t>
            </w:r>
            <w:r w:rsidRPr="00381228">
              <w:rPr>
                <w:bCs/>
                <w:sz w:val="21"/>
              </w:rPr>
              <w:t>万吨脲醛树脂及</w:t>
            </w:r>
            <w:r w:rsidRPr="00381228">
              <w:rPr>
                <w:bCs/>
                <w:sz w:val="21"/>
              </w:rPr>
              <w:t>5</w:t>
            </w:r>
            <w:r w:rsidRPr="00381228">
              <w:rPr>
                <w:bCs/>
                <w:sz w:val="21"/>
              </w:rPr>
              <w:t>万吨酚醛树脂项目</w:t>
            </w:r>
          </w:p>
        </w:tc>
        <w:tc>
          <w:tcPr>
            <w:tcW w:w="335" w:type="pc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甲醛车间</w:t>
            </w:r>
          </w:p>
        </w:tc>
        <w:tc>
          <w:tcPr>
            <w:tcW w:w="267" w:type="pc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228" w:type="pc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363" w:type="pc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17</w:t>
            </w:r>
          </w:p>
        </w:tc>
        <w:tc>
          <w:tcPr>
            <w:tcW w:w="296" w:type="pc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3</w:t>
            </w:r>
            <w:r>
              <w:rPr>
                <w:color w:val="000000"/>
                <w:spacing w:val="-2"/>
                <w:kern w:val="0"/>
                <w:sz w:val="21"/>
                <w:szCs w:val="21"/>
                <w:lang w:bidi="ar"/>
              </w:rPr>
              <w:t>8</w:t>
            </w:r>
          </w:p>
        </w:tc>
        <w:tc>
          <w:tcPr>
            <w:tcW w:w="271" w:type="pc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1</w:t>
            </w:r>
            <w:r>
              <w:rPr>
                <w:color w:val="000000"/>
                <w:spacing w:val="-2"/>
                <w:kern w:val="0"/>
                <w:sz w:val="21"/>
                <w:szCs w:val="21"/>
                <w:lang w:bidi="ar"/>
              </w:rPr>
              <w:t>9.4</w:t>
            </w:r>
          </w:p>
        </w:tc>
        <w:tc>
          <w:tcPr>
            <w:tcW w:w="367" w:type="pct"/>
            <w:vAlign w:val="center"/>
          </w:tcPr>
          <w:p w:rsidR="0098622F" w:rsidRPr="00381228" w:rsidRDefault="0098622F" w:rsidP="0098622F">
            <w:pPr>
              <w:widowControl/>
              <w:spacing w:line="360" w:lineRule="exact"/>
              <w:ind w:firstLineChars="0" w:firstLine="0"/>
              <w:jc w:val="center"/>
              <w:textAlignment w:val="center"/>
              <w:rPr>
                <w:color w:val="000000"/>
                <w:sz w:val="21"/>
                <w:szCs w:val="21"/>
              </w:rPr>
            </w:pPr>
            <w:r>
              <w:rPr>
                <w:rFonts w:hint="eastAsia"/>
                <w:color w:val="000000"/>
                <w:sz w:val="21"/>
                <w:szCs w:val="21"/>
              </w:rPr>
              <w:t>1</w:t>
            </w:r>
            <w:r>
              <w:rPr>
                <w:color w:val="000000"/>
                <w:sz w:val="21"/>
                <w:szCs w:val="21"/>
              </w:rPr>
              <w:t>0</w:t>
            </w:r>
          </w:p>
        </w:tc>
        <w:tc>
          <w:tcPr>
            <w:tcW w:w="441" w:type="pc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8</w:t>
            </w:r>
          </w:p>
        </w:tc>
        <w:tc>
          <w:tcPr>
            <w:tcW w:w="358" w:type="pc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7200</w:t>
            </w:r>
          </w:p>
        </w:tc>
        <w:tc>
          <w:tcPr>
            <w:tcW w:w="227" w:type="pc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正常</w:t>
            </w:r>
          </w:p>
        </w:tc>
        <w:tc>
          <w:tcPr>
            <w:tcW w:w="510" w:type="pct"/>
            <w:vAlign w:val="center"/>
          </w:tcPr>
          <w:p w:rsidR="0098622F" w:rsidRPr="00381228" w:rsidRDefault="0098622F" w:rsidP="0098622F">
            <w:pPr>
              <w:widowControl/>
              <w:spacing w:line="360" w:lineRule="exact"/>
              <w:ind w:firstLineChars="0" w:firstLine="0"/>
              <w:jc w:val="center"/>
              <w:textAlignment w:val="center"/>
              <w:rPr>
                <w:sz w:val="21"/>
                <w:szCs w:val="21"/>
              </w:rPr>
            </w:pPr>
            <w:r>
              <w:rPr>
                <w:rFonts w:hint="eastAsia"/>
                <w:sz w:val="21"/>
                <w:szCs w:val="21"/>
              </w:rPr>
              <w:t>非甲烷总烃</w:t>
            </w:r>
          </w:p>
        </w:tc>
        <w:tc>
          <w:tcPr>
            <w:tcW w:w="528" w:type="pct"/>
            <w:vAlign w:val="center"/>
          </w:tcPr>
          <w:p w:rsidR="0098622F" w:rsidRPr="00381228" w:rsidRDefault="0098622F" w:rsidP="0098622F">
            <w:pPr>
              <w:widowControl/>
              <w:spacing w:line="360" w:lineRule="exact"/>
              <w:ind w:firstLineChars="0" w:firstLine="0"/>
              <w:jc w:val="center"/>
              <w:textAlignment w:val="center"/>
              <w:rPr>
                <w:sz w:val="21"/>
                <w:szCs w:val="21"/>
              </w:rPr>
            </w:pPr>
            <w:r>
              <w:rPr>
                <w:sz w:val="21"/>
                <w:szCs w:val="21"/>
              </w:rPr>
              <w:t>0.1232</w:t>
            </w:r>
          </w:p>
        </w:tc>
      </w:tr>
      <w:tr w:rsidR="0098622F" w:rsidRPr="00381228" w:rsidTr="0098622F">
        <w:trPr>
          <w:trHeight w:val="689"/>
          <w:jc w:val="center"/>
        </w:trPr>
        <w:tc>
          <w:tcPr>
            <w:tcW w:w="354" w:type="pct"/>
            <w:vMerge/>
            <w:vAlign w:val="center"/>
          </w:tcPr>
          <w:p w:rsidR="0098622F" w:rsidRPr="00381228" w:rsidRDefault="0098622F" w:rsidP="0098622F">
            <w:pPr>
              <w:widowControl/>
              <w:ind w:firstLineChars="0" w:firstLine="0"/>
              <w:jc w:val="center"/>
              <w:rPr>
                <w:bCs/>
                <w:sz w:val="21"/>
              </w:rPr>
            </w:pPr>
          </w:p>
        </w:tc>
        <w:tc>
          <w:tcPr>
            <w:tcW w:w="455" w:type="pct"/>
            <w:vMerge/>
            <w:vAlign w:val="center"/>
          </w:tcPr>
          <w:p w:rsidR="0098622F" w:rsidRPr="00381228" w:rsidRDefault="0098622F" w:rsidP="0098622F">
            <w:pPr>
              <w:widowControl/>
              <w:ind w:firstLineChars="0" w:firstLine="0"/>
              <w:jc w:val="center"/>
              <w:rPr>
                <w:bCs/>
                <w:sz w:val="21"/>
              </w:rPr>
            </w:pPr>
          </w:p>
        </w:tc>
        <w:tc>
          <w:tcPr>
            <w:tcW w:w="335" w:type="pct"/>
            <w:vMerge w:val="restar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树脂车间</w:t>
            </w:r>
          </w:p>
        </w:tc>
        <w:tc>
          <w:tcPr>
            <w:tcW w:w="267" w:type="pct"/>
            <w:vMerge w:val="restar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228" w:type="pct"/>
            <w:vMerge w:val="restar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363" w:type="pct"/>
            <w:vMerge w:val="restar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17</w:t>
            </w:r>
          </w:p>
        </w:tc>
        <w:tc>
          <w:tcPr>
            <w:tcW w:w="296" w:type="pct"/>
            <w:vMerge w:val="restar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r>
              <w:rPr>
                <w:color w:val="000000"/>
                <w:spacing w:val="-2"/>
                <w:kern w:val="0"/>
                <w:sz w:val="21"/>
                <w:szCs w:val="21"/>
                <w:lang w:bidi="ar"/>
              </w:rPr>
              <w:t>50</w:t>
            </w:r>
          </w:p>
        </w:tc>
        <w:tc>
          <w:tcPr>
            <w:tcW w:w="271" w:type="pct"/>
            <w:vMerge w:val="restar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2</w:t>
            </w:r>
            <w:r>
              <w:rPr>
                <w:color w:val="000000"/>
                <w:spacing w:val="-2"/>
                <w:kern w:val="0"/>
                <w:sz w:val="21"/>
                <w:szCs w:val="21"/>
                <w:lang w:bidi="ar"/>
              </w:rPr>
              <w:t>4</w:t>
            </w:r>
          </w:p>
        </w:tc>
        <w:tc>
          <w:tcPr>
            <w:tcW w:w="367" w:type="pct"/>
            <w:vMerge w:val="restart"/>
            <w:vAlign w:val="center"/>
          </w:tcPr>
          <w:p w:rsidR="0098622F" w:rsidRPr="00381228" w:rsidRDefault="0098622F" w:rsidP="0098622F">
            <w:pPr>
              <w:widowControl/>
              <w:spacing w:line="360" w:lineRule="exact"/>
              <w:ind w:firstLineChars="0" w:firstLine="0"/>
              <w:jc w:val="center"/>
              <w:textAlignment w:val="center"/>
              <w:rPr>
                <w:color w:val="000000"/>
                <w:sz w:val="21"/>
                <w:szCs w:val="21"/>
              </w:rPr>
            </w:pPr>
            <w:r>
              <w:rPr>
                <w:rFonts w:hint="eastAsia"/>
                <w:color w:val="000000"/>
                <w:sz w:val="21"/>
                <w:szCs w:val="21"/>
              </w:rPr>
              <w:t>10</w:t>
            </w:r>
          </w:p>
        </w:tc>
        <w:tc>
          <w:tcPr>
            <w:tcW w:w="441" w:type="pct"/>
            <w:vMerge w:val="restar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1</w:t>
            </w:r>
            <w:r>
              <w:rPr>
                <w:color w:val="000000"/>
                <w:spacing w:val="-2"/>
                <w:kern w:val="0"/>
                <w:sz w:val="21"/>
                <w:szCs w:val="21"/>
                <w:lang w:bidi="ar"/>
              </w:rPr>
              <w:t>6</w:t>
            </w:r>
          </w:p>
        </w:tc>
        <w:tc>
          <w:tcPr>
            <w:tcW w:w="358" w:type="pct"/>
            <w:vMerge w:val="restart"/>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7200</w:t>
            </w:r>
          </w:p>
        </w:tc>
        <w:tc>
          <w:tcPr>
            <w:tcW w:w="227" w:type="pct"/>
            <w:vMerge w:val="restart"/>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正常</w:t>
            </w:r>
          </w:p>
        </w:tc>
        <w:tc>
          <w:tcPr>
            <w:tcW w:w="510" w:type="pct"/>
            <w:vAlign w:val="center"/>
          </w:tcPr>
          <w:p w:rsidR="0098622F" w:rsidRPr="00381228" w:rsidRDefault="0098622F" w:rsidP="0098622F">
            <w:pPr>
              <w:widowControl/>
              <w:spacing w:line="360" w:lineRule="exact"/>
              <w:ind w:firstLineChars="0" w:firstLine="0"/>
              <w:jc w:val="center"/>
              <w:textAlignment w:val="center"/>
              <w:rPr>
                <w:sz w:val="21"/>
                <w:szCs w:val="21"/>
              </w:rPr>
            </w:pPr>
            <w:r w:rsidRPr="00381228">
              <w:rPr>
                <w:sz w:val="21"/>
                <w:szCs w:val="21"/>
              </w:rPr>
              <w:t>TSP</w:t>
            </w:r>
          </w:p>
        </w:tc>
        <w:tc>
          <w:tcPr>
            <w:tcW w:w="528" w:type="pct"/>
            <w:vAlign w:val="center"/>
          </w:tcPr>
          <w:p w:rsidR="0098622F" w:rsidRPr="00381228" w:rsidRDefault="0098622F" w:rsidP="0098622F">
            <w:pPr>
              <w:widowControl/>
              <w:spacing w:line="360" w:lineRule="exact"/>
              <w:ind w:firstLineChars="0" w:firstLine="0"/>
              <w:jc w:val="center"/>
              <w:textAlignment w:val="center"/>
              <w:rPr>
                <w:sz w:val="21"/>
                <w:szCs w:val="21"/>
              </w:rPr>
            </w:pPr>
            <w:r>
              <w:rPr>
                <w:sz w:val="21"/>
                <w:szCs w:val="21"/>
              </w:rPr>
              <w:t>0.1478</w:t>
            </w:r>
          </w:p>
        </w:tc>
      </w:tr>
      <w:tr w:rsidR="0098622F" w:rsidRPr="00381228" w:rsidTr="0098622F">
        <w:trPr>
          <w:trHeight w:val="77"/>
          <w:jc w:val="center"/>
        </w:trPr>
        <w:tc>
          <w:tcPr>
            <w:tcW w:w="354" w:type="pct"/>
            <w:vMerge/>
            <w:vAlign w:val="center"/>
          </w:tcPr>
          <w:p w:rsidR="0098622F" w:rsidRPr="00381228" w:rsidRDefault="0098622F" w:rsidP="0098622F">
            <w:pPr>
              <w:widowControl/>
              <w:ind w:firstLineChars="0" w:firstLine="0"/>
              <w:jc w:val="center"/>
              <w:rPr>
                <w:bCs/>
                <w:sz w:val="21"/>
              </w:rPr>
            </w:pPr>
          </w:p>
        </w:tc>
        <w:tc>
          <w:tcPr>
            <w:tcW w:w="455" w:type="pct"/>
            <w:vMerge/>
            <w:vAlign w:val="center"/>
          </w:tcPr>
          <w:p w:rsidR="0098622F" w:rsidRPr="00381228" w:rsidRDefault="0098622F" w:rsidP="0098622F">
            <w:pPr>
              <w:widowControl/>
              <w:ind w:firstLineChars="0" w:firstLine="0"/>
              <w:jc w:val="center"/>
              <w:rPr>
                <w:bCs/>
                <w:sz w:val="21"/>
              </w:rPr>
            </w:pPr>
          </w:p>
        </w:tc>
        <w:tc>
          <w:tcPr>
            <w:tcW w:w="335" w:type="pct"/>
            <w:vMerge/>
            <w:vAlign w:val="center"/>
          </w:tcPr>
          <w:p w:rsidR="0098622F"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267" w:type="pct"/>
            <w:vMerge/>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228" w:type="pct"/>
            <w:vMerge/>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363" w:type="pct"/>
            <w:vMerge/>
            <w:vAlign w:val="center"/>
          </w:tcPr>
          <w:p w:rsidR="0098622F"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296" w:type="pct"/>
            <w:vMerge/>
            <w:vAlign w:val="center"/>
          </w:tcPr>
          <w:p w:rsidR="0098622F"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271" w:type="pct"/>
            <w:vMerge/>
            <w:vAlign w:val="center"/>
          </w:tcPr>
          <w:p w:rsidR="0098622F"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367" w:type="pct"/>
            <w:vMerge/>
            <w:vAlign w:val="center"/>
          </w:tcPr>
          <w:p w:rsidR="0098622F" w:rsidRDefault="0098622F" w:rsidP="0098622F">
            <w:pPr>
              <w:widowControl/>
              <w:spacing w:line="360" w:lineRule="exact"/>
              <w:ind w:firstLineChars="0" w:firstLine="0"/>
              <w:jc w:val="center"/>
              <w:textAlignment w:val="center"/>
              <w:rPr>
                <w:color w:val="000000"/>
                <w:sz w:val="21"/>
                <w:szCs w:val="21"/>
              </w:rPr>
            </w:pPr>
          </w:p>
        </w:tc>
        <w:tc>
          <w:tcPr>
            <w:tcW w:w="441" w:type="pct"/>
            <w:vMerge/>
            <w:vAlign w:val="center"/>
          </w:tcPr>
          <w:p w:rsidR="0098622F"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358" w:type="pct"/>
            <w:vMerge/>
            <w:vAlign w:val="center"/>
          </w:tcPr>
          <w:p w:rsidR="0098622F" w:rsidRPr="00D64D0E"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227" w:type="pct"/>
            <w:vMerge/>
            <w:vAlign w:val="center"/>
          </w:tcPr>
          <w:p w:rsidR="0098622F" w:rsidRPr="00381228" w:rsidRDefault="0098622F" w:rsidP="0098622F">
            <w:pPr>
              <w:widowControl/>
              <w:spacing w:line="360" w:lineRule="exact"/>
              <w:ind w:firstLineChars="0" w:firstLine="0"/>
              <w:jc w:val="center"/>
              <w:textAlignment w:val="center"/>
              <w:rPr>
                <w:color w:val="000000"/>
                <w:spacing w:val="-2"/>
                <w:kern w:val="0"/>
                <w:sz w:val="21"/>
                <w:szCs w:val="21"/>
                <w:lang w:bidi="ar"/>
              </w:rPr>
            </w:pPr>
          </w:p>
        </w:tc>
        <w:tc>
          <w:tcPr>
            <w:tcW w:w="510" w:type="pct"/>
            <w:vAlign w:val="center"/>
          </w:tcPr>
          <w:p w:rsidR="0098622F" w:rsidRPr="00381228" w:rsidRDefault="0098622F" w:rsidP="0098622F">
            <w:pPr>
              <w:widowControl/>
              <w:spacing w:line="360" w:lineRule="exact"/>
              <w:ind w:firstLineChars="0" w:firstLine="0"/>
              <w:jc w:val="center"/>
              <w:textAlignment w:val="center"/>
              <w:rPr>
                <w:sz w:val="21"/>
                <w:szCs w:val="21"/>
              </w:rPr>
            </w:pPr>
            <w:r>
              <w:rPr>
                <w:rFonts w:hint="eastAsia"/>
                <w:sz w:val="21"/>
                <w:szCs w:val="21"/>
              </w:rPr>
              <w:t>非甲烷总烃</w:t>
            </w:r>
          </w:p>
        </w:tc>
        <w:tc>
          <w:tcPr>
            <w:tcW w:w="528" w:type="pct"/>
            <w:vAlign w:val="center"/>
          </w:tcPr>
          <w:p w:rsidR="0098622F" w:rsidRPr="00381228" w:rsidRDefault="0098622F" w:rsidP="0098622F">
            <w:pPr>
              <w:widowControl/>
              <w:spacing w:line="360" w:lineRule="exact"/>
              <w:ind w:firstLineChars="0" w:firstLine="0"/>
              <w:jc w:val="center"/>
              <w:textAlignment w:val="center"/>
              <w:rPr>
                <w:sz w:val="21"/>
                <w:szCs w:val="21"/>
              </w:rPr>
            </w:pPr>
            <w:r>
              <w:rPr>
                <w:sz w:val="21"/>
                <w:szCs w:val="21"/>
              </w:rPr>
              <w:t>0.1324</w:t>
            </w:r>
          </w:p>
        </w:tc>
      </w:tr>
      <w:tr w:rsidR="0067410B" w:rsidRPr="00381228" w:rsidTr="0067410B">
        <w:trPr>
          <w:trHeight w:val="603"/>
          <w:jc w:val="center"/>
        </w:trPr>
        <w:tc>
          <w:tcPr>
            <w:tcW w:w="354" w:type="pct"/>
            <w:vMerge w:val="restart"/>
            <w:vAlign w:val="center"/>
          </w:tcPr>
          <w:p w:rsidR="0067410B" w:rsidRPr="00381228" w:rsidRDefault="0067410B" w:rsidP="0067410B">
            <w:pPr>
              <w:widowControl/>
              <w:ind w:firstLineChars="0" w:firstLine="0"/>
              <w:jc w:val="center"/>
              <w:rPr>
                <w:bCs/>
                <w:sz w:val="21"/>
              </w:rPr>
            </w:pPr>
            <w:r w:rsidRPr="00381228">
              <w:rPr>
                <w:bCs/>
                <w:sz w:val="21"/>
              </w:rPr>
              <w:t>安徽裕康新材料有限公司</w:t>
            </w:r>
          </w:p>
        </w:tc>
        <w:tc>
          <w:tcPr>
            <w:tcW w:w="455" w:type="pct"/>
            <w:vMerge w:val="restart"/>
            <w:vAlign w:val="center"/>
          </w:tcPr>
          <w:p w:rsidR="0067410B" w:rsidRPr="00381228" w:rsidRDefault="0067410B" w:rsidP="0067410B">
            <w:pPr>
              <w:widowControl/>
              <w:ind w:firstLineChars="0" w:firstLine="0"/>
              <w:jc w:val="center"/>
              <w:rPr>
                <w:bCs/>
                <w:sz w:val="21"/>
              </w:rPr>
            </w:pPr>
            <w:r w:rsidRPr="00381228">
              <w:rPr>
                <w:bCs/>
                <w:sz w:val="21"/>
              </w:rPr>
              <w:t>年产</w:t>
            </w:r>
            <w:r w:rsidRPr="00381228">
              <w:rPr>
                <w:bCs/>
                <w:sz w:val="21"/>
              </w:rPr>
              <w:t>20000</w:t>
            </w:r>
            <w:r w:rsidRPr="00381228">
              <w:rPr>
                <w:bCs/>
                <w:sz w:val="21"/>
              </w:rPr>
              <w:t>吨肌氨酸钠技改项目（一期工程）</w:t>
            </w:r>
          </w:p>
        </w:tc>
        <w:tc>
          <w:tcPr>
            <w:tcW w:w="335" w:type="pct"/>
            <w:vMerge w:val="restart"/>
            <w:vAlign w:val="center"/>
          </w:tcPr>
          <w:p w:rsidR="0067410B" w:rsidRPr="0067410B" w:rsidRDefault="0067410B" w:rsidP="0067410B">
            <w:pPr>
              <w:widowControl/>
              <w:spacing w:line="360" w:lineRule="exact"/>
              <w:ind w:firstLineChars="0" w:firstLine="0"/>
              <w:jc w:val="center"/>
              <w:textAlignment w:val="center"/>
              <w:rPr>
                <w:color w:val="000000"/>
                <w:spacing w:val="-2"/>
                <w:kern w:val="0"/>
                <w:sz w:val="21"/>
                <w:szCs w:val="21"/>
                <w:lang w:bidi="ar"/>
              </w:rPr>
            </w:pPr>
            <w:r w:rsidRPr="0067410B">
              <w:rPr>
                <w:rFonts w:hint="eastAsia"/>
                <w:color w:val="000000"/>
                <w:spacing w:val="-2"/>
                <w:kern w:val="0"/>
                <w:sz w:val="21"/>
                <w:szCs w:val="21"/>
                <w:lang w:bidi="ar"/>
              </w:rPr>
              <w:t>氢氰酸联合车间</w:t>
            </w:r>
          </w:p>
        </w:tc>
        <w:tc>
          <w:tcPr>
            <w:tcW w:w="267" w:type="pct"/>
            <w:vMerge w:val="restar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28" w:type="pct"/>
            <w:vMerge w:val="restar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363" w:type="pct"/>
            <w:vMerge w:val="restar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1</w:t>
            </w:r>
            <w:r>
              <w:rPr>
                <w:color w:val="000000"/>
                <w:spacing w:val="-2"/>
                <w:kern w:val="0"/>
                <w:sz w:val="21"/>
                <w:szCs w:val="21"/>
                <w:lang w:bidi="ar"/>
              </w:rPr>
              <w:t>7.66</w:t>
            </w:r>
          </w:p>
        </w:tc>
        <w:tc>
          <w:tcPr>
            <w:tcW w:w="296" w:type="pct"/>
            <w:vMerge w:val="restar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8</w:t>
            </w:r>
            <w:r>
              <w:rPr>
                <w:color w:val="000000"/>
                <w:spacing w:val="-2"/>
                <w:kern w:val="0"/>
                <w:sz w:val="21"/>
                <w:szCs w:val="21"/>
                <w:lang w:bidi="ar"/>
              </w:rPr>
              <w:t>0</w:t>
            </w:r>
          </w:p>
        </w:tc>
        <w:tc>
          <w:tcPr>
            <w:tcW w:w="271" w:type="pct"/>
            <w:vMerge w:val="restar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50</w:t>
            </w:r>
          </w:p>
        </w:tc>
        <w:tc>
          <w:tcPr>
            <w:tcW w:w="367" w:type="pct"/>
            <w:vMerge w:val="restart"/>
            <w:vAlign w:val="center"/>
          </w:tcPr>
          <w:p w:rsidR="0067410B" w:rsidRPr="00381228" w:rsidRDefault="0067410B" w:rsidP="0067410B">
            <w:pPr>
              <w:widowControl/>
              <w:spacing w:line="360" w:lineRule="exact"/>
              <w:ind w:firstLineChars="0" w:firstLine="0"/>
              <w:jc w:val="center"/>
              <w:textAlignment w:val="center"/>
              <w:rPr>
                <w:color w:val="000000"/>
                <w:sz w:val="21"/>
                <w:szCs w:val="21"/>
              </w:rPr>
            </w:pPr>
            <w:r>
              <w:rPr>
                <w:rFonts w:hint="eastAsia"/>
                <w:color w:val="000000"/>
                <w:sz w:val="21"/>
                <w:szCs w:val="21"/>
              </w:rPr>
              <w:t>3</w:t>
            </w:r>
            <w:r>
              <w:rPr>
                <w:color w:val="000000"/>
                <w:sz w:val="21"/>
                <w:szCs w:val="21"/>
              </w:rPr>
              <w:t>0</w:t>
            </w:r>
          </w:p>
        </w:tc>
        <w:tc>
          <w:tcPr>
            <w:tcW w:w="441" w:type="pct"/>
            <w:vMerge w:val="restar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10</w:t>
            </w:r>
          </w:p>
        </w:tc>
        <w:tc>
          <w:tcPr>
            <w:tcW w:w="358" w:type="pct"/>
            <w:vMerge w:val="restart"/>
            <w:vAlign w:val="center"/>
          </w:tcPr>
          <w:p w:rsidR="0067410B" w:rsidRPr="00D64D0E" w:rsidRDefault="0067410B" w:rsidP="0067410B">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7200</w:t>
            </w:r>
          </w:p>
        </w:tc>
        <w:tc>
          <w:tcPr>
            <w:tcW w:w="227" w:type="pct"/>
            <w:vMerge w:val="restar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正常</w:t>
            </w:r>
          </w:p>
        </w:tc>
        <w:tc>
          <w:tcPr>
            <w:tcW w:w="510" w:type="pct"/>
            <w:vAlign w:val="center"/>
          </w:tcPr>
          <w:p w:rsidR="0067410B" w:rsidRPr="00381228" w:rsidRDefault="0067410B" w:rsidP="0067410B">
            <w:pPr>
              <w:widowControl/>
              <w:spacing w:line="360" w:lineRule="exact"/>
              <w:ind w:firstLineChars="0" w:firstLine="0"/>
              <w:jc w:val="center"/>
              <w:textAlignment w:val="center"/>
              <w:rPr>
                <w:sz w:val="21"/>
                <w:szCs w:val="21"/>
              </w:rPr>
            </w:pPr>
            <w:r w:rsidRPr="00381228">
              <w:rPr>
                <w:sz w:val="21"/>
                <w:szCs w:val="21"/>
              </w:rPr>
              <w:t>TSP</w:t>
            </w:r>
          </w:p>
        </w:tc>
        <w:tc>
          <w:tcPr>
            <w:tcW w:w="528" w:type="pct"/>
            <w:vAlign w:val="center"/>
          </w:tcPr>
          <w:p w:rsidR="0067410B" w:rsidRPr="00381228" w:rsidRDefault="0067410B" w:rsidP="0067410B">
            <w:pPr>
              <w:widowControl/>
              <w:spacing w:line="360" w:lineRule="exact"/>
              <w:ind w:firstLineChars="0" w:firstLine="0"/>
              <w:jc w:val="center"/>
              <w:textAlignment w:val="center"/>
              <w:rPr>
                <w:sz w:val="21"/>
                <w:szCs w:val="21"/>
              </w:rPr>
            </w:pPr>
            <w:r>
              <w:rPr>
                <w:sz w:val="21"/>
                <w:szCs w:val="21"/>
              </w:rPr>
              <w:t>0.017</w:t>
            </w:r>
          </w:p>
        </w:tc>
      </w:tr>
      <w:tr w:rsidR="0067410B" w:rsidRPr="00381228" w:rsidTr="00B03838">
        <w:trPr>
          <w:trHeight w:val="603"/>
          <w:jc w:val="center"/>
        </w:trPr>
        <w:tc>
          <w:tcPr>
            <w:tcW w:w="354" w:type="pct"/>
            <w:vMerge/>
            <w:vAlign w:val="center"/>
          </w:tcPr>
          <w:p w:rsidR="0067410B" w:rsidRPr="00381228" w:rsidRDefault="0067410B" w:rsidP="0067410B">
            <w:pPr>
              <w:widowControl/>
              <w:ind w:firstLineChars="0" w:firstLine="0"/>
              <w:jc w:val="center"/>
              <w:rPr>
                <w:bCs/>
                <w:sz w:val="21"/>
              </w:rPr>
            </w:pPr>
          </w:p>
        </w:tc>
        <w:tc>
          <w:tcPr>
            <w:tcW w:w="455" w:type="pct"/>
            <w:vMerge/>
            <w:vAlign w:val="center"/>
          </w:tcPr>
          <w:p w:rsidR="0067410B" w:rsidRPr="00381228" w:rsidRDefault="0067410B" w:rsidP="0067410B">
            <w:pPr>
              <w:widowControl/>
              <w:ind w:firstLineChars="0" w:firstLine="0"/>
              <w:jc w:val="center"/>
              <w:rPr>
                <w:bCs/>
                <w:sz w:val="21"/>
              </w:rPr>
            </w:pPr>
          </w:p>
        </w:tc>
        <w:tc>
          <w:tcPr>
            <w:tcW w:w="335" w:type="pct"/>
            <w:vMerge/>
            <w:vAlign w:val="center"/>
          </w:tcPr>
          <w:p w:rsidR="0067410B" w:rsidRPr="0067410B"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67" w:type="pct"/>
            <w:vMerge/>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28" w:type="pct"/>
            <w:vMerge/>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363" w:type="pct"/>
            <w:vMerge/>
            <w:vAlign w:val="center"/>
          </w:tcPr>
          <w:p w:rsidR="0067410B"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96" w:type="pct"/>
            <w:vMerge/>
            <w:vAlign w:val="center"/>
          </w:tcPr>
          <w:p w:rsidR="0067410B"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71" w:type="pct"/>
            <w:vMerge/>
            <w:vAlign w:val="center"/>
          </w:tcPr>
          <w:p w:rsidR="0067410B"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367" w:type="pct"/>
            <w:vMerge/>
            <w:vAlign w:val="center"/>
          </w:tcPr>
          <w:p w:rsidR="0067410B" w:rsidRDefault="0067410B" w:rsidP="0067410B">
            <w:pPr>
              <w:widowControl/>
              <w:spacing w:line="360" w:lineRule="exact"/>
              <w:ind w:firstLineChars="0" w:firstLine="0"/>
              <w:jc w:val="center"/>
              <w:textAlignment w:val="center"/>
              <w:rPr>
                <w:color w:val="000000"/>
                <w:sz w:val="21"/>
                <w:szCs w:val="21"/>
              </w:rPr>
            </w:pPr>
          </w:p>
        </w:tc>
        <w:tc>
          <w:tcPr>
            <w:tcW w:w="441" w:type="pct"/>
            <w:vMerge/>
            <w:vAlign w:val="center"/>
          </w:tcPr>
          <w:p w:rsidR="0067410B"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358" w:type="pct"/>
            <w:vMerge/>
            <w:vAlign w:val="center"/>
          </w:tcPr>
          <w:p w:rsidR="0067410B" w:rsidRPr="00D64D0E"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27" w:type="pct"/>
            <w:vMerge/>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510" w:type="pct"/>
            <w:vAlign w:val="center"/>
          </w:tcPr>
          <w:p w:rsidR="0067410B" w:rsidRPr="00381228" w:rsidRDefault="0067410B" w:rsidP="0067410B">
            <w:pPr>
              <w:widowControl/>
              <w:spacing w:line="360" w:lineRule="exact"/>
              <w:ind w:firstLineChars="0" w:firstLine="0"/>
              <w:jc w:val="center"/>
              <w:textAlignment w:val="center"/>
              <w:rPr>
                <w:sz w:val="21"/>
                <w:szCs w:val="21"/>
              </w:rPr>
            </w:pPr>
            <w:r>
              <w:rPr>
                <w:rFonts w:hint="eastAsia"/>
                <w:sz w:val="21"/>
                <w:szCs w:val="21"/>
              </w:rPr>
              <w:t>非甲烷总烃</w:t>
            </w:r>
          </w:p>
        </w:tc>
        <w:tc>
          <w:tcPr>
            <w:tcW w:w="528" w:type="pct"/>
            <w:vAlign w:val="center"/>
          </w:tcPr>
          <w:p w:rsidR="0067410B" w:rsidRPr="00381228" w:rsidRDefault="0067410B" w:rsidP="0067410B">
            <w:pPr>
              <w:widowControl/>
              <w:spacing w:line="360" w:lineRule="exact"/>
              <w:ind w:firstLineChars="0" w:firstLine="0"/>
              <w:jc w:val="center"/>
              <w:textAlignment w:val="center"/>
              <w:rPr>
                <w:sz w:val="21"/>
                <w:szCs w:val="21"/>
              </w:rPr>
            </w:pPr>
            <w:r>
              <w:rPr>
                <w:sz w:val="21"/>
                <w:szCs w:val="21"/>
              </w:rPr>
              <w:t>0.0014</w:t>
            </w:r>
          </w:p>
        </w:tc>
      </w:tr>
      <w:tr w:rsidR="0067410B" w:rsidRPr="00381228" w:rsidTr="0067410B">
        <w:trPr>
          <w:trHeight w:val="302"/>
          <w:jc w:val="center"/>
        </w:trPr>
        <w:tc>
          <w:tcPr>
            <w:tcW w:w="354" w:type="pct"/>
            <w:vMerge/>
            <w:vAlign w:val="center"/>
          </w:tcPr>
          <w:p w:rsidR="0067410B" w:rsidRPr="00381228" w:rsidRDefault="0067410B" w:rsidP="0067410B">
            <w:pPr>
              <w:widowControl/>
              <w:ind w:firstLineChars="0" w:firstLine="0"/>
              <w:jc w:val="center"/>
              <w:rPr>
                <w:bCs/>
                <w:sz w:val="21"/>
              </w:rPr>
            </w:pPr>
          </w:p>
        </w:tc>
        <w:tc>
          <w:tcPr>
            <w:tcW w:w="455" w:type="pct"/>
            <w:vMerge/>
            <w:vAlign w:val="center"/>
          </w:tcPr>
          <w:p w:rsidR="0067410B" w:rsidRPr="00381228" w:rsidRDefault="0067410B" w:rsidP="0067410B">
            <w:pPr>
              <w:widowControl/>
              <w:ind w:firstLineChars="0" w:firstLine="0"/>
              <w:jc w:val="center"/>
              <w:rPr>
                <w:bCs/>
                <w:sz w:val="21"/>
              </w:rPr>
            </w:pPr>
          </w:p>
        </w:tc>
        <w:tc>
          <w:tcPr>
            <w:tcW w:w="335" w:type="pct"/>
            <w:vMerge w:val="restart"/>
            <w:vAlign w:val="center"/>
          </w:tcPr>
          <w:p w:rsidR="0067410B" w:rsidRPr="0067410B" w:rsidRDefault="0067410B" w:rsidP="0067410B">
            <w:pPr>
              <w:widowControl/>
              <w:spacing w:line="360" w:lineRule="exact"/>
              <w:ind w:firstLineChars="0" w:firstLine="0"/>
              <w:jc w:val="center"/>
              <w:textAlignment w:val="center"/>
              <w:rPr>
                <w:color w:val="000000"/>
                <w:spacing w:val="-2"/>
                <w:kern w:val="0"/>
                <w:sz w:val="21"/>
                <w:szCs w:val="21"/>
                <w:lang w:bidi="ar"/>
              </w:rPr>
            </w:pPr>
            <w:r w:rsidRPr="0067410B">
              <w:rPr>
                <w:color w:val="000000"/>
                <w:spacing w:val="-2"/>
                <w:kern w:val="0"/>
                <w:sz w:val="21"/>
                <w:szCs w:val="21"/>
                <w:lang w:bidi="ar"/>
              </w:rPr>
              <w:t>污水处理站</w:t>
            </w:r>
          </w:p>
        </w:tc>
        <w:tc>
          <w:tcPr>
            <w:tcW w:w="267" w:type="pct"/>
            <w:vMerge w:val="restar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28" w:type="pct"/>
            <w:vMerge w:val="restar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363" w:type="pct"/>
            <w:vMerge w:val="restar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1</w:t>
            </w:r>
            <w:r>
              <w:rPr>
                <w:color w:val="000000"/>
                <w:spacing w:val="-2"/>
                <w:kern w:val="0"/>
                <w:sz w:val="21"/>
                <w:szCs w:val="21"/>
                <w:lang w:bidi="ar"/>
              </w:rPr>
              <w:t>6.70</w:t>
            </w:r>
          </w:p>
        </w:tc>
        <w:tc>
          <w:tcPr>
            <w:tcW w:w="296" w:type="pct"/>
            <w:vMerge w:val="restar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3</w:t>
            </w:r>
            <w:r>
              <w:rPr>
                <w:color w:val="000000"/>
                <w:spacing w:val="-2"/>
                <w:kern w:val="0"/>
                <w:sz w:val="21"/>
                <w:szCs w:val="21"/>
                <w:lang w:bidi="ar"/>
              </w:rPr>
              <w:t>6</w:t>
            </w:r>
          </w:p>
        </w:tc>
        <w:tc>
          <w:tcPr>
            <w:tcW w:w="271" w:type="pct"/>
            <w:vMerge w:val="restar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2</w:t>
            </w:r>
            <w:r>
              <w:rPr>
                <w:color w:val="000000"/>
                <w:spacing w:val="-2"/>
                <w:kern w:val="0"/>
                <w:sz w:val="21"/>
                <w:szCs w:val="21"/>
                <w:lang w:bidi="ar"/>
              </w:rPr>
              <w:t>5</w:t>
            </w:r>
          </w:p>
        </w:tc>
        <w:tc>
          <w:tcPr>
            <w:tcW w:w="367" w:type="pct"/>
            <w:vMerge w:val="restart"/>
            <w:vAlign w:val="center"/>
          </w:tcPr>
          <w:p w:rsidR="0067410B" w:rsidRPr="00381228" w:rsidRDefault="0067410B" w:rsidP="0067410B">
            <w:pPr>
              <w:widowControl/>
              <w:spacing w:line="360" w:lineRule="exact"/>
              <w:ind w:firstLineChars="0" w:firstLine="0"/>
              <w:jc w:val="center"/>
              <w:textAlignment w:val="center"/>
              <w:rPr>
                <w:color w:val="000000"/>
                <w:sz w:val="21"/>
                <w:szCs w:val="21"/>
              </w:rPr>
            </w:pPr>
            <w:r>
              <w:rPr>
                <w:rFonts w:hint="eastAsia"/>
                <w:color w:val="000000"/>
                <w:sz w:val="21"/>
                <w:szCs w:val="21"/>
              </w:rPr>
              <w:t>3</w:t>
            </w:r>
            <w:r>
              <w:rPr>
                <w:color w:val="000000"/>
                <w:sz w:val="21"/>
                <w:szCs w:val="21"/>
              </w:rPr>
              <w:t>0</w:t>
            </w:r>
          </w:p>
        </w:tc>
        <w:tc>
          <w:tcPr>
            <w:tcW w:w="441" w:type="pct"/>
            <w:vMerge w:val="restar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2</w:t>
            </w:r>
          </w:p>
        </w:tc>
        <w:tc>
          <w:tcPr>
            <w:tcW w:w="358" w:type="pct"/>
            <w:vMerge w:val="restart"/>
            <w:vAlign w:val="center"/>
          </w:tcPr>
          <w:p w:rsidR="0067410B" w:rsidRPr="00D64D0E" w:rsidRDefault="0067410B" w:rsidP="0067410B">
            <w:pPr>
              <w:widowControl/>
              <w:spacing w:line="360" w:lineRule="exact"/>
              <w:ind w:firstLineChars="0" w:firstLine="0"/>
              <w:jc w:val="center"/>
              <w:textAlignment w:val="center"/>
              <w:rPr>
                <w:color w:val="000000"/>
                <w:spacing w:val="-2"/>
                <w:kern w:val="0"/>
                <w:sz w:val="21"/>
                <w:szCs w:val="21"/>
                <w:lang w:bidi="ar"/>
              </w:rPr>
            </w:pPr>
            <w:r w:rsidRPr="00D64D0E">
              <w:rPr>
                <w:color w:val="000000"/>
                <w:spacing w:val="-2"/>
                <w:kern w:val="0"/>
                <w:sz w:val="21"/>
                <w:szCs w:val="21"/>
                <w:lang w:bidi="ar"/>
              </w:rPr>
              <w:t>7200</w:t>
            </w:r>
          </w:p>
        </w:tc>
        <w:tc>
          <w:tcPr>
            <w:tcW w:w="227" w:type="pct"/>
            <w:vMerge w:val="restar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r w:rsidRPr="00381228">
              <w:rPr>
                <w:rFonts w:hint="eastAsia"/>
                <w:color w:val="000000"/>
                <w:spacing w:val="-2"/>
                <w:kern w:val="0"/>
                <w:sz w:val="21"/>
                <w:szCs w:val="21"/>
                <w:lang w:bidi="ar"/>
              </w:rPr>
              <w:t>正常</w:t>
            </w:r>
          </w:p>
        </w:tc>
        <w:tc>
          <w:tcPr>
            <w:tcW w:w="510" w:type="pct"/>
            <w:vAlign w:val="center"/>
          </w:tcPr>
          <w:p w:rsidR="0067410B" w:rsidRPr="00381228" w:rsidRDefault="0067410B" w:rsidP="0067410B">
            <w:pPr>
              <w:widowControl/>
              <w:spacing w:line="360" w:lineRule="exact"/>
              <w:ind w:firstLineChars="0" w:firstLine="0"/>
              <w:jc w:val="center"/>
              <w:textAlignment w:val="center"/>
              <w:rPr>
                <w:sz w:val="21"/>
                <w:szCs w:val="21"/>
              </w:rPr>
            </w:pPr>
            <w:r>
              <w:rPr>
                <w:rFonts w:hint="eastAsia"/>
                <w:sz w:val="21"/>
                <w:szCs w:val="21"/>
              </w:rPr>
              <w:t>非甲烷总烃</w:t>
            </w:r>
          </w:p>
        </w:tc>
        <w:tc>
          <w:tcPr>
            <w:tcW w:w="528" w:type="pct"/>
            <w:vAlign w:val="center"/>
          </w:tcPr>
          <w:p w:rsidR="0067410B" w:rsidRPr="00381228" w:rsidRDefault="0067410B" w:rsidP="0067410B">
            <w:pPr>
              <w:widowControl/>
              <w:spacing w:line="360" w:lineRule="exact"/>
              <w:ind w:firstLineChars="0" w:firstLine="0"/>
              <w:jc w:val="center"/>
              <w:textAlignment w:val="center"/>
              <w:rPr>
                <w:sz w:val="21"/>
                <w:szCs w:val="21"/>
              </w:rPr>
            </w:pPr>
            <w:r>
              <w:rPr>
                <w:sz w:val="21"/>
                <w:szCs w:val="21"/>
              </w:rPr>
              <w:t>0.00049</w:t>
            </w:r>
          </w:p>
        </w:tc>
      </w:tr>
      <w:tr w:rsidR="0067410B" w:rsidRPr="00381228" w:rsidTr="00B03838">
        <w:trPr>
          <w:trHeight w:val="301"/>
          <w:jc w:val="center"/>
        </w:trPr>
        <w:tc>
          <w:tcPr>
            <w:tcW w:w="354" w:type="pct"/>
            <w:vMerge/>
            <w:vAlign w:val="center"/>
          </w:tcPr>
          <w:p w:rsidR="0067410B" w:rsidRPr="00381228" w:rsidRDefault="0067410B" w:rsidP="0067410B">
            <w:pPr>
              <w:widowControl/>
              <w:ind w:firstLineChars="0" w:firstLine="0"/>
              <w:jc w:val="center"/>
              <w:rPr>
                <w:bCs/>
                <w:sz w:val="21"/>
              </w:rPr>
            </w:pPr>
          </w:p>
        </w:tc>
        <w:tc>
          <w:tcPr>
            <w:tcW w:w="455" w:type="pct"/>
            <w:vMerge/>
            <w:vAlign w:val="center"/>
          </w:tcPr>
          <w:p w:rsidR="0067410B" w:rsidRPr="00381228" w:rsidRDefault="0067410B" w:rsidP="0067410B">
            <w:pPr>
              <w:widowControl/>
              <w:ind w:firstLineChars="0" w:firstLine="0"/>
              <w:jc w:val="center"/>
              <w:rPr>
                <w:bCs/>
                <w:sz w:val="21"/>
              </w:rPr>
            </w:pPr>
          </w:p>
        </w:tc>
        <w:tc>
          <w:tcPr>
            <w:tcW w:w="335" w:type="pct"/>
            <w:vMerge/>
            <w:vAlign w:val="center"/>
          </w:tcPr>
          <w:p w:rsidR="0067410B" w:rsidRPr="0067410B"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67" w:type="pct"/>
            <w:vMerge/>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28" w:type="pct"/>
            <w:vMerge/>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363" w:type="pct"/>
            <w:vMerge/>
            <w:vAlign w:val="center"/>
          </w:tcPr>
          <w:p w:rsidR="0067410B"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96" w:type="pct"/>
            <w:vMerge/>
            <w:vAlign w:val="center"/>
          </w:tcPr>
          <w:p w:rsidR="0067410B"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71" w:type="pct"/>
            <w:vMerge/>
            <w:vAlign w:val="center"/>
          </w:tcPr>
          <w:p w:rsidR="0067410B"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367" w:type="pct"/>
            <w:vMerge/>
            <w:vAlign w:val="center"/>
          </w:tcPr>
          <w:p w:rsidR="0067410B" w:rsidRDefault="0067410B" w:rsidP="0067410B">
            <w:pPr>
              <w:widowControl/>
              <w:spacing w:line="360" w:lineRule="exact"/>
              <w:ind w:firstLineChars="0" w:firstLine="0"/>
              <w:jc w:val="center"/>
              <w:textAlignment w:val="center"/>
              <w:rPr>
                <w:color w:val="000000"/>
                <w:sz w:val="21"/>
                <w:szCs w:val="21"/>
              </w:rPr>
            </w:pPr>
          </w:p>
        </w:tc>
        <w:tc>
          <w:tcPr>
            <w:tcW w:w="441" w:type="pct"/>
            <w:vMerge/>
            <w:vAlign w:val="center"/>
          </w:tcPr>
          <w:p w:rsidR="0067410B"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358" w:type="pct"/>
            <w:vMerge/>
            <w:vAlign w:val="center"/>
          </w:tcPr>
          <w:p w:rsidR="0067410B" w:rsidRPr="00D64D0E"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27" w:type="pct"/>
            <w:vMerge/>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510" w:type="pct"/>
            <w:vAlign w:val="center"/>
          </w:tcPr>
          <w:p w:rsidR="0067410B" w:rsidRPr="00381228" w:rsidRDefault="0067410B" w:rsidP="0067410B">
            <w:pPr>
              <w:spacing w:line="360" w:lineRule="exact"/>
              <w:ind w:firstLineChars="0" w:firstLine="0"/>
              <w:jc w:val="center"/>
              <w:rPr>
                <w:color w:val="000000"/>
                <w:spacing w:val="-2"/>
                <w:kern w:val="0"/>
                <w:sz w:val="21"/>
                <w:szCs w:val="21"/>
                <w:lang w:val="zh-CN"/>
              </w:rPr>
            </w:pPr>
            <w:r>
              <w:rPr>
                <w:rFonts w:hint="eastAsia"/>
                <w:color w:val="000000"/>
                <w:spacing w:val="-2"/>
                <w:kern w:val="0"/>
                <w:sz w:val="21"/>
                <w:szCs w:val="21"/>
                <w:lang w:val="zh-CN"/>
              </w:rPr>
              <w:t>氨</w:t>
            </w:r>
          </w:p>
        </w:tc>
        <w:tc>
          <w:tcPr>
            <w:tcW w:w="528" w:type="pct"/>
            <w:vAlign w:val="center"/>
          </w:tcPr>
          <w:p w:rsidR="0067410B" w:rsidRPr="00381228" w:rsidRDefault="0067410B" w:rsidP="0067410B">
            <w:pPr>
              <w:widowControl/>
              <w:spacing w:line="360" w:lineRule="exact"/>
              <w:ind w:firstLineChars="0" w:firstLine="0"/>
              <w:jc w:val="center"/>
              <w:textAlignment w:val="center"/>
              <w:rPr>
                <w:color w:val="000000"/>
                <w:sz w:val="21"/>
                <w:szCs w:val="21"/>
                <w:lang w:bidi="ar"/>
              </w:rPr>
            </w:pPr>
            <w:r>
              <w:rPr>
                <w:sz w:val="21"/>
                <w:szCs w:val="21"/>
              </w:rPr>
              <w:t>0.00014</w:t>
            </w:r>
          </w:p>
        </w:tc>
      </w:tr>
      <w:tr w:rsidR="0067410B" w:rsidRPr="00381228" w:rsidTr="00B03838">
        <w:trPr>
          <w:trHeight w:val="301"/>
          <w:jc w:val="center"/>
        </w:trPr>
        <w:tc>
          <w:tcPr>
            <w:tcW w:w="354" w:type="pct"/>
            <w:vMerge/>
            <w:vAlign w:val="center"/>
          </w:tcPr>
          <w:p w:rsidR="0067410B" w:rsidRPr="00381228" w:rsidRDefault="0067410B" w:rsidP="0067410B">
            <w:pPr>
              <w:widowControl/>
              <w:ind w:firstLineChars="0" w:firstLine="0"/>
              <w:jc w:val="center"/>
              <w:rPr>
                <w:bCs/>
                <w:sz w:val="21"/>
              </w:rPr>
            </w:pPr>
          </w:p>
        </w:tc>
        <w:tc>
          <w:tcPr>
            <w:tcW w:w="455" w:type="pct"/>
            <w:vMerge/>
            <w:vAlign w:val="center"/>
          </w:tcPr>
          <w:p w:rsidR="0067410B" w:rsidRPr="00381228" w:rsidRDefault="0067410B" w:rsidP="0067410B">
            <w:pPr>
              <w:widowControl/>
              <w:ind w:firstLineChars="0" w:firstLine="0"/>
              <w:jc w:val="center"/>
              <w:rPr>
                <w:bCs/>
                <w:sz w:val="21"/>
              </w:rPr>
            </w:pPr>
          </w:p>
        </w:tc>
        <w:tc>
          <w:tcPr>
            <w:tcW w:w="335" w:type="pct"/>
            <w:vMerge/>
            <w:vAlign w:val="center"/>
          </w:tcPr>
          <w:p w:rsidR="0067410B" w:rsidRPr="0067410B"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67" w:type="pct"/>
            <w:vMerge/>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28" w:type="pct"/>
            <w:vMerge/>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363" w:type="pct"/>
            <w:vMerge/>
            <w:vAlign w:val="center"/>
          </w:tcPr>
          <w:p w:rsidR="0067410B"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96" w:type="pct"/>
            <w:vMerge/>
            <w:vAlign w:val="center"/>
          </w:tcPr>
          <w:p w:rsidR="0067410B"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71" w:type="pct"/>
            <w:vMerge/>
            <w:vAlign w:val="center"/>
          </w:tcPr>
          <w:p w:rsidR="0067410B"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367" w:type="pct"/>
            <w:vMerge/>
            <w:vAlign w:val="center"/>
          </w:tcPr>
          <w:p w:rsidR="0067410B" w:rsidRDefault="0067410B" w:rsidP="0067410B">
            <w:pPr>
              <w:widowControl/>
              <w:spacing w:line="360" w:lineRule="exact"/>
              <w:ind w:firstLineChars="0" w:firstLine="0"/>
              <w:jc w:val="center"/>
              <w:textAlignment w:val="center"/>
              <w:rPr>
                <w:color w:val="000000"/>
                <w:sz w:val="21"/>
                <w:szCs w:val="21"/>
              </w:rPr>
            </w:pPr>
          </w:p>
        </w:tc>
        <w:tc>
          <w:tcPr>
            <w:tcW w:w="441" w:type="pct"/>
            <w:vMerge/>
            <w:vAlign w:val="center"/>
          </w:tcPr>
          <w:p w:rsidR="0067410B"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358" w:type="pct"/>
            <w:vMerge/>
            <w:vAlign w:val="center"/>
          </w:tcPr>
          <w:p w:rsidR="0067410B" w:rsidRPr="00D64D0E"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27" w:type="pct"/>
            <w:vMerge/>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510" w:type="pct"/>
            <w:vAlign w:val="center"/>
          </w:tcPr>
          <w:p w:rsidR="0067410B" w:rsidRPr="00381228" w:rsidRDefault="0067410B" w:rsidP="0067410B">
            <w:pPr>
              <w:spacing w:line="360" w:lineRule="exact"/>
              <w:ind w:firstLineChars="0" w:firstLine="0"/>
              <w:jc w:val="center"/>
              <w:rPr>
                <w:color w:val="000000"/>
                <w:spacing w:val="-2"/>
                <w:kern w:val="0"/>
                <w:sz w:val="21"/>
                <w:szCs w:val="21"/>
                <w:lang w:val="zh-CN"/>
              </w:rPr>
            </w:pPr>
            <w:r>
              <w:rPr>
                <w:rFonts w:hint="eastAsia"/>
                <w:color w:val="000000"/>
                <w:spacing w:val="-2"/>
                <w:kern w:val="0"/>
                <w:sz w:val="21"/>
                <w:szCs w:val="21"/>
                <w:lang w:val="zh-CN"/>
              </w:rPr>
              <w:t>硫化氢</w:t>
            </w:r>
          </w:p>
        </w:tc>
        <w:tc>
          <w:tcPr>
            <w:tcW w:w="528" w:type="pct"/>
            <w:vAlign w:val="center"/>
          </w:tcPr>
          <w:p w:rsidR="0067410B" w:rsidRPr="00381228" w:rsidRDefault="0067410B" w:rsidP="0067410B">
            <w:pPr>
              <w:widowControl/>
              <w:spacing w:line="360" w:lineRule="exact"/>
              <w:ind w:firstLineChars="0" w:firstLine="0"/>
              <w:jc w:val="center"/>
              <w:textAlignment w:val="center"/>
              <w:rPr>
                <w:color w:val="000000"/>
                <w:sz w:val="21"/>
                <w:szCs w:val="21"/>
                <w:lang w:bidi="ar"/>
              </w:rPr>
            </w:pPr>
            <w:r>
              <w:rPr>
                <w:sz w:val="21"/>
                <w:szCs w:val="21"/>
              </w:rPr>
              <w:t>0.000007</w:t>
            </w:r>
          </w:p>
        </w:tc>
      </w:tr>
      <w:tr w:rsidR="0067410B" w:rsidRPr="00381228" w:rsidTr="00B03838">
        <w:trPr>
          <w:trHeight w:val="360"/>
          <w:jc w:val="center"/>
        </w:trPr>
        <w:tc>
          <w:tcPr>
            <w:tcW w:w="354" w:type="pct"/>
            <w:vAlign w:val="center"/>
          </w:tcPr>
          <w:p w:rsidR="0067410B" w:rsidRPr="00381228" w:rsidRDefault="0067410B" w:rsidP="0067410B">
            <w:pPr>
              <w:widowControl/>
              <w:ind w:firstLineChars="0" w:firstLine="0"/>
              <w:jc w:val="center"/>
              <w:rPr>
                <w:bCs/>
                <w:sz w:val="21"/>
              </w:rPr>
            </w:pPr>
            <w:r w:rsidRPr="00381228">
              <w:rPr>
                <w:bCs/>
                <w:sz w:val="21"/>
              </w:rPr>
              <w:t>安徽百川生物科技有限公司</w:t>
            </w:r>
          </w:p>
        </w:tc>
        <w:tc>
          <w:tcPr>
            <w:tcW w:w="455" w:type="pct"/>
            <w:vAlign w:val="center"/>
          </w:tcPr>
          <w:p w:rsidR="0067410B" w:rsidRPr="00381228" w:rsidRDefault="0067410B" w:rsidP="0067410B">
            <w:pPr>
              <w:widowControl/>
              <w:ind w:firstLineChars="0" w:firstLine="0"/>
              <w:jc w:val="center"/>
              <w:rPr>
                <w:bCs/>
                <w:sz w:val="21"/>
              </w:rPr>
            </w:pPr>
            <w:r w:rsidRPr="00381228">
              <w:rPr>
                <w:bCs/>
                <w:sz w:val="21"/>
              </w:rPr>
              <w:t>G10</w:t>
            </w:r>
            <w:r w:rsidRPr="00381228">
              <w:rPr>
                <w:bCs/>
                <w:sz w:val="21"/>
              </w:rPr>
              <w:t>车间医用气体生产项目</w:t>
            </w:r>
          </w:p>
        </w:tc>
        <w:tc>
          <w:tcPr>
            <w:tcW w:w="335" w:type="pc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r w:rsidRPr="00381228">
              <w:rPr>
                <w:bCs/>
                <w:sz w:val="21"/>
              </w:rPr>
              <w:t>G10</w:t>
            </w:r>
            <w:r>
              <w:rPr>
                <w:rFonts w:hint="eastAsia"/>
                <w:bCs/>
                <w:sz w:val="21"/>
              </w:rPr>
              <w:t>甲类</w:t>
            </w:r>
            <w:r w:rsidRPr="00381228">
              <w:rPr>
                <w:bCs/>
                <w:sz w:val="21"/>
              </w:rPr>
              <w:t>车间</w:t>
            </w:r>
          </w:p>
        </w:tc>
        <w:tc>
          <w:tcPr>
            <w:tcW w:w="267" w:type="pc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228" w:type="pc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p>
        </w:tc>
        <w:tc>
          <w:tcPr>
            <w:tcW w:w="363" w:type="pc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1</w:t>
            </w:r>
            <w:r>
              <w:rPr>
                <w:color w:val="000000"/>
                <w:spacing w:val="-2"/>
                <w:kern w:val="0"/>
                <w:sz w:val="21"/>
                <w:szCs w:val="21"/>
                <w:lang w:bidi="ar"/>
              </w:rPr>
              <w:t>7</w:t>
            </w:r>
          </w:p>
        </w:tc>
        <w:tc>
          <w:tcPr>
            <w:tcW w:w="296" w:type="pc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5</w:t>
            </w:r>
            <w:r>
              <w:rPr>
                <w:color w:val="000000"/>
                <w:spacing w:val="-2"/>
                <w:kern w:val="0"/>
                <w:sz w:val="21"/>
                <w:szCs w:val="21"/>
                <w:lang w:bidi="ar"/>
              </w:rPr>
              <w:t>0</w:t>
            </w:r>
          </w:p>
        </w:tc>
        <w:tc>
          <w:tcPr>
            <w:tcW w:w="271" w:type="pc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2</w:t>
            </w:r>
            <w:r>
              <w:rPr>
                <w:color w:val="000000"/>
                <w:spacing w:val="-2"/>
                <w:kern w:val="0"/>
                <w:sz w:val="21"/>
                <w:szCs w:val="21"/>
                <w:lang w:bidi="ar"/>
              </w:rPr>
              <w:t>4</w:t>
            </w:r>
          </w:p>
        </w:tc>
        <w:tc>
          <w:tcPr>
            <w:tcW w:w="367" w:type="pct"/>
            <w:vAlign w:val="center"/>
          </w:tcPr>
          <w:p w:rsidR="0067410B" w:rsidRPr="00381228" w:rsidRDefault="0067410B" w:rsidP="0067410B">
            <w:pPr>
              <w:widowControl/>
              <w:spacing w:line="360" w:lineRule="exact"/>
              <w:ind w:firstLineChars="0" w:firstLine="0"/>
              <w:jc w:val="center"/>
              <w:textAlignment w:val="center"/>
              <w:rPr>
                <w:color w:val="000000"/>
                <w:sz w:val="21"/>
                <w:szCs w:val="21"/>
              </w:rPr>
            </w:pPr>
            <w:r>
              <w:rPr>
                <w:rFonts w:hint="eastAsia"/>
                <w:color w:val="000000"/>
                <w:sz w:val="21"/>
                <w:szCs w:val="21"/>
              </w:rPr>
              <w:t>0</w:t>
            </w:r>
          </w:p>
        </w:tc>
        <w:tc>
          <w:tcPr>
            <w:tcW w:w="441" w:type="pct"/>
            <w:vAlign w:val="center"/>
          </w:tcPr>
          <w:p w:rsidR="0067410B" w:rsidRPr="00381228" w:rsidRDefault="0067410B" w:rsidP="0067410B">
            <w:pPr>
              <w:widowControl/>
              <w:spacing w:line="360" w:lineRule="exact"/>
              <w:ind w:firstLineChars="0" w:firstLine="0"/>
              <w:jc w:val="center"/>
              <w:textAlignment w:val="center"/>
              <w:rPr>
                <w:color w:val="000000"/>
                <w:spacing w:val="-2"/>
                <w:kern w:val="0"/>
                <w:sz w:val="21"/>
                <w:szCs w:val="21"/>
                <w:lang w:bidi="ar"/>
              </w:rPr>
            </w:pPr>
            <w:r>
              <w:rPr>
                <w:rFonts w:hint="eastAsia"/>
                <w:color w:val="000000"/>
                <w:spacing w:val="-2"/>
                <w:kern w:val="0"/>
                <w:sz w:val="21"/>
                <w:szCs w:val="21"/>
                <w:lang w:bidi="ar"/>
              </w:rPr>
              <w:t>5</w:t>
            </w:r>
          </w:p>
        </w:tc>
        <w:tc>
          <w:tcPr>
            <w:tcW w:w="358" w:type="pct"/>
            <w:vAlign w:val="center"/>
          </w:tcPr>
          <w:p w:rsidR="0067410B" w:rsidRPr="00381228" w:rsidRDefault="0067410B" w:rsidP="0067410B">
            <w:pPr>
              <w:widowControl/>
              <w:spacing w:line="360" w:lineRule="exact"/>
              <w:ind w:firstLineChars="0" w:firstLine="0"/>
              <w:jc w:val="center"/>
              <w:textAlignment w:val="center"/>
              <w:rPr>
                <w:color w:val="000000"/>
                <w:sz w:val="21"/>
                <w:szCs w:val="21"/>
              </w:rPr>
            </w:pPr>
            <w:r>
              <w:rPr>
                <w:rFonts w:hint="eastAsia"/>
                <w:color w:val="000000"/>
                <w:sz w:val="21"/>
                <w:szCs w:val="21"/>
              </w:rPr>
              <w:t>6</w:t>
            </w:r>
            <w:r>
              <w:rPr>
                <w:color w:val="000000"/>
                <w:sz w:val="21"/>
                <w:szCs w:val="21"/>
              </w:rPr>
              <w:t>60</w:t>
            </w:r>
          </w:p>
        </w:tc>
        <w:tc>
          <w:tcPr>
            <w:tcW w:w="227" w:type="pct"/>
            <w:vAlign w:val="center"/>
          </w:tcPr>
          <w:p w:rsidR="0067410B" w:rsidRPr="00381228" w:rsidRDefault="0067410B" w:rsidP="0067410B">
            <w:pPr>
              <w:widowControl/>
              <w:spacing w:line="360" w:lineRule="exact"/>
              <w:ind w:firstLineChars="0" w:firstLine="0"/>
              <w:jc w:val="center"/>
              <w:textAlignment w:val="center"/>
              <w:rPr>
                <w:color w:val="000000"/>
                <w:sz w:val="21"/>
                <w:szCs w:val="21"/>
              </w:rPr>
            </w:pPr>
            <w:r w:rsidRPr="00381228">
              <w:rPr>
                <w:rFonts w:hint="eastAsia"/>
                <w:color w:val="000000"/>
                <w:spacing w:val="-2"/>
                <w:kern w:val="0"/>
                <w:sz w:val="21"/>
                <w:szCs w:val="21"/>
                <w:lang w:bidi="ar"/>
              </w:rPr>
              <w:t>正常</w:t>
            </w:r>
          </w:p>
        </w:tc>
        <w:tc>
          <w:tcPr>
            <w:tcW w:w="510" w:type="pct"/>
            <w:vAlign w:val="center"/>
          </w:tcPr>
          <w:p w:rsidR="0067410B" w:rsidRPr="00381228" w:rsidRDefault="0067410B" w:rsidP="0067410B">
            <w:pPr>
              <w:widowControl/>
              <w:spacing w:line="360" w:lineRule="exact"/>
              <w:ind w:firstLineChars="0" w:firstLine="0"/>
              <w:jc w:val="center"/>
              <w:textAlignment w:val="center"/>
              <w:rPr>
                <w:sz w:val="21"/>
                <w:szCs w:val="21"/>
              </w:rPr>
            </w:pPr>
            <w:r w:rsidRPr="00381228">
              <w:rPr>
                <w:sz w:val="21"/>
                <w:szCs w:val="21"/>
              </w:rPr>
              <w:t>TSP</w:t>
            </w:r>
          </w:p>
        </w:tc>
        <w:tc>
          <w:tcPr>
            <w:tcW w:w="528" w:type="pct"/>
            <w:vAlign w:val="center"/>
          </w:tcPr>
          <w:p w:rsidR="0067410B" w:rsidRPr="00381228" w:rsidRDefault="0067410B" w:rsidP="0067410B">
            <w:pPr>
              <w:widowControl/>
              <w:spacing w:line="360" w:lineRule="exact"/>
              <w:ind w:firstLineChars="0" w:firstLine="0"/>
              <w:jc w:val="center"/>
              <w:textAlignment w:val="center"/>
              <w:rPr>
                <w:sz w:val="21"/>
                <w:szCs w:val="21"/>
              </w:rPr>
            </w:pPr>
            <w:r>
              <w:rPr>
                <w:sz w:val="21"/>
                <w:szCs w:val="21"/>
              </w:rPr>
              <w:t>0.0002</w:t>
            </w:r>
          </w:p>
        </w:tc>
      </w:tr>
    </w:tbl>
    <w:p w:rsidR="00381228" w:rsidRDefault="00381228">
      <w:pPr>
        <w:ind w:firstLineChars="0" w:firstLine="0"/>
      </w:pPr>
    </w:p>
    <w:p w:rsidR="004E3021" w:rsidRDefault="004E3021">
      <w:pPr>
        <w:ind w:firstLineChars="0" w:firstLine="0"/>
        <w:sectPr w:rsidR="004E3021">
          <w:pgSz w:w="16838" w:h="11906" w:orient="landscape"/>
          <w:pgMar w:top="1440" w:right="1440" w:bottom="1440" w:left="1440" w:header="851" w:footer="992" w:gutter="0"/>
          <w:cols w:space="425"/>
          <w:docGrid w:type="lines" w:linePitch="326"/>
        </w:sectPr>
      </w:pPr>
    </w:p>
    <w:p w:rsidR="004E3021" w:rsidRDefault="00606E48">
      <w:pPr>
        <w:pStyle w:val="afffffffffffffffff2"/>
      </w:pPr>
      <w:bookmarkStart w:id="325" w:name="_Toc221501003"/>
      <w:r>
        <w:rPr>
          <w:rFonts w:hint="eastAsia"/>
        </w:rPr>
        <w:lastRenderedPageBreak/>
        <w:t>5</w:t>
      </w:r>
      <w:r>
        <w:rPr>
          <w:rFonts w:hint="eastAsia"/>
        </w:rPr>
        <w:t>、环境影响预测与评价</w:t>
      </w:r>
      <w:bookmarkEnd w:id="325"/>
    </w:p>
    <w:p w:rsidR="004E3021" w:rsidRDefault="00606E48">
      <w:pPr>
        <w:pStyle w:val="afffffffffffffffff3"/>
      </w:pPr>
      <w:bookmarkStart w:id="326" w:name="_Toc221501004"/>
      <w:r>
        <w:rPr>
          <w:rFonts w:hint="eastAsia"/>
        </w:rPr>
        <w:t>5</w:t>
      </w:r>
      <w:r>
        <w:t>.1</w:t>
      </w:r>
      <w:r>
        <w:rPr>
          <w:rFonts w:hint="eastAsia"/>
        </w:rPr>
        <w:t>大气环境</w:t>
      </w:r>
      <w:r>
        <w:t>影响</w:t>
      </w:r>
      <w:r>
        <w:rPr>
          <w:rFonts w:hint="eastAsia"/>
        </w:rPr>
        <w:t>分析</w:t>
      </w:r>
      <w:bookmarkEnd w:id="326"/>
    </w:p>
    <w:p w:rsidR="004E3021" w:rsidRDefault="00606E48">
      <w:pPr>
        <w:pStyle w:val="afffffffffffffffff4"/>
      </w:pPr>
      <w:bookmarkStart w:id="327" w:name="_Toc108662635"/>
      <w:bookmarkStart w:id="328" w:name="_Toc101135858"/>
      <w:bookmarkStart w:id="329" w:name="_Toc100784026"/>
      <w:bookmarkStart w:id="330" w:name="_Toc221088790"/>
      <w:bookmarkStart w:id="331" w:name="_Toc221501005"/>
      <w:r>
        <w:rPr>
          <w:rFonts w:hint="eastAsia"/>
        </w:rPr>
        <w:t>5.</w:t>
      </w:r>
      <w:r>
        <w:t>1</w:t>
      </w:r>
      <w:r>
        <w:rPr>
          <w:rFonts w:hint="eastAsia"/>
        </w:rPr>
        <w:t>.1</w:t>
      </w:r>
      <w:r>
        <w:rPr>
          <w:rFonts w:ascii="黑体" w:hAnsi="黑体" w:hint="eastAsia"/>
        </w:rPr>
        <w:t>污染气象分析</w:t>
      </w:r>
      <w:bookmarkEnd w:id="327"/>
      <w:bookmarkEnd w:id="328"/>
      <w:bookmarkEnd w:id="329"/>
      <w:bookmarkEnd w:id="330"/>
      <w:bookmarkEnd w:id="331"/>
    </w:p>
    <w:p w:rsidR="004E3021" w:rsidRDefault="00606E48">
      <w:pPr>
        <w:pStyle w:val="4a"/>
      </w:pPr>
      <w:r>
        <w:rPr>
          <w:rFonts w:hint="eastAsia"/>
        </w:rPr>
        <w:t>5.</w:t>
      </w:r>
      <w:r>
        <w:t>1</w:t>
      </w:r>
      <w:r>
        <w:rPr>
          <w:rFonts w:hint="eastAsia"/>
        </w:rPr>
        <w:t>.1.1</w:t>
      </w:r>
      <w:r>
        <w:rPr>
          <w:rFonts w:ascii="黑体" w:hAnsi="黑体" w:hint="eastAsia"/>
        </w:rPr>
        <w:t>近</w:t>
      </w:r>
      <w:r>
        <w:rPr>
          <w:rFonts w:hint="eastAsia"/>
        </w:rPr>
        <w:t>20</w:t>
      </w:r>
      <w:r>
        <w:rPr>
          <w:rFonts w:ascii="黑体" w:hAnsi="黑体" w:hint="eastAsia"/>
        </w:rPr>
        <w:t>年</w:t>
      </w:r>
      <w:r>
        <w:rPr>
          <w:rFonts w:ascii="黑体" w:hAnsi="黑体"/>
        </w:rPr>
        <w:t>气象资料统计</w:t>
      </w:r>
    </w:p>
    <w:p w:rsidR="004E3021" w:rsidRDefault="00606E48">
      <w:pPr>
        <w:ind w:firstLine="480"/>
      </w:pPr>
      <w:r>
        <w:rPr>
          <w:rFonts w:ascii="宋体" w:hAnsi="宋体" w:hint="eastAsia"/>
        </w:rPr>
        <w:t>根据</w:t>
      </w:r>
      <w:r>
        <w:rPr>
          <w:rFonts w:ascii="宋体" w:hAnsi="宋体"/>
        </w:rPr>
        <w:t>蚌埠气象站</w:t>
      </w:r>
      <w:r>
        <w:t>(58221)</w:t>
      </w:r>
      <w:r>
        <w:rPr>
          <w:rFonts w:ascii="宋体" w:hAnsi="宋体" w:hint="eastAsia"/>
        </w:rPr>
        <w:t>近</w:t>
      </w:r>
      <w:r>
        <w:rPr>
          <w:rFonts w:ascii="宋体" w:hAnsi="宋体"/>
        </w:rPr>
        <w:t>二十年（</w:t>
      </w:r>
      <w:r>
        <w:t>200</w:t>
      </w:r>
      <w:r w:rsidR="00AD3EDF">
        <w:t>4</w:t>
      </w:r>
      <w:r>
        <w:t>~202</w:t>
      </w:r>
      <w:r w:rsidR="00AD3EDF">
        <w:t>3</w:t>
      </w:r>
      <w:r>
        <w:rPr>
          <w:rFonts w:ascii="宋体" w:hAnsi="宋体"/>
        </w:rPr>
        <w:t>）</w:t>
      </w:r>
      <w:r>
        <w:rPr>
          <w:rFonts w:ascii="宋体" w:hAnsi="宋体" w:hint="eastAsia"/>
        </w:rPr>
        <w:t>气象</w:t>
      </w:r>
      <w:r>
        <w:rPr>
          <w:rFonts w:ascii="宋体" w:hAnsi="宋体"/>
        </w:rPr>
        <w:t>资料</w:t>
      </w:r>
      <w:r>
        <w:rPr>
          <w:rFonts w:ascii="宋体" w:hAnsi="宋体" w:hint="eastAsia"/>
        </w:rPr>
        <w:t>统计</w:t>
      </w:r>
      <w:r>
        <w:rPr>
          <w:rFonts w:ascii="宋体" w:hAnsi="宋体"/>
        </w:rPr>
        <w:t>，分析本地区污染气象特征。气象站位于安徽省蚌埠市，地理坐标为东经</w:t>
      </w:r>
      <w:r>
        <w:t>117.3044</w:t>
      </w:r>
      <w:r>
        <w:rPr>
          <w:rFonts w:ascii="宋体" w:hAnsi="宋体"/>
        </w:rPr>
        <w:t>度，北纬</w:t>
      </w:r>
      <w:r>
        <w:t>32.8436</w:t>
      </w:r>
      <w:r>
        <w:rPr>
          <w:rFonts w:ascii="宋体" w:hAnsi="宋体"/>
        </w:rPr>
        <w:t>度，海拔高度</w:t>
      </w:r>
      <w:r>
        <w:t>26.8</w:t>
      </w:r>
      <w:r>
        <w:rPr>
          <w:rFonts w:ascii="宋体" w:hAnsi="宋体"/>
        </w:rPr>
        <w:t>米。气象站始建于</w:t>
      </w:r>
      <w:r>
        <w:t>1951</w:t>
      </w:r>
      <w:r>
        <w:rPr>
          <w:rFonts w:ascii="宋体" w:hAnsi="宋体"/>
        </w:rPr>
        <w:t>年，</w:t>
      </w:r>
      <w:r>
        <w:t>1951</w:t>
      </w:r>
      <w:r>
        <w:rPr>
          <w:rFonts w:ascii="宋体" w:hAnsi="宋体"/>
        </w:rPr>
        <w:t>年正式进行气象观测。蚌埠气象站距本项目约</w:t>
      </w:r>
      <w:r w:rsidR="00CD011F">
        <w:t>30.147</w:t>
      </w:r>
      <w:r>
        <w:t>km</w:t>
      </w:r>
      <w:r>
        <w:rPr>
          <w:rFonts w:ascii="宋体" w:hAnsi="宋体"/>
        </w:rPr>
        <w:t>，是距项目最近的国家气象站，距离小于</w:t>
      </w:r>
      <w:r>
        <w:t>50km</w:t>
      </w:r>
      <w:r>
        <w:rPr>
          <w:rFonts w:ascii="宋体" w:hAnsi="宋体"/>
        </w:rPr>
        <w:t>，满足导则气象资料的使用条件。</w:t>
      </w:r>
    </w:p>
    <w:p w:rsidR="004E3021" w:rsidRDefault="00606E48">
      <w:pPr>
        <w:ind w:firstLine="480"/>
      </w:pPr>
      <w:r>
        <w:rPr>
          <w:rFonts w:ascii="宋体" w:hAnsi="宋体" w:hint="eastAsia"/>
        </w:rPr>
        <w:t>（</w:t>
      </w:r>
      <w:r>
        <w:rPr>
          <w:rFonts w:hint="eastAsia"/>
        </w:rPr>
        <w:t>1</w:t>
      </w:r>
      <w:r>
        <w:rPr>
          <w:rFonts w:ascii="宋体" w:hAnsi="宋体" w:hint="eastAsia"/>
        </w:rPr>
        <w:t>）</w:t>
      </w:r>
      <w:r>
        <w:rPr>
          <w:rFonts w:ascii="宋体" w:hAnsi="宋体"/>
          <w:shd w:val="clear" w:color="auto" w:fill="FFFFFF"/>
        </w:rPr>
        <w:t>气候特征</w:t>
      </w:r>
    </w:p>
    <w:p w:rsidR="004E3021" w:rsidRDefault="00606E48">
      <w:pPr>
        <w:ind w:firstLine="480"/>
      </w:pPr>
      <w:r>
        <w:rPr>
          <w:rFonts w:ascii="宋体" w:hAnsi="宋体" w:hint="eastAsia"/>
        </w:rPr>
        <w:t>蚌埠市地处亚热带和暖温带的过渡地带，属于东部季风性气候区暖温带半湿润气候，</w:t>
      </w:r>
      <w:r>
        <w:t>兼有南北过渡类型的气候特点。气候温和，四季分明，光照充足，雨量适中。多年平均气温为</w:t>
      </w:r>
      <w:r>
        <w:t>15.37</w:t>
      </w:r>
      <w:r>
        <w:rPr>
          <w:vertAlign w:val="superscript"/>
        </w:rPr>
        <w:t>o</w:t>
      </w:r>
      <w:r>
        <w:t>C</w:t>
      </w:r>
      <w:r>
        <w:t>，最冷出现在</w:t>
      </w:r>
      <w:r>
        <w:t>1</w:t>
      </w:r>
      <w:r>
        <w:t>月平均气温</w:t>
      </w:r>
      <w:r>
        <w:t>0.75</w:t>
      </w:r>
      <w:r>
        <w:t>，最热的</w:t>
      </w:r>
      <w:r>
        <w:t>7</w:t>
      </w:r>
      <w:r>
        <w:t>月平均气温</w:t>
      </w:r>
      <w:r>
        <w:t>29.62</w:t>
      </w:r>
      <w:r>
        <w:rPr>
          <w:vertAlign w:val="superscript"/>
        </w:rPr>
        <w:t>o</w:t>
      </w:r>
      <w:r>
        <w:t>C</w:t>
      </w:r>
      <w:r>
        <w:t>，日极端最高气温</w:t>
      </w:r>
      <w:r>
        <w:t>40.5</w:t>
      </w:r>
      <w:r>
        <w:rPr>
          <w:vertAlign w:val="superscript"/>
        </w:rPr>
        <w:t>o</w:t>
      </w:r>
      <w:r>
        <w:t>C</w:t>
      </w:r>
      <w:r>
        <w:t>，日极端最低气温为</w:t>
      </w:r>
      <w:r>
        <w:t>-24.3</w:t>
      </w:r>
      <w:r>
        <w:rPr>
          <w:vertAlign w:val="superscript"/>
        </w:rPr>
        <w:t>o</w:t>
      </w:r>
      <w:r>
        <w:t>C</w:t>
      </w:r>
      <w:r>
        <w:t>。区域内风向有明显的季节性变化，全年以</w:t>
      </w:r>
      <w:r>
        <w:t>E</w:t>
      </w:r>
      <w:r>
        <w:t>风为主，其次是</w:t>
      </w:r>
      <w:r>
        <w:t>ENE</w:t>
      </w:r>
      <w:r>
        <w:t>风，全年平均风速</w:t>
      </w:r>
      <w:r>
        <w:t>2.45m/s</w:t>
      </w:r>
      <w:r>
        <w:t>。</w:t>
      </w:r>
    </w:p>
    <w:p w:rsidR="004E3021" w:rsidRDefault="00606E48">
      <w:pPr>
        <w:ind w:firstLine="480"/>
      </w:pPr>
      <w:r>
        <w:t>（</w:t>
      </w:r>
      <w:r>
        <w:t>2</w:t>
      </w:r>
      <w:r>
        <w:t>）温度</w:t>
      </w:r>
    </w:p>
    <w:p w:rsidR="004E3021" w:rsidRDefault="00606E48">
      <w:pPr>
        <w:ind w:firstLine="480"/>
      </w:pPr>
      <w:r>
        <w:t>蚌埠市多年平均温度的月变化情况见表</w:t>
      </w:r>
      <w:r>
        <w:t>5.1.1-1</w:t>
      </w:r>
      <w:r>
        <w:t>和图</w:t>
      </w:r>
      <w:r>
        <w:t>5.1.1-1</w:t>
      </w:r>
      <w:r>
        <w:t>。从表</w:t>
      </w:r>
      <w:r>
        <w:t>5.1.1-1</w:t>
      </w:r>
      <w:r>
        <w:t>和图</w:t>
      </w:r>
      <w:r>
        <w:t>5.1.1-1</w:t>
      </w:r>
      <w:r>
        <w:t>知，全年平均气温为</w:t>
      </w:r>
      <w:r>
        <w:t>15.37</w:t>
      </w:r>
      <w:r>
        <w:rPr>
          <w:vertAlign w:val="superscript"/>
        </w:rPr>
        <w:t xml:space="preserve"> o</w:t>
      </w:r>
      <w:r>
        <w:t>C</w:t>
      </w:r>
      <w:r>
        <w:t>，其中夏季气温明显高于其它季节，以</w:t>
      </w:r>
      <w:r>
        <w:t>7</w:t>
      </w:r>
      <w:r>
        <w:t>月温度最高，平均为</w:t>
      </w:r>
      <w:r>
        <w:t>29.62</w:t>
      </w:r>
      <w:r>
        <w:rPr>
          <w:vertAlign w:val="superscript"/>
        </w:rPr>
        <w:t xml:space="preserve"> o</w:t>
      </w:r>
      <w:r>
        <w:t>C</w:t>
      </w:r>
      <w:r>
        <w:t>，</w:t>
      </w:r>
      <w:r>
        <w:t>1</w:t>
      </w:r>
      <w:r>
        <w:t>月温度最低，平均为</w:t>
      </w:r>
      <w:r>
        <w:t>0.75</w:t>
      </w:r>
      <w:r>
        <w:rPr>
          <w:vertAlign w:val="superscript"/>
        </w:rPr>
        <w:t xml:space="preserve"> o</w:t>
      </w:r>
      <w:r>
        <w:t>C</w:t>
      </w:r>
      <w:r>
        <w:t>。</w:t>
      </w:r>
    </w:p>
    <w:p w:rsidR="004E3021" w:rsidRDefault="00606E48">
      <w:pPr>
        <w:pStyle w:val="afffff4"/>
        <w:ind w:firstLine="480"/>
      </w:pPr>
      <w:r>
        <w:rPr>
          <w:rFonts w:ascii="黑体" w:hAnsi="黑体"/>
        </w:rPr>
        <w:t>表</w:t>
      </w:r>
      <w:r>
        <w:t xml:space="preserve">5.1.1-1  </w:t>
      </w:r>
      <w:r>
        <w:rPr>
          <w:rFonts w:ascii="黑体" w:hAnsi="黑体" w:hint="eastAsia"/>
        </w:rPr>
        <w:t>区域多年平均温度的月变化统计</w:t>
      </w:r>
      <w:r>
        <w:rPr>
          <w:rFonts w:hint="eastAsia"/>
        </w:rPr>
        <w:t xml:space="preserve">  </w:t>
      </w:r>
      <w:r>
        <w:rPr>
          <w:rFonts w:hint="eastAsia"/>
        </w:rPr>
        <w:t>单位：</w:t>
      </w:r>
      <w:r>
        <w:rPr>
          <w:rFonts w:hint="eastAsia"/>
          <w:vertAlign w:val="superscript"/>
        </w:rPr>
        <w:t>o</w:t>
      </w:r>
      <w:r>
        <w:rPr>
          <w:rFonts w:hint="eastAsia"/>
        </w:rPr>
        <w:t>C</w:t>
      </w:r>
    </w:p>
    <w:tbl>
      <w:tblPr>
        <w:tblW w:w="5000" w:type="pct"/>
        <w:jc w:val="center"/>
        <w:tblLook w:val="04A0" w:firstRow="1" w:lastRow="0" w:firstColumn="1" w:lastColumn="0" w:noHBand="0" w:noVBand="1"/>
      </w:tblPr>
      <w:tblGrid>
        <w:gridCol w:w="507"/>
        <w:gridCol w:w="583"/>
        <w:gridCol w:w="585"/>
        <w:gridCol w:w="585"/>
        <w:gridCol w:w="690"/>
        <w:gridCol w:w="690"/>
        <w:gridCol w:w="690"/>
        <w:gridCol w:w="690"/>
        <w:gridCol w:w="690"/>
        <w:gridCol w:w="690"/>
        <w:gridCol w:w="690"/>
        <w:gridCol w:w="621"/>
        <w:gridCol w:w="626"/>
        <w:gridCol w:w="690"/>
      </w:tblGrid>
      <w:tr w:rsidR="004E3021">
        <w:trPr>
          <w:trHeight w:val="20"/>
          <w:jc w:val="center"/>
        </w:trPr>
        <w:tc>
          <w:tcPr>
            <w:tcW w:w="281" w:type="pct"/>
            <w:tcBorders>
              <w:top w:val="single" w:sz="12" w:space="0" w:color="auto"/>
              <w:left w:val="nil"/>
              <w:bottom w:val="single" w:sz="4" w:space="0" w:color="auto"/>
              <w:right w:val="single" w:sz="4" w:space="0" w:color="auto"/>
            </w:tcBorders>
            <w:vAlign w:val="center"/>
          </w:tcPr>
          <w:p w:rsidR="004E3021" w:rsidRDefault="00606E48">
            <w:pPr>
              <w:pStyle w:val="afffffff2"/>
              <w:rPr>
                <w:kern w:val="0"/>
                <w:szCs w:val="20"/>
              </w:rPr>
            </w:pPr>
            <w:r>
              <w:rPr>
                <w:kern w:val="0"/>
                <w:szCs w:val="20"/>
              </w:rPr>
              <w:t>月份</w:t>
            </w:r>
          </w:p>
        </w:tc>
        <w:tc>
          <w:tcPr>
            <w:tcW w:w="323" w:type="pct"/>
            <w:tcBorders>
              <w:top w:val="single" w:sz="12" w:space="0" w:color="auto"/>
              <w:left w:val="single" w:sz="4" w:space="0" w:color="auto"/>
              <w:bottom w:val="single" w:sz="4" w:space="0" w:color="auto"/>
              <w:right w:val="single" w:sz="4" w:space="0" w:color="auto"/>
            </w:tcBorders>
            <w:vAlign w:val="center"/>
          </w:tcPr>
          <w:p w:rsidR="004E3021" w:rsidRDefault="00606E48">
            <w:pPr>
              <w:pStyle w:val="afffffff2"/>
              <w:rPr>
                <w:kern w:val="0"/>
                <w:szCs w:val="20"/>
              </w:rPr>
            </w:pPr>
            <w:r>
              <w:rPr>
                <w:kern w:val="0"/>
                <w:szCs w:val="20"/>
              </w:rPr>
              <w:t>1</w:t>
            </w:r>
            <w:r>
              <w:rPr>
                <w:kern w:val="0"/>
                <w:szCs w:val="20"/>
              </w:rPr>
              <w:t>月</w:t>
            </w:r>
          </w:p>
        </w:tc>
        <w:tc>
          <w:tcPr>
            <w:tcW w:w="324" w:type="pct"/>
            <w:tcBorders>
              <w:top w:val="single" w:sz="12" w:space="0" w:color="auto"/>
              <w:left w:val="single" w:sz="4" w:space="0" w:color="auto"/>
              <w:bottom w:val="single" w:sz="4" w:space="0" w:color="auto"/>
              <w:right w:val="single" w:sz="4" w:space="0" w:color="auto"/>
            </w:tcBorders>
            <w:vAlign w:val="center"/>
          </w:tcPr>
          <w:p w:rsidR="004E3021" w:rsidRDefault="00606E48">
            <w:pPr>
              <w:pStyle w:val="afffffff2"/>
              <w:rPr>
                <w:kern w:val="0"/>
                <w:szCs w:val="20"/>
              </w:rPr>
            </w:pPr>
            <w:r>
              <w:rPr>
                <w:kern w:val="0"/>
                <w:szCs w:val="20"/>
              </w:rPr>
              <w:t>2</w:t>
            </w:r>
            <w:r>
              <w:rPr>
                <w:kern w:val="0"/>
                <w:szCs w:val="20"/>
              </w:rPr>
              <w:t>月</w:t>
            </w:r>
          </w:p>
        </w:tc>
        <w:tc>
          <w:tcPr>
            <w:tcW w:w="324" w:type="pct"/>
            <w:tcBorders>
              <w:top w:val="single" w:sz="12" w:space="0" w:color="auto"/>
              <w:left w:val="single" w:sz="4" w:space="0" w:color="auto"/>
              <w:bottom w:val="single" w:sz="4" w:space="0" w:color="auto"/>
              <w:right w:val="single" w:sz="4" w:space="0" w:color="auto"/>
            </w:tcBorders>
            <w:vAlign w:val="center"/>
          </w:tcPr>
          <w:p w:rsidR="004E3021" w:rsidRDefault="00606E48">
            <w:pPr>
              <w:pStyle w:val="afffffff2"/>
              <w:rPr>
                <w:kern w:val="0"/>
                <w:szCs w:val="20"/>
              </w:rPr>
            </w:pPr>
            <w:r>
              <w:rPr>
                <w:kern w:val="0"/>
                <w:szCs w:val="20"/>
              </w:rPr>
              <w:t>3</w:t>
            </w:r>
            <w:r>
              <w:rPr>
                <w:kern w:val="0"/>
                <w:szCs w:val="20"/>
              </w:rPr>
              <w:t>月</w:t>
            </w:r>
          </w:p>
        </w:tc>
        <w:tc>
          <w:tcPr>
            <w:tcW w:w="382" w:type="pct"/>
            <w:tcBorders>
              <w:top w:val="single" w:sz="12" w:space="0" w:color="auto"/>
              <w:left w:val="single" w:sz="4" w:space="0" w:color="auto"/>
              <w:bottom w:val="single" w:sz="4" w:space="0" w:color="auto"/>
              <w:right w:val="single" w:sz="4" w:space="0" w:color="auto"/>
            </w:tcBorders>
            <w:vAlign w:val="center"/>
          </w:tcPr>
          <w:p w:rsidR="004E3021" w:rsidRDefault="00606E48">
            <w:pPr>
              <w:pStyle w:val="afffffff2"/>
              <w:rPr>
                <w:kern w:val="0"/>
                <w:szCs w:val="20"/>
              </w:rPr>
            </w:pPr>
            <w:r>
              <w:rPr>
                <w:kern w:val="0"/>
                <w:szCs w:val="20"/>
              </w:rPr>
              <w:t>4</w:t>
            </w:r>
            <w:r>
              <w:rPr>
                <w:kern w:val="0"/>
                <w:szCs w:val="20"/>
              </w:rPr>
              <w:t>月</w:t>
            </w:r>
          </w:p>
        </w:tc>
        <w:tc>
          <w:tcPr>
            <w:tcW w:w="382" w:type="pct"/>
            <w:tcBorders>
              <w:top w:val="single" w:sz="12" w:space="0" w:color="auto"/>
              <w:left w:val="single" w:sz="4" w:space="0" w:color="auto"/>
              <w:bottom w:val="single" w:sz="4" w:space="0" w:color="auto"/>
              <w:right w:val="single" w:sz="4" w:space="0" w:color="auto"/>
            </w:tcBorders>
            <w:vAlign w:val="center"/>
          </w:tcPr>
          <w:p w:rsidR="004E3021" w:rsidRDefault="00606E48">
            <w:pPr>
              <w:pStyle w:val="afffffff2"/>
              <w:rPr>
                <w:kern w:val="0"/>
                <w:szCs w:val="20"/>
              </w:rPr>
            </w:pPr>
            <w:r>
              <w:rPr>
                <w:kern w:val="0"/>
                <w:szCs w:val="20"/>
              </w:rPr>
              <w:t>5</w:t>
            </w:r>
            <w:r>
              <w:rPr>
                <w:kern w:val="0"/>
                <w:szCs w:val="20"/>
              </w:rPr>
              <w:t>月</w:t>
            </w:r>
          </w:p>
        </w:tc>
        <w:tc>
          <w:tcPr>
            <w:tcW w:w="382" w:type="pct"/>
            <w:tcBorders>
              <w:top w:val="single" w:sz="12" w:space="0" w:color="auto"/>
              <w:left w:val="single" w:sz="4" w:space="0" w:color="auto"/>
              <w:bottom w:val="single" w:sz="4" w:space="0" w:color="auto"/>
              <w:right w:val="single" w:sz="4" w:space="0" w:color="auto"/>
            </w:tcBorders>
            <w:vAlign w:val="center"/>
          </w:tcPr>
          <w:p w:rsidR="004E3021" w:rsidRDefault="00606E48">
            <w:pPr>
              <w:pStyle w:val="afffffff2"/>
              <w:rPr>
                <w:kern w:val="0"/>
                <w:szCs w:val="20"/>
              </w:rPr>
            </w:pPr>
            <w:r>
              <w:rPr>
                <w:kern w:val="0"/>
                <w:szCs w:val="20"/>
              </w:rPr>
              <w:t>6</w:t>
            </w:r>
            <w:r>
              <w:rPr>
                <w:kern w:val="0"/>
                <w:szCs w:val="20"/>
              </w:rPr>
              <w:t>月</w:t>
            </w:r>
          </w:p>
        </w:tc>
        <w:tc>
          <w:tcPr>
            <w:tcW w:w="382" w:type="pct"/>
            <w:tcBorders>
              <w:top w:val="single" w:sz="12" w:space="0" w:color="auto"/>
              <w:left w:val="single" w:sz="4" w:space="0" w:color="auto"/>
              <w:bottom w:val="single" w:sz="4" w:space="0" w:color="auto"/>
              <w:right w:val="single" w:sz="4" w:space="0" w:color="auto"/>
            </w:tcBorders>
            <w:vAlign w:val="center"/>
          </w:tcPr>
          <w:p w:rsidR="004E3021" w:rsidRDefault="00606E48">
            <w:pPr>
              <w:pStyle w:val="afffffff2"/>
              <w:rPr>
                <w:kern w:val="0"/>
                <w:szCs w:val="20"/>
              </w:rPr>
            </w:pPr>
            <w:r>
              <w:rPr>
                <w:kern w:val="0"/>
                <w:szCs w:val="20"/>
              </w:rPr>
              <w:t>7</w:t>
            </w:r>
            <w:r>
              <w:rPr>
                <w:kern w:val="0"/>
                <w:szCs w:val="20"/>
              </w:rPr>
              <w:t>月</w:t>
            </w:r>
          </w:p>
        </w:tc>
        <w:tc>
          <w:tcPr>
            <w:tcW w:w="382" w:type="pct"/>
            <w:tcBorders>
              <w:top w:val="single" w:sz="12" w:space="0" w:color="auto"/>
              <w:left w:val="single" w:sz="4" w:space="0" w:color="auto"/>
              <w:bottom w:val="single" w:sz="4" w:space="0" w:color="auto"/>
              <w:right w:val="single" w:sz="4" w:space="0" w:color="auto"/>
            </w:tcBorders>
            <w:vAlign w:val="center"/>
          </w:tcPr>
          <w:p w:rsidR="004E3021" w:rsidRDefault="00606E48">
            <w:pPr>
              <w:pStyle w:val="afffffff2"/>
              <w:rPr>
                <w:kern w:val="0"/>
                <w:szCs w:val="20"/>
              </w:rPr>
            </w:pPr>
            <w:r>
              <w:rPr>
                <w:kern w:val="0"/>
                <w:szCs w:val="20"/>
              </w:rPr>
              <w:t>8</w:t>
            </w:r>
            <w:r>
              <w:rPr>
                <w:kern w:val="0"/>
                <w:szCs w:val="20"/>
              </w:rPr>
              <w:t>月</w:t>
            </w:r>
          </w:p>
        </w:tc>
        <w:tc>
          <w:tcPr>
            <w:tcW w:w="382" w:type="pct"/>
            <w:tcBorders>
              <w:top w:val="single" w:sz="12" w:space="0" w:color="auto"/>
              <w:left w:val="single" w:sz="4" w:space="0" w:color="auto"/>
              <w:bottom w:val="single" w:sz="4" w:space="0" w:color="auto"/>
              <w:right w:val="single" w:sz="4" w:space="0" w:color="auto"/>
            </w:tcBorders>
            <w:vAlign w:val="center"/>
          </w:tcPr>
          <w:p w:rsidR="004E3021" w:rsidRDefault="00606E48">
            <w:pPr>
              <w:pStyle w:val="afffffff2"/>
              <w:rPr>
                <w:kern w:val="0"/>
                <w:szCs w:val="20"/>
              </w:rPr>
            </w:pPr>
            <w:r>
              <w:rPr>
                <w:kern w:val="0"/>
                <w:szCs w:val="20"/>
              </w:rPr>
              <w:t>9</w:t>
            </w:r>
            <w:r>
              <w:rPr>
                <w:kern w:val="0"/>
                <w:szCs w:val="20"/>
              </w:rPr>
              <w:t>月</w:t>
            </w:r>
          </w:p>
        </w:tc>
        <w:tc>
          <w:tcPr>
            <w:tcW w:w="382" w:type="pct"/>
            <w:tcBorders>
              <w:top w:val="single" w:sz="12" w:space="0" w:color="auto"/>
              <w:left w:val="single" w:sz="4" w:space="0" w:color="auto"/>
              <w:bottom w:val="single" w:sz="4" w:space="0" w:color="auto"/>
              <w:right w:val="single" w:sz="4" w:space="0" w:color="auto"/>
            </w:tcBorders>
            <w:vAlign w:val="center"/>
          </w:tcPr>
          <w:p w:rsidR="004E3021" w:rsidRDefault="00606E48">
            <w:pPr>
              <w:pStyle w:val="afffffff2"/>
              <w:rPr>
                <w:kern w:val="0"/>
                <w:szCs w:val="20"/>
              </w:rPr>
            </w:pPr>
            <w:r>
              <w:rPr>
                <w:kern w:val="0"/>
                <w:szCs w:val="20"/>
              </w:rPr>
              <w:t>10</w:t>
            </w:r>
            <w:r>
              <w:rPr>
                <w:kern w:val="0"/>
                <w:szCs w:val="20"/>
              </w:rPr>
              <w:t>月</w:t>
            </w:r>
          </w:p>
        </w:tc>
        <w:tc>
          <w:tcPr>
            <w:tcW w:w="344" w:type="pct"/>
            <w:tcBorders>
              <w:top w:val="single" w:sz="12" w:space="0" w:color="auto"/>
              <w:left w:val="single" w:sz="4" w:space="0" w:color="auto"/>
              <w:bottom w:val="single" w:sz="4" w:space="0" w:color="auto"/>
              <w:right w:val="single" w:sz="4" w:space="0" w:color="auto"/>
            </w:tcBorders>
            <w:vAlign w:val="center"/>
          </w:tcPr>
          <w:p w:rsidR="004E3021" w:rsidRDefault="00606E48">
            <w:pPr>
              <w:pStyle w:val="afffffff2"/>
              <w:rPr>
                <w:kern w:val="0"/>
                <w:szCs w:val="20"/>
              </w:rPr>
            </w:pPr>
            <w:r>
              <w:rPr>
                <w:kern w:val="0"/>
                <w:szCs w:val="20"/>
              </w:rPr>
              <w:t>11</w:t>
            </w:r>
            <w:r>
              <w:rPr>
                <w:kern w:val="0"/>
                <w:szCs w:val="20"/>
              </w:rPr>
              <w:t>月</w:t>
            </w:r>
          </w:p>
        </w:tc>
        <w:tc>
          <w:tcPr>
            <w:tcW w:w="347" w:type="pct"/>
            <w:tcBorders>
              <w:top w:val="single" w:sz="12" w:space="0" w:color="auto"/>
              <w:left w:val="single" w:sz="4" w:space="0" w:color="auto"/>
              <w:bottom w:val="single" w:sz="4" w:space="0" w:color="auto"/>
              <w:right w:val="single" w:sz="4" w:space="0" w:color="auto"/>
            </w:tcBorders>
            <w:vAlign w:val="center"/>
          </w:tcPr>
          <w:p w:rsidR="004E3021" w:rsidRDefault="00606E48">
            <w:pPr>
              <w:pStyle w:val="afffffff2"/>
              <w:rPr>
                <w:kern w:val="0"/>
                <w:szCs w:val="20"/>
              </w:rPr>
            </w:pPr>
            <w:r>
              <w:rPr>
                <w:kern w:val="0"/>
                <w:szCs w:val="20"/>
              </w:rPr>
              <w:t>12</w:t>
            </w:r>
            <w:r>
              <w:rPr>
                <w:kern w:val="0"/>
                <w:szCs w:val="20"/>
              </w:rPr>
              <w:t>月</w:t>
            </w:r>
          </w:p>
        </w:tc>
        <w:tc>
          <w:tcPr>
            <w:tcW w:w="382" w:type="pct"/>
            <w:tcBorders>
              <w:top w:val="single" w:sz="12" w:space="0" w:color="auto"/>
              <w:left w:val="single" w:sz="4" w:space="0" w:color="auto"/>
              <w:bottom w:val="single" w:sz="4" w:space="0" w:color="auto"/>
              <w:right w:val="nil"/>
            </w:tcBorders>
            <w:vAlign w:val="center"/>
          </w:tcPr>
          <w:p w:rsidR="004E3021" w:rsidRDefault="00606E48">
            <w:pPr>
              <w:pStyle w:val="afffffff2"/>
              <w:rPr>
                <w:kern w:val="0"/>
                <w:szCs w:val="20"/>
              </w:rPr>
            </w:pPr>
            <w:r>
              <w:rPr>
                <w:kern w:val="0"/>
                <w:szCs w:val="20"/>
              </w:rPr>
              <w:t>年</w:t>
            </w:r>
          </w:p>
        </w:tc>
      </w:tr>
      <w:tr w:rsidR="004E3021">
        <w:trPr>
          <w:trHeight w:val="20"/>
          <w:jc w:val="center"/>
        </w:trPr>
        <w:tc>
          <w:tcPr>
            <w:tcW w:w="281" w:type="pct"/>
            <w:tcBorders>
              <w:top w:val="single" w:sz="4" w:space="0" w:color="auto"/>
              <w:left w:val="nil"/>
              <w:bottom w:val="single" w:sz="12" w:space="0" w:color="auto"/>
              <w:right w:val="single" w:sz="4" w:space="0" w:color="auto"/>
            </w:tcBorders>
            <w:vAlign w:val="center"/>
          </w:tcPr>
          <w:p w:rsidR="004E3021" w:rsidRDefault="00606E48">
            <w:pPr>
              <w:pStyle w:val="afffffff2"/>
              <w:rPr>
                <w:kern w:val="0"/>
                <w:szCs w:val="20"/>
              </w:rPr>
            </w:pPr>
            <w:r>
              <w:rPr>
                <w:kern w:val="0"/>
                <w:szCs w:val="20"/>
              </w:rPr>
              <w:t>温度</w:t>
            </w:r>
          </w:p>
        </w:tc>
        <w:tc>
          <w:tcPr>
            <w:tcW w:w="323" w:type="pct"/>
            <w:tcBorders>
              <w:top w:val="single" w:sz="4" w:space="0" w:color="auto"/>
              <w:left w:val="single" w:sz="4" w:space="0" w:color="auto"/>
              <w:bottom w:val="single" w:sz="12" w:space="0" w:color="auto"/>
              <w:right w:val="single" w:sz="4" w:space="0" w:color="auto"/>
            </w:tcBorders>
            <w:vAlign w:val="center"/>
          </w:tcPr>
          <w:p w:rsidR="004E3021" w:rsidRDefault="00606E48">
            <w:pPr>
              <w:pStyle w:val="afffffff2"/>
              <w:rPr>
                <w:kern w:val="0"/>
                <w:szCs w:val="20"/>
              </w:rPr>
            </w:pPr>
            <w:r>
              <w:rPr>
                <w:kern w:val="0"/>
                <w:szCs w:val="20"/>
              </w:rPr>
              <w:t>0.75</w:t>
            </w:r>
          </w:p>
        </w:tc>
        <w:tc>
          <w:tcPr>
            <w:tcW w:w="324" w:type="pct"/>
            <w:tcBorders>
              <w:top w:val="single" w:sz="4" w:space="0" w:color="auto"/>
              <w:left w:val="single" w:sz="4" w:space="0" w:color="auto"/>
              <w:bottom w:val="single" w:sz="12" w:space="0" w:color="auto"/>
              <w:right w:val="single" w:sz="4" w:space="0" w:color="auto"/>
            </w:tcBorders>
            <w:vAlign w:val="center"/>
          </w:tcPr>
          <w:p w:rsidR="004E3021" w:rsidRDefault="00606E48">
            <w:pPr>
              <w:pStyle w:val="afffffff2"/>
              <w:rPr>
                <w:kern w:val="0"/>
                <w:szCs w:val="20"/>
              </w:rPr>
            </w:pPr>
            <w:r>
              <w:rPr>
                <w:kern w:val="0"/>
                <w:szCs w:val="20"/>
              </w:rPr>
              <w:t>3.88</w:t>
            </w:r>
          </w:p>
        </w:tc>
        <w:tc>
          <w:tcPr>
            <w:tcW w:w="324" w:type="pct"/>
            <w:tcBorders>
              <w:top w:val="single" w:sz="4" w:space="0" w:color="auto"/>
              <w:left w:val="single" w:sz="4" w:space="0" w:color="auto"/>
              <w:bottom w:val="single" w:sz="12" w:space="0" w:color="auto"/>
              <w:right w:val="single" w:sz="4" w:space="0" w:color="auto"/>
            </w:tcBorders>
            <w:vAlign w:val="center"/>
          </w:tcPr>
          <w:p w:rsidR="004E3021" w:rsidRDefault="00606E48">
            <w:pPr>
              <w:pStyle w:val="afffffff2"/>
              <w:rPr>
                <w:kern w:val="0"/>
                <w:szCs w:val="20"/>
              </w:rPr>
            </w:pPr>
            <w:r>
              <w:rPr>
                <w:kern w:val="0"/>
                <w:szCs w:val="20"/>
              </w:rPr>
              <w:t>9.79</w:t>
            </w:r>
          </w:p>
        </w:tc>
        <w:tc>
          <w:tcPr>
            <w:tcW w:w="382" w:type="pct"/>
            <w:tcBorders>
              <w:top w:val="single" w:sz="4" w:space="0" w:color="auto"/>
              <w:left w:val="single" w:sz="4" w:space="0" w:color="auto"/>
              <w:bottom w:val="single" w:sz="12" w:space="0" w:color="auto"/>
              <w:right w:val="single" w:sz="4" w:space="0" w:color="auto"/>
            </w:tcBorders>
            <w:vAlign w:val="center"/>
          </w:tcPr>
          <w:p w:rsidR="004E3021" w:rsidRDefault="00606E48">
            <w:pPr>
              <w:pStyle w:val="afffffff2"/>
              <w:rPr>
                <w:kern w:val="0"/>
                <w:szCs w:val="20"/>
              </w:rPr>
            </w:pPr>
            <w:r>
              <w:rPr>
                <w:kern w:val="0"/>
                <w:szCs w:val="20"/>
              </w:rPr>
              <w:t>14.58</w:t>
            </w:r>
          </w:p>
        </w:tc>
        <w:tc>
          <w:tcPr>
            <w:tcW w:w="382" w:type="pct"/>
            <w:tcBorders>
              <w:top w:val="single" w:sz="4" w:space="0" w:color="auto"/>
              <w:left w:val="single" w:sz="4" w:space="0" w:color="auto"/>
              <w:bottom w:val="single" w:sz="12" w:space="0" w:color="auto"/>
              <w:right w:val="single" w:sz="4" w:space="0" w:color="auto"/>
            </w:tcBorders>
            <w:vAlign w:val="center"/>
          </w:tcPr>
          <w:p w:rsidR="004E3021" w:rsidRDefault="00606E48">
            <w:pPr>
              <w:pStyle w:val="afffffff2"/>
              <w:rPr>
                <w:kern w:val="0"/>
                <w:szCs w:val="20"/>
              </w:rPr>
            </w:pPr>
            <w:r>
              <w:rPr>
                <w:kern w:val="0"/>
                <w:szCs w:val="20"/>
              </w:rPr>
              <w:t>20.83</w:t>
            </w:r>
          </w:p>
        </w:tc>
        <w:tc>
          <w:tcPr>
            <w:tcW w:w="382" w:type="pct"/>
            <w:tcBorders>
              <w:top w:val="single" w:sz="4" w:space="0" w:color="auto"/>
              <w:left w:val="single" w:sz="4" w:space="0" w:color="auto"/>
              <w:bottom w:val="single" w:sz="12" w:space="0" w:color="auto"/>
              <w:right w:val="single" w:sz="4" w:space="0" w:color="auto"/>
            </w:tcBorders>
            <w:vAlign w:val="center"/>
          </w:tcPr>
          <w:p w:rsidR="004E3021" w:rsidRDefault="00606E48">
            <w:pPr>
              <w:pStyle w:val="afffffff2"/>
              <w:rPr>
                <w:kern w:val="0"/>
                <w:szCs w:val="20"/>
              </w:rPr>
            </w:pPr>
            <w:r>
              <w:rPr>
                <w:kern w:val="0"/>
                <w:szCs w:val="20"/>
              </w:rPr>
              <w:t>24.72</w:t>
            </w:r>
          </w:p>
        </w:tc>
        <w:tc>
          <w:tcPr>
            <w:tcW w:w="382" w:type="pct"/>
            <w:tcBorders>
              <w:top w:val="single" w:sz="4" w:space="0" w:color="auto"/>
              <w:left w:val="single" w:sz="4" w:space="0" w:color="auto"/>
              <w:bottom w:val="single" w:sz="12" w:space="0" w:color="auto"/>
              <w:right w:val="single" w:sz="4" w:space="0" w:color="auto"/>
            </w:tcBorders>
            <w:vAlign w:val="center"/>
          </w:tcPr>
          <w:p w:rsidR="004E3021" w:rsidRDefault="00606E48">
            <w:pPr>
              <w:pStyle w:val="afffffff2"/>
              <w:rPr>
                <w:kern w:val="0"/>
                <w:szCs w:val="20"/>
              </w:rPr>
            </w:pPr>
            <w:r>
              <w:rPr>
                <w:kern w:val="0"/>
                <w:szCs w:val="20"/>
              </w:rPr>
              <w:t>29.62</w:t>
            </w:r>
          </w:p>
        </w:tc>
        <w:tc>
          <w:tcPr>
            <w:tcW w:w="382" w:type="pct"/>
            <w:tcBorders>
              <w:top w:val="single" w:sz="4" w:space="0" w:color="auto"/>
              <w:left w:val="single" w:sz="4" w:space="0" w:color="auto"/>
              <w:bottom w:val="single" w:sz="12" w:space="0" w:color="auto"/>
              <w:right w:val="single" w:sz="4" w:space="0" w:color="auto"/>
            </w:tcBorders>
            <w:vAlign w:val="center"/>
          </w:tcPr>
          <w:p w:rsidR="004E3021" w:rsidRDefault="00606E48">
            <w:pPr>
              <w:pStyle w:val="afffffff2"/>
              <w:rPr>
                <w:kern w:val="0"/>
                <w:szCs w:val="20"/>
              </w:rPr>
            </w:pPr>
            <w:r>
              <w:rPr>
                <w:kern w:val="0"/>
                <w:szCs w:val="20"/>
              </w:rPr>
              <w:t>29.26</w:t>
            </w:r>
          </w:p>
        </w:tc>
        <w:tc>
          <w:tcPr>
            <w:tcW w:w="382" w:type="pct"/>
            <w:tcBorders>
              <w:top w:val="single" w:sz="4" w:space="0" w:color="auto"/>
              <w:left w:val="single" w:sz="4" w:space="0" w:color="auto"/>
              <w:bottom w:val="single" w:sz="12" w:space="0" w:color="auto"/>
              <w:right w:val="single" w:sz="4" w:space="0" w:color="auto"/>
            </w:tcBorders>
            <w:vAlign w:val="center"/>
          </w:tcPr>
          <w:p w:rsidR="004E3021" w:rsidRDefault="00606E48">
            <w:pPr>
              <w:pStyle w:val="afffffff2"/>
              <w:rPr>
                <w:kern w:val="0"/>
                <w:szCs w:val="20"/>
              </w:rPr>
            </w:pPr>
            <w:r>
              <w:rPr>
                <w:kern w:val="0"/>
                <w:szCs w:val="20"/>
              </w:rPr>
              <w:t>22.24</w:t>
            </w:r>
          </w:p>
        </w:tc>
        <w:tc>
          <w:tcPr>
            <w:tcW w:w="382" w:type="pct"/>
            <w:tcBorders>
              <w:top w:val="single" w:sz="4" w:space="0" w:color="auto"/>
              <w:left w:val="single" w:sz="4" w:space="0" w:color="auto"/>
              <w:bottom w:val="single" w:sz="12" w:space="0" w:color="auto"/>
              <w:right w:val="single" w:sz="4" w:space="0" w:color="auto"/>
            </w:tcBorders>
            <w:vAlign w:val="center"/>
          </w:tcPr>
          <w:p w:rsidR="004E3021" w:rsidRDefault="00606E48">
            <w:pPr>
              <w:pStyle w:val="afffffff2"/>
              <w:rPr>
                <w:kern w:val="0"/>
                <w:szCs w:val="20"/>
              </w:rPr>
            </w:pPr>
            <w:r>
              <w:rPr>
                <w:kern w:val="0"/>
                <w:szCs w:val="20"/>
              </w:rPr>
              <w:t>16.72</w:t>
            </w:r>
          </w:p>
        </w:tc>
        <w:tc>
          <w:tcPr>
            <w:tcW w:w="344" w:type="pct"/>
            <w:tcBorders>
              <w:top w:val="single" w:sz="4" w:space="0" w:color="auto"/>
              <w:left w:val="single" w:sz="4" w:space="0" w:color="auto"/>
              <w:bottom w:val="single" w:sz="12" w:space="0" w:color="auto"/>
              <w:right w:val="single" w:sz="4" w:space="0" w:color="auto"/>
            </w:tcBorders>
            <w:vAlign w:val="center"/>
          </w:tcPr>
          <w:p w:rsidR="004E3021" w:rsidRDefault="00606E48">
            <w:pPr>
              <w:pStyle w:val="afffffff2"/>
              <w:rPr>
                <w:kern w:val="0"/>
                <w:szCs w:val="20"/>
              </w:rPr>
            </w:pPr>
            <w:r>
              <w:rPr>
                <w:kern w:val="0"/>
                <w:szCs w:val="20"/>
              </w:rPr>
              <w:t>9.81</w:t>
            </w:r>
          </w:p>
        </w:tc>
        <w:tc>
          <w:tcPr>
            <w:tcW w:w="347" w:type="pct"/>
            <w:tcBorders>
              <w:top w:val="single" w:sz="4" w:space="0" w:color="auto"/>
              <w:left w:val="single" w:sz="4" w:space="0" w:color="auto"/>
              <w:bottom w:val="single" w:sz="12" w:space="0" w:color="auto"/>
              <w:right w:val="single" w:sz="4" w:space="0" w:color="auto"/>
            </w:tcBorders>
            <w:vAlign w:val="center"/>
          </w:tcPr>
          <w:p w:rsidR="004E3021" w:rsidRDefault="00606E48">
            <w:pPr>
              <w:pStyle w:val="afffffff2"/>
              <w:rPr>
                <w:kern w:val="0"/>
                <w:szCs w:val="20"/>
              </w:rPr>
            </w:pPr>
            <w:r>
              <w:rPr>
                <w:kern w:val="0"/>
                <w:szCs w:val="20"/>
              </w:rPr>
              <w:t>2.29</w:t>
            </w:r>
          </w:p>
        </w:tc>
        <w:tc>
          <w:tcPr>
            <w:tcW w:w="382" w:type="pct"/>
            <w:tcBorders>
              <w:top w:val="single" w:sz="4" w:space="0" w:color="auto"/>
              <w:left w:val="single" w:sz="4" w:space="0" w:color="auto"/>
              <w:bottom w:val="single" w:sz="12" w:space="0" w:color="auto"/>
              <w:right w:val="nil"/>
            </w:tcBorders>
            <w:vAlign w:val="center"/>
          </w:tcPr>
          <w:p w:rsidR="004E3021" w:rsidRDefault="00606E48">
            <w:pPr>
              <w:pStyle w:val="afffffff2"/>
              <w:rPr>
                <w:kern w:val="0"/>
                <w:szCs w:val="20"/>
              </w:rPr>
            </w:pPr>
            <w:r>
              <w:rPr>
                <w:kern w:val="0"/>
                <w:szCs w:val="20"/>
              </w:rPr>
              <w:t>15.37</w:t>
            </w:r>
          </w:p>
        </w:tc>
      </w:tr>
    </w:tbl>
    <w:p w:rsidR="004E3021" w:rsidRDefault="00606E48">
      <w:pPr>
        <w:ind w:firstLineChars="0"/>
        <w:jc w:val="center"/>
        <w:rPr>
          <w:rFonts w:ascii="黑体" w:eastAsia="黑体" w:hAnsi="黑体"/>
          <w:kern w:val="0"/>
        </w:rPr>
      </w:pPr>
      <w:r>
        <w:rPr>
          <w:rFonts w:ascii="黑体" w:eastAsia="黑体" w:hAnsi="黑体" w:hint="eastAsia"/>
          <w:kern w:val="0"/>
        </w:rPr>
        <w:t xml:space="preserve"> </w:t>
      </w:r>
    </w:p>
    <w:p w:rsidR="004E3021" w:rsidRDefault="00606E48">
      <w:pPr>
        <w:ind w:firstLineChars="0" w:firstLine="0"/>
        <w:jc w:val="center"/>
        <w:rPr>
          <w:rFonts w:ascii="黑体" w:eastAsia="黑体" w:hAnsi="黑体"/>
          <w:kern w:val="0"/>
        </w:rPr>
      </w:pPr>
      <w:r>
        <w:rPr>
          <w:noProof/>
        </w:rPr>
        <w:lastRenderedPageBreak/>
        <w:drawing>
          <wp:inline distT="0" distB="0" distL="0" distR="0">
            <wp:extent cx="4772025" cy="2000250"/>
            <wp:effectExtent l="0" t="0" r="9525" b="0"/>
            <wp:docPr id="6" name="图片 6" descr="C:\Users\ADMINI~1\AppData\Local\Temp\ksohtml\wps43E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1\AppData\Local\Temp\ksohtml\wps43E0.tmp.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772025" cy="2000250"/>
                    </a:xfrm>
                    <a:prstGeom prst="rect">
                      <a:avLst/>
                    </a:prstGeom>
                    <a:noFill/>
                    <a:ln>
                      <a:noFill/>
                    </a:ln>
                  </pic:spPr>
                </pic:pic>
              </a:graphicData>
            </a:graphic>
          </wp:inline>
        </w:drawing>
      </w:r>
      <w:r>
        <w:rPr>
          <w:rFonts w:ascii="黑体" w:eastAsia="黑体" w:hAnsi="黑体" w:hint="eastAsia"/>
          <w:kern w:val="0"/>
        </w:rPr>
        <w:t xml:space="preserve"> </w:t>
      </w:r>
    </w:p>
    <w:p w:rsidR="004E3021" w:rsidRDefault="00606E48">
      <w:pPr>
        <w:pStyle w:val="afffff4"/>
        <w:ind w:firstLine="480"/>
      </w:pPr>
      <w:r>
        <w:rPr>
          <w:rFonts w:ascii="黑体" w:hAnsi="黑体"/>
        </w:rPr>
        <w:t>图</w:t>
      </w:r>
      <w:r>
        <w:t xml:space="preserve">5.1.1-1  </w:t>
      </w:r>
      <w:r>
        <w:rPr>
          <w:rFonts w:ascii="黑体" w:hAnsi="黑体"/>
        </w:rPr>
        <w:t>区域多年平均温度变化</w:t>
      </w:r>
    </w:p>
    <w:p w:rsidR="004E3021" w:rsidRDefault="00606E48">
      <w:pPr>
        <w:ind w:firstLine="480"/>
      </w:pPr>
      <w:r>
        <w:rPr>
          <w:rFonts w:ascii="宋体" w:hAnsi="宋体" w:hint="eastAsia"/>
        </w:rPr>
        <w:t>（</w:t>
      </w:r>
      <w:r>
        <w:rPr>
          <w:rFonts w:hint="eastAsia"/>
        </w:rPr>
        <w:t>3</w:t>
      </w:r>
      <w:r>
        <w:rPr>
          <w:rFonts w:ascii="宋体" w:hAnsi="宋体" w:hint="eastAsia"/>
        </w:rPr>
        <w:t>）</w:t>
      </w:r>
      <w:r>
        <w:rPr>
          <w:rFonts w:ascii="宋体" w:hAnsi="宋体"/>
        </w:rPr>
        <w:t>风速</w:t>
      </w:r>
    </w:p>
    <w:p w:rsidR="004E3021" w:rsidRDefault="00606E48">
      <w:pPr>
        <w:ind w:firstLine="480"/>
      </w:pPr>
      <w:r>
        <w:rPr>
          <w:rFonts w:ascii="宋体" w:hAnsi="宋体" w:hint="eastAsia"/>
        </w:rPr>
        <w:t>区域多年</w:t>
      </w:r>
      <w:r>
        <w:rPr>
          <w:rFonts w:ascii="宋体" w:hAnsi="宋体"/>
        </w:rPr>
        <w:t>平均风速的月份变化统计见</w:t>
      </w:r>
      <w:r>
        <w:rPr>
          <w:rFonts w:ascii="宋体" w:hAnsi="宋体" w:hint="eastAsia"/>
        </w:rPr>
        <w:t>表</w:t>
      </w:r>
      <w:r>
        <w:t>5.1.1-2</w:t>
      </w:r>
      <w:r>
        <w:rPr>
          <w:rFonts w:ascii="宋体" w:hAnsi="宋体"/>
        </w:rPr>
        <w:t>和</w:t>
      </w:r>
      <w:r>
        <w:rPr>
          <w:rFonts w:ascii="宋体" w:hAnsi="宋体" w:hint="eastAsia"/>
        </w:rPr>
        <w:t>图</w:t>
      </w:r>
      <w:r>
        <w:t>5.1.1-2</w:t>
      </w:r>
      <w:r>
        <w:rPr>
          <w:rFonts w:ascii="宋体" w:hAnsi="宋体"/>
        </w:rPr>
        <w:t>。</w:t>
      </w:r>
    </w:p>
    <w:p w:rsidR="004E3021" w:rsidRDefault="00606E48">
      <w:pPr>
        <w:pStyle w:val="afffff4"/>
        <w:ind w:firstLine="480"/>
      </w:pPr>
      <w:r>
        <w:rPr>
          <w:rFonts w:ascii="黑体" w:hAnsi="黑体"/>
        </w:rPr>
        <w:t>表</w:t>
      </w:r>
      <w:r>
        <w:t xml:space="preserve">5.1.1-2 </w:t>
      </w:r>
      <w:r>
        <w:rPr>
          <w:rFonts w:ascii="黑体" w:hAnsi="黑体" w:hint="eastAsia"/>
        </w:rPr>
        <w:t>多年平均风速月变化</w:t>
      </w:r>
      <w:r>
        <w:rPr>
          <w:rFonts w:hint="eastAsia"/>
        </w:rPr>
        <w:t xml:space="preserve">  </w:t>
      </w:r>
      <w:r>
        <w:rPr>
          <w:rFonts w:hint="eastAsia"/>
        </w:rPr>
        <w:t>单位：</w:t>
      </w:r>
      <w:r>
        <w:rPr>
          <w:rFonts w:hint="eastAsia"/>
        </w:rPr>
        <w:t>m/s</w:t>
      </w:r>
    </w:p>
    <w:tbl>
      <w:tblPr>
        <w:tblStyle w:val="afff"/>
        <w:tblW w:w="5000" w:type="pct"/>
        <w:tblLook w:val="04A0" w:firstRow="1" w:lastRow="0" w:firstColumn="1" w:lastColumn="0" w:noHBand="0" w:noVBand="1"/>
      </w:tblPr>
      <w:tblGrid>
        <w:gridCol w:w="622"/>
        <w:gridCol w:w="633"/>
        <w:gridCol w:w="633"/>
        <w:gridCol w:w="634"/>
        <w:gridCol w:w="634"/>
        <w:gridCol w:w="634"/>
        <w:gridCol w:w="634"/>
        <w:gridCol w:w="634"/>
        <w:gridCol w:w="634"/>
        <w:gridCol w:w="634"/>
        <w:gridCol w:w="679"/>
        <w:gridCol w:w="679"/>
        <w:gridCol w:w="675"/>
        <w:gridCol w:w="668"/>
      </w:tblGrid>
      <w:tr w:rsidR="00AD3EDF" w:rsidRPr="00AD3EDF" w:rsidTr="00AD3EDF">
        <w:trPr>
          <w:trHeight w:val="20"/>
        </w:trPr>
        <w:tc>
          <w:tcPr>
            <w:tcW w:w="345"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月份</w:t>
            </w:r>
          </w:p>
        </w:tc>
        <w:tc>
          <w:tcPr>
            <w:tcW w:w="35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w:t>
            </w:r>
            <w:r w:rsidRPr="00AD3EDF">
              <w:rPr>
                <w:rFonts w:ascii="Times New Roman" w:hAnsi="Times New Roman" w:cs="Times New Roman"/>
                <w:kern w:val="0"/>
                <w:sz w:val="21"/>
                <w:szCs w:val="21"/>
              </w:rPr>
              <w:t>月</w:t>
            </w:r>
          </w:p>
        </w:tc>
        <w:tc>
          <w:tcPr>
            <w:tcW w:w="35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r w:rsidRPr="00AD3EDF">
              <w:rPr>
                <w:rFonts w:ascii="Times New Roman" w:hAnsi="Times New Roman" w:cs="Times New Roman"/>
                <w:kern w:val="0"/>
                <w:sz w:val="21"/>
                <w:szCs w:val="21"/>
              </w:rPr>
              <w:t>月</w:t>
            </w:r>
          </w:p>
        </w:tc>
        <w:tc>
          <w:tcPr>
            <w:tcW w:w="35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r w:rsidRPr="00AD3EDF">
              <w:rPr>
                <w:rFonts w:ascii="Times New Roman" w:hAnsi="Times New Roman" w:cs="Times New Roman"/>
                <w:kern w:val="0"/>
                <w:sz w:val="21"/>
                <w:szCs w:val="21"/>
              </w:rPr>
              <w:t>月</w:t>
            </w:r>
          </w:p>
        </w:tc>
        <w:tc>
          <w:tcPr>
            <w:tcW w:w="35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r w:rsidRPr="00AD3EDF">
              <w:rPr>
                <w:rFonts w:ascii="Times New Roman" w:hAnsi="Times New Roman" w:cs="Times New Roman"/>
                <w:kern w:val="0"/>
                <w:sz w:val="21"/>
                <w:szCs w:val="21"/>
              </w:rPr>
              <w:t>月</w:t>
            </w:r>
          </w:p>
        </w:tc>
        <w:tc>
          <w:tcPr>
            <w:tcW w:w="35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r w:rsidRPr="00AD3EDF">
              <w:rPr>
                <w:rFonts w:ascii="Times New Roman" w:hAnsi="Times New Roman" w:cs="Times New Roman"/>
                <w:kern w:val="0"/>
                <w:sz w:val="21"/>
                <w:szCs w:val="21"/>
              </w:rPr>
              <w:t>月</w:t>
            </w:r>
          </w:p>
        </w:tc>
        <w:tc>
          <w:tcPr>
            <w:tcW w:w="35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r w:rsidRPr="00AD3EDF">
              <w:rPr>
                <w:rFonts w:ascii="Times New Roman" w:hAnsi="Times New Roman" w:cs="Times New Roman"/>
                <w:kern w:val="0"/>
                <w:sz w:val="21"/>
                <w:szCs w:val="21"/>
              </w:rPr>
              <w:t>月</w:t>
            </w:r>
          </w:p>
        </w:tc>
        <w:tc>
          <w:tcPr>
            <w:tcW w:w="35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7</w:t>
            </w:r>
            <w:r w:rsidRPr="00AD3EDF">
              <w:rPr>
                <w:rFonts w:ascii="Times New Roman" w:hAnsi="Times New Roman" w:cs="Times New Roman"/>
                <w:kern w:val="0"/>
                <w:sz w:val="21"/>
                <w:szCs w:val="21"/>
              </w:rPr>
              <w:t>月</w:t>
            </w:r>
          </w:p>
        </w:tc>
        <w:tc>
          <w:tcPr>
            <w:tcW w:w="35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8</w:t>
            </w:r>
            <w:r w:rsidRPr="00AD3EDF">
              <w:rPr>
                <w:rFonts w:ascii="Times New Roman" w:hAnsi="Times New Roman" w:cs="Times New Roman"/>
                <w:kern w:val="0"/>
                <w:sz w:val="21"/>
                <w:szCs w:val="21"/>
              </w:rPr>
              <w:t>月</w:t>
            </w:r>
          </w:p>
        </w:tc>
        <w:tc>
          <w:tcPr>
            <w:tcW w:w="35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9</w:t>
            </w:r>
            <w:r w:rsidRPr="00AD3EDF">
              <w:rPr>
                <w:rFonts w:ascii="Times New Roman" w:hAnsi="Times New Roman" w:cs="Times New Roman"/>
                <w:kern w:val="0"/>
                <w:sz w:val="21"/>
                <w:szCs w:val="21"/>
              </w:rPr>
              <w:t>月</w:t>
            </w:r>
          </w:p>
        </w:tc>
        <w:tc>
          <w:tcPr>
            <w:tcW w:w="376"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10</w:t>
            </w:r>
            <w:r w:rsidRPr="00AD3EDF">
              <w:rPr>
                <w:rFonts w:ascii="Times New Roman" w:hAnsi="Times New Roman" w:cs="Times New Roman"/>
                <w:kern w:val="0"/>
                <w:sz w:val="21"/>
                <w:szCs w:val="21"/>
              </w:rPr>
              <w:t>月</w:t>
            </w:r>
          </w:p>
        </w:tc>
        <w:tc>
          <w:tcPr>
            <w:tcW w:w="376"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11</w:t>
            </w:r>
            <w:r w:rsidRPr="00AD3EDF">
              <w:rPr>
                <w:rFonts w:ascii="Times New Roman" w:hAnsi="Times New Roman" w:cs="Times New Roman"/>
                <w:kern w:val="0"/>
                <w:sz w:val="21"/>
                <w:szCs w:val="21"/>
              </w:rPr>
              <w:t>月</w:t>
            </w:r>
          </w:p>
        </w:tc>
        <w:tc>
          <w:tcPr>
            <w:tcW w:w="374"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12</w:t>
            </w:r>
            <w:r w:rsidRPr="00AD3EDF">
              <w:rPr>
                <w:rFonts w:ascii="Times New Roman" w:hAnsi="Times New Roman" w:cs="Times New Roman"/>
                <w:kern w:val="0"/>
                <w:sz w:val="21"/>
                <w:szCs w:val="21"/>
              </w:rPr>
              <w:t>月</w:t>
            </w:r>
          </w:p>
        </w:tc>
        <w:tc>
          <w:tcPr>
            <w:tcW w:w="370" w:type="pct"/>
            <w:vAlign w:val="center"/>
          </w:tcPr>
          <w:p w:rsidR="00AD3EDF" w:rsidRPr="00AD3EDF" w:rsidRDefault="00AD3EDF" w:rsidP="00AD3EDF">
            <w:pPr>
              <w:pStyle w:val="afffffff2"/>
              <w:rPr>
                <w:rFonts w:cs="Times New Roman"/>
                <w:kern w:val="0"/>
                <w:sz w:val="21"/>
                <w:szCs w:val="21"/>
              </w:rPr>
            </w:pPr>
            <w:r>
              <w:rPr>
                <w:rFonts w:cs="Times New Roman" w:hint="eastAsia"/>
                <w:kern w:val="0"/>
                <w:sz w:val="21"/>
                <w:szCs w:val="21"/>
              </w:rPr>
              <w:t>年</w:t>
            </w:r>
          </w:p>
        </w:tc>
      </w:tr>
      <w:tr w:rsidR="00AD3EDF" w:rsidRPr="00AD3EDF" w:rsidTr="00AD3EDF">
        <w:trPr>
          <w:trHeight w:val="20"/>
        </w:trPr>
        <w:tc>
          <w:tcPr>
            <w:tcW w:w="345"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风速</w:t>
            </w:r>
          </w:p>
        </w:tc>
        <w:tc>
          <w:tcPr>
            <w:tcW w:w="351" w:type="pct"/>
            <w:vAlign w:val="center"/>
          </w:tcPr>
          <w:p w:rsidR="00AD3EDF" w:rsidRPr="00AD3EDF" w:rsidRDefault="00AD3EDF" w:rsidP="00AD3EDF">
            <w:pPr>
              <w:spacing w:line="360" w:lineRule="exact"/>
              <w:ind w:firstLineChars="0" w:firstLine="0"/>
              <w:jc w:val="center"/>
              <w:rPr>
                <w:rFonts w:ascii="Times New Roman" w:hAnsi="Times New Roman"/>
                <w:sz w:val="21"/>
                <w:szCs w:val="21"/>
              </w:rPr>
            </w:pPr>
            <w:r w:rsidRPr="00AD3EDF">
              <w:rPr>
                <w:rFonts w:ascii="Times New Roman" w:hAnsi="Times New Roman"/>
                <w:sz w:val="21"/>
                <w:szCs w:val="21"/>
              </w:rPr>
              <w:t>2.34</w:t>
            </w:r>
          </w:p>
        </w:tc>
        <w:tc>
          <w:tcPr>
            <w:tcW w:w="351" w:type="pct"/>
            <w:vAlign w:val="center"/>
          </w:tcPr>
          <w:p w:rsidR="00AD3EDF" w:rsidRPr="00AD3EDF" w:rsidRDefault="00AD3EDF" w:rsidP="00AD3EDF">
            <w:pPr>
              <w:spacing w:line="360" w:lineRule="exact"/>
              <w:ind w:firstLineChars="0" w:firstLine="0"/>
              <w:jc w:val="center"/>
              <w:rPr>
                <w:rFonts w:ascii="Times New Roman" w:hAnsi="Times New Roman"/>
                <w:sz w:val="21"/>
                <w:szCs w:val="21"/>
              </w:rPr>
            </w:pPr>
            <w:r w:rsidRPr="00AD3EDF">
              <w:rPr>
                <w:rFonts w:ascii="Times New Roman" w:hAnsi="Times New Roman"/>
                <w:sz w:val="21"/>
                <w:szCs w:val="21"/>
              </w:rPr>
              <w:t>2.68</w:t>
            </w:r>
          </w:p>
        </w:tc>
        <w:tc>
          <w:tcPr>
            <w:tcW w:w="351" w:type="pct"/>
            <w:vAlign w:val="center"/>
          </w:tcPr>
          <w:p w:rsidR="00AD3EDF" w:rsidRPr="00AD3EDF" w:rsidRDefault="00AD3EDF" w:rsidP="00AD3EDF">
            <w:pPr>
              <w:spacing w:line="360" w:lineRule="exact"/>
              <w:ind w:firstLineChars="0" w:firstLine="0"/>
              <w:jc w:val="center"/>
              <w:rPr>
                <w:rFonts w:ascii="Times New Roman" w:hAnsi="Times New Roman"/>
                <w:sz w:val="21"/>
                <w:szCs w:val="21"/>
              </w:rPr>
            </w:pPr>
            <w:r w:rsidRPr="00AD3EDF">
              <w:rPr>
                <w:rFonts w:ascii="Times New Roman" w:hAnsi="Times New Roman"/>
                <w:sz w:val="21"/>
                <w:szCs w:val="21"/>
              </w:rPr>
              <w:t>2.86</w:t>
            </w:r>
          </w:p>
        </w:tc>
        <w:tc>
          <w:tcPr>
            <w:tcW w:w="351" w:type="pct"/>
            <w:vAlign w:val="center"/>
          </w:tcPr>
          <w:p w:rsidR="00AD3EDF" w:rsidRPr="00AD3EDF" w:rsidRDefault="00AD3EDF" w:rsidP="00AD3EDF">
            <w:pPr>
              <w:spacing w:line="360" w:lineRule="exact"/>
              <w:ind w:firstLineChars="0" w:firstLine="0"/>
              <w:jc w:val="center"/>
              <w:rPr>
                <w:rFonts w:ascii="Times New Roman" w:hAnsi="Times New Roman"/>
                <w:sz w:val="21"/>
                <w:szCs w:val="21"/>
              </w:rPr>
            </w:pPr>
            <w:r w:rsidRPr="00AD3EDF">
              <w:rPr>
                <w:rFonts w:ascii="Times New Roman" w:hAnsi="Times New Roman"/>
                <w:sz w:val="21"/>
                <w:szCs w:val="21"/>
              </w:rPr>
              <w:t>2.7</w:t>
            </w:r>
          </w:p>
        </w:tc>
        <w:tc>
          <w:tcPr>
            <w:tcW w:w="351" w:type="pct"/>
            <w:vAlign w:val="center"/>
          </w:tcPr>
          <w:p w:rsidR="00AD3EDF" w:rsidRPr="00AD3EDF" w:rsidRDefault="00AD3EDF" w:rsidP="00AD3EDF">
            <w:pPr>
              <w:spacing w:line="360" w:lineRule="exact"/>
              <w:ind w:firstLineChars="0" w:firstLine="0"/>
              <w:jc w:val="center"/>
              <w:rPr>
                <w:rFonts w:ascii="Times New Roman" w:hAnsi="Times New Roman"/>
                <w:sz w:val="21"/>
                <w:szCs w:val="21"/>
              </w:rPr>
            </w:pPr>
            <w:r w:rsidRPr="00AD3EDF">
              <w:rPr>
                <w:rFonts w:ascii="Times New Roman" w:hAnsi="Times New Roman"/>
                <w:sz w:val="21"/>
                <w:szCs w:val="21"/>
              </w:rPr>
              <w:t>2.54</w:t>
            </w:r>
          </w:p>
        </w:tc>
        <w:tc>
          <w:tcPr>
            <w:tcW w:w="351" w:type="pct"/>
            <w:vAlign w:val="center"/>
          </w:tcPr>
          <w:p w:rsidR="00AD3EDF" w:rsidRPr="00AD3EDF" w:rsidRDefault="00AD3EDF" w:rsidP="00AD3EDF">
            <w:pPr>
              <w:spacing w:line="360" w:lineRule="exact"/>
              <w:ind w:firstLineChars="0" w:firstLine="0"/>
              <w:jc w:val="center"/>
              <w:rPr>
                <w:rFonts w:ascii="Times New Roman" w:hAnsi="Times New Roman"/>
                <w:sz w:val="21"/>
                <w:szCs w:val="21"/>
              </w:rPr>
            </w:pPr>
            <w:r w:rsidRPr="00AD3EDF">
              <w:rPr>
                <w:rFonts w:ascii="Times New Roman" w:hAnsi="Times New Roman"/>
                <w:sz w:val="21"/>
                <w:szCs w:val="21"/>
              </w:rPr>
              <w:t>2.45</w:t>
            </w:r>
          </w:p>
        </w:tc>
        <w:tc>
          <w:tcPr>
            <w:tcW w:w="351" w:type="pct"/>
            <w:vAlign w:val="center"/>
          </w:tcPr>
          <w:p w:rsidR="00AD3EDF" w:rsidRPr="00AD3EDF" w:rsidRDefault="00AD3EDF" w:rsidP="00AD3EDF">
            <w:pPr>
              <w:spacing w:line="360" w:lineRule="exact"/>
              <w:ind w:firstLineChars="0" w:firstLine="0"/>
              <w:jc w:val="center"/>
              <w:rPr>
                <w:rFonts w:ascii="Times New Roman" w:hAnsi="Times New Roman"/>
                <w:sz w:val="21"/>
                <w:szCs w:val="21"/>
              </w:rPr>
            </w:pPr>
            <w:r w:rsidRPr="00AD3EDF">
              <w:rPr>
                <w:rFonts w:ascii="Times New Roman" w:hAnsi="Times New Roman"/>
                <w:sz w:val="21"/>
                <w:szCs w:val="21"/>
              </w:rPr>
              <w:t>2.35</w:t>
            </w:r>
          </w:p>
        </w:tc>
        <w:tc>
          <w:tcPr>
            <w:tcW w:w="351" w:type="pct"/>
            <w:vAlign w:val="center"/>
          </w:tcPr>
          <w:p w:rsidR="00AD3EDF" w:rsidRPr="00AD3EDF" w:rsidRDefault="00AD3EDF" w:rsidP="00AD3EDF">
            <w:pPr>
              <w:spacing w:line="360" w:lineRule="exact"/>
              <w:ind w:firstLineChars="0" w:firstLine="0"/>
              <w:jc w:val="center"/>
              <w:rPr>
                <w:rFonts w:ascii="Times New Roman" w:hAnsi="Times New Roman"/>
                <w:sz w:val="21"/>
                <w:szCs w:val="21"/>
              </w:rPr>
            </w:pPr>
            <w:r w:rsidRPr="00AD3EDF">
              <w:rPr>
                <w:rFonts w:ascii="Times New Roman" w:hAnsi="Times New Roman"/>
                <w:sz w:val="21"/>
                <w:szCs w:val="21"/>
              </w:rPr>
              <w:t>2.3</w:t>
            </w:r>
          </w:p>
        </w:tc>
        <w:tc>
          <w:tcPr>
            <w:tcW w:w="351" w:type="pct"/>
            <w:vAlign w:val="center"/>
          </w:tcPr>
          <w:p w:rsidR="00AD3EDF" w:rsidRPr="00AD3EDF" w:rsidRDefault="00AD3EDF" w:rsidP="00AD3EDF">
            <w:pPr>
              <w:spacing w:line="360" w:lineRule="exact"/>
              <w:ind w:firstLineChars="0" w:firstLine="0"/>
              <w:jc w:val="center"/>
              <w:rPr>
                <w:rFonts w:ascii="Times New Roman" w:hAnsi="Times New Roman"/>
                <w:sz w:val="21"/>
                <w:szCs w:val="21"/>
              </w:rPr>
            </w:pPr>
            <w:r w:rsidRPr="00AD3EDF">
              <w:rPr>
                <w:rFonts w:ascii="Times New Roman" w:hAnsi="Times New Roman"/>
                <w:sz w:val="21"/>
                <w:szCs w:val="21"/>
              </w:rPr>
              <w:t>2.15</w:t>
            </w:r>
          </w:p>
        </w:tc>
        <w:tc>
          <w:tcPr>
            <w:tcW w:w="376" w:type="pct"/>
            <w:vAlign w:val="center"/>
          </w:tcPr>
          <w:p w:rsidR="00AD3EDF" w:rsidRPr="00AD3EDF" w:rsidRDefault="00AD3EDF" w:rsidP="00AD3EDF">
            <w:pPr>
              <w:spacing w:line="360" w:lineRule="exact"/>
              <w:ind w:firstLineChars="0" w:firstLine="0"/>
              <w:jc w:val="center"/>
              <w:rPr>
                <w:rFonts w:ascii="Times New Roman" w:hAnsi="Times New Roman"/>
                <w:sz w:val="21"/>
                <w:szCs w:val="21"/>
              </w:rPr>
            </w:pPr>
            <w:r w:rsidRPr="00AD3EDF">
              <w:rPr>
                <w:rFonts w:ascii="Times New Roman" w:hAnsi="Times New Roman"/>
                <w:sz w:val="21"/>
                <w:szCs w:val="21"/>
              </w:rPr>
              <w:t>2.01</w:t>
            </w:r>
          </w:p>
        </w:tc>
        <w:tc>
          <w:tcPr>
            <w:tcW w:w="376" w:type="pct"/>
            <w:vAlign w:val="center"/>
          </w:tcPr>
          <w:p w:rsidR="00AD3EDF" w:rsidRPr="00AD3EDF" w:rsidRDefault="00AD3EDF" w:rsidP="00AD3EDF">
            <w:pPr>
              <w:spacing w:line="360" w:lineRule="exact"/>
              <w:ind w:firstLineChars="0" w:firstLine="0"/>
              <w:jc w:val="center"/>
              <w:rPr>
                <w:rFonts w:ascii="Times New Roman" w:hAnsi="Times New Roman"/>
                <w:sz w:val="21"/>
                <w:szCs w:val="21"/>
              </w:rPr>
            </w:pPr>
            <w:r w:rsidRPr="00AD3EDF">
              <w:rPr>
                <w:rFonts w:ascii="Times New Roman" w:hAnsi="Times New Roman"/>
                <w:sz w:val="21"/>
                <w:szCs w:val="21"/>
              </w:rPr>
              <w:t>2.23</w:t>
            </w:r>
          </w:p>
        </w:tc>
        <w:tc>
          <w:tcPr>
            <w:tcW w:w="374" w:type="pct"/>
            <w:vAlign w:val="center"/>
          </w:tcPr>
          <w:p w:rsidR="00AD3EDF" w:rsidRPr="00AD3EDF" w:rsidRDefault="00AD3EDF" w:rsidP="00AD3EDF">
            <w:pPr>
              <w:spacing w:line="360" w:lineRule="exact"/>
              <w:ind w:firstLineChars="0" w:firstLine="0"/>
              <w:jc w:val="center"/>
              <w:rPr>
                <w:rFonts w:ascii="Times New Roman" w:hAnsi="Times New Roman"/>
                <w:sz w:val="21"/>
                <w:szCs w:val="21"/>
              </w:rPr>
            </w:pPr>
            <w:r w:rsidRPr="00AD3EDF">
              <w:rPr>
                <w:rFonts w:ascii="Times New Roman" w:hAnsi="Times New Roman"/>
                <w:sz w:val="21"/>
                <w:szCs w:val="21"/>
              </w:rPr>
              <w:t>2.21</w:t>
            </w:r>
          </w:p>
        </w:tc>
        <w:tc>
          <w:tcPr>
            <w:tcW w:w="370" w:type="pct"/>
            <w:vAlign w:val="center"/>
          </w:tcPr>
          <w:p w:rsidR="00AD3EDF" w:rsidRPr="00AD3EDF" w:rsidRDefault="00AD3EDF" w:rsidP="00AD3EDF">
            <w:pPr>
              <w:spacing w:line="360" w:lineRule="exact"/>
              <w:ind w:firstLineChars="0" w:firstLine="0"/>
              <w:jc w:val="center"/>
              <w:rPr>
                <w:sz w:val="21"/>
                <w:szCs w:val="21"/>
              </w:rPr>
            </w:pPr>
          </w:p>
        </w:tc>
      </w:tr>
    </w:tbl>
    <w:p w:rsidR="004E3021" w:rsidRDefault="00606E48">
      <w:pPr>
        <w:ind w:firstLineChars="0"/>
        <w:jc w:val="center"/>
        <w:rPr>
          <w:rFonts w:ascii="黑体" w:eastAsia="黑体" w:hAnsi="黑体"/>
          <w:kern w:val="0"/>
        </w:rPr>
      </w:pPr>
      <w:r>
        <w:rPr>
          <w:rFonts w:ascii="黑体" w:eastAsia="黑体" w:hAnsi="黑体" w:hint="eastAsia"/>
          <w:kern w:val="0"/>
        </w:rPr>
        <w:t xml:space="preserve"> </w:t>
      </w:r>
    </w:p>
    <w:p w:rsidR="004E3021" w:rsidRDefault="00606E48">
      <w:pPr>
        <w:overflowPunct w:val="0"/>
        <w:ind w:firstLineChars="0" w:firstLine="0"/>
        <w:jc w:val="center"/>
        <w:textAlignment w:val="baseline"/>
      </w:pPr>
      <w:r>
        <w:rPr>
          <w:noProof/>
        </w:rPr>
        <w:drawing>
          <wp:inline distT="0" distB="0" distL="0" distR="0">
            <wp:extent cx="4467225" cy="1866900"/>
            <wp:effectExtent l="0" t="0" r="9525" b="0"/>
            <wp:docPr id="5" name="图片 5" descr="C:\Users\ADMINI~1\AppData\Local\Temp\ksohtml\wps43E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1\AppData\Local\Temp\ksohtml\wps43E1.tmp.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4467225" cy="1866900"/>
                    </a:xfrm>
                    <a:prstGeom prst="rect">
                      <a:avLst/>
                    </a:prstGeom>
                    <a:noFill/>
                    <a:ln>
                      <a:noFill/>
                    </a:ln>
                  </pic:spPr>
                </pic:pic>
              </a:graphicData>
            </a:graphic>
          </wp:inline>
        </w:drawing>
      </w:r>
      <w:r>
        <w:t xml:space="preserve"> </w:t>
      </w:r>
    </w:p>
    <w:p w:rsidR="004E3021" w:rsidRDefault="00606E48">
      <w:pPr>
        <w:pStyle w:val="afffff4"/>
        <w:ind w:firstLine="480"/>
      </w:pPr>
      <w:r>
        <w:rPr>
          <w:rFonts w:ascii="黑体" w:hAnsi="黑体"/>
        </w:rPr>
        <w:t>图</w:t>
      </w:r>
      <w:r>
        <w:t xml:space="preserve">5.1.1-2  </w:t>
      </w:r>
      <w:r>
        <w:rPr>
          <w:rFonts w:ascii="黑体" w:hAnsi="黑体" w:hint="eastAsia"/>
        </w:rPr>
        <w:t>多年平均风速月变化</w:t>
      </w:r>
    </w:p>
    <w:p w:rsidR="004E3021" w:rsidRDefault="00606E48">
      <w:pPr>
        <w:ind w:firstLine="480"/>
      </w:pPr>
      <w:r>
        <w:rPr>
          <w:rFonts w:ascii="宋体" w:hAnsi="宋体"/>
        </w:rPr>
        <w:t>由</w:t>
      </w:r>
      <w:r>
        <w:rPr>
          <w:rFonts w:ascii="宋体" w:hAnsi="宋体" w:hint="eastAsia"/>
        </w:rPr>
        <w:t>表</w:t>
      </w:r>
      <w:r>
        <w:t>5.1.1-2</w:t>
      </w:r>
      <w:r>
        <w:rPr>
          <w:rFonts w:ascii="宋体" w:hAnsi="宋体"/>
        </w:rPr>
        <w:t>和</w:t>
      </w:r>
      <w:r>
        <w:rPr>
          <w:rFonts w:ascii="宋体" w:hAnsi="宋体" w:hint="eastAsia"/>
        </w:rPr>
        <w:t>图</w:t>
      </w:r>
      <w:r>
        <w:t>5.1.1-2</w:t>
      </w:r>
      <w:r>
        <w:rPr>
          <w:rFonts w:ascii="宋体" w:hAnsi="宋体"/>
        </w:rPr>
        <w:t>可以看出，</w:t>
      </w:r>
      <w:r>
        <w:rPr>
          <w:rFonts w:ascii="宋体" w:hAnsi="宋体" w:hint="eastAsia"/>
        </w:rPr>
        <w:t>区域多年平均风速为</w:t>
      </w:r>
      <w:r>
        <w:rPr>
          <w:rFonts w:hint="eastAsia"/>
        </w:rPr>
        <w:t>2.</w:t>
      </w:r>
      <w:r>
        <w:t>4</w:t>
      </w:r>
      <w:r w:rsidR="00AD3EDF">
        <w:t>0</w:t>
      </w:r>
      <w:r>
        <w:rPr>
          <w:rFonts w:hint="eastAsia"/>
        </w:rPr>
        <w:t>m/s</w:t>
      </w:r>
      <w:r>
        <w:rPr>
          <w:rFonts w:ascii="宋体" w:hAnsi="宋体" w:hint="eastAsia"/>
        </w:rPr>
        <w:t>，</w:t>
      </w:r>
      <w:r>
        <w:rPr>
          <w:rFonts w:ascii="宋体" w:hAnsi="宋体"/>
        </w:rPr>
        <w:t>该区域地面各月风速变化较为规律，春季风速最高，</w:t>
      </w:r>
      <w:r>
        <w:rPr>
          <w:rFonts w:ascii="宋体" w:hAnsi="宋体" w:hint="eastAsia"/>
        </w:rPr>
        <w:t>冬季</w:t>
      </w:r>
      <w:r>
        <w:rPr>
          <w:rFonts w:ascii="宋体" w:hAnsi="宋体"/>
        </w:rPr>
        <w:t>风速最低，一年中以</w:t>
      </w:r>
      <w:r>
        <w:rPr>
          <w:rFonts w:hint="eastAsia"/>
        </w:rPr>
        <w:t>1</w:t>
      </w:r>
      <w:r w:rsidR="00AD3EDF">
        <w:t>0</w:t>
      </w:r>
      <w:r>
        <w:rPr>
          <w:rFonts w:ascii="宋体" w:hAnsi="宋体"/>
        </w:rPr>
        <w:t>月份风速最小，</w:t>
      </w:r>
      <w:r>
        <w:t>3</w:t>
      </w:r>
      <w:r>
        <w:rPr>
          <w:rFonts w:ascii="宋体" w:hAnsi="宋体"/>
        </w:rPr>
        <w:t>月份风速最大。</w:t>
      </w:r>
    </w:p>
    <w:p w:rsidR="004E3021" w:rsidRDefault="00606E48">
      <w:pPr>
        <w:ind w:firstLine="480"/>
        <w:rPr>
          <w:shd w:val="clear" w:color="auto" w:fill="FFFFFF"/>
        </w:rPr>
      </w:pPr>
      <w:r>
        <w:rPr>
          <w:rFonts w:ascii="宋体" w:hAnsi="宋体" w:hint="eastAsia"/>
          <w:shd w:val="clear" w:color="auto" w:fill="FFFFFF"/>
        </w:rPr>
        <w:t>（</w:t>
      </w:r>
      <w:r>
        <w:rPr>
          <w:rFonts w:hint="eastAsia"/>
          <w:shd w:val="clear" w:color="auto" w:fill="FFFFFF"/>
        </w:rPr>
        <w:t>4</w:t>
      </w:r>
      <w:r>
        <w:rPr>
          <w:rFonts w:ascii="宋体" w:hAnsi="宋体" w:hint="eastAsia"/>
          <w:shd w:val="clear" w:color="auto" w:fill="FFFFFF"/>
        </w:rPr>
        <w:t>）</w:t>
      </w:r>
      <w:r>
        <w:rPr>
          <w:rFonts w:ascii="宋体" w:hAnsi="宋体"/>
          <w:shd w:val="clear" w:color="auto" w:fill="FFFFFF"/>
        </w:rPr>
        <w:t>风向和风频</w:t>
      </w:r>
    </w:p>
    <w:p w:rsidR="004E3021" w:rsidRDefault="00606E48">
      <w:pPr>
        <w:ind w:firstLine="480"/>
      </w:pPr>
      <w:r>
        <w:rPr>
          <w:rFonts w:ascii="宋体" w:hAnsi="宋体" w:hint="eastAsia"/>
        </w:rPr>
        <w:t>蚌埠市年风向</w:t>
      </w:r>
      <w:r>
        <w:rPr>
          <w:rFonts w:ascii="宋体" w:hAnsi="宋体"/>
        </w:rPr>
        <w:t>频率</w:t>
      </w:r>
      <w:r>
        <w:rPr>
          <w:rFonts w:ascii="宋体" w:hAnsi="宋体" w:hint="eastAsia"/>
        </w:rPr>
        <w:t>见</w:t>
      </w:r>
      <w:r>
        <w:rPr>
          <w:rFonts w:ascii="宋体" w:hAnsi="宋体"/>
        </w:rPr>
        <w:t>表</w:t>
      </w:r>
      <w:r>
        <w:rPr>
          <w:rFonts w:hint="eastAsia"/>
        </w:rPr>
        <w:t>5.1.</w:t>
      </w:r>
      <w:r>
        <w:t>1-3</w:t>
      </w:r>
      <w:r>
        <w:rPr>
          <w:rFonts w:ascii="宋体" w:hAnsi="宋体" w:hint="eastAsia"/>
        </w:rPr>
        <w:t>，月</w:t>
      </w:r>
      <w:r>
        <w:rPr>
          <w:rFonts w:ascii="宋体" w:hAnsi="宋体"/>
        </w:rPr>
        <w:t>风向频率见表</w:t>
      </w:r>
      <w:r>
        <w:rPr>
          <w:rFonts w:hint="eastAsia"/>
        </w:rPr>
        <w:t>5.1.1-4</w:t>
      </w:r>
      <w:r>
        <w:rPr>
          <w:rFonts w:ascii="宋体" w:hAnsi="宋体" w:hint="eastAsia"/>
        </w:rPr>
        <w:t>。</w:t>
      </w:r>
    </w:p>
    <w:p w:rsidR="004E3021" w:rsidRDefault="00AD3EDF">
      <w:pPr>
        <w:ind w:firstLineChars="0" w:firstLine="0"/>
        <w:jc w:val="center"/>
        <w:rPr>
          <w:rFonts w:eastAsia="黑体"/>
          <w:kern w:val="0"/>
        </w:rPr>
      </w:pPr>
      <w:r>
        <w:rPr>
          <w:noProof/>
        </w:rPr>
        <w:lastRenderedPageBreak/>
        <w:drawing>
          <wp:inline distT="0" distB="0" distL="0" distR="0" wp14:anchorId="200644D4" wp14:editId="2B8B4F1C">
            <wp:extent cx="2556399" cy="2714625"/>
            <wp:effectExtent l="0" t="0" r="0" b="0"/>
            <wp:docPr id="736" name="图片 736" descr="c95428167e67054453038994e31ac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736" descr="c95428167e67054453038994e31ace6"/>
                    <pic:cNvPicPr>
                      <a:picLocks noChangeAspect="1"/>
                    </pic:cNvPicPr>
                  </pic:nvPicPr>
                  <pic:blipFill>
                    <a:blip r:embed="rId42"/>
                    <a:srcRect b="7852"/>
                    <a:stretch>
                      <a:fillRect/>
                    </a:stretch>
                  </pic:blipFill>
                  <pic:spPr>
                    <a:xfrm>
                      <a:off x="0" y="0"/>
                      <a:ext cx="2560373" cy="2718845"/>
                    </a:xfrm>
                    <a:prstGeom prst="rect">
                      <a:avLst/>
                    </a:prstGeom>
                  </pic:spPr>
                </pic:pic>
              </a:graphicData>
            </a:graphic>
          </wp:inline>
        </w:drawing>
      </w:r>
      <w:r w:rsidR="00606E48">
        <w:rPr>
          <w:rFonts w:eastAsia="黑体"/>
          <w:kern w:val="0"/>
        </w:rPr>
        <w:t xml:space="preserve"> </w:t>
      </w:r>
    </w:p>
    <w:p w:rsidR="004E3021" w:rsidRDefault="00606E48">
      <w:pPr>
        <w:pStyle w:val="afffff4"/>
      </w:pPr>
      <w:r>
        <w:rPr>
          <w:rFonts w:ascii="宋体" w:hAnsi="宋体"/>
        </w:rPr>
        <w:t>图</w:t>
      </w:r>
      <w:r>
        <w:rPr>
          <w:rFonts w:hint="eastAsia"/>
        </w:rPr>
        <w:t>5.1.1-3</w:t>
      </w:r>
      <w:r>
        <w:t xml:space="preserve">  </w:t>
      </w:r>
      <w:r>
        <w:rPr>
          <w:rFonts w:ascii="宋体" w:hAnsi="宋体" w:hint="eastAsia"/>
        </w:rPr>
        <w:t>蚌埠风向玫瑰图</w:t>
      </w: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Chars="0" w:firstLine="0"/>
      </w:pPr>
    </w:p>
    <w:p w:rsidR="004E3021" w:rsidRDefault="004E3021">
      <w:pPr>
        <w:ind w:firstLine="480"/>
        <w:sectPr w:rsidR="004E3021">
          <w:pgSz w:w="11907" w:h="16839"/>
          <w:pgMar w:top="1440" w:right="1440" w:bottom="1440" w:left="1440" w:header="851" w:footer="992" w:gutter="0"/>
          <w:cols w:space="425"/>
          <w:docGrid w:type="lines" w:linePitch="326"/>
        </w:sectPr>
      </w:pPr>
    </w:p>
    <w:p w:rsidR="004E3021" w:rsidRDefault="00606E48">
      <w:pPr>
        <w:pStyle w:val="afffff4"/>
        <w:ind w:firstLine="480"/>
        <w:rPr>
          <w:rFonts w:cs="Times New Roman"/>
        </w:rPr>
      </w:pPr>
      <w:r>
        <w:rPr>
          <w:rFonts w:ascii="黑体" w:hAnsi="黑体"/>
        </w:rPr>
        <w:lastRenderedPageBreak/>
        <w:t>表</w:t>
      </w:r>
      <w:r>
        <w:rPr>
          <w:rFonts w:hint="eastAsia"/>
        </w:rPr>
        <w:t>5.1.1-4</w:t>
      </w:r>
      <w:r>
        <w:t xml:space="preserve">  </w:t>
      </w:r>
      <w:r w:rsidR="00AD3EDF">
        <w:rPr>
          <w:rFonts w:hint="eastAsia"/>
        </w:rPr>
        <w:t>蚌埠市近</w:t>
      </w:r>
      <w:r w:rsidR="00AD3EDF">
        <w:rPr>
          <w:rFonts w:hint="eastAsia"/>
        </w:rPr>
        <w:t>20</w:t>
      </w:r>
      <w:r w:rsidR="00AD3EDF">
        <w:rPr>
          <w:rFonts w:hint="eastAsia"/>
        </w:rPr>
        <w:t>年</w:t>
      </w:r>
      <w:r>
        <w:rPr>
          <w:rFonts w:ascii="黑体" w:hAnsi="黑体" w:hint="eastAsia"/>
        </w:rPr>
        <w:t>月风向频率统计（单位</w:t>
      </w:r>
      <w:r>
        <w:rPr>
          <w:rFonts w:hint="eastAsia"/>
        </w:rPr>
        <w:t>%</w:t>
      </w:r>
      <w:r>
        <w:rPr>
          <w:rFonts w:ascii="黑体" w:hAnsi="黑体" w:hint="eastAsia"/>
        </w:rPr>
        <w:t>）</w:t>
      </w:r>
    </w:p>
    <w:tbl>
      <w:tblPr>
        <w:tblStyle w:val="afff"/>
        <w:tblW w:w="5000" w:type="pct"/>
        <w:tblLook w:val="04A0" w:firstRow="1" w:lastRow="0" w:firstColumn="1" w:lastColumn="0" w:noHBand="0" w:noVBand="1"/>
      </w:tblPr>
      <w:tblGrid>
        <w:gridCol w:w="1012"/>
        <w:gridCol w:w="762"/>
        <w:gridCol w:w="762"/>
        <w:gridCol w:w="762"/>
        <w:gridCol w:w="762"/>
        <w:gridCol w:w="762"/>
        <w:gridCol w:w="762"/>
        <w:gridCol w:w="762"/>
        <w:gridCol w:w="762"/>
        <w:gridCol w:w="762"/>
        <w:gridCol w:w="762"/>
        <w:gridCol w:w="762"/>
        <w:gridCol w:w="762"/>
        <w:gridCol w:w="762"/>
        <w:gridCol w:w="788"/>
        <w:gridCol w:w="762"/>
        <w:gridCol w:w="762"/>
        <w:gridCol w:w="729"/>
      </w:tblGrid>
      <w:tr w:rsidR="00AD3EDF" w:rsidRPr="00AD3EDF" w:rsidTr="00AD3EDF">
        <w:trPr>
          <w:trHeight w:hRule="exact" w:val="833"/>
        </w:trPr>
        <w:tc>
          <w:tcPr>
            <w:tcW w:w="362"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风向频</w:t>
            </w:r>
          </w:p>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率月份</w:t>
            </w:r>
          </w:p>
        </w:tc>
        <w:tc>
          <w:tcPr>
            <w:tcW w:w="273"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N</w:t>
            </w:r>
          </w:p>
        </w:tc>
        <w:tc>
          <w:tcPr>
            <w:tcW w:w="273"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NNE</w:t>
            </w:r>
          </w:p>
        </w:tc>
        <w:tc>
          <w:tcPr>
            <w:tcW w:w="273"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NE</w:t>
            </w:r>
          </w:p>
        </w:tc>
        <w:tc>
          <w:tcPr>
            <w:tcW w:w="273"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ENE</w:t>
            </w:r>
          </w:p>
        </w:tc>
        <w:tc>
          <w:tcPr>
            <w:tcW w:w="273"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E</w:t>
            </w:r>
          </w:p>
        </w:tc>
        <w:tc>
          <w:tcPr>
            <w:tcW w:w="273"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ESE</w:t>
            </w:r>
          </w:p>
        </w:tc>
        <w:tc>
          <w:tcPr>
            <w:tcW w:w="273"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SE</w:t>
            </w:r>
          </w:p>
        </w:tc>
        <w:tc>
          <w:tcPr>
            <w:tcW w:w="273"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SSE</w:t>
            </w:r>
          </w:p>
        </w:tc>
        <w:tc>
          <w:tcPr>
            <w:tcW w:w="273"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S</w:t>
            </w:r>
          </w:p>
        </w:tc>
        <w:tc>
          <w:tcPr>
            <w:tcW w:w="273"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SSW</w:t>
            </w:r>
          </w:p>
        </w:tc>
        <w:tc>
          <w:tcPr>
            <w:tcW w:w="273"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SW</w:t>
            </w:r>
          </w:p>
        </w:tc>
        <w:tc>
          <w:tcPr>
            <w:tcW w:w="273"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WSW</w:t>
            </w:r>
          </w:p>
        </w:tc>
        <w:tc>
          <w:tcPr>
            <w:tcW w:w="273"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W</w:t>
            </w:r>
          </w:p>
        </w:tc>
        <w:tc>
          <w:tcPr>
            <w:tcW w:w="282"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WNW</w:t>
            </w:r>
          </w:p>
        </w:tc>
        <w:tc>
          <w:tcPr>
            <w:tcW w:w="273"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NW</w:t>
            </w:r>
          </w:p>
        </w:tc>
        <w:tc>
          <w:tcPr>
            <w:tcW w:w="273"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NNW</w:t>
            </w:r>
          </w:p>
        </w:tc>
        <w:tc>
          <w:tcPr>
            <w:tcW w:w="261" w:type="pct"/>
            <w:vAlign w:val="center"/>
          </w:tcPr>
          <w:p w:rsidR="00AD3EDF" w:rsidRPr="00AD3EDF" w:rsidRDefault="00AD3EDF" w:rsidP="00AD3EDF">
            <w:pPr>
              <w:pStyle w:val="afffffff2"/>
              <w:rPr>
                <w:rFonts w:ascii="Times New Roman" w:hAnsi="Times New Roman" w:cs="Times New Roman"/>
                <w:b/>
                <w:kern w:val="0"/>
                <w:sz w:val="21"/>
                <w:szCs w:val="21"/>
              </w:rPr>
            </w:pPr>
            <w:r w:rsidRPr="00AD3EDF">
              <w:rPr>
                <w:rFonts w:ascii="Times New Roman" w:hAnsi="Times New Roman" w:cs="Times New Roman"/>
                <w:b/>
                <w:kern w:val="0"/>
                <w:sz w:val="21"/>
                <w:szCs w:val="21"/>
              </w:rPr>
              <w:t>C</w:t>
            </w:r>
          </w:p>
        </w:tc>
      </w:tr>
      <w:tr w:rsidR="00AD3EDF" w:rsidRPr="00AD3EDF" w:rsidTr="00AD3EDF">
        <w:trPr>
          <w:trHeight w:hRule="exact" w:val="407"/>
        </w:trPr>
        <w:tc>
          <w:tcPr>
            <w:tcW w:w="36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7</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9</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8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6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r>
      <w:tr w:rsidR="00AD3EDF" w:rsidRPr="00AD3EDF" w:rsidTr="00AD3EDF">
        <w:trPr>
          <w:trHeight w:hRule="exact" w:val="408"/>
        </w:trPr>
        <w:tc>
          <w:tcPr>
            <w:tcW w:w="36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8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6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r>
      <w:tr w:rsidR="00AD3EDF" w:rsidRPr="00AD3EDF" w:rsidTr="00AD3EDF">
        <w:trPr>
          <w:trHeight w:hRule="exact" w:val="407"/>
        </w:trPr>
        <w:tc>
          <w:tcPr>
            <w:tcW w:w="36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11</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7</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8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6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r>
      <w:tr w:rsidR="00AD3EDF" w:rsidRPr="00AD3EDF" w:rsidTr="00AD3EDF">
        <w:trPr>
          <w:trHeight w:hRule="exact" w:val="407"/>
        </w:trPr>
        <w:tc>
          <w:tcPr>
            <w:tcW w:w="36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8</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11</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7</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7</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7</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8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6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r>
      <w:tr w:rsidR="00AD3EDF" w:rsidRPr="00AD3EDF" w:rsidTr="00AD3EDF">
        <w:trPr>
          <w:trHeight w:hRule="exact" w:val="407"/>
        </w:trPr>
        <w:tc>
          <w:tcPr>
            <w:tcW w:w="36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8</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7</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7</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8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6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r>
      <w:tr w:rsidR="00AD3EDF" w:rsidRPr="00AD3EDF" w:rsidTr="00AD3EDF">
        <w:trPr>
          <w:trHeight w:hRule="exact" w:val="407"/>
        </w:trPr>
        <w:tc>
          <w:tcPr>
            <w:tcW w:w="36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10</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11</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9</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8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c>
          <w:tcPr>
            <w:tcW w:w="26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r>
      <w:tr w:rsidR="00AD3EDF" w:rsidRPr="00AD3EDF" w:rsidTr="00AD3EDF">
        <w:trPr>
          <w:trHeight w:hRule="exact" w:val="407"/>
        </w:trPr>
        <w:tc>
          <w:tcPr>
            <w:tcW w:w="36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7</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10</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10</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8</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7</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9</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8</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7</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8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c>
          <w:tcPr>
            <w:tcW w:w="26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r>
      <w:tr w:rsidR="00AD3EDF" w:rsidRPr="00AD3EDF" w:rsidTr="00AD3EDF">
        <w:trPr>
          <w:trHeight w:hRule="exact" w:val="408"/>
        </w:trPr>
        <w:tc>
          <w:tcPr>
            <w:tcW w:w="36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8</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11</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10</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8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6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r>
      <w:tr w:rsidR="00AD3EDF" w:rsidRPr="00AD3EDF" w:rsidTr="00AD3EDF">
        <w:trPr>
          <w:trHeight w:hRule="exact" w:val="407"/>
        </w:trPr>
        <w:tc>
          <w:tcPr>
            <w:tcW w:w="36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9</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7</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19</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9</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8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6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r>
      <w:tr w:rsidR="00AD3EDF" w:rsidRPr="00AD3EDF" w:rsidTr="00AD3EDF">
        <w:trPr>
          <w:trHeight w:hRule="exact" w:val="407"/>
        </w:trPr>
        <w:tc>
          <w:tcPr>
            <w:tcW w:w="36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10</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11</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17</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10</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8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6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r>
      <w:tr w:rsidR="00AD3EDF" w:rsidRPr="00AD3EDF" w:rsidTr="00AD3EDF">
        <w:trPr>
          <w:trHeight w:hRule="exact" w:val="407"/>
        </w:trPr>
        <w:tc>
          <w:tcPr>
            <w:tcW w:w="36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11</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7</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10</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10</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8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6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r>
      <w:tr w:rsidR="00AD3EDF" w:rsidRPr="00AD3EDF" w:rsidTr="00AD3EDF">
        <w:trPr>
          <w:trHeight w:hRule="exact" w:val="408"/>
        </w:trPr>
        <w:tc>
          <w:tcPr>
            <w:tcW w:w="36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7</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11</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8</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8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6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r>
      <w:tr w:rsidR="00AD3EDF" w:rsidRPr="00AD3EDF" w:rsidTr="00AD3EDF">
        <w:trPr>
          <w:trHeight w:hRule="exact" w:val="408"/>
        </w:trPr>
        <w:tc>
          <w:tcPr>
            <w:tcW w:w="36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全年</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7</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14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9</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2</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6</w:t>
            </w:r>
          </w:p>
        </w:tc>
        <w:tc>
          <w:tcPr>
            <w:tcW w:w="282"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5</w:t>
            </w:r>
          </w:p>
        </w:tc>
        <w:tc>
          <w:tcPr>
            <w:tcW w:w="273"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4</w:t>
            </w:r>
          </w:p>
        </w:tc>
        <w:tc>
          <w:tcPr>
            <w:tcW w:w="261" w:type="pct"/>
            <w:vAlign w:val="center"/>
          </w:tcPr>
          <w:p w:rsidR="00AD3EDF" w:rsidRPr="00AD3EDF" w:rsidRDefault="00AD3EDF" w:rsidP="00AD3EDF">
            <w:pPr>
              <w:pStyle w:val="afffffff2"/>
              <w:rPr>
                <w:rFonts w:ascii="Times New Roman" w:hAnsi="Times New Roman" w:cs="Times New Roman"/>
                <w:kern w:val="0"/>
                <w:sz w:val="21"/>
                <w:szCs w:val="21"/>
              </w:rPr>
            </w:pPr>
            <w:r w:rsidRPr="00AD3EDF">
              <w:rPr>
                <w:rFonts w:ascii="Times New Roman" w:hAnsi="Times New Roman" w:cs="Times New Roman"/>
                <w:kern w:val="0"/>
                <w:sz w:val="21"/>
                <w:szCs w:val="21"/>
              </w:rPr>
              <w:t>3</w:t>
            </w:r>
          </w:p>
        </w:tc>
      </w:tr>
    </w:tbl>
    <w:p w:rsidR="004E3021" w:rsidRDefault="004E3021">
      <w:pPr>
        <w:ind w:firstLine="480"/>
      </w:pPr>
    </w:p>
    <w:p w:rsidR="004E3021" w:rsidRDefault="004E3021">
      <w:pPr>
        <w:ind w:firstLine="480"/>
        <w:sectPr w:rsidR="004E3021">
          <w:pgSz w:w="16839" w:h="11907" w:orient="landscape"/>
          <w:pgMar w:top="1440" w:right="1440" w:bottom="1440" w:left="1440" w:header="851" w:footer="992" w:gutter="0"/>
          <w:cols w:space="425"/>
          <w:docGrid w:type="lines" w:linePitch="326"/>
        </w:sectPr>
      </w:pPr>
    </w:p>
    <w:p w:rsidR="004E3021" w:rsidRDefault="00606E48">
      <w:pPr>
        <w:pStyle w:val="4a"/>
      </w:pPr>
      <w:r>
        <w:rPr>
          <w:rFonts w:hint="eastAsia"/>
        </w:rPr>
        <w:lastRenderedPageBreak/>
        <w:t>5.1.1.2</w:t>
      </w:r>
      <w:r>
        <w:rPr>
          <w:rFonts w:hint="eastAsia"/>
        </w:rPr>
        <w:t>评价基准年气象资料统计</w:t>
      </w:r>
    </w:p>
    <w:p w:rsidR="004E3021" w:rsidRDefault="00606E48">
      <w:pPr>
        <w:ind w:firstLine="480"/>
      </w:pPr>
      <w:r>
        <w:rPr>
          <w:rFonts w:ascii="宋体" w:hAnsi="宋体" w:hint="eastAsia"/>
        </w:rPr>
        <w:t>本项目的大气环境影响评价等级为一级，预测范围自厂界外延</w:t>
      </w:r>
      <w:r>
        <w:t>2.5km</w:t>
      </w:r>
      <w:r>
        <w:rPr>
          <w:rFonts w:ascii="宋体" w:hAnsi="宋体" w:hint="eastAsia"/>
        </w:rPr>
        <w:t>矩形区域，根据《环境影响评价技术导则》（</w:t>
      </w:r>
      <w:r>
        <w:t>HJ2.2-2018)</w:t>
      </w:r>
      <w:r>
        <w:rPr>
          <w:rFonts w:ascii="宋体" w:hAnsi="宋体" w:hint="eastAsia"/>
        </w:rPr>
        <w:t>，评价基准年可选择近</w:t>
      </w:r>
      <w:r>
        <w:t>3</w:t>
      </w:r>
      <w:r>
        <w:rPr>
          <w:rFonts w:ascii="宋体" w:hAnsi="宋体" w:hint="eastAsia"/>
        </w:rPr>
        <w:t>年中数据相对完整的</w:t>
      </w:r>
      <w:r>
        <w:t>1</w:t>
      </w:r>
      <w:r>
        <w:rPr>
          <w:rFonts w:ascii="宋体" w:hAnsi="宋体" w:hint="eastAsia"/>
        </w:rPr>
        <w:t>个日历年作为评价基准年，本评价选择</w:t>
      </w:r>
      <w:r>
        <w:t>202</w:t>
      </w:r>
      <w:r w:rsidR="00AD3EDF">
        <w:t>3</w:t>
      </w:r>
      <w:r>
        <w:rPr>
          <w:rFonts w:ascii="宋体" w:hAnsi="宋体" w:hint="eastAsia"/>
        </w:rPr>
        <w:t>年为评价基准年。</w:t>
      </w:r>
    </w:p>
    <w:p w:rsidR="004E3021" w:rsidRDefault="00606E48">
      <w:pPr>
        <w:ind w:firstLine="480"/>
      </w:pPr>
      <w:r>
        <w:rPr>
          <w:rFonts w:ascii="宋体" w:hAnsi="宋体"/>
        </w:rPr>
        <w:t>本次评价采用蚌埠市气象站</w:t>
      </w:r>
      <w:r>
        <w:t>202</w:t>
      </w:r>
      <w:r w:rsidR="00AD3EDF">
        <w:t>3</w:t>
      </w:r>
      <w:r>
        <w:rPr>
          <w:rFonts w:ascii="宋体" w:hAnsi="宋体"/>
        </w:rPr>
        <w:t>年的地面站逐时气象数据和高空模拟气象数据。</w:t>
      </w:r>
    </w:p>
    <w:p w:rsidR="004E3021" w:rsidRDefault="00606E48">
      <w:pPr>
        <w:ind w:firstLine="480"/>
      </w:pPr>
      <w:r>
        <w:rPr>
          <w:rFonts w:ascii="宋体" w:hAnsi="宋体"/>
        </w:rPr>
        <w:t>蚌埠市气象站（编号</w:t>
      </w:r>
      <w:r>
        <w:rPr>
          <w:rFonts w:ascii="宋体" w:hAnsi="宋体" w:hint="eastAsia"/>
        </w:rPr>
        <w:t>：</w:t>
      </w:r>
      <w:r>
        <w:t>58221</w:t>
      </w:r>
      <w:r>
        <w:rPr>
          <w:rFonts w:ascii="宋体" w:hAnsi="宋体"/>
        </w:rPr>
        <w:t>）位于安徽省蚌埠市，地理坐标为地处东经</w:t>
      </w:r>
      <w:r>
        <w:rPr>
          <w:kern w:val="0"/>
        </w:rPr>
        <w:t>117.3044</w:t>
      </w:r>
      <w:r>
        <w:t>°</w:t>
      </w:r>
      <w:r>
        <w:rPr>
          <w:rFonts w:ascii="宋体" w:hAnsi="宋体"/>
        </w:rPr>
        <w:t>，北纬</w:t>
      </w:r>
      <w:r>
        <w:rPr>
          <w:kern w:val="0"/>
        </w:rPr>
        <w:t>32.8436</w:t>
      </w:r>
      <w:r>
        <w:t>°</w:t>
      </w:r>
      <w:r>
        <w:rPr>
          <w:rFonts w:ascii="宋体" w:hAnsi="宋体"/>
        </w:rPr>
        <w:t>，海拔高度</w:t>
      </w:r>
      <w:r>
        <w:rPr>
          <w:kern w:val="0"/>
        </w:rPr>
        <w:t>26.8</w:t>
      </w:r>
      <w:r>
        <w:rPr>
          <w:rFonts w:ascii="宋体" w:hAnsi="宋体"/>
        </w:rPr>
        <w:t>米。站点性质为基本站。基准年为</w:t>
      </w:r>
      <w:r>
        <w:t>202</w:t>
      </w:r>
      <w:r w:rsidR="00AD3EDF">
        <w:t>3</w:t>
      </w:r>
      <w:r>
        <w:rPr>
          <w:rFonts w:ascii="宋体" w:hAnsi="宋体"/>
        </w:rPr>
        <w:t>年。</w:t>
      </w:r>
    </w:p>
    <w:p w:rsidR="00AD3EDF" w:rsidRDefault="00AD3EDF" w:rsidP="00AD3EDF">
      <w:pPr>
        <w:ind w:firstLine="480"/>
      </w:pPr>
      <w:r>
        <w:rPr>
          <w:rFonts w:hint="eastAsia"/>
        </w:rPr>
        <w:t>（</w:t>
      </w:r>
      <w:r>
        <w:rPr>
          <w:rFonts w:hint="eastAsia"/>
        </w:rPr>
        <w:t>1</w:t>
      </w:r>
      <w:r>
        <w:rPr>
          <w:rFonts w:hint="eastAsia"/>
        </w:rPr>
        <w:t>）温度</w:t>
      </w:r>
    </w:p>
    <w:p w:rsidR="00AD3EDF" w:rsidRDefault="00AD3EDF" w:rsidP="00AD3EDF">
      <w:pPr>
        <w:ind w:firstLine="480"/>
      </w:pPr>
      <w:bookmarkStart w:id="332" w:name="_Ref498432565"/>
      <w:r>
        <w:t>蚌埠市多年平均温度的月变化情况见表</w:t>
      </w:r>
      <w:r>
        <w:t>5.2.1-5</w:t>
      </w:r>
      <w:r>
        <w:t>和图</w:t>
      </w:r>
      <w:r>
        <w:t>5.2.1-2</w:t>
      </w:r>
      <w:r>
        <w:t>。从表</w:t>
      </w:r>
      <w:r>
        <w:t>5.2.1-5</w:t>
      </w:r>
      <w:r>
        <w:t>和图</w:t>
      </w:r>
      <w:r>
        <w:t>5.2.1-2</w:t>
      </w:r>
      <w:r>
        <w:t>知，全年平均气温为</w:t>
      </w:r>
      <w:r>
        <w:t>16.04℃</w:t>
      </w:r>
      <w:r>
        <w:t>，其中夏季气温明显高于其它季节，以</w:t>
      </w:r>
      <w:r>
        <w:t>7</w:t>
      </w:r>
      <w:r>
        <w:t>月温度最高，平均为</w:t>
      </w:r>
      <w:r>
        <w:t>28.01℃</w:t>
      </w:r>
      <w:r>
        <w:t>，</w:t>
      </w:r>
      <w:r>
        <w:t>1</w:t>
      </w:r>
      <w:r>
        <w:t>月温度最低，平均为</w:t>
      </w:r>
      <w:r>
        <w:t>2.2℃</w:t>
      </w:r>
      <w:r>
        <w:t>。</w:t>
      </w:r>
    </w:p>
    <w:p w:rsidR="00AD3EDF" w:rsidRDefault="00AD3EDF" w:rsidP="00AD3EDF">
      <w:pPr>
        <w:pStyle w:val="afffff4"/>
      </w:pPr>
      <w:r>
        <w:rPr>
          <w:rFonts w:hint="eastAsia"/>
        </w:rPr>
        <w:t>表</w:t>
      </w:r>
      <w:bookmarkEnd w:id="332"/>
      <w:r>
        <w:rPr>
          <w:rFonts w:hint="eastAsia"/>
        </w:rPr>
        <w:t>5.</w:t>
      </w:r>
      <w:r>
        <w:t>2.1</w:t>
      </w:r>
      <w:r>
        <w:rPr>
          <w:rFonts w:hint="eastAsia"/>
        </w:rPr>
        <w:t>-</w:t>
      </w:r>
      <w:r>
        <w:t>4</w:t>
      </w:r>
      <w:r>
        <w:rPr>
          <w:rFonts w:hint="eastAsia"/>
        </w:rPr>
        <w:t xml:space="preserve"> </w:t>
      </w:r>
      <w:r>
        <w:rPr>
          <w:rFonts w:hint="eastAsia"/>
        </w:rPr>
        <w:t>年平均气温的月变化表</w:t>
      </w:r>
      <w:r>
        <w:rPr>
          <w:rFonts w:hint="eastAsia"/>
        </w:rPr>
        <w:t xml:space="preserve"> </w:t>
      </w:r>
      <w:r>
        <w:rPr>
          <w:rFonts w:hint="eastAsia"/>
        </w:rPr>
        <w:t>单位：℃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
        <w:gridCol w:w="550"/>
        <w:gridCol w:w="550"/>
        <w:gridCol w:w="646"/>
        <w:gridCol w:w="646"/>
        <w:gridCol w:w="646"/>
        <w:gridCol w:w="646"/>
        <w:gridCol w:w="646"/>
        <w:gridCol w:w="646"/>
        <w:gridCol w:w="551"/>
        <w:gridCol w:w="647"/>
        <w:gridCol w:w="646"/>
        <w:gridCol w:w="647"/>
        <w:gridCol w:w="646"/>
      </w:tblGrid>
      <w:tr w:rsidR="00AD3EDF" w:rsidTr="00AD3EDF">
        <w:trPr>
          <w:trHeight w:val="86"/>
          <w:jc w:val="center"/>
        </w:trPr>
        <w:tc>
          <w:tcPr>
            <w:tcW w:w="393" w:type="pct"/>
            <w:tcBorders>
              <w:top w:val="single" w:sz="12" w:space="0" w:color="auto"/>
              <w:left w:val="nil"/>
            </w:tcBorders>
            <w:shd w:val="clear" w:color="auto" w:fill="auto"/>
            <w:noWrap/>
            <w:vAlign w:val="center"/>
          </w:tcPr>
          <w:p w:rsidR="00AD3EDF" w:rsidRDefault="00AD3EDF" w:rsidP="00AD3EDF">
            <w:pPr>
              <w:widowControl/>
              <w:spacing w:line="360" w:lineRule="exact"/>
              <w:ind w:firstLineChars="0" w:firstLine="0"/>
              <w:jc w:val="center"/>
              <w:rPr>
                <w:b/>
                <w:sz w:val="21"/>
                <w:szCs w:val="21"/>
              </w:rPr>
            </w:pPr>
            <w:r>
              <w:rPr>
                <w:b/>
                <w:sz w:val="21"/>
                <w:szCs w:val="21"/>
              </w:rPr>
              <w:t>月份</w:t>
            </w:r>
          </w:p>
        </w:tc>
        <w:tc>
          <w:tcPr>
            <w:tcW w:w="419" w:type="pct"/>
            <w:tcBorders>
              <w:top w:val="single" w:sz="12" w:space="0" w:color="auto"/>
            </w:tcBorders>
            <w:shd w:val="clear" w:color="auto" w:fill="auto"/>
            <w:noWrap/>
            <w:vAlign w:val="center"/>
          </w:tcPr>
          <w:p w:rsidR="00AD3EDF" w:rsidRDefault="00AD3EDF" w:rsidP="00AD3EDF">
            <w:pPr>
              <w:widowControl/>
              <w:spacing w:line="360" w:lineRule="exact"/>
              <w:ind w:firstLineChars="0" w:firstLine="0"/>
              <w:jc w:val="center"/>
              <w:rPr>
                <w:b/>
                <w:sz w:val="21"/>
                <w:szCs w:val="21"/>
              </w:rPr>
            </w:pPr>
            <w:r>
              <w:rPr>
                <w:b/>
                <w:sz w:val="21"/>
                <w:szCs w:val="21"/>
              </w:rPr>
              <w:t>1</w:t>
            </w:r>
            <w:r>
              <w:rPr>
                <w:b/>
                <w:sz w:val="21"/>
                <w:szCs w:val="21"/>
              </w:rPr>
              <w:t>月</w:t>
            </w:r>
          </w:p>
        </w:tc>
        <w:tc>
          <w:tcPr>
            <w:tcW w:w="305" w:type="pct"/>
            <w:tcBorders>
              <w:top w:val="single" w:sz="12" w:space="0" w:color="auto"/>
            </w:tcBorders>
            <w:shd w:val="clear" w:color="auto" w:fill="auto"/>
            <w:noWrap/>
            <w:vAlign w:val="center"/>
          </w:tcPr>
          <w:p w:rsidR="00AD3EDF" w:rsidRDefault="00AD3EDF" w:rsidP="00AD3EDF">
            <w:pPr>
              <w:widowControl/>
              <w:spacing w:line="360" w:lineRule="exact"/>
              <w:ind w:firstLineChars="0" w:firstLine="0"/>
              <w:jc w:val="center"/>
              <w:rPr>
                <w:b/>
                <w:sz w:val="21"/>
                <w:szCs w:val="21"/>
              </w:rPr>
            </w:pPr>
            <w:r>
              <w:rPr>
                <w:b/>
                <w:sz w:val="21"/>
                <w:szCs w:val="21"/>
              </w:rPr>
              <w:t>2</w:t>
            </w:r>
            <w:r>
              <w:rPr>
                <w:b/>
                <w:sz w:val="21"/>
                <w:szCs w:val="21"/>
              </w:rPr>
              <w:t>月</w:t>
            </w:r>
          </w:p>
        </w:tc>
        <w:tc>
          <w:tcPr>
            <w:tcW w:w="358" w:type="pct"/>
            <w:tcBorders>
              <w:top w:val="single" w:sz="12" w:space="0" w:color="auto"/>
            </w:tcBorders>
            <w:shd w:val="clear" w:color="auto" w:fill="auto"/>
            <w:noWrap/>
            <w:vAlign w:val="center"/>
          </w:tcPr>
          <w:p w:rsidR="00AD3EDF" w:rsidRDefault="00AD3EDF" w:rsidP="00AD3EDF">
            <w:pPr>
              <w:widowControl/>
              <w:spacing w:line="360" w:lineRule="exact"/>
              <w:ind w:firstLineChars="0" w:firstLine="0"/>
              <w:jc w:val="center"/>
              <w:rPr>
                <w:b/>
                <w:sz w:val="21"/>
                <w:szCs w:val="21"/>
              </w:rPr>
            </w:pPr>
            <w:r>
              <w:rPr>
                <w:b/>
                <w:sz w:val="21"/>
                <w:szCs w:val="21"/>
              </w:rPr>
              <w:t>3</w:t>
            </w:r>
            <w:r>
              <w:rPr>
                <w:b/>
                <w:sz w:val="21"/>
                <w:szCs w:val="21"/>
              </w:rPr>
              <w:t>月</w:t>
            </w:r>
          </w:p>
        </w:tc>
        <w:tc>
          <w:tcPr>
            <w:tcW w:w="358" w:type="pct"/>
            <w:tcBorders>
              <w:top w:val="single" w:sz="12" w:space="0" w:color="auto"/>
            </w:tcBorders>
            <w:shd w:val="clear" w:color="auto" w:fill="auto"/>
            <w:noWrap/>
            <w:vAlign w:val="center"/>
          </w:tcPr>
          <w:p w:rsidR="00AD3EDF" w:rsidRDefault="00AD3EDF" w:rsidP="00AD3EDF">
            <w:pPr>
              <w:widowControl/>
              <w:spacing w:line="360" w:lineRule="exact"/>
              <w:ind w:firstLineChars="0" w:firstLine="0"/>
              <w:jc w:val="center"/>
              <w:rPr>
                <w:b/>
                <w:sz w:val="21"/>
                <w:szCs w:val="21"/>
              </w:rPr>
            </w:pPr>
            <w:r>
              <w:rPr>
                <w:b/>
                <w:sz w:val="21"/>
                <w:szCs w:val="21"/>
              </w:rPr>
              <w:t>4</w:t>
            </w:r>
            <w:r>
              <w:rPr>
                <w:b/>
                <w:sz w:val="21"/>
                <w:szCs w:val="21"/>
              </w:rPr>
              <w:t>月</w:t>
            </w:r>
          </w:p>
        </w:tc>
        <w:tc>
          <w:tcPr>
            <w:tcW w:w="358" w:type="pct"/>
            <w:tcBorders>
              <w:top w:val="single" w:sz="12" w:space="0" w:color="auto"/>
            </w:tcBorders>
            <w:shd w:val="clear" w:color="auto" w:fill="auto"/>
            <w:noWrap/>
            <w:vAlign w:val="center"/>
          </w:tcPr>
          <w:p w:rsidR="00AD3EDF" w:rsidRDefault="00AD3EDF" w:rsidP="00AD3EDF">
            <w:pPr>
              <w:widowControl/>
              <w:spacing w:line="360" w:lineRule="exact"/>
              <w:ind w:firstLineChars="0" w:firstLine="0"/>
              <w:jc w:val="center"/>
              <w:rPr>
                <w:b/>
                <w:sz w:val="21"/>
                <w:szCs w:val="21"/>
              </w:rPr>
            </w:pPr>
            <w:r>
              <w:rPr>
                <w:b/>
                <w:sz w:val="21"/>
                <w:szCs w:val="21"/>
              </w:rPr>
              <w:t>5</w:t>
            </w:r>
            <w:r>
              <w:rPr>
                <w:b/>
                <w:sz w:val="21"/>
                <w:szCs w:val="21"/>
              </w:rPr>
              <w:t>月</w:t>
            </w:r>
          </w:p>
        </w:tc>
        <w:tc>
          <w:tcPr>
            <w:tcW w:w="358" w:type="pct"/>
            <w:tcBorders>
              <w:top w:val="single" w:sz="12" w:space="0" w:color="auto"/>
            </w:tcBorders>
            <w:shd w:val="clear" w:color="auto" w:fill="auto"/>
            <w:noWrap/>
            <w:vAlign w:val="center"/>
          </w:tcPr>
          <w:p w:rsidR="00AD3EDF" w:rsidRDefault="00AD3EDF" w:rsidP="00AD3EDF">
            <w:pPr>
              <w:widowControl/>
              <w:spacing w:line="360" w:lineRule="exact"/>
              <w:ind w:firstLineChars="0" w:firstLine="0"/>
              <w:jc w:val="center"/>
              <w:rPr>
                <w:b/>
                <w:sz w:val="21"/>
                <w:szCs w:val="21"/>
              </w:rPr>
            </w:pPr>
            <w:r>
              <w:rPr>
                <w:b/>
                <w:sz w:val="21"/>
                <w:szCs w:val="21"/>
              </w:rPr>
              <w:t>6</w:t>
            </w:r>
            <w:r>
              <w:rPr>
                <w:b/>
                <w:sz w:val="21"/>
                <w:szCs w:val="21"/>
              </w:rPr>
              <w:t>月</w:t>
            </w:r>
          </w:p>
        </w:tc>
        <w:tc>
          <w:tcPr>
            <w:tcW w:w="358" w:type="pct"/>
            <w:tcBorders>
              <w:top w:val="single" w:sz="12" w:space="0" w:color="auto"/>
            </w:tcBorders>
            <w:shd w:val="clear" w:color="auto" w:fill="auto"/>
            <w:noWrap/>
            <w:vAlign w:val="center"/>
          </w:tcPr>
          <w:p w:rsidR="00AD3EDF" w:rsidRDefault="00AD3EDF" w:rsidP="00AD3EDF">
            <w:pPr>
              <w:widowControl/>
              <w:spacing w:line="360" w:lineRule="exact"/>
              <w:ind w:firstLineChars="0" w:firstLine="0"/>
              <w:jc w:val="center"/>
              <w:rPr>
                <w:b/>
                <w:sz w:val="21"/>
                <w:szCs w:val="21"/>
              </w:rPr>
            </w:pPr>
            <w:r>
              <w:rPr>
                <w:b/>
                <w:sz w:val="21"/>
                <w:szCs w:val="21"/>
              </w:rPr>
              <w:t>7</w:t>
            </w:r>
            <w:r>
              <w:rPr>
                <w:b/>
                <w:sz w:val="21"/>
                <w:szCs w:val="21"/>
              </w:rPr>
              <w:t>月</w:t>
            </w:r>
          </w:p>
        </w:tc>
        <w:tc>
          <w:tcPr>
            <w:tcW w:w="358" w:type="pct"/>
            <w:tcBorders>
              <w:top w:val="single" w:sz="12" w:space="0" w:color="auto"/>
            </w:tcBorders>
            <w:shd w:val="clear" w:color="auto" w:fill="auto"/>
            <w:noWrap/>
            <w:vAlign w:val="center"/>
          </w:tcPr>
          <w:p w:rsidR="00AD3EDF" w:rsidRDefault="00AD3EDF" w:rsidP="00AD3EDF">
            <w:pPr>
              <w:widowControl/>
              <w:spacing w:line="360" w:lineRule="exact"/>
              <w:ind w:firstLineChars="0" w:firstLine="0"/>
              <w:jc w:val="center"/>
              <w:rPr>
                <w:b/>
                <w:sz w:val="21"/>
                <w:szCs w:val="21"/>
              </w:rPr>
            </w:pPr>
            <w:r>
              <w:rPr>
                <w:b/>
                <w:sz w:val="21"/>
                <w:szCs w:val="21"/>
              </w:rPr>
              <w:t>8</w:t>
            </w:r>
            <w:r>
              <w:rPr>
                <w:b/>
                <w:sz w:val="21"/>
                <w:szCs w:val="21"/>
              </w:rPr>
              <w:t>月</w:t>
            </w:r>
          </w:p>
        </w:tc>
        <w:tc>
          <w:tcPr>
            <w:tcW w:w="305" w:type="pct"/>
            <w:tcBorders>
              <w:top w:val="single" w:sz="12" w:space="0" w:color="auto"/>
            </w:tcBorders>
            <w:shd w:val="clear" w:color="auto" w:fill="auto"/>
            <w:noWrap/>
            <w:vAlign w:val="center"/>
          </w:tcPr>
          <w:p w:rsidR="00AD3EDF" w:rsidRDefault="00AD3EDF" w:rsidP="00AD3EDF">
            <w:pPr>
              <w:widowControl/>
              <w:spacing w:line="360" w:lineRule="exact"/>
              <w:ind w:firstLineChars="0" w:firstLine="0"/>
              <w:jc w:val="center"/>
              <w:rPr>
                <w:b/>
                <w:sz w:val="21"/>
                <w:szCs w:val="21"/>
              </w:rPr>
            </w:pPr>
            <w:r>
              <w:rPr>
                <w:b/>
                <w:sz w:val="21"/>
                <w:szCs w:val="21"/>
              </w:rPr>
              <w:t>9</w:t>
            </w:r>
            <w:r>
              <w:rPr>
                <w:b/>
                <w:sz w:val="21"/>
                <w:szCs w:val="21"/>
              </w:rPr>
              <w:t>月</w:t>
            </w:r>
          </w:p>
        </w:tc>
        <w:tc>
          <w:tcPr>
            <w:tcW w:w="358" w:type="pct"/>
            <w:tcBorders>
              <w:top w:val="single" w:sz="12" w:space="0" w:color="auto"/>
            </w:tcBorders>
            <w:shd w:val="clear" w:color="auto" w:fill="auto"/>
            <w:noWrap/>
            <w:vAlign w:val="center"/>
          </w:tcPr>
          <w:p w:rsidR="00AD3EDF" w:rsidRDefault="00AD3EDF" w:rsidP="00AD3EDF">
            <w:pPr>
              <w:widowControl/>
              <w:spacing w:line="360" w:lineRule="exact"/>
              <w:ind w:firstLineChars="0" w:firstLine="0"/>
              <w:jc w:val="center"/>
              <w:rPr>
                <w:b/>
                <w:sz w:val="21"/>
                <w:szCs w:val="21"/>
              </w:rPr>
            </w:pPr>
            <w:r>
              <w:rPr>
                <w:b/>
                <w:sz w:val="21"/>
                <w:szCs w:val="21"/>
              </w:rPr>
              <w:t>10</w:t>
            </w:r>
            <w:r>
              <w:rPr>
                <w:b/>
                <w:sz w:val="21"/>
                <w:szCs w:val="21"/>
              </w:rPr>
              <w:t>月</w:t>
            </w:r>
          </w:p>
        </w:tc>
        <w:tc>
          <w:tcPr>
            <w:tcW w:w="358" w:type="pct"/>
            <w:tcBorders>
              <w:top w:val="single" w:sz="12" w:space="0" w:color="auto"/>
            </w:tcBorders>
            <w:shd w:val="clear" w:color="auto" w:fill="auto"/>
            <w:noWrap/>
            <w:vAlign w:val="center"/>
          </w:tcPr>
          <w:p w:rsidR="00AD3EDF" w:rsidRDefault="00AD3EDF" w:rsidP="00AD3EDF">
            <w:pPr>
              <w:widowControl/>
              <w:spacing w:line="360" w:lineRule="exact"/>
              <w:ind w:firstLineChars="0" w:firstLine="0"/>
              <w:jc w:val="center"/>
              <w:rPr>
                <w:b/>
                <w:sz w:val="21"/>
                <w:szCs w:val="21"/>
              </w:rPr>
            </w:pPr>
            <w:r>
              <w:rPr>
                <w:b/>
                <w:sz w:val="21"/>
                <w:szCs w:val="21"/>
              </w:rPr>
              <w:t>11</w:t>
            </w:r>
            <w:r>
              <w:rPr>
                <w:b/>
                <w:sz w:val="21"/>
                <w:szCs w:val="21"/>
              </w:rPr>
              <w:t>月</w:t>
            </w:r>
          </w:p>
        </w:tc>
        <w:tc>
          <w:tcPr>
            <w:tcW w:w="358" w:type="pct"/>
            <w:tcBorders>
              <w:top w:val="single" w:sz="12" w:space="0" w:color="auto"/>
            </w:tcBorders>
            <w:shd w:val="clear" w:color="auto" w:fill="auto"/>
            <w:noWrap/>
            <w:vAlign w:val="center"/>
          </w:tcPr>
          <w:p w:rsidR="00AD3EDF" w:rsidRDefault="00AD3EDF" w:rsidP="00AD3EDF">
            <w:pPr>
              <w:widowControl/>
              <w:spacing w:line="360" w:lineRule="exact"/>
              <w:ind w:firstLineChars="0" w:firstLine="0"/>
              <w:jc w:val="center"/>
              <w:rPr>
                <w:b/>
                <w:sz w:val="21"/>
                <w:szCs w:val="21"/>
              </w:rPr>
            </w:pPr>
            <w:r>
              <w:rPr>
                <w:b/>
                <w:sz w:val="21"/>
                <w:szCs w:val="21"/>
              </w:rPr>
              <w:t>12</w:t>
            </w:r>
            <w:r>
              <w:rPr>
                <w:b/>
                <w:sz w:val="21"/>
                <w:szCs w:val="21"/>
              </w:rPr>
              <w:t>月</w:t>
            </w:r>
          </w:p>
        </w:tc>
        <w:tc>
          <w:tcPr>
            <w:tcW w:w="358" w:type="pct"/>
            <w:tcBorders>
              <w:top w:val="single" w:sz="12" w:space="0" w:color="auto"/>
              <w:right w:val="nil"/>
            </w:tcBorders>
            <w:shd w:val="clear" w:color="auto" w:fill="auto"/>
            <w:noWrap/>
            <w:vAlign w:val="center"/>
          </w:tcPr>
          <w:p w:rsidR="00AD3EDF" w:rsidRDefault="00AD3EDF" w:rsidP="00AD3EDF">
            <w:pPr>
              <w:widowControl/>
              <w:spacing w:line="360" w:lineRule="exact"/>
              <w:ind w:firstLineChars="0" w:firstLine="0"/>
              <w:jc w:val="center"/>
              <w:rPr>
                <w:b/>
                <w:sz w:val="21"/>
                <w:szCs w:val="21"/>
              </w:rPr>
            </w:pPr>
            <w:r>
              <w:rPr>
                <w:b/>
                <w:sz w:val="21"/>
                <w:szCs w:val="21"/>
              </w:rPr>
              <w:t>年均</w:t>
            </w:r>
          </w:p>
        </w:tc>
      </w:tr>
      <w:tr w:rsidR="00AD3EDF" w:rsidTr="00AD3EDF">
        <w:trPr>
          <w:trHeight w:val="167"/>
          <w:jc w:val="center"/>
        </w:trPr>
        <w:tc>
          <w:tcPr>
            <w:tcW w:w="393" w:type="pct"/>
            <w:tcBorders>
              <w:left w:val="nil"/>
              <w:bottom w:val="single" w:sz="12" w:space="0" w:color="auto"/>
            </w:tcBorders>
            <w:shd w:val="clear" w:color="auto" w:fill="auto"/>
            <w:noWrap/>
            <w:vAlign w:val="center"/>
          </w:tcPr>
          <w:p w:rsidR="00AD3EDF" w:rsidRDefault="00AD3EDF" w:rsidP="00AD3EDF">
            <w:pPr>
              <w:widowControl/>
              <w:spacing w:line="360" w:lineRule="exact"/>
              <w:ind w:firstLineChars="0" w:firstLine="0"/>
              <w:jc w:val="center"/>
              <w:rPr>
                <w:sz w:val="21"/>
                <w:szCs w:val="21"/>
              </w:rPr>
            </w:pPr>
            <w:r>
              <w:rPr>
                <w:sz w:val="21"/>
                <w:szCs w:val="21"/>
              </w:rPr>
              <w:t>温度</w:t>
            </w:r>
            <w:r>
              <w:rPr>
                <w:sz w:val="21"/>
                <w:szCs w:val="21"/>
              </w:rPr>
              <w:t>(</w:t>
            </w:r>
            <w:r>
              <w:rPr>
                <w:rFonts w:hint="eastAsia"/>
                <w:sz w:val="21"/>
                <w:szCs w:val="21"/>
              </w:rPr>
              <w:t>℃</w:t>
            </w:r>
            <w:r>
              <w:rPr>
                <w:sz w:val="21"/>
                <w:szCs w:val="21"/>
              </w:rPr>
              <w:t>)</w:t>
            </w:r>
          </w:p>
        </w:tc>
        <w:tc>
          <w:tcPr>
            <w:tcW w:w="419" w:type="pct"/>
            <w:tcBorders>
              <w:bottom w:val="single" w:sz="12" w:space="0" w:color="auto"/>
            </w:tcBorders>
            <w:shd w:val="clear" w:color="auto" w:fill="auto"/>
            <w:noWrap/>
            <w:vAlign w:val="center"/>
          </w:tcPr>
          <w:p w:rsidR="00AD3EDF" w:rsidRDefault="00AD3EDF" w:rsidP="00AD3EDF">
            <w:pPr>
              <w:widowControl/>
              <w:spacing w:line="360" w:lineRule="exact"/>
              <w:ind w:firstLineChars="0" w:firstLine="0"/>
              <w:jc w:val="center"/>
              <w:rPr>
                <w:sz w:val="21"/>
                <w:szCs w:val="21"/>
              </w:rPr>
            </w:pPr>
            <w:r>
              <w:rPr>
                <w:rFonts w:hint="eastAsia"/>
                <w:sz w:val="21"/>
                <w:szCs w:val="18"/>
              </w:rPr>
              <w:t>2.2</w:t>
            </w:r>
          </w:p>
        </w:tc>
        <w:tc>
          <w:tcPr>
            <w:tcW w:w="305" w:type="pct"/>
            <w:tcBorders>
              <w:bottom w:val="single" w:sz="12" w:space="0" w:color="auto"/>
            </w:tcBorders>
            <w:shd w:val="clear" w:color="auto" w:fill="auto"/>
            <w:noWrap/>
            <w:vAlign w:val="center"/>
          </w:tcPr>
          <w:p w:rsidR="00AD3EDF" w:rsidRDefault="00AD3EDF" w:rsidP="00AD3EDF">
            <w:pPr>
              <w:widowControl/>
              <w:spacing w:line="360" w:lineRule="exact"/>
              <w:ind w:firstLineChars="0" w:firstLine="0"/>
              <w:jc w:val="center"/>
              <w:rPr>
                <w:sz w:val="21"/>
                <w:szCs w:val="21"/>
              </w:rPr>
            </w:pPr>
            <w:r>
              <w:rPr>
                <w:rFonts w:hint="eastAsia"/>
                <w:sz w:val="21"/>
                <w:szCs w:val="18"/>
              </w:rPr>
              <w:t>4.94</w:t>
            </w:r>
          </w:p>
        </w:tc>
        <w:tc>
          <w:tcPr>
            <w:tcW w:w="358" w:type="pct"/>
            <w:tcBorders>
              <w:bottom w:val="single" w:sz="12" w:space="0" w:color="auto"/>
            </w:tcBorders>
            <w:shd w:val="clear" w:color="auto" w:fill="auto"/>
            <w:noWrap/>
            <w:vAlign w:val="center"/>
          </w:tcPr>
          <w:p w:rsidR="00AD3EDF" w:rsidRDefault="00AD3EDF" w:rsidP="00AD3EDF">
            <w:pPr>
              <w:widowControl/>
              <w:spacing w:line="360" w:lineRule="exact"/>
              <w:ind w:firstLineChars="0" w:firstLine="0"/>
              <w:jc w:val="center"/>
              <w:rPr>
                <w:sz w:val="21"/>
                <w:szCs w:val="21"/>
              </w:rPr>
            </w:pPr>
            <w:r>
              <w:rPr>
                <w:rFonts w:hint="eastAsia"/>
                <w:sz w:val="21"/>
                <w:szCs w:val="18"/>
              </w:rPr>
              <w:t>10.53</w:t>
            </w:r>
          </w:p>
        </w:tc>
        <w:tc>
          <w:tcPr>
            <w:tcW w:w="358" w:type="pct"/>
            <w:tcBorders>
              <w:bottom w:val="single" w:sz="12" w:space="0" w:color="auto"/>
            </w:tcBorders>
            <w:shd w:val="clear" w:color="auto" w:fill="auto"/>
            <w:noWrap/>
            <w:vAlign w:val="center"/>
          </w:tcPr>
          <w:p w:rsidR="00AD3EDF" w:rsidRDefault="00AD3EDF" w:rsidP="00AD3EDF">
            <w:pPr>
              <w:widowControl/>
              <w:spacing w:line="360" w:lineRule="exact"/>
              <w:ind w:firstLineChars="0" w:firstLine="0"/>
              <w:jc w:val="center"/>
              <w:rPr>
                <w:sz w:val="21"/>
                <w:szCs w:val="21"/>
              </w:rPr>
            </w:pPr>
            <w:r>
              <w:rPr>
                <w:rFonts w:hint="eastAsia"/>
                <w:sz w:val="21"/>
                <w:szCs w:val="18"/>
              </w:rPr>
              <w:t>16.44</w:t>
            </w:r>
          </w:p>
        </w:tc>
        <w:tc>
          <w:tcPr>
            <w:tcW w:w="358" w:type="pct"/>
            <w:tcBorders>
              <w:bottom w:val="single" w:sz="12" w:space="0" w:color="auto"/>
            </w:tcBorders>
            <w:shd w:val="clear" w:color="auto" w:fill="auto"/>
            <w:noWrap/>
            <w:vAlign w:val="center"/>
          </w:tcPr>
          <w:p w:rsidR="00AD3EDF" w:rsidRDefault="00AD3EDF" w:rsidP="00AD3EDF">
            <w:pPr>
              <w:widowControl/>
              <w:spacing w:line="360" w:lineRule="exact"/>
              <w:ind w:firstLineChars="0" w:firstLine="0"/>
              <w:jc w:val="center"/>
              <w:rPr>
                <w:sz w:val="21"/>
                <w:szCs w:val="21"/>
              </w:rPr>
            </w:pPr>
            <w:r>
              <w:rPr>
                <w:rFonts w:hint="eastAsia"/>
                <w:sz w:val="21"/>
                <w:szCs w:val="18"/>
              </w:rPr>
              <w:t>21.82</w:t>
            </w:r>
          </w:p>
        </w:tc>
        <w:tc>
          <w:tcPr>
            <w:tcW w:w="358" w:type="pct"/>
            <w:tcBorders>
              <w:bottom w:val="single" w:sz="12" w:space="0" w:color="auto"/>
            </w:tcBorders>
            <w:shd w:val="clear" w:color="auto" w:fill="auto"/>
            <w:noWrap/>
            <w:vAlign w:val="center"/>
          </w:tcPr>
          <w:p w:rsidR="00AD3EDF" w:rsidRDefault="00AD3EDF" w:rsidP="00AD3EDF">
            <w:pPr>
              <w:widowControl/>
              <w:spacing w:line="360" w:lineRule="exact"/>
              <w:ind w:firstLineChars="0" w:firstLine="0"/>
              <w:jc w:val="center"/>
              <w:rPr>
                <w:sz w:val="21"/>
                <w:szCs w:val="21"/>
              </w:rPr>
            </w:pPr>
            <w:r>
              <w:rPr>
                <w:rFonts w:hint="eastAsia"/>
                <w:sz w:val="21"/>
                <w:szCs w:val="18"/>
              </w:rPr>
              <w:t>25.88</w:t>
            </w:r>
          </w:p>
        </w:tc>
        <w:tc>
          <w:tcPr>
            <w:tcW w:w="358" w:type="pct"/>
            <w:tcBorders>
              <w:bottom w:val="single" w:sz="12" w:space="0" w:color="auto"/>
            </w:tcBorders>
            <w:shd w:val="clear" w:color="auto" w:fill="auto"/>
            <w:noWrap/>
            <w:vAlign w:val="center"/>
          </w:tcPr>
          <w:p w:rsidR="00AD3EDF" w:rsidRDefault="00AD3EDF" w:rsidP="00AD3EDF">
            <w:pPr>
              <w:widowControl/>
              <w:spacing w:line="360" w:lineRule="exact"/>
              <w:ind w:firstLineChars="0" w:firstLine="0"/>
              <w:jc w:val="center"/>
              <w:rPr>
                <w:sz w:val="21"/>
                <w:szCs w:val="21"/>
              </w:rPr>
            </w:pPr>
            <w:r>
              <w:rPr>
                <w:rFonts w:hint="eastAsia"/>
                <w:sz w:val="21"/>
                <w:szCs w:val="18"/>
              </w:rPr>
              <w:t>28.01</w:t>
            </w:r>
          </w:p>
        </w:tc>
        <w:tc>
          <w:tcPr>
            <w:tcW w:w="358" w:type="pct"/>
            <w:tcBorders>
              <w:bottom w:val="single" w:sz="12" w:space="0" w:color="auto"/>
            </w:tcBorders>
            <w:shd w:val="clear" w:color="auto" w:fill="auto"/>
            <w:noWrap/>
            <w:vAlign w:val="center"/>
          </w:tcPr>
          <w:p w:rsidR="00AD3EDF" w:rsidRDefault="00AD3EDF" w:rsidP="00AD3EDF">
            <w:pPr>
              <w:widowControl/>
              <w:spacing w:line="360" w:lineRule="exact"/>
              <w:ind w:firstLineChars="0" w:firstLine="0"/>
              <w:jc w:val="center"/>
              <w:rPr>
                <w:sz w:val="21"/>
                <w:szCs w:val="21"/>
              </w:rPr>
            </w:pPr>
            <w:r>
              <w:rPr>
                <w:rFonts w:hint="eastAsia"/>
                <w:sz w:val="21"/>
                <w:szCs w:val="18"/>
              </w:rPr>
              <w:t>27.45</w:t>
            </w:r>
          </w:p>
        </w:tc>
        <w:tc>
          <w:tcPr>
            <w:tcW w:w="305" w:type="pct"/>
            <w:tcBorders>
              <w:bottom w:val="single" w:sz="12" w:space="0" w:color="auto"/>
            </w:tcBorders>
            <w:shd w:val="clear" w:color="auto" w:fill="auto"/>
            <w:noWrap/>
            <w:vAlign w:val="center"/>
          </w:tcPr>
          <w:p w:rsidR="00AD3EDF" w:rsidRDefault="00AD3EDF" w:rsidP="00AD3EDF">
            <w:pPr>
              <w:widowControl/>
              <w:spacing w:line="360" w:lineRule="exact"/>
              <w:ind w:firstLineChars="0" w:firstLine="0"/>
              <w:jc w:val="center"/>
              <w:rPr>
                <w:sz w:val="21"/>
                <w:szCs w:val="21"/>
              </w:rPr>
            </w:pPr>
            <w:r>
              <w:rPr>
                <w:rFonts w:hint="eastAsia"/>
                <w:sz w:val="21"/>
                <w:szCs w:val="18"/>
              </w:rPr>
              <w:t>22.9</w:t>
            </w:r>
          </w:p>
        </w:tc>
        <w:tc>
          <w:tcPr>
            <w:tcW w:w="358" w:type="pct"/>
            <w:tcBorders>
              <w:bottom w:val="single" w:sz="12" w:space="0" w:color="auto"/>
            </w:tcBorders>
            <w:shd w:val="clear" w:color="auto" w:fill="auto"/>
            <w:noWrap/>
            <w:vAlign w:val="center"/>
          </w:tcPr>
          <w:p w:rsidR="00AD3EDF" w:rsidRDefault="00AD3EDF" w:rsidP="00AD3EDF">
            <w:pPr>
              <w:widowControl/>
              <w:spacing w:line="360" w:lineRule="exact"/>
              <w:ind w:firstLineChars="0" w:firstLine="0"/>
              <w:jc w:val="center"/>
              <w:rPr>
                <w:sz w:val="21"/>
                <w:szCs w:val="21"/>
              </w:rPr>
            </w:pPr>
            <w:r>
              <w:rPr>
                <w:rFonts w:hint="eastAsia"/>
                <w:sz w:val="21"/>
                <w:szCs w:val="18"/>
              </w:rPr>
              <w:t>17.43</w:t>
            </w:r>
          </w:p>
        </w:tc>
        <w:tc>
          <w:tcPr>
            <w:tcW w:w="358" w:type="pct"/>
            <w:tcBorders>
              <w:bottom w:val="single" w:sz="12" w:space="0" w:color="auto"/>
            </w:tcBorders>
            <w:shd w:val="clear" w:color="auto" w:fill="auto"/>
            <w:noWrap/>
            <w:vAlign w:val="center"/>
          </w:tcPr>
          <w:p w:rsidR="00AD3EDF" w:rsidRDefault="00AD3EDF" w:rsidP="00AD3EDF">
            <w:pPr>
              <w:widowControl/>
              <w:spacing w:line="360" w:lineRule="exact"/>
              <w:ind w:firstLineChars="0" w:firstLine="0"/>
              <w:jc w:val="center"/>
              <w:rPr>
                <w:sz w:val="21"/>
                <w:szCs w:val="21"/>
              </w:rPr>
            </w:pPr>
            <w:r>
              <w:rPr>
                <w:rFonts w:hint="eastAsia"/>
                <w:sz w:val="21"/>
                <w:szCs w:val="18"/>
              </w:rPr>
              <w:t>10.93</w:t>
            </w:r>
          </w:p>
        </w:tc>
        <w:tc>
          <w:tcPr>
            <w:tcW w:w="358" w:type="pct"/>
            <w:tcBorders>
              <w:bottom w:val="single" w:sz="12" w:space="0" w:color="auto"/>
            </w:tcBorders>
            <w:shd w:val="clear" w:color="auto" w:fill="auto"/>
            <w:noWrap/>
            <w:vAlign w:val="center"/>
          </w:tcPr>
          <w:p w:rsidR="00AD3EDF" w:rsidRDefault="00AD3EDF" w:rsidP="00AD3EDF">
            <w:pPr>
              <w:widowControl/>
              <w:spacing w:line="360" w:lineRule="exact"/>
              <w:ind w:firstLineChars="0" w:firstLine="0"/>
              <w:jc w:val="center"/>
              <w:rPr>
                <w:sz w:val="21"/>
                <w:szCs w:val="21"/>
              </w:rPr>
            </w:pPr>
            <w:r>
              <w:rPr>
                <w:rFonts w:hint="eastAsia"/>
                <w:sz w:val="21"/>
                <w:szCs w:val="18"/>
              </w:rPr>
              <w:t>4</w:t>
            </w:r>
          </w:p>
        </w:tc>
        <w:tc>
          <w:tcPr>
            <w:tcW w:w="358" w:type="pct"/>
            <w:tcBorders>
              <w:bottom w:val="single" w:sz="12" w:space="0" w:color="auto"/>
              <w:right w:val="nil"/>
            </w:tcBorders>
            <w:shd w:val="clear" w:color="auto" w:fill="auto"/>
            <w:noWrap/>
            <w:vAlign w:val="center"/>
          </w:tcPr>
          <w:p w:rsidR="00AD3EDF" w:rsidRDefault="00AD3EDF" w:rsidP="00AD3EDF">
            <w:pPr>
              <w:widowControl/>
              <w:spacing w:line="360" w:lineRule="exact"/>
              <w:ind w:firstLineChars="0" w:firstLine="0"/>
              <w:jc w:val="center"/>
              <w:rPr>
                <w:sz w:val="21"/>
                <w:szCs w:val="21"/>
              </w:rPr>
            </w:pPr>
            <w:r>
              <w:rPr>
                <w:sz w:val="21"/>
                <w:szCs w:val="18"/>
              </w:rPr>
              <w:t>16.04</w:t>
            </w:r>
          </w:p>
        </w:tc>
      </w:tr>
    </w:tbl>
    <w:p w:rsidR="00AD3EDF" w:rsidRDefault="00AD3EDF" w:rsidP="00AD3EDF">
      <w:pPr>
        <w:ind w:firstLine="480"/>
        <w:jc w:val="center"/>
      </w:pPr>
      <w:r>
        <w:rPr>
          <w:noProof/>
        </w:rPr>
        <w:drawing>
          <wp:inline distT="0" distB="0" distL="0" distR="0" wp14:anchorId="6334DF61" wp14:editId="7E6A7CC7">
            <wp:extent cx="4010025" cy="2028825"/>
            <wp:effectExtent l="0" t="0" r="9525" b="9525"/>
            <wp:docPr id="912" name="图表 9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AD3EDF" w:rsidRDefault="00AD3EDF" w:rsidP="00AD3EDF">
      <w:pPr>
        <w:pStyle w:val="afffff4"/>
        <w:ind w:firstLine="480"/>
      </w:pPr>
      <w:r>
        <w:rPr>
          <w:rFonts w:hint="eastAsia"/>
        </w:rPr>
        <w:t>图</w:t>
      </w:r>
      <w:r>
        <w:rPr>
          <w:rFonts w:hint="eastAsia"/>
        </w:rPr>
        <w:t>5</w:t>
      </w:r>
      <w:r>
        <w:t>.1.1</w:t>
      </w:r>
      <w:r>
        <w:rPr>
          <w:rFonts w:hint="eastAsia"/>
        </w:rPr>
        <w:t>-</w:t>
      </w:r>
      <w:r>
        <w:t xml:space="preserve">2  </w:t>
      </w:r>
      <w:r>
        <w:rPr>
          <w:rFonts w:hint="eastAsia"/>
        </w:rPr>
        <w:t>年平均温度月变化图</w:t>
      </w:r>
    </w:p>
    <w:p w:rsidR="00AD3EDF" w:rsidRDefault="00AD3EDF" w:rsidP="00AD3EDF">
      <w:pPr>
        <w:ind w:firstLine="480"/>
      </w:pPr>
      <w:r>
        <w:rPr>
          <w:rFonts w:hint="eastAsia"/>
        </w:rPr>
        <w:t>（</w:t>
      </w:r>
      <w:r>
        <w:t>2</w:t>
      </w:r>
      <w:r>
        <w:rPr>
          <w:rFonts w:hint="eastAsia"/>
        </w:rPr>
        <w:t>）风速</w:t>
      </w:r>
    </w:p>
    <w:p w:rsidR="00AD3EDF" w:rsidRDefault="00AD3EDF" w:rsidP="00AD3EDF">
      <w:pPr>
        <w:pStyle w:val="afffff4"/>
      </w:pPr>
      <w:r>
        <w:rPr>
          <w:rFonts w:hint="eastAsia"/>
        </w:rPr>
        <w:t>表</w:t>
      </w:r>
      <w:r>
        <w:rPr>
          <w:rFonts w:hint="eastAsia"/>
        </w:rPr>
        <w:t>5.</w:t>
      </w:r>
      <w:r>
        <w:t>2.1</w:t>
      </w:r>
      <w:r>
        <w:rPr>
          <w:rFonts w:hint="eastAsia"/>
        </w:rPr>
        <w:t>-</w:t>
      </w:r>
      <w:r>
        <w:t>5</w:t>
      </w:r>
      <w:r>
        <w:rPr>
          <w:rFonts w:hint="eastAsia"/>
        </w:rPr>
        <w:t xml:space="preserve"> </w:t>
      </w:r>
      <w:r>
        <w:rPr>
          <w:rFonts w:hint="eastAsia"/>
        </w:rPr>
        <w:t>年平均风速的月变化表</w:t>
      </w:r>
      <w:r>
        <w:rPr>
          <w:rFonts w:hint="eastAsia"/>
        </w:rPr>
        <w:t xml:space="preserve"> </w:t>
      </w:r>
      <w:r>
        <w:rPr>
          <w:rFonts w:hint="eastAsia"/>
        </w:rPr>
        <w:t>单位：℃</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079"/>
        <w:gridCol w:w="584"/>
        <w:gridCol w:w="584"/>
        <w:gridCol w:w="584"/>
        <w:gridCol w:w="584"/>
        <w:gridCol w:w="584"/>
        <w:gridCol w:w="584"/>
        <w:gridCol w:w="584"/>
        <w:gridCol w:w="584"/>
        <w:gridCol w:w="584"/>
        <w:gridCol w:w="689"/>
        <w:gridCol w:w="677"/>
        <w:gridCol w:w="689"/>
        <w:gridCol w:w="637"/>
      </w:tblGrid>
      <w:tr w:rsidR="00AD3EDF" w:rsidRPr="00AD3EDF" w:rsidTr="00AD3EDF">
        <w:trPr>
          <w:trHeight w:val="340"/>
          <w:jc w:val="center"/>
        </w:trPr>
        <w:tc>
          <w:tcPr>
            <w:tcW w:w="597" w:type="pct"/>
            <w:tcBorders>
              <w:tl2br w:val="nil"/>
              <w:tr2bl w:val="nil"/>
            </w:tcBorders>
            <w:shd w:val="clear" w:color="auto" w:fill="auto"/>
            <w:noWrap/>
            <w:vAlign w:val="center"/>
          </w:tcPr>
          <w:p w:rsidR="00AD3EDF" w:rsidRPr="00AD3EDF" w:rsidRDefault="00AD3EDF" w:rsidP="00AD3EDF">
            <w:pPr>
              <w:pStyle w:val="afffffff2"/>
              <w:rPr>
                <w:b/>
                <w:sz w:val="21"/>
                <w:szCs w:val="21"/>
              </w:rPr>
            </w:pPr>
            <w:r w:rsidRPr="00AD3EDF">
              <w:rPr>
                <w:b/>
                <w:sz w:val="21"/>
                <w:szCs w:val="21"/>
              </w:rPr>
              <w:t>月份</w:t>
            </w:r>
          </w:p>
        </w:tc>
        <w:tc>
          <w:tcPr>
            <w:tcW w:w="323" w:type="pct"/>
            <w:tcBorders>
              <w:tl2br w:val="nil"/>
              <w:tr2bl w:val="nil"/>
            </w:tcBorders>
            <w:shd w:val="clear" w:color="auto" w:fill="auto"/>
            <w:noWrap/>
            <w:vAlign w:val="center"/>
          </w:tcPr>
          <w:p w:rsidR="00AD3EDF" w:rsidRPr="00AD3EDF" w:rsidRDefault="00AD3EDF" w:rsidP="00AD3EDF">
            <w:pPr>
              <w:pStyle w:val="afffffff2"/>
              <w:rPr>
                <w:b/>
                <w:sz w:val="21"/>
                <w:szCs w:val="21"/>
              </w:rPr>
            </w:pPr>
            <w:r w:rsidRPr="00AD3EDF">
              <w:rPr>
                <w:b/>
                <w:sz w:val="21"/>
                <w:szCs w:val="21"/>
              </w:rPr>
              <w:t>1</w:t>
            </w:r>
            <w:r w:rsidRPr="00AD3EDF">
              <w:rPr>
                <w:b/>
                <w:sz w:val="21"/>
                <w:szCs w:val="21"/>
              </w:rPr>
              <w:t>月</w:t>
            </w:r>
          </w:p>
        </w:tc>
        <w:tc>
          <w:tcPr>
            <w:tcW w:w="323" w:type="pct"/>
            <w:tcBorders>
              <w:tl2br w:val="nil"/>
              <w:tr2bl w:val="nil"/>
            </w:tcBorders>
            <w:shd w:val="clear" w:color="auto" w:fill="auto"/>
            <w:noWrap/>
            <w:vAlign w:val="center"/>
          </w:tcPr>
          <w:p w:rsidR="00AD3EDF" w:rsidRPr="00AD3EDF" w:rsidRDefault="00AD3EDF" w:rsidP="00AD3EDF">
            <w:pPr>
              <w:pStyle w:val="afffffff2"/>
              <w:rPr>
                <w:b/>
                <w:sz w:val="21"/>
                <w:szCs w:val="21"/>
              </w:rPr>
            </w:pPr>
            <w:r w:rsidRPr="00AD3EDF">
              <w:rPr>
                <w:b/>
                <w:sz w:val="21"/>
                <w:szCs w:val="21"/>
              </w:rPr>
              <w:t>2</w:t>
            </w:r>
            <w:r w:rsidRPr="00AD3EDF">
              <w:rPr>
                <w:b/>
                <w:sz w:val="21"/>
                <w:szCs w:val="21"/>
              </w:rPr>
              <w:t>月</w:t>
            </w:r>
          </w:p>
        </w:tc>
        <w:tc>
          <w:tcPr>
            <w:tcW w:w="323" w:type="pct"/>
            <w:tcBorders>
              <w:tl2br w:val="nil"/>
              <w:tr2bl w:val="nil"/>
            </w:tcBorders>
            <w:shd w:val="clear" w:color="auto" w:fill="auto"/>
            <w:noWrap/>
            <w:vAlign w:val="center"/>
          </w:tcPr>
          <w:p w:rsidR="00AD3EDF" w:rsidRPr="00AD3EDF" w:rsidRDefault="00AD3EDF" w:rsidP="00AD3EDF">
            <w:pPr>
              <w:pStyle w:val="afffffff2"/>
              <w:rPr>
                <w:b/>
                <w:sz w:val="21"/>
                <w:szCs w:val="21"/>
              </w:rPr>
            </w:pPr>
            <w:r w:rsidRPr="00AD3EDF">
              <w:rPr>
                <w:b/>
                <w:sz w:val="21"/>
                <w:szCs w:val="21"/>
              </w:rPr>
              <w:t>3</w:t>
            </w:r>
            <w:r w:rsidRPr="00AD3EDF">
              <w:rPr>
                <w:b/>
                <w:sz w:val="21"/>
                <w:szCs w:val="21"/>
              </w:rPr>
              <w:t>月</w:t>
            </w:r>
          </w:p>
        </w:tc>
        <w:tc>
          <w:tcPr>
            <w:tcW w:w="323" w:type="pct"/>
            <w:tcBorders>
              <w:tl2br w:val="nil"/>
              <w:tr2bl w:val="nil"/>
            </w:tcBorders>
            <w:shd w:val="clear" w:color="auto" w:fill="auto"/>
            <w:noWrap/>
            <w:vAlign w:val="center"/>
          </w:tcPr>
          <w:p w:rsidR="00AD3EDF" w:rsidRPr="00AD3EDF" w:rsidRDefault="00AD3EDF" w:rsidP="00AD3EDF">
            <w:pPr>
              <w:pStyle w:val="afffffff2"/>
              <w:rPr>
                <w:b/>
                <w:sz w:val="21"/>
                <w:szCs w:val="21"/>
              </w:rPr>
            </w:pPr>
            <w:r w:rsidRPr="00AD3EDF">
              <w:rPr>
                <w:b/>
                <w:sz w:val="21"/>
                <w:szCs w:val="21"/>
              </w:rPr>
              <w:t>4</w:t>
            </w:r>
            <w:r w:rsidRPr="00AD3EDF">
              <w:rPr>
                <w:b/>
                <w:sz w:val="21"/>
                <w:szCs w:val="21"/>
              </w:rPr>
              <w:t>月</w:t>
            </w:r>
          </w:p>
        </w:tc>
        <w:tc>
          <w:tcPr>
            <w:tcW w:w="323" w:type="pct"/>
            <w:tcBorders>
              <w:tl2br w:val="nil"/>
              <w:tr2bl w:val="nil"/>
            </w:tcBorders>
            <w:shd w:val="clear" w:color="auto" w:fill="auto"/>
            <w:noWrap/>
            <w:vAlign w:val="center"/>
          </w:tcPr>
          <w:p w:rsidR="00AD3EDF" w:rsidRPr="00AD3EDF" w:rsidRDefault="00AD3EDF" w:rsidP="00AD3EDF">
            <w:pPr>
              <w:pStyle w:val="afffffff2"/>
              <w:rPr>
                <w:b/>
                <w:sz w:val="21"/>
                <w:szCs w:val="21"/>
              </w:rPr>
            </w:pPr>
            <w:r w:rsidRPr="00AD3EDF">
              <w:rPr>
                <w:b/>
                <w:sz w:val="21"/>
                <w:szCs w:val="21"/>
              </w:rPr>
              <w:t>5</w:t>
            </w:r>
            <w:r w:rsidRPr="00AD3EDF">
              <w:rPr>
                <w:b/>
                <w:sz w:val="21"/>
                <w:szCs w:val="21"/>
              </w:rPr>
              <w:t>月</w:t>
            </w:r>
          </w:p>
        </w:tc>
        <w:tc>
          <w:tcPr>
            <w:tcW w:w="323" w:type="pct"/>
            <w:tcBorders>
              <w:tl2br w:val="nil"/>
              <w:tr2bl w:val="nil"/>
            </w:tcBorders>
            <w:shd w:val="clear" w:color="auto" w:fill="auto"/>
            <w:noWrap/>
            <w:vAlign w:val="center"/>
          </w:tcPr>
          <w:p w:rsidR="00AD3EDF" w:rsidRPr="00AD3EDF" w:rsidRDefault="00AD3EDF" w:rsidP="00AD3EDF">
            <w:pPr>
              <w:pStyle w:val="afffffff2"/>
              <w:rPr>
                <w:b/>
                <w:sz w:val="21"/>
                <w:szCs w:val="21"/>
              </w:rPr>
            </w:pPr>
            <w:r w:rsidRPr="00AD3EDF">
              <w:rPr>
                <w:b/>
                <w:sz w:val="21"/>
                <w:szCs w:val="21"/>
              </w:rPr>
              <w:t>6</w:t>
            </w:r>
            <w:r w:rsidRPr="00AD3EDF">
              <w:rPr>
                <w:b/>
                <w:sz w:val="21"/>
                <w:szCs w:val="21"/>
              </w:rPr>
              <w:t>月</w:t>
            </w:r>
          </w:p>
        </w:tc>
        <w:tc>
          <w:tcPr>
            <w:tcW w:w="323" w:type="pct"/>
            <w:tcBorders>
              <w:tl2br w:val="nil"/>
              <w:tr2bl w:val="nil"/>
            </w:tcBorders>
            <w:shd w:val="clear" w:color="auto" w:fill="auto"/>
            <w:noWrap/>
            <w:vAlign w:val="center"/>
          </w:tcPr>
          <w:p w:rsidR="00AD3EDF" w:rsidRPr="00AD3EDF" w:rsidRDefault="00AD3EDF" w:rsidP="00AD3EDF">
            <w:pPr>
              <w:pStyle w:val="afffffff2"/>
              <w:rPr>
                <w:b/>
                <w:sz w:val="21"/>
                <w:szCs w:val="21"/>
              </w:rPr>
            </w:pPr>
            <w:r w:rsidRPr="00AD3EDF">
              <w:rPr>
                <w:b/>
                <w:sz w:val="21"/>
                <w:szCs w:val="21"/>
              </w:rPr>
              <w:t>7</w:t>
            </w:r>
            <w:r w:rsidRPr="00AD3EDF">
              <w:rPr>
                <w:b/>
                <w:sz w:val="21"/>
                <w:szCs w:val="21"/>
              </w:rPr>
              <w:t>月</w:t>
            </w:r>
          </w:p>
        </w:tc>
        <w:tc>
          <w:tcPr>
            <w:tcW w:w="323" w:type="pct"/>
            <w:tcBorders>
              <w:tl2br w:val="nil"/>
              <w:tr2bl w:val="nil"/>
            </w:tcBorders>
            <w:shd w:val="clear" w:color="auto" w:fill="auto"/>
            <w:noWrap/>
            <w:vAlign w:val="center"/>
          </w:tcPr>
          <w:p w:rsidR="00AD3EDF" w:rsidRPr="00AD3EDF" w:rsidRDefault="00AD3EDF" w:rsidP="00AD3EDF">
            <w:pPr>
              <w:pStyle w:val="afffffff2"/>
              <w:rPr>
                <w:b/>
                <w:sz w:val="21"/>
                <w:szCs w:val="21"/>
              </w:rPr>
            </w:pPr>
            <w:r w:rsidRPr="00AD3EDF">
              <w:rPr>
                <w:b/>
                <w:sz w:val="21"/>
                <w:szCs w:val="21"/>
              </w:rPr>
              <w:t>8</w:t>
            </w:r>
            <w:r w:rsidRPr="00AD3EDF">
              <w:rPr>
                <w:b/>
                <w:sz w:val="21"/>
                <w:szCs w:val="21"/>
              </w:rPr>
              <w:t>月</w:t>
            </w:r>
          </w:p>
        </w:tc>
        <w:tc>
          <w:tcPr>
            <w:tcW w:w="323" w:type="pct"/>
            <w:tcBorders>
              <w:tl2br w:val="nil"/>
              <w:tr2bl w:val="nil"/>
            </w:tcBorders>
            <w:shd w:val="clear" w:color="auto" w:fill="auto"/>
            <w:noWrap/>
            <w:vAlign w:val="center"/>
          </w:tcPr>
          <w:p w:rsidR="00AD3EDF" w:rsidRPr="00AD3EDF" w:rsidRDefault="00AD3EDF" w:rsidP="00AD3EDF">
            <w:pPr>
              <w:pStyle w:val="afffffff2"/>
              <w:rPr>
                <w:b/>
                <w:sz w:val="21"/>
                <w:szCs w:val="21"/>
              </w:rPr>
            </w:pPr>
            <w:r w:rsidRPr="00AD3EDF">
              <w:rPr>
                <w:b/>
                <w:sz w:val="21"/>
                <w:szCs w:val="21"/>
              </w:rPr>
              <w:t>9</w:t>
            </w:r>
            <w:r w:rsidRPr="00AD3EDF">
              <w:rPr>
                <w:b/>
                <w:sz w:val="21"/>
                <w:szCs w:val="21"/>
              </w:rPr>
              <w:t>月</w:t>
            </w:r>
          </w:p>
        </w:tc>
        <w:tc>
          <w:tcPr>
            <w:tcW w:w="382" w:type="pct"/>
            <w:tcBorders>
              <w:tl2br w:val="nil"/>
              <w:tr2bl w:val="nil"/>
            </w:tcBorders>
            <w:shd w:val="clear" w:color="auto" w:fill="auto"/>
            <w:noWrap/>
            <w:vAlign w:val="center"/>
          </w:tcPr>
          <w:p w:rsidR="00AD3EDF" w:rsidRPr="00AD3EDF" w:rsidRDefault="00AD3EDF" w:rsidP="00AD3EDF">
            <w:pPr>
              <w:pStyle w:val="afffffff2"/>
              <w:rPr>
                <w:b/>
                <w:sz w:val="21"/>
                <w:szCs w:val="21"/>
              </w:rPr>
            </w:pPr>
            <w:r w:rsidRPr="00AD3EDF">
              <w:rPr>
                <w:b/>
                <w:sz w:val="21"/>
                <w:szCs w:val="21"/>
              </w:rPr>
              <w:t>10</w:t>
            </w:r>
            <w:r w:rsidRPr="00AD3EDF">
              <w:rPr>
                <w:b/>
                <w:sz w:val="21"/>
                <w:szCs w:val="21"/>
              </w:rPr>
              <w:t>月</w:t>
            </w:r>
          </w:p>
        </w:tc>
        <w:tc>
          <w:tcPr>
            <w:tcW w:w="377" w:type="pct"/>
            <w:tcBorders>
              <w:tl2br w:val="nil"/>
              <w:tr2bl w:val="nil"/>
            </w:tcBorders>
            <w:shd w:val="clear" w:color="auto" w:fill="auto"/>
            <w:noWrap/>
            <w:vAlign w:val="center"/>
          </w:tcPr>
          <w:p w:rsidR="00AD3EDF" w:rsidRPr="00AD3EDF" w:rsidRDefault="00AD3EDF" w:rsidP="00AD3EDF">
            <w:pPr>
              <w:pStyle w:val="afffffff2"/>
              <w:rPr>
                <w:b/>
                <w:sz w:val="21"/>
                <w:szCs w:val="21"/>
              </w:rPr>
            </w:pPr>
            <w:r w:rsidRPr="00AD3EDF">
              <w:rPr>
                <w:b/>
                <w:sz w:val="21"/>
                <w:szCs w:val="21"/>
              </w:rPr>
              <w:t>11</w:t>
            </w:r>
            <w:r w:rsidRPr="00AD3EDF">
              <w:rPr>
                <w:b/>
                <w:sz w:val="21"/>
                <w:szCs w:val="21"/>
              </w:rPr>
              <w:t>月</w:t>
            </w:r>
          </w:p>
        </w:tc>
        <w:tc>
          <w:tcPr>
            <w:tcW w:w="382" w:type="pct"/>
            <w:tcBorders>
              <w:tl2br w:val="nil"/>
              <w:tr2bl w:val="nil"/>
            </w:tcBorders>
            <w:shd w:val="clear" w:color="auto" w:fill="auto"/>
            <w:noWrap/>
            <w:vAlign w:val="center"/>
          </w:tcPr>
          <w:p w:rsidR="00AD3EDF" w:rsidRPr="00AD3EDF" w:rsidRDefault="00AD3EDF" w:rsidP="00AD3EDF">
            <w:pPr>
              <w:pStyle w:val="afffffff2"/>
              <w:rPr>
                <w:b/>
                <w:sz w:val="21"/>
                <w:szCs w:val="21"/>
              </w:rPr>
            </w:pPr>
            <w:r w:rsidRPr="00AD3EDF">
              <w:rPr>
                <w:b/>
                <w:sz w:val="21"/>
                <w:szCs w:val="21"/>
              </w:rPr>
              <w:t>12</w:t>
            </w:r>
            <w:r w:rsidRPr="00AD3EDF">
              <w:rPr>
                <w:b/>
                <w:sz w:val="21"/>
                <w:szCs w:val="21"/>
              </w:rPr>
              <w:t>月</w:t>
            </w:r>
          </w:p>
        </w:tc>
        <w:tc>
          <w:tcPr>
            <w:tcW w:w="352" w:type="pct"/>
            <w:tcBorders>
              <w:tl2br w:val="nil"/>
              <w:tr2bl w:val="nil"/>
            </w:tcBorders>
            <w:shd w:val="clear" w:color="auto" w:fill="auto"/>
            <w:noWrap/>
            <w:vAlign w:val="center"/>
          </w:tcPr>
          <w:p w:rsidR="00AD3EDF" w:rsidRPr="00AD3EDF" w:rsidRDefault="00AD3EDF" w:rsidP="00AD3EDF">
            <w:pPr>
              <w:pStyle w:val="afffffff2"/>
              <w:rPr>
                <w:b/>
                <w:sz w:val="21"/>
                <w:szCs w:val="21"/>
              </w:rPr>
            </w:pPr>
            <w:r w:rsidRPr="00AD3EDF">
              <w:rPr>
                <w:b/>
                <w:sz w:val="21"/>
                <w:szCs w:val="21"/>
              </w:rPr>
              <w:t>年均</w:t>
            </w:r>
          </w:p>
        </w:tc>
      </w:tr>
      <w:tr w:rsidR="00AD3EDF" w:rsidRPr="00AD3EDF" w:rsidTr="00AD3EDF">
        <w:trPr>
          <w:trHeight w:val="340"/>
          <w:jc w:val="center"/>
        </w:trPr>
        <w:tc>
          <w:tcPr>
            <w:tcW w:w="597" w:type="pct"/>
            <w:tcBorders>
              <w:tl2br w:val="nil"/>
              <w:tr2bl w:val="nil"/>
            </w:tcBorders>
            <w:shd w:val="clear" w:color="auto" w:fill="auto"/>
            <w:noWrap/>
            <w:vAlign w:val="center"/>
          </w:tcPr>
          <w:p w:rsidR="00AD3EDF" w:rsidRPr="00AD3EDF" w:rsidRDefault="00AD3EDF" w:rsidP="00AD3EDF">
            <w:pPr>
              <w:pStyle w:val="afffffff2"/>
              <w:rPr>
                <w:sz w:val="21"/>
                <w:szCs w:val="21"/>
              </w:rPr>
            </w:pPr>
            <w:r w:rsidRPr="00AD3EDF">
              <w:rPr>
                <w:sz w:val="21"/>
                <w:szCs w:val="21"/>
              </w:rPr>
              <w:t>风速</w:t>
            </w:r>
            <w:r w:rsidRPr="00AD3EDF">
              <w:rPr>
                <w:sz w:val="21"/>
                <w:szCs w:val="21"/>
              </w:rPr>
              <w:t>(m/s)</w:t>
            </w:r>
          </w:p>
        </w:tc>
        <w:tc>
          <w:tcPr>
            <w:tcW w:w="323" w:type="pct"/>
            <w:tcBorders>
              <w:tl2br w:val="nil"/>
              <w:tr2bl w:val="nil"/>
            </w:tcBorders>
            <w:shd w:val="clear" w:color="auto" w:fill="auto"/>
            <w:noWrap/>
            <w:vAlign w:val="center"/>
          </w:tcPr>
          <w:p w:rsidR="00AD3EDF" w:rsidRPr="00AD3EDF" w:rsidRDefault="00AD3EDF" w:rsidP="00AD3EDF">
            <w:pPr>
              <w:pStyle w:val="afffffff2"/>
              <w:rPr>
                <w:sz w:val="21"/>
                <w:szCs w:val="21"/>
              </w:rPr>
            </w:pPr>
            <w:r w:rsidRPr="00AD3EDF">
              <w:rPr>
                <w:rFonts w:hint="eastAsia"/>
                <w:sz w:val="21"/>
                <w:szCs w:val="21"/>
              </w:rPr>
              <w:t>2.3</w:t>
            </w:r>
            <w:r w:rsidRPr="00AD3EDF">
              <w:rPr>
                <w:sz w:val="21"/>
                <w:szCs w:val="21"/>
              </w:rPr>
              <w:t>1</w:t>
            </w:r>
          </w:p>
        </w:tc>
        <w:tc>
          <w:tcPr>
            <w:tcW w:w="323" w:type="pct"/>
            <w:tcBorders>
              <w:tl2br w:val="nil"/>
              <w:tr2bl w:val="nil"/>
            </w:tcBorders>
            <w:shd w:val="clear" w:color="auto" w:fill="auto"/>
            <w:noWrap/>
            <w:vAlign w:val="center"/>
          </w:tcPr>
          <w:p w:rsidR="00AD3EDF" w:rsidRPr="00AD3EDF" w:rsidRDefault="00AD3EDF" w:rsidP="00AD3EDF">
            <w:pPr>
              <w:pStyle w:val="afffffff2"/>
              <w:rPr>
                <w:sz w:val="21"/>
                <w:szCs w:val="21"/>
              </w:rPr>
            </w:pPr>
            <w:r w:rsidRPr="00AD3EDF">
              <w:rPr>
                <w:rFonts w:hint="eastAsia"/>
                <w:sz w:val="21"/>
                <w:szCs w:val="21"/>
              </w:rPr>
              <w:t>2.</w:t>
            </w:r>
            <w:r w:rsidRPr="00AD3EDF">
              <w:rPr>
                <w:sz w:val="21"/>
                <w:szCs w:val="21"/>
              </w:rPr>
              <w:t>73</w:t>
            </w:r>
          </w:p>
        </w:tc>
        <w:tc>
          <w:tcPr>
            <w:tcW w:w="323" w:type="pct"/>
            <w:tcBorders>
              <w:tl2br w:val="nil"/>
              <w:tr2bl w:val="nil"/>
            </w:tcBorders>
            <w:shd w:val="clear" w:color="auto" w:fill="auto"/>
            <w:noWrap/>
            <w:vAlign w:val="center"/>
          </w:tcPr>
          <w:p w:rsidR="00AD3EDF" w:rsidRPr="00AD3EDF" w:rsidRDefault="00AD3EDF" w:rsidP="00AD3EDF">
            <w:pPr>
              <w:pStyle w:val="afffffff2"/>
              <w:rPr>
                <w:sz w:val="21"/>
                <w:szCs w:val="21"/>
              </w:rPr>
            </w:pPr>
            <w:r w:rsidRPr="00AD3EDF">
              <w:rPr>
                <w:rFonts w:hint="eastAsia"/>
                <w:sz w:val="21"/>
                <w:szCs w:val="21"/>
              </w:rPr>
              <w:t>2.8</w:t>
            </w:r>
            <w:r w:rsidRPr="00AD3EDF">
              <w:rPr>
                <w:sz w:val="21"/>
                <w:szCs w:val="21"/>
              </w:rPr>
              <w:t>1</w:t>
            </w:r>
          </w:p>
        </w:tc>
        <w:tc>
          <w:tcPr>
            <w:tcW w:w="323" w:type="pct"/>
            <w:tcBorders>
              <w:tl2br w:val="nil"/>
              <w:tr2bl w:val="nil"/>
            </w:tcBorders>
            <w:shd w:val="clear" w:color="auto" w:fill="auto"/>
            <w:noWrap/>
            <w:vAlign w:val="center"/>
          </w:tcPr>
          <w:p w:rsidR="00AD3EDF" w:rsidRPr="00AD3EDF" w:rsidRDefault="00AD3EDF" w:rsidP="00AD3EDF">
            <w:pPr>
              <w:pStyle w:val="afffffff2"/>
              <w:rPr>
                <w:sz w:val="21"/>
                <w:szCs w:val="21"/>
              </w:rPr>
            </w:pPr>
            <w:r w:rsidRPr="00AD3EDF">
              <w:rPr>
                <w:sz w:val="21"/>
                <w:szCs w:val="21"/>
              </w:rPr>
              <w:t>3.33</w:t>
            </w:r>
          </w:p>
        </w:tc>
        <w:tc>
          <w:tcPr>
            <w:tcW w:w="323" w:type="pct"/>
            <w:tcBorders>
              <w:tl2br w:val="nil"/>
              <w:tr2bl w:val="nil"/>
            </w:tcBorders>
            <w:shd w:val="clear" w:color="auto" w:fill="auto"/>
            <w:noWrap/>
            <w:vAlign w:val="center"/>
          </w:tcPr>
          <w:p w:rsidR="00AD3EDF" w:rsidRPr="00AD3EDF" w:rsidRDefault="00AD3EDF" w:rsidP="00AD3EDF">
            <w:pPr>
              <w:pStyle w:val="afffffff2"/>
              <w:rPr>
                <w:sz w:val="21"/>
                <w:szCs w:val="21"/>
              </w:rPr>
            </w:pPr>
            <w:r w:rsidRPr="00AD3EDF">
              <w:rPr>
                <w:rFonts w:hint="eastAsia"/>
                <w:sz w:val="21"/>
                <w:szCs w:val="21"/>
              </w:rPr>
              <w:t>2</w:t>
            </w:r>
            <w:r w:rsidRPr="00AD3EDF">
              <w:rPr>
                <w:sz w:val="21"/>
                <w:szCs w:val="21"/>
              </w:rPr>
              <w:t>.41</w:t>
            </w:r>
          </w:p>
        </w:tc>
        <w:tc>
          <w:tcPr>
            <w:tcW w:w="323" w:type="pct"/>
            <w:tcBorders>
              <w:tl2br w:val="nil"/>
              <w:tr2bl w:val="nil"/>
            </w:tcBorders>
            <w:shd w:val="clear" w:color="auto" w:fill="auto"/>
            <w:noWrap/>
            <w:vAlign w:val="center"/>
          </w:tcPr>
          <w:p w:rsidR="00AD3EDF" w:rsidRPr="00AD3EDF" w:rsidRDefault="00AD3EDF" w:rsidP="00AD3EDF">
            <w:pPr>
              <w:pStyle w:val="afffffff2"/>
              <w:rPr>
                <w:sz w:val="21"/>
                <w:szCs w:val="21"/>
              </w:rPr>
            </w:pPr>
            <w:r w:rsidRPr="00AD3EDF">
              <w:rPr>
                <w:sz w:val="21"/>
                <w:szCs w:val="21"/>
              </w:rPr>
              <w:t>2.39</w:t>
            </w:r>
          </w:p>
        </w:tc>
        <w:tc>
          <w:tcPr>
            <w:tcW w:w="323" w:type="pct"/>
            <w:tcBorders>
              <w:tl2br w:val="nil"/>
              <w:tr2bl w:val="nil"/>
            </w:tcBorders>
            <w:shd w:val="clear" w:color="auto" w:fill="auto"/>
            <w:noWrap/>
            <w:vAlign w:val="center"/>
          </w:tcPr>
          <w:p w:rsidR="00AD3EDF" w:rsidRPr="00AD3EDF" w:rsidRDefault="00AD3EDF" w:rsidP="00AD3EDF">
            <w:pPr>
              <w:pStyle w:val="afffffff2"/>
              <w:rPr>
                <w:sz w:val="21"/>
                <w:szCs w:val="21"/>
              </w:rPr>
            </w:pPr>
            <w:r w:rsidRPr="00AD3EDF">
              <w:rPr>
                <w:sz w:val="21"/>
                <w:szCs w:val="21"/>
              </w:rPr>
              <w:t>2.64</w:t>
            </w:r>
          </w:p>
        </w:tc>
        <w:tc>
          <w:tcPr>
            <w:tcW w:w="323" w:type="pct"/>
            <w:tcBorders>
              <w:tl2br w:val="nil"/>
              <w:tr2bl w:val="nil"/>
            </w:tcBorders>
            <w:shd w:val="clear" w:color="auto" w:fill="auto"/>
            <w:noWrap/>
            <w:vAlign w:val="center"/>
          </w:tcPr>
          <w:p w:rsidR="00AD3EDF" w:rsidRPr="00AD3EDF" w:rsidRDefault="00AD3EDF" w:rsidP="00AD3EDF">
            <w:pPr>
              <w:pStyle w:val="afffffff2"/>
              <w:rPr>
                <w:sz w:val="21"/>
                <w:szCs w:val="21"/>
              </w:rPr>
            </w:pPr>
            <w:r w:rsidRPr="00AD3EDF">
              <w:rPr>
                <w:sz w:val="21"/>
                <w:szCs w:val="21"/>
              </w:rPr>
              <w:t>2.02</w:t>
            </w:r>
          </w:p>
        </w:tc>
        <w:tc>
          <w:tcPr>
            <w:tcW w:w="323" w:type="pct"/>
            <w:tcBorders>
              <w:tl2br w:val="nil"/>
              <w:tr2bl w:val="nil"/>
            </w:tcBorders>
            <w:shd w:val="clear" w:color="auto" w:fill="auto"/>
            <w:noWrap/>
            <w:vAlign w:val="center"/>
          </w:tcPr>
          <w:p w:rsidR="00AD3EDF" w:rsidRPr="00AD3EDF" w:rsidRDefault="00AD3EDF" w:rsidP="00AD3EDF">
            <w:pPr>
              <w:pStyle w:val="afffffff2"/>
              <w:rPr>
                <w:sz w:val="21"/>
                <w:szCs w:val="21"/>
              </w:rPr>
            </w:pPr>
            <w:r w:rsidRPr="00AD3EDF">
              <w:rPr>
                <w:sz w:val="21"/>
                <w:szCs w:val="21"/>
              </w:rPr>
              <w:t>1.95</w:t>
            </w:r>
          </w:p>
        </w:tc>
        <w:tc>
          <w:tcPr>
            <w:tcW w:w="382" w:type="pct"/>
            <w:tcBorders>
              <w:tl2br w:val="nil"/>
              <w:tr2bl w:val="nil"/>
            </w:tcBorders>
            <w:shd w:val="clear" w:color="auto" w:fill="auto"/>
            <w:noWrap/>
            <w:vAlign w:val="center"/>
          </w:tcPr>
          <w:p w:rsidR="00AD3EDF" w:rsidRPr="00AD3EDF" w:rsidRDefault="00AD3EDF" w:rsidP="00AD3EDF">
            <w:pPr>
              <w:pStyle w:val="afffffff2"/>
              <w:rPr>
                <w:sz w:val="21"/>
                <w:szCs w:val="21"/>
              </w:rPr>
            </w:pPr>
            <w:r w:rsidRPr="00AD3EDF">
              <w:rPr>
                <w:sz w:val="21"/>
                <w:szCs w:val="21"/>
              </w:rPr>
              <w:t>1.75</w:t>
            </w:r>
          </w:p>
        </w:tc>
        <w:tc>
          <w:tcPr>
            <w:tcW w:w="377" w:type="pct"/>
            <w:tcBorders>
              <w:tl2br w:val="nil"/>
              <w:tr2bl w:val="nil"/>
            </w:tcBorders>
            <w:shd w:val="clear" w:color="auto" w:fill="auto"/>
            <w:noWrap/>
            <w:vAlign w:val="center"/>
          </w:tcPr>
          <w:p w:rsidR="00AD3EDF" w:rsidRPr="00AD3EDF" w:rsidRDefault="00AD3EDF" w:rsidP="00AD3EDF">
            <w:pPr>
              <w:pStyle w:val="afffffff2"/>
              <w:rPr>
                <w:sz w:val="21"/>
                <w:szCs w:val="21"/>
              </w:rPr>
            </w:pPr>
            <w:r w:rsidRPr="00AD3EDF">
              <w:rPr>
                <w:sz w:val="21"/>
                <w:szCs w:val="21"/>
              </w:rPr>
              <w:t>2.55</w:t>
            </w:r>
          </w:p>
        </w:tc>
        <w:tc>
          <w:tcPr>
            <w:tcW w:w="382" w:type="pct"/>
            <w:tcBorders>
              <w:tl2br w:val="nil"/>
              <w:tr2bl w:val="nil"/>
            </w:tcBorders>
            <w:shd w:val="clear" w:color="auto" w:fill="auto"/>
            <w:noWrap/>
            <w:vAlign w:val="center"/>
          </w:tcPr>
          <w:p w:rsidR="00AD3EDF" w:rsidRPr="00AD3EDF" w:rsidRDefault="00AD3EDF" w:rsidP="00AD3EDF">
            <w:pPr>
              <w:pStyle w:val="afffffff2"/>
              <w:rPr>
                <w:sz w:val="21"/>
                <w:szCs w:val="21"/>
              </w:rPr>
            </w:pPr>
            <w:r w:rsidRPr="00AD3EDF">
              <w:rPr>
                <w:sz w:val="21"/>
                <w:szCs w:val="21"/>
              </w:rPr>
              <w:t>2.46</w:t>
            </w:r>
          </w:p>
        </w:tc>
        <w:tc>
          <w:tcPr>
            <w:tcW w:w="352" w:type="pct"/>
            <w:tcBorders>
              <w:tl2br w:val="nil"/>
              <w:tr2bl w:val="nil"/>
            </w:tcBorders>
            <w:shd w:val="clear" w:color="auto" w:fill="auto"/>
            <w:noWrap/>
            <w:vAlign w:val="center"/>
          </w:tcPr>
          <w:p w:rsidR="00AD3EDF" w:rsidRPr="00AD3EDF" w:rsidRDefault="00AD3EDF" w:rsidP="00AD3EDF">
            <w:pPr>
              <w:pStyle w:val="afffffff2"/>
              <w:rPr>
                <w:sz w:val="21"/>
                <w:szCs w:val="21"/>
              </w:rPr>
            </w:pPr>
            <w:r w:rsidRPr="00AD3EDF">
              <w:rPr>
                <w:sz w:val="21"/>
                <w:szCs w:val="21"/>
              </w:rPr>
              <w:t>2.44</w:t>
            </w:r>
          </w:p>
        </w:tc>
      </w:tr>
    </w:tbl>
    <w:p w:rsidR="00AD3EDF" w:rsidRDefault="00AD3EDF" w:rsidP="00AD3EDF">
      <w:pPr>
        <w:ind w:firstLine="480"/>
        <w:jc w:val="center"/>
      </w:pPr>
      <w:r>
        <w:rPr>
          <w:noProof/>
        </w:rPr>
        <w:lastRenderedPageBreak/>
        <w:drawing>
          <wp:inline distT="0" distB="0" distL="0" distR="0" wp14:anchorId="5641D7C0" wp14:editId="36FECB86">
            <wp:extent cx="4826000" cy="2743200"/>
            <wp:effectExtent l="0" t="0" r="12700" b="0"/>
            <wp:docPr id="913" name="图表 9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AD3EDF" w:rsidRDefault="00AD3EDF" w:rsidP="00AD3EDF">
      <w:pPr>
        <w:pStyle w:val="afffff4"/>
        <w:ind w:firstLine="480"/>
      </w:pPr>
      <w:r>
        <w:rPr>
          <w:rFonts w:hint="eastAsia"/>
        </w:rPr>
        <w:t>图</w:t>
      </w:r>
      <w:r>
        <w:rPr>
          <w:rFonts w:hint="eastAsia"/>
        </w:rPr>
        <w:t>5</w:t>
      </w:r>
      <w:r>
        <w:t>.1.1</w:t>
      </w:r>
      <w:r>
        <w:rPr>
          <w:rFonts w:hint="eastAsia"/>
        </w:rPr>
        <w:t>-</w:t>
      </w:r>
      <w:r>
        <w:t xml:space="preserve">3  </w:t>
      </w:r>
      <w:r>
        <w:rPr>
          <w:rFonts w:hint="eastAsia"/>
        </w:rPr>
        <w:t>年平均风速月变化图</w:t>
      </w:r>
    </w:p>
    <w:p w:rsidR="004E3021" w:rsidRDefault="00606E48">
      <w:pPr>
        <w:spacing w:beforeLines="50" w:before="163"/>
        <w:ind w:firstLine="480"/>
      </w:pPr>
      <w:r>
        <w:rPr>
          <w:rFonts w:ascii="宋体" w:hAnsi="宋体" w:hint="eastAsia"/>
        </w:rPr>
        <w:t>（</w:t>
      </w:r>
      <w:r>
        <w:rPr>
          <w:rFonts w:hint="eastAsia"/>
        </w:rPr>
        <w:t>3</w:t>
      </w:r>
      <w:r>
        <w:rPr>
          <w:rFonts w:ascii="宋体" w:hAnsi="宋体" w:hint="eastAsia"/>
        </w:rPr>
        <w:t>）</w:t>
      </w:r>
      <w:r>
        <w:rPr>
          <w:rFonts w:ascii="宋体" w:hAnsi="宋体"/>
        </w:rPr>
        <w:t>基准年月季年风频变化统计</w:t>
      </w:r>
    </w:p>
    <w:p w:rsidR="004E3021" w:rsidRDefault="00AD3EDF">
      <w:pPr>
        <w:ind w:firstLine="480"/>
      </w:pPr>
      <w:r>
        <w:t>区域内</w:t>
      </w:r>
      <w:r>
        <w:t>2023</w:t>
      </w:r>
      <w:r>
        <w:t>年全年及各季</w:t>
      </w:r>
      <w:r>
        <w:rPr>
          <w:rFonts w:hint="eastAsia"/>
        </w:rPr>
        <w:t>、各月</w:t>
      </w:r>
      <w:r>
        <w:t>平均风向频率表</w:t>
      </w:r>
      <w:r>
        <w:rPr>
          <w:rFonts w:hint="eastAsia"/>
        </w:rPr>
        <w:t>5.2</w:t>
      </w:r>
      <w:r>
        <w:t>.1</w:t>
      </w:r>
      <w:r>
        <w:rPr>
          <w:rFonts w:hint="eastAsia"/>
        </w:rPr>
        <w:t>-</w:t>
      </w:r>
      <w:r>
        <w:t>6</w:t>
      </w:r>
      <w:r>
        <w:t>和图</w:t>
      </w:r>
      <w:r>
        <w:rPr>
          <w:rFonts w:hint="eastAsia"/>
        </w:rPr>
        <w:t>5.2</w:t>
      </w:r>
      <w:r>
        <w:t>.1</w:t>
      </w:r>
      <w:r>
        <w:rPr>
          <w:rFonts w:hint="eastAsia"/>
        </w:rPr>
        <w:t>-</w:t>
      </w:r>
      <w:r>
        <w:t>4</w:t>
      </w:r>
      <w:r>
        <w:t>所示</w:t>
      </w:r>
      <w:r w:rsidR="00606E48">
        <w:rPr>
          <w:rFonts w:ascii="宋体" w:hAnsi="宋体"/>
        </w:rPr>
        <w:t>。</w:t>
      </w:r>
    </w:p>
    <w:p w:rsidR="004E3021" w:rsidRDefault="00AD3EDF">
      <w:pPr>
        <w:ind w:firstLineChars="0" w:firstLine="0"/>
        <w:jc w:val="center"/>
      </w:pPr>
      <w:r>
        <w:rPr>
          <w:noProof/>
        </w:rPr>
        <w:lastRenderedPageBreak/>
        <w:drawing>
          <wp:inline distT="0" distB="0" distL="0" distR="0" wp14:anchorId="16C24CC6" wp14:editId="37080EBD">
            <wp:extent cx="5070475" cy="7232015"/>
            <wp:effectExtent l="0" t="0" r="0" b="6985"/>
            <wp:docPr id="3137" name="图片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 name="图片 31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070475" cy="7232015"/>
                    </a:xfrm>
                    <a:prstGeom prst="rect">
                      <a:avLst/>
                    </a:prstGeom>
                    <a:noFill/>
                    <a:ln>
                      <a:noFill/>
                    </a:ln>
                  </pic:spPr>
                </pic:pic>
              </a:graphicData>
            </a:graphic>
          </wp:inline>
        </w:drawing>
      </w:r>
    </w:p>
    <w:p w:rsidR="004E3021" w:rsidRDefault="00606E48">
      <w:pPr>
        <w:pStyle w:val="afffff4"/>
        <w:ind w:firstLine="480"/>
      </w:pPr>
      <w:r>
        <w:rPr>
          <w:rFonts w:ascii="黑体" w:hAnsi="黑体"/>
        </w:rPr>
        <w:t>图</w:t>
      </w:r>
      <w:r>
        <w:t>5.1.1-4  202</w:t>
      </w:r>
      <w:r w:rsidR="00AD3EDF">
        <w:t>3</w:t>
      </w:r>
      <w:r>
        <w:rPr>
          <w:rFonts w:ascii="黑体" w:hAnsi="黑体"/>
        </w:rPr>
        <w:t>年</w:t>
      </w:r>
      <w:r>
        <w:rPr>
          <w:rFonts w:ascii="黑体" w:hAnsi="黑体"/>
          <w:bCs/>
        </w:rPr>
        <w:t>蚌埠</w:t>
      </w:r>
      <w:r>
        <w:rPr>
          <w:rFonts w:ascii="黑体" w:hAnsi="黑体"/>
        </w:rPr>
        <w:t>市气象台站风向频率玫瑰图</w:t>
      </w: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sectPr w:rsidR="004E3021">
          <w:pgSz w:w="11907" w:h="16839"/>
          <w:pgMar w:top="1440" w:right="1440" w:bottom="1440" w:left="1440" w:header="851" w:footer="992" w:gutter="0"/>
          <w:cols w:space="425"/>
          <w:docGrid w:type="lines" w:linePitch="326"/>
        </w:sectPr>
      </w:pPr>
    </w:p>
    <w:p w:rsidR="004E3021" w:rsidRDefault="00606E48">
      <w:pPr>
        <w:pStyle w:val="afffff4"/>
      </w:pPr>
      <w:r>
        <w:rPr>
          <w:rFonts w:ascii="黑体" w:hAnsi="黑体" w:hint="eastAsia"/>
        </w:rPr>
        <w:lastRenderedPageBreak/>
        <w:t>表</w:t>
      </w:r>
      <w:r>
        <w:t xml:space="preserve">5.1.1-7  </w:t>
      </w:r>
      <w:r>
        <w:rPr>
          <w:rFonts w:hint="eastAsia"/>
        </w:rPr>
        <w:t>20</w:t>
      </w:r>
      <w:r>
        <w:t>2</w:t>
      </w:r>
      <w:r w:rsidR="00AD3EDF">
        <w:t>3</w:t>
      </w:r>
      <w:r>
        <w:rPr>
          <w:rFonts w:ascii="黑体" w:hAnsi="黑体" w:hint="eastAsia"/>
        </w:rPr>
        <w:t>年蚌埠市风频的月、季、年变化</w:t>
      </w:r>
      <w:r>
        <w:rPr>
          <w:rFonts w:hint="eastAsia"/>
        </w:rPr>
        <w:t xml:space="preserve">   </w:t>
      </w:r>
      <w:r>
        <w:rPr>
          <w:rFonts w:hint="eastAsia"/>
        </w:rPr>
        <w:t>单位：</w:t>
      </w:r>
      <w:r>
        <w:t>%</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782"/>
        <w:gridCol w:w="1042"/>
        <w:gridCol w:w="1042"/>
        <w:gridCol w:w="1042"/>
        <w:gridCol w:w="1041"/>
        <w:gridCol w:w="882"/>
        <w:gridCol w:w="1041"/>
        <w:gridCol w:w="882"/>
        <w:gridCol w:w="1041"/>
        <w:gridCol w:w="1041"/>
        <w:gridCol w:w="1041"/>
        <w:gridCol w:w="1041"/>
        <w:gridCol w:w="1041"/>
      </w:tblGrid>
      <w:tr w:rsidR="00AD3EDF" w:rsidTr="00AD3EDF">
        <w:trPr>
          <w:trHeight w:val="285"/>
        </w:trPr>
        <w:tc>
          <w:tcPr>
            <w:tcW w:w="638" w:type="pct"/>
            <w:tcBorders>
              <w:top w:val="single" w:sz="12"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rPr>
                <w:b/>
                <w:bCs/>
                <w:sz w:val="21"/>
                <w:szCs w:val="21"/>
              </w:rPr>
            </w:pPr>
            <w:r>
              <w:rPr>
                <w:noProof/>
              </w:rPr>
              <mc:AlternateContent>
                <mc:Choice Requires="wpg">
                  <w:drawing>
                    <wp:anchor distT="0" distB="0" distL="114300" distR="114300" simplePos="0" relativeHeight="251669504" behindDoc="0" locked="0" layoutInCell="1" allowOverlap="1" wp14:anchorId="3BCB012E" wp14:editId="75F9224A">
                      <wp:simplePos x="0" y="0"/>
                      <wp:positionH relativeFrom="column">
                        <wp:posOffset>-1905</wp:posOffset>
                      </wp:positionH>
                      <wp:positionV relativeFrom="paragraph">
                        <wp:posOffset>1905</wp:posOffset>
                      </wp:positionV>
                      <wp:extent cx="1047750" cy="685800"/>
                      <wp:effectExtent l="0" t="0" r="38100" b="19050"/>
                      <wp:wrapNone/>
                      <wp:docPr id="3138" name="组合 3138"/>
                      <wp:cNvGraphicFramePr/>
                      <a:graphic xmlns:a="http://schemas.openxmlformats.org/drawingml/2006/main">
                        <a:graphicData uri="http://schemas.microsoft.com/office/word/2010/wordprocessingGroup">
                          <wpg:wgp>
                            <wpg:cNvGrpSpPr/>
                            <wpg:grpSpPr>
                              <a:xfrm>
                                <a:off x="0" y="0"/>
                                <a:ext cx="1047750" cy="685800"/>
                                <a:chOff x="0" y="0"/>
                                <a:chExt cx="1200" cy="1080"/>
                              </a:xfrm>
                            </wpg:grpSpPr>
                            <wps:wsp>
                              <wps:cNvPr id="3139" name="直接连接符 3139"/>
                              <wps:cNvCnPr/>
                              <wps:spPr>
                                <a:xfrm>
                                  <a:off x="14" y="14"/>
                                  <a:ext cx="1186" cy="491"/>
                                </a:xfrm>
                                <a:prstGeom prst="line">
                                  <a:avLst/>
                                </a:prstGeom>
                                <a:ln w="9525" cap="flat" cmpd="sng">
                                  <a:solidFill>
                                    <a:srgbClr val="000000"/>
                                  </a:solidFill>
                                  <a:prstDash val="solid"/>
                                  <a:headEnd type="none" w="med" len="med"/>
                                  <a:tailEnd type="none" w="med" len="med"/>
                                </a:ln>
                              </wps:spPr>
                              <wps:bodyPr/>
                            </wps:wsp>
                            <wps:wsp>
                              <wps:cNvPr id="3140" name="直接连接符 3140"/>
                              <wps:cNvCnPr/>
                              <wps:spPr>
                                <a:xfrm>
                                  <a:off x="0" y="0"/>
                                  <a:ext cx="1058" cy="1080"/>
                                </a:xfrm>
                                <a:prstGeom prst="line">
                                  <a:avLst/>
                                </a:prstGeom>
                                <a:ln w="9525" cap="flat" cmpd="sng">
                                  <a:solidFill>
                                    <a:srgbClr val="000000"/>
                                  </a:solidFill>
                                  <a:prstDash val="solid"/>
                                  <a:headEnd type="none" w="med" len="med"/>
                                  <a:tailEnd type="none" w="med" len="med"/>
                                </a:ln>
                              </wps:spPr>
                              <wps:bodyPr/>
                            </wps:wsp>
                          </wpg:wgp>
                        </a:graphicData>
                      </a:graphic>
                    </wp:anchor>
                  </w:drawing>
                </mc:Choice>
                <mc:Fallback>
                  <w:pict>
                    <v:group w14:anchorId="300A73A4" id="组合 3138" o:spid="_x0000_s1026" style="position:absolute;left:0;text-align:left;margin-left:-.15pt;margin-top:.15pt;width:82.5pt;height:54pt;z-index:251669504" coordsize="120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j6dwIAAMEGAAAOAAAAZHJzL2Uyb0RvYy54bWzsVT+P0zAU35H4DpZ3mqTX3rVR0xuud10Q&#10;nHTwAVzHSSw5tmX7mnZnYELsSGwwMbIx8Gng+Bg8O2kK10M6HRITHRz7/fP7/d577ux0Uwu0ZsZy&#10;JTOcDGKMmKQq57LM8MsXF08mGFlHZE6EkizDW2bx6fzxo1mjUzZUlRI5MwiCSJs2OsOVczqNIksr&#10;VhM7UJpJUBbK1MTB0ZRRbkgD0WsRDeP4OGqUybVRlFkL0kWrxPMQvygYdc+LwjKHRIYhNxdWE9aV&#10;X6P5jKSlIbritEuDPCCLmnAJl/ahFsQRdG34QaiaU6OsKtyAqjpSRcEpCxgATRLfQrM06loHLGXa&#10;lLqnCai9xdODw9Jn60uDeJ7ho+QIaiVJDVW6+fLq29vXKIiAoUaXKRgujb7Sl6YTlO3Jg94UpvZf&#10;gIM2gdttzy3bOERBmMSjk5MxlICC7ngynsQd+bSCCh240ep85whlbr2SeBJ8ot2NkU+sz6PR0EJ2&#10;z5L9O5auKqJZIN968HuWpj1L7z5/f/Phx9f3sN58+ujpmvqG8omAx5nsuLKpBdruICoZYQRswCe0&#10;YU9VMjluEY+miVf1gEmqjXVLpmrkNxkWXPocSUrWT61rTXcmXiwkajI8HQ/HEJDAfBWCONjWGipu&#10;ZRl8rRI8v+BCeA9rytWZMGhN/MSEX5fCb2b+kgWxVWsXVC2IipH8XObIbTU0koShxz6FmuUYCQZv&#10;hN8FuI5wcR9LQC8kkOBpbYn0u5XKt4HfIIe6t7z/gwYYQTt2Y3LQAKADbPduAIh016SMYRD9mBw0&#10;/P/6h0H6Q/3DcwDvZBiY7k33D/Gv59BH+3+e+U8AAAD//wMAUEsDBBQABgAIAAAAIQB25b393QAA&#10;AAYBAAAPAAAAZHJzL2Rvd25yZXYueG1sTI5BS8NAEIXvgv9hGcFbu4nRWmI2pRT1VARbQbxNk2kS&#10;mp0N2W2S/nunJ7085vEeb75sNdlWDdT7xrGBeB6BIi5c2XBl4Gv/NluC8gG5xNYxGbiQh1V+e5Nh&#10;WrqRP2nYhUrJCPsUDdQhdKnWvqjJop+7jliyo+stBrF9pcseRxm3rX6IooW22LB8qLGjTU3FaXe2&#10;Bt5HHNdJ/DpsT8fN5Wf/9PG9jcmY+7tp/QIq0BT+ynDFF3TIhengzlx61RqYJVI0IHoNF4/PoA5y&#10;RMsEdJ7p//j5LwAAAP//AwBQSwECLQAUAAYACAAAACEAtoM4kv4AAADhAQAAEwAAAAAAAAAAAAAA&#10;AAAAAAAAW0NvbnRlbnRfVHlwZXNdLnhtbFBLAQItABQABgAIAAAAIQA4/SH/1gAAAJQBAAALAAAA&#10;AAAAAAAAAAAAAC8BAABfcmVscy8ucmVsc1BLAQItABQABgAIAAAAIQDS+Oj6dwIAAMEGAAAOAAAA&#10;AAAAAAAAAAAAAC4CAABkcnMvZTJvRG9jLnhtbFBLAQItABQABgAIAAAAIQB25b393QAAAAYBAAAP&#10;AAAAAAAAAAAAAAAAANEEAABkcnMvZG93bnJldi54bWxQSwUGAAAAAAQABADzAAAA2wUAAAAA&#10;">
                      <v:line id="直接连接符 3139" o:spid="_x0000_s1027" style="position:absolute;visibility:visible;mso-wrap-style:square" from="14,14" to="1200,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GOOyAAAAN0AAAAPAAAAZHJzL2Rvd25yZXYueG1sRI9Ba8JA&#10;FITvhf6H5RW81Y0NhDa6irQI6qFUK+jxmX0msdm3YXdN0n/fLRR6HGbmG2a2GEwjOnK+tqxgMk5A&#10;EBdW11wqOHyuHp9B+ICssbFMCr7Jw2J+fzfDXNued9TtQykihH2OCqoQ2lxKX1Rk0I9tSxy9i3UG&#10;Q5SulNphH+GmkU9JkkmDNceFClt6raj42t+Mgvf0I+uWm+16OG6yc/G2O5+uvVNq9DAspyACDeE/&#10;/NdeawXpJH2B3zfxCcj5DwAAAP//AwBQSwECLQAUAAYACAAAACEA2+H2y+4AAACFAQAAEwAAAAAA&#10;AAAAAAAAAAAAAAAAW0NvbnRlbnRfVHlwZXNdLnhtbFBLAQItABQABgAIAAAAIQBa9CxbvwAAABUB&#10;AAALAAAAAAAAAAAAAAAAAB8BAABfcmVscy8ucmVsc1BLAQItABQABgAIAAAAIQCDqGOOyAAAAN0A&#10;AAAPAAAAAAAAAAAAAAAAAAcCAABkcnMvZG93bnJldi54bWxQSwUGAAAAAAMAAwC3AAAA/AIAAAAA&#10;"/>
                      <v:line id="直接连接符 3140" o:spid="_x0000_s1028" style="position:absolute;visibility:visible;mso-wrap-style:square" from="0,0" to="1058,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LluxAAAAN0AAAAPAAAAZHJzL2Rvd25yZXYueG1sRE/Pa8Iw&#10;FL4L/g/hCbtpqo4yOqOIMtAdRN1gOz6bt7azeSlJ1nb/vTkIHj++34tVb2rRkvOVZQXTSQKCOLe6&#10;4kLB58fb+AWED8gaa8uk4J88rJbDwQIzbTs+UXsOhYgh7DNUUIbQZFL6vCSDfmIb4sj9WGcwROgK&#10;qR12MdzUcpYkqTRYcWwosaFNSfn1/GcUHObHtF3v33f91z695NvT5fu3c0o9jfr1K4hAfXiI7+6d&#10;VjCfPsf98U18AnJ5AwAA//8DAFBLAQItABQABgAIAAAAIQDb4fbL7gAAAIUBAAATAAAAAAAAAAAA&#10;AAAAAAAAAABbQ29udGVudF9UeXBlc10ueG1sUEsBAi0AFAAGAAgAAAAhAFr0LFu/AAAAFQEAAAsA&#10;AAAAAAAAAAAAAAAAHwEAAF9yZWxzLy5yZWxzUEsBAi0AFAAGAAgAAAAhAEqUuW7EAAAA3QAAAA8A&#10;AAAAAAAAAAAAAAAABwIAAGRycy9kb3ducmV2LnhtbFBLBQYAAAAAAwADALcAAAD4AgAAAAA=&#10;"/>
                    </v:group>
                  </w:pict>
                </mc:Fallback>
              </mc:AlternateContent>
            </w:r>
            <w:r>
              <w:rPr>
                <w:rFonts w:ascii="宋体" w:hAnsi="宋体" w:hint="eastAsia"/>
                <w:b/>
                <w:bCs/>
                <w:sz w:val="21"/>
                <w:szCs w:val="21"/>
              </w:rPr>
              <w:t xml:space="preserve"> </w:t>
            </w:r>
            <w:r>
              <w:rPr>
                <w:rFonts w:ascii="宋体" w:hAnsi="宋体"/>
                <w:b/>
                <w:bCs/>
                <w:sz w:val="21"/>
                <w:szCs w:val="21"/>
              </w:rPr>
              <w:t xml:space="preserve">         月份</w:t>
            </w:r>
          </w:p>
          <w:p w:rsidR="00AD3EDF" w:rsidRDefault="00AD3EDF" w:rsidP="00AD3EDF">
            <w:pPr>
              <w:widowControl/>
              <w:autoSpaceDE w:val="0"/>
              <w:spacing w:line="360" w:lineRule="exact"/>
              <w:ind w:firstLineChars="0" w:firstLine="0"/>
              <w:jc w:val="center"/>
              <w:rPr>
                <w:b/>
                <w:bCs/>
                <w:sz w:val="21"/>
                <w:szCs w:val="21"/>
              </w:rPr>
            </w:pPr>
            <w:r>
              <w:rPr>
                <w:rFonts w:ascii="宋体" w:hAnsi="宋体" w:hint="eastAsia"/>
                <w:b/>
                <w:bCs/>
                <w:sz w:val="21"/>
                <w:szCs w:val="21"/>
              </w:rPr>
              <w:t xml:space="preserve"> </w:t>
            </w:r>
            <w:r>
              <w:rPr>
                <w:rFonts w:ascii="宋体" w:hAnsi="宋体"/>
                <w:b/>
                <w:bCs/>
                <w:sz w:val="21"/>
                <w:szCs w:val="21"/>
              </w:rPr>
              <w:t xml:space="preserve">      频率</w:t>
            </w:r>
          </w:p>
          <w:p w:rsidR="00AD3EDF" w:rsidRDefault="00AD3EDF" w:rsidP="00AD3EDF">
            <w:pPr>
              <w:widowControl/>
              <w:autoSpaceDE w:val="0"/>
              <w:spacing w:line="360" w:lineRule="exact"/>
              <w:ind w:firstLineChars="100" w:firstLine="211"/>
              <w:rPr>
                <w:b/>
                <w:bCs/>
                <w:sz w:val="21"/>
                <w:szCs w:val="21"/>
              </w:rPr>
            </w:pPr>
            <w:r>
              <w:rPr>
                <w:rFonts w:ascii="宋体" w:hAnsi="宋体"/>
                <w:b/>
                <w:bCs/>
                <w:sz w:val="21"/>
                <w:szCs w:val="21"/>
              </w:rPr>
              <w:t>风向</w:t>
            </w:r>
          </w:p>
        </w:tc>
        <w:tc>
          <w:tcPr>
            <w:tcW w:w="373" w:type="pct"/>
            <w:tcBorders>
              <w:top w:val="single" w:sz="12" w:space="0" w:color="auto"/>
              <w:left w:val="single" w:sz="4" w:space="0" w:color="auto"/>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b/>
                <w:bCs/>
                <w:sz w:val="21"/>
                <w:szCs w:val="21"/>
              </w:rPr>
            </w:pPr>
            <w:r>
              <w:rPr>
                <w:b/>
                <w:bCs/>
                <w:kern w:val="0"/>
                <w:sz w:val="21"/>
                <w:szCs w:val="21"/>
              </w:rPr>
              <w:t>1</w:t>
            </w:r>
            <w:r>
              <w:rPr>
                <w:rFonts w:ascii="宋体" w:hAnsi="宋体"/>
                <w:b/>
                <w:bCs/>
                <w:kern w:val="0"/>
                <w:sz w:val="21"/>
                <w:szCs w:val="21"/>
              </w:rPr>
              <w:t>月</w:t>
            </w:r>
          </w:p>
        </w:tc>
        <w:tc>
          <w:tcPr>
            <w:tcW w:w="373" w:type="pct"/>
            <w:tcBorders>
              <w:top w:val="single" w:sz="12" w:space="0" w:color="auto"/>
              <w:left w:val="single" w:sz="4" w:space="0" w:color="auto"/>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b/>
                <w:bCs/>
                <w:sz w:val="21"/>
                <w:szCs w:val="21"/>
              </w:rPr>
            </w:pPr>
            <w:r>
              <w:rPr>
                <w:b/>
                <w:bCs/>
                <w:kern w:val="0"/>
                <w:sz w:val="21"/>
                <w:szCs w:val="21"/>
              </w:rPr>
              <w:t>2</w:t>
            </w:r>
            <w:r>
              <w:rPr>
                <w:rFonts w:ascii="宋体" w:hAnsi="宋体"/>
                <w:b/>
                <w:bCs/>
                <w:kern w:val="0"/>
                <w:sz w:val="21"/>
                <w:szCs w:val="21"/>
              </w:rPr>
              <w:t>月</w:t>
            </w:r>
          </w:p>
        </w:tc>
        <w:tc>
          <w:tcPr>
            <w:tcW w:w="373" w:type="pct"/>
            <w:tcBorders>
              <w:top w:val="single" w:sz="12" w:space="0" w:color="auto"/>
              <w:left w:val="single" w:sz="4" w:space="0" w:color="auto"/>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b/>
                <w:bCs/>
                <w:sz w:val="21"/>
                <w:szCs w:val="21"/>
              </w:rPr>
            </w:pPr>
            <w:r>
              <w:rPr>
                <w:b/>
                <w:bCs/>
                <w:kern w:val="0"/>
                <w:sz w:val="21"/>
                <w:szCs w:val="21"/>
              </w:rPr>
              <w:t>3</w:t>
            </w:r>
            <w:r>
              <w:rPr>
                <w:rFonts w:ascii="宋体" w:hAnsi="宋体"/>
                <w:b/>
                <w:bCs/>
                <w:kern w:val="0"/>
                <w:sz w:val="21"/>
                <w:szCs w:val="21"/>
              </w:rPr>
              <w:t>月</w:t>
            </w:r>
          </w:p>
        </w:tc>
        <w:tc>
          <w:tcPr>
            <w:tcW w:w="373" w:type="pct"/>
            <w:tcBorders>
              <w:top w:val="single" w:sz="12" w:space="0" w:color="auto"/>
              <w:left w:val="single" w:sz="4" w:space="0" w:color="auto"/>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b/>
                <w:bCs/>
                <w:sz w:val="21"/>
                <w:szCs w:val="21"/>
              </w:rPr>
            </w:pPr>
            <w:r>
              <w:rPr>
                <w:b/>
                <w:bCs/>
                <w:kern w:val="0"/>
                <w:sz w:val="21"/>
                <w:szCs w:val="21"/>
              </w:rPr>
              <w:t>4</w:t>
            </w:r>
            <w:r>
              <w:rPr>
                <w:rFonts w:ascii="宋体" w:hAnsi="宋体"/>
                <w:b/>
                <w:bCs/>
                <w:kern w:val="0"/>
                <w:sz w:val="21"/>
                <w:szCs w:val="21"/>
              </w:rPr>
              <w:t>月</w:t>
            </w:r>
          </w:p>
        </w:tc>
        <w:tc>
          <w:tcPr>
            <w:tcW w:w="316" w:type="pct"/>
            <w:tcBorders>
              <w:top w:val="single" w:sz="12" w:space="0" w:color="auto"/>
              <w:left w:val="single" w:sz="4" w:space="0" w:color="auto"/>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b/>
                <w:bCs/>
                <w:sz w:val="21"/>
                <w:szCs w:val="21"/>
              </w:rPr>
            </w:pPr>
            <w:r>
              <w:rPr>
                <w:b/>
                <w:bCs/>
                <w:kern w:val="0"/>
                <w:sz w:val="21"/>
                <w:szCs w:val="21"/>
              </w:rPr>
              <w:t>5</w:t>
            </w:r>
            <w:r>
              <w:rPr>
                <w:rFonts w:ascii="宋体" w:hAnsi="宋体"/>
                <w:b/>
                <w:bCs/>
                <w:kern w:val="0"/>
                <w:sz w:val="21"/>
                <w:szCs w:val="21"/>
              </w:rPr>
              <w:t>月</w:t>
            </w:r>
          </w:p>
        </w:tc>
        <w:tc>
          <w:tcPr>
            <w:tcW w:w="373" w:type="pct"/>
            <w:tcBorders>
              <w:top w:val="single" w:sz="12" w:space="0" w:color="auto"/>
              <w:left w:val="single" w:sz="4" w:space="0" w:color="auto"/>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b/>
                <w:bCs/>
                <w:sz w:val="21"/>
                <w:szCs w:val="21"/>
              </w:rPr>
            </w:pPr>
            <w:r>
              <w:rPr>
                <w:b/>
                <w:bCs/>
                <w:kern w:val="0"/>
                <w:sz w:val="21"/>
                <w:szCs w:val="21"/>
              </w:rPr>
              <w:t>6</w:t>
            </w:r>
            <w:r>
              <w:rPr>
                <w:rFonts w:ascii="宋体" w:hAnsi="宋体"/>
                <w:b/>
                <w:bCs/>
                <w:kern w:val="0"/>
                <w:sz w:val="21"/>
                <w:szCs w:val="21"/>
              </w:rPr>
              <w:t>月</w:t>
            </w:r>
          </w:p>
        </w:tc>
        <w:tc>
          <w:tcPr>
            <w:tcW w:w="316" w:type="pct"/>
            <w:tcBorders>
              <w:top w:val="single" w:sz="12" w:space="0" w:color="auto"/>
              <w:left w:val="single" w:sz="4" w:space="0" w:color="auto"/>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b/>
                <w:bCs/>
                <w:sz w:val="21"/>
                <w:szCs w:val="21"/>
              </w:rPr>
            </w:pPr>
            <w:r>
              <w:rPr>
                <w:b/>
                <w:bCs/>
                <w:kern w:val="0"/>
                <w:sz w:val="21"/>
                <w:szCs w:val="21"/>
              </w:rPr>
              <w:t>7</w:t>
            </w:r>
            <w:r>
              <w:rPr>
                <w:rFonts w:ascii="宋体" w:hAnsi="宋体"/>
                <w:b/>
                <w:bCs/>
                <w:kern w:val="0"/>
                <w:sz w:val="21"/>
                <w:szCs w:val="21"/>
              </w:rPr>
              <w:t>月</w:t>
            </w:r>
          </w:p>
        </w:tc>
        <w:tc>
          <w:tcPr>
            <w:tcW w:w="373" w:type="pct"/>
            <w:tcBorders>
              <w:top w:val="single" w:sz="12" w:space="0" w:color="auto"/>
              <w:left w:val="single" w:sz="4" w:space="0" w:color="auto"/>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b/>
                <w:bCs/>
                <w:sz w:val="21"/>
                <w:szCs w:val="21"/>
              </w:rPr>
            </w:pPr>
            <w:r>
              <w:rPr>
                <w:b/>
                <w:bCs/>
                <w:kern w:val="0"/>
                <w:sz w:val="21"/>
                <w:szCs w:val="21"/>
              </w:rPr>
              <w:t>8</w:t>
            </w:r>
            <w:r>
              <w:rPr>
                <w:rFonts w:ascii="宋体" w:hAnsi="宋体"/>
                <w:b/>
                <w:bCs/>
                <w:kern w:val="0"/>
                <w:sz w:val="21"/>
                <w:szCs w:val="21"/>
              </w:rPr>
              <w:t>月</w:t>
            </w:r>
          </w:p>
        </w:tc>
        <w:tc>
          <w:tcPr>
            <w:tcW w:w="373" w:type="pct"/>
            <w:tcBorders>
              <w:top w:val="single" w:sz="12" w:space="0" w:color="auto"/>
              <w:left w:val="single" w:sz="4" w:space="0" w:color="auto"/>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b/>
                <w:bCs/>
                <w:sz w:val="21"/>
                <w:szCs w:val="21"/>
              </w:rPr>
            </w:pPr>
            <w:r>
              <w:rPr>
                <w:b/>
                <w:bCs/>
                <w:kern w:val="0"/>
                <w:sz w:val="21"/>
                <w:szCs w:val="21"/>
              </w:rPr>
              <w:t>9</w:t>
            </w:r>
            <w:r>
              <w:rPr>
                <w:rFonts w:ascii="宋体" w:hAnsi="宋体"/>
                <w:b/>
                <w:bCs/>
                <w:kern w:val="0"/>
                <w:sz w:val="21"/>
                <w:szCs w:val="21"/>
              </w:rPr>
              <w:t>月</w:t>
            </w:r>
          </w:p>
        </w:tc>
        <w:tc>
          <w:tcPr>
            <w:tcW w:w="373" w:type="pct"/>
            <w:tcBorders>
              <w:top w:val="single" w:sz="12" w:space="0" w:color="auto"/>
              <w:left w:val="single" w:sz="4" w:space="0" w:color="auto"/>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b/>
                <w:bCs/>
                <w:sz w:val="21"/>
                <w:szCs w:val="21"/>
              </w:rPr>
            </w:pPr>
            <w:r>
              <w:rPr>
                <w:b/>
                <w:bCs/>
                <w:kern w:val="0"/>
                <w:sz w:val="21"/>
                <w:szCs w:val="21"/>
              </w:rPr>
              <w:t>10</w:t>
            </w:r>
            <w:r>
              <w:rPr>
                <w:rFonts w:ascii="宋体" w:hAnsi="宋体"/>
                <w:b/>
                <w:bCs/>
                <w:kern w:val="0"/>
                <w:sz w:val="21"/>
                <w:szCs w:val="21"/>
              </w:rPr>
              <w:t>月</w:t>
            </w:r>
          </w:p>
        </w:tc>
        <w:tc>
          <w:tcPr>
            <w:tcW w:w="373" w:type="pct"/>
            <w:tcBorders>
              <w:top w:val="single" w:sz="12" w:space="0" w:color="auto"/>
              <w:left w:val="single" w:sz="4" w:space="0" w:color="auto"/>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b/>
                <w:bCs/>
                <w:sz w:val="21"/>
                <w:szCs w:val="21"/>
              </w:rPr>
            </w:pPr>
            <w:r>
              <w:rPr>
                <w:b/>
                <w:bCs/>
                <w:kern w:val="0"/>
                <w:sz w:val="21"/>
                <w:szCs w:val="21"/>
              </w:rPr>
              <w:t>11</w:t>
            </w:r>
            <w:r>
              <w:rPr>
                <w:rFonts w:ascii="宋体" w:hAnsi="宋体"/>
                <w:b/>
                <w:bCs/>
                <w:kern w:val="0"/>
                <w:sz w:val="21"/>
                <w:szCs w:val="21"/>
              </w:rPr>
              <w:t>月</w:t>
            </w:r>
          </w:p>
        </w:tc>
        <w:tc>
          <w:tcPr>
            <w:tcW w:w="373" w:type="pct"/>
            <w:tcBorders>
              <w:top w:val="single" w:sz="12" w:space="0" w:color="auto"/>
              <w:left w:val="single" w:sz="4" w:space="0" w:color="auto"/>
              <w:bottom w:val="single" w:sz="4" w:space="0" w:color="auto"/>
              <w:right w:val="nil"/>
            </w:tcBorders>
            <w:vAlign w:val="center"/>
          </w:tcPr>
          <w:p w:rsidR="00AD3EDF" w:rsidRDefault="00AD3EDF" w:rsidP="00AD3EDF">
            <w:pPr>
              <w:widowControl/>
              <w:autoSpaceDE w:val="0"/>
              <w:spacing w:line="360" w:lineRule="exact"/>
              <w:ind w:firstLineChars="0" w:firstLine="0"/>
              <w:jc w:val="center"/>
              <w:textAlignment w:val="center"/>
              <w:rPr>
                <w:b/>
                <w:bCs/>
                <w:sz w:val="21"/>
                <w:szCs w:val="21"/>
              </w:rPr>
            </w:pPr>
            <w:r>
              <w:rPr>
                <w:b/>
                <w:bCs/>
                <w:kern w:val="0"/>
                <w:sz w:val="21"/>
                <w:szCs w:val="21"/>
              </w:rPr>
              <w:t>12</w:t>
            </w:r>
            <w:r>
              <w:rPr>
                <w:rFonts w:ascii="宋体" w:hAnsi="宋体"/>
                <w:b/>
                <w:bCs/>
                <w:kern w:val="0"/>
                <w:sz w:val="21"/>
                <w:szCs w:val="21"/>
              </w:rPr>
              <w:t>月</w:t>
            </w:r>
          </w:p>
        </w:tc>
      </w:tr>
      <w:tr w:rsidR="00AD3EDF" w:rsidTr="00AD3EDF">
        <w:trPr>
          <w:trHeight w:val="285"/>
        </w:trPr>
        <w:tc>
          <w:tcPr>
            <w:tcW w:w="638" w:type="pct"/>
            <w:tcBorders>
              <w:top w:val="single" w:sz="4"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N</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2.45</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1.63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2.47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1.66</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1.60</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2.02</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1.47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1.86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1.40</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1.02</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2.71</w:t>
            </w:r>
          </w:p>
        </w:tc>
        <w:tc>
          <w:tcPr>
            <w:tcW w:w="373" w:type="pct"/>
            <w:tcBorders>
              <w:top w:val="single" w:sz="4" w:space="0" w:color="auto"/>
              <w:left w:val="single" w:sz="4" w:space="0" w:color="auto"/>
              <w:bottom w:val="single" w:sz="4"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2.12</w:t>
            </w:r>
          </w:p>
        </w:tc>
      </w:tr>
      <w:tr w:rsidR="00AD3EDF" w:rsidTr="00AD3EDF">
        <w:trPr>
          <w:trHeight w:val="285"/>
        </w:trPr>
        <w:tc>
          <w:tcPr>
            <w:tcW w:w="638" w:type="pct"/>
            <w:tcBorders>
              <w:top w:val="single" w:sz="4"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NNE</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2.77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3.09</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2.19</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2.23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1.16</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1.29</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1.82</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1.59</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1.44</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2.51</w:t>
            </w:r>
          </w:p>
        </w:tc>
        <w:tc>
          <w:tcPr>
            <w:tcW w:w="373" w:type="pct"/>
            <w:tcBorders>
              <w:top w:val="single" w:sz="4" w:space="0" w:color="auto"/>
              <w:left w:val="single" w:sz="4" w:space="0" w:color="auto"/>
              <w:bottom w:val="single" w:sz="4"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2.06</w:t>
            </w:r>
          </w:p>
        </w:tc>
      </w:tr>
      <w:tr w:rsidR="00AD3EDF" w:rsidTr="00AD3EDF">
        <w:trPr>
          <w:trHeight w:val="285"/>
        </w:trPr>
        <w:tc>
          <w:tcPr>
            <w:tcW w:w="638" w:type="pct"/>
            <w:tcBorders>
              <w:top w:val="single" w:sz="4"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NE</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2.96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2.51</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2.93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3.54</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2.55</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1.94</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1.50</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1.82</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1.86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1.85</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3.66</w:t>
            </w:r>
          </w:p>
        </w:tc>
        <w:tc>
          <w:tcPr>
            <w:tcW w:w="373" w:type="pct"/>
            <w:tcBorders>
              <w:top w:val="single" w:sz="4" w:space="0" w:color="auto"/>
              <w:left w:val="single" w:sz="4" w:space="0" w:color="auto"/>
              <w:bottom w:val="single" w:sz="4"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2.11</w:t>
            </w:r>
          </w:p>
        </w:tc>
      </w:tr>
      <w:tr w:rsidR="00AD3EDF" w:rsidTr="00AD3EDF">
        <w:trPr>
          <w:trHeight w:val="285"/>
        </w:trPr>
        <w:tc>
          <w:tcPr>
            <w:tcW w:w="638" w:type="pct"/>
            <w:tcBorders>
              <w:top w:val="single" w:sz="4"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ENE</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2.42</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3.08</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3.07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4.32</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2.67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2.52</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2.48</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2.33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2.46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2.09</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3.08</w:t>
            </w:r>
          </w:p>
        </w:tc>
        <w:tc>
          <w:tcPr>
            <w:tcW w:w="373" w:type="pct"/>
            <w:tcBorders>
              <w:top w:val="single" w:sz="4" w:space="0" w:color="auto"/>
              <w:left w:val="single" w:sz="4" w:space="0" w:color="auto"/>
              <w:bottom w:val="single" w:sz="4"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3.60</w:t>
            </w:r>
          </w:p>
        </w:tc>
      </w:tr>
      <w:tr w:rsidR="00AD3EDF" w:rsidTr="00AD3EDF">
        <w:trPr>
          <w:trHeight w:val="285"/>
        </w:trPr>
        <w:tc>
          <w:tcPr>
            <w:tcW w:w="638" w:type="pct"/>
            <w:tcBorders>
              <w:top w:val="single" w:sz="4"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E</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2.33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3.22</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3.35</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3.67</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2.34</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2.78</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2.78</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2.29</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2.17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1.80</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1.70</w:t>
            </w:r>
          </w:p>
        </w:tc>
        <w:tc>
          <w:tcPr>
            <w:tcW w:w="373" w:type="pct"/>
            <w:tcBorders>
              <w:top w:val="single" w:sz="4" w:space="0" w:color="auto"/>
              <w:left w:val="single" w:sz="4" w:space="0" w:color="auto"/>
              <w:bottom w:val="single" w:sz="4"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2.38</w:t>
            </w:r>
          </w:p>
        </w:tc>
      </w:tr>
      <w:tr w:rsidR="00AD3EDF" w:rsidTr="00AD3EDF">
        <w:trPr>
          <w:trHeight w:val="351"/>
        </w:trPr>
        <w:tc>
          <w:tcPr>
            <w:tcW w:w="638" w:type="pct"/>
            <w:tcBorders>
              <w:top w:val="single" w:sz="4"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ESE</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2.11</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2.34</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2.56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3.90</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2.02</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2.28</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3.03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2.03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1.88</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1.67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2.57</w:t>
            </w:r>
          </w:p>
        </w:tc>
        <w:tc>
          <w:tcPr>
            <w:tcW w:w="373" w:type="pct"/>
            <w:tcBorders>
              <w:top w:val="single" w:sz="4" w:space="0" w:color="auto"/>
              <w:left w:val="single" w:sz="4" w:space="0" w:color="auto"/>
              <w:bottom w:val="single" w:sz="4"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1.83</w:t>
            </w:r>
          </w:p>
        </w:tc>
      </w:tr>
      <w:tr w:rsidR="00AD3EDF" w:rsidTr="00AD3EDF">
        <w:trPr>
          <w:trHeight w:val="285"/>
        </w:trPr>
        <w:tc>
          <w:tcPr>
            <w:tcW w:w="638" w:type="pct"/>
            <w:tcBorders>
              <w:top w:val="single" w:sz="4"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SE</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1.99</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2.1</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1.58</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2.27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2.26</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2.17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1.37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1.43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1.00</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1.15</w:t>
            </w:r>
          </w:p>
        </w:tc>
        <w:tc>
          <w:tcPr>
            <w:tcW w:w="373" w:type="pct"/>
            <w:tcBorders>
              <w:top w:val="single" w:sz="4" w:space="0" w:color="auto"/>
              <w:left w:val="single" w:sz="4" w:space="0" w:color="auto"/>
              <w:bottom w:val="single" w:sz="4"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1.23</w:t>
            </w:r>
          </w:p>
        </w:tc>
      </w:tr>
      <w:tr w:rsidR="00AD3EDF" w:rsidTr="00AD3EDF">
        <w:trPr>
          <w:trHeight w:val="285"/>
        </w:trPr>
        <w:tc>
          <w:tcPr>
            <w:tcW w:w="638" w:type="pct"/>
            <w:tcBorders>
              <w:top w:val="single" w:sz="4"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SSE</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1.59</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1.39</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1.63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2.28</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2.16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1.52</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2.67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1.18</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1.17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1.59</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1.70</w:t>
            </w:r>
          </w:p>
        </w:tc>
        <w:tc>
          <w:tcPr>
            <w:tcW w:w="373" w:type="pct"/>
            <w:tcBorders>
              <w:top w:val="single" w:sz="4" w:space="0" w:color="auto"/>
              <w:left w:val="single" w:sz="4" w:space="0" w:color="auto"/>
              <w:bottom w:val="single" w:sz="4"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1.19</w:t>
            </w:r>
          </w:p>
        </w:tc>
      </w:tr>
      <w:tr w:rsidR="00AD3EDF" w:rsidTr="00AD3EDF">
        <w:trPr>
          <w:trHeight w:val="285"/>
        </w:trPr>
        <w:tc>
          <w:tcPr>
            <w:tcW w:w="638" w:type="pct"/>
            <w:tcBorders>
              <w:top w:val="single" w:sz="4"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S</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1.88</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2.16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2.95</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3.06</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3.07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2.31</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2.69</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1.16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1.36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1.93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1.57</w:t>
            </w:r>
          </w:p>
        </w:tc>
        <w:tc>
          <w:tcPr>
            <w:tcW w:w="373" w:type="pct"/>
            <w:tcBorders>
              <w:top w:val="single" w:sz="4" w:space="0" w:color="auto"/>
              <w:left w:val="single" w:sz="4" w:space="0" w:color="auto"/>
              <w:bottom w:val="single" w:sz="4"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1.49</w:t>
            </w:r>
          </w:p>
        </w:tc>
      </w:tr>
      <w:tr w:rsidR="00AD3EDF" w:rsidTr="00AD3EDF">
        <w:trPr>
          <w:trHeight w:val="285"/>
        </w:trPr>
        <w:tc>
          <w:tcPr>
            <w:tcW w:w="638" w:type="pct"/>
            <w:tcBorders>
              <w:top w:val="single" w:sz="4"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SSW</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1.94</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1.60</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3.36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3.15</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2.89</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2.68</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2.97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1.64</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1.08</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2.06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2.51</w:t>
            </w:r>
          </w:p>
        </w:tc>
        <w:tc>
          <w:tcPr>
            <w:tcW w:w="373" w:type="pct"/>
            <w:tcBorders>
              <w:top w:val="single" w:sz="4" w:space="0" w:color="auto"/>
              <w:left w:val="single" w:sz="4" w:space="0" w:color="auto"/>
              <w:bottom w:val="single" w:sz="4"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2.70</w:t>
            </w:r>
          </w:p>
        </w:tc>
      </w:tr>
      <w:tr w:rsidR="00AD3EDF" w:rsidTr="00AD3EDF">
        <w:trPr>
          <w:trHeight w:val="285"/>
        </w:trPr>
        <w:tc>
          <w:tcPr>
            <w:tcW w:w="638" w:type="pct"/>
            <w:tcBorders>
              <w:top w:val="single" w:sz="4"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SW</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2.23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2.24</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w:t>
            </w:r>
            <w:r>
              <w:rPr>
                <w:rFonts w:hint="eastAsia"/>
                <w:sz w:val="21"/>
                <w:szCs w:val="18"/>
              </w:rPr>
              <w:t>1</w:t>
            </w:r>
            <w:r>
              <w:rPr>
                <w:sz w:val="21"/>
                <w:szCs w:val="18"/>
              </w:rPr>
              <w:t>9</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3.27</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2.98</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2.70</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2.53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1.54</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1.32</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1.83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2.14</w:t>
            </w:r>
          </w:p>
        </w:tc>
        <w:tc>
          <w:tcPr>
            <w:tcW w:w="373" w:type="pct"/>
            <w:tcBorders>
              <w:top w:val="single" w:sz="4" w:space="0" w:color="auto"/>
              <w:left w:val="single" w:sz="4" w:space="0" w:color="auto"/>
              <w:bottom w:val="single" w:sz="4"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2.57</w:t>
            </w:r>
          </w:p>
        </w:tc>
      </w:tr>
      <w:tr w:rsidR="00AD3EDF" w:rsidTr="00AD3EDF">
        <w:trPr>
          <w:trHeight w:val="285"/>
        </w:trPr>
        <w:tc>
          <w:tcPr>
            <w:tcW w:w="638" w:type="pct"/>
            <w:tcBorders>
              <w:top w:val="single" w:sz="4"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WSW</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2.02</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1.70</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2.50</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2.62</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2.15</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2.30</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2.9</w:t>
            </w:r>
            <w:r>
              <w:rPr>
                <w:rFonts w:hint="eastAsia"/>
                <w:sz w:val="21"/>
                <w:szCs w:val="18"/>
              </w:rPr>
              <w:t>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1.43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1.11</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1.77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1.61</w:t>
            </w:r>
          </w:p>
        </w:tc>
        <w:tc>
          <w:tcPr>
            <w:tcW w:w="373" w:type="pct"/>
            <w:tcBorders>
              <w:top w:val="single" w:sz="4" w:space="0" w:color="auto"/>
              <w:left w:val="single" w:sz="4" w:space="0" w:color="auto"/>
              <w:bottom w:val="single" w:sz="4"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1.73</w:t>
            </w:r>
          </w:p>
        </w:tc>
      </w:tr>
      <w:tr w:rsidR="00AD3EDF" w:rsidTr="00AD3EDF">
        <w:trPr>
          <w:trHeight w:val="285"/>
        </w:trPr>
        <w:tc>
          <w:tcPr>
            <w:tcW w:w="638" w:type="pct"/>
            <w:tcBorders>
              <w:top w:val="single" w:sz="4"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W</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2.74</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1.59</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2.37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2.68</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1.89</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2.17</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2.91</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2.41</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1.30</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1.73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2.86</w:t>
            </w:r>
          </w:p>
        </w:tc>
        <w:tc>
          <w:tcPr>
            <w:tcW w:w="373" w:type="pct"/>
            <w:tcBorders>
              <w:top w:val="single" w:sz="4" w:space="0" w:color="auto"/>
              <w:left w:val="single" w:sz="4" w:space="0" w:color="auto"/>
              <w:bottom w:val="single" w:sz="4"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2.14</w:t>
            </w:r>
          </w:p>
        </w:tc>
      </w:tr>
      <w:tr w:rsidR="00AD3EDF" w:rsidTr="00AD3EDF">
        <w:trPr>
          <w:trHeight w:val="285"/>
        </w:trPr>
        <w:tc>
          <w:tcPr>
            <w:tcW w:w="638" w:type="pct"/>
            <w:tcBorders>
              <w:top w:val="single" w:sz="4"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WNW</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2.27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1.98</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1.95</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3.58</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2.86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2.60</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2.40</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2.26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1.83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1.82</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3.49</w:t>
            </w:r>
          </w:p>
        </w:tc>
        <w:tc>
          <w:tcPr>
            <w:tcW w:w="373" w:type="pct"/>
            <w:tcBorders>
              <w:top w:val="single" w:sz="4" w:space="0" w:color="auto"/>
              <w:left w:val="single" w:sz="4" w:space="0" w:color="auto"/>
              <w:bottom w:val="single" w:sz="4"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3.09</w:t>
            </w:r>
          </w:p>
        </w:tc>
      </w:tr>
      <w:tr w:rsidR="00AD3EDF" w:rsidTr="00AD3EDF">
        <w:trPr>
          <w:trHeight w:val="285"/>
        </w:trPr>
        <w:tc>
          <w:tcPr>
            <w:tcW w:w="638" w:type="pct"/>
            <w:tcBorders>
              <w:top w:val="single" w:sz="4"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NW</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2.29</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0.87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1.72</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3.28</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2.66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2.63</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1.30</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2.32</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w:t>
            </w:r>
            <w:r>
              <w:rPr>
                <w:rFonts w:hint="eastAsia"/>
                <w:sz w:val="21"/>
                <w:szCs w:val="18"/>
              </w:rPr>
              <w:t>.83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2.10</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2.44</w:t>
            </w:r>
          </w:p>
        </w:tc>
        <w:tc>
          <w:tcPr>
            <w:tcW w:w="373" w:type="pct"/>
            <w:tcBorders>
              <w:top w:val="single" w:sz="4" w:space="0" w:color="auto"/>
              <w:left w:val="single" w:sz="4" w:space="0" w:color="auto"/>
              <w:bottom w:val="single" w:sz="4"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2.88</w:t>
            </w:r>
          </w:p>
        </w:tc>
      </w:tr>
      <w:tr w:rsidR="00AD3EDF" w:rsidTr="00AD3EDF">
        <w:trPr>
          <w:trHeight w:val="285"/>
        </w:trPr>
        <w:tc>
          <w:tcPr>
            <w:tcW w:w="638" w:type="pct"/>
            <w:tcBorders>
              <w:top w:val="single" w:sz="4" w:space="0" w:color="auto"/>
              <w:left w:val="nil"/>
              <w:bottom w:val="single" w:sz="4"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NNW</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2.37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1.36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3.07</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2.81</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2.31</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2.98</w:t>
            </w:r>
          </w:p>
        </w:tc>
        <w:tc>
          <w:tcPr>
            <w:tcW w:w="316"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2.03</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2.38</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1.29</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0.86</w:t>
            </w:r>
          </w:p>
        </w:tc>
        <w:tc>
          <w:tcPr>
            <w:tcW w:w="373" w:type="pct"/>
            <w:tcBorders>
              <w:top w:val="single" w:sz="4" w:space="0" w:color="auto"/>
              <w:left w:val="single" w:sz="4" w:space="0" w:color="auto"/>
              <w:bottom w:val="single" w:sz="4"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3.19</w:t>
            </w:r>
          </w:p>
        </w:tc>
        <w:tc>
          <w:tcPr>
            <w:tcW w:w="373" w:type="pct"/>
            <w:tcBorders>
              <w:top w:val="single" w:sz="4" w:space="0" w:color="auto"/>
              <w:left w:val="single" w:sz="4" w:space="0" w:color="auto"/>
              <w:bottom w:val="single" w:sz="4"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2.48</w:t>
            </w:r>
          </w:p>
        </w:tc>
      </w:tr>
      <w:tr w:rsidR="00AD3EDF" w:rsidTr="00AD3EDF">
        <w:trPr>
          <w:trHeight w:val="285"/>
        </w:trPr>
        <w:tc>
          <w:tcPr>
            <w:tcW w:w="638" w:type="pct"/>
            <w:tcBorders>
              <w:top w:val="single" w:sz="4" w:space="0" w:color="auto"/>
              <w:left w:val="nil"/>
              <w:bottom w:val="single" w:sz="12" w:space="0" w:color="auto"/>
              <w:right w:val="single" w:sz="4" w:space="0" w:color="auto"/>
            </w:tcBorders>
            <w:vAlign w:val="center"/>
          </w:tcPr>
          <w:p w:rsidR="00AD3EDF" w:rsidRDefault="00AD3EDF" w:rsidP="00AD3EDF">
            <w:pPr>
              <w:widowControl/>
              <w:autoSpaceDE w:val="0"/>
              <w:spacing w:line="360" w:lineRule="exact"/>
              <w:ind w:firstLineChars="0" w:firstLine="0"/>
              <w:jc w:val="center"/>
              <w:textAlignment w:val="center"/>
              <w:rPr>
                <w:sz w:val="21"/>
                <w:szCs w:val="21"/>
              </w:rPr>
            </w:pPr>
            <w:r>
              <w:rPr>
                <w:kern w:val="0"/>
                <w:sz w:val="21"/>
                <w:szCs w:val="21"/>
              </w:rPr>
              <w:t>C</w:t>
            </w:r>
          </w:p>
        </w:tc>
        <w:tc>
          <w:tcPr>
            <w:tcW w:w="373" w:type="pct"/>
            <w:tcBorders>
              <w:top w:val="single" w:sz="4" w:space="0" w:color="auto"/>
              <w:left w:val="single" w:sz="4" w:space="0" w:color="auto"/>
              <w:bottom w:val="single" w:sz="12"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2.31</w:t>
            </w:r>
          </w:p>
        </w:tc>
        <w:tc>
          <w:tcPr>
            <w:tcW w:w="373" w:type="pct"/>
            <w:tcBorders>
              <w:top w:val="single" w:sz="4" w:space="0" w:color="auto"/>
              <w:left w:val="single" w:sz="4" w:space="0" w:color="auto"/>
              <w:bottom w:val="single" w:sz="12"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2.73</w:t>
            </w:r>
          </w:p>
        </w:tc>
        <w:tc>
          <w:tcPr>
            <w:tcW w:w="373" w:type="pct"/>
            <w:tcBorders>
              <w:top w:val="single" w:sz="4" w:space="0" w:color="auto"/>
              <w:left w:val="single" w:sz="4" w:space="0" w:color="auto"/>
              <w:bottom w:val="single" w:sz="12"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2.81</w:t>
            </w:r>
          </w:p>
        </w:tc>
        <w:tc>
          <w:tcPr>
            <w:tcW w:w="373" w:type="pct"/>
            <w:tcBorders>
              <w:top w:val="single" w:sz="4" w:space="0" w:color="auto"/>
              <w:left w:val="single" w:sz="4" w:space="0" w:color="auto"/>
              <w:bottom w:val="single" w:sz="12"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3.33</w:t>
            </w:r>
          </w:p>
        </w:tc>
        <w:tc>
          <w:tcPr>
            <w:tcW w:w="316" w:type="pct"/>
            <w:tcBorders>
              <w:top w:val="single" w:sz="4" w:space="0" w:color="auto"/>
              <w:left w:val="single" w:sz="4" w:space="0" w:color="auto"/>
              <w:bottom w:val="single" w:sz="12"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2.41</w:t>
            </w:r>
          </w:p>
        </w:tc>
        <w:tc>
          <w:tcPr>
            <w:tcW w:w="373" w:type="pct"/>
            <w:tcBorders>
              <w:top w:val="single" w:sz="4" w:space="0" w:color="auto"/>
              <w:left w:val="single" w:sz="4" w:space="0" w:color="auto"/>
              <w:bottom w:val="single" w:sz="12"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2.39</w:t>
            </w:r>
          </w:p>
        </w:tc>
        <w:tc>
          <w:tcPr>
            <w:tcW w:w="316" w:type="pct"/>
            <w:tcBorders>
              <w:top w:val="single" w:sz="4" w:space="0" w:color="auto"/>
              <w:left w:val="single" w:sz="4" w:space="0" w:color="auto"/>
              <w:bottom w:val="single" w:sz="12"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2.64</w:t>
            </w:r>
          </w:p>
        </w:tc>
        <w:tc>
          <w:tcPr>
            <w:tcW w:w="373" w:type="pct"/>
            <w:tcBorders>
              <w:top w:val="single" w:sz="4" w:space="0" w:color="auto"/>
              <w:left w:val="single" w:sz="4" w:space="0" w:color="auto"/>
              <w:bottom w:val="single" w:sz="12"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2.02</w:t>
            </w:r>
          </w:p>
        </w:tc>
        <w:tc>
          <w:tcPr>
            <w:tcW w:w="373" w:type="pct"/>
            <w:tcBorders>
              <w:top w:val="single" w:sz="4" w:space="0" w:color="auto"/>
              <w:left w:val="single" w:sz="4" w:space="0" w:color="auto"/>
              <w:bottom w:val="single" w:sz="12"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1.95</w:t>
            </w:r>
          </w:p>
        </w:tc>
        <w:tc>
          <w:tcPr>
            <w:tcW w:w="373" w:type="pct"/>
            <w:tcBorders>
              <w:top w:val="single" w:sz="4" w:space="0" w:color="auto"/>
              <w:left w:val="single" w:sz="4" w:space="0" w:color="auto"/>
              <w:bottom w:val="single" w:sz="12"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1.75</w:t>
            </w:r>
          </w:p>
        </w:tc>
        <w:tc>
          <w:tcPr>
            <w:tcW w:w="373" w:type="pct"/>
            <w:tcBorders>
              <w:top w:val="single" w:sz="4" w:space="0" w:color="auto"/>
              <w:left w:val="single" w:sz="4" w:space="0" w:color="auto"/>
              <w:bottom w:val="single" w:sz="12" w:space="0" w:color="auto"/>
              <w:right w:val="single" w:sz="4" w:space="0" w:color="auto"/>
            </w:tcBorders>
            <w:vAlign w:val="center"/>
          </w:tcPr>
          <w:p w:rsidR="00AD3EDF" w:rsidRDefault="00AD3EDF" w:rsidP="00AD3EDF">
            <w:pPr>
              <w:spacing w:line="360" w:lineRule="exact"/>
              <w:ind w:firstLineChars="0" w:firstLine="0"/>
              <w:jc w:val="center"/>
              <w:rPr>
                <w:sz w:val="21"/>
                <w:szCs w:val="21"/>
              </w:rPr>
            </w:pPr>
            <w:r>
              <w:rPr>
                <w:sz w:val="21"/>
                <w:szCs w:val="18"/>
              </w:rPr>
              <w:t>2.55</w:t>
            </w:r>
          </w:p>
        </w:tc>
        <w:tc>
          <w:tcPr>
            <w:tcW w:w="373" w:type="pct"/>
            <w:tcBorders>
              <w:top w:val="single" w:sz="4" w:space="0" w:color="auto"/>
              <w:left w:val="single" w:sz="4" w:space="0" w:color="auto"/>
              <w:bottom w:val="single" w:sz="12" w:space="0" w:color="auto"/>
              <w:right w:val="nil"/>
            </w:tcBorders>
            <w:vAlign w:val="center"/>
          </w:tcPr>
          <w:p w:rsidR="00AD3EDF" w:rsidRDefault="00AD3EDF" w:rsidP="00AD3EDF">
            <w:pPr>
              <w:spacing w:line="360" w:lineRule="exact"/>
              <w:ind w:firstLineChars="0" w:firstLine="0"/>
              <w:jc w:val="center"/>
              <w:rPr>
                <w:sz w:val="21"/>
                <w:szCs w:val="21"/>
              </w:rPr>
            </w:pPr>
            <w:r>
              <w:rPr>
                <w:sz w:val="21"/>
                <w:szCs w:val="18"/>
              </w:rPr>
              <w:t>2.46</w:t>
            </w:r>
          </w:p>
        </w:tc>
      </w:tr>
    </w:tbl>
    <w:p w:rsidR="004E3021" w:rsidRDefault="004E3021">
      <w:pPr>
        <w:ind w:firstLine="480"/>
      </w:pPr>
    </w:p>
    <w:p w:rsidR="004E3021" w:rsidRDefault="004E3021">
      <w:pPr>
        <w:ind w:firstLineChars="0" w:firstLine="0"/>
      </w:pPr>
    </w:p>
    <w:p w:rsidR="004E3021" w:rsidRDefault="004E3021">
      <w:pPr>
        <w:ind w:firstLine="480"/>
        <w:sectPr w:rsidR="004E3021">
          <w:pgSz w:w="16839" w:h="11907" w:orient="landscape"/>
          <w:pgMar w:top="1440" w:right="1440" w:bottom="1440" w:left="1440" w:header="851" w:footer="992" w:gutter="0"/>
          <w:cols w:space="425"/>
          <w:docGrid w:type="lines" w:linePitch="326"/>
        </w:sectPr>
      </w:pPr>
    </w:p>
    <w:p w:rsidR="004E3021" w:rsidRDefault="00606E48">
      <w:pPr>
        <w:pStyle w:val="afffffffffffffffff4"/>
      </w:pPr>
      <w:bookmarkStart w:id="333" w:name="_Toc108662636"/>
      <w:bookmarkStart w:id="334" w:name="_Toc100784027"/>
      <w:bookmarkStart w:id="335" w:name="_Toc101135859"/>
      <w:bookmarkStart w:id="336" w:name="_Toc221088791"/>
      <w:bookmarkStart w:id="337" w:name="_Toc221501006"/>
      <w:r>
        <w:lastRenderedPageBreak/>
        <w:t>5.1.</w:t>
      </w:r>
      <w:r>
        <w:rPr>
          <w:rFonts w:hint="eastAsia"/>
        </w:rPr>
        <w:t>2</w:t>
      </w:r>
      <w:r>
        <w:rPr>
          <w:rFonts w:ascii="黑体" w:hAnsi="黑体"/>
        </w:rPr>
        <w:t>预测模式</w:t>
      </w:r>
      <w:bookmarkEnd w:id="333"/>
      <w:bookmarkEnd w:id="334"/>
      <w:bookmarkEnd w:id="335"/>
      <w:bookmarkEnd w:id="336"/>
      <w:bookmarkEnd w:id="337"/>
    </w:p>
    <w:p w:rsidR="004E3021" w:rsidRDefault="00606E48">
      <w:pPr>
        <w:ind w:firstLine="480"/>
      </w:pPr>
      <w:r>
        <w:rPr>
          <w:rFonts w:ascii="宋体" w:hAnsi="宋体"/>
        </w:rPr>
        <w:t>本项目大气评价等级为</w:t>
      </w:r>
      <w:r>
        <w:rPr>
          <w:rFonts w:ascii="宋体" w:hAnsi="宋体" w:hint="eastAsia"/>
        </w:rPr>
        <w:t>一级</w:t>
      </w:r>
      <w:r>
        <w:rPr>
          <w:rFonts w:ascii="宋体" w:hAnsi="宋体"/>
        </w:rPr>
        <w:t>，采用《环境影响评价技术导则</w:t>
      </w:r>
      <w:r>
        <w:t xml:space="preserve"> </w:t>
      </w:r>
      <w:r>
        <w:rPr>
          <w:rFonts w:ascii="宋体" w:hAnsi="宋体"/>
        </w:rPr>
        <w:t>大气环境》</w:t>
      </w:r>
      <w:r>
        <w:t>(HJ2.2-2018)</w:t>
      </w:r>
      <w:r>
        <w:rPr>
          <w:rFonts w:ascii="宋体" w:hAnsi="宋体"/>
        </w:rPr>
        <w:t>推荐的</w:t>
      </w:r>
      <w:r>
        <w:t>AERMOD</w:t>
      </w:r>
      <w:r>
        <w:rPr>
          <w:rFonts w:ascii="宋体" w:hAnsi="宋体"/>
        </w:rPr>
        <w:t>模式系统进行预测。</w:t>
      </w:r>
    </w:p>
    <w:p w:rsidR="004E3021" w:rsidRDefault="00606E48">
      <w:pPr>
        <w:pStyle w:val="afffffffffffffffff4"/>
      </w:pPr>
      <w:bookmarkStart w:id="338" w:name="_Toc100784028"/>
      <w:bookmarkStart w:id="339" w:name="_Toc101135860"/>
      <w:bookmarkStart w:id="340" w:name="_Toc108662637"/>
      <w:bookmarkStart w:id="341" w:name="_Toc221088792"/>
      <w:bookmarkStart w:id="342" w:name="_Toc221501007"/>
      <w:r>
        <w:t>5.1.</w:t>
      </w:r>
      <w:r>
        <w:rPr>
          <w:rFonts w:hint="eastAsia"/>
        </w:rPr>
        <w:t>3</w:t>
      </w:r>
      <w:r>
        <w:rPr>
          <w:rFonts w:ascii="黑体" w:hAnsi="黑体"/>
        </w:rPr>
        <w:t>预测条件</w:t>
      </w:r>
      <w:bookmarkEnd w:id="338"/>
      <w:bookmarkEnd w:id="339"/>
      <w:bookmarkEnd w:id="340"/>
      <w:bookmarkEnd w:id="341"/>
      <w:bookmarkEnd w:id="342"/>
    </w:p>
    <w:p w:rsidR="004E3021" w:rsidRDefault="00606E48">
      <w:pPr>
        <w:ind w:firstLine="482"/>
        <w:rPr>
          <w:b/>
        </w:rPr>
      </w:pPr>
      <w:r>
        <w:rPr>
          <w:rFonts w:ascii="宋体" w:hAnsi="宋体"/>
          <w:b/>
        </w:rPr>
        <w:t>（</w:t>
      </w:r>
      <w:r>
        <w:rPr>
          <w:b/>
        </w:rPr>
        <w:t>1</w:t>
      </w:r>
      <w:r>
        <w:rPr>
          <w:rFonts w:ascii="宋体" w:hAnsi="宋体"/>
          <w:b/>
        </w:rPr>
        <w:t>）气象条件选取、相应参数</w:t>
      </w:r>
    </w:p>
    <w:p w:rsidR="004E3021" w:rsidRDefault="00606E48">
      <w:pPr>
        <w:ind w:firstLine="480"/>
      </w:pPr>
      <w:r>
        <w:rPr>
          <w:rFonts w:ascii="宋体" w:hAnsi="宋体"/>
        </w:rPr>
        <w:t>（</w:t>
      </w:r>
      <w:r>
        <w:t>a</w:t>
      </w:r>
      <w:r>
        <w:rPr>
          <w:rFonts w:ascii="宋体" w:hAnsi="宋体"/>
        </w:rPr>
        <w:t>）气象条件选取</w:t>
      </w:r>
    </w:p>
    <w:p w:rsidR="004E3021" w:rsidRDefault="00606E48">
      <w:pPr>
        <w:ind w:firstLine="480"/>
      </w:pPr>
      <w:r>
        <w:rPr>
          <w:rFonts w:ascii="宋体" w:hAnsi="宋体"/>
        </w:rPr>
        <w:t>预测需要的气象资料采用气象观测站</w:t>
      </w:r>
      <w:r>
        <w:t>202</w:t>
      </w:r>
      <w:r w:rsidR="005A3F4E">
        <w:t>3</w:t>
      </w:r>
      <w:r>
        <w:rPr>
          <w:rFonts w:ascii="宋体" w:hAnsi="宋体"/>
        </w:rPr>
        <w:t>年全年常规气象数据。</w:t>
      </w:r>
    </w:p>
    <w:p w:rsidR="004E3021" w:rsidRDefault="00606E48">
      <w:pPr>
        <w:pStyle w:val="afffff4"/>
        <w:ind w:firstLine="480"/>
      </w:pPr>
      <w:r>
        <w:rPr>
          <w:rFonts w:ascii="黑体" w:hAnsi="黑体"/>
        </w:rPr>
        <w:t>表</w:t>
      </w:r>
      <w:r>
        <w:t>5.1.</w:t>
      </w:r>
      <w:r>
        <w:rPr>
          <w:rFonts w:hint="eastAsia"/>
        </w:rPr>
        <w:t>3</w:t>
      </w:r>
      <w:r>
        <w:t xml:space="preserve">-1  </w:t>
      </w:r>
      <w:r>
        <w:rPr>
          <w:rFonts w:ascii="黑体" w:hAnsi="黑体"/>
        </w:rPr>
        <w:t>观测气象数据信息</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71"/>
        <w:gridCol w:w="830"/>
        <w:gridCol w:w="1003"/>
        <w:gridCol w:w="841"/>
        <w:gridCol w:w="972"/>
        <w:gridCol w:w="954"/>
        <w:gridCol w:w="692"/>
        <w:gridCol w:w="826"/>
        <w:gridCol w:w="1938"/>
      </w:tblGrid>
      <w:tr w:rsidR="004E3021" w:rsidRPr="00A473B5">
        <w:trPr>
          <w:trHeight w:val="472"/>
          <w:jc w:val="center"/>
        </w:trPr>
        <w:tc>
          <w:tcPr>
            <w:tcW w:w="539" w:type="pct"/>
            <w:vMerge w:val="restart"/>
            <w:tcBorders>
              <w:top w:val="single" w:sz="12" w:space="0" w:color="auto"/>
              <w:left w:val="nil"/>
              <w:bottom w:val="single" w:sz="4" w:space="0" w:color="auto"/>
              <w:right w:val="single" w:sz="4" w:space="0" w:color="auto"/>
            </w:tcBorders>
            <w:vAlign w:val="center"/>
          </w:tcPr>
          <w:p w:rsidR="004E3021" w:rsidRPr="00A473B5" w:rsidRDefault="00606E48">
            <w:pPr>
              <w:pStyle w:val="afffffff2"/>
              <w:rPr>
                <w:b/>
                <w:sz w:val="21"/>
                <w:szCs w:val="21"/>
              </w:rPr>
            </w:pPr>
            <w:r w:rsidRPr="00A473B5">
              <w:rPr>
                <w:b/>
                <w:sz w:val="21"/>
                <w:szCs w:val="21"/>
              </w:rPr>
              <w:t>气象站名称</w:t>
            </w:r>
          </w:p>
        </w:tc>
        <w:tc>
          <w:tcPr>
            <w:tcW w:w="461" w:type="pct"/>
            <w:vMerge w:val="restart"/>
            <w:tcBorders>
              <w:top w:val="single" w:sz="12" w:space="0" w:color="auto"/>
              <w:left w:val="single" w:sz="4" w:space="0" w:color="auto"/>
              <w:bottom w:val="single" w:sz="4" w:space="0" w:color="auto"/>
              <w:right w:val="single" w:sz="4" w:space="0" w:color="auto"/>
            </w:tcBorders>
            <w:vAlign w:val="center"/>
          </w:tcPr>
          <w:p w:rsidR="004E3021" w:rsidRPr="00A473B5" w:rsidRDefault="00606E48">
            <w:pPr>
              <w:pStyle w:val="afffffff2"/>
              <w:rPr>
                <w:b/>
                <w:sz w:val="21"/>
                <w:szCs w:val="21"/>
              </w:rPr>
            </w:pPr>
            <w:r w:rsidRPr="00A473B5">
              <w:rPr>
                <w:b/>
                <w:sz w:val="21"/>
                <w:szCs w:val="21"/>
              </w:rPr>
              <w:t>气象站编号</w:t>
            </w:r>
          </w:p>
        </w:tc>
        <w:tc>
          <w:tcPr>
            <w:tcW w:w="1015" w:type="pct"/>
            <w:gridSpan w:val="2"/>
            <w:tcBorders>
              <w:top w:val="single" w:sz="12" w:space="0" w:color="auto"/>
              <w:left w:val="single" w:sz="4" w:space="0" w:color="auto"/>
              <w:bottom w:val="single" w:sz="4" w:space="0" w:color="auto"/>
              <w:right w:val="single" w:sz="4" w:space="0" w:color="auto"/>
            </w:tcBorders>
            <w:vAlign w:val="center"/>
          </w:tcPr>
          <w:p w:rsidR="004E3021" w:rsidRPr="00A473B5" w:rsidRDefault="00606E48">
            <w:pPr>
              <w:pStyle w:val="afffffff2"/>
              <w:rPr>
                <w:b/>
                <w:sz w:val="21"/>
                <w:szCs w:val="21"/>
              </w:rPr>
            </w:pPr>
            <w:r w:rsidRPr="00A473B5">
              <w:rPr>
                <w:b/>
                <w:sz w:val="21"/>
                <w:szCs w:val="21"/>
              </w:rPr>
              <w:t>气象站坐标</w:t>
            </w:r>
            <w:r w:rsidRPr="00A473B5">
              <w:rPr>
                <w:b/>
                <w:sz w:val="21"/>
                <w:szCs w:val="21"/>
              </w:rPr>
              <w:t>/m</w:t>
            </w:r>
          </w:p>
        </w:tc>
        <w:tc>
          <w:tcPr>
            <w:tcW w:w="539" w:type="pct"/>
            <w:vMerge w:val="restart"/>
            <w:tcBorders>
              <w:top w:val="single" w:sz="12" w:space="0" w:color="auto"/>
              <w:left w:val="single" w:sz="4" w:space="0" w:color="auto"/>
              <w:bottom w:val="single" w:sz="4" w:space="0" w:color="auto"/>
              <w:right w:val="single" w:sz="4" w:space="0" w:color="auto"/>
            </w:tcBorders>
            <w:vAlign w:val="center"/>
          </w:tcPr>
          <w:p w:rsidR="004E3021" w:rsidRPr="00A473B5" w:rsidRDefault="00606E48">
            <w:pPr>
              <w:pStyle w:val="afffffff2"/>
              <w:rPr>
                <w:b/>
                <w:sz w:val="21"/>
                <w:szCs w:val="21"/>
              </w:rPr>
            </w:pPr>
            <w:r w:rsidRPr="00A473B5">
              <w:rPr>
                <w:b/>
                <w:sz w:val="21"/>
                <w:szCs w:val="21"/>
              </w:rPr>
              <w:t>相对距离</w:t>
            </w:r>
            <w:r w:rsidRPr="00A473B5">
              <w:rPr>
                <w:b/>
                <w:sz w:val="21"/>
                <w:szCs w:val="21"/>
              </w:rPr>
              <w:t>/m</w:t>
            </w:r>
          </w:p>
        </w:tc>
        <w:tc>
          <w:tcPr>
            <w:tcW w:w="529" w:type="pct"/>
            <w:vMerge w:val="restart"/>
            <w:tcBorders>
              <w:top w:val="single" w:sz="12" w:space="0" w:color="auto"/>
              <w:left w:val="single" w:sz="4" w:space="0" w:color="auto"/>
              <w:bottom w:val="single" w:sz="4" w:space="0" w:color="auto"/>
              <w:right w:val="single" w:sz="4" w:space="0" w:color="auto"/>
            </w:tcBorders>
            <w:vAlign w:val="center"/>
          </w:tcPr>
          <w:p w:rsidR="004E3021" w:rsidRPr="00A473B5" w:rsidRDefault="00606E48">
            <w:pPr>
              <w:pStyle w:val="afffffff2"/>
              <w:rPr>
                <w:b/>
                <w:sz w:val="21"/>
                <w:szCs w:val="21"/>
              </w:rPr>
            </w:pPr>
            <w:r w:rsidRPr="00A473B5">
              <w:rPr>
                <w:b/>
                <w:sz w:val="21"/>
                <w:szCs w:val="21"/>
              </w:rPr>
              <w:t>气象站等级</w:t>
            </w:r>
          </w:p>
        </w:tc>
        <w:tc>
          <w:tcPr>
            <w:tcW w:w="384" w:type="pct"/>
            <w:vMerge w:val="restart"/>
            <w:tcBorders>
              <w:top w:val="single" w:sz="12" w:space="0" w:color="auto"/>
              <w:left w:val="single" w:sz="4" w:space="0" w:color="auto"/>
              <w:bottom w:val="single" w:sz="4" w:space="0" w:color="auto"/>
              <w:right w:val="single" w:sz="4" w:space="0" w:color="auto"/>
            </w:tcBorders>
            <w:vAlign w:val="center"/>
          </w:tcPr>
          <w:p w:rsidR="004E3021" w:rsidRPr="00A473B5" w:rsidRDefault="00606E48">
            <w:pPr>
              <w:pStyle w:val="afffffff2"/>
              <w:rPr>
                <w:b/>
                <w:sz w:val="21"/>
                <w:szCs w:val="21"/>
              </w:rPr>
            </w:pPr>
            <w:r w:rsidRPr="00A473B5">
              <w:rPr>
                <w:b/>
                <w:sz w:val="21"/>
                <w:szCs w:val="21"/>
              </w:rPr>
              <w:t>海拔高度</w:t>
            </w:r>
          </w:p>
        </w:tc>
        <w:tc>
          <w:tcPr>
            <w:tcW w:w="458" w:type="pct"/>
            <w:vMerge w:val="restart"/>
            <w:tcBorders>
              <w:top w:val="single" w:sz="12" w:space="0" w:color="auto"/>
              <w:left w:val="single" w:sz="4" w:space="0" w:color="auto"/>
              <w:bottom w:val="single" w:sz="4" w:space="0" w:color="auto"/>
              <w:right w:val="single" w:sz="4" w:space="0" w:color="auto"/>
            </w:tcBorders>
            <w:vAlign w:val="center"/>
          </w:tcPr>
          <w:p w:rsidR="004E3021" w:rsidRPr="00A473B5" w:rsidRDefault="00606E48">
            <w:pPr>
              <w:pStyle w:val="afffffff2"/>
              <w:rPr>
                <w:b/>
                <w:sz w:val="21"/>
                <w:szCs w:val="21"/>
              </w:rPr>
            </w:pPr>
            <w:r w:rsidRPr="00A473B5">
              <w:rPr>
                <w:b/>
                <w:sz w:val="21"/>
                <w:szCs w:val="21"/>
              </w:rPr>
              <w:t>数据</w:t>
            </w:r>
          </w:p>
          <w:p w:rsidR="004E3021" w:rsidRPr="00A473B5" w:rsidRDefault="00606E48">
            <w:pPr>
              <w:pStyle w:val="afffffff2"/>
              <w:rPr>
                <w:b/>
                <w:sz w:val="21"/>
                <w:szCs w:val="21"/>
              </w:rPr>
            </w:pPr>
            <w:r w:rsidRPr="00A473B5">
              <w:rPr>
                <w:b/>
                <w:sz w:val="21"/>
                <w:szCs w:val="21"/>
              </w:rPr>
              <w:t>年份</w:t>
            </w:r>
          </w:p>
        </w:tc>
        <w:tc>
          <w:tcPr>
            <w:tcW w:w="1074" w:type="pct"/>
            <w:vMerge w:val="restart"/>
            <w:tcBorders>
              <w:top w:val="single" w:sz="12" w:space="0" w:color="auto"/>
              <w:left w:val="single" w:sz="4" w:space="0" w:color="auto"/>
              <w:bottom w:val="single" w:sz="4" w:space="0" w:color="auto"/>
              <w:right w:val="nil"/>
            </w:tcBorders>
            <w:vAlign w:val="center"/>
          </w:tcPr>
          <w:p w:rsidR="004E3021" w:rsidRPr="00A473B5" w:rsidRDefault="00606E48">
            <w:pPr>
              <w:pStyle w:val="afffffff2"/>
              <w:rPr>
                <w:b/>
                <w:sz w:val="21"/>
                <w:szCs w:val="21"/>
              </w:rPr>
            </w:pPr>
            <w:r w:rsidRPr="00A473B5">
              <w:rPr>
                <w:b/>
                <w:sz w:val="21"/>
                <w:szCs w:val="21"/>
              </w:rPr>
              <w:t>气象要素</w:t>
            </w:r>
          </w:p>
        </w:tc>
      </w:tr>
      <w:tr w:rsidR="004E3021" w:rsidRPr="00A473B5">
        <w:trPr>
          <w:trHeight w:val="300"/>
          <w:jc w:val="center"/>
        </w:trPr>
        <w:tc>
          <w:tcPr>
            <w:tcW w:w="0" w:type="auto"/>
            <w:vMerge/>
            <w:tcBorders>
              <w:top w:val="single" w:sz="12" w:space="0" w:color="auto"/>
              <w:left w:val="nil"/>
              <w:bottom w:val="single" w:sz="4" w:space="0" w:color="auto"/>
              <w:right w:val="single" w:sz="4" w:space="0" w:color="auto"/>
            </w:tcBorders>
            <w:vAlign w:val="center"/>
          </w:tcPr>
          <w:p w:rsidR="004E3021" w:rsidRPr="00A473B5"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A473B5" w:rsidRDefault="004E3021">
            <w:pPr>
              <w:pStyle w:val="afffffff2"/>
              <w:rPr>
                <w:b/>
                <w:sz w:val="21"/>
                <w:szCs w:val="21"/>
              </w:rPr>
            </w:pPr>
          </w:p>
        </w:tc>
        <w:tc>
          <w:tcPr>
            <w:tcW w:w="556" w:type="pct"/>
            <w:tcBorders>
              <w:top w:val="single" w:sz="4" w:space="0" w:color="auto"/>
              <w:left w:val="single" w:sz="4" w:space="0" w:color="auto"/>
              <w:bottom w:val="single" w:sz="4" w:space="0" w:color="auto"/>
              <w:right w:val="single" w:sz="4" w:space="0" w:color="auto"/>
            </w:tcBorders>
            <w:vAlign w:val="center"/>
          </w:tcPr>
          <w:p w:rsidR="004E3021" w:rsidRPr="00A473B5" w:rsidRDefault="00606E48">
            <w:pPr>
              <w:pStyle w:val="afffffff2"/>
              <w:rPr>
                <w:b/>
                <w:sz w:val="21"/>
                <w:szCs w:val="21"/>
              </w:rPr>
            </w:pPr>
            <w:r w:rsidRPr="00A473B5">
              <w:rPr>
                <w:b/>
                <w:sz w:val="21"/>
                <w:szCs w:val="21"/>
              </w:rPr>
              <w:t>X</w:t>
            </w:r>
          </w:p>
        </w:tc>
        <w:tc>
          <w:tcPr>
            <w:tcW w:w="460" w:type="pct"/>
            <w:tcBorders>
              <w:top w:val="single" w:sz="4" w:space="0" w:color="auto"/>
              <w:left w:val="single" w:sz="4" w:space="0" w:color="auto"/>
              <w:bottom w:val="single" w:sz="4" w:space="0" w:color="auto"/>
              <w:right w:val="single" w:sz="4" w:space="0" w:color="auto"/>
            </w:tcBorders>
            <w:vAlign w:val="center"/>
          </w:tcPr>
          <w:p w:rsidR="004E3021" w:rsidRPr="00A473B5" w:rsidRDefault="00606E48">
            <w:pPr>
              <w:pStyle w:val="afffffff2"/>
              <w:rPr>
                <w:b/>
                <w:sz w:val="21"/>
                <w:szCs w:val="21"/>
              </w:rPr>
            </w:pPr>
            <w:r w:rsidRPr="00A473B5">
              <w:rPr>
                <w:b/>
                <w:sz w:val="21"/>
                <w:szCs w:val="21"/>
              </w:rPr>
              <w:t>Y</w:t>
            </w: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A473B5"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A473B5"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A473B5"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A473B5"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nil"/>
            </w:tcBorders>
            <w:vAlign w:val="center"/>
          </w:tcPr>
          <w:p w:rsidR="004E3021" w:rsidRPr="00A473B5" w:rsidRDefault="004E3021">
            <w:pPr>
              <w:pStyle w:val="afffffff2"/>
              <w:rPr>
                <w:b/>
                <w:sz w:val="21"/>
                <w:szCs w:val="21"/>
              </w:rPr>
            </w:pPr>
          </w:p>
        </w:tc>
      </w:tr>
      <w:tr w:rsidR="004E3021" w:rsidRPr="00A473B5">
        <w:trPr>
          <w:trHeight w:val="448"/>
          <w:jc w:val="center"/>
        </w:trPr>
        <w:tc>
          <w:tcPr>
            <w:tcW w:w="539" w:type="pct"/>
            <w:tcBorders>
              <w:top w:val="single" w:sz="4" w:space="0" w:color="auto"/>
              <w:left w:val="nil"/>
              <w:bottom w:val="single" w:sz="12" w:space="0" w:color="auto"/>
              <w:right w:val="single" w:sz="4" w:space="0" w:color="auto"/>
            </w:tcBorders>
            <w:vAlign w:val="center"/>
          </w:tcPr>
          <w:p w:rsidR="004E3021" w:rsidRPr="00A473B5" w:rsidRDefault="00606E48">
            <w:pPr>
              <w:pStyle w:val="afffffff2"/>
              <w:rPr>
                <w:kern w:val="0"/>
                <w:sz w:val="21"/>
                <w:szCs w:val="21"/>
              </w:rPr>
            </w:pPr>
            <w:r w:rsidRPr="00A473B5">
              <w:rPr>
                <w:rFonts w:hint="eastAsia"/>
                <w:kern w:val="0"/>
                <w:sz w:val="21"/>
                <w:szCs w:val="21"/>
              </w:rPr>
              <w:t>蚌埠市</w:t>
            </w:r>
            <w:r w:rsidRPr="00A473B5">
              <w:rPr>
                <w:kern w:val="0"/>
                <w:sz w:val="21"/>
                <w:szCs w:val="21"/>
              </w:rPr>
              <w:t>气象站</w:t>
            </w:r>
          </w:p>
        </w:tc>
        <w:tc>
          <w:tcPr>
            <w:tcW w:w="461" w:type="pct"/>
            <w:tcBorders>
              <w:top w:val="single" w:sz="4" w:space="0" w:color="auto"/>
              <w:left w:val="single" w:sz="4" w:space="0" w:color="auto"/>
              <w:bottom w:val="single" w:sz="12" w:space="0" w:color="auto"/>
              <w:right w:val="single" w:sz="4" w:space="0" w:color="auto"/>
            </w:tcBorders>
            <w:vAlign w:val="center"/>
          </w:tcPr>
          <w:p w:rsidR="004E3021" w:rsidRPr="00A473B5" w:rsidRDefault="00606E48">
            <w:pPr>
              <w:pStyle w:val="afffffff2"/>
              <w:rPr>
                <w:kern w:val="0"/>
                <w:sz w:val="21"/>
                <w:szCs w:val="21"/>
              </w:rPr>
            </w:pPr>
            <w:r w:rsidRPr="00A473B5">
              <w:rPr>
                <w:kern w:val="0"/>
                <w:sz w:val="21"/>
                <w:szCs w:val="21"/>
              </w:rPr>
              <w:t>58221</w:t>
            </w:r>
          </w:p>
        </w:tc>
        <w:tc>
          <w:tcPr>
            <w:tcW w:w="556" w:type="pct"/>
            <w:tcBorders>
              <w:top w:val="single" w:sz="4" w:space="0" w:color="auto"/>
              <w:left w:val="single" w:sz="4" w:space="0" w:color="auto"/>
              <w:bottom w:val="single" w:sz="12" w:space="0" w:color="auto"/>
              <w:right w:val="single" w:sz="4" w:space="0" w:color="auto"/>
            </w:tcBorders>
            <w:vAlign w:val="center"/>
          </w:tcPr>
          <w:p w:rsidR="004E3021" w:rsidRPr="00A473B5" w:rsidRDefault="00606E48">
            <w:pPr>
              <w:pStyle w:val="afffffff2"/>
              <w:rPr>
                <w:kern w:val="0"/>
                <w:sz w:val="21"/>
                <w:szCs w:val="21"/>
              </w:rPr>
            </w:pPr>
            <w:r w:rsidRPr="00A473B5">
              <w:rPr>
                <w:kern w:val="0"/>
                <w:sz w:val="21"/>
                <w:szCs w:val="21"/>
              </w:rPr>
              <w:t>E117.4</w:t>
            </w:r>
          </w:p>
        </w:tc>
        <w:tc>
          <w:tcPr>
            <w:tcW w:w="460" w:type="pct"/>
            <w:tcBorders>
              <w:top w:val="single" w:sz="4" w:space="0" w:color="auto"/>
              <w:left w:val="single" w:sz="4" w:space="0" w:color="auto"/>
              <w:bottom w:val="single" w:sz="12" w:space="0" w:color="auto"/>
              <w:right w:val="single" w:sz="4" w:space="0" w:color="auto"/>
            </w:tcBorders>
            <w:vAlign w:val="center"/>
          </w:tcPr>
          <w:p w:rsidR="004E3021" w:rsidRPr="00A473B5" w:rsidRDefault="00606E48">
            <w:pPr>
              <w:pStyle w:val="afffffff2"/>
              <w:rPr>
                <w:kern w:val="0"/>
                <w:sz w:val="21"/>
                <w:szCs w:val="21"/>
              </w:rPr>
            </w:pPr>
            <w:r w:rsidRPr="00A473B5">
              <w:rPr>
                <w:kern w:val="0"/>
                <w:sz w:val="21"/>
                <w:szCs w:val="21"/>
              </w:rPr>
              <w:t>N32.92</w:t>
            </w:r>
          </w:p>
        </w:tc>
        <w:tc>
          <w:tcPr>
            <w:tcW w:w="539" w:type="pct"/>
            <w:tcBorders>
              <w:top w:val="single" w:sz="4" w:space="0" w:color="auto"/>
              <w:left w:val="single" w:sz="4" w:space="0" w:color="auto"/>
              <w:bottom w:val="single" w:sz="12" w:space="0" w:color="auto"/>
              <w:right w:val="single" w:sz="4" w:space="0" w:color="auto"/>
            </w:tcBorders>
            <w:vAlign w:val="center"/>
          </w:tcPr>
          <w:p w:rsidR="004E3021" w:rsidRPr="00A473B5" w:rsidRDefault="00606E48">
            <w:pPr>
              <w:pStyle w:val="afffffff2"/>
              <w:rPr>
                <w:kern w:val="0"/>
                <w:sz w:val="21"/>
                <w:szCs w:val="21"/>
              </w:rPr>
            </w:pPr>
            <w:r w:rsidRPr="00A473B5">
              <w:rPr>
                <w:kern w:val="0"/>
                <w:sz w:val="21"/>
                <w:szCs w:val="21"/>
              </w:rPr>
              <w:t>30147</w:t>
            </w:r>
          </w:p>
        </w:tc>
        <w:tc>
          <w:tcPr>
            <w:tcW w:w="529" w:type="pct"/>
            <w:tcBorders>
              <w:top w:val="single" w:sz="4" w:space="0" w:color="auto"/>
              <w:left w:val="single" w:sz="4" w:space="0" w:color="auto"/>
              <w:bottom w:val="single" w:sz="12" w:space="0" w:color="auto"/>
              <w:right w:val="single" w:sz="4" w:space="0" w:color="auto"/>
            </w:tcBorders>
            <w:vAlign w:val="center"/>
          </w:tcPr>
          <w:p w:rsidR="004E3021" w:rsidRPr="00A473B5" w:rsidRDefault="00606E48">
            <w:pPr>
              <w:pStyle w:val="afffffff2"/>
              <w:rPr>
                <w:kern w:val="0"/>
                <w:sz w:val="21"/>
                <w:szCs w:val="21"/>
              </w:rPr>
            </w:pPr>
            <w:r w:rsidRPr="00A473B5">
              <w:rPr>
                <w:rFonts w:hint="eastAsia"/>
                <w:kern w:val="0"/>
                <w:sz w:val="21"/>
                <w:szCs w:val="21"/>
              </w:rPr>
              <w:t>基本站</w:t>
            </w:r>
          </w:p>
        </w:tc>
        <w:tc>
          <w:tcPr>
            <w:tcW w:w="384" w:type="pct"/>
            <w:tcBorders>
              <w:top w:val="single" w:sz="4" w:space="0" w:color="auto"/>
              <w:left w:val="single" w:sz="4" w:space="0" w:color="auto"/>
              <w:bottom w:val="single" w:sz="12" w:space="0" w:color="auto"/>
              <w:right w:val="single" w:sz="4" w:space="0" w:color="auto"/>
            </w:tcBorders>
            <w:vAlign w:val="center"/>
          </w:tcPr>
          <w:p w:rsidR="004E3021" w:rsidRPr="00A473B5" w:rsidRDefault="00606E48">
            <w:pPr>
              <w:pStyle w:val="afffffff2"/>
              <w:rPr>
                <w:kern w:val="0"/>
                <w:sz w:val="21"/>
                <w:szCs w:val="21"/>
              </w:rPr>
            </w:pPr>
            <w:r w:rsidRPr="00A473B5">
              <w:rPr>
                <w:kern w:val="0"/>
                <w:sz w:val="21"/>
                <w:szCs w:val="21"/>
              </w:rPr>
              <w:t>2</w:t>
            </w:r>
            <w:r w:rsidRPr="00A473B5">
              <w:rPr>
                <w:rFonts w:hint="eastAsia"/>
                <w:kern w:val="0"/>
                <w:sz w:val="21"/>
                <w:szCs w:val="21"/>
              </w:rPr>
              <w:t>6.8</w:t>
            </w:r>
          </w:p>
        </w:tc>
        <w:tc>
          <w:tcPr>
            <w:tcW w:w="458" w:type="pct"/>
            <w:tcBorders>
              <w:top w:val="single" w:sz="4" w:space="0" w:color="auto"/>
              <w:left w:val="single" w:sz="4" w:space="0" w:color="auto"/>
              <w:bottom w:val="single" w:sz="12" w:space="0" w:color="auto"/>
              <w:right w:val="single" w:sz="4" w:space="0" w:color="auto"/>
            </w:tcBorders>
            <w:vAlign w:val="center"/>
          </w:tcPr>
          <w:p w:rsidR="004E3021" w:rsidRPr="00A473B5" w:rsidRDefault="00606E48" w:rsidP="00AD3EDF">
            <w:pPr>
              <w:pStyle w:val="afffffff2"/>
              <w:rPr>
                <w:kern w:val="0"/>
                <w:sz w:val="21"/>
                <w:szCs w:val="21"/>
              </w:rPr>
            </w:pPr>
            <w:r w:rsidRPr="00A473B5">
              <w:rPr>
                <w:rFonts w:hint="eastAsia"/>
                <w:kern w:val="0"/>
                <w:sz w:val="21"/>
                <w:szCs w:val="21"/>
              </w:rPr>
              <w:t>20</w:t>
            </w:r>
            <w:r w:rsidRPr="00A473B5">
              <w:rPr>
                <w:kern w:val="0"/>
                <w:sz w:val="21"/>
                <w:szCs w:val="21"/>
              </w:rPr>
              <w:t>2</w:t>
            </w:r>
            <w:r w:rsidR="00AD3EDF" w:rsidRPr="00A473B5">
              <w:rPr>
                <w:kern w:val="0"/>
                <w:sz w:val="21"/>
                <w:szCs w:val="21"/>
              </w:rPr>
              <w:t>3</w:t>
            </w:r>
          </w:p>
        </w:tc>
        <w:tc>
          <w:tcPr>
            <w:tcW w:w="1074" w:type="pct"/>
            <w:tcBorders>
              <w:top w:val="single" w:sz="4" w:space="0" w:color="auto"/>
              <w:left w:val="single" w:sz="4" w:space="0" w:color="auto"/>
              <w:bottom w:val="single" w:sz="12" w:space="0" w:color="auto"/>
              <w:right w:val="nil"/>
            </w:tcBorders>
            <w:vAlign w:val="center"/>
          </w:tcPr>
          <w:p w:rsidR="004E3021" w:rsidRPr="00A473B5" w:rsidRDefault="00606E48">
            <w:pPr>
              <w:pStyle w:val="afffffff2"/>
              <w:rPr>
                <w:kern w:val="0"/>
                <w:sz w:val="21"/>
                <w:szCs w:val="21"/>
              </w:rPr>
            </w:pPr>
            <w:r w:rsidRPr="00A473B5">
              <w:rPr>
                <w:rFonts w:hint="eastAsia"/>
                <w:kern w:val="0"/>
                <w:sz w:val="21"/>
                <w:szCs w:val="21"/>
              </w:rPr>
              <w:t>风向、风速、总云、低云、干球温度</w:t>
            </w:r>
          </w:p>
        </w:tc>
      </w:tr>
    </w:tbl>
    <w:p w:rsidR="004E3021" w:rsidRDefault="00606E48">
      <w:pPr>
        <w:ind w:firstLine="480"/>
      </w:pPr>
      <w:r>
        <w:rPr>
          <w:rFonts w:ascii="宋体" w:hAnsi="宋体"/>
        </w:rPr>
        <w:t>（</w:t>
      </w:r>
      <w:r>
        <w:t>b</w:t>
      </w:r>
      <w:r>
        <w:rPr>
          <w:rFonts w:ascii="宋体" w:hAnsi="宋体"/>
        </w:rPr>
        <w:t>）地形数据来源</w:t>
      </w:r>
    </w:p>
    <w:p w:rsidR="004E3021" w:rsidRDefault="00606E48">
      <w:pPr>
        <w:ind w:firstLine="480"/>
      </w:pPr>
      <w:r>
        <w:rPr>
          <w:rFonts w:ascii="宋体" w:hAnsi="宋体"/>
        </w:rPr>
        <w:t>本次预测采用的是</w:t>
      </w:r>
      <w:r>
        <w:t>USGS</w:t>
      </w:r>
      <w:r>
        <w:rPr>
          <w:rFonts w:ascii="宋体" w:hAnsi="宋体"/>
        </w:rPr>
        <w:t>的</w:t>
      </w:r>
      <w:r>
        <w:t>SRTM</w:t>
      </w:r>
      <w:r>
        <w:rPr>
          <w:vertAlign w:val="superscript"/>
        </w:rPr>
        <w:t>3</w:t>
      </w:r>
      <w:r>
        <w:rPr>
          <w:rFonts w:ascii="宋体" w:hAnsi="宋体"/>
        </w:rPr>
        <w:t>数字高程地形数据，精度为</w:t>
      </w:r>
      <w:r>
        <w:t>3arc</w:t>
      </w:r>
      <w:r>
        <w:rPr>
          <w:rFonts w:ascii="宋体" w:hAnsi="宋体"/>
        </w:rPr>
        <w:t>，约为</w:t>
      </w:r>
      <w:r>
        <w:t>90</w:t>
      </w:r>
      <w:r>
        <w:rPr>
          <w:rFonts w:ascii="宋体" w:hAnsi="宋体"/>
        </w:rPr>
        <w:t>米。</w:t>
      </w:r>
    </w:p>
    <w:p w:rsidR="004E3021" w:rsidRDefault="0034255C">
      <w:pPr>
        <w:ind w:firstLineChars="0" w:firstLine="0"/>
        <w:jc w:val="center"/>
      </w:pPr>
      <w:r>
        <w:rPr>
          <w:noProof/>
        </w:rPr>
        <w:drawing>
          <wp:inline distT="0" distB="0" distL="0" distR="0" wp14:anchorId="24DCFAC1" wp14:editId="32818243">
            <wp:extent cx="5267325" cy="3436277"/>
            <wp:effectExtent l="0" t="0" r="0" b="0"/>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3183" cy="3440098"/>
                    </a:xfrm>
                    <a:prstGeom prst="rect">
                      <a:avLst/>
                    </a:prstGeom>
                  </pic:spPr>
                </pic:pic>
              </a:graphicData>
            </a:graphic>
          </wp:inline>
        </w:drawing>
      </w:r>
      <w:r w:rsidR="00606E48">
        <w:t xml:space="preserve"> </w:t>
      </w:r>
    </w:p>
    <w:p w:rsidR="004E3021" w:rsidRDefault="00606E48">
      <w:pPr>
        <w:pStyle w:val="afffff4"/>
        <w:ind w:firstLine="480"/>
      </w:pPr>
      <w:r>
        <w:rPr>
          <w:rFonts w:ascii="黑体" w:hAnsi="黑体"/>
        </w:rPr>
        <w:t>图</w:t>
      </w:r>
      <w:r>
        <w:t>5.1.</w:t>
      </w:r>
      <w:r>
        <w:rPr>
          <w:rFonts w:hint="eastAsia"/>
        </w:rPr>
        <w:t>3</w:t>
      </w:r>
      <w:r>
        <w:t xml:space="preserve">-2  </w:t>
      </w:r>
      <w:r>
        <w:rPr>
          <w:rFonts w:ascii="黑体" w:hAnsi="黑体"/>
        </w:rPr>
        <w:t>评价区域地形高程图</w:t>
      </w:r>
    </w:p>
    <w:p w:rsidR="004E3021" w:rsidRDefault="00606E48">
      <w:pPr>
        <w:ind w:firstLine="482"/>
        <w:rPr>
          <w:b/>
        </w:rPr>
      </w:pPr>
      <w:r>
        <w:rPr>
          <w:rFonts w:ascii="宋体" w:hAnsi="宋体"/>
          <w:b/>
        </w:rPr>
        <w:lastRenderedPageBreak/>
        <w:t>（</w:t>
      </w:r>
      <w:r>
        <w:rPr>
          <w:b/>
        </w:rPr>
        <w:t>2</w:t>
      </w:r>
      <w:r>
        <w:rPr>
          <w:rFonts w:ascii="宋体" w:hAnsi="宋体"/>
          <w:b/>
        </w:rPr>
        <w:t>）预测方案</w:t>
      </w:r>
    </w:p>
    <w:p w:rsidR="004E3021" w:rsidRDefault="00606E48">
      <w:pPr>
        <w:ind w:firstLine="480"/>
      </w:pPr>
      <w:r>
        <w:rPr>
          <w:rFonts w:ascii="宋体" w:hAnsi="宋体"/>
        </w:rPr>
        <w:t>（</w:t>
      </w:r>
      <w:r>
        <w:t>a</w:t>
      </w:r>
      <w:r>
        <w:rPr>
          <w:rFonts w:ascii="宋体" w:hAnsi="宋体"/>
        </w:rPr>
        <w:t>）预测因子</w:t>
      </w:r>
    </w:p>
    <w:p w:rsidR="004E3021" w:rsidRDefault="00606E48">
      <w:pPr>
        <w:ind w:firstLine="480"/>
      </w:pPr>
      <w:r>
        <w:rPr>
          <w:rFonts w:ascii="宋体" w:hAnsi="宋体"/>
        </w:rPr>
        <w:t>根据本项目工程分析和周围污染源分析</w:t>
      </w:r>
      <w:r>
        <w:rPr>
          <w:rFonts w:ascii="宋体" w:hAnsi="宋体" w:hint="eastAsia"/>
        </w:rPr>
        <w:t>，</w:t>
      </w:r>
      <w:r>
        <w:rPr>
          <w:rFonts w:ascii="宋体" w:hAnsi="宋体"/>
        </w:rPr>
        <w:t>筛选出本次预测因子：正常工况预测因子为</w:t>
      </w:r>
      <w:r>
        <w:t>PM</w:t>
      </w:r>
      <w:r>
        <w:rPr>
          <w:vertAlign w:val="subscript"/>
        </w:rPr>
        <w:t>10</w:t>
      </w:r>
      <w:r>
        <w:rPr>
          <w:rFonts w:ascii="宋体" w:hAnsi="宋体"/>
        </w:rPr>
        <w:t>、</w:t>
      </w:r>
      <w:r>
        <w:rPr>
          <w:rFonts w:hint="eastAsia"/>
        </w:rPr>
        <w:t>P</w:t>
      </w:r>
      <w:r>
        <w:t>M</w:t>
      </w:r>
      <w:r>
        <w:rPr>
          <w:vertAlign w:val="subscript"/>
        </w:rPr>
        <w:t>2.5</w:t>
      </w:r>
      <w:r>
        <w:rPr>
          <w:rFonts w:ascii="宋体" w:hAnsi="宋体" w:hint="eastAsia"/>
        </w:rPr>
        <w:t>、</w:t>
      </w:r>
      <w:r>
        <w:rPr>
          <w:rFonts w:hint="eastAsia"/>
        </w:rPr>
        <w:t>甲醇</w:t>
      </w:r>
      <w:r>
        <w:rPr>
          <w:rFonts w:ascii="宋体" w:hAnsi="宋体" w:hint="eastAsia"/>
        </w:rPr>
        <w:t>、</w:t>
      </w:r>
      <w:r>
        <w:rPr>
          <w:rFonts w:hint="eastAsia"/>
        </w:rPr>
        <w:t>非甲烷总烃</w:t>
      </w:r>
      <w:r>
        <w:t>、</w:t>
      </w:r>
      <w:r>
        <w:t>NH</w:t>
      </w:r>
      <w:r>
        <w:rPr>
          <w:vertAlign w:val="subscript"/>
        </w:rPr>
        <w:t>3</w:t>
      </w:r>
      <w:r w:rsidR="008D68B3">
        <w:rPr>
          <w:rFonts w:hint="eastAsia"/>
        </w:rPr>
        <w:t>、硫化氢</w:t>
      </w:r>
      <w:r>
        <w:rPr>
          <w:rFonts w:ascii="宋体" w:hAnsi="宋体"/>
        </w:rPr>
        <w:t>；非正常工况预测因子为</w:t>
      </w:r>
      <w:r>
        <w:t>PM</w:t>
      </w:r>
      <w:r>
        <w:rPr>
          <w:vertAlign w:val="subscript"/>
        </w:rPr>
        <w:t>10</w:t>
      </w:r>
      <w:r>
        <w:rPr>
          <w:rFonts w:ascii="宋体" w:hAnsi="宋体"/>
        </w:rPr>
        <w:t>、</w:t>
      </w:r>
      <w:r>
        <w:rPr>
          <w:rFonts w:hint="eastAsia"/>
        </w:rPr>
        <w:t>P</w:t>
      </w:r>
      <w:r>
        <w:t>M</w:t>
      </w:r>
      <w:r>
        <w:rPr>
          <w:vertAlign w:val="subscript"/>
        </w:rPr>
        <w:t>2.5</w:t>
      </w:r>
      <w:r>
        <w:rPr>
          <w:rFonts w:ascii="宋体" w:hAnsi="宋体" w:hint="eastAsia"/>
        </w:rPr>
        <w:t>、</w:t>
      </w:r>
      <w:r>
        <w:rPr>
          <w:rFonts w:hint="eastAsia"/>
        </w:rPr>
        <w:t>甲醇</w:t>
      </w:r>
      <w:r>
        <w:rPr>
          <w:rFonts w:ascii="宋体" w:hAnsi="宋体" w:hint="eastAsia"/>
        </w:rPr>
        <w:t>、</w:t>
      </w:r>
      <w:r>
        <w:rPr>
          <w:rFonts w:hint="eastAsia"/>
        </w:rPr>
        <w:t>非甲烷总烃</w:t>
      </w:r>
      <w:r>
        <w:t>、</w:t>
      </w:r>
      <w:r>
        <w:t>NH</w:t>
      </w:r>
      <w:r>
        <w:rPr>
          <w:vertAlign w:val="subscript"/>
        </w:rPr>
        <w:t>3</w:t>
      </w:r>
      <w:r>
        <w:rPr>
          <w:rFonts w:hint="eastAsia"/>
        </w:rPr>
        <w:t>。</w:t>
      </w:r>
    </w:p>
    <w:p w:rsidR="004E3021" w:rsidRDefault="00606E48">
      <w:pPr>
        <w:ind w:firstLine="480"/>
      </w:pPr>
      <w:r>
        <w:rPr>
          <w:rFonts w:ascii="宋体" w:hAnsi="宋体"/>
        </w:rPr>
        <w:t>（</w:t>
      </w:r>
      <w:r>
        <w:t>b</w:t>
      </w:r>
      <w:r>
        <w:rPr>
          <w:rFonts w:ascii="宋体" w:hAnsi="宋体"/>
        </w:rPr>
        <w:t>）预测范围</w:t>
      </w:r>
    </w:p>
    <w:p w:rsidR="004E3021" w:rsidRDefault="00606E48">
      <w:pPr>
        <w:ind w:firstLine="480"/>
      </w:pPr>
      <w:r>
        <w:rPr>
          <w:rFonts w:ascii="宋体" w:hAnsi="宋体"/>
        </w:rPr>
        <w:t>根据</w:t>
      </w:r>
      <w:r>
        <w:t>AERSCREEN</w:t>
      </w:r>
      <w:r>
        <w:rPr>
          <w:rFonts w:ascii="宋体" w:hAnsi="宋体"/>
        </w:rPr>
        <w:t>预测结果，本项目</w:t>
      </w:r>
      <w:r>
        <w:t>D10%</w:t>
      </w:r>
      <w:r>
        <w:rPr>
          <w:rFonts w:ascii="宋体" w:hAnsi="宋体"/>
        </w:rPr>
        <w:t>最远距离</w:t>
      </w:r>
      <w:r>
        <w:rPr>
          <w:rFonts w:ascii="宋体" w:hAnsi="宋体"/>
          <w:shd w:val="clear" w:color="auto" w:fill="FFFFFF" w:themeFill="background1"/>
        </w:rPr>
        <w:t>为</w:t>
      </w:r>
      <w:r>
        <w:rPr>
          <w:shd w:val="clear" w:color="auto" w:fill="FFFFFF" w:themeFill="background1"/>
        </w:rPr>
        <w:t>1</w:t>
      </w:r>
      <w:r w:rsidR="00676F99">
        <w:rPr>
          <w:shd w:val="clear" w:color="auto" w:fill="FFFFFF" w:themeFill="background1"/>
        </w:rPr>
        <w:t>125</w:t>
      </w:r>
      <w:r>
        <w:rPr>
          <w:shd w:val="clear" w:color="auto" w:fill="FFFFFF" w:themeFill="background1"/>
        </w:rPr>
        <w:t>m</w:t>
      </w:r>
      <w:r>
        <w:rPr>
          <w:rFonts w:ascii="宋体" w:hAnsi="宋体"/>
          <w:shd w:val="clear" w:color="auto" w:fill="FFFFFF" w:themeFill="background1"/>
        </w:rPr>
        <w:t>，</w:t>
      </w:r>
      <w:r>
        <w:rPr>
          <w:rFonts w:ascii="宋体" w:hAnsi="宋体"/>
        </w:rPr>
        <w:t>根据《环境影响评价技术导则</w:t>
      </w:r>
      <w:r>
        <w:t xml:space="preserve"> </w:t>
      </w:r>
      <w:r>
        <w:rPr>
          <w:rFonts w:ascii="宋体" w:hAnsi="宋体"/>
        </w:rPr>
        <w:t>大气环境》</w:t>
      </w:r>
      <w:r>
        <w:t>(HJ 2.2-2018)</w:t>
      </w:r>
      <w:r>
        <w:rPr>
          <w:rFonts w:ascii="宋体" w:hAnsi="宋体"/>
        </w:rPr>
        <w:t>，本次大气预测的范围为：</w:t>
      </w:r>
      <w:r>
        <w:rPr>
          <w:rFonts w:hint="eastAsia"/>
        </w:rPr>
        <w:t>边长</w:t>
      </w:r>
      <w:r>
        <w:rPr>
          <w:rFonts w:hint="eastAsia"/>
        </w:rPr>
        <w:t>5km</w:t>
      </w:r>
      <w:r>
        <w:rPr>
          <w:rFonts w:hint="eastAsia"/>
        </w:rPr>
        <w:t>矩形</w:t>
      </w:r>
      <w:r>
        <w:rPr>
          <w:rFonts w:ascii="宋体" w:hAnsi="宋体"/>
        </w:rPr>
        <w:t>区域。</w:t>
      </w:r>
    </w:p>
    <w:p w:rsidR="004E3021" w:rsidRDefault="00606E48">
      <w:pPr>
        <w:ind w:firstLine="480"/>
      </w:pPr>
      <w:r>
        <w:rPr>
          <w:rFonts w:ascii="宋体" w:hAnsi="宋体"/>
        </w:rPr>
        <w:t>（</w:t>
      </w:r>
      <w:r>
        <w:t>c</w:t>
      </w:r>
      <w:r>
        <w:rPr>
          <w:rFonts w:ascii="宋体" w:hAnsi="宋体"/>
        </w:rPr>
        <w:t>）预测网格</w:t>
      </w:r>
      <w:r>
        <w:rPr>
          <w:rFonts w:ascii="宋体" w:hAnsi="宋体" w:hint="eastAsia"/>
        </w:rPr>
        <w:t>及预测点</w:t>
      </w:r>
    </w:p>
    <w:p w:rsidR="004E3021" w:rsidRDefault="00606E48">
      <w:pPr>
        <w:ind w:firstLine="480"/>
        <w:rPr>
          <w:rFonts w:ascii="宋体" w:hAnsi="宋体"/>
        </w:rPr>
      </w:pPr>
      <w:r>
        <w:rPr>
          <w:rFonts w:ascii="宋体" w:hAnsi="宋体"/>
        </w:rPr>
        <w:t>本次预测采用矩形网格，将大气评价范围全部包括在内，网格间</w:t>
      </w:r>
      <w:r>
        <w:t>距为</w:t>
      </w:r>
      <w:r>
        <w:t>50m</w:t>
      </w:r>
      <w:r>
        <w:rPr>
          <w:rFonts w:ascii="宋体" w:hAnsi="宋体" w:hint="eastAsia"/>
        </w:rPr>
        <w:t>，评价区域预测点共</w:t>
      </w:r>
      <w:r>
        <w:t>11155</w:t>
      </w:r>
      <w:r>
        <w:rPr>
          <w:rFonts w:ascii="宋体" w:hAnsi="宋体" w:hint="eastAsia"/>
        </w:rPr>
        <w:t>个。同时选取大气</w:t>
      </w:r>
      <w:r>
        <w:rPr>
          <w:rFonts w:ascii="宋体" w:hAnsi="宋体"/>
        </w:rPr>
        <w:t>评价范围内</w:t>
      </w:r>
      <w:r>
        <w:rPr>
          <w:rFonts w:ascii="宋体" w:hAnsi="宋体" w:hint="eastAsia"/>
        </w:rPr>
        <w:t>厂区</w:t>
      </w:r>
      <w:r>
        <w:rPr>
          <w:rFonts w:ascii="宋体" w:hAnsi="宋体"/>
        </w:rPr>
        <w:t>上风向</w:t>
      </w:r>
      <w:r>
        <w:rPr>
          <w:rFonts w:ascii="宋体" w:hAnsi="宋体" w:hint="eastAsia"/>
        </w:rPr>
        <w:t>、</w:t>
      </w:r>
      <w:r>
        <w:rPr>
          <w:rFonts w:ascii="宋体" w:hAnsi="宋体"/>
        </w:rPr>
        <w:t>下风向</w:t>
      </w:r>
      <w:r>
        <w:rPr>
          <w:rFonts w:ascii="宋体" w:hAnsi="宋体" w:hint="eastAsia"/>
        </w:rPr>
        <w:t>代表性</w:t>
      </w:r>
      <w:r>
        <w:rPr>
          <w:rFonts w:ascii="宋体" w:hAnsi="宋体"/>
        </w:rPr>
        <w:t>敏感点</w:t>
      </w:r>
      <w:r>
        <w:rPr>
          <w:rFonts w:ascii="宋体" w:hAnsi="宋体" w:hint="eastAsia"/>
        </w:rPr>
        <w:t>作为预测点，选取敏感点见表</w:t>
      </w:r>
      <w:r>
        <w:rPr>
          <w:rFonts w:hint="eastAsia"/>
        </w:rPr>
        <w:t>5.1.3-2</w:t>
      </w:r>
      <w:r>
        <w:rPr>
          <w:rFonts w:ascii="宋体" w:hAnsi="宋体" w:hint="eastAsia"/>
        </w:rPr>
        <w:t>。</w:t>
      </w:r>
    </w:p>
    <w:p w:rsidR="004E3021" w:rsidRDefault="00606E48">
      <w:pPr>
        <w:pStyle w:val="afffff4"/>
      </w:pPr>
      <w:r>
        <w:t>表</w:t>
      </w:r>
      <w:r>
        <w:rPr>
          <w:rFonts w:hint="eastAsia"/>
        </w:rPr>
        <w:t>5.1.3-2</w:t>
      </w:r>
      <w:r>
        <w:t xml:space="preserve"> </w:t>
      </w:r>
      <w:r>
        <w:rPr>
          <w:rFonts w:hint="eastAsia"/>
        </w:rPr>
        <w:t xml:space="preserve"> </w:t>
      </w:r>
      <w:r>
        <w:rPr>
          <w:rFonts w:hint="eastAsia"/>
        </w:rPr>
        <w:t>环境保护目标及坐标</w:t>
      </w:r>
    </w:p>
    <w:tbl>
      <w:tblPr>
        <w:tblStyle w:val="afff"/>
        <w:tblW w:w="5000" w:type="pct"/>
        <w:tblLook w:val="04A0" w:firstRow="1" w:lastRow="0" w:firstColumn="1" w:lastColumn="0" w:noHBand="0" w:noVBand="1"/>
      </w:tblPr>
      <w:tblGrid>
        <w:gridCol w:w="842"/>
        <w:gridCol w:w="2484"/>
        <w:gridCol w:w="1773"/>
        <w:gridCol w:w="1964"/>
        <w:gridCol w:w="982"/>
        <w:gridCol w:w="982"/>
      </w:tblGrid>
      <w:tr w:rsidR="004E3021" w:rsidRPr="00240B63" w:rsidTr="00240B63">
        <w:trPr>
          <w:trHeight w:val="519"/>
        </w:trPr>
        <w:tc>
          <w:tcPr>
            <w:tcW w:w="466" w:type="pct"/>
            <w:vMerge w:val="restart"/>
            <w:vAlign w:val="center"/>
          </w:tcPr>
          <w:p w:rsidR="004E3021" w:rsidRPr="00240B63" w:rsidRDefault="00606E48" w:rsidP="00240B63">
            <w:pPr>
              <w:pStyle w:val="afffffff2"/>
              <w:rPr>
                <w:rFonts w:ascii="Times New Roman" w:hAnsi="Times New Roman" w:cs="Times New Roman"/>
                <w:b/>
                <w:kern w:val="0"/>
                <w:sz w:val="21"/>
                <w:szCs w:val="21"/>
              </w:rPr>
            </w:pPr>
            <w:r w:rsidRPr="00240B63">
              <w:rPr>
                <w:rFonts w:ascii="Times New Roman" w:hAnsi="Times New Roman" w:cs="Times New Roman"/>
                <w:b/>
                <w:kern w:val="0"/>
                <w:sz w:val="21"/>
                <w:szCs w:val="21"/>
              </w:rPr>
              <w:t>序号</w:t>
            </w:r>
          </w:p>
        </w:tc>
        <w:tc>
          <w:tcPr>
            <w:tcW w:w="1376" w:type="pct"/>
            <w:vMerge w:val="restart"/>
            <w:vAlign w:val="center"/>
          </w:tcPr>
          <w:p w:rsidR="004E3021" w:rsidRPr="00240B63" w:rsidRDefault="00606E48" w:rsidP="00240B63">
            <w:pPr>
              <w:pStyle w:val="afffffff2"/>
              <w:rPr>
                <w:rFonts w:ascii="Times New Roman" w:hAnsi="Times New Roman" w:cs="Times New Roman"/>
                <w:b/>
                <w:kern w:val="0"/>
                <w:sz w:val="21"/>
                <w:szCs w:val="21"/>
              </w:rPr>
            </w:pPr>
            <w:r w:rsidRPr="00240B63">
              <w:rPr>
                <w:rFonts w:ascii="Times New Roman" w:hAnsi="Times New Roman" w:cs="Times New Roman"/>
                <w:b/>
                <w:kern w:val="0"/>
                <w:sz w:val="21"/>
                <w:szCs w:val="21"/>
              </w:rPr>
              <w:t>名称</w:t>
            </w:r>
          </w:p>
        </w:tc>
        <w:tc>
          <w:tcPr>
            <w:tcW w:w="2070" w:type="pct"/>
            <w:gridSpan w:val="2"/>
            <w:vAlign w:val="center"/>
          </w:tcPr>
          <w:p w:rsidR="004E3021" w:rsidRPr="00240B63" w:rsidRDefault="00606E48" w:rsidP="00240B63">
            <w:pPr>
              <w:pStyle w:val="afffffff2"/>
              <w:rPr>
                <w:rFonts w:ascii="Times New Roman" w:hAnsi="Times New Roman" w:cs="Times New Roman"/>
                <w:b/>
                <w:kern w:val="0"/>
                <w:sz w:val="21"/>
                <w:szCs w:val="21"/>
              </w:rPr>
            </w:pPr>
            <w:r w:rsidRPr="00240B63">
              <w:rPr>
                <w:rFonts w:ascii="Times New Roman" w:hAnsi="Times New Roman" w:cs="Times New Roman"/>
                <w:b/>
                <w:kern w:val="0"/>
                <w:sz w:val="21"/>
                <w:szCs w:val="21"/>
              </w:rPr>
              <w:t>坐标</w:t>
            </w:r>
          </w:p>
        </w:tc>
        <w:tc>
          <w:tcPr>
            <w:tcW w:w="1088" w:type="pct"/>
            <w:gridSpan w:val="2"/>
            <w:vMerge w:val="restart"/>
            <w:vAlign w:val="center"/>
          </w:tcPr>
          <w:p w:rsidR="004E3021" w:rsidRPr="00240B63" w:rsidRDefault="00606E48" w:rsidP="00240B63">
            <w:pPr>
              <w:pStyle w:val="afffffff2"/>
              <w:rPr>
                <w:rFonts w:ascii="Times New Roman" w:hAnsi="Times New Roman" w:cs="Times New Roman"/>
                <w:b/>
                <w:kern w:val="0"/>
                <w:sz w:val="21"/>
                <w:szCs w:val="21"/>
              </w:rPr>
            </w:pPr>
            <w:r w:rsidRPr="00240B63">
              <w:rPr>
                <w:rFonts w:ascii="Times New Roman" w:hAnsi="Times New Roman" w:cs="Times New Roman"/>
                <w:b/>
                <w:kern w:val="0"/>
                <w:sz w:val="21"/>
                <w:szCs w:val="21"/>
              </w:rPr>
              <w:t>备注</w:t>
            </w:r>
          </w:p>
        </w:tc>
      </w:tr>
      <w:tr w:rsidR="004E3021" w:rsidRPr="00240B63" w:rsidTr="00240B63">
        <w:trPr>
          <w:trHeight w:val="307"/>
        </w:trPr>
        <w:tc>
          <w:tcPr>
            <w:tcW w:w="0" w:type="auto"/>
            <w:vMerge/>
            <w:vAlign w:val="center"/>
          </w:tcPr>
          <w:p w:rsidR="004E3021" w:rsidRPr="00240B63" w:rsidRDefault="004E3021" w:rsidP="00240B63">
            <w:pPr>
              <w:pStyle w:val="afffffff2"/>
              <w:rPr>
                <w:rFonts w:ascii="Times New Roman" w:hAnsi="Times New Roman" w:cs="Times New Roman"/>
                <w:b/>
                <w:kern w:val="0"/>
                <w:sz w:val="21"/>
                <w:szCs w:val="21"/>
              </w:rPr>
            </w:pPr>
          </w:p>
        </w:tc>
        <w:tc>
          <w:tcPr>
            <w:tcW w:w="0" w:type="auto"/>
            <w:vMerge/>
            <w:vAlign w:val="center"/>
          </w:tcPr>
          <w:p w:rsidR="004E3021" w:rsidRPr="00240B63" w:rsidRDefault="004E3021" w:rsidP="00240B63">
            <w:pPr>
              <w:pStyle w:val="afffffff2"/>
              <w:rPr>
                <w:rFonts w:ascii="Times New Roman" w:hAnsi="Times New Roman" w:cs="Times New Roman"/>
                <w:b/>
                <w:kern w:val="0"/>
                <w:sz w:val="21"/>
                <w:szCs w:val="21"/>
              </w:rPr>
            </w:pPr>
          </w:p>
        </w:tc>
        <w:tc>
          <w:tcPr>
            <w:tcW w:w="982" w:type="pct"/>
            <w:vAlign w:val="center"/>
          </w:tcPr>
          <w:p w:rsidR="004E3021" w:rsidRPr="00240B63" w:rsidRDefault="00606E48" w:rsidP="00240B63">
            <w:pPr>
              <w:pStyle w:val="afffffff2"/>
              <w:rPr>
                <w:rFonts w:ascii="Times New Roman" w:hAnsi="Times New Roman" w:cs="Times New Roman"/>
                <w:b/>
                <w:kern w:val="0"/>
                <w:sz w:val="21"/>
                <w:szCs w:val="21"/>
              </w:rPr>
            </w:pPr>
            <w:r w:rsidRPr="00240B63">
              <w:rPr>
                <w:rFonts w:ascii="Times New Roman" w:hAnsi="Times New Roman" w:cs="Times New Roman"/>
                <w:b/>
                <w:kern w:val="0"/>
                <w:sz w:val="21"/>
                <w:szCs w:val="21"/>
              </w:rPr>
              <w:t>X</w:t>
            </w:r>
          </w:p>
        </w:tc>
        <w:tc>
          <w:tcPr>
            <w:tcW w:w="1088" w:type="pct"/>
            <w:vAlign w:val="center"/>
          </w:tcPr>
          <w:p w:rsidR="004E3021" w:rsidRPr="00240B63" w:rsidRDefault="00606E48" w:rsidP="00240B63">
            <w:pPr>
              <w:pStyle w:val="afffffff2"/>
              <w:rPr>
                <w:rFonts w:ascii="Times New Roman" w:hAnsi="Times New Roman" w:cs="Times New Roman"/>
                <w:b/>
                <w:kern w:val="0"/>
                <w:sz w:val="21"/>
                <w:szCs w:val="21"/>
              </w:rPr>
            </w:pPr>
            <w:r w:rsidRPr="00240B63">
              <w:rPr>
                <w:rFonts w:ascii="Times New Roman" w:hAnsi="Times New Roman" w:cs="Times New Roman"/>
                <w:b/>
                <w:kern w:val="0"/>
                <w:sz w:val="21"/>
                <w:szCs w:val="21"/>
              </w:rPr>
              <w:t>Y</w:t>
            </w:r>
          </w:p>
        </w:tc>
        <w:tc>
          <w:tcPr>
            <w:tcW w:w="0" w:type="auto"/>
            <w:gridSpan w:val="2"/>
            <w:vMerge/>
            <w:vAlign w:val="center"/>
          </w:tcPr>
          <w:p w:rsidR="004E3021" w:rsidRPr="00240B63" w:rsidRDefault="004E3021" w:rsidP="00240B63">
            <w:pPr>
              <w:pStyle w:val="afffffff2"/>
              <w:rPr>
                <w:rFonts w:ascii="Times New Roman" w:hAnsi="Times New Roman" w:cs="Times New Roman"/>
                <w:b/>
                <w:kern w:val="0"/>
                <w:sz w:val="21"/>
                <w:szCs w:val="21"/>
              </w:rPr>
            </w:pPr>
          </w:p>
        </w:tc>
      </w:tr>
      <w:tr w:rsidR="00240B63" w:rsidRPr="00240B63" w:rsidTr="00240B63">
        <w:trPr>
          <w:trHeight w:val="341"/>
        </w:trPr>
        <w:tc>
          <w:tcPr>
            <w:tcW w:w="466"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1</w:t>
            </w:r>
          </w:p>
        </w:tc>
        <w:tc>
          <w:tcPr>
            <w:tcW w:w="1376"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三铺村</w:t>
            </w:r>
          </w:p>
        </w:tc>
        <w:tc>
          <w:tcPr>
            <w:tcW w:w="982"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66</w:t>
            </w:r>
          </w:p>
        </w:tc>
        <w:tc>
          <w:tcPr>
            <w:tcW w:w="1088"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1455</w:t>
            </w:r>
          </w:p>
        </w:tc>
        <w:tc>
          <w:tcPr>
            <w:tcW w:w="544" w:type="pct"/>
            <w:vAlign w:val="center"/>
          </w:tcPr>
          <w:p w:rsidR="00240B63" w:rsidRPr="00240B63" w:rsidRDefault="00240B63" w:rsidP="00240B63">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侧风向</w:t>
            </w:r>
          </w:p>
        </w:tc>
        <w:tc>
          <w:tcPr>
            <w:tcW w:w="544" w:type="pct"/>
            <w:vMerge w:val="restar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大气环境影响评价范围内代表性敏感点</w:t>
            </w:r>
          </w:p>
        </w:tc>
      </w:tr>
      <w:tr w:rsidR="00240B63" w:rsidRPr="00240B63" w:rsidTr="00240B63">
        <w:trPr>
          <w:trHeight w:val="341"/>
        </w:trPr>
        <w:tc>
          <w:tcPr>
            <w:tcW w:w="466"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2</w:t>
            </w:r>
          </w:p>
        </w:tc>
        <w:tc>
          <w:tcPr>
            <w:tcW w:w="1376" w:type="pct"/>
            <w:vAlign w:val="center"/>
          </w:tcPr>
          <w:p w:rsidR="00240B63" w:rsidRPr="00240B63" w:rsidRDefault="00676F99" w:rsidP="00676F99">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汪邢村（</w:t>
            </w:r>
            <w:r w:rsidR="00240B63" w:rsidRPr="00240B63">
              <w:rPr>
                <w:rFonts w:ascii="Times New Roman" w:hAnsi="Times New Roman" w:cs="Times New Roman"/>
                <w:kern w:val="0"/>
                <w:sz w:val="21"/>
                <w:szCs w:val="21"/>
              </w:rPr>
              <w:t>高王家</w:t>
            </w:r>
            <w:r>
              <w:rPr>
                <w:rFonts w:ascii="Times New Roman" w:hAnsi="Times New Roman" w:cs="Times New Roman" w:hint="eastAsia"/>
                <w:kern w:val="0"/>
                <w:sz w:val="21"/>
                <w:szCs w:val="21"/>
              </w:rPr>
              <w:t>）</w:t>
            </w:r>
          </w:p>
        </w:tc>
        <w:tc>
          <w:tcPr>
            <w:tcW w:w="982"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1438</w:t>
            </w:r>
          </w:p>
        </w:tc>
        <w:tc>
          <w:tcPr>
            <w:tcW w:w="1088"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2620</w:t>
            </w:r>
          </w:p>
        </w:tc>
        <w:tc>
          <w:tcPr>
            <w:tcW w:w="0" w:type="auto"/>
            <w:vAlign w:val="center"/>
          </w:tcPr>
          <w:p w:rsidR="00240B63" w:rsidRPr="00240B63" w:rsidRDefault="00240B63" w:rsidP="00240B63">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上风向</w:t>
            </w:r>
          </w:p>
        </w:tc>
        <w:tc>
          <w:tcPr>
            <w:tcW w:w="0" w:type="auto"/>
            <w:vMerge/>
            <w:vAlign w:val="center"/>
          </w:tcPr>
          <w:p w:rsidR="00240B63" w:rsidRPr="00240B63" w:rsidRDefault="00240B63" w:rsidP="00240B63">
            <w:pPr>
              <w:pStyle w:val="afffffff2"/>
              <w:rPr>
                <w:rFonts w:ascii="Times New Roman" w:hAnsi="Times New Roman" w:cs="Times New Roman"/>
                <w:kern w:val="0"/>
                <w:sz w:val="21"/>
                <w:szCs w:val="21"/>
              </w:rPr>
            </w:pPr>
          </w:p>
        </w:tc>
      </w:tr>
      <w:tr w:rsidR="00240B63" w:rsidRPr="00240B63" w:rsidTr="00240B63">
        <w:trPr>
          <w:trHeight w:val="332"/>
        </w:trPr>
        <w:tc>
          <w:tcPr>
            <w:tcW w:w="466"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3</w:t>
            </w:r>
          </w:p>
        </w:tc>
        <w:tc>
          <w:tcPr>
            <w:tcW w:w="1376" w:type="pct"/>
            <w:vAlign w:val="center"/>
          </w:tcPr>
          <w:p w:rsidR="00240B63" w:rsidRPr="00240B63" w:rsidRDefault="00676F99" w:rsidP="00676F99">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曹吴村（</w:t>
            </w:r>
            <w:r w:rsidR="00240B63" w:rsidRPr="00240B63">
              <w:rPr>
                <w:rFonts w:ascii="Times New Roman" w:hAnsi="Times New Roman" w:cs="Times New Roman"/>
                <w:kern w:val="0"/>
                <w:sz w:val="21"/>
                <w:szCs w:val="21"/>
              </w:rPr>
              <w:t>邓庙</w:t>
            </w:r>
            <w:r>
              <w:rPr>
                <w:rFonts w:ascii="Times New Roman" w:hAnsi="Times New Roman" w:cs="Times New Roman" w:hint="eastAsia"/>
                <w:kern w:val="0"/>
                <w:sz w:val="21"/>
                <w:szCs w:val="21"/>
              </w:rPr>
              <w:t>）</w:t>
            </w:r>
          </w:p>
        </w:tc>
        <w:tc>
          <w:tcPr>
            <w:tcW w:w="982"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-1092</w:t>
            </w:r>
          </w:p>
        </w:tc>
        <w:tc>
          <w:tcPr>
            <w:tcW w:w="1088"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2633</w:t>
            </w:r>
          </w:p>
        </w:tc>
        <w:tc>
          <w:tcPr>
            <w:tcW w:w="0" w:type="auto"/>
            <w:vAlign w:val="center"/>
          </w:tcPr>
          <w:p w:rsidR="00240B63" w:rsidRPr="00240B63" w:rsidRDefault="00240B63" w:rsidP="00240B63">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侧风向</w:t>
            </w:r>
          </w:p>
        </w:tc>
        <w:tc>
          <w:tcPr>
            <w:tcW w:w="0" w:type="auto"/>
            <w:vMerge/>
            <w:vAlign w:val="center"/>
          </w:tcPr>
          <w:p w:rsidR="00240B63" w:rsidRPr="00240B63" w:rsidRDefault="00240B63" w:rsidP="00240B63">
            <w:pPr>
              <w:pStyle w:val="afffffff2"/>
              <w:rPr>
                <w:rFonts w:ascii="Times New Roman" w:hAnsi="Times New Roman" w:cs="Times New Roman"/>
                <w:kern w:val="0"/>
                <w:sz w:val="21"/>
                <w:szCs w:val="21"/>
              </w:rPr>
            </w:pPr>
          </w:p>
        </w:tc>
      </w:tr>
      <w:tr w:rsidR="00240B63" w:rsidRPr="00240B63" w:rsidTr="00240B63">
        <w:trPr>
          <w:trHeight w:val="332"/>
        </w:trPr>
        <w:tc>
          <w:tcPr>
            <w:tcW w:w="466"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4</w:t>
            </w:r>
          </w:p>
        </w:tc>
        <w:tc>
          <w:tcPr>
            <w:tcW w:w="1376"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李洼</w:t>
            </w:r>
          </w:p>
        </w:tc>
        <w:tc>
          <w:tcPr>
            <w:tcW w:w="982"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-1891</w:t>
            </w:r>
          </w:p>
        </w:tc>
        <w:tc>
          <w:tcPr>
            <w:tcW w:w="1088"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1582</w:t>
            </w:r>
          </w:p>
        </w:tc>
        <w:tc>
          <w:tcPr>
            <w:tcW w:w="0" w:type="auto"/>
            <w:vAlign w:val="center"/>
          </w:tcPr>
          <w:p w:rsidR="00240B63" w:rsidRPr="00240B63" w:rsidRDefault="00240B63" w:rsidP="00240B63">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侧风向</w:t>
            </w:r>
          </w:p>
        </w:tc>
        <w:tc>
          <w:tcPr>
            <w:tcW w:w="0" w:type="auto"/>
            <w:vMerge/>
            <w:vAlign w:val="center"/>
          </w:tcPr>
          <w:p w:rsidR="00240B63" w:rsidRPr="00240B63" w:rsidRDefault="00240B63" w:rsidP="00240B63">
            <w:pPr>
              <w:pStyle w:val="afffffff2"/>
              <w:rPr>
                <w:rFonts w:ascii="Times New Roman" w:hAnsi="Times New Roman" w:cs="Times New Roman"/>
                <w:kern w:val="0"/>
                <w:sz w:val="21"/>
                <w:szCs w:val="21"/>
              </w:rPr>
            </w:pPr>
          </w:p>
        </w:tc>
      </w:tr>
      <w:tr w:rsidR="00240B63" w:rsidRPr="00240B63" w:rsidTr="00240B63">
        <w:trPr>
          <w:trHeight w:val="341"/>
        </w:trPr>
        <w:tc>
          <w:tcPr>
            <w:tcW w:w="466"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5</w:t>
            </w:r>
          </w:p>
        </w:tc>
        <w:tc>
          <w:tcPr>
            <w:tcW w:w="1376"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汤陈村</w:t>
            </w:r>
          </w:p>
        </w:tc>
        <w:tc>
          <w:tcPr>
            <w:tcW w:w="982"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-2210</w:t>
            </w:r>
          </w:p>
        </w:tc>
        <w:tc>
          <w:tcPr>
            <w:tcW w:w="1088"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-1254</w:t>
            </w:r>
          </w:p>
        </w:tc>
        <w:tc>
          <w:tcPr>
            <w:tcW w:w="0" w:type="auto"/>
            <w:vAlign w:val="center"/>
          </w:tcPr>
          <w:p w:rsidR="00240B63" w:rsidRPr="00240B63" w:rsidRDefault="00240B63" w:rsidP="00240B63">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下风向</w:t>
            </w:r>
          </w:p>
        </w:tc>
        <w:tc>
          <w:tcPr>
            <w:tcW w:w="0" w:type="auto"/>
            <w:vMerge/>
            <w:vAlign w:val="center"/>
          </w:tcPr>
          <w:p w:rsidR="00240B63" w:rsidRPr="00240B63" w:rsidRDefault="00240B63" w:rsidP="00240B63">
            <w:pPr>
              <w:pStyle w:val="afffffff2"/>
              <w:rPr>
                <w:rFonts w:ascii="Times New Roman" w:hAnsi="Times New Roman" w:cs="Times New Roman"/>
                <w:kern w:val="0"/>
                <w:sz w:val="21"/>
                <w:szCs w:val="21"/>
              </w:rPr>
            </w:pPr>
          </w:p>
        </w:tc>
      </w:tr>
      <w:tr w:rsidR="00240B63" w:rsidRPr="00240B63" w:rsidTr="00240B63">
        <w:trPr>
          <w:trHeight w:val="341"/>
        </w:trPr>
        <w:tc>
          <w:tcPr>
            <w:tcW w:w="466"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6</w:t>
            </w:r>
          </w:p>
        </w:tc>
        <w:tc>
          <w:tcPr>
            <w:tcW w:w="1376"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后沈家</w:t>
            </w:r>
          </w:p>
        </w:tc>
        <w:tc>
          <w:tcPr>
            <w:tcW w:w="982"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-233</w:t>
            </w:r>
          </w:p>
        </w:tc>
        <w:tc>
          <w:tcPr>
            <w:tcW w:w="1088" w:type="pct"/>
            <w:vAlign w:val="center"/>
          </w:tcPr>
          <w:p w:rsidR="00240B63" w:rsidRPr="00240B63" w:rsidRDefault="00240B63" w:rsidP="00240B63">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-1474</w:t>
            </w:r>
          </w:p>
        </w:tc>
        <w:tc>
          <w:tcPr>
            <w:tcW w:w="0" w:type="auto"/>
            <w:vAlign w:val="center"/>
          </w:tcPr>
          <w:p w:rsidR="00240B63" w:rsidRPr="00240B63" w:rsidRDefault="00240B63" w:rsidP="00240B63">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侧风向</w:t>
            </w:r>
          </w:p>
        </w:tc>
        <w:tc>
          <w:tcPr>
            <w:tcW w:w="0" w:type="auto"/>
            <w:vMerge/>
            <w:vAlign w:val="center"/>
          </w:tcPr>
          <w:p w:rsidR="00240B63" w:rsidRPr="00240B63" w:rsidRDefault="00240B63" w:rsidP="00240B63">
            <w:pPr>
              <w:pStyle w:val="afffffff2"/>
              <w:rPr>
                <w:rFonts w:ascii="Times New Roman" w:hAnsi="Times New Roman" w:cs="Times New Roman"/>
                <w:kern w:val="0"/>
                <w:sz w:val="21"/>
                <w:szCs w:val="21"/>
              </w:rPr>
            </w:pPr>
          </w:p>
        </w:tc>
      </w:tr>
    </w:tbl>
    <w:p w:rsidR="00676F99" w:rsidRPr="00676F99" w:rsidRDefault="00676F99">
      <w:pPr>
        <w:ind w:firstLine="402"/>
        <w:rPr>
          <w:rFonts w:ascii="宋体" w:hAnsi="宋体"/>
          <w:b/>
          <w:sz w:val="20"/>
        </w:rPr>
      </w:pPr>
      <w:r w:rsidRPr="00676F99">
        <w:rPr>
          <w:rFonts w:ascii="宋体" w:hAnsi="宋体" w:hint="eastAsia"/>
          <w:b/>
          <w:sz w:val="20"/>
        </w:rPr>
        <w:t>注：括号内村名已取消合并</w:t>
      </w:r>
    </w:p>
    <w:p w:rsidR="004E3021" w:rsidRDefault="00606E48">
      <w:pPr>
        <w:ind w:firstLine="480"/>
      </w:pPr>
      <w:r>
        <w:rPr>
          <w:rFonts w:ascii="宋体" w:hAnsi="宋体"/>
        </w:rPr>
        <w:t>（</w:t>
      </w:r>
      <w:r>
        <w:t>d</w:t>
      </w:r>
      <w:r>
        <w:rPr>
          <w:rFonts w:ascii="宋体" w:hAnsi="宋体"/>
        </w:rPr>
        <w:t>）预测内容</w:t>
      </w:r>
    </w:p>
    <w:p w:rsidR="004E3021" w:rsidRDefault="00606E48">
      <w:pPr>
        <w:ind w:firstLine="480"/>
      </w:pPr>
      <w:r>
        <w:rPr>
          <w:rFonts w:ascii="宋体" w:hAnsi="宋体"/>
        </w:rPr>
        <w:t>本次预测及评价内容见表</w:t>
      </w:r>
      <w:r>
        <w:t>5.1.</w:t>
      </w:r>
      <w:r>
        <w:rPr>
          <w:rFonts w:hint="eastAsia"/>
        </w:rPr>
        <w:t>3</w:t>
      </w:r>
      <w:r>
        <w:t>-</w:t>
      </w:r>
      <w:r>
        <w:rPr>
          <w:rFonts w:hint="eastAsia"/>
        </w:rPr>
        <w:t>3</w:t>
      </w:r>
      <w:r>
        <w:rPr>
          <w:rFonts w:ascii="宋体" w:hAnsi="宋体"/>
        </w:rPr>
        <w:t>。</w:t>
      </w:r>
    </w:p>
    <w:p w:rsidR="004E3021" w:rsidRDefault="00606E48">
      <w:pPr>
        <w:pStyle w:val="afffff4"/>
        <w:ind w:firstLine="480"/>
      </w:pPr>
      <w:r>
        <w:rPr>
          <w:rFonts w:ascii="黑体" w:hAnsi="黑体"/>
        </w:rPr>
        <w:t>表</w:t>
      </w:r>
      <w:r>
        <w:t>5.1.</w:t>
      </w:r>
      <w:r>
        <w:rPr>
          <w:rFonts w:hint="eastAsia"/>
        </w:rPr>
        <w:t>3</w:t>
      </w:r>
      <w:r>
        <w:t>-</w:t>
      </w:r>
      <w:r>
        <w:rPr>
          <w:rFonts w:hint="eastAsia"/>
        </w:rPr>
        <w:t>3</w:t>
      </w:r>
      <w:r>
        <w:t xml:space="preserve">  </w:t>
      </w:r>
      <w:r>
        <w:rPr>
          <w:rFonts w:ascii="黑体" w:hAnsi="黑体"/>
        </w:rPr>
        <w:t>本项目预测及评价内容</w:t>
      </w:r>
    </w:p>
    <w:tbl>
      <w:tblPr>
        <w:tblStyle w:val="afff"/>
        <w:tblW w:w="5000" w:type="pct"/>
        <w:tblLook w:val="04A0" w:firstRow="1" w:lastRow="0" w:firstColumn="1" w:lastColumn="0" w:noHBand="0" w:noVBand="1"/>
      </w:tblPr>
      <w:tblGrid>
        <w:gridCol w:w="704"/>
        <w:gridCol w:w="1085"/>
        <w:gridCol w:w="2092"/>
        <w:gridCol w:w="1038"/>
        <w:gridCol w:w="2192"/>
        <w:gridCol w:w="1916"/>
      </w:tblGrid>
      <w:tr w:rsidR="004E3021" w:rsidRPr="008D68B3" w:rsidTr="008D68B3">
        <w:tc>
          <w:tcPr>
            <w:tcW w:w="390"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评价</w:t>
            </w:r>
          </w:p>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对象</w:t>
            </w:r>
          </w:p>
        </w:tc>
        <w:tc>
          <w:tcPr>
            <w:tcW w:w="601"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污染源</w:t>
            </w:r>
          </w:p>
        </w:tc>
        <w:tc>
          <w:tcPr>
            <w:tcW w:w="1159"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预测因子</w:t>
            </w:r>
          </w:p>
        </w:tc>
        <w:tc>
          <w:tcPr>
            <w:tcW w:w="575"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污染源</w:t>
            </w:r>
          </w:p>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排放形式</w:t>
            </w:r>
          </w:p>
        </w:tc>
        <w:tc>
          <w:tcPr>
            <w:tcW w:w="1214"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预测内容</w:t>
            </w:r>
          </w:p>
        </w:tc>
        <w:tc>
          <w:tcPr>
            <w:tcW w:w="1061"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评价内容</w:t>
            </w:r>
          </w:p>
        </w:tc>
      </w:tr>
      <w:tr w:rsidR="004E3021" w:rsidRPr="008D68B3" w:rsidTr="008D68B3">
        <w:tc>
          <w:tcPr>
            <w:tcW w:w="390" w:type="pct"/>
            <w:vMerge w:val="restar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不达标区</w:t>
            </w:r>
            <w:r w:rsidRPr="008D68B3">
              <w:rPr>
                <w:rFonts w:ascii="Times New Roman" w:hAnsi="Times New Roman" w:cs="Times New Roman"/>
                <w:kern w:val="0"/>
                <w:sz w:val="21"/>
                <w:szCs w:val="21"/>
              </w:rPr>
              <w:lastRenderedPageBreak/>
              <w:t>评价项目</w:t>
            </w:r>
          </w:p>
        </w:tc>
        <w:tc>
          <w:tcPr>
            <w:tcW w:w="601"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lastRenderedPageBreak/>
              <w:t>新增污染源</w:t>
            </w:r>
          </w:p>
        </w:tc>
        <w:tc>
          <w:tcPr>
            <w:tcW w:w="1159" w:type="pct"/>
            <w:vAlign w:val="center"/>
          </w:tcPr>
          <w:p w:rsidR="004E3021" w:rsidRPr="008D68B3" w:rsidRDefault="00606E48" w:rsidP="00286CBE">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PM</w:t>
            </w:r>
            <w:r w:rsidRPr="008D68B3">
              <w:rPr>
                <w:rFonts w:ascii="Times New Roman" w:hAnsi="Times New Roman" w:cs="Times New Roman"/>
                <w:kern w:val="0"/>
                <w:sz w:val="21"/>
                <w:szCs w:val="21"/>
                <w:vertAlign w:val="subscript"/>
              </w:rPr>
              <w:t>10</w:t>
            </w:r>
            <w:r w:rsidRPr="008D68B3">
              <w:rPr>
                <w:rFonts w:ascii="Times New Roman" w:hAnsi="Times New Roman" w:cs="Times New Roman"/>
                <w:kern w:val="0"/>
                <w:sz w:val="21"/>
                <w:szCs w:val="21"/>
              </w:rPr>
              <w:t>、</w:t>
            </w:r>
            <w:r w:rsidRPr="008D68B3">
              <w:rPr>
                <w:rFonts w:ascii="Times New Roman" w:hAnsi="Times New Roman" w:cs="Times New Roman"/>
                <w:kern w:val="0"/>
                <w:sz w:val="21"/>
                <w:szCs w:val="21"/>
              </w:rPr>
              <w:t>PM</w:t>
            </w:r>
            <w:r w:rsidRPr="008D68B3">
              <w:rPr>
                <w:rFonts w:ascii="Times New Roman" w:hAnsi="Times New Roman" w:cs="Times New Roman"/>
                <w:kern w:val="0"/>
                <w:sz w:val="21"/>
                <w:szCs w:val="21"/>
                <w:vertAlign w:val="subscript"/>
              </w:rPr>
              <w:t>2.5</w:t>
            </w:r>
            <w:r w:rsidRPr="008D68B3">
              <w:rPr>
                <w:rFonts w:ascii="Times New Roman" w:hAnsi="Times New Roman" w:cs="Times New Roman"/>
                <w:kern w:val="0"/>
                <w:sz w:val="21"/>
                <w:szCs w:val="21"/>
              </w:rPr>
              <w:t>、</w:t>
            </w:r>
            <w:r w:rsidRPr="008D68B3">
              <w:rPr>
                <w:rFonts w:ascii="Times New Roman" w:hAnsi="Times New Roman" w:cs="Times New Roman"/>
                <w:kern w:val="0"/>
                <w:sz w:val="21"/>
                <w:szCs w:val="21"/>
              </w:rPr>
              <w:t>NH</w:t>
            </w:r>
            <w:r w:rsidRPr="008D68B3">
              <w:rPr>
                <w:rFonts w:ascii="Times New Roman" w:hAnsi="Times New Roman" w:cs="Times New Roman"/>
                <w:kern w:val="0"/>
                <w:sz w:val="21"/>
                <w:szCs w:val="21"/>
                <w:vertAlign w:val="subscript"/>
              </w:rPr>
              <w:t>3</w:t>
            </w:r>
            <w:r w:rsidRPr="008D68B3">
              <w:rPr>
                <w:rFonts w:ascii="Times New Roman" w:hAnsi="Times New Roman" w:cs="Times New Roman"/>
                <w:kern w:val="0"/>
                <w:sz w:val="21"/>
                <w:szCs w:val="21"/>
              </w:rPr>
              <w:t>、甲醇、非甲烷总烃</w:t>
            </w:r>
          </w:p>
        </w:tc>
        <w:tc>
          <w:tcPr>
            <w:tcW w:w="575"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正常排放</w:t>
            </w:r>
          </w:p>
        </w:tc>
        <w:tc>
          <w:tcPr>
            <w:tcW w:w="1214"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短期浓度</w:t>
            </w:r>
          </w:p>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长期浓度</w:t>
            </w:r>
          </w:p>
        </w:tc>
        <w:tc>
          <w:tcPr>
            <w:tcW w:w="1061"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最大浓度占标率</w:t>
            </w:r>
          </w:p>
        </w:tc>
      </w:tr>
      <w:tr w:rsidR="004E3021" w:rsidRPr="008D68B3" w:rsidTr="008D68B3">
        <w:tc>
          <w:tcPr>
            <w:tcW w:w="390" w:type="pct"/>
            <w:vMerge/>
            <w:vAlign w:val="center"/>
          </w:tcPr>
          <w:p w:rsidR="004E3021" w:rsidRPr="008D68B3" w:rsidRDefault="004E3021" w:rsidP="008D68B3">
            <w:pPr>
              <w:pStyle w:val="afffffff2"/>
              <w:rPr>
                <w:rFonts w:ascii="Times New Roman" w:hAnsi="Times New Roman" w:cs="Times New Roman"/>
                <w:kern w:val="0"/>
                <w:sz w:val="21"/>
                <w:szCs w:val="21"/>
              </w:rPr>
            </w:pPr>
          </w:p>
        </w:tc>
        <w:tc>
          <w:tcPr>
            <w:tcW w:w="601" w:type="pct"/>
            <w:vMerge w:val="restar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新增污染源</w:t>
            </w:r>
            <w:r w:rsidRPr="008D68B3">
              <w:rPr>
                <w:rFonts w:ascii="Times New Roman" w:hAnsi="Times New Roman" w:cs="Times New Roman"/>
                <w:kern w:val="0"/>
                <w:sz w:val="21"/>
                <w:szCs w:val="21"/>
              </w:rPr>
              <w:t>+</w:t>
            </w:r>
            <w:r w:rsidRPr="008D68B3">
              <w:rPr>
                <w:rFonts w:ascii="Times New Roman" w:hAnsi="Times New Roman" w:cs="Times New Roman"/>
                <w:kern w:val="0"/>
                <w:sz w:val="21"/>
                <w:szCs w:val="21"/>
              </w:rPr>
              <w:t>其他在建、拟建污染源</w:t>
            </w:r>
          </w:p>
        </w:tc>
        <w:tc>
          <w:tcPr>
            <w:tcW w:w="1159" w:type="pct"/>
            <w:vAlign w:val="center"/>
          </w:tcPr>
          <w:p w:rsidR="004E3021" w:rsidRPr="008D68B3" w:rsidRDefault="00606E48" w:rsidP="00286CBE">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现状达标因子甲醇、</w:t>
            </w:r>
            <w:r w:rsidRPr="008D68B3">
              <w:rPr>
                <w:rFonts w:ascii="Times New Roman" w:hAnsi="Times New Roman" w:cs="Times New Roman"/>
                <w:kern w:val="0"/>
                <w:sz w:val="21"/>
                <w:szCs w:val="21"/>
              </w:rPr>
              <w:t>NH</w:t>
            </w:r>
            <w:r w:rsidRPr="008D68B3">
              <w:rPr>
                <w:rFonts w:ascii="Times New Roman" w:hAnsi="Times New Roman" w:cs="Times New Roman"/>
                <w:kern w:val="0"/>
                <w:sz w:val="21"/>
                <w:szCs w:val="21"/>
                <w:vertAlign w:val="subscript"/>
              </w:rPr>
              <w:t>3</w:t>
            </w:r>
            <w:r w:rsidRPr="008D68B3">
              <w:rPr>
                <w:rFonts w:ascii="Times New Roman" w:hAnsi="Times New Roman" w:cs="Times New Roman"/>
                <w:kern w:val="0"/>
                <w:sz w:val="21"/>
                <w:szCs w:val="21"/>
              </w:rPr>
              <w:t>、非甲烷总烃</w:t>
            </w:r>
          </w:p>
        </w:tc>
        <w:tc>
          <w:tcPr>
            <w:tcW w:w="575"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正常排放</w:t>
            </w:r>
          </w:p>
        </w:tc>
        <w:tc>
          <w:tcPr>
            <w:tcW w:w="1214"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短期浓度</w:t>
            </w:r>
          </w:p>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长期浓度</w:t>
            </w:r>
          </w:p>
        </w:tc>
        <w:tc>
          <w:tcPr>
            <w:tcW w:w="1061"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叠加环境质量现状浓度后日平均质量浓度和年平均质量浓度的占标率或短期浓度的达标情况</w:t>
            </w:r>
          </w:p>
        </w:tc>
      </w:tr>
      <w:tr w:rsidR="004E3021" w:rsidRPr="008D68B3" w:rsidTr="008D68B3">
        <w:tc>
          <w:tcPr>
            <w:tcW w:w="390" w:type="pct"/>
            <w:vMerge/>
            <w:vAlign w:val="center"/>
          </w:tcPr>
          <w:p w:rsidR="004E3021" w:rsidRPr="008D68B3" w:rsidRDefault="004E3021" w:rsidP="008D68B3">
            <w:pPr>
              <w:pStyle w:val="afffffff2"/>
              <w:rPr>
                <w:rFonts w:ascii="Times New Roman" w:hAnsi="Times New Roman" w:cs="Times New Roman"/>
                <w:kern w:val="0"/>
                <w:sz w:val="21"/>
                <w:szCs w:val="21"/>
              </w:rPr>
            </w:pPr>
          </w:p>
        </w:tc>
        <w:tc>
          <w:tcPr>
            <w:tcW w:w="601" w:type="pct"/>
            <w:vMerge/>
            <w:vAlign w:val="center"/>
          </w:tcPr>
          <w:p w:rsidR="004E3021" w:rsidRPr="008D68B3" w:rsidRDefault="004E3021" w:rsidP="008D68B3">
            <w:pPr>
              <w:pStyle w:val="afffffff2"/>
              <w:rPr>
                <w:rFonts w:ascii="Times New Roman" w:hAnsi="Times New Roman" w:cs="Times New Roman"/>
                <w:kern w:val="0"/>
                <w:sz w:val="21"/>
                <w:szCs w:val="21"/>
              </w:rPr>
            </w:pPr>
          </w:p>
        </w:tc>
        <w:tc>
          <w:tcPr>
            <w:tcW w:w="1159" w:type="pct"/>
            <w:vAlign w:val="center"/>
          </w:tcPr>
          <w:p w:rsidR="004E3021" w:rsidRPr="008D68B3" w:rsidRDefault="00606E48" w:rsidP="00CD011F">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现状超标因子</w:t>
            </w:r>
            <w:r w:rsidRPr="008D68B3">
              <w:rPr>
                <w:rFonts w:ascii="Times New Roman" w:hAnsi="Times New Roman" w:cs="Times New Roman"/>
                <w:kern w:val="0"/>
                <w:sz w:val="21"/>
                <w:szCs w:val="21"/>
              </w:rPr>
              <w:t>PM</w:t>
            </w:r>
            <w:r w:rsidR="00CD011F">
              <w:rPr>
                <w:rFonts w:ascii="Times New Roman" w:hAnsi="Times New Roman" w:cs="Times New Roman"/>
                <w:kern w:val="0"/>
                <w:sz w:val="21"/>
                <w:szCs w:val="21"/>
                <w:vertAlign w:val="subscript"/>
              </w:rPr>
              <w:t>2.5</w:t>
            </w:r>
          </w:p>
        </w:tc>
        <w:tc>
          <w:tcPr>
            <w:tcW w:w="575"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正常排放</w:t>
            </w:r>
          </w:p>
        </w:tc>
        <w:tc>
          <w:tcPr>
            <w:tcW w:w="1214"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年平均质量浓度</w:t>
            </w:r>
          </w:p>
        </w:tc>
        <w:tc>
          <w:tcPr>
            <w:tcW w:w="1061"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评价年平均质量浓度变化率</w:t>
            </w:r>
          </w:p>
        </w:tc>
      </w:tr>
      <w:tr w:rsidR="004E3021" w:rsidRPr="008D68B3" w:rsidTr="008D68B3">
        <w:tc>
          <w:tcPr>
            <w:tcW w:w="390" w:type="pct"/>
            <w:vMerge/>
            <w:vAlign w:val="center"/>
          </w:tcPr>
          <w:p w:rsidR="004E3021" w:rsidRPr="008D68B3" w:rsidRDefault="004E3021" w:rsidP="008D68B3">
            <w:pPr>
              <w:pStyle w:val="afffffff2"/>
              <w:rPr>
                <w:rFonts w:ascii="Times New Roman" w:hAnsi="Times New Roman" w:cs="Times New Roman"/>
                <w:kern w:val="0"/>
                <w:sz w:val="21"/>
                <w:szCs w:val="21"/>
              </w:rPr>
            </w:pPr>
          </w:p>
        </w:tc>
        <w:tc>
          <w:tcPr>
            <w:tcW w:w="601"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新增污染源</w:t>
            </w:r>
          </w:p>
        </w:tc>
        <w:tc>
          <w:tcPr>
            <w:tcW w:w="1159" w:type="pct"/>
            <w:vAlign w:val="center"/>
          </w:tcPr>
          <w:p w:rsidR="004E3021" w:rsidRPr="008D68B3" w:rsidRDefault="00606E48" w:rsidP="00286CBE">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PM</w:t>
            </w:r>
            <w:r w:rsidRPr="008D68B3">
              <w:rPr>
                <w:rFonts w:ascii="Times New Roman" w:hAnsi="Times New Roman" w:cs="Times New Roman"/>
                <w:kern w:val="0"/>
                <w:sz w:val="21"/>
                <w:szCs w:val="21"/>
                <w:vertAlign w:val="subscript"/>
              </w:rPr>
              <w:t>10</w:t>
            </w:r>
            <w:r w:rsidRPr="008D68B3">
              <w:rPr>
                <w:rFonts w:ascii="Times New Roman" w:hAnsi="Times New Roman" w:cs="Times New Roman"/>
                <w:kern w:val="0"/>
                <w:sz w:val="21"/>
                <w:szCs w:val="21"/>
              </w:rPr>
              <w:t>、</w:t>
            </w:r>
            <w:r w:rsidRPr="008D68B3">
              <w:rPr>
                <w:rFonts w:ascii="Times New Roman" w:hAnsi="Times New Roman" w:cs="Times New Roman"/>
                <w:kern w:val="0"/>
                <w:sz w:val="21"/>
                <w:szCs w:val="21"/>
              </w:rPr>
              <w:t>PM</w:t>
            </w:r>
            <w:r w:rsidRPr="008D68B3">
              <w:rPr>
                <w:rFonts w:ascii="Times New Roman" w:hAnsi="Times New Roman" w:cs="Times New Roman"/>
                <w:kern w:val="0"/>
                <w:sz w:val="21"/>
                <w:szCs w:val="21"/>
                <w:vertAlign w:val="subscript"/>
              </w:rPr>
              <w:t>2.5</w:t>
            </w:r>
            <w:r w:rsidRPr="008D68B3">
              <w:rPr>
                <w:rFonts w:ascii="Times New Roman" w:hAnsi="Times New Roman" w:cs="Times New Roman"/>
                <w:kern w:val="0"/>
                <w:sz w:val="21"/>
                <w:szCs w:val="21"/>
              </w:rPr>
              <w:t>、甲醇、非甲烷总烃、</w:t>
            </w:r>
            <w:r w:rsidRPr="008D68B3">
              <w:rPr>
                <w:rFonts w:ascii="Times New Roman" w:hAnsi="Times New Roman" w:cs="Times New Roman"/>
                <w:kern w:val="0"/>
                <w:sz w:val="21"/>
                <w:szCs w:val="21"/>
              </w:rPr>
              <w:t>NH</w:t>
            </w:r>
            <w:r w:rsidRPr="008D68B3">
              <w:rPr>
                <w:rFonts w:ascii="Times New Roman" w:hAnsi="Times New Roman" w:cs="Times New Roman"/>
                <w:kern w:val="0"/>
                <w:sz w:val="21"/>
                <w:szCs w:val="21"/>
                <w:vertAlign w:val="subscript"/>
              </w:rPr>
              <w:t>3</w:t>
            </w:r>
            <w:r w:rsidR="00286CBE" w:rsidRPr="008D68B3">
              <w:rPr>
                <w:rFonts w:ascii="Times New Roman" w:hAnsi="Times New Roman" w:cs="Times New Roman"/>
                <w:kern w:val="0"/>
                <w:sz w:val="21"/>
                <w:szCs w:val="21"/>
              </w:rPr>
              <w:t xml:space="preserve"> </w:t>
            </w:r>
          </w:p>
        </w:tc>
        <w:tc>
          <w:tcPr>
            <w:tcW w:w="575"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非正常排放</w:t>
            </w:r>
          </w:p>
        </w:tc>
        <w:tc>
          <w:tcPr>
            <w:tcW w:w="1214"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1h</w:t>
            </w:r>
            <w:r w:rsidRPr="008D68B3">
              <w:rPr>
                <w:rFonts w:ascii="Times New Roman" w:hAnsi="Times New Roman" w:cs="Times New Roman"/>
                <w:kern w:val="0"/>
                <w:sz w:val="21"/>
                <w:szCs w:val="21"/>
              </w:rPr>
              <w:t>评价质量浓度</w:t>
            </w:r>
          </w:p>
        </w:tc>
        <w:tc>
          <w:tcPr>
            <w:tcW w:w="1061"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最大浓度占标率</w:t>
            </w:r>
          </w:p>
        </w:tc>
      </w:tr>
      <w:tr w:rsidR="004E3021" w:rsidRPr="008D68B3" w:rsidTr="008D68B3">
        <w:tc>
          <w:tcPr>
            <w:tcW w:w="390"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大气环境防护距离</w:t>
            </w:r>
          </w:p>
        </w:tc>
        <w:tc>
          <w:tcPr>
            <w:tcW w:w="601"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新增污染源</w:t>
            </w:r>
          </w:p>
        </w:tc>
        <w:tc>
          <w:tcPr>
            <w:tcW w:w="1159" w:type="pct"/>
            <w:vAlign w:val="center"/>
          </w:tcPr>
          <w:p w:rsidR="004E3021" w:rsidRPr="008D68B3" w:rsidRDefault="00606E48" w:rsidP="00AC36DC">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PM</w:t>
            </w:r>
            <w:r w:rsidRPr="008D68B3">
              <w:rPr>
                <w:rFonts w:ascii="Times New Roman" w:hAnsi="Times New Roman" w:cs="Times New Roman"/>
                <w:kern w:val="0"/>
                <w:sz w:val="21"/>
                <w:szCs w:val="21"/>
                <w:vertAlign w:val="subscript"/>
              </w:rPr>
              <w:t>10</w:t>
            </w:r>
            <w:r w:rsidRPr="008D68B3">
              <w:rPr>
                <w:rFonts w:ascii="Times New Roman" w:hAnsi="Times New Roman" w:cs="Times New Roman"/>
                <w:kern w:val="0"/>
                <w:sz w:val="21"/>
                <w:szCs w:val="21"/>
              </w:rPr>
              <w:t>、</w:t>
            </w:r>
            <w:r w:rsidRPr="008D68B3">
              <w:rPr>
                <w:rFonts w:ascii="Times New Roman" w:hAnsi="Times New Roman" w:cs="Times New Roman"/>
                <w:kern w:val="0"/>
                <w:sz w:val="21"/>
                <w:szCs w:val="21"/>
              </w:rPr>
              <w:t>PM</w:t>
            </w:r>
            <w:r w:rsidRPr="008D68B3">
              <w:rPr>
                <w:rFonts w:ascii="Times New Roman" w:hAnsi="Times New Roman" w:cs="Times New Roman"/>
                <w:kern w:val="0"/>
                <w:sz w:val="21"/>
                <w:szCs w:val="21"/>
                <w:vertAlign w:val="subscript"/>
              </w:rPr>
              <w:t>2.5</w:t>
            </w:r>
            <w:r w:rsidRPr="008D68B3">
              <w:rPr>
                <w:rFonts w:ascii="Times New Roman" w:hAnsi="Times New Roman" w:cs="Times New Roman"/>
                <w:kern w:val="0"/>
                <w:sz w:val="21"/>
                <w:szCs w:val="21"/>
              </w:rPr>
              <w:t>、甲醇、非甲烷总烃</w:t>
            </w:r>
            <w:r w:rsidR="008D68B3" w:rsidRPr="008D68B3">
              <w:rPr>
                <w:rFonts w:ascii="Times New Roman" w:hAnsi="Times New Roman" w:cs="Times New Roman"/>
                <w:kern w:val="0"/>
                <w:sz w:val="21"/>
                <w:szCs w:val="21"/>
              </w:rPr>
              <w:t>、硫化氢</w:t>
            </w:r>
          </w:p>
        </w:tc>
        <w:tc>
          <w:tcPr>
            <w:tcW w:w="575"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正常排放</w:t>
            </w:r>
          </w:p>
        </w:tc>
        <w:tc>
          <w:tcPr>
            <w:tcW w:w="1214"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短期浓度</w:t>
            </w:r>
          </w:p>
        </w:tc>
        <w:tc>
          <w:tcPr>
            <w:tcW w:w="1061" w:type="pct"/>
            <w:vAlign w:val="center"/>
          </w:tcPr>
          <w:p w:rsidR="004E3021" w:rsidRPr="008D68B3" w:rsidRDefault="00606E48" w:rsidP="008D68B3">
            <w:pPr>
              <w:pStyle w:val="afffffff2"/>
              <w:rPr>
                <w:rFonts w:ascii="Times New Roman" w:hAnsi="Times New Roman" w:cs="Times New Roman"/>
                <w:kern w:val="0"/>
                <w:sz w:val="21"/>
                <w:szCs w:val="21"/>
              </w:rPr>
            </w:pPr>
            <w:r w:rsidRPr="008D68B3">
              <w:rPr>
                <w:rFonts w:ascii="Times New Roman" w:hAnsi="Times New Roman" w:cs="Times New Roman"/>
                <w:kern w:val="0"/>
                <w:sz w:val="21"/>
                <w:szCs w:val="21"/>
              </w:rPr>
              <w:t>大气环境防护距离</w:t>
            </w:r>
          </w:p>
        </w:tc>
      </w:tr>
    </w:tbl>
    <w:p w:rsidR="004E3021" w:rsidRDefault="00606E48">
      <w:pPr>
        <w:ind w:firstLine="482"/>
        <w:rPr>
          <w:b/>
        </w:rPr>
      </w:pPr>
      <w:r>
        <w:rPr>
          <w:rFonts w:ascii="宋体" w:hAnsi="宋体"/>
          <w:b/>
        </w:rPr>
        <w:t>（</w:t>
      </w:r>
      <w:r>
        <w:rPr>
          <w:rFonts w:hint="eastAsia"/>
          <w:b/>
        </w:rPr>
        <w:t>3</w:t>
      </w:r>
      <w:r>
        <w:rPr>
          <w:rFonts w:ascii="宋体" w:hAnsi="宋体"/>
          <w:b/>
        </w:rPr>
        <w:t>）</w:t>
      </w:r>
      <w:r>
        <w:rPr>
          <w:rFonts w:ascii="宋体" w:hAnsi="宋体" w:hint="eastAsia"/>
          <w:b/>
        </w:rPr>
        <w:t>地表参数</w:t>
      </w:r>
    </w:p>
    <w:p w:rsidR="004E3021" w:rsidRDefault="00606E48">
      <w:pPr>
        <w:overflowPunct w:val="0"/>
        <w:autoSpaceDE w:val="0"/>
        <w:autoSpaceDN w:val="0"/>
        <w:ind w:firstLine="480"/>
        <w:textAlignment w:val="baseline"/>
        <w:rPr>
          <w:rFonts w:ascii="宋体" w:hAnsi="宋体"/>
        </w:rPr>
      </w:pPr>
      <w:r>
        <w:rPr>
          <w:rFonts w:ascii="宋体" w:hAnsi="宋体"/>
        </w:rPr>
        <w:t>地面特征参数按照</w:t>
      </w:r>
      <w:r>
        <w:t xml:space="preserve">AERMOD </w:t>
      </w:r>
      <w:r>
        <w:rPr>
          <w:rFonts w:ascii="宋体" w:hAnsi="宋体"/>
        </w:rPr>
        <w:t>通用地表类型选取，详见表</w:t>
      </w:r>
      <w:r>
        <w:t>5.1</w:t>
      </w:r>
      <w:r>
        <w:rPr>
          <w:rFonts w:hint="eastAsia"/>
        </w:rPr>
        <w:t>.3-4</w:t>
      </w:r>
      <w:r>
        <w:rPr>
          <w:rFonts w:ascii="宋体" w:hAnsi="宋体"/>
        </w:rPr>
        <w:t>。</w:t>
      </w:r>
    </w:p>
    <w:p w:rsidR="004E3021" w:rsidRDefault="00606E48">
      <w:pPr>
        <w:pStyle w:val="afffff4"/>
        <w:ind w:firstLine="480"/>
      </w:pPr>
      <w:r>
        <w:rPr>
          <w:rFonts w:ascii="黑体" w:hAnsi="黑体"/>
        </w:rPr>
        <w:t>表</w:t>
      </w:r>
      <w:r>
        <w:t>5.1</w:t>
      </w:r>
      <w:r>
        <w:rPr>
          <w:rFonts w:hint="eastAsia"/>
        </w:rPr>
        <w:t>.3-4</w:t>
      </w:r>
      <w:r>
        <w:t xml:space="preserve">  </w:t>
      </w:r>
      <w:r>
        <w:rPr>
          <w:rFonts w:ascii="黑体" w:hAnsi="黑体" w:hint="eastAsia"/>
        </w:rPr>
        <w:t>厂址</w:t>
      </w:r>
      <w:r>
        <w:rPr>
          <w:rFonts w:ascii="黑体" w:hAnsi="黑体"/>
        </w:rPr>
        <w:t>区域地面参数特征</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27"/>
        <w:gridCol w:w="1181"/>
        <w:gridCol w:w="2416"/>
        <w:gridCol w:w="1842"/>
        <w:gridCol w:w="1433"/>
        <w:gridCol w:w="1228"/>
      </w:tblGrid>
      <w:tr w:rsidR="004E3021" w:rsidRPr="00AC36DC">
        <w:trPr>
          <w:jc w:val="center"/>
        </w:trPr>
        <w:tc>
          <w:tcPr>
            <w:tcW w:w="513" w:type="pct"/>
            <w:vAlign w:val="center"/>
          </w:tcPr>
          <w:p w:rsidR="004E3021" w:rsidRPr="00AC36DC" w:rsidRDefault="00606E48">
            <w:pPr>
              <w:pStyle w:val="afffffff2"/>
              <w:rPr>
                <w:b/>
                <w:sz w:val="21"/>
                <w:szCs w:val="21"/>
              </w:rPr>
            </w:pPr>
            <w:r w:rsidRPr="00AC36DC">
              <w:rPr>
                <w:b/>
                <w:sz w:val="21"/>
                <w:szCs w:val="21"/>
              </w:rPr>
              <w:t>序号</w:t>
            </w:r>
          </w:p>
        </w:tc>
        <w:tc>
          <w:tcPr>
            <w:tcW w:w="654" w:type="pct"/>
            <w:vAlign w:val="center"/>
          </w:tcPr>
          <w:p w:rsidR="004E3021" w:rsidRPr="00AC36DC" w:rsidRDefault="00606E48">
            <w:pPr>
              <w:pStyle w:val="afffffff2"/>
              <w:rPr>
                <w:b/>
                <w:sz w:val="21"/>
                <w:szCs w:val="21"/>
              </w:rPr>
            </w:pPr>
            <w:r w:rsidRPr="00AC36DC">
              <w:rPr>
                <w:b/>
                <w:sz w:val="21"/>
                <w:szCs w:val="21"/>
              </w:rPr>
              <w:t>扇区</w:t>
            </w:r>
          </w:p>
        </w:tc>
        <w:tc>
          <w:tcPr>
            <w:tcW w:w="1338" w:type="pct"/>
            <w:vAlign w:val="center"/>
          </w:tcPr>
          <w:p w:rsidR="004E3021" w:rsidRPr="00AC36DC" w:rsidRDefault="00606E48">
            <w:pPr>
              <w:pStyle w:val="afffffff2"/>
              <w:rPr>
                <w:b/>
                <w:sz w:val="21"/>
                <w:szCs w:val="21"/>
              </w:rPr>
            </w:pPr>
            <w:r w:rsidRPr="00AC36DC">
              <w:rPr>
                <w:b/>
                <w:sz w:val="21"/>
                <w:szCs w:val="21"/>
              </w:rPr>
              <w:t>时段</w:t>
            </w:r>
          </w:p>
        </w:tc>
        <w:tc>
          <w:tcPr>
            <w:tcW w:w="1020" w:type="pct"/>
            <w:vAlign w:val="center"/>
          </w:tcPr>
          <w:p w:rsidR="004E3021" w:rsidRPr="00AC36DC" w:rsidRDefault="00606E48">
            <w:pPr>
              <w:pStyle w:val="afffffff2"/>
              <w:rPr>
                <w:b/>
                <w:sz w:val="21"/>
                <w:szCs w:val="21"/>
              </w:rPr>
            </w:pPr>
            <w:r w:rsidRPr="00AC36DC">
              <w:rPr>
                <w:b/>
                <w:sz w:val="21"/>
                <w:szCs w:val="21"/>
              </w:rPr>
              <w:t>正午反照率</w:t>
            </w:r>
          </w:p>
        </w:tc>
        <w:tc>
          <w:tcPr>
            <w:tcW w:w="794" w:type="pct"/>
            <w:vAlign w:val="center"/>
          </w:tcPr>
          <w:p w:rsidR="004E3021" w:rsidRPr="00AC36DC" w:rsidRDefault="00606E48">
            <w:pPr>
              <w:pStyle w:val="afffffff2"/>
              <w:rPr>
                <w:b/>
                <w:sz w:val="21"/>
                <w:szCs w:val="21"/>
              </w:rPr>
            </w:pPr>
            <w:r w:rsidRPr="00AC36DC">
              <w:rPr>
                <w:b/>
                <w:sz w:val="21"/>
                <w:szCs w:val="21"/>
              </w:rPr>
              <w:t>BOWEN</w:t>
            </w:r>
          </w:p>
        </w:tc>
        <w:tc>
          <w:tcPr>
            <w:tcW w:w="680" w:type="pct"/>
            <w:vAlign w:val="center"/>
          </w:tcPr>
          <w:p w:rsidR="004E3021" w:rsidRPr="00AC36DC" w:rsidRDefault="00606E48">
            <w:pPr>
              <w:pStyle w:val="afffffff2"/>
              <w:rPr>
                <w:b/>
                <w:sz w:val="21"/>
                <w:szCs w:val="21"/>
              </w:rPr>
            </w:pPr>
            <w:r w:rsidRPr="00AC36DC">
              <w:rPr>
                <w:b/>
                <w:sz w:val="21"/>
                <w:szCs w:val="21"/>
              </w:rPr>
              <w:t>粗糙度</w:t>
            </w:r>
          </w:p>
        </w:tc>
      </w:tr>
      <w:tr w:rsidR="004E3021" w:rsidRPr="00AC36DC">
        <w:trPr>
          <w:jc w:val="center"/>
        </w:trPr>
        <w:tc>
          <w:tcPr>
            <w:tcW w:w="513" w:type="pct"/>
            <w:vAlign w:val="center"/>
          </w:tcPr>
          <w:p w:rsidR="004E3021" w:rsidRPr="00AC36DC" w:rsidRDefault="00606E48">
            <w:pPr>
              <w:pStyle w:val="afffffff2"/>
              <w:rPr>
                <w:sz w:val="21"/>
                <w:szCs w:val="21"/>
              </w:rPr>
            </w:pPr>
            <w:r w:rsidRPr="00AC36DC">
              <w:rPr>
                <w:sz w:val="21"/>
                <w:szCs w:val="21"/>
              </w:rPr>
              <w:t>1</w:t>
            </w:r>
          </w:p>
        </w:tc>
        <w:tc>
          <w:tcPr>
            <w:tcW w:w="654" w:type="pct"/>
            <w:vMerge w:val="restart"/>
            <w:vAlign w:val="center"/>
          </w:tcPr>
          <w:p w:rsidR="004E3021" w:rsidRPr="00AC36DC" w:rsidRDefault="00606E48">
            <w:pPr>
              <w:pStyle w:val="afffffff2"/>
              <w:rPr>
                <w:sz w:val="21"/>
                <w:szCs w:val="21"/>
              </w:rPr>
            </w:pPr>
            <w:r w:rsidRPr="00AC36DC">
              <w:rPr>
                <w:sz w:val="21"/>
                <w:szCs w:val="21"/>
              </w:rPr>
              <w:t>0-360</w:t>
            </w:r>
          </w:p>
        </w:tc>
        <w:tc>
          <w:tcPr>
            <w:tcW w:w="1338" w:type="pct"/>
            <w:vAlign w:val="center"/>
          </w:tcPr>
          <w:p w:rsidR="004E3021" w:rsidRPr="00AC36DC" w:rsidRDefault="00606E48">
            <w:pPr>
              <w:pStyle w:val="afffffff2"/>
              <w:rPr>
                <w:sz w:val="21"/>
                <w:szCs w:val="21"/>
              </w:rPr>
            </w:pPr>
            <w:r w:rsidRPr="00AC36DC">
              <w:rPr>
                <w:sz w:val="21"/>
                <w:szCs w:val="21"/>
              </w:rPr>
              <w:t>冬季</w:t>
            </w:r>
            <w:r w:rsidRPr="00AC36DC">
              <w:rPr>
                <w:sz w:val="21"/>
                <w:szCs w:val="21"/>
              </w:rPr>
              <w:t>(12,1,2</w:t>
            </w:r>
            <w:r w:rsidRPr="00AC36DC">
              <w:rPr>
                <w:sz w:val="21"/>
                <w:szCs w:val="21"/>
              </w:rPr>
              <w:t>月</w:t>
            </w:r>
            <w:r w:rsidRPr="00AC36DC">
              <w:rPr>
                <w:sz w:val="21"/>
                <w:szCs w:val="21"/>
              </w:rPr>
              <w:t>)</w:t>
            </w:r>
          </w:p>
        </w:tc>
        <w:tc>
          <w:tcPr>
            <w:tcW w:w="1020" w:type="pct"/>
          </w:tcPr>
          <w:p w:rsidR="004E3021" w:rsidRPr="00AC36DC" w:rsidRDefault="00606E48">
            <w:pPr>
              <w:pStyle w:val="afffffff2"/>
              <w:rPr>
                <w:sz w:val="21"/>
                <w:szCs w:val="21"/>
              </w:rPr>
            </w:pPr>
            <w:r w:rsidRPr="00AC36DC">
              <w:rPr>
                <w:sz w:val="21"/>
                <w:szCs w:val="21"/>
              </w:rPr>
              <w:t>0.6</w:t>
            </w:r>
          </w:p>
        </w:tc>
        <w:tc>
          <w:tcPr>
            <w:tcW w:w="794" w:type="pct"/>
          </w:tcPr>
          <w:p w:rsidR="004E3021" w:rsidRPr="00AC36DC" w:rsidRDefault="00606E48">
            <w:pPr>
              <w:pStyle w:val="afffffff2"/>
              <w:rPr>
                <w:sz w:val="21"/>
                <w:szCs w:val="21"/>
              </w:rPr>
            </w:pPr>
            <w:r w:rsidRPr="00AC36DC">
              <w:rPr>
                <w:sz w:val="21"/>
                <w:szCs w:val="21"/>
              </w:rPr>
              <w:t>1.5</w:t>
            </w:r>
          </w:p>
        </w:tc>
        <w:tc>
          <w:tcPr>
            <w:tcW w:w="680" w:type="pct"/>
          </w:tcPr>
          <w:p w:rsidR="004E3021" w:rsidRPr="00AC36DC" w:rsidRDefault="00606E48">
            <w:pPr>
              <w:pStyle w:val="afffffff2"/>
              <w:rPr>
                <w:sz w:val="21"/>
                <w:szCs w:val="21"/>
              </w:rPr>
            </w:pPr>
            <w:r w:rsidRPr="00AC36DC">
              <w:rPr>
                <w:sz w:val="21"/>
                <w:szCs w:val="21"/>
              </w:rPr>
              <w:t>0.01</w:t>
            </w:r>
          </w:p>
        </w:tc>
      </w:tr>
      <w:tr w:rsidR="004E3021" w:rsidRPr="00AC36DC">
        <w:trPr>
          <w:jc w:val="center"/>
        </w:trPr>
        <w:tc>
          <w:tcPr>
            <w:tcW w:w="513" w:type="pct"/>
            <w:vAlign w:val="center"/>
          </w:tcPr>
          <w:p w:rsidR="004E3021" w:rsidRPr="00AC36DC" w:rsidRDefault="00606E48">
            <w:pPr>
              <w:pStyle w:val="afffffff2"/>
              <w:rPr>
                <w:sz w:val="21"/>
                <w:szCs w:val="21"/>
              </w:rPr>
            </w:pPr>
            <w:r w:rsidRPr="00AC36DC">
              <w:rPr>
                <w:sz w:val="21"/>
                <w:szCs w:val="21"/>
              </w:rPr>
              <w:t>2</w:t>
            </w:r>
          </w:p>
        </w:tc>
        <w:tc>
          <w:tcPr>
            <w:tcW w:w="0" w:type="auto"/>
            <w:vMerge/>
            <w:vAlign w:val="center"/>
          </w:tcPr>
          <w:p w:rsidR="004E3021" w:rsidRPr="00AC36DC" w:rsidRDefault="004E3021">
            <w:pPr>
              <w:pStyle w:val="afffffff2"/>
              <w:rPr>
                <w:sz w:val="21"/>
                <w:szCs w:val="21"/>
              </w:rPr>
            </w:pPr>
          </w:p>
        </w:tc>
        <w:tc>
          <w:tcPr>
            <w:tcW w:w="1338" w:type="pct"/>
            <w:vAlign w:val="center"/>
          </w:tcPr>
          <w:p w:rsidR="004E3021" w:rsidRPr="00AC36DC" w:rsidRDefault="00606E48">
            <w:pPr>
              <w:pStyle w:val="afffffff2"/>
              <w:rPr>
                <w:sz w:val="21"/>
                <w:szCs w:val="21"/>
              </w:rPr>
            </w:pPr>
            <w:r w:rsidRPr="00AC36DC">
              <w:rPr>
                <w:sz w:val="21"/>
                <w:szCs w:val="21"/>
              </w:rPr>
              <w:t>春季</w:t>
            </w:r>
            <w:r w:rsidRPr="00AC36DC">
              <w:rPr>
                <w:sz w:val="21"/>
                <w:szCs w:val="21"/>
              </w:rPr>
              <w:t>(3,4,5</w:t>
            </w:r>
            <w:r w:rsidRPr="00AC36DC">
              <w:rPr>
                <w:sz w:val="21"/>
                <w:szCs w:val="21"/>
              </w:rPr>
              <w:t>月</w:t>
            </w:r>
            <w:r w:rsidRPr="00AC36DC">
              <w:rPr>
                <w:sz w:val="21"/>
                <w:szCs w:val="21"/>
              </w:rPr>
              <w:t>)</w:t>
            </w:r>
          </w:p>
        </w:tc>
        <w:tc>
          <w:tcPr>
            <w:tcW w:w="1020" w:type="pct"/>
          </w:tcPr>
          <w:p w:rsidR="004E3021" w:rsidRPr="00AC36DC" w:rsidRDefault="00606E48">
            <w:pPr>
              <w:pStyle w:val="afffffff2"/>
              <w:rPr>
                <w:sz w:val="21"/>
                <w:szCs w:val="21"/>
              </w:rPr>
            </w:pPr>
            <w:r w:rsidRPr="00AC36DC">
              <w:rPr>
                <w:sz w:val="21"/>
                <w:szCs w:val="21"/>
              </w:rPr>
              <w:t>0.14</w:t>
            </w:r>
          </w:p>
        </w:tc>
        <w:tc>
          <w:tcPr>
            <w:tcW w:w="794" w:type="pct"/>
          </w:tcPr>
          <w:p w:rsidR="004E3021" w:rsidRPr="00AC36DC" w:rsidRDefault="00606E48">
            <w:pPr>
              <w:pStyle w:val="afffffff2"/>
              <w:rPr>
                <w:sz w:val="21"/>
                <w:szCs w:val="21"/>
              </w:rPr>
            </w:pPr>
            <w:r w:rsidRPr="00AC36DC">
              <w:rPr>
                <w:sz w:val="21"/>
                <w:szCs w:val="21"/>
              </w:rPr>
              <w:t>0.3</w:t>
            </w:r>
          </w:p>
        </w:tc>
        <w:tc>
          <w:tcPr>
            <w:tcW w:w="680" w:type="pct"/>
          </w:tcPr>
          <w:p w:rsidR="004E3021" w:rsidRPr="00AC36DC" w:rsidRDefault="00606E48">
            <w:pPr>
              <w:pStyle w:val="afffffff2"/>
              <w:rPr>
                <w:sz w:val="21"/>
                <w:szCs w:val="21"/>
              </w:rPr>
            </w:pPr>
            <w:r w:rsidRPr="00AC36DC">
              <w:rPr>
                <w:sz w:val="21"/>
                <w:szCs w:val="21"/>
              </w:rPr>
              <w:t>0.03</w:t>
            </w:r>
          </w:p>
        </w:tc>
      </w:tr>
      <w:tr w:rsidR="004E3021" w:rsidRPr="00AC36DC">
        <w:trPr>
          <w:jc w:val="center"/>
        </w:trPr>
        <w:tc>
          <w:tcPr>
            <w:tcW w:w="513" w:type="pct"/>
            <w:vAlign w:val="center"/>
          </w:tcPr>
          <w:p w:rsidR="004E3021" w:rsidRPr="00AC36DC" w:rsidRDefault="00606E48">
            <w:pPr>
              <w:pStyle w:val="afffffff2"/>
              <w:rPr>
                <w:sz w:val="21"/>
                <w:szCs w:val="21"/>
              </w:rPr>
            </w:pPr>
            <w:r w:rsidRPr="00AC36DC">
              <w:rPr>
                <w:sz w:val="21"/>
                <w:szCs w:val="21"/>
              </w:rPr>
              <w:t>3</w:t>
            </w:r>
          </w:p>
        </w:tc>
        <w:tc>
          <w:tcPr>
            <w:tcW w:w="0" w:type="auto"/>
            <w:vMerge/>
            <w:vAlign w:val="center"/>
          </w:tcPr>
          <w:p w:rsidR="004E3021" w:rsidRPr="00AC36DC" w:rsidRDefault="004E3021">
            <w:pPr>
              <w:pStyle w:val="afffffff2"/>
              <w:rPr>
                <w:sz w:val="21"/>
                <w:szCs w:val="21"/>
              </w:rPr>
            </w:pPr>
          </w:p>
        </w:tc>
        <w:tc>
          <w:tcPr>
            <w:tcW w:w="1338" w:type="pct"/>
            <w:vAlign w:val="center"/>
          </w:tcPr>
          <w:p w:rsidR="004E3021" w:rsidRPr="00AC36DC" w:rsidRDefault="00606E48">
            <w:pPr>
              <w:pStyle w:val="afffffff2"/>
              <w:rPr>
                <w:sz w:val="21"/>
                <w:szCs w:val="21"/>
              </w:rPr>
            </w:pPr>
            <w:r w:rsidRPr="00AC36DC">
              <w:rPr>
                <w:sz w:val="21"/>
                <w:szCs w:val="21"/>
              </w:rPr>
              <w:t>夏季</w:t>
            </w:r>
            <w:r w:rsidRPr="00AC36DC">
              <w:rPr>
                <w:sz w:val="21"/>
                <w:szCs w:val="21"/>
              </w:rPr>
              <w:t>(6,7,8</w:t>
            </w:r>
            <w:r w:rsidRPr="00AC36DC">
              <w:rPr>
                <w:sz w:val="21"/>
                <w:szCs w:val="21"/>
              </w:rPr>
              <w:t>月</w:t>
            </w:r>
            <w:r w:rsidRPr="00AC36DC">
              <w:rPr>
                <w:sz w:val="21"/>
                <w:szCs w:val="21"/>
              </w:rPr>
              <w:t>)</w:t>
            </w:r>
          </w:p>
        </w:tc>
        <w:tc>
          <w:tcPr>
            <w:tcW w:w="1020" w:type="pct"/>
          </w:tcPr>
          <w:p w:rsidR="004E3021" w:rsidRPr="00AC36DC" w:rsidRDefault="00606E48">
            <w:pPr>
              <w:pStyle w:val="afffffff2"/>
              <w:rPr>
                <w:sz w:val="21"/>
                <w:szCs w:val="21"/>
              </w:rPr>
            </w:pPr>
            <w:r w:rsidRPr="00AC36DC">
              <w:rPr>
                <w:sz w:val="21"/>
                <w:szCs w:val="21"/>
              </w:rPr>
              <w:t>0.2</w:t>
            </w:r>
          </w:p>
        </w:tc>
        <w:tc>
          <w:tcPr>
            <w:tcW w:w="794" w:type="pct"/>
          </w:tcPr>
          <w:p w:rsidR="004E3021" w:rsidRPr="00AC36DC" w:rsidRDefault="00606E48">
            <w:pPr>
              <w:pStyle w:val="afffffff2"/>
              <w:rPr>
                <w:sz w:val="21"/>
                <w:szCs w:val="21"/>
              </w:rPr>
            </w:pPr>
            <w:r w:rsidRPr="00AC36DC">
              <w:rPr>
                <w:sz w:val="21"/>
                <w:szCs w:val="21"/>
              </w:rPr>
              <w:t>0.5</w:t>
            </w:r>
          </w:p>
        </w:tc>
        <w:tc>
          <w:tcPr>
            <w:tcW w:w="680" w:type="pct"/>
          </w:tcPr>
          <w:p w:rsidR="004E3021" w:rsidRPr="00AC36DC" w:rsidRDefault="00606E48">
            <w:pPr>
              <w:pStyle w:val="afffffff2"/>
              <w:rPr>
                <w:sz w:val="21"/>
                <w:szCs w:val="21"/>
              </w:rPr>
            </w:pPr>
            <w:r w:rsidRPr="00AC36DC">
              <w:rPr>
                <w:sz w:val="21"/>
                <w:szCs w:val="21"/>
              </w:rPr>
              <w:t>0.2</w:t>
            </w:r>
          </w:p>
        </w:tc>
      </w:tr>
      <w:tr w:rsidR="004E3021" w:rsidRPr="00AC36DC">
        <w:trPr>
          <w:jc w:val="center"/>
        </w:trPr>
        <w:tc>
          <w:tcPr>
            <w:tcW w:w="513" w:type="pct"/>
            <w:vAlign w:val="center"/>
          </w:tcPr>
          <w:p w:rsidR="004E3021" w:rsidRPr="00AC36DC" w:rsidRDefault="00606E48">
            <w:pPr>
              <w:pStyle w:val="afffffff2"/>
              <w:rPr>
                <w:sz w:val="21"/>
                <w:szCs w:val="21"/>
              </w:rPr>
            </w:pPr>
            <w:r w:rsidRPr="00AC36DC">
              <w:rPr>
                <w:sz w:val="21"/>
                <w:szCs w:val="21"/>
              </w:rPr>
              <w:t>4</w:t>
            </w:r>
          </w:p>
        </w:tc>
        <w:tc>
          <w:tcPr>
            <w:tcW w:w="0" w:type="auto"/>
            <w:vMerge/>
            <w:vAlign w:val="center"/>
          </w:tcPr>
          <w:p w:rsidR="004E3021" w:rsidRPr="00AC36DC" w:rsidRDefault="004E3021">
            <w:pPr>
              <w:pStyle w:val="afffffff2"/>
              <w:rPr>
                <w:sz w:val="21"/>
                <w:szCs w:val="21"/>
              </w:rPr>
            </w:pPr>
          </w:p>
        </w:tc>
        <w:tc>
          <w:tcPr>
            <w:tcW w:w="1338" w:type="pct"/>
            <w:vAlign w:val="center"/>
          </w:tcPr>
          <w:p w:rsidR="004E3021" w:rsidRPr="00AC36DC" w:rsidRDefault="00606E48">
            <w:pPr>
              <w:pStyle w:val="afffffff2"/>
              <w:rPr>
                <w:sz w:val="21"/>
                <w:szCs w:val="21"/>
              </w:rPr>
            </w:pPr>
            <w:r w:rsidRPr="00AC36DC">
              <w:rPr>
                <w:sz w:val="21"/>
                <w:szCs w:val="21"/>
              </w:rPr>
              <w:t>秋季</w:t>
            </w:r>
            <w:r w:rsidRPr="00AC36DC">
              <w:rPr>
                <w:sz w:val="21"/>
                <w:szCs w:val="21"/>
              </w:rPr>
              <w:t>(9,10,11</w:t>
            </w:r>
            <w:r w:rsidRPr="00AC36DC">
              <w:rPr>
                <w:sz w:val="21"/>
                <w:szCs w:val="21"/>
              </w:rPr>
              <w:t>月</w:t>
            </w:r>
            <w:r w:rsidRPr="00AC36DC">
              <w:rPr>
                <w:sz w:val="21"/>
                <w:szCs w:val="21"/>
              </w:rPr>
              <w:t>)</w:t>
            </w:r>
          </w:p>
        </w:tc>
        <w:tc>
          <w:tcPr>
            <w:tcW w:w="1020" w:type="pct"/>
          </w:tcPr>
          <w:p w:rsidR="004E3021" w:rsidRPr="00AC36DC" w:rsidRDefault="00606E48">
            <w:pPr>
              <w:pStyle w:val="afffffff2"/>
              <w:rPr>
                <w:sz w:val="21"/>
                <w:szCs w:val="21"/>
              </w:rPr>
            </w:pPr>
            <w:r w:rsidRPr="00AC36DC">
              <w:rPr>
                <w:sz w:val="21"/>
                <w:szCs w:val="21"/>
              </w:rPr>
              <w:t>0.18</w:t>
            </w:r>
          </w:p>
        </w:tc>
        <w:tc>
          <w:tcPr>
            <w:tcW w:w="794" w:type="pct"/>
          </w:tcPr>
          <w:p w:rsidR="004E3021" w:rsidRPr="00AC36DC" w:rsidRDefault="00606E48">
            <w:pPr>
              <w:pStyle w:val="afffffff2"/>
              <w:rPr>
                <w:sz w:val="21"/>
                <w:szCs w:val="21"/>
              </w:rPr>
            </w:pPr>
            <w:r w:rsidRPr="00AC36DC">
              <w:rPr>
                <w:sz w:val="21"/>
                <w:szCs w:val="21"/>
              </w:rPr>
              <w:t>0.7</w:t>
            </w:r>
          </w:p>
        </w:tc>
        <w:tc>
          <w:tcPr>
            <w:tcW w:w="680" w:type="pct"/>
          </w:tcPr>
          <w:p w:rsidR="004E3021" w:rsidRPr="00AC36DC" w:rsidRDefault="00606E48">
            <w:pPr>
              <w:pStyle w:val="afffffff2"/>
              <w:rPr>
                <w:sz w:val="21"/>
                <w:szCs w:val="21"/>
              </w:rPr>
            </w:pPr>
            <w:r w:rsidRPr="00AC36DC">
              <w:rPr>
                <w:sz w:val="21"/>
                <w:szCs w:val="21"/>
              </w:rPr>
              <w:t>0.05</w:t>
            </w:r>
          </w:p>
        </w:tc>
      </w:tr>
    </w:tbl>
    <w:p w:rsidR="004E3021" w:rsidRDefault="00606E48">
      <w:pPr>
        <w:pStyle w:val="afffffffffffffffff4"/>
      </w:pPr>
      <w:bookmarkStart w:id="343" w:name="_Toc108662638"/>
      <w:bookmarkStart w:id="344" w:name="_Toc100784029"/>
      <w:bookmarkStart w:id="345" w:name="_Toc101135861"/>
      <w:bookmarkStart w:id="346" w:name="_Toc221088793"/>
      <w:bookmarkStart w:id="347" w:name="_Toc221501008"/>
      <w:r>
        <w:t>5.1.</w:t>
      </w:r>
      <w:r>
        <w:rPr>
          <w:rFonts w:hint="eastAsia"/>
        </w:rPr>
        <w:t>4</w:t>
      </w:r>
      <w:r>
        <w:rPr>
          <w:rFonts w:ascii="黑体" w:hAnsi="黑体"/>
        </w:rPr>
        <w:t>源强参数</w:t>
      </w:r>
      <w:bookmarkEnd w:id="343"/>
      <w:bookmarkEnd w:id="344"/>
      <w:bookmarkEnd w:id="345"/>
      <w:bookmarkEnd w:id="346"/>
      <w:bookmarkEnd w:id="347"/>
    </w:p>
    <w:p w:rsidR="004E3021" w:rsidRDefault="00606E48">
      <w:pPr>
        <w:ind w:firstLine="480"/>
        <w:rPr>
          <w:rFonts w:ascii="宋体" w:hAnsi="宋体"/>
        </w:rPr>
      </w:pPr>
      <w:r>
        <w:rPr>
          <w:rFonts w:ascii="宋体" w:hAnsi="宋体"/>
        </w:rPr>
        <w:t>本项目新增污染源有组织废气污染物排放汇总情况详见表</w:t>
      </w:r>
      <w:r>
        <w:t>5.1.</w:t>
      </w:r>
      <w:r>
        <w:rPr>
          <w:rFonts w:hint="eastAsia"/>
        </w:rPr>
        <w:t>4</w:t>
      </w:r>
      <w:r>
        <w:t>-1</w:t>
      </w:r>
      <w:r>
        <w:rPr>
          <w:rFonts w:ascii="宋体" w:hAnsi="宋体"/>
        </w:rPr>
        <w:t>，无组织废气污染物排放汇总情况详见表</w:t>
      </w:r>
      <w:r>
        <w:t>5.1.</w:t>
      </w:r>
      <w:r>
        <w:rPr>
          <w:rFonts w:hint="eastAsia"/>
        </w:rPr>
        <w:t>4</w:t>
      </w:r>
      <w:r>
        <w:t>-2</w:t>
      </w:r>
      <w:r>
        <w:rPr>
          <w:rFonts w:ascii="宋体" w:hAnsi="宋体"/>
        </w:rPr>
        <w:t>，非正常工况下废气污染物排放汇总情况详见表</w:t>
      </w:r>
      <w:r>
        <w:t>5.1.</w:t>
      </w:r>
      <w:r>
        <w:rPr>
          <w:rFonts w:hint="eastAsia"/>
        </w:rPr>
        <w:t>4</w:t>
      </w:r>
      <w:r>
        <w:t>-3</w:t>
      </w:r>
      <w:r>
        <w:rPr>
          <w:rFonts w:ascii="宋体" w:hAnsi="宋体" w:hint="eastAsia"/>
        </w:rPr>
        <w:t>，</w:t>
      </w:r>
      <w:r w:rsidR="00AC36DC">
        <w:rPr>
          <w:rFonts w:hint="eastAsia"/>
        </w:rPr>
        <w:t>区域已批未建项目污染源见</w:t>
      </w:r>
      <w:r w:rsidR="00AC36DC">
        <w:rPr>
          <w:rFonts w:hint="eastAsia"/>
        </w:rPr>
        <w:t>4</w:t>
      </w:r>
      <w:r w:rsidR="00AC36DC">
        <w:t>.3.2</w:t>
      </w:r>
      <w:r w:rsidR="00AC36DC">
        <w:rPr>
          <w:rFonts w:hint="eastAsia"/>
        </w:rPr>
        <w:t>章节表</w:t>
      </w:r>
      <w:r w:rsidR="00AC36DC">
        <w:t>4.3.2-2</w:t>
      </w:r>
      <w:r w:rsidR="00AC36DC">
        <w:rPr>
          <w:rFonts w:hint="eastAsia"/>
        </w:rPr>
        <w:t>。</w:t>
      </w:r>
    </w:p>
    <w:p w:rsidR="00AC36DC" w:rsidRDefault="00AC36DC">
      <w:pPr>
        <w:ind w:firstLine="480"/>
        <w:rPr>
          <w:rFonts w:ascii="宋体" w:hAnsi="宋体"/>
        </w:rPr>
      </w:pPr>
    </w:p>
    <w:p w:rsidR="00AC36DC" w:rsidRDefault="00AC36DC">
      <w:pPr>
        <w:ind w:firstLine="480"/>
        <w:rPr>
          <w:rFonts w:ascii="宋体" w:hAnsi="宋体"/>
        </w:rPr>
      </w:pPr>
    </w:p>
    <w:p w:rsidR="00AC36DC" w:rsidRDefault="00AC36DC">
      <w:pPr>
        <w:ind w:firstLine="480"/>
        <w:rPr>
          <w:rFonts w:ascii="宋体" w:hAnsi="宋体"/>
        </w:rPr>
      </w:pPr>
    </w:p>
    <w:p w:rsidR="00AC36DC" w:rsidRDefault="00AC36DC">
      <w:pPr>
        <w:ind w:firstLine="480"/>
        <w:rPr>
          <w:rFonts w:ascii="宋体" w:hAnsi="宋体"/>
        </w:rPr>
        <w:sectPr w:rsidR="00AC36DC">
          <w:pgSz w:w="11907" w:h="16839"/>
          <w:pgMar w:top="1440" w:right="1440" w:bottom="1440" w:left="1440" w:header="851" w:footer="992" w:gutter="0"/>
          <w:cols w:space="425"/>
          <w:docGrid w:type="lines" w:linePitch="326"/>
        </w:sectPr>
      </w:pPr>
    </w:p>
    <w:p w:rsidR="004E3021" w:rsidRDefault="00606E48">
      <w:pPr>
        <w:pStyle w:val="afffff4"/>
        <w:ind w:firstLine="480"/>
      </w:pPr>
      <w:r>
        <w:rPr>
          <w:rFonts w:ascii="黑体" w:hAnsi="黑体" w:hint="eastAsia"/>
        </w:rPr>
        <w:lastRenderedPageBreak/>
        <w:t>表</w:t>
      </w:r>
      <w:r>
        <w:t xml:space="preserve">5.1.4-1  </w:t>
      </w:r>
      <w:r>
        <w:rPr>
          <w:rFonts w:ascii="黑体" w:hAnsi="黑体" w:hint="eastAsia"/>
        </w:rPr>
        <w:t>有组织废气</w:t>
      </w:r>
      <w:r>
        <w:rPr>
          <w:rFonts w:ascii="黑体" w:hAnsi="黑体"/>
        </w:rPr>
        <w:t>污染物排放情况</w:t>
      </w:r>
    </w:p>
    <w:p w:rsidR="00B179FB" w:rsidRPr="00D14DE4" w:rsidRDefault="00B179FB" w:rsidP="00B179FB">
      <w:pPr>
        <w:pStyle w:val="afffff4"/>
        <w:ind w:firstLine="480"/>
        <w:rPr>
          <w:color w:val="FF0000"/>
        </w:rPr>
      </w:pPr>
      <w:r w:rsidRPr="00D14DE4">
        <w:rPr>
          <w:rFonts w:hint="eastAsia"/>
          <w:color w:val="FF0000"/>
        </w:rPr>
        <w:t>涉及商业机密，已删除</w:t>
      </w:r>
    </w:p>
    <w:p w:rsidR="001F50E9" w:rsidRPr="00B179FB" w:rsidRDefault="001F50E9">
      <w:pPr>
        <w:pStyle w:val="afffff4"/>
        <w:ind w:firstLine="480"/>
        <w:rPr>
          <w:rFonts w:ascii="黑体" w:hAnsi="黑体"/>
        </w:rPr>
      </w:pPr>
    </w:p>
    <w:p w:rsidR="004E3021" w:rsidRDefault="00606E48">
      <w:pPr>
        <w:pStyle w:val="afffff4"/>
        <w:ind w:firstLine="480"/>
        <w:rPr>
          <w:rFonts w:ascii="黑体" w:hAnsi="黑体"/>
        </w:rPr>
      </w:pPr>
      <w:r>
        <w:rPr>
          <w:rFonts w:ascii="黑体" w:hAnsi="黑体" w:hint="eastAsia"/>
        </w:rPr>
        <w:t>表</w:t>
      </w:r>
      <w:r>
        <w:t xml:space="preserve">5.1.4-2  </w:t>
      </w:r>
      <w:r>
        <w:rPr>
          <w:rFonts w:ascii="黑体" w:hAnsi="黑体" w:hint="eastAsia"/>
        </w:rPr>
        <w:t>无组织（矩形面源）</w:t>
      </w:r>
      <w:r>
        <w:rPr>
          <w:rFonts w:ascii="黑体" w:hAnsi="黑体"/>
        </w:rPr>
        <w:t>废气污染物排放情况</w:t>
      </w:r>
    </w:p>
    <w:p w:rsidR="00B179FB" w:rsidRPr="00D14DE4" w:rsidRDefault="00B179FB" w:rsidP="00B179FB">
      <w:pPr>
        <w:pStyle w:val="afffff4"/>
        <w:ind w:firstLine="480"/>
        <w:rPr>
          <w:color w:val="FF0000"/>
        </w:rPr>
      </w:pPr>
      <w:r w:rsidRPr="00D14DE4">
        <w:rPr>
          <w:rFonts w:hint="eastAsia"/>
          <w:color w:val="FF0000"/>
        </w:rPr>
        <w:t>涉及商业机密，已删除</w:t>
      </w:r>
    </w:p>
    <w:p w:rsidR="00B179FB" w:rsidRDefault="00B179FB">
      <w:pPr>
        <w:pStyle w:val="afffff4"/>
        <w:ind w:firstLine="480"/>
      </w:pPr>
    </w:p>
    <w:p w:rsidR="004E3021" w:rsidRDefault="004E3021">
      <w:pPr>
        <w:pStyle w:val="afffff4"/>
        <w:ind w:firstLine="480"/>
        <w:rPr>
          <w:rFonts w:ascii="黑体" w:hAnsi="黑体"/>
        </w:rPr>
        <w:sectPr w:rsidR="004E3021">
          <w:pgSz w:w="16839" w:h="11907" w:orient="landscape"/>
          <w:pgMar w:top="1440" w:right="1440" w:bottom="1440" w:left="1440" w:header="851" w:footer="992" w:gutter="0"/>
          <w:cols w:space="425"/>
          <w:docGrid w:type="lines" w:linePitch="326"/>
        </w:sectPr>
      </w:pPr>
    </w:p>
    <w:p w:rsidR="004E3021" w:rsidRDefault="00606E48">
      <w:pPr>
        <w:pStyle w:val="afffff4"/>
        <w:ind w:firstLine="480"/>
      </w:pPr>
      <w:r>
        <w:rPr>
          <w:rFonts w:ascii="黑体" w:hAnsi="黑体"/>
        </w:rPr>
        <w:lastRenderedPageBreak/>
        <w:t>表</w:t>
      </w:r>
      <w:r>
        <w:t>5.1.</w:t>
      </w:r>
      <w:r>
        <w:rPr>
          <w:rFonts w:hint="eastAsia"/>
        </w:rPr>
        <w:t>4</w:t>
      </w:r>
      <w:r>
        <w:t xml:space="preserve">-3  </w:t>
      </w:r>
      <w:r>
        <w:rPr>
          <w:rFonts w:ascii="黑体" w:hAnsi="黑体"/>
        </w:rPr>
        <w:t>非正常工况下废气污染物排放情况</w:t>
      </w:r>
    </w:p>
    <w:p w:rsidR="00973949" w:rsidRPr="00D14DE4" w:rsidRDefault="00973949" w:rsidP="00973949">
      <w:pPr>
        <w:pStyle w:val="afffff4"/>
        <w:ind w:firstLine="480"/>
        <w:rPr>
          <w:color w:val="FF0000"/>
        </w:rPr>
      </w:pPr>
      <w:r w:rsidRPr="00D14DE4">
        <w:rPr>
          <w:rFonts w:hint="eastAsia"/>
          <w:color w:val="FF0000"/>
        </w:rPr>
        <w:t>涉及商业机密，已删除</w:t>
      </w: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sectPr w:rsidR="004E3021">
          <w:pgSz w:w="16839" w:h="11907" w:orient="landscape"/>
          <w:pgMar w:top="1440" w:right="1440" w:bottom="1440" w:left="1440" w:header="851" w:footer="992" w:gutter="0"/>
          <w:cols w:space="425"/>
          <w:docGrid w:type="lines" w:linePitch="326"/>
        </w:sectPr>
      </w:pPr>
    </w:p>
    <w:p w:rsidR="004E3021" w:rsidRDefault="00606E48">
      <w:pPr>
        <w:pStyle w:val="afffffffffffffffff4"/>
      </w:pPr>
      <w:bookmarkStart w:id="348" w:name="_Toc108662639"/>
      <w:bookmarkStart w:id="349" w:name="_Toc101135862"/>
      <w:bookmarkStart w:id="350" w:name="_Toc100784030"/>
      <w:bookmarkStart w:id="351" w:name="_Toc221088794"/>
      <w:bookmarkStart w:id="352" w:name="_Toc221501009"/>
      <w:r>
        <w:rPr>
          <w:rFonts w:hint="eastAsia"/>
        </w:rPr>
        <w:lastRenderedPageBreak/>
        <w:t>5.1.</w:t>
      </w:r>
      <w:r>
        <w:t>5</w:t>
      </w:r>
      <w:r>
        <w:rPr>
          <w:rFonts w:hint="eastAsia"/>
        </w:rPr>
        <w:t>正常工况下</w:t>
      </w:r>
      <w:r>
        <w:t>预测结果及分析</w:t>
      </w:r>
      <w:bookmarkEnd w:id="348"/>
      <w:bookmarkEnd w:id="349"/>
      <w:bookmarkEnd w:id="350"/>
      <w:bookmarkEnd w:id="351"/>
      <w:bookmarkEnd w:id="352"/>
    </w:p>
    <w:p w:rsidR="004E3021" w:rsidRDefault="00606E48">
      <w:pPr>
        <w:ind w:firstLine="480"/>
      </w:pPr>
      <w:r>
        <w:rPr>
          <w:rFonts w:ascii="宋体" w:hAnsi="宋体" w:hint="eastAsia"/>
        </w:rPr>
        <w:t>采用</w:t>
      </w:r>
      <w:r>
        <w:t>202</w:t>
      </w:r>
      <w:r w:rsidR="000D2F1A">
        <w:t>3</w:t>
      </w:r>
      <w:r>
        <w:rPr>
          <w:rFonts w:ascii="宋体" w:hAnsi="宋体"/>
        </w:rPr>
        <w:t>年全年气象资料逐时、逐日计算项目排放的污染物在评价区域及保护目标贡献值。评价范围及保护目标最大贡献浓度预测及分析情况见表</w:t>
      </w:r>
      <w:r>
        <w:t>5.1.5-1</w:t>
      </w:r>
      <w:r>
        <w:rPr>
          <w:rFonts w:ascii="宋体" w:hAnsi="宋体"/>
        </w:rPr>
        <w:t>。现状质量达标污染物（</w:t>
      </w:r>
      <w:r>
        <w:t>PM</w:t>
      </w:r>
      <w:r>
        <w:rPr>
          <w:vertAlign w:val="subscript"/>
        </w:rPr>
        <w:t>10</w:t>
      </w:r>
      <w:r>
        <w:rPr>
          <w:rFonts w:ascii="宋体" w:hAnsi="宋体"/>
        </w:rPr>
        <w:t>、</w:t>
      </w:r>
      <w:r>
        <w:t>PM</w:t>
      </w:r>
      <w:r>
        <w:rPr>
          <w:vertAlign w:val="subscript"/>
        </w:rPr>
        <w:t>2.5</w:t>
      </w:r>
      <w:r>
        <w:rPr>
          <w:rFonts w:ascii="宋体" w:hAnsi="宋体"/>
        </w:rPr>
        <w:t>、</w:t>
      </w:r>
      <w:r>
        <w:rPr>
          <w:rFonts w:hint="eastAsia"/>
        </w:rPr>
        <w:t>甲醇</w:t>
      </w:r>
      <w:r>
        <w:rPr>
          <w:rFonts w:ascii="宋体" w:hAnsi="宋体" w:hint="eastAsia"/>
        </w:rPr>
        <w:t>、</w:t>
      </w:r>
      <w:r>
        <w:t>NH</w:t>
      </w:r>
      <w:r>
        <w:rPr>
          <w:vertAlign w:val="subscript"/>
        </w:rPr>
        <w:t>3</w:t>
      </w:r>
      <w:r>
        <w:rPr>
          <w:rFonts w:ascii="宋体" w:hAnsi="宋体"/>
        </w:rPr>
        <w:t>、</w:t>
      </w:r>
      <w:r>
        <w:rPr>
          <w:rFonts w:hint="eastAsia"/>
        </w:rPr>
        <w:t>非甲烷总烃</w:t>
      </w:r>
      <w:r>
        <w:rPr>
          <w:rFonts w:ascii="宋体" w:hAnsi="宋体"/>
        </w:rPr>
        <w:t>）叠加现状浓度后达标情况预测见表</w:t>
      </w:r>
      <w:r>
        <w:t>5.1.5-2</w:t>
      </w:r>
      <w:r>
        <w:rPr>
          <w:rFonts w:ascii="宋体" w:hAnsi="宋体"/>
        </w:rPr>
        <w:t>，浓度分布</w:t>
      </w:r>
      <w:r>
        <w:rPr>
          <w:rFonts w:ascii="宋体" w:hAnsi="宋体" w:hint="eastAsia"/>
        </w:rPr>
        <w:t>情况</w:t>
      </w:r>
      <w:r>
        <w:rPr>
          <w:rFonts w:ascii="宋体" w:hAnsi="宋体"/>
        </w:rPr>
        <w:t>见图</w:t>
      </w:r>
      <w:r>
        <w:t>5.1.5-1~21</w:t>
      </w:r>
      <w:r>
        <w:rPr>
          <w:rFonts w:ascii="宋体" w:hAnsi="宋体"/>
        </w:rPr>
        <w:t>。浓度现状质量超标污染物（</w:t>
      </w:r>
      <w:r>
        <w:rPr>
          <w:rFonts w:hint="eastAsia"/>
        </w:rPr>
        <w:t>P</w:t>
      </w:r>
      <w:r>
        <w:t>M</w:t>
      </w:r>
      <w:r>
        <w:rPr>
          <w:vertAlign w:val="subscript"/>
        </w:rPr>
        <w:t>2.5</w:t>
      </w:r>
      <w:r>
        <w:rPr>
          <w:rFonts w:ascii="宋体" w:hAnsi="宋体"/>
        </w:rPr>
        <w:t>）</w:t>
      </w:r>
      <w:r>
        <w:rPr>
          <w:rFonts w:ascii="宋体" w:hAnsi="宋体" w:hint="eastAsia"/>
        </w:rPr>
        <w:t>落实达标</w:t>
      </w:r>
      <w:r>
        <w:rPr>
          <w:rFonts w:ascii="宋体" w:hAnsi="宋体"/>
        </w:rPr>
        <w:t>规划后预测范围的年平均质量浓度变化情况见表</w:t>
      </w:r>
      <w:r>
        <w:t>5.1.5-3</w:t>
      </w:r>
      <w:r>
        <w:rPr>
          <w:rFonts w:ascii="宋体" w:hAnsi="宋体"/>
        </w:rPr>
        <w:t>。</w:t>
      </w:r>
    </w:p>
    <w:p w:rsidR="004E3021" w:rsidRDefault="00606E48">
      <w:pPr>
        <w:ind w:firstLine="480"/>
        <w:rPr>
          <w:color w:val="000000" w:themeColor="text1"/>
        </w:rPr>
      </w:pPr>
      <w:r>
        <w:rPr>
          <w:rFonts w:ascii="宋体" w:hAnsi="宋体" w:hint="eastAsia"/>
        </w:rPr>
        <w:t>由表</w:t>
      </w:r>
      <w:r>
        <w:t>5.1.5-1</w:t>
      </w:r>
      <w:r>
        <w:rPr>
          <w:rFonts w:ascii="宋体" w:hAnsi="宋体"/>
        </w:rPr>
        <w:t>可见，</w:t>
      </w:r>
      <w:r w:rsidR="00470A35">
        <w:rPr>
          <w:rFonts w:ascii="宋体" w:hAnsi="宋体"/>
        </w:rPr>
        <w:t>评价范围内</w:t>
      </w:r>
      <w:r w:rsidR="00470A35">
        <w:rPr>
          <w:rFonts w:hint="eastAsia"/>
        </w:rPr>
        <w:t>甲醇</w:t>
      </w:r>
      <w:r w:rsidR="00470A35">
        <w:rPr>
          <w:rFonts w:ascii="宋体" w:hAnsi="宋体" w:hint="eastAsia"/>
        </w:rPr>
        <w:t>、</w:t>
      </w:r>
      <w:r w:rsidR="00470A35">
        <w:rPr>
          <w:rFonts w:hint="eastAsia"/>
        </w:rPr>
        <w:t>PM</w:t>
      </w:r>
      <w:r w:rsidR="00470A35">
        <w:rPr>
          <w:rFonts w:hint="eastAsia"/>
          <w:vertAlign w:val="subscript"/>
        </w:rPr>
        <w:t>10</w:t>
      </w:r>
      <w:r w:rsidR="00470A35">
        <w:rPr>
          <w:rFonts w:ascii="宋体" w:hAnsi="宋体" w:hint="eastAsia"/>
        </w:rPr>
        <w:t>、</w:t>
      </w:r>
      <w:r w:rsidR="00470A35">
        <w:t>PM</w:t>
      </w:r>
      <w:r w:rsidR="00470A35">
        <w:rPr>
          <w:vertAlign w:val="subscript"/>
        </w:rPr>
        <w:t>2.5</w:t>
      </w:r>
      <w:r w:rsidR="00470A35">
        <w:rPr>
          <w:rFonts w:ascii="宋体" w:hAnsi="宋体"/>
        </w:rPr>
        <w:t>、</w:t>
      </w:r>
      <w:r w:rsidR="00470A35">
        <w:t>NH</w:t>
      </w:r>
      <w:r w:rsidR="00470A35">
        <w:rPr>
          <w:vertAlign w:val="subscript"/>
        </w:rPr>
        <w:t>3</w:t>
      </w:r>
      <w:r w:rsidR="00470A35">
        <w:rPr>
          <w:rFonts w:ascii="宋体" w:hAnsi="宋体"/>
        </w:rPr>
        <w:t>、</w:t>
      </w:r>
      <w:r w:rsidR="00470A35">
        <w:rPr>
          <w:rFonts w:hint="eastAsia"/>
        </w:rPr>
        <w:t>非甲烷总烃</w:t>
      </w:r>
      <w:r w:rsidR="00470A35">
        <w:rPr>
          <w:rFonts w:ascii="宋体" w:hAnsi="宋体" w:hint="eastAsia"/>
        </w:rPr>
        <w:t>短期浓度（</w:t>
      </w:r>
      <w:r w:rsidR="00470A35">
        <w:rPr>
          <w:rFonts w:ascii="宋体" w:hAnsi="宋体"/>
        </w:rPr>
        <w:t>小时平均、日平均</w:t>
      </w:r>
      <w:r w:rsidR="00470A35">
        <w:rPr>
          <w:rFonts w:ascii="宋体" w:hAnsi="宋体" w:hint="eastAsia"/>
        </w:rPr>
        <w:t>）贡献值</w:t>
      </w:r>
      <w:r w:rsidR="00470A35">
        <w:rPr>
          <w:rFonts w:ascii="宋体" w:hAnsi="宋体"/>
        </w:rPr>
        <w:t>保护目标和网格点最大占标率为</w:t>
      </w:r>
      <w:r w:rsidR="00470A35">
        <w:t>PM</w:t>
      </w:r>
      <w:r w:rsidR="00470A35">
        <w:rPr>
          <w:vertAlign w:val="subscript"/>
        </w:rPr>
        <w:t>10</w:t>
      </w:r>
      <w:r w:rsidR="00470A35">
        <w:rPr>
          <w:rFonts w:ascii="宋体" w:hAnsi="宋体"/>
        </w:rPr>
        <w:t>、</w:t>
      </w:r>
      <w:r w:rsidR="00470A35">
        <w:t>PM</w:t>
      </w:r>
      <w:r w:rsidR="00470A35">
        <w:rPr>
          <w:vertAlign w:val="subscript"/>
        </w:rPr>
        <w:t>2.5</w:t>
      </w:r>
      <w:r w:rsidR="00470A35">
        <w:t xml:space="preserve"> 0.827%</w:t>
      </w:r>
      <w:r w:rsidR="00470A35">
        <w:t>＜</w:t>
      </w:r>
      <w:r w:rsidR="00470A35">
        <w:t>100%</w:t>
      </w:r>
      <w:r w:rsidR="00470A35">
        <w:rPr>
          <w:color w:val="000000" w:themeColor="text1"/>
        </w:rPr>
        <w:t>，</w:t>
      </w:r>
      <w:r w:rsidR="00470A35">
        <w:rPr>
          <w:rFonts w:ascii="宋体" w:hAnsi="宋体"/>
          <w:color w:val="000000" w:themeColor="text1"/>
        </w:rPr>
        <w:t>年平均贡献值保护目标和网格点最大占标率为</w:t>
      </w:r>
      <w:r w:rsidR="00470A35">
        <w:rPr>
          <w:color w:val="000000" w:themeColor="text1"/>
        </w:rPr>
        <w:t>PM</w:t>
      </w:r>
      <w:r w:rsidR="00470A35">
        <w:rPr>
          <w:color w:val="000000" w:themeColor="text1"/>
          <w:vertAlign w:val="subscript"/>
        </w:rPr>
        <w:t>10</w:t>
      </w:r>
      <w:r w:rsidR="00470A35">
        <w:rPr>
          <w:rFonts w:ascii="宋体" w:hAnsi="宋体"/>
          <w:color w:val="000000" w:themeColor="text1"/>
        </w:rPr>
        <w:t>、</w:t>
      </w:r>
      <w:r w:rsidR="00470A35">
        <w:rPr>
          <w:color w:val="000000" w:themeColor="text1"/>
        </w:rPr>
        <w:t>PM</w:t>
      </w:r>
      <w:r w:rsidR="00470A35">
        <w:rPr>
          <w:color w:val="000000" w:themeColor="text1"/>
          <w:vertAlign w:val="subscript"/>
        </w:rPr>
        <w:t>2.5</w:t>
      </w:r>
      <w:r w:rsidR="00470A35">
        <w:rPr>
          <w:color w:val="000000" w:themeColor="text1"/>
        </w:rPr>
        <w:t xml:space="preserve"> 0.201%</w:t>
      </w:r>
      <w:r w:rsidR="00470A35">
        <w:rPr>
          <w:rFonts w:ascii="宋体" w:hAnsi="宋体"/>
          <w:color w:val="000000" w:themeColor="text1"/>
        </w:rPr>
        <w:t>＜</w:t>
      </w:r>
      <w:r w:rsidR="00470A35">
        <w:rPr>
          <w:color w:val="000000" w:themeColor="text1"/>
        </w:rPr>
        <w:t>30%</w:t>
      </w:r>
      <w:r w:rsidR="00470A35">
        <w:rPr>
          <w:rFonts w:ascii="宋体" w:hAnsi="宋体"/>
        </w:rPr>
        <w:t>。叠加现状浓度、本项目污染源、</w:t>
      </w:r>
      <w:r w:rsidR="00470A35">
        <w:rPr>
          <w:rFonts w:ascii="宋体" w:hAnsi="宋体" w:hint="eastAsia"/>
        </w:rPr>
        <w:t>区域同期</w:t>
      </w:r>
      <w:r w:rsidR="00470A35">
        <w:rPr>
          <w:rFonts w:ascii="宋体" w:hAnsi="宋体"/>
        </w:rPr>
        <w:t>拟建、在建</w:t>
      </w:r>
      <w:r w:rsidR="00470A35">
        <w:rPr>
          <w:rFonts w:ascii="宋体" w:hAnsi="宋体" w:hint="eastAsia"/>
        </w:rPr>
        <w:t>项目污染源</w:t>
      </w:r>
      <w:r w:rsidR="00470A35">
        <w:rPr>
          <w:rFonts w:ascii="宋体" w:hAnsi="宋体"/>
        </w:rPr>
        <w:t>的环境影响后，现状达标的污染物</w:t>
      </w:r>
      <w:r w:rsidR="00470A35">
        <w:t>NH</w:t>
      </w:r>
      <w:r w:rsidR="00470A35">
        <w:rPr>
          <w:vertAlign w:val="subscript"/>
        </w:rPr>
        <w:t>3</w:t>
      </w:r>
      <w:r w:rsidR="00470A35">
        <w:rPr>
          <w:rFonts w:hint="eastAsia"/>
        </w:rPr>
        <w:t>、</w:t>
      </w:r>
      <w:r w:rsidR="00470A35">
        <w:t>甲醇</w:t>
      </w:r>
      <w:r w:rsidR="00470A35">
        <w:rPr>
          <w:rFonts w:ascii="宋体" w:hAnsi="宋体"/>
        </w:rPr>
        <w:t>和</w:t>
      </w:r>
      <w:r w:rsidR="00470A35">
        <w:rPr>
          <w:rFonts w:hint="eastAsia"/>
        </w:rPr>
        <w:t>非甲烷总烃</w:t>
      </w:r>
      <w:r w:rsidR="00470A35">
        <w:rPr>
          <w:rFonts w:ascii="宋体" w:hAnsi="宋体"/>
        </w:rPr>
        <w:t>保护目标和网格点的短期浓度符合环境质量标准。在</w:t>
      </w:r>
      <w:r w:rsidR="00CD011F">
        <w:rPr>
          <w:rFonts w:ascii="宋体" w:hAnsi="宋体" w:hint="eastAsia"/>
        </w:rPr>
        <w:t>实施区域削减方案</w:t>
      </w:r>
      <w:r w:rsidR="00470A35">
        <w:rPr>
          <w:rFonts w:ascii="宋体" w:hAnsi="宋体"/>
        </w:rPr>
        <w:t>后，现状超标的污染物</w:t>
      </w:r>
      <w:r w:rsidR="00470A35">
        <w:t>PM</w:t>
      </w:r>
      <w:r w:rsidR="00470A35">
        <w:rPr>
          <w:vertAlign w:val="subscript"/>
        </w:rPr>
        <w:t>2.5</w:t>
      </w:r>
      <w:r w:rsidR="00470A35">
        <w:rPr>
          <w:rFonts w:ascii="宋体" w:hAnsi="宋体"/>
        </w:rPr>
        <w:t>预测范围内年平均质量浓度变化率</w:t>
      </w:r>
      <w:r w:rsidR="00470A35">
        <w:t>k</w:t>
      </w:r>
      <w:r w:rsidR="00470A35">
        <w:rPr>
          <w:rFonts w:ascii="宋体" w:hAnsi="宋体"/>
        </w:rPr>
        <w:t>为</w:t>
      </w:r>
      <w:r w:rsidR="00470A35">
        <w:t>-94.34%≤-20%</w:t>
      </w:r>
      <w:r w:rsidR="00470A35">
        <w:rPr>
          <w:rFonts w:ascii="宋体" w:hAnsi="宋体"/>
        </w:rPr>
        <w:t>。</w:t>
      </w:r>
    </w:p>
    <w:p w:rsidR="004E3021" w:rsidRDefault="00606E48">
      <w:pPr>
        <w:ind w:firstLine="480"/>
      </w:pPr>
      <w:r>
        <w:rPr>
          <w:rFonts w:ascii="宋体" w:hAnsi="宋体" w:hint="eastAsia"/>
        </w:rPr>
        <w:t>综上，本项目大气环境影响可以接受。</w:t>
      </w: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sectPr w:rsidR="004E3021">
          <w:pgSz w:w="11907" w:h="16839"/>
          <w:pgMar w:top="1440" w:right="1440" w:bottom="1440" w:left="1440" w:header="851" w:footer="992" w:gutter="0"/>
          <w:cols w:space="425"/>
          <w:docGrid w:type="lines" w:linePitch="326"/>
        </w:sectPr>
      </w:pPr>
    </w:p>
    <w:p w:rsidR="004E3021" w:rsidRDefault="00606E48">
      <w:pPr>
        <w:spacing w:line="500" w:lineRule="exact"/>
        <w:ind w:firstLineChars="0" w:firstLine="0"/>
        <w:jc w:val="center"/>
        <w:rPr>
          <w:rFonts w:eastAsia="黑体"/>
        </w:rPr>
      </w:pPr>
      <w:r>
        <w:rPr>
          <w:rFonts w:ascii="黑体" w:eastAsia="黑体" w:hAnsi="黑体" w:hint="eastAsia"/>
        </w:rPr>
        <w:lastRenderedPageBreak/>
        <w:t>表</w:t>
      </w:r>
      <w:r>
        <w:rPr>
          <w:rFonts w:eastAsia="黑体"/>
        </w:rPr>
        <w:t xml:space="preserve">5.1.5-1  </w:t>
      </w:r>
      <w:r>
        <w:rPr>
          <w:rFonts w:ascii="黑体" w:eastAsia="黑体" w:hAnsi="黑体" w:hint="eastAsia"/>
        </w:rPr>
        <w:t>本项目贡献质量浓度预测结果表</w:t>
      </w:r>
    </w:p>
    <w:tbl>
      <w:tblPr>
        <w:tblStyle w:val="afff"/>
        <w:tblW w:w="5000" w:type="pct"/>
        <w:tblLook w:val="04A0" w:firstRow="1" w:lastRow="0" w:firstColumn="1" w:lastColumn="0" w:noHBand="0" w:noVBand="1"/>
      </w:tblPr>
      <w:tblGrid>
        <w:gridCol w:w="929"/>
        <w:gridCol w:w="2230"/>
        <w:gridCol w:w="1060"/>
        <w:gridCol w:w="2302"/>
        <w:gridCol w:w="2478"/>
        <w:gridCol w:w="2281"/>
        <w:gridCol w:w="1354"/>
        <w:gridCol w:w="1326"/>
      </w:tblGrid>
      <w:tr w:rsidR="004E3021" w:rsidRPr="00676F99" w:rsidTr="00676F99">
        <w:trPr>
          <w:trHeight w:val="20"/>
        </w:trPr>
        <w:tc>
          <w:tcPr>
            <w:tcW w:w="333" w:type="pct"/>
            <w:noWrap/>
            <w:vAlign w:val="center"/>
          </w:tcPr>
          <w:p w:rsidR="004E3021" w:rsidRPr="00B9078D" w:rsidRDefault="00606E48" w:rsidP="00676F99">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序号</w:t>
            </w:r>
          </w:p>
        </w:tc>
        <w:tc>
          <w:tcPr>
            <w:tcW w:w="799" w:type="pct"/>
            <w:noWrap/>
            <w:vAlign w:val="center"/>
          </w:tcPr>
          <w:p w:rsidR="004E3021" w:rsidRPr="00B9078D" w:rsidRDefault="00606E48" w:rsidP="00676F99">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点名称</w:t>
            </w:r>
          </w:p>
        </w:tc>
        <w:tc>
          <w:tcPr>
            <w:tcW w:w="378" w:type="pct"/>
            <w:noWrap/>
            <w:vAlign w:val="center"/>
          </w:tcPr>
          <w:p w:rsidR="004E3021" w:rsidRPr="00B9078D" w:rsidRDefault="00606E48" w:rsidP="00676F99">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浓度类型</w:t>
            </w:r>
          </w:p>
        </w:tc>
        <w:tc>
          <w:tcPr>
            <w:tcW w:w="825" w:type="pct"/>
            <w:noWrap/>
            <w:vAlign w:val="center"/>
          </w:tcPr>
          <w:p w:rsidR="004E3021" w:rsidRPr="00B9078D" w:rsidRDefault="00606E48" w:rsidP="00676F99">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浓度增量</w:t>
            </w:r>
            <w:r w:rsidRPr="00B9078D">
              <w:rPr>
                <w:rFonts w:ascii="Times New Roman" w:hAnsi="Times New Roman" w:cs="Times New Roman"/>
                <w:b/>
                <w:kern w:val="0"/>
                <w:sz w:val="21"/>
                <w:szCs w:val="21"/>
              </w:rPr>
              <w:t>/(mg/m</w:t>
            </w:r>
            <w:r w:rsidRPr="00B9078D">
              <w:rPr>
                <w:rFonts w:ascii="Times New Roman" w:hAnsi="Times New Roman" w:cs="Times New Roman"/>
                <w:b/>
                <w:kern w:val="0"/>
                <w:sz w:val="21"/>
                <w:szCs w:val="21"/>
                <w:vertAlign w:val="superscript"/>
              </w:rPr>
              <w:t>3</w:t>
            </w:r>
            <w:r w:rsidRPr="00B9078D">
              <w:rPr>
                <w:rFonts w:ascii="Times New Roman" w:hAnsi="Times New Roman" w:cs="Times New Roman"/>
                <w:b/>
                <w:kern w:val="0"/>
                <w:sz w:val="21"/>
                <w:szCs w:val="21"/>
              </w:rPr>
              <w:t>)</w:t>
            </w:r>
          </w:p>
        </w:tc>
        <w:tc>
          <w:tcPr>
            <w:tcW w:w="888" w:type="pct"/>
            <w:noWrap/>
            <w:vAlign w:val="center"/>
          </w:tcPr>
          <w:p w:rsidR="004E3021" w:rsidRPr="00B9078D" w:rsidRDefault="00606E48" w:rsidP="00676F99">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出现时间</w:t>
            </w:r>
            <w:r w:rsidRPr="00B9078D">
              <w:rPr>
                <w:rFonts w:ascii="Times New Roman" w:hAnsi="Times New Roman" w:cs="Times New Roman"/>
                <w:b/>
                <w:kern w:val="0"/>
                <w:sz w:val="21"/>
                <w:szCs w:val="21"/>
              </w:rPr>
              <w:t>/YYMMDDHH</w:t>
            </w:r>
          </w:p>
        </w:tc>
        <w:tc>
          <w:tcPr>
            <w:tcW w:w="817" w:type="pct"/>
            <w:noWrap/>
            <w:vAlign w:val="center"/>
          </w:tcPr>
          <w:p w:rsidR="004E3021" w:rsidRPr="00B9078D" w:rsidRDefault="00606E48" w:rsidP="00676F99">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评价标准</w:t>
            </w:r>
            <w:r w:rsidRPr="00B9078D">
              <w:rPr>
                <w:rFonts w:ascii="Times New Roman" w:hAnsi="Times New Roman" w:cs="Times New Roman"/>
                <w:b/>
                <w:kern w:val="0"/>
                <w:sz w:val="21"/>
                <w:szCs w:val="21"/>
              </w:rPr>
              <w:t>/(mg/m</w:t>
            </w:r>
            <w:r w:rsidRPr="00B9078D">
              <w:rPr>
                <w:rFonts w:ascii="Times New Roman" w:hAnsi="Times New Roman" w:cs="Times New Roman"/>
                <w:b/>
                <w:kern w:val="0"/>
                <w:sz w:val="21"/>
                <w:szCs w:val="21"/>
                <w:vertAlign w:val="superscript"/>
              </w:rPr>
              <w:t>3</w:t>
            </w:r>
            <w:r w:rsidRPr="00B9078D">
              <w:rPr>
                <w:rFonts w:ascii="Times New Roman" w:hAnsi="Times New Roman" w:cs="Times New Roman"/>
                <w:b/>
                <w:kern w:val="0"/>
                <w:sz w:val="21"/>
                <w:szCs w:val="21"/>
              </w:rPr>
              <w:t>)</w:t>
            </w:r>
          </w:p>
        </w:tc>
        <w:tc>
          <w:tcPr>
            <w:tcW w:w="485" w:type="pct"/>
            <w:noWrap/>
            <w:vAlign w:val="center"/>
          </w:tcPr>
          <w:p w:rsidR="004E3021" w:rsidRPr="00B9078D" w:rsidRDefault="00606E48" w:rsidP="00676F99">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占标率</w:t>
            </w:r>
            <w:r w:rsidRPr="00B9078D">
              <w:rPr>
                <w:rFonts w:ascii="Times New Roman" w:hAnsi="Times New Roman" w:cs="Times New Roman"/>
                <w:b/>
                <w:kern w:val="0"/>
                <w:sz w:val="21"/>
                <w:szCs w:val="21"/>
              </w:rPr>
              <w:t>/%</w:t>
            </w:r>
          </w:p>
        </w:tc>
        <w:tc>
          <w:tcPr>
            <w:tcW w:w="475" w:type="pct"/>
            <w:noWrap/>
            <w:vAlign w:val="center"/>
          </w:tcPr>
          <w:p w:rsidR="004E3021" w:rsidRPr="00B9078D" w:rsidRDefault="00606E48" w:rsidP="00676F99">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是否超标</w:t>
            </w:r>
          </w:p>
        </w:tc>
      </w:tr>
      <w:tr w:rsidR="00676F99" w:rsidRPr="00676F99" w:rsidTr="00676F99">
        <w:trPr>
          <w:trHeight w:val="20"/>
        </w:trPr>
        <w:tc>
          <w:tcPr>
            <w:tcW w:w="333" w:type="pct"/>
            <w:vMerge w:val="restart"/>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PM</w:t>
            </w:r>
            <w:r w:rsidRPr="00676F99">
              <w:rPr>
                <w:rFonts w:ascii="Times New Roman" w:hAnsi="Times New Roman" w:cs="Times New Roman"/>
                <w:kern w:val="0"/>
                <w:sz w:val="21"/>
                <w:szCs w:val="21"/>
                <w:vertAlign w:val="subscript"/>
              </w:rPr>
              <w:t>10</w:t>
            </w:r>
          </w:p>
        </w:tc>
        <w:tc>
          <w:tcPr>
            <w:tcW w:w="799" w:type="pct"/>
            <w:vMerge w:val="restart"/>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三铺村</w:t>
            </w:r>
          </w:p>
        </w:tc>
        <w:tc>
          <w:tcPr>
            <w:tcW w:w="37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2.31E-04</w:t>
            </w:r>
          </w:p>
        </w:tc>
        <w:tc>
          <w:tcPr>
            <w:tcW w:w="88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230515</w:t>
            </w:r>
          </w:p>
        </w:tc>
        <w:tc>
          <w:tcPr>
            <w:tcW w:w="817"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1.50E-01</w:t>
            </w:r>
          </w:p>
        </w:tc>
        <w:tc>
          <w:tcPr>
            <w:tcW w:w="48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Pr>
                <w:rFonts w:ascii="Times New Roman" w:hAnsi="Times New Roman" w:cs="Times New Roman"/>
                <w:kern w:val="0"/>
                <w:sz w:val="21"/>
                <w:szCs w:val="21"/>
              </w:rPr>
              <w:t>15</w:t>
            </w:r>
            <w:r w:rsidR="00B9078D">
              <w:rPr>
                <w:rFonts w:ascii="Times New Roman" w:hAnsi="Times New Roman" w:cs="Times New Roman"/>
                <w:kern w:val="0"/>
                <w:sz w:val="21"/>
                <w:szCs w:val="21"/>
              </w:rPr>
              <w:t>4</w:t>
            </w:r>
          </w:p>
        </w:tc>
        <w:tc>
          <w:tcPr>
            <w:tcW w:w="47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676F99" w:rsidRPr="00676F99" w:rsidTr="00676F99">
        <w:trPr>
          <w:trHeight w:val="20"/>
        </w:trPr>
        <w:tc>
          <w:tcPr>
            <w:tcW w:w="333"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799"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37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82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6.53E-06</w:t>
            </w:r>
          </w:p>
        </w:tc>
        <w:tc>
          <w:tcPr>
            <w:tcW w:w="88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817"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7.00E-02</w:t>
            </w:r>
          </w:p>
        </w:tc>
        <w:tc>
          <w:tcPr>
            <w:tcW w:w="485" w:type="pct"/>
            <w:noWrap/>
            <w:vAlign w:val="center"/>
          </w:tcPr>
          <w:p w:rsidR="00676F99" w:rsidRPr="00676F99" w:rsidRDefault="00676F99"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Pr>
                <w:rFonts w:ascii="Times New Roman" w:hAnsi="Times New Roman" w:cs="Times New Roman"/>
                <w:kern w:val="0"/>
                <w:sz w:val="21"/>
                <w:szCs w:val="21"/>
              </w:rPr>
              <w:t>0</w:t>
            </w:r>
            <w:r w:rsidR="00B9078D">
              <w:rPr>
                <w:rFonts w:ascii="Times New Roman" w:hAnsi="Times New Roman" w:cs="Times New Roman"/>
                <w:kern w:val="0"/>
                <w:sz w:val="21"/>
                <w:szCs w:val="21"/>
              </w:rPr>
              <w:t>09</w:t>
            </w:r>
          </w:p>
        </w:tc>
        <w:tc>
          <w:tcPr>
            <w:tcW w:w="47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676F99" w:rsidRPr="00676F99" w:rsidTr="00676F99">
        <w:trPr>
          <w:trHeight w:val="20"/>
        </w:trPr>
        <w:tc>
          <w:tcPr>
            <w:tcW w:w="333"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799" w:type="pct"/>
            <w:vMerge w:val="restart"/>
            <w:vAlign w:val="center"/>
          </w:tcPr>
          <w:p w:rsidR="00676F99" w:rsidRPr="00676F99" w:rsidRDefault="00676F99" w:rsidP="00676F99">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汪邢村（</w:t>
            </w:r>
            <w:r w:rsidRPr="00240B63">
              <w:rPr>
                <w:rFonts w:ascii="Times New Roman" w:hAnsi="Times New Roman" w:cs="Times New Roman"/>
                <w:kern w:val="0"/>
                <w:sz w:val="21"/>
                <w:szCs w:val="21"/>
              </w:rPr>
              <w:t>高王家</w:t>
            </w:r>
            <w:r>
              <w:rPr>
                <w:rFonts w:ascii="Times New Roman" w:hAnsi="Times New Roman" w:cs="Times New Roman" w:hint="eastAsia"/>
                <w:kern w:val="0"/>
                <w:sz w:val="21"/>
                <w:szCs w:val="21"/>
              </w:rPr>
              <w:t>）</w:t>
            </w:r>
          </w:p>
        </w:tc>
        <w:tc>
          <w:tcPr>
            <w:tcW w:w="37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2.13E-04</w:t>
            </w:r>
          </w:p>
        </w:tc>
        <w:tc>
          <w:tcPr>
            <w:tcW w:w="88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230723</w:t>
            </w:r>
          </w:p>
        </w:tc>
        <w:tc>
          <w:tcPr>
            <w:tcW w:w="817"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1.50E-01</w:t>
            </w:r>
          </w:p>
        </w:tc>
        <w:tc>
          <w:tcPr>
            <w:tcW w:w="48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Pr>
                <w:rFonts w:ascii="Times New Roman" w:hAnsi="Times New Roman" w:cs="Times New Roman"/>
                <w:kern w:val="0"/>
                <w:sz w:val="21"/>
                <w:szCs w:val="21"/>
              </w:rPr>
              <w:t>14</w:t>
            </w:r>
            <w:r w:rsidR="00B9078D">
              <w:rPr>
                <w:rFonts w:ascii="Times New Roman" w:hAnsi="Times New Roman" w:cs="Times New Roman"/>
                <w:kern w:val="0"/>
                <w:sz w:val="21"/>
                <w:szCs w:val="21"/>
              </w:rPr>
              <w:t>2</w:t>
            </w:r>
          </w:p>
        </w:tc>
        <w:tc>
          <w:tcPr>
            <w:tcW w:w="47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676F99" w:rsidRPr="00676F99" w:rsidTr="00676F99">
        <w:trPr>
          <w:trHeight w:val="20"/>
        </w:trPr>
        <w:tc>
          <w:tcPr>
            <w:tcW w:w="333"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799"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37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82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9.45E-06</w:t>
            </w:r>
          </w:p>
        </w:tc>
        <w:tc>
          <w:tcPr>
            <w:tcW w:w="88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817"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7.00E-02</w:t>
            </w:r>
          </w:p>
        </w:tc>
        <w:tc>
          <w:tcPr>
            <w:tcW w:w="48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0.0</w:t>
            </w:r>
            <w:r>
              <w:rPr>
                <w:rFonts w:ascii="Times New Roman" w:hAnsi="Times New Roman" w:cs="Times New Roman"/>
                <w:kern w:val="0"/>
                <w:sz w:val="21"/>
                <w:szCs w:val="21"/>
              </w:rPr>
              <w:t>1</w:t>
            </w:r>
            <w:r w:rsidR="00B9078D">
              <w:rPr>
                <w:rFonts w:ascii="Times New Roman" w:hAnsi="Times New Roman" w:cs="Times New Roman"/>
                <w:kern w:val="0"/>
                <w:sz w:val="21"/>
                <w:szCs w:val="21"/>
              </w:rPr>
              <w:t>4</w:t>
            </w:r>
          </w:p>
        </w:tc>
        <w:tc>
          <w:tcPr>
            <w:tcW w:w="47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676F99" w:rsidRPr="00676F99" w:rsidTr="00676F99">
        <w:trPr>
          <w:trHeight w:val="20"/>
        </w:trPr>
        <w:tc>
          <w:tcPr>
            <w:tcW w:w="333"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799" w:type="pct"/>
            <w:vMerge w:val="restart"/>
            <w:vAlign w:val="center"/>
          </w:tcPr>
          <w:p w:rsidR="00676F99" w:rsidRPr="00676F99" w:rsidRDefault="00676F99" w:rsidP="00676F99">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曹吴村（</w:t>
            </w:r>
            <w:r w:rsidRPr="00240B63">
              <w:rPr>
                <w:rFonts w:ascii="Times New Roman" w:hAnsi="Times New Roman" w:cs="Times New Roman"/>
                <w:kern w:val="0"/>
                <w:sz w:val="21"/>
                <w:szCs w:val="21"/>
              </w:rPr>
              <w:t>邓庙</w:t>
            </w:r>
            <w:r>
              <w:rPr>
                <w:rFonts w:ascii="Times New Roman" w:hAnsi="Times New Roman" w:cs="Times New Roman" w:hint="eastAsia"/>
                <w:kern w:val="0"/>
                <w:sz w:val="21"/>
                <w:szCs w:val="21"/>
              </w:rPr>
              <w:t>）</w:t>
            </w:r>
          </w:p>
        </w:tc>
        <w:tc>
          <w:tcPr>
            <w:tcW w:w="37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1.07E-04</w:t>
            </w:r>
          </w:p>
        </w:tc>
        <w:tc>
          <w:tcPr>
            <w:tcW w:w="88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230627</w:t>
            </w:r>
          </w:p>
        </w:tc>
        <w:tc>
          <w:tcPr>
            <w:tcW w:w="817"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1.50E-01</w:t>
            </w:r>
          </w:p>
        </w:tc>
        <w:tc>
          <w:tcPr>
            <w:tcW w:w="48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Pr>
                <w:rFonts w:ascii="Times New Roman" w:hAnsi="Times New Roman" w:cs="Times New Roman"/>
                <w:kern w:val="0"/>
                <w:sz w:val="21"/>
                <w:szCs w:val="21"/>
              </w:rPr>
              <w:t>07</w:t>
            </w:r>
            <w:r w:rsidR="00B9078D">
              <w:rPr>
                <w:rFonts w:ascii="Times New Roman" w:hAnsi="Times New Roman" w:cs="Times New Roman"/>
                <w:kern w:val="0"/>
                <w:sz w:val="21"/>
                <w:szCs w:val="21"/>
              </w:rPr>
              <w:t>1</w:t>
            </w:r>
          </w:p>
        </w:tc>
        <w:tc>
          <w:tcPr>
            <w:tcW w:w="47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676F99" w:rsidRPr="00676F99" w:rsidTr="00676F99">
        <w:trPr>
          <w:trHeight w:val="20"/>
        </w:trPr>
        <w:tc>
          <w:tcPr>
            <w:tcW w:w="333"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799"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37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82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4.66E-06</w:t>
            </w:r>
          </w:p>
        </w:tc>
        <w:tc>
          <w:tcPr>
            <w:tcW w:w="88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817"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7.00E-02</w:t>
            </w:r>
          </w:p>
        </w:tc>
        <w:tc>
          <w:tcPr>
            <w:tcW w:w="485" w:type="pct"/>
            <w:noWrap/>
            <w:vAlign w:val="center"/>
          </w:tcPr>
          <w:p w:rsidR="00676F99" w:rsidRPr="00676F99" w:rsidRDefault="00676F99"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0.0</w:t>
            </w:r>
            <w:r w:rsidR="00B9078D">
              <w:rPr>
                <w:rFonts w:ascii="Times New Roman" w:hAnsi="Times New Roman" w:cs="Times New Roman"/>
                <w:kern w:val="0"/>
                <w:sz w:val="21"/>
                <w:szCs w:val="21"/>
              </w:rPr>
              <w:t>07</w:t>
            </w:r>
          </w:p>
        </w:tc>
        <w:tc>
          <w:tcPr>
            <w:tcW w:w="47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676F99" w:rsidRPr="00676F99" w:rsidTr="00676F99">
        <w:trPr>
          <w:trHeight w:val="20"/>
        </w:trPr>
        <w:tc>
          <w:tcPr>
            <w:tcW w:w="333" w:type="pct"/>
            <w:vMerge/>
            <w:vAlign w:val="center"/>
          </w:tcPr>
          <w:p w:rsidR="00676F99" w:rsidRPr="00676F99" w:rsidRDefault="00676F99" w:rsidP="00676F99">
            <w:pPr>
              <w:pStyle w:val="afffffff2"/>
              <w:rPr>
                <w:rFonts w:cs="Times New Roman"/>
                <w:kern w:val="0"/>
                <w:sz w:val="21"/>
                <w:szCs w:val="21"/>
              </w:rPr>
            </w:pPr>
          </w:p>
        </w:tc>
        <w:tc>
          <w:tcPr>
            <w:tcW w:w="799" w:type="pct"/>
            <w:vMerge w:val="restart"/>
            <w:vAlign w:val="center"/>
          </w:tcPr>
          <w:p w:rsidR="00676F99" w:rsidRPr="00676F99" w:rsidRDefault="00676F99" w:rsidP="00676F99">
            <w:pPr>
              <w:pStyle w:val="afffffff2"/>
              <w:rPr>
                <w:rFonts w:cs="Times New Roman"/>
                <w:kern w:val="0"/>
                <w:sz w:val="21"/>
                <w:szCs w:val="21"/>
              </w:rPr>
            </w:pPr>
            <w:r w:rsidRPr="00240B63">
              <w:rPr>
                <w:rFonts w:ascii="Times New Roman" w:hAnsi="Times New Roman" w:cs="Times New Roman"/>
                <w:kern w:val="0"/>
                <w:sz w:val="21"/>
                <w:szCs w:val="21"/>
              </w:rPr>
              <w:t>李洼</w:t>
            </w:r>
          </w:p>
        </w:tc>
        <w:tc>
          <w:tcPr>
            <w:tcW w:w="37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1.53E-04</w:t>
            </w:r>
          </w:p>
        </w:tc>
        <w:tc>
          <w:tcPr>
            <w:tcW w:w="88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230730</w:t>
            </w:r>
          </w:p>
        </w:tc>
        <w:tc>
          <w:tcPr>
            <w:tcW w:w="817"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1.50E-01</w:t>
            </w:r>
          </w:p>
        </w:tc>
        <w:tc>
          <w:tcPr>
            <w:tcW w:w="48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0.10</w:t>
            </w:r>
            <w:r w:rsidR="00B9078D">
              <w:rPr>
                <w:rFonts w:ascii="Times New Roman" w:hAnsi="Times New Roman" w:cs="Times New Roman"/>
                <w:kern w:val="0"/>
                <w:sz w:val="21"/>
                <w:szCs w:val="21"/>
              </w:rPr>
              <w:t>2</w:t>
            </w:r>
          </w:p>
        </w:tc>
        <w:tc>
          <w:tcPr>
            <w:tcW w:w="47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676F99" w:rsidRPr="00676F99" w:rsidTr="00676F99">
        <w:trPr>
          <w:trHeight w:val="20"/>
        </w:trPr>
        <w:tc>
          <w:tcPr>
            <w:tcW w:w="333" w:type="pct"/>
            <w:vMerge/>
            <w:vAlign w:val="center"/>
          </w:tcPr>
          <w:p w:rsidR="00676F99" w:rsidRPr="00676F99" w:rsidRDefault="00676F99" w:rsidP="00676F99">
            <w:pPr>
              <w:pStyle w:val="afffffff2"/>
              <w:rPr>
                <w:rFonts w:cs="Times New Roman"/>
                <w:kern w:val="0"/>
                <w:sz w:val="21"/>
                <w:szCs w:val="21"/>
              </w:rPr>
            </w:pPr>
          </w:p>
        </w:tc>
        <w:tc>
          <w:tcPr>
            <w:tcW w:w="799" w:type="pct"/>
            <w:vMerge/>
            <w:vAlign w:val="center"/>
          </w:tcPr>
          <w:p w:rsidR="00676F99" w:rsidRPr="00676F99" w:rsidRDefault="00676F99" w:rsidP="00676F99">
            <w:pPr>
              <w:pStyle w:val="afffffff2"/>
              <w:rPr>
                <w:rFonts w:cs="Times New Roman"/>
                <w:kern w:val="0"/>
                <w:sz w:val="21"/>
                <w:szCs w:val="21"/>
              </w:rPr>
            </w:pPr>
          </w:p>
        </w:tc>
        <w:tc>
          <w:tcPr>
            <w:tcW w:w="37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82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6.75E-06</w:t>
            </w:r>
          </w:p>
        </w:tc>
        <w:tc>
          <w:tcPr>
            <w:tcW w:w="88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817"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7.00E-02</w:t>
            </w:r>
          </w:p>
        </w:tc>
        <w:tc>
          <w:tcPr>
            <w:tcW w:w="48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0.01</w:t>
            </w:r>
            <w:r w:rsidR="00B9078D">
              <w:rPr>
                <w:rFonts w:ascii="Times New Roman" w:hAnsi="Times New Roman" w:cs="Times New Roman"/>
                <w:kern w:val="0"/>
                <w:sz w:val="21"/>
                <w:szCs w:val="21"/>
              </w:rPr>
              <w:t>0</w:t>
            </w:r>
          </w:p>
        </w:tc>
        <w:tc>
          <w:tcPr>
            <w:tcW w:w="47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676F99" w:rsidRPr="00676F99" w:rsidTr="00676F99">
        <w:trPr>
          <w:trHeight w:val="20"/>
        </w:trPr>
        <w:tc>
          <w:tcPr>
            <w:tcW w:w="333"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799" w:type="pct"/>
            <w:vMerge w:val="restart"/>
            <w:vAlign w:val="center"/>
          </w:tcPr>
          <w:p w:rsidR="00676F99" w:rsidRPr="00676F99" w:rsidRDefault="00676F99" w:rsidP="00676F99">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汤陈村</w:t>
            </w:r>
          </w:p>
        </w:tc>
        <w:tc>
          <w:tcPr>
            <w:tcW w:w="37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3.82E-04</w:t>
            </w:r>
          </w:p>
        </w:tc>
        <w:tc>
          <w:tcPr>
            <w:tcW w:w="88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230718</w:t>
            </w:r>
          </w:p>
        </w:tc>
        <w:tc>
          <w:tcPr>
            <w:tcW w:w="817"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1.50E-01</w:t>
            </w:r>
          </w:p>
        </w:tc>
        <w:tc>
          <w:tcPr>
            <w:tcW w:w="48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Pr>
                <w:rFonts w:ascii="Times New Roman" w:hAnsi="Times New Roman" w:cs="Times New Roman"/>
                <w:kern w:val="0"/>
                <w:sz w:val="21"/>
                <w:szCs w:val="21"/>
              </w:rPr>
              <w:t>25</w:t>
            </w:r>
            <w:r w:rsidR="00B9078D">
              <w:rPr>
                <w:rFonts w:ascii="Times New Roman" w:hAnsi="Times New Roman" w:cs="Times New Roman"/>
                <w:kern w:val="0"/>
                <w:sz w:val="21"/>
                <w:szCs w:val="21"/>
              </w:rPr>
              <w:t>5</w:t>
            </w:r>
          </w:p>
        </w:tc>
        <w:tc>
          <w:tcPr>
            <w:tcW w:w="47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676F99" w:rsidRPr="00676F99" w:rsidTr="00676F99">
        <w:trPr>
          <w:trHeight w:val="20"/>
        </w:trPr>
        <w:tc>
          <w:tcPr>
            <w:tcW w:w="333"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799"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37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82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2.29E-05</w:t>
            </w:r>
          </w:p>
        </w:tc>
        <w:tc>
          <w:tcPr>
            <w:tcW w:w="88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817"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7.00E-02</w:t>
            </w:r>
          </w:p>
        </w:tc>
        <w:tc>
          <w:tcPr>
            <w:tcW w:w="48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Pr>
                <w:rFonts w:ascii="Times New Roman" w:hAnsi="Times New Roman" w:cs="Times New Roman"/>
                <w:kern w:val="0"/>
                <w:sz w:val="21"/>
                <w:szCs w:val="21"/>
              </w:rPr>
              <w:t>03</w:t>
            </w:r>
            <w:r w:rsidR="00B9078D">
              <w:rPr>
                <w:rFonts w:ascii="Times New Roman" w:hAnsi="Times New Roman" w:cs="Times New Roman"/>
                <w:kern w:val="0"/>
                <w:sz w:val="21"/>
                <w:szCs w:val="21"/>
              </w:rPr>
              <w:t>3</w:t>
            </w:r>
          </w:p>
        </w:tc>
        <w:tc>
          <w:tcPr>
            <w:tcW w:w="47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676F99" w:rsidRPr="00676F99" w:rsidTr="00676F99">
        <w:trPr>
          <w:trHeight w:val="20"/>
        </w:trPr>
        <w:tc>
          <w:tcPr>
            <w:tcW w:w="333"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799" w:type="pct"/>
            <w:vMerge w:val="restart"/>
            <w:vAlign w:val="center"/>
          </w:tcPr>
          <w:p w:rsidR="00676F99" w:rsidRPr="00676F99" w:rsidRDefault="00676F99" w:rsidP="00676F99">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后沈家</w:t>
            </w:r>
          </w:p>
        </w:tc>
        <w:tc>
          <w:tcPr>
            <w:tcW w:w="37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2.70E-04</w:t>
            </w:r>
          </w:p>
        </w:tc>
        <w:tc>
          <w:tcPr>
            <w:tcW w:w="88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230813</w:t>
            </w:r>
          </w:p>
        </w:tc>
        <w:tc>
          <w:tcPr>
            <w:tcW w:w="817"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1.50E-01</w:t>
            </w:r>
          </w:p>
        </w:tc>
        <w:tc>
          <w:tcPr>
            <w:tcW w:w="48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Pr>
                <w:rFonts w:ascii="Times New Roman" w:hAnsi="Times New Roman" w:cs="Times New Roman"/>
                <w:kern w:val="0"/>
                <w:sz w:val="21"/>
                <w:szCs w:val="21"/>
              </w:rPr>
              <w:t>18</w:t>
            </w:r>
            <w:r w:rsidR="00B9078D">
              <w:rPr>
                <w:rFonts w:ascii="Times New Roman" w:hAnsi="Times New Roman" w:cs="Times New Roman"/>
                <w:kern w:val="0"/>
                <w:sz w:val="21"/>
                <w:szCs w:val="21"/>
              </w:rPr>
              <w:t>0</w:t>
            </w:r>
          </w:p>
        </w:tc>
        <w:tc>
          <w:tcPr>
            <w:tcW w:w="47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676F99" w:rsidRPr="00676F99" w:rsidTr="00676F99">
        <w:trPr>
          <w:trHeight w:val="20"/>
        </w:trPr>
        <w:tc>
          <w:tcPr>
            <w:tcW w:w="333"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799"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37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82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7.57E-06</w:t>
            </w:r>
          </w:p>
        </w:tc>
        <w:tc>
          <w:tcPr>
            <w:tcW w:w="88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817"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7.00E-02</w:t>
            </w:r>
          </w:p>
        </w:tc>
        <w:tc>
          <w:tcPr>
            <w:tcW w:w="48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Pr>
                <w:rFonts w:ascii="Times New Roman" w:hAnsi="Times New Roman" w:cs="Times New Roman"/>
                <w:kern w:val="0"/>
                <w:sz w:val="21"/>
                <w:szCs w:val="21"/>
              </w:rPr>
              <w:t>01</w:t>
            </w:r>
            <w:r w:rsidR="00B9078D">
              <w:rPr>
                <w:rFonts w:ascii="Times New Roman" w:hAnsi="Times New Roman" w:cs="Times New Roman"/>
                <w:kern w:val="0"/>
                <w:sz w:val="21"/>
                <w:szCs w:val="21"/>
              </w:rPr>
              <w:t>1</w:t>
            </w:r>
          </w:p>
        </w:tc>
        <w:tc>
          <w:tcPr>
            <w:tcW w:w="47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676F99" w:rsidRPr="00676F99" w:rsidTr="00676F99">
        <w:trPr>
          <w:trHeight w:val="20"/>
        </w:trPr>
        <w:tc>
          <w:tcPr>
            <w:tcW w:w="333"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799" w:type="pct"/>
            <w:vMerge w:val="restart"/>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网格</w:t>
            </w:r>
          </w:p>
        </w:tc>
        <w:tc>
          <w:tcPr>
            <w:tcW w:w="37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1.24E-03</w:t>
            </w:r>
          </w:p>
        </w:tc>
        <w:tc>
          <w:tcPr>
            <w:tcW w:w="88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230618</w:t>
            </w:r>
          </w:p>
        </w:tc>
        <w:tc>
          <w:tcPr>
            <w:tcW w:w="817"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1.50E-01</w:t>
            </w:r>
          </w:p>
        </w:tc>
        <w:tc>
          <w:tcPr>
            <w:tcW w:w="485" w:type="pct"/>
            <w:noWrap/>
            <w:vAlign w:val="center"/>
          </w:tcPr>
          <w:p w:rsidR="00676F99" w:rsidRPr="00676F99" w:rsidRDefault="00676F99" w:rsidP="00B9078D">
            <w:pPr>
              <w:pStyle w:val="afffffff2"/>
              <w:rPr>
                <w:rFonts w:ascii="Times New Roman" w:hAnsi="Times New Roman" w:cs="Times New Roman"/>
                <w:kern w:val="0"/>
                <w:sz w:val="21"/>
                <w:szCs w:val="21"/>
              </w:rPr>
            </w:pPr>
            <w:r>
              <w:rPr>
                <w:rFonts w:ascii="Times New Roman" w:hAnsi="Times New Roman" w:cs="Times New Roman"/>
                <w:kern w:val="0"/>
                <w:sz w:val="21"/>
                <w:szCs w:val="21"/>
              </w:rPr>
              <w:t>0.8</w:t>
            </w:r>
            <w:r w:rsidR="00B9078D">
              <w:rPr>
                <w:rFonts w:ascii="Times New Roman" w:hAnsi="Times New Roman" w:cs="Times New Roman"/>
                <w:kern w:val="0"/>
                <w:sz w:val="21"/>
                <w:szCs w:val="21"/>
              </w:rPr>
              <w:t>27</w:t>
            </w:r>
          </w:p>
        </w:tc>
        <w:tc>
          <w:tcPr>
            <w:tcW w:w="47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676F99" w:rsidRPr="00676F99" w:rsidTr="00676F99">
        <w:trPr>
          <w:trHeight w:val="20"/>
        </w:trPr>
        <w:tc>
          <w:tcPr>
            <w:tcW w:w="333"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799" w:type="pct"/>
            <w:vMerge/>
            <w:vAlign w:val="center"/>
          </w:tcPr>
          <w:p w:rsidR="00676F99" w:rsidRPr="00676F99" w:rsidRDefault="00676F99" w:rsidP="00676F99">
            <w:pPr>
              <w:pStyle w:val="afffffff2"/>
              <w:rPr>
                <w:rFonts w:ascii="Times New Roman" w:hAnsi="Times New Roman" w:cs="Times New Roman"/>
                <w:kern w:val="0"/>
                <w:sz w:val="21"/>
                <w:szCs w:val="21"/>
              </w:rPr>
            </w:pPr>
          </w:p>
        </w:tc>
        <w:tc>
          <w:tcPr>
            <w:tcW w:w="37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82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1.41E-04</w:t>
            </w:r>
          </w:p>
        </w:tc>
        <w:tc>
          <w:tcPr>
            <w:tcW w:w="888"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817"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7.00E-02</w:t>
            </w:r>
          </w:p>
        </w:tc>
        <w:tc>
          <w:tcPr>
            <w:tcW w:w="485" w:type="pct"/>
            <w:noWrap/>
            <w:vAlign w:val="center"/>
          </w:tcPr>
          <w:p w:rsidR="00676F99" w:rsidRPr="00676F99" w:rsidRDefault="00676F99" w:rsidP="00676F99">
            <w:pPr>
              <w:pStyle w:val="afffffff2"/>
              <w:rPr>
                <w:rFonts w:ascii="Times New Roman" w:hAnsi="Times New Roman" w:cs="Times New Roman"/>
                <w:kern w:val="0"/>
                <w:sz w:val="21"/>
                <w:szCs w:val="21"/>
              </w:rPr>
            </w:pPr>
            <w:r>
              <w:rPr>
                <w:rFonts w:ascii="Times New Roman" w:hAnsi="Times New Roman" w:cs="Times New Roman"/>
                <w:kern w:val="0"/>
                <w:sz w:val="21"/>
                <w:szCs w:val="21"/>
              </w:rPr>
              <w:t>0.20</w:t>
            </w:r>
            <w:r w:rsidR="00B9078D">
              <w:rPr>
                <w:rFonts w:ascii="Times New Roman" w:hAnsi="Times New Roman" w:cs="Times New Roman"/>
                <w:kern w:val="0"/>
                <w:sz w:val="21"/>
                <w:szCs w:val="21"/>
              </w:rPr>
              <w:t>1</w:t>
            </w:r>
          </w:p>
        </w:tc>
        <w:tc>
          <w:tcPr>
            <w:tcW w:w="475" w:type="pct"/>
            <w:noWrap/>
            <w:vAlign w:val="center"/>
          </w:tcPr>
          <w:p w:rsidR="00676F99" w:rsidRPr="00676F99" w:rsidRDefault="00676F99" w:rsidP="00676F99">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B9078D" w:rsidRPr="00676F99" w:rsidTr="00676F99">
        <w:trPr>
          <w:trHeight w:val="20"/>
        </w:trPr>
        <w:tc>
          <w:tcPr>
            <w:tcW w:w="333" w:type="pct"/>
            <w:vMerge w:val="restart"/>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PM</w:t>
            </w:r>
            <w:r w:rsidRPr="00676F99">
              <w:rPr>
                <w:rFonts w:ascii="Times New Roman" w:hAnsi="Times New Roman" w:cs="Times New Roman"/>
                <w:kern w:val="0"/>
                <w:sz w:val="21"/>
                <w:szCs w:val="21"/>
                <w:vertAlign w:val="subscript"/>
              </w:rPr>
              <w:t>2.5</w:t>
            </w:r>
          </w:p>
        </w:tc>
        <w:tc>
          <w:tcPr>
            <w:tcW w:w="799" w:type="pct"/>
            <w:vMerge w:val="restart"/>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三铺村</w:t>
            </w:r>
          </w:p>
        </w:tc>
        <w:tc>
          <w:tcPr>
            <w:tcW w:w="37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1.13E-04</w:t>
            </w:r>
          </w:p>
        </w:tc>
        <w:tc>
          <w:tcPr>
            <w:tcW w:w="88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230515</w:t>
            </w:r>
          </w:p>
        </w:tc>
        <w:tc>
          <w:tcPr>
            <w:tcW w:w="817"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7.50E-02</w:t>
            </w:r>
          </w:p>
        </w:tc>
        <w:tc>
          <w:tcPr>
            <w:tcW w:w="48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Pr>
                <w:rFonts w:ascii="Times New Roman" w:hAnsi="Times New Roman" w:cs="Times New Roman"/>
                <w:kern w:val="0"/>
                <w:sz w:val="21"/>
                <w:szCs w:val="21"/>
              </w:rPr>
              <w:t>154</w:t>
            </w:r>
          </w:p>
        </w:tc>
        <w:tc>
          <w:tcPr>
            <w:tcW w:w="47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B9078D" w:rsidRPr="00676F99" w:rsidTr="00676F99">
        <w:trPr>
          <w:trHeight w:val="20"/>
        </w:trPr>
        <w:tc>
          <w:tcPr>
            <w:tcW w:w="333"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799"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37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82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3.13E-06</w:t>
            </w:r>
          </w:p>
        </w:tc>
        <w:tc>
          <w:tcPr>
            <w:tcW w:w="88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817"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3.50E-02</w:t>
            </w:r>
          </w:p>
        </w:tc>
        <w:tc>
          <w:tcPr>
            <w:tcW w:w="48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Pr>
                <w:rFonts w:ascii="Times New Roman" w:hAnsi="Times New Roman" w:cs="Times New Roman"/>
                <w:kern w:val="0"/>
                <w:sz w:val="21"/>
                <w:szCs w:val="21"/>
              </w:rPr>
              <w:t>009</w:t>
            </w:r>
          </w:p>
        </w:tc>
        <w:tc>
          <w:tcPr>
            <w:tcW w:w="47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B9078D" w:rsidRPr="00676F99" w:rsidTr="00676F99">
        <w:trPr>
          <w:trHeight w:val="20"/>
        </w:trPr>
        <w:tc>
          <w:tcPr>
            <w:tcW w:w="333"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799" w:type="pct"/>
            <w:vMerge w:val="restart"/>
            <w:vAlign w:val="center"/>
          </w:tcPr>
          <w:p w:rsidR="00B9078D" w:rsidRPr="00676F99" w:rsidRDefault="00B9078D" w:rsidP="00B9078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汪邢村（</w:t>
            </w:r>
            <w:r w:rsidRPr="00240B63">
              <w:rPr>
                <w:rFonts w:ascii="Times New Roman" w:hAnsi="Times New Roman" w:cs="Times New Roman"/>
                <w:kern w:val="0"/>
                <w:sz w:val="21"/>
                <w:szCs w:val="21"/>
              </w:rPr>
              <w:t>高王家</w:t>
            </w:r>
            <w:r>
              <w:rPr>
                <w:rFonts w:ascii="Times New Roman" w:hAnsi="Times New Roman" w:cs="Times New Roman" w:hint="eastAsia"/>
                <w:kern w:val="0"/>
                <w:sz w:val="21"/>
                <w:szCs w:val="21"/>
              </w:rPr>
              <w:t>）</w:t>
            </w:r>
          </w:p>
        </w:tc>
        <w:tc>
          <w:tcPr>
            <w:tcW w:w="37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1.06E-04</w:t>
            </w:r>
          </w:p>
        </w:tc>
        <w:tc>
          <w:tcPr>
            <w:tcW w:w="88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230723</w:t>
            </w:r>
          </w:p>
        </w:tc>
        <w:tc>
          <w:tcPr>
            <w:tcW w:w="817"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7.50E-02</w:t>
            </w:r>
          </w:p>
        </w:tc>
        <w:tc>
          <w:tcPr>
            <w:tcW w:w="48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Pr>
                <w:rFonts w:ascii="Times New Roman" w:hAnsi="Times New Roman" w:cs="Times New Roman"/>
                <w:kern w:val="0"/>
                <w:sz w:val="21"/>
                <w:szCs w:val="21"/>
              </w:rPr>
              <w:t>142</w:t>
            </w:r>
          </w:p>
        </w:tc>
        <w:tc>
          <w:tcPr>
            <w:tcW w:w="47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B9078D" w:rsidRPr="00676F99" w:rsidTr="00676F99">
        <w:trPr>
          <w:trHeight w:val="20"/>
        </w:trPr>
        <w:tc>
          <w:tcPr>
            <w:tcW w:w="333"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799"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37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82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4.55E-06</w:t>
            </w:r>
          </w:p>
        </w:tc>
        <w:tc>
          <w:tcPr>
            <w:tcW w:w="88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817"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3.50E-02</w:t>
            </w:r>
          </w:p>
        </w:tc>
        <w:tc>
          <w:tcPr>
            <w:tcW w:w="48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0.0</w:t>
            </w:r>
            <w:r>
              <w:rPr>
                <w:rFonts w:ascii="Times New Roman" w:hAnsi="Times New Roman" w:cs="Times New Roman"/>
                <w:kern w:val="0"/>
                <w:sz w:val="21"/>
                <w:szCs w:val="21"/>
              </w:rPr>
              <w:t>14</w:t>
            </w:r>
          </w:p>
        </w:tc>
        <w:tc>
          <w:tcPr>
            <w:tcW w:w="47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B9078D" w:rsidRPr="00676F99" w:rsidTr="00676F99">
        <w:trPr>
          <w:trHeight w:val="20"/>
        </w:trPr>
        <w:tc>
          <w:tcPr>
            <w:tcW w:w="333"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799" w:type="pct"/>
            <w:vMerge w:val="restart"/>
            <w:vAlign w:val="center"/>
          </w:tcPr>
          <w:p w:rsidR="00B9078D" w:rsidRPr="00676F99" w:rsidRDefault="00B9078D" w:rsidP="00B9078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曹吴村（</w:t>
            </w:r>
            <w:r w:rsidRPr="00240B63">
              <w:rPr>
                <w:rFonts w:ascii="Times New Roman" w:hAnsi="Times New Roman" w:cs="Times New Roman"/>
                <w:kern w:val="0"/>
                <w:sz w:val="21"/>
                <w:szCs w:val="21"/>
              </w:rPr>
              <w:t>邓庙</w:t>
            </w:r>
            <w:r>
              <w:rPr>
                <w:rFonts w:ascii="Times New Roman" w:hAnsi="Times New Roman" w:cs="Times New Roman" w:hint="eastAsia"/>
                <w:kern w:val="0"/>
                <w:sz w:val="21"/>
                <w:szCs w:val="21"/>
              </w:rPr>
              <w:t>）</w:t>
            </w:r>
          </w:p>
        </w:tc>
        <w:tc>
          <w:tcPr>
            <w:tcW w:w="37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5.30E-05</w:t>
            </w:r>
          </w:p>
        </w:tc>
        <w:tc>
          <w:tcPr>
            <w:tcW w:w="88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230627</w:t>
            </w:r>
          </w:p>
        </w:tc>
        <w:tc>
          <w:tcPr>
            <w:tcW w:w="817"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7.50E-02</w:t>
            </w:r>
          </w:p>
        </w:tc>
        <w:tc>
          <w:tcPr>
            <w:tcW w:w="48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Pr>
                <w:rFonts w:ascii="Times New Roman" w:hAnsi="Times New Roman" w:cs="Times New Roman"/>
                <w:kern w:val="0"/>
                <w:sz w:val="21"/>
                <w:szCs w:val="21"/>
              </w:rPr>
              <w:t>071</w:t>
            </w:r>
          </w:p>
        </w:tc>
        <w:tc>
          <w:tcPr>
            <w:tcW w:w="47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B9078D" w:rsidRPr="00676F99" w:rsidTr="00676F99">
        <w:trPr>
          <w:trHeight w:val="20"/>
        </w:trPr>
        <w:tc>
          <w:tcPr>
            <w:tcW w:w="333"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799"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37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82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2.27E-06</w:t>
            </w:r>
          </w:p>
        </w:tc>
        <w:tc>
          <w:tcPr>
            <w:tcW w:w="88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817"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3.50E-02</w:t>
            </w:r>
          </w:p>
        </w:tc>
        <w:tc>
          <w:tcPr>
            <w:tcW w:w="48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0.0</w:t>
            </w:r>
            <w:r>
              <w:rPr>
                <w:rFonts w:ascii="Times New Roman" w:hAnsi="Times New Roman" w:cs="Times New Roman"/>
                <w:kern w:val="0"/>
                <w:sz w:val="21"/>
                <w:szCs w:val="21"/>
              </w:rPr>
              <w:t>07</w:t>
            </w:r>
          </w:p>
        </w:tc>
        <w:tc>
          <w:tcPr>
            <w:tcW w:w="47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B9078D" w:rsidRPr="00676F99" w:rsidTr="00676F99">
        <w:trPr>
          <w:trHeight w:val="20"/>
        </w:trPr>
        <w:tc>
          <w:tcPr>
            <w:tcW w:w="333" w:type="pct"/>
            <w:vMerge/>
            <w:vAlign w:val="center"/>
          </w:tcPr>
          <w:p w:rsidR="00B9078D" w:rsidRPr="00676F99" w:rsidRDefault="00B9078D" w:rsidP="00B9078D">
            <w:pPr>
              <w:pStyle w:val="afffffff2"/>
              <w:rPr>
                <w:rFonts w:cs="Times New Roman"/>
                <w:kern w:val="0"/>
                <w:sz w:val="21"/>
                <w:szCs w:val="21"/>
              </w:rPr>
            </w:pPr>
          </w:p>
        </w:tc>
        <w:tc>
          <w:tcPr>
            <w:tcW w:w="799" w:type="pct"/>
            <w:vMerge w:val="restart"/>
            <w:vAlign w:val="center"/>
          </w:tcPr>
          <w:p w:rsidR="00B9078D" w:rsidRPr="00676F99" w:rsidRDefault="00B9078D" w:rsidP="00B9078D">
            <w:pPr>
              <w:pStyle w:val="afffffff2"/>
              <w:rPr>
                <w:rFonts w:cs="Times New Roman"/>
                <w:kern w:val="0"/>
                <w:sz w:val="21"/>
                <w:szCs w:val="21"/>
              </w:rPr>
            </w:pPr>
            <w:r w:rsidRPr="00240B63">
              <w:rPr>
                <w:rFonts w:ascii="Times New Roman" w:hAnsi="Times New Roman" w:cs="Times New Roman"/>
                <w:kern w:val="0"/>
                <w:sz w:val="21"/>
                <w:szCs w:val="21"/>
              </w:rPr>
              <w:t>李洼</w:t>
            </w:r>
          </w:p>
        </w:tc>
        <w:tc>
          <w:tcPr>
            <w:tcW w:w="37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7.38E-05</w:t>
            </w:r>
          </w:p>
        </w:tc>
        <w:tc>
          <w:tcPr>
            <w:tcW w:w="88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230730</w:t>
            </w:r>
          </w:p>
        </w:tc>
        <w:tc>
          <w:tcPr>
            <w:tcW w:w="817"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7.50E-02</w:t>
            </w:r>
          </w:p>
        </w:tc>
        <w:tc>
          <w:tcPr>
            <w:tcW w:w="48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0.10</w:t>
            </w:r>
            <w:r>
              <w:rPr>
                <w:rFonts w:ascii="Times New Roman" w:hAnsi="Times New Roman" w:cs="Times New Roman"/>
                <w:kern w:val="0"/>
                <w:sz w:val="21"/>
                <w:szCs w:val="21"/>
              </w:rPr>
              <w:t>2</w:t>
            </w:r>
          </w:p>
        </w:tc>
        <w:tc>
          <w:tcPr>
            <w:tcW w:w="475" w:type="pct"/>
            <w:noWrap/>
            <w:vAlign w:val="center"/>
          </w:tcPr>
          <w:p w:rsidR="00B9078D" w:rsidRPr="00676F99" w:rsidRDefault="00B9078D" w:rsidP="00B9078D">
            <w:pPr>
              <w:pStyle w:val="afffffff2"/>
              <w:rPr>
                <w:rFonts w:cs="Times New Roman"/>
                <w:kern w:val="0"/>
                <w:sz w:val="21"/>
                <w:szCs w:val="21"/>
              </w:rPr>
            </w:pPr>
          </w:p>
        </w:tc>
      </w:tr>
      <w:tr w:rsidR="00B9078D" w:rsidRPr="00676F99" w:rsidTr="00676F99">
        <w:trPr>
          <w:trHeight w:val="20"/>
        </w:trPr>
        <w:tc>
          <w:tcPr>
            <w:tcW w:w="333" w:type="pct"/>
            <w:vMerge/>
            <w:vAlign w:val="center"/>
          </w:tcPr>
          <w:p w:rsidR="00B9078D" w:rsidRPr="00676F99" w:rsidRDefault="00B9078D" w:rsidP="00B9078D">
            <w:pPr>
              <w:pStyle w:val="afffffff2"/>
              <w:rPr>
                <w:rFonts w:cs="Times New Roman"/>
                <w:kern w:val="0"/>
                <w:sz w:val="21"/>
                <w:szCs w:val="21"/>
              </w:rPr>
            </w:pPr>
          </w:p>
        </w:tc>
        <w:tc>
          <w:tcPr>
            <w:tcW w:w="799" w:type="pct"/>
            <w:vMerge/>
            <w:vAlign w:val="center"/>
          </w:tcPr>
          <w:p w:rsidR="00B9078D" w:rsidRPr="00676F99" w:rsidRDefault="00B9078D" w:rsidP="00B9078D">
            <w:pPr>
              <w:pStyle w:val="afffffff2"/>
              <w:rPr>
                <w:rFonts w:cs="Times New Roman"/>
                <w:kern w:val="0"/>
                <w:sz w:val="21"/>
                <w:szCs w:val="21"/>
              </w:rPr>
            </w:pPr>
          </w:p>
        </w:tc>
        <w:tc>
          <w:tcPr>
            <w:tcW w:w="378" w:type="pct"/>
            <w:noWrap/>
            <w:vAlign w:val="center"/>
          </w:tcPr>
          <w:p w:rsidR="00B9078D" w:rsidRPr="00676F99" w:rsidRDefault="00B9078D" w:rsidP="00B9078D">
            <w:pPr>
              <w:pStyle w:val="afffffff2"/>
              <w:rPr>
                <w:rFonts w:cs="Times New Roman"/>
                <w:kern w:val="0"/>
                <w:sz w:val="21"/>
                <w:szCs w:val="21"/>
              </w:rPr>
            </w:pPr>
            <w:r w:rsidRPr="00676F99">
              <w:rPr>
                <w:rFonts w:ascii="Times New Roman" w:hAnsi="Times New Roman" w:cs="Times New Roman"/>
                <w:kern w:val="0"/>
                <w:sz w:val="21"/>
                <w:szCs w:val="21"/>
              </w:rPr>
              <w:t>年平均</w:t>
            </w:r>
          </w:p>
        </w:tc>
        <w:tc>
          <w:tcPr>
            <w:tcW w:w="82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3.27E-06</w:t>
            </w:r>
          </w:p>
        </w:tc>
        <w:tc>
          <w:tcPr>
            <w:tcW w:w="88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817"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3.50E-02</w:t>
            </w:r>
          </w:p>
        </w:tc>
        <w:tc>
          <w:tcPr>
            <w:tcW w:w="48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0.01</w:t>
            </w:r>
            <w:r>
              <w:rPr>
                <w:rFonts w:ascii="Times New Roman" w:hAnsi="Times New Roman" w:cs="Times New Roman"/>
                <w:kern w:val="0"/>
                <w:sz w:val="21"/>
                <w:szCs w:val="21"/>
              </w:rPr>
              <w:t>0</w:t>
            </w:r>
          </w:p>
        </w:tc>
        <w:tc>
          <w:tcPr>
            <w:tcW w:w="475" w:type="pct"/>
            <w:noWrap/>
            <w:vAlign w:val="center"/>
          </w:tcPr>
          <w:p w:rsidR="00B9078D" w:rsidRPr="00676F99" w:rsidRDefault="00B9078D" w:rsidP="00B9078D">
            <w:pPr>
              <w:pStyle w:val="afffffff2"/>
              <w:rPr>
                <w:rFonts w:cs="Times New Roman"/>
                <w:kern w:val="0"/>
                <w:sz w:val="21"/>
                <w:szCs w:val="21"/>
              </w:rPr>
            </w:pPr>
          </w:p>
        </w:tc>
      </w:tr>
      <w:tr w:rsidR="00B9078D" w:rsidRPr="00676F99" w:rsidTr="00676F99">
        <w:trPr>
          <w:trHeight w:val="20"/>
        </w:trPr>
        <w:tc>
          <w:tcPr>
            <w:tcW w:w="333"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799" w:type="pct"/>
            <w:vMerge w:val="restart"/>
            <w:vAlign w:val="center"/>
          </w:tcPr>
          <w:p w:rsidR="00B9078D" w:rsidRPr="00676F99" w:rsidRDefault="00B9078D" w:rsidP="00B9078D">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汤陈村</w:t>
            </w:r>
          </w:p>
        </w:tc>
        <w:tc>
          <w:tcPr>
            <w:tcW w:w="37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1.87E-04</w:t>
            </w:r>
          </w:p>
        </w:tc>
        <w:tc>
          <w:tcPr>
            <w:tcW w:w="88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230718</w:t>
            </w:r>
          </w:p>
        </w:tc>
        <w:tc>
          <w:tcPr>
            <w:tcW w:w="817"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7.50E-02</w:t>
            </w:r>
          </w:p>
        </w:tc>
        <w:tc>
          <w:tcPr>
            <w:tcW w:w="48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Pr>
                <w:rFonts w:ascii="Times New Roman" w:hAnsi="Times New Roman" w:cs="Times New Roman"/>
                <w:kern w:val="0"/>
                <w:sz w:val="21"/>
                <w:szCs w:val="21"/>
              </w:rPr>
              <w:t>255</w:t>
            </w:r>
          </w:p>
        </w:tc>
        <w:tc>
          <w:tcPr>
            <w:tcW w:w="47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B9078D" w:rsidRPr="00676F99" w:rsidTr="00676F99">
        <w:trPr>
          <w:trHeight w:val="20"/>
        </w:trPr>
        <w:tc>
          <w:tcPr>
            <w:tcW w:w="333"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799"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37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82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1.10E-05</w:t>
            </w:r>
          </w:p>
        </w:tc>
        <w:tc>
          <w:tcPr>
            <w:tcW w:w="88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817"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3.50E-02</w:t>
            </w:r>
          </w:p>
        </w:tc>
        <w:tc>
          <w:tcPr>
            <w:tcW w:w="48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Pr>
                <w:rFonts w:ascii="Times New Roman" w:hAnsi="Times New Roman" w:cs="Times New Roman"/>
                <w:kern w:val="0"/>
                <w:sz w:val="21"/>
                <w:szCs w:val="21"/>
              </w:rPr>
              <w:t>033</w:t>
            </w:r>
          </w:p>
        </w:tc>
        <w:tc>
          <w:tcPr>
            <w:tcW w:w="47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B9078D" w:rsidRPr="00676F99" w:rsidTr="00676F99">
        <w:trPr>
          <w:trHeight w:val="20"/>
        </w:trPr>
        <w:tc>
          <w:tcPr>
            <w:tcW w:w="333"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799" w:type="pct"/>
            <w:vMerge w:val="restart"/>
            <w:vAlign w:val="center"/>
          </w:tcPr>
          <w:p w:rsidR="00B9078D" w:rsidRPr="00676F99" w:rsidRDefault="00B9078D" w:rsidP="00B9078D">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后沈家</w:t>
            </w:r>
          </w:p>
        </w:tc>
        <w:tc>
          <w:tcPr>
            <w:tcW w:w="37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1.32E-04</w:t>
            </w:r>
          </w:p>
        </w:tc>
        <w:tc>
          <w:tcPr>
            <w:tcW w:w="88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230813</w:t>
            </w:r>
          </w:p>
        </w:tc>
        <w:tc>
          <w:tcPr>
            <w:tcW w:w="817"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7.50E-02</w:t>
            </w:r>
          </w:p>
        </w:tc>
        <w:tc>
          <w:tcPr>
            <w:tcW w:w="48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Pr>
                <w:rFonts w:ascii="Times New Roman" w:hAnsi="Times New Roman" w:cs="Times New Roman"/>
                <w:kern w:val="0"/>
                <w:sz w:val="21"/>
                <w:szCs w:val="21"/>
              </w:rPr>
              <w:t>180</w:t>
            </w:r>
          </w:p>
        </w:tc>
        <w:tc>
          <w:tcPr>
            <w:tcW w:w="47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B9078D" w:rsidRPr="00676F99" w:rsidTr="00676F99">
        <w:trPr>
          <w:trHeight w:val="20"/>
        </w:trPr>
        <w:tc>
          <w:tcPr>
            <w:tcW w:w="333"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799"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37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82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3.60E-06</w:t>
            </w:r>
          </w:p>
        </w:tc>
        <w:tc>
          <w:tcPr>
            <w:tcW w:w="88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817"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3.50E-02</w:t>
            </w:r>
          </w:p>
        </w:tc>
        <w:tc>
          <w:tcPr>
            <w:tcW w:w="48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Pr>
                <w:rFonts w:ascii="Times New Roman" w:hAnsi="Times New Roman" w:cs="Times New Roman"/>
                <w:kern w:val="0"/>
                <w:sz w:val="21"/>
                <w:szCs w:val="21"/>
              </w:rPr>
              <w:t>011</w:t>
            </w:r>
          </w:p>
        </w:tc>
        <w:tc>
          <w:tcPr>
            <w:tcW w:w="47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B9078D" w:rsidRPr="00676F99" w:rsidTr="00676F99">
        <w:trPr>
          <w:trHeight w:val="20"/>
        </w:trPr>
        <w:tc>
          <w:tcPr>
            <w:tcW w:w="333"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799" w:type="pct"/>
            <w:vMerge w:val="restart"/>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网格</w:t>
            </w:r>
          </w:p>
        </w:tc>
        <w:tc>
          <w:tcPr>
            <w:tcW w:w="37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6.12E-04</w:t>
            </w:r>
          </w:p>
        </w:tc>
        <w:tc>
          <w:tcPr>
            <w:tcW w:w="88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230618</w:t>
            </w:r>
          </w:p>
        </w:tc>
        <w:tc>
          <w:tcPr>
            <w:tcW w:w="817"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7.50E-02</w:t>
            </w:r>
          </w:p>
        </w:tc>
        <w:tc>
          <w:tcPr>
            <w:tcW w:w="485" w:type="pct"/>
            <w:noWrap/>
            <w:vAlign w:val="center"/>
          </w:tcPr>
          <w:p w:rsidR="00B9078D" w:rsidRPr="00676F99" w:rsidRDefault="00B9078D" w:rsidP="00B9078D">
            <w:pPr>
              <w:pStyle w:val="afffffff2"/>
              <w:rPr>
                <w:rFonts w:ascii="Times New Roman" w:hAnsi="Times New Roman" w:cs="Times New Roman"/>
                <w:kern w:val="0"/>
                <w:sz w:val="21"/>
                <w:szCs w:val="21"/>
              </w:rPr>
            </w:pPr>
            <w:r>
              <w:rPr>
                <w:rFonts w:ascii="Times New Roman" w:hAnsi="Times New Roman" w:cs="Times New Roman"/>
                <w:kern w:val="0"/>
                <w:sz w:val="21"/>
                <w:szCs w:val="21"/>
              </w:rPr>
              <w:t>0.827</w:t>
            </w:r>
          </w:p>
        </w:tc>
        <w:tc>
          <w:tcPr>
            <w:tcW w:w="47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B9078D" w:rsidRPr="00676F99" w:rsidTr="00676F99">
        <w:trPr>
          <w:trHeight w:val="20"/>
        </w:trPr>
        <w:tc>
          <w:tcPr>
            <w:tcW w:w="333"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799" w:type="pct"/>
            <w:vMerge/>
            <w:vAlign w:val="center"/>
          </w:tcPr>
          <w:p w:rsidR="00B9078D" w:rsidRPr="00676F99" w:rsidRDefault="00B9078D" w:rsidP="00B9078D">
            <w:pPr>
              <w:pStyle w:val="afffffff2"/>
              <w:rPr>
                <w:rFonts w:ascii="Times New Roman" w:hAnsi="Times New Roman" w:cs="Times New Roman"/>
                <w:kern w:val="0"/>
                <w:sz w:val="21"/>
                <w:szCs w:val="21"/>
              </w:rPr>
            </w:pPr>
          </w:p>
        </w:tc>
        <w:tc>
          <w:tcPr>
            <w:tcW w:w="37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82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6.60E-05</w:t>
            </w:r>
          </w:p>
        </w:tc>
        <w:tc>
          <w:tcPr>
            <w:tcW w:w="888"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817"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3.50E-02</w:t>
            </w:r>
          </w:p>
        </w:tc>
        <w:tc>
          <w:tcPr>
            <w:tcW w:w="485" w:type="pct"/>
            <w:noWrap/>
            <w:vAlign w:val="center"/>
          </w:tcPr>
          <w:p w:rsidR="00B9078D" w:rsidRPr="00676F99" w:rsidRDefault="00B9078D" w:rsidP="00B9078D">
            <w:pPr>
              <w:pStyle w:val="afffffff2"/>
              <w:rPr>
                <w:rFonts w:ascii="Times New Roman" w:hAnsi="Times New Roman" w:cs="Times New Roman"/>
                <w:kern w:val="0"/>
                <w:sz w:val="21"/>
                <w:szCs w:val="21"/>
              </w:rPr>
            </w:pPr>
            <w:r>
              <w:rPr>
                <w:rFonts w:ascii="Times New Roman" w:hAnsi="Times New Roman" w:cs="Times New Roman"/>
                <w:kern w:val="0"/>
                <w:sz w:val="21"/>
                <w:szCs w:val="21"/>
              </w:rPr>
              <w:t>0.201</w:t>
            </w:r>
          </w:p>
        </w:tc>
        <w:tc>
          <w:tcPr>
            <w:tcW w:w="475" w:type="pct"/>
            <w:noWrap/>
            <w:vAlign w:val="center"/>
          </w:tcPr>
          <w:p w:rsidR="00B9078D" w:rsidRPr="00676F99" w:rsidRDefault="00B9078D"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9644AE" w:rsidRPr="00676F99" w:rsidTr="00676F99">
        <w:trPr>
          <w:trHeight w:val="20"/>
        </w:trPr>
        <w:tc>
          <w:tcPr>
            <w:tcW w:w="333" w:type="pct"/>
            <w:vMerge w:val="restar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甲醇</w:t>
            </w:r>
          </w:p>
        </w:tc>
        <w:tc>
          <w:tcPr>
            <w:tcW w:w="799" w:type="pct"/>
            <w:vMerge w:val="restar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三铺村</w:t>
            </w:r>
          </w:p>
        </w:tc>
        <w:tc>
          <w:tcPr>
            <w:tcW w:w="378"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1.70E-04</w:t>
            </w:r>
          </w:p>
        </w:tc>
        <w:tc>
          <w:tcPr>
            <w:tcW w:w="888"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23051619</w:t>
            </w:r>
          </w:p>
        </w:tc>
        <w:tc>
          <w:tcPr>
            <w:tcW w:w="817"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3.00E+00</w:t>
            </w:r>
          </w:p>
        </w:tc>
        <w:tc>
          <w:tcPr>
            <w:tcW w:w="485" w:type="pct"/>
            <w:noWrap/>
            <w:vAlign w:val="center"/>
          </w:tcPr>
          <w:p w:rsidR="009644AE" w:rsidRPr="00676F99" w:rsidRDefault="00E43E56" w:rsidP="009644AE">
            <w:pPr>
              <w:pStyle w:val="afffffff2"/>
              <w:rPr>
                <w:rFonts w:ascii="Times New Roman" w:hAnsi="Times New Roman" w:cs="Times New Roman"/>
                <w:kern w:val="0"/>
                <w:sz w:val="21"/>
                <w:szCs w:val="21"/>
              </w:rPr>
            </w:pPr>
            <w:r>
              <w:rPr>
                <w:rFonts w:ascii="Times New Roman" w:hAnsi="Times New Roman" w:cs="Times New Roman"/>
                <w:kern w:val="0"/>
                <w:sz w:val="21"/>
                <w:szCs w:val="21"/>
              </w:rPr>
              <w:t>0.006</w:t>
            </w:r>
          </w:p>
        </w:tc>
        <w:tc>
          <w:tcPr>
            <w:tcW w:w="475"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9644AE" w:rsidRPr="00676F99" w:rsidTr="00676F99">
        <w:trPr>
          <w:trHeight w:val="20"/>
        </w:trPr>
        <w:tc>
          <w:tcPr>
            <w:tcW w:w="333"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799"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378"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1.12E-05</w:t>
            </w:r>
          </w:p>
        </w:tc>
        <w:tc>
          <w:tcPr>
            <w:tcW w:w="888"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230516</w:t>
            </w:r>
          </w:p>
        </w:tc>
        <w:tc>
          <w:tcPr>
            <w:tcW w:w="817"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1.00E+00</w:t>
            </w:r>
          </w:p>
        </w:tc>
        <w:tc>
          <w:tcPr>
            <w:tcW w:w="485" w:type="pct"/>
            <w:noWrap/>
            <w:vAlign w:val="center"/>
          </w:tcPr>
          <w:p w:rsidR="009644AE" w:rsidRPr="00676F99" w:rsidRDefault="00E43E56" w:rsidP="009644AE">
            <w:pPr>
              <w:pStyle w:val="afffffff2"/>
              <w:rPr>
                <w:rFonts w:ascii="Times New Roman" w:hAnsi="Times New Roman" w:cs="Times New Roman"/>
                <w:kern w:val="0"/>
                <w:sz w:val="21"/>
                <w:szCs w:val="21"/>
              </w:rPr>
            </w:pPr>
            <w:r>
              <w:rPr>
                <w:rFonts w:ascii="Times New Roman" w:hAnsi="Times New Roman" w:cs="Times New Roman"/>
                <w:kern w:val="0"/>
                <w:sz w:val="21"/>
                <w:szCs w:val="21"/>
              </w:rPr>
              <w:t>0.001</w:t>
            </w:r>
          </w:p>
        </w:tc>
        <w:tc>
          <w:tcPr>
            <w:tcW w:w="475"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9644AE" w:rsidRPr="00676F99" w:rsidTr="00676F99">
        <w:trPr>
          <w:trHeight w:val="20"/>
        </w:trPr>
        <w:tc>
          <w:tcPr>
            <w:tcW w:w="333"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799" w:type="pct"/>
            <w:vMerge w:val="restart"/>
            <w:noWrap/>
            <w:vAlign w:val="center"/>
          </w:tcPr>
          <w:p w:rsidR="009644AE" w:rsidRPr="00676F99" w:rsidRDefault="009644AE" w:rsidP="009644AE">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汪邢村（</w:t>
            </w:r>
            <w:r w:rsidRPr="00240B63">
              <w:rPr>
                <w:rFonts w:ascii="Times New Roman" w:hAnsi="Times New Roman" w:cs="Times New Roman"/>
                <w:kern w:val="0"/>
                <w:sz w:val="21"/>
                <w:szCs w:val="21"/>
              </w:rPr>
              <w:t>高王家</w:t>
            </w:r>
            <w:r>
              <w:rPr>
                <w:rFonts w:ascii="Times New Roman" w:hAnsi="Times New Roman" w:cs="Times New Roman" w:hint="eastAsia"/>
                <w:kern w:val="0"/>
                <w:sz w:val="21"/>
                <w:szCs w:val="21"/>
              </w:rPr>
              <w:t>）</w:t>
            </w:r>
          </w:p>
        </w:tc>
        <w:tc>
          <w:tcPr>
            <w:tcW w:w="378"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1.28E-04</w:t>
            </w:r>
          </w:p>
        </w:tc>
        <w:tc>
          <w:tcPr>
            <w:tcW w:w="888"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23010316</w:t>
            </w:r>
          </w:p>
        </w:tc>
        <w:tc>
          <w:tcPr>
            <w:tcW w:w="817"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3.00E+00</w:t>
            </w:r>
          </w:p>
        </w:tc>
        <w:tc>
          <w:tcPr>
            <w:tcW w:w="485" w:type="pct"/>
            <w:noWrap/>
            <w:vAlign w:val="center"/>
          </w:tcPr>
          <w:p w:rsidR="009644AE" w:rsidRPr="00676F99" w:rsidRDefault="00E43E56" w:rsidP="009644AE">
            <w:pPr>
              <w:pStyle w:val="afffffff2"/>
              <w:rPr>
                <w:rFonts w:ascii="Times New Roman" w:hAnsi="Times New Roman" w:cs="Times New Roman"/>
                <w:kern w:val="0"/>
                <w:sz w:val="21"/>
                <w:szCs w:val="21"/>
              </w:rPr>
            </w:pPr>
            <w:r>
              <w:rPr>
                <w:rFonts w:ascii="Times New Roman" w:hAnsi="Times New Roman" w:cs="Times New Roman"/>
                <w:kern w:val="0"/>
                <w:sz w:val="21"/>
                <w:szCs w:val="21"/>
              </w:rPr>
              <w:t>0.004</w:t>
            </w:r>
          </w:p>
        </w:tc>
        <w:tc>
          <w:tcPr>
            <w:tcW w:w="475"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9644AE" w:rsidRPr="00676F99" w:rsidTr="00676F99">
        <w:trPr>
          <w:trHeight w:val="20"/>
        </w:trPr>
        <w:tc>
          <w:tcPr>
            <w:tcW w:w="333"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799"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378"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1.16E-05</w:t>
            </w:r>
          </w:p>
        </w:tc>
        <w:tc>
          <w:tcPr>
            <w:tcW w:w="888"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230610</w:t>
            </w:r>
          </w:p>
        </w:tc>
        <w:tc>
          <w:tcPr>
            <w:tcW w:w="817"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1.00E+00</w:t>
            </w:r>
          </w:p>
        </w:tc>
        <w:tc>
          <w:tcPr>
            <w:tcW w:w="485" w:type="pct"/>
            <w:noWrap/>
            <w:vAlign w:val="center"/>
          </w:tcPr>
          <w:p w:rsidR="009644AE" w:rsidRPr="00676F99" w:rsidRDefault="00E43E56" w:rsidP="009644AE">
            <w:pPr>
              <w:pStyle w:val="afffffff2"/>
              <w:rPr>
                <w:rFonts w:ascii="Times New Roman" w:hAnsi="Times New Roman" w:cs="Times New Roman"/>
                <w:kern w:val="0"/>
                <w:sz w:val="21"/>
                <w:szCs w:val="21"/>
              </w:rPr>
            </w:pPr>
            <w:r>
              <w:rPr>
                <w:rFonts w:ascii="Times New Roman" w:hAnsi="Times New Roman" w:cs="Times New Roman"/>
                <w:kern w:val="0"/>
                <w:sz w:val="21"/>
                <w:szCs w:val="21"/>
              </w:rPr>
              <w:t>0.001</w:t>
            </w:r>
          </w:p>
        </w:tc>
        <w:tc>
          <w:tcPr>
            <w:tcW w:w="475"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9644AE" w:rsidRPr="00676F99" w:rsidTr="00676F99">
        <w:trPr>
          <w:trHeight w:val="20"/>
        </w:trPr>
        <w:tc>
          <w:tcPr>
            <w:tcW w:w="333"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799" w:type="pct"/>
            <w:vMerge w:val="restart"/>
            <w:noWrap/>
            <w:vAlign w:val="center"/>
          </w:tcPr>
          <w:p w:rsidR="009644AE" w:rsidRPr="00676F99" w:rsidRDefault="009644AE" w:rsidP="009644AE">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曹吴村（</w:t>
            </w:r>
            <w:r w:rsidRPr="00240B63">
              <w:rPr>
                <w:rFonts w:ascii="Times New Roman" w:hAnsi="Times New Roman" w:cs="Times New Roman"/>
                <w:kern w:val="0"/>
                <w:sz w:val="21"/>
                <w:szCs w:val="21"/>
              </w:rPr>
              <w:t>邓庙</w:t>
            </w:r>
            <w:r>
              <w:rPr>
                <w:rFonts w:ascii="Times New Roman" w:hAnsi="Times New Roman" w:cs="Times New Roman" w:hint="eastAsia"/>
                <w:kern w:val="0"/>
                <w:sz w:val="21"/>
                <w:szCs w:val="21"/>
              </w:rPr>
              <w:t>）</w:t>
            </w:r>
          </w:p>
        </w:tc>
        <w:tc>
          <w:tcPr>
            <w:tcW w:w="378"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8.28E-05</w:t>
            </w:r>
          </w:p>
        </w:tc>
        <w:tc>
          <w:tcPr>
            <w:tcW w:w="888"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23021609</w:t>
            </w:r>
          </w:p>
        </w:tc>
        <w:tc>
          <w:tcPr>
            <w:tcW w:w="817"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3.00E+00</w:t>
            </w:r>
          </w:p>
        </w:tc>
        <w:tc>
          <w:tcPr>
            <w:tcW w:w="485" w:type="pct"/>
            <w:noWrap/>
            <w:vAlign w:val="center"/>
          </w:tcPr>
          <w:p w:rsidR="009644AE" w:rsidRPr="00676F99" w:rsidRDefault="009644AE"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sidR="00E43E56">
              <w:rPr>
                <w:rFonts w:ascii="Times New Roman" w:hAnsi="Times New Roman" w:cs="Times New Roman"/>
                <w:kern w:val="0"/>
                <w:sz w:val="21"/>
                <w:szCs w:val="21"/>
              </w:rPr>
              <w:t>003</w:t>
            </w:r>
          </w:p>
        </w:tc>
        <w:tc>
          <w:tcPr>
            <w:tcW w:w="475"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9644AE" w:rsidRPr="00676F99" w:rsidTr="00676F99">
        <w:trPr>
          <w:trHeight w:val="20"/>
        </w:trPr>
        <w:tc>
          <w:tcPr>
            <w:tcW w:w="333"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799"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378"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9.99E-06</w:t>
            </w:r>
          </w:p>
        </w:tc>
        <w:tc>
          <w:tcPr>
            <w:tcW w:w="888"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230616</w:t>
            </w:r>
          </w:p>
        </w:tc>
        <w:tc>
          <w:tcPr>
            <w:tcW w:w="817"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1.00E+00</w:t>
            </w:r>
          </w:p>
        </w:tc>
        <w:tc>
          <w:tcPr>
            <w:tcW w:w="485" w:type="pct"/>
            <w:noWrap/>
            <w:vAlign w:val="center"/>
          </w:tcPr>
          <w:p w:rsidR="009644AE" w:rsidRPr="00676F99" w:rsidRDefault="009644AE"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0.0</w:t>
            </w:r>
            <w:r w:rsidR="00E43E56">
              <w:rPr>
                <w:rFonts w:ascii="Times New Roman" w:hAnsi="Times New Roman" w:cs="Times New Roman"/>
                <w:kern w:val="0"/>
                <w:sz w:val="21"/>
                <w:szCs w:val="21"/>
              </w:rPr>
              <w:t>01</w:t>
            </w:r>
          </w:p>
        </w:tc>
        <w:tc>
          <w:tcPr>
            <w:tcW w:w="475"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9644AE" w:rsidRPr="00676F99" w:rsidTr="00676F99">
        <w:trPr>
          <w:trHeight w:val="20"/>
        </w:trPr>
        <w:tc>
          <w:tcPr>
            <w:tcW w:w="333" w:type="pct"/>
            <w:vMerge/>
            <w:vAlign w:val="center"/>
          </w:tcPr>
          <w:p w:rsidR="009644AE" w:rsidRPr="00676F99" w:rsidRDefault="009644AE" w:rsidP="009644AE">
            <w:pPr>
              <w:pStyle w:val="afffffff2"/>
              <w:rPr>
                <w:rFonts w:cs="Times New Roman"/>
                <w:kern w:val="0"/>
                <w:sz w:val="21"/>
                <w:szCs w:val="21"/>
              </w:rPr>
            </w:pPr>
          </w:p>
        </w:tc>
        <w:tc>
          <w:tcPr>
            <w:tcW w:w="799" w:type="pct"/>
            <w:vMerge w:val="restart"/>
            <w:vAlign w:val="center"/>
          </w:tcPr>
          <w:p w:rsidR="009644AE" w:rsidRPr="00676F99" w:rsidRDefault="009644AE" w:rsidP="009644AE">
            <w:pPr>
              <w:pStyle w:val="afffffff2"/>
              <w:rPr>
                <w:rFonts w:cs="Times New Roman"/>
                <w:kern w:val="0"/>
                <w:sz w:val="21"/>
                <w:szCs w:val="21"/>
              </w:rPr>
            </w:pPr>
            <w:r w:rsidRPr="00240B63">
              <w:rPr>
                <w:rFonts w:ascii="Times New Roman" w:hAnsi="Times New Roman" w:cs="Times New Roman"/>
                <w:kern w:val="0"/>
                <w:sz w:val="21"/>
                <w:szCs w:val="21"/>
              </w:rPr>
              <w:t>李洼</w:t>
            </w:r>
          </w:p>
        </w:tc>
        <w:tc>
          <w:tcPr>
            <w:tcW w:w="378"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1.29E-04</w:t>
            </w:r>
          </w:p>
        </w:tc>
        <w:tc>
          <w:tcPr>
            <w:tcW w:w="888"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23060119</w:t>
            </w:r>
          </w:p>
        </w:tc>
        <w:tc>
          <w:tcPr>
            <w:tcW w:w="817"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3.00E+00</w:t>
            </w:r>
          </w:p>
        </w:tc>
        <w:tc>
          <w:tcPr>
            <w:tcW w:w="485" w:type="pct"/>
            <w:noWrap/>
            <w:vAlign w:val="center"/>
          </w:tcPr>
          <w:p w:rsidR="009644AE" w:rsidRPr="00676F99" w:rsidRDefault="009644AE"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sidR="00E43E56">
              <w:rPr>
                <w:rFonts w:ascii="Times New Roman" w:hAnsi="Times New Roman" w:cs="Times New Roman"/>
                <w:kern w:val="0"/>
                <w:sz w:val="21"/>
                <w:szCs w:val="21"/>
              </w:rPr>
              <w:t>004</w:t>
            </w:r>
          </w:p>
        </w:tc>
        <w:tc>
          <w:tcPr>
            <w:tcW w:w="475"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9644AE" w:rsidRPr="00676F99" w:rsidTr="00676F99">
        <w:trPr>
          <w:trHeight w:val="20"/>
        </w:trPr>
        <w:tc>
          <w:tcPr>
            <w:tcW w:w="333" w:type="pct"/>
            <w:vMerge/>
            <w:vAlign w:val="center"/>
          </w:tcPr>
          <w:p w:rsidR="009644AE" w:rsidRPr="00676F99" w:rsidRDefault="009644AE" w:rsidP="009644AE">
            <w:pPr>
              <w:pStyle w:val="afffffff2"/>
              <w:rPr>
                <w:rFonts w:cs="Times New Roman"/>
                <w:kern w:val="0"/>
                <w:sz w:val="21"/>
                <w:szCs w:val="21"/>
              </w:rPr>
            </w:pPr>
          </w:p>
        </w:tc>
        <w:tc>
          <w:tcPr>
            <w:tcW w:w="799" w:type="pct"/>
            <w:vMerge/>
            <w:vAlign w:val="center"/>
          </w:tcPr>
          <w:p w:rsidR="009644AE" w:rsidRPr="009644AE" w:rsidRDefault="009644AE" w:rsidP="009644AE">
            <w:pPr>
              <w:pStyle w:val="afffffff2"/>
              <w:rPr>
                <w:rFonts w:ascii="Times New Roman" w:hAnsi="Times New Roman" w:cs="Times New Roman"/>
                <w:kern w:val="0"/>
                <w:sz w:val="21"/>
                <w:szCs w:val="21"/>
              </w:rPr>
            </w:pPr>
          </w:p>
        </w:tc>
        <w:tc>
          <w:tcPr>
            <w:tcW w:w="378"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1.04E-05</w:t>
            </w:r>
          </w:p>
        </w:tc>
        <w:tc>
          <w:tcPr>
            <w:tcW w:w="888"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230730</w:t>
            </w:r>
          </w:p>
        </w:tc>
        <w:tc>
          <w:tcPr>
            <w:tcW w:w="817"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1.00E+00</w:t>
            </w:r>
          </w:p>
        </w:tc>
        <w:tc>
          <w:tcPr>
            <w:tcW w:w="485" w:type="pct"/>
            <w:noWrap/>
            <w:vAlign w:val="center"/>
          </w:tcPr>
          <w:p w:rsidR="009644AE" w:rsidRPr="00676F99" w:rsidRDefault="009644AE"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0.0</w:t>
            </w:r>
            <w:r w:rsidR="00E43E56">
              <w:rPr>
                <w:rFonts w:ascii="Times New Roman" w:hAnsi="Times New Roman" w:cs="Times New Roman"/>
                <w:kern w:val="0"/>
                <w:sz w:val="21"/>
                <w:szCs w:val="21"/>
              </w:rPr>
              <w:t>01</w:t>
            </w:r>
          </w:p>
        </w:tc>
        <w:tc>
          <w:tcPr>
            <w:tcW w:w="475"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9644AE" w:rsidRPr="00676F99" w:rsidTr="00676F99">
        <w:trPr>
          <w:trHeight w:val="20"/>
        </w:trPr>
        <w:tc>
          <w:tcPr>
            <w:tcW w:w="333"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799" w:type="pct"/>
            <w:vMerge w:val="restart"/>
            <w:vAlign w:val="center"/>
          </w:tcPr>
          <w:p w:rsidR="009644AE" w:rsidRPr="00676F99" w:rsidRDefault="009644AE" w:rsidP="009644AE">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汤陈村</w:t>
            </w:r>
          </w:p>
        </w:tc>
        <w:tc>
          <w:tcPr>
            <w:tcW w:w="378"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1.22E-04</w:t>
            </w:r>
          </w:p>
        </w:tc>
        <w:tc>
          <w:tcPr>
            <w:tcW w:w="888"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23061306</w:t>
            </w:r>
          </w:p>
        </w:tc>
        <w:tc>
          <w:tcPr>
            <w:tcW w:w="817"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3.00E+00</w:t>
            </w:r>
          </w:p>
        </w:tc>
        <w:tc>
          <w:tcPr>
            <w:tcW w:w="485" w:type="pct"/>
            <w:noWrap/>
            <w:vAlign w:val="center"/>
          </w:tcPr>
          <w:p w:rsidR="009644AE" w:rsidRPr="00676F99" w:rsidRDefault="009644AE"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sidR="00E43E56">
              <w:rPr>
                <w:rFonts w:ascii="Times New Roman" w:hAnsi="Times New Roman" w:cs="Times New Roman"/>
                <w:kern w:val="0"/>
                <w:sz w:val="21"/>
                <w:szCs w:val="21"/>
              </w:rPr>
              <w:t>004</w:t>
            </w:r>
          </w:p>
        </w:tc>
        <w:tc>
          <w:tcPr>
            <w:tcW w:w="475"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9644AE" w:rsidRPr="00676F99" w:rsidTr="00676F99">
        <w:trPr>
          <w:trHeight w:val="20"/>
        </w:trPr>
        <w:tc>
          <w:tcPr>
            <w:tcW w:w="333"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799"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378"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1.73E-05</w:t>
            </w:r>
          </w:p>
        </w:tc>
        <w:tc>
          <w:tcPr>
            <w:tcW w:w="888"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230807</w:t>
            </w:r>
          </w:p>
        </w:tc>
        <w:tc>
          <w:tcPr>
            <w:tcW w:w="817"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1.00E+00</w:t>
            </w:r>
          </w:p>
        </w:tc>
        <w:tc>
          <w:tcPr>
            <w:tcW w:w="485" w:type="pct"/>
            <w:noWrap/>
            <w:vAlign w:val="center"/>
          </w:tcPr>
          <w:p w:rsidR="009644AE" w:rsidRPr="00676F99" w:rsidRDefault="009644AE"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0.0</w:t>
            </w:r>
            <w:r w:rsidR="00E43E56">
              <w:rPr>
                <w:rFonts w:ascii="Times New Roman" w:hAnsi="Times New Roman" w:cs="Times New Roman"/>
                <w:kern w:val="0"/>
                <w:sz w:val="21"/>
                <w:szCs w:val="21"/>
              </w:rPr>
              <w:t>02</w:t>
            </w:r>
          </w:p>
        </w:tc>
        <w:tc>
          <w:tcPr>
            <w:tcW w:w="475"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9644AE" w:rsidRPr="00676F99" w:rsidTr="00676F99">
        <w:trPr>
          <w:trHeight w:val="20"/>
        </w:trPr>
        <w:tc>
          <w:tcPr>
            <w:tcW w:w="333"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799" w:type="pct"/>
            <w:vMerge w:val="restart"/>
            <w:vAlign w:val="center"/>
          </w:tcPr>
          <w:p w:rsidR="009644AE" w:rsidRPr="00676F99" w:rsidRDefault="009644AE" w:rsidP="009644AE">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后沈家</w:t>
            </w:r>
          </w:p>
        </w:tc>
        <w:tc>
          <w:tcPr>
            <w:tcW w:w="378"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1.80E-04</w:t>
            </w:r>
          </w:p>
        </w:tc>
        <w:tc>
          <w:tcPr>
            <w:tcW w:w="888"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23081319</w:t>
            </w:r>
          </w:p>
        </w:tc>
        <w:tc>
          <w:tcPr>
            <w:tcW w:w="817"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3.00E+00</w:t>
            </w:r>
          </w:p>
        </w:tc>
        <w:tc>
          <w:tcPr>
            <w:tcW w:w="485" w:type="pct"/>
            <w:noWrap/>
            <w:vAlign w:val="center"/>
          </w:tcPr>
          <w:p w:rsidR="009644AE" w:rsidRPr="00676F99" w:rsidRDefault="009644AE"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sidR="00E43E56">
              <w:rPr>
                <w:rFonts w:ascii="Times New Roman" w:hAnsi="Times New Roman" w:cs="Times New Roman"/>
                <w:kern w:val="0"/>
                <w:sz w:val="21"/>
                <w:szCs w:val="21"/>
              </w:rPr>
              <w:t>006</w:t>
            </w:r>
          </w:p>
        </w:tc>
        <w:tc>
          <w:tcPr>
            <w:tcW w:w="475"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9644AE" w:rsidRPr="00676F99" w:rsidTr="00676F99">
        <w:trPr>
          <w:trHeight w:val="20"/>
        </w:trPr>
        <w:tc>
          <w:tcPr>
            <w:tcW w:w="333"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799"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378"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2.23E-05</w:t>
            </w:r>
          </w:p>
        </w:tc>
        <w:tc>
          <w:tcPr>
            <w:tcW w:w="888"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231129</w:t>
            </w:r>
          </w:p>
        </w:tc>
        <w:tc>
          <w:tcPr>
            <w:tcW w:w="817"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1.00E+00</w:t>
            </w:r>
          </w:p>
        </w:tc>
        <w:tc>
          <w:tcPr>
            <w:tcW w:w="485" w:type="pct"/>
            <w:noWrap/>
            <w:vAlign w:val="center"/>
          </w:tcPr>
          <w:p w:rsidR="009644AE" w:rsidRPr="00676F99" w:rsidRDefault="009644AE"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0.0</w:t>
            </w:r>
            <w:r w:rsidR="00E43E56">
              <w:rPr>
                <w:rFonts w:ascii="Times New Roman" w:hAnsi="Times New Roman" w:cs="Times New Roman"/>
                <w:kern w:val="0"/>
                <w:sz w:val="21"/>
                <w:szCs w:val="21"/>
              </w:rPr>
              <w:t>02</w:t>
            </w:r>
          </w:p>
        </w:tc>
        <w:tc>
          <w:tcPr>
            <w:tcW w:w="475"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9644AE" w:rsidRPr="00676F99" w:rsidTr="00676F99">
        <w:trPr>
          <w:trHeight w:val="20"/>
        </w:trPr>
        <w:tc>
          <w:tcPr>
            <w:tcW w:w="333"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799" w:type="pct"/>
            <w:vMerge w:val="restart"/>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网格</w:t>
            </w:r>
          </w:p>
        </w:tc>
        <w:tc>
          <w:tcPr>
            <w:tcW w:w="378"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7.13E-04</w:t>
            </w:r>
          </w:p>
        </w:tc>
        <w:tc>
          <w:tcPr>
            <w:tcW w:w="888"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23110208</w:t>
            </w:r>
          </w:p>
        </w:tc>
        <w:tc>
          <w:tcPr>
            <w:tcW w:w="817"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3.00E+00</w:t>
            </w:r>
          </w:p>
        </w:tc>
        <w:tc>
          <w:tcPr>
            <w:tcW w:w="485" w:type="pct"/>
            <w:noWrap/>
            <w:vAlign w:val="center"/>
          </w:tcPr>
          <w:p w:rsidR="009644AE" w:rsidRPr="00676F99" w:rsidRDefault="00E43E56" w:rsidP="009644AE">
            <w:pPr>
              <w:pStyle w:val="afffffff2"/>
              <w:rPr>
                <w:rFonts w:ascii="Times New Roman" w:hAnsi="Times New Roman" w:cs="Times New Roman"/>
                <w:kern w:val="0"/>
                <w:sz w:val="21"/>
                <w:szCs w:val="21"/>
              </w:rPr>
            </w:pPr>
            <w:r>
              <w:rPr>
                <w:rFonts w:ascii="Times New Roman" w:hAnsi="Times New Roman" w:cs="Times New Roman"/>
                <w:kern w:val="0"/>
                <w:sz w:val="21"/>
                <w:szCs w:val="21"/>
              </w:rPr>
              <w:t>0.024</w:t>
            </w:r>
          </w:p>
        </w:tc>
        <w:tc>
          <w:tcPr>
            <w:tcW w:w="475"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9644AE" w:rsidRPr="00676F99" w:rsidTr="00676F99">
        <w:trPr>
          <w:trHeight w:val="20"/>
        </w:trPr>
        <w:tc>
          <w:tcPr>
            <w:tcW w:w="333"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799" w:type="pct"/>
            <w:vMerge/>
            <w:vAlign w:val="center"/>
          </w:tcPr>
          <w:p w:rsidR="009644AE" w:rsidRPr="00676F99" w:rsidRDefault="009644AE" w:rsidP="009644AE">
            <w:pPr>
              <w:pStyle w:val="afffffff2"/>
              <w:rPr>
                <w:rFonts w:ascii="Times New Roman" w:hAnsi="Times New Roman" w:cs="Times New Roman"/>
                <w:kern w:val="0"/>
                <w:sz w:val="21"/>
                <w:szCs w:val="21"/>
              </w:rPr>
            </w:pPr>
          </w:p>
        </w:tc>
        <w:tc>
          <w:tcPr>
            <w:tcW w:w="378"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825"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1.04E-04</w:t>
            </w:r>
          </w:p>
        </w:tc>
        <w:tc>
          <w:tcPr>
            <w:tcW w:w="888" w:type="pct"/>
            <w:noWrap/>
            <w:vAlign w:val="center"/>
          </w:tcPr>
          <w:p w:rsidR="009644AE" w:rsidRPr="009644AE" w:rsidRDefault="009644AE" w:rsidP="009644AE">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230928</w:t>
            </w:r>
          </w:p>
        </w:tc>
        <w:tc>
          <w:tcPr>
            <w:tcW w:w="817"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1.00E+00</w:t>
            </w:r>
          </w:p>
        </w:tc>
        <w:tc>
          <w:tcPr>
            <w:tcW w:w="485" w:type="pct"/>
            <w:noWrap/>
            <w:vAlign w:val="center"/>
          </w:tcPr>
          <w:p w:rsidR="009644AE" w:rsidRPr="00676F99" w:rsidRDefault="00E43E56" w:rsidP="00E43E56">
            <w:pPr>
              <w:pStyle w:val="afffffff2"/>
              <w:rPr>
                <w:rFonts w:ascii="Times New Roman" w:hAnsi="Times New Roman" w:cs="Times New Roman"/>
                <w:kern w:val="0"/>
                <w:sz w:val="21"/>
                <w:szCs w:val="21"/>
              </w:rPr>
            </w:pPr>
            <w:r>
              <w:rPr>
                <w:rFonts w:ascii="Times New Roman" w:hAnsi="Times New Roman" w:cs="Times New Roman"/>
                <w:kern w:val="0"/>
                <w:sz w:val="21"/>
                <w:szCs w:val="21"/>
              </w:rPr>
              <w:t>0.010</w:t>
            </w:r>
          </w:p>
        </w:tc>
        <w:tc>
          <w:tcPr>
            <w:tcW w:w="475" w:type="pct"/>
            <w:noWrap/>
            <w:vAlign w:val="center"/>
          </w:tcPr>
          <w:p w:rsidR="009644AE" w:rsidRPr="00676F99" w:rsidRDefault="009644AE" w:rsidP="009644AE">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E43E56" w:rsidRPr="00676F99" w:rsidTr="00676F99">
        <w:trPr>
          <w:trHeight w:val="20"/>
        </w:trPr>
        <w:tc>
          <w:tcPr>
            <w:tcW w:w="333" w:type="pct"/>
            <w:vMerge w:val="restart"/>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非甲烷总烃</w:t>
            </w:r>
          </w:p>
        </w:tc>
        <w:tc>
          <w:tcPr>
            <w:tcW w:w="799" w:type="pct"/>
            <w:vAlign w:val="center"/>
          </w:tcPr>
          <w:p w:rsidR="00E43E56" w:rsidRPr="00240B63" w:rsidRDefault="00E43E56" w:rsidP="00E43E56">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三铺村</w:t>
            </w:r>
          </w:p>
        </w:tc>
        <w:tc>
          <w:tcPr>
            <w:tcW w:w="378"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3.17E-04</w:t>
            </w:r>
          </w:p>
        </w:tc>
        <w:tc>
          <w:tcPr>
            <w:tcW w:w="888"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23051619</w:t>
            </w:r>
          </w:p>
        </w:tc>
        <w:tc>
          <w:tcPr>
            <w:tcW w:w="817"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2.00E+00</w:t>
            </w:r>
          </w:p>
        </w:tc>
        <w:tc>
          <w:tcPr>
            <w:tcW w:w="485" w:type="pct"/>
            <w:noWrap/>
            <w:vAlign w:val="center"/>
          </w:tcPr>
          <w:p w:rsidR="00E43E56" w:rsidRPr="00E43E56" w:rsidRDefault="00E43E56" w:rsidP="00B9078D">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0.0</w:t>
            </w:r>
            <w:r w:rsidR="00B9078D">
              <w:rPr>
                <w:rFonts w:ascii="Times New Roman" w:hAnsi="Times New Roman" w:cs="Times New Roman"/>
                <w:kern w:val="0"/>
                <w:sz w:val="21"/>
                <w:szCs w:val="21"/>
              </w:rPr>
              <w:t>16</w:t>
            </w:r>
          </w:p>
        </w:tc>
        <w:tc>
          <w:tcPr>
            <w:tcW w:w="475"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E43E56" w:rsidRPr="00676F99" w:rsidTr="00676F99">
        <w:trPr>
          <w:trHeight w:val="20"/>
        </w:trPr>
        <w:tc>
          <w:tcPr>
            <w:tcW w:w="333" w:type="pct"/>
            <w:vMerge/>
            <w:vAlign w:val="center"/>
          </w:tcPr>
          <w:p w:rsidR="00E43E56" w:rsidRPr="00676F99" w:rsidRDefault="00E43E56" w:rsidP="00E43E56">
            <w:pPr>
              <w:pStyle w:val="afffffff2"/>
              <w:rPr>
                <w:rFonts w:ascii="Times New Roman" w:hAnsi="Times New Roman" w:cs="Times New Roman"/>
                <w:kern w:val="0"/>
                <w:sz w:val="21"/>
                <w:szCs w:val="21"/>
              </w:rPr>
            </w:pPr>
          </w:p>
        </w:tc>
        <w:tc>
          <w:tcPr>
            <w:tcW w:w="799" w:type="pct"/>
            <w:vAlign w:val="center"/>
          </w:tcPr>
          <w:p w:rsidR="00E43E56" w:rsidRPr="00240B63" w:rsidRDefault="00E43E56" w:rsidP="00E43E56">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汪邢村（</w:t>
            </w:r>
            <w:r w:rsidRPr="00240B63">
              <w:rPr>
                <w:rFonts w:ascii="Times New Roman" w:hAnsi="Times New Roman" w:cs="Times New Roman"/>
                <w:kern w:val="0"/>
                <w:sz w:val="21"/>
                <w:szCs w:val="21"/>
              </w:rPr>
              <w:t>高王家</w:t>
            </w:r>
            <w:r>
              <w:rPr>
                <w:rFonts w:ascii="Times New Roman" w:hAnsi="Times New Roman" w:cs="Times New Roman" w:hint="eastAsia"/>
                <w:kern w:val="0"/>
                <w:sz w:val="21"/>
                <w:szCs w:val="21"/>
              </w:rPr>
              <w:t>）</w:t>
            </w:r>
          </w:p>
        </w:tc>
        <w:tc>
          <w:tcPr>
            <w:tcW w:w="378"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2.39E-04</w:t>
            </w:r>
          </w:p>
        </w:tc>
        <w:tc>
          <w:tcPr>
            <w:tcW w:w="888"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23010316</w:t>
            </w:r>
          </w:p>
        </w:tc>
        <w:tc>
          <w:tcPr>
            <w:tcW w:w="817"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2.00E+00</w:t>
            </w:r>
          </w:p>
        </w:tc>
        <w:tc>
          <w:tcPr>
            <w:tcW w:w="48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0.01</w:t>
            </w:r>
            <w:r w:rsidR="00B9078D">
              <w:rPr>
                <w:rFonts w:ascii="Times New Roman" w:hAnsi="Times New Roman" w:cs="Times New Roman"/>
                <w:kern w:val="0"/>
                <w:sz w:val="21"/>
                <w:szCs w:val="21"/>
              </w:rPr>
              <w:t>2</w:t>
            </w:r>
          </w:p>
        </w:tc>
        <w:tc>
          <w:tcPr>
            <w:tcW w:w="475"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E43E56" w:rsidRPr="00676F99" w:rsidTr="00676F99">
        <w:trPr>
          <w:trHeight w:val="20"/>
        </w:trPr>
        <w:tc>
          <w:tcPr>
            <w:tcW w:w="333" w:type="pct"/>
            <w:vMerge/>
            <w:vAlign w:val="center"/>
          </w:tcPr>
          <w:p w:rsidR="00E43E56" w:rsidRPr="00676F99" w:rsidRDefault="00E43E56" w:rsidP="00E43E56">
            <w:pPr>
              <w:pStyle w:val="afffffff2"/>
              <w:rPr>
                <w:rFonts w:ascii="Times New Roman" w:hAnsi="Times New Roman" w:cs="Times New Roman"/>
                <w:kern w:val="0"/>
                <w:sz w:val="21"/>
                <w:szCs w:val="21"/>
              </w:rPr>
            </w:pPr>
          </w:p>
        </w:tc>
        <w:tc>
          <w:tcPr>
            <w:tcW w:w="799" w:type="pct"/>
            <w:vAlign w:val="center"/>
          </w:tcPr>
          <w:p w:rsidR="00E43E56" w:rsidRPr="00240B63" w:rsidRDefault="00E43E56" w:rsidP="00E43E56">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曹吴村（</w:t>
            </w:r>
            <w:r w:rsidRPr="00240B63">
              <w:rPr>
                <w:rFonts w:ascii="Times New Roman" w:hAnsi="Times New Roman" w:cs="Times New Roman"/>
                <w:kern w:val="0"/>
                <w:sz w:val="21"/>
                <w:szCs w:val="21"/>
              </w:rPr>
              <w:t>邓庙</w:t>
            </w:r>
            <w:r>
              <w:rPr>
                <w:rFonts w:ascii="Times New Roman" w:hAnsi="Times New Roman" w:cs="Times New Roman" w:hint="eastAsia"/>
                <w:kern w:val="0"/>
                <w:sz w:val="21"/>
                <w:szCs w:val="21"/>
              </w:rPr>
              <w:t>）</w:t>
            </w:r>
          </w:p>
        </w:tc>
        <w:tc>
          <w:tcPr>
            <w:tcW w:w="378"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1.45E-04</w:t>
            </w:r>
          </w:p>
        </w:tc>
        <w:tc>
          <w:tcPr>
            <w:tcW w:w="888"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23021609</w:t>
            </w:r>
          </w:p>
        </w:tc>
        <w:tc>
          <w:tcPr>
            <w:tcW w:w="817"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2.00E+00</w:t>
            </w:r>
          </w:p>
        </w:tc>
        <w:tc>
          <w:tcPr>
            <w:tcW w:w="485" w:type="pct"/>
            <w:noWrap/>
            <w:vAlign w:val="center"/>
          </w:tcPr>
          <w:p w:rsidR="00E43E56" w:rsidRPr="00E43E56" w:rsidRDefault="00E43E56" w:rsidP="00B9078D">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0.0</w:t>
            </w:r>
            <w:r w:rsidR="00B9078D">
              <w:rPr>
                <w:rFonts w:ascii="Times New Roman" w:hAnsi="Times New Roman" w:cs="Times New Roman"/>
                <w:kern w:val="0"/>
                <w:sz w:val="21"/>
                <w:szCs w:val="21"/>
              </w:rPr>
              <w:t>07</w:t>
            </w:r>
          </w:p>
        </w:tc>
        <w:tc>
          <w:tcPr>
            <w:tcW w:w="475"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E43E56" w:rsidRPr="00676F99" w:rsidTr="00676F99">
        <w:trPr>
          <w:trHeight w:val="20"/>
        </w:trPr>
        <w:tc>
          <w:tcPr>
            <w:tcW w:w="333" w:type="pct"/>
            <w:vMerge/>
            <w:vAlign w:val="center"/>
          </w:tcPr>
          <w:p w:rsidR="00E43E56" w:rsidRPr="00676F99" w:rsidRDefault="00E43E56" w:rsidP="00E43E56">
            <w:pPr>
              <w:pStyle w:val="afffffff2"/>
              <w:rPr>
                <w:rFonts w:ascii="Times New Roman" w:hAnsi="Times New Roman" w:cs="Times New Roman"/>
                <w:kern w:val="0"/>
                <w:sz w:val="21"/>
                <w:szCs w:val="21"/>
              </w:rPr>
            </w:pPr>
          </w:p>
        </w:tc>
        <w:tc>
          <w:tcPr>
            <w:tcW w:w="799" w:type="pct"/>
            <w:vAlign w:val="center"/>
          </w:tcPr>
          <w:p w:rsidR="00E43E56" w:rsidRPr="00240B63" w:rsidRDefault="00E43E56" w:rsidP="00E43E56">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李洼</w:t>
            </w:r>
          </w:p>
        </w:tc>
        <w:tc>
          <w:tcPr>
            <w:tcW w:w="378"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2.40E-04</w:t>
            </w:r>
          </w:p>
        </w:tc>
        <w:tc>
          <w:tcPr>
            <w:tcW w:w="888"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23060119</w:t>
            </w:r>
          </w:p>
        </w:tc>
        <w:tc>
          <w:tcPr>
            <w:tcW w:w="817"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2.00E+00</w:t>
            </w:r>
          </w:p>
        </w:tc>
        <w:tc>
          <w:tcPr>
            <w:tcW w:w="48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0.01</w:t>
            </w:r>
            <w:r w:rsidR="00B9078D">
              <w:rPr>
                <w:rFonts w:ascii="Times New Roman" w:hAnsi="Times New Roman" w:cs="Times New Roman"/>
                <w:kern w:val="0"/>
                <w:sz w:val="21"/>
                <w:szCs w:val="21"/>
              </w:rPr>
              <w:t>2</w:t>
            </w:r>
          </w:p>
        </w:tc>
        <w:tc>
          <w:tcPr>
            <w:tcW w:w="475"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E43E56" w:rsidRPr="00676F99" w:rsidTr="00676F99">
        <w:trPr>
          <w:trHeight w:val="20"/>
        </w:trPr>
        <w:tc>
          <w:tcPr>
            <w:tcW w:w="333" w:type="pct"/>
            <w:vMerge/>
            <w:vAlign w:val="center"/>
          </w:tcPr>
          <w:p w:rsidR="00E43E56" w:rsidRPr="00676F99" w:rsidRDefault="00E43E56" w:rsidP="00E43E56">
            <w:pPr>
              <w:pStyle w:val="afffffff2"/>
              <w:rPr>
                <w:rFonts w:cs="Times New Roman"/>
                <w:kern w:val="0"/>
                <w:sz w:val="21"/>
                <w:szCs w:val="21"/>
              </w:rPr>
            </w:pPr>
          </w:p>
        </w:tc>
        <w:tc>
          <w:tcPr>
            <w:tcW w:w="799" w:type="pct"/>
            <w:vAlign w:val="center"/>
          </w:tcPr>
          <w:p w:rsidR="00E43E56" w:rsidRPr="00240B63" w:rsidRDefault="00E43E56" w:rsidP="00E43E56">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汤陈村</w:t>
            </w:r>
          </w:p>
        </w:tc>
        <w:tc>
          <w:tcPr>
            <w:tcW w:w="378"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2.16E-04</w:t>
            </w:r>
          </w:p>
        </w:tc>
        <w:tc>
          <w:tcPr>
            <w:tcW w:w="888"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23061306</w:t>
            </w:r>
          </w:p>
        </w:tc>
        <w:tc>
          <w:tcPr>
            <w:tcW w:w="817"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2.00E+00</w:t>
            </w:r>
          </w:p>
        </w:tc>
        <w:tc>
          <w:tcPr>
            <w:tcW w:w="48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0.01</w:t>
            </w:r>
            <w:r w:rsidR="00B9078D">
              <w:rPr>
                <w:rFonts w:ascii="Times New Roman" w:hAnsi="Times New Roman" w:cs="Times New Roman"/>
                <w:kern w:val="0"/>
                <w:sz w:val="21"/>
                <w:szCs w:val="21"/>
              </w:rPr>
              <w:t>1</w:t>
            </w:r>
          </w:p>
        </w:tc>
        <w:tc>
          <w:tcPr>
            <w:tcW w:w="475"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E43E56" w:rsidRPr="00676F99" w:rsidTr="00676F99">
        <w:trPr>
          <w:trHeight w:val="20"/>
        </w:trPr>
        <w:tc>
          <w:tcPr>
            <w:tcW w:w="333" w:type="pct"/>
            <w:vMerge/>
            <w:vAlign w:val="center"/>
          </w:tcPr>
          <w:p w:rsidR="00E43E56" w:rsidRPr="00676F99" w:rsidRDefault="00E43E56" w:rsidP="00E43E56">
            <w:pPr>
              <w:pStyle w:val="afffffff2"/>
              <w:rPr>
                <w:rFonts w:ascii="Times New Roman" w:hAnsi="Times New Roman" w:cs="Times New Roman"/>
                <w:kern w:val="0"/>
                <w:sz w:val="21"/>
                <w:szCs w:val="21"/>
              </w:rPr>
            </w:pPr>
          </w:p>
        </w:tc>
        <w:tc>
          <w:tcPr>
            <w:tcW w:w="799" w:type="pct"/>
            <w:vAlign w:val="center"/>
          </w:tcPr>
          <w:p w:rsidR="00E43E56" w:rsidRPr="00240B63" w:rsidRDefault="00E43E56" w:rsidP="00E43E56">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后沈家</w:t>
            </w:r>
          </w:p>
        </w:tc>
        <w:tc>
          <w:tcPr>
            <w:tcW w:w="378"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3.09E-04</w:t>
            </w:r>
          </w:p>
        </w:tc>
        <w:tc>
          <w:tcPr>
            <w:tcW w:w="888"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23081319</w:t>
            </w:r>
          </w:p>
        </w:tc>
        <w:tc>
          <w:tcPr>
            <w:tcW w:w="817"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2.00E+00</w:t>
            </w:r>
          </w:p>
        </w:tc>
        <w:tc>
          <w:tcPr>
            <w:tcW w:w="485" w:type="pct"/>
            <w:noWrap/>
            <w:vAlign w:val="center"/>
          </w:tcPr>
          <w:p w:rsidR="00E43E56" w:rsidRPr="00E43E56" w:rsidRDefault="00E43E56" w:rsidP="00B9078D">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0.0</w:t>
            </w:r>
            <w:r w:rsidR="00B9078D">
              <w:rPr>
                <w:rFonts w:ascii="Times New Roman" w:hAnsi="Times New Roman" w:cs="Times New Roman"/>
                <w:kern w:val="0"/>
                <w:sz w:val="21"/>
                <w:szCs w:val="21"/>
              </w:rPr>
              <w:t>15</w:t>
            </w:r>
          </w:p>
        </w:tc>
        <w:tc>
          <w:tcPr>
            <w:tcW w:w="475"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E43E56" w:rsidRPr="00676F99" w:rsidTr="00676F99">
        <w:trPr>
          <w:trHeight w:val="20"/>
        </w:trPr>
        <w:tc>
          <w:tcPr>
            <w:tcW w:w="333" w:type="pct"/>
            <w:vMerge/>
            <w:vAlign w:val="center"/>
          </w:tcPr>
          <w:p w:rsidR="00E43E56" w:rsidRPr="00676F99" w:rsidRDefault="00E43E56" w:rsidP="00E43E56">
            <w:pPr>
              <w:pStyle w:val="afffffff2"/>
              <w:rPr>
                <w:rFonts w:ascii="Times New Roman" w:hAnsi="Times New Roman" w:cs="Times New Roman"/>
                <w:kern w:val="0"/>
                <w:sz w:val="21"/>
                <w:szCs w:val="21"/>
              </w:rPr>
            </w:pPr>
          </w:p>
        </w:tc>
        <w:tc>
          <w:tcPr>
            <w:tcW w:w="799" w:type="pct"/>
            <w:vAlign w:val="center"/>
          </w:tcPr>
          <w:p w:rsidR="00E43E56" w:rsidRPr="00240B63" w:rsidRDefault="00E43E56" w:rsidP="00E43E56">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网格</w:t>
            </w:r>
          </w:p>
        </w:tc>
        <w:tc>
          <w:tcPr>
            <w:tcW w:w="378"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1.38E-03</w:t>
            </w:r>
          </w:p>
        </w:tc>
        <w:tc>
          <w:tcPr>
            <w:tcW w:w="888"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23110208</w:t>
            </w:r>
          </w:p>
        </w:tc>
        <w:tc>
          <w:tcPr>
            <w:tcW w:w="817"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2.00E+00</w:t>
            </w:r>
          </w:p>
        </w:tc>
        <w:tc>
          <w:tcPr>
            <w:tcW w:w="485" w:type="pct"/>
            <w:noWrap/>
            <w:vAlign w:val="center"/>
          </w:tcPr>
          <w:p w:rsidR="00E43E56" w:rsidRPr="00E43E56" w:rsidRDefault="00E43E56" w:rsidP="00B9078D">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0.0</w:t>
            </w:r>
            <w:r w:rsidR="00B9078D">
              <w:rPr>
                <w:rFonts w:ascii="Times New Roman" w:hAnsi="Times New Roman" w:cs="Times New Roman"/>
                <w:kern w:val="0"/>
                <w:sz w:val="21"/>
                <w:szCs w:val="21"/>
              </w:rPr>
              <w:t>69</w:t>
            </w:r>
          </w:p>
        </w:tc>
        <w:tc>
          <w:tcPr>
            <w:tcW w:w="475"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E43E56" w:rsidRPr="00676F99" w:rsidTr="00676F99">
        <w:trPr>
          <w:trHeight w:val="20"/>
        </w:trPr>
        <w:tc>
          <w:tcPr>
            <w:tcW w:w="333" w:type="pct"/>
            <w:vMerge w:val="restart"/>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NH</w:t>
            </w:r>
            <w:r w:rsidRPr="00676F99">
              <w:rPr>
                <w:rFonts w:ascii="Times New Roman" w:hAnsi="Times New Roman" w:cs="Times New Roman"/>
                <w:kern w:val="0"/>
                <w:sz w:val="21"/>
                <w:szCs w:val="21"/>
                <w:vertAlign w:val="subscript"/>
              </w:rPr>
              <w:t>3</w:t>
            </w:r>
          </w:p>
        </w:tc>
        <w:tc>
          <w:tcPr>
            <w:tcW w:w="799" w:type="pct"/>
            <w:vAlign w:val="center"/>
          </w:tcPr>
          <w:p w:rsidR="00E43E56" w:rsidRPr="00240B63" w:rsidRDefault="00E43E56" w:rsidP="00E43E56">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三铺村</w:t>
            </w:r>
          </w:p>
        </w:tc>
        <w:tc>
          <w:tcPr>
            <w:tcW w:w="378"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2.29E-06</w:t>
            </w:r>
          </w:p>
        </w:tc>
        <w:tc>
          <w:tcPr>
            <w:tcW w:w="888"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23051519</w:t>
            </w:r>
          </w:p>
        </w:tc>
        <w:tc>
          <w:tcPr>
            <w:tcW w:w="817"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2.00E-01</w:t>
            </w:r>
          </w:p>
        </w:tc>
        <w:tc>
          <w:tcPr>
            <w:tcW w:w="485" w:type="pct"/>
            <w:noWrap/>
            <w:vAlign w:val="center"/>
          </w:tcPr>
          <w:p w:rsidR="00E43E56" w:rsidRPr="00676F99" w:rsidRDefault="00E43E56"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0.0</w:t>
            </w:r>
            <w:r w:rsidR="00B9078D">
              <w:rPr>
                <w:rFonts w:ascii="Times New Roman" w:hAnsi="Times New Roman" w:cs="Times New Roman"/>
                <w:kern w:val="0"/>
                <w:sz w:val="21"/>
                <w:szCs w:val="21"/>
              </w:rPr>
              <w:t>01</w:t>
            </w:r>
          </w:p>
        </w:tc>
        <w:tc>
          <w:tcPr>
            <w:tcW w:w="475"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E43E56" w:rsidRPr="00676F99" w:rsidTr="00676F99">
        <w:trPr>
          <w:trHeight w:val="20"/>
        </w:trPr>
        <w:tc>
          <w:tcPr>
            <w:tcW w:w="333" w:type="pct"/>
            <w:vMerge/>
            <w:vAlign w:val="center"/>
          </w:tcPr>
          <w:p w:rsidR="00E43E56" w:rsidRPr="00676F99" w:rsidRDefault="00E43E56" w:rsidP="00E43E56">
            <w:pPr>
              <w:pStyle w:val="afffffff2"/>
              <w:rPr>
                <w:rFonts w:ascii="Times New Roman" w:hAnsi="Times New Roman" w:cs="Times New Roman"/>
                <w:kern w:val="0"/>
                <w:sz w:val="21"/>
                <w:szCs w:val="21"/>
              </w:rPr>
            </w:pPr>
          </w:p>
        </w:tc>
        <w:tc>
          <w:tcPr>
            <w:tcW w:w="799" w:type="pct"/>
            <w:vAlign w:val="center"/>
          </w:tcPr>
          <w:p w:rsidR="00E43E56" w:rsidRPr="00240B63" w:rsidRDefault="00E43E56" w:rsidP="00E43E56">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汪邢村（</w:t>
            </w:r>
            <w:r w:rsidRPr="00240B63">
              <w:rPr>
                <w:rFonts w:ascii="Times New Roman" w:hAnsi="Times New Roman" w:cs="Times New Roman"/>
                <w:kern w:val="0"/>
                <w:sz w:val="21"/>
                <w:szCs w:val="21"/>
              </w:rPr>
              <w:t>高王家</w:t>
            </w:r>
            <w:r>
              <w:rPr>
                <w:rFonts w:ascii="Times New Roman" w:hAnsi="Times New Roman" w:cs="Times New Roman" w:hint="eastAsia"/>
                <w:kern w:val="0"/>
                <w:sz w:val="21"/>
                <w:szCs w:val="21"/>
              </w:rPr>
              <w:t>）</w:t>
            </w:r>
          </w:p>
        </w:tc>
        <w:tc>
          <w:tcPr>
            <w:tcW w:w="378"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2.27E-06</w:t>
            </w:r>
          </w:p>
        </w:tc>
        <w:tc>
          <w:tcPr>
            <w:tcW w:w="888"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23060620</w:t>
            </w:r>
          </w:p>
        </w:tc>
        <w:tc>
          <w:tcPr>
            <w:tcW w:w="817"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2.00E-01</w:t>
            </w:r>
          </w:p>
        </w:tc>
        <w:tc>
          <w:tcPr>
            <w:tcW w:w="485" w:type="pct"/>
            <w:noWrap/>
            <w:vAlign w:val="center"/>
          </w:tcPr>
          <w:p w:rsidR="00E43E56" w:rsidRPr="00676F99" w:rsidRDefault="00E43E56"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0.0</w:t>
            </w:r>
            <w:r w:rsidR="00B9078D">
              <w:rPr>
                <w:rFonts w:ascii="Times New Roman" w:hAnsi="Times New Roman" w:cs="Times New Roman"/>
                <w:kern w:val="0"/>
                <w:sz w:val="21"/>
                <w:szCs w:val="21"/>
              </w:rPr>
              <w:t>01</w:t>
            </w:r>
          </w:p>
        </w:tc>
        <w:tc>
          <w:tcPr>
            <w:tcW w:w="475"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E43E56" w:rsidRPr="00676F99" w:rsidTr="00676F99">
        <w:trPr>
          <w:trHeight w:val="20"/>
        </w:trPr>
        <w:tc>
          <w:tcPr>
            <w:tcW w:w="333" w:type="pct"/>
            <w:vMerge/>
            <w:vAlign w:val="center"/>
          </w:tcPr>
          <w:p w:rsidR="00E43E56" w:rsidRPr="00676F99" w:rsidRDefault="00E43E56" w:rsidP="00E43E56">
            <w:pPr>
              <w:pStyle w:val="afffffff2"/>
              <w:rPr>
                <w:rFonts w:ascii="Times New Roman" w:hAnsi="Times New Roman" w:cs="Times New Roman"/>
                <w:kern w:val="0"/>
                <w:sz w:val="21"/>
                <w:szCs w:val="21"/>
              </w:rPr>
            </w:pPr>
          </w:p>
        </w:tc>
        <w:tc>
          <w:tcPr>
            <w:tcW w:w="799" w:type="pct"/>
            <w:vAlign w:val="center"/>
          </w:tcPr>
          <w:p w:rsidR="00E43E56" w:rsidRPr="00240B63" w:rsidRDefault="00E43E56" w:rsidP="00E43E56">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曹吴村（</w:t>
            </w:r>
            <w:r w:rsidRPr="00240B63">
              <w:rPr>
                <w:rFonts w:ascii="Times New Roman" w:hAnsi="Times New Roman" w:cs="Times New Roman"/>
                <w:kern w:val="0"/>
                <w:sz w:val="21"/>
                <w:szCs w:val="21"/>
              </w:rPr>
              <w:t>邓庙</w:t>
            </w:r>
            <w:r>
              <w:rPr>
                <w:rFonts w:ascii="Times New Roman" w:hAnsi="Times New Roman" w:cs="Times New Roman" w:hint="eastAsia"/>
                <w:kern w:val="0"/>
                <w:sz w:val="21"/>
                <w:szCs w:val="21"/>
              </w:rPr>
              <w:t>）</w:t>
            </w:r>
          </w:p>
        </w:tc>
        <w:tc>
          <w:tcPr>
            <w:tcW w:w="378"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1.83E-06</w:t>
            </w:r>
          </w:p>
        </w:tc>
        <w:tc>
          <w:tcPr>
            <w:tcW w:w="888"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23060121</w:t>
            </w:r>
          </w:p>
        </w:tc>
        <w:tc>
          <w:tcPr>
            <w:tcW w:w="817"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2.00E-01</w:t>
            </w:r>
          </w:p>
        </w:tc>
        <w:tc>
          <w:tcPr>
            <w:tcW w:w="485" w:type="pct"/>
            <w:noWrap/>
            <w:vAlign w:val="center"/>
          </w:tcPr>
          <w:p w:rsidR="00E43E56" w:rsidRPr="00676F99" w:rsidRDefault="00E43E56"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0.0</w:t>
            </w:r>
            <w:r w:rsidR="00B9078D">
              <w:rPr>
                <w:rFonts w:ascii="Times New Roman" w:hAnsi="Times New Roman" w:cs="Times New Roman"/>
                <w:kern w:val="0"/>
                <w:sz w:val="21"/>
                <w:szCs w:val="21"/>
              </w:rPr>
              <w:t>01</w:t>
            </w:r>
          </w:p>
        </w:tc>
        <w:tc>
          <w:tcPr>
            <w:tcW w:w="475"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E43E56" w:rsidRPr="00676F99" w:rsidTr="00676F99">
        <w:trPr>
          <w:trHeight w:val="20"/>
        </w:trPr>
        <w:tc>
          <w:tcPr>
            <w:tcW w:w="333" w:type="pct"/>
            <w:vMerge/>
            <w:vAlign w:val="center"/>
          </w:tcPr>
          <w:p w:rsidR="00E43E56" w:rsidRPr="00676F99" w:rsidRDefault="00E43E56" w:rsidP="00E43E56">
            <w:pPr>
              <w:pStyle w:val="afffffff2"/>
              <w:rPr>
                <w:rFonts w:ascii="Times New Roman" w:hAnsi="Times New Roman" w:cs="Times New Roman"/>
                <w:kern w:val="0"/>
                <w:sz w:val="21"/>
                <w:szCs w:val="21"/>
              </w:rPr>
            </w:pPr>
          </w:p>
        </w:tc>
        <w:tc>
          <w:tcPr>
            <w:tcW w:w="799" w:type="pct"/>
            <w:vAlign w:val="center"/>
          </w:tcPr>
          <w:p w:rsidR="00E43E56" w:rsidRPr="00240B63" w:rsidRDefault="00E43E56" w:rsidP="00E43E56">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李洼</w:t>
            </w:r>
          </w:p>
        </w:tc>
        <w:tc>
          <w:tcPr>
            <w:tcW w:w="378"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2.32E-06</w:t>
            </w:r>
          </w:p>
        </w:tc>
        <w:tc>
          <w:tcPr>
            <w:tcW w:w="888"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23070701</w:t>
            </w:r>
          </w:p>
        </w:tc>
        <w:tc>
          <w:tcPr>
            <w:tcW w:w="817"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2.00E-01</w:t>
            </w:r>
          </w:p>
        </w:tc>
        <w:tc>
          <w:tcPr>
            <w:tcW w:w="485" w:type="pct"/>
            <w:noWrap/>
            <w:vAlign w:val="center"/>
          </w:tcPr>
          <w:p w:rsidR="00E43E56" w:rsidRPr="00676F99" w:rsidRDefault="00E43E56"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0.0</w:t>
            </w:r>
            <w:r w:rsidR="00B9078D">
              <w:rPr>
                <w:rFonts w:ascii="Times New Roman" w:hAnsi="Times New Roman" w:cs="Times New Roman"/>
                <w:kern w:val="0"/>
                <w:sz w:val="21"/>
                <w:szCs w:val="21"/>
              </w:rPr>
              <w:t>01</w:t>
            </w:r>
          </w:p>
        </w:tc>
        <w:tc>
          <w:tcPr>
            <w:tcW w:w="475"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E43E56" w:rsidRPr="00676F99" w:rsidTr="00676F99">
        <w:trPr>
          <w:trHeight w:val="20"/>
        </w:trPr>
        <w:tc>
          <w:tcPr>
            <w:tcW w:w="333" w:type="pct"/>
            <w:vMerge/>
            <w:vAlign w:val="center"/>
          </w:tcPr>
          <w:p w:rsidR="00E43E56" w:rsidRPr="00676F99" w:rsidRDefault="00E43E56" w:rsidP="00E43E56">
            <w:pPr>
              <w:pStyle w:val="afffffff2"/>
              <w:rPr>
                <w:rFonts w:cs="Times New Roman"/>
                <w:kern w:val="0"/>
                <w:sz w:val="21"/>
                <w:szCs w:val="21"/>
              </w:rPr>
            </w:pPr>
          </w:p>
        </w:tc>
        <w:tc>
          <w:tcPr>
            <w:tcW w:w="799" w:type="pct"/>
            <w:vAlign w:val="center"/>
          </w:tcPr>
          <w:p w:rsidR="00E43E56" w:rsidRPr="00240B63" w:rsidRDefault="00E43E56" w:rsidP="00E43E56">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汤陈村</w:t>
            </w:r>
          </w:p>
        </w:tc>
        <w:tc>
          <w:tcPr>
            <w:tcW w:w="378"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2.44E-06</w:t>
            </w:r>
          </w:p>
        </w:tc>
        <w:tc>
          <w:tcPr>
            <w:tcW w:w="888"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23071702</w:t>
            </w:r>
          </w:p>
        </w:tc>
        <w:tc>
          <w:tcPr>
            <w:tcW w:w="817"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2.00E-01</w:t>
            </w:r>
          </w:p>
        </w:tc>
        <w:tc>
          <w:tcPr>
            <w:tcW w:w="485" w:type="pct"/>
            <w:noWrap/>
            <w:vAlign w:val="center"/>
          </w:tcPr>
          <w:p w:rsidR="00E43E56" w:rsidRPr="00676F99" w:rsidRDefault="00E43E56"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0.0</w:t>
            </w:r>
            <w:r w:rsidR="00B9078D">
              <w:rPr>
                <w:rFonts w:ascii="Times New Roman" w:hAnsi="Times New Roman" w:cs="Times New Roman"/>
                <w:kern w:val="0"/>
                <w:sz w:val="21"/>
                <w:szCs w:val="21"/>
              </w:rPr>
              <w:t>01</w:t>
            </w:r>
          </w:p>
        </w:tc>
        <w:tc>
          <w:tcPr>
            <w:tcW w:w="475"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E43E56" w:rsidRPr="00676F99" w:rsidTr="00676F99">
        <w:trPr>
          <w:trHeight w:val="20"/>
        </w:trPr>
        <w:tc>
          <w:tcPr>
            <w:tcW w:w="333" w:type="pct"/>
            <w:vMerge/>
            <w:vAlign w:val="center"/>
          </w:tcPr>
          <w:p w:rsidR="00E43E56" w:rsidRPr="00676F99" w:rsidRDefault="00E43E56" w:rsidP="00E43E56">
            <w:pPr>
              <w:pStyle w:val="afffffff2"/>
              <w:rPr>
                <w:rFonts w:ascii="Times New Roman" w:hAnsi="Times New Roman" w:cs="Times New Roman"/>
                <w:kern w:val="0"/>
                <w:sz w:val="21"/>
                <w:szCs w:val="21"/>
              </w:rPr>
            </w:pPr>
          </w:p>
        </w:tc>
        <w:tc>
          <w:tcPr>
            <w:tcW w:w="799" w:type="pct"/>
            <w:vAlign w:val="center"/>
          </w:tcPr>
          <w:p w:rsidR="00E43E56" w:rsidRPr="00240B63" w:rsidRDefault="00E43E56" w:rsidP="00E43E56">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后沈家</w:t>
            </w:r>
          </w:p>
        </w:tc>
        <w:tc>
          <w:tcPr>
            <w:tcW w:w="378"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3.00E-06</w:t>
            </w:r>
          </w:p>
        </w:tc>
        <w:tc>
          <w:tcPr>
            <w:tcW w:w="888"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23091207</w:t>
            </w:r>
          </w:p>
        </w:tc>
        <w:tc>
          <w:tcPr>
            <w:tcW w:w="817"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2.00E-01</w:t>
            </w:r>
          </w:p>
        </w:tc>
        <w:tc>
          <w:tcPr>
            <w:tcW w:w="485"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0.0</w:t>
            </w:r>
            <w:r w:rsidR="00B9078D">
              <w:rPr>
                <w:rFonts w:ascii="Times New Roman" w:hAnsi="Times New Roman" w:cs="Times New Roman"/>
                <w:kern w:val="0"/>
                <w:sz w:val="21"/>
                <w:szCs w:val="21"/>
              </w:rPr>
              <w:t>0</w:t>
            </w:r>
            <w:r w:rsidRPr="00676F99">
              <w:rPr>
                <w:rFonts w:ascii="Times New Roman" w:hAnsi="Times New Roman" w:cs="Times New Roman"/>
                <w:kern w:val="0"/>
                <w:sz w:val="21"/>
                <w:szCs w:val="21"/>
              </w:rPr>
              <w:t>2</w:t>
            </w:r>
          </w:p>
        </w:tc>
        <w:tc>
          <w:tcPr>
            <w:tcW w:w="475"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E43E56" w:rsidRPr="00676F99" w:rsidTr="00676F99">
        <w:trPr>
          <w:trHeight w:val="20"/>
        </w:trPr>
        <w:tc>
          <w:tcPr>
            <w:tcW w:w="333" w:type="pct"/>
            <w:vMerge/>
            <w:vAlign w:val="center"/>
          </w:tcPr>
          <w:p w:rsidR="00E43E56" w:rsidRPr="00676F99" w:rsidRDefault="00E43E56" w:rsidP="00E43E56">
            <w:pPr>
              <w:pStyle w:val="afffffff2"/>
              <w:rPr>
                <w:rFonts w:ascii="Times New Roman" w:hAnsi="Times New Roman" w:cs="Times New Roman"/>
                <w:kern w:val="0"/>
                <w:sz w:val="21"/>
                <w:szCs w:val="21"/>
              </w:rPr>
            </w:pPr>
          </w:p>
        </w:tc>
        <w:tc>
          <w:tcPr>
            <w:tcW w:w="799" w:type="pct"/>
            <w:vAlign w:val="center"/>
          </w:tcPr>
          <w:p w:rsidR="00E43E56" w:rsidRPr="00240B63" w:rsidRDefault="00E43E56" w:rsidP="00E43E56">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网格</w:t>
            </w:r>
          </w:p>
        </w:tc>
        <w:tc>
          <w:tcPr>
            <w:tcW w:w="378"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25"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1.62E-05</w:t>
            </w:r>
          </w:p>
        </w:tc>
        <w:tc>
          <w:tcPr>
            <w:tcW w:w="888" w:type="pct"/>
            <w:noWrap/>
            <w:vAlign w:val="center"/>
          </w:tcPr>
          <w:p w:rsidR="00E43E56" w:rsidRPr="00E43E56" w:rsidRDefault="00E43E56" w:rsidP="00E43E56">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23110208</w:t>
            </w:r>
          </w:p>
        </w:tc>
        <w:tc>
          <w:tcPr>
            <w:tcW w:w="817"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2.00E-01</w:t>
            </w:r>
          </w:p>
        </w:tc>
        <w:tc>
          <w:tcPr>
            <w:tcW w:w="485" w:type="pct"/>
            <w:noWrap/>
            <w:vAlign w:val="center"/>
          </w:tcPr>
          <w:p w:rsidR="00E43E56" w:rsidRPr="00676F99" w:rsidRDefault="00E43E56" w:rsidP="00B9078D">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0.</w:t>
            </w:r>
            <w:r w:rsidR="00B9078D">
              <w:rPr>
                <w:rFonts w:ascii="Times New Roman" w:hAnsi="Times New Roman" w:cs="Times New Roman"/>
                <w:kern w:val="0"/>
                <w:sz w:val="21"/>
                <w:szCs w:val="21"/>
              </w:rPr>
              <w:t>008</w:t>
            </w:r>
          </w:p>
        </w:tc>
        <w:tc>
          <w:tcPr>
            <w:tcW w:w="475" w:type="pct"/>
            <w:noWrap/>
            <w:vAlign w:val="center"/>
          </w:tcPr>
          <w:p w:rsidR="00E43E56" w:rsidRPr="00676F99" w:rsidRDefault="00E43E56" w:rsidP="00E43E56">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bl>
    <w:p w:rsidR="004E3021" w:rsidRDefault="004E3021">
      <w:pPr>
        <w:widowControl/>
        <w:ind w:firstLineChars="0" w:firstLine="0"/>
        <w:jc w:val="left"/>
        <w:rPr>
          <w:rFonts w:eastAsia="黑体"/>
        </w:rPr>
        <w:sectPr w:rsidR="004E3021">
          <w:pgSz w:w="16840" w:h="11907" w:orient="landscape"/>
          <w:pgMar w:top="1440" w:right="1440" w:bottom="1440" w:left="1440" w:header="851" w:footer="992" w:gutter="0"/>
          <w:cols w:space="720"/>
          <w:docGrid w:type="lines" w:linePitch="326"/>
        </w:sectPr>
      </w:pPr>
    </w:p>
    <w:p w:rsidR="004E3021" w:rsidRDefault="00606E48">
      <w:pPr>
        <w:pStyle w:val="afffff4"/>
        <w:ind w:firstLine="480"/>
      </w:pPr>
      <w:r>
        <w:rPr>
          <w:rFonts w:ascii="黑体" w:hAnsi="黑体" w:hint="eastAsia"/>
        </w:rPr>
        <w:lastRenderedPageBreak/>
        <w:t>表</w:t>
      </w:r>
      <w:r>
        <w:t xml:space="preserve">5.1.5-2  </w:t>
      </w:r>
      <w:r>
        <w:rPr>
          <w:rFonts w:ascii="黑体" w:hAnsi="黑体"/>
        </w:rPr>
        <w:t>现状达标污染物叠加后环境质量浓度预测结果表</w:t>
      </w:r>
    </w:p>
    <w:tbl>
      <w:tblPr>
        <w:tblStyle w:val="afff"/>
        <w:tblW w:w="5000" w:type="pct"/>
        <w:tblLook w:val="04A0" w:firstRow="1" w:lastRow="0" w:firstColumn="1" w:lastColumn="0" w:noHBand="0" w:noVBand="1"/>
      </w:tblPr>
      <w:tblGrid>
        <w:gridCol w:w="660"/>
        <w:gridCol w:w="1896"/>
        <w:gridCol w:w="1060"/>
        <w:gridCol w:w="1280"/>
        <w:gridCol w:w="1103"/>
        <w:gridCol w:w="1240"/>
        <w:gridCol w:w="1304"/>
        <w:gridCol w:w="941"/>
        <w:gridCol w:w="1203"/>
        <w:gridCol w:w="1404"/>
        <w:gridCol w:w="1117"/>
        <w:gridCol w:w="751"/>
      </w:tblGrid>
      <w:tr w:rsidR="00181FDA" w:rsidRPr="00676F99" w:rsidTr="002D429B">
        <w:trPr>
          <w:trHeight w:val="20"/>
        </w:trPr>
        <w:tc>
          <w:tcPr>
            <w:tcW w:w="236" w:type="pct"/>
            <w:noWrap/>
            <w:vAlign w:val="center"/>
          </w:tcPr>
          <w:p w:rsidR="00181FDA" w:rsidRPr="00B9078D" w:rsidRDefault="00181FDA" w:rsidP="00181FDA">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序号</w:t>
            </w:r>
          </w:p>
        </w:tc>
        <w:tc>
          <w:tcPr>
            <w:tcW w:w="679" w:type="pct"/>
            <w:noWrap/>
            <w:vAlign w:val="center"/>
          </w:tcPr>
          <w:p w:rsidR="00181FDA" w:rsidRPr="00B9078D" w:rsidRDefault="00181FDA" w:rsidP="00181FDA">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点名称</w:t>
            </w:r>
          </w:p>
        </w:tc>
        <w:tc>
          <w:tcPr>
            <w:tcW w:w="380" w:type="pct"/>
            <w:noWrap/>
            <w:vAlign w:val="center"/>
          </w:tcPr>
          <w:p w:rsidR="00181FDA" w:rsidRPr="00B9078D" w:rsidRDefault="00181FDA" w:rsidP="00181FDA">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浓度类型</w:t>
            </w:r>
          </w:p>
        </w:tc>
        <w:tc>
          <w:tcPr>
            <w:tcW w:w="459" w:type="pct"/>
            <w:noWrap/>
            <w:vAlign w:val="center"/>
          </w:tcPr>
          <w:p w:rsidR="00181FDA" w:rsidRDefault="00181FDA" w:rsidP="00181FDA">
            <w:pPr>
              <w:pStyle w:val="afffffff2"/>
              <w:rPr>
                <w:rFonts w:ascii="Times New Roman" w:hAnsi="Times New Roman" w:cs="Times New Roman"/>
                <w:b/>
                <w:kern w:val="0"/>
                <w:sz w:val="21"/>
                <w:szCs w:val="21"/>
              </w:rPr>
            </w:pPr>
            <w:r>
              <w:rPr>
                <w:rFonts w:ascii="Times New Roman" w:hAnsi="Times New Roman" w:cs="Times New Roman" w:hint="eastAsia"/>
                <w:b/>
                <w:kern w:val="0"/>
                <w:sz w:val="21"/>
                <w:szCs w:val="21"/>
              </w:rPr>
              <w:t>本项目贡献</w:t>
            </w:r>
          </w:p>
          <w:p w:rsidR="00181FDA" w:rsidRDefault="00181FDA" w:rsidP="00181FDA">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浓度增量</w:t>
            </w:r>
          </w:p>
          <w:p w:rsidR="00181FDA" w:rsidRPr="00B9078D" w:rsidRDefault="00181FDA" w:rsidP="00181FDA">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/(mg/m</w:t>
            </w:r>
            <w:r w:rsidRPr="00B9078D">
              <w:rPr>
                <w:rFonts w:ascii="Times New Roman" w:hAnsi="Times New Roman" w:cs="Times New Roman"/>
                <w:b/>
                <w:kern w:val="0"/>
                <w:sz w:val="21"/>
                <w:szCs w:val="21"/>
                <w:vertAlign w:val="superscript"/>
              </w:rPr>
              <w:t>3</w:t>
            </w:r>
            <w:r w:rsidRPr="00B9078D">
              <w:rPr>
                <w:rFonts w:ascii="Times New Roman" w:hAnsi="Times New Roman" w:cs="Times New Roman"/>
                <w:b/>
                <w:kern w:val="0"/>
                <w:sz w:val="21"/>
                <w:szCs w:val="21"/>
              </w:rPr>
              <w:t>)</w:t>
            </w:r>
          </w:p>
        </w:tc>
        <w:tc>
          <w:tcPr>
            <w:tcW w:w="395" w:type="pct"/>
            <w:noWrap/>
            <w:vAlign w:val="center"/>
          </w:tcPr>
          <w:p w:rsidR="00181FDA" w:rsidRDefault="00181FDA" w:rsidP="00181FDA">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出现时间</w:t>
            </w:r>
          </w:p>
          <w:p w:rsidR="00181FDA" w:rsidRDefault="00181FDA" w:rsidP="00181FDA">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/YYMM</w:t>
            </w:r>
          </w:p>
          <w:p w:rsidR="00181FDA" w:rsidRPr="00B9078D" w:rsidRDefault="00181FDA" w:rsidP="00181FDA">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DDHH</w:t>
            </w:r>
          </w:p>
        </w:tc>
        <w:tc>
          <w:tcPr>
            <w:tcW w:w="444" w:type="pct"/>
            <w:vAlign w:val="center"/>
          </w:tcPr>
          <w:p w:rsidR="00181FDA" w:rsidRPr="00B9078D" w:rsidRDefault="00181FDA" w:rsidP="00181FDA">
            <w:pPr>
              <w:pStyle w:val="afffffff2"/>
              <w:rPr>
                <w:rFonts w:ascii="Times New Roman" w:hAnsi="Times New Roman" w:cs="Times New Roman"/>
                <w:b/>
                <w:kern w:val="0"/>
                <w:sz w:val="21"/>
                <w:szCs w:val="21"/>
              </w:rPr>
            </w:pPr>
            <w:r w:rsidRPr="00181FDA">
              <w:rPr>
                <w:rFonts w:ascii="Times New Roman" w:hAnsi="Times New Roman" w:cs="Times New Roman" w:hint="eastAsia"/>
                <w:b/>
                <w:bCs/>
                <w:sz w:val="21"/>
                <w:szCs w:val="21"/>
                <w:lang w:val="zh-CN"/>
              </w:rPr>
              <w:t>“以新带老削减”</w:t>
            </w:r>
            <w:r w:rsidRPr="00181FDA">
              <w:rPr>
                <w:rFonts w:ascii="Times New Roman" w:hAnsi="Times New Roman" w:cs="Times New Roman"/>
                <w:b/>
                <w:bCs/>
                <w:sz w:val="21"/>
                <w:szCs w:val="21"/>
                <w:lang w:val="zh-CN"/>
              </w:rPr>
              <w:t>浓度</w:t>
            </w:r>
            <w:r w:rsidRPr="00B9078D">
              <w:rPr>
                <w:rFonts w:ascii="Times New Roman" w:hAnsi="Times New Roman" w:cs="Times New Roman"/>
                <w:b/>
                <w:sz w:val="21"/>
                <w:szCs w:val="21"/>
                <w:lang w:val="zh-CN"/>
              </w:rPr>
              <w:t>(mg/m</w:t>
            </w:r>
            <w:r w:rsidRPr="00B9078D">
              <w:rPr>
                <w:rFonts w:ascii="Times New Roman" w:hAnsi="Times New Roman" w:cs="Times New Roman"/>
                <w:b/>
                <w:sz w:val="21"/>
                <w:szCs w:val="21"/>
                <w:vertAlign w:val="superscript"/>
                <w:lang w:val="zh-CN"/>
              </w:rPr>
              <w:t>3</w:t>
            </w:r>
            <w:r w:rsidRPr="00B9078D">
              <w:rPr>
                <w:rFonts w:ascii="Times New Roman" w:hAnsi="Times New Roman" w:cs="Times New Roman"/>
                <w:b/>
                <w:sz w:val="21"/>
                <w:szCs w:val="21"/>
                <w:lang w:val="zh-CN"/>
              </w:rPr>
              <w:t>)</w:t>
            </w:r>
          </w:p>
        </w:tc>
        <w:tc>
          <w:tcPr>
            <w:tcW w:w="467" w:type="pct"/>
            <w:vAlign w:val="center"/>
          </w:tcPr>
          <w:p w:rsidR="00181FDA" w:rsidRPr="00B9078D" w:rsidRDefault="00181FDA" w:rsidP="00181FDA">
            <w:pPr>
              <w:pStyle w:val="afffffff2"/>
              <w:rPr>
                <w:rFonts w:ascii="Times New Roman" w:hAnsi="Times New Roman" w:cs="Times New Roman"/>
                <w:b/>
                <w:kern w:val="0"/>
                <w:sz w:val="21"/>
                <w:szCs w:val="21"/>
              </w:rPr>
            </w:pPr>
            <w:r w:rsidRPr="00181FDA">
              <w:rPr>
                <w:rFonts w:ascii="Times New Roman" w:hAnsi="Times New Roman" w:cs="Times New Roman"/>
                <w:b/>
                <w:sz w:val="21"/>
              </w:rPr>
              <w:t>区域项目贡献浓度</w:t>
            </w:r>
            <w:r w:rsidRPr="00181FDA">
              <w:rPr>
                <w:rFonts w:ascii="Times New Roman" w:hAnsi="Times New Roman" w:cs="Times New Roman"/>
                <w:b/>
                <w:sz w:val="21"/>
              </w:rPr>
              <w:t>(mg/m</w:t>
            </w:r>
            <w:r w:rsidRPr="00181FDA">
              <w:rPr>
                <w:rFonts w:ascii="Times New Roman" w:hAnsi="Times New Roman" w:cs="Times New Roman"/>
                <w:b/>
                <w:sz w:val="21"/>
                <w:vertAlign w:val="superscript"/>
              </w:rPr>
              <w:t>3</w:t>
            </w:r>
            <w:r w:rsidRPr="00181FDA">
              <w:rPr>
                <w:rFonts w:ascii="Times New Roman" w:hAnsi="Times New Roman" w:cs="Times New Roman"/>
                <w:b/>
                <w:sz w:val="21"/>
              </w:rPr>
              <w:t>)</w:t>
            </w:r>
          </w:p>
        </w:tc>
        <w:tc>
          <w:tcPr>
            <w:tcW w:w="337" w:type="pct"/>
            <w:vAlign w:val="center"/>
          </w:tcPr>
          <w:p w:rsidR="00181FDA" w:rsidRPr="00B9078D" w:rsidRDefault="00181FDA" w:rsidP="00181FDA">
            <w:pPr>
              <w:pStyle w:val="afffffff2"/>
              <w:rPr>
                <w:rFonts w:ascii="Times New Roman" w:hAnsi="Times New Roman" w:cs="Times New Roman"/>
                <w:b/>
                <w:kern w:val="0"/>
                <w:sz w:val="21"/>
                <w:szCs w:val="21"/>
              </w:rPr>
            </w:pPr>
            <w:r w:rsidRPr="00B9078D">
              <w:rPr>
                <w:rFonts w:ascii="Times New Roman" w:hAnsi="Times New Roman" w:cs="Times New Roman"/>
                <w:b/>
                <w:sz w:val="21"/>
                <w:szCs w:val="21"/>
                <w:lang w:val="zh-CN"/>
              </w:rPr>
              <w:t>现状浓度</w:t>
            </w:r>
            <w:r w:rsidRPr="00B9078D">
              <w:rPr>
                <w:rFonts w:ascii="Times New Roman" w:hAnsi="Times New Roman" w:cs="Times New Roman"/>
                <w:b/>
                <w:sz w:val="21"/>
                <w:szCs w:val="21"/>
                <w:lang w:val="zh-CN"/>
              </w:rPr>
              <w:t>(mg/m</w:t>
            </w:r>
            <w:r w:rsidRPr="00B9078D">
              <w:rPr>
                <w:rFonts w:ascii="Times New Roman" w:hAnsi="Times New Roman" w:cs="Times New Roman"/>
                <w:b/>
                <w:sz w:val="21"/>
                <w:szCs w:val="21"/>
                <w:vertAlign w:val="superscript"/>
                <w:lang w:val="zh-CN"/>
              </w:rPr>
              <w:t>3</w:t>
            </w:r>
            <w:r w:rsidRPr="00B9078D">
              <w:rPr>
                <w:rFonts w:ascii="Times New Roman" w:hAnsi="Times New Roman" w:cs="Times New Roman"/>
                <w:b/>
                <w:sz w:val="21"/>
                <w:szCs w:val="21"/>
                <w:lang w:val="zh-CN"/>
              </w:rPr>
              <w:t>)</w:t>
            </w:r>
          </w:p>
        </w:tc>
        <w:tc>
          <w:tcPr>
            <w:tcW w:w="431" w:type="pct"/>
            <w:vAlign w:val="center"/>
          </w:tcPr>
          <w:p w:rsidR="00181FDA" w:rsidRPr="00B9078D" w:rsidRDefault="00181FDA" w:rsidP="00181FDA">
            <w:pPr>
              <w:pStyle w:val="afffffff2"/>
              <w:rPr>
                <w:rFonts w:ascii="Times New Roman" w:hAnsi="Times New Roman" w:cs="Times New Roman"/>
                <w:b/>
                <w:kern w:val="0"/>
                <w:sz w:val="21"/>
                <w:szCs w:val="21"/>
              </w:rPr>
            </w:pPr>
            <w:r w:rsidRPr="00B9078D">
              <w:rPr>
                <w:rFonts w:ascii="Times New Roman" w:hAnsi="Times New Roman" w:cs="Times New Roman"/>
                <w:b/>
                <w:sz w:val="21"/>
              </w:rPr>
              <w:t>叠加后浓度</w:t>
            </w:r>
            <w:r w:rsidRPr="00B9078D">
              <w:rPr>
                <w:rFonts w:ascii="Times New Roman" w:hAnsi="Times New Roman" w:cs="Times New Roman"/>
                <w:b/>
                <w:sz w:val="21"/>
                <w:szCs w:val="21"/>
                <w:lang w:val="zh-CN"/>
              </w:rPr>
              <w:t>(mg/m</w:t>
            </w:r>
            <w:r w:rsidRPr="00B9078D">
              <w:rPr>
                <w:rFonts w:ascii="Times New Roman" w:hAnsi="Times New Roman" w:cs="Times New Roman"/>
                <w:b/>
                <w:sz w:val="21"/>
                <w:szCs w:val="21"/>
                <w:vertAlign w:val="superscript"/>
                <w:lang w:val="zh-CN"/>
              </w:rPr>
              <w:t>3</w:t>
            </w:r>
            <w:r w:rsidRPr="00B9078D">
              <w:rPr>
                <w:rFonts w:ascii="Times New Roman" w:hAnsi="Times New Roman" w:cs="Times New Roman"/>
                <w:b/>
                <w:sz w:val="21"/>
                <w:szCs w:val="21"/>
                <w:lang w:val="zh-CN"/>
              </w:rPr>
              <w:t>)</w:t>
            </w:r>
          </w:p>
        </w:tc>
        <w:tc>
          <w:tcPr>
            <w:tcW w:w="503" w:type="pct"/>
            <w:noWrap/>
            <w:vAlign w:val="center"/>
          </w:tcPr>
          <w:p w:rsidR="00181FDA" w:rsidRDefault="00181FDA" w:rsidP="00181FDA">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评价标准</w:t>
            </w:r>
          </w:p>
          <w:p w:rsidR="00181FDA" w:rsidRPr="00B9078D" w:rsidRDefault="00181FDA" w:rsidP="00181FDA">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/(mg/m</w:t>
            </w:r>
            <w:r w:rsidRPr="00B9078D">
              <w:rPr>
                <w:rFonts w:ascii="Times New Roman" w:hAnsi="Times New Roman" w:cs="Times New Roman"/>
                <w:b/>
                <w:kern w:val="0"/>
                <w:sz w:val="21"/>
                <w:szCs w:val="21"/>
                <w:vertAlign w:val="superscript"/>
              </w:rPr>
              <w:t>3</w:t>
            </w:r>
            <w:r w:rsidRPr="00B9078D">
              <w:rPr>
                <w:rFonts w:ascii="Times New Roman" w:hAnsi="Times New Roman" w:cs="Times New Roman"/>
                <w:b/>
                <w:kern w:val="0"/>
                <w:sz w:val="21"/>
                <w:szCs w:val="21"/>
              </w:rPr>
              <w:t>)</w:t>
            </w:r>
          </w:p>
        </w:tc>
        <w:tc>
          <w:tcPr>
            <w:tcW w:w="400" w:type="pct"/>
            <w:noWrap/>
            <w:vAlign w:val="center"/>
          </w:tcPr>
          <w:p w:rsidR="00181FDA" w:rsidRPr="00B9078D" w:rsidRDefault="00181FDA" w:rsidP="00181FDA">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占标率</w:t>
            </w:r>
            <w:r w:rsidRPr="00B9078D">
              <w:rPr>
                <w:rFonts w:ascii="Times New Roman" w:hAnsi="Times New Roman" w:cs="Times New Roman"/>
                <w:b/>
                <w:kern w:val="0"/>
                <w:sz w:val="21"/>
                <w:szCs w:val="21"/>
              </w:rPr>
              <w:t>/%</w:t>
            </w:r>
          </w:p>
        </w:tc>
        <w:tc>
          <w:tcPr>
            <w:tcW w:w="269" w:type="pct"/>
            <w:noWrap/>
            <w:vAlign w:val="center"/>
          </w:tcPr>
          <w:p w:rsidR="00181FDA" w:rsidRDefault="00181FDA" w:rsidP="00181FDA">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是否</w:t>
            </w:r>
          </w:p>
          <w:p w:rsidR="00181FDA" w:rsidRPr="00B9078D" w:rsidRDefault="00181FDA" w:rsidP="00181FDA">
            <w:pPr>
              <w:pStyle w:val="afffffff2"/>
              <w:rPr>
                <w:rFonts w:ascii="Times New Roman" w:hAnsi="Times New Roman" w:cs="Times New Roman"/>
                <w:b/>
                <w:kern w:val="0"/>
                <w:sz w:val="21"/>
                <w:szCs w:val="21"/>
              </w:rPr>
            </w:pPr>
            <w:r w:rsidRPr="00B9078D">
              <w:rPr>
                <w:rFonts w:ascii="Times New Roman" w:hAnsi="Times New Roman" w:cs="Times New Roman"/>
                <w:b/>
                <w:kern w:val="0"/>
                <w:sz w:val="21"/>
                <w:szCs w:val="21"/>
              </w:rPr>
              <w:t>超标</w:t>
            </w:r>
          </w:p>
        </w:tc>
      </w:tr>
      <w:tr w:rsidR="002D429B" w:rsidRPr="00676F99" w:rsidTr="002D429B">
        <w:trPr>
          <w:trHeight w:val="20"/>
        </w:trPr>
        <w:tc>
          <w:tcPr>
            <w:tcW w:w="236" w:type="pct"/>
            <w:vMerge w:val="restart"/>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PM</w:t>
            </w:r>
            <w:r w:rsidRPr="00676F99">
              <w:rPr>
                <w:rFonts w:ascii="Times New Roman" w:hAnsi="Times New Roman" w:cs="Times New Roman"/>
                <w:kern w:val="0"/>
                <w:sz w:val="21"/>
                <w:szCs w:val="21"/>
                <w:vertAlign w:val="subscript"/>
              </w:rPr>
              <w:t>10</w:t>
            </w:r>
          </w:p>
        </w:tc>
        <w:tc>
          <w:tcPr>
            <w:tcW w:w="679" w:type="pct"/>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三铺村</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45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6.53E-06</w:t>
            </w:r>
          </w:p>
        </w:tc>
        <w:tc>
          <w:tcPr>
            <w:tcW w:w="395"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444" w:type="pct"/>
            <w:vAlign w:val="center"/>
          </w:tcPr>
          <w:p w:rsidR="002D429B" w:rsidRPr="00676F99"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2.08</w:t>
            </w:r>
            <w:r w:rsidRPr="00676F99">
              <w:rPr>
                <w:rFonts w:ascii="Times New Roman" w:hAnsi="Times New Roman" w:cs="Times New Roman" w:hint="eastAsia"/>
                <w:kern w:val="0"/>
                <w:sz w:val="21"/>
                <w:szCs w:val="21"/>
              </w:rPr>
              <w:t>E-0</w:t>
            </w:r>
            <w:r>
              <w:rPr>
                <w:rFonts w:ascii="Times New Roman" w:hAnsi="Times New Roman" w:cs="Times New Roman"/>
                <w:kern w:val="0"/>
                <w:sz w:val="21"/>
                <w:szCs w:val="21"/>
              </w:rPr>
              <w:t>5</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1.73E-05</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062</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6.20E-02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7.00E-02</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88.57</w:t>
            </w:r>
            <w:r>
              <w:rPr>
                <w:rFonts w:ascii="Times New Roman" w:hAnsi="Times New Roman" w:cs="Times New Roman"/>
                <w:kern w:val="0"/>
                <w:sz w:val="21"/>
                <w:szCs w:val="21"/>
              </w:rPr>
              <w:t>6</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Align w:val="center"/>
          </w:tcPr>
          <w:p w:rsidR="002D429B" w:rsidRPr="00676F99"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汪邢村（</w:t>
            </w:r>
            <w:r w:rsidRPr="00240B63">
              <w:rPr>
                <w:rFonts w:ascii="Times New Roman" w:hAnsi="Times New Roman" w:cs="Times New Roman"/>
                <w:kern w:val="0"/>
                <w:sz w:val="21"/>
                <w:szCs w:val="21"/>
              </w:rPr>
              <w:t>高王家</w:t>
            </w:r>
            <w:r>
              <w:rPr>
                <w:rFonts w:ascii="Times New Roman" w:hAnsi="Times New Roman" w:cs="Times New Roman" w:hint="eastAsia"/>
                <w:kern w:val="0"/>
                <w:sz w:val="21"/>
                <w:szCs w:val="21"/>
              </w:rPr>
              <w:t>）</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45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9.45E-06</w:t>
            </w:r>
          </w:p>
        </w:tc>
        <w:tc>
          <w:tcPr>
            <w:tcW w:w="395"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444" w:type="pct"/>
            <w:vAlign w:val="center"/>
          </w:tcPr>
          <w:p w:rsidR="002D429B" w:rsidRPr="00676F99"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4</w:t>
            </w:r>
            <w:r w:rsidRPr="00676F99">
              <w:rPr>
                <w:rFonts w:ascii="Times New Roman" w:hAnsi="Times New Roman" w:cs="Times New Roman" w:hint="eastAsia"/>
                <w:kern w:val="0"/>
                <w:sz w:val="21"/>
                <w:szCs w:val="21"/>
              </w:rPr>
              <w:t>.</w:t>
            </w:r>
            <w:r>
              <w:rPr>
                <w:rFonts w:ascii="Times New Roman" w:hAnsi="Times New Roman" w:cs="Times New Roman"/>
                <w:kern w:val="0"/>
                <w:sz w:val="21"/>
                <w:szCs w:val="21"/>
              </w:rPr>
              <w:t>85</w:t>
            </w:r>
            <w:r w:rsidRPr="00676F99">
              <w:rPr>
                <w:rFonts w:ascii="Times New Roman" w:hAnsi="Times New Roman" w:cs="Times New Roman" w:hint="eastAsia"/>
                <w:kern w:val="0"/>
                <w:sz w:val="21"/>
                <w:szCs w:val="21"/>
              </w:rPr>
              <w:t>E-0</w:t>
            </w:r>
            <w:r>
              <w:rPr>
                <w:rFonts w:ascii="Times New Roman" w:hAnsi="Times New Roman" w:cs="Times New Roman"/>
                <w:kern w:val="0"/>
                <w:sz w:val="21"/>
                <w:szCs w:val="21"/>
              </w:rPr>
              <w:t>5</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kern w:val="0"/>
                <w:sz w:val="21"/>
                <w:szCs w:val="21"/>
              </w:rPr>
              <w:t>1.25E-05</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062</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6.20E-02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7.00E-02</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88.53</w:t>
            </w:r>
            <w:r>
              <w:rPr>
                <w:rFonts w:ascii="Times New Roman" w:hAnsi="Times New Roman" w:cs="Times New Roman"/>
                <w:kern w:val="0"/>
                <w:sz w:val="21"/>
                <w:szCs w:val="21"/>
              </w:rPr>
              <w:t>4</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Align w:val="center"/>
          </w:tcPr>
          <w:p w:rsidR="002D429B" w:rsidRPr="00676F99"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曹吴村（</w:t>
            </w:r>
            <w:r w:rsidRPr="00240B63">
              <w:rPr>
                <w:rFonts w:ascii="Times New Roman" w:hAnsi="Times New Roman" w:cs="Times New Roman"/>
                <w:kern w:val="0"/>
                <w:sz w:val="21"/>
                <w:szCs w:val="21"/>
              </w:rPr>
              <w:t>邓庙</w:t>
            </w:r>
            <w:r>
              <w:rPr>
                <w:rFonts w:ascii="Times New Roman" w:hAnsi="Times New Roman" w:cs="Times New Roman" w:hint="eastAsia"/>
                <w:kern w:val="0"/>
                <w:sz w:val="21"/>
                <w:szCs w:val="21"/>
              </w:rPr>
              <w:t>）</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45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4.66E-06</w:t>
            </w:r>
          </w:p>
        </w:tc>
        <w:tc>
          <w:tcPr>
            <w:tcW w:w="395"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444" w:type="pct"/>
            <w:vAlign w:val="center"/>
          </w:tcPr>
          <w:p w:rsidR="002D429B" w:rsidRPr="00676F99"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2</w:t>
            </w:r>
            <w:r w:rsidRPr="00676F99">
              <w:rPr>
                <w:rFonts w:ascii="Times New Roman" w:hAnsi="Times New Roman" w:cs="Times New Roman" w:hint="eastAsia"/>
                <w:kern w:val="0"/>
                <w:sz w:val="21"/>
                <w:szCs w:val="21"/>
              </w:rPr>
              <w:t>.</w:t>
            </w:r>
            <w:r>
              <w:rPr>
                <w:rFonts w:ascii="Times New Roman" w:hAnsi="Times New Roman" w:cs="Times New Roman"/>
                <w:kern w:val="0"/>
                <w:sz w:val="21"/>
                <w:szCs w:val="21"/>
              </w:rPr>
              <w:t>86</w:t>
            </w:r>
            <w:r w:rsidRPr="00676F99">
              <w:rPr>
                <w:rFonts w:ascii="Times New Roman" w:hAnsi="Times New Roman" w:cs="Times New Roman" w:hint="eastAsia"/>
                <w:kern w:val="0"/>
                <w:sz w:val="21"/>
                <w:szCs w:val="21"/>
              </w:rPr>
              <w:t>E-0</w:t>
            </w:r>
            <w:r>
              <w:rPr>
                <w:rFonts w:ascii="Times New Roman" w:hAnsi="Times New Roman" w:cs="Times New Roman"/>
                <w:kern w:val="0"/>
                <w:sz w:val="21"/>
                <w:szCs w:val="21"/>
              </w:rPr>
              <w:t>5</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kern w:val="0"/>
                <w:sz w:val="21"/>
                <w:szCs w:val="21"/>
              </w:rPr>
              <w:t>6.86E-06</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062</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6.20E-02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7.00E-02</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88.547</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cs="Times New Roman"/>
                <w:kern w:val="0"/>
                <w:sz w:val="21"/>
                <w:szCs w:val="21"/>
              </w:rPr>
            </w:pPr>
          </w:p>
        </w:tc>
        <w:tc>
          <w:tcPr>
            <w:tcW w:w="679" w:type="pct"/>
            <w:vAlign w:val="center"/>
          </w:tcPr>
          <w:p w:rsidR="002D429B" w:rsidRPr="00676F99" w:rsidRDefault="002D429B" w:rsidP="002D429B">
            <w:pPr>
              <w:pStyle w:val="afffffff2"/>
              <w:rPr>
                <w:rFonts w:cs="Times New Roman"/>
                <w:kern w:val="0"/>
                <w:sz w:val="21"/>
                <w:szCs w:val="21"/>
              </w:rPr>
            </w:pPr>
            <w:r w:rsidRPr="00240B63">
              <w:rPr>
                <w:rFonts w:ascii="Times New Roman" w:hAnsi="Times New Roman" w:cs="Times New Roman"/>
                <w:kern w:val="0"/>
                <w:sz w:val="21"/>
                <w:szCs w:val="21"/>
              </w:rPr>
              <w:t>李洼</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45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6.75E-06</w:t>
            </w:r>
          </w:p>
        </w:tc>
        <w:tc>
          <w:tcPr>
            <w:tcW w:w="395"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444" w:type="pct"/>
            <w:vAlign w:val="center"/>
          </w:tcPr>
          <w:p w:rsidR="002D429B" w:rsidRPr="00676F99"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3</w:t>
            </w:r>
            <w:r w:rsidRPr="00676F99">
              <w:rPr>
                <w:rFonts w:ascii="Times New Roman" w:hAnsi="Times New Roman" w:cs="Times New Roman" w:hint="eastAsia"/>
                <w:kern w:val="0"/>
                <w:sz w:val="21"/>
                <w:szCs w:val="21"/>
              </w:rPr>
              <w:t>.</w:t>
            </w:r>
            <w:r>
              <w:rPr>
                <w:rFonts w:ascii="Times New Roman" w:hAnsi="Times New Roman" w:cs="Times New Roman"/>
                <w:kern w:val="0"/>
                <w:sz w:val="21"/>
                <w:szCs w:val="21"/>
              </w:rPr>
              <w:t>17</w:t>
            </w:r>
            <w:r w:rsidRPr="00676F99">
              <w:rPr>
                <w:rFonts w:ascii="Times New Roman" w:hAnsi="Times New Roman" w:cs="Times New Roman" w:hint="eastAsia"/>
                <w:kern w:val="0"/>
                <w:sz w:val="21"/>
                <w:szCs w:val="21"/>
              </w:rPr>
              <w:t>E-0</w:t>
            </w:r>
            <w:r>
              <w:rPr>
                <w:rFonts w:ascii="Times New Roman" w:hAnsi="Times New Roman" w:cs="Times New Roman"/>
                <w:kern w:val="0"/>
                <w:sz w:val="21"/>
                <w:szCs w:val="21"/>
              </w:rPr>
              <w:t>5</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kern w:val="0"/>
                <w:sz w:val="21"/>
                <w:szCs w:val="21"/>
              </w:rPr>
              <w:t>1.18E-05</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062</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6.20E-02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7.00E-02</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88.55</w:t>
            </w:r>
            <w:r>
              <w:rPr>
                <w:rFonts w:ascii="Times New Roman" w:hAnsi="Times New Roman" w:cs="Times New Roman"/>
                <w:kern w:val="0"/>
                <w:sz w:val="21"/>
                <w:szCs w:val="21"/>
              </w:rPr>
              <w:t>3</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Align w:val="center"/>
          </w:tcPr>
          <w:p w:rsidR="002D429B" w:rsidRPr="00676F99" w:rsidRDefault="002D429B" w:rsidP="002D429B">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汤陈村</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45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2.29E-05</w:t>
            </w:r>
          </w:p>
        </w:tc>
        <w:tc>
          <w:tcPr>
            <w:tcW w:w="395"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444" w:type="pct"/>
            <w:vAlign w:val="center"/>
          </w:tcPr>
          <w:p w:rsidR="002D429B" w:rsidRPr="00676F99"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676F99">
              <w:rPr>
                <w:rFonts w:ascii="Times New Roman" w:hAnsi="Times New Roman" w:cs="Times New Roman" w:hint="eastAsia"/>
                <w:kern w:val="0"/>
                <w:sz w:val="21"/>
                <w:szCs w:val="21"/>
              </w:rPr>
              <w:t>.</w:t>
            </w:r>
            <w:r>
              <w:rPr>
                <w:rFonts w:ascii="Times New Roman" w:hAnsi="Times New Roman" w:cs="Times New Roman"/>
                <w:kern w:val="0"/>
                <w:sz w:val="21"/>
                <w:szCs w:val="21"/>
              </w:rPr>
              <w:t>05</w:t>
            </w:r>
            <w:r w:rsidRPr="00676F99">
              <w:rPr>
                <w:rFonts w:ascii="Times New Roman" w:hAnsi="Times New Roman" w:cs="Times New Roman" w:hint="eastAsia"/>
                <w:kern w:val="0"/>
                <w:sz w:val="21"/>
                <w:szCs w:val="21"/>
              </w:rPr>
              <w:t>E-0</w:t>
            </w:r>
            <w:r>
              <w:rPr>
                <w:rFonts w:ascii="Times New Roman" w:hAnsi="Times New Roman" w:cs="Times New Roman"/>
                <w:kern w:val="0"/>
                <w:sz w:val="21"/>
                <w:szCs w:val="21"/>
              </w:rPr>
              <w:t>4</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kern w:val="0"/>
                <w:sz w:val="21"/>
                <w:szCs w:val="21"/>
              </w:rPr>
              <w:t>5.31E-05</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062</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6.20E-02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7.00E-02</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88.53</w:t>
            </w:r>
            <w:r>
              <w:rPr>
                <w:rFonts w:ascii="Times New Roman" w:hAnsi="Times New Roman" w:cs="Times New Roman"/>
                <w:kern w:val="0"/>
                <w:sz w:val="21"/>
                <w:szCs w:val="21"/>
              </w:rPr>
              <w:t>0</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Align w:val="center"/>
          </w:tcPr>
          <w:p w:rsidR="002D429B" w:rsidRPr="00676F99" w:rsidRDefault="002D429B" w:rsidP="002D429B">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后沈家</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45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7.57E-06</w:t>
            </w:r>
          </w:p>
        </w:tc>
        <w:tc>
          <w:tcPr>
            <w:tcW w:w="395"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444" w:type="pct"/>
            <w:vAlign w:val="center"/>
          </w:tcPr>
          <w:p w:rsidR="002D429B" w:rsidRPr="00676F99"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3</w:t>
            </w:r>
            <w:r w:rsidRPr="00676F99">
              <w:rPr>
                <w:rFonts w:ascii="Times New Roman" w:hAnsi="Times New Roman" w:cs="Times New Roman" w:hint="eastAsia"/>
                <w:kern w:val="0"/>
                <w:sz w:val="21"/>
                <w:szCs w:val="21"/>
              </w:rPr>
              <w:t>.</w:t>
            </w:r>
            <w:r>
              <w:rPr>
                <w:rFonts w:ascii="Times New Roman" w:hAnsi="Times New Roman" w:cs="Times New Roman"/>
                <w:kern w:val="0"/>
                <w:sz w:val="21"/>
                <w:szCs w:val="21"/>
              </w:rPr>
              <w:t>78</w:t>
            </w:r>
            <w:r w:rsidRPr="00676F99">
              <w:rPr>
                <w:rFonts w:ascii="Times New Roman" w:hAnsi="Times New Roman" w:cs="Times New Roman" w:hint="eastAsia"/>
                <w:kern w:val="0"/>
                <w:sz w:val="21"/>
                <w:szCs w:val="21"/>
              </w:rPr>
              <w:t>E-0</w:t>
            </w:r>
            <w:r>
              <w:rPr>
                <w:rFonts w:ascii="Times New Roman" w:hAnsi="Times New Roman" w:cs="Times New Roman"/>
                <w:kern w:val="0"/>
                <w:sz w:val="21"/>
                <w:szCs w:val="21"/>
              </w:rPr>
              <w:t>5</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kern w:val="0"/>
                <w:sz w:val="21"/>
                <w:szCs w:val="21"/>
              </w:rPr>
              <w:t>1.58E-05</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062</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6.20E-02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7.00E-02</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88.55</w:t>
            </w:r>
            <w:r>
              <w:rPr>
                <w:rFonts w:ascii="Times New Roman" w:hAnsi="Times New Roman" w:cs="Times New Roman"/>
                <w:kern w:val="0"/>
                <w:sz w:val="21"/>
                <w:szCs w:val="21"/>
              </w:rPr>
              <w:t>1</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网格</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年平均</w:t>
            </w:r>
          </w:p>
        </w:tc>
        <w:tc>
          <w:tcPr>
            <w:tcW w:w="45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1.41E-04</w:t>
            </w:r>
          </w:p>
        </w:tc>
        <w:tc>
          <w:tcPr>
            <w:tcW w:w="395"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hint="eastAsia"/>
                <w:kern w:val="0"/>
                <w:sz w:val="21"/>
                <w:szCs w:val="21"/>
              </w:rPr>
              <w:t>平均值</w:t>
            </w:r>
          </w:p>
        </w:tc>
        <w:tc>
          <w:tcPr>
            <w:tcW w:w="444" w:type="pct"/>
            <w:vAlign w:val="center"/>
          </w:tcPr>
          <w:p w:rsidR="002D429B" w:rsidRPr="00676F99"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5</w:t>
            </w:r>
            <w:r w:rsidRPr="00676F99">
              <w:rPr>
                <w:rFonts w:ascii="Times New Roman" w:hAnsi="Times New Roman" w:cs="Times New Roman" w:hint="eastAsia"/>
                <w:kern w:val="0"/>
                <w:sz w:val="21"/>
                <w:szCs w:val="21"/>
              </w:rPr>
              <w:t>.</w:t>
            </w:r>
            <w:r>
              <w:rPr>
                <w:rFonts w:ascii="Times New Roman" w:hAnsi="Times New Roman" w:cs="Times New Roman"/>
                <w:kern w:val="0"/>
                <w:sz w:val="21"/>
                <w:szCs w:val="21"/>
              </w:rPr>
              <w:t>63</w:t>
            </w:r>
            <w:r w:rsidRPr="00676F99">
              <w:rPr>
                <w:rFonts w:ascii="Times New Roman" w:hAnsi="Times New Roman" w:cs="Times New Roman" w:hint="eastAsia"/>
                <w:kern w:val="0"/>
                <w:sz w:val="21"/>
                <w:szCs w:val="21"/>
              </w:rPr>
              <w:t>E-0</w:t>
            </w:r>
            <w:r>
              <w:rPr>
                <w:rFonts w:ascii="Times New Roman" w:hAnsi="Times New Roman" w:cs="Times New Roman"/>
                <w:kern w:val="0"/>
                <w:sz w:val="21"/>
                <w:szCs w:val="21"/>
              </w:rPr>
              <w:t>3</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kern w:val="0"/>
                <w:sz w:val="21"/>
                <w:szCs w:val="21"/>
              </w:rPr>
              <w:t>9.42E-05</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062</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5.66E-02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7.00E-02</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80.86</w:t>
            </w:r>
            <w:r>
              <w:rPr>
                <w:rFonts w:ascii="Times New Roman" w:hAnsi="Times New Roman" w:cs="Times New Roman"/>
                <w:kern w:val="0"/>
                <w:sz w:val="21"/>
                <w:szCs w:val="21"/>
              </w:rPr>
              <w:t>5</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restar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甲醇</w:t>
            </w:r>
          </w:p>
        </w:tc>
        <w:tc>
          <w:tcPr>
            <w:tcW w:w="679" w:type="pct"/>
            <w:vMerge w:val="restar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三铺村</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1.70E-04</w:t>
            </w:r>
          </w:p>
        </w:tc>
        <w:tc>
          <w:tcPr>
            <w:tcW w:w="395"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23051619</w:t>
            </w:r>
          </w:p>
        </w:tc>
        <w:tc>
          <w:tcPr>
            <w:tcW w:w="444" w:type="pct"/>
            <w:vAlign w:val="center"/>
          </w:tcPr>
          <w:p w:rsidR="002D429B" w:rsidRPr="009644AE"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6</w:t>
            </w:r>
            <w:r w:rsidRPr="009644AE">
              <w:rPr>
                <w:rFonts w:ascii="Times New Roman" w:hAnsi="Times New Roman" w:cs="Times New Roman" w:hint="eastAsia"/>
                <w:kern w:val="0"/>
                <w:sz w:val="21"/>
                <w:szCs w:val="21"/>
              </w:rPr>
              <w:t>.</w:t>
            </w:r>
            <w:r>
              <w:rPr>
                <w:rFonts w:ascii="Times New Roman" w:hAnsi="Times New Roman" w:cs="Times New Roman"/>
                <w:kern w:val="0"/>
                <w:sz w:val="21"/>
                <w:szCs w:val="21"/>
              </w:rPr>
              <w:t>82</w:t>
            </w:r>
            <w:r w:rsidRPr="009644AE">
              <w:rPr>
                <w:rFonts w:ascii="Times New Roman" w:hAnsi="Times New Roman" w:cs="Times New Roman" w:hint="eastAsia"/>
                <w:kern w:val="0"/>
                <w:sz w:val="21"/>
                <w:szCs w:val="21"/>
              </w:rPr>
              <w:t>E-0</w:t>
            </w:r>
            <w:r>
              <w:rPr>
                <w:rFonts w:ascii="Times New Roman" w:hAnsi="Times New Roman" w:cs="Times New Roman"/>
                <w:kern w:val="0"/>
                <w:sz w:val="21"/>
                <w:szCs w:val="21"/>
              </w:rPr>
              <w:t>3</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8.12E-06</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.100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9.34E-02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3.11</w:t>
            </w:r>
            <w:r>
              <w:rPr>
                <w:rFonts w:ascii="Times New Roman" w:hAnsi="Times New Roman" w:cs="Times New Roman"/>
                <w:kern w:val="0"/>
                <w:sz w:val="21"/>
                <w:szCs w:val="21"/>
              </w:rPr>
              <w:t>2</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459"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1.12E-05</w:t>
            </w:r>
          </w:p>
        </w:tc>
        <w:tc>
          <w:tcPr>
            <w:tcW w:w="395"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230516</w:t>
            </w:r>
          </w:p>
        </w:tc>
        <w:tc>
          <w:tcPr>
            <w:tcW w:w="444" w:type="pct"/>
            <w:vAlign w:val="center"/>
          </w:tcPr>
          <w:p w:rsidR="002D429B" w:rsidRPr="009644AE"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5</w:t>
            </w:r>
            <w:r w:rsidRPr="009644AE">
              <w:rPr>
                <w:rFonts w:ascii="Times New Roman" w:hAnsi="Times New Roman" w:cs="Times New Roman" w:hint="eastAsia"/>
                <w:kern w:val="0"/>
                <w:sz w:val="21"/>
                <w:szCs w:val="21"/>
              </w:rPr>
              <w:t>.</w:t>
            </w:r>
            <w:r>
              <w:rPr>
                <w:rFonts w:ascii="Times New Roman" w:hAnsi="Times New Roman" w:cs="Times New Roman"/>
                <w:kern w:val="0"/>
                <w:sz w:val="21"/>
                <w:szCs w:val="21"/>
              </w:rPr>
              <w:t>04</w:t>
            </w:r>
            <w:r w:rsidRPr="009644AE">
              <w:rPr>
                <w:rFonts w:ascii="Times New Roman" w:hAnsi="Times New Roman" w:cs="Times New Roman" w:hint="eastAsia"/>
                <w:kern w:val="0"/>
                <w:sz w:val="21"/>
                <w:szCs w:val="21"/>
              </w:rPr>
              <w:t>E-0</w:t>
            </w:r>
            <w:r>
              <w:rPr>
                <w:rFonts w:ascii="Times New Roman" w:hAnsi="Times New Roman" w:cs="Times New Roman"/>
                <w:kern w:val="0"/>
                <w:sz w:val="21"/>
                <w:szCs w:val="21"/>
              </w:rPr>
              <w:t>4</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1.22E-06</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.100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9.95E-02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9.95</w:t>
            </w:r>
            <w:r>
              <w:rPr>
                <w:rFonts w:ascii="Times New Roman" w:hAnsi="Times New Roman" w:cs="Times New Roman"/>
                <w:kern w:val="0"/>
                <w:sz w:val="21"/>
                <w:szCs w:val="21"/>
              </w:rPr>
              <w:t>1</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Merge w:val="restart"/>
            <w:noWrap/>
            <w:vAlign w:val="center"/>
          </w:tcPr>
          <w:p w:rsidR="002D429B" w:rsidRPr="00676F99"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汪邢村（</w:t>
            </w:r>
            <w:r w:rsidRPr="00240B63">
              <w:rPr>
                <w:rFonts w:ascii="Times New Roman" w:hAnsi="Times New Roman" w:cs="Times New Roman"/>
                <w:kern w:val="0"/>
                <w:sz w:val="21"/>
                <w:szCs w:val="21"/>
              </w:rPr>
              <w:t>高王家</w:t>
            </w:r>
            <w:r>
              <w:rPr>
                <w:rFonts w:ascii="Times New Roman" w:hAnsi="Times New Roman" w:cs="Times New Roman" w:hint="eastAsia"/>
                <w:kern w:val="0"/>
                <w:sz w:val="21"/>
                <w:szCs w:val="21"/>
              </w:rPr>
              <w:t>）</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1.28E-04</w:t>
            </w:r>
          </w:p>
        </w:tc>
        <w:tc>
          <w:tcPr>
            <w:tcW w:w="395"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23010316</w:t>
            </w:r>
          </w:p>
        </w:tc>
        <w:tc>
          <w:tcPr>
            <w:tcW w:w="444" w:type="pct"/>
            <w:vAlign w:val="center"/>
          </w:tcPr>
          <w:p w:rsidR="002D429B" w:rsidRPr="009644AE"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4</w:t>
            </w:r>
            <w:r w:rsidRPr="009644AE">
              <w:rPr>
                <w:rFonts w:ascii="Times New Roman" w:hAnsi="Times New Roman" w:cs="Times New Roman" w:hint="eastAsia"/>
                <w:kern w:val="0"/>
                <w:sz w:val="21"/>
                <w:szCs w:val="21"/>
              </w:rPr>
              <w:t>.</w:t>
            </w:r>
            <w:r>
              <w:rPr>
                <w:rFonts w:ascii="Times New Roman" w:hAnsi="Times New Roman" w:cs="Times New Roman"/>
                <w:kern w:val="0"/>
                <w:sz w:val="21"/>
                <w:szCs w:val="21"/>
              </w:rPr>
              <w:t>97</w:t>
            </w:r>
            <w:r w:rsidRPr="009644AE">
              <w:rPr>
                <w:rFonts w:ascii="Times New Roman" w:hAnsi="Times New Roman" w:cs="Times New Roman" w:hint="eastAsia"/>
                <w:kern w:val="0"/>
                <w:sz w:val="21"/>
                <w:szCs w:val="21"/>
              </w:rPr>
              <w:t>E-0</w:t>
            </w:r>
            <w:r>
              <w:rPr>
                <w:rFonts w:ascii="Times New Roman" w:hAnsi="Times New Roman" w:cs="Times New Roman"/>
                <w:kern w:val="0"/>
                <w:sz w:val="21"/>
                <w:szCs w:val="21"/>
              </w:rPr>
              <w:t>3</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4.54E-06</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.100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9.52E-02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3.17</w:t>
            </w:r>
            <w:r>
              <w:rPr>
                <w:rFonts w:ascii="Times New Roman" w:hAnsi="Times New Roman" w:cs="Times New Roman"/>
                <w:kern w:val="0"/>
                <w:sz w:val="21"/>
                <w:szCs w:val="21"/>
              </w:rPr>
              <w:t>2</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459"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1.16E-05</w:t>
            </w:r>
          </w:p>
        </w:tc>
        <w:tc>
          <w:tcPr>
            <w:tcW w:w="395"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230610</w:t>
            </w:r>
          </w:p>
        </w:tc>
        <w:tc>
          <w:tcPr>
            <w:tcW w:w="444" w:type="pct"/>
            <w:vAlign w:val="center"/>
          </w:tcPr>
          <w:p w:rsidR="002D429B" w:rsidRPr="009644AE"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4</w:t>
            </w:r>
            <w:r w:rsidRPr="009644AE">
              <w:rPr>
                <w:rFonts w:ascii="Times New Roman" w:hAnsi="Times New Roman" w:cs="Times New Roman" w:hint="eastAsia"/>
                <w:kern w:val="0"/>
                <w:sz w:val="21"/>
                <w:szCs w:val="21"/>
              </w:rPr>
              <w:t>.</w:t>
            </w:r>
            <w:r>
              <w:rPr>
                <w:rFonts w:ascii="Times New Roman" w:hAnsi="Times New Roman" w:cs="Times New Roman"/>
                <w:kern w:val="0"/>
                <w:sz w:val="21"/>
                <w:szCs w:val="21"/>
              </w:rPr>
              <w:t>22</w:t>
            </w:r>
            <w:r w:rsidRPr="009644AE">
              <w:rPr>
                <w:rFonts w:ascii="Times New Roman" w:hAnsi="Times New Roman" w:cs="Times New Roman" w:hint="eastAsia"/>
                <w:kern w:val="0"/>
                <w:sz w:val="21"/>
                <w:szCs w:val="21"/>
              </w:rPr>
              <w:t>E-0</w:t>
            </w:r>
            <w:r>
              <w:rPr>
                <w:rFonts w:ascii="Times New Roman" w:hAnsi="Times New Roman" w:cs="Times New Roman"/>
                <w:kern w:val="0"/>
                <w:sz w:val="21"/>
                <w:szCs w:val="21"/>
              </w:rPr>
              <w:t>4</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6.40E-07</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100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9.96E-02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9.95</w:t>
            </w:r>
            <w:r>
              <w:rPr>
                <w:rFonts w:ascii="Times New Roman" w:hAnsi="Times New Roman" w:cs="Times New Roman"/>
                <w:kern w:val="0"/>
                <w:sz w:val="21"/>
                <w:szCs w:val="21"/>
              </w:rPr>
              <w:t>9</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Merge w:val="restart"/>
            <w:noWrap/>
            <w:vAlign w:val="center"/>
          </w:tcPr>
          <w:p w:rsidR="002D429B" w:rsidRPr="00676F99"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曹吴村（</w:t>
            </w:r>
            <w:r w:rsidRPr="00240B63">
              <w:rPr>
                <w:rFonts w:ascii="Times New Roman" w:hAnsi="Times New Roman" w:cs="Times New Roman"/>
                <w:kern w:val="0"/>
                <w:sz w:val="21"/>
                <w:szCs w:val="21"/>
              </w:rPr>
              <w:t>邓庙</w:t>
            </w:r>
            <w:r>
              <w:rPr>
                <w:rFonts w:ascii="Times New Roman" w:hAnsi="Times New Roman" w:cs="Times New Roman" w:hint="eastAsia"/>
                <w:kern w:val="0"/>
                <w:sz w:val="21"/>
                <w:szCs w:val="21"/>
              </w:rPr>
              <w:t>）</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8.28E-05</w:t>
            </w:r>
          </w:p>
        </w:tc>
        <w:tc>
          <w:tcPr>
            <w:tcW w:w="395"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23021609</w:t>
            </w:r>
          </w:p>
        </w:tc>
        <w:tc>
          <w:tcPr>
            <w:tcW w:w="444" w:type="pct"/>
            <w:vAlign w:val="center"/>
          </w:tcPr>
          <w:p w:rsidR="002D429B" w:rsidRPr="009644AE"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9644AE">
              <w:rPr>
                <w:rFonts w:ascii="Times New Roman" w:hAnsi="Times New Roman" w:cs="Times New Roman" w:hint="eastAsia"/>
                <w:kern w:val="0"/>
                <w:sz w:val="21"/>
                <w:szCs w:val="21"/>
              </w:rPr>
              <w:t>.</w:t>
            </w:r>
            <w:r>
              <w:rPr>
                <w:rFonts w:ascii="Times New Roman" w:hAnsi="Times New Roman" w:cs="Times New Roman"/>
                <w:kern w:val="0"/>
                <w:sz w:val="21"/>
                <w:szCs w:val="21"/>
              </w:rPr>
              <w:t>56</w:t>
            </w:r>
            <w:r w:rsidRPr="009644AE">
              <w:rPr>
                <w:rFonts w:ascii="Times New Roman" w:hAnsi="Times New Roman" w:cs="Times New Roman" w:hint="eastAsia"/>
                <w:kern w:val="0"/>
                <w:sz w:val="21"/>
                <w:szCs w:val="21"/>
              </w:rPr>
              <w:t>E-0</w:t>
            </w:r>
            <w:r>
              <w:rPr>
                <w:rFonts w:ascii="Times New Roman" w:hAnsi="Times New Roman" w:cs="Times New Roman"/>
                <w:kern w:val="0"/>
                <w:sz w:val="21"/>
                <w:szCs w:val="21"/>
              </w:rPr>
              <w:t>4</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4.30E-06</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100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9.99E-02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3.33</w:t>
            </w:r>
            <w:r>
              <w:rPr>
                <w:rFonts w:ascii="Times New Roman" w:hAnsi="Times New Roman" w:cs="Times New Roman"/>
                <w:kern w:val="0"/>
                <w:sz w:val="21"/>
                <w:szCs w:val="21"/>
              </w:rPr>
              <w:t>1</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459"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9.99E-06</w:t>
            </w:r>
          </w:p>
        </w:tc>
        <w:tc>
          <w:tcPr>
            <w:tcW w:w="395"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230616</w:t>
            </w:r>
          </w:p>
        </w:tc>
        <w:tc>
          <w:tcPr>
            <w:tcW w:w="444" w:type="pct"/>
            <w:vAlign w:val="center"/>
          </w:tcPr>
          <w:p w:rsidR="002D429B" w:rsidRPr="009644AE"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5</w:t>
            </w:r>
            <w:r w:rsidRPr="009644AE">
              <w:rPr>
                <w:rFonts w:ascii="Times New Roman" w:hAnsi="Times New Roman" w:cs="Times New Roman" w:hint="eastAsia"/>
                <w:kern w:val="0"/>
                <w:sz w:val="21"/>
                <w:szCs w:val="21"/>
              </w:rPr>
              <w:t>.</w:t>
            </w:r>
            <w:r>
              <w:rPr>
                <w:rFonts w:ascii="Times New Roman" w:hAnsi="Times New Roman" w:cs="Times New Roman"/>
                <w:kern w:val="0"/>
                <w:sz w:val="21"/>
                <w:szCs w:val="21"/>
              </w:rPr>
              <w:t>24</w:t>
            </w:r>
            <w:r w:rsidRPr="009644AE">
              <w:rPr>
                <w:rFonts w:ascii="Times New Roman" w:hAnsi="Times New Roman" w:cs="Times New Roman" w:hint="eastAsia"/>
                <w:kern w:val="0"/>
                <w:sz w:val="21"/>
                <w:szCs w:val="21"/>
              </w:rPr>
              <w:t>E-0</w:t>
            </w:r>
            <w:r>
              <w:rPr>
                <w:rFonts w:ascii="Times New Roman" w:hAnsi="Times New Roman" w:cs="Times New Roman"/>
                <w:kern w:val="0"/>
                <w:sz w:val="21"/>
                <w:szCs w:val="21"/>
              </w:rPr>
              <w:t>5</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4.30E-07</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.100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1.00E-01</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9.99</w:t>
            </w:r>
            <w:r>
              <w:rPr>
                <w:rFonts w:ascii="Times New Roman" w:hAnsi="Times New Roman" w:cs="Times New Roman"/>
                <w:kern w:val="0"/>
                <w:sz w:val="21"/>
                <w:szCs w:val="21"/>
              </w:rPr>
              <w:t>6</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cs="Times New Roman"/>
                <w:kern w:val="0"/>
                <w:sz w:val="21"/>
                <w:szCs w:val="21"/>
              </w:rPr>
            </w:pPr>
          </w:p>
        </w:tc>
        <w:tc>
          <w:tcPr>
            <w:tcW w:w="679" w:type="pct"/>
            <w:vMerge w:val="restart"/>
            <w:vAlign w:val="center"/>
          </w:tcPr>
          <w:p w:rsidR="002D429B" w:rsidRPr="00676F99" w:rsidRDefault="002D429B" w:rsidP="002D429B">
            <w:pPr>
              <w:pStyle w:val="afffffff2"/>
              <w:rPr>
                <w:rFonts w:cs="Times New Roman"/>
                <w:kern w:val="0"/>
                <w:sz w:val="21"/>
                <w:szCs w:val="21"/>
              </w:rPr>
            </w:pPr>
            <w:r w:rsidRPr="00240B63">
              <w:rPr>
                <w:rFonts w:ascii="Times New Roman" w:hAnsi="Times New Roman" w:cs="Times New Roman"/>
                <w:kern w:val="0"/>
                <w:sz w:val="21"/>
                <w:szCs w:val="21"/>
              </w:rPr>
              <w:t>李洼</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1.29E-04</w:t>
            </w:r>
          </w:p>
        </w:tc>
        <w:tc>
          <w:tcPr>
            <w:tcW w:w="395"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23060119</w:t>
            </w:r>
          </w:p>
        </w:tc>
        <w:tc>
          <w:tcPr>
            <w:tcW w:w="444" w:type="pct"/>
            <w:vAlign w:val="center"/>
          </w:tcPr>
          <w:p w:rsidR="002D429B" w:rsidRPr="009644AE"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7</w:t>
            </w:r>
            <w:r w:rsidRPr="009644AE">
              <w:rPr>
                <w:rFonts w:ascii="Times New Roman" w:hAnsi="Times New Roman" w:cs="Times New Roman" w:hint="eastAsia"/>
                <w:kern w:val="0"/>
                <w:sz w:val="21"/>
                <w:szCs w:val="21"/>
              </w:rPr>
              <w:t>.</w:t>
            </w:r>
            <w:r>
              <w:rPr>
                <w:rFonts w:ascii="Times New Roman" w:hAnsi="Times New Roman" w:cs="Times New Roman"/>
                <w:kern w:val="0"/>
                <w:sz w:val="21"/>
                <w:szCs w:val="21"/>
              </w:rPr>
              <w:t>25</w:t>
            </w:r>
            <w:r w:rsidRPr="009644AE">
              <w:rPr>
                <w:rFonts w:ascii="Times New Roman" w:hAnsi="Times New Roman" w:cs="Times New Roman" w:hint="eastAsia"/>
                <w:kern w:val="0"/>
                <w:sz w:val="21"/>
                <w:szCs w:val="21"/>
              </w:rPr>
              <w:t>E-0</w:t>
            </w:r>
            <w:r>
              <w:rPr>
                <w:rFonts w:ascii="Times New Roman" w:hAnsi="Times New Roman" w:cs="Times New Roman"/>
                <w:kern w:val="0"/>
                <w:sz w:val="21"/>
                <w:szCs w:val="21"/>
              </w:rPr>
              <w:t>4</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4.39E-06</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.100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9.94E-02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3.31</w:t>
            </w:r>
            <w:r>
              <w:rPr>
                <w:rFonts w:ascii="Times New Roman" w:hAnsi="Times New Roman" w:cs="Times New Roman"/>
                <w:kern w:val="0"/>
                <w:sz w:val="21"/>
                <w:szCs w:val="21"/>
              </w:rPr>
              <w:t>4</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cs="Times New Roman"/>
                <w:kern w:val="0"/>
                <w:sz w:val="21"/>
                <w:szCs w:val="21"/>
              </w:rPr>
            </w:pPr>
          </w:p>
        </w:tc>
        <w:tc>
          <w:tcPr>
            <w:tcW w:w="679" w:type="pct"/>
            <w:vMerge/>
            <w:vAlign w:val="center"/>
          </w:tcPr>
          <w:p w:rsidR="002D429B" w:rsidRPr="009644AE" w:rsidRDefault="002D429B" w:rsidP="002D429B">
            <w:pPr>
              <w:pStyle w:val="afffffff2"/>
              <w:rPr>
                <w:rFonts w:ascii="Times New Roman" w:hAnsi="Times New Roman" w:cs="Times New Roman"/>
                <w:kern w:val="0"/>
                <w:sz w:val="21"/>
                <w:szCs w:val="21"/>
              </w:rPr>
            </w:pP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459"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1.04E-05</w:t>
            </w:r>
          </w:p>
        </w:tc>
        <w:tc>
          <w:tcPr>
            <w:tcW w:w="395"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230730</w:t>
            </w:r>
          </w:p>
        </w:tc>
        <w:tc>
          <w:tcPr>
            <w:tcW w:w="444" w:type="pct"/>
            <w:vAlign w:val="center"/>
          </w:tcPr>
          <w:p w:rsidR="002D429B" w:rsidRPr="009644AE"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6</w:t>
            </w:r>
            <w:r w:rsidRPr="009644AE">
              <w:rPr>
                <w:rFonts w:ascii="Times New Roman" w:hAnsi="Times New Roman" w:cs="Times New Roman" w:hint="eastAsia"/>
                <w:kern w:val="0"/>
                <w:sz w:val="21"/>
                <w:szCs w:val="21"/>
              </w:rPr>
              <w:t>.</w:t>
            </w:r>
            <w:r>
              <w:rPr>
                <w:rFonts w:ascii="Times New Roman" w:hAnsi="Times New Roman" w:cs="Times New Roman"/>
                <w:kern w:val="0"/>
                <w:sz w:val="21"/>
                <w:szCs w:val="21"/>
              </w:rPr>
              <w:t>38</w:t>
            </w:r>
            <w:r w:rsidRPr="009644AE">
              <w:rPr>
                <w:rFonts w:ascii="Times New Roman" w:hAnsi="Times New Roman" w:cs="Times New Roman" w:hint="eastAsia"/>
                <w:kern w:val="0"/>
                <w:sz w:val="21"/>
                <w:szCs w:val="21"/>
              </w:rPr>
              <w:t>E-0</w:t>
            </w:r>
            <w:r>
              <w:rPr>
                <w:rFonts w:ascii="Times New Roman" w:hAnsi="Times New Roman" w:cs="Times New Roman"/>
                <w:kern w:val="0"/>
                <w:sz w:val="21"/>
                <w:szCs w:val="21"/>
              </w:rPr>
              <w:t>4</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5.20E-07</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0.100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9.94E-02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9.93</w:t>
            </w:r>
            <w:r>
              <w:rPr>
                <w:rFonts w:ascii="Times New Roman" w:hAnsi="Times New Roman" w:cs="Times New Roman"/>
                <w:kern w:val="0"/>
                <w:sz w:val="21"/>
                <w:szCs w:val="21"/>
              </w:rPr>
              <w:t>7</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Merge w:val="restart"/>
            <w:vAlign w:val="center"/>
          </w:tcPr>
          <w:p w:rsidR="002D429B" w:rsidRPr="00676F99" w:rsidRDefault="002D429B" w:rsidP="002D429B">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汤陈村</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1.22E-04</w:t>
            </w:r>
          </w:p>
        </w:tc>
        <w:tc>
          <w:tcPr>
            <w:tcW w:w="395"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23061306</w:t>
            </w:r>
          </w:p>
        </w:tc>
        <w:tc>
          <w:tcPr>
            <w:tcW w:w="444" w:type="pct"/>
            <w:vAlign w:val="center"/>
          </w:tcPr>
          <w:p w:rsidR="002D429B" w:rsidRPr="009644AE"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7</w:t>
            </w:r>
            <w:r w:rsidRPr="009644AE">
              <w:rPr>
                <w:rFonts w:ascii="Times New Roman" w:hAnsi="Times New Roman" w:cs="Times New Roman" w:hint="eastAsia"/>
                <w:kern w:val="0"/>
                <w:sz w:val="21"/>
                <w:szCs w:val="21"/>
              </w:rPr>
              <w:t>.</w:t>
            </w:r>
            <w:r>
              <w:rPr>
                <w:rFonts w:ascii="Times New Roman" w:hAnsi="Times New Roman" w:cs="Times New Roman"/>
                <w:kern w:val="0"/>
                <w:sz w:val="21"/>
                <w:szCs w:val="21"/>
              </w:rPr>
              <w:t>02</w:t>
            </w:r>
            <w:r w:rsidRPr="009644AE">
              <w:rPr>
                <w:rFonts w:ascii="Times New Roman" w:hAnsi="Times New Roman" w:cs="Times New Roman" w:hint="eastAsia"/>
                <w:kern w:val="0"/>
                <w:sz w:val="21"/>
                <w:szCs w:val="21"/>
              </w:rPr>
              <w:t>E-0</w:t>
            </w:r>
            <w:r>
              <w:rPr>
                <w:rFonts w:ascii="Times New Roman" w:hAnsi="Times New Roman" w:cs="Times New Roman"/>
                <w:kern w:val="0"/>
                <w:sz w:val="21"/>
                <w:szCs w:val="21"/>
              </w:rPr>
              <w:t>3</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8.82E-06</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.100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9.31E-02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3.10</w:t>
            </w:r>
            <w:r>
              <w:rPr>
                <w:rFonts w:ascii="Times New Roman" w:hAnsi="Times New Roman" w:cs="Times New Roman"/>
                <w:kern w:val="0"/>
                <w:sz w:val="21"/>
                <w:szCs w:val="21"/>
              </w:rPr>
              <w:t>4</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459"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1.73E-05</w:t>
            </w:r>
          </w:p>
        </w:tc>
        <w:tc>
          <w:tcPr>
            <w:tcW w:w="395"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230807</w:t>
            </w:r>
          </w:p>
        </w:tc>
        <w:tc>
          <w:tcPr>
            <w:tcW w:w="444" w:type="pct"/>
            <w:vAlign w:val="center"/>
          </w:tcPr>
          <w:p w:rsidR="002D429B" w:rsidRPr="009644AE"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6</w:t>
            </w:r>
            <w:r w:rsidRPr="009644AE">
              <w:rPr>
                <w:rFonts w:ascii="Times New Roman" w:hAnsi="Times New Roman" w:cs="Times New Roman" w:hint="eastAsia"/>
                <w:kern w:val="0"/>
                <w:sz w:val="21"/>
                <w:szCs w:val="21"/>
              </w:rPr>
              <w:t>.</w:t>
            </w:r>
            <w:r>
              <w:rPr>
                <w:rFonts w:ascii="Times New Roman" w:hAnsi="Times New Roman" w:cs="Times New Roman"/>
                <w:kern w:val="0"/>
                <w:sz w:val="21"/>
                <w:szCs w:val="21"/>
              </w:rPr>
              <w:t>85</w:t>
            </w:r>
            <w:r w:rsidRPr="009644AE">
              <w:rPr>
                <w:rFonts w:ascii="Times New Roman" w:hAnsi="Times New Roman" w:cs="Times New Roman" w:hint="eastAsia"/>
                <w:kern w:val="0"/>
                <w:sz w:val="21"/>
                <w:szCs w:val="21"/>
              </w:rPr>
              <w:t>E-0</w:t>
            </w:r>
            <w:r>
              <w:rPr>
                <w:rFonts w:ascii="Times New Roman" w:hAnsi="Times New Roman" w:cs="Times New Roman"/>
                <w:kern w:val="0"/>
                <w:sz w:val="21"/>
                <w:szCs w:val="21"/>
              </w:rPr>
              <w:t>4</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1.57E-06</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.100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9.93E-02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9.93</w:t>
            </w:r>
            <w:r>
              <w:rPr>
                <w:rFonts w:ascii="Times New Roman" w:hAnsi="Times New Roman" w:cs="Times New Roman"/>
                <w:kern w:val="0"/>
                <w:sz w:val="21"/>
                <w:szCs w:val="21"/>
              </w:rPr>
              <w:t>3</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Merge w:val="restart"/>
            <w:vAlign w:val="center"/>
          </w:tcPr>
          <w:p w:rsidR="002D429B" w:rsidRPr="00676F99" w:rsidRDefault="002D429B" w:rsidP="002D429B">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后沈家</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1.80E-04</w:t>
            </w:r>
          </w:p>
        </w:tc>
        <w:tc>
          <w:tcPr>
            <w:tcW w:w="395"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23081319</w:t>
            </w:r>
          </w:p>
        </w:tc>
        <w:tc>
          <w:tcPr>
            <w:tcW w:w="444" w:type="pct"/>
            <w:vAlign w:val="center"/>
          </w:tcPr>
          <w:p w:rsidR="002D429B" w:rsidRPr="009644AE"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8</w:t>
            </w:r>
            <w:r w:rsidRPr="009644AE">
              <w:rPr>
                <w:rFonts w:ascii="Times New Roman" w:hAnsi="Times New Roman" w:cs="Times New Roman" w:hint="eastAsia"/>
                <w:kern w:val="0"/>
                <w:sz w:val="21"/>
                <w:szCs w:val="21"/>
              </w:rPr>
              <w:t>.</w:t>
            </w:r>
            <w:r>
              <w:rPr>
                <w:rFonts w:ascii="Times New Roman" w:hAnsi="Times New Roman" w:cs="Times New Roman"/>
                <w:kern w:val="0"/>
                <w:sz w:val="21"/>
                <w:szCs w:val="21"/>
              </w:rPr>
              <w:t>06</w:t>
            </w:r>
            <w:r w:rsidRPr="009644AE">
              <w:rPr>
                <w:rFonts w:ascii="Times New Roman" w:hAnsi="Times New Roman" w:cs="Times New Roman" w:hint="eastAsia"/>
                <w:kern w:val="0"/>
                <w:sz w:val="21"/>
                <w:szCs w:val="21"/>
              </w:rPr>
              <w:t>E-0</w:t>
            </w:r>
            <w:r>
              <w:rPr>
                <w:rFonts w:ascii="Times New Roman" w:hAnsi="Times New Roman" w:cs="Times New Roman"/>
                <w:kern w:val="0"/>
                <w:sz w:val="21"/>
                <w:szCs w:val="21"/>
              </w:rPr>
              <w:t>3</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1.22E-05</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.100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9.21E-02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3.07</w:t>
            </w:r>
            <w:r>
              <w:rPr>
                <w:rFonts w:ascii="Times New Roman" w:hAnsi="Times New Roman" w:cs="Times New Roman"/>
                <w:kern w:val="0"/>
                <w:sz w:val="21"/>
                <w:szCs w:val="21"/>
              </w:rPr>
              <w:t>1</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459"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2.23E-05</w:t>
            </w:r>
          </w:p>
        </w:tc>
        <w:tc>
          <w:tcPr>
            <w:tcW w:w="395"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231129</w:t>
            </w:r>
          </w:p>
        </w:tc>
        <w:tc>
          <w:tcPr>
            <w:tcW w:w="444" w:type="pct"/>
            <w:vAlign w:val="center"/>
          </w:tcPr>
          <w:p w:rsidR="002D429B" w:rsidRPr="009644AE"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6</w:t>
            </w:r>
            <w:r w:rsidRPr="009644AE">
              <w:rPr>
                <w:rFonts w:ascii="Times New Roman" w:hAnsi="Times New Roman" w:cs="Times New Roman" w:hint="eastAsia"/>
                <w:kern w:val="0"/>
                <w:sz w:val="21"/>
                <w:szCs w:val="21"/>
              </w:rPr>
              <w:t>.</w:t>
            </w:r>
            <w:r>
              <w:rPr>
                <w:rFonts w:ascii="Times New Roman" w:hAnsi="Times New Roman" w:cs="Times New Roman"/>
                <w:kern w:val="0"/>
                <w:sz w:val="21"/>
                <w:szCs w:val="21"/>
              </w:rPr>
              <w:t>85</w:t>
            </w:r>
            <w:r w:rsidRPr="009644AE">
              <w:rPr>
                <w:rFonts w:ascii="Times New Roman" w:hAnsi="Times New Roman" w:cs="Times New Roman" w:hint="eastAsia"/>
                <w:kern w:val="0"/>
                <w:sz w:val="21"/>
                <w:szCs w:val="21"/>
              </w:rPr>
              <w:t>E-0</w:t>
            </w:r>
            <w:r>
              <w:rPr>
                <w:rFonts w:ascii="Times New Roman" w:hAnsi="Times New Roman" w:cs="Times New Roman"/>
                <w:kern w:val="0"/>
                <w:sz w:val="21"/>
                <w:szCs w:val="21"/>
              </w:rPr>
              <w:t>4</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1.31E-06</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100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9.93E-02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9.93</w:t>
            </w:r>
            <w:r>
              <w:rPr>
                <w:rFonts w:ascii="Times New Roman" w:hAnsi="Times New Roman" w:cs="Times New Roman"/>
                <w:kern w:val="0"/>
                <w:sz w:val="21"/>
                <w:szCs w:val="21"/>
              </w:rPr>
              <w:t>4</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Merge w:val="restart"/>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网格</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7.13E-04</w:t>
            </w:r>
          </w:p>
        </w:tc>
        <w:tc>
          <w:tcPr>
            <w:tcW w:w="395"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23110208</w:t>
            </w:r>
          </w:p>
        </w:tc>
        <w:tc>
          <w:tcPr>
            <w:tcW w:w="444" w:type="pct"/>
            <w:vAlign w:val="center"/>
          </w:tcPr>
          <w:p w:rsidR="002D429B" w:rsidRPr="009644AE"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9644AE">
              <w:rPr>
                <w:rFonts w:ascii="Times New Roman" w:hAnsi="Times New Roman" w:cs="Times New Roman" w:hint="eastAsia"/>
                <w:kern w:val="0"/>
                <w:sz w:val="21"/>
                <w:szCs w:val="21"/>
              </w:rPr>
              <w:t>.</w:t>
            </w:r>
            <w:r>
              <w:rPr>
                <w:rFonts w:ascii="Times New Roman" w:hAnsi="Times New Roman" w:cs="Times New Roman"/>
                <w:kern w:val="0"/>
                <w:sz w:val="21"/>
                <w:szCs w:val="21"/>
              </w:rPr>
              <w:t>21</w:t>
            </w:r>
            <w:r w:rsidRPr="009644AE">
              <w:rPr>
                <w:rFonts w:ascii="Times New Roman" w:hAnsi="Times New Roman" w:cs="Times New Roman" w:hint="eastAsia"/>
                <w:kern w:val="0"/>
                <w:sz w:val="21"/>
                <w:szCs w:val="21"/>
              </w:rPr>
              <w:t>E-0</w:t>
            </w:r>
            <w:r>
              <w:rPr>
                <w:rFonts w:ascii="Times New Roman" w:hAnsi="Times New Roman" w:cs="Times New Roman"/>
                <w:kern w:val="0"/>
                <w:sz w:val="21"/>
                <w:szCs w:val="21"/>
              </w:rPr>
              <w:t>2</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1.54E-05</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100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8.86E-02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3.00E+00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2.954</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日平均</w:t>
            </w:r>
          </w:p>
        </w:tc>
        <w:tc>
          <w:tcPr>
            <w:tcW w:w="459"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1.04E-04</w:t>
            </w:r>
          </w:p>
        </w:tc>
        <w:tc>
          <w:tcPr>
            <w:tcW w:w="395" w:type="pct"/>
            <w:noWrap/>
            <w:vAlign w:val="center"/>
          </w:tcPr>
          <w:p w:rsidR="002D429B" w:rsidRPr="009644AE" w:rsidRDefault="002D429B" w:rsidP="002D429B">
            <w:pPr>
              <w:pStyle w:val="afffffff2"/>
              <w:rPr>
                <w:rFonts w:ascii="Times New Roman" w:hAnsi="Times New Roman" w:cs="Times New Roman"/>
                <w:kern w:val="0"/>
                <w:sz w:val="21"/>
                <w:szCs w:val="21"/>
              </w:rPr>
            </w:pPr>
            <w:r w:rsidRPr="009644AE">
              <w:rPr>
                <w:rFonts w:ascii="Times New Roman" w:hAnsi="Times New Roman" w:cs="Times New Roman" w:hint="eastAsia"/>
                <w:kern w:val="0"/>
                <w:sz w:val="21"/>
                <w:szCs w:val="21"/>
              </w:rPr>
              <w:t>230928</w:t>
            </w:r>
          </w:p>
        </w:tc>
        <w:tc>
          <w:tcPr>
            <w:tcW w:w="444" w:type="pct"/>
            <w:vAlign w:val="center"/>
          </w:tcPr>
          <w:p w:rsidR="002D429B" w:rsidRPr="009644AE"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4</w:t>
            </w:r>
            <w:r w:rsidRPr="009644AE">
              <w:rPr>
                <w:rFonts w:ascii="Times New Roman" w:hAnsi="Times New Roman" w:cs="Times New Roman" w:hint="eastAsia"/>
                <w:kern w:val="0"/>
                <w:sz w:val="21"/>
                <w:szCs w:val="21"/>
              </w:rPr>
              <w:t>.</w:t>
            </w:r>
            <w:r>
              <w:rPr>
                <w:rFonts w:ascii="Times New Roman" w:hAnsi="Times New Roman" w:cs="Times New Roman"/>
                <w:kern w:val="0"/>
                <w:sz w:val="21"/>
                <w:szCs w:val="21"/>
              </w:rPr>
              <w:t>88</w:t>
            </w:r>
            <w:r w:rsidRPr="009644AE">
              <w:rPr>
                <w:rFonts w:ascii="Times New Roman" w:hAnsi="Times New Roman" w:cs="Times New Roman" w:hint="eastAsia"/>
                <w:kern w:val="0"/>
                <w:sz w:val="21"/>
                <w:szCs w:val="21"/>
              </w:rPr>
              <w:t>E-0</w:t>
            </w:r>
            <w:r>
              <w:rPr>
                <w:rFonts w:ascii="Times New Roman" w:hAnsi="Times New Roman" w:cs="Times New Roman"/>
                <w:kern w:val="0"/>
                <w:sz w:val="21"/>
                <w:szCs w:val="21"/>
              </w:rPr>
              <w:t>3</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3.76E-06</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.100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9.52E-02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9.52</w:t>
            </w:r>
            <w:r>
              <w:rPr>
                <w:rFonts w:ascii="Times New Roman" w:hAnsi="Times New Roman" w:cs="Times New Roman"/>
                <w:kern w:val="0"/>
                <w:sz w:val="21"/>
                <w:szCs w:val="21"/>
              </w:rPr>
              <w:t>3</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restart"/>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非甲烷总烃</w:t>
            </w:r>
          </w:p>
        </w:tc>
        <w:tc>
          <w:tcPr>
            <w:tcW w:w="679" w:type="pct"/>
            <w:vAlign w:val="center"/>
          </w:tcPr>
          <w:p w:rsidR="002D429B" w:rsidRPr="00240B63" w:rsidRDefault="002D429B" w:rsidP="002D429B">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三铺村</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3.17E-04</w:t>
            </w:r>
          </w:p>
        </w:tc>
        <w:tc>
          <w:tcPr>
            <w:tcW w:w="395"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23051619</w:t>
            </w:r>
          </w:p>
        </w:tc>
        <w:tc>
          <w:tcPr>
            <w:tcW w:w="444" w:type="pct"/>
            <w:vAlign w:val="center"/>
          </w:tcPr>
          <w:p w:rsidR="002D429B" w:rsidRPr="00E43E56"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E43E56">
              <w:rPr>
                <w:rFonts w:ascii="Times New Roman" w:hAnsi="Times New Roman" w:cs="Times New Roman" w:hint="eastAsia"/>
                <w:kern w:val="0"/>
                <w:sz w:val="21"/>
                <w:szCs w:val="21"/>
              </w:rPr>
              <w:t>.</w:t>
            </w:r>
            <w:r>
              <w:rPr>
                <w:rFonts w:ascii="Times New Roman" w:hAnsi="Times New Roman" w:cs="Times New Roman"/>
                <w:kern w:val="0"/>
                <w:sz w:val="21"/>
                <w:szCs w:val="21"/>
              </w:rPr>
              <w:t>93</w:t>
            </w:r>
            <w:r w:rsidRPr="00E43E56">
              <w:rPr>
                <w:rFonts w:ascii="Times New Roman" w:hAnsi="Times New Roman" w:cs="Times New Roman" w:hint="eastAsia"/>
                <w:kern w:val="0"/>
                <w:sz w:val="21"/>
                <w:szCs w:val="21"/>
              </w:rPr>
              <w:t>E-0</w:t>
            </w:r>
            <w:r>
              <w:rPr>
                <w:rFonts w:ascii="Times New Roman" w:hAnsi="Times New Roman" w:cs="Times New Roman"/>
                <w:kern w:val="0"/>
                <w:sz w:val="21"/>
                <w:szCs w:val="21"/>
              </w:rPr>
              <w:t>2</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1.83E-03</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.660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6.43E-01</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32.142</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Align w:val="center"/>
          </w:tcPr>
          <w:p w:rsidR="002D429B" w:rsidRPr="00240B63"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汪邢村（</w:t>
            </w:r>
            <w:r w:rsidRPr="00240B63">
              <w:rPr>
                <w:rFonts w:ascii="Times New Roman" w:hAnsi="Times New Roman" w:cs="Times New Roman"/>
                <w:kern w:val="0"/>
                <w:sz w:val="21"/>
                <w:szCs w:val="21"/>
              </w:rPr>
              <w:t>高王家</w:t>
            </w:r>
            <w:r>
              <w:rPr>
                <w:rFonts w:ascii="Times New Roman" w:hAnsi="Times New Roman" w:cs="Times New Roman" w:hint="eastAsia"/>
                <w:kern w:val="0"/>
                <w:sz w:val="21"/>
                <w:szCs w:val="21"/>
              </w:rPr>
              <w:t>）</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2.39E-04</w:t>
            </w:r>
          </w:p>
        </w:tc>
        <w:tc>
          <w:tcPr>
            <w:tcW w:w="395"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23010316</w:t>
            </w:r>
          </w:p>
        </w:tc>
        <w:tc>
          <w:tcPr>
            <w:tcW w:w="444" w:type="pct"/>
            <w:vAlign w:val="center"/>
          </w:tcPr>
          <w:p w:rsidR="002D429B" w:rsidRPr="00E43E56"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E43E56">
              <w:rPr>
                <w:rFonts w:ascii="Times New Roman" w:hAnsi="Times New Roman" w:cs="Times New Roman" w:hint="eastAsia"/>
                <w:kern w:val="0"/>
                <w:sz w:val="21"/>
                <w:szCs w:val="21"/>
              </w:rPr>
              <w:t>.</w:t>
            </w:r>
            <w:r>
              <w:rPr>
                <w:rFonts w:ascii="Times New Roman" w:hAnsi="Times New Roman" w:cs="Times New Roman"/>
                <w:kern w:val="0"/>
                <w:sz w:val="21"/>
                <w:szCs w:val="21"/>
              </w:rPr>
              <w:t>65</w:t>
            </w:r>
            <w:r w:rsidRPr="00E43E56">
              <w:rPr>
                <w:rFonts w:ascii="Times New Roman" w:hAnsi="Times New Roman" w:cs="Times New Roman" w:hint="eastAsia"/>
                <w:kern w:val="0"/>
                <w:sz w:val="21"/>
                <w:szCs w:val="21"/>
              </w:rPr>
              <w:t>E-0</w:t>
            </w:r>
            <w:r>
              <w:rPr>
                <w:rFonts w:ascii="Times New Roman" w:hAnsi="Times New Roman" w:cs="Times New Roman"/>
                <w:kern w:val="0"/>
                <w:sz w:val="21"/>
                <w:szCs w:val="21"/>
              </w:rPr>
              <w:t>2</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1.87E-03</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.660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6.46E-01</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32.28</w:t>
            </w:r>
            <w:r>
              <w:rPr>
                <w:rFonts w:ascii="Times New Roman" w:hAnsi="Times New Roman" w:cs="Times New Roman"/>
                <w:kern w:val="0"/>
                <w:sz w:val="21"/>
                <w:szCs w:val="21"/>
              </w:rPr>
              <w:t>0</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Align w:val="center"/>
          </w:tcPr>
          <w:p w:rsidR="002D429B" w:rsidRPr="00240B63"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曹吴村（</w:t>
            </w:r>
            <w:r w:rsidRPr="00240B63">
              <w:rPr>
                <w:rFonts w:ascii="Times New Roman" w:hAnsi="Times New Roman" w:cs="Times New Roman"/>
                <w:kern w:val="0"/>
                <w:sz w:val="21"/>
                <w:szCs w:val="21"/>
              </w:rPr>
              <w:t>邓庙</w:t>
            </w:r>
            <w:r>
              <w:rPr>
                <w:rFonts w:ascii="Times New Roman" w:hAnsi="Times New Roman" w:cs="Times New Roman" w:hint="eastAsia"/>
                <w:kern w:val="0"/>
                <w:sz w:val="21"/>
                <w:szCs w:val="21"/>
              </w:rPr>
              <w:t>）</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1.45E-04</w:t>
            </w:r>
          </w:p>
        </w:tc>
        <w:tc>
          <w:tcPr>
            <w:tcW w:w="395"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23021609</w:t>
            </w:r>
          </w:p>
        </w:tc>
        <w:tc>
          <w:tcPr>
            <w:tcW w:w="444" w:type="pct"/>
            <w:vAlign w:val="center"/>
          </w:tcPr>
          <w:p w:rsidR="002D429B" w:rsidRPr="00E43E56"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8.68</w:t>
            </w:r>
            <w:r w:rsidRPr="00E43E56">
              <w:rPr>
                <w:rFonts w:ascii="Times New Roman" w:hAnsi="Times New Roman" w:cs="Times New Roman" w:hint="eastAsia"/>
                <w:kern w:val="0"/>
                <w:sz w:val="21"/>
                <w:szCs w:val="21"/>
              </w:rPr>
              <w:t>E-0</w:t>
            </w:r>
            <w:r>
              <w:rPr>
                <w:rFonts w:ascii="Times New Roman" w:hAnsi="Times New Roman" w:cs="Times New Roman"/>
                <w:kern w:val="0"/>
                <w:sz w:val="21"/>
                <w:szCs w:val="21"/>
              </w:rPr>
              <w:t>3</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1.38E-03</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.660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6.53E-01</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32.642</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Align w:val="center"/>
          </w:tcPr>
          <w:p w:rsidR="002D429B" w:rsidRPr="00240B63" w:rsidRDefault="002D429B" w:rsidP="002D429B">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李洼</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2.40E-04</w:t>
            </w:r>
          </w:p>
        </w:tc>
        <w:tc>
          <w:tcPr>
            <w:tcW w:w="395"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23060119</w:t>
            </w:r>
          </w:p>
        </w:tc>
        <w:tc>
          <w:tcPr>
            <w:tcW w:w="444" w:type="pct"/>
            <w:vAlign w:val="center"/>
          </w:tcPr>
          <w:p w:rsidR="002D429B" w:rsidRPr="00E43E56"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E43E56">
              <w:rPr>
                <w:rFonts w:ascii="Times New Roman" w:hAnsi="Times New Roman" w:cs="Times New Roman" w:hint="eastAsia"/>
                <w:kern w:val="0"/>
                <w:sz w:val="21"/>
                <w:szCs w:val="21"/>
              </w:rPr>
              <w:t>.4</w:t>
            </w:r>
            <w:r>
              <w:rPr>
                <w:rFonts w:ascii="Times New Roman" w:hAnsi="Times New Roman" w:cs="Times New Roman"/>
                <w:kern w:val="0"/>
                <w:sz w:val="21"/>
                <w:szCs w:val="21"/>
              </w:rPr>
              <w:t>9</w:t>
            </w:r>
            <w:r w:rsidRPr="00E43E56">
              <w:rPr>
                <w:rFonts w:ascii="Times New Roman" w:hAnsi="Times New Roman" w:cs="Times New Roman" w:hint="eastAsia"/>
                <w:kern w:val="0"/>
                <w:sz w:val="21"/>
                <w:szCs w:val="21"/>
              </w:rPr>
              <w:t>E-0</w:t>
            </w:r>
            <w:r>
              <w:rPr>
                <w:rFonts w:ascii="Times New Roman" w:hAnsi="Times New Roman" w:cs="Times New Roman"/>
                <w:kern w:val="0"/>
                <w:sz w:val="21"/>
                <w:szCs w:val="21"/>
              </w:rPr>
              <w:t>2</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1.48E-03</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.660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6.47E-01</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32.341</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cs="Times New Roman"/>
                <w:kern w:val="0"/>
                <w:sz w:val="21"/>
                <w:szCs w:val="21"/>
              </w:rPr>
            </w:pPr>
          </w:p>
        </w:tc>
        <w:tc>
          <w:tcPr>
            <w:tcW w:w="679" w:type="pct"/>
            <w:vAlign w:val="center"/>
          </w:tcPr>
          <w:p w:rsidR="002D429B" w:rsidRPr="00240B63" w:rsidRDefault="002D429B" w:rsidP="002D429B">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汤陈村</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2.16E-04</w:t>
            </w:r>
          </w:p>
        </w:tc>
        <w:tc>
          <w:tcPr>
            <w:tcW w:w="395"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23061306</w:t>
            </w:r>
          </w:p>
        </w:tc>
        <w:tc>
          <w:tcPr>
            <w:tcW w:w="444" w:type="pct"/>
            <w:vAlign w:val="center"/>
          </w:tcPr>
          <w:p w:rsidR="002D429B" w:rsidRPr="00E43E56"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E43E56">
              <w:rPr>
                <w:rFonts w:ascii="Times New Roman" w:hAnsi="Times New Roman" w:cs="Times New Roman" w:hint="eastAsia"/>
                <w:kern w:val="0"/>
                <w:sz w:val="21"/>
                <w:szCs w:val="21"/>
              </w:rPr>
              <w:t>.</w:t>
            </w:r>
            <w:r>
              <w:rPr>
                <w:rFonts w:ascii="Times New Roman" w:hAnsi="Times New Roman" w:cs="Times New Roman"/>
                <w:kern w:val="0"/>
                <w:sz w:val="21"/>
                <w:szCs w:val="21"/>
              </w:rPr>
              <w:t>22</w:t>
            </w:r>
            <w:r w:rsidRPr="00E43E56">
              <w:rPr>
                <w:rFonts w:ascii="Times New Roman" w:hAnsi="Times New Roman" w:cs="Times New Roman" w:hint="eastAsia"/>
                <w:kern w:val="0"/>
                <w:sz w:val="21"/>
                <w:szCs w:val="21"/>
              </w:rPr>
              <w:t>E-0</w:t>
            </w:r>
            <w:r>
              <w:rPr>
                <w:rFonts w:ascii="Times New Roman" w:hAnsi="Times New Roman" w:cs="Times New Roman"/>
                <w:kern w:val="0"/>
                <w:sz w:val="21"/>
                <w:szCs w:val="21"/>
              </w:rPr>
              <w:t>2</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1.66E-03</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.660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6.50E-01</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32.48</w:t>
            </w:r>
            <w:r>
              <w:rPr>
                <w:rFonts w:ascii="Times New Roman" w:hAnsi="Times New Roman" w:cs="Times New Roman"/>
                <w:kern w:val="0"/>
                <w:sz w:val="21"/>
                <w:szCs w:val="21"/>
              </w:rPr>
              <w:t>4</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Align w:val="center"/>
          </w:tcPr>
          <w:p w:rsidR="002D429B" w:rsidRPr="00240B63" w:rsidRDefault="002D429B" w:rsidP="002D429B">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后沈家</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3.09E-04</w:t>
            </w:r>
          </w:p>
        </w:tc>
        <w:tc>
          <w:tcPr>
            <w:tcW w:w="395"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23081319</w:t>
            </w:r>
          </w:p>
        </w:tc>
        <w:tc>
          <w:tcPr>
            <w:tcW w:w="444" w:type="pct"/>
            <w:vAlign w:val="center"/>
          </w:tcPr>
          <w:p w:rsidR="002D429B" w:rsidRPr="00E43E56"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E43E56">
              <w:rPr>
                <w:rFonts w:ascii="Times New Roman" w:hAnsi="Times New Roman" w:cs="Times New Roman" w:hint="eastAsia"/>
                <w:kern w:val="0"/>
                <w:sz w:val="21"/>
                <w:szCs w:val="21"/>
              </w:rPr>
              <w:t>.</w:t>
            </w:r>
            <w:r>
              <w:rPr>
                <w:rFonts w:ascii="Times New Roman" w:hAnsi="Times New Roman" w:cs="Times New Roman"/>
                <w:kern w:val="0"/>
                <w:sz w:val="21"/>
                <w:szCs w:val="21"/>
              </w:rPr>
              <w:t>76</w:t>
            </w:r>
            <w:r w:rsidRPr="00E43E56">
              <w:rPr>
                <w:rFonts w:ascii="Times New Roman" w:hAnsi="Times New Roman" w:cs="Times New Roman" w:hint="eastAsia"/>
                <w:kern w:val="0"/>
                <w:sz w:val="21"/>
                <w:szCs w:val="21"/>
              </w:rPr>
              <w:t>E-0</w:t>
            </w:r>
            <w:r>
              <w:rPr>
                <w:rFonts w:ascii="Times New Roman" w:hAnsi="Times New Roman" w:cs="Times New Roman"/>
                <w:kern w:val="0"/>
                <w:sz w:val="21"/>
                <w:szCs w:val="21"/>
              </w:rPr>
              <w:t>2</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2.27E-03</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.660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6.45E-01</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32.24</w:t>
            </w:r>
            <w:r>
              <w:rPr>
                <w:rFonts w:ascii="Times New Roman" w:hAnsi="Times New Roman" w:cs="Times New Roman"/>
                <w:kern w:val="0"/>
                <w:sz w:val="21"/>
                <w:szCs w:val="21"/>
              </w:rPr>
              <w:t>9</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Align w:val="center"/>
          </w:tcPr>
          <w:p w:rsidR="002D429B" w:rsidRPr="00240B63"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网格</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1.38E-03</w:t>
            </w:r>
          </w:p>
        </w:tc>
        <w:tc>
          <w:tcPr>
            <w:tcW w:w="395"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23110208</w:t>
            </w:r>
          </w:p>
        </w:tc>
        <w:tc>
          <w:tcPr>
            <w:tcW w:w="444" w:type="pct"/>
            <w:vAlign w:val="center"/>
          </w:tcPr>
          <w:p w:rsidR="002D429B" w:rsidRPr="00E43E56"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7</w:t>
            </w:r>
            <w:r w:rsidRPr="00E43E56">
              <w:rPr>
                <w:rFonts w:ascii="Times New Roman" w:hAnsi="Times New Roman" w:cs="Times New Roman" w:hint="eastAsia"/>
                <w:kern w:val="0"/>
                <w:sz w:val="21"/>
                <w:szCs w:val="21"/>
              </w:rPr>
              <w:t>.</w:t>
            </w:r>
            <w:r>
              <w:rPr>
                <w:rFonts w:ascii="Times New Roman" w:hAnsi="Times New Roman" w:cs="Times New Roman"/>
                <w:kern w:val="0"/>
                <w:sz w:val="21"/>
                <w:szCs w:val="21"/>
              </w:rPr>
              <w:t>03</w:t>
            </w:r>
            <w:r w:rsidRPr="00E43E56">
              <w:rPr>
                <w:rFonts w:ascii="Times New Roman" w:hAnsi="Times New Roman" w:cs="Times New Roman" w:hint="eastAsia"/>
                <w:kern w:val="0"/>
                <w:sz w:val="21"/>
                <w:szCs w:val="21"/>
              </w:rPr>
              <w:t>E-0</w:t>
            </w:r>
            <w:r>
              <w:rPr>
                <w:rFonts w:ascii="Times New Roman" w:hAnsi="Times New Roman" w:cs="Times New Roman"/>
                <w:kern w:val="0"/>
                <w:sz w:val="21"/>
                <w:szCs w:val="21"/>
              </w:rPr>
              <w:t>2</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5.80E-03</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.660</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5.97E-01</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2.00E+00</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29.844</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restart"/>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NH</w:t>
            </w:r>
            <w:r w:rsidRPr="00676F99">
              <w:rPr>
                <w:rFonts w:ascii="Times New Roman" w:hAnsi="Times New Roman" w:cs="Times New Roman"/>
                <w:kern w:val="0"/>
                <w:sz w:val="21"/>
                <w:szCs w:val="21"/>
                <w:vertAlign w:val="subscript"/>
              </w:rPr>
              <w:t>3</w:t>
            </w:r>
          </w:p>
        </w:tc>
        <w:tc>
          <w:tcPr>
            <w:tcW w:w="679" w:type="pct"/>
            <w:vAlign w:val="center"/>
          </w:tcPr>
          <w:p w:rsidR="002D429B" w:rsidRPr="00240B63" w:rsidRDefault="002D429B" w:rsidP="002D429B">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三铺村</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2.29E-06</w:t>
            </w:r>
          </w:p>
        </w:tc>
        <w:tc>
          <w:tcPr>
            <w:tcW w:w="395"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23051519</w:t>
            </w:r>
          </w:p>
        </w:tc>
        <w:tc>
          <w:tcPr>
            <w:tcW w:w="444" w:type="pct"/>
            <w:vAlign w:val="center"/>
          </w:tcPr>
          <w:p w:rsidR="002D429B" w:rsidRPr="00E43E56"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E43E56">
              <w:rPr>
                <w:rFonts w:ascii="Times New Roman" w:hAnsi="Times New Roman" w:cs="Times New Roman" w:hint="eastAsia"/>
                <w:kern w:val="0"/>
                <w:sz w:val="21"/>
                <w:szCs w:val="21"/>
              </w:rPr>
              <w:t>.</w:t>
            </w:r>
            <w:r>
              <w:rPr>
                <w:rFonts w:ascii="Times New Roman" w:hAnsi="Times New Roman" w:cs="Times New Roman"/>
                <w:kern w:val="0"/>
                <w:sz w:val="21"/>
                <w:szCs w:val="21"/>
              </w:rPr>
              <w:t>03</w:t>
            </w:r>
            <w:r w:rsidRPr="00E43E56">
              <w:rPr>
                <w:rFonts w:ascii="Times New Roman" w:hAnsi="Times New Roman" w:cs="Times New Roman" w:hint="eastAsia"/>
                <w:kern w:val="0"/>
                <w:sz w:val="21"/>
                <w:szCs w:val="21"/>
              </w:rPr>
              <w:t>E-0</w:t>
            </w:r>
            <w:r>
              <w:rPr>
                <w:rFonts w:ascii="Times New Roman" w:hAnsi="Times New Roman" w:cs="Times New Roman"/>
                <w:kern w:val="0"/>
                <w:sz w:val="21"/>
                <w:szCs w:val="21"/>
              </w:rPr>
              <w:t>5</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5.52E-05</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012</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1.20E-02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2.00E-01</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6.02</w:t>
            </w:r>
            <w:r>
              <w:rPr>
                <w:rFonts w:ascii="Times New Roman" w:hAnsi="Times New Roman" w:cs="Times New Roman"/>
                <w:kern w:val="0"/>
                <w:sz w:val="21"/>
                <w:szCs w:val="21"/>
              </w:rPr>
              <w:t>4</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Align w:val="center"/>
          </w:tcPr>
          <w:p w:rsidR="002D429B" w:rsidRPr="00240B63"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汪邢村（</w:t>
            </w:r>
            <w:r w:rsidRPr="00240B63">
              <w:rPr>
                <w:rFonts w:ascii="Times New Roman" w:hAnsi="Times New Roman" w:cs="Times New Roman"/>
                <w:kern w:val="0"/>
                <w:sz w:val="21"/>
                <w:szCs w:val="21"/>
              </w:rPr>
              <w:t>高王家</w:t>
            </w:r>
            <w:r>
              <w:rPr>
                <w:rFonts w:ascii="Times New Roman" w:hAnsi="Times New Roman" w:cs="Times New Roman" w:hint="eastAsia"/>
                <w:kern w:val="0"/>
                <w:sz w:val="21"/>
                <w:szCs w:val="21"/>
              </w:rPr>
              <w:t>）</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2.27E-06</w:t>
            </w:r>
          </w:p>
        </w:tc>
        <w:tc>
          <w:tcPr>
            <w:tcW w:w="395"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23060620</w:t>
            </w:r>
          </w:p>
        </w:tc>
        <w:tc>
          <w:tcPr>
            <w:tcW w:w="444" w:type="pct"/>
            <w:vAlign w:val="center"/>
          </w:tcPr>
          <w:p w:rsidR="002D429B" w:rsidRPr="00E43E56"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E43E56">
              <w:rPr>
                <w:rFonts w:ascii="Times New Roman" w:hAnsi="Times New Roman" w:cs="Times New Roman" w:hint="eastAsia"/>
                <w:kern w:val="0"/>
                <w:sz w:val="21"/>
                <w:szCs w:val="21"/>
              </w:rPr>
              <w:t>.</w:t>
            </w:r>
            <w:r>
              <w:rPr>
                <w:rFonts w:ascii="Times New Roman" w:hAnsi="Times New Roman" w:cs="Times New Roman"/>
                <w:kern w:val="0"/>
                <w:sz w:val="21"/>
                <w:szCs w:val="21"/>
              </w:rPr>
              <w:t>01</w:t>
            </w:r>
            <w:r w:rsidRPr="00E43E56">
              <w:rPr>
                <w:rFonts w:ascii="Times New Roman" w:hAnsi="Times New Roman" w:cs="Times New Roman" w:hint="eastAsia"/>
                <w:kern w:val="0"/>
                <w:sz w:val="21"/>
                <w:szCs w:val="21"/>
              </w:rPr>
              <w:t>E-0</w:t>
            </w:r>
            <w:r>
              <w:rPr>
                <w:rFonts w:ascii="Times New Roman" w:hAnsi="Times New Roman" w:cs="Times New Roman"/>
                <w:kern w:val="0"/>
                <w:sz w:val="21"/>
                <w:szCs w:val="21"/>
              </w:rPr>
              <w:t>5</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5.54E-05</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012</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1.20E-02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2.00E-01</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6.02</w:t>
            </w:r>
            <w:r>
              <w:rPr>
                <w:rFonts w:ascii="Times New Roman" w:hAnsi="Times New Roman" w:cs="Times New Roman"/>
                <w:kern w:val="0"/>
                <w:sz w:val="21"/>
                <w:szCs w:val="21"/>
              </w:rPr>
              <w:t>4</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Align w:val="center"/>
          </w:tcPr>
          <w:p w:rsidR="002D429B" w:rsidRPr="00240B63"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曹吴村（</w:t>
            </w:r>
            <w:r w:rsidRPr="00240B63">
              <w:rPr>
                <w:rFonts w:ascii="Times New Roman" w:hAnsi="Times New Roman" w:cs="Times New Roman"/>
                <w:kern w:val="0"/>
                <w:sz w:val="21"/>
                <w:szCs w:val="21"/>
              </w:rPr>
              <w:t>邓庙</w:t>
            </w:r>
            <w:r>
              <w:rPr>
                <w:rFonts w:ascii="Times New Roman" w:hAnsi="Times New Roman" w:cs="Times New Roman" w:hint="eastAsia"/>
                <w:kern w:val="0"/>
                <w:sz w:val="21"/>
                <w:szCs w:val="21"/>
              </w:rPr>
              <w:t>）</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1.83E-06</w:t>
            </w:r>
          </w:p>
        </w:tc>
        <w:tc>
          <w:tcPr>
            <w:tcW w:w="395"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23060121</w:t>
            </w:r>
          </w:p>
        </w:tc>
        <w:tc>
          <w:tcPr>
            <w:tcW w:w="444" w:type="pct"/>
            <w:vAlign w:val="center"/>
          </w:tcPr>
          <w:p w:rsidR="002D429B" w:rsidRPr="00E43E56"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9.25</w:t>
            </w:r>
            <w:r w:rsidRPr="00E43E56">
              <w:rPr>
                <w:rFonts w:ascii="Times New Roman" w:hAnsi="Times New Roman" w:cs="Times New Roman" w:hint="eastAsia"/>
                <w:kern w:val="0"/>
                <w:sz w:val="21"/>
                <w:szCs w:val="21"/>
              </w:rPr>
              <w:t>E-06</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4.39E-05</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012</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1.20E-02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2.00E-01</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6.018</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Align w:val="center"/>
          </w:tcPr>
          <w:p w:rsidR="002D429B" w:rsidRPr="00240B63" w:rsidRDefault="002D429B" w:rsidP="002D429B">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李洼</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2.32E-06</w:t>
            </w:r>
          </w:p>
        </w:tc>
        <w:tc>
          <w:tcPr>
            <w:tcW w:w="395"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23070701</w:t>
            </w:r>
          </w:p>
        </w:tc>
        <w:tc>
          <w:tcPr>
            <w:tcW w:w="444" w:type="pct"/>
            <w:vAlign w:val="center"/>
          </w:tcPr>
          <w:p w:rsidR="002D429B" w:rsidRPr="00E43E56"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E43E56">
              <w:rPr>
                <w:rFonts w:ascii="Times New Roman" w:hAnsi="Times New Roman" w:cs="Times New Roman" w:hint="eastAsia"/>
                <w:kern w:val="0"/>
                <w:sz w:val="21"/>
                <w:szCs w:val="21"/>
              </w:rPr>
              <w:t>.</w:t>
            </w:r>
            <w:r>
              <w:rPr>
                <w:rFonts w:ascii="Times New Roman" w:hAnsi="Times New Roman" w:cs="Times New Roman"/>
                <w:kern w:val="0"/>
                <w:sz w:val="21"/>
                <w:szCs w:val="21"/>
              </w:rPr>
              <w:t>54</w:t>
            </w:r>
            <w:r w:rsidRPr="00E43E56">
              <w:rPr>
                <w:rFonts w:ascii="Times New Roman" w:hAnsi="Times New Roman" w:cs="Times New Roman" w:hint="eastAsia"/>
                <w:kern w:val="0"/>
                <w:sz w:val="21"/>
                <w:szCs w:val="21"/>
              </w:rPr>
              <w:t>E-0</w:t>
            </w:r>
            <w:r>
              <w:rPr>
                <w:rFonts w:ascii="Times New Roman" w:hAnsi="Times New Roman" w:cs="Times New Roman"/>
                <w:kern w:val="0"/>
                <w:sz w:val="21"/>
                <w:szCs w:val="21"/>
              </w:rPr>
              <w:t>5</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4.23E-05</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012</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1.20E-02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2.00E-01</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6.01</w:t>
            </w:r>
            <w:r>
              <w:rPr>
                <w:rFonts w:ascii="Times New Roman" w:hAnsi="Times New Roman" w:cs="Times New Roman"/>
                <w:kern w:val="0"/>
                <w:sz w:val="21"/>
                <w:szCs w:val="21"/>
              </w:rPr>
              <w:t>5</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cs="Times New Roman"/>
                <w:kern w:val="0"/>
                <w:sz w:val="21"/>
                <w:szCs w:val="21"/>
              </w:rPr>
            </w:pPr>
          </w:p>
        </w:tc>
        <w:tc>
          <w:tcPr>
            <w:tcW w:w="679" w:type="pct"/>
            <w:vAlign w:val="center"/>
          </w:tcPr>
          <w:p w:rsidR="002D429B" w:rsidRPr="00240B63" w:rsidRDefault="002D429B" w:rsidP="002D429B">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汤陈村</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2.44E-06</w:t>
            </w:r>
          </w:p>
        </w:tc>
        <w:tc>
          <w:tcPr>
            <w:tcW w:w="395"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23071702</w:t>
            </w:r>
          </w:p>
        </w:tc>
        <w:tc>
          <w:tcPr>
            <w:tcW w:w="444" w:type="pct"/>
            <w:vAlign w:val="center"/>
          </w:tcPr>
          <w:p w:rsidR="002D429B" w:rsidRPr="00E43E56"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E43E56">
              <w:rPr>
                <w:rFonts w:ascii="Times New Roman" w:hAnsi="Times New Roman" w:cs="Times New Roman" w:hint="eastAsia"/>
                <w:kern w:val="0"/>
                <w:sz w:val="21"/>
                <w:szCs w:val="21"/>
              </w:rPr>
              <w:t>.</w:t>
            </w:r>
            <w:r>
              <w:rPr>
                <w:rFonts w:ascii="Times New Roman" w:hAnsi="Times New Roman" w:cs="Times New Roman"/>
                <w:kern w:val="0"/>
                <w:sz w:val="21"/>
                <w:szCs w:val="21"/>
              </w:rPr>
              <w:t>72</w:t>
            </w:r>
            <w:r w:rsidRPr="00E43E56">
              <w:rPr>
                <w:rFonts w:ascii="Times New Roman" w:hAnsi="Times New Roman" w:cs="Times New Roman" w:hint="eastAsia"/>
                <w:kern w:val="0"/>
                <w:sz w:val="21"/>
                <w:szCs w:val="21"/>
              </w:rPr>
              <w:t>E-0</w:t>
            </w:r>
            <w:r>
              <w:rPr>
                <w:rFonts w:ascii="Times New Roman" w:hAnsi="Times New Roman" w:cs="Times New Roman"/>
                <w:kern w:val="0"/>
                <w:sz w:val="21"/>
                <w:szCs w:val="21"/>
              </w:rPr>
              <w:t>5</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8.21E-05</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012</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1.21E-02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2.00E-01</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6.03</w:t>
            </w:r>
            <w:r>
              <w:rPr>
                <w:rFonts w:ascii="Times New Roman" w:hAnsi="Times New Roman" w:cs="Times New Roman"/>
                <w:kern w:val="0"/>
                <w:sz w:val="21"/>
                <w:szCs w:val="21"/>
              </w:rPr>
              <w:t>4</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Align w:val="center"/>
          </w:tcPr>
          <w:p w:rsidR="002D429B" w:rsidRPr="00240B63" w:rsidRDefault="002D429B" w:rsidP="002D429B">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后沈家</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3.00E-06</w:t>
            </w:r>
          </w:p>
        </w:tc>
        <w:tc>
          <w:tcPr>
            <w:tcW w:w="395"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23091207</w:t>
            </w:r>
          </w:p>
        </w:tc>
        <w:tc>
          <w:tcPr>
            <w:tcW w:w="444" w:type="pct"/>
            <w:vAlign w:val="center"/>
          </w:tcPr>
          <w:p w:rsidR="002D429B" w:rsidRPr="00E43E56" w:rsidRDefault="002D429B" w:rsidP="002D429B">
            <w:pPr>
              <w:pStyle w:val="afffffff2"/>
              <w:rPr>
                <w:rFonts w:ascii="Times New Roman" w:hAnsi="Times New Roman" w:cs="Times New Roman"/>
                <w:kern w:val="0"/>
                <w:sz w:val="21"/>
                <w:szCs w:val="21"/>
              </w:rPr>
            </w:pPr>
            <w:r>
              <w:rPr>
                <w:rFonts w:ascii="Times New Roman" w:hAnsi="Times New Roman" w:cs="Times New Roman"/>
                <w:kern w:val="0"/>
                <w:sz w:val="21"/>
                <w:szCs w:val="21"/>
              </w:rPr>
              <w:t>2</w:t>
            </w:r>
            <w:r w:rsidRPr="00E43E56">
              <w:rPr>
                <w:rFonts w:ascii="Times New Roman" w:hAnsi="Times New Roman" w:cs="Times New Roman" w:hint="eastAsia"/>
                <w:kern w:val="0"/>
                <w:sz w:val="21"/>
                <w:szCs w:val="21"/>
              </w:rPr>
              <w:t>.</w:t>
            </w:r>
            <w:r>
              <w:rPr>
                <w:rFonts w:ascii="Times New Roman" w:hAnsi="Times New Roman" w:cs="Times New Roman"/>
                <w:kern w:val="0"/>
                <w:sz w:val="21"/>
                <w:szCs w:val="21"/>
              </w:rPr>
              <w:t>02</w:t>
            </w:r>
            <w:r w:rsidRPr="00E43E56">
              <w:rPr>
                <w:rFonts w:ascii="Times New Roman" w:hAnsi="Times New Roman" w:cs="Times New Roman" w:hint="eastAsia"/>
                <w:kern w:val="0"/>
                <w:sz w:val="21"/>
                <w:szCs w:val="21"/>
              </w:rPr>
              <w:t>E-0</w:t>
            </w:r>
            <w:r>
              <w:rPr>
                <w:rFonts w:ascii="Times New Roman" w:hAnsi="Times New Roman" w:cs="Times New Roman"/>
                <w:kern w:val="0"/>
                <w:sz w:val="21"/>
                <w:szCs w:val="21"/>
              </w:rPr>
              <w:t>5</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9.89E-05</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012</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1.21E-02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2.00E-01</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6.04</w:t>
            </w:r>
            <w:r>
              <w:rPr>
                <w:rFonts w:ascii="Times New Roman" w:hAnsi="Times New Roman" w:cs="Times New Roman"/>
                <w:kern w:val="0"/>
                <w:sz w:val="21"/>
                <w:szCs w:val="21"/>
              </w:rPr>
              <w:t>1</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r w:rsidR="002D429B" w:rsidRPr="00676F99" w:rsidTr="002D429B">
        <w:trPr>
          <w:trHeight w:val="20"/>
        </w:trPr>
        <w:tc>
          <w:tcPr>
            <w:tcW w:w="236" w:type="pct"/>
            <w:vMerge/>
            <w:vAlign w:val="center"/>
          </w:tcPr>
          <w:p w:rsidR="002D429B" w:rsidRPr="00676F99" w:rsidRDefault="002D429B" w:rsidP="002D429B">
            <w:pPr>
              <w:pStyle w:val="afffffff2"/>
              <w:rPr>
                <w:rFonts w:ascii="Times New Roman" w:hAnsi="Times New Roman" w:cs="Times New Roman"/>
                <w:kern w:val="0"/>
                <w:sz w:val="21"/>
                <w:szCs w:val="21"/>
              </w:rPr>
            </w:pPr>
          </w:p>
        </w:tc>
        <w:tc>
          <w:tcPr>
            <w:tcW w:w="679" w:type="pct"/>
            <w:vAlign w:val="center"/>
          </w:tcPr>
          <w:p w:rsidR="002D429B" w:rsidRPr="00240B63"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网格</w:t>
            </w:r>
          </w:p>
        </w:tc>
        <w:tc>
          <w:tcPr>
            <w:tcW w:w="380"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459"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1.62E-05</w:t>
            </w:r>
          </w:p>
        </w:tc>
        <w:tc>
          <w:tcPr>
            <w:tcW w:w="395" w:type="pct"/>
            <w:noWrap/>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23110208</w:t>
            </w:r>
          </w:p>
        </w:tc>
        <w:tc>
          <w:tcPr>
            <w:tcW w:w="444" w:type="pct"/>
            <w:vAlign w:val="center"/>
          </w:tcPr>
          <w:p w:rsidR="002D429B" w:rsidRPr="00E43E56" w:rsidRDefault="002D429B" w:rsidP="002D429B">
            <w:pPr>
              <w:pStyle w:val="afffffff2"/>
              <w:rPr>
                <w:rFonts w:ascii="Times New Roman" w:hAnsi="Times New Roman" w:cs="Times New Roman"/>
                <w:kern w:val="0"/>
                <w:sz w:val="21"/>
                <w:szCs w:val="21"/>
              </w:rPr>
            </w:pPr>
            <w:r w:rsidRPr="00E43E56">
              <w:rPr>
                <w:rFonts w:ascii="Times New Roman" w:hAnsi="Times New Roman" w:cs="Times New Roman" w:hint="eastAsia"/>
                <w:kern w:val="0"/>
                <w:sz w:val="21"/>
                <w:szCs w:val="21"/>
              </w:rPr>
              <w:t>1.</w:t>
            </w:r>
            <w:r>
              <w:rPr>
                <w:rFonts w:ascii="Times New Roman" w:hAnsi="Times New Roman" w:cs="Times New Roman"/>
                <w:kern w:val="0"/>
                <w:sz w:val="21"/>
                <w:szCs w:val="21"/>
              </w:rPr>
              <w:t>35</w:t>
            </w:r>
            <w:r w:rsidRPr="00E43E56">
              <w:rPr>
                <w:rFonts w:ascii="Times New Roman" w:hAnsi="Times New Roman" w:cs="Times New Roman" w:hint="eastAsia"/>
                <w:kern w:val="0"/>
                <w:sz w:val="21"/>
                <w:szCs w:val="21"/>
              </w:rPr>
              <w:t>E-0</w:t>
            </w:r>
            <w:r>
              <w:rPr>
                <w:rFonts w:ascii="Times New Roman" w:hAnsi="Times New Roman" w:cs="Times New Roman"/>
                <w:kern w:val="0"/>
                <w:sz w:val="21"/>
                <w:szCs w:val="21"/>
              </w:rPr>
              <w:t>4</w:t>
            </w:r>
          </w:p>
        </w:tc>
        <w:tc>
          <w:tcPr>
            <w:tcW w:w="467" w:type="pct"/>
            <w:vAlign w:val="center"/>
          </w:tcPr>
          <w:p w:rsidR="002D429B" w:rsidRPr="00181FDA" w:rsidRDefault="002D429B" w:rsidP="002D429B">
            <w:pPr>
              <w:pStyle w:val="afffffff2"/>
              <w:rPr>
                <w:rFonts w:ascii="Times New Roman" w:hAnsi="Times New Roman" w:cs="Times New Roman"/>
                <w:kern w:val="0"/>
                <w:sz w:val="21"/>
                <w:szCs w:val="21"/>
              </w:rPr>
            </w:pPr>
            <w:r w:rsidRPr="00181FDA">
              <w:rPr>
                <w:rFonts w:ascii="Times New Roman" w:hAnsi="Times New Roman" w:cs="Times New Roman" w:hint="eastAsia"/>
                <w:kern w:val="0"/>
                <w:sz w:val="21"/>
                <w:szCs w:val="21"/>
              </w:rPr>
              <w:t>3.34E-04</w:t>
            </w:r>
          </w:p>
        </w:tc>
        <w:tc>
          <w:tcPr>
            <w:tcW w:w="337" w:type="pct"/>
            <w:vAlign w:val="center"/>
          </w:tcPr>
          <w:p w:rsidR="002D429B" w:rsidRPr="00B9078D" w:rsidRDefault="002D429B" w:rsidP="002D429B">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0.</w:t>
            </w:r>
            <w:r>
              <w:rPr>
                <w:rFonts w:ascii="Times New Roman" w:hAnsi="Times New Roman" w:cs="Times New Roman"/>
                <w:kern w:val="0"/>
                <w:sz w:val="21"/>
                <w:szCs w:val="21"/>
              </w:rPr>
              <w:t>012</w:t>
            </w:r>
          </w:p>
        </w:tc>
        <w:tc>
          <w:tcPr>
            <w:tcW w:w="431" w:type="pct"/>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kern w:val="0"/>
                <w:sz w:val="21"/>
                <w:szCs w:val="21"/>
              </w:rPr>
              <w:t>1.22E-02</w:t>
            </w:r>
          </w:p>
        </w:tc>
        <w:tc>
          <w:tcPr>
            <w:tcW w:w="503"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2.00E-01</w:t>
            </w:r>
          </w:p>
        </w:tc>
        <w:tc>
          <w:tcPr>
            <w:tcW w:w="400" w:type="pct"/>
            <w:noWrap/>
            <w:vAlign w:val="center"/>
          </w:tcPr>
          <w:p w:rsidR="002D429B" w:rsidRPr="002D429B" w:rsidRDefault="002D429B" w:rsidP="002D429B">
            <w:pPr>
              <w:pStyle w:val="afffffff2"/>
              <w:rPr>
                <w:rFonts w:ascii="Times New Roman" w:hAnsi="Times New Roman" w:cs="Times New Roman"/>
                <w:kern w:val="0"/>
                <w:sz w:val="21"/>
                <w:szCs w:val="21"/>
              </w:rPr>
            </w:pPr>
            <w:r w:rsidRPr="002D429B">
              <w:rPr>
                <w:rFonts w:ascii="Times New Roman" w:hAnsi="Times New Roman" w:cs="Times New Roman" w:hint="eastAsia"/>
                <w:kern w:val="0"/>
                <w:sz w:val="21"/>
                <w:szCs w:val="21"/>
              </w:rPr>
              <w:t>6.10</w:t>
            </w:r>
            <w:r>
              <w:rPr>
                <w:rFonts w:ascii="Times New Roman" w:hAnsi="Times New Roman" w:cs="Times New Roman"/>
                <w:kern w:val="0"/>
                <w:sz w:val="21"/>
                <w:szCs w:val="21"/>
              </w:rPr>
              <w:t>8</w:t>
            </w:r>
          </w:p>
        </w:tc>
        <w:tc>
          <w:tcPr>
            <w:tcW w:w="269" w:type="pct"/>
            <w:noWrap/>
            <w:vAlign w:val="center"/>
          </w:tcPr>
          <w:p w:rsidR="002D429B" w:rsidRPr="00676F99" w:rsidRDefault="002D429B" w:rsidP="002D429B">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达标</w:t>
            </w:r>
          </w:p>
        </w:tc>
      </w:tr>
    </w:tbl>
    <w:p w:rsidR="004E3021" w:rsidRDefault="004E3021">
      <w:pPr>
        <w:ind w:firstLine="480"/>
      </w:pPr>
    </w:p>
    <w:p w:rsidR="004E3021" w:rsidRDefault="004E3021">
      <w:pPr>
        <w:ind w:firstLine="480"/>
        <w:sectPr w:rsidR="004E3021">
          <w:pgSz w:w="16839" w:h="11907" w:orient="landscape"/>
          <w:pgMar w:top="1440" w:right="1440" w:bottom="1440" w:left="1440" w:header="851" w:footer="992" w:gutter="0"/>
          <w:cols w:space="425"/>
          <w:docGrid w:type="lines" w:linePitch="326"/>
        </w:sectPr>
      </w:pPr>
    </w:p>
    <w:p w:rsidR="004E3021" w:rsidRDefault="00E576B8">
      <w:pPr>
        <w:widowControl/>
        <w:ind w:firstLineChars="0" w:firstLine="0"/>
        <w:jc w:val="center"/>
        <w:rPr>
          <w:rFonts w:eastAsia="黑体"/>
        </w:rPr>
      </w:pPr>
      <w:r>
        <w:rPr>
          <w:noProof/>
        </w:rPr>
        <w:lastRenderedPageBreak/>
        <w:drawing>
          <wp:inline distT="0" distB="0" distL="0" distR="0" wp14:anchorId="04F72007" wp14:editId="152A2350">
            <wp:extent cx="4589145" cy="3645084"/>
            <wp:effectExtent l="0" t="0" r="1905" b="0"/>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592792" cy="3647981"/>
                    </a:xfrm>
                    <a:prstGeom prst="rect">
                      <a:avLst/>
                    </a:prstGeom>
                  </pic:spPr>
                </pic:pic>
              </a:graphicData>
            </a:graphic>
          </wp:inline>
        </w:drawing>
      </w:r>
    </w:p>
    <w:p w:rsidR="004E3021" w:rsidRDefault="00606E48">
      <w:pPr>
        <w:widowControl/>
        <w:ind w:firstLineChars="0" w:firstLine="0"/>
        <w:jc w:val="center"/>
        <w:rPr>
          <w:rFonts w:eastAsia="黑体"/>
        </w:rPr>
      </w:pPr>
      <w:r>
        <w:rPr>
          <w:rFonts w:eastAsia="黑体" w:hint="eastAsia"/>
        </w:rPr>
        <w:t>图</w:t>
      </w:r>
      <w:r>
        <w:rPr>
          <w:rFonts w:eastAsia="黑体"/>
        </w:rPr>
        <w:t>5.1.5-</w:t>
      </w:r>
      <w:r w:rsidR="00C86F3B">
        <w:rPr>
          <w:rFonts w:eastAsia="黑体"/>
        </w:rPr>
        <w:t>1</w:t>
      </w:r>
      <w:r>
        <w:rPr>
          <w:rFonts w:eastAsia="黑体"/>
        </w:rPr>
        <w:t xml:space="preserve">  PM</w:t>
      </w:r>
      <w:r>
        <w:rPr>
          <w:rFonts w:eastAsia="黑体"/>
          <w:vertAlign w:val="subscript"/>
        </w:rPr>
        <w:t>10</w:t>
      </w:r>
      <w:r>
        <w:rPr>
          <w:rFonts w:eastAsia="黑体"/>
        </w:rPr>
        <w:t>日</w:t>
      </w:r>
      <w:r>
        <w:rPr>
          <w:rFonts w:eastAsia="黑体" w:hint="eastAsia"/>
        </w:rPr>
        <w:t>平均贡献</w:t>
      </w:r>
      <w:r>
        <w:rPr>
          <w:rFonts w:eastAsia="黑体"/>
        </w:rPr>
        <w:t>浓度</w:t>
      </w:r>
      <w:r>
        <w:rPr>
          <w:rFonts w:eastAsia="黑体" w:hint="eastAsia"/>
        </w:rPr>
        <w:t>分布图（</w:t>
      </w:r>
      <w:r>
        <w:rPr>
          <w:rFonts w:eastAsia="黑体" w:hint="eastAsia"/>
        </w:rPr>
        <w:t>mg/m</w:t>
      </w:r>
      <w:r>
        <w:rPr>
          <w:rFonts w:eastAsia="黑体" w:hint="eastAsia"/>
          <w:vertAlign w:val="superscript"/>
        </w:rPr>
        <w:t>3</w:t>
      </w:r>
      <w:r>
        <w:rPr>
          <w:rFonts w:eastAsia="黑体" w:hint="eastAsia"/>
        </w:rPr>
        <w:t>）</w:t>
      </w:r>
    </w:p>
    <w:p w:rsidR="004E3021" w:rsidRDefault="00E576B8">
      <w:pPr>
        <w:ind w:firstLineChars="0" w:firstLine="0"/>
        <w:jc w:val="center"/>
        <w:rPr>
          <w:rFonts w:eastAsia="黑体"/>
        </w:rPr>
      </w:pPr>
      <w:r>
        <w:rPr>
          <w:noProof/>
        </w:rPr>
        <w:drawing>
          <wp:inline distT="0" distB="0" distL="0" distR="0" wp14:anchorId="75F49C0B" wp14:editId="53FFE155">
            <wp:extent cx="4614897" cy="3635375"/>
            <wp:effectExtent l="0" t="0" r="0" b="3175"/>
            <wp:docPr id="921" name="图片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20520" cy="3639805"/>
                    </a:xfrm>
                    <a:prstGeom prst="rect">
                      <a:avLst/>
                    </a:prstGeom>
                  </pic:spPr>
                </pic:pic>
              </a:graphicData>
            </a:graphic>
          </wp:inline>
        </w:drawing>
      </w:r>
    </w:p>
    <w:p w:rsidR="004E3021" w:rsidRDefault="00606E48">
      <w:pPr>
        <w:spacing w:line="500" w:lineRule="exact"/>
        <w:ind w:firstLineChars="0" w:firstLine="0"/>
        <w:jc w:val="center"/>
        <w:rPr>
          <w:rFonts w:eastAsia="黑体"/>
        </w:rPr>
      </w:pPr>
      <w:r>
        <w:rPr>
          <w:rFonts w:eastAsia="黑体" w:hint="eastAsia"/>
        </w:rPr>
        <w:t>图</w:t>
      </w:r>
      <w:r>
        <w:rPr>
          <w:rFonts w:eastAsia="黑体"/>
        </w:rPr>
        <w:t>5.1.5-</w:t>
      </w:r>
      <w:r w:rsidR="00C86F3B">
        <w:rPr>
          <w:rFonts w:eastAsia="黑体"/>
        </w:rPr>
        <w:t>2</w:t>
      </w:r>
      <w:r>
        <w:rPr>
          <w:rFonts w:eastAsia="黑体"/>
        </w:rPr>
        <w:t xml:space="preserve">  PM</w:t>
      </w:r>
      <w:r>
        <w:rPr>
          <w:rFonts w:eastAsia="黑体"/>
          <w:vertAlign w:val="subscript"/>
        </w:rPr>
        <w:t>10</w:t>
      </w:r>
      <w:r>
        <w:rPr>
          <w:rFonts w:eastAsia="黑体"/>
        </w:rPr>
        <w:t xml:space="preserve"> </w:t>
      </w:r>
      <w:r>
        <w:rPr>
          <w:rFonts w:eastAsia="黑体" w:hint="eastAsia"/>
        </w:rPr>
        <w:t>年</w:t>
      </w:r>
      <w:r>
        <w:rPr>
          <w:rFonts w:eastAsia="黑体"/>
        </w:rPr>
        <w:t>均</w:t>
      </w:r>
      <w:r>
        <w:rPr>
          <w:rFonts w:eastAsia="黑体" w:hint="eastAsia"/>
        </w:rPr>
        <w:t>贡献</w:t>
      </w:r>
      <w:r>
        <w:rPr>
          <w:rFonts w:eastAsia="黑体"/>
        </w:rPr>
        <w:t>浓度</w:t>
      </w:r>
      <w:r>
        <w:rPr>
          <w:rFonts w:eastAsia="黑体" w:hint="eastAsia"/>
        </w:rPr>
        <w:t>分布图（</w:t>
      </w:r>
      <w:r>
        <w:rPr>
          <w:rFonts w:eastAsia="黑体" w:hint="eastAsia"/>
        </w:rPr>
        <w:t>mg/m</w:t>
      </w:r>
      <w:r>
        <w:rPr>
          <w:rFonts w:eastAsia="黑体" w:hint="eastAsia"/>
          <w:vertAlign w:val="superscript"/>
        </w:rPr>
        <w:t>3</w:t>
      </w:r>
      <w:r>
        <w:rPr>
          <w:rFonts w:eastAsia="黑体" w:hint="eastAsia"/>
        </w:rPr>
        <w:t>）</w:t>
      </w:r>
    </w:p>
    <w:p w:rsidR="004E3021" w:rsidRDefault="00E576B8">
      <w:pPr>
        <w:widowControl/>
        <w:ind w:firstLineChars="0" w:firstLine="0"/>
        <w:jc w:val="center"/>
        <w:rPr>
          <w:kern w:val="0"/>
        </w:rPr>
      </w:pPr>
      <w:r>
        <w:rPr>
          <w:noProof/>
        </w:rPr>
        <w:lastRenderedPageBreak/>
        <w:drawing>
          <wp:inline distT="0" distB="0" distL="0" distR="0" wp14:anchorId="64D0ADCF" wp14:editId="12BCEF2C">
            <wp:extent cx="4684395" cy="3760697"/>
            <wp:effectExtent l="0" t="0" r="1905" b="0"/>
            <wp:docPr id="922" name="图片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89164" cy="3764525"/>
                    </a:xfrm>
                    <a:prstGeom prst="rect">
                      <a:avLst/>
                    </a:prstGeom>
                  </pic:spPr>
                </pic:pic>
              </a:graphicData>
            </a:graphic>
          </wp:inline>
        </w:drawing>
      </w:r>
    </w:p>
    <w:p w:rsidR="004E3021" w:rsidRDefault="00606E48">
      <w:pPr>
        <w:spacing w:line="500" w:lineRule="exact"/>
        <w:ind w:firstLineChars="0" w:firstLine="0"/>
        <w:jc w:val="center"/>
        <w:rPr>
          <w:rFonts w:eastAsia="黑体"/>
        </w:rPr>
      </w:pPr>
      <w:r>
        <w:rPr>
          <w:rFonts w:eastAsia="黑体" w:hint="eastAsia"/>
        </w:rPr>
        <w:t>图</w:t>
      </w:r>
      <w:r>
        <w:rPr>
          <w:rFonts w:eastAsia="黑体"/>
        </w:rPr>
        <w:t>5.1.5-</w:t>
      </w:r>
      <w:r w:rsidR="00C86F3B">
        <w:rPr>
          <w:rFonts w:eastAsia="黑体"/>
        </w:rPr>
        <w:t xml:space="preserve">3  </w:t>
      </w:r>
      <w:r>
        <w:rPr>
          <w:rFonts w:eastAsia="黑体"/>
        </w:rPr>
        <w:t>PM</w:t>
      </w:r>
      <w:r>
        <w:rPr>
          <w:rFonts w:eastAsia="黑体"/>
          <w:vertAlign w:val="subscript"/>
        </w:rPr>
        <w:t>2.5</w:t>
      </w:r>
      <w:r>
        <w:rPr>
          <w:rFonts w:eastAsia="黑体"/>
        </w:rPr>
        <w:t>日</w:t>
      </w:r>
      <w:r>
        <w:rPr>
          <w:rFonts w:eastAsia="黑体" w:hint="eastAsia"/>
        </w:rPr>
        <w:t>平均贡献</w:t>
      </w:r>
      <w:r>
        <w:rPr>
          <w:rFonts w:eastAsia="黑体"/>
        </w:rPr>
        <w:t>浓度</w:t>
      </w:r>
      <w:r>
        <w:rPr>
          <w:rFonts w:eastAsia="黑体" w:hint="eastAsia"/>
        </w:rPr>
        <w:t>分布图（</w:t>
      </w:r>
      <w:r>
        <w:rPr>
          <w:rFonts w:eastAsia="黑体" w:hint="eastAsia"/>
        </w:rPr>
        <w:t>mg/m</w:t>
      </w:r>
      <w:r>
        <w:rPr>
          <w:rFonts w:eastAsia="黑体" w:hint="eastAsia"/>
          <w:vertAlign w:val="superscript"/>
        </w:rPr>
        <w:t>3</w:t>
      </w:r>
      <w:r>
        <w:rPr>
          <w:rFonts w:eastAsia="黑体" w:hint="eastAsia"/>
        </w:rPr>
        <w:t>）</w:t>
      </w:r>
    </w:p>
    <w:p w:rsidR="004E3021" w:rsidRDefault="00E576B8">
      <w:pPr>
        <w:ind w:firstLineChars="0" w:firstLine="0"/>
        <w:jc w:val="center"/>
        <w:rPr>
          <w:rFonts w:eastAsia="黑体"/>
        </w:rPr>
      </w:pPr>
      <w:r>
        <w:rPr>
          <w:noProof/>
        </w:rPr>
        <w:drawing>
          <wp:inline distT="0" distB="0" distL="0" distR="0" wp14:anchorId="70D96CB7" wp14:editId="387DD96D">
            <wp:extent cx="4636770" cy="3679829"/>
            <wp:effectExtent l="0" t="0" r="0" b="0"/>
            <wp:docPr id="923" name="图片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40680" cy="3682932"/>
                    </a:xfrm>
                    <a:prstGeom prst="rect">
                      <a:avLst/>
                    </a:prstGeom>
                  </pic:spPr>
                </pic:pic>
              </a:graphicData>
            </a:graphic>
          </wp:inline>
        </w:drawing>
      </w:r>
    </w:p>
    <w:p w:rsidR="004E3021" w:rsidRDefault="00606E48">
      <w:pPr>
        <w:spacing w:line="500" w:lineRule="exact"/>
        <w:ind w:firstLineChars="0" w:firstLine="0"/>
        <w:jc w:val="center"/>
        <w:rPr>
          <w:kern w:val="0"/>
        </w:rPr>
      </w:pPr>
      <w:r>
        <w:rPr>
          <w:rFonts w:eastAsia="黑体" w:hint="eastAsia"/>
        </w:rPr>
        <w:t>图</w:t>
      </w:r>
      <w:r>
        <w:rPr>
          <w:rFonts w:eastAsia="黑体"/>
        </w:rPr>
        <w:t>5.1.5-</w:t>
      </w:r>
      <w:r w:rsidR="00C86F3B">
        <w:rPr>
          <w:rFonts w:eastAsia="黑体"/>
        </w:rPr>
        <w:t>4</w:t>
      </w:r>
      <w:r>
        <w:rPr>
          <w:rFonts w:eastAsia="黑体"/>
        </w:rPr>
        <w:t xml:space="preserve">  PM</w:t>
      </w:r>
      <w:r>
        <w:rPr>
          <w:rFonts w:eastAsia="黑体"/>
          <w:vertAlign w:val="subscript"/>
        </w:rPr>
        <w:t>2.5</w:t>
      </w:r>
      <w:r>
        <w:rPr>
          <w:rFonts w:eastAsia="黑体"/>
        </w:rPr>
        <w:t xml:space="preserve"> </w:t>
      </w:r>
      <w:r>
        <w:rPr>
          <w:rFonts w:eastAsia="黑体" w:hint="eastAsia"/>
        </w:rPr>
        <w:t>年</w:t>
      </w:r>
      <w:r>
        <w:rPr>
          <w:rFonts w:eastAsia="黑体"/>
        </w:rPr>
        <w:t>均</w:t>
      </w:r>
      <w:r>
        <w:rPr>
          <w:rFonts w:eastAsia="黑体" w:hint="eastAsia"/>
        </w:rPr>
        <w:t>贡献</w:t>
      </w:r>
      <w:r>
        <w:rPr>
          <w:rFonts w:eastAsia="黑体"/>
        </w:rPr>
        <w:t>浓度</w:t>
      </w:r>
      <w:r>
        <w:rPr>
          <w:rFonts w:eastAsia="黑体" w:hint="eastAsia"/>
        </w:rPr>
        <w:t>分布图（</w:t>
      </w:r>
      <w:r>
        <w:rPr>
          <w:rFonts w:eastAsia="黑体" w:hint="eastAsia"/>
        </w:rPr>
        <w:t>mg/m</w:t>
      </w:r>
      <w:r>
        <w:rPr>
          <w:rFonts w:eastAsia="黑体" w:hint="eastAsia"/>
          <w:vertAlign w:val="superscript"/>
        </w:rPr>
        <w:t>3</w:t>
      </w:r>
      <w:r>
        <w:rPr>
          <w:rFonts w:eastAsia="黑体" w:hint="eastAsia"/>
        </w:rPr>
        <w:t>）</w:t>
      </w:r>
    </w:p>
    <w:p w:rsidR="004E3021" w:rsidRDefault="005A49DE">
      <w:pPr>
        <w:ind w:firstLineChars="0" w:firstLine="0"/>
        <w:jc w:val="center"/>
        <w:rPr>
          <w:rFonts w:eastAsia="黑体"/>
        </w:rPr>
      </w:pPr>
      <w:r>
        <w:rPr>
          <w:noProof/>
        </w:rPr>
        <w:lastRenderedPageBreak/>
        <w:drawing>
          <wp:inline distT="0" distB="0" distL="0" distR="0" wp14:anchorId="7B09A22B" wp14:editId="34A8FC46">
            <wp:extent cx="4598184" cy="3776553"/>
            <wp:effectExtent l="0" t="0" r="0" b="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04612" cy="3781832"/>
                    </a:xfrm>
                    <a:prstGeom prst="rect">
                      <a:avLst/>
                    </a:prstGeom>
                  </pic:spPr>
                </pic:pic>
              </a:graphicData>
            </a:graphic>
          </wp:inline>
        </w:drawing>
      </w:r>
    </w:p>
    <w:p w:rsidR="004E3021" w:rsidRDefault="00606E48">
      <w:pPr>
        <w:spacing w:line="500" w:lineRule="exact"/>
        <w:ind w:firstLineChars="0" w:firstLine="0"/>
        <w:jc w:val="center"/>
        <w:rPr>
          <w:rFonts w:eastAsia="黑体"/>
        </w:rPr>
      </w:pPr>
      <w:r>
        <w:rPr>
          <w:rFonts w:eastAsia="黑体" w:hint="eastAsia"/>
        </w:rPr>
        <w:t>图</w:t>
      </w:r>
      <w:r>
        <w:rPr>
          <w:rFonts w:eastAsia="黑体"/>
        </w:rPr>
        <w:t>5.1.5</w:t>
      </w:r>
      <w:r>
        <w:rPr>
          <w:rFonts w:eastAsia="黑体" w:hint="eastAsia"/>
        </w:rPr>
        <w:t>-</w:t>
      </w:r>
      <w:r w:rsidR="00C86F3B">
        <w:rPr>
          <w:rFonts w:eastAsia="黑体"/>
        </w:rPr>
        <w:t>5</w:t>
      </w:r>
      <w:r>
        <w:rPr>
          <w:rFonts w:eastAsia="黑体"/>
        </w:rPr>
        <w:t xml:space="preserve">  </w:t>
      </w:r>
      <w:r>
        <w:rPr>
          <w:rFonts w:eastAsia="黑体" w:hint="eastAsia"/>
        </w:rPr>
        <w:t>非甲烷总烃</w:t>
      </w:r>
      <w:r>
        <w:rPr>
          <w:rFonts w:eastAsia="黑体"/>
        </w:rPr>
        <w:t>1</w:t>
      </w:r>
      <w:r>
        <w:rPr>
          <w:rFonts w:eastAsia="黑体" w:hint="eastAsia"/>
        </w:rPr>
        <w:t>小时平均贡献</w:t>
      </w:r>
      <w:r>
        <w:rPr>
          <w:rFonts w:eastAsia="黑体"/>
        </w:rPr>
        <w:t>浓度</w:t>
      </w:r>
      <w:r>
        <w:rPr>
          <w:rFonts w:eastAsia="黑体" w:hint="eastAsia"/>
        </w:rPr>
        <w:t>分布图（</w:t>
      </w:r>
      <w:r>
        <w:rPr>
          <w:rFonts w:eastAsia="黑体" w:hint="eastAsia"/>
        </w:rPr>
        <w:t>mg/m</w:t>
      </w:r>
      <w:r>
        <w:rPr>
          <w:rFonts w:eastAsia="黑体" w:hint="eastAsia"/>
          <w:vertAlign w:val="superscript"/>
        </w:rPr>
        <w:t>3</w:t>
      </w:r>
      <w:r>
        <w:rPr>
          <w:rFonts w:eastAsia="黑体" w:hint="eastAsia"/>
        </w:rPr>
        <w:t>）</w:t>
      </w:r>
    </w:p>
    <w:p w:rsidR="004E3021" w:rsidRDefault="006F1053">
      <w:pPr>
        <w:ind w:firstLineChars="0" w:firstLine="0"/>
        <w:jc w:val="center"/>
        <w:rPr>
          <w:rFonts w:eastAsia="黑体"/>
        </w:rPr>
      </w:pPr>
      <w:r>
        <w:rPr>
          <w:noProof/>
        </w:rPr>
        <w:drawing>
          <wp:inline distT="0" distB="0" distL="0" distR="0" wp14:anchorId="1A91173F" wp14:editId="08573990">
            <wp:extent cx="4598670" cy="3649593"/>
            <wp:effectExtent l="0" t="0" r="0" b="8255"/>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03994" cy="3653818"/>
                    </a:xfrm>
                    <a:prstGeom prst="rect">
                      <a:avLst/>
                    </a:prstGeom>
                  </pic:spPr>
                </pic:pic>
              </a:graphicData>
            </a:graphic>
          </wp:inline>
        </w:drawing>
      </w:r>
    </w:p>
    <w:p w:rsidR="004E3021" w:rsidRDefault="00606E48">
      <w:pPr>
        <w:spacing w:line="500" w:lineRule="exact"/>
        <w:ind w:firstLineChars="0" w:firstLine="0"/>
        <w:jc w:val="center"/>
        <w:rPr>
          <w:rFonts w:eastAsia="黑体"/>
        </w:rPr>
      </w:pPr>
      <w:r>
        <w:rPr>
          <w:rFonts w:eastAsia="黑体" w:hint="eastAsia"/>
        </w:rPr>
        <w:t>图</w:t>
      </w:r>
      <w:r>
        <w:rPr>
          <w:rFonts w:eastAsia="黑体"/>
        </w:rPr>
        <w:t>5.1.5</w:t>
      </w:r>
      <w:r>
        <w:rPr>
          <w:rFonts w:eastAsia="黑体" w:hint="eastAsia"/>
        </w:rPr>
        <w:t>-</w:t>
      </w:r>
      <w:r w:rsidR="00C86F3B">
        <w:rPr>
          <w:rFonts w:eastAsia="黑体"/>
        </w:rPr>
        <w:t>6</w:t>
      </w:r>
      <w:r>
        <w:rPr>
          <w:rFonts w:eastAsia="黑体"/>
        </w:rPr>
        <w:t xml:space="preserve">  NH</w:t>
      </w:r>
      <w:r>
        <w:rPr>
          <w:rFonts w:eastAsia="黑体"/>
          <w:vertAlign w:val="subscript"/>
        </w:rPr>
        <w:t>3</w:t>
      </w:r>
      <w:r>
        <w:rPr>
          <w:rFonts w:eastAsia="黑体" w:hint="eastAsia"/>
        </w:rPr>
        <w:t>小时平均贡献</w:t>
      </w:r>
      <w:r>
        <w:rPr>
          <w:rFonts w:eastAsia="黑体"/>
        </w:rPr>
        <w:t>浓度</w:t>
      </w:r>
      <w:r>
        <w:rPr>
          <w:rFonts w:eastAsia="黑体" w:hint="eastAsia"/>
        </w:rPr>
        <w:t>分布图（</w:t>
      </w:r>
      <w:r>
        <w:rPr>
          <w:rFonts w:eastAsia="黑体" w:hint="eastAsia"/>
        </w:rPr>
        <w:t>mg/m</w:t>
      </w:r>
      <w:r>
        <w:rPr>
          <w:rFonts w:eastAsia="黑体" w:hint="eastAsia"/>
          <w:vertAlign w:val="superscript"/>
        </w:rPr>
        <w:t>3</w:t>
      </w:r>
      <w:r>
        <w:rPr>
          <w:rFonts w:eastAsia="黑体" w:hint="eastAsia"/>
        </w:rPr>
        <w:t>）</w:t>
      </w:r>
    </w:p>
    <w:p w:rsidR="004E3021" w:rsidRDefault="0034255C">
      <w:pPr>
        <w:ind w:firstLineChars="0" w:firstLine="0"/>
        <w:jc w:val="center"/>
        <w:rPr>
          <w:rFonts w:eastAsia="黑体"/>
        </w:rPr>
      </w:pPr>
      <w:r>
        <w:rPr>
          <w:noProof/>
        </w:rPr>
        <w:lastRenderedPageBreak/>
        <w:drawing>
          <wp:inline distT="0" distB="0" distL="0" distR="0" wp14:anchorId="6BF9F320" wp14:editId="7E03DAC1">
            <wp:extent cx="4724569" cy="3724910"/>
            <wp:effectExtent l="0" t="0" r="0" b="8890"/>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732458" cy="3731130"/>
                    </a:xfrm>
                    <a:prstGeom prst="rect">
                      <a:avLst/>
                    </a:prstGeom>
                  </pic:spPr>
                </pic:pic>
              </a:graphicData>
            </a:graphic>
          </wp:inline>
        </w:drawing>
      </w:r>
    </w:p>
    <w:p w:rsidR="004E3021" w:rsidRDefault="00606E48">
      <w:pPr>
        <w:pStyle w:val="afffff4"/>
      </w:pPr>
      <w:r>
        <w:rPr>
          <w:rFonts w:hint="eastAsia"/>
        </w:rPr>
        <w:t>图</w:t>
      </w:r>
      <w:r>
        <w:t>5.1.5</w:t>
      </w:r>
      <w:r>
        <w:rPr>
          <w:rFonts w:hint="eastAsia"/>
        </w:rPr>
        <w:t>-</w:t>
      </w:r>
      <w:r>
        <w:t>7</w:t>
      </w:r>
      <w:r w:rsidR="00C86F3B">
        <w:t xml:space="preserve"> </w:t>
      </w:r>
      <w:r>
        <w:t xml:space="preserve"> </w:t>
      </w:r>
      <w:r>
        <w:rPr>
          <w:rFonts w:hint="eastAsia"/>
        </w:rPr>
        <w:t>甲醇小时平均贡献</w:t>
      </w:r>
      <w:r>
        <w:t>浓度</w:t>
      </w:r>
      <w:r>
        <w:rPr>
          <w:rFonts w:hint="eastAsia"/>
        </w:rPr>
        <w:t>分布图（</w:t>
      </w:r>
      <w:r>
        <w:rPr>
          <w:rFonts w:hint="eastAsia"/>
        </w:rPr>
        <w:t>mg/m</w:t>
      </w:r>
      <w:r>
        <w:rPr>
          <w:rFonts w:hint="eastAsia"/>
          <w:vertAlign w:val="superscript"/>
        </w:rPr>
        <w:t>3</w:t>
      </w:r>
      <w:r>
        <w:rPr>
          <w:rFonts w:hint="eastAsia"/>
        </w:rPr>
        <w:t>）</w:t>
      </w:r>
    </w:p>
    <w:p w:rsidR="004E3021" w:rsidRDefault="0034255C">
      <w:pPr>
        <w:ind w:firstLineChars="0" w:firstLine="0"/>
        <w:jc w:val="center"/>
      </w:pPr>
      <w:r>
        <w:rPr>
          <w:noProof/>
        </w:rPr>
        <w:drawing>
          <wp:inline distT="0" distB="0" distL="0" distR="0" wp14:anchorId="63BDFC50" wp14:editId="0ED67817">
            <wp:extent cx="4664207" cy="3924300"/>
            <wp:effectExtent l="0" t="0" r="3175" b="0"/>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667718" cy="3927254"/>
                    </a:xfrm>
                    <a:prstGeom prst="rect">
                      <a:avLst/>
                    </a:prstGeom>
                  </pic:spPr>
                </pic:pic>
              </a:graphicData>
            </a:graphic>
          </wp:inline>
        </w:drawing>
      </w:r>
    </w:p>
    <w:p w:rsidR="004E3021" w:rsidRDefault="00606E48">
      <w:pPr>
        <w:pStyle w:val="afffff4"/>
      </w:pPr>
      <w:r>
        <w:rPr>
          <w:rFonts w:hint="eastAsia"/>
        </w:rPr>
        <w:t>图</w:t>
      </w:r>
      <w:r>
        <w:t>5.1.5</w:t>
      </w:r>
      <w:r>
        <w:rPr>
          <w:rFonts w:hint="eastAsia"/>
        </w:rPr>
        <w:t>-</w:t>
      </w:r>
      <w:r>
        <w:t xml:space="preserve">8 </w:t>
      </w:r>
      <w:r w:rsidR="00C86F3B">
        <w:t xml:space="preserve"> </w:t>
      </w:r>
      <w:r>
        <w:rPr>
          <w:rFonts w:hint="eastAsia"/>
        </w:rPr>
        <w:t>甲醇日平均贡献</w:t>
      </w:r>
      <w:r>
        <w:t>浓度</w:t>
      </w:r>
      <w:r>
        <w:rPr>
          <w:rFonts w:hint="eastAsia"/>
        </w:rPr>
        <w:t>分布图（</w:t>
      </w:r>
      <w:r>
        <w:rPr>
          <w:rFonts w:hint="eastAsia"/>
        </w:rPr>
        <w:t>mg/m</w:t>
      </w:r>
      <w:r>
        <w:rPr>
          <w:rFonts w:hint="eastAsia"/>
          <w:vertAlign w:val="superscript"/>
        </w:rPr>
        <w:t>3</w:t>
      </w:r>
      <w:r>
        <w:rPr>
          <w:rFonts w:hint="eastAsia"/>
        </w:rPr>
        <w:t>）</w:t>
      </w:r>
    </w:p>
    <w:p w:rsidR="004E3021" w:rsidRDefault="004E3021">
      <w:pPr>
        <w:widowControl/>
        <w:ind w:firstLineChars="0" w:firstLine="0"/>
        <w:rPr>
          <w:kern w:val="0"/>
        </w:rPr>
        <w:sectPr w:rsidR="004E3021">
          <w:pgSz w:w="11907" w:h="16840"/>
          <w:pgMar w:top="1440" w:right="1440" w:bottom="1440" w:left="1440" w:header="851" w:footer="992" w:gutter="0"/>
          <w:cols w:space="720"/>
          <w:docGrid w:type="lines" w:linePitch="326"/>
        </w:sectPr>
      </w:pPr>
    </w:p>
    <w:p w:rsidR="00114D21" w:rsidRDefault="00114D21" w:rsidP="00114D21">
      <w:pPr>
        <w:ind w:firstLine="480"/>
      </w:pPr>
      <w:bookmarkStart w:id="353" w:name="_Toc101135863"/>
      <w:bookmarkStart w:id="354" w:name="_Toc100784031"/>
      <w:bookmarkStart w:id="355" w:name="_Toc108662640"/>
      <w:r>
        <w:rPr>
          <w:rFonts w:hint="eastAsia"/>
        </w:rPr>
        <w:lastRenderedPageBreak/>
        <w:t>项目区域属于环境空气质量不达标区域，报告评价区域环境质量的整体变化情况，即当实施区域削减方案后预测范围的年平均质量浓度变化</w:t>
      </w:r>
      <w:r>
        <w:rPr>
          <w:rFonts w:hint="eastAsia"/>
        </w:rPr>
        <w:t>k</w:t>
      </w:r>
      <w:r>
        <w:rPr>
          <w:rFonts w:hint="eastAsia"/>
        </w:rPr>
        <w:t>≤</w:t>
      </w:r>
      <w:r>
        <w:rPr>
          <w:rFonts w:hint="eastAsia"/>
        </w:rPr>
        <w:t>-20%</w:t>
      </w:r>
      <w:r>
        <w:rPr>
          <w:rFonts w:hint="eastAsia"/>
        </w:rPr>
        <w:t>时，则判定项目建设后区域环境质量达到整体改善。</w:t>
      </w:r>
    </w:p>
    <w:p w:rsidR="00114D21" w:rsidRDefault="00114D21" w:rsidP="00114D21">
      <w:pPr>
        <w:ind w:firstLineChars="0" w:firstLine="0"/>
        <w:jc w:val="center"/>
      </w:pPr>
      <w:r>
        <w:rPr>
          <w:noProof/>
        </w:rPr>
        <w:drawing>
          <wp:inline distT="0" distB="0" distL="0" distR="0" wp14:anchorId="5DA724B4" wp14:editId="7037FF94">
            <wp:extent cx="3714750" cy="428625"/>
            <wp:effectExtent l="19050" t="0" r="0" b="0"/>
            <wp:docPr id="31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 name="图片 5"/>
                    <pic:cNvPicPr>
                      <a:picLocks noChangeAspect="1" noChangeArrowheads="1"/>
                    </pic:cNvPicPr>
                  </pic:nvPicPr>
                  <pic:blipFill>
                    <a:blip r:embed="rId55"/>
                    <a:srcRect/>
                    <a:stretch>
                      <a:fillRect/>
                    </a:stretch>
                  </pic:blipFill>
                  <pic:spPr>
                    <a:xfrm>
                      <a:off x="0" y="0"/>
                      <a:ext cx="3714750" cy="428625"/>
                    </a:xfrm>
                    <a:prstGeom prst="rect">
                      <a:avLst/>
                    </a:prstGeom>
                    <a:noFill/>
                    <a:ln w="9525">
                      <a:noFill/>
                      <a:miter lim="800000"/>
                      <a:headEnd/>
                      <a:tailEnd/>
                    </a:ln>
                  </pic:spPr>
                </pic:pic>
              </a:graphicData>
            </a:graphic>
          </wp:inline>
        </w:drawing>
      </w:r>
    </w:p>
    <w:p w:rsidR="00114D21" w:rsidRDefault="00114D21" w:rsidP="00114D21">
      <w:pPr>
        <w:ind w:firstLine="480"/>
      </w:pPr>
      <w:r>
        <w:rPr>
          <w:rFonts w:hint="eastAsia"/>
        </w:rPr>
        <w:t>式中：</w:t>
      </w:r>
      <w:r>
        <w:t>k——</w:t>
      </w:r>
      <w:r>
        <w:rPr>
          <w:rFonts w:hint="eastAsia"/>
        </w:rPr>
        <w:t>预测范围内年平均质量浓度变化率，</w:t>
      </w:r>
      <w:r>
        <w:t>%</w:t>
      </w:r>
      <w:r>
        <w:rPr>
          <w:rFonts w:hint="eastAsia"/>
        </w:rPr>
        <w:t>；</w:t>
      </w:r>
    </w:p>
    <w:p w:rsidR="00114D21" w:rsidRDefault="00114D21" w:rsidP="00114D21">
      <w:pPr>
        <w:ind w:firstLine="480"/>
      </w:pPr>
      <w:r>
        <w:rPr>
          <w:noProof/>
        </w:rPr>
        <w:drawing>
          <wp:inline distT="0" distB="0" distL="0" distR="0" wp14:anchorId="2F54D58A" wp14:editId="6490E3E0">
            <wp:extent cx="685800" cy="323850"/>
            <wp:effectExtent l="19050" t="0" r="0" b="0"/>
            <wp:docPr id="31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图片 4"/>
                    <pic:cNvPicPr>
                      <a:picLocks noChangeAspect="1" noChangeArrowheads="1"/>
                    </pic:cNvPicPr>
                  </pic:nvPicPr>
                  <pic:blipFill>
                    <a:blip r:embed="rId56"/>
                    <a:srcRect/>
                    <a:stretch>
                      <a:fillRect/>
                    </a:stretch>
                  </pic:blipFill>
                  <pic:spPr>
                    <a:xfrm>
                      <a:off x="0" y="0"/>
                      <a:ext cx="685800" cy="323850"/>
                    </a:xfrm>
                    <a:prstGeom prst="rect">
                      <a:avLst/>
                    </a:prstGeom>
                    <a:noFill/>
                    <a:ln w="9525">
                      <a:noFill/>
                      <a:miter lim="800000"/>
                      <a:headEnd/>
                      <a:tailEnd/>
                    </a:ln>
                  </pic:spPr>
                </pic:pic>
              </a:graphicData>
            </a:graphic>
          </wp:inline>
        </w:drawing>
      </w:r>
      <w:r>
        <w:t>——</w:t>
      </w:r>
      <w:r>
        <w:rPr>
          <w:rFonts w:hint="eastAsia"/>
        </w:rPr>
        <w:t>本项目对所有网格点的年平均质量浓度贡献值的算术平均值，</w:t>
      </w:r>
      <w:r>
        <w:t>μg/m</w:t>
      </w:r>
      <w:r>
        <w:rPr>
          <w:vertAlign w:val="superscript"/>
        </w:rPr>
        <w:t>3</w:t>
      </w:r>
      <w:r>
        <w:rPr>
          <w:rFonts w:hint="eastAsia"/>
        </w:rPr>
        <w:t>；</w:t>
      </w:r>
    </w:p>
    <w:p w:rsidR="00114D21" w:rsidRDefault="00114D21" w:rsidP="00114D21">
      <w:pPr>
        <w:ind w:firstLine="480"/>
      </w:pPr>
      <w:r>
        <w:rPr>
          <w:noProof/>
        </w:rPr>
        <w:drawing>
          <wp:inline distT="0" distB="0" distL="0" distR="0" wp14:anchorId="2582F2ED" wp14:editId="2BAE2CD0">
            <wp:extent cx="742950" cy="352425"/>
            <wp:effectExtent l="19050" t="0" r="0" b="0"/>
            <wp:docPr id="31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 name="图片 3"/>
                    <pic:cNvPicPr>
                      <a:picLocks noChangeAspect="1" noChangeArrowheads="1"/>
                    </pic:cNvPicPr>
                  </pic:nvPicPr>
                  <pic:blipFill>
                    <a:blip r:embed="rId57"/>
                    <a:srcRect/>
                    <a:stretch>
                      <a:fillRect/>
                    </a:stretch>
                  </pic:blipFill>
                  <pic:spPr>
                    <a:xfrm>
                      <a:off x="0" y="0"/>
                      <a:ext cx="742950" cy="352425"/>
                    </a:xfrm>
                    <a:prstGeom prst="rect">
                      <a:avLst/>
                    </a:prstGeom>
                    <a:noFill/>
                    <a:ln w="9525">
                      <a:noFill/>
                      <a:miter lim="800000"/>
                      <a:headEnd/>
                      <a:tailEnd/>
                    </a:ln>
                  </pic:spPr>
                </pic:pic>
              </a:graphicData>
            </a:graphic>
          </wp:inline>
        </w:drawing>
      </w:r>
      <w:r>
        <w:t>——</w:t>
      </w:r>
      <w:r>
        <w:rPr>
          <w:rFonts w:hint="eastAsia"/>
        </w:rPr>
        <w:t>区域削减源对所有网格点的年平均质量浓度贡献值的算术平均值，</w:t>
      </w:r>
      <w:r>
        <w:t>μg/m</w:t>
      </w:r>
      <w:r>
        <w:rPr>
          <w:vertAlign w:val="superscript"/>
        </w:rPr>
        <w:t>3</w:t>
      </w:r>
      <w:r>
        <w:rPr>
          <w:rFonts w:hint="eastAsia"/>
        </w:rPr>
        <w:t>。</w:t>
      </w:r>
    </w:p>
    <w:p w:rsidR="00114D21" w:rsidRDefault="00BF4359" w:rsidP="00114D21">
      <w:pPr>
        <w:ind w:firstLine="480"/>
      </w:pPr>
      <w:r w:rsidRPr="00BF4359">
        <w:rPr>
          <w:rFonts w:hint="eastAsia"/>
        </w:rPr>
        <w:t>本项目区域削减替代量来源为安徽八一化工股份有限公司退市进园削减量</w:t>
      </w:r>
      <w:r>
        <w:rPr>
          <w:rFonts w:hint="eastAsia"/>
        </w:rPr>
        <w:t>颗粒物</w:t>
      </w:r>
      <w:r w:rsidRPr="00BF4359">
        <w:t>0.68kg/h</w:t>
      </w:r>
      <w:r w:rsidRPr="008545A8">
        <w:t>。</w:t>
      </w:r>
    </w:p>
    <w:p w:rsidR="00114D21" w:rsidRDefault="00114D21" w:rsidP="00114D21">
      <w:pPr>
        <w:pStyle w:val="afffff4"/>
      </w:pPr>
      <w:r>
        <w:rPr>
          <w:rFonts w:hint="eastAsia"/>
        </w:rPr>
        <w:t>表</w:t>
      </w:r>
      <w:r>
        <w:t xml:space="preserve">5.1.5-5  </w:t>
      </w:r>
      <w:r>
        <w:t>现状</w:t>
      </w:r>
      <w:r>
        <w:rPr>
          <w:rFonts w:hint="eastAsia"/>
        </w:rPr>
        <w:t>超标</w:t>
      </w:r>
      <w:r>
        <w:t>污染物</w:t>
      </w:r>
      <w:r>
        <w:rPr>
          <w:rFonts w:hint="eastAsia"/>
        </w:rPr>
        <w:t>年平均质量浓度增量预测结果表</w:t>
      </w:r>
    </w:p>
    <w:tbl>
      <w:tblPr>
        <w:tblStyle w:val="afff"/>
        <w:tblW w:w="5000" w:type="pct"/>
        <w:tblLook w:val="04A0" w:firstRow="1" w:lastRow="0" w:firstColumn="1" w:lastColumn="0" w:noHBand="0" w:noVBand="1"/>
      </w:tblPr>
      <w:tblGrid>
        <w:gridCol w:w="946"/>
        <w:gridCol w:w="2762"/>
        <w:gridCol w:w="3154"/>
        <w:gridCol w:w="2165"/>
      </w:tblGrid>
      <w:tr w:rsidR="00CD011F" w:rsidRPr="00BF4359" w:rsidTr="00CD011F">
        <w:trPr>
          <w:trHeight w:val="20"/>
        </w:trPr>
        <w:tc>
          <w:tcPr>
            <w:tcW w:w="524" w:type="pct"/>
            <w:vAlign w:val="center"/>
          </w:tcPr>
          <w:p w:rsidR="00CD011F" w:rsidRPr="00BA49E8" w:rsidRDefault="00CD011F" w:rsidP="00BA49E8">
            <w:pPr>
              <w:ind w:firstLineChars="0" w:firstLine="0"/>
              <w:jc w:val="center"/>
              <w:rPr>
                <w:rFonts w:ascii="Times New Roman" w:hAnsi="Times New Roman"/>
                <w:b/>
                <w:kern w:val="0"/>
                <w:sz w:val="21"/>
                <w:szCs w:val="21"/>
              </w:rPr>
            </w:pPr>
            <w:r w:rsidRPr="00BA49E8">
              <w:rPr>
                <w:rFonts w:ascii="Times New Roman" w:hAnsi="Times New Roman"/>
                <w:b/>
                <w:kern w:val="0"/>
                <w:sz w:val="21"/>
                <w:szCs w:val="21"/>
              </w:rPr>
              <w:t>污染物</w:t>
            </w:r>
          </w:p>
        </w:tc>
        <w:tc>
          <w:tcPr>
            <w:tcW w:w="1530" w:type="pct"/>
            <w:vAlign w:val="center"/>
          </w:tcPr>
          <w:p w:rsidR="00CD011F" w:rsidRPr="00BA49E8" w:rsidRDefault="00CD011F" w:rsidP="00BA49E8">
            <w:pPr>
              <w:pStyle w:val="afffffff2"/>
              <w:rPr>
                <w:rFonts w:ascii="Times New Roman" w:hAnsi="Times New Roman" w:cs="Times New Roman"/>
                <w:b/>
                <w:kern w:val="0"/>
                <w:sz w:val="21"/>
                <w:szCs w:val="21"/>
              </w:rPr>
            </w:pPr>
            <w:r w:rsidRPr="00BA49E8">
              <w:rPr>
                <w:rFonts w:ascii="Times New Roman" w:hAnsi="Times New Roman" w:cs="Times New Roman"/>
                <w:b/>
                <w:kern w:val="0"/>
                <w:sz w:val="21"/>
                <w:szCs w:val="21"/>
              </w:rPr>
              <w:t>本项目所有网格点年均质量浓度贡献值的算术平均值</w:t>
            </w:r>
            <w:r w:rsidRPr="00BA49E8">
              <w:rPr>
                <w:rFonts w:ascii="Times New Roman" w:hAnsi="Times New Roman" w:cs="Times New Roman"/>
                <w:b/>
                <w:kern w:val="0"/>
                <w:sz w:val="21"/>
                <w:szCs w:val="21"/>
              </w:rPr>
              <w:t>/</w:t>
            </w:r>
            <w:r w:rsidRPr="00BA49E8">
              <w:rPr>
                <w:rFonts w:ascii="Times New Roman" w:hAnsi="Times New Roman" w:cs="Times New Roman"/>
                <w:b/>
                <w:kern w:val="0"/>
                <w:sz w:val="21"/>
                <w:szCs w:val="21"/>
              </w:rPr>
              <w:t>（</w:t>
            </w:r>
            <w:r w:rsidRPr="00BA49E8">
              <w:rPr>
                <w:rFonts w:ascii="Times New Roman" w:hAnsi="Times New Roman" w:cs="Times New Roman"/>
                <w:b/>
                <w:kern w:val="0"/>
                <w:sz w:val="21"/>
                <w:szCs w:val="21"/>
              </w:rPr>
              <w:t>μg/m</w:t>
            </w:r>
            <w:r w:rsidRPr="00BA49E8">
              <w:rPr>
                <w:rFonts w:ascii="Times New Roman" w:hAnsi="Times New Roman" w:cs="Times New Roman"/>
                <w:b/>
                <w:kern w:val="0"/>
                <w:sz w:val="21"/>
                <w:szCs w:val="21"/>
                <w:vertAlign w:val="superscript"/>
              </w:rPr>
              <w:t>3</w:t>
            </w:r>
            <w:r w:rsidRPr="00BA49E8">
              <w:rPr>
                <w:rFonts w:ascii="Times New Roman" w:hAnsi="Times New Roman" w:cs="Times New Roman"/>
                <w:b/>
                <w:kern w:val="0"/>
                <w:sz w:val="21"/>
                <w:szCs w:val="21"/>
              </w:rPr>
              <w:t>）</w:t>
            </w:r>
          </w:p>
        </w:tc>
        <w:tc>
          <w:tcPr>
            <w:tcW w:w="1747" w:type="pct"/>
            <w:vAlign w:val="center"/>
          </w:tcPr>
          <w:p w:rsidR="00CD011F" w:rsidRPr="00BA49E8" w:rsidRDefault="00CD011F" w:rsidP="00BA49E8">
            <w:pPr>
              <w:pStyle w:val="afffffff2"/>
              <w:rPr>
                <w:rFonts w:ascii="Times New Roman" w:hAnsi="Times New Roman" w:cs="Times New Roman"/>
                <w:b/>
                <w:kern w:val="0"/>
                <w:sz w:val="21"/>
                <w:szCs w:val="21"/>
              </w:rPr>
            </w:pPr>
            <w:r w:rsidRPr="00BA49E8">
              <w:rPr>
                <w:rFonts w:ascii="Times New Roman" w:hAnsi="Times New Roman" w:cs="Times New Roman"/>
                <w:b/>
                <w:kern w:val="0"/>
                <w:sz w:val="21"/>
                <w:szCs w:val="21"/>
              </w:rPr>
              <w:t>区域削减源所有网格点年均质量浓度贡献值的算术平均值</w:t>
            </w:r>
            <w:r w:rsidRPr="00BA49E8">
              <w:rPr>
                <w:rFonts w:ascii="Times New Roman" w:hAnsi="Times New Roman" w:cs="Times New Roman"/>
                <w:b/>
                <w:kern w:val="0"/>
                <w:sz w:val="21"/>
                <w:szCs w:val="21"/>
              </w:rPr>
              <w:t>/</w:t>
            </w:r>
            <w:r w:rsidRPr="00BA49E8">
              <w:rPr>
                <w:rFonts w:ascii="Times New Roman" w:hAnsi="Times New Roman" w:cs="Times New Roman"/>
                <w:b/>
                <w:kern w:val="0"/>
                <w:sz w:val="21"/>
                <w:szCs w:val="21"/>
              </w:rPr>
              <w:t>（</w:t>
            </w:r>
            <w:r w:rsidRPr="00BA49E8">
              <w:rPr>
                <w:rFonts w:ascii="Times New Roman" w:hAnsi="Times New Roman" w:cs="Times New Roman"/>
                <w:b/>
                <w:kern w:val="0"/>
                <w:sz w:val="21"/>
                <w:szCs w:val="21"/>
              </w:rPr>
              <w:t>μg/m</w:t>
            </w:r>
            <w:r w:rsidRPr="00BA49E8">
              <w:rPr>
                <w:rFonts w:ascii="Times New Roman" w:hAnsi="Times New Roman" w:cs="Times New Roman"/>
                <w:b/>
                <w:kern w:val="0"/>
                <w:sz w:val="21"/>
                <w:szCs w:val="21"/>
                <w:vertAlign w:val="superscript"/>
              </w:rPr>
              <w:t>3</w:t>
            </w:r>
            <w:r w:rsidRPr="00BA49E8">
              <w:rPr>
                <w:rFonts w:ascii="Times New Roman" w:hAnsi="Times New Roman" w:cs="Times New Roman"/>
                <w:b/>
                <w:kern w:val="0"/>
                <w:sz w:val="21"/>
                <w:szCs w:val="21"/>
              </w:rPr>
              <w:t>）</w:t>
            </w:r>
          </w:p>
        </w:tc>
        <w:tc>
          <w:tcPr>
            <w:tcW w:w="1199" w:type="pct"/>
            <w:vAlign w:val="center"/>
          </w:tcPr>
          <w:p w:rsidR="00CD011F" w:rsidRPr="00BA49E8" w:rsidRDefault="00CD011F" w:rsidP="00BA49E8">
            <w:pPr>
              <w:pStyle w:val="afffffff2"/>
              <w:rPr>
                <w:rFonts w:ascii="Times New Roman" w:hAnsi="Times New Roman" w:cs="Times New Roman"/>
                <w:b/>
                <w:kern w:val="0"/>
                <w:sz w:val="21"/>
                <w:szCs w:val="21"/>
              </w:rPr>
            </w:pPr>
            <w:r w:rsidRPr="00BA49E8">
              <w:rPr>
                <w:rFonts w:ascii="Times New Roman" w:hAnsi="Times New Roman" w:cs="Times New Roman"/>
                <w:b/>
                <w:kern w:val="0"/>
                <w:sz w:val="21"/>
                <w:szCs w:val="21"/>
              </w:rPr>
              <w:t>预测范围年平均质量浓度变化率</w:t>
            </w:r>
            <w:r w:rsidRPr="00BA49E8">
              <w:rPr>
                <w:rFonts w:ascii="Times New Roman" w:hAnsi="Times New Roman" w:cs="Times New Roman"/>
                <w:b/>
                <w:kern w:val="0"/>
                <w:sz w:val="21"/>
                <w:szCs w:val="21"/>
              </w:rPr>
              <w:t>/%</w:t>
            </w:r>
          </w:p>
        </w:tc>
      </w:tr>
      <w:tr w:rsidR="00CD011F" w:rsidRPr="00BF4359" w:rsidTr="00CD011F">
        <w:trPr>
          <w:trHeight w:val="20"/>
        </w:trPr>
        <w:tc>
          <w:tcPr>
            <w:tcW w:w="524" w:type="pct"/>
            <w:vAlign w:val="center"/>
          </w:tcPr>
          <w:p w:rsidR="00CD011F" w:rsidRPr="00BF4359" w:rsidRDefault="00CD011F" w:rsidP="00BA49E8">
            <w:pPr>
              <w:pStyle w:val="afffffff2"/>
              <w:rPr>
                <w:rFonts w:ascii="Times New Roman" w:hAnsi="Times New Roman" w:cs="Times New Roman"/>
                <w:kern w:val="0"/>
                <w:sz w:val="21"/>
                <w:szCs w:val="21"/>
              </w:rPr>
            </w:pPr>
            <w:r w:rsidRPr="00BF4359">
              <w:rPr>
                <w:rFonts w:ascii="Times New Roman" w:hAnsi="Times New Roman" w:cs="Times New Roman"/>
                <w:kern w:val="0"/>
                <w:sz w:val="21"/>
                <w:szCs w:val="21"/>
              </w:rPr>
              <w:t>PM</w:t>
            </w:r>
            <w:r w:rsidRPr="00BF4359">
              <w:rPr>
                <w:rFonts w:ascii="Times New Roman" w:hAnsi="Times New Roman" w:cs="Times New Roman"/>
                <w:kern w:val="0"/>
                <w:sz w:val="21"/>
                <w:szCs w:val="21"/>
                <w:vertAlign w:val="subscript"/>
              </w:rPr>
              <w:t>2.5</w:t>
            </w:r>
          </w:p>
        </w:tc>
        <w:tc>
          <w:tcPr>
            <w:tcW w:w="1530" w:type="pct"/>
            <w:vAlign w:val="center"/>
          </w:tcPr>
          <w:p w:rsidR="00CD011F" w:rsidRPr="00BF4359" w:rsidRDefault="00CD011F" w:rsidP="00BA49E8">
            <w:pPr>
              <w:pStyle w:val="afffffff2"/>
              <w:rPr>
                <w:rFonts w:ascii="Times New Roman" w:hAnsi="Times New Roman" w:cs="Times New Roman"/>
                <w:kern w:val="0"/>
                <w:sz w:val="21"/>
                <w:szCs w:val="21"/>
              </w:rPr>
            </w:pPr>
            <w:r w:rsidRPr="00BF4359">
              <w:rPr>
                <w:rFonts w:ascii="Times New Roman" w:hAnsi="Times New Roman" w:cs="Times New Roman"/>
                <w:sz w:val="21"/>
                <w:szCs w:val="21"/>
              </w:rPr>
              <w:t>1.33E-0</w:t>
            </w:r>
            <w:r>
              <w:rPr>
                <w:rFonts w:ascii="Times New Roman" w:hAnsi="Times New Roman" w:cs="Times New Roman"/>
                <w:sz w:val="21"/>
                <w:szCs w:val="21"/>
              </w:rPr>
              <w:t>2</w:t>
            </w:r>
          </w:p>
        </w:tc>
        <w:tc>
          <w:tcPr>
            <w:tcW w:w="1747" w:type="pct"/>
            <w:vAlign w:val="center"/>
          </w:tcPr>
          <w:p w:rsidR="00CD011F" w:rsidRPr="00BF4359" w:rsidRDefault="00CD011F" w:rsidP="00BA49E8">
            <w:pPr>
              <w:pStyle w:val="afffffff2"/>
              <w:rPr>
                <w:rFonts w:ascii="Times New Roman" w:hAnsi="Times New Roman" w:cs="Times New Roman"/>
                <w:kern w:val="0"/>
                <w:sz w:val="21"/>
                <w:szCs w:val="21"/>
              </w:rPr>
            </w:pPr>
            <w:r w:rsidRPr="00BF4359">
              <w:rPr>
                <w:rFonts w:ascii="Times New Roman" w:hAnsi="Times New Roman" w:cs="Times New Roman"/>
                <w:color w:val="000000"/>
                <w:sz w:val="21"/>
                <w:szCs w:val="21"/>
              </w:rPr>
              <w:t>2.35E-0</w:t>
            </w:r>
            <w:r>
              <w:rPr>
                <w:rFonts w:ascii="Times New Roman" w:hAnsi="Times New Roman" w:cs="Times New Roman"/>
                <w:color w:val="000000"/>
                <w:sz w:val="21"/>
                <w:szCs w:val="21"/>
              </w:rPr>
              <w:t>1</w:t>
            </w:r>
          </w:p>
        </w:tc>
        <w:tc>
          <w:tcPr>
            <w:tcW w:w="1199" w:type="pct"/>
            <w:vAlign w:val="center"/>
          </w:tcPr>
          <w:p w:rsidR="00CD011F" w:rsidRPr="00BF4359" w:rsidRDefault="00CD011F" w:rsidP="00BA49E8">
            <w:pPr>
              <w:pStyle w:val="afffffff2"/>
              <w:rPr>
                <w:rFonts w:ascii="Times New Roman" w:hAnsi="Times New Roman" w:cs="Times New Roman"/>
                <w:kern w:val="0"/>
                <w:sz w:val="21"/>
                <w:szCs w:val="21"/>
              </w:rPr>
            </w:pPr>
            <w:r w:rsidRPr="00BF4359">
              <w:rPr>
                <w:rFonts w:ascii="Times New Roman" w:hAnsi="Times New Roman" w:cs="Times New Roman"/>
                <w:kern w:val="0"/>
                <w:sz w:val="21"/>
                <w:szCs w:val="21"/>
              </w:rPr>
              <w:t>-</w:t>
            </w:r>
            <w:r>
              <w:rPr>
                <w:rFonts w:ascii="Times New Roman" w:hAnsi="Times New Roman" w:cs="Times New Roman"/>
                <w:kern w:val="0"/>
                <w:sz w:val="21"/>
                <w:szCs w:val="21"/>
              </w:rPr>
              <w:t>94.34</w:t>
            </w:r>
          </w:p>
        </w:tc>
      </w:tr>
    </w:tbl>
    <w:p w:rsidR="004E3021" w:rsidRDefault="00606E48">
      <w:pPr>
        <w:pStyle w:val="afffffffffffffffff4"/>
      </w:pPr>
      <w:bookmarkStart w:id="356" w:name="_Toc221088795"/>
      <w:bookmarkStart w:id="357" w:name="_Toc221501010"/>
      <w:r>
        <w:rPr>
          <w:rFonts w:hint="eastAsia"/>
        </w:rPr>
        <w:t>5.1.</w:t>
      </w:r>
      <w:r>
        <w:t>6</w:t>
      </w:r>
      <w:r>
        <w:rPr>
          <w:rFonts w:hint="eastAsia"/>
        </w:rPr>
        <w:t>非正常工况下的环境空气质量影响预测</w:t>
      </w:r>
      <w:bookmarkEnd w:id="353"/>
      <w:bookmarkEnd w:id="354"/>
      <w:bookmarkEnd w:id="355"/>
      <w:bookmarkEnd w:id="356"/>
      <w:bookmarkEnd w:id="357"/>
    </w:p>
    <w:p w:rsidR="004E3021" w:rsidRDefault="00606E48">
      <w:pPr>
        <w:ind w:firstLine="480"/>
      </w:pPr>
      <w:r>
        <w:rPr>
          <w:rFonts w:ascii="宋体" w:hAnsi="宋体" w:hint="eastAsia"/>
        </w:rPr>
        <w:t>本次预测采用</w:t>
      </w:r>
      <w:r>
        <w:t>AERMOD</w:t>
      </w:r>
      <w:r>
        <w:rPr>
          <w:rFonts w:ascii="宋体" w:hAnsi="宋体"/>
        </w:rPr>
        <w:t>模式预测非正常</w:t>
      </w:r>
      <w:r>
        <w:rPr>
          <w:rFonts w:ascii="宋体" w:hAnsi="宋体" w:hint="eastAsia"/>
        </w:rPr>
        <w:t>工况同时发生时</w:t>
      </w:r>
      <w:r>
        <w:rPr>
          <w:rFonts w:ascii="宋体" w:hAnsi="宋体"/>
        </w:rPr>
        <w:t>排放废气排放浓度，见表</w:t>
      </w:r>
      <w:r>
        <w:t>5.1.6-1</w:t>
      </w:r>
      <w:r>
        <w:rPr>
          <w:rFonts w:ascii="宋体" w:hAnsi="宋体"/>
        </w:rPr>
        <w:t>。由表可见</w:t>
      </w:r>
      <w:r w:rsidR="00D06D5F">
        <w:rPr>
          <w:rFonts w:ascii="宋体" w:hAnsi="宋体"/>
        </w:rPr>
        <w:t>，在非正常情况下，各污染物对外环境影响贡献值较正常工况明显增加</w:t>
      </w:r>
      <w:r>
        <w:rPr>
          <w:rFonts w:ascii="宋体" w:hAnsi="宋体"/>
        </w:rPr>
        <w:t>。需要避免事故发生，加强预警，同时加强废气处理设施的维护和管理，及时更换易损部件，确保废气治理措施的正常运转，杜绝废气处理设施故障发生。</w:t>
      </w:r>
    </w:p>
    <w:p w:rsidR="004E3021" w:rsidRDefault="00606E48">
      <w:pPr>
        <w:pStyle w:val="afffff4"/>
        <w:ind w:firstLine="480"/>
      </w:pPr>
      <w:r>
        <w:rPr>
          <w:rFonts w:ascii="黑体" w:hAnsi="黑体" w:hint="eastAsia"/>
        </w:rPr>
        <w:t>表</w:t>
      </w:r>
      <w:r>
        <w:t xml:space="preserve">5.1.6-1  </w:t>
      </w:r>
      <w:r>
        <w:rPr>
          <w:rFonts w:ascii="黑体" w:hAnsi="黑体"/>
        </w:rPr>
        <w:t>非正常工况大气环境影响预测结果</w:t>
      </w:r>
    </w:p>
    <w:tbl>
      <w:tblPr>
        <w:tblStyle w:val="1ffffffd"/>
        <w:tblW w:w="5000" w:type="pct"/>
        <w:tblLook w:val="04A0" w:firstRow="1" w:lastRow="0" w:firstColumn="1" w:lastColumn="0" w:noHBand="0" w:noVBand="1"/>
      </w:tblPr>
      <w:tblGrid>
        <w:gridCol w:w="539"/>
        <w:gridCol w:w="1018"/>
        <w:gridCol w:w="1500"/>
        <w:gridCol w:w="658"/>
        <w:gridCol w:w="1457"/>
        <w:gridCol w:w="1277"/>
        <w:gridCol w:w="1136"/>
        <w:gridCol w:w="904"/>
        <w:gridCol w:w="538"/>
      </w:tblGrid>
      <w:tr w:rsidR="00D06D5F" w:rsidRPr="00E27FE7" w:rsidTr="00CD011F">
        <w:trPr>
          <w:trHeight w:val="20"/>
        </w:trPr>
        <w:tc>
          <w:tcPr>
            <w:tcW w:w="299" w:type="pct"/>
            <w:noWrap/>
            <w:vAlign w:val="center"/>
          </w:tcPr>
          <w:p w:rsidR="004E3021" w:rsidRPr="00E27FE7" w:rsidRDefault="00606E48" w:rsidP="00E27FE7">
            <w:pPr>
              <w:pStyle w:val="afffffff2"/>
              <w:rPr>
                <w:rFonts w:ascii="Times New Roman" w:hAnsi="Times New Roman" w:cs="Times New Roman"/>
                <w:b/>
                <w:kern w:val="0"/>
                <w:sz w:val="21"/>
                <w:szCs w:val="21"/>
              </w:rPr>
            </w:pPr>
            <w:r w:rsidRPr="00E27FE7">
              <w:rPr>
                <w:rFonts w:ascii="Times New Roman" w:hAnsi="Times New Roman" w:cs="Times New Roman"/>
                <w:b/>
                <w:kern w:val="0"/>
                <w:sz w:val="21"/>
                <w:szCs w:val="21"/>
              </w:rPr>
              <w:t>工况</w:t>
            </w:r>
          </w:p>
        </w:tc>
        <w:tc>
          <w:tcPr>
            <w:tcW w:w="564" w:type="pct"/>
            <w:noWrap/>
            <w:vAlign w:val="center"/>
          </w:tcPr>
          <w:p w:rsidR="004E3021" w:rsidRPr="00E27FE7" w:rsidRDefault="00606E48" w:rsidP="00E27FE7">
            <w:pPr>
              <w:pStyle w:val="afffffff2"/>
              <w:rPr>
                <w:rFonts w:ascii="Times New Roman" w:hAnsi="Times New Roman" w:cs="Times New Roman"/>
                <w:b/>
                <w:kern w:val="0"/>
                <w:sz w:val="21"/>
                <w:szCs w:val="21"/>
              </w:rPr>
            </w:pPr>
            <w:r w:rsidRPr="00E27FE7">
              <w:rPr>
                <w:rFonts w:ascii="Times New Roman" w:hAnsi="Times New Roman" w:cs="Times New Roman"/>
                <w:b/>
                <w:kern w:val="0"/>
                <w:sz w:val="21"/>
                <w:szCs w:val="21"/>
              </w:rPr>
              <w:t>污染物</w:t>
            </w:r>
          </w:p>
        </w:tc>
        <w:tc>
          <w:tcPr>
            <w:tcW w:w="394" w:type="pct"/>
            <w:noWrap/>
            <w:vAlign w:val="center"/>
          </w:tcPr>
          <w:p w:rsidR="004E3021" w:rsidRPr="00E27FE7" w:rsidRDefault="00606E48" w:rsidP="00D06D5F">
            <w:pPr>
              <w:pStyle w:val="afffffff2"/>
              <w:rPr>
                <w:rFonts w:ascii="Times New Roman" w:hAnsi="Times New Roman" w:cs="Times New Roman"/>
                <w:b/>
                <w:kern w:val="0"/>
                <w:sz w:val="21"/>
                <w:szCs w:val="21"/>
              </w:rPr>
            </w:pPr>
            <w:r w:rsidRPr="00E27FE7">
              <w:rPr>
                <w:rFonts w:ascii="Times New Roman" w:hAnsi="Times New Roman" w:cs="Times New Roman"/>
                <w:b/>
                <w:kern w:val="0"/>
                <w:sz w:val="21"/>
                <w:szCs w:val="21"/>
              </w:rPr>
              <w:t>敏感点名称</w:t>
            </w:r>
          </w:p>
        </w:tc>
        <w:tc>
          <w:tcPr>
            <w:tcW w:w="801" w:type="pct"/>
            <w:noWrap/>
            <w:vAlign w:val="center"/>
          </w:tcPr>
          <w:p w:rsidR="004E3021" w:rsidRPr="00E27FE7" w:rsidRDefault="00606E48" w:rsidP="00E27FE7">
            <w:pPr>
              <w:pStyle w:val="afffffff2"/>
              <w:rPr>
                <w:rFonts w:ascii="Times New Roman" w:hAnsi="Times New Roman" w:cs="Times New Roman"/>
                <w:b/>
                <w:kern w:val="0"/>
                <w:sz w:val="21"/>
                <w:szCs w:val="21"/>
              </w:rPr>
            </w:pPr>
            <w:r w:rsidRPr="00E27FE7">
              <w:rPr>
                <w:rFonts w:ascii="Times New Roman" w:hAnsi="Times New Roman" w:cs="Times New Roman"/>
                <w:b/>
                <w:kern w:val="0"/>
                <w:sz w:val="21"/>
                <w:szCs w:val="21"/>
              </w:rPr>
              <w:t>浓度</w:t>
            </w:r>
          </w:p>
          <w:p w:rsidR="004E3021" w:rsidRPr="00E27FE7" w:rsidRDefault="00606E48" w:rsidP="00E27FE7">
            <w:pPr>
              <w:pStyle w:val="afffffff2"/>
              <w:rPr>
                <w:rFonts w:ascii="Times New Roman" w:hAnsi="Times New Roman" w:cs="Times New Roman"/>
                <w:b/>
                <w:kern w:val="0"/>
                <w:sz w:val="21"/>
                <w:szCs w:val="21"/>
              </w:rPr>
            </w:pPr>
            <w:r w:rsidRPr="00E27FE7">
              <w:rPr>
                <w:rFonts w:ascii="Times New Roman" w:hAnsi="Times New Roman" w:cs="Times New Roman"/>
                <w:b/>
                <w:kern w:val="0"/>
                <w:sz w:val="21"/>
                <w:szCs w:val="21"/>
              </w:rPr>
              <w:t>类型</w:t>
            </w:r>
          </w:p>
        </w:tc>
        <w:tc>
          <w:tcPr>
            <w:tcW w:w="807" w:type="pct"/>
            <w:noWrap/>
            <w:vAlign w:val="center"/>
          </w:tcPr>
          <w:p w:rsidR="004E3021" w:rsidRPr="00E27FE7" w:rsidRDefault="00606E48" w:rsidP="00E27FE7">
            <w:pPr>
              <w:pStyle w:val="afffffff2"/>
              <w:rPr>
                <w:rFonts w:ascii="Times New Roman" w:hAnsi="Times New Roman" w:cs="Times New Roman"/>
                <w:b/>
                <w:kern w:val="0"/>
                <w:sz w:val="21"/>
                <w:szCs w:val="21"/>
              </w:rPr>
            </w:pPr>
            <w:r w:rsidRPr="00E27FE7">
              <w:rPr>
                <w:rFonts w:ascii="Times New Roman" w:hAnsi="Times New Roman" w:cs="Times New Roman"/>
                <w:b/>
                <w:kern w:val="0"/>
                <w:sz w:val="21"/>
                <w:szCs w:val="21"/>
              </w:rPr>
              <w:t>浓度增量</w:t>
            </w:r>
            <w:r w:rsidRPr="00E27FE7">
              <w:rPr>
                <w:rFonts w:ascii="Times New Roman" w:hAnsi="Times New Roman" w:cs="Times New Roman"/>
                <w:b/>
                <w:kern w:val="0"/>
                <w:sz w:val="21"/>
                <w:szCs w:val="21"/>
              </w:rPr>
              <w:t>/(mg/m</w:t>
            </w:r>
            <w:r w:rsidRPr="00E27FE7">
              <w:rPr>
                <w:rFonts w:ascii="Times New Roman" w:hAnsi="Times New Roman" w:cs="Times New Roman"/>
                <w:b/>
                <w:kern w:val="0"/>
                <w:sz w:val="21"/>
                <w:szCs w:val="21"/>
                <w:vertAlign w:val="superscript"/>
              </w:rPr>
              <w:t>3</w:t>
            </w:r>
            <w:r w:rsidRPr="00E27FE7">
              <w:rPr>
                <w:rFonts w:ascii="Times New Roman" w:hAnsi="Times New Roman" w:cs="Times New Roman"/>
                <w:b/>
                <w:kern w:val="0"/>
                <w:sz w:val="21"/>
                <w:szCs w:val="21"/>
              </w:rPr>
              <w:t>)</w:t>
            </w:r>
          </w:p>
        </w:tc>
        <w:tc>
          <w:tcPr>
            <w:tcW w:w="707" w:type="pct"/>
            <w:noWrap/>
            <w:vAlign w:val="center"/>
          </w:tcPr>
          <w:p w:rsidR="004E3021" w:rsidRPr="00E27FE7" w:rsidRDefault="00606E48" w:rsidP="00E27FE7">
            <w:pPr>
              <w:pStyle w:val="afffffff2"/>
              <w:rPr>
                <w:rFonts w:ascii="Times New Roman" w:hAnsi="Times New Roman" w:cs="Times New Roman"/>
                <w:b/>
                <w:kern w:val="0"/>
                <w:sz w:val="21"/>
                <w:szCs w:val="21"/>
              </w:rPr>
            </w:pPr>
            <w:r w:rsidRPr="00E27FE7">
              <w:rPr>
                <w:rFonts w:ascii="Times New Roman" w:hAnsi="Times New Roman" w:cs="Times New Roman"/>
                <w:b/>
                <w:kern w:val="0"/>
                <w:sz w:val="21"/>
                <w:szCs w:val="21"/>
              </w:rPr>
              <w:t>出现时间</w:t>
            </w:r>
          </w:p>
          <w:p w:rsidR="004E3021" w:rsidRPr="00E27FE7" w:rsidRDefault="00606E48" w:rsidP="00E27FE7">
            <w:pPr>
              <w:pStyle w:val="afffffff2"/>
              <w:rPr>
                <w:rFonts w:ascii="Times New Roman" w:hAnsi="Times New Roman" w:cs="Times New Roman"/>
                <w:b/>
                <w:kern w:val="0"/>
                <w:sz w:val="21"/>
                <w:szCs w:val="21"/>
              </w:rPr>
            </w:pPr>
            <w:r w:rsidRPr="00E27FE7">
              <w:rPr>
                <w:rFonts w:ascii="Times New Roman" w:hAnsi="Times New Roman" w:cs="Times New Roman"/>
                <w:b/>
                <w:kern w:val="0"/>
                <w:sz w:val="21"/>
                <w:szCs w:val="21"/>
              </w:rPr>
              <w:t>/YYMMDDHH</w:t>
            </w:r>
          </w:p>
        </w:tc>
        <w:tc>
          <w:tcPr>
            <w:tcW w:w="629" w:type="pct"/>
            <w:noWrap/>
            <w:vAlign w:val="center"/>
          </w:tcPr>
          <w:p w:rsidR="004E3021" w:rsidRPr="00E27FE7" w:rsidRDefault="00606E48" w:rsidP="00E27FE7">
            <w:pPr>
              <w:pStyle w:val="afffffff2"/>
              <w:rPr>
                <w:rFonts w:ascii="Times New Roman" w:hAnsi="Times New Roman" w:cs="Times New Roman"/>
                <w:b/>
                <w:kern w:val="0"/>
                <w:sz w:val="21"/>
                <w:szCs w:val="21"/>
              </w:rPr>
            </w:pPr>
            <w:r w:rsidRPr="00E27FE7">
              <w:rPr>
                <w:rFonts w:ascii="Times New Roman" w:hAnsi="Times New Roman" w:cs="Times New Roman"/>
                <w:b/>
                <w:kern w:val="0"/>
                <w:sz w:val="21"/>
                <w:szCs w:val="21"/>
              </w:rPr>
              <w:t>评价</w:t>
            </w:r>
          </w:p>
          <w:p w:rsidR="004E3021" w:rsidRPr="00E27FE7" w:rsidRDefault="00606E48" w:rsidP="00E27FE7">
            <w:pPr>
              <w:pStyle w:val="afffffff2"/>
              <w:rPr>
                <w:rFonts w:ascii="Times New Roman" w:hAnsi="Times New Roman" w:cs="Times New Roman"/>
                <w:b/>
                <w:kern w:val="0"/>
                <w:sz w:val="21"/>
                <w:szCs w:val="21"/>
              </w:rPr>
            </w:pPr>
            <w:r w:rsidRPr="00E27FE7">
              <w:rPr>
                <w:rFonts w:ascii="Times New Roman" w:hAnsi="Times New Roman" w:cs="Times New Roman"/>
                <w:b/>
                <w:kern w:val="0"/>
                <w:sz w:val="21"/>
                <w:szCs w:val="21"/>
              </w:rPr>
              <w:t>标准</w:t>
            </w:r>
            <w:r w:rsidRPr="00E27FE7">
              <w:rPr>
                <w:rFonts w:ascii="Times New Roman" w:hAnsi="Times New Roman" w:cs="Times New Roman"/>
                <w:b/>
                <w:kern w:val="0"/>
                <w:sz w:val="21"/>
                <w:szCs w:val="21"/>
              </w:rPr>
              <w:t>/(mg/m</w:t>
            </w:r>
            <w:r w:rsidRPr="00E27FE7">
              <w:rPr>
                <w:rFonts w:ascii="Times New Roman" w:hAnsi="Times New Roman" w:cs="Times New Roman"/>
                <w:b/>
                <w:kern w:val="0"/>
                <w:sz w:val="21"/>
                <w:szCs w:val="21"/>
                <w:vertAlign w:val="superscript"/>
              </w:rPr>
              <w:t>3</w:t>
            </w:r>
            <w:r w:rsidRPr="00E27FE7">
              <w:rPr>
                <w:rFonts w:ascii="Times New Roman" w:hAnsi="Times New Roman" w:cs="Times New Roman"/>
                <w:b/>
                <w:kern w:val="0"/>
                <w:sz w:val="21"/>
                <w:szCs w:val="21"/>
              </w:rPr>
              <w:t>)</w:t>
            </w:r>
          </w:p>
        </w:tc>
        <w:tc>
          <w:tcPr>
            <w:tcW w:w="501" w:type="pct"/>
            <w:noWrap/>
            <w:vAlign w:val="center"/>
          </w:tcPr>
          <w:p w:rsidR="004E3021" w:rsidRPr="00E27FE7" w:rsidRDefault="00606E48" w:rsidP="00E27FE7">
            <w:pPr>
              <w:pStyle w:val="afffffff2"/>
              <w:rPr>
                <w:rFonts w:ascii="Times New Roman" w:hAnsi="Times New Roman" w:cs="Times New Roman"/>
                <w:b/>
                <w:kern w:val="0"/>
                <w:sz w:val="21"/>
                <w:szCs w:val="21"/>
              </w:rPr>
            </w:pPr>
            <w:r w:rsidRPr="00E27FE7">
              <w:rPr>
                <w:rFonts w:ascii="Times New Roman" w:hAnsi="Times New Roman" w:cs="Times New Roman"/>
                <w:b/>
                <w:kern w:val="0"/>
                <w:sz w:val="21"/>
                <w:szCs w:val="21"/>
              </w:rPr>
              <w:t>占标率</w:t>
            </w:r>
            <w:r w:rsidRPr="00E27FE7">
              <w:rPr>
                <w:rFonts w:ascii="Times New Roman" w:hAnsi="Times New Roman" w:cs="Times New Roman"/>
                <w:b/>
                <w:kern w:val="0"/>
                <w:sz w:val="21"/>
                <w:szCs w:val="21"/>
              </w:rPr>
              <w:t>/%</w:t>
            </w:r>
          </w:p>
        </w:tc>
        <w:tc>
          <w:tcPr>
            <w:tcW w:w="298" w:type="pct"/>
            <w:noWrap/>
            <w:vAlign w:val="center"/>
          </w:tcPr>
          <w:p w:rsidR="004E3021" w:rsidRPr="00E27FE7" w:rsidRDefault="00606E48" w:rsidP="00E27FE7">
            <w:pPr>
              <w:pStyle w:val="afffffff2"/>
              <w:rPr>
                <w:rFonts w:ascii="Times New Roman" w:hAnsi="Times New Roman" w:cs="Times New Roman"/>
                <w:b/>
                <w:kern w:val="0"/>
                <w:sz w:val="21"/>
                <w:szCs w:val="21"/>
              </w:rPr>
            </w:pPr>
            <w:r w:rsidRPr="00E27FE7">
              <w:rPr>
                <w:rFonts w:ascii="Times New Roman" w:hAnsi="Times New Roman" w:cs="Times New Roman"/>
                <w:b/>
                <w:kern w:val="0"/>
                <w:sz w:val="21"/>
                <w:szCs w:val="21"/>
              </w:rPr>
              <w:t>是否</w:t>
            </w:r>
          </w:p>
          <w:p w:rsidR="004E3021" w:rsidRPr="00E27FE7" w:rsidRDefault="00606E48" w:rsidP="00E27FE7">
            <w:pPr>
              <w:pStyle w:val="afffffff2"/>
              <w:rPr>
                <w:rFonts w:ascii="Times New Roman" w:hAnsi="Times New Roman" w:cs="Times New Roman"/>
                <w:b/>
                <w:kern w:val="0"/>
                <w:sz w:val="21"/>
                <w:szCs w:val="21"/>
              </w:rPr>
            </w:pPr>
            <w:r w:rsidRPr="00E27FE7">
              <w:rPr>
                <w:rFonts w:ascii="Times New Roman" w:hAnsi="Times New Roman" w:cs="Times New Roman"/>
                <w:b/>
                <w:kern w:val="0"/>
                <w:sz w:val="21"/>
                <w:szCs w:val="21"/>
              </w:rPr>
              <w:t>超标</w:t>
            </w:r>
          </w:p>
        </w:tc>
      </w:tr>
      <w:tr w:rsidR="00D06D5F" w:rsidRPr="00E27FE7" w:rsidTr="00CD011F">
        <w:trPr>
          <w:trHeight w:val="20"/>
        </w:trPr>
        <w:tc>
          <w:tcPr>
            <w:tcW w:w="299" w:type="pct"/>
            <w:vMerge w:val="restart"/>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非正常</w:t>
            </w:r>
            <w:r w:rsidRPr="00E27FE7">
              <w:rPr>
                <w:rFonts w:ascii="Times New Roman" w:hAnsi="Times New Roman" w:cs="Times New Roman"/>
                <w:kern w:val="0"/>
                <w:sz w:val="21"/>
                <w:szCs w:val="21"/>
              </w:rPr>
              <w:lastRenderedPageBreak/>
              <w:t>工况</w:t>
            </w:r>
          </w:p>
        </w:tc>
        <w:tc>
          <w:tcPr>
            <w:tcW w:w="564" w:type="pct"/>
            <w:vMerge w:val="restar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lastRenderedPageBreak/>
              <w:t>PM</w:t>
            </w:r>
            <w:r w:rsidRPr="00E27FE7">
              <w:rPr>
                <w:rFonts w:ascii="Times New Roman" w:hAnsi="Times New Roman" w:cs="Times New Roman"/>
                <w:kern w:val="0"/>
                <w:sz w:val="21"/>
                <w:szCs w:val="21"/>
                <w:vertAlign w:val="subscript"/>
              </w:rPr>
              <w:t>10</w:t>
            </w: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三铺村</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3.54E-02</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23051519</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4.50E-01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7.867</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汪邢村（</w:t>
            </w:r>
            <w:r w:rsidRPr="00240B63">
              <w:rPr>
                <w:rFonts w:ascii="Times New Roman" w:hAnsi="Times New Roman" w:cs="Times New Roman"/>
                <w:kern w:val="0"/>
                <w:sz w:val="21"/>
                <w:szCs w:val="21"/>
              </w:rPr>
              <w:t>高王家</w:t>
            </w:r>
            <w:r>
              <w:rPr>
                <w:rFonts w:ascii="Times New Roman" w:hAnsi="Times New Roman" w:cs="Times New Roman" w:hint="eastAsia"/>
                <w:kern w:val="0"/>
                <w:sz w:val="21"/>
                <w:szCs w:val="21"/>
              </w:rPr>
              <w:t>）</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4.03E-02</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23063021</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4.50E-01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8.956</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曹吴村（</w:t>
            </w:r>
            <w:r w:rsidRPr="00240B63">
              <w:rPr>
                <w:rFonts w:ascii="Times New Roman" w:hAnsi="Times New Roman" w:cs="Times New Roman"/>
                <w:kern w:val="0"/>
                <w:sz w:val="21"/>
                <w:szCs w:val="21"/>
              </w:rPr>
              <w:t>邓庙</w:t>
            </w:r>
            <w:r>
              <w:rPr>
                <w:rFonts w:ascii="Times New Roman" w:hAnsi="Times New Roman" w:cs="Times New Roman" w:hint="eastAsia"/>
                <w:kern w:val="0"/>
                <w:sz w:val="21"/>
                <w:szCs w:val="21"/>
              </w:rPr>
              <w:t>）</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3.33E-02</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23081221</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4.50E-01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7.4</w:t>
            </w:r>
            <w:r>
              <w:rPr>
                <w:rFonts w:ascii="Times New Roman" w:hAnsi="Times New Roman" w:cs="Times New Roman"/>
                <w:kern w:val="0"/>
                <w:sz w:val="21"/>
                <w:szCs w:val="21"/>
              </w:rPr>
              <w:t>00</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李洼</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4.12E-02</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23070701</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4.50E-01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9.156</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cs="Times New Roman"/>
                <w:kern w:val="0"/>
                <w:sz w:val="21"/>
                <w:szCs w:val="21"/>
              </w:rPr>
            </w:pPr>
          </w:p>
        </w:tc>
        <w:tc>
          <w:tcPr>
            <w:tcW w:w="564" w:type="pct"/>
            <w:vMerge/>
            <w:noWrap/>
            <w:vAlign w:val="center"/>
          </w:tcPr>
          <w:p w:rsidR="00D06D5F" w:rsidRPr="00E27FE7" w:rsidRDefault="00D06D5F" w:rsidP="00D06D5F">
            <w:pPr>
              <w:pStyle w:val="afffffff2"/>
              <w:rPr>
                <w:rFonts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汤陈村</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4.31E-02</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23071824</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4.50E-01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9.578</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后沈家</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3.20E-02</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23091207</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4.50E-01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7.111</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网格</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1.84E-01</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23110217</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4.50E-01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40.889</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val="restar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PM</w:t>
            </w:r>
            <w:r w:rsidRPr="00E27FE7">
              <w:rPr>
                <w:rFonts w:ascii="Times New Roman" w:hAnsi="Times New Roman" w:cs="Times New Roman"/>
                <w:kern w:val="0"/>
                <w:sz w:val="21"/>
                <w:szCs w:val="21"/>
                <w:vertAlign w:val="subscript"/>
              </w:rPr>
              <w:t>2.5</w:t>
            </w: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三铺村</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1.77E-02</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23051519</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2.25E-01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7.867</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汪邢村（</w:t>
            </w:r>
            <w:r w:rsidRPr="00240B63">
              <w:rPr>
                <w:rFonts w:ascii="Times New Roman" w:hAnsi="Times New Roman" w:cs="Times New Roman"/>
                <w:kern w:val="0"/>
                <w:sz w:val="21"/>
                <w:szCs w:val="21"/>
              </w:rPr>
              <w:t>高王家</w:t>
            </w:r>
            <w:r>
              <w:rPr>
                <w:rFonts w:ascii="Times New Roman" w:hAnsi="Times New Roman" w:cs="Times New Roman" w:hint="eastAsia"/>
                <w:kern w:val="0"/>
                <w:sz w:val="21"/>
                <w:szCs w:val="21"/>
              </w:rPr>
              <w:t>）</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2.01E-02</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23063021</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2.25E-01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8.933</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9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曹吴村（</w:t>
            </w:r>
            <w:r w:rsidRPr="00240B63">
              <w:rPr>
                <w:rFonts w:ascii="Times New Roman" w:hAnsi="Times New Roman" w:cs="Times New Roman"/>
                <w:kern w:val="0"/>
                <w:sz w:val="21"/>
                <w:szCs w:val="21"/>
              </w:rPr>
              <w:t>邓庙</w:t>
            </w:r>
            <w:r>
              <w:rPr>
                <w:rFonts w:ascii="Times New Roman" w:hAnsi="Times New Roman" w:cs="Times New Roman" w:hint="eastAsia"/>
                <w:kern w:val="0"/>
                <w:sz w:val="21"/>
                <w:szCs w:val="21"/>
              </w:rPr>
              <w:t>）</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1.66E-02</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23081221</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2.25E-01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7.378</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李洼</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2.06E-02</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23070701</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2.25E-01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9.156</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cs="Times New Roman"/>
                <w:kern w:val="0"/>
                <w:sz w:val="21"/>
                <w:szCs w:val="21"/>
              </w:rPr>
            </w:pPr>
          </w:p>
        </w:tc>
        <w:tc>
          <w:tcPr>
            <w:tcW w:w="564" w:type="pct"/>
            <w:vMerge/>
            <w:noWrap/>
            <w:vAlign w:val="center"/>
          </w:tcPr>
          <w:p w:rsidR="00D06D5F" w:rsidRPr="00E27FE7" w:rsidRDefault="00D06D5F" w:rsidP="00D06D5F">
            <w:pPr>
              <w:pStyle w:val="afffffff2"/>
              <w:rPr>
                <w:rFonts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汤陈村</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2.15E-02</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23071824</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2.25E-01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9.556</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后沈家</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1.60E-02</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23091207</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2.25E-01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7.111</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网格</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9.21E-02</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23110217</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2.25E-01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40.933</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val="restar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甲醇</w:t>
            </w: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三铺村</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1.53E-03</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23051619</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3.00E+00</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0.051</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汪邢村（</w:t>
            </w:r>
            <w:r w:rsidRPr="00240B63">
              <w:rPr>
                <w:rFonts w:ascii="Times New Roman" w:hAnsi="Times New Roman" w:cs="Times New Roman"/>
                <w:kern w:val="0"/>
                <w:sz w:val="21"/>
                <w:szCs w:val="21"/>
              </w:rPr>
              <w:t>高王家</w:t>
            </w:r>
            <w:r>
              <w:rPr>
                <w:rFonts w:ascii="Times New Roman" w:hAnsi="Times New Roman" w:cs="Times New Roman" w:hint="eastAsia"/>
                <w:kern w:val="0"/>
                <w:sz w:val="21"/>
                <w:szCs w:val="21"/>
              </w:rPr>
              <w:t>）</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1.20E-03</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23010316</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3.00E+00</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0.04</w:t>
            </w:r>
            <w:r>
              <w:rPr>
                <w:rFonts w:ascii="Times New Roman" w:hAnsi="Times New Roman" w:cs="Times New Roman"/>
                <w:kern w:val="0"/>
                <w:sz w:val="21"/>
                <w:szCs w:val="21"/>
              </w:rPr>
              <w:t>0</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曹吴村（</w:t>
            </w:r>
            <w:r w:rsidRPr="00240B63">
              <w:rPr>
                <w:rFonts w:ascii="Times New Roman" w:hAnsi="Times New Roman" w:cs="Times New Roman"/>
                <w:kern w:val="0"/>
                <w:sz w:val="21"/>
                <w:szCs w:val="21"/>
              </w:rPr>
              <w:t>邓庙</w:t>
            </w:r>
            <w:r>
              <w:rPr>
                <w:rFonts w:ascii="Times New Roman" w:hAnsi="Times New Roman" w:cs="Times New Roman" w:hint="eastAsia"/>
                <w:kern w:val="0"/>
                <w:sz w:val="21"/>
                <w:szCs w:val="21"/>
              </w:rPr>
              <w:t>）</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6.81E-04</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23021609</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3.00E+00</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0.02</w:t>
            </w:r>
            <w:r>
              <w:rPr>
                <w:rFonts w:ascii="Times New Roman" w:hAnsi="Times New Roman" w:cs="Times New Roman"/>
                <w:kern w:val="0"/>
                <w:sz w:val="21"/>
                <w:szCs w:val="21"/>
              </w:rPr>
              <w:t>3</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李洼</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1.03E-03</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23060119</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3.00E+00</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0.03</w:t>
            </w:r>
            <w:r>
              <w:rPr>
                <w:rFonts w:ascii="Times New Roman" w:hAnsi="Times New Roman" w:cs="Times New Roman"/>
                <w:kern w:val="0"/>
                <w:sz w:val="21"/>
                <w:szCs w:val="21"/>
              </w:rPr>
              <w:t>4</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cs="Times New Roman"/>
                <w:kern w:val="0"/>
                <w:sz w:val="21"/>
                <w:szCs w:val="21"/>
              </w:rPr>
            </w:pPr>
          </w:p>
        </w:tc>
        <w:tc>
          <w:tcPr>
            <w:tcW w:w="564" w:type="pct"/>
            <w:vMerge/>
            <w:noWrap/>
            <w:vAlign w:val="center"/>
          </w:tcPr>
          <w:p w:rsidR="00D06D5F" w:rsidRPr="00E27FE7" w:rsidRDefault="00D06D5F" w:rsidP="00D06D5F">
            <w:pPr>
              <w:pStyle w:val="afffffff2"/>
              <w:rPr>
                <w:rFonts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汤陈村</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9.87E-04</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23071806</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3.00E+00</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0.03</w:t>
            </w:r>
            <w:r>
              <w:rPr>
                <w:rFonts w:ascii="Times New Roman" w:hAnsi="Times New Roman" w:cs="Times New Roman"/>
                <w:kern w:val="0"/>
                <w:sz w:val="21"/>
                <w:szCs w:val="21"/>
              </w:rPr>
              <w:t>3</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后沈家</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1.39E-03</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23081319</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3.00E+00</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0.046</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网格</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5.82E-03</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23092608</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3.00E+00</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0.194</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val="restar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非甲烷总烃</w:t>
            </w: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三铺村</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3.29E-03</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23051619</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2.00E+00</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0.165</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汪邢村（</w:t>
            </w:r>
            <w:r w:rsidRPr="00240B63">
              <w:rPr>
                <w:rFonts w:ascii="Times New Roman" w:hAnsi="Times New Roman" w:cs="Times New Roman"/>
                <w:kern w:val="0"/>
                <w:sz w:val="21"/>
                <w:szCs w:val="21"/>
              </w:rPr>
              <w:t>高王家</w:t>
            </w:r>
            <w:r>
              <w:rPr>
                <w:rFonts w:ascii="Times New Roman" w:hAnsi="Times New Roman" w:cs="Times New Roman" w:hint="eastAsia"/>
                <w:kern w:val="0"/>
                <w:sz w:val="21"/>
                <w:szCs w:val="21"/>
              </w:rPr>
              <w:t>）</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2.57E-03</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23010316</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2.00E+00</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0.12</w:t>
            </w:r>
            <w:r>
              <w:rPr>
                <w:rFonts w:ascii="Times New Roman" w:hAnsi="Times New Roman" w:cs="Times New Roman"/>
                <w:kern w:val="0"/>
                <w:sz w:val="21"/>
                <w:szCs w:val="21"/>
              </w:rPr>
              <w:t>9</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曹吴村（</w:t>
            </w:r>
            <w:r w:rsidRPr="00240B63">
              <w:rPr>
                <w:rFonts w:ascii="Times New Roman" w:hAnsi="Times New Roman" w:cs="Times New Roman"/>
                <w:kern w:val="0"/>
                <w:sz w:val="21"/>
                <w:szCs w:val="21"/>
              </w:rPr>
              <w:t>邓庙</w:t>
            </w:r>
            <w:r>
              <w:rPr>
                <w:rFonts w:ascii="Times New Roman" w:hAnsi="Times New Roman" w:cs="Times New Roman" w:hint="eastAsia"/>
                <w:kern w:val="0"/>
                <w:sz w:val="21"/>
                <w:szCs w:val="21"/>
              </w:rPr>
              <w:t>）</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1.40E-03</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23061624</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2.00E+00</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0.07</w:t>
            </w:r>
            <w:r>
              <w:rPr>
                <w:rFonts w:ascii="Times New Roman" w:hAnsi="Times New Roman" w:cs="Times New Roman"/>
                <w:kern w:val="0"/>
                <w:sz w:val="21"/>
                <w:szCs w:val="21"/>
              </w:rPr>
              <w:t>0</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李洼</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2.16E-03</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23060119</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2.00E+00</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0.108</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cs="Times New Roman"/>
                <w:kern w:val="0"/>
                <w:sz w:val="21"/>
                <w:szCs w:val="21"/>
              </w:rPr>
            </w:pPr>
          </w:p>
        </w:tc>
        <w:tc>
          <w:tcPr>
            <w:tcW w:w="564" w:type="pct"/>
            <w:vMerge/>
            <w:noWrap/>
            <w:vAlign w:val="center"/>
          </w:tcPr>
          <w:p w:rsidR="00D06D5F" w:rsidRPr="00E27FE7" w:rsidRDefault="00D06D5F" w:rsidP="00D06D5F">
            <w:pPr>
              <w:pStyle w:val="afffffff2"/>
              <w:rPr>
                <w:rFonts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汤陈村</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2.12E-03</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23071806</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2.00E+00</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0.106</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后沈家</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2.85E-03</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23081319</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2.00E+00</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0.14</w:t>
            </w:r>
            <w:r>
              <w:rPr>
                <w:rFonts w:ascii="Times New Roman" w:hAnsi="Times New Roman" w:cs="Times New Roman"/>
                <w:kern w:val="0"/>
                <w:sz w:val="21"/>
                <w:szCs w:val="21"/>
              </w:rPr>
              <w:t>3</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网格</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1.21E-02</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23092608</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2.00E+00</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0.605</w:t>
            </w:r>
          </w:p>
        </w:tc>
        <w:tc>
          <w:tcPr>
            <w:tcW w:w="298" w:type="pct"/>
            <w:noWrap/>
            <w:vAlign w:val="center"/>
          </w:tcPr>
          <w:p w:rsidR="00D06D5F" w:rsidRPr="00E27FE7" w:rsidRDefault="00CD011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val="restar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NH</w:t>
            </w:r>
            <w:r w:rsidRPr="00E27FE7">
              <w:rPr>
                <w:rFonts w:ascii="Times New Roman" w:hAnsi="Times New Roman" w:cs="Times New Roman"/>
                <w:kern w:val="0"/>
                <w:sz w:val="21"/>
                <w:szCs w:val="21"/>
                <w:vertAlign w:val="subscript"/>
              </w:rPr>
              <w:t>3</w:t>
            </w: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三铺村</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5.71E-04</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23051519</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2.00E-01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0.28</w:t>
            </w:r>
            <w:r>
              <w:rPr>
                <w:rFonts w:ascii="Times New Roman" w:hAnsi="Times New Roman" w:cs="Times New Roman"/>
                <w:kern w:val="0"/>
                <w:sz w:val="21"/>
                <w:szCs w:val="21"/>
              </w:rPr>
              <w:t>6</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汪邢村（</w:t>
            </w:r>
            <w:r w:rsidRPr="00240B63">
              <w:rPr>
                <w:rFonts w:ascii="Times New Roman" w:hAnsi="Times New Roman" w:cs="Times New Roman"/>
                <w:kern w:val="0"/>
                <w:sz w:val="21"/>
                <w:szCs w:val="21"/>
              </w:rPr>
              <w:t>高王家</w:t>
            </w:r>
            <w:r>
              <w:rPr>
                <w:rFonts w:ascii="Times New Roman" w:hAnsi="Times New Roman" w:cs="Times New Roman" w:hint="eastAsia"/>
                <w:kern w:val="0"/>
                <w:sz w:val="21"/>
                <w:szCs w:val="21"/>
              </w:rPr>
              <w:t>）</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5.67E-04</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23060620</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2.00E-01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0.28</w:t>
            </w:r>
            <w:r>
              <w:rPr>
                <w:rFonts w:ascii="Times New Roman" w:hAnsi="Times New Roman" w:cs="Times New Roman"/>
                <w:kern w:val="0"/>
                <w:sz w:val="21"/>
                <w:szCs w:val="21"/>
              </w:rPr>
              <w:t>4</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曹吴村（</w:t>
            </w:r>
            <w:r w:rsidRPr="00240B63">
              <w:rPr>
                <w:rFonts w:ascii="Times New Roman" w:hAnsi="Times New Roman" w:cs="Times New Roman"/>
                <w:kern w:val="0"/>
                <w:sz w:val="21"/>
                <w:szCs w:val="21"/>
              </w:rPr>
              <w:t>邓庙</w:t>
            </w:r>
            <w:r>
              <w:rPr>
                <w:rFonts w:ascii="Times New Roman" w:hAnsi="Times New Roman" w:cs="Times New Roman" w:hint="eastAsia"/>
                <w:kern w:val="0"/>
                <w:sz w:val="21"/>
                <w:szCs w:val="21"/>
              </w:rPr>
              <w:t>）</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4.56E-04</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23060121</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2.00E-01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0.228</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李洼</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5.80E-04</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23070701</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2.00E-01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0.29</w:t>
            </w:r>
            <w:r>
              <w:rPr>
                <w:rFonts w:ascii="Times New Roman" w:hAnsi="Times New Roman" w:cs="Times New Roman"/>
                <w:kern w:val="0"/>
                <w:sz w:val="21"/>
                <w:szCs w:val="21"/>
              </w:rPr>
              <w:t>0</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cs="Times New Roman"/>
                <w:kern w:val="0"/>
                <w:sz w:val="21"/>
                <w:szCs w:val="21"/>
              </w:rPr>
            </w:pPr>
          </w:p>
        </w:tc>
        <w:tc>
          <w:tcPr>
            <w:tcW w:w="564" w:type="pct"/>
            <w:vMerge/>
            <w:noWrap/>
            <w:vAlign w:val="center"/>
          </w:tcPr>
          <w:p w:rsidR="00D06D5F" w:rsidRPr="00E27FE7" w:rsidRDefault="00D06D5F" w:rsidP="00D06D5F">
            <w:pPr>
              <w:pStyle w:val="afffffff2"/>
              <w:rPr>
                <w:rFonts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汤陈村</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6.03E-04</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23071702</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2.00E-01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0.30</w:t>
            </w:r>
            <w:r>
              <w:rPr>
                <w:rFonts w:ascii="Times New Roman" w:hAnsi="Times New Roman" w:cs="Times New Roman"/>
                <w:kern w:val="0"/>
                <w:sz w:val="21"/>
                <w:szCs w:val="21"/>
              </w:rPr>
              <w:t>2</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sidRPr="00240B63">
              <w:rPr>
                <w:rFonts w:ascii="Times New Roman" w:hAnsi="Times New Roman" w:cs="Times New Roman"/>
                <w:kern w:val="0"/>
                <w:sz w:val="21"/>
                <w:szCs w:val="21"/>
              </w:rPr>
              <w:t>后沈家</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7.21E-04</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23091207</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2.00E-01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0.36</w:t>
            </w:r>
            <w:r>
              <w:rPr>
                <w:rFonts w:ascii="Times New Roman" w:hAnsi="Times New Roman" w:cs="Times New Roman"/>
                <w:kern w:val="0"/>
                <w:sz w:val="21"/>
                <w:szCs w:val="21"/>
              </w:rPr>
              <w:t>1</w:t>
            </w:r>
          </w:p>
        </w:tc>
        <w:tc>
          <w:tcPr>
            <w:tcW w:w="298"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r w:rsidR="00D06D5F" w:rsidRPr="00E27FE7" w:rsidTr="00CD011F">
        <w:trPr>
          <w:trHeight w:val="20"/>
        </w:trPr>
        <w:tc>
          <w:tcPr>
            <w:tcW w:w="299" w:type="pct"/>
            <w:vMerge/>
            <w:vAlign w:val="center"/>
          </w:tcPr>
          <w:p w:rsidR="00D06D5F" w:rsidRPr="00E27FE7" w:rsidRDefault="00D06D5F" w:rsidP="00D06D5F">
            <w:pPr>
              <w:pStyle w:val="afffffff2"/>
              <w:rPr>
                <w:rFonts w:ascii="Times New Roman" w:hAnsi="Times New Roman" w:cs="Times New Roman"/>
                <w:kern w:val="0"/>
                <w:sz w:val="21"/>
                <w:szCs w:val="21"/>
              </w:rPr>
            </w:pPr>
          </w:p>
        </w:tc>
        <w:tc>
          <w:tcPr>
            <w:tcW w:w="564" w:type="pct"/>
            <w:vMerge/>
            <w:noWrap/>
            <w:vAlign w:val="center"/>
          </w:tcPr>
          <w:p w:rsidR="00D06D5F" w:rsidRPr="00E27FE7" w:rsidRDefault="00D06D5F" w:rsidP="00D06D5F">
            <w:pPr>
              <w:pStyle w:val="afffffff2"/>
              <w:rPr>
                <w:rFonts w:ascii="Times New Roman" w:hAnsi="Times New Roman" w:cs="Times New Roman"/>
                <w:kern w:val="0"/>
                <w:sz w:val="21"/>
                <w:szCs w:val="21"/>
              </w:rPr>
            </w:pPr>
          </w:p>
        </w:tc>
        <w:tc>
          <w:tcPr>
            <w:tcW w:w="394" w:type="pct"/>
            <w:noWrap/>
            <w:vAlign w:val="center"/>
          </w:tcPr>
          <w:p w:rsidR="00D06D5F" w:rsidRPr="00240B63" w:rsidRDefault="00D06D5F" w:rsidP="00D06D5F">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网格</w:t>
            </w:r>
          </w:p>
        </w:tc>
        <w:tc>
          <w:tcPr>
            <w:tcW w:w="801" w:type="pct"/>
            <w:noWrap/>
            <w:vAlign w:val="center"/>
          </w:tcPr>
          <w:p w:rsidR="00D06D5F" w:rsidRPr="00676F99" w:rsidRDefault="00D06D5F" w:rsidP="00D06D5F">
            <w:pPr>
              <w:pStyle w:val="afffffff2"/>
              <w:rPr>
                <w:rFonts w:ascii="Times New Roman" w:hAnsi="Times New Roman" w:cs="Times New Roman"/>
                <w:kern w:val="0"/>
                <w:sz w:val="21"/>
                <w:szCs w:val="21"/>
              </w:rPr>
            </w:pPr>
            <w:r w:rsidRPr="00676F99">
              <w:rPr>
                <w:rFonts w:ascii="Times New Roman" w:hAnsi="Times New Roman" w:cs="Times New Roman"/>
                <w:kern w:val="0"/>
                <w:sz w:val="21"/>
                <w:szCs w:val="21"/>
              </w:rPr>
              <w:t>1</w:t>
            </w:r>
            <w:r w:rsidRPr="00676F99">
              <w:rPr>
                <w:rFonts w:ascii="Times New Roman" w:hAnsi="Times New Roman" w:cs="Times New Roman"/>
                <w:kern w:val="0"/>
                <w:sz w:val="21"/>
                <w:szCs w:val="21"/>
              </w:rPr>
              <w:t>小时</w:t>
            </w:r>
          </w:p>
        </w:tc>
        <w:tc>
          <w:tcPr>
            <w:tcW w:w="8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3.91E-03</w:t>
            </w:r>
          </w:p>
        </w:tc>
        <w:tc>
          <w:tcPr>
            <w:tcW w:w="707"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23110208</w:t>
            </w:r>
          </w:p>
        </w:tc>
        <w:tc>
          <w:tcPr>
            <w:tcW w:w="629" w:type="pct"/>
            <w:noWrap/>
            <w:vAlign w:val="center"/>
          </w:tcPr>
          <w:p w:rsidR="00D06D5F" w:rsidRPr="00E27FE7" w:rsidRDefault="00D06D5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2.00E-01</w:t>
            </w:r>
          </w:p>
        </w:tc>
        <w:tc>
          <w:tcPr>
            <w:tcW w:w="501" w:type="pct"/>
            <w:noWrap/>
            <w:vAlign w:val="center"/>
          </w:tcPr>
          <w:p w:rsidR="00D06D5F" w:rsidRPr="00D06D5F" w:rsidRDefault="00D06D5F" w:rsidP="00D06D5F">
            <w:pPr>
              <w:pStyle w:val="afffffff2"/>
              <w:rPr>
                <w:rFonts w:ascii="Times New Roman" w:hAnsi="Times New Roman" w:cs="Times New Roman"/>
                <w:kern w:val="0"/>
                <w:sz w:val="21"/>
                <w:szCs w:val="21"/>
              </w:rPr>
            </w:pPr>
            <w:r w:rsidRPr="00D06D5F">
              <w:rPr>
                <w:rFonts w:ascii="Times New Roman" w:hAnsi="Times New Roman" w:cs="Times New Roman" w:hint="eastAsia"/>
                <w:kern w:val="0"/>
                <w:sz w:val="21"/>
                <w:szCs w:val="21"/>
              </w:rPr>
              <w:t>1.955</w:t>
            </w:r>
          </w:p>
        </w:tc>
        <w:tc>
          <w:tcPr>
            <w:tcW w:w="298" w:type="pct"/>
            <w:noWrap/>
            <w:vAlign w:val="center"/>
          </w:tcPr>
          <w:p w:rsidR="00D06D5F" w:rsidRPr="00E27FE7" w:rsidRDefault="00CD011F" w:rsidP="00D06D5F">
            <w:pPr>
              <w:pStyle w:val="afffffff2"/>
              <w:rPr>
                <w:rFonts w:ascii="Times New Roman" w:hAnsi="Times New Roman" w:cs="Times New Roman"/>
                <w:kern w:val="0"/>
                <w:sz w:val="21"/>
                <w:szCs w:val="21"/>
              </w:rPr>
            </w:pPr>
            <w:r w:rsidRPr="00E27FE7">
              <w:rPr>
                <w:rFonts w:ascii="Times New Roman" w:hAnsi="Times New Roman" w:cs="Times New Roman"/>
                <w:kern w:val="0"/>
                <w:sz w:val="21"/>
                <w:szCs w:val="21"/>
              </w:rPr>
              <w:t>达标</w:t>
            </w:r>
          </w:p>
        </w:tc>
      </w:tr>
    </w:tbl>
    <w:p w:rsidR="004E3021" w:rsidRDefault="00606E48">
      <w:pPr>
        <w:pStyle w:val="afffffffffffffffff4"/>
      </w:pPr>
      <w:bookmarkStart w:id="358" w:name="_Toc100784032"/>
      <w:bookmarkStart w:id="359" w:name="_Toc108662641"/>
      <w:bookmarkStart w:id="360" w:name="_Toc101135864"/>
      <w:bookmarkStart w:id="361" w:name="_Toc221088796"/>
      <w:bookmarkStart w:id="362" w:name="_Toc221501011"/>
      <w:r>
        <w:t>5.1.7</w:t>
      </w:r>
      <w:r>
        <w:rPr>
          <w:rFonts w:hint="eastAsia"/>
        </w:rPr>
        <w:t>厂界达标情况分析</w:t>
      </w:r>
      <w:bookmarkEnd w:id="358"/>
      <w:bookmarkEnd w:id="359"/>
      <w:bookmarkEnd w:id="360"/>
      <w:bookmarkEnd w:id="361"/>
      <w:bookmarkEnd w:id="362"/>
    </w:p>
    <w:p w:rsidR="00816834" w:rsidRDefault="00606E48">
      <w:pPr>
        <w:ind w:firstLine="480"/>
        <w:rPr>
          <w:rFonts w:ascii="宋体" w:hAnsi="宋体"/>
        </w:rPr>
        <w:sectPr w:rsidR="00816834">
          <w:pgSz w:w="11907" w:h="16840"/>
          <w:pgMar w:top="1440" w:right="1440" w:bottom="1440" w:left="1440" w:header="851" w:footer="992" w:gutter="0"/>
          <w:cols w:space="720"/>
          <w:docGrid w:type="lines" w:linePitch="326"/>
        </w:sectPr>
      </w:pPr>
      <w:r>
        <w:rPr>
          <w:rFonts w:ascii="宋体" w:hAnsi="宋体" w:hint="eastAsia"/>
        </w:rPr>
        <w:t>本项目在生产过程中会产生</w:t>
      </w:r>
      <w:r>
        <w:rPr>
          <w:rFonts w:hint="eastAsia"/>
        </w:rPr>
        <w:t>非甲烷总烃</w:t>
      </w:r>
      <w:r>
        <w:rPr>
          <w:rFonts w:ascii="宋体" w:hAnsi="宋体"/>
        </w:rPr>
        <w:t>、</w:t>
      </w:r>
      <w:r w:rsidR="007D14E5" w:rsidRPr="00CD011F">
        <w:t>H</w:t>
      </w:r>
      <w:r w:rsidR="007D14E5" w:rsidRPr="00CD011F">
        <w:rPr>
          <w:vertAlign w:val="subscript"/>
        </w:rPr>
        <w:t>2</w:t>
      </w:r>
      <w:r w:rsidR="007D14E5" w:rsidRPr="00CD011F">
        <w:t>S</w:t>
      </w:r>
      <w:r>
        <w:rPr>
          <w:rFonts w:ascii="宋体" w:hAnsi="宋体" w:hint="eastAsia"/>
        </w:rPr>
        <w:t>、</w:t>
      </w:r>
      <w:r>
        <w:rPr>
          <w:rFonts w:hint="eastAsia"/>
        </w:rPr>
        <w:t>甲醇</w:t>
      </w:r>
      <w:r>
        <w:rPr>
          <w:rFonts w:ascii="宋体" w:hAnsi="宋体"/>
        </w:rPr>
        <w:t>等污染物，若处置不当将对周边环境产生不良影响，采用</w:t>
      </w:r>
      <w:r>
        <w:t>AERMOD</w:t>
      </w:r>
      <w:r>
        <w:rPr>
          <w:rFonts w:ascii="宋体" w:hAnsi="宋体"/>
        </w:rPr>
        <w:t>模式预测了正常工况下叠加本项目贡献值的厂界最大落地浓度贡献值，计算结果见表</w:t>
      </w:r>
      <w:r>
        <w:t>5.1.7-1</w:t>
      </w:r>
      <w:r>
        <w:rPr>
          <w:rFonts w:ascii="宋体" w:hAnsi="宋体"/>
        </w:rPr>
        <w:t>。</w:t>
      </w:r>
    </w:p>
    <w:p w:rsidR="004E3021" w:rsidRDefault="00606E48">
      <w:pPr>
        <w:pStyle w:val="afffff4"/>
        <w:ind w:firstLine="480"/>
      </w:pPr>
      <w:r>
        <w:rPr>
          <w:rFonts w:ascii="黑体" w:hAnsi="黑体"/>
        </w:rPr>
        <w:lastRenderedPageBreak/>
        <w:t>表</w:t>
      </w:r>
      <w:r>
        <w:t xml:space="preserve">5.1.7-1  </w:t>
      </w:r>
      <w:r>
        <w:rPr>
          <w:rFonts w:ascii="黑体" w:hAnsi="黑体"/>
        </w:rPr>
        <w:t>评价区域内无组织排放污染物厂界最大落地浓度贡献值</w:t>
      </w:r>
      <w:r>
        <w:rPr>
          <w:rFonts w:hint="eastAsia"/>
        </w:rPr>
        <w:t xml:space="preserve"> </w:t>
      </w:r>
    </w:p>
    <w:tbl>
      <w:tblPr>
        <w:tblStyle w:val="1ffffffd"/>
        <w:tblW w:w="5000" w:type="pct"/>
        <w:tblLook w:val="04A0" w:firstRow="1" w:lastRow="0" w:firstColumn="1" w:lastColumn="0" w:noHBand="0" w:noVBand="1"/>
      </w:tblPr>
      <w:tblGrid>
        <w:gridCol w:w="741"/>
        <w:gridCol w:w="1387"/>
        <w:gridCol w:w="2596"/>
        <w:gridCol w:w="2129"/>
        <w:gridCol w:w="2174"/>
      </w:tblGrid>
      <w:tr w:rsidR="004E3021" w:rsidRPr="007D14E5" w:rsidTr="007D14E5">
        <w:trPr>
          <w:trHeight w:val="360"/>
        </w:trPr>
        <w:tc>
          <w:tcPr>
            <w:tcW w:w="410" w:type="pct"/>
            <w:vMerge w:val="restart"/>
            <w:vAlign w:val="center"/>
          </w:tcPr>
          <w:p w:rsidR="004E3021" w:rsidRPr="007D14E5" w:rsidRDefault="00606E48" w:rsidP="007D14E5">
            <w:pPr>
              <w:pStyle w:val="afffffff2"/>
              <w:rPr>
                <w:rFonts w:ascii="Times New Roman" w:hAnsi="Times New Roman" w:cs="Times New Roman"/>
                <w:b/>
                <w:kern w:val="0"/>
                <w:sz w:val="21"/>
                <w:szCs w:val="21"/>
              </w:rPr>
            </w:pPr>
            <w:r w:rsidRPr="007D14E5">
              <w:rPr>
                <w:rFonts w:ascii="Times New Roman" w:hAnsi="Times New Roman" w:cs="Times New Roman"/>
                <w:b/>
                <w:kern w:val="0"/>
                <w:sz w:val="21"/>
                <w:szCs w:val="21"/>
              </w:rPr>
              <w:t>序号</w:t>
            </w:r>
          </w:p>
        </w:tc>
        <w:tc>
          <w:tcPr>
            <w:tcW w:w="768" w:type="pct"/>
            <w:vMerge w:val="restart"/>
            <w:vAlign w:val="center"/>
          </w:tcPr>
          <w:p w:rsidR="004E3021" w:rsidRPr="007D14E5" w:rsidRDefault="00606E48" w:rsidP="007D14E5">
            <w:pPr>
              <w:pStyle w:val="afffffff2"/>
              <w:rPr>
                <w:rFonts w:ascii="Times New Roman" w:hAnsi="Times New Roman" w:cs="Times New Roman"/>
                <w:b/>
                <w:kern w:val="0"/>
                <w:sz w:val="21"/>
                <w:szCs w:val="21"/>
              </w:rPr>
            </w:pPr>
            <w:r w:rsidRPr="007D14E5">
              <w:rPr>
                <w:rFonts w:ascii="Times New Roman" w:hAnsi="Times New Roman" w:cs="Times New Roman"/>
                <w:b/>
                <w:kern w:val="0"/>
                <w:sz w:val="21"/>
                <w:szCs w:val="21"/>
              </w:rPr>
              <w:t>评价因子</w:t>
            </w:r>
          </w:p>
        </w:tc>
        <w:tc>
          <w:tcPr>
            <w:tcW w:w="1438" w:type="pct"/>
            <w:vMerge w:val="restart"/>
            <w:vAlign w:val="center"/>
          </w:tcPr>
          <w:p w:rsidR="004E3021" w:rsidRPr="007D14E5" w:rsidRDefault="00606E48" w:rsidP="007D14E5">
            <w:pPr>
              <w:pStyle w:val="afffffff2"/>
              <w:rPr>
                <w:rFonts w:ascii="Times New Roman" w:hAnsi="Times New Roman" w:cs="Times New Roman"/>
                <w:b/>
                <w:kern w:val="0"/>
                <w:sz w:val="21"/>
                <w:szCs w:val="21"/>
              </w:rPr>
            </w:pPr>
            <w:r w:rsidRPr="007D14E5">
              <w:rPr>
                <w:rFonts w:ascii="Times New Roman" w:hAnsi="Times New Roman" w:cs="Times New Roman"/>
                <w:b/>
                <w:kern w:val="0"/>
                <w:sz w:val="21"/>
                <w:szCs w:val="21"/>
              </w:rPr>
              <w:t>厂界最大落地浓度</w:t>
            </w:r>
            <w:r w:rsidRPr="007D14E5">
              <w:rPr>
                <w:rFonts w:ascii="Times New Roman" w:hAnsi="Times New Roman" w:cs="Times New Roman"/>
                <w:b/>
                <w:kern w:val="0"/>
                <w:sz w:val="21"/>
                <w:szCs w:val="21"/>
              </w:rPr>
              <w:t>/</w:t>
            </w:r>
            <w:r w:rsidRPr="007D14E5">
              <w:rPr>
                <w:rFonts w:ascii="Times New Roman" w:hAnsi="Times New Roman" w:cs="Times New Roman"/>
                <w:b/>
                <w:kern w:val="0"/>
                <w:sz w:val="21"/>
                <w:szCs w:val="21"/>
              </w:rPr>
              <w:t>（</w:t>
            </w:r>
            <w:r w:rsidRPr="007D14E5">
              <w:rPr>
                <w:rFonts w:ascii="Times New Roman" w:hAnsi="Times New Roman" w:cs="Times New Roman"/>
                <w:b/>
                <w:kern w:val="0"/>
                <w:sz w:val="21"/>
                <w:szCs w:val="21"/>
              </w:rPr>
              <w:t>mg/m</w:t>
            </w:r>
            <w:r w:rsidRPr="007D14E5">
              <w:rPr>
                <w:rFonts w:ascii="Times New Roman" w:hAnsi="Times New Roman" w:cs="Times New Roman"/>
                <w:b/>
                <w:kern w:val="0"/>
                <w:sz w:val="21"/>
                <w:szCs w:val="21"/>
                <w:vertAlign w:val="superscript"/>
              </w:rPr>
              <w:t>3</w:t>
            </w:r>
            <w:r w:rsidRPr="007D14E5">
              <w:rPr>
                <w:rFonts w:ascii="Times New Roman" w:hAnsi="Times New Roman" w:cs="Times New Roman"/>
                <w:b/>
                <w:kern w:val="0"/>
                <w:sz w:val="21"/>
                <w:szCs w:val="21"/>
              </w:rPr>
              <w:t>）</w:t>
            </w:r>
          </w:p>
        </w:tc>
        <w:tc>
          <w:tcPr>
            <w:tcW w:w="1179" w:type="pct"/>
            <w:vMerge w:val="restart"/>
            <w:vAlign w:val="center"/>
          </w:tcPr>
          <w:p w:rsidR="004E3021" w:rsidRPr="007D14E5" w:rsidRDefault="00606E48" w:rsidP="007D14E5">
            <w:pPr>
              <w:pStyle w:val="afffffff2"/>
              <w:rPr>
                <w:rFonts w:ascii="Times New Roman" w:hAnsi="Times New Roman" w:cs="Times New Roman"/>
                <w:b/>
                <w:kern w:val="0"/>
                <w:sz w:val="21"/>
                <w:szCs w:val="21"/>
              </w:rPr>
            </w:pPr>
            <w:r w:rsidRPr="007D14E5">
              <w:rPr>
                <w:rFonts w:ascii="Times New Roman" w:hAnsi="Times New Roman" w:cs="Times New Roman"/>
                <w:b/>
                <w:kern w:val="0"/>
                <w:sz w:val="21"/>
                <w:szCs w:val="21"/>
              </w:rPr>
              <w:t>厂界标准</w:t>
            </w:r>
            <w:r w:rsidRPr="007D14E5">
              <w:rPr>
                <w:rFonts w:ascii="Times New Roman" w:hAnsi="Times New Roman" w:cs="Times New Roman"/>
                <w:b/>
                <w:kern w:val="0"/>
                <w:sz w:val="21"/>
                <w:szCs w:val="21"/>
              </w:rPr>
              <w:t>/</w:t>
            </w:r>
            <w:r w:rsidRPr="007D14E5">
              <w:rPr>
                <w:rFonts w:ascii="Times New Roman" w:hAnsi="Times New Roman" w:cs="Times New Roman"/>
                <w:b/>
                <w:kern w:val="0"/>
                <w:sz w:val="21"/>
                <w:szCs w:val="21"/>
              </w:rPr>
              <w:t>（</w:t>
            </w:r>
            <w:r w:rsidRPr="007D14E5">
              <w:rPr>
                <w:rFonts w:ascii="Times New Roman" w:hAnsi="Times New Roman" w:cs="Times New Roman"/>
                <w:b/>
                <w:kern w:val="0"/>
                <w:sz w:val="21"/>
                <w:szCs w:val="21"/>
              </w:rPr>
              <w:t>mg/m</w:t>
            </w:r>
            <w:r w:rsidRPr="007D14E5">
              <w:rPr>
                <w:rFonts w:ascii="Times New Roman" w:hAnsi="Times New Roman" w:cs="Times New Roman"/>
                <w:b/>
                <w:kern w:val="0"/>
                <w:sz w:val="21"/>
                <w:szCs w:val="21"/>
                <w:vertAlign w:val="superscript"/>
              </w:rPr>
              <w:t>3</w:t>
            </w:r>
            <w:r w:rsidRPr="007D14E5">
              <w:rPr>
                <w:rFonts w:ascii="Times New Roman" w:hAnsi="Times New Roman" w:cs="Times New Roman"/>
                <w:b/>
                <w:kern w:val="0"/>
                <w:sz w:val="21"/>
                <w:szCs w:val="21"/>
              </w:rPr>
              <w:t>）</w:t>
            </w:r>
          </w:p>
        </w:tc>
        <w:tc>
          <w:tcPr>
            <w:tcW w:w="1204" w:type="pct"/>
            <w:vMerge w:val="restart"/>
            <w:vAlign w:val="center"/>
          </w:tcPr>
          <w:p w:rsidR="004E3021" w:rsidRPr="007D14E5" w:rsidRDefault="00606E48" w:rsidP="007D14E5">
            <w:pPr>
              <w:pStyle w:val="afffffff2"/>
              <w:rPr>
                <w:rFonts w:ascii="Times New Roman" w:hAnsi="Times New Roman" w:cs="Times New Roman"/>
                <w:b/>
                <w:kern w:val="0"/>
                <w:sz w:val="21"/>
                <w:szCs w:val="21"/>
              </w:rPr>
            </w:pPr>
            <w:r w:rsidRPr="007D14E5">
              <w:rPr>
                <w:rFonts w:ascii="Times New Roman" w:hAnsi="Times New Roman" w:cs="Times New Roman"/>
                <w:b/>
                <w:kern w:val="0"/>
                <w:sz w:val="21"/>
                <w:szCs w:val="21"/>
              </w:rPr>
              <w:t>厂界浓度占标率</w:t>
            </w:r>
            <w:r w:rsidRPr="007D14E5">
              <w:rPr>
                <w:rFonts w:ascii="Times New Roman" w:hAnsi="Times New Roman" w:cs="Times New Roman"/>
                <w:b/>
                <w:kern w:val="0"/>
                <w:sz w:val="21"/>
                <w:szCs w:val="21"/>
              </w:rPr>
              <w:t>/%</w:t>
            </w:r>
          </w:p>
        </w:tc>
      </w:tr>
      <w:tr w:rsidR="004E3021" w:rsidRPr="007D14E5" w:rsidTr="007D14E5">
        <w:trPr>
          <w:trHeight w:val="360"/>
        </w:trPr>
        <w:tc>
          <w:tcPr>
            <w:tcW w:w="410" w:type="pct"/>
            <w:vMerge/>
            <w:vAlign w:val="center"/>
          </w:tcPr>
          <w:p w:rsidR="004E3021" w:rsidRPr="007D14E5" w:rsidRDefault="004E3021" w:rsidP="007D14E5">
            <w:pPr>
              <w:pStyle w:val="afffffff2"/>
              <w:rPr>
                <w:rFonts w:ascii="Times New Roman" w:hAnsi="Times New Roman" w:cs="Times New Roman"/>
                <w:kern w:val="0"/>
                <w:sz w:val="21"/>
                <w:szCs w:val="21"/>
              </w:rPr>
            </w:pPr>
          </w:p>
        </w:tc>
        <w:tc>
          <w:tcPr>
            <w:tcW w:w="768" w:type="pct"/>
            <w:vMerge/>
            <w:vAlign w:val="center"/>
          </w:tcPr>
          <w:p w:rsidR="004E3021" w:rsidRPr="007D14E5" w:rsidRDefault="004E3021" w:rsidP="007D14E5">
            <w:pPr>
              <w:pStyle w:val="afffffff2"/>
              <w:rPr>
                <w:rFonts w:ascii="Times New Roman" w:hAnsi="Times New Roman" w:cs="Times New Roman"/>
                <w:kern w:val="0"/>
                <w:sz w:val="21"/>
                <w:szCs w:val="21"/>
              </w:rPr>
            </w:pPr>
          </w:p>
        </w:tc>
        <w:tc>
          <w:tcPr>
            <w:tcW w:w="1438" w:type="pct"/>
            <w:vMerge/>
            <w:vAlign w:val="center"/>
          </w:tcPr>
          <w:p w:rsidR="004E3021" w:rsidRPr="007D14E5" w:rsidRDefault="004E3021" w:rsidP="007D14E5">
            <w:pPr>
              <w:pStyle w:val="afffffff2"/>
              <w:rPr>
                <w:rFonts w:ascii="Times New Roman" w:hAnsi="Times New Roman" w:cs="Times New Roman"/>
                <w:kern w:val="0"/>
                <w:sz w:val="21"/>
                <w:szCs w:val="21"/>
              </w:rPr>
            </w:pPr>
          </w:p>
        </w:tc>
        <w:tc>
          <w:tcPr>
            <w:tcW w:w="1179" w:type="pct"/>
            <w:vMerge/>
            <w:vAlign w:val="center"/>
          </w:tcPr>
          <w:p w:rsidR="004E3021" w:rsidRPr="007D14E5" w:rsidRDefault="004E3021" w:rsidP="007D14E5">
            <w:pPr>
              <w:pStyle w:val="afffffff2"/>
              <w:rPr>
                <w:rFonts w:ascii="Times New Roman" w:hAnsi="Times New Roman" w:cs="Times New Roman"/>
                <w:kern w:val="0"/>
                <w:sz w:val="21"/>
                <w:szCs w:val="21"/>
              </w:rPr>
            </w:pPr>
          </w:p>
        </w:tc>
        <w:tc>
          <w:tcPr>
            <w:tcW w:w="1204" w:type="pct"/>
            <w:vMerge/>
            <w:vAlign w:val="center"/>
          </w:tcPr>
          <w:p w:rsidR="004E3021" w:rsidRPr="007D14E5" w:rsidRDefault="004E3021" w:rsidP="007D14E5">
            <w:pPr>
              <w:pStyle w:val="afffffff2"/>
              <w:rPr>
                <w:rFonts w:ascii="Times New Roman" w:hAnsi="Times New Roman" w:cs="Times New Roman"/>
                <w:kern w:val="0"/>
                <w:sz w:val="21"/>
                <w:szCs w:val="21"/>
              </w:rPr>
            </w:pPr>
          </w:p>
        </w:tc>
      </w:tr>
      <w:tr w:rsidR="004E3021" w:rsidRPr="007D14E5" w:rsidTr="007D14E5">
        <w:trPr>
          <w:trHeight w:val="20"/>
        </w:trPr>
        <w:tc>
          <w:tcPr>
            <w:tcW w:w="410" w:type="pct"/>
            <w:vAlign w:val="center"/>
          </w:tcPr>
          <w:p w:rsidR="004E3021" w:rsidRPr="007D14E5" w:rsidRDefault="007D14E5" w:rsidP="007D14E5">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p>
        </w:tc>
        <w:tc>
          <w:tcPr>
            <w:tcW w:w="768" w:type="pct"/>
            <w:vAlign w:val="center"/>
          </w:tcPr>
          <w:p w:rsidR="004E3021" w:rsidRPr="007D14E5" w:rsidRDefault="007D14E5" w:rsidP="007D14E5">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H</w:t>
            </w:r>
            <w:r w:rsidRPr="007D14E5">
              <w:rPr>
                <w:rFonts w:ascii="Times New Roman" w:hAnsi="Times New Roman" w:cs="Times New Roman" w:hint="eastAsia"/>
                <w:kern w:val="0"/>
                <w:sz w:val="21"/>
                <w:szCs w:val="21"/>
                <w:vertAlign w:val="subscript"/>
              </w:rPr>
              <w:t>2</w:t>
            </w:r>
            <w:r>
              <w:rPr>
                <w:rFonts w:ascii="Times New Roman" w:hAnsi="Times New Roman" w:cs="Times New Roman" w:hint="eastAsia"/>
                <w:kern w:val="0"/>
                <w:sz w:val="21"/>
                <w:szCs w:val="21"/>
              </w:rPr>
              <w:t>S</w:t>
            </w:r>
          </w:p>
        </w:tc>
        <w:tc>
          <w:tcPr>
            <w:tcW w:w="1438" w:type="pct"/>
            <w:vAlign w:val="center"/>
          </w:tcPr>
          <w:p w:rsidR="004E3021" w:rsidRPr="007D14E5" w:rsidRDefault="007D14E5" w:rsidP="007D14E5">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r w:rsidRPr="007D14E5">
              <w:rPr>
                <w:rFonts w:ascii="Times New Roman" w:hAnsi="Times New Roman" w:cs="Times New Roman"/>
                <w:kern w:val="0"/>
                <w:sz w:val="21"/>
                <w:szCs w:val="21"/>
              </w:rPr>
              <w:t>.</w:t>
            </w:r>
            <w:r>
              <w:rPr>
                <w:rFonts w:ascii="Times New Roman" w:hAnsi="Times New Roman" w:cs="Times New Roman"/>
                <w:kern w:val="0"/>
                <w:sz w:val="21"/>
                <w:szCs w:val="21"/>
              </w:rPr>
              <w:t>6</w:t>
            </w:r>
            <w:r w:rsidRPr="007D14E5">
              <w:rPr>
                <w:rFonts w:ascii="Times New Roman" w:hAnsi="Times New Roman" w:cs="Times New Roman"/>
                <w:kern w:val="0"/>
                <w:sz w:val="21"/>
                <w:szCs w:val="21"/>
              </w:rPr>
              <w:t>0E</w:t>
            </w:r>
            <w:r>
              <w:rPr>
                <w:rFonts w:ascii="Times New Roman" w:hAnsi="Times New Roman" w:cs="Times New Roman"/>
                <w:kern w:val="0"/>
                <w:sz w:val="21"/>
                <w:szCs w:val="21"/>
              </w:rPr>
              <w:t>-</w:t>
            </w:r>
            <w:r w:rsidRPr="007D14E5">
              <w:rPr>
                <w:rFonts w:ascii="Times New Roman" w:hAnsi="Times New Roman" w:cs="Times New Roman"/>
                <w:kern w:val="0"/>
                <w:sz w:val="21"/>
                <w:szCs w:val="21"/>
              </w:rPr>
              <w:t>0</w:t>
            </w:r>
            <w:r>
              <w:rPr>
                <w:rFonts w:ascii="Times New Roman" w:hAnsi="Times New Roman" w:cs="Times New Roman"/>
                <w:kern w:val="0"/>
                <w:sz w:val="21"/>
                <w:szCs w:val="21"/>
              </w:rPr>
              <w:t>6</w:t>
            </w:r>
          </w:p>
        </w:tc>
        <w:tc>
          <w:tcPr>
            <w:tcW w:w="1179" w:type="pct"/>
            <w:vAlign w:val="center"/>
          </w:tcPr>
          <w:p w:rsidR="004E3021" w:rsidRPr="007D14E5" w:rsidRDefault="007D14E5" w:rsidP="007D14E5">
            <w:pPr>
              <w:pStyle w:val="afffffff2"/>
              <w:rPr>
                <w:rFonts w:ascii="Times New Roman" w:hAnsi="Times New Roman" w:cs="Times New Roman"/>
                <w:kern w:val="0"/>
                <w:sz w:val="21"/>
                <w:szCs w:val="21"/>
              </w:rPr>
            </w:pPr>
            <w:r>
              <w:rPr>
                <w:rFonts w:ascii="Times New Roman" w:hAnsi="Times New Roman" w:cs="Times New Roman"/>
                <w:kern w:val="0"/>
                <w:sz w:val="21"/>
                <w:szCs w:val="21"/>
              </w:rPr>
              <w:t>6</w:t>
            </w:r>
            <w:r w:rsidR="00606E48" w:rsidRPr="007D14E5">
              <w:rPr>
                <w:rFonts w:ascii="Times New Roman" w:hAnsi="Times New Roman" w:cs="Times New Roman"/>
                <w:kern w:val="0"/>
                <w:sz w:val="21"/>
                <w:szCs w:val="21"/>
              </w:rPr>
              <w:t>.00E</w:t>
            </w:r>
            <w:r>
              <w:rPr>
                <w:rFonts w:ascii="Times New Roman" w:hAnsi="Times New Roman" w:cs="Times New Roman"/>
                <w:kern w:val="0"/>
                <w:sz w:val="21"/>
                <w:szCs w:val="21"/>
              </w:rPr>
              <w:t>-</w:t>
            </w:r>
            <w:r w:rsidR="00606E48" w:rsidRPr="007D14E5">
              <w:rPr>
                <w:rFonts w:ascii="Times New Roman" w:hAnsi="Times New Roman" w:cs="Times New Roman"/>
                <w:kern w:val="0"/>
                <w:sz w:val="21"/>
                <w:szCs w:val="21"/>
              </w:rPr>
              <w:t>0</w:t>
            </w:r>
            <w:r>
              <w:rPr>
                <w:rFonts w:ascii="Times New Roman" w:hAnsi="Times New Roman" w:cs="Times New Roman"/>
                <w:kern w:val="0"/>
                <w:sz w:val="21"/>
                <w:szCs w:val="21"/>
              </w:rPr>
              <w:t>2</w:t>
            </w:r>
          </w:p>
        </w:tc>
        <w:tc>
          <w:tcPr>
            <w:tcW w:w="1204" w:type="pct"/>
            <w:vAlign w:val="center"/>
          </w:tcPr>
          <w:p w:rsidR="004E3021" w:rsidRPr="007D14E5" w:rsidRDefault="007D14E5" w:rsidP="007D14E5">
            <w:pPr>
              <w:pStyle w:val="afffffff2"/>
              <w:rPr>
                <w:rFonts w:ascii="Times New Roman" w:hAnsi="Times New Roman" w:cs="Times New Roman"/>
                <w:kern w:val="0"/>
                <w:sz w:val="21"/>
                <w:szCs w:val="21"/>
              </w:rPr>
            </w:pPr>
            <w:r>
              <w:rPr>
                <w:rFonts w:ascii="Times New Roman" w:hAnsi="Times New Roman" w:cs="Times New Roman"/>
                <w:kern w:val="0"/>
                <w:sz w:val="21"/>
                <w:szCs w:val="21"/>
              </w:rPr>
              <w:t>0.003</w:t>
            </w:r>
          </w:p>
        </w:tc>
      </w:tr>
      <w:tr w:rsidR="004E3021" w:rsidRPr="007D14E5" w:rsidTr="007D14E5">
        <w:trPr>
          <w:trHeight w:val="20"/>
        </w:trPr>
        <w:tc>
          <w:tcPr>
            <w:tcW w:w="410" w:type="pct"/>
            <w:vAlign w:val="center"/>
          </w:tcPr>
          <w:p w:rsidR="004E3021" w:rsidRPr="007D14E5" w:rsidRDefault="007D14E5" w:rsidP="007D14E5">
            <w:pPr>
              <w:pStyle w:val="afffffff2"/>
              <w:rPr>
                <w:rFonts w:ascii="Times New Roman" w:hAnsi="Times New Roman" w:cs="Times New Roman"/>
                <w:kern w:val="0"/>
                <w:sz w:val="21"/>
                <w:szCs w:val="21"/>
              </w:rPr>
            </w:pPr>
            <w:r>
              <w:rPr>
                <w:rFonts w:ascii="Times New Roman" w:hAnsi="Times New Roman" w:cs="Times New Roman"/>
                <w:kern w:val="0"/>
                <w:sz w:val="21"/>
                <w:szCs w:val="21"/>
              </w:rPr>
              <w:t>2</w:t>
            </w:r>
          </w:p>
        </w:tc>
        <w:tc>
          <w:tcPr>
            <w:tcW w:w="768" w:type="pct"/>
            <w:vAlign w:val="center"/>
          </w:tcPr>
          <w:p w:rsidR="004E3021" w:rsidRPr="007D14E5" w:rsidRDefault="00606E48" w:rsidP="007D14E5">
            <w:pPr>
              <w:pStyle w:val="afffffff2"/>
              <w:rPr>
                <w:rFonts w:ascii="Times New Roman" w:hAnsi="Times New Roman" w:cs="Times New Roman"/>
                <w:kern w:val="0"/>
                <w:sz w:val="21"/>
                <w:szCs w:val="21"/>
              </w:rPr>
            </w:pPr>
            <w:r w:rsidRPr="007D14E5">
              <w:rPr>
                <w:rFonts w:ascii="Times New Roman" w:hAnsi="Times New Roman" w:cs="Times New Roman"/>
                <w:kern w:val="0"/>
                <w:sz w:val="21"/>
                <w:szCs w:val="21"/>
              </w:rPr>
              <w:t>非甲烷总烃</w:t>
            </w:r>
          </w:p>
        </w:tc>
        <w:tc>
          <w:tcPr>
            <w:tcW w:w="1438" w:type="pct"/>
            <w:vAlign w:val="center"/>
          </w:tcPr>
          <w:p w:rsidR="004E3021" w:rsidRPr="007D14E5" w:rsidRDefault="007D14E5" w:rsidP="007D14E5">
            <w:pPr>
              <w:pStyle w:val="afffffff2"/>
              <w:rPr>
                <w:rFonts w:ascii="Times New Roman" w:hAnsi="Times New Roman" w:cs="Times New Roman"/>
                <w:kern w:val="0"/>
                <w:sz w:val="21"/>
                <w:szCs w:val="21"/>
              </w:rPr>
            </w:pPr>
            <w:r>
              <w:rPr>
                <w:rFonts w:ascii="Times New Roman" w:hAnsi="Times New Roman" w:cs="Times New Roman"/>
                <w:kern w:val="0"/>
                <w:sz w:val="21"/>
                <w:szCs w:val="21"/>
              </w:rPr>
              <w:t>6.26</w:t>
            </w:r>
            <w:r w:rsidR="00606E48" w:rsidRPr="007D14E5">
              <w:rPr>
                <w:rFonts w:ascii="Times New Roman" w:hAnsi="Times New Roman" w:cs="Times New Roman"/>
                <w:kern w:val="0"/>
                <w:sz w:val="21"/>
                <w:szCs w:val="21"/>
              </w:rPr>
              <w:t>E-0</w:t>
            </w:r>
            <w:r>
              <w:rPr>
                <w:rFonts w:ascii="Times New Roman" w:hAnsi="Times New Roman" w:cs="Times New Roman"/>
                <w:kern w:val="0"/>
                <w:sz w:val="21"/>
                <w:szCs w:val="21"/>
              </w:rPr>
              <w:t>3</w:t>
            </w:r>
          </w:p>
        </w:tc>
        <w:tc>
          <w:tcPr>
            <w:tcW w:w="1179" w:type="pct"/>
            <w:vAlign w:val="center"/>
          </w:tcPr>
          <w:p w:rsidR="004E3021" w:rsidRPr="007D14E5" w:rsidRDefault="00606E48" w:rsidP="007D14E5">
            <w:pPr>
              <w:pStyle w:val="afffffff2"/>
              <w:rPr>
                <w:rFonts w:ascii="Times New Roman" w:hAnsi="Times New Roman" w:cs="Times New Roman"/>
                <w:kern w:val="0"/>
                <w:sz w:val="21"/>
                <w:szCs w:val="21"/>
              </w:rPr>
            </w:pPr>
            <w:r w:rsidRPr="007D14E5">
              <w:rPr>
                <w:rFonts w:ascii="Times New Roman" w:hAnsi="Times New Roman" w:cs="Times New Roman"/>
                <w:kern w:val="0"/>
                <w:sz w:val="21"/>
                <w:szCs w:val="21"/>
              </w:rPr>
              <w:t>4.00E+00</w:t>
            </w:r>
          </w:p>
        </w:tc>
        <w:tc>
          <w:tcPr>
            <w:tcW w:w="1204" w:type="pct"/>
            <w:vAlign w:val="center"/>
          </w:tcPr>
          <w:p w:rsidR="004E3021" w:rsidRPr="007D14E5" w:rsidRDefault="00606E48" w:rsidP="007D14E5">
            <w:pPr>
              <w:pStyle w:val="afffffff2"/>
              <w:rPr>
                <w:rFonts w:ascii="Times New Roman" w:hAnsi="Times New Roman" w:cs="Times New Roman"/>
                <w:kern w:val="0"/>
                <w:sz w:val="21"/>
                <w:szCs w:val="21"/>
              </w:rPr>
            </w:pPr>
            <w:r w:rsidRPr="007D14E5">
              <w:rPr>
                <w:rFonts w:ascii="Times New Roman" w:hAnsi="Times New Roman" w:cs="Times New Roman"/>
                <w:kern w:val="0"/>
                <w:sz w:val="21"/>
                <w:szCs w:val="21"/>
              </w:rPr>
              <w:t>0.</w:t>
            </w:r>
            <w:r w:rsidR="007D14E5">
              <w:rPr>
                <w:rFonts w:ascii="Times New Roman" w:hAnsi="Times New Roman" w:cs="Times New Roman"/>
                <w:kern w:val="0"/>
                <w:sz w:val="21"/>
                <w:szCs w:val="21"/>
              </w:rPr>
              <w:t>1</w:t>
            </w:r>
            <w:r w:rsidRPr="007D14E5">
              <w:rPr>
                <w:rFonts w:ascii="Times New Roman" w:hAnsi="Times New Roman" w:cs="Times New Roman"/>
                <w:kern w:val="0"/>
                <w:sz w:val="21"/>
                <w:szCs w:val="21"/>
              </w:rPr>
              <w:t>5</w:t>
            </w:r>
            <w:r w:rsidR="007D14E5">
              <w:rPr>
                <w:rFonts w:ascii="Times New Roman" w:hAnsi="Times New Roman" w:cs="Times New Roman"/>
                <w:kern w:val="0"/>
                <w:sz w:val="21"/>
                <w:szCs w:val="21"/>
              </w:rPr>
              <w:t>7</w:t>
            </w:r>
          </w:p>
        </w:tc>
      </w:tr>
      <w:tr w:rsidR="004E3021" w:rsidRPr="007D14E5" w:rsidTr="007D14E5">
        <w:trPr>
          <w:trHeight w:val="20"/>
        </w:trPr>
        <w:tc>
          <w:tcPr>
            <w:tcW w:w="410" w:type="pct"/>
            <w:vAlign w:val="center"/>
          </w:tcPr>
          <w:p w:rsidR="004E3021" w:rsidRPr="007D14E5" w:rsidRDefault="007D14E5" w:rsidP="007D14E5">
            <w:pPr>
              <w:pStyle w:val="afffffff2"/>
              <w:rPr>
                <w:rFonts w:ascii="Times New Roman" w:hAnsi="Times New Roman" w:cs="Times New Roman"/>
                <w:kern w:val="0"/>
                <w:sz w:val="21"/>
                <w:szCs w:val="21"/>
              </w:rPr>
            </w:pPr>
            <w:r>
              <w:rPr>
                <w:rFonts w:ascii="Times New Roman" w:hAnsi="Times New Roman" w:cs="Times New Roman"/>
                <w:kern w:val="0"/>
                <w:sz w:val="21"/>
                <w:szCs w:val="21"/>
              </w:rPr>
              <w:t>3</w:t>
            </w:r>
          </w:p>
        </w:tc>
        <w:tc>
          <w:tcPr>
            <w:tcW w:w="768" w:type="pct"/>
            <w:vAlign w:val="center"/>
          </w:tcPr>
          <w:p w:rsidR="004E3021" w:rsidRPr="007D14E5" w:rsidRDefault="00606E48" w:rsidP="007D14E5">
            <w:pPr>
              <w:pStyle w:val="afffffff2"/>
              <w:rPr>
                <w:rFonts w:ascii="Times New Roman" w:hAnsi="Times New Roman" w:cs="Times New Roman"/>
                <w:kern w:val="0"/>
                <w:sz w:val="21"/>
                <w:szCs w:val="21"/>
              </w:rPr>
            </w:pPr>
            <w:r w:rsidRPr="007D14E5">
              <w:rPr>
                <w:rFonts w:ascii="Times New Roman" w:hAnsi="Times New Roman" w:cs="Times New Roman"/>
                <w:kern w:val="0"/>
                <w:sz w:val="21"/>
                <w:szCs w:val="21"/>
              </w:rPr>
              <w:t>甲醇</w:t>
            </w:r>
          </w:p>
        </w:tc>
        <w:tc>
          <w:tcPr>
            <w:tcW w:w="1438" w:type="pct"/>
            <w:vAlign w:val="center"/>
          </w:tcPr>
          <w:p w:rsidR="004E3021" w:rsidRPr="007D14E5" w:rsidRDefault="007D14E5" w:rsidP="007D14E5">
            <w:pPr>
              <w:pStyle w:val="afffffff2"/>
              <w:rPr>
                <w:rFonts w:ascii="Times New Roman" w:hAnsi="Times New Roman" w:cs="Times New Roman"/>
                <w:kern w:val="0"/>
                <w:sz w:val="21"/>
                <w:szCs w:val="21"/>
              </w:rPr>
            </w:pPr>
            <w:r>
              <w:rPr>
                <w:rFonts w:ascii="Times New Roman" w:hAnsi="Times New Roman" w:cs="Times New Roman"/>
                <w:kern w:val="0"/>
                <w:sz w:val="21"/>
                <w:szCs w:val="21"/>
              </w:rPr>
              <w:t>3.71</w:t>
            </w:r>
            <w:r w:rsidR="00606E48" w:rsidRPr="007D14E5">
              <w:rPr>
                <w:rFonts w:ascii="Times New Roman" w:hAnsi="Times New Roman" w:cs="Times New Roman"/>
                <w:kern w:val="0"/>
                <w:sz w:val="21"/>
                <w:szCs w:val="21"/>
              </w:rPr>
              <w:t>E-0</w:t>
            </w:r>
            <w:r>
              <w:rPr>
                <w:rFonts w:ascii="Times New Roman" w:hAnsi="Times New Roman" w:cs="Times New Roman"/>
                <w:kern w:val="0"/>
                <w:sz w:val="21"/>
                <w:szCs w:val="21"/>
              </w:rPr>
              <w:t>3</w:t>
            </w:r>
          </w:p>
        </w:tc>
        <w:tc>
          <w:tcPr>
            <w:tcW w:w="1179" w:type="pct"/>
            <w:vAlign w:val="center"/>
          </w:tcPr>
          <w:p w:rsidR="004E3021" w:rsidRPr="007D14E5" w:rsidRDefault="00606E48" w:rsidP="007D14E5">
            <w:pPr>
              <w:pStyle w:val="afffffff2"/>
              <w:rPr>
                <w:rFonts w:ascii="Times New Roman" w:hAnsi="Times New Roman" w:cs="Times New Roman"/>
                <w:kern w:val="0"/>
                <w:sz w:val="21"/>
                <w:szCs w:val="21"/>
              </w:rPr>
            </w:pPr>
            <w:r w:rsidRPr="007D14E5">
              <w:rPr>
                <w:rFonts w:ascii="Times New Roman" w:hAnsi="Times New Roman" w:cs="Times New Roman"/>
                <w:kern w:val="0"/>
                <w:sz w:val="21"/>
                <w:szCs w:val="21"/>
              </w:rPr>
              <w:t>1.20E+01</w:t>
            </w:r>
          </w:p>
        </w:tc>
        <w:tc>
          <w:tcPr>
            <w:tcW w:w="1204" w:type="pct"/>
            <w:vAlign w:val="center"/>
          </w:tcPr>
          <w:p w:rsidR="004E3021" w:rsidRPr="007D14E5" w:rsidRDefault="00606E48" w:rsidP="007D14E5">
            <w:pPr>
              <w:pStyle w:val="afffffff2"/>
              <w:rPr>
                <w:rFonts w:ascii="Times New Roman" w:hAnsi="Times New Roman" w:cs="Times New Roman"/>
                <w:kern w:val="0"/>
                <w:sz w:val="21"/>
                <w:szCs w:val="21"/>
              </w:rPr>
            </w:pPr>
            <w:r w:rsidRPr="007D14E5">
              <w:rPr>
                <w:rFonts w:ascii="Times New Roman" w:hAnsi="Times New Roman" w:cs="Times New Roman"/>
                <w:kern w:val="0"/>
                <w:sz w:val="21"/>
                <w:szCs w:val="21"/>
              </w:rPr>
              <w:t>0.</w:t>
            </w:r>
            <w:r w:rsidR="007D14E5">
              <w:rPr>
                <w:rFonts w:ascii="Times New Roman" w:hAnsi="Times New Roman" w:cs="Times New Roman"/>
                <w:kern w:val="0"/>
                <w:sz w:val="21"/>
                <w:szCs w:val="21"/>
              </w:rPr>
              <w:t>031</w:t>
            </w:r>
          </w:p>
        </w:tc>
      </w:tr>
    </w:tbl>
    <w:p w:rsidR="004E3021" w:rsidRDefault="00606E48">
      <w:pPr>
        <w:ind w:firstLine="480"/>
      </w:pPr>
      <w:r>
        <w:rPr>
          <w:rFonts w:ascii="宋体" w:hAnsi="宋体" w:hint="eastAsia"/>
        </w:rPr>
        <w:t>由上表可知，本项目排放的</w:t>
      </w:r>
      <w:r w:rsidR="007D14E5">
        <w:rPr>
          <w:rFonts w:hint="eastAsia"/>
        </w:rPr>
        <w:t>非甲烷总烃</w:t>
      </w:r>
      <w:r w:rsidR="007D14E5">
        <w:rPr>
          <w:rFonts w:ascii="宋体" w:hAnsi="宋体"/>
        </w:rPr>
        <w:t>、</w:t>
      </w:r>
      <w:r w:rsidR="007D14E5" w:rsidRPr="00816834">
        <w:t>H</w:t>
      </w:r>
      <w:r w:rsidR="007D14E5" w:rsidRPr="00816834">
        <w:rPr>
          <w:vertAlign w:val="subscript"/>
        </w:rPr>
        <w:t>2</w:t>
      </w:r>
      <w:r w:rsidR="007D14E5" w:rsidRPr="00816834">
        <w:t>S</w:t>
      </w:r>
      <w:r w:rsidR="007D14E5">
        <w:rPr>
          <w:rFonts w:ascii="宋体" w:hAnsi="宋体" w:hint="eastAsia"/>
        </w:rPr>
        <w:t>、</w:t>
      </w:r>
      <w:r w:rsidR="007D14E5">
        <w:rPr>
          <w:rFonts w:hint="eastAsia"/>
        </w:rPr>
        <w:t>甲醇</w:t>
      </w:r>
      <w:r>
        <w:rPr>
          <w:rFonts w:ascii="宋体" w:hAnsi="宋体" w:hint="eastAsia"/>
        </w:rPr>
        <w:t>等</w:t>
      </w:r>
      <w:r>
        <w:rPr>
          <w:rFonts w:ascii="宋体" w:hAnsi="宋体"/>
        </w:rPr>
        <w:t>的厂界最大落地浓度贡献值均能达到厂界无组织监控点浓度要求，因此，本项目正常工况下各污染物排放浓度可做到厂界达标。</w:t>
      </w:r>
    </w:p>
    <w:p w:rsidR="004E3021" w:rsidRDefault="00606E48">
      <w:pPr>
        <w:spacing w:before="240" w:after="120"/>
        <w:ind w:firstLineChars="0" w:firstLine="0"/>
        <w:jc w:val="left"/>
        <w:outlineLvl w:val="2"/>
        <w:rPr>
          <w:rFonts w:eastAsia="黑体"/>
          <w:sz w:val="28"/>
          <w:szCs w:val="28"/>
        </w:rPr>
      </w:pPr>
      <w:bookmarkStart w:id="363" w:name="_Toc101135865"/>
      <w:bookmarkStart w:id="364" w:name="_Toc100784033"/>
      <w:bookmarkStart w:id="365" w:name="_Toc108662642"/>
      <w:bookmarkStart w:id="366" w:name="_Toc221088797"/>
      <w:bookmarkStart w:id="367" w:name="_Toc221501012"/>
      <w:r>
        <w:rPr>
          <w:rFonts w:eastAsia="黑体" w:hint="eastAsia"/>
          <w:sz w:val="28"/>
          <w:szCs w:val="28"/>
        </w:rPr>
        <w:t>5.1.</w:t>
      </w:r>
      <w:r>
        <w:rPr>
          <w:rFonts w:eastAsia="黑体"/>
          <w:sz w:val="28"/>
          <w:szCs w:val="28"/>
        </w:rPr>
        <w:t>8</w:t>
      </w:r>
      <w:r>
        <w:rPr>
          <w:rFonts w:ascii="黑体" w:eastAsia="黑体" w:hAnsi="黑体" w:hint="eastAsia"/>
          <w:sz w:val="28"/>
          <w:szCs w:val="28"/>
        </w:rPr>
        <w:t>环境防护距离</w:t>
      </w:r>
      <w:r>
        <w:rPr>
          <w:rFonts w:ascii="黑体" w:eastAsia="黑体" w:hAnsi="黑体"/>
          <w:sz w:val="28"/>
          <w:szCs w:val="28"/>
        </w:rPr>
        <w:t>设置</w:t>
      </w:r>
      <w:bookmarkEnd w:id="363"/>
      <w:bookmarkEnd w:id="364"/>
      <w:bookmarkEnd w:id="365"/>
      <w:bookmarkEnd w:id="366"/>
      <w:bookmarkEnd w:id="367"/>
    </w:p>
    <w:p w:rsidR="004E3021" w:rsidRDefault="00606E48">
      <w:pPr>
        <w:ind w:firstLine="480"/>
      </w:pPr>
      <w:r>
        <w:rPr>
          <w:rFonts w:ascii="宋体" w:hAnsi="宋体"/>
        </w:rPr>
        <w:t>（</w:t>
      </w:r>
      <w:r>
        <w:t>1</w:t>
      </w:r>
      <w:r>
        <w:rPr>
          <w:rFonts w:ascii="宋体" w:hAnsi="宋体"/>
        </w:rPr>
        <w:t>）大气环境防护距离计算</w:t>
      </w:r>
    </w:p>
    <w:p w:rsidR="004E3021" w:rsidRDefault="00606E48">
      <w:pPr>
        <w:ind w:firstLine="480"/>
      </w:pPr>
      <w:r>
        <w:rPr>
          <w:rFonts w:ascii="宋体" w:hAnsi="宋体" w:hint="eastAsia"/>
        </w:rPr>
        <w:t>依据《环境影响评价技术导则</w:t>
      </w:r>
      <w:r>
        <w:rPr>
          <w:rFonts w:hint="eastAsia"/>
        </w:rPr>
        <w:t xml:space="preserve"> </w:t>
      </w:r>
      <w:r>
        <w:rPr>
          <w:rFonts w:hint="eastAsia"/>
        </w:rPr>
        <w:t>大气环境》（</w:t>
      </w:r>
      <w:r>
        <w:t>HJ2.2-2018</w:t>
      </w:r>
      <w:r>
        <w:rPr>
          <w:rFonts w:ascii="宋体" w:hAnsi="宋体"/>
        </w:rPr>
        <w:t>），采用</w:t>
      </w:r>
      <w:r>
        <w:t>AERMOD</w:t>
      </w:r>
      <w:r>
        <w:rPr>
          <w:rFonts w:ascii="宋体" w:hAnsi="宋体"/>
        </w:rPr>
        <w:t>模式进行预测，结果表明厂界浓度满足大气污染物厂界浓度限值，厂界外大气污染物短期贡献浓度未超过环境质量浓度限值，因此本项目无需设置大气环境防护距离。</w:t>
      </w:r>
    </w:p>
    <w:p w:rsidR="004E3021" w:rsidRDefault="00606E48">
      <w:pPr>
        <w:ind w:firstLine="480"/>
      </w:pPr>
      <w:r>
        <w:rPr>
          <w:rFonts w:ascii="宋体" w:hAnsi="宋体" w:hint="eastAsia"/>
        </w:rPr>
        <w:t>（</w:t>
      </w:r>
      <w:r>
        <w:rPr>
          <w:rFonts w:hint="eastAsia"/>
        </w:rPr>
        <w:t>2</w:t>
      </w:r>
      <w:r>
        <w:rPr>
          <w:rFonts w:ascii="宋体" w:hAnsi="宋体" w:hint="eastAsia"/>
        </w:rPr>
        <w:t>）风险</w:t>
      </w:r>
      <w:r>
        <w:rPr>
          <w:rFonts w:ascii="宋体" w:hAnsi="宋体"/>
        </w:rPr>
        <w:t>防护距离</w:t>
      </w:r>
    </w:p>
    <w:p w:rsidR="00DC005A" w:rsidRDefault="00606E48" w:rsidP="00DC005A">
      <w:pPr>
        <w:ind w:firstLine="480"/>
      </w:pPr>
      <w:r>
        <w:rPr>
          <w:rFonts w:ascii="宋体" w:hAnsi="宋体" w:hint="eastAsia"/>
        </w:rPr>
        <w:t>根据报告</w:t>
      </w:r>
      <w:r>
        <w:rPr>
          <w:rFonts w:hint="eastAsia"/>
        </w:rPr>
        <w:t>5.6</w:t>
      </w:r>
      <w:r>
        <w:rPr>
          <w:rFonts w:ascii="宋体" w:hAnsi="宋体" w:hint="eastAsia"/>
        </w:rPr>
        <w:t>章节，</w:t>
      </w:r>
      <w:r w:rsidR="00DC005A">
        <w:rPr>
          <w:rFonts w:hint="eastAsia"/>
        </w:rPr>
        <w:t>在</w:t>
      </w:r>
      <w:r w:rsidR="00DC005A">
        <w:t>D</w:t>
      </w:r>
      <w:r w:rsidR="00DC005A">
        <w:t>稳定度下，</w:t>
      </w:r>
      <w:r w:rsidR="00DC005A">
        <w:rPr>
          <w:rFonts w:hint="eastAsia"/>
        </w:rPr>
        <w:t>甲醇储罐</w:t>
      </w:r>
      <w:r w:rsidR="00DC005A">
        <w:t>泄漏火灾</w:t>
      </w:r>
      <w:r w:rsidR="00DC005A">
        <w:rPr>
          <w:rFonts w:hint="eastAsia"/>
        </w:rPr>
        <w:t>次生</w:t>
      </w:r>
      <w:r w:rsidR="00DC005A">
        <w:t>事故</w:t>
      </w:r>
      <w:r w:rsidR="00DC005A">
        <w:rPr>
          <w:rFonts w:hint="eastAsia"/>
        </w:rPr>
        <w:t>产生</w:t>
      </w:r>
      <w:r w:rsidR="00DC005A">
        <w:t>的</w:t>
      </w:r>
      <w:r w:rsidR="00DC005A">
        <w:rPr>
          <w:rFonts w:hint="eastAsia"/>
        </w:rPr>
        <w:t>一氧化碳</w:t>
      </w:r>
      <w:r w:rsidR="00DC005A">
        <w:t>30min</w:t>
      </w:r>
      <w:r w:rsidR="00DC005A">
        <w:rPr>
          <w:rFonts w:hint="eastAsia"/>
        </w:rPr>
        <w:t>达到</w:t>
      </w:r>
      <w:r w:rsidR="00DC005A">
        <w:t>毒性终点浓度</w:t>
      </w:r>
      <w:r w:rsidR="00DC005A">
        <w:rPr>
          <w:rFonts w:hint="eastAsia"/>
        </w:rPr>
        <w:t>-</w:t>
      </w:r>
      <w:r w:rsidR="00DC005A">
        <w:t>2</w:t>
      </w:r>
      <w:r w:rsidR="00DC005A">
        <w:rPr>
          <w:rFonts w:hint="eastAsia"/>
        </w:rPr>
        <w:t>最大出现距离为甲醇储罐</w:t>
      </w:r>
      <w:r w:rsidR="00DC005A">
        <w:t>下风向</w:t>
      </w:r>
      <w:r w:rsidR="00DC005A">
        <w:t>80m</w:t>
      </w:r>
      <w:r w:rsidR="00DC005A">
        <w:rPr>
          <w:rFonts w:hint="eastAsia"/>
        </w:rPr>
        <w:t>（超</w:t>
      </w:r>
      <w:r w:rsidR="00DC005A">
        <w:t>厂界</w:t>
      </w:r>
      <w:r w:rsidR="00DC005A">
        <w:rPr>
          <w:rFonts w:hint="eastAsia"/>
        </w:rPr>
        <w:t>外</w:t>
      </w:r>
      <w:r w:rsidR="00DC005A">
        <w:t>6</w:t>
      </w:r>
      <w:r w:rsidR="00DC005A">
        <w:rPr>
          <w:rFonts w:hint="eastAsia"/>
        </w:rPr>
        <w:t>0</w:t>
      </w:r>
      <w:r w:rsidR="00DC005A">
        <w:t>m</w:t>
      </w:r>
      <w:r w:rsidR="00DC005A">
        <w:rPr>
          <w:rFonts w:hint="eastAsia"/>
        </w:rPr>
        <w:t>）；最大浓度</w:t>
      </w:r>
      <w:r w:rsidR="00DC005A">
        <w:t>未超过</w:t>
      </w:r>
      <w:r w:rsidR="00DC005A">
        <w:rPr>
          <w:rFonts w:hint="eastAsia"/>
        </w:rPr>
        <w:t>毒性终点</w:t>
      </w:r>
      <w:r w:rsidR="00DC005A">
        <w:t>浓度</w:t>
      </w:r>
      <w:r w:rsidR="00DC005A">
        <w:t>-1</w:t>
      </w:r>
      <w:r w:rsidR="00DC005A">
        <w:rPr>
          <w:rFonts w:hint="eastAsia"/>
        </w:rPr>
        <w:t>，</w:t>
      </w:r>
      <w:r w:rsidR="00DC005A">
        <w:t>无对应位置</w:t>
      </w:r>
      <w:r w:rsidR="00DC005A">
        <w:rPr>
          <w:rFonts w:hint="eastAsia"/>
        </w:rPr>
        <w:t>。</w:t>
      </w:r>
    </w:p>
    <w:p w:rsidR="00DC005A" w:rsidRDefault="00DC005A" w:rsidP="00DC005A">
      <w:pPr>
        <w:ind w:firstLine="480"/>
      </w:pPr>
      <w:r>
        <w:rPr>
          <w:rFonts w:hint="eastAsia"/>
        </w:rPr>
        <w:t>在</w:t>
      </w:r>
      <w:r>
        <w:t>F</w:t>
      </w:r>
      <w:r>
        <w:t>稳定度下，</w:t>
      </w:r>
      <w:r>
        <w:rPr>
          <w:rFonts w:hint="eastAsia"/>
        </w:rPr>
        <w:t>甲醇储罐</w:t>
      </w:r>
      <w:r>
        <w:t>泄漏火灾</w:t>
      </w:r>
      <w:r>
        <w:rPr>
          <w:rFonts w:hint="eastAsia"/>
        </w:rPr>
        <w:t>次生</w:t>
      </w:r>
      <w:r>
        <w:t>事故</w:t>
      </w:r>
      <w:r>
        <w:rPr>
          <w:rFonts w:hint="eastAsia"/>
        </w:rPr>
        <w:t>产生</w:t>
      </w:r>
      <w:r>
        <w:t>的</w:t>
      </w:r>
      <w:r>
        <w:rPr>
          <w:rFonts w:hint="eastAsia"/>
        </w:rPr>
        <w:t>一氧化碳</w:t>
      </w:r>
      <w:r>
        <w:t>30min</w:t>
      </w:r>
      <w:r>
        <w:rPr>
          <w:rFonts w:hint="eastAsia"/>
        </w:rPr>
        <w:t>达到</w:t>
      </w:r>
      <w:r>
        <w:t>毒性终点浓度</w:t>
      </w:r>
      <w:r>
        <w:rPr>
          <w:rFonts w:hint="eastAsia"/>
        </w:rPr>
        <w:t>-</w:t>
      </w:r>
      <w:r>
        <w:t>2</w:t>
      </w:r>
      <w:r>
        <w:rPr>
          <w:rFonts w:hint="eastAsia"/>
        </w:rPr>
        <w:t>最大出现距离为甲醇储罐</w:t>
      </w:r>
      <w:r>
        <w:t>下风向</w:t>
      </w:r>
      <w:r>
        <w:t>190m</w:t>
      </w:r>
      <w:r>
        <w:rPr>
          <w:rFonts w:hint="eastAsia"/>
        </w:rPr>
        <w:t>（超</w:t>
      </w:r>
      <w:r>
        <w:t>厂界</w:t>
      </w:r>
      <w:r>
        <w:rPr>
          <w:rFonts w:hint="eastAsia"/>
        </w:rPr>
        <w:t>外</w:t>
      </w:r>
      <w:r>
        <w:t>17</w:t>
      </w:r>
      <w:r>
        <w:rPr>
          <w:rFonts w:hint="eastAsia"/>
        </w:rPr>
        <w:t>0</w:t>
      </w:r>
      <w:r>
        <w:t>m</w:t>
      </w:r>
      <w:r>
        <w:rPr>
          <w:rFonts w:hint="eastAsia"/>
        </w:rPr>
        <w:t>）；达到</w:t>
      </w:r>
      <w:r>
        <w:t>毒性终点浓度</w:t>
      </w:r>
      <w:r>
        <w:rPr>
          <w:rFonts w:hint="eastAsia"/>
        </w:rPr>
        <w:t>-</w:t>
      </w:r>
      <w:r>
        <w:t>1</w:t>
      </w:r>
      <w:r>
        <w:rPr>
          <w:rFonts w:hint="eastAsia"/>
        </w:rPr>
        <w:t>最大出现距离为甲醇储罐</w:t>
      </w:r>
      <w:r>
        <w:t>下风向</w:t>
      </w:r>
      <w:r>
        <w:t>60m</w:t>
      </w:r>
      <w:r>
        <w:t>（</w:t>
      </w:r>
      <w:r>
        <w:rPr>
          <w:rFonts w:hint="eastAsia"/>
        </w:rPr>
        <w:t>超厂界外</w:t>
      </w:r>
      <w:r>
        <w:t>4</w:t>
      </w:r>
      <w:r>
        <w:rPr>
          <w:rFonts w:hint="eastAsia"/>
        </w:rPr>
        <w:t>0</w:t>
      </w:r>
      <w:r>
        <w:t>m</w:t>
      </w:r>
      <w:r>
        <w:t>）</w:t>
      </w:r>
      <w:r>
        <w:rPr>
          <w:rFonts w:hint="eastAsia"/>
        </w:rPr>
        <w:t>。</w:t>
      </w:r>
    </w:p>
    <w:p w:rsidR="00DC005A" w:rsidRDefault="00DC005A" w:rsidP="00DC005A">
      <w:pPr>
        <w:ind w:firstLine="480"/>
      </w:pPr>
      <w:r>
        <w:rPr>
          <w:rFonts w:hint="eastAsia"/>
        </w:rPr>
        <w:t>在</w:t>
      </w:r>
      <w:r>
        <w:t>D</w:t>
      </w:r>
      <w:r>
        <w:t>稳定度下，</w:t>
      </w:r>
      <w:r>
        <w:rPr>
          <w:rFonts w:hint="eastAsia"/>
        </w:rPr>
        <w:t>乙炔气柜</w:t>
      </w:r>
      <w:r>
        <w:t>泄漏事故</w:t>
      </w:r>
      <w:r>
        <w:rPr>
          <w:rFonts w:hint="eastAsia"/>
        </w:rPr>
        <w:t>产生</w:t>
      </w:r>
      <w:r>
        <w:t>的</w:t>
      </w:r>
      <w:r>
        <w:rPr>
          <w:rFonts w:hint="eastAsia"/>
        </w:rPr>
        <w:t>乙炔</w:t>
      </w:r>
      <w:r>
        <w:t>30min</w:t>
      </w:r>
      <w:r>
        <w:rPr>
          <w:rFonts w:hint="eastAsia"/>
        </w:rPr>
        <w:t>未达到</w:t>
      </w:r>
      <w:r>
        <w:t>毒性终点浓度</w:t>
      </w:r>
      <w:r>
        <w:rPr>
          <w:rFonts w:hint="eastAsia"/>
        </w:rPr>
        <w:t>-</w:t>
      </w:r>
      <w:r>
        <w:t>2</w:t>
      </w:r>
      <w:r>
        <w:rPr>
          <w:rFonts w:hint="eastAsia"/>
        </w:rPr>
        <w:t>；未达到</w:t>
      </w:r>
      <w:r>
        <w:t>毒性终点浓度</w:t>
      </w:r>
      <w:r>
        <w:rPr>
          <w:rFonts w:hint="eastAsia"/>
        </w:rPr>
        <w:t>-</w:t>
      </w:r>
      <w:r>
        <w:t>1</w:t>
      </w:r>
      <w:r>
        <w:rPr>
          <w:rFonts w:hint="eastAsia"/>
        </w:rPr>
        <w:t>。</w:t>
      </w:r>
    </w:p>
    <w:p w:rsidR="00DC005A" w:rsidRDefault="00DC005A" w:rsidP="00DC005A">
      <w:pPr>
        <w:ind w:firstLine="480"/>
      </w:pPr>
      <w:r>
        <w:rPr>
          <w:rFonts w:hint="eastAsia"/>
        </w:rPr>
        <w:t>在</w:t>
      </w:r>
      <w:r>
        <w:t>F</w:t>
      </w:r>
      <w:r>
        <w:t>稳定度下，</w:t>
      </w:r>
      <w:r>
        <w:rPr>
          <w:rFonts w:hint="eastAsia"/>
        </w:rPr>
        <w:t>乙炔气柜</w:t>
      </w:r>
      <w:r>
        <w:t>泄漏事故</w:t>
      </w:r>
      <w:r>
        <w:rPr>
          <w:rFonts w:hint="eastAsia"/>
        </w:rPr>
        <w:t>产生</w:t>
      </w:r>
      <w:r>
        <w:t>的</w:t>
      </w:r>
      <w:r>
        <w:rPr>
          <w:rFonts w:hint="eastAsia"/>
        </w:rPr>
        <w:t>乙炔</w:t>
      </w:r>
      <w:r>
        <w:t>30min</w:t>
      </w:r>
      <w:r>
        <w:rPr>
          <w:rFonts w:hint="eastAsia"/>
        </w:rPr>
        <w:t>未达到</w:t>
      </w:r>
      <w:r>
        <w:t>毒性终点浓度</w:t>
      </w:r>
      <w:r>
        <w:rPr>
          <w:rFonts w:hint="eastAsia"/>
        </w:rPr>
        <w:t>-</w:t>
      </w:r>
      <w:r>
        <w:t>2</w:t>
      </w:r>
      <w:r>
        <w:rPr>
          <w:rFonts w:hint="eastAsia"/>
        </w:rPr>
        <w:t>；未达到</w:t>
      </w:r>
      <w:r>
        <w:t>毒性终点浓度</w:t>
      </w:r>
      <w:r>
        <w:rPr>
          <w:rFonts w:hint="eastAsia"/>
        </w:rPr>
        <w:t>-</w:t>
      </w:r>
      <w:r>
        <w:t>1</w:t>
      </w:r>
      <w:r>
        <w:rPr>
          <w:rFonts w:hint="eastAsia"/>
        </w:rPr>
        <w:t>。</w:t>
      </w:r>
    </w:p>
    <w:p w:rsidR="00DC005A" w:rsidRDefault="00DC005A" w:rsidP="00DC005A">
      <w:pPr>
        <w:ind w:firstLine="480"/>
        <w:rPr>
          <w:color w:val="000000" w:themeColor="text1"/>
        </w:rPr>
      </w:pPr>
      <w:r>
        <w:rPr>
          <w:color w:val="000000" w:themeColor="text1"/>
        </w:rPr>
        <w:t>在</w:t>
      </w:r>
      <w:r>
        <w:rPr>
          <w:rFonts w:hint="eastAsia"/>
          <w:color w:val="000000" w:themeColor="text1"/>
        </w:rPr>
        <w:t>D</w:t>
      </w:r>
      <w:r>
        <w:rPr>
          <w:color w:val="000000" w:themeColor="text1"/>
        </w:rPr>
        <w:t>气象条件下，</w:t>
      </w:r>
      <w:r>
        <w:rPr>
          <w:rFonts w:hint="eastAsia"/>
          <w:color w:val="000000" w:themeColor="text1"/>
        </w:rPr>
        <w:t>氨水储罐与管线连接处</w:t>
      </w:r>
      <w:r>
        <w:rPr>
          <w:color w:val="000000" w:themeColor="text1"/>
        </w:rPr>
        <w:t>泄漏事故产生的</w:t>
      </w:r>
      <w:r>
        <w:rPr>
          <w:color w:val="000000" w:themeColor="text1"/>
        </w:rPr>
        <w:t>NH</w:t>
      </w:r>
      <w:r w:rsidRPr="00BF33CA">
        <w:rPr>
          <w:color w:val="000000" w:themeColor="text1"/>
          <w:vertAlign w:val="subscript"/>
        </w:rPr>
        <w:t>3</w:t>
      </w:r>
      <w:r w:rsidRPr="00470A35">
        <w:rPr>
          <w:rFonts w:hint="eastAsia"/>
          <w:color w:val="000000" w:themeColor="text1"/>
        </w:rPr>
        <w:t>未</w:t>
      </w:r>
      <w:r>
        <w:rPr>
          <w:color w:val="000000" w:themeColor="text1"/>
        </w:rPr>
        <w:t>达到毒性终点浓度</w:t>
      </w:r>
      <w:r>
        <w:rPr>
          <w:color w:val="000000" w:themeColor="text1"/>
        </w:rPr>
        <w:t>-2</w:t>
      </w:r>
      <w:r>
        <w:rPr>
          <w:color w:val="000000" w:themeColor="text1"/>
        </w:rPr>
        <w:t>；</w:t>
      </w:r>
      <w:r>
        <w:rPr>
          <w:rFonts w:hint="eastAsia"/>
          <w:color w:val="000000" w:themeColor="text1"/>
        </w:rPr>
        <w:t>未</w:t>
      </w:r>
      <w:r>
        <w:rPr>
          <w:color w:val="000000" w:themeColor="text1"/>
        </w:rPr>
        <w:t>达到毒性终点浓度</w:t>
      </w:r>
      <w:r>
        <w:rPr>
          <w:color w:val="000000" w:themeColor="text1"/>
        </w:rPr>
        <w:t>-1</w:t>
      </w:r>
      <w:r>
        <w:rPr>
          <w:color w:val="000000" w:themeColor="text1"/>
        </w:rPr>
        <w:t>。</w:t>
      </w:r>
    </w:p>
    <w:p w:rsidR="00DC005A" w:rsidRDefault="00DC005A" w:rsidP="00DC005A">
      <w:pPr>
        <w:ind w:firstLine="480"/>
      </w:pPr>
      <w:r>
        <w:rPr>
          <w:color w:val="000000" w:themeColor="text1"/>
        </w:rPr>
        <w:t>在</w:t>
      </w:r>
      <w:r>
        <w:rPr>
          <w:rFonts w:hint="eastAsia"/>
          <w:color w:val="000000" w:themeColor="text1"/>
        </w:rPr>
        <w:t>F</w:t>
      </w:r>
      <w:r>
        <w:rPr>
          <w:color w:val="000000" w:themeColor="text1"/>
        </w:rPr>
        <w:t>气象条件下，</w:t>
      </w:r>
      <w:r>
        <w:rPr>
          <w:rFonts w:hint="eastAsia"/>
          <w:color w:val="000000" w:themeColor="text1"/>
        </w:rPr>
        <w:t>氨水储罐与管线连接处</w:t>
      </w:r>
      <w:r>
        <w:rPr>
          <w:color w:val="000000" w:themeColor="text1"/>
        </w:rPr>
        <w:t>泄漏事故产生的</w:t>
      </w:r>
      <w:r>
        <w:rPr>
          <w:color w:val="000000" w:themeColor="text1"/>
        </w:rPr>
        <w:t>NH</w:t>
      </w:r>
      <w:r w:rsidRPr="00BF33CA">
        <w:rPr>
          <w:color w:val="000000" w:themeColor="text1"/>
          <w:vertAlign w:val="subscript"/>
        </w:rPr>
        <w:t>3</w:t>
      </w:r>
      <w:r>
        <w:rPr>
          <w:color w:val="000000" w:themeColor="text1"/>
        </w:rPr>
        <w:t>达到毒性终点浓度</w:t>
      </w:r>
      <w:r>
        <w:rPr>
          <w:color w:val="000000" w:themeColor="text1"/>
        </w:rPr>
        <w:t>-2</w:t>
      </w:r>
      <w:r>
        <w:rPr>
          <w:color w:val="000000" w:themeColor="text1"/>
        </w:rPr>
        <w:t>最大出现距离为</w:t>
      </w:r>
      <w:r>
        <w:rPr>
          <w:rFonts w:hint="eastAsia"/>
          <w:color w:val="000000" w:themeColor="text1"/>
        </w:rPr>
        <w:t>液氨</w:t>
      </w:r>
      <w:r>
        <w:rPr>
          <w:color w:val="000000" w:themeColor="text1"/>
        </w:rPr>
        <w:t>储罐下风向</w:t>
      </w:r>
      <w:r>
        <w:rPr>
          <w:color w:val="000000" w:themeColor="text1"/>
        </w:rPr>
        <w:t>395m</w:t>
      </w:r>
      <w:r>
        <w:rPr>
          <w:color w:val="000000" w:themeColor="text1"/>
        </w:rPr>
        <w:t>（超厂界外</w:t>
      </w:r>
      <w:r>
        <w:rPr>
          <w:color w:val="000000" w:themeColor="text1"/>
        </w:rPr>
        <w:t>375m</w:t>
      </w:r>
      <w:r>
        <w:rPr>
          <w:color w:val="000000" w:themeColor="text1"/>
        </w:rPr>
        <w:t>）；</w:t>
      </w:r>
      <w:r>
        <w:rPr>
          <w:rFonts w:hint="eastAsia"/>
          <w:color w:val="000000" w:themeColor="text1"/>
        </w:rPr>
        <w:t>未</w:t>
      </w:r>
      <w:r>
        <w:rPr>
          <w:color w:val="000000" w:themeColor="text1"/>
        </w:rPr>
        <w:t>达到毒性终点浓度</w:t>
      </w:r>
      <w:r>
        <w:rPr>
          <w:color w:val="000000" w:themeColor="text1"/>
        </w:rPr>
        <w:t>-1</w:t>
      </w:r>
      <w:r>
        <w:rPr>
          <w:color w:val="000000" w:themeColor="text1"/>
        </w:rPr>
        <w:t>。</w:t>
      </w:r>
    </w:p>
    <w:p w:rsidR="004E3021" w:rsidRDefault="00606E48">
      <w:pPr>
        <w:ind w:firstLine="480"/>
      </w:pPr>
      <w:r>
        <w:rPr>
          <w:rFonts w:ascii="宋体" w:hAnsi="宋体" w:hint="eastAsia"/>
        </w:rPr>
        <w:t>本项目</w:t>
      </w:r>
      <w:r>
        <w:rPr>
          <w:rFonts w:ascii="宋体" w:hAnsi="宋体"/>
        </w:rPr>
        <w:t>以厂界外扩</w:t>
      </w:r>
      <w:r>
        <w:t>5</w:t>
      </w:r>
      <w:r>
        <w:rPr>
          <w:rFonts w:hint="eastAsia"/>
        </w:rPr>
        <w:t>00m</w:t>
      </w:r>
      <w:r>
        <w:rPr>
          <w:rFonts w:ascii="宋体" w:hAnsi="宋体" w:hint="eastAsia"/>
        </w:rPr>
        <w:t>设置环境</w:t>
      </w:r>
      <w:r>
        <w:rPr>
          <w:rFonts w:ascii="宋体" w:hAnsi="宋体"/>
        </w:rPr>
        <w:t>防护距离。</w:t>
      </w:r>
    </w:p>
    <w:p w:rsidR="004E3021" w:rsidRDefault="00606E48">
      <w:pPr>
        <w:ind w:firstLine="480"/>
      </w:pPr>
      <w:r>
        <w:rPr>
          <w:rFonts w:ascii="宋体" w:hAnsi="宋体" w:hint="eastAsia"/>
        </w:rPr>
        <w:lastRenderedPageBreak/>
        <w:t>（</w:t>
      </w:r>
      <w:r>
        <w:t>3</w:t>
      </w:r>
      <w:r>
        <w:rPr>
          <w:rFonts w:ascii="宋体" w:hAnsi="宋体" w:hint="eastAsia"/>
        </w:rPr>
        <w:t>）环境</w:t>
      </w:r>
      <w:r>
        <w:rPr>
          <w:rFonts w:ascii="宋体" w:hAnsi="宋体"/>
        </w:rPr>
        <w:t>防护距离设置</w:t>
      </w:r>
    </w:p>
    <w:p w:rsidR="004E3021" w:rsidRDefault="00606E48">
      <w:pPr>
        <w:ind w:firstLine="480"/>
      </w:pPr>
      <w:r>
        <w:rPr>
          <w:rFonts w:ascii="宋体" w:hAnsi="宋体" w:hint="eastAsia"/>
        </w:rPr>
        <w:t>根据大气防护距离及风险防护距离综合判定，本项目环境防护距离为</w:t>
      </w:r>
      <w:r>
        <w:t>500m</w:t>
      </w:r>
      <w:r>
        <w:rPr>
          <w:rFonts w:ascii="宋体" w:hAnsi="宋体" w:hint="eastAsia"/>
        </w:rPr>
        <w:t>范围。目前在此范围内没有居民点以及学校、医院等敏感目标，今后该防护距离范围内也不得新建居民、学校、医院等环境敏感目标。本项目环境防护距离包络线见附图</w:t>
      </w:r>
      <w:r>
        <w:rPr>
          <w:rFonts w:hint="eastAsia"/>
        </w:rPr>
        <w:t>5.1.</w:t>
      </w:r>
      <w:r>
        <w:t>8</w:t>
      </w:r>
      <w:r>
        <w:rPr>
          <w:rFonts w:hint="eastAsia"/>
        </w:rPr>
        <w:t>-1</w:t>
      </w:r>
      <w:r>
        <w:rPr>
          <w:rFonts w:ascii="宋体" w:hAnsi="宋体" w:hint="eastAsia"/>
        </w:rPr>
        <w:t>。</w:t>
      </w:r>
    </w:p>
    <w:p w:rsidR="004E3021" w:rsidRDefault="00606E48">
      <w:pPr>
        <w:pStyle w:val="afffffffffffffffff4"/>
      </w:pPr>
      <w:bookmarkStart w:id="368" w:name="_Toc108662643"/>
      <w:bookmarkStart w:id="369" w:name="_Toc100784034"/>
      <w:bookmarkStart w:id="370" w:name="_Toc101135866"/>
      <w:bookmarkStart w:id="371" w:name="_Toc221088798"/>
      <w:bookmarkStart w:id="372" w:name="_Toc221501013"/>
      <w:r>
        <w:rPr>
          <w:rFonts w:hint="eastAsia"/>
        </w:rPr>
        <w:t>5.1.</w:t>
      </w:r>
      <w:r>
        <w:t>9</w:t>
      </w:r>
      <w:r>
        <w:rPr>
          <w:rFonts w:hint="eastAsia"/>
        </w:rPr>
        <w:t>污染物</w:t>
      </w:r>
      <w:r>
        <w:t>排放量核算</w:t>
      </w:r>
      <w:bookmarkEnd w:id="368"/>
      <w:bookmarkEnd w:id="369"/>
      <w:bookmarkEnd w:id="370"/>
      <w:bookmarkEnd w:id="371"/>
      <w:bookmarkEnd w:id="372"/>
    </w:p>
    <w:p w:rsidR="004E3021" w:rsidRDefault="00606E48">
      <w:pPr>
        <w:ind w:firstLine="480"/>
      </w:pPr>
      <w:r>
        <w:rPr>
          <w:rFonts w:ascii="宋体" w:hAnsi="宋体" w:hint="eastAsia"/>
        </w:rPr>
        <w:t>（</w:t>
      </w:r>
      <w:r>
        <w:rPr>
          <w:rFonts w:hint="eastAsia"/>
        </w:rPr>
        <w:t>1</w:t>
      </w:r>
      <w:r>
        <w:rPr>
          <w:rFonts w:ascii="宋体" w:hAnsi="宋体" w:hint="eastAsia"/>
        </w:rPr>
        <w:t>）有组织</w:t>
      </w:r>
      <w:r>
        <w:rPr>
          <w:rFonts w:ascii="宋体" w:hAnsi="宋体"/>
        </w:rPr>
        <w:t>排放量核算</w:t>
      </w:r>
    </w:p>
    <w:p w:rsidR="00973949" w:rsidRPr="00D14DE4" w:rsidRDefault="00973949" w:rsidP="00973949">
      <w:pPr>
        <w:pStyle w:val="afffff4"/>
        <w:ind w:firstLine="480"/>
        <w:rPr>
          <w:color w:val="FF0000"/>
        </w:rPr>
      </w:pPr>
      <w:r w:rsidRPr="00D14DE4">
        <w:rPr>
          <w:rFonts w:hint="eastAsia"/>
          <w:color w:val="FF0000"/>
        </w:rPr>
        <w:t>涉及商业机密，已删除</w:t>
      </w:r>
    </w:p>
    <w:p w:rsidR="004E3021" w:rsidRPr="00973949" w:rsidRDefault="004E3021">
      <w:pPr>
        <w:pStyle w:val="afffff4"/>
        <w:ind w:firstLine="480"/>
      </w:pPr>
    </w:p>
    <w:p w:rsidR="004E3021" w:rsidRDefault="00606E48">
      <w:pPr>
        <w:ind w:firstLine="480"/>
        <w:rPr>
          <w:rFonts w:ascii="宋体" w:hAnsi="宋体"/>
        </w:rPr>
      </w:pPr>
      <w:r>
        <w:rPr>
          <w:rFonts w:ascii="宋体" w:hAnsi="宋体" w:hint="eastAsia"/>
        </w:rPr>
        <w:t>（</w:t>
      </w:r>
      <w:r>
        <w:rPr>
          <w:rFonts w:hint="eastAsia"/>
        </w:rPr>
        <w:t>2</w:t>
      </w:r>
      <w:r>
        <w:rPr>
          <w:rFonts w:ascii="宋体" w:hAnsi="宋体" w:hint="eastAsia"/>
        </w:rPr>
        <w:t>）无组织排放量</w:t>
      </w:r>
      <w:r>
        <w:rPr>
          <w:rFonts w:ascii="宋体" w:hAnsi="宋体"/>
        </w:rPr>
        <w:t>核算</w:t>
      </w:r>
    </w:p>
    <w:p w:rsidR="00973949" w:rsidRPr="00D14DE4" w:rsidRDefault="00973949" w:rsidP="00973949">
      <w:pPr>
        <w:pStyle w:val="afffff4"/>
        <w:ind w:firstLine="480"/>
        <w:rPr>
          <w:color w:val="FF0000"/>
        </w:rPr>
      </w:pPr>
      <w:r w:rsidRPr="00D14DE4">
        <w:rPr>
          <w:rFonts w:hint="eastAsia"/>
          <w:color w:val="FF0000"/>
        </w:rPr>
        <w:t>涉及商业机密，已删除</w:t>
      </w:r>
    </w:p>
    <w:p w:rsidR="004E3021" w:rsidRPr="00973949" w:rsidRDefault="004E3021">
      <w:pPr>
        <w:pStyle w:val="afffff4"/>
        <w:ind w:firstLine="480"/>
      </w:pPr>
    </w:p>
    <w:p w:rsidR="004E3021" w:rsidRDefault="00606E48">
      <w:pPr>
        <w:ind w:firstLine="480"/>
        <w:rPr>
          <w:rFonts w:ascii="宋体" w:hAnsi="宋体"/>
        </w:rPr>
      </w:pPr>
      <w:r>
        <w:rPr>
          <w:rFonts w:ascii="宋体" w:hAnsi="宋体" w:hint="eastAsia"/>
        </w:rPr>
        <w:t>（</w:t>
      </w:r>
      <w:r>
        <w:rPr>
          <w:rFonts w:hint="eastAsia"/>
        </w:rPr>
        <w:t>3</w:t>
      </w:r>
      <w:r>
        <w:rPr>
          <w:rFonts w:ascii="宋体" w:hAnsi="宋体" w:hint="eastAsia"/>
        </w:rPr>
        <w:t>）大气污染物</w:t>
      </w:r>
      <w:r>
        <w:rPr>
          <w:rFonts w:ascii="宋体" w:hAnsi="宋体"/>
        </w:rPr>
        <w:t>年排放量核算表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4E3021" w:rsidRPr="00973949" w:rsidRDefault="004E3021">
      <w:pPr>
        <w:pStyle w:val="afffff4"/>
        <w:ind w:firstLine="480"/>
      </w:pPr>
    </w:p>
    <w:p w:rsidR="004E3021" w:rsidRDefault="00606E48">
      <w:pPr>
        <w:ind w:firstLine="480"/>
      </w:pPr>
      <w:r>
        <w:rPr>
          <w:rFonts w:ascii="宋体" w:hAnsi="宋体" w:hint="eastAsia"/>
        </w:rPr>
        <w:t>（</w:t>
      </w:r>
      <w:r>
        <w:t>4</w:t>
      </w:r>
      <w:r>
        <w:rPr>
          <w:rFonts w:ascii="宋体" w:hAnsi="宋体" w:hint="eastAsia"/>
        </w:rPr>
        <w:t>）非正常排放</w:t>
      </w:r>
      <w:r>
        <w:rPr>
          <w:rFonts w:ascii="宋体" w:hAnsi="宋体"/>
        </w:rPr>
        <w:t>核算表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4E3021" w:rsidRPr="00973949" w:rsidRDefault="004E3021">
      <w:pPr>
        <w:pStyle w:val="afffff4"/>
        <w:ind w:firstLine="480"/>
        <w:rPr>
          <w:rFonts w:ascii="黑体" w:hAnsi="黑体"/>
        </w:rPr>
      </w:pPr>
    </w:p>
    <w:p w:rsidR="004E3021" w:rsidRDefault="00606E48">
      <w:pPr>
        <w:pStyle w:val="afffffffffffffffff4"/>
      </w:pPr>
      <w:bookmarkStart w:id="373" w:name="_Toc108662644"/>
      <w:bookmarkStart w:id="374" w:name="_Toc101135867"/>
      <w:bookmarkStart w:id="375" w:name="_Toc100784035"/>
      <w:bookmarkStart w:id="376" w:name="_Toc221088799"/>
      <w:bookmarkStart w:id="377" w:name="_Toc221501014"/>
      <w:r>
        <w:rPr>
          <w:rFonts w:hint="eastAsia"/>
        </w:rPr>
        <w:t>5.1.</w:t>
      </w:r>
      <w:r>
        <w:t>10</w:t>
      </w:r>
      <w:r>
        <w:rPr>
          <w:rFonts w:hint="eastAsia"/>
        </w:rPr>
        <w:t>大气环境</w:t>
      </w:r>
      <w:r>
        <w:t>影响评价小结</w:t>
      </w:r>
      <w:bookmarkEnd w:id="373"/>
      <w:bookmarkEnd w:id="374"/>
      <w:bookmarkEnd w:id="375"/>
      <w:bookmarkEnd w:id="376"/>
      <w:bookmarkEnd w:id="377"/>
    </w:p>
    <w:p w:rsidR="004E3021" w:rsidRDefault="00606E48">
      <w:pPr>
        <w:ind w:firstLine="480"/>
      </w:pPr>
      <w:r>
        <w:rPr>
          <w:rFonts w:ascii="宋体" w:hAnsi="宋体" w:hint="eastAsia"/>
        </w:rPr>
        <w:t>（</w:t>
      </w:r>
      <w:r>
        <w:t>1</w:t>
      </w:r>
      <w:r>
        <w:rPr>
          <w:rFonts w:ascii="宋体" w:hAnsi="宋体"/>
        </w:rPr>
        <w:t>）</w:t>
      </w:r>
      <w:r>
        <w:rPr>
          <w:rFonts w:ascii="宋体" w:hAnsi="宋体" w:hint="eastAsia"/>
        </w:rPr>
        <w:t>正常工况下</w:t>
      </w:r>
      <w:r>
        <w:rPr>
          <w:rFonts w:ascii="宋体" w:hAnsi="宋体"/>
        </w:rPr>
        <w:t>采用</w:t>
      </w:r>
      <w:r>
        <w:t>202</w:t>
      </w:r>
      <w:r w:rsidR="005A3F4E">
        <w:t>3</w:t>
      </w:r>
      <w:r>
        <w:rPr>
          <w:rFonts w:ascii="宋体" w:hAnsi="宋体"/>
        </w:rPr>
        <w:t>年全年气象资料逐时、逐日计算项目排放的污染物在评价区域及保护目标贡献值。评价范围内</w:t>
      </w:r>
      <w:r>
        <w:rPr>
          <w:rFonts w:hint="eastAsia"/>
        </w:rPr>
        <w:t>甲醇</w:t>
      </w:r>
      <w:r>
        <w:rPr>
          <w:rFonts w:ascii="宋体" w:hAnsi="宋体" w:hint="eastAsia"/>
        </w:rPr>
        <w:t>、</w:t>
      </w:r>
      <w:r>
        <w:rPr>
          <w:rFonts w:hint="eastAsia"/>
        </w:rPr>
        <w:t>PM</w:t>
      </w:r>
      <w:r>
        <w:rPr>
          <w:rFonts w:hint="eastAsia"/>
          <w:vertAlign w:val="subscript"/>
        </w:rPr>
        <w:t>10</w:t>
      </w:r>
      <w:r>
        <w:rPr>
          <w:rFonts w:ascii="宋体" w:hAnsi="宋体" w:hint="eastAsia"/>
        </w:rPr>
        <w:t>、</w:t>
      </w:r>
      <w:r>
        <w:t>PM</w:t>
      </w:r>
      <w:r>
        <w:rPr>
          <w:vertAlign w:val="subscript"/>
        </w:rPr>
        <w:t>2.5</w:t>
      </w:r>
      <w:r>
        <w:rPr>
          <w:rFonts w:ascii="宋体" w:hAnsi="宋体"/>
        </w:rPr>
        <w:t>、</w:t>
      </w:r>
      <w:r>
        <w:t>NH</w:t>
      </w:r>
      <w:r>
        <w:rPr>
          <w:vertAlign w:val="subscript"/>
        </w:rPr>
        <w:t>3</w:t>
      </w:r>
      <w:r>
        <w:rPr>
          <w:rFonts w:ascii="宋体" w:hAnsi="宋体"/>
        </w:rPr>
        <w:t>、</w:t>
      </w:r>
      <w:r>
        <w:rPr>
          <w:rFonts w:hint="eastAsia"/>
        </w:rPr>
        <w:t>非甲烷总烃</w:t>
      </w:r>
      <w:r>
        <w:rPr>
          <w:rFonts w:ascii="宋体" w:hAnsi="宋体" w:hint="eastAsia"/>
        </w:rPr>
        <w:t>短期浓度（</w:t>
      </w:r>
      <w:r>
        <w:rPr>
          <w:rFonts w:ascii="宋体" w:hAnsi="宋体"/>
        </w:rPr>
        <w:t>小时平均、日平均</w:t>
      </w:r>
      <w:r>
        <w:rPr>
          <w:rFonts w:ascii="宋体" w:hAnsi="宋体" w:hint="eastAsia"/>
        </w:rPr>
        <w:t>）贡献值</w:t>
      </w:r>
      <w:r>
        <w:rPr>
          <w:rFonts w:ascii="宋体" w:hAnsi="宋体"/>
        </w:rPr>
        <w:t>保护目标和网格点最大占标率为</w:t>
      </w:r>
      <w:r>
        <w:t>PM</w:t>
      </w:r>
      <w:r>
        <w:rPr>
          <w:vertAlign w:val="subscript"/>
        </w:rPr>
        <w:t>10</w:t>
      </w:r>
      <w:r>
        <w:rPr>
          <w:rFonts w:ascii="宋体" w:hAnsi="宋体"/>
        </w:rPr>
        <w:t>、</w:t>
      </w:r>
      <w:r>
        <w:t>PM</w:t>
      </w:r>
      <w:r>
        <w:rPr>
          <w:vertAlign w:val="subscript"/>
        </w:rPr>
        <w:t>2.5</w:t>
      </w:r>
      <w:r>
        <w:t xml:space="preserve"> </w:t>
      </w:r>
      <w:r w:rsidR="000D72A1">
        <w:t>0.827</w:t>
      </w:r>
      <w:r>
        <w:t>%</w:t>
      </w:r>
      <w:r>
        <w:t>＜</w:t>
      </w:r>
      <w:r>
        <w:t>100%</w:t>
      </w:r>
      <w:r>
        <w:rPr>
          <w:color w:val="000000" w:themeColor="text1"/>
        </w:rPr>
        <w:t>，</w:t>
      </w:r>
      <w:r>
        <w:rPr>
          <w:rFonts w:ascii="宋体" w:hAnsi="宋体"/>
          <w:color w:val="000000" w:themeColor="text1"/>
        </w:rPr>
        <w:t>年平均贡献值保护目标和网格点最大占标率为</w:t>
      </w:r>
      <w:r>
        <w:rPr>
          <w:color w:val="000000" w:themeColor="text1"/>
        </w:rPr>
        <w:t>PM</w:t>
      </w:r>
      <w:r>
        <w:rPr>
          <w:color w:val="000000" w:themeColor="text1"/>
          <w:vertAlign w:val="subscript"/>
        </w:rPr>
        <w:t>10</w:t>
      </w:r>
      <w:r>
        <w:rPr>
          <w:rFonts w:ascii="宋体" w:hAnsi="宋体"/>
          <w:color w:val="000000" w:themeColor="text1"/>
        </w:rPr>
        <w:t>、</w:t>
      </w:r>
      <w:r>
        <w:rPr>
          <w:color w:val="000000" w:themeColor="text1"/>
        </w:rPr>
        <w:t>PM</w:t>
      </w:r>
      <w:r>
        <w:rPr>
          <w:color w:val="000000" w:themeColor="text1"/>
          <w:vertAlign w:val="subscript"/>
        </w:rPr>
        <w:t>2.5</w:t>
      </w:r>
      <w:r>
        <w:rPr>
          <w:color w:val="000000" w:themeColor="text1"/>
        </w:rPr>
        <w:t xml:space="preserve"> </w:t>
      </w:r>
      <w:r w:rsidR="000D72A1">
        <w:rPr>
          <w:color w:val="000000" w:themeColor="text1"/>
        </w:rPr>
        <w:t>0.201</w:t>
      </w:r>
      <w:r>
        <w:rPr>
          <w:color w:val="000000" w:themeColor="text1"/>
        </w:rPr>
        <w:t>%</w:t>
      </w:r>
      <w:r>
        <w:rPr>
          <w:rFonts w:ascii="宋体" w:hAnsi="宋体"/>
          <w:color w:val="000000" w:themeColor="text1"/>
        </w:rPr>
        <w:t>＜</w:t>
      </w:r>
      <w:r>
        <w:rPr>
          <w:color w:val="000000" w:themeColor="text1"/>
        </w:rPr>
        <w:t>30%</w:t>
      </w:r>
      <w:r>
        <w:rPr>
          <w:rFonts w:ascii="宋体" w:hAnsi="宋体"/>
        </w:rPr>
        <w:t>。叠加现状浓度、本项目污染源、</w:t>
      </w:r>
      <w:r>
        <w:rPr>
          <w:rFonts w:ascii="宋体" w:hAnsi="宋体" w:hint="eastAsia"/>
        </w:rPr>
        <w:t>区域同期</w:t>
      </w:r>
      <w:r>
        <w:rPr>
          <w:rFonts w:ascii="宋体" w:hAnsi="宋体"/>
        </w:rPr>
        <w:t>拟建、在建</w:t>
      </w:r>
      <w:r>
        <w:rPr>
          <w:rFonts w:ascii="宋体" w:hAnsi="宋体" w:hint="eastAsia"/>
        </w:rPr>
        <w:t>项目污染源</w:t>
      </w:r>
      <w:r>
        <w:rPr>
          <w:rFonts w:ascii="宋体" w:hAnsi="宋体"/>
        </w:rPr>
        <w:t>的环境影响后，现状达标的污染物</w:t>
      </w:r>
      <w:r>
        <w:t>NH</w:t>
      </w:r>
      <w:r>
        <w:rPr>
          <w:vertAlign w:val="subscript"/>
        </w:rPr>
        <w:t>3</w:t>
      </w:r>
      <w:r>
        <w:rPr>
          <w:rFonts w:hint="eastAsia"/>
        </w:rPr>
        <w:t>、</w:t>
      </w:r>
      <w:r>
        <w:t>甲醇</w:t>
      </w:r>
      <w:r>
        <w:rPr>
          <w:rFonts w:ascii="宋体" w:hAnsi="宋体"/>
        </w:rPr>
        <w:t>和</w:t>
      </w:r>
      <w:r>
        <w:rPr>
          <w:rFonts w:hint="eastAsia"/>
        </w:rPr>
        <w:t>非甲烷总烃</w:t>
      </w:r>
      <w:r>
        <w:rPr>
          <w:rFonts w:ascii="宋体" w:hAnsi="宋体"/>
        </w:rPr>
        <w:t>保护目标和网格点的短期浓度符合环境质量标准。在</w:t>
      </w:r>
      <w:r>
        <w:rPr>
          <w:rFonts w:ascii="宋体" w:hAnsi="宋体" w:hint="eastAsia"/>
        </w:rPr>
        <w:t>落实达标</w:t>
      </w:r>
      <w:r>
        <w:rPr>
          <w:rFonts w:ascii="宋体" w:hAnsi="宋体"/>
        </w:rPr>
        <w:t>规划后，现状超标的污染物</w:t>
      </w:r>
      <w:r>
        <w:t>PM</w:t>
      </w:r>
      <w:r>
        <w:rPr>
          <w:vertAlign w:val="subscript"/>
        </w:rPr>
        <w:t>2.5</w:t>
      </w:r>
      <w:r>
        <w:rPr>
          <w:rFonts w:ascii="宋体" w:hAnsi="宋体"/>
        </w:rPr>
        <w:t>预测范围内年平均质量浓度变化率</w:t>
      </w:r>
      <w:r>
        <w:t>k</w:t>
      </w:r>
      <w:r>
        <w:rPr>
          <w:rFonts w:ascii="宋体" w:hAnsi="宋体"/>
        </w:rPr>
        <w:t>为</w:t>
      </w:r>
      <w:r>
        <w:t>-9</w:t>
      </w:r>
      <w:r w:rsidR="000D72A1">
        <w:t>4.34</w:t>
      </w:r>
      <w:r>
        <w:t>%≤-20%</w:t>
      </w:r>
      <w:r>
        <w:rPr>
          <w:rFonts w:ascii="宋体" w:hAnsi="宋体"/>
        </w:rPr>
        <w:t>。</w:t>
      </w:r>
    </w:p>
    <w:p w:rsidR="004E3021" w:rsidRDefault="00606E48">
      <w:pPr>
        <w:ind w:firstLine="480"/>
      </w:pPr>
      <w:r>
        <w:rPr>
          <w:rFonts w:ascii="宋体" w:hAnsi="宋体" w:hint="eastAsia"/>
        </w:rPr>
        <w:t>（</w:t>
      </w:r>
      <w:r>
        <w:rPr>
          <w:rFonts w:hint="eastAsia"/>
        </w:rPr>
        <w:t>2</w:t>
      </w:r>
      <w:r>
        <w:rPr>
          <w:rFonts w:ascii="宋体" w:hAnsi="宋体" w:hint="eastAsia"/>
        </w:rPr>
        <w:t>）</w:t>
      </w:r>
      <w:r w:rsidR="000D72A1">
        <w:rPr>
          <w:rFonts w:ascii="宋体" w:hAnsi="宋体"/>
        </w:rPr>
        <w:t>在非正常情况下，各污染物对外环境影响贡献值较正常工况明显增加</w:t>
      </w:r>
      <w:r>
        <w:rPr>
          <w:rFonts w:ascii="宋体" w:hAnsi="宋体"/>
        </w:rPr>
        <w:t>。需要</w:t>
      </w:r>
      <w:r>
        <w:rPr>
          <w:rFonts w:ascii="宋体" w:hAnsi="宋体"/>
        </w:rPr>
        <w:lastRenderedPageBreak/>
        <w:t>避免事故发生，加强预警，同时加强废气处理设施的维护和管理，及时更换易损部件，确保废气治理措施的正常运转，杜绝废气处理设施故障发生。</w:t>
      </w:r>
    </w:p>
    <w:p w:rsidR="004E3021" w:rsidRDefault="00606E48">
      <w:pPr>
        <w:ind w:firstLine="480"/>
      </w:pPr>
      <w:r>
        <w:rPr>
          <w:rFonts w:ascii="宋体" w:hAnsi="宋体" w:hint="eastAsia"/>
        </w:rPr>
        <w:t>（</w:t>
      </w:r>
      <w:r>
        <w:rPr>
          <w:rFonts w:hint="eastAsia"/>
        </w:rPr>
        <w:t>3</w:t>
      </w:r>
      <w:r>
        <w:rPr>
          <w:rFonts w:ascii="宋体" w:hAnsi="宋体" w:hint="eastAsia"/>
        </w:rPr>
        <w:t>）本项目</w:t>
      </w:r>
      <w:r>
        <w:rPr>
          <w:rFonts w:hint="eastAsia"/>
        </w:rPr>
        <w:t>非甲烷总烃</w:t>
      </w:r>
      <w:r>
        <w:rPr>
          <w:rFonts w:ascii="宋体" w:hAnsi="宋体"/>
        </w:rPr>
        <w:t>、</w:t>
      </w:r>
      <w:r>
        <w:t>NH</w:t>
      </w:r>
      <w:r>
        <w:rPr>
          <w:vertAlign w:val="subscript"/>
        </w:rPr>
        <w:t>3</w:t>
      </w:r>
      <w:r>
        <w:rPr>
          <w:rFonts w:ascii="宋体" w:hAnsi="宋体" w:hint="eastAsia"/>
        </w:rPr>
        <w:t>、</w:t>
      </w:r>
      <w:r>
        <w:rPr>
          <w:rFonts w:hint="eastAsia"/>
        </w:rPr>
        <w:t>甲醇、</w:t>
      </w:r>
      <w:r>
        <w:t>PM</w:t>
      </w:r>
      <w:r>
        <w:rPr>
          <w:vertAlign w:val="subscript"/>
        </w:rPr>
        <w:t>10</w:t>
      </w:r>
      <w:r>
        <w:rPr>
          <w:rFonts w:ascii="宋体" w:hAnsi="宋体"/>
        </w:rPr>
        <w:t>、</w:t>
      </w:r>
      <w:r>
        <w:rPr>
          <w:rFonts w:hint="eastAsia"/>
        </w:rPr>
        <w:t>P</w:t>
      </w:r>
      <w:r>
        <w:t>M</w:t>
      </w:r>
      <w:r>
        <w:rPr>
          <w:vertAlign w:val="subscript"/>
        </w:rPr>
        <w:t>2.5</w:t>
      </w:r>
      <w:r>
        <w:rPr>
          <w:rFonts w:ascii="宋体" w:hAnsi="宋体" w:hint="eastAsia"/>
        </w:rPr>
        <w:t>、</w:t>
      </w:r>
      <w:r w:rsidR="000D72A1">
        <w:rPr>
          <w:rFonts w:ascii="宋体" w:hAnsi="宋体" w:hint="eastAsia"/>
        </w:rPr>
        <w:t>硫化氢</w:t>
      </w:r>
      <w:r>
        <w:rPr>
          <w:rFonts w:ascii="宋体" w:hAnsi="宋体" w:hint="eastAsia"/>
        </w:rPr>
        <w:t>厂界浓度满足大气污染物厂界浓度限值。</w:t>
      </w:r>
    </w:p>
    <w:p w:rsidR="004E3021" w:rsidRDefault="00606E48">
      <w:pPr>
        <w:ind w:firstLine="480"/>
      </w:pPr>
      <w:r>
        <w:rPr>
          <w:rFonts w:ascii="宋体" w:hAnsi="宋体" w:hint="eastAsia"/>
        </w:rPr>
        <w:t>（</w:t>
      </w:r>
      <w:r>
        <w:rPr>
          <w:rFonts w:hint="eastAsia"/>
        </w:rPr>
        <w:t>4</w:t>
      </w:r>
      <w:r>
        <w:rPr>
          <w:rFonts w:ascii="宋体" w:hAnsi="宋体" w:hint="eastAsia"/>
        </w:rPr>
        <w:t>）厂界外大气污染物短期贡献浓度未超过环境质量浓度限值，因此本项目无需设置大气环境防护距离。</w:t>
      </w:r>
    </w:p>
    <w:p w:rsidR="004E3021" w:rsidRDefault="00606E48">
      <w:pPr>
        <w:ind w:firstLine="480"/>
      </w:pPr>
      <w:r>
        <w:rPr>
          <w:rFonts w:ascii="宋体" w:hAnsi="宋体" w:hint="eastAsia"/>
        </w:rPr>
        <w:t>（</w:t>
      </w:r>
      <w:r>
        <w:rPr>
          <w:rFonts w:hint="eastAsia"/>
        </w:rPr>
        <w:t>5</w:t>
      </w:r>
      <w:r>
        <w:rPr>
          <w:rFonts w:ascii="宋体" w:hAnsi="宋体" w:hint="eastAsia"/>
        </w:rPr>
        <w:t>）</w:t>
      </w:r>
      <w:r>
        <w:rPr>
          <w:rFonts w:ascii="宋体" w:hAnsi="宋体"/>
        </w:rPr>
        <w:t>本项目设置</w:t>
      </w:r>
      <w:r>
        <w:t>500m</w:t>
      </w:r>
      <w:r>
        <w:rPr>
          <w:rFonts w:ascii="宋体" w:hAnsi="宋体" w:hint="eastAsia"/>
        </w:rPr>
        <w:t>环境防护距离，目前在此范围内没有居民点以及学校、医院等敏感目标，今后该防护距离范围内也不得新建居民、学校、医院等环境敏感目标。</w:t>
      </w:r>
    </w:p>
    <w:p w:rsidR="004E3021" w:rsidRDefault="00606E48">
      <w:pPr>
        <w:ind w:firstLine="480"/>
      </w:pPr>
      <w:r>
        <w:rPr>
          <w:rFonts w:ascii="宋体" w:hAnsi="宋体" w:hint="eastAsia"/>
        </w:rPr>
        <w:t>（</w:t>
      </w:r>
      <w:r>
        <w:rPr>
          <w:rFonts w:hint="eastAsia"/>
        </w:rPr>
        <w:t>6</w:t>
      </w:r>
      <w:r>
        <w:rPr>
          <w:rFonts w:ascii="宋体" w:hAnsi="宋体" w:hint="eastAsia"/>
        </w:rPr>
        <w:t>）大气环境影响自查表</w:t>
      </w:r>
    </w:p>
    <w:p w:rsidR="004E3021" w:rsidRDefault="00606E48">
      <w:pPr>
        <w:ind w:firstLine="480"/>
      </w:pPr>
      <w:r>
        <w:rPr>
          <w:rFonts w:ascii="宋体" w:hAnsi="宋体" w:hint="eastAsia"/>
        </w:rPr>
        <w:t>本次大气环境影响评价后，对大气环境影响评价主要内容与结论进行自查，详见表</w:t>
      </w:r>
      <w:r>
        <w:t>5.1.10-1</w:t>
      </w:r>
      <w:r>
        <w:rPr>
          <w:rFonts w:ascii="宋体" w:hAnsi="宋体" w:hint="eastAsia"/>
        </w:rPr>
        <w:t>。</w:t>
      </w:r>
    </w:p>
    <w:p w:rsidR="004E3021" w:rsidRDefault="00606E48">
      <w:pPr>
        <w:pStyle w:val="afffff4"/>
        <w:ind w:firstLine="480"/>
      </w:pPr>
      <w:r>
        <w:rPr>
          <w:rFonts w:ascii="黑体" w:hAnsi="黑体" w:hint="eastAsia"/>
        </w:rPr>
        <w:t>表</w:t>
      </w:r>
      <w:r>
        <w:t xml:space="preserve">5.1.10-1  </w:t>
      </w:r>
      <w:r>
        <w:rPr>
          <w:rFonts w:ascii="黑体" w:hAnsi="黑体" w:hint="eastAsia"/>
        </w:rPr>
        <w:t>大气环境影响评价自查表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4E3021" w:rsidRDefault="00606E48">
      <w:pPr>
        <w:ind w:firstLine="480"/>
      </w:pPr>
      <w:r>
        <w:t xml:space="preserve"> </w:t>
      </w:r>
    </w:p>
    <w:p w:rsidR="004E3021" w:rsidRDefault="004E3021">
      <w:pPr>
        <w:widowControl/>
        <w:ind w:firstLineChars="0" w:firstLine="0"/>
        <w:jc w:val="left"/>
        <w:rPr>
          <w:rFonts w:eastAsia="黑体"/>
          <w:sz w:val="32"/>
          <w:szCs w:val="32"/>
        </w:rPr>
        <w:sectPr w:rsidR="004E3021">
          <w:pgSz w:w="11907" w:h="16840"/>
          <w:pgMar w:top="1440" w:right="1440" w:bottom="1440" w:left="1440" w:header="851" w:footer="992" w:gutter="0"/>
          <w:cols w:space="720"/>
          <w:docGrid w:type="lines" w:linePitch="326"/>
        </w:sectPr>
      </w:pPr>
    </w:p>
    <w:p w:rsidR="004E3021" w:rsidRDefault="00606E48">
      <w:pPr>
        <w:pStyle w:val="afffffffffffffffff3"/>
      </w:pPr>
      <w:bookmarkStart w:id="378" w:name="_Toc221501015"/>
      <w:r>
        <w:rPr>
          <w:rFonts w:hint="eastAsia"/>
        </w:rPr>
        <w:lastRenderedPageBreak/>
        <w:t>5.2</w:t>
      </w:r>
      <w:r>
        <w:rPr>
          <w:rFonts w:hint="eastAsia"/>
        </w:rPr>
        <w:t>地表水</w:t>
      </w:r>
      <w:r>
        <w:t>环境影响分析</w:t>
      </w:r>
      <w:bookmarkEnd w:id="378"/>
    </w:p>
    <w:p w:rsidR="004E3021" w:rsidRDefault="00606E48">
      <w:pPr>
        <w:spacing w:before="240" w:after="120"/>
        <w:ind w:firstLineChars="0" w:firstLine="0"/>
        <w:jc w:val="left"/>
        <w:outlineLvl w:val="2"/>
        <w:rPr>
          <w:rFonts w:eastAsia="黑体"/>
          <w:sz w:val="28"/>
          <w:szCs w:val="28"/>
        </w:rPr>
      </w:pPr>
      <w:bookmarkStart w:id="379" w:name="_Toc101135869"/>
      <w:bookmarkStart w:id="380" w:name="_Toc100784037"/>
      <w:bookmarkStart w:id="381" w:name="_Toc108662646"/>
      <w:bookmarkStart w:id="382" w:name="_Toc221088801"/>
      <w:bookmarkStart w:id="383" w:name="_Toc221501016"/>
      <w:r>
        <w:rPr>
          <w:rFonts w:eastAsia="黑体" w:hint="eastAsia"/>
          <w:sz w:val="28"/>
          <w:szCs w:val="28"/>
        </w:rPr>
        <w:t>5.2.1</w:t>
      </w:r>
      <w:r>
        <w:rPr>
          <w:rFonts w:ascii="黑体" w:eastAsia="黑体" w:hAnsi="黑体" w:hint="eastAsia"/>
          <w:sz w:val="28"/>
          <w:szCs w:val="28"/>
        </w:rPr>
        <w:t>地表水</w:t>
      </w:r>
      <w:r>
        <w:rPr>
          <w:rFonts w:ascii="黑体" w:eastAsia="黑体" w:hAnsi="黑体"/>
          <w:sz w:val="28"/>
          <w:szCs w:val="28"/>
        </w:rPr>
        <w:t>环境影响分析</w:t>
      </w:r>
      <w:bookmarkEnd w:id="379"/>
      <w:bookmarkEnd w:id="380"/>
      <w:bookmarkEnd w:id="381"/>
      <w:bookmarkEnd w:id="382"/>
      <w:bookmarkEnd w:id="383"/>
    </w:p>
    <w:p w:rsidR="004E3021" w:rsidRDefault="00606E48">
      <w:pPr>
        <w:ind w:firstLine="480"/>
      </w:pPr>
      <w:r>
        <w:rPr>
          <w:rFonts w:ascii="宋体" w:hAnsi="宋体" w:hint="eastAsia"/>
        </w:rPr>
        <w:t>厂内实行</w:t>
      </w:r>
      <w:r>
        <w:rPr>
          <w:rFonts w:ascii="宋体" w:hAnsi="宋体"/>
        </w:rPr>
        <w:t>雨污分流，</w:t>
      </w:r>
      <w:r>
        <w:t>纯水制备</w:t>
      </w:r>
      <w:r>
        <w:rPr>
          <w:rFonts w:hint="eastAsia"/>
        </w:rPr>
        <w:t>排</w:t>
      </w:r>
      <w:r>
        <w:t>水</w:t>
      </w:r>
      <w:r>
        <w:rPr>
          <w:rFonts w:hint="eastAsia"/>
        </w:rPr>
        <w:t>和循环冷却水排</w:t>
      </w:r>
      <w:r>
        <w:t>水</w:t>
      </w:r>
      <w:r>
        <w:rPr>
          <w:rFonts w:hint="eastAsia"/>
        </w:rPr>
        <w:t>直接</w:t>
      </w:r>
      <w:r>
        <w:t>接入总排口；工艺废水、设备冲洗废水、</w:t>
      </w:r>
      <w:r>
        <w:rPr>
          <w:rFonts w:hint="eastAsia"/>
        </w:rPr>
        <w:t>废气处理</w:t>
      </w:r>
      <w:r>
        <w:t>设施</w:t>
      </w:r>
      <w:r>
        <w:rPr>
          <w:rFonts w:hint="eastAsia"/>
        </w:rPr>
        <w:t>排水</w:t>
      </w:r>
      <w:r>
        <w:t>、地</w:t>
      </w:r>
      <w:r>
        <w:rPr>
          <w:rFonts w:hint="eastAsia"/>
        </w:rPr>
        <w:t>面</w:t>
      </w:r>
      <w:r>
        <w:t>冲洗废水、</w:t>
      </w:r>
      <w:r>
        <w:rPr>
          <w:rFonts w:hint="eastAsia"/>
        </w:rPr>
        <w:t>再生水</w:t>
      </w:r>
      <w:r>
        <w:t>、实验室废水、生活污水</w:t>
      </w:r>
      <w:r>
        <w:rPr>
          <w:rFonts w:hint="eastAsia"/>
        </w:rPr>
        <w:t>和</w:t>
      </w:r>
      <w:r>
        <w:t>初期雨水等</w:t>
      </w:r>
      <w:r>
        <w:rPr>
          <w:rFonts w:ascii="宋体" w:hAnsi="宋体" w:hint="eastAsia"/>
        </w:rPr>
        <w:t>经</w:t>
      </w:r>
      <w:r>
        <w:rPr>
          <w:rFonts w:hint="eastAsia"/>
        </w:rPr>
        <w:t>“调节池</w:t>
      </w:r>
      <w:r>
        <w:rPr>
          <w:rFonts w:hint="eastAsia"/>
        </w:rPr>
        <w:t>+</w:t>
      </w:r>
      <w:r>
        <w:rPr>
          <w:rFonts w:hint="eastAsia"/>
        </w:rPr>
        <w:t>混凝沉淀</w:t>
      </w:r>
      <w:r>
        <w:rPr>
          <w:rFonts w:hint="eastAsia"/>
        </w:rPr>
        <w:t>+</w:t>
      </w:r>
      <w:r>
        <w:rPr>
          <w:rFonts w:hint="eastAsia"/>
        </w:rPr>
        <w:t>水解酸化</w:t>
      </w:r>
      <w:r w:rsidR="00361EDD" w:rsidRPr="00361EDD">
        <w:rPr>
          <w:rFonts w:hint="eastAsia"/>
        </w:rPr>
        <w:t>+</w:t>
      </w:r>
      <w:r w:rsidR="00361EDD" w:rsidRPr="00361EDD">
        <w:rPr>
          <w:rFonts w:hint="eastAsia"/>
        </w:rPr>
        <w:t>好氧</w:t>
      </w:r>
      <w:r>
        <w:rPr>
          <w:rFonts w:hint="eastAsia"/>
        </w:rPr>
        <w:t>+MBR</w:t>
      </w:r>
      <w:r>
        <w:rPr>
          <w:rFonts w:ascii="宋体" w:hAnsi="宋体" w:hint="eastAsia"/>
        </w:rPr>
        <w:t>”处理达标后接管沫河口</w:t>
      </w:r>
      <w:r>
        <w:rPr>
          <w:rFonts w:ascii="宋体" w:hAnsi="宋体"/>
        </w:rPr>
        <w:t>污水处理厂</w:t>
      </w:r>
      <w:r>
        <w:rPr>
          <w:rFonts w:ascii="宋体" w:hAnsi="宋体" w:hint="eastAsia"/>
        </w:rPr>
        <w:t>。</w:t>
      </w:r>
    </w:p>
    <w:p w:rsidR="004E3021" w:rsidRDefault="00606E48">
      <w:pPr>
        <w:ind w:firstLine="480"/>
      </w:pPr>
      <w:r>
        <w:rPr>
          <w:rFonts w:ascii="宋体" w:hAnsi="宋体" w:hint="eastAsia"/>
        </w:rPr>
        <w:t>项目废水</w:t>
      </w:r>
      <w:r>
        <w:rPr>
          <w:rFonts w:ascii="宋体" w:hAnsi="宋体"/>
        </w:rPr>
        <w:t>总排放量为</w:t>
      </w:r>
      <w:r w:rsidR="00EC5E7D">
        <w:t>153863.239</w:t>
      </w:r>
      <w:r>
        <w:t>t/a</w:t>
      </w:r>
      <w:r>
        <w:rPr>
          <w:rFonts w:ascii="宋体" w:hAnsi="宋体" w:hint="eastAsia"/>
        </w:rPr>
        <w:t>，通过</w:t>
      </w:r>
      <w:r>
        <w:rPr>
          <w:rFonts w:ascii="宋体" w:hAnsi="宋体"/>
        </w:rPr>
        <w:t>污水管网接管</w:t>
      </w:r>
      <w:r>
        <w:rPr>
          <w:rFonts w:ascii="宋体" w:hAnsi="宋体" w:hint="eastAsia"/>
        </w:rPr>
        <w:t>沫河口污水处理厂，</w:t>
      </w:r>
      <w:r>
        <w:rPr>
          <w:rFonts w:ascii="宋体" w:hAnsi="宋体"/>
        </w:rPr>
        <w:t>经</w:t>
      </w:r>
      <w:r>
        <w:rPr>
          <w:rFonts w:ascii="宋体" w:hAnsi="宋体" w:hint="eastAsia"/>
        </w:rPr>
        <w:t>污水厂处理</w:t>
      </w:r>
      <w:r>
        <w:rPr>
          <w:rFonts w:ascii="宋体" w:hAnsi="宋体"/>
        </w:rPr>
        <w:t>达到《城镇污水处理厂污染物排放标准》（</w:t>
      </w:r>
      <w:r>
        <w:t>GB18918-2002</w:t>
      </w:r>
      <w:r>
        <w:rPr>
          <w:rFonts w:ascii="宋体" w:hAnsi="宋体"/>
        </w:rPr>
        <w:t>）中一级</w:t>
      </w:r>
      <w:r>
        <w:t>A</w:t>
      </w:r>
      <w:r>
        <w:rPr>
          <w:rFonts w:ascii="宋体" w:hAnsi="宋体"/>
        </w:rPr>
        <w:t>标准，尾水最终</w:t>
      </w:r>
      <w:r>
        <w:rPr>
          <w:rFonts w:ascii="宋体" w:hAnsi="宋体" w:hint="eastAsia"/>
        </w:rPr>
        <w:t>汇入</w:t>
      </w:r>
      <w:r>
        <w:rPr>
          <w:rFonts w:ascii="宋体" w:hAnsi="宋体"/>
        </w:rPr>
        <w:t>淮河</w:t>
      </w:r>
      <w:r>
        <w:rPr>
          <w:rFonts w:ascii="宋体" w:hAnsi="宋体" w:hint="eastAsia"/>
        </w:rPr>
        <w:t>。根据</w:t>
      </w:r>
      <w:r>
        <w:rPr>
          <w:rFonts w:ascii="宋体" w:hAnsi="宋体"/>
        </w:rPr>
        <w:t>《</w:t>
      </w:r>
      <w:r>
        <w:rPr>
          <w:rFonts w:ascii="宋体" w:hAnsi="宋体" w:hint="eastAsia"/>
        </w:rPr>
        <w:t>蚌埠第三污水</w:t>
      </w:r>
      <w:r>
        <w:rPr>
          <w:rFonts w:ascii="宋体" w:hAnsi="宋体"/>
        </w:rPr>
        <w:t>处理有限公司沫河口污水处理厂三期工程环境影响报告书》</w:t>
      </w:r>
      <w:r>
        <w:rPr>
          <w:rFonts w:ascii="宋体" w:hAnsi="宋体" w:hint="eastAsia"/>
        </w:rPr>
        <w:t>中对</w:t>
      </w:r>
      <w:r>
        <w:rPr>
          <w:rFonts w:ascii="宋体" w:hAnsi="宋体"/>
        </w:rPr>
        <w:t>地表水影响分析</w:t>
      </w:r>
      <w:r>
        <w:rPr>
          <w:rFonts w:ascii="宋体" w:hAnsi="宋体" w:hint="eastAsia"/>
        </w:rPr>
        <w:t>结论，</w:t>
      </w:r>
      <w:r>
        <w:rPr>
          <w:rFonts w:hint="eastAsia"/>
        </w:rPr>
        <w:t>“</w:t>
      </w:r>
      <w:r>
        <w:t>COD</w:t>
      </w:r>
      <w:r>
        <w:rPr>
          <w:rFonts w:ascii="宋体" w:hAnsi="宋体" w:hint="eastAsia"/>
        </w:rPr>
        <w:t>、</w:t>
      </w:r>
      <w:r>
        <w:t>NH</w:t>
      </w:r>
      <w:r>
        <w:rPr>
          <w:vertAlign w:val="subscript"/>
        </w:rPr>
        <w:t>3</w:t>
      </w:r>
      <w:r>
        <w:t>-N</w:t>
      </w:r>
      <w:r>
        <w:rPr>
          <w:rFonts w:ascii="宋体" w:hAnsi="宋体" w:hint="eastAsia"/>
        </w:rPr>
        <w:t>预测浓度在淮河蚌埠段丰水期、枯水期评价范围内均能满足《地表水环境质量标准》（</w:t>
      </w:r>
      <w:r>
        <w:t>GB3838-2002</w:t>
      </w:r>
      <w:r>
        <w:rPr>
          <w:rFonts w:ascii="宋体" w:hAnsi="宋体" w:hint="eastAsia"/>
        </w:rPr>
        <w:t>）中的</w:t>
      </w:r>
      <w:r>
        <w:t>III</w:t>
      </w:r>
      <w:r>
        <w:rPr>
          <w:rFonts w:ascii="宋体" w:hAnsi="宋体" w:hint="eastAsia"/>
        </w:rPr>
        <w:t>类标准，废水污染源较施行前有一定程度削减，降低区域水环境影响以达到改善区域水环境质量的目的。污水厂</w:t>
      </w:r>
      <w:r>
        <w:rPr>
          <w:rFonts w:ascii="宋体" w:hAnsi="宋体"/>
        </w:rPr>
        <w:t>三期工程建成运行后，</w:t>
      </w:r>
      <w:r>
        <w:rPr>
          <w:rFonts w:ascii="宋体" w:hAnsi="宋体" w:hint="eastAsia"/>
        </w:rPr>
        <w:t>不会</w:t>
      </w:r>
      <w:r>
        <w:rPr>
          <w:rFonts w:ascii="宋体" w:hAnsi="宋体"/>
        </w:rPr>
        <w:t>改变排污口下游各断面的水环境功能级别，</w:t>
      </w:r>
      <w:r>
        <w:rPr>
          <w:rFonts w:ascii="宋体" w:hAnsi="宋体" w:hint="eastAsia"/>
        </w:rPr>
        <w:t>依然满足</w:t>
      </w:r>
      <w:r>
        <w:rPr>
          <w:rFonts w:ascii="宋体" w:hAnsi="宋体"/>
        </w:rPr>
        <w:t>《地表水环境质量标准》（</w:t>
      </w:r>
      <w:r>
        <w:t>GB3838-2002</w:t>
      </w:r>
      <w:r>
        <w:rPr>
          <w:rFonts w:ascii="宋体" w:hAnsi="宋体"/>
        </w:rPr>
        <w:t>）中的</w:t>
      </w:r>
      <w:r>
        <w:t>III</w:t>
      </w:r>
      <w:r>
        <w:rPr>
          <w:rFonts w:ascii="宋体" w:hAnsi="宋体"/>
        </w:rPr>
        <w:t>类标准</w:t>
      </w:r>
      <w:r>
        <w:rPr>
          <w:rFonts w:ascii="宋体" w:hAnsi="宋体" w:hint="eastAsia"/>
        </w:rPr>
        <w:t>要求</w:t>
      </w:r>
      <w:r>
        <w:rPr>
          <w:rFonts w:hint="eastAsia"/>
        </w:rPr>
        <w:t>”</w:t>
      </w:r>
      <w:r>
        <w:rPr>
          <w:rFonts w:ascii="宋体" w:hAnsi="宋体"/>
        </w:rPr>
        <w:t>。</w:t>
      </w: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sectPr w:rsidR="004E3021">
          <w:pgSz w:w="11907" w:h="16839"/>
          <w:pgMar w:top="1440" w:right="1440" w:bottom="1440" w:left="1440" w:header="851" w:footer="992" w:gutter="0"/>
          <w:cols w:space="425"/>
          <w:docGrid w:type="lines" w:linePitch="326"/>
        </w:sectPr>
      </w:pPr>
    </w:p>
    <w:p w:rsidR="004E3021" w:rsidRDefault="00606E48">
      <w:pPr>
        <w:spacing w:before="240" w:after="120"/>
        <w:ind w:firstLineChars="0" w:firstLine="0"/>
        <w:jc w:val="left"/>
        <w:outlineLvl w:val="2"/>
        <w:rPr>
          <w:rFonts w:eastAsia="黑体"/>
          <w:sz w:val="28"/>
          <w:szCs w:val="28"/>
        </w:rPr>
      </w:pPr>
      <w:bookmarkStart w:id="384" w:name="_Toc100784038"/>
      <w:bookmarkStart w:id="385" w:name="_Toc101135870"/>
      <w:bookmarkStart w:id="386" w:name="_Toc108662647"/>
      <w:bookmarkStart w:id="387" w:name="_Toc221088802"/>
      <w:bookmarkStart w:id="388" w:name="_Toc221501017"/>
      <w:r>
        <w:rPr>
          <w:rFonts w:eastAsia="黑体" w:hint="eastAsia"/>
          <w:sz w:val="28"/>
          <w:szCs w:val="28"/>
        </w:rPr>
        <w:lastRenderedPageBreak/>
        <w:t>5.2.2</w:t>
      </w:r>
      <w:r>
        <w:rPr>
          <w:rFonts w:ascii="黑体" w:eastAsia="黑体" w:hAnsi="黑体" w:hint="eastAsia"/>
          <w:sz w:val="28"/>
          <w:szCs w:val="28"/>
        </w:rPr>
        <w:t>废水污染物</w:t>
      </w:r>
      <w:r>
        <w:rPr>
          <w:rFonts w:ascii="黑体" w:eastAsia="黑体" w:hAnsi="黑体"/>
          <w:sz w:val="28"/>
          <w:szCs w:val="28"/>
        </w:rPr>
        <w:t>排放信息表</w:t>
      </w:r>
      <w:bookmarkEnd w:id="384"/>
      <w:bookmarkEnd w:id="385"/>
      <w:bookmarkEnd w:id="386"/>
      <w:bookmarkEnd w:id="387"/>
      <w:bookmarkEnd w:id="388"/>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hint="eastAsia"/>
        </w:rPr>
        <w:t>5.2.2</w:t>
      </w:r>
      <w:r>
        <w:rPr>
          <w:rFonts w:eastAsia="黑体"/>
        </w:rPr>
        <w:t xml:space="preserve">-1  </w:t>
      </w:r>
      <w:r>
        <w:rPr>
          <w:rFonts w:ascii="黑体" w:eastAsia="黑体" w:hAnsi="黑体" w:hint="eastAsia"/>
        </w:rPr>
        <w:t>废水类别</w:t>
      </w:r>
      <w:r>
        <w:rPr>
          <w:rFonts w:ascii="黑体" w:eastAsia="黑体" w:hAnsi="黑体"/>
        </w:rPr>
        <w:t>、污染物及污染治理设施信息表</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8"/>
        <w:gridCol w:w="1089"/>
        <w:gridCol w:w="1178"/>
        <w:gridCol w:w="1329"/>
        <w:gridCol w:w="1228"/>
        <w:gridCol w:w="676"/>
        <w:gridCol w:w="1240"/>
        <w:gridCol w:w="1390"/>
        <w:gridCol w:w="1245"/>
        <w:gridCol w:w="1281"/>
        <w:gridCol w:w="2795"/>
      </w:tblGrid>
      <w:tr w:rsidR="004E3021" w:rsidRPr="00EB3644">
        <w:trPr>
          <w:cantSplit/>
          <w:jc w:val="center"/>
        </w:trPr>
        <w:tc>
          <w:tcPr>
            <w:tcW w:w="182" w:type="pct"/>
            <w:vMerge w:val="restart"/>
            <w:tcBorders>
              <w:top w:val="single" w:sz="12" w:space="0" w:color="auto"/>
              <w:left w:val="nil"/>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序号</w:t>
            </w:r>
          </w:p>
        </w:tc>
        <w:tc>
          <w:tcPr>
            <w:tcW w:w="390" w:type="pct"/>
            <w:vMerge w:val="restart"/>
            <w:tcBorders>
              <w:top w:val="single" w:sz="12"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废水类别</w:t>
            </w:r>
          </w:p>
        </w:tc>
        <w:tc>
          <w:tcPr>
            <w:tcW w:w="422" w:type="pct"/>
            <w:vMerge w:val="restart"/>
            <w:tcBorders>
              <w:top w:val="single" w:sz="12"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污染物种类</w:t>
            </w:r>
          </w:p>
        </w:tc>
        <w:tc>
          <w:tcPr>
            <w:tcW w:w="476" w:type="pct"/>
            <w:vMerge w:val="restart"/>
            <w:tcBorders>
              <w:top w:val="single" w:sz="12"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排放去向</w:t>
            </w:r>
          </w:p>
        </w:tc>
        <w:tc>
          <w:tcPr>
            <w:tcW w:w="440" w:type="pct"/>
            <w:vMerge w:val="restart"/>
            <w:tcBorders>
              <w:top w:val="single" w:sz="12"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排放规律</w:t>
            </w:r>
          </w:p>
        </w:tc>
        <w:tc>
          <w:tcPr>
            <w:tcW w:w="1184" w:type="pct"/>
            <w:gridSpan w:val="3"/>
            <w:tcBorders>
              <w:top w:val="single" w:sz="12"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治理措施</w:t>
            </w:r>
          </w:p>
        </w:tc>
        <w:tc>
          <w:tcPr>
            <w:tcW w:w="446" w:type="pct"/>
            <w:vMerge w:val="restart"/>
            <w:tcBorders>
              <w:top w:val="single" w:sz="12"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排放口</w:t>
            </w:r>
          </w:p>
          <w:p w:rsidR="004E3021" w:rsidRPr="00EB3644" w:rsidRDefault="00606E48">
            <w:pPr>
              <w:pStyle w:val="afffffff2"/>
              <w:rPr>
                <w:b/>
                <w:sz w:val="21"/>
                <w:szCs w:val="21"/>
              </w:rPr>
            </w:pPr>
            <w:r w:rsidRPr="00EB3644">
              <w:rPr>
                <w:rFonts w:hint="eastAsia"/>
                <w:b/>
                <w:sz w:val="21"/>
                <w:szCs w:val="21"/>
              </w:rPr>
              <w:t>编号</w:t>
            </w:r>
          </w:p>
        </w:tc>
        <w:tc>
          <w:tcPr>
            <w:tcW w:w="459" w:type="pct"/>
            <w:vMerge w:val="restart"/>
            <w:tcBorders>
              <w:top w:val="single" w:sz="12"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排放口设置是否符合要求</w:t>
            </w:r>
          </w:p>
        </w:tc>
        <w:tc>
          <w:tcPr>
            <w:tcW w:w="1001" w:type="pct"/>
            <w:vMerge w:val="restart"/>
            <w:tcBorders>
              <w:top w:val="single" w:sz="12" w:space="0" w:color="auto"/>
              <w:left w:val="single" w:sz="4" w:space="0" w:color="auto"/>
              <w:bottom w:val="single" w:sz="4" w:space="0" w:color="auto"/>
              <w:right w:val="nil"/>
            </w:tcBorders>
            <w:vAlign w:val="center"/>
          </w:tcPr>
          <w:p w:rsidR="004E3021" w:rsidRPr="00EB3644" w:rsidRDefault="00606E48">
            <w:pPr>
              <w:pStyle w:val="afffffff2"/>
              <w:rPr>
                <w:b/>
                <w:sz w:val="21"/>
                <w:szCs w:val="21"/>
              </w:rPr>
            </w:pPr>
            <w:r w:rsidRPr="00EB3644">
              <w:rPr>
                <w:rFonts w:hint="eastAsia"/>
                <w:b/>
                <w:sz w:val="21"/>
                <w:szCs w:val="21"/>
              </w:rPr>
              <w:t>排放口</w:t>
            </w:r>
          </w:p>
          <w:p w:rsidR="004E3021" w:rsidRPr="00EB3644" w:rsidRDefault="00606E48">
            <w:pPr>
              <w:pStyle w:val="afffffff2"/>
              <w:rPr>
                <w:b/>
                <w:sz w:val="21"/>
                <w:szCs w:val="21"/>
              </w:rPr>
            </w:pPr>
            <w:r w:rsidRPr="00EB3644">
              <w:rPr>
                <w:rFonts w:hint="eastAsia"/>
                <w:b/>
                <w:sz w:val="21"/>
                <w:szCs w:val="21"/>
              </w:rPr>
              <w:t>类型</w:t>
            </w:r>
          </w:p>
        </w:tc>
      </w:tr>
      <w:tr w:rsidR="004E3021" w:rsidRPr="00EB3644">
        <w:trPr>
          <w:cantSplit/>
          <w:jc w:val="center"/>
        </w:trPr>
        <w:tc>
          <w:tcPr>
            <w:tcW w:w="0" w:type="auto"/>
            <w:vMerge/>
            <w:tcBorders>
              <w:top w:val="single" w:sz="12" w:space="0" w:color="auto"/>
              <w:left w:val="nil"/>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24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污染治理设施</w:t>
            </w:r>
          </w:p>
          <w:p w:rsidR="004E3021" w:rsidRPr="00EB3644" w:rsidRDefault="00606E48">
            <w:pPr>
              <w:pStyle w:val="afffffff2"/>
              <w:rPr>
                <w:b/>
                <w:sz w:val="21"/>
                <w:szCs w:val="21"/>
              </w:rPr>
            </w:pPr>
            <w:r w:rsidRPr="00EB3644">
              <w:rPr>
                <w:rFonts w:hint="eastAsia"/>
                <w:b/>
                <w:sz w:val="21"/>
                <w:szCs w:val="21"/>
              </w:rPr>
              <w:t>编号</w:t>
            </w:r>
          </w:p>
        </w:tc>
        <w:tc>
          <w:tcPr>
            <w:tcW w:w="444"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rsidP="00EB3644">
            <w:pPr>
              <w:pStyle w:val="afffffff2"/>
              <w:rPr>
                <w:b/>
                <w:sz w:val="21"/>
                <w:szCs w:val="21"/>
              </w:rPr>
            </w:pPr>
            <w:r w:rsidRPr="00EB3644">
              <w:rPr>
                <w:rFonts w:hint="eastAsia"/>
                <w:b/>
                <w:sz w:val="21"/>
                <w:szCs w:val="21"/>
              </w:rPr>
              <w:t>污染治理设施名称</w:t>
            </w:r>
          </w:p>
        </w:tc>
        <w:tc>
          <w:tcPr>
            <w:tcW w:w="498"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污染治理设施工艺</w:t>
            </w: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nil"/>
            </w:tcBorders>
            <w:vAlign w:val="center"/>
          </w:tcPr>
          <w:p w:rsidR="004E3021" w:rsidRPr="00EB3644" w:rsidRDefault="004E3021">
            <w:pPr>
              <w:pStyle w:val="afffffff2"/>
              <w:rPr>
                <w:b/>
                <w:sz w:val="21"/>
                <w:szCs w:val="21"/>
              </w:rPr>
            </w:pPr>
          </w:p>
        </w:tc>
      </w:tr>
      <w:tr w:rsidR="004E3021" w:rsidRPr="00EB3644">
        <w:trPr>
          <w:cantSplit/>
          <w:jc w:val="center"/>
        </w:trPr>
        <w:tc>
          <w:tcPr>
            <w:tcW w:w="182" w:type="pct"/>
            <w:tcBorders>
              <w:top w:val="single" w:sz="4" w:space="0" w:color="auto"/>
              <w:left w:val="nil"/>
              <w:bottom w:val="single" w:sz="4" w:space="0" w:color="auto"/>
              <w:right w:val="single" w:sz="4" w:space="0" w:color="auto"/>
            </w:tcBorders>
            <w:vAlign w:val="center"/>
          </w:tcPr>
          <w:p w:rsidR="004E3021" w:rsidRPr="00EB3644" w:rsidRDefault="00606E48">
            <w:pPr>
              <w:pStyle w:val="afffffff2"/>
              <w:rPr>
                <w:sz w:val="21"/>
                <w:szCs w:val="21"/>
              </w:rPr>
            </w:pPr>
            <w:r w:rsidRPr="00EB3644">
              <w:rPr>
                <w:sz w:val="21"/>
                <w:szCs w:val="21"/>
              </w:rPr>
              <w:t>1</w:t>
            </w:r>
          </w:p>
        </w:tc>
        <w:tc>
          <w:tcPr>
            <w:tcW w:w="39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初期</w:t>
            </w:r>
            <w:r w:rsidRPr="00EB3644">
              <w:rPr>
                <w:sz w:val="21"/>
                <w:szCs w:val="21"/>
              </w:rPr>
              <w:t>雨水</w:t>
            </w:r>
          </w:p>
        </w:tc>
        <w:tc>
          <w:tcPr>
            <w:tcW w:w="42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COD</w:t>
            </w:r>
          </w:p>
          <w:p w:rsidR="004E3021" w:rsidRPr="00EB3644" w:rsidRDefault="00606E48">
            <w:pPr>
              <w:pStyle w:val="afffffff2"/>
              <w:rPr>
                <w:sz w:val="21"/>
                <w:szCs w:val="21"/>
              </w:rPr>
            </w:pPr>
            <w:r w:rsidRPr="00EB3644">
              <w:rPr>
                <w:rFonts w:hint="eastAsia"/>
                <w:sz w:val="21"/>
                <w:szCs w:val="21"/>
              </w:rPr>
              <w:t>SS</w:t>
            </w:r>
          </w:p>
        </w:tc>
        <w:tc>
          <w:tcPr>
            <w:tcW w:w="47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接管至</w:t>
            </w:r>
            <w:r w:rsidRPr="00EB3644">
              <w:rPr>
                <w:sz w:val="21"/>
                <w:szCs w:val="21"/>
              </w:rPr>
              <w:t>沫河口污水处理厂</w:t>
            </w:r>
          </w:p>
        </w:tc>
        <w:tc>
          <w:tcPr>
            <w:tcW w:w="44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间断排放，排放期间流量不稳定且无规律，但不属于冲击型排放</w:t>
            </w:r>
          </w:p>
        </w:tc>
        <w:tc>
          <w:tcPr>
            <w:tcW w:w="24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TW001</w:t>
            </w:r>
          </w:p>
        </w:tc>
        <w:tc>
          <w:tcPr>
            <w:tcW w:w="444"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污水处理站</w:t>
            </w:r>
          </w:p>
        </w:tc>
        <w:tc>
          <w:tcPr>
            <w:tcW w:w="498"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调节池</w:t>
            </w:r>
            <w:r w:rsidRPr="00EB3644">
              <w:rPr>
                <w:rFonts w:hint="eastAsia"/>
                <w:sz w:val="21"/>
                <w:szCs w:val="21"/>
              </w:rPr>
              <w:t>+</w:t>
            </w:r>
            <w:r w:rsidRPr="00EB3644">
              <w:rPr>
                <w:rFonts w:hint="eastAsia"/>
                <w:sz w:val="21"/>
                <w:szCs w:val="21"/>
              </w:rPr>
              <w:t>混凝沉淀</w:t>
            </w:r>
            <w:r w:rsidRPr="00EB3644">
              <w:rPr>
                <w:rFonts w:hint="eastAsia"/>
                <w:sz w:val="21"/>
                <w:szCs w:val="21"/>
              </w:rPr>
              <w:t>+</w:t>
            </w:r>
            <w:r w:rsidRPr="00EB3644">
              <w:rPr>
                <w:rFonts w:hint="eastAsia"/>
                <w:sz w:val="21"/>
                <w:szCs w:val="21"/>
              </w:rPr>
              <w:t>水解酸化</w:t>
            </w:r>
            <w:r w:rsidR="00361EDD" w:rsidRPr="00EB3644">
              <w:rPr>
                <w:rFonts w:hint="eastAsia"/>
                <w:sz w:val="21"/>
                <w:szCs w:val="21"/>
              </w:rPr>
              <w:t>+</w:t>
            </w:r>
            <w:r w:rsidR="00361EDD" w:rsidRPr="00EB3644">
              <w:rPr>
                <w:rFonts w:hint="eastAsia"/>
                <w:sz w:val="21"/>
                <w:szCs w:val="21"/>
              </w:rPr>
              <w:t>好氧</w:t>
            </w:r>
            <w:r w:rsidRPr="00EB3644">
              <w:rPr>
                <w:rFonts w:hint="eastAsia"/>
                <w:sz w:val="21"/>
                <w:szCs w:val="21"/>
              </w:rPr>
              <w:t>+MBR</w:t>
            </w:r>
          </w:p>
        </w:tc>
        <w:tc>
          <w:tcPr>
            <w:tcW w:w="44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DW</w:t>
            </w:r>
            <w:r w:rsidRPr="00EB3644">
              <w:rPr>
                <w:sz w:val="21"/>
                <w:szCs w:val="21"/>
              </w:rPr>
              <w:t>001</w:t>
            </w:r>
          </w:p>
        </w:tc>
        <w:tc>
          <w:tcPr>
            <w:tcW w:w="459"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■是</w:t>
            </w:r>
          </w:p>
          <w:p w:rsidR="004E3021" w:rsidRPr="00EB3644" w:rsidRDefault="00606E48">
            <w:pPr>
              <w:pStyle w:val="afffffff2"/>
              <w:rPr>
                <w:sz w:val="21"/>
                <w:szCs w:val="21"/>
              </w:rPr>
            </w:pPr>
            <w:r w:rsidRPr="00EB3644">
              <w:rPr>
                <w:rFonts w:hint="eastAsia"/>
                <w:sz w:val="21"/>
                <w:szCs w:val="21"/>
              </w:rPr>
              <w:t>□否</w:t>
            </w:r>
          </w:p>
        </w:tc>
        <w:tc>
          <w:tcPr>
            <w:tcW w:w="1001" w:type="pct"/>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■企业总排</w:t>
            </w:r>
          </w:p>
          <w:p w:rsidR="004E3021" w:rsidRPr="00EB3644" w:rsidRDefault="00606E48">
            <w:pPr>
              <w:pStyle w:val="afffffff2"/>
              <w:rPr>
                <w:sz w:val="21"/>
                <w:szCs w:val="21"/>
              </w:rPr>
            </w:pPr>
            <w:r w:rsidRPr="00EB3644">
              <w:rPr>
                <w:rFonts w:hint="eastAsia"/>
                <w:sz w:val="21"/>
                <w:szCs w:val="21"/>
              </w:rPr>
              <w:t>□雨水排放</w:t>
            </w:r>
          </w:p>
          <w:p w:rsidR="004E3021" w:rsidRPr="00EB3644" w:rsidRDefault="00606E48">
            <w:pPr>
              <w:pStyle w:val="afffffff2"/>
              <w:rPr>
                <w:sz w:val="21"/>
                <w:szCs w:val="21"/>
              </w:rPr>
            </w:pPr>
            <w:r w:rsidRPr="00EB3644">
              <w:rPr>
                <w:rFonts w:hint="eastAsia"/>
                <w:sz w:val="21"/>
                <w:szCs w:val="21"/>
              </w:rPr>
              <w:t>□清净下水排放</w:t>
            </w:r>
          </w:p>
          <w:p w:rsidR="004E3021" w:rsidRPr="00EB3644" w:rsidRDefault="00606E48">
            <w:pPr>
              <w:pStyle w:val="afffffff2"/>
              <w:rPr>
                <w:sz w:val="21"/>
                <w:szCs w:val="21"/>
              </w:rPr>
            </w:pPr>
            <w:r w:rsidRPr="00EB3644">
              <w:rPr>
                <w:rFonts w:hint="eastAsia"/>
                <w:sz w:val="21"/>
                <w:szCs w:val="21"/>
              </w:rPr>
              <w:t>□温排水排放</w:t>
            </w:r>
          </w:p>
          <w:p w:rsidR="004E3021" w:rsidRPr="00EB3644" w:rsidRDefault="00606E48">
            <w:pPr>
              <w:pStyle w:val="afffffff2"/>
              <w:rPr>
                <w:sz w:val="21"/>
                <w:szCs w:val="21"/>
              </w:rPr>
            </w:pPr>
            <w:r w:rsidRPr="00EB3644">
              <w:rPr>
                <w:rFonts w:hint="eastAsia"/>
                <w:sz w:val="21"/>
                <w:szCs w:val="21"/>
              </w:rPr>
              <w:t>□车间或车间处理设施排放</w:t>
            </w:r>
          </w:p>
        </w:tc>
      </w:tr>
      <w:tr w:rsidR="004E3021" w:rsidRPr="00EB3644">
        <w:trPr>
          <w:cantSplit/>
          <w:jc w:val="center"/>
        </w:trPr>
        <w:tc>
          <w:tcPr>
            <w:tcW w:w="182" w:type="pct"/>
            <w:tcBorders>
              <w:top w:val="single" w:sz="4" w:space="0" w:color="auto"/>
              <w:left w:val="nil"/>
              <w:bottom w:val="single" w:sz="4" w:space="0" w:color="auto"/>
              <w:right w:val="single" w:sz="4" w:space="0" w:color="auto"/>
            </w:tcBorders>
            <w:vAlign w:val="center"/>
          </w:tcPr>
          <w:p w:rsidR="004E3021" w:rsidRPr="00EB3644" w:rsidRDefault="00606E48">
            <w:pPr>
              <w:pStyle w:val="afffffff2"/>
              <w:rPr>
                <w:sz w:val="21"/>
                <w:szCs w:val="21"/>
              </w:rPr>
            </w:pPr>
            <w:r w:rsidRPr="00EB3644">
              <w:rPr>
                <w:sz w:val="21"/>
                <w:szCs w:val="21"/>
              </w:rPr>
              <w:t>2</w:t>
            </w:r>
          </w:p>
        </w:tc>
        <w:tc>
          <w:tcPr>
            <w:tcW w:w="39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生活污水</w:t>
            </w:r>
          </w:p>
        </w:tc>
        <w:tc>
          <w:tcPr>
            <w:tcW w:w="42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COD</w:t>
            </w:r>
          </w:p>
          <w:p w:rsidR="004E3021" w:rsidRPr="00EB3644" w:rsidRDefault="00606E48">
            <w:pPr>
              <w:pStyle w:val="afffffff2"/>
              <w:rPr>
                <w:sz w:val="21"/>
                <w:szCs w:val="21"/>
              </w:rPr>
            </w:pPr>
            <w:r w:rsidRPr="00EB3644">
              <w:rPr>
                <w:rFonts w:hint="eastAsia"/>
                <w:sz w:val="21"/>
                <w:szCs w:val="21"/>
              </w:rPr>
              <w:t>SS</w:t>
            </w:r>
          </w:p>
          <w:p w:rsidR="004E3021" w:rsidRPr="00EB3644" w:rsidRDefault="00606E48">
            <w:pPr>
              <w:pStyle w:val="afffffff2"/>
              <w:rPr>
                <w:sz w:val="21"/>
                <w:szCs w:val="21"/>
              </w:rPr>
            </w:pPr>
            <w:r w:rsidRPr="00EB3644">
              <w:rPr>
                <w:rFonts w:hint="eastAsia"/>
                <w:sz w:val="21"/>
                <w:szCs w:val="21"/>
              </w:rPr>
              <w:t>NH</w:t>
            </w:r>
            <w:r w:rsidRPr="00EB3644">
              <w:rPr>
                <w:rFonts w:hint="eastAsia"/>
                <w:sz w:val="21"/>
                <w:szCs w:val="21"/>
                <w:vertAlign w:val="subscript"/>
              </w:rPr>
              <w:t>3</w:t>
            </w:r>
            <w:r w:rsidRPr="00EB3644">
              <w:rPr>
                <w:rFonts w:hint="eastAsia"/>
                <w:sz w:val="21"/>
                <w:szCs w:val="21"/>
              </w:rPr>
              <w:t xml:space="preserve">-N </w:t>
            </w:r>
          </w:p>
          <w:p w:rsidR="004E3021" w:rsidRPr="00EB3644" w:rsidRDefault="00606E48">
            <w:pPr>
              <w:pStyle w:val="afffffff2"/>
              <w:rPr>
                <w:sz w:val="21"/>
                <w:szCs w:val="21"/>
                <w:vertAlign w:val="subscript"/>
              </w:rPr>
            </w:pPr>
            <w:r w:rsidRPr="00EB3644">
              <w:rPr>
                <w:rFonts w:hint="eastAsia"/>
                <w:sz w:val="21"/>
                <w:szCs w:val="21"/>
              </w:rPr>
              <w:t>BOD</w:t>
            </w:r>
            <w:r w:rsidRPr="00EB3644">
              <w:rPr>
                <w:sz w:val="21"/>
                <w:szCs w:val="21"/>
                <w:vertAlign w:val="subscript"/>
              </w:rPr>
              <w:t>5</w:t>
            </w:r>
          </w:p>
          <w:p w:rsidR="004E3021" w:rsidRPr="00EB3644" w:rsidRDefault="00606E48">
            <w:pPr>
              <w:pStyle w:val="afffffff2"/>
              <w:rPr>
                <w:sz w:val="21"/>
                <w:szCs w:val="21"/>
              </w:rPr>
            </w:pPr>
            <w:r w:rsidRPr="00EB3644">
              <w:rPr>
                <w:rFonts w:hint="eastAsia"/>
                <w:sz w:val="21"/>
                <w:szCs w:val="21"/>
              </w:rPr>
              <w:t>T</w:t>
            </w:r>
            <w:r w:rsidRPr="00EB3644">
              <w:rPr>
                <w:sz w:val="21"/>
                <w:szCs w:val="21"/>
              </w:rPr>
              <w:t>P</w:t>
            </w:r>
          </w:p>
        </w:tc>
        <w:tc>
          <w:tcPr>
            <w:tcW w:w="47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接管至</w:t>
            </w:r>
            <w:r w:rsidRPr="00EB3644">
              <w:rPr>
                <w:sz w:val="21"/>
                <w:szCs w:val="21"/>
              </w:rPr>
              <w:t>沫河口污水处理厂</w:t>
            </w:r>
          </w:p>
        </w:tc>
        <w:tc>
          <w:tcPr>
            <w:tcW w:w="44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间断排放，排放期间流量不稳定且无规律，但不属于冲击型排放</w:t>
            </w:r>
          </w:p>
        </w:tc>
        <w:tc>
          <w:tcPr>
            <w:tcW w:w="24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rsidP="00C31443">
            <w:pPr>
              <w:pStyle w:val="afffffff2"/>
              <w:rPr>
                <w:sz w:val="21"/>
                <w:szCs w:val="21"/>
              </w:rPr>
            </w:pPr>
            <w:r w:rsidRPr="00EB3644">
              <w:rPr>
                <w:rFonts w:hint="eastAsia"/>
                <w:sz w:val="21"/>
                <w:szCs w:val="21"/>
              </w:rPr>
              <w:t>TW00</w:t>
            </w:r>
            <w:r w:rsidR="00C31443">
              <w:rPr>
                <w:sz w:val="21"/>
                <w:szCs w:val="21"/>
              </w:rPr>
              <w:t>2</w:t>
            </w:r>
          </w:p>
        </w:tc>
        <w:tc>
          <w:tcPr>
            <w:tcW w:w="444"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污水处理站</w:t>
            </w:r>
          </w:p>
        </w:tc>
        <w:tc>
          <w:tcPr>
            <w:tcW w:w="498"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调节池</w:t>
            </w:r>
            <w:r w:rsidRPr="00EB3644">
              <w:rPr>
                <w:rFonts w:hint="eastAsia"/>
                <w:sz w:val="21"/>
                <w:szCs w:val="21"/>
              </w:rPr>
              <w:t>+</w:t>
            </w:r>
            <w:r w:rsidRPr="00EB3644">
              <w:rPr>
                <w:rFonts w:hint="eastAsia"/>
                <w:sz w:val="21"/>
                <w:szCs w:val="21"/>
              </w:rPr>
              <w:t>混凝沉淀</w:t>
            </w:r>
            <w:r w:rsidRPr="00EB3644">
              <w:rPr>
                <w:rFonts w:hint="eastAsia"/>
                <w:sz w:val="21"/>
                <w:szCs w:val="21"/>
              </w:rPr>
              <w:t>+</w:t>
            </w:r>
            <w:r w:rsidRPr="00EB3644">
              <w:rPr>
                <w:rFonts w:hint="eastAsia"/>
                <w:sz w:val="21"/>
                <w:szCs w:val="21"/>
              </w:rPr>
              <w:t>水解酸化</w:t>
            </w:r>
            <w:r w:rsidR="00361EDD" w:rsidRPr="00EB3644">
              <w:rPr>
                <w:rFonts w:hint="eastAsia"/>
                <w:sz w:val="21"/>
                <w:szCs w:val="21"/>
              </w:rPr>
              <w:t>+</w:t>
            </w:r>
            <w:r w:rsidR="00361EDD" w:rsidRPr="00EB3644">
              <w:rPr>
                <w:rFonts w:hint="eastAsia"/>
                <w:sz w:val="21"/>
                <w:szCs w:val="21"/>
              </w:rPr>
              <w:t>好氧</w:t>
            </w:r>
            <w:r w:rsidRPr="00EB3644">
              <w:rPr>
                <w:rFonts w:hint="eastAsia"/>
                <w:sz w:val="21"/>
                <w:szCs w:val="21"/>
              </w:rPr>
              <w:t>+MBR</w:t>
            </w:r>
          </w:p>
        </w:tc>
        <w:tc>
          <w:tcPr>
            <w:tcW w:w="44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DW</w:t>
            </w:r>
            <w:r w:rsidRPr="00EB3644">
              <w:rPr>
                <w:sz w:val="21"/>
                <w:szCs w:val="21"/>
              </w:rPr>
              <w:t>001</w:t>
            </w:r>
          </w:p>
        </w:tc>
        <w:tc>
          <w:tcPr>
            <w:tcW w:w="459"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■是</w:t>
            </w:r>
          </w:p>
          <w:p w:rsidR="004E3021" w:rsidRPr="00EB3644" w:rsidRDefault="00606E48">
            <w:pPr>
              <w:pStyle w:val="afffffff2"/>
              <w:rPr>
                <w:sz w:val="21"/>
                <w:szCs w:val="21"/>
              </w:rPr>
            </w:pPr>
            <w:r w:rsidRPr="00EB3644">
              <w:rPr>
                <w:rFonts w:hint="eastAsia"/>
                <w:sz w:val="21"/>
                <w:szCs w:val="21"/>
              </w:rPr>
              <w:t>□否</w:t>
            </w:r>
          </w:p>
        </w:tc>
        <w:tc>
          <w:tcPr>
            <w:tcW w:w="1001" w:type="pct"/>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■企业总排</w:t>
            </w:r>
          </w:p>
          <w:p w:rsidR="004E3021" w:rsidRPr="00EB3644" w:rsidRDefault="00606E48">
            <w:pPr>
              <w:pStyle w:val="afffffff2"/>
              <w:rPr>
                <w:sz w:val="21"/>
                <w:szCs w:val="21"/>
              </w:rPr>
            </w:pPr>
            <w:r w:rsidRPr="00EB3644">
              <w:rPr>
                <w:rFonts w:hint="eastAsia"/>
                <w:sz w:val="21"/>
                <w:szCs w:val="21"/>
              </w:rPr>
              <w:t>□雨水排放</w:t>
            </w:r>
          </w:p>
          <w:p w:rsidR="004E3021" w:rsidRPr="00EB3644" w:rsidRDefault="00606E48">
            <w:pPr>
              <w:pStyle w:val="afffffff2"/>
              <w:rPr>
                <w:sz w:val="21"/>
                <w:szCs w:val="21"/>
              </w:rPr>
            </w:pPr>
            <w:r w:rsidRPr="00EB3644">
              <w:rPr>
                <w:rFonts w:hint="eastAsia"/>
                <w:sz w:val="21"/>
                <w:szCs w:val="21"/>
              </w:rPr>
              <w:t>□清净下水排放</w:t>
            </w:r>
          </w:p>
          <w:p w:rsidR="004E3021" w:rsidRPr="00EB3644" w:rsidRDefault="00606E48">
            <w:pPr>
              <w:pStyle w:val="afffffff2"/>
              <w:rPr>
                <w:sz w:val="21"/>
                <w:szCs w:val="21"/>
              </w:rPr>
            </w:pPr>
            <w:r w:rsidRPr="00EB3644">
              <w:rPr>
                <w:rFonts w:hint="eastAsia"/>
                <w:sz w:val="21"/>
                <w:szCs w:val="21"/>
              </w:rPr>
              <w:t>□温排水排放</w:t>
            </w:r>
          </w:p>
          <w:p w:rsidR="004E3021" w:rsidRPr="00EB3644" w:rsidRDefault="00606E48">
            <w:pPr>
              <w:pStyle w:val="afffffff2"/>
              <w:rPr>
                <w:sz w:val="21"/>
                <w:szCs w:val="21"/>
              </w:rPr>
            </w:pPr>
            <w:r w:rsidRPr="00EB3644">
              <w:rPr>
                <w:rFonts w:hint="eastAsia"/>
                <w:sz w:val="21"/>
                <w:szCs w:val="21"/>
              </w:rPr>
              <w:t>□车间或车间处理设施排放</w:t>
            </w:r>
          </w:p>
        </w:tc>
      </w:tr>
      <w:tr w:rsidR="004E3021" w:rsidRPr="00EB3644">
        <w:trPr>
          <w:cantSplit/>
          <w:jc w:val="center"/>
        </w:trPr>
        <w:tc>
          <w:tcPr>
            <w:tcW w:w="182" w:type="pct"/>
            <w:tcBorders>
              <w:top w:val="single" w:sz="4" w:space="0" w:color="auto"/>
              <w:left w:val="nil"/>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lastRenderedPageBreak/>
              <w:t>3</w:t>
            </w:r>
          </w:p>
        </w:tc>
        <w:tc>
          <w:tcPr>
            <w:tcW w:w="39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循环</w:t>
            </w:r>
            <w:r w:rsidRPr="00EB3644">
              <w:rPr>
                <w:sz w:val="21"/>
                <w:szCs w:val="21"/>
              </w:rPr>
              <w:t>冷却水排水</w:t>
            </w:r>
          </w:p>
        </w:tc>
        <w:tc>
          <w:tcPr>
            <w:tcW w:w="42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COD</w:t>
            </w:r>
          </w:p>
          <w:p w:rsidR="004E3021" w:rsidRPr="00EB3644" w:rsidRDefault="00606E48">
            <w:pPr>
              <w:pStyle w:val="afffffff2"/>
              <w:rPr>
                <w:sz w:val="21"/>
                <w:szCs w:val="21"/>
              </w:rPr>
            </w:pPr>
            <w:r w:rsidRPr="00EB3644">
              <w:rPr>
                <w:rFonts w:hint="eastAsia"/>
                <w:sz w:val="21"/>
                <w:szCs w:val="21"/>
              </w:rPr>
              <w:t>SS</w:t>
            </w:r>
          </w:p>
        </w:tc>
        <w:tc>
          <w:tcPr>
            <w:tcW w:w="47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接管至</w:t>
            </w:r>
            <w:r w:rsidRPr="00EB3644">
              <w:rPr>
                <w:sz w:val="21"/>
                <w:szCs w:val="21"/>
              </w:rPr>
              <w:t>沫河口污水处理厂</w:t>
            </w:r>
          </w:p>
        </w:tc>
        <w:tc>
          <w:tcPr>
            <w:tcW w:w="44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间断排放，排放期间流量不稳定且无规律，但不属于冲击型排放</w:t>
            </w:r>
          </w:p>
        </w:tc>
        <w:tc>
          <w:tcPr>
            <w:tcW w:w="24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w:t>
            </w:r>
          </w:p>
        </w:tc>
        <w:tc>
          <w:tcPr>
            <w:tcW w:w="444"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w:t>
            </w:r>
          </w:p>
        </w:tc>
        <w:tc>
          <w:tcPr>
            <w:tcW w:w="498"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w:t>
            </w:r>
          </w:p>
        </w:tc>
        <w:tc>
          <w:tcPr>
            <w:tcW w:w="44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DW</w:t>
            </w:r>
            <w:r w:rsidRPr="00EB3644">
              <w:rPr>
                <w:sz w:val="21"/>
                <w:szCs w:val="21"/>
              </w:rPr>
              <w:t>001</w:t>
            </w:r>
          </w:p>
        </w:tc>
        <w:tc>
          <w:tcPr>
            <w:tcW w:w="459"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■是</w:t>
            </w:r>
          </w:p>
          <w:p w:rsidR="004E3021" w:rsidRPr="00EB3644" w:rsidRDefault="00606E48">
            <w:pPr>
              <w:pStyle w:val="afffffff2"/>
              <w:rPr>
                <w:sz w:val="21"/>
                <w:szCs w:val="21"/>
              </w:rPr>
            </w:pPr>
            <w:r w:rsidRPr="00EB3644">
              <w:rPr>
                <w:rFonts w:hint="eastAsia"/>
                <w:sz w:val="21"/>
                <w:szCs w:val="21"/>
              </w:rPr>
              <w:t>□否</w:t>
            </w:r>
          </w:p>
        </w:tc>
        <w:tc>
          <w:tcPr>
            <w:tcW w:w="1001" w:type="pct"/>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■企业总排</w:t>
            </w:r>
          </w:p>
          <w:p w:rsidR="004E3021" w:rsidRPr="00EB3644" w:rsidRDefault="00606E48">
            <w:pPr>
              <w:pStyle w:val="afffffff2"/>
              <w:rPr>
                <w:sz w:val="21"/>
                <w:szCs w:val="21"/>
              </w:rPr>
            </w:pPr>
            <w:r w:rsidRPr="00EB3644">
              <w:rPr>
                <w:rFonts w:hint="eastAsia"/>
                <w:sz w:val="21"/>
                <w:szCs w:val="21"/>
              </w:rPr>
              <w:t>□雨水排放</w:t>
            </w:r>
          </w:p>
          <w:p w:rsidR="004E3021" w:rsidRPr="00EB3644" w:rsidRDefault="00606E48">
            <w:pPr>
              <w:pStyle w:val="afffffff2"/>
              <w:rPr>
                <w:sz w:val="21"/>
                <w:szCs w:val="21"/>
              </w:rPr>
            </w:pPr>
            <w:r w:rsidRPr="00EB3644">
              <w:rPr>
                <w:rFonts w:hint="eastAsia"/>
                <w:sz w:val="21"/>
                <w:szCs w:val="21"/>
              </w:rPr>
              <w:t>□清净下水排放</w:t>
            </w:r>
          </w:p>
          <w:p w:rsidR="004E3021" w:rsidRPr="00EB3644" w:rsidRDefault="00606E48">
            <w:pPr>
              <w:pStyle w:val="afffffff2"/>
              <w:rPr>
                <w:sz w:val="21"/>
                <w:szCs w:val="21"/>
              </w:rPr>
            </w:pPr>
            <w:r w:rsidRPr="00EB3644">
              <w:rPr>
                <w:rFonts w:hint="eastAsia"/>
                <w:sz w:val="21"/>
                <w:szCs w:val="21"/>
              </w:rPr>
              <w:t>□温排水排放</w:t>
            </w:r>
          </w:p>
          <w:p w:rsidR="004E3021" w:rsidRPr="00EB3644" w:rsidRDefault="00606E48">
            <w:pPr>
              <w:pStyle w:val="afffffff2"/>
              <w:rPr>
                <w:sz w:val="21"/>
                <w:szCs w:val="21"/>
              </w:rPr>
            </w:pPr>
            <w:r w:rsidRPr="00EB3644">
              <w:rPr>
                <w:rFonts w:hint="eastAsia"/>
                <w:sz w:val="21"/>
                <w:szCs w:val="21"/>
              </w:rPr>
              <w:t>□车间或车间处理设施排放</w:t>
            </w:r>
          </w:p>
        </w:tc>
      </w:tr>
      <w:tr w:rsidR="004E3021" w:rsidRPr="00EB3644">
        <w:trPr>
          <w:cantSplit/>
          <w:jc w:val="center"/>
        </w:trPr>
        <w:tc>
          <w:tcPr>
            <w:tcW w:w="182" w:type="pct"/>
            <w:tcBorders>
              <w:top w:val="single" w:sz="4" w:space="0" w:color="auto"/>
              <w:left w:val="nil"/>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4</w:t>
            </w:r>
          </w:p>
        </w:tc>
        <w:tc>
          <w:tcPr>
            <w:tcW w:w="39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纯水</w:t>
            </w:r>
            <w:r w:rsidRPr="00EB3644">
              <w:rPr>
                <w:sz w:val="21"/>
                <w:szCs w:val="21"/>
              </w:rPr>
              <w:t>制备排水</w:t>
            </w:r>
          </w:p>
        </w:tc>
        <w:tc>
          <w:tcPr>
            <w:tcW w:w="42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COD</w:t>
            </w:r>
          </w:p>
          <w:p w:rsidR="004E3021" w:rsidRPr="00EB3644" w:rsidRDefault="00606E48">
            <w:pPr>
              <w:pStyle w:val="afffffff2"/>
              <w:rPr>
                <w:sz w:val="21"/>
                <w:szCs w:val="21"/>
              </w:rPr>
            </w:pPr>
            <w:r w:rsidRPr="00EB3644">
              <w:rPr>
                <w:rFonts w:hint="eastAsia"/>
                <w:sz w:val="21"/>
                <w:szCs w:val="21"/>
              </w:rPr>
              <w:t>SS</w:t>
            </w:r>
          </w:p>
          <w:p w:rsidR="004E3021" w:rsidRPr="00EB3644" w:rsidRDefault="00606E48">
            <w:pPr>
              <w:pStyle w:val="afffffff2"/>
              <w:rPr>
                <w:sz w:val="21"/>
                <w:szCs w:val="21"/>
              </w:rPr>
            </w:pPr>
            <w:r w:rsidRPr="00EB3644">
              <w:rPr>
                <w:rFonts w:hint="eastAsia"/>
                <w:sz w:val="21"/>
                <w:szCs w:val="21"/>
              </w:rPr>
              <w:t>盐分</w:t>
            </w:r>
          </w:p>
        </w:tc>
        <w:tc>
          <w:tcPr>
            <w:tcW w:w="47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接管至</w:t>
            </w:r>
            <w:r w:rsidRPr="00EB3644">
              <w:rPr>
                <w:sz w:val="21"/>
                <w:szCs w:val="21"/>
              </w:rPr>
              <w:t>沫河口污水处理厂</w:t>
            </w:r>
          </w:p>
        </w:tc>
        <w:tc>
          <w:tcPr>
            <w:tcW w:w="44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间断排放，排放期间流量不稳定且无规律，但不属于冲击型排放</w:t>
            </w:r>
          </w:p>
        </w:tc>
        <w:tc>
          <w:tcPr>
            <w:tcW w:w="24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w:t>
            </w:r>
          </w:p>
        </w:tc>
        <w:tc>
          <w:tcPr>
            <w:tcW w:w="444"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w:t>
            </w:r>
          </w:p>
        </w:tc>
        <w:tc>
          <w:tcPr>
            <w:tcW w:w="498"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w:t>
            </w:r>
          </w:p>
        </w:tc>
        <w:tc>
          <w:tcPr>
            <w:tcW w:w="44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DW</w:t>
            </w:r>
            <w:r w:rsidRPr="00EB3644">
              <w:rPr>
                <w:sz w:val="21"/>
                <w:szCs w:val="21"/>
              </w:rPr>
              <w:t>001</w:t>
            </w:r>
          </w:p>
        </w:tc>
        <w:tc>
          <w:tcPr>
            <w:tcW w:w="459"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■是</w:t>
            </w:r>
          </w:p>
          <w:p w:rsidR="004E3021" w:rsidRPr="00EB3644" w:rsidRDefault="00606E48">
            <w:pPr>
              <w:pStyle w:val="afffffff2"/>
              <w:rPr>
                <w:sz w:val="21"/>
                <w:szCs w:val="21"/>
              </w:rPr>
            </w:pPr>
            <w:r w:rsidRPr="00EB3644">
              <w:rPr>
                <w:rFonts w:hint="eastAsia"/>
                <w:sz w:val="21"/>
                <w:szCs w:val="21"/>
              </w:rPr>
              <w:t>□否</w:t>
            </w:r>
          </w:p>
        </w:tc>
        <w:tc>
          <w:tcPr>
            <w:tcW w:w="1001" w:type="pct"/>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■企业总排</w:t>
            </w:r>
          </w:p>
          <w:p w:rsidR="004E3021" w:rsidRPr="00EB3644" w:rsidRDefault="00606E48">
            <w:pPr>
              <w:pStyle w:val="afffffff2"/>
              <w:rPr>
                <w:sz w:val="21"/>
                <w:szCs w:val="21"/>
              </w:rPr>
            </w:pPr>
            <w:r w:rsidRPr="00EB3644">
              <w:rPr>
                <w:rFonts w:hint="eastAsia"/>
                <w:sz w:val="21"/>
                <w:szCs w:val="21"/>
              </w:rPr>
              <w:t>□雨水排放</w:t>
            </w:r>
          </w:p>
          <w:p w:rsidR="004E3021" w:rsidRPr="00EB3644" w:rsidRDefault="00606E48">
            <w:pPr>
              <w:pStyle w:val="afffffff2"/>
              <w:rPr>
                <w:sz w:val="21"/>
                <w:szCs w:val="21"/>
              </w:rPr>
            </w:pPr>
            <w:r w:rsidRPr="00EB3644">
              <w:rPr>
                <w:rFonts w:hint="eastAsia"/>
                <w:sz w:val="21"/>
                <w:szCs w:val="21"/>
              </w:rPr>
              <w:t>□清净下水排放</w:t>
            </w:r>
          </w:p>
          <w:p w:rsidR="004E3021" w:rsidRPr="00EB3644" w:rsidRDefault="00606E48">
            <w:pPr>
              <w:pStyle w:val="afffffff2"/>
              <w:rPr>
                <w:sz w:val="21"/>
                <w:szCs w:val="21"/>
              </w:rPr>
            </w:pPr>
            <w:r w:rsidRPr="00EB3644">
              <w:rPr>
                <w:rFonts w:hint="eastAsia"/>
                <w:sz w:val="21"/>
                <w:szCs w:val="21"/>
              </w:rPr>
              <w:t>□温排水排放</w:t>
            </w:r>
          </w:p>
          <w:p w:rsidR="004E3021" w:rsidRPr="00EB3644" w:rsidRDefault="00606E48">
            <w:pPr>
              <w:pStyle w:val="afffffff2"/>
              <w:rPr>
                <w:sz w:val="21"/>
                <w:szCs w:val="21"/>
              </w:rPr>
            </w:pPr>
            <w:r w:rsidRPr="00EB3644">
              <w:rPr>
                <w:rFonts w:hint="eastAsia"/>
                <w:sz w:val="21"/>
                <w:szCs w:val="21"/>
              </w:rPr>
              <w:t>□车间或车间处理设施排放</w:t>
            </w:r>
          </w:p>
        </w:tc>
      </w:tr>
      <w:tr w:rsidR="004E3021" w:rsidRPr="00EB3644">
        <w:trPr>
          <w:cantSplit/>
          <w:jc w:val="center"/>
        </w:trPr>
        <w:tc>
          <w:tcPr>
            <w:tcW w:w="182" w:type="pct"/>
            <w:tcBorders>
              <w:top w:val="single" w:sz="4" w:space="0" w:color="auto"/>
              <w:left w:val="nil"/>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5</w:t>
            </w:r>
          </w:p>
        </w:tc>
        <w:tc>
          <w:tcPr>
            <w:tcW w:w="39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硅溶胶工艺废水</w:t>
            </w:r>
          </w:p>
        </w:tc>
        <w:tc>
          <w:tcPr>
            <w:tcW w:w="42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COD</w:t>
            </w:r>
          </w:p>
          <w:p w:rsidR="004E3021" w:rsidRPr="00EB3644" w:rsidRDefault="00606E48">
            <w:pPr>
              <w:pStyle w:val="afffffff2"/>
              <w:rPr>
                <w:sz w:val="21"/>
                <w:szCs w:val="21"/>
              </w:rPr>
            </w:pPr>
            <w:r w:rsidRPr="00EB3644">
              <w:rPr>
                <w:rFonts w:hint="eastAsia"/>
                <w:sz w:val="21"/>
                <w:szCs w:val="21"/>
              </w:rPr>
              <w:t>SS</w:t>
            </w:r>
          </w:p>
          <w:p w:rsidR="004E3021" w:rsidRPr="00EB3644" w:rsidRDefault="00606E48">
            <w:pPr>
              <w:pStyle w:val="afffffff2"/>
              <w:rPr>
                <w:sz w:val="21"/>
                <w:szCs w:val="21"/>
              </w:rPr>
            </w:pPr>
            <w:r w:rsidRPr="00EB3644">
              <w:rPr>
                <w:rFonts w:hint="eastAsia"/>
                <w:sz w:val="21"/>
                <w:szCs w:val="21"/>
              </w:rPr>
              <w:t>NH</w:t>
            </w:r>
            <w:r w:rsidRPr="00EB3644">
              <w:rPr>
                <w:rFonts w:hint="eastAsia"/>
                <w:sz w:val="21"/>
                <w:szCs w:val="21"/>
                <w:vertAlign w:val="subscript"/>
              </w:rPr>
              <w:t>3</w:t>
            </w:r>
            <w:r w:rsidRPr="00EB3644">
              <w:rPr>
                <w:rFonts w:hint="eastAsia"/>
                <w:sz w:val="21"/>
                <w:szCs w:val="21"/>
              </w:rPr>
              <w:t>-N</w:t>
            </w:r>
          </w:p>
        </w:tc>
        <w:tc>
          <w:tcPr>
            <w:tcW w:w="47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接管至</w:t>
            </w:r>
            <w:r w:rsidRPr="00EB3644">
              <w:rPr>
                <w:sz w:val="21"/>
                <w:szCs w:val="21"/>
              </w:rPr>
              <w:t>沫河口污水处理厂</w:t>
            </w:r>
          </w:p>
        </w:tc>
        <w:tc>
          <w:tcPr>
            <w:tcW w:w="44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间断排放，排放期间流量不稳定且无规律，但不属于冲击型排放</w:t>
            </w:r>
          </w:p>
        </w:tc>
        <w:tc>
          <w:tcPr>
            <w:tcW w:w="24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TW001</w:t>
            </w:r>
          </w:p>
        </w:tc>
        <w:tc>
          <w:tcPr>
            <w:tcW w:w="444"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污水处理站</w:t>
            </w:r>
          </w:p>
        </w:tc>
        <w:tc>
          <w:tcPr>
            <w:tcW w:w="498"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调节池</w:t>
            </w:r>
            <w:r w:rsidRPr="00EB3644">
              <w:rPr>
                <w:rFonts w:hint="eastAsia"/>
                <w:sz w:val="21"/>
                <w:szCs w:val="21"/>
              </w:rPr>
              <w:t>+</w:t>
            </w:r>
            <w:r w:rsidRPr="00EB3644">
              <w:rPr>
                <w:rFonts w:hint="eastAsia"/>
                <w:sz w:val="21"/>
                <w:szCs w:val="21"/>
              </w:rPr>
              <w:t>混凝沉淀</w:t>
            </w:r>
            <w:r w:rsidRPr="00EB3644">
              <w:rPr>
                <w:rFonts w:hint="eastAsia"/>
                <w:sz w:val="21"/>
                <w:szCs w:val="21"/>
              </w:rPr>
              <w:t>+</w:t>
            </w:r>
            <w:r w:rsidRPr="00EB3644">
              <w:rPr>
                <w:rFonts w:hint="eastAsia"/>
                <w:sz w:val="21"/>
                <w:szCs w:val="21"/>
              </w:rPr>
              <w:t>水解酸化</w:t>
            </w:r>
            <w:r w:rsidR="00361EDD" w:rsidRPr="00EB3644">
              <w:rPr>
                <w:rFonts w:hint="eastAsia"/>
                <w:sz w:val="21"/>
                <w:szCs w:val="21"/>
              </w:rPr>
              <w:t>+</w:t>
            </w:r>
            <w:r w:rsidR="00361EDD" w:rsidRPr="00EB3644">
              <w:rPr>
                <w:rFonts w:hint="eastAsia"/>
                <w:sz w:val="21"/>
                <w:szCs w:val="21"/>
              </w:rPr>
              <w:t>好氧</w:t>
            </w:r>
            <w:r w:rsidRPr="00EB3644">
              <w:rPr>
                <w:rFonts w:hint="eastAsia"/>
                <w:sz w:val="21"/>
                <w:szCs w:val="21"/>
              </w:rPr>
              <w:t>+MBR</w:t>
            </w:r>
          </w:p>
        </w:tc>
        <w:tc>
          <w:tcPr>
            <w:tcW w:w="44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DW</w:t>
            </w:r>
            <w:r w:rsidRPr="00EB3644">
              <w:rPr>
                <w:sz w:val="21"/>
                <w:szCs w:val="21"/>
              </w:rPr>
              <w:t>001</w:t>
            </w:r>
          </w:p>
        </w:tc>
        <w:tc>
          <w:tcPr>
            <w:tcW w:w="459"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■是</w:t>
            </w:r>
          </w:p>
          <w:p w:rsidR="004E3021" w:rsidRPr="00EB3644" w:rsidRDefault="00606E48">
            <w:pPr>
              <w:pStyle w:val="afffffff2"/>
              <w:rPr>
                <w:sz w:val="21"/>
                <w:szCs w:val="21"/>
              </w:rPr>
            </w:pPr>
            <w:r w:rsidRPr="00EB3644">
              <w:rPr>
                <w:rFonts w:hint="eastAsia"/>
                <w:sz w:val="21"/>
                <w:szCs w:val="21"/>
              </w:rPr>
              <w:t>□否</w:t>
            </w:r>
          </w:p>
        </w:tc>
        <w:tc>
          <w:tcPr>
            <w:tcW w:w="1001" w:type="pct"/>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■企业总排</w:t>
            </w:r>
          </w:p>
          <w:p w:rsidR="004E3021" w:rsidRPr="00EB3644" w:rsidRDefault="00606E48">
            <w:pPr>
              <w:pStyle w:val="afffffff2"/>
              <w:rPr>
                <w:sz w:val="21"/>
                <w:szCs w:val="21"/>
              </w:rPr>
            </w:pPr>
            <w:r w:rsidRPr="00EB3644">
              <w:rPr>
                <w:rFonts w:hint="eastAsia"/>
                <w:sz w:val="21"/>
                <w:szCs w:val="21"/>
              </w:rPr>
              <w:t>□雨水排放</w:t>
            </w:r>
          </w:p>
          <w:p w:rsidR="004E3021" w:rsidRPr="00EB3644" w:rsidRDefault="00606E48">
            <w:pPr>
              <w:pStyle w:val="afffffff2"/>
              <w:rPr>
                <w:sz w:val="21"/>
                <w:szCs w:val="21"/>
              </w:rPr>
            </w:pPr>
            <w:r w:rsidRPr="00EB3644">
              <w:rPr>
                <w:rFonts w:hint="eastAsia"/>
                <w:sz w:val="21"/>
                <w:szCs w:val="21"/>
              </w:rPr>
              <w:t>□清净下水排放</w:t>
            </w:r>
          </w:p>
          <w:p w:rsidR="004E3021" w:rsidRPr="00EB3644" w:rsidRDefault="00606E48">
            <w:pPr>
              <w:pStyle w:val="afffffff2"/>
              <w:rPr>
                <w:sz w:val="21"/>
                <w:szCs w:val="21"/>
              </w:rPr>
            </w:pPr>
            <w:r w:rsidRPr="00EB3644">
              <w:rPr>
                <w:rFonts w:hint="eastAsia"/>
                <w:sz w:val="21"/>
                <w:szCs w:val="21"/>
              </w:rPr>
              <w:t>□温排水排放</w:t>
            </w:r>
          </w:p>
          <w:p w:rsidR="004E3021" w:rsidRPr="00EB3644" w:rsidRDefault="00606E48">
            <w:pPr>
              <w:pStyle w:val="afffffff2"/>
              <w:rPr>
                <w:sz w:val="21"/>
                <w:szCs w:val="21"/>
              </w:rPr>
            </w:pPr>
            <w:r w:rsidRPr="00EB3644">
              <w:rPr>
                <w:rFonts w:hint="eastAsia"/>
                <w:sz w:val="21"/>
                <w:szCs w:val="21"/>
              </w:rPr>
              <w:t>□车间或车间处理设施排放</w:t>
            </w:r>
          </w:p>
        </w:tc>
      </w:tr>
      <w:tr w:rsidR="004E3021" w:rsidRPr="00EB3644">
        <w:trPr>
          <w:cantSplit/>
          <w:jc w:val="center"/>
        </w:trPr>
        <w:tc>
          <w:tcPr>
            <w:tcW w:w="182" w:type="pct"/>
            <w:tcBorders>
              <w:top w:val="single" w:sz="4" w:space="0" w:color="auto"/>
              <w:left w:val="nil"/>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6</w:t>
            </w:r>
          </w:p>
        </w:tc>
        <w:tc>
          <w:tcPr>
            <w:tcW w:w="39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设备</w:t>
            </w:r>
            <w:r w:rsidRPr="00EB3644">
              <w:rPr>
                <w:sz w:val="21"/>
                <w:szCs w:val="21"/>
              </w:rPr>
              <w:t>冲洗水</w:t>
            </w:r>
          </w:p>
        </w:tc>
        <w:tc>
          <w:tcPr>
            <w:tcW w:w="42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COD</w:t>
            </w:r>
          </w:p>
          <w:p w:rsidR="004E3021" w:rsidRPr="00EB3644" w:rsidRDefault="00606E48">
            <w:pPr>
              <w:pStyle w:val="afffffff2"/>
              <w:rPr>
                <w:sz w:val="21"/>
                <w:szCs w:val="21"/>
              </w:rPr>
            </w:pPr>
            <w:r w:rsidRPr="00EB3644">
              <w:rPr>
                <w:rFonts w:hint="eastAsia"/>
                <w:sz w:val="21"/>
                <w:szCs w:val="21"/>
              </w:rPr>
              <w:t>SS</w:t>
            </w:r>
          </w:p>
        </w:tc>
        <w:tc>
          <w:tcPr>
            <w:tcW w:w="47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接管至</w:t>
            </w:r>
            <w:r w:rsidRPr="00EB3644">
              <w:rPr>
                <w:sz w:val="21"/>
                <w:szCs w:val="21"/>
              </w:rPr>
              <w:t>沫河口污水处理厂</w:t>
            </w:r>
          </w:p>
        </w:tc>
        <w:tc>
          <w:tcPr>
            <w:tcW w:w="44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间断排放，排放期间流量不稳定且无规律，但不属于冲击型排放</w:t>
            </w:r>
          </w:p>
        </w:tc>
        <w:tc>
          <w:tcPr>
            <w:tcW w:w="24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TW001</w:t>
            </w:r>
          </w:p>
        </w:tc>
        <w:tc>
          <w:tcPr>
            <w:tcW w:w="444"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污水处理站</w:t>
            </w:r>
          </w:p>
        </w:tc>
        <w:tc>
          <w:tcPr>
            <w:tcW w:w="498"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调节池</w:t>
            </w:r>
            <w:r w:rsidRPr="00EB3644">
              <w:rPr>
                <w:rFonts w:hint="eastAsia"/>
                <w:sz w:val="21"/>
                <w:szCs w:val="21"/>
              </w:rPr>
              <w:t>+</w:t>
            </w:r>
            <w:r w:rsidRPr="00EB3644">
              <w:rPr>
                <w:rFonts w:hint="eastAsia"/>
                <w:sz w:val="21"/>
                <w:szCs w:val="21"/>
              </w:rPr>
              <w:t>混凝沉淀</w:t>
            </w:r>
            <w:r w:rsidRPr="00EB3644">
              <w:rPr>
                <w:rFonts w:hint="eastAsia"/>
                <w:sz w:val="21"/>
                <w:szCs w:val="21"/>
              </w:rPr>
              <w:t>+</w:t>
            </w:r>
            <w:r w:rsidRPr="00EB3644">
              <w:rPr>
                <w:rFonts w:hint="eastAsia"/>
                <w:sz w:val="21"/>
                <w:szCs w:val="21"/>
              </w:rPr>
              <w:t>水解酸化</w:t>
            </w:r>
            <w:r w:rsidR="00361EDD" w:rsidRPr="00EB3644">
              <w:rPr>
                <w:rFonts w:hint="eastAsia"/>
                <w:sz w:val="21"/>
                <w:szCs w:val="21"/>
              </w:rPr>
              <w:t>+</w:t>
            </w:r>
            <w:r w:rsidR="00361EDD" w:rsidRPr="00EB3644">
              <w:rPr>
                <w:rFonts w:hint="eastAsia"/>
                <w:sz w:val="21"/>
                <w:szCs w:val="21"/>
              </w:rPr>
              <w:t>好氧</w:t>
            </w:r>
            <w:r w:rsidRPr="00EB3644">
              <w:rPr>
                <w:rFonts w:hint="eastAsia"/>
                <w:sz w:val="21"/>
                <w:szCs w:val="21"/>
              </w:rPr>
              <w:t>+MBR</w:t>
            </w:r>
          </w:p>
        </w:tc>
        <w:tc>
          <w:tcPr>
            <w:tcW w:w="44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DW</w:t>
            </w:r>
            <w:r w:rsidRPr="00EB3644">
              <w:rPr>
                <w:sz w:val="21"/>
                <w:szCs w:val="21"/>
              </w:rPr>
              <w:t>001</w:t>
            </w:r>
          </w:p>
        </w:tc>
        <w:tc>
          <w:tcPr>
            <w:tcW w:w="459"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■是</w:t>
            </w:r>
          </w:p>
          <w:p w:rsidR="004E3021" w:rsidRPr="00EB3644" w:rsidRDefault="00606E48">
            <w:pPr>
              <w:pStyle w:val="afffffff2"/>
              <w:rPr>
                <w:sz w:val="21"/>
                <w:szCs w:val="21"/>
              </w:rPr>
            </w:pPr>
            <w:r w:rsidRPr="00EB3644">
              <w:rPr>
                <w:rFonts w:hint="eastAsia"/>
                <w:sz w:val="21"/>
                <w:szCs w:val="21"/>
              </w:rPr>
              <w:t>□否</w:t>
            </w:r>
          </w:p>
        </w:tc>
        <w:tc>
          <w:tcPr>
            <w:tcW w:w="1001" w:type="pct"/>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■企业总排</w:t>
            </w:r>
          </w:p>
          <w:p w:rsidR="004E3021" w:rsidRPr="00EB3644" w:rsidRDefault="00606E48">
            <w:pPr>
              <w:pStyle w:val="afffffff2"/>
              <w:rPr>
                <w:sz w:val="21"/>
                <w:szCs w:val="21"/>
              </w:rPr>
            </w:pPr>
            <w:r w:rsidRPr="00EB3644">
              <w:rPr>
                <w:rFonts w:hint="eastAsia"/>
                <w:sz w:val="21"/>
                <w:szCs w:val="21"/>
              </w:rPr>
              <w:t>□雨水排放</w:t>
            </w:r>
          </w:p>
          <w:p w:rsidR="004E3021" w:rsidRPr="00EB3644" w:rsidRDefault="00606E48">
            <w:pPr>
              <w:pStyle w:val="afffffff2"/>
              <w:rPr>
                <w:sz w:val="21"/>
                <w:szCs w:val="21"/>
              </w:rPr>
            </w:pPr>
            <w:r w:rsidRPr="00EB3644">
              <w:rPr>
                <w:rFonts w:hint="eastAsia"/>
                <w:sz w:val="21"/>
                <w:szCs w:val="21"/>
              </w:rPr>
              <w:t>□清净下水排放</w:t>
            </w:r>
          </w:p>
          <w:p w:rsidR="004E3021" w:rsidRPr="00EB3644" w:rsidRDefault="00606E48">
            <w:pPr>
              <w:pStyle w:val="afffffff2"/>
              <w:rPr>
                <w:sz w:val="21"/>
                <w:szCs w:val="21"/>
              </w:rPr>
            </w:pPr>
            <w:r w:rsidRPr="00EB3644">
              <w:rPr>
                <w:rFonts w:hint="eastAsia"/>
                <w:sz w:val="21"/>
                <w:szCs w:val="21"/>
              </w:rPr>
              <w:t>□温排水排放</w:t>
            </w:r>
          </w:p>
          <w:p w:rsidR="004E3021" w:rsidRPr="00EB3644" w:rsidRDefault="00606E48">
            <w:pPr>
              <w:pStyle w:val="afffffff2"/>
              <w:rPr>
                <w:sz w:val="21"/>
                <w:szCs w:val="21"/>
              </w:rPr>
            </w:pPr>
            <w:r w:rsidRPr="00EB3644">
              <w:rPr>
                <w:rFonts w:hint="eastAsia"/>
                <w:sz w:val="21"/>
                <w:szCs w:val="21"/>
              </w:rPr>
              <w:t>□车间或车间处理设施排放</w:t>
            </w:r>
          </w:p>
        </w:tc>
      </w:tr>
      <w:tr w:rsidR="004E3021" w:rsidRPr="00EB3644">
        <w:trPr>
          <w:cantSplit/>
          <w:jc w:val="center"/>
        </w:trPr>
        <w:tc>
          <w:tcPr>
            <w:tcW w:w="182" w:type="pct"/>
            <w:tcBorders>
              <w:top w:val="single" w:sz="4" w:space="0" w:color="auto"/>
              <w:left w:val="nil"/>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lastRenderedPageBreak/>
              <w:t>7</w:t>
            </w:r>
          </w:p>
        </w:tc>
        <w:tc>
          <w:tcPr>
            <w:tcW w:w="39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bCs/>
                <w:color w:val="FF0000"/>
                <w:sz w:val="21"/>
                <w:szCs w:val="21"/>
              </w:rPr>
            </w:pPr>
            <w:r w:rsidRPr="00EB3644">
              <w:rPr>
                <w:rFonts w:hint="eastAsia"/>
                <w:bCs/>
                <w:sz w:val="21"/>
                <w:szCs w:val="21"/>
              </w:rPr>
              <w:t>地面</w:t>
            </w:r>
            <w:r w:rsidRPr="00EB3644">
              <w:rPr>
                <w:bCs/>
                <w:sz w:val="21"/>
                <w:szCs w:val="21"/>
              </w:rPr>
              <w:t>冲洗水</w:t>
            </w:r>
          </w:p>
        </w:tc>
        <w:tc>
          <w:tcPr>
            <w:tcW w:w="42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COD</w:t>
            </w:r>
          </w:p>
          <w:p w:rsidR="004E3021" w:rsidRPr="00EB3644" w:rsidRDefault="00606E48">
            <w:pPr>
              <w:pStyle w:val="afffffff2"/>
              <w:rPr>
                <w:sz w:val="21"/>
                <w:szCs w:val="21"/>
              </w:rPr>
            </w:pPr>
            <w:r w:rsidRPr="00EB3644">
              <w:rPr>
                <w:rFonts w:hint="eastAsia"/>
                <w:sz w:val="21"/>
                <w:szCs w:val="21"/>
              </w:rPr>
              <w:t>SS</w:t>
            </w:r>
          </w:p>
        </w:tc>
        <w:tc>
          <w:tcPr>
            <w:tcW w:w="47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接管至</w:t>
            </w:r>
            <w:r w:rsidRPr="00EB3644">
              <w:rPr>
                <w:sz w:val="21"/>
                <w:szCs w:val="21"/>
              </w:rPr>
              <w:t>沫河口污水处理厂</w:t>
            </w:r>
          </w:p>
        </w:tc>
        <w:tc>
          <w:tcPr>
            <w:tcW w:w="44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间断排放，排放期间流量不稳定且无规律，但不属于冲击型排放</w:t>
            </w:r>
          </w:p>
        </w:tc>
        <w:tc>
          <w:tcPr>
            <w:tcW w:w="24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TW001</w:t>
            </w:r>
          </w:p>
        </w:tc>
        <w:tc>
          <w:tcPr>
            <w:tcW w:w="444"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污水处理站</w:t>
            </w:r>
          </w:p>
        </w:tc>
        <w:tc>
          <w:tcPr>
            <w:tcW w:w="498"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调节池</w:t>
            </w:r>
            <w:r w:rsidRPr="00EB3644">
              <w:rPr>
                <w:rFonts w:hint="eastAsia"/>
                <w:sz w:val="21"/>
                <w:szCs w:val="21"/>
              </w:rPr>
              <w:t>+</w:t>
            </w:r>
            <w:r w:rsidRPr="00EB3644">
              <w:rPr>
                <w:rFonts w:hint="eastAsia"/>
                <w:sz w:val="21"/>
                <w:szCs w:val="21"/>
              </w:rPr>
              <w:t>混凝沉淀</w:t>
            </w:r>
            <w:r w:rsidRPr="00EB3644">
              <w:rPr>
                <w:rFonts w:hint="eastAsia"/>
                <w:sz w:val="21"/>
                <w:szCs w:val="21"/>
              </w:rPr>
              <w:t>+</w:t>
            </w:r>
            <w:r w:rsidRPr="00EB3644">
              <w:rPr>
                <w:rFonts w:hint="eastAsia"/>
                <w:sz w:val="21"/>
                <w:szCs w:val="21"/>
              </w:rPr>
              <w:t>水解酸化</w:t>
            </w:r>
            <w:r w:rsidR="00361EDD" w:rsidRPr="00EB3644">
              <w:rPr>
                <w:rFonts w:hint="eastAsia"/>
                <w:sz w:val="21"/>
                <w:szCs w:val="21"/>
              </w:rPr>
              <w:t>+</w:t>
            </w:r>
            <w:r w:rsidR="00361EDD" w:rsidRPr="00EB3644">
              <w:rPr>
                <w:rFonts w:hint="eastAsia"/>
                <w:sz w:val="21"/>
                <w:szCs w:val="21"/>
              </w:rPr>
              <w:t>好氧</w:t>
            </w:r>
            <w:r w:rsidRPr="00EB3644">
              <w:rPr>
                <w:rFonts w:hint="eastAsia"/>
                <w:sz w:val="21"/>
                <w:szCs w:val="21"/>
              </w:rPr>
              <w:t>+MBR</w:t>
            </w:r>
          </w:p>
        </w:tc>
        <w:tc>
          <w:tcPr>
            <w:tcW w:w="44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DW</w:t>
            </w:r>
            <w:r w:rsidRPr="00EB3644">
              <w:rPr>
                <w:sz w:val="21"/>
                <w:szCs w:val="21"/>
              </w:rPr>
              <w:t>001</w:t>
            </w:r>
          </w:p>
        </w:tc>
        <w:tc>
          <w:tcPr>
            <w:tcW w:w="459"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■是</w:t>
            </w:r>
          </w:p>
          <w:p w:rsidR="004E3021" w:rsidRPr="00EB3644" w:rsidRDefault="00606E48">
            <w:pPr>
              <w:pStyle w:val="afffffff2"/>
              <w:rPr>
                <w:sz w:val="21"/>
                <w:szCs w:val="21"/>
              </w:rPr>
            </w:pPr>
            <w:r w:rsidRPr="00EB3644">
              <w:rPr>
                <w:rFonts w:hint="eastAsia"/>
                <w:sz w:val="21"/>
                <w:szCs w:val="21"/>
              </w:rPr>
              <w:t>□否</w:t>
            </w:r>
          </w:p>
        </w:tc>
        <w:tc>
          <w:tcPr>
            <w:tcW w:w="1001" w:type="pct"/>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■企业总排</w:t>
            </w:r>
          </w:p>
          <w:p w:rsidR="004E3021" w:rsidRPr="00EB3644" w:rsidRDefault="00606E48">
            <w:pPr>
              <w:pStyle w:val="afffffff2"/>
              <w:rPr>
                <w:sz w:val="21"/>
                <w:szCs w:val="21"/>
              </w:rPr>
            </w:pPr>
            <w:r w:rsidRPr="00EB3644">
              <w:rPr>
                <w:rFonts w:hint="eastAsia"/>
                <w:sz w:val="21"/>
                <w:szCs w:val="21"/>
              </w:rPr>
              <w:t>□雨水排放</w:t>
            </w:r>
          </w:p>
          <w:p w:rsidR="004E3021" w:rsidRPr="00EB3644" w:rsidRDefault="00606E48">
            <w:pPr>
              <w:pStyle w:val="afffffff2"/>
              <w:rPr>
                <w:sz w:val="21"/>
                <w:szCs w:val="21"/>
              </w:rPr>
            </w:pPr>
            <w:r w:rsidRPr="00EB3644">
              <w:rPr>
                <w:rFonts w:hint="eastAsia"/>
                <w:sz w:val="21"/>
                <w:szCs w:val="21"/>
              </w:rPr>
              <w:t>□清净下水排放</w:t>
            </w:r>
          </w:p>
          <w:p w:rsidR="004E3021" w:rsidRPr="00EB3644" w:rsidRDefault="00606E48">
            <w:pPr>
              <w:pStyle w:val="afffffff2"/>
              <w:rPr>
                <w:sz w:val="21"/>
                <w:szCs w:val="21"/>
              </w:rPr>
            </w:pPr>
            <w:r w:rsidRPr="00EB3644">
              <w:rPr>
                <w:rFonts w:hint="eastAsia"/>
                <w:sz w:val="21"/>
                <w:szCs w:val="21"/>
              </w:rPr>
              <w:t>□温排水排放</w:t>
            </w:r>
          </w:p>
          <w:p w:rsidR="004E3021" w:rsidRPr="00EB3644" w:rsidRDefault="00606E48">
            <w:pPr>
              <w:pStyle w:val="afffffff2"/>
              <w:rPr>
                <w:sz w:val="21"/>
                <w:szCs w:val="21"/>
              </w:rPr>
            </w:pPr>
            <w:r w:rsidRPr="00EB3644">
              <w:rPr>
                <w:rFonts w:hint="eastAsia"/>
                <w:sz w:val="21"/>
                <w:szCs w:val="21"/>
              </w:rPr>
              <w:t>□车间或车间处理设施排放</w:t>
            </w:r>
          </w:p>
        </w:tc>
      </w:tr>
      <w:tr w:rsidR="004E3021" w:rsidRPr="00EB3644">
        <w:trPr>
          <w:cantSplit/>
          <w:jc w:val="center"/>
        </w:trPr>
        <w:tc>
          <w:tcPr>
            <w:tcW w:w="182" w:type="pct"/>
            <w:tcBorders>
              <w:top w:val="single" w:sz="4" w:space="0" w:color="auto"/>
              <w:left w:val="nil"/>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8</w:t>
            </w:r>
          </w:p>
        </w:tc>
        <w:tc>
          <w:tcPr>
            <w:tcW w:w="39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bCs/>
                <w:sz w:val="21"/>
                <w:szCs w:val="21"/>
              </w:rPr>
            </w:pPr>
            <w:r w:rsidRPr="00EB3644">
              <w:rPr>
                <w:sz w:val="21"/>
                <w:szCs w:val="21"/>
              </w:rPr>
              <w:t>废气处理系统排水</w:t>
            </w:r>
          </w:p>
        </w:tc>
        <w:tc>
          <w:tcPr>
            <w:tcW w:w="42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COD</w:t>
            </w:r>
          </w:p>
          <w:p w:rsidR="004E3021" w:rsidRPr="00EB3644" w:rsidRDefault="00606E48">
            <w:pPr>
              <w:pStyle w:val="afffffff2"/>
              <w:rPr>
                <w:sz w:val="21"/>
                <w:szCs w:val="21"/>
              </w:rPr>
            </w:pPr>
            <w:r w:rsidRPr="00EB3644">
              <w:rPr>
                <w:rFonts w:hint="eastAsia"/>
                <w:sz w:val="21"/>
                <w:szCs w:val="21"/>
              </w:rPr>
              <w:t>SS</w:t>
            </w:r>
          </w:p>
          <w:p w:rsidR="004E3021" w:rsidRPr="00EB3644" w:rsidRDefault="00606E48">
            <w:pPr>
              <w:pStyle w:val="afffffff2"/>
              <w:rPr>
                <w:sz w:val="21"/>
                <w:szCs w:val="21"/>
              </w:rPr>
            </w:pPr>
            <w:r w:rsidRPr="00EB3644">
              <w:rPr>
                <w:rFonts w:hint="eastAsia"/>
                <w:sz w:val="21"/>
                <w:szCs w:val="21"/>
              </w:rPr>
              <w:t>盐分</w:t>
            </w:r>
          </w:p>
        </w:tc>
        <w:tc>
          <w:tcPr>
            <w:tcW w:w="47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接管至</w:t>
            </w:r>
            <w:r w:rsidRPr="00EB3644">
              <w:rPr>
                <w:sz w:val="21"/>
                <w:szCs w:val="21"/>
              </w:rPr>
              <w:t>沫河口污水处理厂</w:t>
            </w:r>
          </w:p>
        </w:tc>
        <w:tc>
          <w:tcPr>
            <w:tcW w:w="44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间断排放，排放期间流量不稳定且无规律，但不属于冲击型排放</w:t>
            </w:r>
          </w:p>
        </w:tc>
        <w:tc>
          <w:tcPr>
            <w:tcW w:w="24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TW001</w:t>
            </w:r>
          </w:p>
        </w:tc>
        <w:tc>
          <w:tcPr>
            <w:tcW w:w="444"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污水处理站</w:t>
            </w:r>
          </w:p>
        </w:tc>
        <w:tc>
          <w:tcPr>
            <w:tcW w:w="498"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调节池</w:t>
            </w:r>
            <w:r w:rsidRPr="00EB3644">
              <w:rPr>
                <w:rFonts w:hint="eastAsia"/>
                <w:sz w:val="21"/>
                <w:szCs w:val="21"/>
              </w:rPr>
              <w:t>+</w:t>
            </w:r>
            <w:r w:rsidRPr="00EB3644">
              <w:rPr>
                <w:rFonts w:hint="eastAsia"/>
                <w:sz w:val="21"/>
                <w:szCs w:val="21"/>
              </w:rPr>
              <w:t>混凝沉淀</w:t>
            </w:r>
            <w:r w:rsidRPr="00EB3644">
              <w:rPr>
                <w:rFonts w:hint="eastAsia"/>
                <w:sz w:val="21"/>
                <w:szCs w:val="21"/>
              </w:rPr>
              <w:t>+</w:t>
            </w:r>
            <w:r w:rsidRPr="00EB3644">
              <w:rPr>
                <w:rFonts w:hint="eastAsia"/>
                <w:sz w:val="21"/>
                <w:szCs w:val="21"/>
              </w:rPr>
              <w:t>水解酸化</w:t>
            </w:r>
            <w:r w:rsidR="00361EDD" w:rsidRPr="00EB3644">
              <w:rPr>
                <w:rFonts w:hint="eastAsia"/>
                <w:sz w:val="21"/>
                <w:szCs w:val="21"/>
              </w:rPr>
              <w:t>+</w:t>
            </w:r>
            <w:r w:rsidR="00361EDD" w:rsidRPr="00EB3644">
              <w:rPr>
                <w:rFonts w:hint="eastAsia"/>
                <w:sz w:val="21"/>
                <w:szCs w:val="21"/>
              </w:rPr>
              <w:t>好氧</w:t>
            </w:r>
            <w:r w:rsidRPr="00EB3644">
              <w:rPr>
                <w:rFonts w:hint="eastAsia"/>
                <w:sz w:val="21"/>
                <w:szCs w:val="21"/>
              </w:rPr>
              <w:t>+MBR</w:t>
            </w:r>
          </w:p>
        </w:tc>
        <w:tc>
          <w:tcPr>
            <w:tcW w:w="44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DW</w:t>
            </w:r>
            <w:r w:rsidRPr="00EB3644">
              <w:rPr>
                <w:sz w:val="21"/>
                <w:szCs w:val="21"/>
              </w:rPr>
              <w:t>001</w:t>
            </w:r>
          </w:p>
        </w:tc>
        <w:tc>
          <w:tcPr>
            <w:tcW w:w="459"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■是</w:t>
            </w:r>
          </w:p>
          <w:p w:rsidR="004E3021" w:rsidRPr="00EB3644" w:rsidRDefault="00606E48">
            <w:pPr>
              <w:pStyle w:val="afffffff2"/>
              <w:rPr>
                <w:sz w:val="21"/>
                <w:szCs w:val="21"/>
              </w:rPr>
            </w:pPr>
            <w:r w:rsidRPr="00EB3644">
              <w:rPr>
                <w:rFonts w:hint="eastAsia"/>
                <w:sz w:val="21"/>
                <w:szCs w:val="21"/>
              </w:rPr>
              <w:t>□否</w:t>
            </w:r>
          </w:p>
        </w:tc>
        <w:tc>
          <w:tcPr>
            <w:tcW w:w="1001" w:type="pct"/>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■企业总排</w:t>
            </w:r>
          </w:p>
          <w:p w:rsidR="004E3021" w:rsidRPr="00EB3644" w:rsidRDefault="00606E48">
            <w:pPr>
              <w:pStyle w:val="afffffff2"/>
              <w:rPr>
                <w:sz w:val="21"/>
                <w:szCs w:val="21"/>
              </w:rPr>
            </w:pPr>
            <w:r w:rsidRPr="00EB3644">
              <w:rPr>
                <w:rFonts w:hint="eastAsia"/>
                <w:sz w:val="21"/>
                <w:szCs w:val="21"/>
              </w:rPr>
              <w:t>□雨水排放</w:t>
            </w:r>
          </w:p>
          <w:p w:rsidR="004E3021" w:rsidRPr="00EB3644" w:rsidRDefault="00606E48">
            <w:pPr>
              <w:pStyle w:val="afffffff2"/>
              <w:rPr>
                <w:sz w:val="21"/>
                <w:szCs w:val="21"/>
              </w:rPr>
            </w:pPr>
            <w:r w:rsidRPr="00EB3644">
              <w:rPr>
                <w:rFonts w:hint="eastAsia"/>
                <w:sz w:val="21"/>
                <w:szCs w:val="21"/>
              </w:rPr>
              <w:t>□清净下水排放</w:t>
            </w:r>
          </w:p>
          <w:p w:rsidR="004E3021" w:rsidRPr="00EB3644" w:rsidRDefault="00606E48">
            <w:pPr>
              <w:pStyle w:val="afffffff2"/>
              <w:rPr>
                <w:sz w:val="21"/>
                <w:szCs w:val="21"/>
              </w:rPr>
            </w:pPr>
            <w:r w:rsidRPr="00EB3644">
              <w:rPr>
                <w:rFonts w:hint="eastAsia"/>
                <w:sz w:val="21"/>
                <w:szCs w:val="21"/>
              </w:rPr>
              <w:t>□温排水排放</w:t>
            </w:r>
          </w:p>
          <w:p w:rsidR="004E3021" w:rsidRPr="00EB3644" w:rsidRDefault="00606E48">
            <w:pPr>
              <w:pStyle w:val="afffffff2"/>
              <w:rPr>
                <w:sz w:val="21"/>
                <w:szCs w:val="21"/>
              </w:rPr>
            </w:pPr>
            <w:r w:rsidRPr="00EB3644">
              <w:rPr>
                <w:rFonts w:hint="eastAsia"/>
                <w:sz w:val="21"/>
                <w:szCs w:val="21"/>
              </w:rPr>
              <w:t>□车间或车间处理设施排放</w:t>
            </w:r>
          </w:p>
        </w:tc>
      </w:tr>
      <w:tr w:rsidR="004E3021" w:rsidRPr="00EB3644">
        <w:trPr>
          <w:cantSplit/>
          <w:jc w:val="center"/>
        </w:trPr>
        <w:tc>
          <w:tcPr>
            <w:tcW w:w="182" w:type="pct"/>
            <w:tcBorders>
              <w:top w:val="single" w:sz="4" w:space="0" w:color="auto"/>
              <w:left w:val="nil"/>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9</w:t>
            </w:r>
          </w:p>
        </w:tc>
        <w:tc>
          <w:tcPr>
            <w:tcW w:w="39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再生水</w:t>
            </w:r>
          </w:p>
        </w:tc>
        <w:tc>
          <w:tcPr>
            <w:tcW w:w="42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COD</w:t>
            </w:r>
          </w:p>
          <w:p w:rsidR="004E3021" w:rsidRPr="00EB3644" w:rsidRDefault="00606E48">
            <w:pPr>
              <w:pStyle w:val="afffffff2"/>
              <w:rPr>
                <w:sz w:val="21"/>
                <w:szCs w:val="21"/>
              </w:rPr>
            </w:pPr>
            <w:r w:rsidRPr="00EB3644">
              <w:rPr>
                <w:rFonts w:hint="eastAsia"/>
                <w:sz w:val="21"/>
                <w:szCs w:val="21"/>
              </w:rPr>
              <w:t>SS</w:t>
            </w:r>
          </w:p>
          <w:p w:rsidR="004E3021" w:rsidRPr="00EB3644" w:rsidRDefault="00606E48">
            <w:pPr>
              <w:pStyle w:val="afffffff2"/>
              <w:rPr>
                <w:sz w:val="21"/>
                <w:szCs w:val="21"/>
              </w:rPr>
            </w:pPr>
            <w:r w:rsidRPr="00EB3644">
              <w:rPr>
                <w:rFonts w:hint="eastAsia"/>
                <w:sz w:val="21"/>
                <w:szCs w:val="21"/>
              </w:rPr>
              <w:t>盐分</w:t>
            </w:r>
          </w:p>
        </w:tc>
        <w:tc>
          <w:tcPr>
            <w:tcW w:w="47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接管至</w:t>
            </w:r>
            <w:r w:rsidRPr="00EB3644">
              <w:rPr>
                <w:sz w:val="21"/>
                <w:szCs w:val="21"/>
              </w:rPr>
              <w:t>沫河口污水处理厂</w:t>
            </w:r>
          </w:p>
        </w:tc>
        <w:tc>
          <w:tcPr>
            <w:tcW w:w="44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间断排放，排放期间流量不稳定且无规律，但不属于冲击型排放</w:t>
            </w:r>
          </w:p>
        </w:tc>
        <w:tc>
          <w:tcPr>
            <w:tcW w:w="24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TW001</w:t>
            </w:r>
          </w:p>
        </w:tc>
        <w:tc>
          <w:tcPr>
            <w:tcW w:w="444"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污水处理站</w:t>
            </w:r>
          </w:p>
        </w:tc>
        <w:tc>
          <w:tcPr>
            <w:tcW w:w="498"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调节池</w:t>
            </w:r>
            <w:r w:rsidRPr="00EB3644">
              <w:rPr>
                <w:rFonts w:hint="eastAsia"/>
                <w:sz w:val="21"/>
                <w:szCs w:val="21"/>
              </w:rPr>
              <w:t>+</w:t>
            </w:r>
            <w:r w:rsidRPr="00EB3644">
              <w:rPr>
                <w:rFonts w:hint="eastAsia"/>
                <w:sz w:val="21"/>
                <w:szCs w:val="21"/>
              </w:rPr>
              <w:t>混凝沉淀</w:t>
            </w:r>
            <w:r w:rsidRPr="00EB3644">
              <w:rPr>
                <w:rFonts w:hint="eastAsia"/>
                <w:sz w:val="21"/>
                <w:szCs w:val="21"/>
              </w:rPr>
              <w:t>+</w:t>
            </w:r>
            <w:r w:rsidRPr="00EB3644">
              <w:rPr>
                <w:rFonts w:hint="eastAsia"/>
                <w:sz w:val="21"/>
                <w:szCs w:val="21"/>
              </w:rPr>
              <w:t>水解酸化</w:t>
            </w:r>
            <w:r w:rsidR="00361EDD" w:rsidRPr="00EB3644">
              <w:rPr>
                <w:rFonts w:hint="eastAsia"/>
                <w:sz w:val="21"/>
                <w:szCs w:val="21"/>
              </w:rPr>
              <w:t>+</w:t>
            </w:r>
            <w:r w:rsidR="00361EDD" w:rsidRPr="00EB3644">
              <w:rPr>
                <w:rFonts w:hint="eastAsia"/>
                <w:sz w:val="21"/>
                <w:szCs w:val="21"/>
              </w:rPr>
              <w:t>好氧</w:t>
            </w:r>
            <w:r w:rsidRPr="00EB3644">
              <w:rPr>
                <w:rFonts w:hint="eastAsia"/>
                <w:sz w:val="21"/>
                <w:szCs w:val="21"/>
              </w:rPr>
              <w:t>+MBR</w:t>
            </w:r>
          </w:p>
        </w:tc>
        <w:tc>
          <w:tcPr>
            <w:tcW w:w="44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DW</w:t>
            </w:r>
            <w:r w:rsidRPr="00EB3644">
              <w:rPr>
                <w:sz w:val="21"/>
                <w:szCs w:val="21"/>
              </w:rPr>
              <w:t>001</w:t>
            </w:r>
          </w:p>
        </w:tc>
        <w:tc>
          <w:tcPr>
            <w:tcW w:w="459"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■是</w:t>
            </w:r>
          </w:p>
          <w:p w:rsidR="004E3021" w:rsidRPr="00EB3644" w:rsidRDefault="00606E48">
            <w:pPr>
              <w:pStyle w:val="afffffff2"/>
              <w:rPr>
                <w:sz w:val="21"/>
                <w:szCs w:val="21"/>
              </w:rPr>
            </w:pPr>
            <w:r w:rsidRPr="00EB3644">
              <w:rPr>
                <w:rFonts w:hint="eastAsia"/>
                <w:sz w:val="21"/>
                <w:szCs w:val="21"/>
              </w:rPr>
              <w:t>□否</w:t>
            </w:r>
          </w:p>
        </w:tc>
        <w:tc>
          <w:tcPr>
            <w:tcW w:w="1001" w:type="pct"/>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■企业总排</w:t>
            </w:r>
          </w:p>
          <w:p w:rsidR="004E3021" w:rsidRPr="00EB3644" w:rsidRDefault="00606E48">
            <w:pPr>
              <w:pStyle w:val="afffffff2"/>
              <w:rPr>
                <w:sz w:val="21"/>
                <w:szCs w:val="21"/>
              </w:rPr>
            </w:pPr>
            <w:r w:rsidRPr="00EB3644">
              <w:rPr>
                <w:rFonts w:hint="eastAsia"/>
                <w:sz w:val="21"/>
                <w:szCs w:val="21"/>
              </w:rPr>
              <w:t>□雨水排放</w:t>
            </w:r>
          </w:p>
          <w:p w:rsidR="004E3021" w:rsidRPr="00EB3644" w:rsidRDefault="00606E48">
            <w:pPr>
              <w:pStyle w:val="afffffff2"/>
              <w:rPr>
                <w:sz w:val="21"/>
                <w:szCs w:val="21"/>
              </w:rPr>
            </w:pPr>
            <w:r w:rsidRPr="00EB3644">
              <w:rPr>
                <w:rFonts w:hint="eastAsia"/>
                <w:sz w:val="21"/>
                <w:szCs w:val="21"/>
              </w:rPr>
              <w:t>□清净下水排放</w:t>
            </w:r>
          </w:p>
          <w:p w:rsidR="004E3021" w:rsidRPr="00EB3644" w:rsidRDefault="00606E48">
            <w:pPr>
              <w:pStyle w:val="afffffff2"/>
              <w:rPr>
                <w:sz w:val="21"/>
                <w:szCs w:val="21"/>
              </w:rPr>
            </w:pPr>
            <w:r w:rsidRPr="00EB3644">
              <w:rPr>
                <w:rFonts w:hint="eastAsia"/>
                <w:sz w:val="21"/>
                <w:szCs w:val="21"/>
              </w:rPr>
              <w:t>□温排水排放</w:t>
            </w:r>
          </w:p>
          <w:p w:rsidR="004E3021" w:rsidRPr="00EB3644" w:rsidRDefault="00606E48">
            <w:pPr>
              <w:pStyle w:val="afffffff2"/>
              <w:rPr>
                <w:sz w:val="21"/>
                <w:szCs w:val="21"/>
              </w:rPr>
            </w:pPr>
            <w:r w:rsidRPr="00EB3644">
              <w:rPr>
                <w:rFonts w:hint="eastAsia"/>
                <w:sz w:val="21"/>
                <w:szCs w:val="21"/>
              </w:rPr>
              <w:t>□车间或车间处理设施排放</w:t>
            </w:r>
          </w:p>
        </w:tc>
      </w:tr>
      <w:tr w:rsidR="004E3021" w:rsidRPr="00EB3644">
        <w:trPr>
          <w:cantSplit/>
          <w:jc w:val="center"/>
        </w:trPr>
        <w:tc>
          <w:tcPr>
            <w:tcW w:w="182" w:type="pct"/>
            <w:tcBorders>
              <w:top w:val="single" w:sz="4" w:space="0" w:color="auto"/>
              <w:left w:val="nil"/>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10</w:t>
            </w:r>
          </w:p>
        </w:tc>
        <w:tc>
          <w:tcPr>
            <w:tcW w:w="39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实验室废水</w:t>
            </w:r>
          </w:p>
        </w:tc>
        <w:tc>
          <w:tcPr>
            <w:tcW w:w="42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COD</w:t>
            </w:r>
          </w:p>
          <w:p w:rsidR="004E3021" w:rsidRPr="00EB3644" w:rsidRDefault="00606E48">
            <w:pPr>
              <w:pStyle w:val="afffffff2"/>
              <w:rPr>
                <w:sz w:val="21"/>
                <w:szCs w:val="21"/>
              </w:rPr>
            </w:pPr>
            <w:r w:rsidRPr="00EB3644">
              <w:rPr>
                <w:rFonts w:hint="eastAsia"/>
                <w:sz w:val="21"/>
                <w:szCs w:val="21"/>
              </w:rPr>
              <w:t>SS</w:t>
            </w:r>
          </w:p>
        </w:tc>
        <w:tc>
          <w:tcPr>
            <w:tcW w:w="47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接管至</w:t>
            </w:r>
            <w:r w:rsidRPr="00EB3644">
              <w:rPr>
                <w:sz w:val="21"/>
                <w:szCs w:val="21"/>
              </w:rPr>
              <w:t>沫河口污水处理厂</w:t>
            </w:r>
          </w:p>
        </w:tc>
        <w:tc>
          <w:tcPr>
            <w:tcW w:w="440"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间断排放，排放期间流量不稳定且无规律，但不属于冲击型排放</w:t>
            </w:r>
          </w:p>
        </w:tc>
        <w:tc>
          <w:tcPr>
            <w:tcW w:w="242"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TW001</w:t>
            </w:r>
          </w:p>
        </w:tc>
        <w:tc>
          <w:tcPr>
            <w:tcW w:w="444"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污水处理站</w:t>
            </w:r>
          </w:p>
        </w:tc>
        <w:tc>
          <w:tcPr>
            <w:tcW w:w="498"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调节池</w:t>
            </w:r>
            <w:r w:rsidRPr="00EB3644">
              <w:rPr>
                <w:rFonts w:hint="eastAsia"/>
                <w:sz w:val="21"/>
                <w:szCs w:val="21"/>
              </w:rPr>
              <w:t>+</w:t>
            </w:r>
            <w:r w:rsidRPr="00EB3644">
              <w:rPr>
                <w:rFonts w:hint="eastAsia"/>
                <w:sz w:val="21"/>
                <w:szCs w:val="21"/>
              </w:rPr>
              <w:t>混凝沉淀</w:t>
            </w:r>
            <w:r w:rsidRPr="00EB3644">
              <w:rPr>
                <w:rFonts w:hint="eastAsia"/>
                <w:sz w:val="21"/>
                <w:szCs w:val="21"/>
              </w:rPr>
              <w:t>+</w:t>
            </w:r>
            <w:r w:rsidRPr="00EB3644">
              <w:rPr>
                <w:rFonts w:hint="eastAsia"/>
                <w:sz w:val="21"/>
                <w:szCs w:val="21"/>
              </w:rPr>
              <w:t>水解酸化</w:t>
            </w:r>
            <w:r w:rsidR="00361EDD" w:rsidRPr="00EB3644">
              <w:rPr>
                <w:rFonts w:hint="eastAsia"/>
                <w:sz w:val="21"/>
                <w:szCs w:val="21"/>
              </w:rPr>
              <w:t>+</w:t>
            </w:r>
            <w:r w:rsidR="00361EDD" w:rsidRPr="00EB3644">
              <w:rPr>
                <w:rFonts w:hint="eastAsia"/>
                <w:sz w:val="21"/>
                <w:szCs w:val="21"/>
              </w:rPr>
              <w:t>好氧</w:t>
            </w:r>
            <w:r w:rsidRPr="00EB3644">
              <w:rPr>
                <w:rFonts w:hint="eastAsia"/>
                <w:sz w:val="21"/>
                <w:szCs w:val="21"/>
              </w:rPr>
              <w:t>+MBR</w:t>
            </w:r>
          </w:p>
        </w:tc>
        <w:tc>
          <w:tcPr>
            <w:tcW w:w="446"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DW</w:t>
            </w:r>
            <w:r w:rsidRPr="00EB3644">
              <w:rPr>
                <w:sz w:val="21"/>
                <w:szCs w:val="21"/>
              </w:rPr>
              <w:t>001</w:t>
            </w:r>
          </w:p>
        </w:tc>
        <w:tc>
          <w:tcPr>
            <w:tcW w:w="459"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■是</w:t>
            </w:r>
          </w:p>
          <w:p w:rsidR="004E3021" w:rsidRPr="00EB3644" w:rsidRDefault="00606E48">
            <w:pPr>
              <w:pStyle w:val="afffffff2"/>
              <w:rPr>
                <w:sz w:val="21"/>
                <w:szCs w:val="21"/>
              </w:rPr>
            </w:pPr>
            <w:r w:rsidRPr="00EB3644">
              <w:rPr>
                <w:rFonts w:hint="eastAsia"/>
                <w:sz w:val="21"/>
                <w:szCs w:val="21"/>
              </w:rPr>
              <w:t>□否</w:t>
            </w:r>
          </w:p>
        </w:tc>
        <w:tc>
          <w:tcPr>
            <w:tcW w:w="1001" w:type="pct"/>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■企业总排</w:t>
            </w:r>
          </w:p>
          <w:p w:rsidR="004E3021" w:rsidRPr="00EB3644" w:rsidRDefault="00606E48">
            <w:pPr>
              <w:pStyle w:val="afffffff2"/>
              <w:rPr>
                <w:sz w:val="21"/>
                <w:szCs w:val="21"/>
              </w:rPr>
            </w:pPr>
            <w:r w:rsidRPr="00EB3644">
              <w:rPr>
                <w:rFonts w:hint="eastAsia"/>
                <w:sz w:val="21"/>
                <w:szCs w:val="21"/>
              </w:rPr>
              <w:t>□雨水排放</w:t>
            </w:r>
          </w:p>
          <w:p w:rsidR="004E3021" w:rsidRPr="00EB3644" w:rsidRDefault="00606E48">
            <w:pPr>
              <w:pStyle w:val="afffffff2"/>
              <w:rPr>
                <w:sz w:val="21"/>
                <w:szCs w:val="21"/>
              </w:rPr>
            </w:pPr>
            <w:r w:rsidRPr="00EB3644">
              <w:rPr>
                <w:rFonts w:hint="eastAsia"/>
                <w:sz w:val="21"/>
                <w:szCs w:val="21"/>
              </w:rPr>
              <w:t>□清净下水排放</w:t>
            </w:r>
          </w:p>
          <w:p w:rsidR="004E3021" w:rsidRPr="00EB3644" w:rsidRDefault="00606E48">
            <w:pPr>
              <w:pStyle w:val="afffffff2"/>
              <w:rPr>
                <w:sz w:val="21"/>
                <w:szCs w:val="21"/>
              </w:rPr>
            </w:pPr>
            <w:r w:rsidRPr="00EB3644">
              <w:rPr>
                <w:rFonts w:hint="eastAsia"/>
                <w:sz w:val="21"/>
                <w:szCs w:val="21"/>
              </w:rPr>
              <w:t>□温排水排放</w:t>
            </w:r>
          </w:p>
          <w:p w:rsidR="004E3021" w:rsidRPr="00EB3644" w:rsidRDefault="00606E48">
            <w:pPr>
              <w:pStyle w:val="afffffff2"/>
              <w:rPr>
                <w:sz w:val="21"/>
                <w:szCs w:val="21"/>
              </w:rPr>
            </w:pPr>
            <w:r w:rsidRPr="00EB3644">
              <w:rPr>
                <w:rFonts w:hint="eastAsia"/>
                <w:sz w:val="21"/>
                <w:szCs w:val="21"/>
              </w:rPr>
              <w:t>□车间或车间处理设施排放</w:t>
            </w:r>
          </w:p>
        </w:tc>
      </w:tr>
    </w:tbl>
    <w:p w:rsidR="004E3021" w:rsidRDefault="00606E48">
      <w:pPr>
        <w:spacing w:line="500" w:lineRule="exact"/>
        <w:ind w:firstLineChars="0" w:firstLine="0"/>
        <w:jc w:val="center"/>
        <w:rPr>
          <w:rFonts w:eastAsia="黑体"/>
        </w:rPr>
      </w:pPr>
      <w:r>
        <w:rPr>
          <w:rFonts w:ascii="黑体" w:eastAsia="黑体" w:hAnsi="黑体"/>
        </w:rPr>
        <w:lastRenderedPageBreak/>
        <w:t>表</w:t>
      </w:r>
      <w:r>
        <w:rPr>
          <w:rFonts w:eastAsia="黑体"/>
        </w:rPr>
        <w:t>5.2.2-2</w:t>
      </w:r>
      <w:r>
        <w:rPr>
          <w:rFonts w:eastAsia="黑体" w:hint="eastAsia"/>
        </w:rPr>
        <w:t xml:space="preserve"> </w:t>
      </w:r>
      <w:r>
        <w:rPr>
          <w:rFonts w:eastAsia="黑体"/>
        </w:rPr>
        <w:t xml:space="preserve"> </w:t>
      </w:r>
      <w:r>
        <w:rPr>
          <w:rFonts w:ascii="黑体" w:eastAsia="黑体" w:hAnsi="黑体" w:hint="eastAsia"/>
        </w:rPr>
        <w:t>废水间接排放口</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56"/>
        <w:gridCol w:w="1555"/>
        <w:gridCol w:w="1276"/>
        <w:gridCol w:w="1209"/>
        <w:gridCol w:w="885"/>
        <w:gridCol w:w="835"/>
        <w:gridCol w:w="659"/>
        <w:gridCol w:w="1150"/>
        <w:gridCol w:w="1175"/>
        <w:gridCol w:w="1798"/>
        <w:gridCol w:w="2580"/>
        <w:gridCol w:w="181"/>
      </w:tblGrid>
      <w:tr w:rsidR="004E3021" w:rsidRPr="00EB3644">
        <w:trPr>
          <w:gridAfter w:val="1"/>
          <w:wAfter w:w="65" w:type="pct"/>
          <w:cantSplit/>
          <w:trHeight w:val="225"/>
          <w:jc w:val="center"/>
        </w:trPr>
        <w:tc>
          <w:tcPr>
            <w:tcW w:w="235" w:type="pct"/>
            <w:vMerge w:val="restart"/>
            <w:tcBorders>
              <w:top w:val="single" w:sz="12" w:space="0" w:color="auto"/>
              <w:left w:val="nil"/>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序号</w:t>
            </w:r>
          </w:p>
        </w:tc>
        <w:tc>
          <w:tcPr>
            <w:tcW w:w="557" w:type="pct"/>
            <w:vMerge w:val="restart"/>
            <w:tcBorders>
              <w:top w:val="single" w:sz="12"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排放编号</w:t>
            </w:r>
          </w:p>
        </w:tc>
        <w:tc>
          <w:tcPr>
            <w:tcW w:w="890" w:type="pct"/>
            <w:gridSpan w:val="2"/>
            <w:vMerge w:val="restart"/>
            <w:tcBorders>
              <w:top w:val="single" w:sz="12"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排放地理坐标</w:t>
            </w:r>
          </w:p>
        </w:tc>
        <w:tc>
          <w:tcPr>
            <w:tcW w:w="317" w:type="pct"/>
            <w:vMerge w:val="restart"/>
            <w:tcBorders>
              <w:top w:val="single" w:sz="12"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废水排放量</w:t>
            </w:r>
            <w:r w:rsidRPr="00EB3644">
              <w:rPr>
                <w:rFonts w:hint="eastAsia"/>
                <w:b/>
                <w:sz w:val="21"/>
                <w:szCs w:val="21"/>
              </w:rPr>
              <w:t>/</w:t>
            </w:r>
            <w:r w:rsidRPr="00EB3644">
              <w:rPr>
                <w:rFonts w:hint="eastAsia"/>
                <w:b/>
                <w:sz w:val="21"/>
                <w:szCs w:val="21"/>
              </w:rPr>
              <w:t>（万</w:t>
            </w:r>
            <w:r w:rsidRPr="00EB3644">
              <w:rPr>
                <w:rFonts w:hint="eastAsia"/>
                <w:b/>
                <w:sz w:val="21"/>
                <w:szCs w:val="21"/>
              </w:rPr>
              <w:t>t/a</w:t>
            </w:r>
            <w:r w:rsidRPr="00EB3644">
              <w:rPr>
                <w:rFonts w:hint="eastAsia"/>
                <w:b/>
                <w:sz w:val="21"/>
                <w:szCs w:val="21"/>
              </w:rPr>
              <w:t>）</w:t>
            </w:r>
          </w:p>
        </w:tc>
        <w:tc>
          <w:tcPr>
            <w:tcW w:w="299" w:type="pct"/>
            <w:vMerge w:val="restart"/>
            <w:tcBorders>
              <w:top w:val="single" w:sz="12"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排放去向</w:t>
            </w:r>
          </w:p>
        </w:tc>
        <w:tc>
          <w:tcPr>
            <w:tcW w:w="236" w:type="pct"/>
            <w:vMerge w:val="restart"/>
            <w:tcBorders>
              <w:top w:val="single" w:sz="12"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排放规律</w:t>
            </w:r>
          </w:p>
        </w:tc>
        <w:tc>
          <w:tcPr>
            <w:tcW w:w="412" w:type="pct"/>
            <w:vMerge w:val="restart"/>
            <w:tcBorders>
              <w:top w:val="single" w:sz="12"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间歇排放时段</w:t>
            </w:r>
          </w:p>
        </w:tc>
        <w:tc>
          <w:tcPr>
            <w:tcW w:w="1989" w:type="pct"/>
            <w:gridSpan w:val="3"/>
            <w:tcBorders>
              <w:top w:val="single" w:sz="12" w:space="0" w:color="auto"/>
              <w:left w:val="single" w:sz="4" w:space="0" w:color="auto"/>
              <w:bottom w:val="single" w:sz="4" w:space="0" w:color="auto"/>
              <w:right w:val="nil"/>
            </w:tcBorders>
            <w:vAlign w:val="center"/>
          </w:tcPr>
          <w:p w:rsidR="004E3021" w:rsidRPr="00EB3644" w:rsidRDefault="00606E48">
            <w:pPr>
              <w:pStyle w:val="afffffff2"/>
              <w:rPr>
                <w:b/>
                <w:sz w:val="21"/>
                <w:szCs w:val="21"/>
              </w:rPr>
            </w:pPr>
            <w:r w:rsidRPr="00EB3644">
              <w:rPr>
                <w:rFonts w:hint="eastAsia"/>
                <w:b/>
                <w:sz w:val="21"/>
                <w:szCs w:val="21"/>
              </w:rPr>
              <w:t>受纳污水处理厂信息</w:t>
            </w:r>
          </w:p>
        </w:tc>
      </w:tr>
      <w:tr w:rsidR="004E3021" w:rsidRPr="00EB3644">
        <w:trPr>
          <w:cantSplit/>
          <w:trHeight w:val="489"/>
          <w:jc w:val="center"/>
        </w:trPr>
        <w:tc>
          <w:tcPr>
            <w:tcW w:w="0" w:type="auto"/>
            <w:vMerge/>
            <w:tcBorders>
              <w:top w:val="single" w:sz="12" w:space="0" w:color="auto"/>
              <w:left w:val="nil"/>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gridSpan w:val="2"/>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421" w:type="pct"/>
            <w:vMerge w:val="restar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名称</w:t>
            </w:r>
          </w:p>
        </w:tc>
        <w:tc>
          <w:tcPr>
            <w:tcW w:w="644" w:type="pct"/>
            <w:vMerge w:val="restar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污染物种类</w:t>
            </w:r>
          </w:p>
        </w:tc>
        <w:tc>
          <w:tcPr>
            <w:tcW w:w="989" w:type="pct"/>
            <w:gridSpan w:val="2"/>
            <w:vMerge w:val="restart"/>
            <w:tcBorders>
              <w:top w:val="single" w:sz="4" w:space="0" w:color="auto"/>
              <w:left w:val="single" w:sz="4" w:space="0" w:color="auto"/>
              <w:bottom w:val="single" w:sz="4" w:space="0" w:color="auto"/>
              <w:right w:val="nil"/>
            </w:tcBorders>
            <w:vAlign w:val="center"/>
          </w:tcPr>
          <w:p w:rsidR="004E3021" w:rsidRPr="00EB3644" w:rsidRDefault="00606E48">
            <w:pPr>
              <w:pStyle w:val="afffffff2"/>
              <w:rPr>
                <w:b/>
                <w:sz w:val="21"/>
                <w:szCs w:val="21"/>
              </w:rPr>
            </w:pPr>
            <w:r w:rsidRPr="00EB3644">
              <w:rPr>
                <w:rFonts w:hint="eastAsia"/>
                <w:b/>
                <w:sz w:val="21"/>
                <w:szCs w:val="21"/>
              </w:rPr>
              <w:t>国家或地方污染物排放</w:t>
            </w:r>
          </w:p>
          <w:p w:rsidR="004E3021" w:rsidRPr="00EB3644" w:rsidRDefault="00606E48">
            <w:pPr>
              <w:pStyle w:val="afffffff2"/>
              <w:rPr>
                <w:b/>
                <w:sz w:val="21"/>
                <w:szCs w:val="21"/>
              </w:rPr>
            </w:pPr>
            <w:r w:rsidRPr="00EB3644">
              <w:rPr>
                <w:rFonts w:hint="eastAsia"/>
                <w:b/>
                <w:sz w:val="21"/>
                <w:szCs w:val="21"/>
              </w:rPr>
              <w:t>标准浓度限值</w:t>
            </w:r>
            <w:r w:rsidRPr="00EB3644">
              <w:rPr>
                <w:rFonts w:hint="eastAsia"/>
                <w:b/>
                <w:sz w:val="21"/>
                <w:szCs w:val="21"/>
              </w:rPr>
              <w:t>/(mg/L)</w:t>
            </w:r>
          </w:p>
        </w:tc>
      </w:tr>
      <w:tr w:rsidR="004E3021" w:rsidRPr="00EB3644">
        <w:trPr>
          <w:cantSplit/>
          <w:trHeight w:val="516"/>
          <w:jc w:val="center"/>
        </w:trPr>
        <w:tc>
          <w:tcPr>
            <w:tcW w:w="0" w:type="auto"/>
            <w:vMerge/>
            <w:tcBorders>
              <w:top w:val="single" w:sz="12" w:space="0" w:color="auto"/>
              <w:left w:val="nil"/>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457"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经度</w:t>
            </w:r>
          </w:p>
        </w:tc>
        <w:tc>
          <w:tcPr>
            <w:tcW w:w="433"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纬度</w:t>
            </w: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gridSpan w:val="2"/>
            <w:vMerge/>
            <w:tcBorders>
              <w:top w:val="single" w:sz="4" w:space="0" w:color="auto"/>
              <w:left w:val="single" w:sz="4" w:space="0" w:color="auto"/>
              <w:bottom w:val="single" w:sz="4" w:space="0" w:color="auto"/>
              <w:right w:val="nil"/>
            </w:tcBorders>
            <w:vAlign w:val="center"/>
          </w:tcPr>
          <w:p w:rsidR="004E3021" w:rsidRPr="00EB3644" w:rsidRDefault="004E3021">
            <w:pPr>
              <w:pStyle w:val="afffffff2"/>
              <w:rPr>
                <w:b/>
                <w:sz w:val="21"/>
                <w:szCs w:val="21"/>
              </w:rPr>
            </w:pPr>
          </w:p>
        </w:tc>
      </w:tr>
      <w:tr w:rsidR="004E3021" w:rsidRPr="00EB3644">
        <w:trPr>
          <w:cantSplit/>
          <w:trHeight w:val="68"/>
          <w:jc w:val="center"/>
        </w:trPr>
        <w:tc>
          <w:tcPr>
            <w:tcW w:w="235" w:type="pct"/>
            <w:vMerge w:val="restart"/>
            <w:tcBorders>
              <w:top w:val="single" w:sz="4" w:space="0" w:color="auto"/>
              <w:left w:val="nil"/>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1</w:t>
            </w:r>
          </w:p>
        </w:tc>
        <w:tc>
          <w:tcPr>
            <w:tcW w:w="557" w:type="pct"/>
            <w:vMerge w:val="restar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sz w:val="21"/>
                <w:szCs w:val="21"/>
              </w:rPr>
              <w:t>DW001</w:t>
            </w:r>
          </w:p>
        </w:tc>
        <w:tc>
          <w:tcPr>
            <w:tcW w:w="457" w:type="pct"/>
            <w:vMerge w:val="restar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sz w:val="21"/>
                <w:szCs w:val="21"/>
              </w:rPr>
              <w:t>117.58564</w:t>
            </w:r>
          </w:p>
        </w:tc>
        <w:tc>
          <w:tcPr>
            <w:tcW w:w="433" w:type="pct"/>
            <w:vMerge w:val="restar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sz w:val="21"/>
                <w:szCs w:val="21"/>
              </w:rPr>
              <w:t>32.97950</w:t>
            </w:r>
          </w:p>
        </w:tc>
        <w:tc>
          <w:tcPr>
            <w:tcW w:w="317" w:type="pct"/>
            <w:vMerge w:val="restart"/>
            <w:tcBorders>
              <w:top w:val="single" w:sz="4" w:space="0" w:color="auto"/>
              <w:left w:val="single" w:sz="4" w:space="0" w:color="auto"/>
              <w:bottom w:val="single" w:sz="4" w:space="0" w:color="auto"/>
              <w:right w:val="single" w:sz="4" w:space="0" w:color="auto"/>
            </w:tcBorders>
            <w:vAlign w:val="center"/>
          </w:tcPr>
          <w:p w:rsidR="004E3021" w:rsidRPr="00EB3644" w:rsidRDefault="00EB3644">
            <w:pPr>
              <w:pStyle w:val="afffffff2"/>
              <w:rPr>
                <w:sz w:val="21"/>
                <w:szCs w:val="21"/>
              </w:rPr>
            </w:pPr>
            <w:r w:rsidRPr="00EB3644">
              <w:rPr>
                <w:sz w:val="21"/>
                <w:szCs w:val="21"/>
              </w:rPr>
              <w:t>15.39</w:t>
            </w:r>
          </w:p>
        </w:tc>
        <w:tc>
          <w:tcPr>
            <w:tcW w:w="299" w:type="pct"/>
            <w:vMerge w:val="restar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排管沫河口污水</w:t>
            </w:r>
            <w:r w:rsidRPr="00EB3644">
              <w:rPr>
                <w:sz w:val="21"/>
                <w:szCs w:val="21"/>
              </w:rPr>
              <w:t>处理厂</w:t>
            </w:r>
          </w:p>
        </w:tc>
        <w:tc>
          <w:tcPr>
            <w:tcW w:w="236" w:type="pct"/>
            <w:vMerge w:val="restar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间断排放，排放期间流量稳定</w:t>
            </w:r>
          </w:p>
        </w:tc>
        <w:tc>
          <w:tcPr>
            <w:tcW w:w="412" w:type="pct"/>
            <w:vMerge w:val="restar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sz w:val="21"/>
                <w:szCs w:val="21"/>
              </w:rPr>
              <w:t>24</w:t>
            </w:r>
            <w:r w:rsidRPr="00EB3644">
              <w:rPr>
                <w:rFonts w:hint="eastAsia"/>
                <w:sz w:val="21"/>
                <w:szCs w:val="21"/>
              </w:rPr>
              <w:t>小时</w:t>
            </w:r>
          </w:p>
        </w:tc>
        <w:tc>
          <w:tcPr>
            <w:tcW w:w="421" w:type="pct"/>
            <w:vMerge w:val="restar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沫河口污水</w:t>
            </w:r>
            <w:r w:rsidRPr="00EB3644">
              <w:rPr>
                <w:sz w:val="21"/>
                <w:szCs w:val="21"/>
              </w:rPr>
              <w:t>处理厂</w:t>
            </w:r>
          </w:p>
        </w:tc>
        <w:tc>
          <w:tcPr>
            <w:tcW w:w="644" w:type="pct"/>
            <w:tcBorders>
              <w:top w:val="single" w:sz="4" w:space="0" w:color="auto"/>
              <w:left w:val="single" w:sz="4" w:space="0" w:color="auto"/>
              <w:bottom w:val="single" w:sz="4" w:space="0" w:color="auto"/>
              <w:right w:val="single" w:sz="4" w:space="0" w:color="auto"/>
            </w:tcBorders>
            <w:vAlign w:val="center"/>
          </w:tcPr>
          <w:p w:rsidR="004E3021" w:rsidRPr="00EB3644" w:rsidRDefault="00EB3644">
            <w:pPr>
              <w:pStyle w:val="afffffff2"/>
              <w:rPr>
                <w:sz w:val="21"/>
                <w:szCs w:val="21"/>
              </w:rPr>
            </w:pPr>
            <w:r w:rsidRPr="0034579C">
              <w:rPr>
                <w:rFonts w:hint="eastAsia"/>
                <w:sz w:val="21"/>
                <w:szCs w:val="21"/>
              </w:rPr>
              <w:t>pH</w:t>
            </w:r>
          </w:p>
        </w:tc>
        <w:tc>
          <w:tcPr>
            <w:tcW w:w="989" w:type="pct"/>
            <w:gridSpan w:val="2"/>
            <w:tcBorders>
              <w:top w:val="single" w:sz="4" w:space="0" w:color="auto"/>
              <w:left w:val="single" w:sz="4" w:space="0" w:color="auto"/>
              <w:bottom w:val="single" w:sz="4" w:space="0" w:color="auto"/>
              <w:right w:val="nil"/>
            </w:tcBorders>
            <w:vAlign w:val="center"/>
          </w:tcPr>
          <w:p w:rsidR="004E3021" w:rsidRPr="00EB3644" w:rsidRDefault="00EB3644">
            <w:pPr>
              <w:pStyle w:val="afffffff2"/>
              <w:rPr>
                <w:sz w:val="21"/>
                <w:szCs w:val="21"/>
              </w:rPr>
            </w:pPr>
            <w:r w:rsidRPr="0034579C">
              <w:rPr>
                <w:rFonts w:hint="eastAsia"/>
                <w:sz w:val="21"/>
                <w:szCs w:val="21"/>
              </w:rPr>
              <w:t>6~9</w:t>
            </w:r>
          </w:p>
        </w:tc>
      </w:tr>
      <w:tr w:rsidR="00EB3644" w:rsidRPr="00EB3644">
        <w:trPr>
          <w:cantSplit/>
          <w:trHeight w:val="68"/>
          <w:jc w:val="center"/>
        </w:trPr>
        <w:tc>
          <w:tcPr>
            <w:tcW w:w="235" w:type="pct"/>
            <w:vMerge/>
            <w:tcBorders>
              <w:top w:val="single" w:sz="4" w:space="0" w:color="auto"/>
              <w:left w:val="nil"/>
              <w:bottom w:val="single" w:sz="4" w:space="0" w:color="auto"/>
              <w:right w:val="single" w:sz="4" w:space="0" w:color="auto"/>
            </w:tcBorders>
            <w:vAlign w:val="center"/>
          </w:tcPr>
          <w:p w:rsidR="00EB3644" w:rsidRPr="00EB3644" w:rsidRDefault="00EB3644" w:rsidP="00EB3644">
            <w:pPr>
              <w:pStyle w:val="afffffff2"/>
              <w:rPr>
                <w:sz w:val="21"/>
                <w:szCs w:val="21"/>
              </w:rPr>
            </w:pPr>
          </w:p>
        </w:tc>
        <w:tc>
          <w:tcPr>
            <w:tcW w:w="557" w:type="pct"/>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rsidP="00EB3644">
            <w:pPr>
              <w:pStyle w:val="afffffff2"/>
              <w:rPr>
                <w:sz w:val="21"/>
                <w:szCs w:val="21"/>
              </w:rPr>
            </w:pPr>
          </w:p>
        </w:tc>
        <w:tc>
          <w:tcPr>
            <w:tcW w:w="457" w:type="pct"/>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rsidP="00EB3644">
            <w:pPr>
              <w:pStyle w:val="afffffff2"/>
              <w:rPr>
                <w:sz w:val="21"/>
                <w:szCs w:val="21"/>
              </w:rPr>
            </w:pPr>
          </w:p>
        </w:tc>
        <w:tc>
          <w:tcPr>
            <w:tcW w:w="433" w:type="pct"/>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rsidP="00EB3644">
            <w:pPr>
              <w:pStyle w:val="afffffff2"/>
              <w:rPr>
                <w:sz w:val="21"/>
                <w:szCs w:val="21"/>
              </w:rPr>
            </w:pPr>
          </w:p>
        </w:tc>
        <w:tc>
          <w:tcPr>
            <w:tcW w:w="317" w:type="pct"/>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rsidP="00EB3644">
            <w:pPr>
              <w:pStyle w:val="afffffff2"/>
              <w:rPr>
                <w:sz w:val="21"/>
                <w:szCs w:val="21"/>
              </w:rPr>
            </w:pPr>
          </w:p>
        </w:tc>
        <w:tc>
          <w:tcPr>
            <w:tcW w:w="299" w:type="pct"/>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rsidP="00EB3644">
            <w:pPr>
              <w:pStyle w:val="afffffff2"/>
              <w:rPr>
                <w:sz w:val="21"/>
                <w:szCs w:val="21"/>
              </w:rPr>
            </w:pPr>
          </w:p>
        </w:tc>
        <w:tc>
          <w:tcPr>
            <w:tcW w:w="236" w:type="pct"/>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rsidP="00EB3644">
            <w:pPr>
              <w:pStyle w:val="afffffff2"/>
              <w:rPr>
                <w:sz w:val="21"/>
                <w:szCs w:val="21"/>
              </w:rPr>
            </w:pPr>
          </w:p>
        </w:tc>
        <w:tc>
          <w:tcPr>
            <w:tcW w:w="412" w:type="pct"/>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rsidP="00EB3644">
            <w:pPr>
              <w:pStyle w:val="afffffff2"/>
              <w:rPr>
                <w:sz w:val="21"/>
                <w:szCs w:val="21"/>
              </w:rPr>
            </w:pPr>
          </w:p>
        </w:tc>
        <w:tc>
          <w:tcPr>
            <w:tcW w:w="421" w:type="pct"/>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rsidP="00EB3644">
            <w:pPr>
              <w:pStyle w:val="afffffff2"/>
              <w:rPr>
                <w:sz w:val="21"/>
                <w:szCs w:val="21"/>
              </w:rPr>
            </w:pPr>
          </w:p>
        </w:tc>
        <w:tc>
          <w:tcPr>
            <w:tcW w:w="644" w:type="pct"/>
            <w:tcBorders>
              <w:top w:val="single" w:sz="4" w:space="0" w:color="auto"/>
              <w:left w:val="single" w:sz="4" w:space="0" w:color="auto"/>
              <w:bottom w:val="single" w:sz="4" w:space="0" w:color="auto"/>
              <w:right w:val="single" w:sz="4" w:space="0" w:color="auto"/>
            </w:tcBorders>
            <w:vAlign w:val="center"/>
          </w:tcPr>
          <w:p w:rsidR="00EB3644" w:rsidRPr="00EB3644" w:rsidRDefault="00EB3644" w:rsidP="00EB3644">
            <w:pPr>
              <w:pStyle w:val="afffffff2"/>
              <w:rPr>
                <w:sz w:val="21"/>
                <w:szCs w:val="21"/>
              </w:rPr>
            </w:pPr>
            <w:r w:rsidRPr="00EB3644">
              <w:rPr>
                <w:sz w:val="21"/>
                <w:szCs w:val="21"/>
              </w:rPr>
              <w:t>COD</w:t>
            </w:r>
          </w:p>
        </w:tc>
        <w:tc>
          <w:tcPr>
            <w:tcW w:w="989" w:type="pct"/>
            <w:gridSpan w:val="2"/>
            <w:tcBorders>
              <w:top w:val="single" w:sz="4" w:space="0" w:color="auto"/>
              <w:left w:val="single" w:sz="4" w:space="0" w:color="auto"/>
              <w:bottom w:val="single" w:sz="4" w:space="0" w:color="auto"/>
              <w:right w:val="nil"/>
            </w:tcBorders>
            <w:vAlign w:val="center"/>
          </w:tcPr>
          <w:p w:rsidR="00EB3644" w:rsidRPr="00EB3644" w:rsidRDefault="00EB3644" w:rsidP="00EB3644">
            <w:pPr>
              <w:pStyle w:val="afffffff2"/>
              <w:rPr>
                <w:sz w:val="21"/>
                <w:szCs w:val="21"/>
              </w:rPr>
            </w:pPr>
            <w:r w:rsidRPr="00EB3644">
              <w:rPr>
                <w:sz w:val="21"/>
                <w:szCs w:val="21"/>
              </w:rPr>
              <w:t>50</w:t>
            </w:r>
          </w:p>
        </w:tc>
      </w:tr>
      <w:tr w:rsidR="004E3021" w:rsidRPr="00EB3644">
        <w:trPr>
          <w:cantSplit/>
          <w:trHeight w:val="68"/>
          <w:jc w:val="center"/>
        </w:trPr>
        <w:tc>
          <w:tcPr>
            <w:tcW w:w="0" w:type="auto"/>
            <w:vMerge/>
            <w:tcBorders>
              <w:top w:val="single" w:sz="4" w:space="0" w:color="auto"/>
              <w:left w:val="nil"/>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644"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sz w:val="21"/>
                <w:szCs w:val="21"/>
              </w:rPr>
              <w:t>BOD</w:t>
            </w:r>
            <w:r w:rsidRPr="00EB3644">
              <w:rPr>
                <w:sz w:val="21"/>
                <w:szCs w:val="21"/>
                <w:vertAlign w:val="subscript"/>
              </w:rPr>
              <w:t>5</w:t>
            </w:r>
          </w:p>
        </w:tc>
        <w:tc>
          <w:tcPr>
            <w:tcW w:w="989" w:type="pct"/>
            <w:gridSpan w:val="2"/>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sz w:val="21"/>
                <w:szCs w:val="21"/>
              </w:rPr>
              <w:t>10</w:t>
            </w:r>
          </w:p>
        </w:tc>
      </w:tr>
      <w:tr w:rsidR="004E3021" w:rsidRPr="00EB3644">
        <w:trPr>
          <w:cantSplit/>
          <w:trHeight w:val="68"/>
          <w:jc w:val="center"/>
        </w:trPr>
        <w:tc>
          <w:tcPr>
            <w:tcW w:w="0" w:type="auto"/>
            <w:vMerge/>
            <w:tcBorders>
              <w:top w:val="single" w:sz="4" w:space="0" w:color="auto"/>
              <w:left w:val="nil"/>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644"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sz w:val="21"/>
                <w:szCs w:val="21"/>
              </w:rPr>
              <w:t>SS</w:t>
            </w:r>
          </w:p>
        </w:tc>
        <w:tc>
          <w:tcPr>
            <w:tcW w:w="989" w:type="pct"/>
            <w:gridSpan w:val="2"/>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sz w:val="21"/>
                <w:szCs w:val="21"/>
              </w:rPr>
              <w:t>10</w:t>
            </w:r>
          </w:p>
        </w:tc>
      </w:tr>
      <w:tr w:rsidR="004E3021" w:rsidRPr="00EB3644">
        <w:trPr>
          <w:cantSplit/>
          <w:trHeight w:val="68"/>
          <w:jc w:val="center"/>
        </w:trPr>
        <w:tc>
          <w:tcPr>
            <w:tcW w:w="0" w:type="auto"/>
            <w:vMerge/>
            <w:tcBorders>
              <w:top w:val="single" w:sz="4" w:space="0" w:color="auto"/>
              <w:left w:val="nil"/>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644"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NH</w:t>
            </w:r>
            <w:r w:rsidRPr="00EB3644">
              <w:rPr>
                <w:rFonts w:hint="eastAsia"/>
                <w:sz w:val="21"/>
                <w:szCs w:val="21"/>
                <w:vertAlign w:val="subscript"/>
              </w:rPr>
              <w:t>3</w:t>
            </w:r>
            <w:r w:rsidRPr="00EB3644">
              <w:rPr>
                <w:rFonts w:hint="eastAsia"/>
                <w:sz w:val="21"/>
                <w:szCs w:val="21"/>
              </w:rPr>
              <w:t>-N</w:t>
            </w:r>
          </w:p>
        </w:tc>
        <w:tc>
          <w:tcPr>
            <w:tcW w:w="989" w:type="pct"/>
            <w:gridSpan w:val="2"/>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5</w:t>
            </w:r>
          </w:p>
        </w:tc>
      </w:tr>
      <w:tr w:rsidR="004E3021" w:rsidRPr="00EB3644">
        <w:trPr>
          <w:cantSplit/>
          <w:trHeight w:val="68"/>
          <w:jc w:val="center"/>
        </w:trPr>
        <w:tc>
          <w:tcPr>
            <w:tcW w:w="0" w:type="auto"/>
            <w:vMerge/>
            <w:tcBorders>
              <w:top w:val="single" w:sz="4" w:space="0" w:color="auto"/>
              <w:left w:val="nil"/>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644"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TP</w:t>
            </w:r>
          </w:p>
        </w:tc>
        <w:tc>
          <w:tcPr>
            <w:tcW w:w="989" w:type="pct"/>
            <w:gridSpan w:val="2"/>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0.5</w:t>
            </w:r>
          </w:p>
        </w:tc>
      </w:tr>
      <w:tr w:rsidR="00EB3644" w:rsidRPr="00EB3644">
        <w:trPr>
          <w:cantSplit/>
          <w:trHeight w:val="68"/>
          <w:jc w:val="center"/>
        </w:trPr>
        <w:tc>
          <w:tcPr>
            <w:tcW w:w="0" w:type="auto"/>
            <w:vMerge/>
            <w:tcBorders>
              <w:top w:val="single" w:sz="4" w:space="0" w:color="auto"/>
              <w:left w:val="nil"/>
              <w:bottom w:val="single" w:sz="4" w:space="0" w:color="auto"/>
              <w:right w:val="single" w:sz="4" w:space="0" w:color="auto"/>
            </w:tcBorders>
            <w:vAlign w:val="center"/>
          </w:tcPr>
          <w:p w:rsidR="00EB3644" w:rsidRPr="00EB3644" w:rsidRDefault="00EB3644">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pPr>
              <w:pStyle w:val="afffffff2"/>
              <w:rPr>
                <w:sz w:val="21"/>
                <w:szCs w:val="21"/>
              </w:rPr>
            </w:pPr>
          </w:p>
        </w:tc>
        <w:tc>
          <w:tcPr>
            <w:tcW w:w="644" w:type="pct"/>
            <w:tcBorders>
              <w:top w:val="single" w:sz="4" w:space="0" w:color="auto"/>
              <w:left w:val="single" w:sz="4" w:space="0" w:color="auto"/>
              <w:bottom w:val="single" w:sz="4" w:space="0" w:color="auto"/>
              <w:right w:val="single" w:sz="4" w:space="0" w:color="auto"/>
            </w:tcBorders>
            <w:vAlign w:val="center"/>
          </w:tcPr>
          <w:p w:rsidR="00EB3644" w:rsidRPr="00EB3644" w:rsidRDefault="00EB3644">
            <w:pPr>
              <w:pStyle w:val="afffffff2"/>
              <w:rPr>
                <w:sz w:val="21"/>
                <w:szCs w:val="21"/>
              </w:rPr>
            </w:pPr>
            <w:r w:rsidRPr="0034579C">
              <w:rPr>
                <w:rFonts w:hint="eastAsia"/>
                <w:sz w:val="21"/>
                <w:szCs w:val="21"/>
              </w:rPr>
              <w:t>动植物油</w:t>
            </w:r>
          </w:p>
        </w:tc>
        <w:tc>
          <w:tcPr>
            <w:tcW w:w="989" w:type="pct"/>
            <w:gridSpan w:val="2"/>
            <w:tcBorders>
              <w:top w:val="single" w:sz="4" w:space="0" w:color="auto"/>
              <w:left w:val="single" w:sz="4" w:space="0" w:color="auto"/>
              <w:bottom w:val="single" w:sz="4" w:space="0" w:color="auto"/>
              <w:right w:val="nil"/>
            </w:tcBorders>
            <w:vAlign w:val="center"/>
          </w:tcPr>
          <w:p w:rsidR="00EB3644" w:rsidRPr="00EB3644" w:rsidRDefault="00EB3644">
            <w:pPr>
              <w:pStyle w:val="afffffff2"/>
              <w:rPr>
                <w:sz w:val="21"/>
                <w:szCs w:val="21"/>
              </w:rPr>
            </w:pPr>
            <w:r w:rsidRPr="0034579C">
              <w:rPr>
                <w:sz w:val="21"/>
                <w:szCs w:val="21"/>
              </w:rPr>
              <w:t>1</w:t>
            </w:r>
          </w:p>
        </w:tc>
      </w:tr>
      <w:tr w:rsidR="004E3021" w:rsidRPr="00EB3644">
        <w:trPr>
          <w:cantSplit/>
          <w:trHeight w:val="68"/>
          <w:jc w:val="center"/>
        </w:trPr>
        <w:tc>
          <w:tcPr>
            <w:tcW w:w="0" w:type="auto"/>
            <w:vMerge/>
            <w:tcBorders>
              <w:top w:val="single" w:sz="4" w:space="0" w:color="auto"/>
              <w:left w:val="nil"/>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644"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盐分</w:t>
            </w:r>
          </w:p>
        </w:tc>
        <w:tc>
          <w:tcPr>
            <w:tcW w:w="989" w:type="pct"/>
            <w:gridSpan w:val="2"/>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w:t>
            </w:r>
          </w:p>
        </w:tc>
      </w:tr>
    </w:tbl>
    <w:p w:rsidR="004E3021" w:rsidRDefault="004E3021">
      <w:pPr>
        <w:ind w:firstLine="480"/>
      </w:pPr>
    </w:p>
    <w:p w:rsidR="004E3021" w:rsidRDefault="004E3021">
      <w:pPr>
        <w:ind w:firstLine="480"/>
        <w:sectPr w:rsidR="004E3021">
          <w:pgSz w:w="16839" w:h="11907" w:orient="landscape"/>
          <w:pgMar w:top="1440" w:right="1440" w:bottom="1440" w:left="1440" w:header="851" w:footer="992" w:gutter="0"/>
          <w:cols w:space="425"/>
          <w:docGrid w:type="lines" w:linePitch="326"/>
        </w:sectPr>
      </w:pPr>
    </w:p>
    <w:p w:rsidR="004E3021" w:rsidRDefault="00606E48">
      <w:pPr>
        <w:spacing w:line="500" w:lineRule="exact"/>
        <w:ind w:firstLineChars="0" w:firstLine="0"/>
        <w:jc w:val="center"/>
        <w:rPr>
          <w:rFonts w:eastAsia="黑体"/>
        </w:rPr>
      </w:pPr>
      <w:r>
        <w:rPr>
          <w:rFonts w:ascii="黑体" w:eastAsia="黑体" w:hAnsi="黑体"/>
        </w:rPr>
        <w:lastRenderedPageBreak/>
        <w:t>表</w:t>
      </w:r>
      <w:r>
        <w:rPr>
          <w:rFonts w:eastAsia="黑体" w:hint="eastAsia"/>
        </w:rPr>
        <w:t>5.</w:t>
      </w:r>
      <w:r>
        <w:rPr>
          <w:rFonts w:eastAsia="黑体"/>
        </w:rPr>
        <w:t>2.2-3</w:t>
      </w:r>
      <w:r>
        <w:rPr>
          <w:rFonts w:eastAsia="黑体" w:hint="eastAsia"/>
        </w:rPr>
        <w:t xml:space="preserve">  </w:t>
      </w:r>
      <w:r>
        <w:rPr>
          <w:rFonts w:ascii="黑体" w:eastAsia="黑体" w:hAnsi="黑体" w:hint="eastAsia"/>
        </w:rPr>
        <w:t>废水污染物排放执行标准表</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5"/>
        <w:gridCol w:w="1269"/>
        <w:gridCol w:w="1269"/>
        <w:gridCol w:w="4512"/>
        <w:gridCol w:w="1692"/>
      </w:tblGrid>
      <w:tr w:rsidR="004E3021" w:rsidRPr="00EB3644">
        <w:trPr>
          <w:cantSplit/>
          <w:jc w:val="center"/>
        </w:trPr>
        <w:tc>
          <w:tcPr>
            <w:tcW w:w="158" w:type="pct"/>
            <w:vMerge w:val="restart"/>
            <w:tcBorders>
              <w:top w:val="single" w:sz="12" w:space="0" w:color="auto"/>
              <w:left w:val="nil"/>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序号</w:t>
            </w:r>
          </w:p>
        </w:tc>
        <w:tc>
          <w:tcPr>
            <w:tcW w:w="703" w:type="pct"/>
            <w:vMerge w:val="restart"/>
            <w:tcBorders>
              <w:top w:val="single" w:sz="12"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排放编号</w:t>
            </w:r>
          </w:p>
        </w:tc>
        <w:tc>
          <w:tcPr>
            <w:tcW w:w="703" w:type="pct"/>
            <w:vMerge w:val="restart"/>
            <w:tcBorders>
              <w:top w:val="single" w:sz="12"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污染物种类</w:t>
            </w:r>
          </w:p>
        </w:tc>
        <w:tc>
          <w:tcPr>
            <w:tcW w:w="3436" w:type="pct"/>
            <w:gridSpan w:val="2"/>
            <w:tcBorders>
              <w:top w:val="single" w:sz="12" w:space="0" w:color="auto"/>
              <w:left w:val="single" w:sz="4" w:space="0" w:color="auto"/>
              <w:bottom w:val="single" w:sz="4" w:space="0" w:color="auto"/>
              <w:right w:val="nil"/>
            </w:tcBorders>
            <w:vAlign w:val="center"/>
          </w:tcPr>
          <w:p w:rsidR="004E3021" w:rsidRPr="00EB3644" w:rsidRDefault="00606E48">
            <w:pPr>
              <w:pStyle w:val="afffffff2"/>
              <w:rPr>
                <w:b/>
                <w:sz w:val="21"/>
                <w:szCs w:val="21"/>
              </w:rPr>
            </w:pPr>
            <w:r w:rsidRPr="00EB3644">
              <w:rPr>
                <w:rFonts w:hint="eastAsia"/>
                <w:b/>
                <w:sz w:val="21"/>
                <w:szCs w:val="21"/>
              </w:rPr>
              <w:t>国家或地方污染物排放标准及其他按规定商定的排放协议</w:t>
            </w:r>
          </w:p>
        </w:tc>
      </w:tr>
      <w:tr w:rsidR="004E3021" w:rsidRPr="00EB3644">
        <w:trPr>
          <w:cantSplit/>
          <w:jc w:val="center"/>
        </w:trPr>
        <w:tc>
          <w:tcPr>
            <w:tcW w:w="0" w:type="auto"/>
            <w:vMerge/>
            <w:tcBorders>
              <w:top w:val="single" w:sz="12" w:space="0" w:color="auto"/>
              <w:left w:val="nil"/>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EB3644" w:rsidRDefault="004E3021">
            <w:pPr>
              <w:pStyle w:val="afffffff2"/>
              <w:rPr>
                <w:b/>
                <w:sz w:val="21"/>
                <w:szCs w:val="21"/>
              </w:rPr>
            </w:pPr>
          </w:p>
        </w:tc>
        <w:tc>
          <w:tcPr>
            <w:tcW w:w="2499"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b/>
                <w:sz w:val="21"/>
                <w:szCs w:val="21"/>
              </w:rPr>
            </w:pPr>
            <w:r w:rsidRPr="00EB3644">
              <w:rPr>
                <w:rFonts w:hint="eastAsia"/>
                <w:b/>
                <w:sz w:val="21"/>
                <w:szCs w:val="21"/>
              </w:rPr>
              <w:t>名称</w:t>
            </w:r>
          </w:p>
        </w:tc>
        <w:tc>
          <w:tcPr>
            <w:tcW w:w="937" w:type="pct"/>
            <w:tcBorders>
              <w:top w:val="single" w:sz="4" w:space="0" w:color="auto"/>
              <w:left w:val="single" w:sz="4" w:space="0" w:color="auto"/>
              <w:bottom w:val="single" w:sz="4" w:space="0" w:color="auto"/>
              <w:right w:val="nil"/>
            </w:tcBorders>
            <w:vAlign w:val="center"/>
          </w:tcPr>
          <w:p w:rsidR="004E3021" w:rsidRPr="00EB3644" w:rsidRDefault="00606E48">
            <w:pPr>
              <w:pStyle w:val="afffffff2"/>
              <w:rPr>
                <w:b/>
                <w:sz w:val="21"/>
                <w:szCs w:val="21"/>
              </w:rPr>
            </w:pPr>
            <w:r w:rsidRPr="00EB3644">
              <w:rPr>
                <w:rFonts w:hint="eastAsia"/>
                <w:b/>
                <w:sz w:val="21"/>
                <w:szCs w:val="21"/>
              </w:rPr>
              <w:t>浓度限值</w:t>
            </w:r>
            <w:r w:rsidRPr="00EB3644">
              <w:rPr>
                <w:rFonts w:hint="eastAsia"/>
                <w:b/>
                <w:sz w:val="21"/>
                <w:szCs w:val="21"/>
              </w:rPr>
              <w:t>/(mg/L)</w:t>
            </w:r>
          </w:p>
        </w:tc>
      </w:tr>
      <w:tr w:rsidR="004E3021" w:rsidRPr="00EB3644">
        <w:trPr>
          <w:cantSplit/>
          <w:jc w:val="center"/>
        </w:trPr>
        <w:tc>
          <w:tcPr>
            <w:tcW w:w="158" w:type="pct"/>
            <w:vMerge w:val="restart"/>
            <w:tcBorders>
              <w:top w:val="single" w:sz="4" w:space="0" w:color="auto"/>
              <w:left w:val="nil"/>
              <w:bottom w:val="single" w:sz="4" w:space="0" w:color="auto"/>
              <w:right w:val="single" w:sz="4" w:space="0" w:color="auto"/>
            </w:tcBorders>
            <w:vAlign w:val="center"/>
          </w:tcPr>
          <w:p w:rsidR="004E3021" w:rsidRPr="00EB3644" w:rsidRDefault="00606E48">
            <w:pPr>
              <w:pStyle w:val="afffffff2"/>
              <w:rPr>
                <w:sz w:val="21"/>
                <w:szCs w:val="21"/>
              </w:rPr>
            </w:pPr>
            <w:r w:rsidRPr="00EB3644">
              <w:rPr>
                <w:sz w:val="21"/>
                <w:szCs w:val="21"/>
              </w:rPr>
              <w:t>1</w:t>
            </w:r>
          </w:p>
        </w:tc>
        <w:tc>
          <w:tcPr>
            <w:tcW w:w="703" w:type="pct"/>
            <w:vMerge w:val="restar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D</w:t>
            </w:r>
            <w:r w:rsidRPr="00EB3644">
              <w:rPr>
                <w:sz w:val="21"/>
                <w:szCs w:val="21"/>
              </w:rPr>
              <w:t>W001</w:t>
            </w:r>
          </w:p>
        </w:tc>
        <w:tc>
          <w:tcPr>
            <w:tcW w:w="703" w:type="pct"/>
            <w:tcBorders>
              <w:top w:val="single" w:sz="4" w:space="0" w:color="auto"/>
              <w:left w:val="single" w:sz="4" w:space="0" w:color="auto"/>
              <w:bottom w:val="single" w:sz="4" w:space="0" w:color="auto"/>
              <w:right w:val="single" w:sz="4" w:space="0" w:color="auto"/>
            </w:tcBorders>
            <w:vAlign w:val="center"/>
          </w:tcPr>
          <w:p w:rsidR="004E3021" w:rsidRPr="00EB3644" w:rsidRDefault="00EB3644">
            <w:pPr>
              <w:pStyle w:val="afffffff2"/>
              <w:rPr>
                <w:sz w:val="21"/>
                <w:szCs w:val="21"/>
              </w:rPr>
            </w:pPr>
            <w:r w:rsidRPr="0034579C">
              <w:rPr>
                <w:rFonts w:hint="eastAsia"/>
                <w:sz w:val="21"/>
                <w:szCs w:val="21"/>
              </w:rPr>
              <w:t>pH</w:t>
            </w:r>
          </w:p>
        </w:tc>
        <w:tc>
          <w:tcPr>
            <w:tcW w:w="2499" w:type="pct"/>
            <w:vMerge w:val="restar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ascii="宋体" w:hAnsi="宋体"/>
                <w:sz w:val="21"/>
                <w:szCs w:val="21"/>
              </w:rPr>
              <w:t>沫河口园区污水处理厂接管标准</w:t>
            </w:r>
            <w:r w:rsidRPr="00EB3644">
              <w:rPr>
                <w:rFonts w:ascii="宋体" w:hAnsi="宋体" w:hint="eastAsia"/>
                <w:sz w:val="21"/>
                <w:szCs w:val="21"/>
              </w:rPr>
              <w:t>、《污水综合排放标准》（</w:t>
            </w:r>
            <w:r w:rsidRPr="00EB3644">
              <w:rPr>
                <w:rFonts w:hint="eastAsia"/>
                <w:sz w:val="21"/>
                <w:szCs w:val="21"/>
              </w:rPr>
              <w:t>G</w:t>
            </w:r>
            <w:r w:rsidRPr="00EB3644">
              <w:rPr>
                <w:sz w:val="21"/>
                <w:szCs w:val="21"/>
              </w:rPr>
              <w:t>B8978-1996</w:t>
            </w:r>
            <w:r w:rsidRPr="00EB3644">
              <w:rPr>
                <w:rFonts w:ascii="宋体" w:hAnsi="宋体" w:hint="eastAsia"/>
                <w:sz w:val="21"/>
                <w:szCs w:val="21"/>
              </w:rPr>
              <w:t>）中表</w:t>
            </w:r>
            <w:r w:rsidRPr="00EB3644">
              <w:rPr>
                <w:rFonts w:hint="eastAsia"/>
                <w:sz w:val="21"/>
                <w:szCs w:val="21"/>
              </w:rPr>
              <w:t>4</w:t>
            </w:r>
            <w:r w:rsidRPr="00EB3644">
              <w:rPr>
                <w:rFonts w:ascii="宋体" w:hAnsi="宋体" w:hint="eastAsia"/>
                <w:sz w:val="21"/>
                <w:szCs w:val="21"/>
              </w:rPr>
              <w:t>的三级标准和</w:t>
            </w:r>
            <w:r w:rsidRPr="00EB3644">
              <w:rPr>
                <w:rFonts w:hint="eastAsia"/>
                <w:sz w:val="21"/>
                <w:szCs w:val="21"/>
              </w:rPr>
              <w:t>《无机化学工业污染物排放标准》（</w:t>
            </w:r>
            <w:r w:rsidRPr="00EB3644">
              <w:rPr>
                <w:rFonts w:hint="eastAsia"/>
                <w:sz w:val="21"/>
                <w:szCs w:val="21"/>
              </w:rPr>
              <w:t>GB31573-2015</w:t>
            </w:r>
            <w:r w:rsidRPr="00EB3644">
              <w:rPr>
                <w:rFonts w:hint="eastAsia"/>
                <w:sz w:val="21"/>
                <w:szCs w:val="21"/>
              </w:rPr>
              <w:t>）水污染物间接排放限值</w:t>
            </w:r>
          </w:p>
        </w:tc>
        <w:tc>
          <w:tcPr>
            <w:tcW w:w="937" w:type="pct"/>
            <w:tcBorders>
              <w:top w:val="single" w:sz="4" w:space="0" w:color="auto"/>
              <w:left w:val="single" w:sz="4" w:space="0" w:color="auto"/>
              <w:bottom w:val="single" w:sz="4" w:space="0" w:color="auto"/>
              <w:right w:val="nil"/>
            </w:tcBorders>
            <w:vAlign w:val="center"/>
          </w:tcPr>
          <w:p w:rsidR="004E3021" w:rsidRPr="00EB3644" w:rsidRDefault="00EB3644">
            <w:pPr>
              <w:pStyle w:val="afffffff2"/>
              <w:rPr>
                <w:sz w:val="21"/>
                <w:szCs w:val="21"/>
              </w:rPr>
            </w:pPr>
            <w:r w:rsidRPr="0034579C">
              <w:rPr>
                <w:rFonts w:hint="eastAsia"/>
                <w:sz w:val="21"/>
                <w:szCs w:val="21"/>
              </w:rPr>
              <w:t>6~9</w:t>
            </w:r>
          </w:p>
        </w:tc>
      </w:tr>
      <w:tr w:rsidR="00EB3644" w:rsidRPr="00EB3644">
        <w:trPr>
          <w:cantSplit/>
          <w:jc w:val="center"/>
        </w:trPr>
        <w:tc>
          <w:tcPr>
            <w:tcW w:w="158" w:type="pct"/>
            <w:vMerge/>
            <w:tcBorders>
              <w:top w:val="single" w:sz="4" w:space="0" w:color="auto"/>
              <w:left w:val="nil"/>
              <w:bottom w:val="single" w:sz="4" w:space="0" w:color="auto"/>
              <w:right w:val="single" w:sz="4" w:space="0" w:color="auto"/>
            </w:tcBorders>
            <w:vAlign w:val="center"/>
          </w:tcPr>
          <w:p w:rsidR="00EB3644" w:rsidRPr="00EB3644" w:rsidRDefault="00EB3644">
            <w:pPr>
              <w:pStyle w:val="afffffff2"/>
              <w:rPr>
                <w:sz w:val="21"/>
                <w:szCs w:val="21"/>
              </w:rPr>
            </w:pPr>
          </w:p>
        </w:tc>
        <w:tc>
          <w:tcPr>
            <w:tcW w:w="703" w:type="pct"/>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pPr>
              <w:pStyle w:val="afffffff2"/>
              <w:rPr>
                <w:sz w:val="21"/>
                <w:szCs w:val="21"/>
              </w:rPr>
            </w:pPr>
          </w:p>
        </w:tc>
        <w:tc>
          <w:tcPr>
            <w:tcW w:w="703" w:type="pct"/>
            <w:tcBorders>
              <w:top w:val="single" w:sz="4" w:space="0" w:color="auto"/>
              <w:left w:val="single" w:sz="4" w:space="0" w:color="auto"/>
              <w:bottom w:val="single" w:sz="4" w:space="0" w:color="auto"/>
              <w:right w:val="single" w:sz="4" w:space="0" w:color="auto"/>
            </w:tcBorders>
            <w:vAlign w:val="center"/>
          </w:tcPr>
          <w:p w:rsidR="00EB3644" w:rsidRPr="00EB3644" w:rsidRDefault="00EB3644">
            <w:pPr>
              <w:pStyle w:val="afffffff2"/>
              <w:rPr>
                <w:sz w:val="21"/>
                <w:szCs w:val="21"/>
              </w:rPr>
            </w:pPr>
            <w:r w:rsidRPr="00EB3644">
              <w:rPr>
                <w:sz w:val="21"/>
                <w:szCs w:val="21"/>
              </w:rPr>
              <w:t>COD</w:t>
            </w:r>
          </w:p>
        </w:tc>
        <w:tc>
          <w:tcPr>
            <w:tcW w:w="2499" w:type="pct"/>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pPr>
              <w:pStyle w:val="afffffff2"/>
              <w:rPr>
                <w:rFonts w:ascii="宋体" w:hAnsi="宋体"/>
                <w:sz w:val="21"/>
                <w:szCs w:val="21"/>
              </w:rPr>
            </w:pPr>
          </w:p>
        </w:tc>
        <w:tc>
          <w:tcPr>
            <w:tcW w:w="937" w:type="pct"/>
            <w:tcBorders>
              <w:top w:val="single" w:sz="4" w:space="0" w:color="auto"/>
              <w:left w:val="single" w:sz="4" w:space="0" w:color="auto"/>
              <w:bottom w:val="single" w:sz="4" w:space="0" w:color="auto"/>
              <w:right w:val="nil"/>
            </w:tcBorders>
            <w:vAlign w:val="center"/>
          </w:tcPr>
          <w:p w:rsidR="00EB3644" w:rsidRPr="00EB3644" w:rsidRDefault="00EB3644">
            <w:pPr>
              <w:pStyle w:val="afffffff2"/>
              <w:rPr>
                <w:sz w:val="21"/>
                <w:szCs w:val="21"/>
              </w:rPr>
            </w:pPr>
            <w:r w:rsidRPr="00EB3644">
              <w:rPr>
                <w:rFonts w:hint="eastAsia"/>
                <w:sz w:val="21"/>
                <w:szCs w:val="21"/>
              </w:rPr>
              <w:t>200</w:t>
            </w:r>
          </w:p>
        </w:tc>
      </w:tr>
      <w:tr w:rsidR="004E3021" w:rsidRPr="00EB3644">
        <w:trPr>
          <w:cantSplit/>
          <w:jc w:val="center"/>
        </w:trPr>
        <w:tc>
          <w:tcPr>
            <w:tcW w:w="0" w:type="auto"/>
            <w:vMerge/>
            <w:tcBorders>
              <w:top w:val="single" w:sz="4" w:space="0" w:color="auto"/>
              <w:left w:val="nil"/>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703"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sz w:val="21"/>
                <w:szCs w:val="21"/>
              </w:rPr>
              <w:t>BOD</w:t>
            </w:r>
            <w:r w:rsidRPr="00EB3644">
              <w:rPr>
                <w:sz w:val="21"/>
                <w:szCs w:val="21"/>
                <w:vertAlign w:val="subscript"/>
              </w:rPr>
              <w:t>5</w:t>
            </w: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937" w:type="pct"/>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120</w:t>
            </w:r>
          </w:p>
        </w:tc>
      </w:tr>
      <w:tr w:rsidR="004E3021" w:rsidRPr="00EB3644">
        <w:trPr>
          <w:cantSplit/>
          <w:jc w:val="center"/>
        </w:trPr>
        <w:tc>
          <w:tcPr>
            <w:tcW w:w="0" w:type="auto"/>
            <w:vMerge/>
            <w:tcBorders>
              <w:top w:val="single" w:sz="4" w:space="0" w:color="auto"/>
              <w:left w:val="nil"/>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703"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sz w:val="21"/>
                <w:szCs w:val="21"/>
              </w:rPr>
              <w:t>SS</w:t>
            </w: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937" w:type="pct"/>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100</w:t>
            </w:r>
          </w:p>
        </w:tc>
      </w:tr>
      <w:tr w:rsidR="004E3021" w:rsidRPr="00EB3644">
        <w:trPr>
          <w:cantSplit/>
          <w:jc w:val="center"/>
        </w:trPr>
        <w:tc>
          <w:tcPr>
            <w:tcW w:w="0" w:type="auto"/>
            <w:vMerge/>
            <w:tcBorders>
              <w:top w:val="single" w:sz="4" w:space="0" w:color="auto"/>
              <w:left w:val="nil"/>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703"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NH</w:t>
            </w:r>
            <w:r w:rsidRPr="00EB3644">
              <w:rPr>
                <w:rFonts w:hint="eastAsia"/>
                <w:sz w:val="21"/>
                <w:szCs w:val="21"/>
                <w:vertAlign w:val="subscript"/>
              </w:rPr>
              <w:t>3</w:t>
            </w:r>
            <w:r w:rsidRPr="00EB3644">
              <w:rPr>
                <w:rFonts w:hint="eastAsia"/>
                <w:sz w:val="21"/>
                <w:szCs w:val="21"/>
              </w:rPr>
              <w:t>-N</w:t>
            </w: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937" w:type="pct"/>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30</w:t>
            </w:r>
          </w:p>
        </w:tc>
      </w:tr>
      <w:tr w:rsidR="004E3021" w:rsidRPr="00EB3644">
        <w:trPr>
          <w:cantSplit/>
          <w:jc w:val="center"/>
        </w:trPr>
        <w:tc>
          <w:tcPr>
            <w:tcW w:w="0" w:type="auto"/>
            <w:vMerge/>
            <w:tcBorders>
              <w:top w:val="single" w:sz="4" w:space="0" w:color="auto"/>
              <w:left w:val="nil"/>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703"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TP</w:t>
            </w: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937" w:type="pct"/>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rFonts w:hint="eastAsia"/>
                <w:sz w:val="21"/>
                <w:szCs w:val="21"/>
              </w:rPr>
              <w:t>2</w:t>
            </w:r>
          </w:p>
        </w:tc>
      </w:tr>
      <w:tr w:rsidR="00EB3644" w:rsidRPr="00EB3644">
        <w:trPr>
          <w:cantSplit/>
          <w:jc w:val="center"/>
        </w:trPr>
        <w:tc>
          <w:tcPr>
            <w:tcW w:w="0" w:type="auto"/>
            <w:vMerge/>
            <w:tcBorders>
              <w:top w:val="single" w:sz="4" w:space="0" w:color="auto"/>
              <w:left w:val="nil"/>
              <w:bottom w:val="single" w:sz="4" w:space="0" w:color="auto"/>
              <w:right w:val="single" w:sz="4" w:space="0" w:color="auto"/>
            </w:tcBorders>
            <w:vAlign w:val="center"/>
          </w:tcPr>
          <w:p w:rsidR="00EB3644" w:rsidRPr="00EB3644" w:rsidRDefault="00EB3644">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pPr>
              <w:pStyle w:val="afffffff2"/>
              <w:rPr>
                <w:sz w:val="21"/>
                <w:szCs w:val="21"/>
              </w:rPr>
            </w:pPr>
          </w:p>
        </w:tc>
        <w:tc>
          <w:tcPr>
            <w:tcW w:w="703" w:type="pct"/>
            <w:tcBorders>
              <w:top w:val="single" w:sz="4" w:space="0" w:color="auto"/>
              <w:left w:val="single" w:sz="4" w:space="0" w:color="auto"/>
              <w:bottom w:val="single" w:sz="4" w:space="0" w:color="auto"/>
              <w:right w:val="single" w:sz="4" w:space="0" w:color="auto"/>
            </w:tcBorders>
            <w:vAlign w:val="center"/>
          </w:tcPr>
          <w:p w:rsidR="00EB3644" w:rsidRPr="00EB3644" w:rsidRDefault="00EB3644">
            <w:pPr>
              <w:pStyle w:val="afffffff2"/>
              <w:rPr>
                <w:sz w:val="21"/>
                <w:szCs w:val="21"/>
              </w:rPr>
            </w:pPr>
            <w:r w:rsidRPr="00EB3644">
              <w:rPr>
                <w:rFonts w:hint="eastAsia"/>
                <w:sz w:val="21"/>
                <w:szCs w:val="21"/>
              </w:rPr>
              <w:t>动植物油</w:t>
            </w:r>
          </w:p>
        </w:tc>
        <w:tc>
          <w:tcPr>
            <w:tcW w:w="0" w:type="auto"/>
            <w:vMerge/>
            <w:tcBorders>
              <w:top w:val="single" w:sz="4" w:space="0" w:color="auto"/>
              <w:left w:val="single" w:sz="4" w:space="0" w:color="auto"/>
              <w:bottom w:val="single" w:sz="4" w:space="0" w:color="auto"/>
              <w:right w:val="single" w:sz="4" w:space="0" w:color="auto"/>
            </w:tcBorders>
            <w:vAlign w:val="center"/>
          </w:tcPr>
          <w:p w:rsidR="00EB3644" w:rsidRPr="00EB3644" w:rsidRDefault="00EB3644">
            <w:pPr>
              <w:pStyle w:val="afffffff2"/>
              <w:rPr>
                <w:sz w:val="21"/>
                <w:szCs w:val="21"/>
              </w:rPr>
            </w:pPr>
          </w:p>
        </w:tc>
        <w:tc>
          <w:tcPr>
            <w:tcW w:w="937" w:type="pct"/>
            <w:tcBorders>
              <w:top w:val="single" w:sz="4" w:space="0" w:color="auto"/>
              <w:left w:val="single" w:sz="4" w:space="0" w:color="auto"/>
              <w:bottom w:val="single" w:sz="4" w:space="0" w:color="auto"/>
              <w:right w:val="nil"/>
            </w:tcBorders>
            <w:vAlign w:val="center"/>
          </w:tcPr>
          <w:p w:rsidR="00EB3644" w:rsidRPr="00EB3644" w:rsidRDefault="00EB3644">
            <w:pPr>
              <w:pStyle w:val="afffffff2"/>
              <w:rPr>
                <w:sz w:val="21"/>
                <w:szCs w:val="21"/>
              </w:rPr>
            </w:pPr>
            <w:r>
              <w:rPr>
                <w:rFonts w:hint="eastAsia"/>
                <w:sz w:val="21"/>
                <w:szCs w:val="21"/>
              </w:rPr>
              <w:t>1</w:t>
            </w:r>
            <w:r>
              <w:rPr>
                <w:sz w:val="21"/>
                <w:szCs w:val="21"/>
              </w:rPr>
              <w:t>00</w:t>
            </w:r>
          </w:p>
        </w:tc>
      </w:tr>
      <w:tr w:rsidR="004E3021" w:rsidRPr="00EB3644">
        <w:trPr>
          <w:cantSplit/>
          <w:jc w:val="center"/>
        </w:trPr>
        <w:tc>
          <w:tcPr>
            <w:tcW w:w="0" w:type="auto"/>
            <w:vMerge/>
            <w:tcBorders>
              <w:top w:val="single" w:sz="4" w:space="0" w:color="auto"/>
              <w:left w:val="nil"/>
              <w:bottom w:val="single" w:sz="4" w:space="0" w:color="auto"/>
              <w:right w:val="single" w:sz="4" w:space="0" w:color="auto"/>
            </w:tcBorders>
            <w:vAlign w:val="center"/>
          </w:tcPr>
          <w:p w:rsidR="004E3021" w:rsidRPr="00EB3644" w:rsidRDefault="004E3021">
            <w:pPr>
              <w:pStyle w:val="afffffff2"/>
              <w:rPr>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703" w:type="pct"/>
            <w:tcBorders>
              <w:top w:val="single" w:sz="4" w:space="0" w:color="auto"/>
              <w:left w:val="single" w:sz="4" w:space="0" w:color="auto"/>
              <w:bottom w:val="single" w:sz="4" w:space="0" w:color="auto"/>
              <w:right w:val="single" w:sz="4" w:space="0" w:color="auto"/>
            </w:tcBorders>
            <w:vAlign w:val="center"/>
          </w:tcPr>
          <w:p w:rsidR="004E3021" w:rsidRPr="00EB3644" w:rsidRDefault="00606E48">
            <w:pPr>
              <w:pStyle w:val="afffffff2"/>
              <w:rPr>
                <w:sz w:val="21"/>
                <w:szCs w:val="21"/>
              </w:rPr>
            </w:pPr>
            <w:r w:rsidRPr="00EB3644">
              <w:rPr>
                <w:rFonts w:hint="eastAsia"/>
                <w:sz w:val="21"/>
                <w:szCs w:val="21"/>
              </w:rPr>
              <w:t>盐分</w:t>
            </w: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EB3644" w:rsidRDefault="004E3021">
            <w:pPr>
              <w:pStyle w:val="afffffff2"/>
              <w:rPr>
                <w:sz w:val="21"/>
                <w:szCs w:val="21"/>
              </w:rPr>
            </w:pPr>
          </w:p>
        </w:tc>
        <w:tc>
          <w:tcPr>
            <w:tcW w:w="937" w:type="pct"/>
            <w:tcBorders>
              <w:top w:val="single" w:sz="4" w:space="0" w:color="auto"/>
              <w:left w:val="single" w:sz="4" w:space="0" w:color="auto"/>
              <w:bottom w:val="single" w:sz="4" w:space="0" w:color="auto"/>
              <w:right w:val="nil"/>
            </w:tcBorders>
            <w:vAlign w:val="center"/>
          </w:tcPr>
          <w:p w:rsidR="004E3021" w:rsidRPr="00EB3644" w:rsidRDefault="00606E48">
            <w:pPr>
              <w:pStyle w:val="afffffff2"/>
              <w:rPr>
                <w:sz w:val="21"/>
                <w:szCs w:val="21"/>
              </w:rPr>
            </w:pPr>
            <w:r w:rsidRPr="00EB3644">
              <w:rPr>
                <w:sz w:val="21"/>
                <w:szCs w:val="21"/>
              </w:rPr>
              <w:t>6000</w:t>
            </w:r>
          </w:p>
        </w:tc>
      </w:tr>
    </w:tbl>
    <w:p w:rsidR="004E3021" w:rsidRDefault="00606E48">
      <w:pPr>
        <w:spacing w:line="500" w:lineRule="exact"/>
        <w:ind w:firstLineChars="0" w:firstLine="0"/>
        <w:jc w:val="center"/>
        <w:rPr>
          <w:rFonts w:eastAsia="黑体"/>
        </w:rPr>
      </w:pPr>
      <w:r>
        <w:rPr>
          <w:rFonts w:ascii="黑体" w:eastAsia="黑体" w:hAnsi="黑体"/>
        </w:rPr>
        <w:t>表</w:t>
      </w:r>
      <w:r>
        <w:rPr>
          <w:rFonts w:eastAsia="黑体" w:hint="eastAsia"/>
        </w:rPr>
        <w:t>5</w:t>
      </w:r>
      <w:r>
        <w:rPr>
          <w:rFonts w:eastAsia="黑体"/>
        </w:rPr>
        <w:t>.2.2-4</w:t>
      </w:r>
      <w:r>
        <w:rPr>
          <w:rFonts w:eastAsia="黑体" w:hint="eastAsia"/>
        </w:rPr>
        <w:t xml:space="preserve">  </w:t>
      </w:r>
      <w:r>
        <w:rPr>
          <w:rFonts w:ascii="黑体" w:eastAsia="黑体" w:hAnsi="黑体" w:hint="eastAsia"/>
        </w:rPr>
        <w:t>废水污染物排放信息表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480"/>
      </w:pPr>
    </w:p>
    <w:p w:rsidR="004E3021" w:rsidRDefault="004E3021">
      <w:pPr>
        <w:ind w:firstLineChars="0" w:firstLine="0"/>
        <w:sectPr w:rsidR="004E3021">
          <w:pgSz w:w="11907" w:h="16839"/>
          <w:pgMar w:top="1440" w:right="1440" w:bottom="1440" w:left="1440" w:header="851" w:footer="992" w:gutter="0"/>
          <w:cols w:space="425"/>
          <w:docGrid w:type="lines" w:linePitch="326"/>
        </w:sectPr>
      </w:pPr>
    </w:p>
    <w:p w:rsidR="004E3021" w:rsidRDefault="00606E48">
      <w:pPr>
        <w:spacing w:before="240" w:after="120"/>
        <w:ind w:firstLineChars="0" w:firstLine="0"/>
        <w:jc w:val="left"/>
        <w:outlineLvl w:val="2"/>
        <w:rPr>
          <w:rFonts w:eastAsia="黑体"/>
          <w:sz w:val="28"/>
          <w:szCs w:val="28"/>
        </w:rPr>
      </w:pPr>
      <w:bookmarkStart w:id="389" w:name="_Toc108662648"/>
      <w:bookmarkStart w:id="390" w:name="_Toc100784039"/>
      <w:bookmarkStart w:id="391" w:name="_Toc101135871"/>
      <w:bookmarkStart w:id="392" w:name="_Toc221088803"/>
      <w:bookmarkStart w:id="393" w:name="_Toc221501018"/>
      <w:r>
        <w:rPr>
          <w:rFonts w:eastAsia="黑体" w:hint="eastAsia"/>
          <w:sz w:val="28"/>
          <w:szCs w:val="28"/>
        </w:rPr>
        <w:lastRenderedPageBreak/>
        <w:t>5.2.3</w:t>
      </w:r>
      <w:r>
        <w:rPr>
          <w:rFonts w:ascii="黑体" w:eastAsia="黑体" w:hAnsi="黑体" w:hint="eastAsia"/>
          <w:sz w:val="28"/>
          <w:szCs w:val="28"/>
        </w:rPr>
        <w:t>地表水</w:t>
      </w:r>
      <w:r>
        <w:rPr>
          <w:rFonts w:ascii="黑体" w:eastAsia="黑体" w:hAnsi="黑体"/>
          <w:sz w:val="28"/>
          <w:szCs w:val="28"/>
        </w:rPr>
        <w:t>环境影响评价自查表</w:t>
      </w:r>
      <w:bookmarkEnd w:id="389"/>
      <w:bookmarkEnd w:id="390"/>
      <w:bookmarkEnd w:id="391"/>
      <w:bookmarkEnd w:id="392"/>
      <w:bookmarkEnd w:id="393"/>
    </w:p>
    <w:p w:rsidR="004E3021" w:rsidRDefault="00606E48">
      <w:pPr>
        <w:spacing w:line="500" w:lineRule="exact"/>
        <w:ind w:firstLineChars="0" w:firstLine="0"/>
        <w:jc w:val="center"/>
        <w:rPr>
          <w:rFonts w:eastAsia="黑体"/>
        </w:rPr>
      </w:pPr>
      <w:r>
        <w:rPr>
          <w:rFonts w:ascii="黑体" w:eastAsia="黑体" w:hAnsi="黑体"/>
        </w:rPr>
        <w:t>表</w:t>
      </w:r>
      <w:r>
        <w:rPr>
          <w:rFonts w:eastAsia="黑体" w:hint="eastAsia"/>
        </w:rPr>
        <w:t>5</w:t>
      </w:r>
      <w:r>
        <w:rPr>
          <w:rFonts w:eastAsia="黑体"/>
        </w:rPr>
        <w:t>.2.3-1</w:t>
      </w:r>
      <w:r>
        <w:rPr>
          <w:rFonts w:eastAsia="黑体" w:hint="eastAsia"/>
        </w:rPr>
        <w:t xml:space="preserve">  </w:t>
      </w:r>
      <w:r>
        <w:rPr>
          <w:rFonts w:ascii="黑体" w:eastAsia="黑体" w:hAnsi="黑体" w:hint="eastAsia"/>
        </w:rPr>
        <w:t>地表水环境影响评价自查表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4E3021" w:rsidRDefault="004E3021">
      <w:pPr>
        <w:ind w:firstLine="480"/>
      </w:pPr>
    </w:p>
    <w:p w:rsidR="004E3021" w:rsidRDefault="004E3021">
      <w:pPr>
        <w:ind w:firstLine="480"/>
        <w:sectPr w:rsidR="004E3021">
          <w:pgSz w:w="16839" w:h="11907" w:orient="landscape"/>
          <w:pgMar w:top="1440" w:right="1440" w:bottom="1440" w:left="1440" w:header="851" w:footer="992" w:gutter="0"/>
          <w:cols w:space="425"/>
          <w:docGrid w:type="lines" w:linePitch="326"/>
        </w:sectPr>
      </w:pPr>
    </w:p>
    <w:p w:rsidR="004E3021" w:rsidRDefault="00606E48">
      <w:pPr>
        <w:pStyle w:val="afffffffffffffffff3"/>
      </w:pPr>
      <w:bookmarkStart w:id="394" w:name="_Toc87977850"/>
      <w:bookmarkStart w:id="395" w:name="_Toc221501019"/>
      <w:bookmarkEnd w:id="394"/>
      <w:r>
        <w:rPr>
          <w:rFonts w:hint="eastAsia"/>
        </w:rPr>
        <w:lastRenderedPageBreak/>
        <w:t>5.</w:t>
      </w:r>
      <w:r>
        <w:t>3</w:t>
      </w:r>
      <w:r>
        <w:rPr>
          <w:rFonts w:hint="eastAsia"/>
        </w:rPr>
        <w:t>声环境</w:t>
      </w:r>
      <w:r>
        <w:t>影响评价</w:t>
      </w:r>
      <w:bookmarkEnd w:id="395"/>
    </w:p>
    <w:p w:rsidR="004E3021" w:rsidRDefault="00606E48">
      <w:pPr>
        <w:pStyle w:val="afffffffffffffffff4"/>
      </w:pPr>
      <w:bookmarkStart w:id="396" w:name="_Toc100784041"/>
      <w:bookmarkStart w:id="397" w:name="_Toc101135873"/>
      <w:bookmarkStart w:id="398" w:name="_Toc108662650"/>
      <w:bookmarkStart w:id="399" w:name="_Toc221088805"/>
      <w:bookmarkStart w:id="400" w:name="_Toc221501020"/>
      <w:r>
        <w:rPr>
          <w:rFonts w:hint="eastAsia"/>
        </w:rPr>
        <w:t>5.</w:t>
      </w:r>
      <w:r>
        <w:t>3.1</w:t>
      </w:r>
      <w:r>
        <w:rPr>
          <w:rFonts w:ascii="黑体" w:hAnsi="黑体" w:hint="eastAsia"/>
        </w:rPr>
        <w:t>源强参数</w:t>
      </w:r>
      <w:bookmarkEnd w:id="396"/>
      <w:bookmarkEnd w:id="397"/>
      <w:bookmarkEnd w:id="398"/>
      <w:bookmarkEnd w:id="399"/>
      <w:bookmarkEnd w:id="400"/>
    </w:p>
    <w:p w:rsidR="004E3021" w:rsidRDefault="00606E48">
      <w:pPr>
        <w:ind w:firstLine="480"/>
      </w:pPr>
      <w:r>
        <w:rPr>
          <w:rFonts w:ascii="宋体" w:hAnsi="宋体"/>
        </w:rPr>
        <w:t>本项目噪声主要来源于</w:t>
      </w:r>
      <w:r>
        <w:rPr>
          <w:rFonts w:ascii="宋体" w:hAnsi="宋体" w:hint="eastAsia"/>
        </w:rPr>
        <w:t>压缩机</w:t>
      </w:r>
      <w:r>
        <w:rPr>
          <w:rFonts w:ascii="宋体" w:hAnsi="宋体"/>
        </w:rPr>
        <w:t>、引风机等设备</w:t>
      </w:r>
      <w:r>
        <w:rPr>
          <w:rFonts w:ascii="宋体" w:hAnsi="宋体" w:hint="eastAsia"/>
        </w:rPr>
        <w:t>，本项目</w:t>
      </w:r>
      <w:r>
        <w:rPr>
          <w:rFonts w:ascii="宋体" w:hAnsi="宋体"/>
        </w:rPr>
        <w:t>主要</w:t>
      </w:r>
      <w:r>
        <w:rPr>
          <w:rFonts w:ascii="宋体" w:hAnsi="宋体" w:hint="eastAsia"/>
        </w:rPr>
        <w:t>设备</w:t>
      </w:r>
      <w:r>
        <w:rPr>
          <w:rFonts w:ascii="宋体" w:hAnsi="宋体"/>
        </w:rPr>
        <w:t>噪声</w:t>
      </w:r>
      <w:r>
        <w:rPr>
          <w:rFonts w:ascii="宋体" w:hAnsi="宋体" w:hint="eastAsia"/>
        </w:rPr>
        <w:t>源强</w:t>
      </w:r>
      <w:r>
        <w:rPr>
          <w:rFonts w:ascii="宋体" w:hAnsi="宋体"/>
        </w:rPr>
        <w:t>及</w:t>
      </w:r>
      <w:r>
        <w:rPr>
          <w:rFonts w:ascii="宋体" w:hAnsi="宋体" w:hint="eastAsia"/>
        </w:rPr>
        <w:t>治理效果</w:t>
      </w:r>
      <w:r>
        <w:rPr>
          <w:rFonts w:ascii="宋体" w:hAnsi="宋体"/>
        </w:rPr>
        <w:t>见表</w:t>
      </w:r>
      <w:r>
        <w:t>3.4.3-</w:t>
      </w:r>
      <w:r w:rsidR="00A4478C">
        <w:t>2</w:t>
      </w:r>
      <w:r w:rsidR="00A4478C">
        <w:rPr>
          <w:rFonts w:hint="eastAsia"/>
        </w:rPr>
        <w:t>及表</w:t>
      </w:r>
      <w:r w:rsidR="00A4478C">
        <w:rPr>
          <w:rFonts w:hint="eastAsia"/>
        </w:rPr>
        <w:t>3</w:t>
      </w:r>
      <w:r w:rsidR="00A4478C">
        <w:t>.4.3-3</w:t>
      </w:r>
      <w:r>
        <w:rPr>
          <w:rFonts w:ascii="宋体" w:hAnsi="宋体" w:hint="eastAsia"/>
        </w:rPr>
        <w:t>。</w:t>
      </w:r>
    </w:p>
    <w:p w:rsidR="004E3021" w:rsidRDefault="00606E48">
      <w:pPr>
        <w:pStyle w:val="afffffffffffffffff4"/>
      </w:pPr>
      <w:bookmarkStart w:id="401" w:name="_Toc100784042"/>
      <w:bookmarkStart w:id="402" w:name="_Toc101135874"/>
      <w:bookmarkStart w:id="403" w:name="_Toc108662651"/>
      <w:bookmarkStart w:id="404" w:name="_Toc221088806"/>
      <w:bookmarkStart w:id="405" w:name="_Toc221501021"/>
      <w:r>
        <w:rPr>
          <w:rFonts w:hint="eastAsia"/>
        </w:rPr>
        <w:t>5.</w:t>
      </w:r>
      <w:r>
        <w:t>3.2</w:t>
      </w:r>
      <w:r>
        <w:rPr>
          <w:rFonts w:ascii="黑体" w:hAnsi="黑体" w:hint="eastAsia"/>
        </w:rPr>
        <w:t>预测模式</w:t>
      </w:r>
      <w:bookmarkEnd w:id="401"/>
      <w:bookmarkEnd w:id="402"/>
      <w:bookmarkEnd w:id="403"/>
      <w:bookmarkEnd w:id="404"/>
      <w:bookmarkEnd w:id="405"/>
    </w:p>
    <w:p w:rsidR="009A0828" w:rsidRDefault="009A0828" w:rsidP="009A0828">
      <w:pPr>
        <w:spacing w:line="560" w:lineRule="exact"/>
        <w:ind w:firstLineChars="250" w:firstLine="600"/>
        <w:rPr>
          <w:kern w:val="0"/>
          <w:szCs w:val="21"/>
        </w:rPr>
      </w:pPr>
      <w:r>
        <w:rPr>
          <w:rFonts w:hint="eastAsia"/>
          <w:kern w:val="0"/>
          <w:szCs w:val="21"/>
        </w:rPr>
        <w:t>①</w:t>
      </w:r>
      <w:r>
        <w:rPr>
          <w:kern w:val="0"/>
          <w:szCs w:val="21"/>
        </w:rPr>
        <w:t>计算某个室内声源在靠近围护结构处的倍频带声压级：</w:t>
      </w:r>
    </w:p>
    <w:p w:rsidR="009A0828" w:rsidRDefault="009A0828" w:rsidP="009A0828">
      <w:pPr>
        <w:ind w:firstLine="480"/>
        <w:jc w:val="center"/>
        <w:rPr>
          <w:color w:val="000000"/>
        </w:rPr>
      </w:pPr>
      <w:r>
        <w:rPr>
          <w:color w:val="000000"/>
          <w:position w:val="-32"/>
        </w:rPr>
        <w:object w:dxaOrig="3015" w:dyaOrig="780">
          <v:shape id="_x0000_i1034" type="#_x0000_t75" style="width:150.75pt;height:39pt" o:ole="">
            <v:imagedata r:id="rId58" o:title=""/>
          </v:shape>
          <o:OLEObject Type="Embed" ProgID="Equation.3" ShapeID="_x0000_i1034" DrawAspect="Content" ObjectID="_1832392366" r:id="rId59"/>
        </w:object>
      </w:r>
    </w:p>
    <w:p w:rsidR="009A0828" w:rsidRDefault="009A0828" w:rsidP="009A0828">
      <w:pPr>
        <w:spacing w:line="560" w:lineRule="exact"/>
        <w:ind w:firstLineChars="250" w:firstLine="600"/>
        <w:rPr>
          <w:kern w:val="0"/>
          <w:szCs w:val="21"/>
        </w:rPr>
      </w:pPr>
      <w:r>
        <w:rPr>
          <w:kern w:val="0"/>
          <w:szCs w:val="21"/>
        </w:rPr>
        <w:t>式中：</w:t>
      </w:r>
      <w:r>
        <w:rPr>
          <w:kern w:val="0"/>
          <w:szCs w:val="21"/>
        </w:rPr>
        <w:t>L</w:t>
      </w:r>
      <w:r>
        <w:rPr>
          <w:kern w:val="0"/>
          <w:szCs w:val="21"/>
          <w:vertAlign w:val="subscript"/>
        </w:rPr>
        <w:t xml:space="preserve">oct,1  </w:t>
      </w:r>
      <w:r>
        <w:rPr>
          <w:kern w:val="0"/>
          <w:szCs w:val="21"/>
        </w:rPr>
        <w:sym w:font="Symbol" w:char="F0BE"/>
      </w:r>
      <w:r>
        <w:rPr>
          <w:kern w:val="0"/>
          <w:szCs w:val="21"/>
        </w:rPr>
        <w:t>某个室内声源在靠近围护结构处产生的倍频带声压级，</w:t>
      </w:r>
      <w:r>
        <w:rPr>
          <w:kern w:val="0"/>
          <w:szCs w:val="21"/>
        </w:rPr>
        <w:t>dB</w:t>
      </w:r>
      <w:r>
        <w:rPr>
          <w:kern w:val="0"/>
          <w:szCs w:val="21"/>
        </w:rPr>
        <w:t>；</w:t>
      </w:r>
    </w:p>
    <w:p w:rsidR="009A0828" w:rsidRDefault="009A0828" w:rsidP="009A0828">
      <w:pPr>
        <w:spacing w:line="560" w:lineRule="exact"/>
        <w:ind w:firstLineChars="250" w:firstLine="600"/>
        <w:rPr>
          <w:kern w:val="0"/>
          <w:szCs w:val="21"/>
        </w:rPr>
      </w:pPr>
      <w:r>
        <w:rPr>
          <w:kern w:val="0"/>
          <w:szCs w:val="21"/>
        </w:rPr>
        <w:t>L</w:t>
      </w:r>
      <w:r>
        <w:rPr>
          <w:kern w:val="0"/>
          <w:szCs w:val="21"/>
          <w:vertAlign w:val="subscript"/>
        </w:rPr>
        <w:t xml:space="preserve">w oct </w:t>
      </w:r>
      <w:r>
        <w:rPr>
          <w:kern w:val="0"/>
          <w:szCs w:val="21"/>
        </w:rPr>
        <w:sym w:font="Symbol" w:char="F0BE"/>
      </w:r>
      <w:r>
        <w:rPr>
          <w:kern w:val="0"/>
          <w:szCs w:val="21"/>
        </w:rPr>
        <w:t>某个声源的倍频带声功率级，</w:t>
      </w:r>
      <w:r>
        <w:rPr>
          <w:kern w:val="0"/>
          <w:szCs w:val="21"/>
        </w:rPr>
        <w:t>dB</w:t>
      </w:r>
      <w:r>
        <w:rPr>
          <w:kern w:val="0"/>
          <w:szCs w:val="21"/>
        </w:rPr>
        <w:t>（</w:t>
      </w:r>
      <w:r>
        <w:rPr>
          <w:kern w:val="0"/>
          <w:szCs w:val="21"/>
        </w:rPr>
        <w:t>A</w:t>
      </w:r>
      <w:r>
        <w:rPr>
          <w:kern w:val="0"/>
          <w:szCs w:val="21"/>
        </w:rPr>
        <w:t>）；</w:t>
      </w:r>
    </w:p>
    <w:p w:rsidR="009A0828" w:rsidRDefault="009A0828" w:rsidP="009A0828">
      <w:pPr>
        <w:spacing w:line="560" w:lineRule="exact"/>
        <w:ind w:firstLineChars="250" w:firstLine="600"/>
        <w:rPr>
          <w:kern w:val="0"/>
          <w:szCs w:val="21"/>
        </w:rPr>
      </w:pPr>
      <w:r>
        <w:rPr>
          <w:kern w:val="0"/>
          <w:szCs w:val="21"/>
        </w:rPr>
        <w:t>r</w:t>
      </w:r>
      <w:r>
        <w:rPr>
          <w:kern w:val="0"/>
          <w:szCs w:val="21"/>
          <w:vertAlign w:val="subscript"/>
        </w:rPr>
        <w:t>1</w:t>
      </w:r>
      <w:r>
        <w:rPr>
          <w:kern w:val="0"/>
          <w:szCs w:val="21"/>
        </w:rPr>
        <w:sym w:font="Symbol" w:char="F0BE"/>
      </w:r>
      <w:r>
        <w:rPr>
          <w:kern w:val="0"/>
          <w:szCs w:val="21"/>
        </w:rPr>
        <w:t>室内某个声源与靠近围护结构处的距离，</w:t>
      </w:r>
      <w:r>
        <w:rPr>
          <w:kern w:val="0"/>
          <w:szCs w:val="21"/>
        </w:rPr>
        <w:t>m</w:t>
      </w:r>
      <w:r>
        <w:rPr>
          <w:kern w:val="0"/>
          <w:szCs w:val="21"/>
        </w:rPr>
        <w:t>；</w:t>
      </w:r>
    </w:p>
    <w:p w:rsidR="009A0828" w:rsidRDefault="009A0828" w:rsidP="009A0828">
      <w:pPr>
        <w:spacing w:line="560" w:lineRule="exact"/>
        <w:ind w:firstLineChars="250" w:firstLine="600"/>
        <w:rPr>
          <w:kern w:val="0"/>
          <w:szCs w:val="21"/>
        </w:rPr>
      </w:pPr>
      <w:r>
        <w:rPr>
          <w:kern w:val="0"/>
          <w:szCs w:val="21"/>
        </w:rPr>
        <w:t>R</w:t>
      </w:r>
      <w:r>
        <w:rPr>
          <w:kern w:val="0"/>
          <w:szCs w:val="21"/>
        </w:rPr>
        <w:sym w:font="Symbol" w:char="F0BE"/>
      </w:r>
      <w:r>
        <w:rPr>
          <w:kern w:val="0"/>
          <w:szCs w:val="21"/>
        </w:rPr>
        <w:t>房间常数，</w:t>
      </w:r>
      <w:r>
        <w:rPr>
          <w:kern w:val="0"/>
          <w:szCs w:val="21"/>
        </w:rPr>
        <w:t>m</w:t>
      </w:r>
      <w:r>
        <w:rPr>
          <w:kern w:val="0"/>
          <w:szCs w:val="21"/>
          <w:vertAlign w:val="superscript"/>
        </w:rPr>
        <w:t>2</w:t>
      </w:r>
      <w:r>
        <w:rPr>
          <w:kern w:val="0"/>
          <w:szCs w:val="21"/>
        </w:rPr>
        <w:t>；</w:t>
      </w:r>
    </w:p>
    <w:p w:rsidR="009A0828" w:rsidRDefault="009A0828" w:rsidP="009A0828">
      <w:pPr>
        <w:spacing w:line="560" w:lineRule="exact"/>
        <w:ind w:firstLineChars="250" w:firstLine="600"/>
        <w:rPr>
          <w:kern w:val="0"/>
          <w:szCs w:val="21"/>
        </w:rPr>
      </w:pPr>
      <w:r>
        <w:rPr>
          <w:kern w:val="0"/>
          <w:szCs w:val="21"/>
        </w:rPr>
        <w:t>Q</w:t>
      </w:r>
      <w:r>
        <w:rPr>
          <w:kern w:val="0"/>
          <w:szCs w:val="21"/>
        </w:rPr>
        <w:sym w:font="Symbol" w:char="F0BE"/>
      </w:r>
      <w:r>
        <w:rPr>
          <w:kern w:val="0"/>
          <w:szCs w:val="21"/>
        </w:rPr>
        <w:t>方向性因子，无量纲值。</w:t>
      </w:r>
    </w:p>
    <w:p w:rsidR="009A0828" w:rsidRDefault="009A0828" w:rsidP="009A0828">
      <w:pPr>
        <w:spacing w:line="560" w:lineRule="exact"/>
        <w:ind w:firstLineChars="250" w:firstLine="600"/>
        <w:rPr>
          <w:kern w:val="0"/>
          <w:szCs w:val="21"/>
        </w:rPr>
      </w:pPr>
      <w:r>
        <w:rPr>
          <w:rFonts w:hint="eastAsia"/>
          <w:kern w:val="0"/>
          <w:szCs w:val="21"/>
        </w:rPr>
        <w:t>②</w:t>
      </w:r>
      <w:r>
        <w:rPr>
          <w:kern w:val="0"/>
          <w:szCs w:val="21"/>
        </w:rPr>
        <w:t>计算所有室内声源在靠近围护结构处产生的总倍频带声压级：</w:t>
      </w:r>
      <w:r>
        <w:rPr>
          <w:kern w:val="0"/>
          <w:szCs w:val="21"/>
        </w:rPr>
        <w:tab/>
      </w:r>
    </w:p>
    <w:p w:rsidR="009A0828" w:rsidRDefault="009A0828" w:rsidP="009A0828">
      <w:pPr>
        <w:ind w:firstLine="480"/>
        <w:jc w:val="center"/>
        <w:rPr>
          <w:color w:val="000000"/>
        </w:rPr>
      </w:pPr>
      <w:r>
        <w:rPr>
          <w:color w:val="000000"/>
          <w:position w:val="-32"/>
        </w:rPr>
        <w:object w:dxaOrig="2805" w:dyaOrig="735">
          <v:shape id="_x0000_i1035" type="#_x0000_t75" style="width:140.25pt;height:36.75pt" o:ole="">
            <v:imagedata r:id="rId60" o:title=""/>
          </v:shape>
          <o:OLEObject Type="Embed" ProgID="Equation.3" ShapeID="_x0000_i1035" DrawAspect="Content" ObjectID="_1832392367" r:id="rId61"/>
        </w:object>
      </w:r>
    </w:p>
    <w:p w:rsidR="009A0828" w:rsidRDefault="009A0828" w:rsidP="009A0828">
      <w:pPr>
        <w:spacing w:line="560" w:lineRule="exact"/>
        <w:ind w:firstLineChars="250" w:firstLine="600"/>
        <w:rPr>
          <w:kern w:val="0"/>
          <w:szCs w:val="21"/>
        </w:rPr>
      </w:pPr>
      <w:r>
        <w:rPr>
          <w:kern w:val="0"/>
          <w:szCs w:val="21"/>
        </w:rPr>
        <w:t>式中：</w:t>
      </w:r>
      <w:r>
        <w:rPr>
          <w:kern w:val="0"/>
          <w:szCs w:val="21"/>
        </w:rPr>
        <w:t xml:space="preserve"> LP1i</w:t>
      </w:r>
      <w:r>
        <w:rPr>
          <w:kern w:val="0"/>
          <w:szCs w:val="21"/>
        </w:rPr>
        <w:t>（</w:t>
      </w:r>
      <w:r>
        <w:rPr>
          <w:kern w:val="0"/>
          <w:szCs w:val="21"/>
        </w:rPr>
        <w:t>T</w:t>
      </w:r>
      <w:r>
        <w:rPr>
          <w:kern w:val="0"/>
          <w:szCs w:val="21"/>
        </w:rPr>
        <w:t>）</w:t>
      </w:r>
      <w:r>
        <w:rPr>
          <w:kern w:val="0"/>
          <w:szCs w:val="21"/>
        </w:rPr>
        <w:t>—</w:t>
      </w:r>
      <w:r>
        <w:rPr>
          <w:kern w:val="0"/>
          <w:szCs w:val="21"/>
        </w:rPr>
        <w:t>靠近围护结构处室内</w:t>
      </w:r>
      <w:r>
        <w:rPr>
          <w:kern w:val="0"/>
          <w:szCs w:val="21"/>
        </w:rPr>
        <w:t xml:space="preserve"> N </w:t>
      </w:r>
      <w:r>
        <w:rPr>
          <w:kern w:val="0"/>
          <w:szCs w:val="21"/>
        </w:rPr>
        <w:t>个声源</w:t>
      </w:r>
      <w:r>
        <w:rPr>
          <w:kern w:val="0"/>
          <w:szCs w:val="21"/>
        </w:rPr>
        <w:t xml:space="preserve"> i </w:t>
      </w:r>
      <w:r>
        <w:rPr>
          <w:kern w:val="0"/>
          <w:szCs w:val="21"/>
        </w:rPr>
        <w:t>倍频带的叠加声压级，</w:t>
      </w:r>
      <w:r>
        <w:rPr>
          <w:kern w:val="0"/>
          <w:szCs w:val="21"/>
        </w:rPr>
        <w:t xml:space="preserve"> dB</w:t>
      </w:r>
      <w:r>
        <w:rPr>
          <w:kern w:val="0"/>
          <w:szCs w:val="21"/>
        </w:rPr>
        <w:t>；</w:t>
      </w:r>
    </w:p>
    <w:p w:rsidR="009A0828" w:rsidRDefault="009A0828" w:rsidP="009A0828">
      <w:pPr>
        <w:spacing w:line="560" w:lineRule="exact"/>
        <w:ind w:firstLineChars="250" w:firstLine="600"/>
        <w:rPr>
          <w:kern w:val="0"/>
          <w:szCs w:val="21"/>
        </w:rPr>
      </w:pPr>
      <w:r>
        <w:rPr>
          <w:kern w:val="0"/>
          <w:szCs w:val="21"/>
        </w:rPr>
        <w:t>LP1j—</w:t>
      </w:r>
      <w:r>
        <w:rPr>
          <w:kern w:val="0"/>
          <w:szCs w:val="21"/>
        </w:rPr>
        <w:t>室内</w:t>
      </w:r>
      <w:r>
        <w:rPr>
          <w:kern w:val="0"/>
          <w:szCs w:val="21"/>
        </w:rPr>
        <w:t xml:space="preserve">j </w:t>
      </w:r>
      <w:r>
        <w:rPr>
          <w:kern w:val="0"/>
          <w:szCs w:val="21"/>
        </w:rPr>
        <w:t>声源</w:t>
      </w:r>
      <w:r>
        <w:rPr>
          <w:kern w:val="0"/>
          <w:szCs w:val="21"/>
        </w:rPr>
        <w:t xml:space="preserve"> i </w:t>
      </w:r>
      <w:r>
        <w:rPr>
          <w:kern w:val="0"/>
          <w:szCs w:val="21"/>
        </w:rPr>
        <w:t>倍频带的声压级，</w:t>
      </w:r>
      <w:r>
        <w:rPr>
          <w:kern w:val="0"/>
          <w:szCs w:val="21"/>
        </w:rPr>
        <w:t xml:space="preserve"> dB</w:t>
      </w:r>
      <w:r>
        <w:rPr>
          <w:kern w:val="0"/>
          <w:szCs w:val="21"/>
        </w:rPr>
        <w:t>；</w:t>
      </w:r>
    </w:p>
    <w:p w:rsidR="009A0828" w:rsidRDefault="009A0828" w:rsidP="009A0828">
      <w:pPr>
        <w:spacing w:line="560" w:lineRule="exact"/>
        <w:ind w:firstLineChars="250" w:firstLine="600"/>
        <w:rPr>
          <w:kern w:val="0"/>
          <w:szCs w:val="21"/>
        </w:rPr>
      </w:pPr>
      <w:r>
        <w:rPr>
          <w:kern w:val="0"/>
          <w:szCs w:val="21"/>
        </w:rPr>
        <w:t>N—</w:t>
      </w:r>
      <w:r>
        <w:rPr>
          <w:kern w:val="0"/>
          <w:szCs w:val="21"/>
        </w:rPr>
        <w:t>室内声源总数；</w:t>
      </w:r>
    </w:p>
    <w:p w:rsidR="009A0828" w:rsidRDefault="009A0828" w:rsidP="009A0828">
      <w:pPr>
        <w:spacing w:line="560" w:lineRule="exact"/>
        <w:ind w:firstLineChars="250" w:firstLine="600"/>
        <w:rPr>
          <w:kern w:val="0"/>
          <w:szCs w:val="21"/>
        </w:rPr>
      </w:pPr>
      <w:r>
        <w:rPr>
          <w:rFonts w:hint="eastAsia"/>
          <w:kern w:val="0"/>
          <w:szCs w:val="21"/>
        </w:rPr>
        <w:t>③</w:t>
      </w:r>
      <w:r>
        <w:rPr>
          <w:kern w:val="0"/>
          <w:szCs w:val="21"/>
        </w:rPr>
        <w:t>计算室外靠近围护结构处的声压级：</w:t>
      </w:r>
    </w:p>
    <w:p w:rsidR="009A0828" w:rsidRDefault="009A0828" w:rsidP="009A0828">
      <w:pPr>
        <w:ind w:firstLine="480"/>
        <w:jc w:val="center"/>
        <w:rPr>
          <w:color w:val="000000"/>
        </w:rPr>
      </w:pPr>
      <w:r>
        <w:rPr>
          <w:color w:val="000000"/>
          <w:position w:val="-32"/>
        </w:rPr>
        <w:object w:dxaOrig="2970" w:dyaOrig="330">
          <v:shape id="_x0000_i1036" type="#_x0000_t75" style="width:149.25pt;height:16.5pt" o:ole="">
            <v:imagedata r:id="rId62" o:title=""/>
          </v:shape>
          <o:OLEObject Type="Embed" ProgID="Equation.3" ShapeID="_x0000_i1036" DrawAspect="Content" ObjectID="_1832392368" r:id="rId63"/>
        </w:object>
      </w:r>
    </w:p>
    <w:p w:rsidR="009A0828" w:rsidRDefault="009A0828" w:rsidP="009A0828">
      <w:pPr>
        <w:spacing w:line="560" w:lineRule="exact"/>
        <w:ind w:firstLineChars="250" w:firstLine="600"/>
        <w:rPr>
          <w:kern w:val="0"/>
          <w:szCs w:val="21"/>
        </w:rPr>
      </w:pPr>
      <w:r>
        <w:rPr>
          <w:kern w:val="0"/>
          <w:szCs w:val="21"/>
        </w:rPr>
        <w:t>式中：</w:t>
      </w:r>
      <w:r>
        <w:rPr>
          <w:kern w:val="0"/>
          <w:szCs w:val="21"/>
        </w:rPr>
        <w:t xml:space="preserve"> LP2i</w:t>
      </w:r>
      <w:r>
        <w:rPr>
          <w:kern w:val="0"/>
          <w:szCs w:val="21"/>
        </w:rPr>
        <w:t>（</w:t>
      </w:r>
      <w:r>
        <w:rPr>
          <w:kern w:val="0"/>
          <w:szCs w:val="21"/>
        </w:rPr>
        <w:t>T</w:t>
      </w:r>
      <w:r>
        <w:rPr>
          <w:kern w:val="0"/>
          <w:szCs w:val="21"/>
        </w:rPr>
        <w:t>）</w:t>
      </w:r>
      <w:r>
        <w:rPr>
          <w:kern w:val="0"/>
          <w:szCs w:val="21"/>
        </w:rPr>
        <w:t>—</w:t>
      </w:r>
      <w:r>
        <w:rPr>
          <w:kern w:val="0"/>
          <w:szCs w:val="21"/>
        </w:rPr>
        <w:t>靠近围护结构处室外</w:t>
      </w:r>
      <w:r>
        <w:rPr>
          <w:kern w:val="0"/>
          <w:szCs w:val="21"/>
        </w:rPr>
        <w:t xml:space="preserve"> N </w:t>
      </w:r>
      <w:r>
        <w:rPr>
          <w:kern w:val="0"/>
          <w:szCs w:val="21"/>
        </w:rPr>
        <w:t>个声源</w:t>
      </w:r>
      <w:r>
        <w:rPr>
          <w:kern w:val="0"/>
          <w:szCs w:val="21"/>
        </w:rPr>
        <w:t xml:space="preserve"> i </w:t>
      </w:r>
      <w:r>
        <w:rPr>
          <w:kern w:val="0"/>
          <w:szCs w:val="21"/>
        </w:rPr>
        <w:t>倍频带的叠加声压级，</w:t>
      </w:r>
      <w:r>
        <w:rPr>
          <w:kern w:val="0"/>
          <w:szCs w:val="21"/>
        </w:rPr>
        <w:t xml:space="preserve"> dB</w:t>
      </w:r>
      <w:r>
        <w:rPr>
          <w:kern w:val="0"/>
          <w:szCs w:val="21"/>
        </w:rPr>
        <w:t>；</w:t>
      </w:r>
    </w:p>
    <w:p w:rsidR="009A0828" w:rsidRDefault="009A0828" w:rsidP="009A0828">
      <w:pPr>
        <w:spacing w:line="560" w:lineRule="exact"/>
        <w:ind w:firstLineChars="250" w:firstLine="600"/>
        <w:rPr>
          <w:kern w:val="0"/>
          <w:szCs w:val="21"/>
        </w:rPr>
      </w:pPr>
      <w:r>
        <w:rPr>
          <w:kern w:val="0"/>
          <w:szCs w:val="21"/>
        </w:rPr>
        <w:t>TLi—</w:t>
      </w:r>
      <w:r>
        <w:rPr>
          <w:kern w:val="0"/>
          <w:szCs w:val="21"/>
        </w:rPr>
        <w:t>围护结构</w:t>
      </w:r>
      <w:r>
        <w:rPr>
          <w:kern w:val="0"/>
          <w:szCs w:val="21"/>
        </w:rPr>
        <w:t xml:space="preserve"> i </w:t>
      </w:r>
      <w:r>
        <w:rPr>
          <w:kern w:val="0"/>
          <w:szCs w:val="21"/>
        </w:rPr>
        <w:t>倍频带的隔声量，</w:t>
      </w:r>
      <w:r>
        <w:rPr>
          <w:kern w:val="0"/>
          <w:szCs w:val="21"/>
        </w:rPr>
        <w:t xml:space="preserve"> dB</w:t>
      </w:r>
      <w:r>
        <w:rPr>
          <w:kern w:val="0"/>
          <w:szCs w:val="21"/>
        </w:rPr>
        <w:t>；</w:t>
      </w:r>
    </w:p>
    <w:p w:rsidR="009A0828" w:rsidRDefault="009A0828" w:rsidP="009A0828">
      <w:pPr>
        <w:spacing w:line="560" w:lineRule="exact"/>
        <w:ind w:firstLineChars="250" w:firstLine="600"/>
        <w:rPr>
          <w:kern w:val="0"/>
          <w:szCs w:val="21"/>
        </w:rPr>
      </w:pPr>
      <w:r>
        <w:rPr>
          <w:rFonts w:hint="eastAsia"/>
          <w:kern w:val="0"/>
          <w:szCs w:val="21"/>
        </w:rPr>
        <w:lastRenderedPageBreak/>
        <w:t>④</w:t>
      </w:r>
      <w:r>
        <w:rPr>
          <w:kern w:val="0"/>
          <w:szCs w:val="21"/>
        </w:rPr>
        <w:t>将室外声源的声压级和透过面积换算成等效的室外声源，计算出中心位置于透声面积（</w:t>
      </w:r>
      <w:r>
        <w:rPr>
          <w:kern w:val="0"/>
          <w:szCs w:val="21"/>
        </w:rPr>
        <w:t>S</w:t>
      </w:r>
      <w:r>
        <w:rPr>
          <w:kern w:val="0"/>
          <w:szCs w:val="21"/>
        </w:rPr>
        <w:t>）处的等效声源的倍频带声功率级，见下式：</w:t>
      </w:r>
    </w:p>
    <w:p w:rsidR="009A0828" w:rsidRDefault="009A0828" w:rsidP="009A0828">
      <w:pPr>
        <w:spacing w:line="560" w:lineRule="exact"/>
        <w:ind w:firstLineChars="250" w:firstLine="600"/>
        <w:jc w:val="center"/>
        <w:rPr>
          <w:kern w:val="0"/>
          <w:szCs w:val="21"/>
        </w:rPr>
      </w:pPr>
      <w:r>
        <w:rPr>
          <w:kern w:val="0"/>
          <w:szCs w:val="21"/>
        </w:rPr>
        <w:t>LW=L</w:t>
      </w:r>
      <w:r>
        <w:rPr>
          <w:rFonts w:hint="eastAsia"/>
          <w:kern w:val="0"/>
          <w:szCs w:val="21"/>
        </w:rPr>
        <w:t>p</w:t>
      </w:r>
      <w:r>
        <w:rPr>
          <w:kern w:val="0"/>
          <w:szCs w:val="21"/>
        </w:rPr>
        <w:t>2(T)+10lgs</w:t>
      </w:r>
    </w:p>
    <w:p w:rsidR="009A0828" w:rsidRDefault="009A0828" w:rsidP="009A0828">
      <w:pPr>
        <w:spacing w:line="560" w:lineRule="exact"/>
        <w:ind w:firstLineChars="250" w:firstLine="600"/>
        <w:rPr>
          <w:kern w:val="0"/>
          <w:szCs w:val="21"/>
        </w:rPr>
      </w:pPr>
      <w:r>
        <w:rPr>
          <w:kern w:val="0"/>
          <w:szCs w:val="21"/>
        </w:rPr>
        <w:t>式中：</w:t>
      </w:r>
      <w:r>
        <w:rPr>
          <w:kern w:val="0"/>
          <w:szCs w:val="21"/>
        </w:rPr>
        <w:t>Lw —</w:t>
      </w:r>
      <w:r>
        <w:rPr>
          <w:kern w:val="0"/>
          <w:szCs w:val="21"/>
        </w:rPr>
        <w:t>中心位置位于透声面积（</w:t>
      </w:r>
      <w:r>
        <w:rPr>
          <w:kern w:val="0"/>
          <w:szCs w:val="21"/>
        </w:rPr>
        <w:t>S</w:t>
      </w:r>
      <w:r>
        <w:rPr>
          <w:kern w:val="0"/>
          <w:szCs w:val="21"/>
        </w:rPr>
        <w:t>）处的等效声源的倍频带声功率级，</w:t>
      </w:r>
      <w:r>
        <w:rPr>
          <w:kern w:val="0"/>
          <w:szCs w:val="21"/>
        </w:rPr>
        <w:t>dB</w:t>
      </w:r>
      <w:r>
        <w:rPr>
          <w:kern w:val="0"/>
          <w:szCs w:val="21"/>
        </w:rPr>
        <w:t>；</w:t>
      </w:r>
      <w:r>
        <w:rPr>
          <w:kern w:val="0"/>
          <w:szCs w:val="21"/>
        </w:rPr>
        <w:t xml:space="preserve"> </w:t>
      </w:r>
    </w:p>
    <w:p w:rsidR="009A0828" w:rsidRDefault="009A0828" w:rsidP="009A0828">
      <w:pPr>
        <w:spacing w:line="560" w:lineRule="exact"/>
        <w:ind w:firstLineChars="250" w:firstLine="600"/>
        <w:rPr>
          <w:kern w:val="0"/>
          <w:szCs w:val="21"/>
        </w:rPr>
      </w:pPr>
      <w:r>
        <w:rPr>
          <w:kern w:val="0"/>
          <w:szCs w:val="21"/>
        </w:rPr>
        <w:t>Lp2(T)—</w:t>
      </w:r>
      <w:r>
        <w:rPr>
          <w:kern w:val="0"/>
          <w:szCs w:val="21"/>
        </w:rPr>
        <w:t>靠近围护结构处室外声源的声压级，</w:t>
      </w:r>
      <w:r>
        <w:rPr>
          <w:kern w:val="0"/>
          <w:szCs w:val="21"/>
        </w:rPr>
        <w:t>dB</w:t>
      </w:r>
      <w:r>
        <w:rPr>
          <w:kern w:val="0"/>
          <w:szCs w:val="21"/>
        </w:rPr>
        <w:t>；</w:t>
      </w:r>
      <w:r>
        <w:rPr>
          <w:kern w:val="0"/>
          <w:szCs w:val="21"/>
        </w:rPr>
        <w:t xml:space="preserve"> </w:t>
      </w:r>
    </w:p>
    <w:p w:rsidR="009A0828" w:rsidRDefault="009A0828" w:rsidP="009A0828">
      <w:pPr>
        <w:spacing w:line="560" w:lineRule="exact"/>
        <w:ind w:firstLineChars="250" w:firstLine="600"/>
        <w:rPr>
          <w:kern w:val="0"/>
          <w:szCs w:val="21"/>
        </w:rPr>
      </w:pPr>
      <w:r>
        <w:rPr>
          <w:kern w:val="0"/>
          <w:szCs w:val="21"/>
        </w:rPr>
        <w:t>S—</w:t>
      </w:r>
      <w:r>
        <w:rPr>
          <w:kern w:val="0"/>
          <w:szCs w:val="21"/>
        </w:rPr>
        <w:t>透声面积，</w:t>
      </w:r>
      <w:r>
        <w:rPr>
          <w:kern w:val="0"/>
          <w:szCs w:val="21"/>
        </w:rPr>
        <w:t>m</w:t>
      </w:r>
      <w:r>
        <w:rPr>
          <w:kern w:val="0"/>
          <w:szCs w:val="21"/>
          <w:vertAlign w:val="superscript"/>
        </w:rPr>
        <w:t>2</w:t>
      </w:r>
      <w:r>
        <w:rPr>
          <w:kern w:val="0"/>
          <w:szCs w:val="21"/>
        </w:rPr>
        <w:t>。</w:t>
      </w:r>
      <w:r>
        <w:rPr>
          <w:kern w:val="0"/>
          <w:szCs w:val="21"/>
        </w:rPr>
        <w:t xml:space="preserve"> </w:t>
      </w:r>
    </w:p>
    <w:p w:rsidR="009A0828" w:rsidRDefault="009A0828" w:rsidP="009A0828">
      <w:pPr>
        <w:spacing w:line="560" w:lineRule="exact"/>
        <w:ind w:firstLineChars="250" w:firstLine="600"/>
        <w:rPr>
          <w:kern w:val="0"/>
          <w:szCs w:val="21"/>
        </w:rPr>
      </w:pPr>
      <w:r>
        <w:rPr>
          <w:kern w:val="0"/>
          <w:szCs w:val="21"/>
        </w:rPr>
        <w:t>然后按室外声源预测方法计算预测点处的</w:t>
      </w:r>
      <w:r>
        <w:rPr>
          <w:kern w:val="0"/>
          <w:szCs w:val="21"/>
        </w:rPr>
        <w:t xml:space="preserve"> A </w:t>
      </w:r>
      <w:r>
        <w:rPr>
          <w:kern w:val="0"/>
          <w:szCs w:val="21"/>
        </w:rPr>
        <w:t>声级。</w:t>
      </w:r>
      <w:r>
        <w:rPr>
          <w:kern w:val="0"/>
          <w:szCs w:val="21"/>
        </w:rPr>
        <w:t xml:space="preserve"> </w:t>
      </w:r>
    </w:p>
    <w:p w:rsidR="009A0828" w:rsidRDefault="009A0828" w:rsidP="009A0828">
      <w:pPr>
        <w:spacing w:line="560" w:lineRule="exact"/>
        <w:ind w:firstLineChars="250" w:firstLine="600"/>
        <w:rPr>
          <w:kern w:val="0"/>
          <w:szCs w:val="21"/>
        </w:rPr>
      </w:pPr>
      <w:r>
        <w:rPr>
          <w:rFonts w:hint="eastAsia"/>
          <w:kern w:val="0"/>
          <w:szCs w:val="21"/>
        </w:rPr>
        <w:t>⑤</w:t>
      </w:r>
      <w:r>
        <w:rPr>
          <w:kern w:val="0"/>
          <w:szCs w:val="21"/>
        </w:rPr>
        <w:t>计算总声压级</w:t>
      </w:r>
    </w:p>
    <w:p w:rsidR="009A0828" w:rsidRDefault="009A0828" w:rsidP="009A0828">
      <w:pPr>
        <w:spacing w:line="560" w:lineRule="exact"/>
        <w:ind w:firstLineChars="250" w:firstLine="600"/>
        <w:rPr>
          <w:kern w:val="0"/>
          <w:szCs w:val="21"/>
        </w:rPr>
      </w:pPr>
      <w:r>
        <w:rPr>
          <w:kern w:val="0"/>
          <w:szCs w:val="21"/>
        </w:rPr>
        <w:t>对两个以上多个声源同时存在时，多点源叠加计算总源强，采用如下公式：</w:t>
      </w:r>
    </w:p>
    <w:p w:rsidR="009A0828" w:rsidRDefault="009A0828" w:rsidP="009A0828">
      <w:pPr>
        <w:ind w:firstLine="480"/>
        <w:jc w:val="center"/>
      </w:pPr>
      <w:r>
        <w:rPr>
          <w:noProof/>
        </w:rPr>
        <w:drawing>
          <wp:inline distT="0" distB="0" distL="0" distR="0" wp14:anchorId="15D9F85D" wp14:editId="6619B484">
            <wp:extent cx="2466975" cy="456565"/>
            <wp:effectExtent l="0" t="0" r="1905" b="635"/>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64"/>
                    <a:stretch>
                      <a:fillRect/>
                    </a:stretch>
                  </pic:blipFill>
                  <pic:spPr>
                    <a:xfrm>
                      <a:off x="0" y="0"/>
                      <a:ext cx="2466975" cy="456577"/>
                    </a:xfrm>
                    <a:prstGeom prst="rect">
                      <a:avLst/>
                    </a:prstGeom>
                  </pic:spPr>
                </pic:pic>
              </a:graphicData>
            </a:graphic>
          </wp:inline>
        </w:drawing>
      </w:r>
    </w:p>
    <w:p w:rsidR="009A0828" w:rsidRDefault="009A0828" w:rsidP="009A0828">
      <w:pPr>
        <w:spacing w:line="560" w:lineRule="exact"/>
        <w:ind w:firstLineChars="250" w:firstLine="600"/>
        <w:rPr>
          <w:kern w:val="0"/>
          <w:szCs w:val="21"/>
        </w:rPr>
      </w:pPr>
      <w:r>
        <w:rPr>
          <w:kern w:val="0"/>
          <w:szCs w:val="21"/>
        </w:rPr>
        <w:t>式中：</w:t>
      </w:r>
      <w:r>
        <w:rPr>
          <w:kern w:val="0"/>
          <w:szCs w:val="21"/>
        </w:rPr>
        <w:t xml:space="preserve"> Leqg—</w:t>
      </w:r>
      <w:r>
        <w:rPr>
          <w:kern w:val="0"/>
          <w:szCs w:val="21"/>
        </w:rPr>
        <w:t>建设项目声源在预测点的等效声级贡献值，</w:t>
      </w:r>
      <w:r>
        <w:rPr>
          <w:kern w:val="0"/>
          <w:szCs w:val="21"/>
        </w:rPr>
        <w:t xml:space="preserve"> dB(A)</w:t>
      </w:r>
      <w:r>
        <w:rPr>
          <w:kern w:val="0"/>
          <w:szCs w:val="21"/>
        </w:rPr>
        <w:t>；</w:t>
      </w:r>
    </w:p>
    <w:p w:rsidR="009A0828" w:rsidRDefault="009A0828" w:rsidP="009A0828">
      <w:pPr>
        <w:spacing w:line="560" w:lineRule="exact"/>
        <w:ind w:firstLineChars="250" w:firstLine="600"/>
        <w:rPr>
          <w:kern w:val="0"/>
          <w:szCs w:val="21"/>
        </w:rPr>
      </w:pPr>
      <w:r>
        <w:rPr>
          <w:kern w:val="0"/>
          <w:szCs w:val="21"/>
        </w:rPr>
        <w:t>LAi—</w:t>
      </w:r>
      <w:r>
        <w:rPr>
          <w:kern w:val="0"/>
          <w:szCs w:val="21"/>
        </w:rPr>
        <w:t>第</w:t>
      </w:r>
      <w:r>
        <w:rPr>
          <w:kern w:val="0"/>
          <w:szCs w:val="21"/>
        </w:rPr>
        <w:t xml:space="preserve"> i </w:t>
      </w:r>
      <w:r>
        <w:rPr>
          <w:kern w:val="0"/>
          <w:szCs w:val="21"/>
        </w:rPr>
        <w:t>个室外声源在预测点产生的</w:t>
      </w:r>
      <w:r>
        <w:rPr>
          <w:kern w:val="0"/>
          <w:szCs w:val="21"/>
        </w:rPr>
        <w:t xml:space="preserve"> A </w:t>
      </w:r>
      <w:r>
        <w:rPr>
          <w:kern w:val="0"/>
          <w:szCs w:val="21"/>
        </w:rPr>
        <w:t>声级，</w:t>
      </w:r>
      <w:r>
        <w:rPr>
          <w:kern w:val="0"/>
          <w:szCs w:val="21"/>
        </w:rPr>
        <w:t xml:space="preserve"> dB(A)</w:t>
      </w:r>
      <w:r>
        <w:rPr>
          <w:kern w:val="0"/>
          <w:szCs w:val="21"/>
        </w:rPr>
        <w:t>；</w:t>
      </w:r>
    </w:p>
    <w:p w:rsidR="009A0828" w:rsidRDefault="009A0828" w:rsidP="009A0828">
      <w:pPr>
        <w:spacing w:line="560" w:lineRule="exact"/>
        <w:ind w:firstLineChars="250" w:firstLine="600"/>
        <w:rPr>
          <w:kern w:val="0"/>
          <w:szCs w:val="21"/>
        </w:rPr>
      </w:pPr>
      <w:r>
        <w:rPr>
          <w:kern w:val="0"/>
          <w:szCs w:val="21"/>
        </w:rPr>
        <w:t>LAj—</w:t>
      </w:r>
      <w:r>
        <w:rPr>
          <w:kern w:val="0"/>
          <w:szCs w:val="21"/>
        </w:rPr>
        <w:t>第</w:t>
      </w:r>
      <w:r>
        <w:rPr>
          <w:kern w:val="0"/>
          <w:szCs w:val="21"/>
        </w:rPr>
        <w:t xml:space="preserve">j </w:t>
      </w:r>
      <w:r>
        <w:rPr>
          <w:kern w:val="0"/>
          <w:szCs w:val="21"/>
        </w:rPr>
        <w:t>个等效室外声源在预测点产生的</w:t>
      </w:r>
      <w:r>
        <w:rPr>
          <w:kern w:val="0"/>
          <w:szCs w:val="21"/>
        </w:rPr>
        <w:t xml:space="preserve"> A </w:t>
      </w:r>
      <w:r>
        <w:rPr>
          <w:kern w:val="0"/>
          <w:szCs w:val="21"/>
        </w:rPr>
        <w:t>声级，</w:t>
      </w:r>
      <w:r>
        <w:rPr>
          <w:kern w:val="0"/>
          <w:szCs w:val="21"/>
        </w:rPr>
        <w:t xml:space="preserve"> dB(A)</w:t>
      </w:r>
      <w:r>
        <w:rPr>
          <w:kern w:val="0"/>
          <w:szCs w:val="21"/>
        </w:rPr>
        <w:t>；</w:t>
      </w:r>
    </w:p>
    <w:p w:rsidR="009A0828" w:rsidRDefault="009A0828" w:rsidP="009A0828">
      <w:pPr>
        <w:spacing w:line="560" w:lineRule="exact"/>
        <w:ind w:firstLineChars="250" w:firstLine="600"/>
        <w:rPr>
          <w:kern w:val="0"/>
          <w:szCs w:val="21"/>
        </w:rPr>
      </w:pPr>
      <w:r>
        <w:rPr>
          <w:kern w:val="0"/>
          <w:szCs w:val="21"/>
        </w:rPr>
        <w:t>tj—</w:t>
      </w:r>
      <w:r>
        <w:rPr>
          <w:kern w:val="0"/>
          <w:szCs w:val="21"/>
        </w:rPr>
        <w:t>在</w:t>
      </w:r>
      <w:r>
        <w:rPr>
          <w:kern w:val="0"/>
          <w:szCs w:val="21"/>
        </w:rPr>
        <w:t xml:space="preserve"> T </w:t>
      </w:r>
      <w:r>
        <w:rPr>
          <w:kern w:val="0"/>
          <w:szCs w:val="21"/>
        </w:rPr>
        <w:t>时间内</w:t>
      </w:r>
      <w:r>
        <w:rPr>
          <w:kern w:val="0"/>
          <w:szCs w:val="21"/>
        </w:rPr>
        <w:t xml:space="preserve">j </w:t>
      </w:r>
      <w:r>
        <w:rPr>
          <w:kern w:val="0"/>
          <w:szCs w:val="21"/>
        </w:rPr>
        <w:t>声源工作时间，</w:t>
      </w:r>
      <w:r>
        <w:rPr>
          <w:kern w:val="0"/>
          <w:szCs w:val="21"/>
        </w:rPr>
        <w:t xml:space="preserve"> S</w:t>
      </w:r>
      <w:r>
        <w:rPr>
          <w:kern w:val="0"/>
          <w:szCs w:val="21"/>
        </w:rPr>
        <w:t>；</w:t>
      </w:r>
    </w:p>
    <w:p w:rsidR="009A0828" w:rsidRDefault="009A0828" w:rsidP="009A0828">
      <w:pPr>
        <w:spacing w:line="560" w:lineRule="exact"/>
        <w:ind w:firstLineChars="250" w:firstLine="600"/>
        <w:rPr>
          <w:kern w:val="0"/>
          <w:szCs w:val="21"/>
        </w:rPr>
      </w:pPr>
      <w:r>
        <w:rPr>
          <w:kern w:val="0"/>
          <w:szCs w:val="21"/>
        </w:rPr>
        <w:t>ti—</w:t>
      </w:r>
      <w:r>
        <w:rPr>
          <w:kern w:val="0"/>
          <w:szCs w:val="21"/>
        </w:rPr>
        <w:t>在</w:t>
      </w:r>
      <w:r>
        <w:rPr>
          <w:kern w:val="0"/>
          <w:szCs w:val="21"/>
        </w:rPr>
        <w:t xml:space="preserve"> T </w:t>
      </w:r>
      <w:r>
        <w:rPr>
          <w:kern w:val="0"/>
          <w:szCs w:val="21"/>
        </w:rPr>
        <w:t>时间内</w:t>
      </w:r>
      <w:r>
        <w:rPr>
          <w:kern w:val="0"/>
          <w:szCs w:val="21"/>
        </w:rPr>
        <w:t xml:space="preserve"> i </w:t>
      </w:r>
      <w:r>
        <w:rPr>
          <w:kern w:val="0"/>
          <w:szCs w:val="21"/>
        </w:rPr>
        <w:t>声源工作时间，</w:t>
      </w:r>
      <w:r>
        <w:rPr>
          <w:kern w:val="0"/>
          <w:szCs w:val="21"/>
        </w:rPr>
        <w:t xml:space="preserve"> S</w:t>
      </w:r>
      <w:r>
        <w:rPr>
          <w:kern w:val="0"/>
          <w:szCs w:val="21"/>
        </w:rPr>
        <w:t>；</w:t>
      </w:r>
    </w:p>
    <w:p w:rsidR="009A0828" w:rsidRDefault="009A0828" w:rsidP="009A0828">
      <w:pPr>
        <w:spacing w:line="560" w:lineRule="exact"/>
        <w:ind w:firstLineChars="250" w:firstLine="600"/>
        <w:rPr>
          <w:kern w:val="0"/>
          <w:szCs w:val="21"/>
        </w:rPr>
      </w:pPr>
      <w:r>
        <w:rPr>
          <w:kern w:val="0"/>
          <w:szCs w:val="21"/>
        </w:rPr>
        <w:t>T—</w:t>
      </w:r>
      <w:r>
        <w:rPr>
          <w:kern w:val="0"/>
          <w:szCs w:val="21"/>
        </w:rPr>
        <w:t>用于计算等效声级的时间，</w:t>
      </w:r>
      <w:r>
        <w:rPr>
          <w:kern w:val="0"/>
          <w:szCs w:val="21"/>
        </w:rPr>
        <w:t>S</w:t>
      </w:r>
      <w:r>
        <w:rPr>
          <w:kern w:val="0"/>
          <w:szCs w:val="21"/>
        </w:rPr>
        <w:t>；</w:t>
      </w:r>
    </w:p>
    <w:p w:rsidR="009A0828" w:rsidRDefault="009A0828" w:rsidP="009A0828">
      <w:pPr>
        <w:spacing w:line="560" w:lineRule="exact"/>
        <w:ind w:firstLineChars="250" w:firstLine="600"/>
        <w:rPr>
          <w:kern w:val="0"/>
          <w:szCs w:val="21"/>
        </w:rPr>
      </w:pPr>
      <w:r>
        <w:rPr>
          <w:kern w:val="0"/>
          <w:szCs w:val="21"/>
        </w:rPr>
        <w:t>N—</w:t>
      </w:r>
      <w:r>
        <w:rPr>
          <w:kern w:val="0"/>
          <w:szCs w:val="21"/>
        </w:rPr>
        <w:t>室外声源个数；</w:t>
      </w:r>
    </w:p>
    <w:p w:rsidR="009A0828" w:rsidRDefault="009A0828" w:rsidP="009A0828">
      <w:pPr>
        <w:spacing w:line="560" w:lineRule="exact"/>
        <w:ind w:firstLineChars="250" w:firstLine="600"/>
        <w:rPr>
          <w:kern w:val="0"/>
          <w:szCs w:val="21"/>
        </w:rPr>
      </w:pPr>
      <w:r>
        <w:rPr>
          <w:kern w:val="0"/>
          <w:szCs w:val="21"/>
        </w:rPr>
        <w:t>M—</w:t>
      </w:r>
      <w:r>
        <w:rPr>
          <w:kern w:val="0"/>
          <w:szCs w:val="21"/>
        </w:rPr>
        <w:t>等效室外声源个数。</w:t>
      </w:r>
    </w:p>
    <w:p w:rsidR="004E3021" w:rsidRDefault="00606E48">
      <w:pPr>
        <w:pStyle w:val="afffffffffffffffff4"/>
      </w:pPr>
      <w:bookmarkStart w:id="406" w:name="_Toc100784043"/>
      <w:bookmarkStart w:id="407" w:name="_Toc101135875"/>
      <w:bookmarkStart w:id="408" w:name="_Toc108662652"/>
      <w:bookmarkStart w:id="409" w:name="_Toc221088807"/>
      <w:bookmarkStart w:id="410" w:name="_Toc221501022"/>
      <w:r>
        <w:rPr>
          <w:rFonts w:hint="eastAsia"/>
        </w:rPr>
        <w:t>5.</w:t>
      </w:r>
      <w:r>
        <w:t>3.3</w:t>
      </w:r>
      <w:r>
        <w:rPr>
          <w:rFonts w:hint="eastAsia"/>
        </w:rPr>
        <w:t>预测结果</w:t>
      </w:r>
      <w:r>
        <w:t>与分析</w:t>
      </w:r>
      <w:bookmarkEnd w:id="406"/>
      <w:bookmarkEnd w:id="407"/>
      <w:bookmarkEnd w:id="408"/>
      <w:bookmarkEnd w:id="409"/>
      <w:bookmarkEnd w:id="410"/>
    </w:p>
    <w:p w:rsidR="004E3021" w:rsidRDefault="00606E48">
      <w:pPr>
        <w:ind w:firstLine="480"/>
        <w:rPr>
          <w:rFonts w:ascii="宋体" w:hAnsi="宋体"/>
        </w:rPr>
      </w:pPr>
      <w:r>
        <w:rPr>
          <w:rFonts w:ascii="宋体" w:hAnsi="宋体"/>
        </w:rPr>
        <w:t>应用上述预测模式计算厂界处的噪声排放声级，预测其对声环境的影响，</w:t>
      </w:r>
      <w:r>
        <w:rPr>
          <w:rFonts w:ascii="宋体" w:hAnsi="宋体" w:hint="eastAsia"/>
        </w:rPr>
        <w:t>噪声预测</w:t>
      </w:r>
      <w:r>
        <w:rPr>
          <w:rFonts w:ascii="宋体" w:hAnsi="宋体"/>
        </w:rPr>
        <w:t>结果</w:t>
      </w:r>
      <w:r>
        <w:rPr>
          <w:rFonts w:ascii="宋体" w:hAnsi="宋体" w:hint="eastAsia"/>
        </w:rPr>
        <w:t>见</w:t>
      </w:r>
      <w:r>
        <w:rPr>
          <w:rFonts w:ascii="宋体" w:hAnsi="宋体"/>
        </w:rPr>
        <w:t>表</w:t>
      </w:r>
      <w:r>
        <w:rPr>
          <w:rFonts w:hint="eastAsia"/>
        </w:rPr>
        <w:t>5.</w:t>
      </w:r>
      <w:r>
        <w:t>3.3-2</w:t>
      </w:r>
      <w:r>
        <w:rPr>
          <w:rFonts w:ascii="宋体" w:hAnsi="宋体"/>
        </w:rPr>
        <w:t>。</w:t>
      </w:r>
    </w:p>
    <w:p w:rsidR="009A0828" w:rsidRDefault="009A0828" w:rsidP="009A0828">
      <w:pPr>
        <w:pStyle w:val="a0"/>
        <w:ind w:firstLine="480"/>
      </w:pPr>
    </w:p>
    <w:p w:rsidR="009A0828" w:rsidRDefault="009A0828" w:rsidP="009A0828">
      <w:pPr>
        <w:pStyle w:val="a0"/>
        <w:ind w:firstLine="480"/>
      </w:pPr>
    </w:p>
    <w:p w:rsidR="009A0828" w:rsidRDefault="009A0828" w:rsidP="009A0828">
      <w:pPr>
        <w:pStyle w:val="a0"/>
        <w:ind w:firstLine="480"/>
      </w:pPr>
    </w:p>
    <w:p w:rsidR="009A0828" w:rsidRPr="009A0828" w:rsidRDefault="009A0828" w:rsidP="009A0828">
      <w:pPr>
        <w:pStyle w:val="a0"/>
        <w:ind w:firstLine="480"/>
      </w:pPr>
    </w:p>
    <w:p w:rsidR="004E3021" w:rsidRDefault="00606E48">
      <w:pPr>
        <w:pStyle w:val="afffff4"/>
        <w:ind w:firstLine="480"/>
        <w:rPr>
          <w:rFonts w:ascii="黑体" w:hAnsi="黑体"/>
        </w:rPr>
      </w:pPr>
      <w:r>
        <w:rPr>
          <w:rFonts w:ascii="黑体" w:hAnsi="黑体" w:hint="eastAsia"/>
        </w:rPr>
        <w:lastRenderedPageBreak/>
        <w:t>表</w:t>
      </w:r>
      <w:r>
        <w:rPr>
          <w:rFonts w:hint="eastAsia"/>
        </w:rPr>
        <w:t>5.</w:t>
      </w:r>
      <w:r>
        <w:t xml:space="preserve">3.3-2  </w:t>
      </w:r>
      <w:r>
        <w:rPr>
          <w:rFonts w:ascii="黑体" w:hAnsi="黑体" w:hint="eastAsia"/>
        </w:rPr>
        <w:t>本项目</w:t>
      </w:r>
      <w:r w:rsidR="009A0828">
        <w:rPr>
          <w:rFonts w:ascii="黑体" w:hAnsi="黑体" w:hint="eastAsia"/>
        </w:rPr>
        <w:t>噪声</w:t>
      </w:r>
      <w:r>
        <w:rPr>
          <w:rFonts w:ascii="黑体" w:hAnsi="黑体"/>
        </w:rPr>
        <w:t>预测结果</w:t>
      </w:r>
      <w:r>
        <w:rPr>
          <w:rFonts w:hint="eastAsia"/>
        </w:rPr>
        <w:t xml:space="preserve">  </w:t>
      </w:r>
      <w:r>
        <w:rPr>
          <w:rFonts w:ascii="黑体" w:hAnsi="黑体" w:hint="eastAsia"/>
        </w:rPr>
        <w:t>单位</w:t>
      </w:r>
      <w:r>
        <w:t>dB</w:t>
      </w:r>
      <w:r>
        <w:rPr>
          <w:rFonts w:ascii="黑体" w:hAnsi="黑体" w:hint="eastAsia"/>
        </w:rPr>
        <w:t>（</w:t>
      </w:r>
      <w:r>
        <w:rPr>
          <w:rFonts w:hint="eastAsia"/>
        </w:rPr>
        <w:t>A</w:t>
      </w:r>
      <w:r>
        <w:rPr>
          <w:rFonts w:ascii="黑体" w:hAnsi="黑体" w:hint="eastAsia"/>
        </w:rPr>
        <w:t>）</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34"/>
        <w:gridCol w:w="852"/>
        <w:gridCol w:w="850"/>
        <w:gridCol w:w="850"/>
        <w:gridCol w:w="1134"/>
        <w:gridCol w:w="850"/>
        <w:gridCol w:w="1134"/>
        <w:gridCol w:w="1134"/>
        <w:gridCol w:w="1089"/>
      </w:tblGrid>
      <w:tr w:rsidR="009A0828" w:rsidRPr="005B108E" w:rsidTr="005B108E">
        <w:trPr>
          <w:trHeight w:val="280"/>
          <w:tblHeader/>
          <w:jc w:val="center"/>
        </w:trPr>
        <w:tc>
          <w:tcPr>
            <w:tcW w:w="628" w:type="pct"/>
            <w:vMerge w:val="restart"/>
            <w:shd w:val="clear" w:color="auto" w:fill="auto"/>
            <w:vAlign w:val="center"/>
            <w:hideMark/>
          </w:tcPr>
          <w:p w:rsidR="009A0828" w:rsidRPr="005B108E" w:rsidRDefault="009A0828" w:rsidP="00FC2085">
            <w:pPr>
              <w:pStyle w:val="afffffff2"/>
              <w:spacing w:before="163" w:after="163"/>
              <w:rPr>
                <w:b/>
                <w:sz w:val="21"/>
                <w:szCs w:val="21"/>
              </w:rPr>
            </w:pPr>
            <w:r w:rsidRPr="005B108E">
              <w:rPr>
                <w:rFonts w:hint="eastAsia"/>
                <w:b/>
                <w:sz w:val="21"/>
                <w:szCs w:val="21"/>
              </w:rPr>
              <w:t>测点</w:t>
            </w:r>
          </w:p>
          <w:p w:rsidR="009A0828" w:rsidRPr="005B108E" w:rsidRDefault="009A0828" w:rsidP="00FC2085">
            <w:pPr>
              <w:pStyle w:val="afffffff2"/>
              <w:spacing w:before="163" w:after="163"/>
              <w:rPr>
                <w:b/>
                <w:sz w:val="21"/>
                <w:szCs w:val="21"/>
              </w:rPr>
            </w:pPr>
            <w:r w:rsidRPr="005B108E">
              <w:rPr>
                <w:rFonts w:hint="eastAsia"/>
                <w:b/>
                <w:sz w:val="21"/>
                <w:szCs w:val="21"/>
              </w:rPr>
              <w:t>序号</w:t>
            </w:r>
          </w:p>
        </w:tc>
        <w:tc>
          <w:tcPr>
            <w:tcW w:w="2042" w:type="pct"/>
            <w:gridSpan w:val="4"/>
            <w:shd w:val="clear" w:color="auto" w:fill="auto"/>
            <w:vAlign w:val="center"/>
          </w:tcPr>
          <w:p w:rsidR="009A0828" w:rsidRPr="005B108E" w:rsidRDefault="009A0828" w:rsidP="00FC2085">
            <w:pPr>
              <w:pStyle w:val="afffffff2"/>
              <w:spacing w:before="163" w:after="163"/>
              <w:rPr>
                <w:b/>
                <w:sz w:val="21"/>
                <w:szCs w:val="21"/>
              </w:rPr>
            </w:pPr>
            <w:r w:rsidRPr="005B108E">
              <w:rPr>
                <w:rFonts w:hint="eastAsia"/>
                <w:b/>
                <w:sz w:val="21"/>
                <w:szCs w:val="21"/>
              </w:rPr>
              <w:t>昼间</w:t>
            </w:r>
          </w:p>
        </w:tc>
        <w:tc>
          <w:tcPr>
            <w:tcW w:w="2330" w:type="pct"/>
            <w:gridSpan w:val="4"/>
            <w:shd w:val="clear" w:color="auto" w:fill="auto"/>
            <w:vAlign w:val="center"/>
            <w:hideMark/>
          </w:tcPr>
          <w:p w:rsidR="009A0828" w:rsidRPr="005B108E" w:rsidRDefault="009A0828" w:rsidP="00FC2085">
            <w:pPr>
              <w:pStyle w:val="afffffff2"/>
              <w:spacing w:before="163" w:after="163"/>
              <w:rPr>
                <w:b/>
                <w:sz w:val="21"/>
                <w:szCs w:val="21"/>
              </w:rPr>
            </w:pPr>
            <w:r w:rsidRPr="005B108E">
              <w:rPr>
                <w:rFonts w:hint="eastAsia"/>
                <w:b/>
                <w:sz w:val="21"/>
                <w:szCs w:val="21"/>
              </w:rPr>
              <w:t>夜间</w:t>
            </w:r>
          </w:p>
        </w:tc>
      </w:tr>
      <w:tr w:rsidR="009A0828" w:rsidRPr="005B108E" w:rsidTr="005B108E">
        <w:trPr>
          <w:trHeight w:val="759"/>
          <w:tblHeader/>
          <w:jc w:val="center"/>
        </w:trPr>
        <w:tc>
          <w:tcPr>
            <w:tcW w:w="628" w:type="pct"/>
            <w:vMerge/>
            <w:shd w:val="clear" w:color="auto" w:fill="auto"/>
            <w:vAlign w:val="center"/>
            <w:hideMark/>
          </w:tcPr>
          <w:p w:rsidR="009A0828" w:rsidRPr="005B108E" w:rsidRDefault="009A0828" w:rsidP="00FC2085">
            <w:pPr>
              <w:pStyle w:val="afffffff2"/>
              <w:spacing w:before="163" w:after="163"/>
              <w:rPr>
                <w:b/>
                <w:sz w:val="21"/>
                <w:szCs w:val="21"/>
              </w:rPr>
            </w:pPr>
          </w:p>
        </w:tc>
        <w:tc>
          <w:tcPr>
            <w:tcW w:w="472" w:type="pct"/>
            <w:shd w:val="clear" w:color="auto" w:fill="auto"/>
            <w:vAlign w:val="center"/>
            <w:hideMark/>
          </w:tcPr>
          <w:p w:rsidR="009A0828" w:rsidRPr="005B108E" w:rsidRDefault="009A0828" w:rsidP="00FC2085">
            <w:pPr>
              <w:pStyle w:val="afffffff2"/>
              <w:spacing w:before="163" w:after="163"/>
              <w:rPr>
                <w:b/>
                <w:sz w:val="21"/>
                <w:szCs w:val="21"/>
              </w:rPr>
            </w:pPr>
            <w:r w:rsidRPr="005B108E">
              <w:rPr>
                <w:rFonts w:hint="eastAsia"/>
                <w:b/>
                <w:sz w:val="21"/>
                <w:szCs w:val="21"/>
              </w:rPr>
              <w:t>贡献值</w:t>
            </w:r>
          </w:p>
        </w:tc>
        <w:tc>
          <w:tcPr>
            <w:tcW w:w="471" w:type="pct"/>
            <w:shd w:val="clear" w:color="auto" w:fill="auto"/>
            <w:vAlign w:val="center"/>
          </w:tcPr>
          <w:p w:rsidR="009A0828" w:rsidRPr="005B108E" w:rsidRDefault="009A0828" w:rsidP="00FC2085">
            <w:pPr>
              <w:pStyle w:val="afffffff2"/>
              <w:spacing w:before="163" w:after="163"/>
              <w:rPr>
                <w:b/>
                <w:sz w:val="21"/>
                <w:szCs w:val="21"/>
              </w:rPr>
            </w:pPr>
            <w:r w:rsidRPr="005B108E">
              <w:rPr>
                <w:rFonts w:hint="eastAsia"/>
                <w:b/>
                <w:sz w:val="21"/>
                <w:szCs w:val="21"/>
              </w:rPr>
              <w:t>背景值</w:t>
            </w:r>
          </w:p>
        </w:tc>
        <w:tc>
          <w:tcPr>
            <w:tcW w:w="471" w:type="pct"/>
            <w:vAlign w:val="center"/>
          </w:tcPr>
          <w:p w:rsidR="009A0828" w:rsidRPr="005B108E" w:rsidRDefault="009A0828" w:rsidP="00FC2085">
            <w:pPr>
              <w:pStyle w:val="afffffff2"/>
              <w:spacing w:before="163" w:after="163"/>
              <w:rPr>
                <w:b/>
                <w:sz w:val="21"/>
                <w:szCs w:val="21"/>
              </w:rPr>
            </w:pPr>
            <w:r w:rsidRPr="005B108E">
              <w:rPr>
                <w:rFonts w:hint="eastAsia"/>
                <w:b/>
                <w:sz w:val="21"/>
                <w:szCs w:val="21"/>
              </w:rPr>
              <w:t>叠加值</w:t>
            </w:r>
          </w:p>
        </w:tc>
        <w:tc>
          <w:tcPr>
            <w:tcW w:w="628" w:type="pct"/>
            <w:vAlign w:val="center"/>
          </w:tcPr>
          <w:p w:rsidR="009A0828" w:rsidRPr="005B108E" w:rsidRDefault="009A0828" w:rsidP="00FC2085">
            <w:pPr>
              <w:pStyle w:val="afffffff2"/>
              <w:spacing w:before="163" w:after="163"/>
              <w:rPr>
                <w:b/>
                <w:sz w:val="21"/>
                <w:szCs w:val="21"/>
              </w:rPr>
            </w:pPr>
            <w:r w:rsidRPr="005B108E">
              <w:rPr>
                <w:rFonts w:hint="eastAsia"/>
                <w:b/>
                <w:sz w:val="21"/>
                <w:szCs w:val="21"/>
              </w:rPr>
              <w:t>评价结果</w:t>
            </w:r>
          </w:p>
        </w:tc>
        <w:tc>
          <w:tcPr>
            <w:tcW w:w="471" w:type="pct"/>
            <w:shd w:val="clear" w:color="auto" w:fill="auto"/>
            <w:vAlign w:val="center"/>
            <w:hideMark/>
          </w:tcPr>
          <w:p w:rsidR="009A0828" w:rsidRPr="005B108E" w:rsidRDefault="009A0828" w:rsidP="00FC2085">
            <w:pPr>
              <w:pStyle w:val="afffffff2"/>
              <w:spacing w:before="163" w:after="163"/>
              <w:rPr>
                <w:b/>
                <w:sz w:val="21"/>
                <w:szCs w:val="21"/>
              </w:rPr>
            </w:pPr>
            <w:r w:rsidRPr="005B108E">
              <w:rPr>
                <w:rFonts w:hint="eastAsia"/>
                <w:b/>
                <w:sz w:val="21"/>
                <w:szCs w:val="21"/>
              </w:rPr>
              <w:t>贡献值</w:t>
            </w:r>
          </w:p>
        </w:tc>
        <w:tc>
          <w:tcPr>
            <w:tcW w:w="628" w:type="pct"/>
            <w:shd w:val="clear" w:color="auto" w:fill="auto"/>
            <w:vAlign w:val="center"/>
          </w:tcPr>
          <w:p w:rsidR="009A0828" w:rsidRPr="005B108E" w:rsidRDefault="009A0828" w:rsidP="00FC2085">
            <w:pPr>
              <w:pStyle w:val="afffffff2"/>
              <w:spacing w:before="163" w:after="163"/>
              <w:rPr>
                <w:b/>
                <w:sz w:val="21"/>
                <w:szCs w:val="21"/>
              </w:rPr>
            </w:pPr>
            <w:r w:rsidRPr="005B108E">
              <w:rPr>
                <w:rFonts w:hint="eastAsia"/>
                <w:b/>
                <w:sz w:val="21"/>
                <w:szCs w:val="21"/>
              </w:rPr>
              <w:t>背景值</w:t>
            </w:r>
          </w:p>
        </w:tc>
        <w:tc>
          <w:tcPr>
            <w:tcW w:w="628" w:type="pct"/>
            <w:vAlign w:val="center"/>
          </w:tcPr>
          <w:p w:rsidR="009A0828" w:rsidRPr="005B108E" w:rsidRDefault="009A0828" w:rsidP="00FC2085">
            <w:pPr>
              <w:pStyle w:val="afffffff2"/>
              <w:spacing w:before="163" w:after="163"/>
              <w:rPr>
                <w:b/>
                <w:sz w:val="21"/>
                <w:szCs w:val="21"/>
              </w:rPr>
            </w:pPr>
            <w:r w:rsidRPr="005B108E">
              <w:rPr>
                <w:rFonts w:hint="eastAsia"/>
                <w:b/>
                <w:sz w:val="21"/>
                <w:szCs w:val="21"/>
              </w:rPr>
              <w:t>叠加值</w:t>
            </w:r>
          </w:p>
        </w:tc>
        <w:tc>
          <w:tcPr>
            <w:tcW w:w="603" w:type="pct"/>
            <w:vAlign w:val="center"/>
          </w:tcPr>
          <w:p w:rsidR="009A0828" w:rsidRPr="005B108E" w:rsidRDefault="009A0828" w:rsidP="00FC2085">
            <w:pPr>
              <w:pStyle w:val="afffffff2"/>
              <w:spacing w:before="163" w:after="163"/>
              <w:rPr>
                <w:b/>
                <w:sz w:val="21"/>
                <w:szCs w:val="21"/>
              </w:rPr>
            </w:pPr>
            <w:r w:rsidRPr="005B108E">
              <w:rPr>
                <w:rFonts w:hint="eastAsia"/>
                <w:b/>
                <w:sz w:val="21"/>
                <w:szCs w:val="21"/>
              </w:rPr>
              <w:t>评价结果</w:t>
            </w:r>
          </w:p>
        </w:tc>
      </w:tr>
      <w:tr w:rsidR="005B108E" w:rsidRPr="009A0828" w:rsidTr="005B108E">
        <w:trPr>
          <w:trHeight w:val="280"/>
          <w:jc w:val="center"/>
        </w:trPr>
        <w:tc>
          <w:tcPr>
            <w:tcW w:w="628" w:type="pct"/>
            <w:shd w:val="clear" w:color="auto" w:fill="auto"/>
            <w:vAlign w:val="center"/>
            <w:hideMark/>
          </w:tcPr>
          <w:p w:rsidR="005B108E" w:rsidRPr="00A813A8" w:rsidRDefault="005B108E" w:rsidP="005B108E">
            <w:pPr>
              <w:pStyle w:val="afffffff2"/>
              <w:rPr>
                <w:sz w:val="21"/>
                <w:szCs w:val="21"/>
              </w:rPr>
            </w:pPr>
            <w:r w:rsidRPr="00A813A8">
              <w:rPr>
                <w:sz w:val="21"/>
                <w:szCs w:val="21"/>
              </w:rPr>
              <w:t xml:space="preserve">N1 </w:t>
            </w:r>
          </w:p>
        </w:tc>
        <w:tc>
          <w:tcPr>
            <w:tcW w:w="472" w:type="pct"/>
            <w:shd w:val="clear" w:color="auto" w:fill="auto"/>
          </w:tcPr>
          <w:p w:rsidR="005B108E" w:rsidRPr="009A0828" w:rsidRDefault="005B108E" w:rsidP="005B108E">
            <w:pPr>
              <w:pStyle w:val="afffffff2"/>
              <w:spacing w:before="163" w:after="163"/>
              <w:rPr>
                <w:sz w:val="21"/>
                <w:szCs w:val="21"/>
              </w:rPr>
            </w:pPr>
            <w:r w:rsidRPr="009A0828">
              <w:rPr>
                <w:sz w:val="21"/>
                <w:szCs w:val="21"/>
              </w:rPr>
              <w:t>23</w:t>
            </w:r>
          </w:p>
        </w:tc>
        <w:tc>
          <w:tcPr>
            <w:tcW w:w="471" w:type="pct"/>
            <w:shd w:val="clear" w:color="auto" w:fill="auto"/>
            <w:vAlign w:val="center"/>
          </w:tcPr>
          <w:p w:rsidR="005B108E" w:rsidRPr="009A0828" w:rsidRDefault="005B108E" w:rsidP="005B108E">
            <w:pPr>
              <w:pStyle w:val="afffffff2"/>
              <w:spacing w:before="163" w:after="163"/>
              <w:rPr>
                <w:sz w:val="21"/>
                <w:szCs w:val="21"/>
              </w:rPr>
            </w:pPr>
            <w:r>
              <w:rPr>
                <w:sz w:val="21"/>
                <w:szCs w:val="21"/>
              </w:rPr>
              <w:t>59</w:t>
            </w:r>
          </w:p>
        </w:tc>
        <w:tc>
          <w:tcPr>
            <w:tcW w:w="471" w:type="pct"/>
            <w:vAlign w:val="center"/>
          </w:tcPr>
          <w:p w:rsidR="005B108E" w:rsidRPr="009A0828" w:rsidRDefault="005B108E" w:rsidP="005B108E">
            <w:pPr>
              <w:pStyle w:val="afffffff2"/>
              <w:spacing w:before="163" w:after="163"/>
              <w:rPr>
                <w:sz w:val="21"/>
                <w:szCs w:val="21"/>
              </w:rPr>
            </w:pPr>
            <w:r w:rsidRPr="009A0828">
              <w:rPr>
                <w:rFonts w:hint="eastAsia"/>
                <w:sz w:val="21"/>
                <w:szCs w:val="21"/>
              </w:rPr>
              <w:t>5</w:t>
            </w:r>
            <w:r>
              <w:rPr>
                <w:sz w:val="21"/>
                <w:szCs w:val="21"/>
              </w:rPr>
              <w:t>9</w:t>
            </w:r>
          </w:p>
        </w:tc>
        <w:tc>
          <w:tcPr>
            <w:tcW w:w="628" w:type="pct"/>
            <w:vAlign w:val="center"/>
          </w:tcPr>
          <w:p w:rsidR="005B108E" w:rsidRPr="009A0828" w:rsidRDefault="005B108E" w:rsidP="005B108E">
            <w:pPr>
              <w:pStyle w:val="afffffff2"/>
              <w:spacing w:before="163" w:after="163"/>
              <w:rPr>
                <w:sz w:val="21"/>
                <w:szCs w:val="21"/>
              </w:rPr>
            </w:pPr>
            <w:r w:rsidRPr="009A0828">
              <w:rPr>
                <w:rFonts w:hint="eastAsia"/>
                <w:sz w:val="21"/>
                <w:szCs w:val="21"/>
              </w:rPr>
              <w:t>达标</w:t>
            </w:r>
          </w:p>
        </w:tc>
        <w:tc>
          <w:tcPr>
            <w:tcW w:w="471" w:type="pct"/>
            <w:shd w:val="clear" w:color="auto" w:fill="auto"/>
            <w:noWrap/>
          </w:tcPr>
          <w:p w:rsidR="005B108E" w:rsidRPr="009A0828" w:rsidRDefault="005B108E" w:rsidP="005B108E">
            <w:pPr>
              <w:pStyle w:val="afffffff2"/>
              <w:spacing w:before="163" w:after="163"/>
              <w:rPr>
                <w:sz w:val="21"/>
                <w:szCs w:val="21"/>
              </w:rPr>
            </w:pPr>
            <w:r w:rsidRPr="009A0828">
              <w:rPr>
                <w:sz w:val="21"/>
                <w:szCs w:val="21"/>
              </w:rPr>
              <w:t>23</w:t>
            </w:r>
          </w:p>
        </w:tc>
        <w:tc>
          <w:tcPr>
            <w:tcW w:w="628" w:type="pct"/>
            <w:shd w:val="clear" w:color="auto" w:fill="auto"/>
            <w:vAlign w:val="center"/>
          </w:tcPr>
          <w:p w:rsidR="005B108E" w:rsidRPr="009A0828" w:rsidRDefault="005B108E" w:rsidP="005B108E">
            <w:pPr>
              <w:pStyle w:val="afffffff2"/>
              <w:spacing w:before="163" w:after="163"/>
              <w:rPr>
                <w:sz w:val="21"/>
                <w:szCs w:val="21"/>
              </w:rPr>
            </w:pPr>
            <w:r w:rsidRPr="009A0828">
              <w:rPr>
                <w:rFonts w:hint="eastAsia"/>
                <w:sz w:val="21"/>
                <w:szCs w:val="21"/>
              </w:rPr>
              <w:t>5</w:t>
            </w:r>
            <w:r w:rsidRPr="009A0828">
              <w:rPr>
                <w:sz w:val="21"/>
                <w:szCs w:val="21"/>
              </w:rPr>
              <w:t>1</w:t>
            </w:r>
          </w:p>
        </w:tc>
        <w:tc>
          <w:tcPr>
            <w:tcW w:w="628" w:type="pct"/>
            <w:vAlign w:val="center"/>
          </w:tcPr>
          <w:p w:rsidR="005B108E" w:rsidRPr="009A0828" w:rsidRDefault="005B108E" w:rsidP="005B108E">
            <w:pPr>
              <w:pStyle w:val="afffffff2"/>
              <w:spacing w:before="163" w:after="163"/>
              <w:rPr>
                <w:sz w:val="21"/>
                <w:szCs w:val="21"/>
              </w:rPr>
            </w:pPr>
            <w:r>
              <w:rPr>
                <w:sz w:val="21"/>
                <w:szCs w:val="21"/>
              </w:rPr>
              <w:t>51</w:t>
            </w:r>
          </w:p>
        </w:tc>
        <w:tc>
          <w:tcPr>
            <w:tcW w:w="603" w:type="pct"/>
            <w:vAlign w:val="center"/>
          </w:tcPr>
          <w:p w:rsidR="005B108E" w:rsidRPr="009A0828" w:rsidRDefault="005B108E" w:rsidP="005B108E">
            <w:pPr>
              <w:pStyle w:val="afffffff2"/>
              <w:spacing w:before="163" w:after="163"/>
              <w:rPr>
                <w:sz w:val="21"/>
                <w:szCs w:val="21"/>
              </w:rPr>
            </w:pPr>
            <w:r w:rsidRPr="009A0828">
              <w:rPr>
                <w:rFonts w:hint="eastAsia"/>
                <w:sz w:val="21"/>
                <w:szCs w:val="21"/>
              </w:rPr>
              <w:t>达标</w:t>
            </w:r>
          </w:p>
        </w:tc>
      </w:tr>
      <w:tr w:rsidR="005B108E" w:rsidRPr="009A0828" w:rsidTr="005B108E">
        <w:trPr>
          <w:trHeight w:val="280"/>
          <w:jc w:val="center"/>
        </w:trPr>
        <w:tc>
          <w:tcPr>
            <w:tcW w:w="628" w:type="pct"/>
            <w:shd w:val="clear" w:color="auto" w:fill="auto"/>
            <w:vAlign w:val="center"/>
            <w:hideMark/>
          </w:tcPr>
          <w:p w:rsidR="005B108E" w:rsidRPr="00A813A8" w:rsidRDefault="005B108E" w:rsidP="005B108E">
            <w:pPr>
              <w:pStyle w:val="afffffff2"/>
              <w:rPr>
                <w:sz w:val="21"/>
                <w:szCs w:val="21"/>
              </w:rPr>
            </w:pPr>
            <w:r w:rsidRPr="00A813A8">
              <w:rPr>
                <w:sz w:val="21"/>
                <w:szCs w:val="21"/>
              </w:rPr>
              <w:t xml:space="preserve">N2 </w:t>
            </w:r>
          </w:p>
        </w:tc>
        <w:tc>
          <w:tcPr>
            <w:tcW w:w="472" w:type="pct"/>
            <w:shd w:val="clear" w:color="auto" w:fill="auto"/>
          </w:tcPr>
          <w:p w:rsidR="005B108E" w:rsidRPr="009A0828" w:rsidRDefault="005B108E" w:rsidP="005B108E">
            <w:pPr>
              <w:pStyle w:val="afffffff2"/>
              <w:spacing w:before="163" w:after="163"/>
              <w:rPr>
                <w:sz w:val="21"/>
                <w:szCs w:val="21"/>
              </w:rPr>
            </w:pPr>
            <w:r w:rsidRPr="009A0828">
              <w:rPr>
                <w:sz w:val="21"/>
                <w:szCs w:val="21"/>
              </w:rPr>
              <w:t>37</w:t>
            </w:r>
          </w:p>
        </w:tc>
        <w:tc>
          <w:tcPr>
            <w:tcW w:w="471" w:type="pct"/>
            <w:shd w:val="clear" w:color="auto" w:fill="auto"/>
            <w:vAlign w:val="center"/>
          </w:tcPr>
          <w:p w:rsidR="005B108E" w:rsidRPr="009A0828" w:rsidRDefault="005B108E" w:rsidP="005B108E">
            <w:pPr>
              <w:pStyle w:val="afffffff2"/>
              <w:spacing w:before="163" w:after="163"/>
              <w:rPr>
                <w:sz w:val="21"/>
                <w:szCs w:val="21"/>
              </w:rPr>
            </w:pPr>
            <w:r>
              <w:rPr>
                <w:sz w:val="21"/>
                <w:szCs w:val="21"/>
              </w:rPr>
              <w:t>54</w:t>
            </w:r>
          </w:p>
        </w:tc>
        <w:tc>
          <w:tcPr>
            <w:tcW w:w="471" w:type="pct"/>
            <w:vAlign w:val="center"/>
          </w:tcPr>
          <w:p w:rsidR="005B108E" w:rsidRPr="009A0828" w:rsidRDefault="005B108E" w:rsidP="005B108E">
            <w:pPr>
              <w:pStyle w:val="afffffff2"/>
              <w:spacing w:before="163" w:after="163"/>
              <w:rPr>
                <w:sz w:val="21"/>
                <w:szCs w:val="21"/>
              </w:rPr>
            </w:pPr>
            <w:r w:rsidRPr="009A0828">
              <w:rPr>
                <w:rFonts w:hint="eastAsia"/>
                <w:sz w:val="21"/>
                <w:szCs w:val="21"/>
              </w:rPr>
              <w:t>5</w:t>
            </w:r>
            <w:r>
              <w:rPr>
                <w:sz w:val="21"/>
                <w:szCs w:val="21"/>
              </w:rPr>
              <w:t>5</w:t>
            </w:r>
          </w:p>
        </w:tc>
        <w:tc>
          <w:tcPr>
            <w:tcW w:w="628" w:type="pct"/>
            <w:vAlign w:val="center"/>
          </w:tcPr>
          <w:p w:rsidR="005B108E" w:rsidRPr="009A0828" w:rsidRDefault="005B108E" w:rsidP="005B108E">
            <w:pPr>
              <w:pStyle w:val="afffffff2"/>
              <w:spacing w:before="163" w:after="163"/>
              <w:rPr>
                <w:sz w:val="21"/>
                <w:szCs w:val="21"/>
              </w:rPr>
            </w:pPr>
            <w:r w:rsidRPr="009A0828">
              <w:rPr>
                <w:rFonts w:hint="eastAsia"/>
                <w:sz w:val="21"/>
                <w:szCs w:val="21"/>
              </w:rPr>
              <w:t>达标</w:t>
            </w:r>
          </w:p>
        </w:tc>
        <w:tc>
          <w:tcPr>
            <w:tcW w:w="471" w:type="pct"/>
            <w:shd w:val="clear" w:color="auto" w:fill="auto"/>
            <w:noWrap/>
          </w:tcPr>
          <w:p w:rsidR="005B108E" w:rsidRPr="009A0828" w:rsidRDefault="005B108E" w:rsidP="005B108E">
            <w:pPr>
              <w:pStyle w:val="afffffff2"/>
              <w:spacing w:before="163" w:after="163"/>
              <w:rPr>
                <w:sz w:val="21"/>
                <w:szCs w:val="21"/>
              </w:rPr>
            </w:pPr>
            <w:r w:rsidRPr="009A0828">
              <w:rPr>
                <w:sz w:val="21"/>
                <w:szCs w:val="21"/>
              </w:rPr>
              <w:t>37</w:t>
            </w:r>
          </w:p>
        </w:tc>
        <w:tc>
          <w:tcPr>
            <w:tcW w:w="628" w:type="pct"/>
            <w:shd w:val="clear" w:color="auto" w:fill="auto"/>
            <w:vAlign w:val="center"/>
          </w:tcPr>
          <w:p w:rsidR="005B108E" w:rsidRPr="009A0828" w:rsidRDefault="005B108E" w:rsidP="005B108E">
            <w:pPr>
              <w:pStyle w:val="afffffff2"/>
              <w:spacing w:before="163" w:after="163"/>
              <w:rPr>
                <w:sz w:val="21"/>
                <w:szCs w:val="21"/>
              </w:rPr>
            </w:pPr>
            <w:r w:rsidRPr="009A0828">
              <w:rPr>
                <w:rFonts w:hint="eastAsia"/>
                <w:sz w:val="21"/>
                <w:szCs w:val="21"/>
              </w:rPr>
              <w:t>5</w:t>
            </w:r>
            <w:r>
              <w:rPr>
                <w:sz w:val="21"/>
                <w:szCs w:val="21"/>
              </w:rPr>
              <w:t>0</w:t>
            </w:r>
          </w:p>
        </w:tc>
        <w:tc>
          <w:tcPr>
            <w:tcW w:w="628" w:type="pct"/>
            <w:vAlign w:val="center"/>
          </w:tcPr>
          <w:p w:rsidR="005B108E" w:rsidRPr="009A0828" w:rsidRDefault="005B108E" w:rsidP="005B108E">
            <w:pPr>
              <w:pStyle w:val="afffffff2"/>
              <w:spacing w:before="163" w:after="163"/>
              <w:rPr>
                <w:sz w:val="21"/>
                <w:szCs w:val="21"/>
              </w:rPr>
            </w:pPr>
            <w:r>
              <w:rPr>
                <w:sz w:val="21"/>
                <w:szCs w:val="21"/>
              </w:rPr>
              <w:t>51</w:t>
            </w:r>
          </w:p>
        </w:tc>
        <w:tc>
          <w:tcPr>
            <w:tcW w:w="603" w:type="pct"/>
            <w:vAlign w:val="center"/>
          </w:tcPr>
          <w:p w:rsidR="005B108E" w:rsidRPr="009A0828" w:rsidRDefault="005B108E" w:rsidP="005B108E">
            <w:pPr>
              <w:pStyle w:val="afffffff2"/>
              <w:spacing w:before="163" w:after="163"/>
              <w:rPr>
                <w:sz w:val="21"/>
                <w:szCs w:val="21"/>
              </w:rPr>
            </w:pPr>
            <w:r w:rsidRPr="009A0828">
              <w:rPr>
                <w:rFonts w:hint="eastAsia"/>
                <w:sz w:val="21"/>
                <w:szCs w:val="21"/>
              </w:rPr>
              <w:t>达标</w:t>
            </w:r>
          </w:p>
        </w:tc>
      </w:tr>
      <w:tr w:rsidR="005B108E" w:rsidRPr="009A0828" w:rsidTr="005B108E">
        <w:trPr>
          <w:trHeight w:val="280"/>
          <w:jc w:val="center"/>
        </w:trPr>
        <w:tc>
          <w:tcPr>
            <w:tcW w:w="628" w:type="pct"/>
            <w:shd w:val="clear" w:color="auto" w:fill="auto"/>
            <w:vAlign w:val="center"/>
          </w:tcPr>
          <w:p w:rsidR="005B108E" w:rsidRPr="00A813A8" w:rsidRDefault="005B108E" w:rsidP="005B108E">
            <w:pPr>
              <w:pStyle w:val="afffffff2"/>
              <w:rPr>
                <w:sz w:val="21"/>
                <w:szCs w:val="21"/>
              </w:rPr>
            </w:pPr>
            <w:r w:rsidRPr="00A813A8">
              <w:rPr>
                <w:sz w:val="21"/>
                <w:szCs w:val="21"/>
              </w:rPr>
              <w:t xml:space="preserve">N3 </w:t>
            </w:r>
          </w:p>
        </w:tc>
        <w:tc>
          <w:tcPr>
            <w:tcW w:w="472" w:type="pct"/>
            <w:shd w:val="clear" w:color="auto" w:fill="auto"/>
          </w:tcPr>
          <w:p w:rsidR="005B108E" w:rsidRPr="009A0828" w:rsidRDefault="005B108E" w:rsidP="005B108E">
            <w:pPr>
              <w:pStyle w:val="afffffff2"/>
              <w:spacing w:before="163" w:after="163"/>
              <w:rPr>
                <w:sz w:val="21"/>
                <w:szCs w:val="21"/>
              </w:rPr>
            </w:pPr>
            <w:r w:rsidRPr="009A0828">
              <w:rPr>
                <w:rFonts w:hint="eastAsia"/>
                <w:sz w:val="21"/>
                <w:szCs w:val="21"/>
              </w:rPr>
              <w:t>2</w:t>
            </w:r>
            <w:r w:rsidRPr="009A0828">
              <w:rPr>
                <w:sz w:val="21"/>
                <w:szCs w:val="21"/>
              </w:rPr>
              <w:t>6</w:t>
            </w:r>
          </w:p>
        </w:tc>
        <w:tc>
          <w:tcPr>
            <w:tcW w:w="471" w:type="pct"/>
            <w:shd w:val="clear" w:color="auto" w:fill="auto"/>
            <w:vAlign w:val="center"/>
          </w:tcPr>
          <w:p w:rsidR="005B108E" w:rsidRPr="009A0828" w:rsidRDefault="005B108E" w:rsidP="005B108E">
            <w:pPr>
              <w:pStyle w:val="afffffff2"/>
              <w:spacing w:before="163" w:after="163"/>
              <w:rPr>
                <w:sz w:val="21"/>
                <w:szCs w:val="21"/>
              </w:rPr>
            </w:pPr>
            <w:r>
              <w:rPr>
                <w:sz w:val="21"/>
                <w:szCs w:val="21"/>
              </w:rPr>
              <w:t>51</w:t>
            </w:r>
          </w:p>
        </w:tc>
        <w:tc>
          <w:tcPr>
            <w:tcW w:w="471" w:type="pct"/>
            <w:vAlign w:val="center"/>
          </w:tcPr>
          <w:p w:rsidR="005B108E" w:rsidRPr="009A0828" w:rsidRDefault="005B108E" w:rsidP="005B108E">
            <w:pPr>
              <w:pStyle w:val="afffffff2"/>
              <w:spacing w:before="163" w:after="163"/>
              <w:rPr>
                <w:sz w:val="21"/>
                <w:szCs w:val="21"/>
              </w:rPr>
            </w:pPr>
            <w:r w:rsidRPr="009A0828">
              <w:rPr>
                <w:rFonts w:hint="eastAsia"/>
                <w:sz w:val="21"/>
                <w:szCs w:val="21"/>
              </w:rPr>
              <w:t>5</w:t>
            </w:r>
            <w:r>
              <w:rPr>
                <w:sz w:val="21"/>
                <w:szCs w:val="21"/>
              </w:rPr>
              <w:t>1</w:t>
            </w:r>
          </w:p>
        </w:tc>
        <w:tc>
          <w:tcPr>
            <w:tcW w:w="628" w:type="pct"/>
            <w:vAlign w:val="center"/>
          </w:tcPr>
          <w:p w:rsidR="005B108E" w:rsidRPr="009A0828" w:rsidRDefault="005B108E" w:rsidP="005B108E">
            <w:pPr>
              <w:pStyle w:val="afffffff2"/>
              <w:spacing w:before="163" w:after="163"/>
              <w:rPr>
                <w:sz w:val="21"/>
                <w:szCs w:val="21"/>
              </w:rPr>
            </w:pPr>
            <w:r w:rsidRPr="009A0828">
              <w:rPr>
                <w:rFonts w:hint="eastAsia"/>
                <w:sz w:val="21"/>
                <w:szCs w:val="21"/>
              </w:rPr>
              <w:t>达标</w:t>
            </w:r>
          </w:p>
        </w:tc>
        <w:tc>
          <w:tcPr>
            <w:tcW w:w="471" w:type="pct"/>
            <w:shd w:val="clear" w:color="auto" w:fill="auto"/>
            <w:noWrap/>
          </w:tcPr>
          <w:p w:rsidR="005B108E" w:rsidRPr="009A0828" w:rsidRDefault="005B108E" w:rsidP="005B108E">
            <w:pPr>
              <w:pStyle w:val="afffffff2"/>
              <w:spacing w:before="163" w:after="163"/>
              <w:rPr>
                <w:sz w:val="21"/>
                <w:szCs w:val="21"/>
              </w:rPr>
            </w:pPr>
            <w:r w:rsidRPr="009A0828">
              <w:rPr>
                <w:rFonts w:hint="eastAsia"/>
                <w:sz w:val="21"/>
                <w:szCs w:val="21"/>
              </w:rPr>
              <w:t>2</w:t>
            </w:r>
            <w:r w:rsidRPr="009A0828">
              <w:rPr>
                <w:sz w:val="21"/>
                <w:szCs w:val="21"/>
              </w:rPr>
              <w:t>6</w:t>
            </w:r>
          </w:p>
        </w:tc>
        <w:tc>
          <w:tcPr>
            <w:tcW w:w="628" w:type="pct"/>
            <w:shd w:val="clear" w:color="auto" w:fill="auto"/>
            <w:vAlign w:val="center"/>
          </w:tcPr>
          <w:p w:rsidR="005B108E" w:rsidRPr="009A0828" w:rsidRDefault="005B108E" w:rsidP="005B108E">
            <w:pPr>
              <w:pStyle w:val="afffffff2"/>
              <w:spacing w:before="163" w:after="163"/>
              <w:rPr>
                <w:sz w:val="21"/>
                <w:szCs w:val="21"/>
              </w:rPr>
            </w:pPr>
            <w:r>
              <w:rPr>
                <w:sz w:val="21"/>
                <w:szCs w:val="21"/>
              </w:rPr>
              <w:t>50</w:t>
            </w:r>
          </w:p>
        </w:tc>
        <w:tc>
          <w:tcPr>
            <w:tcW w:w="628" w:type="pct"/>
            <w:vAlign w:val="center"/>
          </w:tcPr>
          <w:p w:rsidR="005B108E" w:rsidRPr="009A0828" w:rsidRDefault="005B108E" w:rsidP="005B108E">
            <w:pPr>
              <w:pStyle w:val="afffffff2"/>
              <w:spacing w:before="163" w:after="163"/>
              <w:rPr>
                <w:sz w:val="21"/>
                <w:szCs w:val="21"/>
              </w:rPr>
            </w:pPr>
            <w:r>
              <w:rPr>
                <w:sz w:val="21"/>
                <w:szCs w:val="21"/>
              </w:rPr>
              <w:t>50</w:t>
            </w:r>
          </w:p>
        </w:tc>
        <w:tc>
          <w:tcPr>
            <w:tcW w:w="603" w:type="pct"/>
            <w:vAlign w:val="center"/>
          </w:tcPr>
          <w:p w:rsidR="005B108E" w:rsidRPr="009A0828" w:rsidRDefault="005B108E" w:rsidP="005B108E">
            <w:pPr>
              <w:pStyle w:val="afffffff2"/>
              <w:spacing w:before="163" w:after="163"/>
              <w:rPr>
                <w:sz w:val="21"/>
                <w:szCs w:val="21"/>
              </w:rPr>
            </w:pPr>
            <w:r w:rsidRPr="009A0828">
              <w:rPr>
                <w:rFonts w:hint="eastAsia"/>
                <w:sz w:val="21"/>
                <w:szCs w:val="21"/>
              </w:rPr>
              <w:t>达标</w:t>
            </w:r>
          </w:p>
        </w:tc>
      </w:tr>
      <w:tr w:rsidR="005B108E" w:rsidRPr="009A0828" w:rsidTr="005B108E">
        <w:trPr>
          <w:trHeight w:val="280"/>
          <w:jc w:val="center"/>
        </w:trPr>
        <w:tc>
          <w:tcPr>
            <w:tcW w:w="628" w:type="pct"/>
            <w:shd w:val="clear" w:color="auto" w:fill="auto"/>
            <w:vAlign w:val="center"/>
          </w:tcPr>
          <w:p w:rsidR="005B108E" w:rsidRPr="00A813A8" w:rsidRDefault="005B108E" w:rsidP="005B108E">
            <w:pPr>
              <w:pStyle w:val="afffffff2"/>
              <w:rPr>
                <w:sz w:val="21"/>
                <w:szCs w:val="21"/>
              </w:rPr>
            </w:pPr>
            <w:r w:rsidRPr="00A813A8">
              <w:rPr>
                <w:sz w:val="21"/>
                <w:szCs w:val="21"/>
              </w:rPr>
              <w:t xml:space="preserve">N4 </w:t>
            </w:r>
          </w:p>
        </w:tc>
        <w:tc>
          <w:tcPr>
            <w:tcW w:w="472" w:type="pct"/>
            <w:shd w:val="clear" w:color="auto" w:fill="auto"/>
          </w:tcPr>
          <w:p w:rsidR="005B108E" w:rsidRPr="009A0828" w:rsidRDefault="005B108E" w:rsidP="005B108E">
            <w:pPr>
              <w:pStyle w:val="afffffff2"/>
              <w:spacing w:before="163" w:after="163"/>
              <w:rPr>
                <w:sz w:val="21"/>
                <w:szCs w:val="21"/>
              </w:rPr>
            </w:pPr>
            <w:r w:rsidRPr="009A0828">
              <w:rPr>
                <w:sz w:val="21"/>
                <w:szCs w:val="21"/>
              </w:rPr>
              <w:t>25</w:t>
            </w:r>
          </w:p>
        </w:tc>
        <w:tc>
          <w:tcPr>
            <w:tcW w:w="471" w:type="pct"/>
            <w:shd w:val="clear" w:color="auto" w:fill="auto"/>
            <w:vAlign w:val="center"/>
          </w:tcPr>
          <w:p w:rsidR="005B108E" w:rsidRPr="009A0828" w:rsidRDefault="005B108E" w:rsidP="005B108E">
            <w:pPr>
              <w:pStyle w:val="afffffff2"/>
              <w:spacing w:before="163" w:after="163"/>
              <w:rPr>
                <w:sz w:val="21"/>
                <w:szCs w:val="21"/>
              </w:rPr>
            </w:pPr>
            <w:r>
              <w:rPr>
                <w:sz w:val="21"/>
                <w:szCs w:val="21"/>
              </w:rPr>
              <w:t>59</w:t>
            </w:r>
          </w:p>
        </w:tc>
        <w:tc>
          <w:tcPr>
            <w:tcW w:w="471" w:type="pct"/>
            <w:vAlign w:val="center"/>
          </w:tcPr>
          <w:p w:rsidR="005B108E" w:rsidRPr="009A0828" w:rsidRDefault="005B108E" w:rsidP="005B108E">
            <w:pPr>
              <w:pStyle w:val="afffffff2"/>
              <w:spacing w:before="163" w:after="163"/>
              <w:rPr>
                <w:sz w:val="21"/>
                <w:szCs w:val="21"/>
              </w:rPr>
            </w:pPr>
            <w:r w:rsidRPr="009A0828">
              <w:rPr>
                <w:sz w:val="21"/>
                <w:szCs w:val="21"/>
              </w:rPr>
              <w:t>5</w:t>
            </w:r>
            <w:r>
              <w:rPr>
                <w:sz w:val="21"/>
                <w:szCs w:val="21"/>
              </w:rPr>
              <w:t>9</w:t>
            </w:r>
          </w:p>
        </w:tc>
        <w:tc>
          <w:tcPr>
            <w:tcW w:w="628" w:type="pct"/>
            <w:vAlign w:val="center"/>
          </w:tcPr>
          <w:p w:rsidR="005B108E" w:rsidRPr="009A0828" w:rsidRDefault="005B108E" w:rsidP="005B108E">
            <w:pPr>
              <w:pStyle w:val="afffffff2"/>
              <w:spacing w:before="163" w:after="163"/>
              <w:rPr>
                <w:sz w:val="21"/>
                <w:szCs w:val="21"/>
              </w:rPr>
            </w:pPr>
            <w:r w:rsidRPr="009A0828">
              <w:rPr>
                <w:rFonts w:hint="eastAsia"/>
                <w:sz w:val="21"/>
                <w:szCs w:val="21"/>
              </w:rPr>
              <w:t>达标</w:t>
            </w:r>
          </w:p>
        </w:tc>
        <w:tc>
          <w:tcPr>
            <w:tcW w:w="471" w:type="pct"/>
            <w:shd w:val="clear" w:color="auto" w:fill="auto"/>
            <w:noWrap/>
          </w:tcPr>
          <w:p w:rsidR="005B108E" w:rsidRPr="009A0828" w:rsidRDefault="005B108E" w:rsidP="005B108E">
            <w:pPr>
              <w:pStyle w:val="afffffff2"/>
              <w:spacing w:before="163" w:after="163"/>
              <w:rPr>
                <w:sz w:val="21"/>
                <w:szCs w:val="21"/>
              </w:rPr>
            </w:pPr>
            <w:r w:rsidRPr="009A0828">
              <w:rPr>
                <w:sz w:val="21"/>
                <w:szCs w:val="21"/>
              </w:rPr>
              <w:t>25</w:t>
            </w:r>
          </w:p>
        </w:tc>
        <w:tc>
          <w:tcPr>
            <w:tcW w:w="628" w:type="pct"/>
            <w:shd w:val="clear" w:color="auto" w:fill="auto"/>
            <w:vAlign w:val="center"/>
          </w:tcPr>
          <w:p w:rsidR="005B108E" w:rsidRPr="009A0828" w:rsidRDefault="005B108E" w:rsidP="005B108E">
            <w:pPr>
              <w:pStyle w:val="afffffff2"/>
              <w:spacing w:before="163" w:after="163"/>
              <w:rPr>
                <w:sz w:val="21"/>
                <w:szCs w:val="21"/>
              </w:rPr>
            </w:pPr>
            <w:r>
              <w:rPr>
                <w:sz w:val="21"/>
                <w:szCs w:val="21"/>
              </w:rPr>
              <w:t>52</w:t>
            </w:r>
          </w:p>
        </w:tc>
        <w:tc>
          <w:tcPr>
            <w:tcW w:w="628" w:type="pct"/>
            <w:vAlign w:val="center"/>
          </w:tcPr>
          <w:p w:rsidR="005B108E" w:rsidRPr="009A0828" w:rsidRDefault="005B108E" w:rsidP="005B108E">
            <w:pPr>
              <w:pStyle w:val="afffffff2"/>
              <w:spacing w:before="163" w:after="163"/>
              <w:rPr>
                <w:sz w:val="21"/>
                <w:szCs w:val="21"/>
              </w:rPr>
            </w:pPr>
            <w:r>
              <w:rPr>
                <w:sz w:val="21"/>
                <w:szCs w:val="21"/>
              </w:rPr>
              <w:t>52</w:t>
            </w:r>
          </w:p>
        </w:tc>
        <w:tc>
          <w:tcPr>
            <w:tcW w:w="603" w:type="pct"/>
            <w:vAlign w:val="center"/>
          </w:tcPr>
          <w:p w:rsidR="005B108E" w:rsidRPr="009A0828" w:rsidRDefault="005B108E" w:rsidP="005B108E">
            <w:pPr>
              <w:pStyle w:val="afffffff2"/>
              <w:spacing w:before="163" w:after="163"/>
              <w:rPr>
                <w:sz w:val="21"/>
                <w:szCs w:val="21"/>
              </w:rPr>
            </w:pPr>
            <w:r w:rsidRPr="009A0828">
              <w:rPr>
                <w:rFonts w:hint="eastAsia"/>
                <w:sz w:val="21"/>
                <w:szCs w:val="21"/>
              </w:rPr>
              <w:t>达标</w:t>
            </w:r>
          </w:p>
        </w:tc>
      </w:tr>
    </w:tbl>
    <w:p w:rsidR="004E3021" w:rsidRDefault="00606E48">
      <w:pPr>
        <w:ind w:firstLine="480"/>
      </w:pPr>
      <w:r>
        <w:rPr>
          <w:rFonts w:ascii="宋体" w:hAnsi="宋体"/>
        </w:rPr>
        <w:t>由噪声影响预测结果可知，本项目运营期对厂界的噪声贡献值均可满足《工业企业厂界环境噪声排放标准》（</w:t>
      </w:r>
      <w:r>
        <w:t>GB12348-2008</w:t>
      </w:r>
      <w:r>
        <w:rPr>
          <w:rFonts w:ascii="宋体" w:hAnsi="宋体"/>
        </w:rPr>
        <w:t>）中</w:t>
      </w:r>
      <w:r>
        <w:t>3</w:t>
      </w:r>
      <w:r>
        <w:rPr>
          <w:rFonts w:ascii="宋体" w:hAnsi="宋体"/>
        </w:rPr>
        <w:t>类标准限值要求，厂界噪声预测值满足《声环境质量标准》（</w:t>
      </w:r>
      <w:r>
        <w:t>GB3096-2008</w:t>
      </w:r>
      <w:r>
        <w:rPr>
          <w:rFonts w:ascii="宋体" w:hAnsi="宋体"/>
        </w:rPr>
        <w:t>）</w:t>
      </w:r>
      <w:r>
        <w:t>3</w:t>
      </w:r>
      <w:r>
        <w:rPr>
          <w:rFonts w:ascii="宋体" w:hAnsi="宋体"/>
        </w:rPr>
        <w:t>类标准。</w:t>
      </w:r>
    </w:p>
    <w:p w:rsidR="004E3021" w:rsidRDefault="00606E48">
      <w:pPr>
        <w:pStyle w:val="afffffffffffffffff3"/>
      </w:pPr>
      <w:bookmarkStart w:id="411" w:name="_Toc15966"/>
      <w:bookmarkStart w:id="412" w:name="_Toc87977851"/>
      <w:bookmarkStart w:id="413" w:name="_Toc221501023"/>
      <w:bookmarkEnd w:id="411"/>
      <w:r>
        <w:rPr>
          <w:rFonts w:hint="eastAsia"/>
        </w:rPr>
        <w:t>5.4</w:t>
      </w:r>
      <w:r>
        <w:rPr>
          <w:rFonts w:hint="eastAsia"/>
        </w:rPr>
        <w:t>固体废物环境影响分析</w:t>
      </w:r>
      <w:bookmarkEnd w:id="412"/>
      <w:bookmarkEnd w:id="413"/>
    </w:p>
    <w:p w:rsidR="004E3021" w:rsidRDefault="00606E48">
      <w:pPr>
        <w:pStyle w:val="afffffffffffffffff4"/>
      </w:pPr>
      <w:bookmarkStart w:id="414" w:name="_Toc108662654"/>
      <w:bookmarkStart w:id="415" w:name="_Toc100784045"/>
      <w:bookmarkStart w:id="416" w:name="_Toc101135877"/>
      <w:bookmarkStart w:id="417" w:name="_Toc221088809"/>
      <w:bookmarkStart w:id="418" w:name="_Toc221501024"/>
      <w:r>
        <w:rPr>
          <w:rFonts w:hint="eastAsia"/>
        </w:rPr>
        <w:t>5.4.1</w:t>
      </w:r>
      <w:r>
        <w:rPr>
          <w:rFonts w:hint="eastAsia"/>
        </w:rPr>
        <w:t>固体废物产生情况</w:t>
      </w:r>
      <w:bookmarkEnd w:id="414"/>
      <w:bookmarkEnd w:id="415"/>
      <w:bookmarkEnd w:id="416"/>
      <w:bookmarkEnd w:id="417"/>
      <w:bookmarkEnd w:id="418"/>
    </w:p>
    <w:p w:rsidR="004E3021" w:rsidRDefault="00DF32F4">
      <w:pPr>
        <w:ind w:firstLine="480"/>
      </w:pPr>
      <w:r>
        <w:rPr>
          <w:rFonts w:ascii="宋体" w:hAnsi="宋体" w:hint="eastAsia"/>
        </w:rPr>
        <w:t>本</w:t>
      </w:r>
      <w:r w:rsidR="00606E48">
        <w:rPr>
          <w:rFonts w:ascii="宋体" w:hAnsi="宋体"/>
        </w:rPr>
        <w:t>项目产生的固体废物主要为</w:t>
      </w:r>
      <w:r w:rsidR="006771A7">
        <w:rPr>
          <w:rFonts w:ascii="宋体" w:hAnsi="宋体" w:hint="eastAsia"/>
        </w:rPr>
        <w:t>废渣、精馏残渣、含铂废活性炭、含铂尾渣、电石渣、废气处理</w:t>
      </w:r>
      <w:r w:rsidR="00606E48">
        <w:rPr>
          <w:rFonts w:ascii="宋体" w:hAnsi="宋体"/>
        </w:rPr>
        <w:t>废活性炭</w:t>
      </w:r>
      <w:r w:rsidR="006771A7">
        <w:rPr>
          <w:rFonts w:ascii="宋体" w:hAnsi="宋体"/>
        </w:rPr>
        <w:t>、</w:t>
      </w:r>
      <w:r w:rsidR="006771A7">
        <w:rPr>
          <w:rFonts w:ascii="宋体" w:hAnsi="宋体" w:hint="eastAsia"/>
        </w:rPr>
        <w:t>污泥</w:t>
      </w:r>
      <w:r w:rsidR="00606E48">
        <w:rPr>
          <w:rFonts w:ascii="宋体" w:hAnsi="宋体" w:hint="eastAsia"/>
        </w:rPr>
        <w:t>、</w:t>
      </w:r>
      <w:r w:rsidR="00606E48">
        <w:rPr>
          <w:rFonts w:ascii="宋体" w:hAnsi="宋体"/>
        </w:rPr>
        <w:t>生活垃圾</w:t>
      </w:r>
      <w:r w:rsidR="00606E48">
        <w:rPr>
          <w:rFonts w:ascii="宋体" w:hAnsi="宋体" w:hint="eastAsia"/>
        </w:rPr>
        <w:t>、实验室</w:t>
      </w:r>
      <w:r w:rsidR="00606E48">
        <w:rPr>
          <w:rFonts w:ascii="宋体" w:hAnsi="宋体"/>
        </w:rPr>
        <w:t>废物、</w:t>
      </w:r>
      <w:r w:rsidR="006771A7">
        <w:rPr>
          <w:rFonts w:ascii="宋体" w:hAnsi="宋体" w:hint="eastAsia"/>
        </w:rPr>
        <w:t>废</w:t>
      </w:r>
      <w:r w:rsidR="00606E48">
        <w:rPr>
          <w:rFonts w:ascii="宋体" w:hAnsi="宋体" w:hint="eastAsia"/>
        </w:rPr>
        <w:t>布袋</w:t>
      </w:r>
      <w:r w:rsidR="00606E48">
        <w:rPr>
          <w:rFonts w:ascii="宋体" w:hAnsi="宋体"/>
        </w:rPr>
        <w:t>、</w:t>
      </w:r>
      <w:r w:rsidR="00606E48">
        <w:rPr>
          <w:rFonts w:ascii="宋体" w:hAnsi="宋体" w:hint="eastAsia"/>
        </w:rPr>
        <w:t>废</w:t>
      </w:r>
      <w:r w:rsidR="00606E48">
        <w:rPr>
          <w:rFonts w:ascii="宋体" w:hAnsi="宋体"/>
        </w:rPr>
        <w:t>分子筛、废树脂</w:t>
      </w:r>
      <w:r w:rsidR="00606E48">
        <w:rPr>
          <w:rFonts w:ascii="宋体" w:hAnsi="宋体" w:hint="eastAsia"/>
        </w:rPr>
        <w:t>、废矿物油</w:t>
      </w:r>
      <w:r w:rsidR="00606E48">
        <w:rPr>
          <w:rFonts w:ascii="宋体" w:hAnsi="宋体"/>
        </w:rPr>
        <w:t>和</w:t>
      </w:r>
      <w:r w:rsidR="00606E48">
        <w:rPr>
          <w:rFonts w:ascii="宋体" w:hAnsi="宋体" w:hint="eastAsia"/>
        </w:rPr>
        <w:t>硫酸铵</w:t>
      </w:r>
      <w:r w:rsidR="00606E48">
        <w:rPr>
          <w:rFonts w:ascii="宋体" w:hAnsi="宋体"/>
        </w:rPr>
        <w:t>。</w:t>
      </w:r>
    </w:p>
    <w:p w:rsidR="004E3021" w:rsidRDefault="00606E48">
      <w:pPr>
        <w:pStyle w:val="afffffffffffffffff4"/>
      </w:pPr>
      <w:bookmarkStart w:id="419" w:name="_Toc108662655"/>
      <w:bookmarkStart w:id="420" w:name="_Toc101135878"/>
      <w:bookmarkStart w:id="421" w:name="_Toc100784046"/>
      <w:bookmarkStart w:id="422" w:name="_Toc221088810"/>
      <w:bookmarkStart w:id="423" w:name="_Toc221501025"/>
      <w:r>
        <w:rPr>
          <w:rFonts w:hint="eastAsia"/>
        </w:rPr>
        <w:t>5.4.2</w:t>
      </w:r>
      <w:r>
        <w:rPr>
          <w:rFonts w:hint="eastAsia"/>
        </w:rPr>
        <w:t>固体废物处理处置情况</w:t>
      </w:r>
      <w:bookmarkEnd w:id="419"/>
      <w:bookmarkEnd w:id="420"/>
      <w:bookmarkEnd w:id="421"/>
      <w:bookmarkEnd w:id="422"/>
      <w:bookmarkEnd w:id="423"/>
      <w:r>
        <w:rPr>
          <w:rFonts w:hint="eastAsia"/>
        </w:rPr>
        <w:t xml:space="preserve"> </w:t>
      </w:r>
    </w:p>
    <w:p w:rsidR="005B108E" w:rsidRDefault="006771A7">
      <w:pPr>
        <w:ind w:firstLine="480"/>
        <w:rPr>
          <w:rFonts w:ascii="宋体" w:hAnsi="宋体"/>
        </w:rPr>
        <w:sectPr w:rsidR="005B108E">
          <w:pgSz w:w="11907" w:h="16840"/>
          <w:pgMar w:top="1440" w:right="1440" w:bottom="1440" w:left="1440" w:header="851" w:footer="992" w:gutter="0"/>
          <w:cols w:space="720"/>
          <w:docGrid w:type="lines" w:linePitch="326"/>
        </w:sectPr>
      </w:pPr>
      <w:r>
        <w:rPr>
          <w:rFonts w:ascii="宋体" w:hAnsi="宋体" w:hint="eastAsia"/>
        </w:rPr>
        <w:t>本</w:t>
      </w:r>
      <w:r w:rsidR="00606E48">
        <w:rPr>
          <w:rFonts w:ascii="宋体" w:hAnsi="宋体" w:hint="eastAsia"/>
        </w:rPr>
        <w:t>项目</w:t>
      </w:r>
      <w:r w:rsidR="00606E48">
        <w:rPr>
          <w:rFonts w:ascii="宋体" w:hAnsi="宋体"/>
        </w:rPr>
        <w:t>生产过程中</w:t>
      </w:r>
      <w:r w:rsidR="00606E48">
        <w:rPr>
          <w:rFonts w:ascii="宋体" w:hAnsi="宋体" w:hint="eastAsia"/>
        </w:rPr>
        <w:t>产生</w:t>
      </w:r>
      <w:r w:rsidR="00606E48">
        <w:rPr>
          <w:rFonts w:ascii="宋体" w:hAnsi="宋体"/>
        </w:rPr>
        <w:t>的</w:t>
      </w:r>
      <w:r w:rsidR="003D44CB">
        <w:rPr>
          <w:rFonts w:ascii="宋体" w:hAnsi="宋体" w:hint="eastAsia"/>
        </w:rPr>
        <w:t>精馏残渣、含铂废活性炭、含铂尾渣、废气处理</w:t>
      </w:r>
      <w:r w:rsidR="003D44CB">
        <w:rPr>
          <w:rFonts w:ascii="宋体" w:hAnsi="宋体"/>
        </w:rPr>
        <w:t>废活性炭、</w:t>
      </w:r>
      <w:r w:rsidR="003D44CB">
        <w:rPr>
          <w:rFonts w:ascii="宋体" w:hAnsi="宋体" w:hint="eastAsia"/>
        </w:rPr>
        <w:t>污泥、实验室</w:t>
      </w:r>
      <w:r w:rsidR="003D44CB">
        <w:rPr>
          <w:rFonts w:ascii="宋体" w:hAnsi="宋体"/>
        </w:rPr>
        <w:t>废物、</w:t>
      </w:r>
      <w:r w:rsidR="003D44CB">
        <w:rPr>
          <w:rFonts w:ascii="宋体" w:hAnsi="宋体" w:hint="eastAsia"/>
        </w:rPr>
        <w:t>废矿物油</w:t>
      </w:r>
      <w:r w:rsidR="003D44CB">
        <w:rPr>
          <w:rFonts w:ascii="宋体" w:hAnsi="宋体"/>
        </w:rPr>
        <w:t>和</w:t>
      </w:r>
      <w:r w:rsidR="003D44CB">
        <w:rPr>
          <w:rFonts w:ascii="宋体" w:hAnsi="宋体" w:hint="eastAsia"/>
        </w:rPr>
        <w:t>硫酸铵</w:t>
      </w:r>
      <w:r w:rsidR="00606E48">
        <w:rPr>
          <w:rFonts w:ascii="宋体" w:hAnsi="宋体" w:hint="eastAsia"/>
        </w:rPr>
        <w:t>属于危险废物，交由有资质单位进行处置</w:t>
      </w:r>
      <w:r w:rsidR="003D44CB">
        <w:rPr>
          <w:rFonts w:ascii="宋体" w:hAnsi="宋体" w:hint="eastAsia"/>
        </w:rPr>
        <w:t>，生活垃圾</w:t>
      </w:r>
      <w:r w:rsidR="00606E48">
        <w:rPr>
          <w:rFonts w:ascii="宋体" w:hAnsi="宋体" w:hint="eastAsia"/>
        </w:rPr>
        <w:t>由环卫部门清运处理，</w:t>
      </w:r>
      <w:r w:rsidR="00644113">
        <w:rPr>
          <w:rFonts w:ascii="宋体" w:hAnsi="宋体" w:hint="eastAsia"/>
        </w:rPr>
        <w:t>废渣</w:t>
      </w:r>
      <w:r w:rsidR="00606E48">
        <w:rPr>
          <w:rFonts w:ascii="宋体" w:hAnsi="宋体" w:hint="eastAsia"/>
        </w:rPr>
        <w:t>、</w:t>
      </w:r>
      <w:r w:rsidR="00644113">
        <w:rPr>
          <w:rFonts w:ascii="宋体" w:hAnsi="宋体" w:hint="eastAsia"/>
        </w:rPr>
        <w:t>电石渣</w:t>
      </w:r>
      <w:r w:rsidR="00606E48">
        <w:rPr>
          <w:rFonts w:ascii="宋体" w:hAnsi="宋体"/>
        </w:rPr>
        <w:t>外售</w:t>
      </w:r>
      <w:r w:rsidR="00606E48">
        <w:rPr>
          <w:rFonts w:ascii="宋体" w:hAnsi="宋体" w:hint="eastAsia"/>
        </w:rPr>
        <w:t>，废</w:t>
      </w:r>
      <w:r w:rsidR="00606E48">
        <w:rPr>
          <w:rFonts w:ascii="宋体" w:hAnsi="宋体"/>
        </w:rPr>
        <w:t>分子筛</w:t>
      </w:r>
      <w:r w:rsidR="00606E48">
        <w:rPr>
          <w:rFonts w:ascii="宋体" w:hAnsi="宋体" w:hint="eastAsia"/>
        </w:rPr>
        <w:t>、</w:t>
      </w:r>
      <w:r w:rsidR="00606E48">
        <w:rPr>
          <w:rFonts w:ascii="宋体" w:hAnsi="宋体"/>
        </w:rPr>
        <w:t>废树脂</w:t>
      </w:r>
      <w:r w:rsidR="00606E48">
        <w:rPr>
          <w:rFonts w:ascii="宋体" w:hAnsi="宋体" w:hint="eastAsia"/>
        </w:rPr>
        <w:t>和</w:t>
      </w:r>
      <w:r w:rsidR="00606E48">
        <w:rPr>
          <w:rFonts w:ascii="宋体" w:hAnsi="宋体"/>
        </w:rPr>
        <w:t>废</w:t>
      </w:r>
      <w:r w:rsidR="00644113">
        <w:rPr>
          <w:rFonts w:ascii="宋体" w:hAnsi="宋体" w:hint="eastAsia"/>
        </w:rPr>
        <w:t>布袋</w:t>
      </w:r>
      <w:r w:rsidR="00606E48">
        <w:rPr>
          <w:rFonts w:ascii="宋体" w:hAnsi="宋体"/>
        </w:rPr>
        <w:t>交由厂家回收</w:t>
      </w:r>
      <w:r w:rsidR="00606E48">
        <w:rPr>
          <w:rFonts w:ascii="宋体" w:hAnsi="宋体" w:hint="eastAsia"/>
        </w:rPr>
        <w:t>。</w:t>
      </w:r>
    </w:p>
    <w:p w:rsidR="004E3021" w:rsidRDefault="00606E48">
      <w:pPr>
        <w:pStyle w:val="afffff4"/>
        <w:ind w:firstLine="480"/>
        <w:rPr>
          <w:rFonts w:ascii="黑体" w:hAnsi="黑体"/>
        </w:rPr>
      </w:pPr>
      <w:r>
        <w:rPr>
          <w:rFonts w:ascii="黑体" w:hAnsi="黑体"/>
        </w:rPr>
        <w:lastRenderedPageBreak/>
        <w:t>表</w:t>
      </w:r>
      <w:r>
        <w:rPr>
          <w:rFonts w:hint="eastAsia"/>
        </w:rPr>
        <w:t>5</w:t>
      </w:r>
      <w:r>
        <w:t>.</w:t>
      </w:r>
      <w:r>
        <w:rPr>
          <w:rFonts w:hint="eastAsia"/>
        </w:rPr>
        <w:t>4</w:t>
      </w:r>
      <w:r>
        <w:t xml:space="preserve">.2-1  </w:t>
      </w:r>
      <w:r w:rsidR="00644113">
        <w:rPr>
          <w:rFonts w:hint="eastAsia"/>
        </w:rPr>
        <w:t>本</w:t>
      </w:r>
      <w:r>
        <w:rPr>
          <w:rFonts w:ascii="黑体" w:hAnsi="黑体"/>
        </w:rPr>
        <w:t>项目固废产生</w:t>
      </w:r>
      <w:r>
        <w:rPr>
          <w:rFonts w:ascii="黑体" w:hAnsi="黑体" w:hint="eastAsia"/>
        </w:rPr>
        <w:t>处置</w:t>
      </w:r>
      <w:r>
        <w:rPr>
          <w:rFonts w:ascii="黑体" w:hAnsi="黑体"/>
        </w:rPr>
        <w:t>情况汇总表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644113" w:rsidRPr="00973949" w:rsidRDefault="00644113">
      <w:pPr>
        <w:pStyle w:val="afffff4"/>
        <w:ind w:firstLine="480"/>
      </w:pPr>
    </w:p>
    <w:p w:rsidR="004E3021" w:rsidRDefault="00606E48">
      <w:pPr>
        <w:pStyle w:val="afffff4"/>
      </w:pPr>
      <w:bookmarkStart w:id="424" w:name="_Toc101135879"/>
      <w:bookmarkStart w:id="425" w:name="_Toc100784047"/>
      <w:r>
        <w:t>表</w:t>
      </w:r>
      <w:r>
        <w:t xml:space="preserve">5.4.2-2  </w:t>
      </w:r>
      <w:r>
        <w:t>本项目危险废物贮存场所基本情况一览表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973949" w:rsidRPr="00973949" w:rsidRDefault="00973949">
      <w:pPr>
        <w:pStyle w:val="afffff4"/>
      </w:pPr>
    </w:p>
    <w:p w:rsidR="004E3021" w:rsidRDefault="00606E48">
      <w:pPr>
        <w:pStyle w:val="afffffffffffffffff4"/>
        <w:rPr>
          <w:rFonts w:cs="Times New Roman"/>
        </w:rPr>
      </w:pPr>
      <w:bookmarkStart w:id="426" w:name="_Toc108662656"/>
      <w:bookmarkStart w:id="427" w:name="_Toc221088811"/>
      <w:bookmarkStart w:id="428" w:name="_Toc221501026"/>
      <w:r>
        <w:rPr>
          <w:rFonts w:hint="eastAsia"/>
        </w:rPr>
        <w:t>5.4.3</w:t>
      </w:r>
      <w:r>
        <w:rPr>
          <w:rFonts w:hint="eastAsia"/>
        </w:rPr>
        <w:t>固体废物环境影响分析</w:t>
      </w:r>
      <w:bookmarkEnd w:id="424"/>
      <w:bookmarkEnd w:id="425"/>
      <w:bookmarkEnd w:id="426"/>
      <w:bookmarkEnd w:id="427"/>
      <w:bookmarkEnd w:id="428"/>
    </w:p>
    <w:p w:rsidR="004E3021" w:rsidRDefault="00606E48">
      <w:pPr>
        <w:ind w:firstLine="480"/>
      </w:pPr>
      <w:r>
        <w:rPr>
          <w:rFonts w:ascii="宋体" w:hAnsi="宋体" w:hint="eastAsia"/>
        </w:rPr>
        <w:t>固体废物从产生、收集、贮存、转运、处置等各个环节都可能因管理不善而进入环境，因此必须从各个环节进行全方位管理，采取有效的措施防止固废在收集、贮存、运输过程中的散失，并采取有效处置的反感和技术，首先从资源化角度进行综合利用，对于不能利用的部分遵循</w:t>
      </w:r>
      <w:r>
        <w:rPr>
          <w:rFonts w:hint="eastAsia"/>
        </w:rPr>
        <w:t>“无害化”的原则进行有效处置。</w:t>
      </w:r>
    </w:p>
    <w:p w:rsidR="004E3021" w:rsidRDefault="00606E48">
      <w:pPr>
        <w:ind w:firstLine="480"/>
      </w:pPr>
      <w:r>
        <w:rPr>
          <w:rFonts w:ascii="宋体" w:hAnsi="宋体" w:hint="eastAsia"/>
        </w:rPr>
        <w:t>（</w:t>
      </w:r>
      <w:r>
        <w:rPr>
          <w:rFonts w:hint="eastAsia"/>
        </w:rPr>
        <w:t>1</w:t>
      </w:r>
      <w:r>
        <w:rPr>
          <w:rFonts w:ascii="宋体" w:hAnsi="宋体" w:hint="eastAsia"/>
        </w:rPr>
        <w:t>）本项目需严格执行《危险废物贮存</w:t>
      </w:r>
      <w:r w:rsidR="000F1D2C">
        <w:rPr>
          <w:rFonts w:ascii="宋体" w:hAnsi="宋体" w:hint="eastAsia"/>
        </w:rPr>
        <w:t>污染控制</w:t>
      </w:r>
      <w:r>
        <w:rPr>
          <w:rFonts w:ascii="宋体" w:hAnsi="宋体" w:hint="eastAsia"/>
        </w:rPr>
        <w:t>标准》（</w:t>
      </w:r>
      <w:r>
        <w:rPr>
          <w:rFonts w:hint="eastAsia"/>
        </w:rPr>
        <w:t>GB18597-20</w:t>
      </w:r>
      <w:r w:rsidR="000F1D2C">
        <w:t>23</w:t>
      </w:r>
      <w:r>
        <w:rPr>
          <w:rFonts w:ascii="宋体" w:hAnsi="宋体" w:hint="eastAsia"/>
        </w:rPr>
        <w:t>）和《一般工业固体废物贮存和填埋污染控制标准》（</w:t>
      </w:r>
      <w:r>
        <w:rPr>
          <w:rFonts w:hint="eastAsia"/>
        </w:rPr>
        <w:t>GB18599-2020</w:t>
      </w:r>
      <w:r>
        <w:rPr>
          <w:rFonts w:ascii="宋体" w:hAnsi="宋体" w:hint="eastAsia"/>
        </w:rPr>
        <w:t>）要求，危险废物和一般废物收集后由厂区内叉车分别运送至危险废物暂存库、</w:t>
      </w:r>
      <w:r>
        <w:rPr>
          <w:rFonts w:ascii="宋体" w:hAnsi="宋体"/>
        </w:rPr>
        <w:t>污泥暂存库和固废</w:t>
      </w:r>
      <w:r>
        <w:rPr>
          <w:rFonts w:ascii="宋体" w:hAnsi="宋体" w:hint="eastAsia"/>
        </w:rPr>
        <w:t>库，分类、分区暂存，杜绝混合存放。</w:t>
      </w:r>
    </w:p>
    <w:p w:rsidR="004E3021" w:rsidRDefault="00606E48">
      <w:pPr>
        <w:ind w:firstLine="480"/>
      </w:pPr>
      <w:r>
        <w:rPr>
          <w:rFonts w:ascii="宋体" w:hAnsi="宋体" w:hint="eastAsia"/>
        </w:rPr>
        <w:t>（</w:t>
      </w:r>
      <w:r>
        <w:rPr>
          <w:rFonts w:hint="eastAsia"/>
        </w:rPr>
        <w:t>2</w:t>
      </w:r>
      <w:r>
        <w:rPr>
          <w:rFonts w:ascii="宋体" w:hAnsi="宋体" w:hint="eastAsia"/>
        </w:rPr>
        <w:t>）厂区收集的危险废物暂存至危险废物仓库，同时做好危险废物管理台账。危险废物暂存库由专人管理。</w:t>
      </w:r>
    </w:p>
    <w:p w:rsidR="004E3021" w:rsidRDefault="00606E48">
      <w:pPr>
        <w:ind w:firstLine="480"/>
      </w:pPr>
      <w:r>
        <w:rPr>
          <w:rFonts w:ascii="宋体" w:hAnsi="宋体" w:hint="eastAsia"/>
        </w:rPr>
        <w:t>综上所述，本项目产生的固体废物通过以上方法处理处置后，不会对周围环境产生名明显不利影响。固体废物处理处置前在厂区内堆放、贮存的场所应按照国际固体废物贮存有关要求设置，在场内存放时要有防水、防渗、防流失的措施，避免对周围环境产生影响</w:t>
      </w:r>
      <w:r>
        <w:rPr>
          <w:rFonts w:ascii="宋体" w:hAnsi="宋体"/>
        </w:rPr>
        <w:t>。</w:t>
      </w:r>
    </w:p>
    <w:p w:rsidR="004E3021" w:rsidRDefault="00606E48">
      <w:pPr>
        <w:pStyle w:val="afffffffffffffffff4"/>
      </w:pPr>
      <w:bookmarkStart w:id="429" w:name="_Toc108662657"/>
      <w:bookmarkStart w:id="430" w:name="_Toc100784048"/>
      <w:bookmarkStart w:id="431" w:name="_Toc101135880"/>
      <w:bookmarkStart w:id="432" w:name="_Toc221088812"/>
      <w:bookmarkStart w:id="433" w:name="_Toc221501027"/>
      <w:r>
        <w:rPr>
          <w:rFonts w:hint="eastAsia"/>
        </w:rPr>
        <w:t>5.4.4</w:t>
      </w:r>
      <w:r>
        <w:rPr>
          <w:rFonts w:hint="eastAsia"/>
        </w:rPr>
        <w:t>固废运输环境影响分析</w:t>
      </w:r>
      <w:bookmarkEnd w:id="429"/>
      <w:bookmarkEnd w:id="430"/>
      <w:bookmarkEnd w:id="431"/>
      <w:bookmarkEnd w:id="432"/>
      <w:bookmarkEnd w:id="433"/>
    </w:p>
    <w:p w:rsidR="004E3021" w:rsidRDefault="00606E48">
      <w:pPr>
        <w:ind w:firstLine="480"/>
      </w:pPr>
      <w:r>
        <w:rPr>
          <w:rFonts w:ascii="宋体" w:hAnsi="宋体"/>
        </w:rPr>
        <w:t>项目危险废物定期用专用运输车辆分类外运至有相关处理资质的处置单位进行处理。危险废物处置公司将委派专人负责，各种废弃物的储存容器都有很好的密封性，安全可靠，不会受到风雨侵蚀，可有效地防止临时存放过程中的二次污染。</w:t>
      </w:r>
    </w:p>
    <w:p w:rsidR="004E3021" w:rsidRDefault="00606E48">
      <w:pPr>
        <w:ind w:firstLine="480"/>
      </w:pPr>
      <w:r>
        <w:rPr>
          <w:rFonts w:ascii="宋体" w:hAnsi="宋体"/>
        </w:rPr>
        <w:t>根据中华人民共和国国务院令第</w:t>
      </w:r>
      <w:r>
        <w:t>344</w:t>
      </w:r>
      <w:r>
        <w:rPr>
          <w:rFonts w:ascii="宋体" w:hAnsi="宋体"/>
        </w:rPr>
        <w:t>号《危险化学品安全管理条例》的有关规定，在危险废弃物外运至处置单位时必须严格遵守以下要求：</w:t>
      </w:r>
    </w:p>
    <w:p w:rsidR="004E3021" w:rsidRDefault="00606E48">
      <w:pPr>
        <w:ind w:firstLine="480"/>
      </w:pPr>
      <w:r>
        <w:rPr>
          <w:rFonts w:ascii="宋体" w:hAnsi="宋体" w:hint="eastAsia"/>
        </w:rPr>
        <w:lastRenderedPageBreak/>
        <w:t>（</w:t>
      </w:r>
      <w:r>
        <w:rPr>
          <w:rFonts w:hint="eastAsia"/>
        </w:rPr>
        <w:t>1</w:t>
      </w:r>
      <w:r>
        <w:rPr>
          <w:rFonts w:ascii="宋体" w:hAnsi="宋体" w:hint="eastAsia"/>
        </w:rPr>
        <w:t>）</w:t>
      </w:r>
      <w:r>
        <w:rPr>
          <w:rFonts w:ascii="宋体" w:hAnsi="宋体"/>
        </w:rPr>
        <w:t>做好每次外运处置废弃物的运输登记，按照危险废物转移规定开展网上申报。</w:t>
      </w:r>
    </w:p>
    <w:p w:rsidR="004E3021" w:rsidRDefault="00606E48">
      <w:pPr>
        <w:ind w:firstLine="480"/>
      </w:pPr>
      <w:r>
        <w:rPr>
          <w:rFonts w:ascii="宋体" w:hAnsi="宋体" w:hint="eastAsia"/>
        </w:rPr>
        <w:t>（</w:t>
      </w:r>
      <w:r>
        <w:rPr>
          <w:rFonts w:hint="eastAsia"/>
        </w:rPr>
        <w:t>2</w:t>
      </w:r>
      <w:r>
        <w:rPr>
          <w:rFonts w:ascii="宋体" w:hAnsi="宋体" w:hint="eastAsia"/>
        </w:rPr>
        <w:t>）</w:t>
      </w:r>
      <w:r>
        <w:rPr>
          <w:rFonts w:ascii="宋体" w:hAnsi="宋体"/>
        </w:rPr>
        <w:t>废弃物处置单位的运输人员必须掌握危险化学品运输的安全知识，了解所运载的危险化学品的性质、危害特性、包装容器的使用特性和发生意外时的应急措施。运输车辆必须具有车辆危险货物运输许可证。驾驶人员必须由取得驾驶执照的熟练人员担任。</w:t>
      </w:r>
    </w:p>
    <w:p w:rsidR="004E3021" w:rsidRDefault="00606E48">
      <w:pPr>
        <w:ind w:firstLine="480"/>
      </w:pPr>
      <w:r>
        <w:rPr>
          <w:rFonts w:ascii="宋体" w:hAnsi="宋体" w:hint="eastAsia"/>
        </w:rPr>
        <w:t>（</w:t>
      </w:r>
      <w:r>
        <w:rPr>
          <w:rFonts w:hint="eastAsia"/>
        </w:rPr>
        <w:t>3</w:t>
      </w:r>
      <w:r>
        <w:rPr>
          <w:rFonts w:ascii="宋体" w:hAnsi="宋体" w:hint="eastAsia"/>
        </w:rPr>
        <w:t>）</w:t>
      </w:r>
      <w:r>
        <w:rPr>
          <w:rFonts w:ascii="宋体" w:hAnsi="宋体"/>
        </w:rPr>
        <w:t>处置单位在运输危险废弃物时必须配备押运人员，并随时处于押运人员的监管之下，不得超装、超载，严格按照所在城市规定的行车时间和行车路线行驶，不得进入危险化学品运输车辆禁止通行的区域。</w:t>
      </w:r>
    </w:p>
    <w:p w:rsidR="004E3021" w:rsidRDefault="00606E48">
      <w:pPr>
        <w:ind w:firstLine="480"/>
      </w:pPr>
      <w:r>
        <w:rPr>
          <w:rFonts w:ascii="宋体" w:hAnsi="宋体" w:hint="eastAsia"/>
        </w:rPr>
        <w:t>（</w:t>
      </w:r>
      <w:r>
        <w:rPr>
          <w:rFonts w:hint="eastAsia"/>
        </w:rPr>
        <w:t>4</w:t>
      </w:r>
      <w:r>
        <w:rPr>
          <w:rFonts w:ascii="宋体" w:hAnsi="宋体" w:hint="eastAsia"/>
        </w:rPr>
        <w:t>）</w:t>
      </w:r>
      <w:r>
        <w:rPr>
          <w:rFonts w:ascii="宋体" w:hAnsi="宋体"/>
        </w:rPr>
        <w:t>危险废弃物在运输途中若发生被盗、丢失、流散、泄漏等情况时，公司及押运人员必须立即向当地公安部门报告，并采取一切可能的警示措施。</w:t>
      </w:r>
    </w:p>
    <w:p w:rsidR="004E3021" w:rsidRDefault="00606E48">
      <w:pPr>
        <w:ind w:firstLine="480"/>
      </w:pPr>
      <w:r>
        <w:rPr>
          <w:rFonts w:ascii="宋体" w:hAnsi="宋体" w:hint="eastAsia"/>
        </w:rPr>
        <w:t>（</w:t>
      </w:r>
      <w:r>
        <w:rPr>
          <w:rFonts w:hint="eastAsia"/>
        </w:rPr>
        <w:t>5</w:t>
      </w:r>
      <w:r>
        <w:rPr>
          <w:rFonts w:ascii="宋体" w:hAnsi="宋体" w:hint="eastAsia"/>
        </w:rPr>
        <w:t>）</w:t>
      </w:r>
      <w:r>
        <w:rPr>
          <w:rFonts w:ascii="宋体" w:hAnsi="宋体"/>
        </w:rPr>
        <w:t>一旦发生废弃物泄漏事故，公司和废弃物处置单位都应积极协助有关部门采取必要的安全措施，减少事故损失，防止事故蔓延、扩大；针对事故对人体、动植物、土壤、水源、空气造成的现实危害和可能产生的危害，应迅速采取封闭、隔离、洗消等措施，并对事故造成的危害进行监测、处置，直至符合国家环境保护标准。</w:t>
      </w:r>
    </w:p>
    <w:p w:rsidR="004E3021" w:rsidRDefault="00606E48">
      <w:pPr>
        <w:pStyle w:val="afffffffffffffffff4"/>
      </w:pPr>
      <w:bookmarkStart w:id="434" w:name="_Toc108662658"/>
      <w:bookmarkStart w:id="435" w:name="_Toc100784049"/>
      <w:bookmarkStart w:id="436" w:name="_Toc101135881"/>
      <w:bookmarkStart w:id="437" w:name="_Toc221088813"/>
      <w:bookmarkStart w:id="438" w:name="_Toc221501028"/>
      <w:r>
        <w:rPr>
          <w:rFonts w:hint="eastAsia"/>
        </w:rPr>
        <w:t>5.4.5</w:t>
      </w:r>
      <w:r>
        <w:rPr>
          <w:rFonts w:hint="eastAsia"/>
        </w:rPr>
        <w:t>固体管理对策和建议</w:t>
      </w:r>
      <w:bookmarkEnd w:id="434"/>
      <w:bookmarkEnd w:id="435"/>
      <w:bookmarkEnd w:id="436"/>
      <w:bookmarkEnd w:id="437"/>
      <w:bookmarkEnd w:id="438"/>
    </w:p>
    <w:p w:rsidR="004E3021" w:rsidRDefault="00606E48">
      <w:pPr>
        <w:ind w:firstLine="480"/>
      </w:pPr>
      <w:r>
        <w:rPr>
          <w:rFonts w:ascii="宋体" w:hAnsi="宋体"/>
        </w:rPr>
        <w:t>根据《中华人民共和国固体废物污染环境防治法》，固体废物的管理，实行减量化、资源化、无害化管理，全过程管理和分类管理的原则。即对固体废物污染环境的防治，实行减少固体废物的产生量和危害性，充分合理利用和无害化处置固体废物，促进清洁生产和循环经济的发展。全过程的管理是指对固体废物从产生、收集、贮存、运输、利用直到最终处置的全过程实行一体化的管理。</w:t>
      </w:r>
    </w:p>
    <w:p w:rsidR="004E3021" w:rsidRDefault="00606E48">
      <w:pPr>
        <w:ind w:firstLine="480"/>
      </w:pPr>
      <w:r>
        <w:rPr>
          <w:rFonts w:ascii="宋体" w:hAnsi="宋体" w:hint="eastAsia"/>
        </w:rPr>
        <w:t>企业</w:t>
      </w:r>
      <w:r>
        <w:rPr>
          <w:rFonts w:ascii="宋体" w:hAnsi="宋体"/>
        </w:rPr>
        <w:t>在采取处理废弃物的同时，加强对废弃物的统计和管理，特别是对危险废物的管理。为防止废弃物逸散、流失，采取有害废物分类集中存放、专人负责管理等措施，废物的存放和转运处置贮存场所必须按照国家固体废物贮存有关要求设置，外运处置固体废物必须落实具体去向，向环保主管部门申请并办好转移手续，手续完全，统计准确无误。这些废物管理和统计措施可以保证产生的废物分类得到妥善处置，不会产生二次污染，对环境及人体不会造成危害。</w:t>
      </w:r>
    </w:p>
    <w:p w:rsidR="004E3021" w:rsidRDefault="004E3021">
      <w:pPr>
        <w:widowControl/>
        <w:ind w:firstLineChars="0" w:firstLine="0"/>
        <w:jc w:val="left"/>
        <w:rPr>
          <w:rFonts w:eastAsia="黑体"/>
          <w:sz w:val="32"/>
          <w:szCs w:val="32"/>
        </w:rPr>
        <w:sectPr w:rsidR="004E3021">
          <w:pgSz w:w="11907" w:h="16840"/>
          <w:pgMar w:top="1440" w:right="1440" w:bottom="1440" w:left="1440" w:header="851" w:footer="992" w:gutter="0"/>
          <w:cols w:space="720"/>
          <w:docGrid w:type="lines" w:linePitch="326"/>
        </w:sectPr>
      </w:pPr>
    </w:p>
    <w:p w:rsidR="004E3021" w:rsidRDefault="00606E48">
      <w:pPr>
        <w:pStyle w:val="afffffffffffffffff3"/>
      </w:pPr>
      <w:bookmarkStart w:id="439" w:name="_Toc52175550"/>
      <w:bookmarkStart w:id="440" w:name="_Toc52309724"/>
      <w:bookmarkStart w:id="441" w:name="_Toc87977852"/>
      <w:bookmarkStart w:id="442" w:name="_Toc221501029"/>
      <w:bookmarkEnd w:id="439"/>
      <w:bookmarkEnd w:id="440"/>
      <w:r>
        <w:rPr>
          <w:rFonts w:hint="eastAsia"/>
        </w:rPr>
        <w:lastRenderedPageBreak/>
        <w:t>5.5</w:t>
      </w:r>
      <w:r>
        <w:rPr>
          <w:rFonts w:hint="eastAsia"/>
        </w:rPr>
        <w:t>地下水</w:t>
      </w:r>
      <w:bookmarkEnd w:id="441"/>
      <w:r>
        <w:t>环境影响评价</w:t>
      </w:r>
      <w:bookmarkEnd w:id="442"/>
    </w:p>
    <w:p w:rsidR="004E3021" w:rsidRDefault="00606E48">
      <w:pPr>
        <w:pStyle w:val="afffffffffffffffff4"/>
      </w:pPr>
      <w:bookmarkStart w:id="443" w:name="_Toc52175551"/>
      <w:bookmarkStart w:id="444" w:name="_Toc108662660"/>
      <w:bookmarkStart w:id="445" w:name="_Toc100784051"/>
      <w:bookmarkStart w:id="446" w:name="_Toc101135883"/>
      <w:bookmarkStart w:id="447" w:name="_Toc221088815"/>
      <w:bookmarkStart w:id="448" w:name="_Toc221501030"/>
      <w:bookmarkEnd w:id="443"/>
      <w:r>
        <w:rPr>
          <w:rFonts w:hint="eastAsia"/>
        </w:rPr>
        <w:t>5.5.1</w:t>
      </w:r>
      <w:r>
        <w:rPr>
          <w:rFonts w:hint="eastAsia"/>
        </w:rPr>
        <w:t>区域</w:t>
      </w:r>
      <w:r>
        <w:t>水文地质条件</w:t>
      </w:r>
      <w:bookmarkEnd w:id="444"/>
      <w:bookmarkEnd w:id="445"/>
      <w:bookmarkEnd w:id="446"/>
      <w:bookmarkEnd w:id="447"/>
      <w:bookmarkEnd w:id="448"/>
    </w:p>
    <w:p w:rsidR="004E3021" w:rsidRDefault="00606E48">
      <w:pPr>
        <w:pStyle w:val="4a"/>
      </w:pPr>
      <w:r>
        <w:rPr>
          <w:rFonts w:hint="eastAsia"/>
        </w:rPr>
        <w:t>5</w:t>
      </w:r>
      <w:r>
        <w:t>.5.1.1</w:t>
      </w:r>
      <w:r>
        <w:rPr>
          <w:rFonts w:ascii="黑体" w:hAnsi="黑体"/>
        </w:rPr>
        <w:t>地形地貌特征</w:t>
      </w:r>
    </w:p>
    <w:p w:rsidR="004E3021" w:rsidRDefault="00606E48">
      <w:pPr>
        <w:ind w:firstLine="480"/>
        <w:rPr>
          <w:b/>
        </w:rPr>
      </w:pPr>
      <w:r>
        <w:rPr>
          <w:rFonts w:ascii="宋体" w:hAnsi="宋体"/>
        </w:rPr>
        <w:t>蚌埠市地形以平原为主，山丘相对集中，河沟纵横，湖泊散落。淮河以北为平原地区，约占全市面积的</w:t>
      </w:r>
      <w:r>
        <w:t>86%</w:t>
      </w:r>
      <w:r>
        <w:rPr>
          <w:rFonts w:ascii="宋体" w:hAnsi="宋体"/>
        </w:rPr>
        <w:t>。地势呈西北高东南低，西部最高地面高程在涡芡之间西部为</w:t>
      </w:r>
      <w:r>
        <w:t>24</w:t>
      </w:r>
      <w:r>
        <w:rPr>
          <w:rFonts w:ascii="宋体" w:hAnsi="宋体"/>
        </w:rPr>
        <w:t>米，最低地面高程在老潼河附近为</w:t>
      </w:r>
      <w:r>
        <w:t>14</w:t>
      </w:r>
      <w:r>
        <w:rPr>
          <w:rFonts w:ascii="宋体" w:hAnsi="宋体"/>
        </w:rPr>
        <w:t>米，东西高差</w:t>
      </w:r>
      <w:r>
        <w:t>10</w:t>
      </w:r>
      <w:r>
        <w:rPr>
          <w:rFonts w:ascii="宋体" w:hAnsi="宋体"/>
        </w:rPr>
        <w:t>米；北部沱浍之间任桥附近最高地面高程为</w:t>
      </w:r>
      <w:r>
        <w:t>22.0</w:t>
      </w:r>
      <w:r>
        <w:rPr>
          <w:rFonts w:ascii="宋体" w:hAnsi="宋体"/>
        </w:rPr>
        <w:t>米，南部北淝河下游地面高程最低为</w:t>
      </w:r>
      <w:r>
        <w:t>14</w:t>
      </w:r>
      <w:r>
        <w:rPr>
          <w:rFonts w:ascii="宋体" w:hAnsi="宋体"/>
        </w:rPr>
        <w:t>米，南北高差</w:t>
      </w:r>
      <w:r>
        <w:t>8</w:t>
      </w:r>
      <w:r>
        <w:rPr>
          <w:rFonts w:ascii="宋体" w:hAnsi="宋体"/>
        </w:rPr>
        <w:t>米。淮河以南地形为有湖洼间隔的不连续山丘高地，约占全市面积的</w:t>
      </w:r>
      <w:r>
        <w:t>14%</w:t>
      </w:r>
      <w:r>
        <w:rPr>
          <w:rFonts w:ascii="宋体" w:hAnsi="宋体"/>
        </w:rPr>
        <w:t>。蚌埠地处江淮腹地丘陵地区，由西向东的江淮分水岭贯穿该市，形成低缓的鱼背形地势。项目范围内的地形基本为岗冲起伏的丘陵荒地，高程在</w:t>
      </w:r>
      <w:r>
        <w:t>23.06</w:t>
      </w:r>
      <w:r>
        <w:rPr>
          <w:rFonts w:ascii="宋体" w:hAnsi="宋体"/>
        </w:rPr>
        <w:t>米～</w:t>
      </w:r>
      <w:r>
        <w:t>49.54</w:t>
      </w:r>
      <w:r>
        <w:rPr>
          <w:rFonts w:ascii="宋体" w:hAnsi="宋体"/>
        </w:rPr>
        <w:t>米之间，整个地形呈东高西低。</w:t>
      </w:r>
    </w:p>
    <w:p w:rsidR="004E3021" w:rsidRDefault="00606E48">
      <w:pPr>
        <w:pStyle w:val="4a"/>
      </w:pPr>
      <w:r>
        <w:rPr>
          <w:rFonts w:hint="eastAsia"/>
        </w:rPr>
        <w:t>5</w:t>
      </w:r>
      <w:r>
        <w:t>.5.1.2</w:t>
      </w:r>
      <w:r>
        <w:rPr>
          <w:rFonts w:ascii="黑体" w:hAnsi="黑体"/>
        </w:rPr>
        <w:t>地质概况</w:t>
      </w:r>
    </w:p>
    <w:p w:rsidR="004E3021" w:rsidRDefault="00606E48">
      <w:pPr>
        <w:ind w:firstLine="480"/>
        <w:rPr>
          <w:b/>
        </w:rPr>
      </w:pPr>
      <w:r>
        <w:rPr>
          <w:rFonts w:ascii="宋体" w:hAnsi="宋体"/>
        </w:rPr>
        <w:t>区域地层属于华北地层大区晋冀鲁豫地层区徐淮地层分区淮南地层小区。</w:t>
      </w:r>
      <w:r>
        <w:rPr>
          <w:rFonts w:ascii="宋体" w:hAnsi="宋体" w:hint="eastAsia"/>
        </w:rPr>
        <w:t>主要为上古太界五河群（</w:t>
      </w:r>
      <w:r>
        <w:t>Ar2wh</w:t>
      </w:r>
      <w:r>
        <w:rPr>
          <w:rFonts w:ascii="宋体" w:hAnsi="宋体" w:hint="eastAsia"/>
        </w:rPr>
        <w:t>）、古近系双浮组（</w:t>
      </w:r>
      <w:r>
        <w:t>E1sh</w:t>
      </w:r>
      <w:r>
        <w:rPr>
          <w:rFonts w:ascii="宋体" w:hAnsi="宋体" w:hint="eastAsia"/>
        </w:rPr>
        <w:t>），大部分被第四系覆盖，仅在淮河南侧临淮关东部一带出露</w:t>
      </w:r>
      <w:r>
        <w:rPr>
          <w:rFonts w:ascii="宋体" w:hAnsi="宋体"/>
        </w:rPr>
        <w:t>。区域地层简表见</w:t>
      </w:r>
      <w:r>
        <w:rPr>
          <w:rFonts w:ascii="宋体" w:hAnsi="宋体" w:hint="eastAsia"/>
        </w:rPr>
        <w:t>下表</w:t>
      </w:r>
      <w:r>
        <w:rPr>
          <w:rFonts w:ascii="宋体" w:hAnsi="宋体"/>
        </w:rPr>
        <w:t>。</w:t>
      </w:r>
    </w:p>
    <w:p w:rsidR="004E3021" w:rsidRDefault="00606E48">
      <w:pPr>
        <w:spacing w:line="500" w:lineRule="exact"/>
        <w:ind w:firstLineChars="0" w:firstLine="0"/>
        <w:jc w:val="center"/>
        <w:rPr>
          <w:rFonts w:eastAsia="黑体"/>
          <w:b/>
        </w:rPr>
      </w:pPr>
      <w:r>
        <w:rPr>
          <w:rFonts w:ascii="黑体" w:eastAsia="黑体" w:hAnsi="黑体"/>
        </w:rPr>
        <w:t>表</w:t>
      </w:r>
      <w:r>
        <w:rPr>
          <w:rFonts w:eastAsia="黑体" w:hint="eastAsia"/>
        </w:rPr>
        <w:t>5.</w:t>
      </w:r>
      <w:r>
        <w:rPr>
          <w:rFonts w:eastAsia="黑体"/>
        </w:rPr>
        <w:t>5</w:t>
      </w:r>
      <w:r>
        <w:rPr>
          <w:rFonts w:eastAsia="黑体" w:hint="eastAsia"/>
        </w:rPr>
        <w:t>.1</w:t>
      </w:r>
      <w:r>
        <w:rPr>
          <w:rFonts w:eastAsia="黑体"/>
        </w:rPr>
        <w:t xml:space="preserve">-1  </w:t>
      </w:r>
      <w:r>
        <w:rPr>
          <w:rFonts w:ascii="黑体" w:eastAsia="黑体" w:hAnsi="黑体"/>
        </w:rPr>
        <w:t>区域地层概况</w:t>
      </w:r>
    </w:p>
    <w:tbl>
      <w:tblPr>
        <w:tblW w:w="5000" w:type="pct"/>
        <w:jc w:val="center"/>
        <w:tblLook w:val="04A0" w:firstRow="1" w:lastRow="0" w:firstColumn="1" w:lastColumn="0" w:noHBand="0" w:noVBand="1"/>
      </w:tblPr>
      <w:tblGrid>
        <w:gridCol w:w="427"/>
        <w:gridCol w:w="427"/>
        <w:gridCol w:w="981"/>
        <w:gridCol w:w="645"/>
        <w:gridCol w:w="784"/>
        <w:gridCol w:w="908"/>
        <w:gridCol w:w="4855"/>
      </w:tblGrid>
      <w:tr w:rsidR="004E3021" w:rsidRPr="00BC57D1">
        <w:trPr>
          <w:trHeight w:val="640"/>
          <w:jc w:val="center"/>
        </w:trPr>
        <w:tc>
          <w:tcPr>
            <w:tcW w:w="236" w:type="pct"/>
            <w:tcBorders>
              <w:top w:val="single" w:sz="12" w:space="0" w:color="auto"/>
              <w:left w:val="nil"/>
              <w:bottom w:val="single" w:sz="4" w:space="0" w:color="auto"/>
              <w:right w:val="single" w:sz="4" w:space="0" w:color="auto"/>
            </w:tcBorders>
            <w:vAlign w:val="center"/>
          </w:tcPr>
          <w:p w:rsidR="004E3021" w:rsidRPr="00BC57D1" w:rsidRDefault="00606E48">
            <w:pPr>
              <w:pStyle w:val="afffffff2"/>
              <w:rPr>
                <w:b/>
                <w:kern w:val="0"/>
                <w:sz w:val="21"/>
                <w:szCs w:val="21"/>
              </w:rPr>
            </w:pPr>
            <w:r w:rsidRPr="00BC57D1">
              <w:rPr>
                <w:b/>
                <w:kern w:val="0"/>
                <w:sz w:val="21"/>
                <w:szCs w:val="21"/>
              </w:rPr>
              <w:t>界</w:t>
            </w:r>
          </w:p>
        </w:tc>
        <w:tc>
          <w:tcPr>
            <w:tcW w:w="236" w:type="pct"/>
            <w:tcBorders>
              <w:top w:val="single" w:sz="12" w:space="0" w:color="auto"/>
              <w:left w:val="single" w:sz="4" w:space="0" w:color="auto"/>
              <w:bottom w:val="single" w:sz="4" w:space="0" w:color="auto"/>
              <w:right w:val="single" w:sz="4" w:space="0" w:color="auto"/>
            </w:tcBorders>
            <w:vAlign w:val="center"/>
          </w:tcPr>
          <w:p w:rsidR="004E3021" w:rsidRPr="00BC57D1" w:rsidRDefault="00606E48">
            <w:pPr>
              <w:pStyle w:val="afffffff2"/>
              <w:rPr>
                <w:b/>
                <w:kern w:val="0"/>
                <w:sz w:val="21"/>
                <w:szCs w:val="21"/>
              </w:rPr>
            </w:pPr>
            <w:r w:rsidRPr="00BC57D1">
              <w:rPr>
                <w:b/>
                <w:kern w:val="0"/>
                <w:sz w:val="21"/>
                <w:szCs w:val="21"/>
              </w:rPr>
              <w:t>系</w:t>
            </w:r>
          </w:p>
        </w:tc>
        <w:tc>
          <w:tcPr>
            <w:tcW w:w="544" w:type="pct"/>
            <w:tcBorders>
              <w:top w:val="single" w:sz="12" w:space="0" w:color="auto"/>
              <w:left w:val="single" w:sz="4" w:space="0" w:color="auto"/>
              <w:bottom w:val="single" w:sz="4" w:space="0" w:color="auto"/>
              <w:right w:val="single" w:sz="4" w:space="0" w:color="auto"/>
            </w:tcBorders>
            <w:vAlign w:val="center"/>
          </w:tcPr>
          <w:p w:rsidR="004E3021" w:rsidRPr="00BC57D1" w:rsidRDefault="00606E48">
            <w:pPr>
              <w:pStyle w:val="afffffff2"/>
              <w:rPr>
                <w:b/>
                <w:kern w:val="0"/>
                <w:sz w:val="21"/>
                <w:szCs w:val="21"/>
              </w:rPr>
            </w:pPr>
            <w:r w:rsidRPr="00BC57D1">
              <w:rPr>
                <w:b/>
                <w:kern w:val="0"/>
                <w:sz w:val="21"/>
                <w:szCs w:val="21"/>
              </w:rPr>
              <w:t>统</w:t>
            </w:r>
          </w:p>
        </w:tc>
        <w:tc>
          <w:tcPr>
            <w:tcW w:w="358" w:type="pct"/>
            <w:tcBorders>
              <w:top w:val="single" w:sz="12" w:space="0" w:color="auto"/>
              <w:left w:val="single" w:sz="4" w:space="0" w:color="auto"/>
              <w:bottom w:val="single" w:sz="4" w:space="0" w:color="auto"/>
              <w:right w:val="single" w:sz="4" w:space="0" w:color="auto"/>
            </w:tcBorders>
            <w:vAlign w:val="center"/>
          </w:tcPr>
          <w:p w:rsidR="004E3021" w:rsidRPr="00BC57D1" w:rsidRDefault="00606E48">
            <w:pPr>
              <w:pStyle w:val="afffffff2"/>
              <w:rPr>
                <w:b/>
                <w:kern w:val="0"/>
                <w:sz w:val="21"/>
                <w:szCs w:val="21"/>
              </w:rPr>
            </w:pPr>
            <w:r w:rsidRPr="00BC57D1">
              <w:rPr>
                <w:b/>
                <w:kern w:val="0"/>
                <w:sz w:val="21"/>
                <w:szCs w:val="21"/>
              </w:rPr>
              <w:t>地层名称</w:t>
            </w:r>
          </w:p>
        </w:tc>
        <w:tc>
          <w:tcPr>
            <w:tcW w:w="434" w:type="pct"/>
            <w:tcBorders>
              <w:top w:val="single" w:sz="12" w:space="0" w:color="auto"/>
              <w:left w:val="single" w:sz="4" w:space="0" w:color="auto"/>
              <w:bottom w:val="single" w:sz="4" w:space="0" w:color="auto"/>
              <w:right w:val="single" w:sz="4" w:space="0" w:color="auto"/>
            </w:tcBorders>
            <w:vAlign w:val="center"/>
          </w:tcPr>
          <w:p w:rsidR="004E3021" w:rsidRPr="00BC57D1" w:rsidRDefault="00606E48">
            <w:pPr>
              <w:pStyle w:val="afffffff2"/>
              <w:rPr>
                <w:b/>
                <w:kern w:val="0"/>
                <w:sz w:val="21"/>
                <w:szCs w:val="21"/>
              </w:rPr>
            </w:pPr>
            <w:r w:rsidRPr="00BC57D1">
              <w:rPr>
                <w:b/>
                <w:kern w:val="0"/>
                <w:sz w:val="21"/>
                <w:szCs w:val="21"/>
              </w:rPr>
              <w:t>代号</w:t>
            </w:r>
          </w:p>
        </w:tc>
        <w:tc>
          <w:tcPr>
            <w:tcW w:w="503" w:type="pct"/>
            <w:tcBorders>
              <w:top w:val="single" w:sz="12" w:space="0" w:color="auto"/>
              <w:left w:val="single" w:sz="4" w:space="0" w:color="auto"/>
              <w:bottom w:val="single" w:sz="4" w:space="0" w:color="auto"/>
              <w:right w:val="single" w:sz="4" w:space="0" w:color="auto"/>
            </w:tcBorders>
            <w:vAlign w:val="center"/>
          </w:tcPr>
          <w:p w:rsidR="004E3021" w:rsidRPr="00BC57D1" w:rsidRDefault="00606E48">
            <w:pPr>
              <w:pStyle w:val="afffffff2"/>
              <w:rPr>
                <w:b/>
                <w:kern w:val="0"/>
                <w:sz w:val="21"/>
                <w:szCs w:val="21"/>
              </w:rPr>
            </w:pPr>
            <w:r w:rsidRPr="00BC57D1">
              <w:rPr>
                <w:b/>
                <w:kern w:val="0"/>
                <w:sz w:val="21"/>
                <w:szCs w:val="21"/>
              </w:rPr>
              <w:t>厚度</w:t>
            </w:r>
          </w:p>
          <w:p w:rsidR="004E3021" w:rsidRPr="00BC57D1" w:rsidRDefault="00606E48">
            <w:pPr>
              <w:pStyle w:val="afffffff2"/>
              <w:rPr>
                <w:b/>
                <w:kern w:val="0"/>
                <w:sz w:val="21"/>
                <w:szCs w:val="21"/>
              </w:rPr>
            </w:pPr>
            <w:r w:rsidRPr="00BC57D1">
              <w:rPr>
                <w:b/>
                <w:kern w:val="0"/>
                <w:sz w:val="21"/>
                <w:szCs w:val="21"/>
              </w:rPr>
              <w:t>（</w:t>
            </w:r>
            <w:r w:rsidRPr="00BC57D1">
              <w:rPr>
                <w:b/>
                <w:kern w:val="0"/>
                <w:sz w:val="21"/>
                <w:szCs w:val="21"/>
              </w:rPr>
              <w:t>m</w:t>
            </w:r>
            <w:r w:rsidRPr="00BC57D1">
              <w:rPr>
                <w:b/>
                <w:kern w:val="0"/>
                <w:sz w:val="21"/>
                <w:szCs w:val="21"/>
              </w:rPr>
              <w:t>）</w:t>
            </w:r>
          </w:p>
        </w:tc>
        <w:tc>
          <w:tcPr>
            <w:tcW w:w="2689" w:type="pct"/>
            <w:tcBorders>
              <w:top w:val="single" w:sz="12" w:space="0" w:color="auto"/>
              <w:left w:val="single" w:sz="4" w:space="0" w:color="auto"/>
              <w:bottom w:val="single" w:sz="4" w:space="0" w:color="auto"/>
              <w:right w:val="nil"/>
            </w:tcBorders>
            <w:vAlign w:val="center"/>
          </w:tcPr>
          <w:p w:rsidR="004E3021" w:rsidRPr="00BC57D1" w:rsidRDefault="00606E48">
            <w:pPr>
              <w:pStyle w:val="afffffff2"/>
              <w:rPr>
                <w:b/>
                <w:kern w:val="0"/>
                <w:sz w:val="21"/>
                <w:szCs w:val="21"/>
              </w:rPr>
            </w:pPr>
            <w:r w:rsidRPr="00BC57D1">
              <w:rPr>
                <w:b/>
                <w:kern w:val="0"/>
                <w:sz w:val="21"/>
                <w:szCs w:val="21"/>
              </w:rPr>
              <w:t>岩性特征</w:t>
            </w:r>
          </w:p>
        </w:tc>
      </w:tr>
      <w:tr w:rsidR="004E3021" w:rsidRPr="00BC57D1">
        <w:trPr>
          <w:trHeight w:val="1527"/>
          <w:jc w:val="center"/>
        </w:trPr>
        <w:tc>
          <w:tcPr>
            <w:tcW w:w="236" w:type="pct"/>
            <w:vMerge w:val="restart"/>
            <w:tcBorders>
              <w:top w:val="single" w:sz="4" w:space="0" w:color="auto"/>
              <w:left w:val="nil"/>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kern w:val="0"/>
                <w:sz w:val="21"/>
                <w:szCs w:val="21"/>
              </w:rPr>
              <w:t>新</w:t>
            </w:r>
          </w:p>
          <w:p w:rsidR="004E3021" w:rsidRPr="00BC57D1" w:rsidRDefault="00606E48">
            <w:pPr>
              <w:pStyle w:val="afffffff2"/>
              <w:rPr>
                <w:kern w:val="0"/>
                <w:sz w:val="21"/>
                <w:szCs w:val="21"/>
              </w:rPr>
            </w:pPr>
            <w:r w:rsidRPr="00BC57D1">
              <w:rPr>
                <w:kern w:val="0"/>
                <w:sz w:val="21"/>
                <w:szCs w:val="21"/>
              </w:rPr>
              <w:t>生</w:t>
            </w:r>
          </w:p>
          <w:p w:rsidR="004E3021" w:rsidRPr="00BC57D1" w:rsidRDefault="00606E48">
            <w:pPr>
              <w:pStyle w:val="afffffff2"/>
              <w:rPr>
                <w:kern w:val="0"/>
                <w:sz w:val="21"/>
                <w:szCs w:val="21"/>
              </w:rPr>
            </w:pPr>
            <w:r w:rsidRPr="00BC57D1">
              <w:rPr>
                <w:kern w:val="0"/>
                <w:sz w:val="21"/>
                <w:szCs w:val="21"/>
              </w:rPr>
              <w:t>界</w:t>
            </w:r>
          </w:p>
        </w:tc>
        <w:tc>
          <w:tcPr>
            <w:tcW w:w="236" w:type="pct"/>
            <w:vMerge w:val="restar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kern w:val="0"/>
                <w:sz w:val="21"/>
                <w:szCs w:val="21"/>
              </w:rPr>
              <w:t>第</w:t>
            </w:r>
          </w:p>
          <w:p w:rsidR="004E3021" w:rsidRPr="00BC57D1" w:rsidRDefault="00606E48">
            <w:pPr>
              <w:pStyle w:val="afffffff2"/>
              <w:rPr>
                <w:kern w:val="0"/>
                <w:sz w:val="21"/>
                <w:szCs w:val="21"/>
              </w:rPr>
            </w:pPr>
            <w:r w:rsidRPr="00BC57D1">
              <w:rPr>
                <w:kern w:val="0"/>
                <w:sz w:val="21"/>
                <w:szCs w:val="21"/>
              </w:rPr>
              <w:t>四</w:t>
            </w:r>
          </w:p>
          <w:p w:rsidR="004E3021" w:rsidRPr="00BC57D1" w:rsidRDefault="00606E48">
            <w:pPr>
              <w:pStyle w:val="afffffff2"/>
              <w:rPr>
                <w:kern w:val="0"/>
                <w:sz w:val="21"/>
                <w:szCs w:val="21"/>
              </w:rPr>
            </w:pPr>
            <w:r w:rsidRPr="00BC57D1">
              <w:rPr>
                <w:kern w:val="0"/>
                <w:sz w:val="21"/>
                <w:szCs w:val="21"/>
              </w:rPr>
              <w:t>系</w:t>
            </w:r>
          </w:p>
        </w:tc>
        <w:tc>
          <w:tcPr>
            <w:tcW w:w="544"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kern w:val="0"/>
                <w:sz w:val="21"/>
                <w:szCs w:val="21"/>
              </w:rPr>
              <w:t>全新统</w:t>
            </w:r>
          </w:p>
        </w:tc>
        <w:tc>
          <w:tcPr>
            <w:tcW w:w="358"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kern w:val="0"/>
                <w:sz w:val="21"/>
                <w:szCs w:val="21"/>
              </w:rPr>
              <w:t>大</w:t>
            </w:r>
          </w:p>
          <w:p w:rsidR="004E3021" w:rsidRPr="00BC57D1" w:rsidRDefault="00606E48">
            <w:pPr>
              <w:pStyle w:val="afffffff2"/>
              <w:rPr>
                <w:kern w:val="0"/>
                <w:sz w:val="21"/>
                <w:szCs w:val="21"/>
              </w:rPr>
            </w:pPr>
            <w:r w:rsidRPr="00BC57D1">
              <w:rPr>
                <w:kern w:val="0"/>
                <w:sz w:val="21"/>
                <w:szCs w:val="21"/>
              </w:rPr>
              <w:t>墩</w:t>
            </w:r>
          </w:p>
          <w:p w:rsidR="004E3021" w:rsidRPr="00BC57D1" w:rsidRDefault="00606E48">
            <w:pPr>
              <w:pStyle w:val="afffffff2"/>
              <w:rPr>
                <w:kern w:val="0"/>
                <w:sz w:val="21"/>
                <w:szCs w:val="21"/>
              </w:rPr>
            </w:pPr>
            <w:r w:rsidRPr="00BC57D1">
              <w:rPr>
                <w:kern w:val="0"/>
                <w:sz w:val="21"/>
                <w:szCs w:val="21"/>
              </w:rPr>
              <w:t>组</w:t>
            </w:r>
          </w:p>
        </w:tc>
        <w:tc>
          <w:tcPr>
            <w:tcW w:w="434"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kern w:val="0"/>
                <w:sz w:val="21"/>
                <w:szCs w:val="21"/>
              </w:rPr>
              <w:t>Q</w:t>
            </w:r>
            <w:r w:rsidRPr="00BC57D1">
              <w:rPr>
                <w:kern w:val="0"/>
                <w:sz w:val="21"/>
                <w:szCs w:val="21"/>
                <w:vertAlign w:val="subscript"/>
              </w:rPr>
              <w:t>4</w:t>
            </w:r>
            <w:r w:rsidRPr="00BC57D1">
              <w:rPr>
                <w:kern w:val="0"/>
                <w:sz w:val="21"/>
                <w:szCs w:val="21"/>
              </w:rPr>
              <w:t>d</w:t>
            </w:r>
          </w:p>
        </w:tc>
        <w:tc>
          <w:tcPr>
            <w:tcW w:w="503"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0</w:t>
            </w:r>
            <w:r w:rsidRPr="00BC57D1">
              <w:rPr>
                <w:kern w:val="0"/>
                <w:sz w:val="21"/>
                <w:szCs w:val="21"/>
              </w:rPr>
              <w:t>～</w:t>
            </w:r>
            <w:r w:rsidRPr="00BC57D1">
              <w:rPr>
                <w:rFonts w:hint="eastAsia"/>
                <w:kern w:val="0"/>
                <w:sz w:val="21"/>
                <w:szCs w:val="21"/>
              </w:rPr>
              <w:t>8</w:t>
            </w:r>
          </w:p>
        </w:tc>
        <w:tc>
          <w:tcPr>
            <w:tcW w:w="2689" w:type="pct"/>
            <w:tcBorders>
              <w:top w:val="single" w:sz="4" w:space="0" w:color="auto"/>
              <w:left w:val="single" w:sz="4" w:space="0" w:color="auto"/>
              <w:bottom w:val="single" w:sz="4" w:space="0" w:color="auto"/>
              <w:right w:val="nil"/>
            </w:tcBorders>
            <w:vAlign w:val="center"/>
          </w:tcPr>
          <w:p w:rsidR="004E3021" w:rsidRPr="00BC57D1" w:rsidRDefault="00606E48">
            <w:pPr>
              <w:pStyle w:val="afffffff2"/>
              <w:rPr>
                <w:kern w:val="0"/>
                <w:sz w:val="21"/>
                <w:szCs w:val="21"/>
              </w:rPr>
            </w:pPr>
            <w:r w:rsidRPr="00BC57D1">
              <w:rPr>
                <w:rFonts w:hint="eastAsia"/>
                <w:kern w:val="0"/>
                <w:sz w:val="21"/>
                <w:szCs w:val="21"/>
              </w:rPr>
              <w:t>出露地表，分布于淮河及其支流的两岸漫滩上，为河流最新泛滥堆积物，宽</w:t>
            </w:r>
            <w:r w:rsidRPr="00BC57D1">
              <w:rPr>
                <w:kern w:val="0"/>
                <w:sz w:val="21"/>
                <w:szCs w:val="21"/>
              </w:rPr>
              <w:t>2</w:t>
            </w:r>
            <w:r w:rsidRPr="00BC57D1">
              <w:rPr>
                <w:rFonts w:hint="eastAsia"/>
                <w:kern w:val="0"/>
                <w:sz w:val="21"/>
                <w:szCs w:val="21"/>
              </w:rPr>
              <w:t>～</w:t>
            </w:r>
            <w:r w:rsidRPr="00BC57D1">
              <w:rPr>
                <w:kern w:val="0"/>
                <w:sz w:val="21"/>
                <w:szCs w:val="21"/>
              </w:rPr>
              <w:t>10km</w:t>
            </w:r>
            <w:r w:rsidRPr="00BC57D1">
              <w:rPr>
                <w:rFonts w:hint="eastAsia"/>
                <w:kern w:val="0"/>
                <w:sz w:val="21"/>
                <w:szCs w:val="21"/>
              </w:rPr>
              <w:t>，厚度</w:t>
            </w:r>
            <w:r w:rsidRPr="00BC57D1">
              <w:rPr>
                <w:kern w:val="0"/>
                <w:sz w:val="21"/>
                <w:szCs w:val="21"/>
              </w:rPr>
              <w:t>0</w:t>
            </w:r>
            <w:r w:rsidRPr="00BC57D1">
              <w:rPr>
                <w:rFonts w:hint="eastAsia"/>
                <w:kern w:val="0"/>
                <w:sz w:val="21"/>
                <w:szCs w:val="21"/>
              </w:rPr>
              <w:t>～</w:t>
            </w:r>
            <w:r w:rsidRPr="00BC57D1">
              <w:rPr>
                <w:kern w:val="0"/>
                <w:sz w:val="21"/>
                <w:szCs w:val="21"/>
              </w:rPr>
              <w:t>20m</w:t>
            </w:r>
            <w:r w:rsidRPr="00BC57D1">
              <w:rPr>
                <w:rFonts w:hint="eastAsia"/>
                <w:kern w:val="0"/>
                <w:sz w:val="21"/>
                <w:szCs w:val="21"/>
              </w:rPr>
              <w:t>，岩性为棕黄色、灰黄色、灰色、棕褐色粘土，棕黄色粉质粘土，灰棕色、灰黄色、灰黑色粉质粘土、细砂、粉土。局部地区，顶部有</w:t>
            </w:r>
            <w:r w:rsidRPr="00BC57D1">
              <w:rPr>
                <w:kern w:val="0"/>
                <w:sz w:val="21"/>
                <w:szCs w:val="21"/>
              </w:rPr>
              <w:t>1</w:t>
            </w:r>
            <w:r w:rsidRPr="00BC57D1">
              <w:rPr>
                <w:rFonts w:hint="eastAsia"/>
                <w:kern w:val="0"/>
                <w:sz w:val="21"/>
                <w:szCs w:val="21"/>
              </w:rPr>
              <w:t>～</w:t>
            </w:r>
            <w:r w:rsidRPr="00BC57D1">
              <w:rPr>
                <w:kern w:val="0"/>
                <w:sz w:val="21"/>
                <w:szCs w:val="21"/>
              </w:rPr>
              <w:t>5m</w:t>
            </w:r>
            <w:r w:rsidRPr="00BC57D1">
              <w:rPr>
                <w:rFonts w:hint="eastAsia"/>
                <w:kern w:val="0"/>
                <w:sz w:val="21"/>
                <w:szCs w:val="21"/>
              </w:rPr>
              <w:t>淤泥质粉质粘土。</w:t>
            </w:r>
          </w:p>
        </w:tc>
      </w:tr>
      <w:tr w:rsidR="004E3021" w:rsidRPr="00BC57D1">
        <w:trPr>
          <w:trHeight w:val="1236"/>
          <w:jc w:val="center"/>
        </w:trPr>
        <w:tc>
          <w:tcPr>
            <w:tcW w:w="0" w:type="auto"/>
            <w:vMerge/>
            <w:tcBorders>
              <w:top w:val="single" w:sz="4" w:space="0" w:color="auto"/>
              <w:left w:val="nil"/>
              <w:bottom w:val="single" w:sz="4" w:space="0" w:color="auto"/>
              <w:right w:val="single" w:sz="4" w:space="0" w:color="auto"/>
            </w:tcBorders>
            <w:vAlign w:val="center"/>
          </w:tcPr>
          <w:p w:rsidR="004E3021" w:rsidRPr="00BC57D1" w:rsidRDefault="004E3021">
            <w:pPr>
              <w:pStyle w:val="afffffff2"/>
              <w:rPr>
                <w:kern w:val="0"/>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BC57D1" w:rsidRDefault="004E3021">
            <w:pPr>
              <w:pStyle w:val="afffffff2"/>
              <w:rPr>
                <w:kern w:val="0"/>
                <w:sz w:val="21"/>
                <w:szCs w:val="21"/>
              </w:rPr>
            </w:pPr>
          </w:p>
        </w:tc>
        <w:tc>
          <w:tcPr>
            <w:tcW w:w="544" w:type="pct"/>
            <w:vMerge w:val="restar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kern w:val="0"/>
                <w:sz w:val="21"/>
                <w:szCs w:val="21"/>
              </w:rPr>
              <w:t>上更</w:t>
            </w:r>
          </w:p>
          <w:p w:rsidR="004E3021" w:rsidRPr="00BC57D1" w:rsidRDefault="00606E48">
            <w:pPr>
              <w:pStyle w:val="afffffff2"/>
              <w:rPr>
                <w:kern w:val="0"/>
                <w:sz w:val="21"/>
                <w:szCs w:val="21"/>
              </w:rPr>
            </w:pPr>
            <w:r w:rsidRPr="00BC57D1">
              <w:rPr>
                <w:kern w:val="0"/>
                <w:sz w:val="21"/>
                <w:szCs w:val="21"/>
              </w:rPr>
              <w:t>新统</w:t>
            </w:r>
          </w:p>
        </w:tc>
        <w:tc>
          <w:tcPr>
            <w:tcW w:w="358" w:type="pct"/>
            <w:vMerge w:val="restar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kern w:val="0"/>
                <w:sz w:val="21"/>
                <w:szCs w:val="21"/>
              </w:rPr>
              <w:t>茆</w:t>
            </w:r>
          </w:p>
          <w:p w:rsidR="004E3021" w:rsidRPr="00BC57D1" w:rsidRDefault="00606E48">
            <w:pPr>
              <w:pStyle w:val="afffffff2"/>
              <w:rPr>
                <w:kern w:val="0"/>
                <w:sz w:val="21"/>
                <w:szCs w:val="21"/>
              </w:rPr>
            </w:pPr>
            <w:r w:rsidRPr="00BC57D1">
              <w:rPr>
                <w:kern w:val="0"/>
                <w:sz w:val="21"/>
                <w:szCs w:val="21"/>
              </w:rPr>
              <w:t>塘</w:t>
            </w:r>
          </w:p>
          <w:p w:rsidR="004E3021" w:rsidRPr="00BC57D1" w:rsidRDefault="00606E48">
            <w:pPr>
              <w:pStyle w:val="afffffff2"/>
              <w:rPr>
                <w:kern w:val="0"/>
                <w:sz w:val="21"/>
                <w:szCs w:val="21"/>
              </w:rPr>
            </w:pPr>
            <w:r w:rsidRPr="00BC57D1">
              <w:rPr>
                <w:kern w:val="0"/>
                <w:sz w:val="21"/>
                <w:szCs w:val="21"/>
              </w:rPr>
              <w:t>组</w:t>
            </w:r>
          </w:p>
        </w:tc>
        <w:tc>
          <w:tcPr>
            <w:tcW w:w="434" w:type="pct"/>
            <w:vMerge w:val="restar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kern w:val="0"/>
                <w:sz w:val="21"/>
                <w:szCs w:val="21"/>
              </w:rPr>
              <w:t>Q</w:t>
            </w:r>
            <w:r w:rsidRPr="00BC57D1">
              <w:rPr>
                <w:kern w:val="0"/>
                <w:sz w:val="21"/>
                <w:szCs w:val="21"/>
                <w:vertAlign w:val="subscript"/>
              </w:rPr>
              <w:t>3</w:t>
            </w:r>
            <w:r w:rsidRPr="00BC57D1">
              <w:rPr>
                <w:kern w:val="0"/>
                <w:sz w:val="21"/>
                <w:szCs w:val="21"/>
              </w:rPr>
              <w:t>m</w:t>
            </w:r>
          </w:p>
        </w:tc>
        <w:tc>
          <w:tcPr>
            <w:tcW w:w="503"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20</w:t>
            </w:r>
            <w:r w:rsidRPr="00BC57D1">
              <w:rPr>
                <w:kern w:val="0"/>
                <w:sz w:val="21"/>
                <w:szCs w:val="21"/>
              </w:rPr>
              <w:t>～</w:t>
            </w:r>
            <w:r w:rsidRPr="00BC57D1">
              <w:rPr>
                <w:rFonts w:hint="eastAsia"/>
                <w:kern w:val="0"/>
                <w:sz w:val="21"/>
                <w:szCs w:val="21"/>
              </w:rPr>
              <w:t>35</w:t>
            </w:r>
          </w:p>
        </w:tc>
        <w:tc>
          <w:tcPr>
            <w:tcW w:w="2689" w:type="pct"/>
            <w:tcBorders>
              <w:top w:val="single" w:sz="4" w:space="0" w:color="auto"/>
              <w:left w:val="single" w:sz="4" w:space="0" w:color="auto"/>
              <w:bottom w:val="single" w:sz="4" w:space="0" w:color="auto"/>
              <w:right w:val="nil"/>
            </w:tcBorders>
            <w:vAlign w:val="center"/>
          </w:tcPr>
          <w:p w:rsidR="004E3021" w:rsidRPr="00BC57D1" w:rsidRDefault="00606E48">
            <w:pPr>
              <w:pStyle w:val="afffffff2"/>
              <w:rPr>
                <w:kern w:val="0"/>
                <w:sz w:val="21"/>
                <w:szCs w:val="21"/>
              </w:rPr>
            </w:pPr>
            <w:r w:rsidRPr="00BC57D1">
              <w:rPr>
                <w:kern w:val="0"/>
                <w:sz w:val="21"/>
                <w:szCs w:val="21"/>
              </w:rPr>
              <w:t>广泛出露，局部隐伏于大墩组以下。岩性以粘土、粉质粘土、粘土质粉砂为主，底部夹粉砂。含有铁锰质结核和钙质结核，柱状节理较发育。</w:t>
            </w:r>
          </w:p>
        </w:tc>
      </w:tr>
      <w:tr w:rsidR="004E3021" w:rsidRPr="00BC57D1">
        <w:trPr>
          <w:trHeight w:val="852"/>
          <w:jc w:val="center"/>
        </w:trPr>
        <w:tc>
          <w:tcPr>
            <w:tcW w:w="0" w:type="auto"/>
            <w:vMerge/>
            <w:tcBorders>
              <w:top w:val="single" w:sz="4" w:space="0" w:color="auto"/>
              <w:left w:val="nil"/>
              <w:bottom w:val="single" w:sz="4" w:space="0" w:color="auto"/>
              <w:right w:val="single" w:sz="4" w:space="0" w:color="auto"/>
            </w:tcBorders>
            <w:vAlign w:val="center"/>
          </w:tcPr>
          <w:p w:rsidR="004E3021" w:rsidRPr="00BC57D1" w:rsidRDefault="004E3021">
            <w:pPr>
              <w:pStyle w:val="afffffff2"/>
              <w:rPr>
                <w:kern w:val="0"/>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BC57D1" w:rsidRDefault="004E3021">
            <w:pPr>
              <w:pStyle w:val="afffffff2"/>
              <w:rPr>
                <w:kern w:val="0"/>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BC57D1" w:rsidRDefault="004E3021">
            <w:pPr>
              <w:pStyle w:val="afffffff2"/>
              <w:rPr>
                <w:kern w:val="0"/>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BC57D1" w:rsidRDefault="004E3021">
            <w:pPr>
              <w:pStyle w:val="afffffff2"/>
              <w:rPr>
                <w:kern w:val="0"/>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BC57D1" w:rsidRDefault="004E3021">
            <w:pPr>
              <w:pStyle w:val="afffffff2"/>
              <w:rPr>
                <w:kern w:val="0"/>
                <w:sz w:val="21"/>
                <w:szCs w:val="21"/>
              </w:rPr>
            </w:pPr>
          </w:p>
        </w:tc>
        <w:tc>
          <w:tcPr>
            <w:tcW w:w="503"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8</w:t>
            </w:r>
            <w:r w:rsidRPr="00BC57D1">
              <w:rPr>
                <w:kern w:val="0"/>
                <w:sz w:val="21"/>
                <w:szCs w:val="21"/>
              </w:rPr>
              <w:t>～</w:t>
            </w:r>
            <w:r w:rsidRPr="00BC57D1">
              <w:rPr>
                <w:rFonts w:hint="eastAsia"/>
                <w:kern w:val="0"/>
                <w:sz w:val="21"/>
                <w:szCs w:val="21"/>
              </w:rPr>
              <w:t>25</w:t>
            </w:r>
          </w:p>
        </w:tc>
        <w:tc>
          <w:tcPr>
            <w:tcW w:w="2689" w:type="pct"/>
            <w:tcBorders>
              <w:top w:val="single" w:sz="4" w:space="0" w:color="auto"/>
              <w:left w:val="single" w:sz="4" w:space="0" w:color="auto"/>
              <w:bottom w:val="single" w:sz="4" w:space="0" w:color="auto"/>
              <w:right w:val="nil"/>
            </w:tcBorders>
            <w:vAlign w:val="center"/>
          </w:tcPr>
          <w:p w:rsidR="004E3021" w:rsidRPr="00BC57D1" w:rsidRDefault="00606E48">
            <w:pPr>
              <w:pStyle w:val="afffffff2"/>
              <w:rPr>
                <w:kern w:val="0"/>
                <w:sz w:val="21"/>
                <w:szCs w:val="21"/>
              </w:rPr>
            </w:pPr>
            <w:r w:rsidRPr="00BC57D1">
              <w:rPr>
                <w:rFonts w:hint="eastAsia"/>
                <w:kern w:val="0"/>
                <w:sz w:val="21"/>
                <w:szCs w:val="21"/>
              </w:rPr>
              <w:t>在残丘的坡麓地带为棕黄及黄色粉质粘土；在山前平原地带，下部为含砾粉质粘土，上部为灰黄色粉质粘土。普遍含有铁锰质结核。</w:t>
            </w:r>
          </w:p>
        </w:tc>
      </w:tr>
      <w:tr w:rsidR="004E3021" w:rsidRPr="00BC57D1">
        <w:trPr>
          <w:trHeight w:val="1549"/>
          <w:jc w:val="center"/>
        </w:trPr>
        <w:tc>
          <w:tcPr>
            <w:tcW w:w="0" w:type="auto"/>
            <w:vMerge/>
            <w:tcBorders>
              <w:top w:val="single" w:sz="4" w:space="0" w:color="auto"/>
              <w:left w:val="nil"/>
              <w:bottom w:val="single" w:sz="4" w:space="0" w:color="auto"/>
              <w:right w:val="single" w:sz="4" w:space="0" w:color="auto"/>
            </w:tcBorders>
            <w:vAlign w:val="center"/>
          </w:tcPr>
          <w:p w:rsidR="004E3021" w:rsidRPr="00BC57D1" w:rsidRDefault="004E3021">
            <w:pPr>
              <w:pStyle w:val="afffffff2"/>
              <w:rPr>
                <w:kern w:val="0"/>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BC57D1" w:rsidRDefault="004E3021">
            <w:pPr>
              <w:pStyle w:val="afffffff2"/>
              <w:rPr>
                <w:kern w:val="0"/>
                <w:sz w:val="21"/>
                <w:szCs w:val="21"/>
              </w:rPr>
            </w:pPr>
          </w:p>
        </w:tc>
        <w:tc>
          <w:tcPr>
            <w:tcW w:w="544"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kern w:val="0"/>
                <w:sz w:val="21"/>
                <w:szCs w:val="21"/>
              </w:rPr>
              <w:t>中</w:t>
            </w:r>
          </w:p>
          <w:p w:rsidR="004E3021" w:rsidRPr="00BC57D1" w:rsidRDefault="00606E48">
            <w:pPr>
              <w:pStyle w:val="afffffff2"/>
              <w:rPr>
                <w:kern w:val="0"/>
                <w:sz w:val="21"/>
                <w:szCs w:val="21"/>
              </w:rPr>
            </w:pPr>
            <w:r w:rsidRPr="00BC57D1">
              <w:rPr>
                <w:kern w:val="0"/>
                <w:sz w:val="21"/>
                <w:szCs w:val="21"/>
              </w:rPr>
              <w:t>更</w:t>
            </w:r>
          </w:p>
          <w:p w:rsidR="004E3021" w:rsidRPr="00BC57D1" w:rsidRDefault="00606E48">
            <w:pPr>
              <w:pStyle w:val="afffffff2"/>
              <w:rPr>
                <w:kern w:val="0"/>
                <w:sz w:val="21"/>
                <w:szCs w:val="21"/>
              </w:rPr>
            </w:pPr>
            <w:r w:rsidRPr="00BC57D1">
              <w:rPr>
                <w:kern w:val="0"/>
                <w:sz w:val="21"/>
                <w:szCs w:val="21"/>
              </w:rPr>
              <w:t>新</w:t>
            </w:r>
          </w:p>
          <w:p w:rsidR="004E3021" w:rsidRPr="00BC57D1" w:rsidRDefault="00606E48">
            <w:pPr>
              <w:pStyle w:val="afffffff2"/>
              <w:rPr>
                <w:kern w:val="0"/>
                <w:sz w:val="21"/>
                <w:szCs w:val="21"/>
              </w:rPr>
            </w:pPr>
            <w:r w:rsidRPr="00BC57D1">
              <w:rPr>
                <w:kern w:val="0"/>
                <w:sz w:val="21"/>
                <w:szCs w:val="21"/>
              </w:rPr>
              <w:t>统</w:t>
            </w:r>
          </w:p>
        </w:tc>
        <w:tc>
          <w:tcPr>
            <w:tcW w:w="358"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kern w:val="0"/>
                <w:sz w:val="21"/>
                <w:szCs w:val="21"/>
              </w:rPr>
              <w:t>潘</w:t>
            </w:r>
          </w:p>
          <w:p w:rsidR="004E3021" w:rsidRPr="00BC57D1" w:rsidRDefault="00606E48">
            <w:pPr>
              <w:pStyle w:val="afffffff2"/>
              <w:rPr>
                <w:kern w:val="0"/>
                <w:sz w:val="21"/>
                <w:szCs w:val="21"/>
              </w:rPr>
            </w:pPr>
            <w:r w:rsidRPr="00BC57D1">
              <w:rPr>
                <w:kern w:val="0"/>
                <w:sz w:val="21"/>
                <w:szCs w:val="21"/>
              </w:rPr>
              <w:t>集</w:t>
            </w:r>
          </w:p>
          <w:p w:rsidR="004E3021" w:rsidRPr="00BC57D1" w:rsidRDefault="00606E48">
            <w:pPr>
              <w:pStyle w:val="afffffff2"/>
              <w:rPr>
                <w:kern w:val="0"/>
                <w:sz w:val="21"/>
                <w:szCs w:val="21"/>
              </w:rPr>
            </w:pPr>
            <w:r w:rsidRPr="00BC57D1">
              <w:rPr>
                <w:kern w:val="0"/>
                <w:sz w:val="21"/>
                <w:szCs w:val="21"/>
              </w:rPr>
              <w:t>组</w:t>
            </w:r>
          </w:p>
        </w:tc>
        <w:tc>
          <w:tcPr>
            <w:tcW w:w="434"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kern w:val="0"/>
                <w:sz w:val="21"/>
                <w:szCs w:val="21"/>
              </w:rPr>
              <w:t>Q</w:t>
            </w:r>
            <w:r w:rsidRPr="00BC57D1">
              <w:rPr>
                <w:kern w:val="0"/>
                <w:sz w:val="21"/>
                <w:szCs w:val="21"/>
                <w:vertAlign w:val="subscript"/>
              </w:rPr>
              <w:t>2</w:t>
            </w:r>
            <w:r w:rsidRPr="00BC57D1">
              <w:rPr>
                <w:kern w:val="0"/>
                <w:sz w:val="21"/>
                <w:szCs w:val="21"/>
              </w:rPr>
              <w:t>p</w:t>
            </w:r>
          </w:p>
        </w:tc>
        <w:tc>
          <w:tcPr>
            <w:tcW w:w="503"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30</w:t>
            </w:r>
            <w:r w:rsidRPr="00BC57D1">
              <w:rPr>
                <w:kern w:val="0"/>
                <w:sz w:val="21"/>
                <w:szCs w:val="21"/>
              </w:rPr>
              <w:t>~</w:t>
            </w:r>
            <w:r w:rsidRPr="00BC57D1">
              <w:rPr>
                <w:rFonts w:hint="eastAsia"/>
                <w:kern w:val="0"/>
                <w:sz w:val="21"/>
                <w:szCs w:val="21"/>
              </w:rPr>
              <w:t>60</w:t>
            </w:r>
          </w:p>
        </w:tc>
        <w:tc>
          <w:tcPr>
            <w:tcW w:w="2689" w:type="pct"/>
            <w:tcBorders>
              <w:top w:val="single" w:sz="4" w:space="0" w:color="auto"/>
              <w:left w:val="single" w:sz="4" w:space="0" w:color="auto"/>
              <w:bottom w:val="single" w:sz="4" w:space="0" w:color="auto"/>
              <w:right w:val="nil"/>
            </w:tcBorders>
            <w:vAlign w:val="center"/>
          </w:tcPr>
          <w:p w:rsidR="004E3021" w:rsidRPr="00BC57D1" w:rsidRDefault="00606E48">
            <w:pPr>
              <w:pStyle w:val="afffffff2"/>
              <w:rPr>
                <w:kern w:val="0"/>
                <w:sz w:val="21"/>
                <w:szCs w:val="21"/>
              </w:rPr>
            </w:pPr>
            <w:r w:rsidRPr="00BC57D1">
              <w:rPr>
                <w:rFonts w:hint="eastAsia"/>
                <w:kern w:val="0"/>
                <w:sz w:val="21"/>
                <w:szCs w:val="21"/>
              </w:rPr>
              <w:t>隐伏于上更新统之下。下部为黄灰色、黄绿色粉砂、</w:t>
            </w:r>
          </w:p>
          <w:p w:rsidR="004E3021" w:rsidRPr="00BC57D1" w:rsidRDefault="00606E48">
            <w:pPr>
              <w:pStyle w:val="afffffff2"/>
              <w:rPr>
                <w:kern w:val="0"/>
                <w:sz w:val="21"/>
                <w:szCs w:val="21"/>
              </w:rPr>
            </w:pPr>
            <w:r w:rsidRPr="00BC57D1">
              <w:rPr>
                <w:rFonts w:hint="eastAsia"/>
                <w:kern w:val="0"/>
                <w:sz w:val="21"/>
                <w:szCs w:val="21"/>
              </w:rPr>
              <w:t>细砂、粗中砂，结构松散，分选性较好，厚</w:t>
            </w:r>
            <w:r w:rsidRPr="00BC57D1">
              <w:rPr>
                <w:kern w:val="0"/>
                <w:sz w:val="21"/>
                <w:szCs w:val="21"/>
              </w:rPr>
              <w:t>20</w:t>
            </w:r>
            <w:r w:rsidRPr="00BC57D1">
              <w:rPr>
                <w:rFonts w:hint="eastAsia"/>
                <w:kern w:val="0"/>
                <w:sz w:val="21"/>
                <w:szCs w:val="21"/>
              </w:rPr>
              <w:t>～</w:t>
            </w:r>
            <w:r w:rsidRPr="00BC57D1">
              <w:rPr>
                <w:kern w:val="0"/>
                <w:sz w:val="21"/>
                <w:szCs w:val="21"/>
              </w:rPr>
              <w:t>40m</w:t>
            </w:r>
            <w:r w:rsidRPr="00BC57D1">
              <w:rPr>
                <w:rFonts w:hint="eastAsia"/>
                <w:kern w:val="0"/>
                <w:sz w:val="21"/>
                <w:szCs w:val="21"/>
              </w:rPr>
              <w:t>；</w:t>
            </w:r>
          </w:p>
          <w:p w:rsidR="004E3021" w:rsidRPr="00BC57D1" w:rsidRDefault="00606E48">
            <w:pPr>
              <w:pStyle w:val="afffffff2"/>
              <w:rPr>
                <w:kern w:val="0"/>
                <w:sz w:val="21"/>
                <w:szCs w:val="21"/>
              </w:rPr>
            </w:pPr>
            <w:r w:rsidRPr="00BC57D1">
              <w:rPr>
                <w:rFonts w:hint="eastAsia"/>
                <w:kern w:val="0"/>
                <w:sz w:val="21"/>
                <w:szCs w:val="21"/>
              </w:rPr>
              <w:t>上部为青黄色粉质粘土，结构紧密，含钙质结核和铁锰质结核。</w:t>
            </w:r>
          </w:p>
        </w:tc>
      </w:tr>
      <w:tr w:rsidR="004E3021" w:rsidRPr="00BC57D1">
        <w:trPr>
          <w:trHeight w:val="1549"/>
          <w:jc w:val="center"/>
        </w:trPr>
        <w:tc>
          <w:tcPr>
            <w:tcW w:w="0" w:type="auto"/>
            <w:vMerge/>
            <w:tcBorders>
              <w:top w:val="single" w:sz="4" w:space="0" w:color="auto"/>
              <w:left w:val="nil"/>
              <w:bottom w:val="single" w:sz="4" w:space="0" w:color="auto"/>
              <w:right w:val="single" w:sz="4" w:space="0" w:color="auto"/>
            </w:tcBorders>
            <w:vAlign w:val="center"/>
          </w:tcPr>
          <w:p w:rsidR="004E3021" w:rsidRPr="00BC57D1" w:rsidRDefault="004E3021">
            <w:pPr>
              <w:pStyle w:val="afffffff2"/>
              <w:rPr>
                <w:kern w:val="0"/>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BC57D1" w:rsidRDefault="004E3021">
            <w:pPr>
              <w:pStyle w:val="afffffff2"/>
              <w:rPr>
                <w:kern w:val="0"/>
                <w:sz w:val="21"/>
                <w:szCs w:val="21"/>
              </w:rPr>
            </w:pPr>
          </w:p>
        </w:tc>
        <w:tc>
          <w:tcPr>
            <w:tcW w:w="544"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下更新统</w:t>
            </w:r>
          </w:p>
        </w:tc>
        <w:tc>
          <w:tcPr>
            <w:tcW w:w="358"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蒙城组</w:t>
            </w:r>
          </w:p>
        </w:tc>
        <w:tc>
          <w:tcPr>
            <w:tcW w:w="434"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Q</w:t>
            </w:r>
            <w:r w:rsidRPr="00BC57D1">
              <w:rPr>
                <w:rFonts w:hint="eastAsia"/>
                <w:kern w:val="0"/>
                <w:sz w:val="21"/>
                <w:szCs w:val="21"/>
                <w:vertAlign w:val="subscript"/>
              </w:rPr>
              <w:t>1</w:t>
            </w:r>
            <w:r w:rsidRPr="00BC57D1">
              <w:rPr>
                <w:rFonts w:hint="eastAsia"/>
                <w:kern w:val="0"/>
                <w:sz w:val="21"/>
                <w:szCs w:val="21"/>
              </w:rPr>
              <w:t>M</w:t>
            </w:r>
          </w:p>
        </w:tc>
        <w:tc>
          <w:tcPr>
            <w:tcW w:w="503"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15</w:t>
            </w:r>
            <w:r w:rsidRPr="00BC57D1">
              <w:rPr>
                <w:kern w:val="0"/>
                <w:sz w:val="21"/>
                <w:szCs w:val="21"/>
              </w:rPr>
              <w:t>~</w:t>
            </w:r>
            <w:r w:rsidRPr="00BC57D1">
              <w:rPr>
                <w:rFonts w:hint="eastAsia"/>
                <w:kern w:val="0"/>
                <w:sz w:val="21"/>
                <w:szCs w:val="21"/>
              </w:rPr>
              <w:t>35</w:t>
            </w:r>
          </w:p>
        </w:tc>
        <w:tc>
          <w:tcPr>
            <w:tcW w:w="2689" w:type="pct"/>
            <w:tcBorders>
              <w:top w:val="single" w:sz="4" w:space="0" w:color="auto"/>
              <w:left w:val="single" w:sz="4" w:space="0" w:color="auto"/>
              <w:bottom w:val="single" w:sz="4" w:space="0" w:color="auto"/>
              <w:right w:val="nil"/>
            </w:tcBorders>
            <w:vAlign w:val="center"/>
          </w:tcPr>
          <w:p w:rsidR="004E3021" w:rsidRPr="00BC57D1" w:rsidRDefault="00606E48">
            <w:pPr>
              <w:pStyle w:val="afffffff2"/>
              <w:rPr>
                <w:kern w:val="0"/>
                <w:sz w:val="21"/>
                <w:szCs w:val="21"/>
              </w:rPr>
            </w:pPr>
            <w:r w:rsidRPr="00BC57D1">
              <w:rPr>
                <w:rFonts w:hint="eastAsia"/>
                <w:kern w:val="0"/>
                <w:sz w:val="21"/>
                <w:szCs w:val="21"/>
              </w:rPr>
              <w:t>隐伏于中更新统之下。顶板埋深</w:t>
            </w:r>
            <w:r w:rsidRPr="00BC57D1">
              <w:rPr>
                <w:kern w:val="0"/>
                <w:sz w:val="21"/>
                <w:szCs w:val="21"/>
              </w:rPr>
              <w:t>60</w:t>
            </w:r>
            <w:r w:rsidRPr="00BC57D1">
              <w:rPr>
                <w:rFonts w:hint="eastAsia"/>
                <w:kern w:val="0"/>
                <w:sz w:val="21"/>
                <w:szCs w:val="21"/>
              </w:rPr>
              <w:t>～</w:t>
            </w:r>
            <w:r w:rsidRPr="00BC57D1">
              <w:rPr>
                <w:kern w:val="0"/>
                <w:sz w:val="21"/>
                <w:szCs w:val="21"/>
              </w:rPr>
              <w:t>120m</w:t>
            </w:r>
            <w:r w:rsidRPr="00BC57D1">
              <w:rPr>
                <w:rFonts w:hint="eastAsia"/>
                <w:kern w:val="0"/>
                <w:sz w:val="21"/>
                <w:szCs w:val="21"/>
              </w:rPr>
              <w:t>。下部为灰黄色的细砂、中砂、含砾中粗砂，厚</w:t>
            </w:r>
            <w:r w:rsidRPr="00BC57D1">
              <w:rPr>
                <w:kern w:val="0"/>
                <w:sz w:val="21"/>
                <w:szCs w:val="21"/>
              </w:rPr>
              <w:t>10</w:t>
            </w:r>
            <w:r w:rsidRPr="00BC57D1">
              <w:rPr>
                <w:rFonts w:hint="eastAsia"/>
                <w:kern w:val="0"/>
                <w:sz w:val="21"/>
                <w:szCs w:val="21"/>
              </w:rPr>
              <w:t>～</w:t>
            </w:r>
            <w:r w:rsidRPr="00BC57D1">
              <w:rPr>
                <w:kern w:val="0"/>
                <w:sz w:val="21"/>
                <w:szCs w:val="21"/>
              </w:rPr>
              <w:t>28m</w:t>
            </w:r>
            <w:r w:rsidRPr="00BC57D1">
              <w:rPr>
                <w:rFonts w:hint="eastAsia"/>
                <w:kern w:val="0"/>
                <w:sz w:val="21"/>
                <w:szCs w:val="21"/>
              </w:rPr>
              <w:t>，结构松散，分选性较好；上部为青黄色粉质粘土，厚</w:t>
            </w:r>
            <w:r w:rsidRPr="00BC57D1">
              <w:rPr>
                <w:kern w:val="0"/>
                <w:sz w:val="21"/>
                <w:szCs w:val="21"/>
              </w:rPr>
              <w:t>5</w:t>
            </w:r>
            <w:r w:rsidRPr="00BC57D1">
              <w:rPr>
                <w:rFonts w:hint="eastAsia"/>
                <w:kern w:val="0"/>
                <w:sz w:val="21"/>
                <w:szCs w:val="21"/>
              </w:rPr>
              <w:t>～</w:t>
            </w:r>
            <w:r w:rsidRPr="00BC57D1">
              <w:rPr>
                <w:kern w:val="0"/>
                <w:sz w:val="21"/>
                <w:szCs w:val="21"/>
              </w:rPr>
              <w:t>10m</w:t>
            </w:r>
            <w:r w:rsidRPr="00BC57D1">
              <w:rPr>
                <w:rFonts w:hint="eastAsia"/>
                <w:kern w:val="0"/>
                <w:sz w:val="21"/>
                <w:szCs w:val="21"/>
              </w:rPr>
              <w:t>，层位稳定，结构紧密，含钙质结核和铁锰质结核。顶部有</w:t>
            </w:r>
            <w:r w:rsidRPr="00BC57D1">
              <w:rPr>
                <w:kern w:val="0"/>
                <w:sz w:val="21"/>
                <w:szCs w:val="21"/>
              </w:rPr>
              <w:t>0.2</w:t>
            </w:r>
            <w:r w:rsidRPr="00BC57D1">
              <w:rPr>
                <w:rFonts w:hint="eastAsia"/>
                <w:kern w:val="0"/>
                <w:sz w:val="21"/>
                <w:szCs w:val="21"/>
              </w:rPr>
              <w:t>～</w:t>
            </w:r>
            <w:r w:rsidRPr="00BC57D1">
              <w:rPr>
                <w:kern w:val="0"/>
                <w:sz w:val="21"/>
                <w:szCs w:val="21"/>
              </w:rPr>
              <w:t>0.5m</w:t>
            </w:r>
            <w:r w:rsidRPr="00BC57D1">
              <w:rPr>
                <w:rFonts w:hint="eastAsia"/>
                <w:kern w:val="0"/>
                <w:sz w:val="21"/>
                <w:szCs w:val="21"/>
              </w:rPr>
              <w:t>铁质风化壳。</w:t>
            </w:r>
          </w:p>
        </w:tc>
      </w:tr>
      <w:tr w:rsidR="004E3021" w:rsidRPr="00BC57D1">
        <w:trPr>
          <w:trHeight w:val="1099"/>
          <w:jc w:val="center"/>
        </w:trPr>
        <w:tc>
          <w:tcPr>
            <w:tcW w:w="0" w:type="auto"/>
            <w:vMerge/>
            <w:tcBorders>
              <w:top w:val="single" w:sz="4" w:space="0" w:color="auto"/>
              <w:left w:val="nil"/>
              <w:bottom w:val="single" w:sz="4" w:space="0" w:color="auto"/>
              <w:right w:val="single" w:sz="4" w:space="0" w:color="auto"/>
            </w:tcBorders>
            <w:vAlign w:val="center"/>
          </w:tcPr>
          <w:p w:rsidR="004E3021" w:rsidRPr="00BC57D1" w:rsidRDefault="004E3021">
            <w:pPr>
              <w:pStyle w:val="afffffff2"/>
              <w:rPr>
                <w:kern w:val="0"/>
                <w:sz w:val="21"/>
                <w:szCs w:val="21"/>
              </w:rPr>
            </w:pPr>
          </w:p>
        </w:tc>
        <w:tc>
          <w:tcPr>
            <w:tcW w:w="236"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新近系</w:t>
            </w:r>
          </w:p>
        </w:tc>
        <w:tc>
          <w:tcPr>
            <w:tcW w:w="544"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上新统</w:t>
            </w:r>
          </w:p>
        </w:tc>
        <w:tc>
          <w:tcPr>
            <w:tcW w:w="358"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明化镇组</w:t>
            </w:r>
          </w:p>
        </w:tc>
        <w:tc>
          <w:tcPr>
            <w:tcW w:w="434"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N</w:t>
            </w:r>
            <w:r w:rsidRPr="00BC57D1">
              <w:rPr>
                <w:rFonts w:hint="eastAsia"/>
                <w:kern w:val="0"/>
                <w:sz w:val="21"/>
                <w:szCs w:val="21"/>
                <w:vertAlign w:val="subscript"/>
              </w:rPr>
              <w:t>2</w:t>
            </w:r>
            <w:r w:rsidRPr="00BC57D1">
              <w:rPr>
                <w:rFonts w:hint="eastAsia"/>
                <w:kern w:val="0"/>
                <w:sz w:val="21"/>
                <w:szCs w:val="21"/>
              </w:rPr>
              <w:t>M</w:t>
            </w:r>
          </w:p>
        </w:tc>
        <w:tc>
          <w:tcPr>
            <w:tcW w:w="503"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47</w:t>
            </w:r>
            <w:r w:rsidRPr="00BC57D1">
              <w:rPr>
                <w:kern w:val="0"/>
                <w:sz w:val="21"/>
                <w:szCs w:val="21"/>
              </w:rPr>
              <w:t>~</w:t>
            </w:r>
            <w:r w:rsidRPr="00BC57D1">
              <w:rPr>
                <w:rFonts w:hint="eastAsia"/>
                <w:kern w:val="0"/>
                <w:sz w:val="21"/>
                <w:szCs w:val="21"/>
              </w:rPr>
              <w:t>70</w:t>
            </w:r>
          </w:p>
        </w:tc>
        <w:tc>
          <w:tcPr>
            <w:tcW w:w="2689" w:type="pct"/>
            <w:tcBorders>
              <w:top w:val="single" w:sz="4" w:space="0" w:color="auto"/>
              <w:left w:val="single" w:sz="4" w:space="0" w:color="auto"/>
              <w:bottom w:val="single" w:sz="4" w:space="0" w:color="auto"/>
              <w:right w:val="nil"/>
            </w:tcBorders>
            <w:vAlign w:val="center"/>
          </w:tcPr>
          <w:p w:rsidR="004E3021" w:rsidRPr="00BC57D1" w:rsidRDefault="00606E48">
            <w:pPr>
              <w:pStyle w:val="afffffff2"/>
              <w:rPr>
                <w:kern w:val="0"/>
                <w:sz w:val="21"/>
                <w:szCs w:val="21"/>
              </w:rPr>
            </w:pPr>
            <w:r w:rsidRPr="00BC57D1">
              <w:rPr>
                <w:rFonts w:hint="eastAsia"/>
                <w:kern w:val="0"/>
                <w:sz w:val="21"/>
                <w:szCs w:val="21"/>
              </w:rPr>
              <w:t>隐伏于第四系之下。上部为蓝灰色、灰绿色含砾粘土、粉质粘土，灰绿色厚层含砾细砂、中粗砂等；下部为灰绿色、棕红色含砾泥岩、砂质泥岩、砾质泥岩等。</w:t>
            </w:r>
          </w:p>
        </w:tc>
      </w:tr>
      <w:tr w:rsidR="004E3021" w:rsidRPr="00BC57D1">
        <w:trPr>
          <w:trHeight w:val="1032"/>
          <w:jc w:val="center"/>
        </w:trPr>
        <w:tc>
          <w:tcPr>
            <w:tcW w:w="0" w:type="auto"/>
            <w:vMerge/>
            <w:tcBorders>
              <w:top w:val="single" w:sz="4" w:space="0" w:color="auto"/>
              <w:left w:val="nil"/>
              <w:bottom w:val="single" w:sz="4" w:space="0" w:color="auto"/>
              <w:right w:val="single" w:sz="4" w:space="0" w:color="auto"/>
            </w:tcBorders>
            <w:vAlign w:val="center"/>
          </w:tcPr>
          <w:p w:rsidR="004E3021" w:rsidRPr="00BC57D1" w:rsidRDefault="004E3021">
            <w:pPr>
              <w:pStyle w:val="afffffff2"/>
              <w:rPr>
                <w:kern w:val="0"/>
                <w:sz w:val="21"/>
                <w:szCs w:val="21"/>
              </w:rPr>
            </w:pPr>
          </w:p>
        </w:tc>
        <w:tc>
          <w:tcPr>
            <w:tcW w:w="236"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古近系</w:t>
            </w:r>
          </w:p>
        </w:tc>
        <w:tc>
          <w:tcPr>
            <w:tcW w:w="544"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古新统</w:t>
            </w:r>
          </w:p>
        </w:tc>
        <w:tc>
          <w:tcPr>
            <w:tcW w:w="358"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双浮组</w:t>
            </w:r>
          </w:p>
        </w:tc>
        <w:tc>
          <w:tcPr>
            <w:tcW w:w="434"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E</w:t>
            </w:r>
            <w:r w:rsidRPr="00BC57D1">
              <w:rPr>
                <w:rFonts w:hint="eastAsia"/>
                <w:kern w:val="0"/>
                <w:sz w:val="21"/>
                <w:szCs w:val="21"/>
                <w:vertAlign w:val="subscript"/>
              </w:rPr>
              <w:t>1</w:t>
            </w:r>
            <w:r w:rsidRPr="00BC57D1">
              <w:rPr>
                <w:rFonts w:hint="eastAsia"/>
                <w:kern w:val="0"/>
                <w:sz w:val="21"/>
                <w:szCs w:val="21"/>
              </w:rPr>
              <w:t>sh</w:t>
            </w:r>
          </w:p>
        </w:tc>
        <w:tc>
          <w:tcPr>
            <w:tcW w:w="503" w:type="pct"/>
            <w:tcBorders>
              <w:top w:val="single" w:sz="4" w:space="0" w:color="auto"/>
              <w:left w:val="single" w:sz="4" w:space="0" w:color="auto"/>
              <w:bottom w:val="single" w:sz="4"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w:t>
            </w:r>
            <w:r w:rsidRPr="00BC57D1">
              <w:rPr>
                <w:rFonts w:hint="eastAsia"/>
                <w:kern w:val="0"/>
                <w:sz w:val="21"/>
                <w:szCs w:val="21"/>
              </w:rPr>
              <w:t>631</w:t>
            </w:r>
          </w:p>
        </w:tc>
        <w:tc>
          <w:tcPr>
            <w:tcW w:w="2689" w:type="pct"/>
            <w:tcBorders>
              <w:top w:val="single" w:sz="4" w:space="0" w:color="auto"/>
              <w:left w:val="single" w:sz="4" w:space="0" w:color="auto"/>
              <w:bottom w:val="single" w:sz="4" w:space="0" w:color="auto"/>
              <w:right w:val="nil"/>
            </w:tcBorders>
            <w:vAlign w:val="center"/>
          </w:tcPr>
          <w:p w:rsidR="004E3021" w:rsidRPr="00BC57D1" w:rsidRDefault="00606E48">
            <w:pPr>
              <w:pStyle w:val="afffffff2"/>
              <w:rPr>
                <w:kern w:val="0"/>
                <w:sz w:val="21"/>
                <w:szCs w:val="21"/>
              </w:rPr>
            </w:pPr>
            <w:r w:rsidRPr="00BC57D1">
              <w:rPr>
                <w:rFonts w:hint="eastAsia"/>
                <w:kern w:val="0"/>
                <w:sz w:val="21"/>
                <w:szCs w:val="21"/>
              </w:rPr>
              <w:t>细砂岩与泥岩、粉砂岩互层、底部为砾岩。</w:t>
            </w:r>
          </w:p>
        </w:tc>
      </w:tr>
      <w:tr w:rsidR="004E3021" w:rsidRPr="00BC57D1">
        <w:trPr>
          <w:trHeight w:val="1379"/>
          <w:jc w:val="center"/>
        </w:trPr>
        <w:tc>
          <w:tcPr>
            <w:tcW w:w="236" w:type="pct"/>
            <w:tcBorders>
              <w:top w:val="single" w:sz="4" w:space="0" w:color="auto"/>
              <w:left w:val="nil"/>
              <w:bottom w:val="single" w:sz="12" w:space="0" w:color="auto"/>
              <w:right w:val="single" w:sz="4" w:space="0" w:color="auto"/>
            </w:tcBorders>
            <w:vAlign w:val="center"/>
          </w:tcPr>
          <w:p w:rsidR="004E3021" w:rsidRPr="00BC57D1" w:rsidRDefault="00606E48">
            <w:pPr>
              <w:pStyle w:val="afffffff2"/>
              <w:rPr>
                <w:kern w:val="0"/>
                <w:sz w:val="21"/>
                <w:szCs w:val="21"/>
              </w:rPr>
            </w:pPr>
            <w:r w:rsidRPr="00BC57D1">
              <w:rPr>
                <w:kern w:val="0"/>
                <w:sz w:val="21"/>
                <w:szCs w:val="21"/>
              </w:rPr>
              <w:t>上太古界</w:t>
            </w:r>
          </w:p>
        </w:tc>
        <w:tc>
          <w:tcPr>
            <w:tcW w:w="780" w:type="pct"/>
            <w:gridSpan w:val="2"/>
            <w:tcBorders>
              <w:top w:val="single" w:sz="4" w:space="0" w:color="auto"/>
              <w:left w:val="single" w:sz="4" w:space="0" w:color="auto"/>
              <w:bottom w:val="single" w:sz="12" w:space="0" w:color="auto"/>
              <w:right w:val="single" w:sz="4" w:space="0" w:color="auto"/>
            </w:tcBorders>
            <w:vAlign w:val="center"/>
          </w:tcPr>
          <w:p w:rsidR="004E3021" w:rsidRPr="00BC57D1" w:rsidRDefault="00606E48">
            <w:pPr>
              <w:pStyle w:val="afffffff2"/>
              <w:rPr>
                <w:kern w:val="0"/>
                <w:sz w:val="21"/>
                <w:szCs w:val="21"/>
              </w:rPr>
            </w:pPr>
            <w:r w:rsidRPr="00BC57D1">
              <w:rPr>
                <w:kern w:val="0"/>
                <w:sz w:val="21"/>
                <w:szCs w:val="21"/>
              </w:rPr>
              <w:t>五</w:t>
            </w:r>
          </w:p>
          <w:p w:rsidR="004E3021" w:rsidRPr="00BC57D1" w:rsidRDefault="00606E48">
            <w:pPr>
              <w:pStyle w:val="afffffff2"/>
              <w:rPr>
                <w:kern w:val="0"/>
                <w:sz w:val="21"/>
                <w:szCs w:val="21"/>
              </w:rPr>
            </w:pPr>
            <w:r w:rsidRPr="00BC57D1">
              <w:rPr>
                <w:kern w:val="0"/>
                <w:sz w:val="21"/>
                <w:szCs w:val="21"/>
              </w:rPr>
              <w:t>河</w:t>
            </w:r>
          </w:p>
          <w:p w:rsidR="004E3021" w:rsidRPr="00BC57D1" w:rsidRDefault="00606E48">
            <w:pPr>
              <w:pStyle w:val="afffffff2"/>
              <w:rPr>
                <w:kern w:val="0"/>
                <w:sz w:val="21"/>
                <w:szCs w:val="21"/>
              </w:rPr>
            </w:pPr>
            <w:r w:rsidRPr="00BC57D1">
              <w:rPr>
                <w:kern w:val="0"/>
                <w:sz w:val="21"/>
                <w:szCs w:val="21"/>
              </w:rPr>
              <w:t>群</w:t>
            </w:r>
          </w:p>
        </w:tc>
        <w:tc>
          <w:tcPr>
            <w:tcW w:w="358" w:type="pct"/>
            <w:tcBorders>
              <w:top w:val="single" w:sz="4" w:space="0" w:color="auto"/>
              <w:left w:val="single" w:sz="4" w:space="0" w:color="auto"/>
              <w:bottom w:val="single" w:sz="12" w:space="0" w:color="auto"/>
              <w:right w:val="single" w:sz="4" w:space="0" w:color="auto"/>
            </w:tcBorders>
            <w:vAlign w:val="center"/>
          </w:tcPr>
          <w:p w:rsidR="004E3021" w:rsidRPr="00BC57D1" w:rsidRDefault="00606E48">
            <w:pPr>
              <w:pStyle w:val="afffffff2"/>
              <w:rPr>
                <w:kern w:val="0"/>
                <w:sz w:val="21"/>
                <w:szCs w:val="21"/>
              </w:rPr>
            </w:pPr>
            <w:r w:rsidRPr="00BC57D1">
              <w:rPr>
                <w:kern w:val="0"/>
                <w:sz w:val="21"/>
                <w:szCs w:val="21"/>
              </w:rPr>
              <w:t>庄子里组</w:t>
            </w:r>
          </w:p>
        </w:tc>
        <w:tc>
          <w:tcPr>
            <w:tcW w:w="434" w:type="pct"/>
            <w:tcBorders>
              <w:top w:val="single" w:sz="4" w:space="0" w:color="auto"/>
              <w:left w:val="single" w:sz="4" w:space="0" w:color="auto"/>
              <w:bottom w:val="single" w:sz="12" w:space="0" w:color="auto"/>
              <w:right w:val="single" w:sz="4" w:space="0" w:color="auto"/>
            </w:tcBorders>
            <w:vAlign w:val="center"/>
          </w:tcPr>
          <w:p w:rsidR="004E3021" w:rsidRPr="00BC57D1" w:rsidRDefault="00606E48">
            <w:pPr>
              <w:pStyle w:val="afffffff2"/>
              <w:rPr>
                <w:kern w:val="0"/>
                <w:sz w:val="21"/>
                <w:szCs w:val="21"/>
              </w:rPr>
            </w:pPr>
            <w:r w:rsidRPr="00BC57D1">
              <w:rPr>
                <w:kern w:val="0"/>
                <w:sz w:val="21"/>
                <w:szCs w:val="21"/>
              </w:rPr>
              <w:t>Ar</w:t>
            </w:r>
            <w:r w:rsidRPr="00BC57D1">
              <w:rPr>
                <w:kern w:val="0"/>
                <w:sz w:val="21"/>
                <w:szCs w:val="21"/>
                <w:vertAlign w:val="subscript"/>
              </w:rPr>
              <w:t>2</w:t>
            </w:r>
            <w:r w:rsidRPr="00BC57D1">
              <w:rPr>
                <w:rFonts w:hint="eastAsia"/>
                <w:kern w:val="0"/>
                <w:sz w:val="21"/>
                <w:szCs w:val="21"/>
              </w:rPr>
              <w:t>wh</w:t>
            </w:r>
          </w:p>
        </w:tc>
        <w:tc>
          <w:tcPr>
            <w:tcW w:w="503" w:type="pct"/>
            <w:tcBorders>
              <w:top w:val="single" w:sz="4" w:space="0" w:color="auto"/>
              <w:left w:val="single" w:sz="4" w:space="0" w:color="auto"/>
              <w:bottom w:val="single" w:sz="12" w:space="0" w:color="auto"/>
              <w:right w:val="single" w:sz="4" w:space="0" w:color="auto"/>
            </w:tcBorders>
            <w:vAlign w:val="center"/>
          </w:tcPr>
          <w:p w:rsidR="004E3021" w:rsidRPr="00BC57D1" w:rsidRDefault="00606E48">
            <w:pPr>
              <w:pStyle w:val="afffffff2"/>
              <w:rPr>
                <w:kern w:val="0"/>
                <w:sz w:val="21"/>
                <w:szCs w:val="21"/>
              </w:rPr>
            </w:pPr>
            <w:r w:rsidRPr="00BC57D1">
              <w:rPr>
                <w:rFonts w:hint="eastAsia"/>
                <w:kern w:val="0"/>
                <w:sz w:val="21"/>
                <w:szCs w:val="21"/>
              </w:rPr>
              <w:t>＞</w:t>
            </w:r>
            <w:r w:rsidRPr="00BC57D1">
              <w:rPr>
                <w:rFonts w:hint="eastAsia"/>
                <w:kern w:val="0"/>
                <w:sz w:val="21"/>
                <w:szCs w:val="21"/>
              </w:rPr>
              <w:t>1521</w:t>
            </w:r>
          </w:p>
        </w:tc>
        <w:tc>
          <w:tcPr>
            <w:tcW w:w="2689" w:type="pct"/>
            <w:tcBorders>
              <w:top w:val="single" w:sz="4" w:space="0" w:color="auto"/>
              <w:left w:val="single" w:sz="4" w:space="0" w:color="auto"/>
              <w:bottom w:val="single" w:sz="12" w:space="0" w:color="auto"/>
              <w:right w:val="nil"/>
            </w:tcBorders>
            <w:vAlign w:val="center"/>
          </w:tcPr>
          <w:p w:rsidR="004E3021" w:rsidRPr="00BC57D1" w:rsidRDefault="00606E48">
            <w:pPr>
              <w:pStyle w:val="afffffff2"/>
              <w:rPr>
                <w:kern w:val="0"/>
                <w:sz w:val="21"/>
                <w:szCs w:val="21"/>
              </w:rPr>
            </w:pPr>
            <w:r w:rsidRPr="00BC57D1">
              <w:rPr>
                <w:rFonts w:hint="eastAsia"/>
                <w:kern w:val="0"/>
                <w:sz w:val="21"/>
                <w:szCs w:val="21"/>
              </w:rPr>
              <w:t>岩性主要为大理岩、变流纹岩、白云石英片岩及斜长角闪岩，并含黑云斜长片麻岩、黑云二长片麻岩、浅粒岩等变质侵入体。</w:t>
            </w:r>
          </w:p>
        </w:tc>
      </w:tr>
    </w:tbl>
    <w:p w:rsidR="004E3021" w:rsidRDefault="00606E48">
      <w:pPr>
        <w:pStyle w:val="4a"/>
      </w:pPr>
      <w:r>
        <w:rPr>
          <w:rFonts w:hint="eastAsia"/>
        </w:rPr>
        <w:t>5</w:t>
      </w:r>
      <w:r>
        <w:t>.5.1.3</w:t>
      </w:r>
      <w:r>
        <w:rPr>
          <w:rFonts w:ascii="黑体" w:hAnsi="黑体" w:hint="eastAsia"/>
        </w:rPr>
        <w:t>区域地层</w:t>
      </w:r>
    </w:p>
    <w:p w:rsidR="004E3021" w:rsidRDefault="00606E48">
      <w:pPr>
        <w:ind w:firstLine="480"/>
        <w:rPr>
          <w:b/>
          <w:bCs/>
        </w:rPr>
      </w:pPr>
      <w:r>
        <w:rPr>
          <w:rFonts w:ascii="宋体" w:hAnsi="宋体" w:hint="eastAsia"/>
          <w:bCs/>
        </w:rPr>
        <w:t>评价区地表出露地层为新生界第四系，松散层包括新近系（</w:t>
      </w:r>
      <w:r>
        <w:rPr>
          <w:bCs/>
        </w:rPr>
        <w:t>N</w:t>
      </w:r>
      <w:r>
        <w:rPr>
          <w:rFonts w:ascii="宋体" w:hAnsi="宋体" w:hint="eastAsia"/>
          <w:bCs/>
        </w:rPr>
        <w:t>）和第四系（</w:t>
      </w:r>
      <w:r>
        <w:rPr>
          <w:bCs/>
        </w:rPr>
        <w:t>Q</w:t>
      </w:r>
      <w:r>
        <w:rPr>
          <w:rFonts w:ascii="宋体" w:hAnsi="宋体" w:hint="eastAsia"/>
          <w:bCs/>
        </w:rPr>
        <w:t>）；其下基岩主要为上太古界五河群（</w:t>
      </w:r>
      <w:r>
        <w:rPr>
          <w:bCs/>
        </w:rPr>
        <w:t>Ar</w:t>
      </w:r>
      <w:r>
        <w:rPr>
          <w:bCs/>
          <w:vertAlign w:val="subscript"/>
        </w:rPr>
        <w:t>2</w:t>
      </w:r>
      <w:r>
        <w:rPr>
          <w:bCs/>
        </w:rPr>
        <w:t>wh</w:t>
      </w:r>
      <w:r>
        <w:rPr>
          <w:rFonts w:ascii="宋体" w:hAnsi="宋体" w:hint="eastAsia"/>
          <w:bCs/>
        </w:rPr>
        <w:t>）。</w:t>
      </w:r>
    </w:p>
    <w:p w:rsidR="004E3021" w:rsidRDefault="00606E48">
      <w:pPr>
        <w:ind w:firstLine="480"/>
        <w:rPr>
          <w:b/>
          <w:bCs/>
        </w:rPr>
      </w:pPr>
      <w:r>
        <w:rPr>
          <w:rFonts w:ascii="宋体" w:hAnsi="宋体" w:hint="eastAsia"/>
          <w:bCs/>
        </w:rPr>
        <w:t>根据区域地质资料，评估区内地层由老到新描述如下：</w:t>
      </w:r>
      <w:r>
        <w:rPr>
          <w:rFonts w:hint="eastAsia"/>
          <w:bCs/>
        </w:rPr>
        <w:t xml:space="preserve"> </w:t>
      </w:r>
    </w:p>
    <w:p w:rsidR="004E3021" w:rsidRDefault="00606E48">
      <w:pPr>
        <w:ind w:firstLine="480"/>
        <w:rPr>
          <w:b/>
          <w:bCs/>
        </w:rPr>
      </w:pPr>
      <w:r>
        <w:rPr>
          <w:rFonts w:ascii="宋体" w:hAnsi="宋体" w:hint="eastAsia"/>
          <w:bCs/>
        </w:rPr>
        <w:t>（</w:t>
      </w:r>
      <w:r>
        <w:rPr>
          <w:bCs/>
        </w:rPr>
        <w:t>1</w:t>
      </w:r>
      <w:r>
        <w:rPr>
          <w:rFonts w:ascii="宋体" w:hAnsi="宋体" w:hint="eastAsia"/>
          <w:bCs/>
        </w:rPr>
        <w:t>）上太古界五河群（</w:t>
      </w:r>
      <w:r>
        <w:rPr>
          <w:bCs/>
        </w:rPr>
        <w:t>Ar</w:t>
      </w:r>
      <w:r>
        <w:rPr>
          <w:bCs/>
          <w:vertAlign w:val="subscript"/>
        </w:rPr>
        <w:t>2</w:t>
      </w:r>
      <w:r>
        <w:rPr>
          <w:bCs/>
        </w:rPr>
        <w:t>wh</w:t>
      </w:r>
      <w:r>
        <w:rPr>
          <w:rFonts w:ascii="宋体" w:hAnsi="宋体" w:hint="eastAsia"/>
          <w:bCs/>
        </w:rPr>
        <w:t>）</w:t>
      </w:r>
    </w:p>
    <w:p w:rsidR="004E3021" w:rsidRDefault="00606E48">
      <w:pPr>
        <w:ind w:firstLine="480"/>
        <w:rPr>
          <w:b/>
          <w:bCs/>
        </w:rPr>
      </w:pPr>
      <w:r>
        <w:rPr>
          <w:rFonts w:ascii="宋体" w:hAnsi="宋体" w:hint="eastAsia"/>
          <w:bCs/>
        </w:rPr>
        <w:t>分布全区，隐伏于新近系之下，岩性主要为大理岩、变流纹岩、白云石英片岩及斜长角闪岩，并含黑云斜长片麻岩、黑云二长片麻岩、浅粒岩等变质侵入体。厚度大于</w:t>
      </w:r>
      <w:r>
        <w:rPr>
          <w:bCs/>
        </w:rPr>
        <w:t>1521m</w:t>
      </w:r>
      <w:r>
        <w:rPr>
          <w:rFonts w:ascii="宋体" w:hAnsi="宋体" w:hint="eastAsia"/>
          <w:bCs/>
        </w:rPr>
        <w:t>。</w:t>
      </w:r>
    </w:p>
    <w:p w:rsidR="004E3021" w:rsidRDefault="00606E48">
      <w:pPr>
        <w:ind w:firstLine="480"/>
        <w:rPr>
          <w:b/>
          <w:bCs/>
        </w:rPr>
      </w:pPr>
      <w:r>
        <w:rPr>
          <w:rFonts w:ascii="宋体" w:hAnsi="宋体" w:hint="eastAsia"/>
          <w:bCs/>
        </w:rPr>
        <w:t>（</w:t>
      </w:r>
      <w:r>
        <w:rPr>
          <w:bCs/>
        </w:rPr>
        <w:t>2</w:t>
      </w:r>
      <w:r>
        <w:rPr>
          <w:rFonts w:ascii="宋体" w:hAnsi="宋体" w:hint="eastAsia"/>
          <w:bCs/>
        </w:rPr>
        <w:t>）新生界新近系明化镇组（</w:t>
      </w:r>
      <w:r>
        <w:rPr>
          <w:bCs/>
        </w:rPr>
        <w:t>N</w:t>
      </w:r>
      <w:r>
        <w:rPr>
          <w:bCs/>
          <w:vertAlign w:val="subscript"/>
        </w:rPr>
        <w:t>2</w:t>
      </w:r>
      <w:r>
        <w:rPr>
          <w:bCs/>
        </w:rPr>
        <w:t>M</w:t>
      </w:r>
      <w:r>
        <w:rPr>
          <w:rFonts w:ascii="宋体" w:hAnsi="宋体" w:hint="eastAsia"/>
          <w:bCs/>
        </w:rPr>
        <w:t>）</w:t>
      </w:r>
    </w:p>
    <w:p w:rsidR="004E3021" w:rsidRDefault="00606E48">
      <w:pPr>
        <w:ind w:firstLine="480"/>
        <w:rPr>
          <w:b/>
          <w:bCs/>
        </w:rPr>
      </w:pPr>
      <w:r>
        <w:rPr>
          <w:rFonts w:ascii="宋体" w:hAnsi="宋体" w:hint="eastAsia"/>
          <w:bCs/>
        </w:rPr>
        <w:t>分布全区，隐伏于第四系之下，层厚为</w:t>
      </w:r>
      <w:r>
        <w:rPr>
          <w:bCs/>
        </w:rPr>
        <w:t>50</w:t>
      </w:r>
      <w:r>
        <w:rPr>
          <w:rFonts w:ascii="宋体" w:hAnsi="宋体" w:hint="eastAsia"/>
          <w:bCs/>
        </w:rPr>
        <w:t>～</w:t>
      </w:r>
      <w:r>
        <w:rPr>
          <w:bCs/>
        </w:rPr>
        <w:t>60m</w:t>
      </w:r>
      <w:r>
        <w:rPr>
          <w:rFonts w:ascii="宋体" w:hAnsi="宋体" w:hint="eastAsia"/>
          <w:bCs/>
        </w:rPr>
        <w:t>，岩性为绿色、灰白色粉质粘土，灰白、灰黄色泥质微胶结或含泥质中粗砂、含砾中粗砂、砂砾层。</w:t>
      </w:r>
    </w:p>
    <w:p w:rsidR="004E3021" w:rsidRDefault="00606E48">
      <w:pPr>
        <w:ind w:firstLine="480"/>
        <w:rPr>
          <w:b/>
          <w:bCs/>
        </w:rPr>
      </w:pPr>
      <w:r>
        <w:rPr>
          <w:rFonts w:ascii="宋体" w:hAnsi="宋体" w:hint="eastAsia"/>
          <w:bCs/>
        </w:rPr>
        <w:lastRenderedPageBreak/>
        <w:t>（</w:t>
      </w:r>
      <w:r>
        <w:rPr>
          <w:bCs/>
        </w:rPr>
        <w:t>3</w:t>
      </w:r>
      <w:r>
        <w:rPr>
          <w:rFonts w:ascii="宋体" w:hAnsi="宋体" w:hint="eastAsia"/>
          <w:bCs/>
        </w:rPr>
        <w:t>）新生界第四系（</w:t>
      </w:r>
      <w:r>
        <w:rPr>
          <w:bCs/>
        </w:rPr>
        <w:t>Q</w:t>
      </w:r>
      <w:r>
        <w:rPr>
          <w:rFonts w:ascii="宋体" w:hAnsi="宋体" w:hint="eastAsia"/>
          <w:bCs/>
        </w:rPr>
        <w:t>）</w:t>
      </w:r>
    </w:p>
    <w:p w:rsidR="004E3021" w:rsidRDefault="00606E48">
      <w:pPr>
        <w:ind w:firstLine="480"/>
        <w:rPr>
          <w:b/>
          <w:bCs/>
        </w:rPr>
      </w:pPr>
      <w:r>
        <w:rPr>
          <w:rFonts w:ascii="宋体" w:hAnsi="宋体" w:hint="eastAsia"/>
          <w:bCs/>
        </w:rPr>
        <w:t>本区自下而上分别为下更新统蒙城组（</w:t>
      </w:r>
      <w:r>
        <w:rPr>
          <w:bCs/>
        </w:rPr>
        <w:t>Q</w:t>
      </w:r>
      <w:r>
        <w:rPr>
          <w:bCs/>
          <w:vertAlign w:val="subscript"/>
        </w:rPr>
        <w:t>1</w:t>
      </w:r>
      <w:r>
        <w:rPr>
          <w:bCs/>
        </w:rPr>
        <w:t>M</w:t>
      </w:r>
      <w:r>
        <w:rPr>
          <w:rFonts w:ascii="宋体" w:hAnsi="宋体" w:hint="eastAsia"/>
          <w:bCs/>
        </w:rPr>
        <w:t>）、中更新统潘集组（</w:t>
      </w:r>
      <w:r>
        <w:rPr>
          <w:bCs/>
        </w:rPr>
        <w:t>Q</w:t>
      </w:r>
      <w:r>
        <w:rPr>
          <w:bCs/>
          <w:vertAlign w:val="subscript"/>
        </w:rPr>
        <w:t>2</w:t>
      </w:r>
      <w:r>
        <w:rPr>
          <w:bCs/>
        </w:rPr>
        <w:t>p</w:t>
      </w:r>
      <w:r>
        <w:rPr>
          <w:rFonts w:ascii="宋体" w:hAnsi="宋体" w:hint="eastAsia"/>
          <w:bCs/>
        </w:rPr>
        <w:t>）和上更新统茆塘组（</w:t>
      </w:r>
      <w:r>
        <w:rPr>
          <w:bCs/>
        </w:rPr>
        <w:t>Q</w:t>
      </w:r>
      <w:r>
        <w:rPr>
          <w:bCs/>
          <w:vertAlign w:val="subscript"/>
        </w:rPr>
        <w:t>3</w:t>
      </w:r>
      <w:r>
        <w:rPr>
          <w:bCs/>
        </w:rPr>
        <w:t>m</w:t>
      </w:r>
      <w:r>
        <w:rPr>
          <w:rFonts w:ascii="宋体" w:hAnsi="宋体" w:hint="eastAsia"/>
          <w:bCs/>
        </w:rPr>
        <w:t>）。</w:t>
      </w:r>
    </w:p>
    <w:p w:rsidR="004E3021" w:rsidRDefault="00606E48">
      <w:pPr>
        <w:ind w:firstLine="480"/>
        <w:rPr>
          <w:b/>
          <w:bCs/>
        </w:rPr>
      </w:pPr>
      <w:r>
        <w:rPr>
          <w:rFonts w:ascii="宋体" w:hAnsi="宋体" w:hint="eastAsia"/>
          <w:bCs/>
        </w:rPr>
        <w:t>下更新统蒙城组（</w:t>
      </w:r>
      <w:r>
        <w:rPr>
          <w:bCs/>
        </w:rPr>
        <w:t>Q</w:t>
      </w:r>
      <w:r>
        <w:rPr>
          <w:bCs/>
          <w:vertAlign w:val="subscript"/>
        </w:rPr>
        <w:t>1</w:t>
      </w:r>
      <w:r>
        <w:rPr>
          <w:bCs/>
        </w:rPr>
        <w:t>M</w:t>
      </w:r>
      <w:r>
        <w:rPr>
          <w:rFonts w:ascii="宋体" w:hAnsi="宋体" w:hint="eastAsia"/>
          <w:bCs/>
        </w:rPr>
        <w:t>）：全区广泛分布，隐伏于中更新统之下。厚度为</w:t>
      </w:r>
      <w:r>
        <w:rPr>
          <w:bCs/>
        </w:rPr>
        <w:t>20</w:t>
      </w:r>
      <w:r>
        <w:rPr>
          <w:rFonts w:ascii="宋体" w:hAnsi="宋体" w:hint="eastAsia"/>
          <w:bCs/>
        </w:rPr>
        <w:t>～</w:t>
      </w:r>
      <w:r>
        <w:rPr>
          <w:bCs/>
        </w:rPr>
        <w:t>35m</w:t>
      </w:r>
      <w:r>
        <w:rPr>
          <w:rFonts w:ascii="宋体" w:hAnsi="宋体" w:hint="eastAsia"/>
          <w:bCs/>
        </w:rPr>
        <w:t>，底部为黄棕色粉细砂、细砂、粉砂；上部为浅棕、灰黄色粉质粘土互层，夹薄层粉砂土及粉砂，富含钙质结核和铁锰质结核。</w:t>
      </w:r>
      <w:r>
        <w:rPr>
          <w:rFonts w:hint="eastAsia"/>
          <w:bCs/>
        </w:rPr>
        <w:t xml:space="preserve"> </w:t>
      </w:r>
    </w:p>
    <w:p w:rsidR="004E3021" w:rsidRDefault="00606E48">
      <w:pPr>
        <w:ind w:firstLine="480"/>
        <w:rPr>
          <w:b/>
          <w:bCs/>
        </w:rPr>
      </w:pPr>
      <w:r>
        <w:rPr>
          <w:rFonts w:ascii="宋体" w:hAnsi="宋体" w:hint="eastAsia"/>
          <w:bCs/>
        </w:rPr>
        <w:t>中更新统潘集组（</w:t>
      </w:r>
      <w:r>
        <w:rPr>
          <w:bCs/>
        </w:rPr>
        <w:t>Q</w:t>
      </w:r>
      <w:r>
        <w:rPr>
          <w:bCs/>
          <w:vertAlign w:val="subscript"/>
        </w:rPr>
        <w:t>2</w:t>
      </w:r>
      <w:r>
        <w:rPr>
          <w:bCs/>
        </w:rPr>
        <w:t>p</w:t>
      </w:r>
      <w:r>
        <w:rPr>
          <w:rFonts w:ascii="宋体" w:hAnsi="宋体" w:hint="eastAsia"/>
          <w:bCs/>
        </w:rPr>
        <w:t>）：全区广泛分布，隐伏于上更新统之下，层厚为</w:t>
      </w:r>
      <w:r>
        <w:rPr>
          <w:bCs/>
        </w:rPr>
        <w:t>45</w:t>
      </w:r>
      <w:r>
        <w:rPr>
          <w:rFonts w:ascii="宋体" w:hAnsi="宋体" w:hint="eastAsia"/>
          <w:bCs/>
        </w:rPr>
        <w:t>～</w:t>
      </w:r>
      <w:r>
        <w:rPr>
          <w:bCs/>
        </w:rPr>
        <w:t>60m</w:t>
      </w:r>
      <w:r>
        <w:rPr>
          <w:rFonts w:ascii="宋体" w:hAnsi="宋体" w:hint="eastAsia"/>
          <w:bCs/>
        </w:rPr>
        <w:t>，可分为上下两段：下段为黄灰色、黄绿色粉砂、细砂、粗中砂，结构松散，分选性较好，厚</w:t>
      </w:r>
      <w:r>
        <w:rPr>
          <w:bCs/>
        </w:rPr>
        <w:t>25</w:t>
      </w:r>
      <w:r>
        <w:rPr>
          <w:rFonts w:ascii="宋体" w:hAnsi="宋体" w:hint="eastAsia"/>
          <w:bCs/>
        </w:rPr>
        <w:t>～</w:t>
      </w:r>
      <w:r>
        <w:rPr>
          <w:bCs/>
        </w:rPr>
        <w:t>35m</w:t>
      </w:r>
      <w:r>
        <w:rPr>
          <w:rFonts w:ascii="宋体" w:hAnsi="宋体" w:hint="eastAsia"/>
          <w:bCs/>
        </w:rPr>
        <w:t>；上段为青黄色粘土，结构紧密，含钙质结核和铁锰质结核，厚度为</w:t>
      </w:r>
      <w:r>
        <w:rPr>
          <w:bCs/>
        </w:rPr>
        <w:t>20-30m</w:t>
      </w:r>
      <w:r>
        <w:rPr>
          <w:rFonts w:ascii="宋体" w:hAnsi="宋体" w:hint="eastAsia"/>
          <w:bCs/>
        </w:rPr>
        <w:t>。</w:t>
      </w:r>
    </w:p>
    <w:p w:rsidR="004E3021" w:rsidRDefault="00606E48">
      <w:pPr>
        <w:ind w:firstLine="480"/>
        <w:rPr>
          <w:b/>
          <w:bCs/>
        </w:rPr>
      </w:pPr>
      <w:r>
        <w:rPr>
          <w:rFonts w:ascii="宋体" w:hAnsi="宋体" w:hint="eastAsia"/>
          <w:bCs/>
        </w:rPr>
        <w:t>上更新统茆塘组（</w:t>
      </w:r>
      <w:r>
        <w:rPr>
          <w:bCs/>
        </w:rPr>
        <w:t>Q</w:t>
      </w:r>
      <w:r>
        <w:rPr>
          <w:bCs/>
          <w:vertAlign w:val="subscript"/>
        </w:rPr>
        <w:t>3</w:t>
      </w:r>
      <w:r>
        <w:rPr>
          <w:bCs/>
        </w:rPr>
        <w:t>m</w:t>
      </w:r>
      <w:r>
        <w:rPr>
          <w:rFonts w:ascii="宋体" w:hAnsi="宋体" w:hint="eastAsia"/>
          <w:bCs/>
        </w:rPr>
        <w:t>）：全区出露，厚度为</w:t>
      </w:r>
      <w:r>
        <w:rPr>
          <w:bCs/>
        </w:rPr>
        <w:t>20</w:t>
      </w:r>
      <w:r>
        <w:rPr>
          <w:rFonts w:ascii="宋体" w:hAnsi="宋体" w:hint="eastAsia"/>
          <w:bCs/>
        </w:rPr>
        <w:t>～</w:t>
      </w:r>
      <w:r>
        <w:rPr>
          <w:bCs/>
        </w:rPr>
        <w:t>30m</w:t>
      </w:r>
      <w:r>
        <w:rPr>
          <w:rFonts w:ascii="宋体" w:hAnsi="宋体" w:hint="eastAsia"/>
          <w:bCs/>
        </w:rPr>
        <w:t>，主要为褐黄色、灰褐色粉质粘土、粘土、粉土夹砂、粉细砂</w:t>
      </w:r>
      <w:r>
        <w:rPr>
          <w:bCs/>
        </w:rPr>
        <w:t>-</w:t>
      </w:r>
      <w:r>
        <w:rPr>
          <w:rFonts w:ascii="宋体" w:hAnsi="宋体" w:hint="eastAsia"/>
          <w:bCs/>
        </w:rPr>
        <w:t>中砂，局部地段下部夹少量砾石，普遍含有铁锰质结核和钙质结核，柱状节理较发育。</w:t>
      </w:r>
    </w:p>
    <w:p w:rsidR="004E3021" w:rsidRDefault="00606E48">
      <w:pPr>
        <w:pStyle w:val="4a"/>
      </w:pPr>
      <w:r>
        <w:rPr>
          <w:rFonts w:hint="eastAsia"/>
        </w:rPr>
        <w:t>5</w:t>
      </w:r>
      <w:r>
        <w:t>.5.1.4</w:t>
      </w:r>
      <w:r>
        <w:rPr>
          <w:rFonts w:ascii="黑体" w:hAnsi="黑体" w:hint="eastAsia"/>
        </w:rPr>
        <w:t>区域构造</w:t>
      </w:r>
    </w:p>
    <w:p w:rsidR="004E3021" w:rsidRDefault="00606E48">
      <w:pPr>
        <w:ind w:firstLine="480"/>
        <w:rPr>
          <w:b/>
          <w:bCs/>
        </w:rPr>
      </w:pPr>
      <w:r>
        <w:rPr>
          <w:bCs/>
        </w:rPr>
        <w:t>(1)</w:t>
      </w:r>
      <w:r>
        <w:rPr>
          <w:rFonts w:ascii="宋体" w:hAnsi="宋体"/>
          <w:bCs/>
        </w:rPr>
        <w:t>地质构造</w:t>
      </w:r>
    </w:p>
    <w:p w:rsidR="004E3021" w:rsidRDefault="00606E48">
      <w:pPr>
        <w:ind w:firstLine="480"/>
        <w:rPr>
          <w:b/>
          <w:bCs/>
        </w:rPr>
      </w:pPr>
      <w:r>
        <w:rPr>
          <w:rFonts w:ascii="宋体" w:hAnsi="宋体"/>
          <w:bCs/>
        </w:rPr>
        <w:t>评价区在大地构造分区上位于中朝准地台淮河台坳蚌埠台拱。区域褶皱和断裂较发育。</w:t>
      </w:r>
    </w:p>
    <w:p w:rsidR="004E3021" w:rsidRDefault="00606E48">
      <w:pPr>
        <w:ind w:firstLine="480"/>
        <w:rPr>
          <w:b/>
          <w:bCs/>
        </w:rPr>
      </w:pPr>
      <w:r>
        <w:rPr>
          <w:rFonts w:ascii="宋体" w:hAnsi="宋体" w:hint="eastAsia"/>
          <w:bCs/>
        </w:rPr>
        <w:t>①</w:t>
      </w:r>
      <w:r>
        <w:rPr>
          <w:rFonts w:ascii="宋体" w:hAnsi="宋体"/>
          <w:bCs/>
        </w:rPr>
        <w:t>褶皱</w:t>
      </w:r>
    </w:p>
    <w:p w:rsidR="004E3021" w:rsidRDefault="00606E48">
      <w:pPr>
        <w:ind w:firstLine="480"/>
        <w:rPr>
          <w:b/>
          <w:bCs/>
        </w:rPr>
      </w:pPr>
      <w:r>
        <w:rPr>
          <w:rFonts w:ascii="宋体" w:hAnsi="宋体"/>
          <w:bCs/>
        </w:rPr>
        <w:t>区域褶皱构造主要为蚌埠期构造运动形成的蚌埠复背斜。蚌埠复背斜核部为五河杂岩，轴迹为</w:t>
      </w:r>
      <w:r>
        <w:rPr>
          <w:bCs/>
        </w:rPr>
        <w:t>NWW</w:t>
      </w:r>
      <w:r>
        <w:rPr>
          <w:rFonts w:ascii="宋体" w:hAnsi="宋体"/>
          <w:bCs/>
        </w:rPr>
        <w:t>至</w:t>
      </w:r>
      <w:r>
        <w:rPr>
          <w:bCs/>
        </w:rPr>
        <w:t>SEE</w:t>
      </w:r>
      <w:r>
        <w:rPr>
          <w:rFonts w:ascii="宋体" w:hAnsi="宋体"/>
          <w:bCs/>
        </w:rPr>
        <w:t>，走向</w:t>
      </w:r>
      <w:r>
        <w:rPr>
          <w:bCs/>
        </w:rPr>
        <w:t>280º</w:t>
      </w:r>
      <w:r>
        <w:rPr>
          <w:rFonts w:ascii="宋体" w:hAnsi="宋体"/>
          <w:bCs/>
        </w:rPr>
        <w:t>，长约</w:t>
      </w:r>
      <w:r>
        <w:rPr>
          <w:bCs/>
        </w:rPr>
        <w:t>76km</w:t>
      </w:r>
      <w:r>
        <w:rPr>
          <w:rFonts w:ascii="宋体" w:hAnsi="宋体"/>
          <w:bCs/>
        </w:rPr>
        <w:t>，宽为</w:t>
      </w:r>
      <w:r>
        <w:rPr>
          <w:bCs/>
        </w:rPr>
        <w:t>5</w:t>
      </w:r>
      <w:r>
        <w:rPr>
          <w:rFonts w:ascii="宋体" w:hAnsi="宋体"/>
          <w:bCs/>
        </w:rPr>
        <w:t>～</w:t>
      </w:r>
      <w:r>
        <w:rPr>
          <w:bCs/>
        </w:rPr>
        <w:t>10km</w:t>
      </w:r>
      <w:r>
        <w:rPr>
          <w:rFonts w:ascii="宋体" w:hAnsi="宋体"/>
          <w:bCs/>
        </w:rPr>
        <w:t>。它的主要特征是核部向</w:t>
      </w:r>
      <w:r>
        <w:rPr>
          <w:bCs/>
        </w:rPr>
        <w:t>SEE</w:t>
      </w:r>
      <w:r>
        <w:rPr>
          <w:rFonts w:ascii="宋体" w:hAnsi="宋体"/>
          <w:bCs/>
        </w:rPr>
        <w:t>倾伏，倾角南翼陡，北翼缓。</w:t>
      </w:r>
    </w:p>
    <w:p w:rsidR="004E3021" w:rsidRDefault="00606E48">
      <w:pPr>
        <w:ind w:firstLine="480"/>
        <w:rPr>
          <w:b/>
          <w:bCs/>
        </w:rPr>
      </w:pPr>
      <w:r>
        <w:rPr>
          <w:rFonts w:ascii="宋体" w:hAnsi="宋体" w:hint="eastAsia"/>
          <w:bCs/>
        </w:rPr>
        <w:t>②</w:t>
      </w:r>
      <w:r>
        <w:rPr>
          <w:rFonts w:ascii="宋体" w:hAnsi="宋体"/>
          <w:bCs/>
        </w:rPr>
        <w:t>断裂</w:t>
      </w:r>
    </w:p>
    <w:p w:rsidR="004E3021" w:rsidRDefault="00606E48">
      <w:pPr>
        <w:ind w:firstLine="480"/>
        <w:rPr>
          <w:b/>
          <w:bCs/>
        </w:rPr>
      </w:pPr>
      <w:r>
        <w:rPr>
          <w:rFonts w:ascii="宋体" w:hAnsi="宋体"/>
          <w:bCs/>
        </w:rPr>
        <w:t>区域断裂构造以</w:t>
      </w:r>
      <w:r>
        <w:rPr>
          <w:bCs/>
        </w:rPr>
        <w:t>NNE</w:t>
      </w:r>
      <w:r>
        <w:rPr>
          <w:rFonts w:ascii="宋体" w:hAnsi="宋体"/>
          <w:bCs/>
        </w:rPr>
        <w:t>向最为发育，为压扭性兼有平移特征。</w:t>
      </w:r>
    </w:p>
    <w:p w:rsidR="004E3021" w:rsidRDefault="00606E48">
      <w:pPr>
        <w:ind w:firstLine="480"/>
        <w:rPr>
          <w:b/>
          <w:bCs/>
        </w:rPr>
      </w:pPr>
      <w:r>
        <w:rPr>
          <w:rFonts w:ascii="宋体" w:hAnsi="宋体"/>
          <w:bCs/>
        </w:rPr>
        <w:t>评估区附近东侧隐伏有平移断层</w:t>
      </w:r>
      <w:r>
        <w:rPr>
          <w:bCs/>
        </w:rPr>
        <w:t>F2</w:t>
      </w:r>
      <w:r>
        <w:rPr>
          <w:rFonts w:ascii="宋体" w:hAnsi="宋体"/>
          <w:bCs/>
        </w:rPr>
        <w:t>，方向</w:t>
      </w:r>
      <w:r>
        <w:rPr>
          <w:bCs/>
        </w:rPr>
        <w:t>NNE</w:t>
      </w:r>
      <w:r>
        <w:rPr>
          <w:rFonts w:ascii="宋体" w:hAnsi="宋体"/>
          <w:bCs/>
        </w:rPr>
        <w:t>，呈带状分布，破碎带宽</w:t>
      </w:r>
      <w:r>
        <w:rPr>
          <w:bCs/>
        </w:rPr>
        <w:t>10m</w:t>
      </w:r>
      <w:r>
        <w:rPr>
          <w:rFonts w:ascii="宋体" w:hAnsi="宋体"/>
          <w:bCs/>
        </w:rPr>
        <w:t>左右，破碎带岩石多具钾长石化；断裂面波状弯曲，走向</w:t>
      </w:r>
      <w:r>
        <w:rPr>
          <w:bCs/>
        </w:rPr>
        <w:t>12°</w:t>
      </w:r>
      <w:r>
        <w:rPr>
          <w:rFonts w:ascii="宋体" w:hAnsi="宋体"/>
          <w:bCs/>
        </w:rPr>
        <w:t>～</w:t>
      </w:r>
      <w:r>
        <w:rPr>
          <w:bCs/>
        </w:rPr>
        <w:t>15°</w:t>
      </w:r>
      <w:r>
        <w:rPr>
          <w:rFonts w:ascii="宋体" w:hAnsi="宋体"/>
          <w:bCs/>
        </w:rPr>
        <w:t>，倾角陡立，断距</w:t>
      </w:r>
      <w:r>
        <w:rPr>
          <w:bCs/>
        </w:rPr>
        <w:t>20</w:t>
      </w:r>
      <w:r>
        <w:rPr>
          <w:rFonts w:ascii="宋体" w:hAnsi="宋体"/>
          <w:bCs/>
        </w:rPr>
        <w:t>～</w:t>
      </w:r>
      <w:r>
        <w:rPr>
          <w:bCs/>
        </w:rPr>
        <w:t>25m</w:t>
      </w:r>
      <w:r>
        <w:rPr>
          <w:rFonts w:ascii="宋体" w:hAnsi="宋体"/>
          <w:bCs/>
        </w:rPr>
        <w:t>。</w:t>
      </w:r>
    </w:p>
    <w:p w:rsidR="004E3021" w:rsidRDefault="00606E48">
      <w:pPr>
        <w:ind w:firstLine="480"/>
        <w:rPr>
          <w:b/>
          <w:bCs/>
        </w:rPr>
      </w:pPr>
      <w:r>
        <w:rPr>
          <w:bCs/>
        </w:rPr>
        <w:t>(2)</w:t>
      </w:r>
      <w:r>
        <w:rPr>
          <w:rFonts w:ascii="宋体" w:hAnsi="宋体"/>
          <w:bCs/>
        </w:rPr>
        <w:t>区域地壳稳定性</w:t>
      </w:r>
    </w:p>
    <w:p w:rsidR="004E3021" w:rsidRDefault="00606E48">
      <w:pPr>
        <w:ind w:firstLine="480"/>
        <w:rPr>
          <w:b/>
          <w:bCs/>
        </w:rPr>
      </w:pPr>
      <w:r>
        <w:rPr>
          <w:bCs/>
        </w:rPr>
        <w:t>1)</w:t>
      </w:r>
      <w:r>
        <w:rPr>
          <w:rFonts w:ascii="宋体" w:hAnsi="宋体"/>
          <w:bCs/>
        </w:rPr>
        <w:t>新构造运动</w:t>
      </w:r>
    </w:p>
    <w:p w:rsidR="004E3021" w:rsidRDefault="00606E48">
      <w:pPr>
        <w:ind w:firstLine="480"/>
        <w:rPr>
          <w:b/>
          <w:bCs/>
        </w:rPr>
      </w:pPr>
      <w:r>
        <w:rPr>
          <w:rFonts w:ascii="宋体" w:hAnsi="宋体"/>
          <w:bCs/>
        </w:rPr>
        <w:t>新构造活动方式表现形式有两种，第三纪末期的构造运动以新断裂为主，第四纪以下降为主及升降相间的振荡运动为特点。</w:t>
      </w:r>
    </w:p>
    <w:p w:rsidR="004E3021" w:rsidRDefault="00606E48">
      <w:pPr>
        <w:ind w:firstLine="480"/>
        <w:rPr>
          <w:b/>
          <w:bCs/>
        </w:rPr>
      </w:pPr>
      <w:r>
        <w:rPr>
          <w:rFonts w:ascii="宋体" w:hAnsi="宋体" w:hint="eastAsia"/>
          <w:bCs/>
        </w:rPr>
        <w:t>①</w:t>
      </w:r>
      <w:r>
        <w:rPr>
          <w:rFonts w:ascii="宋体" w:hAnsi="宋体"/>
          <w:bCs/>
        </w:rPr>
        <w:t>新构造断裂的特征</w:t>
      </w:r>
    </w:p>
    <w:p w:rsidR="004E3021" w:rsidRDefault="00606E48">
      <w:pPr>
        <w:ind w:firstLine="480"/>
        <w:rPr>
          <w:b/>
          <w:bCs/>
        </w:rPr>
      </w:pPr>
      <w:r>
        <w:rPr>
          <w:bCs/>
        </w:rPr>
        <w:lastRenderedPageBreak/>
        <w:t>a.</w:t>
      </w:r>
      <w:r>
        <w:rPr>
          <w:rFonts w:ascii="宋体" w:hAnsi="宋体"/>
          <w:bCs/>
        </w:rPr>
        <w:t>方向性。构造格局表明，新构造断裂是由近</w:t>
      </w:r>
      <w:r>
        <w:rPr>
          <w:bCs/>
        </w:rPr>
        <w:t>EW</w:t>
      </w:r>
      <w:r>
        <w:rPr>
          <w:rFonts w:ascii="宋体" w:hAnsi="宋体"/>
          <w:bCs/>
        </w:rPr>
        <w:t>向（区外）和</w:t>
      </w:r>
      <w:r>
        <w:rPr>
          <w:bCs/>
        </w:rPr>
        <w:t>NNE</w:t>
      </w:r>
      <w:r>
        <w:rPr>
          <w:rFonts w:ascii="宋体" w:hAnsi="宋体"/>
          <w:bCs/>
        </w:rPr>
        <w:t>向两组断裂组成的断裂系统，且</w:t>
      </w:r>
      <w:r>
        <w:rPr>
          <w:bCs/>
        </w:rPr>
        <w:t>NNE</w:t>
      </w:r>
      <w:r>
        <w:rPr>
          <w:rFonts w:ascii="宋体" w:hAnsi="宋体"/>
          <w:bCs/>
        </w:rPr>
        <w:t>向断裂切割近</w:t>
      </w:r>
      <w:r>
        <w:rPr>
          <w:bCs/>
        </w:rPr>
        <w:t>EW</w:t>
      </w:r>
      <w:r>
        <w:rPr>
          <w:rFonts w:ascii="宋体" w:hAnsi="宋体"/>
          <w:bCs/>
        </w:rPr>
        <w:t>断裂。</w:t>
      </w:r>
    </w:p>
    <w:p w:rsidR="004E3021" w:rsidRDefault="00606E48">
      <w:pPr>
        <w:ind w:firstLine="480"/>
        <w:rPr>
          <w:b/>
          <w:bCs/>
        </w:rPr>
      </w:pPr>
      <w:r>
        <w:rPr>
          <w:bCs/>
        </w:rPr>
        <w:t>b.</w:t>
      </w:r>
      <w:r>
        <w:rPr>
          <w:rFonts w:ascii="宋体" w:hAnsi="宋体"/>
          <w:bCs/>
        </w:rPr>
        <w:t>力学性质。</w:t>
      </w:r>
      <w:r>
        <w:rPr>
          <w:bCs/>
        </w:rPr>
        <w:t>NNE</w:t>
      </w:r>
      <w:r>
        <w:rPr>
          <w:rFonts w:ascii="宋体" w:hAnsi="宋体"/>
          <w:bCs/>
        </w:rPr>
        <w:t>向断裂表现为张性和压扭性，断裂面多向北西倾斜；而</w:t>
      </w:r>
      <w:r>
        <w:rPr>
          <w:bCs/>
        </w:rPr>
        <w:t>EW</w:t>
      </w:r>
      <w:r>
        <w:rPr>
          <w:rFonts w:ascii="宋体" w:hAnsi="宋体"/>
          <w:bCs/>
        </w:rPr>
        <w:t>向断裂均为压性，断裂面向南倾斜；两者均具高角度特点。</w:t>
      </w:r>
    </w:p>
    <w:p w:rsidR="004E3021" w:rsidRDefault="00606E48">
      <w:pPr>
        <w:ind w:firstLine="480"/>
        <w:rPr>
          <w:b/>
          <w:bCs/>
        </w:rPr>
      </w:pPr>
      <w:r>
        <w:rPr>
          <w:bCs/>
        </w:rPr>
        <w:t>c.</w:t>
      </w:r>
      <w:r>
        <w:rPr>
          <w:rFonts w:ascii="宋体" w:hAnsi="宋体"/>
          <w:bCs/>
        </w:rPr>
        <w:t>继承性。两组断裂区外不仅切割了第三系地层，而且也切穿了五河杂岩地层和燕山期岩体；剖面上，五河杂岩地层上下盘落差大于新地层落差，说明在晚第三纪之前断裂即已形成，晚第三纪以来仅是沿老断裂微弱活动而已。</w:t>
      </w:r>
    </w:p>
    <w:p w:rsidR="004E3021" w:rsidRDefault="00606E48">
      <w:pPr>
        <w:ind w:firstLine="480"/>
        <w:rPr>
          <w:b/>
          <w:bCs/>
        </w:rPr>
      </w:pPr>
      <w:r>
        <w:rPr>
          <w:rFonts w:ascii="宋体" w:hAnsi="宋体" w:hint="eastAsia"/>
          <w:bCs/>
        </w:rPr>
        <w:t>②</w:t>
      </w:r>
      <w:r>
        <w:rPr>
          <w:rFonts w:ascii="宋体" w:hAnsi="宋体"/>
          <w:bCs/>
        </w:rPr>
        <w:t>下降为主、升降相间的振荡运动</w:t>
      </w:r>
    </w:p>
    <w:p w:rsidR="004E3021" w:rsidRDefault="00606E48">
      <w:pPr>
        <w:ind w:firstLine="480"/>
        <w:rPr>
          <w:b/>
          <w:bCs/>
        </w:rPr>
      </w:pPr>
      <w:r>
        <w:rPr>
          <w:bCs/>
        </w:rPr>
        <w:t>a.</w:t>
      </w:r>
      <w:r>
        <w:rPr>
          <w:rFonts w:ascii="宋体" w:hAnsi="宋体"/>
          <w:bCs/>
        </w:rPr>
        <w:t>水系展布规律：淮河南岸支流纵比降大，河道狭窄，流速大且急，一般较短；淮河北岸支流纵比降小，流速缓慢，河道宽且长，形成不对称羽毛状。说明区内新构造运动的垂直上升运动南部比北部大。</w:t>
      </w:r>
    </w:p>
    <w:p w:rsidR="004E3021" w:rsidRDefault="00606E48">
      <w:pPr>
        <w:ind w:firstLine="480"/>
        <w:rPr>
          <w:b/>
          <w:bCs/>
        </w:rPr>
      </w:pPr>
      <w:r>
        <w:rPr>
          <w:bCs/>
        </w:rPr>
        <w:t>b.</w:t>
      </w:r>
      <w:r>
        <w:rPr>
          <w:rFonts w:ascii="宋体" w:hAnsi="宋体"/>
          <w:bCs/>
        </w:rPr>
        <w:t>松散沉积厚度变化：松散沉积厚度除受构造坳陷、隆起控制外，沉积厚度和地貌特征也有不同。淮河以南，有中、上更新统组成的山前斜坡地，以及全新统组成的河漫滩；淮河以北，为一微有起伏的开阔平原，地表绝大部分为上更新统河流相沉积物，仅构成河间平地，厚度约</w:t>
      </w:r>
      <w:r>
        <w:rPr>
          <w:bCs/>
        </w:rPr>
        <w:t>50m</w:t>
      </w:r>
      <w:r>
        <w:rPr>
          <w:rFonts w:ascii="宋体" w:hAnsi="宋体"/>
          <w:bCs/>
        </w:rPr>
        <w:t>左右。新构造运动表现为全新世以前区域以沉积为主，地壳趋于稳定。</w:t>
      </w:r>
    </w:p>
    <w:p w:rsidR="004E3021" w:rsidRDefault="00606E48">
      <w:pPr>
        <w:ind w:firstLine="480"/>
        <w:rPr>
          <w:b/>
          <w:bCs/>
        </w:rPr>
      </w:pPr>
      <w:r>
        <w:rPr>
          <w:bCs/>
        </w:rPr>
        <w:t>2)</w:t>
      </w:r>
      <w:r>
        <w:rPr>
          <w:rFonts w:ascii="宋体" w:hAnsi="宋体"/>
          <w:bCs/>
        </w:rPr>
        <w:t>地震</w:t>
      </w:r>
    </w:p>
    <w:p w:rsidR="004E3021" w:rsidRDefault="00606E48">
      <w:pPr>
        <w:ind w:firstLine="480"/>
        <w:rPr>
          <w:b/>
          <w:bCs/>
        </w:rPr>
      </w:pPr>
      <w:r>
        <w:rPr>
          <w:rFonts w:ascii="宋体" w:hAnsi="宋体"/>
          <w:bCs/>
        </w:rPr>
        <w:t>从史志记载以来，蚌埠市及邻近地区发生</w:t>
      </w:r>
      <w:r>
        <w:rPr>
          <w:bCs/>
        </w:rPr>
        <w:t>5</w:t>
      </w:r>
      <w:r>
        <w:rPr>
          <w:rFonts w:ascii="宋体" w:hAnsi="宋体"/>
          <w:bCs/>
        </w:rPr>
        <w:t>级以上地震</w:t>
      </w:r>
      <w:r>
        <w:rPr>
          <w:bCs/>
        </w:rPr>
        <w:t>5</w:t>
      </w:r>
      <w:r>
        <w:rPr>
          <w:rFonts w:ascii="宋体" w:hAnsi="宋体"/>
          <w:bCs/>
        </w:rPr>
        <w:t>次。</w:t>
      </w:r>
      <w:r>
        <w:rPr>
          <w:bCs/>
        </w:rPr>
        <w:t>1644</w:t>
      </w:r>
      <w:r>
        <w:rPr>
          <w:rFonts w:ascii="宋体" w:hAnsi="宋体"/>
          <w:bCs/>
        </w:rPr>
        <w:t>年</w:t>
      </w:r>
      <w:r>
        <w:rPr>
          <w:bCs/>
        </w:rPr>
        <w:t>2</w:t>
      </w:r>
      <w:r>
        <w:rPr>
          <w:rFonts w:ascii="宋体" w:hAnsi="宋体"/>
          <w:bCs/>
        </w:rPr>
        <w:t>月</w:t>
      </w:r>
      <w:r>
        <w:rPr>
          <w:bCs/>
        </w:rPr>
        <w:t>3</w:t>
      </w:r>
      <w:r>
        <w:rPr>
          <w:rFonts w:ascii="宋体" w:hAnsi="宋体"/>
          <w:bCs/>
        </w:rPr>
        <w:t>日凤阳与蚌埠交界处发生</w:t>
      </w:r>
      <w:r>
        <w:rPr>
          <w:bCs/>
        </w:rPr>
        <w:t>5.5</w:t>
      </w:r>
      <w:r>
        <w:rPr>
          <w:rFonts w:ascii="宋体" w:hAnsi="宋体"/>
          <w:bCs/>
        </w:rPr>
        <w:t>级地震，震中烈度</w:t>
      </w:r>
      <w:r>
        <w:rPr>
          <w:bCs/>
        </w:rPr>
        <w:t>7</w:t>
      </w:r>
      <w:r>
        <w:rPr>
          <w:rFonts w:ascii="宋体" w:hAnsi="宋体"/>
          <w:bCs/>
        </w:rPr>
        <w:t>度；</w:t>
      </w:r>
      <w:r>
        <w:rPr>
          <w:bCs/>
        </w:rPr>
        <w:t>1829</w:t>
      </w:r>
      <w:r>
        <w:rPr>
          <w:rFonts w:ascii="宋体" w:hAnsi="宋体"/>
          <w:bCs/>
        </w:rPr>
        <w:t>年</w:t>
      </w:r>
      <w:r>
        <w:rPr>
          <w:bCs/>
        </w:rPr>
        <w:t>11</w:t>
      </w:r>
      <w:r>
        <w:rPr>
          <w:rFonts w:ascii="宋体" w:hAnsi="宋体"/>
          <w:bCs/>
        </w:rPr>
        <w:t>月</w:t>
      </w:r>
      <w:r>
        <w:rPr>
          <w:bCs/>
        </w:rPr>
        <w:t>18</w:t>
      </w:r>
      <w:r>
        <w:rPr>
          <w:rFonts w:ascii="宋体" w:hAnsi="宋体"/>
          <w:bCs/>
        </w:rPr>
        <w:t>日五河发生</w:t>
      </w:r>
      <w:r>
        <w:rPr>
          <w:bCs/>
        </w:rPr>
        <w:t>5.5</w:t>
      </w:r>
      <w:r>
        <w:rPr>
          <w:rFonts w:ascii="宋体" w:hAnsi="宋体"/>
          <w:bCs/>
        </w:rPr>
        <w:t>级地震，震中烈度</w:t>
      </w:r>
      <w:r>
        <w:rPr>
          <w:bCs/>
        </w:rPr>
        <w:t>7</w:t>
      </w:r>
      <w:r>
        <w:rPr>
          <w:rFonts w:ascii="宋体" w:hAnsi="宋体"/>
          <w:bCs/>
        </w:rPr>
        <w:t>度；</w:t>
      </w:r>
      <w:r>
        <w:rPr>
          <w:bCs/>
        </w:rPr>
        <w:t>1831</w:t>
      </w:r>
      <w:r>
        <w:rPr>
          <w:rFonts w:ascii="宋体" w:hAnsi="宋体"/>
          <w:bCs/>
        </w:rPr>
        <w:t>年</w:t>
      </w:r>
      <w:r>
        <w:rPr>
          <w:bCs/>
        </w:rPr>
        <w:t>9</w:t>
      </w:r>
      <w:r>
        <w:rPr>
          <w:rFonts w:ascii="宋体" w:hAnsi="宋体"/>
          <w:bCs/>
        </w:rPr>
        <w:t>月</w:t>
      </w:r>
      <w:r>
        <w:rPr>
          <w:bCs/>
        </w:rPr>
        <w:t>28</w:t>
      </w:r>
      <w:r>
        <w:rPr>
          <w:rFonts w:ascii="宋体" w:hAnsi="宋体"/>
          <w:bCs/>
        </w:rPr>
        <w:t>日怀远县平峨山发生</w:t>
      </w:r>
      <w:r>
        <w:rPr>
          <w:bCs/>
        </w:rPr>
        <w:t>6.5</w:t>
      </w:r>
      <w:r>
        <w:rPr>
          <w:rFonts w:ascii="宋体" w:hAnsi="宋体"/>
          <w:bCs/>
        </w:rPr>
        <w:t>级地震，震中烈度</w:t>
      </w:r>
      <w:r>
        <w:rPr>
          <w:bCs/>
        </w:rPr>
        <w:t>8</w:t>
      </w:r>
      <w:r>
        <w:rPr>
          <w:rFonts w:ascii="宋体" w:hAnsi="宋体"/>
          <w:bCs/>
        </w:rPr>
        <w:t>度；</w:t>
      </w:r>
      <w:r>
        <w:rPr>
          <w:bCs/>
        </w:rPr>
        <w:t>1979</w:t>
      </w:r>
      <w:r>
        <w:rPr>
          <w:rFonts w:ascii="宋体" w:hAnsi="宋体"/>
          <w:bCs/>
        </w:rPr>
        <w:t>年</w:t>
      </w:r>
      <w:r>
        <w:rPr>
          <w:bCs/>
        </w:rPr>
        <w:t>3</w:t>
      </w:r>
      <w:r>
        <w:rPr>
          <w:rFonts w:ascii="宋体" w:hAnsi="宋体"/>
          <w:bCs/>
        </w:rPr>
        <w:t>月</w:t>
      </w:r>
      <w:r>
        <w:rPr>
          <w:bCs/>
        </w:rPr>
        <w:t>2</w:t>
      </w:r>
      <w:r>
        <w:rPr>
          <w:rFonts w:ascii="宋体" w:hAnsi="宋体"/>
          <w:bCs/>
        </w:rPr>
        <w:t>日固镇县新马桥发生</w:t>
      </w:r>
      <w:r>
        <w:rPr>
          <w:bCs/>
        </w:rPr>
        <w:t>5</w:t>
      </w:r>
      <w:r>
        <w:rPr>
          <w:rFonts w:ascii="宋体" w:hAnsi="宋体"/>
          <w:bCs/>
        </w:rPr>
        <w:t>级地震，震中烈度</w:t>
      </w:r>
      <w:r>
        <w:rPr>
          <w:bCs/>
        </w:rPr>
        <w:t>6</w:t>
      </w:r>
      <w:r>
        <w:rPr>
          <w:rFonts w:ascii="宋体" w:hAnsi="宋体"/>
          <w:bCs/>
        </w:rPr>
        <w:t>度；</w:t>
      </w:r>
      <w:r>
        <w:rPr>
          <w:bCs/>
        </w:rPr>
        <w:t>2007</w:t>
      </w:r>
      <w:r>
        <w:rPr>
          <w:rFonts w:ascii="宋体" w:hAnsi="宋体"/>
          <w:bCs/>
        </w:rPr>
        <w:t>年</w:t>
      </w:r>
      <w:r>
        <w:rPr>
          <w:bCs/>
        </w:rPr>
        <w:t>7</w:t>
      </w:r>
      <w:r>
        <w:rPr>
          <w:rFonts w:ascii="宋体" w:hAnsi="宋体"/>
          <w:bCs/>
        </w:rPr>
        <w:t>月</w:t>
      </w:r>
      <w:r>
        <w:rPr>
          <w:bCs/>
        </w:rPr>
        <w:t>26</w:t>
      </w:r>
      <w:r>
        <w:rPr>
          <w:rFonts w:ascii="宋体" w:hAnsi="宋体"/>
          <w:bCs/>
        </w:rPr>
        <w:t>日安徽定远发生</w:t>
      </w:r>
      <w:r>
        <w:rPr>
          <w:bCs/>
        </w:rPr>
        <w:t>4.2</w:t>
      </w:r>
      <w:r>
        <w:rPr>
          <w:rFonts w:ascii="宋体" w:hAnsi="宋体"/>
          <w:bCs/>
        </w:rPr>
        <w:t>级地震，震中烈度</w:t>
      </w:r>
      <w:r>
        <w:rPr>
          <w:bCs/>
        </w:rPr>
        <w:t>5</w:t>
      </w:r>
      <w:r>
        <w:rPr>
          <w:rFonts w:ascii="宋体" w:hAnsi="宋体"/>
          <w:bCs/>
        </w:rPr>
        <w:t>度。据</w:t>
      </w:r>
      <w:r>
        <w:rPr>
          <w:bCs/>
        </w:rPr>
        <w:t>1965</w:t>
      </w:r>
      <w:r>
        <w:rPr>
          <w:rFonts w:ascii="宋体" w:hAnsi="宋体"/>
          <w:bCs/>
        </w:rPr>
        <w:t>年～</w:t>
      </w:r>
      <w:r>
        <w:rPr>
          <w:bCs/>
        </w:rPr>
        <w:t>2003</w:t>
      </w:r>
      <w:r>
        <w:rPr>
          <w:rFonts w:ascii="宋体" w:hAnsi="宋体"/>
          <w:bCs/>
        </w:rPr>
        <w:t>年的统计资料，评估区及临近地区小于</w:t>
      </w:r>
      <w:r>
        <w:rPr>
          <w:bCs/>
        </w:rPr>
        <w:t>4</w:t>
      </w:r>
      <w:r>
        <w:rPr>
          <w:rFonts w:ascii="宋体" w:hAnsi="宋体"/>
          <w:bCs/>
        </w:rPr>
        <w:t>级大于</w:t>
      </w:r>
      <w:r>
        <w:rPr>
          <w:bCs/>
        </w:rPr>
        <w:t>3</w:t>
      </w:r>
      <w:r>
        <w:rPr>
          <w:rFonts w:ascii="宋体" w:hAnsi="宋体"/>
          <w:bCs/>
        </w:rPr>
        <w:t>级的地震约</w:t>
      </w:r>
      <w:r>
        <w:rPr>
          <w:bCs/>
        </w:rPr>
        <w:t>22</w:t>
      </w:r>
      <w:r>
        <w:rPr>
          <w:rFonts w:ascii="宋体" w:hAnsi="宋体"/>
          <w:bCs/>
        </w:rPr>
        <w:t>次。</w:t>
      </w:r>
    </w:p>
    <w:p w:rsidR="004E3021" w:rsidRDefault="00606E48">
      <w:pPr>
        <w:ind w:firstLine="480"/>
        <w:rPr>
          <w:b/>
          <w:bCs/>
        </w:rPr>
      </w:pPr>
      <w:r>
        <w:rPr>
          <w:rFonts w:ascii="宋体" w:hAnsi="宋体"/>
          <w:bCs/>
        </w:rPr>
        <w:t>根据《中国地震动参数区划图（</w:t>
      </w:r>
      <w:r>
        <w:rPr>
          <w:bCs/>
        </w:rPr>
        <w:t>GB18306—2001</w:t>
      </w:r>
      <w:r>
        <w:rPr>
          <w:rFonts w:ascii="宋体" w:hAnsi="宋体"/>
          <w:bCs/>
        </w:rPr>
        <w:t>）》，评估区地震基本烈度为</w:t>
      </w:r>
      <w:r>
        <w:rPr>
          <w:bCs/>
        </w:rPr>
        <w:t>7</w:t>
      </w:r>
      <w:r>
        <w:rPr>
          <w:rFonts w:ascii="宋体" w:hAnsi="宋体"/>
          <w:bCs/>
        </w:rPr>
        <w:t>度，设计基本地震加速度值为</w:t>
      </w:r>
      <w:r>
        <w:rPr>
          <w:bCs/>
        </w:rPr>
        <w:t>0.10g</w:t>
      </w:r>
      <w:r>
        <w:rPr>
          <w:rFonts w:ascii="宋体" w:hAnsi="宋体"/>
          <w:bCs/>
        </w:rPr>
        <w:t>。</w:t>
      </w:r>
    </w:p>
    <w:p w:rsidR="004E3021" w:rsidRDefault="00606E48">
      <w:pPr>
        <w:pStyle w:val="afffff4"/>
        <w:ind w:firstLine="480"/>
      </w:pPr>
      <w:r>
        <w:rPr>
          <w:rFonts w:ascii="黑体" w:hAnsi="黑体"/>
        </w:rPr>
        <w:t>表</w:t>
      </w:r>
      <w:r>
        <w:rPr>
          <w:rFonts w:hint="eastAsia"/>
        </w:rPr>
        <w:t>5.</w:t>
      </w:r>
      <w:r>
        <w:t>5</w:t>
      </w:r>
      <w:r>
        <w:rPr>
          <w:rFonts w:hint="eastAsia"/>
        </w:rPr>
        <w:t>.1-2</w:t>
      </w:r>
      <w:r>
        <w:t xml:space="preserve">  </w:t>
      </w:r>
      <w:r>
        <w:rPr>
          <w:rFonts w:ascii="黑体" w:hAnsi="黑体"/>
        </w:rPr>
        <w:t>地震动峰值加速度分区与地震基本烈度对照表</w:t>
      </w:r>
    </w:p>
    <w:tbl>
      <w:tblPr>
        <w:tblW w:w="5000" w:type="pct"/>
        <w:jc w:val="center"/>
        <w:tblLook w:val="04A0" w:firstRow="1" w:lastRow="0" w:firstColumn="1" w:lastColumn="0" w:noHBand="0" w:noVBand="1"/>
      </w:tblPr>
      <w:tblGrid>
        <w:gridCol w:w="2549"/>
        <w:gridCol w:w="802"/>
        <w:gridCol w:w="946"/>
        <w:gridCol w:w="946"/>
        <w:gridCol w:w="946"/>
        <w:gridCol w:w="946"/>
        <w:gridCol w:w="946"/>
        <w:gridCol w:w="946"/>
      </w:tblGrid>
      <w:tr w:rsidR="004E3021">
        <w:trPr>
          <w:jc w:val="center"/>
        </w:trPr>
        <w:tc>
          <w:tcPr>
            <w:tcW w:w="1412" w:type="pct"/>
            <w:tcBorders>
              <w:top w:val="single" w:sz="12" w:space="0" w:color="auto"/>
              <w:left w:val="nil"/>
              <w:bottom w:val="single" w:sz="4" w:space="0" w:color="auto"/>
              <w:right w:val="single" w:sz="4" w:space="0" w:color="auto"/>
            </w:tcBorders>
          </w:tcPr>
          <w:p w:rsidR="004E3021" w:rsidRDefault="00606E48">
            <w:pPr>
              <w:pStyle w:val="afffffff2"/>
              <w:rPr>
                <w:kern w:val="0"/>
                <w:szCs w:val="20"/>
              </w:rPr>
            </w:pPr>
            <w:r>
              <w:rPr>
                <w:kern w:val="0"/>
                <w:szCs w:val="20"/>
              </w:rPr>
              <w:t>地震动峰值加速度（</w:t>
            </w:r>
            <w:r>
              <w:rPr>
                <w:kern w:val="0"/>
                <w:szCs w:val="20"/>
              </w:rPr>
              <w:t>g</w:t>
            </w:r>
            <w:r>
              <w:rPr>
                <w:kern w:val="0"/>
                <w:szCs w:val="20"/>
              </w:rPr>
              <w:t>）</w:t>
            </w:r>
          </w:p>
        </w:tc>
        <w:tc>
          <w:tcPr>
            <w:tcW w:w="444" w:type="pct"/>
            <w:tcBorders>
              <w:top w:val="single" w:sz="12" w:space="0" w:color="auto"/>
              <w:left w:val="single" w:sz="4" w:space="0" w:color="auto"/>
              <w:bottom w:val="single" w:sz="4" w:space="0" w:color="auto"/>
              <w:right w:val="single" w:sz="4" w:space="0" w:color="auto"/>
            </w:tcBorders>
          </w:tcPr>
          <w:p w:rsidR="004E3021" w:rsidRDefault="00606E48">
            <w:pPr>
              <w:pStyle w:val="afffffff2"/>
              <w:rPr>
                <w:kern w:val="0"/>
                <w:szCs w:val="20"/>
              </w:rPr>
            </w:pPr>
            <w:r>
              <w:rPr>
                <w:kern w:val="0"/>
                <w:szCs w:val="20"/>
              </w:rPr>
              <w:t>&lt;0.05</w:t>
            </w:r>
          </w:p>
        </w:tc>
        <w:tc>
          <w:tcPr>
            <w:tcW w:w="524" w:type="pct"/>
            <w:tcBorders>
              <w:top w:val="single" w:sz="12" w:space="0" w:color="auto"/>
              <w:left w:val="single" w:sz="4" w:space="0" w:color="auto"/>
              <w:bottom w:val="single" w:sz="4" w:space="0" w:color="auto"/>
              <w:right w:val="single" w:sz="4" w:space="0" w:color="auto"/>
            </w:tcBorders>
          </w:tcPr>
          <w:p w:rsidR="004E3021" w:rsidRDefault="00606E48">
            <w:pPr>
              <w:pStyle w:val="afffffff2"/>
              <w:rPr>
                <w:kern w:val="0"/>
                <w:szCs w:val="20"/>
              </w:rPr>
            </w:pPr>
            <w:r>
              <w:rPr>
                <w:kern w:val="0"/>
                <w:szCs w:val="20"/>
              </w:rPr>
              <w:t>0.05</w:t>
            </w:r>
          </w:p>
        </w:tc>
        <w:tc>
          <w:tcPr>
            <w:tcW w:w="524" w:type="pct"/>
            <w:tcBorders>
              <w:top w:val="single" w:sz="12" w:space="0" w:color="auto"/>
              <w:left w:val="single" w:sz="4" w:space="0" w:color="auto"/>
              <w:bottom w:val="single" w:sz="4" w:space="0" w:color="auto"/>
              <w:right w:val="single" w:sz="4" w:space="0" w:color="auto"/>
            </w:tcBorders>
          </w:tcPr>
          <w:p w:rsidR="004E3021" w:rsidRDefault="00606E48">
            <w:pPr>
              <w:pStyle w:val="afffffff2"/>
              <w:rPr>
                <w:kern w:val="0"/>
                <w:szCs w:val="20"/>
              </w:rPr>
            </w:pPr>
            <w:r>
              <w:rPr>
                <w:kern w:val="0"/>
                <w:szCs w:val="20"/>
              </w:rPr>
              <w:t>0.1</w:t>
            </w:r>
          </w:p>
        </w:tc>
        <w:tc>
          <w:tcPr>
            <w:tcW w:w="524" w:type="pct"/>
            <w:tcBorders>
              <w:top w:val="single" w:sz="12" w:space="0" w:color="auto"/>
              <w:left w:val="single" w:sz="4" w:space="0" w:color="auto"/>
              <w:bottom w:val="single" w:sz="4" w:space="0" w:color="auto"/>
              <w:right w:val="single" w:sz="4" w:space="0" w:color="auto"/>
            </w:tcBorders>
          </w:tcPr>
          <w:p w:rsidR="004E3021" w:rsidRDefault="00606E48">
            <w:pPr>
              <w:pStyle w:val="afffffff2"/>
              <w:rPr>
                <w:kern w:val="0"/>
                <w:szCs w:val="20"/>
              </w:rPr>
            </w:pPr>
            <w:r>
              <w:rPr>
                <w:kern w:val="0"/>
                <w:szCs w:val="20"/>
              </w:rPr>
              <w:t>0.15</w:t>
            </w:r>
          </w:p>
        </w:tc>
        <w:tc>
          <w:tcPr>
            <w:tcW w:w="524" w:type="pct"/>
            <w:tcBorders>
              <w:top w:val="single" w:sz="12" w:space="0" w:color="auto"/>
              <w:left w:val="single" w:sz="4" w:space="0" w:color="auto"/>
              <w:bottom w:val="single" w:sz="4" w:space="0" w:color="auto"/>
              <w:right w:val="single" w:sz="4" w:space="0" w:color="auto"/>
            </w:tcBorders>
          </w:tcPr>
          <w:p w:rsidR="004E3021" w:rsidRDefault="00606E48">
            <w:pPr>
              <w:pStyle w:val="afffffff2"/>
              <w:rPr>
                <w:kern w:val="0"/>
                <w:szCs w:val="20"/>
              </w:rPr>
            </w:pPr>
            <w:r>
              <w:rPr>
                <w:kern w:val="0"/>
                <w:szCs w:val="20"/>
              </w:rPr>
              <w:t>0.2</w:t>
            </w:r>
          </w:p>
        </w:tc>
        <w:tc>
          <w:tcPr>
            <w:tcW w:w="524" w:type="pct"/>
            <w:tcBorders>
              <w:top w:val="single" w:sz="12" w:space="0" w:color="auto"/>
              <w:left w:val="single" w:sz="4" w:space="0" w:color="auto"/>
              <w:bottom w:val="single" w:sz="4" w:space="0" w:color="auto"/>
              <w:right w:val="single" w:sz="4" w:space="0" w:color="auto"/>
            </w:tcBorders>
          </w:tcPr>
          <w:p w:rsidR="004E3021" w:rsidRDefault="00606E48">
            <w:pPr>
              <w:pStyle w:val="afffffff2"/>
              <w:rPr>
                <w:kern w:val="0"/>
                <w:szCs w:val="20"/>
              </w:rPr>
            </w:pPr>
            <w:r>
              <w:rPr>
                <w:kern w:val="0"/>
                <w:szCs w:val="20"/>
              </w:rPr>
              <w:t>0.3</w:t>
            </w:r>
          </w:p>
        </w:tc>
        <w:tc>
          <w:tcPr>
            <w:tcW w:w="524" w:type="pct"/>
            <w:tcBorders>
              <w:top w:val="single" w:sz="12" w:space="0" w:color="auto"/>
              <w:left w:val="single" w:sz="4" w:space="0" w:color="auto"/>
              <w:bottom w:val="single" w:sz="4" w:space="0" w:color="auto"/>
              <w:right w:val="nil"/>
            </w:tcBorders>
          </w:tcPr>
          <w:p w:rsidR="004E3021" w:rsidRDefault="00606E48">
            <w:pPr>
              <w:pStyle w:val="afffffff2"/>
              <w:rPr>
                <w:kern w:val="0"/>
                <w:szCs w:val="20"/>
              </w:rPr>
            </w:pPr>
            <w:r>
              <w:rPr>
                <w:kern w:val="0"/>
                <w:szCs w:val="20"/>
              </w:rPr>
              <w:t>≥0.4</w:t>
            </w:r>
          </w:p>
        </w:tc>
      </w:tr>
      <w:tr w:rsidR="004E3021">
        <w:trPr>
          <w:jc w:val="center"/>
        </w:trPr>
        <w:tc>
          <w:tcPr>
            <w:tcW w:w="1412" w:type="pct"/>
            <w:tcBorders>
              <w:top w:val="single" w:sz="4" w:space="0" w:color="auto"/>
              <w:left w:val="nil"/>
              <w:bottom w:val="single" w:sz="12" w:space="0" w:color="auto"/>
              <w:right w:val="single" w:sz="4" w:space="0" w:color="auto"/>
            </w:tcBorders>
          </w:tcPr>
          <w:p w:rsidR="004E3021" w:rsidRDefault="00606E48">
            <w:pPr>
              <w:pStyle w:val="afffffff2"/>
              <w:rPr>
                <w:kern w:val="0"/>
                <w:szCs w:val="20"/>
              </w:rPr>
            </w:pPr>
            <w:r>
              <w:rPr>
                <w:kern w:val="0"/>
                <w:szCs w:val="20"/>
              </w:rPr>
              <w:t>地震基本烈度值</w:t>
            </w:r>
          </w:p>
        </w:tc>
        <w:tc>
          <w:tcPr>
            <w:tcW w:w="444" w:type="pct"/>
            <w:tcBorders>
              <w:top w:val="single" w:sz="4" w:space="0" w:color="auto"/>
              <w:left w:val="single" w:sz="4" w:space="0" w:color="auto"/>
              <w:bottom w:val="single" w:sz="12" w:space="0" w:color="auto"/>
              <w:right w:val="single" w:sz="4" w:space="0" w:color="auto"/>
            </w:tcBorders>
          </w:tcPr>
          <w:p w:rsidR="004E3021" w:rsidRDefault="00606E48">
            <w:pPr>
              <w:pStyle w:val="afffffff2"/>
              <w:rPr>
                <w:kern w:val="0"/>
                <w:szCs w:val="20"/>
              </w:rPr>
            </w:pPr>
            <w:r>
              <w:rPr>
                <w:kern w:val="0"/>
                <w:szCs w:val="20"/>
              </w:rPr>
              <w:t>&lt;</w:t>
            </w:r>
            <w:r>
              <w:rPr>
                <w:rFonts w:hint="eastAsia"/>
                <w:kern w:val="0"/>
                <w:szCs w:val="20"/>
              </w:rPr>
              <w:t>Ⅵ</w:t>
            </w:r>
          </w:p>
        </w:tc>
        <w:tc>
          <w:tcPr>
            <w:tcW w:w="524" w:type="pct"/>
            <w:tcBorders>
              <w:top w:val="single" w:sz="4" w:space="0" w:color="auto"/>
              <w:left w:val="single" w:sz="4" w:space="0" w:color="auto"/>
              <w:bottom w:val="single" w:sz="12" w:space="0" w:color="auto"/>
              <w:right w:val="single" w:sz="4" w:space="0" w:color="auto"/>
            </w:tcBorders>
          </w:tcPr>
          <w:p w:rsidR="004E3021" w:rsidRDefault="00606E48">
            <w:pPr>
              <w:pStyle w:val="afffffff2"/>
              <w:rPr>
                <w:kern w:val="0"/>
                <w:szCs w:val="20"/>
              </w:rPr>
            </w:pPr>
            <w:r>
              <w:rPr>
                <w:rFonts w:hint="eastAsia"/>
                <w:kern w:val="0"/>
                <w:szCs w:val="20"/>
              </w:rPr>
              <w:t>Ⅵ</w:t>
            </w:r>
          </w:p>
        </w:tc>
        <w:tc>
          <w:tcPr>
            <w:tcW w:w="524" w:type="pct"/>
            <w:tcBorders>
              <w:top w:val="single" w:sz="4" w:space="0" w:color="auto"/>
              <w:left w:val="single" w:sz="4" w:space="0" w:color="auto"/>
              <w:bottom w:val="single" w:sz="12" w:space="0" w:color="auto"/>
              <w:right w:val="single" w:sz="4" w:space="0" w:color="auto"/>
            </w:tcBorders>
          </w:tcPr>
          <w:p w:rsidR="004E3021" w:rsidRDefault="00606E48">
            <w:pPr>
              <w:pStyle w:val="afffffff2"/>
              <w:rPr>
                <w:kern w:val="0"/>
                <w:szCs w:val="20"/>
              </w:rPr>
            </w:pPr>
            <w:r>
              <w:rPr>
                <w:rFonts w:hint="eastAsia"/>
                <w:kern w:val="0"/>
                <w:szCs w:val="20"/>
              </w:rPr>
              <w:t>Ⅶ</w:t>
            </w:r>
          </w:p>
        </w:tc>
        <w:tc>
          <w:tcPr>
            <w:tcW w:w="524" w:type="pct"/>
            <w:tcBorders>
              <w:top w:val="single" w:sz="4" w:space="0" w:color="auto"/>
              <w:left w:val="single" w:sz="4" w:space="0" w:color="auto"/>
              <w:bottom w:val="single" w:sz="12" w:space="0" w:color="auto"/>
              <w:right w:val="single" w:sz="4" w:space="0" w:color="auto"/>
            </w:tcBorders>
          </w:tcPr>
          <w:p w:rsidR="004E3021" w:rsidRDefault="00606E48">
            <w:pPr>
              <w:pStyle w:val="afffffff2"/>
              <w:rPr>
                <w:kern w:val="0"/>
                <w:szCs w:val="20"/>
              </w:rPr>
            </w:pPr>
            <w:r>
              <w:rPr>
                <w:rFonts w:hint="eastAsia"/>
                <w:kern w:val="0"/>
                <w:szCs w:val="20"/>
              </w:rPr>
              <w:t>Ⅶ</w:t>
            </w:r>
          </w:p>
        </w:tc>
        <w:tc>
          <w:tcPr>
            <w:tcW w:w="524" w:type="pct"/>
            <w:tcBorders>
              <w:top w:val="single" w:sz="4" w:space="0" w:color="auto"/>
              <w:left w:val="single" w:sz="4" w:space="0" w:color="auto"/>
              <w:bottom w:val="single" w:sz="12" w:space="0" w:color="auto"/>
              <w:right w:val="single" w:sz="4" w:space="0" w:color="auto"/>
            </w:tcBorders>
          </w:tcPr>
          <w:p w:rsidR="004E3021" w:rsidRDefault="00606E48">
            <w:pPr>
              <w:pStyle w:val="afffffff2"/>
              <w:rPr>
                <w:kern w:val="0"/>
                <w:szCs w:val="20"/>
              </w:rPr>
            </w:pPr>
            <w:r>
              <w:rPr>
                <w:rFonts w:hint="eastAsia"/>
                <w:kern w:val="0"/>
                <w:szCs w:val="20"/>
              </w:rPr>
              <w:t>Ⅷ</w:t>
            </w:r>
          </w:p>
        </w:tc>
        <w:tc>
          <w:tcPr>
            <w:tcW w:w="524" w:type="pct"/>
            <w:tcBorders>
              <w:top w:val="single" w:sz="4" w:space="0" w:color="auto"/>
              <w:left w:val="single" w:sz="4" w:space="0" w:color="auto"/>
              <w:bottom w:val="single" w:sz="12" w:space="0" w:color="auto"/>
              <w:right w:val="single" w:sz="4" w:space="0" w:color="auto"/>
            </w:tcBorders>
          </w:tcPr>
          <w:p w:rsidR="004E3021" w:rsidRDefault="00606E48">
            <w:pPr>
              <w:pStyle w:val="afffffff2"/>
              <w:rPr>
                <w:kern w:val="0"/>
                <w:szCs w:val="20"/>
              </w:rPr>
            </w:pPr>
            <w:r>
              <w:rPr>
                <w:rFonts w:hint="eastAsia"/>
                <w:kern w:val="0"/>
                <w:szCs w:val="20"/>
              </w:rPr>
              <w:t>Ⅷ</w:t>
            </w:r>
          </w:p>
        </w:tc>
        <w:tc>
          <w:tcPr>
            <w:tcW w:w="524" w:type="pct"/>
            <w:tcBorders>
              <w:top w:val="single" w:sz="4" w:space="0" w:color="auto"/>
              <w:left w:val="single" w:sz="4" w:space="0" w:color="auto"/>
              <w:bottom w:val="single" w:sz="12" w:space="0" w:color="auto"/>
              <w:right w:val="nil"/>
            </w:tcBorders>
          </w:tcPr>
          <w:p w:rsidR="004E3021" w:rsidRDefault="00606E48">
            <w:pPr>
              <w:pStyle w:val="afffffff2"/>
              <w:rPr>
                <w:kern w:val="0"/>
                <w:szCs w:val="20"/>
              </w:rPr>
            </w:pPr>
            <w:r>
              <w:rPr>
                <w:kern w:val="0"/>
                <w:szCs w:val="20"/>
              </w:rPr>
              <w:t>≥</w:t>
            </w:r>
            <w:r>
              <w:rPr>
                <w:rFonts w:hint="eastAsia"/>
                <w:kern w:val="0"/>
                <w:szCs w:val="20"/>
              </w:rPr>
              <w:t>Ⅸ</w:t>
            </w:r>
          </w:p>
        </w:tc>
      </w:tr>
    </w:tbl>
    <w:p w:rsidR="004E3021" w:rsidRDefault="00606E48">
      <w:pPr>
        <w:ind w:firstLine="480"/>
        <w:jc w:val="center"/>
      </w:pPr>
      <w:r>
        <w:rPr>
          <w:noProof/>
        </w:rPr>
        <w:lastRenderedPageBreak/>
        <w:drawing>
          <wp:inline distT="0" distB="0" distL="0" distR="0">
            <wp:extent cx="4972050" cy="3752850"/>
            <wp:effectExtent l="0" t="0" r="0" b="0"/>
            <wp:docPr id="107" name="图片 107" descr="C:\Users\ADMINI~1\AppData\Local\Temp\ksohtml\wps4AF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C:\Users\ADMINI~1\AppData\Local\Temp\ksohtml\wps4AFC.tmp.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4972050" cy="3752850"/>
                    </a:xfrm>
                    <a:prstGeom prst="rect">
                      <a:avLst/>
                    </a:prstGeom>
                    <a:noFill/>
                    <a:ln>
                      <a:noFill/>
                    </a:ln>
                  </pic:spPr>
                </pic:pic>
              </a:graphicData>
            </a:graphic>
          </wp:inline>
        </w:drawing>
      </w:r>
      <w:r>
        <w:t xml:space="preserve"> </w:t>
      </w:r>
    </w:p>
    <w:p w:rsidR="004E3021" w:rsidRDefault="00606E48">
      <w:pPr>
        <w:spacing w:line="500" w:lineRule="exact"/>
        <w:ind w:firstLineChars="0" w:firstLine="0"/>
        <w:jc w:val="center"/>
        <w:rPr>
          <w:rFonts w:eastAsia="黑体"/>
        </w:rPr>
      </w:pPr>
      <w:r>
        <w:rPr>
          <w:rFonts w:ascii="黑体" w:eastAsia="黑体" w:hAnsi="黑体"/>
        </w:rPr>
        <w:t>图</w:t>
      </w:r>
      <w:r>
        <w:rPr>
          <w:rFonts w:eastAsia="黑体" w:hint="eastAsia"/>
        </w:rPr>
        <w:t>5.5.1-1</w:t>
      </w:r>
      <w:r>
        <w:rPr>
          <w:rFonts w:eastAsia="黑体"/>
        </w:rPr>
        <w:t xml:space="preserve">  </w:t>
      </w:r>
      <w:r>
        <w:rPr>
          <w:rFonts w:ascii="黑体" w:eastAsia="黑体" w:hAnsi="黑体"/>
        </w:rPr>
        <w:t>地震动峰值加速度区划图</w:t>
      </w:r>
    </w:p>
    <w:p w:rsidR="004E3021" w:rsidRDefault="00606E48">
      <w:pPr>
        <w:pStyle w:val="4a"/>
      </w:pPr>
      <w:r>
        <w:rPr>
          <w:rFonts w:hint="eastAsia"/>
        </w:rPr>
        <w:t>5.5.1.5</w:t>
      </w:r>
      <w:r>
        <w:rPr>
          <w:rFonts w:ascii="黑体" w:hAnsi="黑体"/>
        </w:rPr>
        <w:t>岩浆岩</w:t>
      </w:r>
    </w:p>
    <w:p w:rsidR="004E3021" w:rsidRDefault="00606E48">
      <w:pPr>
        <w:ind w:firstLine="480"/>
        <w:rPr>
          <w:b/>
          <w:bCs/>
        </w:rPr>
      </w:pPr>
      <w:r>
        <w:rPr>
          <w:rFonts w:ascii="宋体" w:hAnsi="宋体"/>
          <w:bCs/>
        </w:rPr>
        <w:t>区域岩浆岩体主要为燕山期造山运动时侵入的花岗岩。岩性以燕山期二长花岗岩和燕山期钾长花岗岩为主。</w:t>
      </w:r>
    </w:p>
    <w:p w:rsidR="004E3021" w:rsidRDefault="00606E48">
      <w:pPr>
        <w:ind w:firstLine="480"/>
        <w:rPr>
          <w:b/>
          <w:bCs/>
        </w:rPr>
      </w:pPr>
      <w:r>
        <w:rPr>
          <w:rFonts w:ascii="宋体" w:hAnsi="宋体"/>
          <w:bCs/>
        </w:rPr>
        <w:t>燕山期钾长花岗岩主要分布在秦集一带。岩石呈浅灰、灰白色，矿物的粒度一般为</w:t>
      </w:r>
      <w:r>
        <w:rPr>
          <w:bCs/>
        </w:rPr>
        <w:t>2~4mm</w:t>
      </w:r>
      <w:r>
        <w:rPr>
          <w:rFonts w:ascii="宋体" w:hAnsi="宋体"/>
          <w:bCs/>
        </w:rPr>
        <w:t>。主要成分为钾长石</w:t>
      </w:r>
      <w:r>
        <w:rPr>
          <w:bCs/>
        </w:rPr>
        <w:t>45%</w:t>
      </w:r>
      <w:r>
        <w:rPr>
          <w:rFonts w:ascii="宋体" w:hAnsi="宋体"/>
          <w:bCs/>
        </w:rPr>
        <w:t>，更长石</w:t>
      </w:r>
      <w:r>
        <w:rPr>
          <w:bCs/>
        </w:rPr>
        <w:t>15~20</w:t>
      </w:r>
      <w:r>
        <w:rPr>
          <w:rFonts w:ascii="宋体" w:hAnsi="宋体"/>
          <w:bCs/>
        </w:rPr>
        <w:t>％，石英</w:t>
      </w:r>
      <w:r>
        <w:rPr>
          <w:bCs/>
        </w:rPr>
        <w:t>20~30%</w:t>
      </w:r>
      <w:r>
        <w:rPr>
          <w:rFonts w:ascii="宋体" w:hAnsi="宋体"/>
          <w:bCs/>
        </w:rPr>
        <w:t>，黑云母</w:t>
      </w:r>
      <w:r>
        <w:rPr>
          <w:bCs/>
        </w:rPr>
        <w:t>2~3%</w:t>
      </w:r>
      <w:r>
        <w:rPr>
          <w:rFonts w:ascii="宋体" w:hAnsi="宋体"/>
          <w:bCs/>
        </w:rPr>
        <w:t>和少量白云母、角闪石、铁铝榴石、磁铁矿、磷灰石、锆石、绿帘石及榍石等。</w:t>
      </w:r>
    </w:p>
    <w:p w:rsidR="004E3021" w:rsidRDefault="00606E48">
      <w:pPr>
        <w:ind w:firstLine="480"/>
        <w:rPr>
          <w:b/>
          <w:bCs/>
        </w:rPr>
      </w:pPr>
      <w:r>
        <w:rPr>
          <w:rFonts w:ascii="宋体" w:hAnsi="宋体"/>
          <w:bCs/>
        </w:rPr>
        <w:t>燕山期二长花岗岩主要分布在评估区及外围陶山、燕山等地。岩石呈灰白色，不等粒花岗变晶结构。主要由钾长石</w:t>
      </w:r>
      <w:r>
        <w:rPr>
          <w:bCs/>
        </w:rPr>
        <w:t>35~40%</w:t>
      </w:r>
      <w:r>
        <w:rPr>
          <w:rFonts w:ascii="宋体" w:hAnsi="宋体"/>
          <w:bCs/>
        </w:rPr>
        <w:t>，斜长石</w:t>
      </w:r>
      <w:r>
        <w:rPr>
          <w:bCs/>
        </w:rPr>
        <w:t>3~45%</w:t>
      </w:r>
      <w:r>
        <w:rPr>
          <w:rFonts w:ascii="宋体" w:hAnsi="宋体"/>
          <w:bCs/>
        </w:rPr>
        <w:t>、石英</w:t>
      </w:r>
      <w:r>
        <w:rPr>
          <w:bCs/>
        </w:rPr>
        <w:t>20~25%</w:t>
      </w:r>
      <w:r>
        <w:rPr>
          <w:rFonts w:ascii="宋体" w:hAnsi="宋体"/>
          <w:bCs/>
        </w:rPr>
        <w:t>、黑云母、白云母或角闪石及少量磁铁矿、榍石、磷灰石等组成。</w:t>
      </w:r>
    </w:p>
    <w:p w:rsidR="004E3021" w:rsidRDefault="00606E48">
      <w:pPr>
        <w:ind w:firstLine="480"/>
        <w:rPr>
          <w:b/>
          <w:bCs/>
        </w:rPr>
      </w:pPr>
      <w:r>
        <w:rPr>
          <w:rFonts w:ascii="宋体" w:hAnsi="宋体"/>
          <w:bCs/>
        </w:rPr>
        <w:t>根据以往的地质资料，燕山期二长花岗岩表层风化作用强烈，全风化～强风化厚度一般</w:t>
      </w:r>
      <w:r>
        <w:rPr>
          <w:bCs/>
        </w:rPr>
        <w:t>5~10m</w:t>
      </w:r>
      <w:r>
        <w:rPr>
          <w:rFonts w:ascii="宋体" w:hAnsi="宋体"/>
          <w:bCs/>
        </w:rPr>
        <w:t>。裂隙较为发育，但厚度不大</w:t>
      </w:r>
      <w:r>
        <w:rPr>
          <w:rFonts w:ascii="宋体" w:hAnsi="宋体" w:hint="eastAsia"/>
          <w:bCs/>
        </w:rPr>
        <w:t>。</w:t>
      </w:r>
    </w:p>
    <w:p w:rsidR="004E3021" w:rsidRDefault="00606E48">
      <w:pPr>
        <w:pStyle w:val="afffffffffffffffff4"/>
      </w:pPr>
      <w:bookmarkStart w:id="449" w:name="_Toc52175552"/>
      <w:bookmarkStart w:id="450" w:name="_Toc101135884"/>
      <w:bookmarkStart w:id="451" w:name="_Toc108662661"/>
      <w:bookmarkStart w:id="452" w:name="_Toc100784052"/>
      <w:bookmarkStart w:id="453" w:name="_Toc221088816"/>
      <w:bookmarkStart w:id="454" w:name="_Toc221501031"/>
      <w:bookmarkEnd w:id="449"/>
      <w:r>
        <w:rPr>
          <w:rFonts w:hint="eastAsia"/>
        </w:rPr>
        <w:t>5.5.2</w:t>
      </w:r>
      <w:r>
        <w:rPr>
          <w:rFonts w:hint="eastAsia"/>
        </w:rPr>
        <w:t>区域工程地质条件</w:t>
      </w:r>
      <w:bookmarkEnd w:id="450"/>
      <w:bookmarkEnd w:id="451"/>
      <w:bookmarkEnd w:id="452"/>
      <w:bookmarkEnd w:id="453"/>
      <w:bookmarkEnd w:id="454"/>
    </w:p>
    <w:p w:rsidR="004E3021" w:rsidRDefault="00606E48">
      <w:pPr>
        <w:ind w:firstLine="480"/>
      </w:pPr>
      <w:r>
        <w:rPr>
          <w:rFonts w:ascii="宋体" w:hAnsi="宋体" w:hint="eastAsia"/>
        </w:rPr>
        <w:t>（</w:t>
      </w:r>
      <w:r>
        <w:rPr>
          <w:rFonts w:hint="eastAsia"/>
        </w:rPr>
        <w:t>1</w:t>
      </w:r>
      <w:r>
        <w:rPr>
          <w:rFonts w:ascii="宋体" w:hAnsi="宋体" w:hint="eastAsia"/>
        </w:rPr>
        <w:t>）岩体</w:t>
      </w:r>
    </w:p>
    <w:p w:rsidR="004E3021" w:rsidRDefault="00606E48">
      <w:pPr>
        <w:ind w:firstLine="480"/>
      </w:pPr>
      <w:r>
        <w:rPr>
          <w:rFonts w:ascii="宋体" w:hAnsi="宋体" w:hint="eastAsia"/>
        </w:rPr>
        <w:t>评价区内岩体隐伏在第四系覆盖层之下，建造类型为变质岩建造，岩性为上太古界</w:t>
      </w:r>
      <w:r>
        <w:rPr>
          <w:rFonts w:ascii="宋体" w:hAnsi="宋体" w:hint="eastAsia"/>
        </w:rPr>
        <w:lastRenderedPageBreak/>
        <w:t>五河群（</w:t>
      </w:r>
      <w:r>
        <w:t>Ar</w:t>
      </w:r>
      <w:r>
        <w:rPr>
          <w:vertAlign w:val="subscript"/>
        </w:rPr>
        <w:t>2</w:t>
      </w:r>
      <w:r>
        <w:t>wh</w:t>
      </w:r>
      <w:r>
        <w:rPr>
          <w:rFonts w:ascii="宋体" w:hAnsi="宋体" w:hint="eastAsia"/>
        </w:rPr>
        <w:t>），岩性由变粒岩、片麻岩、变流纹岩等组成，岩石单轴搞压强度为</w:t>
      </w:r>
      <w:r>
        <w:t>74</w:t>
      </w:r>
      <w:r>
        <w:rPr>
          <w:rFonts w:ascii="宋体" w:hAnsi="宋体" w:hint="eastAsia"/>
        </w:rPr>
        <w:t>～</w:t>
      </w:r>
      <w:r>
        <w:t>250MPa</w:t>
      </w:r>
      <w:r>
        <w:rPr>
          <w:rFonts w:ascii="宋体" w:hAnsi="宋体" w:hint="eastAsia"/>
        </w:rPr>
        <w:t>，属坚硬中</w:t>
      </w:r>
      <w:r>
        <w:rPr>
          <w:rFonts w:hint="eastAsia"/>
        </w:rPr>
        <w:t>—厚层状片麻岩、大理岩岩组。</w:t>
      </w:r>
    </w:p>
    <w:p w:rsidR="004E3021" w:rsidRDefault="00606E48">
      <w:pPr>
        <w:ind w:firstLine="480"/>
      </w:pPr>
      <w:r>
        <w:rPr>
          <w:rFonts w:ascii="宋体" w:hAnsi="宋体" w:hint="eastAsia"/>
        </w:rPr>
        <w:t>（</w:t>
      </w:r>
      <w:r>
        <w:rPr>
          <w:rFonts w:hint="eastAsia"/>
        </w:rPr>
        <w:t>2</w:t>
      </w:r>
      <w:r>
        <w:rPr>
          <w:rFonts w:ascii="宋体" w:hAnsi="宋体" w:hint="eastAsia"/>
        </w:rPr>
        <w:t>）土体</w:t>
      </w:r>
    </w:p>
    <w:p w:rsidR="004E3021" w:rsidRDefault="00606E48">
      <w:pPr>
        <w:ind w:firstLine="480"/>
      </w:pPr>
      <w:r>
        <w:rPr>
          <w:rFonts w:ascii="宋体" w:hAnsi="宋体" w:hint="eastAsia"/>
        </w:rPr>
        <w:t>根据收集到评价区内及周边钻探资料，评价区自上而下可分为七层：</w:t>
      </w:r>
    </w:p>
    <w:p w:rsidR="004E3021" w:rsidRDefault="00606E48">
      <w:pPr>
        <w:ind w:firstLine="480"/>
      </w:pPr>
      <w:r>
        <w:rPr>
          <w:rFonts w:ascii="宋体" w:hAnsi="宋体" w:hint="eastAsia"/>
        </w:rPr>
        <w:t>①粘土</w:t>
      </w:r>
      <w:r>
        <w:t>(Q</w:t>
      </w:r>
      <w:r>
        <w:rPr>
          <w:vertAlign w:val="subscript"/>
        </w:rPr>
        <w:t>3</w:t>
      </w:r>
      <w:r>
        <w:t>m)</w:t>
      </w:r>
      <w:r>
        <w:rPr>
          <w:rFonts w:ascii="宋体" w:hAnsi="宋体" w:hint="eastAsia"/>
        </w:rPr>
        <w:t>：褐黄、黄褐色，硬塑状态，湿，光滑，无摇振反应，含氧化铁、铁锰结核，具铁锰质浸染，杂青灰色团块，干强度高，韧性高。层厚一般为</w:t>
      </w:r>
      <w:r>
        <w:t>3.0</w:t>
      </w:r>
      <w:r>
        <w:rPr>
          <w:rFonts w:ascii="宋体" w:hAnsi="宋体" w:hint="eastAsia"/>
        </w:rPr>
        <w:t>～</w:t>
      </w:r>
      <w:r>
        <w:t>5.80m</w:t>
      </w:r>
      <w:r>
        <w:rPr>
          <w:rFonts w:ascii="宋体" w:hAnsi="宋体" w:hint="eastAsia"/>
        </w:rPr>
        <w:t>，其静力触探比贯入阻力</w:t>
      </w:r>
      <w:r>
        <w:t>Ps</w:t>
      </w:r>
      <w:r>
        <w:rPr>
          <w:rFonts w:ascii="宋体" w:hAnsi="宋体" w:hint="eastAsia"/>
        </w:rPr>
        <w:t>值为</w:t>
      </w:r>
      <w:r>
        <w:t>2.9</w:t>
      </w:r>
      <w:r>
        <w:rPr>
          <w:rFonts w:ascii="宋体" w:hAnsi="宋体" w:hint="eastAsia"/>
        </w:rPr>
        <w:t>～</w:t>
      </w:r>
      <w:r>
        <w:t>3.6MPa</w:t>
      </w:r>
      <w:r>
        <w:rPr>
          <w:rFonts w:ascii="宋体" w:hAnsi="宋体" w:hint="eastAsia"/>
        </w:rPr>
        <w:t>。</w:t>
      </w:r>
      <w:r>
        <w:t>fak=240</w:t>
      </w:r>
      <w:r>
        <w:rPr>
          <w:rFonts w:ascii="宋体" w:hAnsi="宋体" w:hint="eastAsia"/>
        </w:rPr>
        <w:t>～</w:t>
      </w:r>
      <w:r>
        <w:t>280kPa</w:t>
      </w:r>
      <w:r>
        <w:rPr>
          <w:rFonts w:ascii="宋体" w:hAnsi="宋体" w:hint="eastAsia"/>
        </w:rPr>
        <w:t>，</w:t>
      </w:r>
      <w:r>
        <w:t>Es=11.0</w:t>
      </w:r>
      <w:r>
        <w:rPr>
          <w:rFonts w:ascii="宋体" w:hAnsi="宋体" w:hint="eastAsia"/>
        </w:rPr>
        <w:t>～</w:t>
      </w:r>
      <w:r>
        <w:t>14.0MPa</w:t>
      </w:r>
      <w:r>
        <w:rPr>
          <w:rFonts w:ascii="宋体" w:hAnsi="宋体" w:hint="eastAsia"/>
        </w:rPr>
        <w:t>。</w:t>
      </w:r>
    </w:p>
    <w:p w:rsidR="004E3021" w:rsidRDefault="00606E48">
      <w:pPr>
        <w:ind w:firstLine="480"/>
      </w:pPr>
      <w:r>
        <w:rPr>
          <w:rFonts w:ascii="宋体" w:hAnsi="宋体" w:hint="eastAsia"/>
        </w:rPr>
        <w:t>②粉土夹砂</w:t>
      </w:r>
      <w:r>
        <w:t>(Q</w:t>
      </w:r>
      <w:r>
        <w:rPr>
          <w:vertAlign w:val="subscript"/>
        </w:rPr>
        <w:t>3</w:t>
      </w:r>
      <w:r>
        <w:t>m)</w:t>
      </w:r>
      <w:r>
        <w:rPr>
          <w:rFonts w:ascii="宋体" w:hAnsi="宋体" w:hint="eastAsia"/>
        </w:rPr>
        <w:t>：层厚</w:t>
      </w:r>
      <w:r>
        <w:t>7.0</w:t>
      </w:r>
      <w:r>
        <w:rPr>
          <w:rFonts w:ascii="宋体" w:hAnsi="宋体" w:hint="eastAsia"/>
        </w:rPr>
        <w:t>～</w:t>
      </w:r>
      <w:r>
        <w:t>12.6m</w:t>
      </w:r>
      <w:r>
        <w:rPr>
          <w:rFonts w:ascii="宋体" w:hAnsi="宋体" w:hint="eastAsia"/>
        </w:rPr>
        <w:t>。褐灰、灰黄，稍密状态，局部夹薄层粉细砂，很湿，无光泽反应，震动析水，摇振反应迅速，干强度低，韧性低。其标贯试验实测击数</w:t>
      </w:r>
      <w:r>
        <w:t>N</w:t>
      </w:r>
      <w:r>
        <w:rPr>
          <w:rFonts w:ascii="宋体" w:hAnsi="宋体" w:hint="eastAsia"/>
        </w:rPr>
        <w:t>一般值为</w:t>
      </w:r>
      <w:r>
        <w:t>13</w:t>
      </w:r>
      <w:r>
        <w:rPr>
          <w:rFonts w:ascii="宋体" w:hAnsi="宋体" w:hint="eastAsia"/>
        </w:rPr>
        <w:t>～</w:t>
      </w:r>
      <w:r>
        <w:t>17</w:t>
      </w:r>
      <w:r>
        <w:rPr>
          <w:rFonts w:ascii="宋体" w:hAnsi="宋体" w:hint="eastAsia"/>
        </w:rPr>
        <w:t>击／</w:t>
      </w:r>
      <w:r>
        <w:t>30cm</w:t>
      </w:r>
      <w:r>
        <w:rPr>
          <w:rFonts w:ascii="宋体" w:hAnsi="宋体" w:hint="eastAsia"/>
        </w:rPr>
        <w:t>。其静力触探比贯入阻力</w:t>
      </w:r>
      <w:r>
        <w:t>PS</w:t>
      </w:r>
      <w:r>
        <w:rPr>
          <w:rFonts w:ascii="宋体" w:hAnsi="宋体" w:hint="eastAsia"/>
        </w:rPr>
        <w:t>值为</w:t>
      </w:r>
      <w:r>
        <w:t>3.0</w:t>
      </w:r>
      <w:r>
        <w:rPr>
          <w:rFonts w:ascii="宋体" w:hAnsi="宋体" w:hint="eastAsia"/>
        </w:rPr>
        <w:t>～</w:t>
      </w:r>
      <w:r>
        <w:t>5.0MPa</w:t>
      </w:r>
      <w:r>
        <w:rPr>
          <w:rFonts w:ascii="宋体" w:hAnsi="宋体" w:hint="eastAsia"/>
        </w:rPr>
        <w:t>。</w:t>
      </w:r>
      <w:r>
        <w:t>fak=160</w:t>
      </w:r>
      <w:r>
        <w:rPr>
          <w:rFonts w:ascii="宋体" w:hAnsi="宋体" w:hint="eastAsia"/>
        </w:rPr>
        <w:t>～</w:t>
      </w:r>
      <w:r>
        <w:t>190kPa</w:t>
      </w:r>
      <w:r>
        <w:rPr>
          <w:rFonts w:ascii="宋体" w:hAnsi="宋体" w:hint="eastAsia"/>
        </w:rPr>
        <w:t>，</w:t>
      </w:r>
      <w:r>
        <w:t>Es=7.5</w:t>
      </w:r>
      <w:r>
        <w:rPr>
          <w:rFonts w:ascii="宋体" w:hAnsi="宋体" w:hint="eastAsia"/>
        </w:rPr>
        <w:t>～</w:t>
      </w:r>
      <w:r>
        <w:t>9.0MPa</w:t>
      </w:r>
      <w:r>
        <w:rPr>
          <w:rFonts w:ascii="宋体" w:hAnsi="宋体" w:hint="eastAsia"/>
        </w:rPr>
        <w:t>。</w:t>
      </w:r>
    </w:p>
    <w:p w:rsidR="004E3021" w:rsidRDefault="00606E48">
      <w:pPr>
        <w:ind w:firstLine="480"/>
      </w:pPr>
      <w:r>
        <w:rPr>
          <w:rFonts w:ascii="宋体" w:hAnsi="宋体" w:hint="eastAsia"/>
        </w:rPr>
        <w:t>③粉质粘土夹粉土</w:t>
      </w:r>
      <w:r>
        <w:t>(Q</w:t>
      </w:r>
      <w:r>
        <w:rPr>
          <w:vertAlign w:val="subscript"/>
        </w:rPr>
        <w:t>3</w:t>
      </w:r>
      <w:r>
        <w:t>m)</w:t>
      </w:r>
      <w:r>
        <w:rPr>
          <w:rFonts w:ascii="宋体" w:hAnsi="宋体" w:hint="eastAsia"/>
        </w:rPr>
        <w:t>：层厚一般为</w:t>
      </w:r>
      <w:r>
        <w:t>1.60</w:t>
      </w:r>
      <w:r>
        <w:rPr>
          <w:rFonts w:ascii="宋体" w:hAnsi="宋体" w:hint="eastAsia"/>
        </w:rPr>
        <w:t>～</w:t>
      </w:r>
      <w:r>
        <w:t>8.30m</w:t>
      </w:r>
      <w:r>
        <w:rPr>
          <w:rFonts w:ascii="宋体" w:hAnsi="宋体" w:hint="eastAsia"/>
        </w:rPr>
        <w:t>。灰黄、褐黄色，可塑状态，湿，稍光滑，摇振反应中等，干强度中等，韧性中等，局部夹薄层粉土；其静力触探比贯入阻力</w:t>
      </w:r>
      <w:r>
        <w:t>PS</w:t>
      </w:r>
      <w:r>
        <w:rPr>
          <w:rFonts w:ascii="宋体" w:hAnsi="宋体" w:hint="eastAsia"/>
        </w:rPr>
        <w:t>值为</w:t>
      </w:r>
      <w:r>
        <w:t>2.0</w:t>
      </w:r>
      <w:r>
        <w:rPr>
          <w:rFonts w:ascii="宋体" w:hAnsi="宋体" w:hint="eastAsia"/>
        </w:rPr>
        <w:t>～</w:t>
      </w:r>
      <w:r>
        <w:t>2.4MPa</w:t>
      </w:r>
      <w:r>
        <w:rPr>
          <w:rFonts w:ascii="宋体" w:hAnsi="宋体" w:hint="eastAsia"/>
        </w:rPr>
        <w:t>。</w:t>
      </w:r>
      <w:r>
        <w:t>fak=200</w:t>
      </w:r>
      <w:r>
        <w:rPr>
          <w:rFonts w:ascii="宋体" w:hAnsi="宋体" w:hint="eastAsia"/>
        </w:rPr>
        <w:t>～</w:t>
      </w:r>
      <w:r>
        <w:t>220kPa</w:t>
      </w:r>
      <w:r>
        <w:rPr>
          <w:rFonts w:ascii="宋体" w:hAnsi="宋体" w:hint="eastAsia"/>
        </w:rPr>
        <w:t>，</w:t>
      </w:r>
      <w:r>
        <w:t>Es=7.8</w:t>
      </w:r>
      <w:r>
        <w:rPr>
          <w:rFonts w:ascii="宋体" w:hAnsi="宋体" w:hint="eastAsia"/>
        </w:rPr>
        <w:t>～</w:t>
      </w:r>
      <w:r>
        <w:t>10.0MPa</w:t>
      </w:r>
      <w:r>
        <w:rPr>
          <w:rFonts w:ascii="宋体" w:hAnsi="宋体" w:hint="eastAsia"/>
        </w:rPr>
        <w:t>。</w:t>
      </w:r>
    </w:p>
    <w:p w:rsidR="004E3021" w:rsidRDefault="00606E48">
      <w:pPr>
        <w:ind w:firstLine="480"/>
      </w:pPr>
      <w:r>
        <w:rPr>
          <w:rFonts w:ascii="宋体" w:hAnsi="宋体" w:hint="eastAsia"/>
        </w:rPr>
        <w:t>④粘土</w:t>
      </w:r>
      <w:r>
        <w:t>(Q</w:t>
      </w:r>
      <w:r>
        <w:rPr>
          <w:vertAlign w:val="subscript"/>
        </w:rPr>
        <w:t>3</w:t>
      </w:r>
      <w:r>
        <w:t>m)</w:t>
      </w:r>
      <w:r>
        <w:rPr>
          <w:rFonts w:ascii="宋体" w:hAnsi="宋体" w:hint="eastAsia"/>
        </w:rPr>
        <w:t>：褐黄、黄褐色，硬塑状态，稍湿，光滑，无摇振反应，干强度高，韧性高；含氧化铁、铁锰结核、钙质结核等，夹薄层粉质粘土、粉土。层厚一般为</w:t>
      </w:r>
      <w:r>
        <w:t>2.0</w:t>
      </w:r>
      <w:r>
        <w:rPr>
          <w:rFonts w:ascii="宋体" w:hAnsi="宋体" w:hint="eastAsia"/>
        </w:rPr>
        <w:t>～</w:t>
      </w:r>
      <w:r>
        <w:t>5.0m</w:t>
      </w:r>
      <w:r>
        <w:rPr>
          <w:rFonts w:ascii="宋体" w:hAnsi="宋体" w:hint="eastAsia"/>
        </w:rPr>
        <w:t>。静力触探比贯入阻力</w:t>
      </w:r>
      <w:r>
        <w:t>Ps</w:t>
      </w:r>
      <w:r>
        <w:rPr>
          <w:rFonts w:ascii="宋体" w:hAnsi="宋体" w:hint="eastAsia"/>
        </w:rPr>
        <w:t>值为</w:t>
      </w:r>
      <w:r>
        <w:t>3.3</w:t>
      </w:r>
      <w:r>
        <w:rPr>
          <w:rFonts w:ascii="宋体" w:hAnsi="宋体" w:hint="eastAsia"/>
        </w:rPr>
        <w:t>～</w:t>
      </w:r>
      <w:r>
        <w:t>4.8MPa</w:t>
      </w:r>
      <w:r>
        <w:rPr>
          <w:rFonts w:ascii="宋体" w:hAnsi="宋体" w:hint="eastAsia"/>
        </w:rPr>
        <w:t>，</w:t>
      </w:r>
      <w:r>
        <w:t>fak=270</w:t>
      </w:r>
      <w:r>
        <w:rPr>
          <w:rFonts w:ascii="宋体" w:hAnsi="宋体" w:hint="eastAsia"/>
        </w:rPr>
        <w:t>～</w:t>
      </w:r>
      <w:r>
        <w:t>320kPa</w:t>
      </w:r>
      <w:r>
        <w:rPr>
          <w:rFonts w:ascii="宋体" w:hAnsi="宋体" w:hint="eastAsia"/>
        </w:rPr>
        <w:t>，</w:t>
      </w:r>
      <w:r>
        <w:t>Es=11.0</w:t>
      </w:r>
      <w:r>
        <w:rPr>
          <w:rFonts w:ascii="宋体" w:hAnsi="宋体" w:hint="eastAsia"/>
        </w:rPr>
        <w:t>～</w:t>
      </w:r>
      <w:r>
        <w:t>13.0MPa</w:t>
      </w:r>
      <w:r>
        <w:rPr>
          <w:rFonts w:ascii="宋体" w:hAnsi="宋体" w:hint="eastAsia"/>
        </w:rPr>
        <w:t>。</w:t>
      </w:r>
    </w:p>
    <w:p w:rsidR="004E3021" w:rsidRDefault="00606E48">
      <w:pPr>
        <w:ind w:firstLine="480"/>
      </w:pPr>
      <w:r>
        <w:rPr>
          <w:rFonts w:ascii="宋体" w:hAnsi="宋体" w:hint="eastAsia"/>
        </w:rPr>
        <w:t>⑤粘土夹砂</w:t>
      </w:r>
      <w:r>
        <w:t>(Q</w:t>
      </w:r>
      <w:r>
        <w:rPr>
          <w:vertAlign w:val="subscript"/>
        </w:rPr>
        <w:t>3</w:t>
      </w:r>
      <w:r>
        <w:t>m)</w:t>
      </w:r>
      <w:r>
        <w:rPr>
          <w:rFonts w:ascii="宋体" w:hAnsi="宋体" w:hint="eastAsia"/>
        </w:rPr>
        <w:t>：层厚</w:t>
      </w:r>
      <w:r>
        <w:t>2.00</w:t>
      </w:r>
      <w:r>
        <w:rPr>
          <w:rFonts w:ascii="宋体" w:hAnsi="宋体" w:hint="eastAsia"/>
        </w:rPr>
        <w:t>～</w:t>
      </w:r>
      <w:r>
        <w:t>4.0m</w:t>
      </w:r>
      <w:r>
        <w:rPr>
          <w:rFonts w:ascii="宋体" w:hAnsi="宋体" w:hint="eastAsia"/>
        </w:rPr>
        <w:t>。褐灰、黄褐色，稍密状态，夹中砂，稍湿，无光泽反应，摇振反应高，干强度低，韧性低。其静力触探比贯入阻力</w:t>
      </w:r>
      <w:r>
        <w:t>PS</w:t>
      </w:r>
      <w:r>
        <w:rPr>
          <w:rFonts w:ascii="宋体" w:hAnsi="宋体" w:hint="eastAsia"/>
        </w:rPr>
        <w:t>值为</w:t>
      </w:r>
      <w:r>
        <w:t>4.0</w:t>
      </w:r>
      <w:r>
        <w:rPr>
          <w:rFonts w:ascii="宋体" w:hAnsi="宋体" w:hint="eastAsia"/>
        </w:rPr>
        <w:t>～</w:t>
      </w:r>
      <w:r>
        <w:t>5.0MPa</w:t>
      </w:r>
      <w:r>
        <w:rPr>
          <w:rFonts w:ascii="宋体" w:hAnsi="宋体" w:hint="eastAsia"/>
        </w:rPr>
        <w:t>。</w:t>
      </w:r>
      <w:r>
        <w:t>fak=170</w:t>
      </w:r>
      <w:r>
        <w:rPr>
          <w:rFonts w:ascii="宋体" w:hAnsi="宋体" w:hint="eastAsia"/>
        </w:rPr>
        <w:t>～</w:t>
      </w:r>
      <w:r>
        <w:t>200kPa</w:t>
      </w:r>
      <w:r>
        <w:rPr>
          <w:rFonts w:ascii="宋体" w:hAnsi="宋体" w:hint="eastAsia"/>
        </w:rPr>
        <w:t>，</w:t>
      </w:r>
      <w:r>
        <w:t>Es =8.0</w:t>
      </w:r>
      <w:r>
        <w:rPr>
          <w:rFonts w:ascii="宋体" w:hAnsi="宋体" w:hint="eastAsia"/>
        </w:rPr>
        <w:t>～</w:t>
      </w:r>
      <w:r>
        <w:t>9.0MPa</w:t>
      </w:r>
      <w:r>
        <w:rPr>
          <w:rFonts w:ascii="宋体" w:hAnsi="宋体" w:hint="eastAsia"/>
        </w:rPr>
        <w:t>。</w:t>
      </w:r>
    </w:p>
    <w:p w:rsidR="004E3021" w:rsidRDefault="00606E48">
      <w:pPr>
        <w:ind w:firstLine="480"/>
      </w:pPr>
      <w:r>
        <w:rPr>
          <w:rFonts w:ascii="宋体" w:hAnsi="宋体" w:hint="eastAsia"/>
        </w:rPr>
        <w:t>⑥中砂</w:t>
      </w:r>
      <w:r>
        <w:t>(Q</w:t>
      </w:r>
      <w:r>
        <w:rPr>
          <w:vertAlign w:val="subscript"/>
        </w:rPr>
        <w:t>3</w:t>
      </w:r>
      <w:r>
        <w:t>m)</w:t>
      </w:r>
      <w:r>
        <w:rPr>
          <w:rFonts w:ascii="宋体" w:hAnsi="宋体" w:hint="eastAsia"/>
        </w:rPr>
        <w:t>：层厚</w:t>
      </w:r>
      <w:r>
        <w:t>5.0</w:t>
      </w:r>
      <w:r>
        <w:rPr>
          <w:rFonts w:ascii="宋体" w:hAnsi="宋体" w:hint="eastAsia"/>
        </w:rPr>
        <w:t>～</w:t>
      </w:r>
      <w:r>
        <w:t>8.0m</w:t>
      </w:r>
      <w:r>
        <w:rPr>
          <w:rFonts w:ascii="宋体" w:hAnsi="宋体" w:hint="eastAsia"/>
        </w:rPr>
        <w:t>，灰黄，饱和，密实，稍湿，无光泽反应，震动析水，摇振反应迅速，干强度低，韧性低。</w:t>
      </w:r>
      <w:r>
        <w:t>fak=180</w:t>
      </w:r>
      <w:r>
        <w:rPr>
          <w:rFonts w:ascii="宋体" w:hAnsi="宋体" w:hint="eastAsia"/>
        </w:rPr>
        <w:t>～</w:t>
      </w:r>
      <w:r>
        <w:t>200kPa</w:t>
      </w:r>
      <w:r>
        <w:rPr>
          <w:rFonts w:ascii="宋体" w:hAnsi="宋体" w:hint="eastAsia"/>
        </w:rPr>
        <w:t>，</w:t>
      </w:r>
      <w:r>
        <w:t>Es =8.0</w:t>
      </w:r>
      <w:r>
        <w:rPr>
          <w:rFonts w:ascii="宋体" w:hAnsi="宋体" w:hint="eastAsia"/>
        </w:rPr>
        <w:t>～</w:t>
      </w:r>
      <w:r>
        <w:t>10.0MPa</w:t>
      </w:r>
      <w:r>
        <w:rPr>
          <w:rFonts w:ascii="宋体" w:hAnsi="宋体" w:hint="eastAsia"/>
        </w:rPr>
        <w:t>。</w:t>
      </w:r>
    </w:p>
    <w:p w:rsidR="004E3021" w:rsidRDefault="00606E48">
      <w:pPr>
        <w:ind w:firstLine="480"/>
        <w:rPr>
          <w:b/>
        </w:rPr>
      </w:pPr>
      <w:r>
        <w:rPr>
          <w:rFonts w:ascii="宋体" w:hAnsi="宋体" w:hint="eastAsia"/>
        </w:rPr>
        <w:t>⑦粘土</w:t>
      </w:r>
      <w:r>
        <w:t>(Q</w:t>
      </w:r>
      <w:r>
        <w:rPr>
          <w:vertAlign w:val="subscript"/>
        </w:rPr>
        <w:t>2</w:t>
      </w:r>
      <w:r>
        <w:t>p)</w:t>
      </w:r>
      <w:r>
        <w:rPr>
          <w:rFonts w:ascii="宋体" w:hAnsi="宋体" w:hint="eastAsia"/>
        </w:rPr>
        <w:t>：该层未钻穿。层厚一般大于</w:t>
      </w:r>
      <w:r>
        <w:t>8.0m</w:t>
      </w:r>
      <w:r>
        <w:rPr>
          <w:rFonts w:ascii="宋体" w:hAnsi="宋体" w:hint="eastAsia"/>
        </w:rPr>
        <w:t>。褐黄、黄褐色，硬塑状态，稍湿，光滑，无摇振反应，干强度高，韧性高；含氧化铁、铁锰结核、钙质结核等，</w:t>
      </w:r>
      <w:r>
        <w:t>fak=270</w:t>
      </w:r>
      <w:r>
        <w:rPr>
          <w:rFonts w:ascii="宋体" w:hAnsi="宋体" w:hint="eastAsia"/>
        </w:rPr>
        <w:t>～</w:t>
      </w:r>
      <w:r>
        <w:t>300kPa</w:t>
      </w:r>
      <w:r>
        <w:rPr>
          <w:rFonts w:ascii="宋体" w:hAnsi="宋体" w:hint="eastAsia"/>
        </w:rPr>
        <w:t>，</w:t>
      </w:r>
      <w:r>
        <w:t>Es=12.0</w:t>
      </w:r>
      <w:r>
        <w:rPr>
          <w:rFonts w:ascii="宋体" w:hAnsi="宋体" w:hint="eastAsia"/>
        </w:rPr>
        <w:t>～</w:t>
      </w:r>
      <w:r>
        <w:t>14.0MPa</w:t>
      </w:r>
      <w:r>
        <w:rPr>
          <w:rFonts w:ascii="宋体" w:hAnsi="宋体" w:hint="eastAsia"/>
        </w:rPr>
        <w:t>。</w:t>
      </w:r>
    </w:p>
    <w:p w:rsidR="004E3021" w:rsidRDefault="00606E48">
      <w:pPr>
        <w:pStyle w:val="afffffffffffffffff4"/>
      </w:pPr>
      <w:bookmarkStart w:id="455" w:name="_Toc52175553"/>
      <w:bookmarkStart w:id="456" w:name="_Toc108662662"/>
      <w:bookmarkStart w:id="457" w:name="_Toc101135885"/>
      <w:bookmarkStart w:id="458" w:name="_Toc100784053"/>
      <w:bookmarkStart w:id="459" w:name="_Toc221088817"/>
      <w:bookmarkStart w:id="460" w:name="_Toc221501032"/>
      <w:bookmarkEnd w:id="455"/>
      <w:r>
        <w:rPr>
          <w:rFonts w:hint="eastAsia"/>
        </w:rPr>
        <w:t>5.5.3</w:t>
      </w:r>
      <w:r>
        <w:rPr>
          <w:rFonts w:hint="eastAsia"/>
        </w:rPr>
        <w:t>区域</w:t>
      </w:r>
      <w:r>
        <w:t>水文地质条件概况</w:t>
      </w:r>
      <w:bookmarkEnd w:id="456"/>
      <w:bookmarkEnd w:id="457"/>
      <w:bookmarkEnd w:id="458"/>
      <w:bookmarkEnd w:id="459"/>
      <w:bookmarkEnd w:id="460"/>
    </w:p>
    <w:p w:rsidR="004E3021" w:rsidRDefault="00606E48">
      <w:pPr>
        <w:pStyle w:val="4a"/>
      </w:pPr>
      <w:r>
        <w:rPr>
          <w:rFonts w:hint="eastAsia"/>
        </w:rPr>
        <w:t>5</w:t>
      </w:r>
      <w:r>
        <w:t>.5.3.1</w:t>
      </w:r>
      <w:r>
        <w:rPr>
          <w:rFonts w:hint="eastAsia"/>
        </w:rPr>
        <w:t>地下水类型及含水层特征</w:t>
      </w:r>
    </w:p>
    <w:p w:rsidR="004E3021" w:rsidRDefault="00606E48">
      <w:pPr>
        <w:ind w:firstLine="480"/>
        <w:rPr>
          <w:bCs/>
        </w:rPr>
      </w:pPr>
      <w:r>
        <w:rPr>
          <w:rFonts w:hint="eastAsia"/>
          <w:bCs/>
        </w:rPr>
        <w:t>1</w:t>
      </w:r>
      <w:r>
        <w:rPr>
          <w:rFonts w:ascii="宋体" w:hAnsi="宋体" w:hint="eastAsia"/>
          <w:bCs/>
        </w:rPr>
        <w:t>、地下水类型</w:t>
      </w:r>
    </w:p>
    <w:p w:rsidR="004E3021" w:rsidRDefault="00606E48">
      <w:pPr>
        <w:ind w:firstLine="480"/>
        <w:rPr>
          <w:bCs/>
        </w:rPr>
      </w:pPr>
      <w:r>
        <w:rPr>
          <w:rFonts w:ascii="宋体" w:hAnsi="宋体" w:hint="eastAsia"/>
          <w:bCs/>
        </w:rPr>
        <w:lastRenderedPageBreak/>
        <w:t>根据地下水的赋存条件、含水介质及地层岩性组合特征，评价区区域地下水类型可划分为松散岩类孔隙水和基岩裂隙水，松散岩类孔隙水进一步可划分浅层松散岩类孔隙水和深层松散岩类孔隙水。</w:t>
      </w:r>
    </w:p>
    <w:p w:rsidR="004E3021" w:rsidRDefault="00606E48">
      <w:pPr>
        <w:ind w:firstLine="480"/>
        <w:rPr>
          <w:bCs/>
        </w:rPr>
      </w:pPr>
      <w:r>
        <w:rPr>
          <w:rFonts w:ascii="宋体" w:hAnsi="宋体" w:hint="eastAsia"/>
          <w:bCs/>
        </w:rPr>
        <w:t>（</w:t>
      </w:r>
      <w:r>
        <w:rPr>
          <w:rFonts w:hint="eastAsia"/>
          <w:bCs/>
        </w:rPr>
        <w:t>1</w:t>
      </w:r>
      <w:r>
        <w:rPr>
          <w:rFonts w:ascii="宋体" w:hAnsi="宋体" w:hint="eastAsia"/>
          <w:bCs/>
        </w:rPr>
        <w:t>）</w:t>
      </w:r>
      <w:r>
        <w:rPr>
          <w:rFonts w:ascii="宋体" w:hAnsi="宋体"/>
          <w:bCs/>
        </w:rPr>
        <w:t>松散岩类孔隙水</w:t>
      </w:r>
    </w:p>
    <w:p w:rsidR="004E3021" w:rsidRDefault="00606E48">
      <w:pPr>
        <w:ind w:firstLine="480"/>
        <w:rPr>
          <w:bCs/>
        </w:rPr>
      </w:pPr>
      <w:r>
        <w:rPr>
          <w:bCs/>
        </w:rPr>
        <w:t>1</w:t>
      </w:r>
      <w:r>
        <w:rPr>
          <w:rFonts w:ascii="宋体" w:hAnsi="宋体" w:hint="eastAsia"/>
          <w:bCs/>
        </w:rPr>
        <w:t>）浅层松散岩类孔隙水</w:t>
      </w:r>
      <w:r>
        <w:rPr>
          <w:rFonts w:hint="eastAsia"/>
          <w:bCs/>
        </w:rPr>
        <w:t xml:space="preserve"> </w:t>
      </w:r>
    </w:p>
    <w:p w:rsidR="004E3021" w:rsidRDefault="00606E48">
      <w:pPr>
        <w:ind w:firstLine="480"/>
        <w:rPr>
          <w:bCs/>
        </w:rPr>
      </w:pPr>
      <w:r>
        <w:rPr>
          <w:rFonts w:ascii="宋体" w:hAnsi="宋体" w:hint="eastAsia"/>
          <w:bCs/>
        </w:rPr>
        <w:t>根据地下水的富水性，将本区划分为水量较丰富、水量中等及水量贫乏的含水岩组。</w:t>
      </w:r>
    </w:p>
    <w:p w:rsidR="004E3021" w:rsidRDefault="00606E48">
      <w:pPr>
        <w:ind w:firstLine="480"/>
        <w:rPr>
          <w:bCs/>
        </w:rPr>
      </w:pPr>
      <w:r>
        <w:rPr>
          <w:rFonts w:ascii="宋体" w:hAnsi="宋体" w:hint="eastAsia"/>
          <w:bCs/>
        </w:rPr>
        <w:t>①水量较丰富的（单井涌水量</w:t>
      </w:r>
      <w:r>
        <w:rPr>
          <w:bCs/>
        </w:rPr>
        <w:t>500-1000m</w:t>
      </w:r>
      <w:r>
        <w:rPr>
          <w:bCs/>
          <w:vertAlign w:val="superscript"/>
        </w:rPr>
        <w:t>3</w:t>
      </w:r>
      <w:r>
        <w:rPr>
          <w:bCs/>
        </w:rPr>
        <w:t>/d</w:t>
      </w:r>
      <w:r>
        <w:rPr>
          <w:rFonts w:ascii="宋体" w:hAnsi="宋体" w:hint="eastAsia"/>
          <w:bCs/>
        </w:rPr>
        <w:t>）</w:t>
      </w:r>
    </w:p>
    <w:p w:rsidR="004E3021" w:rsidRDefault="00606E48">
      <w:pPr>
        <w:ind w:firstLine="480"/>
        <w:rPr>
          <w:bCs/>
        </w:rPr>
      </w:pPr>
      <w:r>
        <w:rPr>
          <w:rFonts w:ascii="宋体" w:hAnsi="宋体" w:hint="eastAsia"/>
          <w:bCs/>
        </w:rPr>
        <w:t>浅层松散岩类孔隙水主要赋存于第四系上更新统的粉</w:t>
      </w:r>
      <w:r>
        <w:rPr>
          <w:bCs/>
        </w:rPr>
        <w:t>-</w:t>
      </w:r>
      <w:r>
        <w:rPr>
          <w:rFonts w:ascii="宋体" w:hAnsi="宋体" w:hint="eastAsia"/>
          <w:bCs/>
        </w:rPr>
        <w:t>中砂、局部粉土夹砂的孔隙中，含水层厚度</w:t>
      </w:r>
      <w:r>
        <w:rPr>
          <w:bCs/>
        </w:rPr>
        <w:t>10.87-15.27m</w:t>
      </w:r>
      <w:r>
        <w:rPr>
          <w:rFonts w:ascii="宋体" w:hAnsi="宋体" w:hint="eastAsia"/>
          <w:bCs/>
        </w:rPr>
        <w:t>，水位埋深</w:t>
      </w:r>
      <w:r>
        <w:rPr>
          <w:bCs/>
        </w:rPr>
        <w:t>0.4-3.0m</w:t>
      </w:r>
      <w:r>
        <w:rPr>
          <w:rFonts w:ascii="宋体" w:hAnsi="宋体" w:hint="eastAsia"/>
          <w:bCs/>
        </w:rPr>
        <w:t>，据钻孔抽水试验资料，单井涌水量为</w:t>
      </w:r>
      <w:r>
        <w:rPr>
          <w:bCs/>
        </w:rPr>
        <w:t>500-1000m</w:t>
      </w:r>
      <w:r>
        <w:rPr>
          <w:bCs/>
          <w:vertAlign w:val="superscript"/>
        </w:rPr>
        <w:t>3</w:t>
      </w:r>
      <w:r>
        <w:rPr>
          <w:bCs/>
        </w:rPr>
        <w:t>/d</w:t>
      </w:r>
      <w:r>
        <w:rPr>
          <w:rFonts w:ascii="宋体" w:hAnsi="宋体" w:hint="eastAsia"/>
          <w:bCs/>
        </w:rPr>
        <w:t>，地下水化学类型以</w:t>
      </w:r>
      <w:r>
        <w:rPr>
          <w:bCs/>
        </w:rPr>
        <w:t>HCO</w:t>
      </w:r>
      <w:r>
        <w:rPr>
          <w:bCs/>
          <w:vertAlign w:val="subscript"/>
        </w:rPr>
        <w:t>3</w:t>
      </w:r>
      <w:r>
        <w:rPr>
          <w:bCs/>
        </w:rPr>
        <w:t>-Ca</w:t>
      </w:r>
      <w:r>
        <w:rPr>
          <w:rFonts w:ascii="宋体" w:hAnsi="宋体" w:hint="eastAsia"/>
          <w:bCs/>
        </w:rPr>
        <w:t>型为主，溶解性总固体小于</w:t>
      </w:r>
      <w:r>
        <w:rPr>
          <w:bCs/>
        </w:rPr>
        <w:t>1.0g/L</w:t>
      </w:r>
      <w:r>
        <w:rPr>
          <w:rFonts w:ascii="宋体" w:hAnsi="宋体" w:hint="eastAsia"/>
          <w:bCs/>
        </w:rPr>
        <w:t>。</w:t>
      </w:r>
    </w:p>
    <w:p w:rsidR="004E3021" w:rsidRDefault="00606E48">
      <w:pPr>
        <w:ind w:firstLine="480"/>
        <w:rPr>
          <w:bCs/>
        </w:rPr>
      </w:pPr>
      <w:r>
        <w:rPr>
          <w:rFonts w:ascii="宋体" w:hAnsi="宋体" w:hint="eastAsia"/>
          <w:bCs/>
        </w:rPr>
        <w:t>②水量中等的（单井涌水量</w:t>
      </w:r>
      <w:r>
        <w:rPr>
          <w:bCs/>
        </w:rPr>
        <w:t>100-500m</w:t>
      </w:r>
      <w:r>
        <w:rPr>
          <w:bCs/>
          <w:vertAlign w:val="superscript"/>
        </w:rPr>
        <w:t>3</w:t>
      </w:r>
      <w:r>
        <w:rPr>
          <w:bCs/>
        </w:rPr>
        <w:t>/d</w:t>
      </w:r>
      <w:r>
        <w:rPr>
          <w:rFonts w:ascii="宋体" w:hAnsi="宋体" w:hint="eastAsia"/>
          <w:bCs/>
        </w:rPr>
        <w:t>）</w:t>
      </w:r>
    </w:p>
    <w:p w:rsidR="004E3021" w:rsidRDefault="00606E48">
      <w:pPr>
        <w:ind w:firstLine="480"/>
        <w:rPr>
          <w:bCs/>
        </w:rPr>
      </w:pPr>
      <w:r>
        <w:rPr>
          <w:rFonts w:ascii="宋体" w:hAnsi="宋体" w:hint="eastAsia"/>
          <w:bCs/>
        </w:rPr>
        <w:t>主要沿淮河北岸分布，含水层由第四系全新新统砂砾层组成，厚度</w:t>
      </w:r>
      <w:r>
        <w:rPr>
          <w:bCs/>
        </w:rPr>
        <w:t>6.8-10.29m</w:t>
      </w:r>
      <w:r>
        <w:rPr>
          <w:rFonts w:ascii="宋体" w:hAnsi="宋体" w:hint="eastAsia"/>
          <w:bCs/>
        </w:rPr>
        <w:t>，水位埋深</w:t>
      </w:r>
      <w:r>
        <w:rPr>
          <w:bCs/>
        </w:rPr>
        <w:t>0.9-5.20m</w:t>
      </w:r>
      <w:r>
        <w:rPr>
          <w:rFonts w:ascii="宋体" w:hAnsi="宋体" w:hint="eastAsia"/>
          <w:bCs/>
        </w:rPr>
        <w:t>，据钻孔抽水试验资料，单井涌水量为</w:t>
      </w:r>
      <w:r>
        <w:rPr>
          <w:bCs/>
        </w:rPr>
        <w:t>100-500m</w:t>
      </w:r>
      <w:r>
        <w:rPr>
          <w:bCs/>
          <w:vertAlign w:val="superscript"/>
        </w:rPr>
        <w:t>3</w:t>
      </w:r>
      <w:r>
        <w:rPr>
          <w:bCs/>
        </w:rPr>
        <w:t>/d</w:t>
      </w:r>
      <w:r>
        <w:rPr>
          <w:rFonts w:ascii="宋体" w:hAnsi="宋体" w:hint="eastAsia"/>
          <w:bCs/>
        </w:rPr>
        <w:t>，地下水化学类型以</w:t>
      </w:r>
      <w:r>
        <w:rPr>
          <w:bCs/>
        </w:rPr>
        <w:t>HCO</w:t>
      </w:r>
      <w:r>
        <w:rPr>
          <w:bCs/>
          <w:vertAlign w:val="subscript"/>
        </w:rPr>
        <w:t>3</w:t>
      </w:r>
      <w:r>
        <w:rPr>
          <w:bCs/>
        </w:rPr>
        <w:t>-Ca</w:t>
      </w:r>
      <w:r>
        <w:rPr>
          <w:rFonts w:ascii="宋体" w:hAnsi="宋体" w:hint="eastAsia"/>
          <w:bCs/>
        </w:rPr>
        <w:t>型为主，溶解性总固体小于</w:t>
      </w:r>
      <w:r>
        <w:rPr>
          <w:bCs/>
        </w:rPr>
        <w:t>1.0g/L</w:t>
      </w:r>
      <w:r>
        <w:rPr>
          <w:rFonts w:ascii="宋体" w:hAnsi="宋体" w:hint="eastAsia"/>
          <w:bCs/>
        </w:rPr>
        <w:t>。</w:t>
      </w:r>
    </w:p>
    <w:p w:rsidR="004E3021" w:rsidRDefault="00606E48">
      <w:pPr>
        <w:ind w:firstLine="480"/>
        <w:rPr>
          <w:bCs/>
        </w:rPr>
      </w:pPr>
      <w:r>
        <w:rPr>
          <w:rFonts w:ascii="宋体" w:hAnsi="宋体" w:hint="eastAsia"/>
          <w:bCs/>
        </w:rPr>
        <w:t>③水量贫乏的（单井涌水量</w:t>
      </w:r>
      <w:r>
        <w:rPr>
          <w:bCs/>
        </w:rPr>
        <w:t>&lt;100m</w:t>
      </w:r>
      <w:r>
        <w:rPr>
          <w:bCs/>
          <w:vertAlign w:val="superscript"/>
        </w:rPr>
        <w:t>3</w:t>
      </w:r>
      <w:r>
        <w:rPr>
          <w:bCs/>
        </w:rPr>
        <w:t>/d</w:t>
      </w:r>
      <w:r>
        <w:rPr>
          <w:rFonts w:ascii="宋体" w:hAnsi="宋体" w:hint="eastAsia"/>
          <w:bCs/>
        </w:rPr>
        <w:t>）</w:t>
      </w:r>
    </w:p>
    <w:p w:rsidR="004E3021" w:rsidRDefault="00606E48">
      <w:pPr>
        <w:ind w:firstLine="480"/>
        <w:rPr>
          <w:bCs/>
        </w:rPr>
      </w:pPr>
      <w:r>
        <w:rPr>
          <w:rFonts w:ascii="宋体" w:hAnsi="宋体" w:hint="eastAsia"/>
          <w:bCs/>
        </w:rPr>
        <w:t>分布于评价区东北部，主要由第四系上更新统的粘土、粉土夹砂组成，砂岩沿现代河流两侧成条带状分布，厚度小于</w:t>
      </w:r>
      <w:r>
        <w:rPr>
          <w:bCs/>
        </w:rPr>
        <w:t>5m</w:t>
      </w:r>
      <w:r>
        <w:rPr>
          <w:rFonts w:ascii="宋体" w:hAnsi="宋体" w:hint="eastAsia"/>
          <w:bCs/>
        </w:rPr>
        <w:t>，水位埋深</w:t>
      </w:r>
      <w:r>
        <w:rPr>
          <w:bCs/>
        </w:rPr>
        <w:t>0.4-3.5m</w:t>
      </w:r>
      <w:r>
        <w:rPr>
          <w:rFonts w:ascii="宋体" w:hAnsi="宋体" w:hint="eastAsia"/>
          <w:bCs/>
        </w:rPr>
        <w:t>，据钻孔及民井抽水试验资料，单井涌水量均小于</w:t>
      </w:r>
      <w:r>
        <w:rPr>
          <w:bCs/>
        </w:rPr>
        <w:t>100m</w:t>
      </w:r>
      <w:r>
        <w:rPr>
          <w:bCs/>
          <w:vertAlign w:val="superscript"/>
        </w:rPr>
        <w:t>3</w:t>
      </w:r>
      <w:r>
        <w:rPr>
          <w:bCs/>
        </w:rPr>
        <w:t>/d</w:t>
      </w:r>
      <w:r>
        <w:rPr>
          <w:rFonts w:ascii="宋体" w:hAnsi="宋体" w:hint="eastAsia"/>
          <w:bCs/>
        </w:rPr>
        <w:t>，地下水化学类型为</w:t>
      </w:r>
      <w:r>
        <w:rPr>
          <w:bCs/>
        </w:rPr>
        <w:t>HCO</w:t>
      </w:r>
      <w:r>
        <w:rPr>
          <w:bCs/>
          <w:vertAlign w:val="subscript"/>
        </w:rPr>
        <w:t>3</w:t>
      </w:r>
      <w:r>
        <w:rPr>
          <w:bCs/>
        </w:rPr>
        <w:t>-Ca·Mg</w:t>
      </w:r>
      <w:r>
        <w:rPr>
          <w:rFonts w:ascii="宋体" w:hAnsi="宋体" w:hint="eastAsia"/>
          <w:bCs/>
        </w:rPr>
        <w:t>型或</w:t>
      </w:r>
      <w:r>
        <w:rPr>
          <w:rFonts w:hint="eastAsia"/>
          <w:bCs/>
        </w:rPr>
        <w:t xml:space="preserve"> </w:t>
      </w:r>
      <w:r>
        <w:rPr>
          <w:bCs/>
        </w:rPr>
        <w:t>HCO</w:t>
      </w:r>
      <w:r>
        <w:rPr>
          <w:bCs/>
          <w:vertAlign w:val="subscript"/>
        </w:rPr>
        <w:t>3</w:t>
      </w:r>
      <w:r>
        <w:rPr>
          <w:bCs/>
        </w:rPr>
        <w:t>-Ca•Na</w:t>
      </w:r>
      <w:r>
        <w:rPr>
          <w:rFonts w:ascii="宋体" w:hAnsi="宋体" w:hint="eastAsia"/>
          <w:bCs/>
        </w:rPr>
        <w:t>型，溶解性总固体小于</w:t>
      </w:r>
      <w:r>
        <w:rPr>
          <w:bCs/>
        </w:rPr>
        <w:t>1.0g/L</w:t>
      </w:r>
      <w:r>
        <w:rPr>
          <w:rFonts w:ascii="宋体" w:hAnsi="宋体" w:hint="eastAsia"/>
          <w:bCs/>
        </w:rPr>
        <w:t>。</w:t>
      </w:r>
    </w:p>
    <w:p w:rsidR="004E3021" w:rsidRDefault="00606E48">
      <w:pPr>
        <w:ind w:firstLine="480"/>
        <w:rPr>
          <w:bCs/>
        </w:rPr>
      </w:pPr>
      <w:r>
        <w:rPr>
          <w:rFonts w:ascii="宋体" w:hAnsi="宋体"/>
          <w:bCs/>
        </w:rPr>
        <w:t>含水层组由第四系全新统和上更新统砂性土组成，以粉土和粘质粉土为主。含水层厚度</w:t>
      </w:r>
      <w:r>
        <w:rPr>
          <w:bCs/>
        </w:rPr>
        <w:t>10.0~30.00m</w:t>
      </w:r>
      <w:r>
        <w:rPr>
          <w:rFonts w:ascii="宋体" w:hAnsi="宋体"/>
          <w:bCs/>
        </w:rPr>
        <w:t>，水位埋深</w:t>
      </w:r>
      <w:r>
        <w:rPr>
          <w:bCs/>
        </w:rPr>
        <w:t>2.00~8.00m</w:t>
      </w:r>
      <w:r>
        <w:rPr>
          <w:rFonts w:ascii="宋体" w:hAnsi="宋体"/>
          <w:bCs/>
        </w:rPr>
        <w:t>，水力性质多属上层潜水。水量贫乏，单井涌水量多小于</w:t>
      </w:r>
      <w:r>
        <w:rPr>
          <w:bCs/>
        </w:rPr>
        <w:t>100m</w:t>
      </w:r>
      <w:r>
        <w:rPr>
          <w:bCs/>
          <w:vertAlign w:val="superscript"/>
        </w:rPr>
        <w:t>3</w:t>
      </w:r>
      <w:r>
        <w:rPr>
          <w:bCs/>
        </w:rPr>
        <w:t>/d</w:t>
      </w:r>
      <w:r>
        <w:rPr>
          <w:rFonts w:ascii="宋体" w:hAnsi="宋体"/>
          <w:bCs/>
        </w:rPr>
        <w:t>。水化学类型以</w:t>
      </w:r>
      <w:r>
        <w:rPr>
          <w:bCs/>
        </w:rPr>
        <w:t>HCO</w:t>
      </w:r>
      <w:r>
        <w:rPr>
          <w:bCs/>
          <w:vertAlign w:val="subscript"/>
        </w:rPr>
        <w:t>3</w:t>
      </w:r>
      <w:r>
        <w:rPr>
          <w:bCs/>
        </w:rPr>
        <w:t>--Ca</w:t>
      </w:r>
      <w:r>
        <w:rPr>
          <w:bCs/>
          <w:vertAlign w:val="superscript"/>
        </w:rPr>
        <w:t>2+</w:t>
      </w:r>
      <w:r>
        <w:rPr>
          <w:rFonts w:ascii="宋体" w:hAnsi="宋体"/>
          <w:bCs/>
        </w:rPr>
        <w:t>型为主，溶解性总固体小于</w:t>
      </w:r>
      <w:r>
        <w:rPr>
          <w:bCs/>
        </w:rPr>
        <w:t>1.0g/L</w:t>
      </w:r>
      <w:r>
        <w:rPr>
          <w:rFonts w:ascii="宋体" w:hAnsi="宋体"/>
          <w:bCs/>
        </w:rPr>
        <w:t>，</w:t>
      </w:r>
      <w:r>
        <w:rPr>
          <w:rFonts w:hint="eastAsia"/>
          <w:bCs/>
        </w:rPr>
        <w:t>p</w:t>
      </w:r>
      <w:r>
        <w:rPr>
          <w:bCs/>
        </w:rPr>
        <w:t>H</w:t>
      </w:r>
      <w:r>
        <w:rPr>
          <w:rFonts w:ascii="宋体" w:hAnsi="宋体"/>
          <w:bCs/>
        </w:rPr>
        <w:t>值</w:t>
      </w:r>
      <w:r>
        <w:rPr>
          <w:bCs/>
        </w:rPr>
        <w:t>7.5~8.0</w:t>
      </w:r>
      <w:r>
        <w:rPr>
          <w:rFonts w:ascii="宋体" w:hAnsi="宋体"/>
          <w:bCs/>
        </w:rPr>
        <w:t>。</w:t>
      </w:r>
    </w:p>
    <w:p w:rsidR="004E3021" w:rsidRDefault="00606E48">
      <w:pPr>
        <w:ind w:firstLine="480"/>
        <w:rPr>
          <w:bCs/>
        </w:rPr>
      </w:pPr>
      <w:r>
        <w:rPr>
          <w:bCs/>
        </w:rPr>
        <w:t>2</w:t>
      </w:r>
      <w:r>
        <w:rPr>
          <w:rFonts w:ascii="宋体" w:hAnsi="宋体" w:hint="eastAsia"/>
          <w:bCs/>
        </w:rPr>
        <w:t>）深层松散岩类孔隙水</w:t>
      </w:r>
    </w:p>
    <w:p w:rsidR="004E3021" w:rsidRDefault="00606E48">
      <w:pPr>
        <w:ind w:firstLine="480"/>
        <w:rPr>
          <w:bCs/>
        </w:rPr>
      </w:pPr>
      <w:r>
        <w:rPr>
          <w:rFonts w:ascii="宋体" w:hAnsi="宋体" w:hint="eastAsia"/>
          <w:bCs/>
        </w:rPr>
        <w:t>该类型水由中下更新统含水砂层及新近系含水砂层组成，厚度较大。</w:t>
      </w:r>
    </w:p>
    <w:p w:rsidR="004E3021" w:rsidRDefault="00606E48">
      <w:pPr>
        <w:ind w:firstLine="480"/>
        <w:rPr>
          <w:bCs/>
        </w:rPr>
      </w:pPr>
      <w:r>
        <w:rPr>
          <w:rFonts w:ascii="宋体" w:hAnsi="宋体" w:hint="eastAsia"/>
          <w:bCs/>
        </w:rPr>
        <w:t>深层松散岩类孔隙水的富水等级，按单井涌水量可划分为水量丰富的、水量较丰富的和水量中等的三级。现分述如下：</w:t>
      </w:r>
    </w:p>
    <w:p w:rsidR="004E3021" w:rsidRDefault="00606E48">
      <w:pPr>
        <w:ind w:firstLine="480"/>
        <w:rPr>
          <w:bCs/>
        </w:rPr>
      </w:pPr>
      <w:r>
        <w:rPr>
          <w:rFonts w:ascii="宋体" w:hAnsi="宋体" w:hint="eastAsia"/>
          <w:bCs/>
        </w:rPr>
        <w:t>①水量丰富的（单井涌水量</w:t>
      </w:r>
      <w:r>
        <w:rPr>
          <w:bCs/>
        </w:rPr>
        <w:t>1000-3000m</w:t>
      </w:r>
      <w:r>
        <w:rPr>
          <w:bCs/>
          <w:vertAlign w:val="superscript"/>
        </w:rPr>
        <w:t>3</w:t>
      </w:r>
      <w:r>
        <w:rPr>
          <w:bCs/>
        </w:rPr>
        <w:t>/d</w:t>
      </w:r>
      <w:r>
        <w:rPr>
          <w:rFonts w:ascii="宋体" w:hAnsi="宋体" w:hint="eastAsia"/>
          <w:bCs/>
        </w:rPr>
        <w:t>）</w:t>
      </w:r>
    </w:p>
    <w:p w:rsidR="004E3021" w:rsidRDefault="00606E48">
      <w:pPr>
        <w:ind w:firstLine="480"/>
        <w:rPr>
          <w:bCs/>
        </w:rPr>
      </w:pPr>
      <w:r>
        <w:rPr>
          <w:rFonts w:ascii="宋体" w:hAnsi="宋体" w:hint="eastAsia"/>
          <w:bCs/>
        </w:rPr>
        <w:t>含水层为粉细砂</w:t>
      </w:r>
      <w:r>
        <w:rPr>
          <w:bCs/>
        </w:rPr>
        <w:t>-</w:t>
      </w:r>
      <w:r>
        <w:rPr>
          <w:rFonts w:ascii="宋体" w:hAnsi="宋体" w:hint="eastAsia"/>
          <w:bCs/>
        </w:rPr>
        <w:t>中砂，厚度</w:t>
      </w:r>
      <w:r>
        <w:rPr>
          <w:bCs/>
        </w:rPr>
        <w:t>6-31m</w:t>
      </w:r>
      <w:r>
        <w:rPr>
          <w:rFonts w:ascii="宋体" w:hAnsi="宋体" w:hint="eastAsia"/>
          <w:bCs/>
        </w:rPr>
        <w:t>，水位埋深</w:t>
      </w:r>
      <w:r>
        <w:rPr>
          <w:bCs/>
        </w:rPr>
        <w:t>1-5m</w:t>
      </w:r>
      <w:r>
        <w:rPr>
          <w:rFonts w:ascii="宋体" w:hAnsi="宋体" w:hint="eastAsia"/>
          <w:bCs/>
        </w:rPr>
        <w:t>，据钻孔抽水试验资料，单井涌水量</w:t>
      </w:r>
      <w:r>
        <w:rPr>
          <w:bCs/>
        </w:rPr>
        <w:t>1163.90-2986.28m</w:t>
      </w:r>
      <w:r>
        <w:rPr>
          <w:bCs/>
          <w:vertAlign w:val="superscript"/>
        </w:rPr>
        <w:t>3</w:t>
      </w:r>
      <w:r>
        <w:rPr>
          <w:bCs/>
        </w:rPr>
        <w:t>/d</w:t>
      </w:r>
      <w:r>
        <w:rPr>
          <w:rFonts w:ascii="宋体" w:hAnsi="宋体" w:hint="eastAsia"/>
          <w:bCs/>
        </w:rPr>
        <w:t>，地下水化学类型以</w:t>
      </w:r>
      <w:r>
        <w:rPr>
          <w:bCs/>
        </w:rPr>
        <w:t>HCO</w:t>
      </w:r>
      <w:r>
        <w:rPr>
          <w:bCs/>
          <w:vertAlign w:val="subscript"/>
        </w:rPr>
        <w:t>3</w:t>
      </w:r>
      <w:r>
        <w:rPr>
          <w:bCs/>
        </w:rPr>
        <w:t>-Na</w:t>
      </w:r>
      <w:r>
        <w:rPr>
          <w:rFonts w:ascii="宋体" w:hAnsi="宋体" w:hint="eastAsia"/>
          <w:bCs/>
        </w:rPr>
        <w:t>型为主，溶解性总固体小于</w:t>
      </w:r>
      <w:r>
        <w:rPr>
          <w:bCs/>
        </w:rPr>
        <w:lastRenderedPageBreak/>
        <w:t>1.0g/L</w:t>
      </w:r>
      <w:r>
        <w:rPr>
          <w:rFonts w:ascii="宋体" w:hAnsi="宋体" w:hint="eastAsia"/>
          <w:bCs/>
        </w:rPr>
        <w:t>。</w:t>
      </w:r>
    </w:p>
    <w:p w:rsidR="004E3021" w:rsidRDefault="00606E48">
      <w:pPr>
        <w:ind w:firstLine="480"/>
        <w:rPr>
          <w:bCs/>
        </w:rPr>
      </w:pPr>
      <w:r>
        <w:rPr>
          <w:rFonts w:ascii="宋体" w:hAnsi="宋体" w:hint="eastAsia"/>
          <w:bCs/>
        </w:rPr>
        <w:t>②水量较丰富的（单井涌水量</w:t>
      </w:r>
      <w:r>
        <w:rPr>
          <w:bCs/>
        </w:rPr>
        <w:t>500-1000m</w:t>
      </w:r>
      <w:r>
        <w:rPr>
          <w:bCs/>
          <w:vertAlign w:val="superscript"/>
        </w:rPr>
        <w:t>3</w:t>
      </w:r>
      <w:r>
        <w:rPr>
          <w:bCs/>
        </w:rPr>
        <w:t>/d</w:t>
      </w:r>
      <w:r>
        <w:rPr>
          <w:rFonts w:ascii="宋体" w:hAnsi="宋体" w:hint="eastAsia"/>
          <w:bCs/>
        </w:rPr>
        <w:t>）</w:t>
      </w:r>
    </w:p>
    <w:p w:rsidR="004E3021" w:rsidRDefault="00606E48">
      <w:pPr>
        <w:ind w:firstLine="480"/>
        <w:rPr>
          <w:bCs/>
        </w:rPr>
      </w:pPr>
      <w:r>
        <w:rPr>
          <w:rFonts w:ascii="宋体" w:hAnsi="宋体" w:hint="eastAsia"/>
          <w:bCs/>
        </w:rPr>
        <w:t>含水层为粉细砂、中砂，厚度</w:t>
      </w:r>
      <w:r>
        <w:rPr>
          <w:bCs/>
        </w:rPr>
        <w:t>4.38-29.79m</w:t>
      </w:r>
      <w:r>
        <w:rPr>
          <w:rFonts w:ascii="宋体" w:hAnsi="宋体" w:hint="eastAsia"/>
          <w:bCs/>
        </w:rPr>
        <w:t>，水位埋深</w:t>
      </w:r>
      <w:r>
        <w:rPr>
          <w:bCs/>
        </w:rPr>
        <w:t>0.4-5m</w:t>
      </w:r>
      <w:r>
        <w:rPr>
          <w:rFonts w:ascii="宋体" w:hAnsi="宋体" w:hint="eastAsia"/>
          <w:bCs/>
        </w:rPr>
        <w:t>，据钻孔抽水试验资料，单井涌水量为</w:t>
      </w:r>
      <w:r>
        <w:rPr>
          <w:bCs/>
        </w:rPr>
        <w:t>527.27-983.35m</w:t>
      </w:r>
      <w:r>
        <w:rPr>
          <w:bCs/>
          <w:vertAlign w:val="superscript"/>
        </w:rPr>
        <w:t>3</w:t>
      </w:r>
      <w:r>
        <w:rPr>
          <w:bCs/>
        </w:rPr>
        <w:t>/d</w:t>
      </w:r>
      <w:r>
        <w:rPr>
          <w:rFonts w:ascii="宋体" w:hAnsi="宋体" w:hint="eastAsia"/>
          <w:bCs/>
        </w:rPr>
        <w:t>，地下水化学类型以</w:t>
      </w:r>
      <w:r>
        <w:rPr>
          <w:bCs/>
        </w:rPr>
        <w:t>HCO</w:t>
      </w:r>
      <w:r>
        <w:rPr>
          <w:bCs/>
          <w:vertAlign w:val="subscript"/>
        </w:rPr>
        <w:t>3</w:t>
      </w:r>
      <w:r>
        <w:rPr>
          <w:bCs/>
        </w:rPr>
        <w:t>-Na•Ca</w:t>
      </w:r>
      <w:r>
        <w:rPr>
          <w:rFonts w:ascii="宋体" w:hAnsi="宋体" w:hint="eastAsia"/>
          <w:bCs/>
        </w:rPr>
        <w:t>型为主，溶解性总固体小于</w:t>
      </w:r>
      <w:r>
        <w:rPr>
          <w:bCs/>
        </w:rPr>
        <w:t>1.0g/L</w:t>
      </w:r>
      <w:r>
        <w:rPr>
          <w:rFonts w:ascii="宋体" w:hAnsi="宋体" w:hint="eastAsia"/>
          <w:bCs/>
        </w:rPr>
        <w:t>。</w:t>
      </w:r>
    </w:p>
    <w:p w:rsidR="004E3021" w:rsidRDefault="00606E48">
      <w:pPr>
        <w:ind w:firstLine="480"/>
        <w:rPr>
          <w:bCs/>
        </w:rPr>
      </w:pPr>
      <w:r>
        <w:rPr>
          <w:rFonts w:ascii="宋体" w:hAnsi="宋体" w:hint="eastAsia"/>
          <w:bCs/>
        </w:rPr>
        <w:t>③水量中等的（单井涌水量</w:t>
      </w:r>
      <w:r>
        <w:rPr>
          <w:bCs/>
        </w:rPr>
        <w:t>100-500m</w:t>
      </w:r>
      <w:r>
        <w:rPr>
          <w:bCs/>
          <w:vertAlign w:val="superscript"/>
        </w:rPr>
        <w:t>3</w:t>
      </w:r>
      <w:r>
        <w:rPr>
          <w:bCs/>
        </w:rPr>
        <w:t xml:space="preserve"> /d</w:t>
      </w:r>
      <w:r>
        <w:rPr>
          <w:rFonts w:ascii="宋体" w:hAnsi="宋体" w:hint="eastAsia"/>
          <w:bCs/>
        </w:rPr>
        <w:t>）</w:t>
      </w:r>
    </w:p>
    <w:p w:rsidR="004E3021" w:rsidRDefault="00606E48">
      <w:pPr>
        <w:ind w:firstLine="480"/>
        <w:rPr>
          <w:bCs/>
        </w:rPr>
      </w:pPr>
      <w:r>
        <w:rPr>
          <w:rFonts w:ascii="宋体" w:hAnsi="宋体" w:hint="eastAsia"/>
          <w:bCs/>
        </w:rPr>
        <w:t>含水砂层为粉细砂</w:t>
      </w:r>
      <w:r>
        <w:rPr>
          <w:bCs/>
        </w:rPr>
        <w:t>-</w:t>
      </w:r>
      <w:r>
        <w:rPr>
          <w:rFonts w:ascii="宋体" w:hAnsi="宋体" w:hint="eastAsia"/>
          <w:bCs/>
        </w:rPr>
        <w:t>中砂，厚度</w:t>
      </w:r>
      <w:r>
        <w:rPr>
          <w:bCs/>
        </w:rPr>
        <w:t>6.8-19.36m</w:t>
      </w:r>
      <w:r>
        <w:rPr>
          <w:rFonts w:ascii="宋体" w:hAnsi="宋体" w:hint="eastAsia"/>
          <w:bCs/>
        </w:rPr>
        <w:t>，水位埋深</w:t>
      </w:r>
      <w:r>
        <w:rPr>
          <w:bCs/>
        </w:rPr>
        <w:t>0.18-2.71m</w:t>
      </w:r>
      <w:r>
        <w:rPr>
          <w:rFonts w:ascii="宋体" w:hAnsi="宋体" w:hint="eastAsia"/>
          <w:bCs/>
        </w:rPr>
        <w:t>，据钻孔抽水试验资料，单井涌水量为</w:t>
      </w:r>
      <w:r>
        <w:rPr>
          <w:bCs/>
        </w:rPr>
        <w:t>118.31-428.25m</w:t>
      </w:r>
      <w:r>
        <w:rPr>
          <w:bCs/>
          <w:vertAlign w:val="superscript"/>
        </w:rPr>
        <w:t>3</w:t>
      </w:r>
      <w:r>
        <w:rPr>
          <w:bCs/>
        </w:rPr>
        <w:t>/d</w:t>
      </w:r>
      <w:r>
        <w:rPr>
          <w:rFonts w:ascii="宋体" w:hAnsi="宋体" w:hint="eastAsia"/>
          <w:bCs/>
        </w:rPr>
        <w:t>，地下水化学类型较复杂，为</w:t>
      </w:r>
      <w:r>
        <w:rPr>
          <w:bCs/>
        </w:rPr>
        <w:t>HCO</w:t>
      </w:r>
      <w:r>
        <w:rPr>
          <w:bCs/>
          <w:vertAlign w:val="subscript"/>
        </w:rPr>
        <w:t>3</w:t>
      </w:r>
      <w:r>
        <w:rPr>
          <w:bCs/>
        </w:rPr>
        <w:t>-Ca•Na</w:t>
      </w:r>
      <w:r>
        <w:rPr>
          <w:rFonts w:ascii="宋体" w:hAnsi="宋体" w:hint="eastAsia"/>
          <w:bCs/>
        </w:rPr>
        <w:t>型、</w:t>
      </w:r>
      <w:r>
        <w:rPr>
          <w:bCs/>
        </w:rPr>
        <w:t>HCO</w:t>
      </w:r>
      <w:r>
        <w:rPr>
          <w:bCs/>
          <w:vertAlign w:val="subscript"/>
        </w:rPr>
        <w:t>3</w:t>
      </w:r>
      <w:r>
        <w:rPr>
          <w:bCs/>
        </w:rPr>
        <w:t>-Na</w:t>
      </w:r>
      <w:r>
        <w:rPr>
          <w:rFonts w:ascii="宋体" w:hAnsi="宋体" w:hint="eastAsia"/>
          <w:bCs/>
        </w:rPr>
        <w:t>型或</w:t>
      </w:r>
      <w:r>
        <w:rPr>
          <w:bCs/>
        </w:rPr>
        <w:t>HCO</w:t>
      </w:r>
      <w:r>
        <w:rPr>
          <w:bCs/>
          <w:vertAlign w:val="subscript"/>
        </w:rPr>
        <w:t>3</w:t>
      </w:r>
      <w:r>
        <w:rPr>
          <w:bCs/>
        </w:rPr>
        <w:t>•SO</w:t>
      </w:r>
      <w:r>
        <w:rPr>
          <w:bCs/>
          <w:vertAlign w:val="subscript"/>
        </w:rPr>
        <w:t>4</w:t>
      </w:r>
      <w:r>
        <w:rPr>
          <w:bCs/>
          <w:vertAlign w:val="superscript"/>
        </w:rPr>
        <w:t>2-</w:t>
      </w:r>
      <w:r>
        <w:rPr>
          <w:bCs/>
        </w:rPr>
        <w:t xml:space="preserve">•Cl-Na•Mg </w:t>
      </w:r>
      <w:r>
        <w:rPr>
          <w:rFonts w:ascii="宋体" w:hAnsi="宋体" w:hint="eastAsia"/>
          <w:bCs/>
        </w:rPr>
        <w:t>型，溶解性总固体小于</w:t>
      </w:r>
      <w:r>
        <w:rPr>
          <w:bCs/>
        </w:rPr>
        <w:t>1.0g/L</w:t>
      </w:r>
      <w:r>
        <w:rPr>
          <w:rFonts w:ascii="宋体" w:hAnsi="宋体" w:hint="eastAsia"/>
          <w:bCs/>
        </w:rPr>
        <w:t>。</w:t>
      </w:r>
    </w:p>
    <w:p w:rsidR="004E3021" w:rsidRDefault="00606E48">
      <w:pPr>
        <w:ind w:firstLine="480"/>
        <w:rPr>
          <w:bCs/>
        </w:rPr>
      </w:pPr>
      <w:r>
        <w:rPr>
          <w:rFonts w:ascii="宋体" w:hAnsi="宋体" w:hint="eastAsia"/>
          <w:bCs/>
        </w:rPr>
        <w:t>（</w:t>
      </w:r>
      <w:r>
        <w:rPr>
          <w:rFonts w:hint="eastAsia"/>
          <w:bCs/>
        </w:rPr>
        <w:t>2</w:t>
      </w:r>
      <w:r>
        <w:rPr>
          <w:rFonts w:ascii="宋体" w:hAnsi="宋体" w:hint="eastAsia"/>
          <w:bCs/>
        </w:rPr>
        <w:t>）</w:t>
      </w:r>
      <w:r>
        <w:rPr>
          <w:rFonts w:ascii="宋体" w:hAnsi="宋体"/>
          <w:bCs/>
        </w:rPr>
        <w:t>基岩裂隙水</w:t>
      </w:r>
    </w:p>
    <w:p w:rsidR="004E3021" w:rsidRDefault="00606E48">
      <w:pPr>
        <w:ind w:firstLine="480"/>
        <w:rPr>
          <w:bCs/>
        </w:rPr>
      </w:pPr>
      <w:r>
        <w:rPr>
          <w:rFonts w:ascii="宋体" w:hAnsi="宋体" w:hint="eastAsia"/>
          <w:bCs/>
        </w:rPr>
        <w:t>主要分布于淮河以南临淮关东部一带，岩性为蚌埠期混合二长花岗岩，呈球状风化，风化层厚度小于</w:t>
      </w:r>
      <w:r>
        <w:rPr>
          <w:bCs/>
        </w:rPr>
        <w:t>10m</w:t>
      </w:r>
      <w:r>
        <w:rPr>
          <w:rFonts w:ascii="宋体" w:hAnsi="宋体" w:hint="eastAsia"/>
          <w:bCs/>
        </w:rPr>
        <w:t>，网格状节理裂隙发育，多被泥质充填，所处地貌部位属丘陵地带，地形较陡峭，不利于地下水储存与富集，单井涌水量小于</w:t>
      </w:r>
      <w:r>
        <w:rPr>
          <w:bCs/>
        </w:rPr>
        <w:t>100m</w:t>
      </w:r>
      <w:r>
        <w:rPr>
          <w:bCs/>
          <w:vertAlign w:val="superscript"/>
        </w:rPr>
        <w:t>3</w:t>
      </w:r>
      <w:r>
        <w:rPr>
          <w:bCs/>
        </w:rPr>
        <w:t>/d</w:t>
      </w:r>
      <w:r>
        <w:rPr>
          <w:rFonts w:ascii="宋体" w:hAnsi="宋体" w:hint="eastAsia"/>
          <w:bCs/>
        </w:rPr>
        <w:t>，径流模数为</w:t>
      </w:r>
      <w:r>
        <w:rPr>
          <w:bCs/>
        </w:rPr>
        <w:t>0.11l/s•km</w:t>
      </w:r>
      <w:r>
        <w:rPr>
          <w:bCs/>
          <w:vertAlign w:val="superscript"/>
        </w:rPr>
        <w:t>2</w:t>
      </w:r>
      <w:r>
        <w:rPr>
          <w:rFonts w:ascii="宋体" w:hAnsi="宋体" w:hint="eastAsia"/>
          <w:bCs/>
        </w:rPr>
        <w:t>。</w:t>
      </w:r>
    </w:p>
    <w:p w:rsidR="004E3021" w:rsidRDefault="00606E48">
      <w:pPr>
        <w:ind w:firstLine="480"/>
        <w:rPr>
          <w:bCs/>
        </w:rPr>
      </w:pPr>
      <w:r>
        <w:rPr>
          <w:rFonts w:ascii="宋体" w:hAnsi="宋体" w:hint="eastAsia"/>
          <w:bCs/>
        </w:rPr>
        <w:t>区域综合水文地质图见图</w:t>
      </w:r>
      <w:r>
        <w:rPr>
          <w:rFonts w:hint="eastAsia"/>
          <w:bCs/>
        </w:rPr>
        <w:t>5.5.3</w:t>
      </w:r>
      <w:r>
        <w:rPr>
          <w:bCs/>
        </w:rPr>
        <w:t>-1</w:t>
      </w:r>
      <w:r>
        <w:rPr>
          <w:rFonts w:ascii="宋体" w:hAnsi="宋体" w:hint="eastAsia"/>
          <w:bCs/>
        </w:rPr>
        <w:t>。</w:t>
      </w:r>
    </w:p>
    <w:p w:rsidR="004E3021" w:rsidRDefault="00606E48" w:rsidP="005B108E">
      <w:pPr>
        <w:spacing w:line="300" w:lineRule="auto"/>
        <w:ind w:firstLineChars="0" w:firstLine="0"/>
        <w:jc w:val="center"/>
        <w:rPr>
          <w:rFonts w:ascii="Calibri" w:eastAsia="仿宋_GB2312" w:hAnsi="Calibri"/>
          <w:b/>
          <w:bCs/>
          <w:kern w:val="0"/>
        </w:rPr>
      </w:pPr>
      <w:r>
        <w:rPr>
          <w:noProof/>
        </w:rPr>
        <w:drawing>
          <wp:inline distT="0" distB="0" distL="0" distR="0">
            <wp:extent cx="4229100" cy="3019627"/>
            <wp:effectExtent l="0" t="0" r="0" b="9525"/>
            <wp:docPr id="106" name="图片 106" descr="C:\Users\ADMINI~1\AppData\Local\Temp\ksohtml\wps4AF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C:\Users\ADMINI~1\AppData\Local\Temp\ksohtml\wps4AFD.tmp.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4241608" cy="3028558"/>
                    </a:xfrm>
                    <a:prstGeom prst="rect">
                      <a:avLst/>
                    </a:prstGeom>
                    <a:noFill/>
                    <a:ln>
                      <a:noFill/>
                    </a:ln>
                  </pic:spPr>
                </pic:pic>
              </a:graphicData>
            </a:graphic>
          </wp:inline>
        </w:drawing>
      </w:r>
      <w:r>
        <w:rPr>
          <w:rFonts w:ascii="Calibri" w:eastAsia="仿宋_GB2312" w:hAnsi="Calibri"/>
          <w:b/>
          <w:bCs/>
          <w:kern w:val="0"/>
        </w:rPr>
        <w:t xml:space="preserve"> </w:t>
      </w:r>
    </w:p>
    <w:p w:rsidR="004E3021" w:rsidRDefault="00606E48">
      <w:pPr>
        <w:spacing w:line="500" w:lineRule="exact"/>
        <w:ind w:firstLineChars="0" w:firstLine="0"/>
        <w:jc w:val="center"/>
        <w:rPr>
          <w:rFonts w:eastAsia="黑体"/>
        </w:rPr>
      </w:pPr>
      <w:r>
        <w:rPr>
          <w:rFonts w:ascii="黑体" w:eastAsia="黑体" w:hAnsi="黑体"/>
        </w:rPr>
        <w:t>图</w:t>
      </w:r>
      <w:r>
        <w:rPr>
          <w:rFonts w:eastAsia="黑体"/>
        </w:rPr>
        <w:t>5.</w:t>
      </w:r>
      <w:r>
        <w:rPr>
          <w:rFonts w:eastAsia="黑体" w:hint="eastAsia"/>
        </w:rPr>
        <w:t>5.3</w:t>
      </w:r>
      <w:r>
        <w:rPr>
          <w:rFonts w:eastAsia="黑体"/>
        </w:rPr>
        <w:t>-</w:t>
      </w:r>
      <w:r>
        <w:rPr>
          <w:rFonts w:eastAsia="黑体" w:hint="eastAsia"/>
        </w:rPr>
        <w:t xml:space="preserve">1  </w:t>
      </w:r>
      <w:r>
        <w:rPr>
          <w:rFonts w:ascii="黑体" w:eastAsia="黑体" w:hAnsi="黑体"/>
        </w:rPr>
        <w:t>区域综合水文地质图</w:t>
      </w:r>
    </w:p>
    <w:p w:rsidR="004E3021" w:rsidRDefault="004E3021">
      <w:pPr>
        <w:widowControl/>
        <w:ind w:firstLineChars="0" w:firstLine="0"/>
        <w:jc w:val="left"/>
        <w:sectPr w:rsidR="004E3021">
          <w:pgSz w:w="11907" w:h="16840"/>
          <w:pgMar w:top="1440" w:right="1440" w:bottom="1440" w:left="1440" w:header="851" w:footer="992" w:gutter="0"/>
          <w:cols w:space="720"/>
          <w:docGrid w:type="lines" w:linePitch="326"/>
        </w:sectPr>
      </w:pPr>
    </w:p>
    <w:p w:rsidR="004E3021" w:rsidRDefault="00606E48">
      <w:pPr>
        <w:ind w:firstLine="480"/>
      </w:pPr>
      <w:r>
        <w:rPr>
          <w:rFonts w:hint="eastAsia"/>
        </w:rPr>
        <w:lastRenderedPageBreak/>
        <w:t>2</w:t>
      </w:r>
      <w:r>
        <w:rPr>
          <w:rFonts w:ascii="宋体" w:hAnsi="宋体" w:hint="eastAsia"/>
        </w:rPr>
        <w:t>、含水层分布</w:t>
      </w:r>
    </w:p>
    <w:p w:rsidR="004E3021" w:rsidRDefault="00606E48">
      <w:pPr>
        <w:ind w:firstLine="480"/>
      </w:pPr>
      <w:r>
        <w:rPr>
          <w:rFonts w:ascii="宋体" w:hAnsi="宋体" w:hint="eastAsia"/>
        </w:rPr>
        <w:t>根据地下水的赋存条件、水力性质及地层岩性组合特征，评价区地下水类型可划分为松散层类孔隙水，按含水层的渗透性可进一步划分为一个弱透水层，一个含水层和两个隔水层，具体描述如下：</w:t>
      </w:r>
    </w:p>
    <w:p w:rsidR="004E3021" w:rsidRDefault="00606E48">
      <w:pPr>
        <w:ind w:firstLine="480"/>
      </w:pPr>
      <w:r>
        <w:rPr>
          <w:rFonts w:ascii="宋体" w:hAnsi="宋体" w:hint="eastAsia"/>
        </w:rPr>
        <w:t>（</w:t>
      </w:r>
      <w:r>
        <w:rPr>
          <w:rFonts w:hint="eastAsia"/>
        </w:rPr>
        <w:t>1</w:t>
      </w:r>
      <w:r>
        <w:rPr>
          <w:rFonts w:ascii="宋体" w:hAnsi="宋体" w:hint="eastAsia"/>
        </w:rPr>
        <w:t>）第一弱透水层</w:t>
      </w:r>
    </w:p>
    <w:p w:rsidR="004E3021" w:rsidRDefault="00606E48">
      <w:pPr>
        <w:ind w:firstLine="480"/>
      </w:pPr>
      <w:r>
        <w:rPr>
          <w:rFonts w:ascii="宋体" w:hAnsi="宋体" w:hint="eastAsia"/>
        </w:rPr>
        <w:t>该层主要由第四系上更新统粘土、粉质粘土、粘土夹砂和薄层粉细砂组成。底板埋深</w:t>
      </w:r>
      <w:r>
        <w:t>15-20.0m</w:t>
      </w:r>
      <w:r>
        <w:rPr>
          <w:rFonts w:ascii="宋体" w:hAnsi="宋体" w:hint="eastAsia"/>
        </w:rPr>
        <w:t>，调查枯水期（</w:t>
      </w:r>
      <w:r>
        <w:t>12</w:t>
      </w:r>
      <w:r>
        <w:rPr>
          <w:rFonts w:ascii="宋体" w:hAnsi="宋体" w:hint="eastAsia"/>
        </w:rPr>
        <w:t>月）水位埋深</w:t>
      </w:r>
      <w:r>
        <w:t>0.40</w:t>
      </w:r>
      <w:r>
        <w:rPr>
          <w:rFonts w:ascii="宋体" w:hAnsi="宋体" w:hint="eastAsia"/>
        </w:rPr>
        <w:t>～</w:t>
      </w:r>
      <w:r>
        <w:t>2.5m</w:t>
      </w:r>
      <w:r>
        <w:rPr>
          <w:rFonts w:ascii="宋体" w:hAnsi="宋体" w:hint="eastAsia"/>
        </w:rPr>
        <w:t>左右，地下水水位年变幅约</w:t>
      </w:r>
      <w:r>
        <w:t>1.00m</w:t>
      </w:r>
      <w:r>
        <w:rPr>
          <w:rFonts w:ascii="宋体" w:hAnsi="宋体" w:hint="eastAsia"/>
        </w:rPr>
        <w:t>，该含水层单井涌水量</w:t>
      </w:r>
      <w:r>
        <w:t>&lt;100m</w:t>
      </w:r>
      <w:r>
        <w:rPr>
          <w:vertAlign w:val="superscript"/>
        </w:rPr>
        <w:t>3</w:t>
      </w:r>
      <w:r>
        <w:rPr>
          <w:rFonts w:ascii="宋体" w:hAnsi="宋体" w:hint="eastAsia"/>
        </w:rPr>
        <w:t>，根据现场取样、室内测试结果，该层平均渗透系数为</w:t>
      </w:r>
      <w:r>
        <w:t>3.82×10</w:t>
      </w:r>
      <w:r>
        <w:rPr>
          <w:vertAlign w:val="superscript"/>
        </w:rPr>
        <w:t>-5</w:t>
      </w:r>
      <w:r>
        <w:t>cm/s</w:t>
      </w:r>
      <w:r>
        <w:rPr>
          <w:rFonts w:ascii="宋体" w:hAnsi="宋体" w:hint="eastAsia"/>
        </w:rPr>
        <w:t>，地下水水力特征为潜水。地下水化学类型为</w:t>
      </w:r>
      <w:r>
        <w:t>HCO</w:t>
      </w:r>
      <w:r>
        <w:rPr>
          <w:vertAlign w:val="subscript"/>
        </w:rPr>
        <w:t>3</w:t>
      </w:r>
      <w:r>
        <w:t xml:space="preserve">-Ca·Mg </w:t>
      </w:r>
      <w:r>
        <w:rPr>
          <w:rFonts w:ascii="宋体" w:hAnsi="宋体" w:hint="eastAsia"/>
        </w:rPr>
        <w:t>型或</w:t>
      </w:r>
      <w:r>
        <w:rPr>
          <w:rFonts w:hint="eastAsia"/>
        </w:rPr>
        <w:t xml:space="preserve"> </w:t>
      </w:r>
      <w:r>
        <w:t>HCO</w:t>
      </w:r>
      <w:r>
        <w:rPr>
          <w:vertAlign w:val="subscript"/>
        </w:rPr>
        <w:t>3</w:t>
      </w:r>
      <w:r>
        <w:t xml:space="preserve">-Ca• Na </w:t>
      </w:r>
      <w:r>
        <w:rPr>
          <w:rFonts w:ascii="宋体" w:hAnsi="宋体" w:hint="eastAsia"/>
        </w:rPr>
        <w:t>型水，溶解性总固体小于</w:t>
      </w:r>
      <w:r>
        <w:t>1.0g/l</w:t>
      </w:r>
      <w:r>
        <w:rPr>
          <w:rFonts w:ascii="宋体" w:hAnsi="宋体" w:hint="eastAsia"/>
        </w:rPr>
        <w:t>。</w:t>
      </w:r>
    </w:p>
    <w:p w:rsidR="004E3021" w:rsidRDefault="00606E48">
      <w:pPr>
        <w:ind w:firstLine="480"/>
      </w:pPr>
      <w:r>
        <w:rPr>
          <w:rFonts w:ascii="宋体" w:hAnsi="宋体" w:hint="eastAsia"/>
        </w:rPr>
        <w:t>（</w:t>
      </w:r>
      <w:r>
        <w:rPr>
          <w:rFonts w:hint="eastAsia"/>
        </w:rPr>
        <w:t>2</w:t>
      </w:r>
      <w:r>
        <w:rPr>
          <w:rFonts w:ascii="宋体" w:hAnsi="宋体" w:hint="eastAsia"/>
        </w:rPr>
        <w:t>）第一隔水层</w:t>
      </w:r>
    </w:p>
    <w:p w:rsidR="004E3021" w:rsidRDefault="00606E48">
      <w:pPr>
        <w:ind w:firstLine="480"/>
      </w:pPr>
      <w:r>
        <w:rPr>
          <w:rFonts w:ascii="宋体" w:hAnsi="宋体" w:hint="eastAsia"/>
        </w:rPr>
        <w:t>该层主要由上更新统粘土组成，底板埋深在</w:t>
      </w:r>
      <w:r>
        <w:t>20.0</w:t>
      </w:r>
      <w:r>
        <w:rPr>
          <w:rFonts w:ascii="宋体" w:hAnsi="宋体" w:hint="eastAsia"/>
        </w:rPr>
        <w:t>～</w:t>
      </w:r>
      <w:r>
        <w:t>25.0m</w:t>
      </w:r>
      <w:r>
        <w:rPr>
          <w:rFonts w:ascii="宋体" w:hAnsi="宋体" w:hint="eastAsia"/>
        </w:rPr>
        <w:t>之间，厚度一般为</w:t>
      </w:r>
      <w:r>
        <w:t>2.0</w:t>
      </w:r>
      <w:r>
        <w:rPr>
          <w:rFonts w:ascii="宋体" w:hAnsi="宋体" w:hint="eastAsia"/>
        </w:rPr>
        <w:t>～</w:t>
      </w:r>
      <w:r>
        <w:t>5.0m</w:t>
      </w:r>
      <w:r>
        <w:rPr>
          <w:rFonts w:ascii="宋体" w:hAnsi="宋体" w:hint="eastAsia"/>
        </w:rPr>
        <w:t>，根据现场钻探取样、室内测试结果，该层平均渗透系数为</w:t>
      </w:r>
      <w:r>
        <w:t>7.42×10</w:t>
      </w:r>
      <w:r>
        <w:rPr>
          <w:vertAlign w:val="superscript"/>
        </w:rPr>
        <w:t>-6</w:t>
      </w:r>
      <w:r>
        <w:t>cm/s</w:t>
      </w:r>
      <w:r>
        <w:rPr>
          <w:rFonts w:ascii="宋体" w:hAnsi="宋体" w:hint="eastAsia"/>
        </w:rPr>
        <w:t>。</w:t>
      </w:r>
    </w:p>
    <w:p w:rsidR="004E3021" w:rsidRDefault="00606E48">
      <w:pPr>
        <w:ind w:firstLine="480"/>
      </w:pPr>
      <w:r>
        <w:rPr>
          <w:rFonts w:ascii="宋体" w:hAnsi="宋体" w:hint="eastAsia"/>
        </w:rPr>
        <w:t>（</w:t>
      </w:r>
      <w:r>
        <w:rPr>
          <w:rFonts w:hint="eastAsia"/>
        </w:rPr>
        <w:t>3</w:t>
      </w:r>
      <w:r>
        <w:rPr>
          <w:rFonts w:ascii="宋体" w:hAnsi="宋体" w:hint="eastAsia"/>
        </w:rPr>
        <w:t>）第一含水层</w:t>
      </w:r>
    </w:p>
    <w:p w:rsidR="004E3021" w:rsidRDefault="00606E48">
      <w:pPr>
        <w:ind w:firstLine="480"/>
      </w:pPr>
      <w:r>
        <w:rPr>
          <w:rFonts w:ascii="宋体" w:hAnsi="宋体" w:hint="eastAsia"/>
        </w:rPr>
        <w:t>该层主要由上更新统粉细砂</w:t>
      </w:r>
      <w:r>
        <w:t>-</w:t>
      </w:r>
      <w:r>
        <w:rPr>
          <w:rFonts w:ascii="宋体" w:hAnsi="宋体" w:hint="eastAsia"/>
        </w:rPr>
        <w:t>中砂、粘土夹砂组成，底板埋深</w:t>
      </w:r>
      <w:r>
        <w:t>&lt;35m</w:t>
      </w:r>
      <w:r>
        <w:rPr>
          <w:rFonts w:ascii="宋体" w:hAnsi="宋体" w:hint="eastAsia"/>
        </w:rPr>
        <w:t>，层厚</w:t>
      </w:r>
      <w:r>
        <w:t>7.5</w:t>
      </w:r>
      <w:r>
        <w:rPr>
          <w:rFonts w:ascii="宋体" w:hAnsi="宋体" w:hint="eastAsia"/>
        </w:rPr>
        <w:t>～</w:t>
      </w:r>
      <w:r>
        <w:t>10.0m</w:t>
      </w:r>
      <w:r>
        <w:rPr>
          <w:rFonts w:ascii="宋体" w:hAnsi="宋体" w:hint="eastAsia"/>
        </w:rPr>
        <w:t>，调查枯水期水位埋深一般</w:t>
      </w:r>
      <w:r>
        <w:t>0.4</w:t>
      </w:r>
      <w:r>
        <w:rPr>
          <w:rFonts w:ascii="宋体" w:hAnsi="宋体" w:hint="eastAsia"/>
        </w:rPr>
        <w:t>～</w:t>
      </w:r>
      <w:r>
        <w:t>3.0m</w:t>
      </w:r>
      <w:r>
        <w:rPr>
          <w:rFonts w:ascii="宋体" w:hAnsi="宋体" w:hint="eastAsia"/>
        </w:rPr>
        <w:t>，丰水期水位埋深</w:t>
      </w:r>
      <w:r>
        <w:t>0.33</w:t>
      </w:r>
      <w:r>
        <w:rPr>
          <w:rFonts w:ascii="宋体" w:hAnsi="宋体" w:hint="eastAsia"/>
        </w:rPr>
        <w:t>～</w:t>
      </w:r>
      <w:r>
        <w:t>2.5m</w:t>
      </w:r>
      <w:r>
        <w:rPr>
          <w:rFonts w:ascii="宋体" w:hAnsi="宋体" w:hint="eastAsia"/>
        </w:rPr>
        <w:t>；根据现场抽水试验，单井涌水量为</w:t>
      </w:r>
      <w:r>
        <w:t>505m</w:t>
      </w:r>
      <w:r>
        <w:rPr>
          <w:vertAlign w:val="superscript"/>
        </w:rPr>
        <w:t>3</w:t>
      </w:r>
      <w:r>
        <w:t>/d</w:t>
      </w:r>
      <w:r>
        <w:rPr>
          <w:rFonts w:ascii="宋体" w:hAnsi="宋体" w:hint="eastAsia"/>
        </w:rPr>
        <w:t>，平均渗透系数为</w:t>
      </w:r>
      <w:r>
        <w:t>2.23×10</w:t>
      </w:r>
      <w:r>
        <w:rPr>
          <w:vertAlign w:val="superscript"/>
        </w:rPr>
        <w:t>-3</w:t>
      </w:r>
      <w:r>
        <w:t>cm/s</w:t>
      </w:r>
      <w:r>
        <w:rPr>
          <w:rFonts w:ascii="宋体" w:hAnsi="宋体" w:hint="eastAsia"/>
        </w:rPr>
        <w:t>，地下水水力特征为承压水，地下水化学类型以</w:t>
      </w:r>
      <w:r>
        <w:t>HCO</w:t>
      </w:r>
      <w:r>
        <w:rPr>
          <w:vertAlign w:val="subscript"/>
        </w:rPr>
        <w:t>3</w:t>
      </w:r>
      <w:r>
        <w:t>-Ca</w:t>
      </w:r>
      <w:r>
        <w:rPr>
          <w:rFonts w:ascii="宋体" w:hAnsi="宋体" w:hint="eastAsia"/>
        </w:rPr>
        <w:t>型为主，溶解性总固体一般小于</w:t>
      </w:r>
      <w:r>
        <w:t>1.0g/l</w:t>
      </w:r>
      <w:r>
        <w:rPr>
          <w:rFonts w:ascii="宋体" w:hAnsi="宋体" w:hint="eastAsia"/>
        </w:rPr>
        <w:t>。</w:t>
      </w:r>
    </w:p>
    <w:p w:rsidR="004E3021" w:rsidRDefault="00606E48">
      <w:pPr>
        <w:ind w:firstLine="480"/>
      </w:pPr>
      <w:r>
        <w:rPr>
          <w:rFonts w:ascii="宋体" w:hAnsi="宋体" w:hint="eastAsia"/>
        </w:rPr>
        <w:t>（</w:t>
      </w:r>
      <w:r>
        <w:rPr>
          <w:rFonts w:hint="eastAsia"/>
        </w:rPr>
        <w:t>4</w:t>
      </w:r>
      <w:r>
        <w:rPr>
          <w:rFonts w:ascii="宋体" w:hAnsi="宋体" w:hint="eastAsia"/>
        </w:rPr>
        <w:t>）第二隔水层</w:t>
      </w:r>
    </w:p>
    <w:p w:rsidR="004E3021" w:rsidRDefault="00606E48">
      <w:pPr>
        <w:ind w:firstLine="480"/>
      </w:pPr>
      <w:r>
        <w:rPr>
          <w:rFonts w:ascii="宋体" w:hAnsi="宋体" w:hint="eastAsia"/>
        </w:rPr>
        <w:t>该层主要由中更新统粘土层组成，厚度一般大于</w:t>
      </w:r>
      <w:r>
        <w:t>10m</w:t>
      </w:r>
      <w:r>
        <w:rPr>
          <w:rFonts w:ascii="宋体" w:hAnsi="宋体" w:hint="eastAsia"/>
        </w:rPr>
        <w:t>，根据现场钻探取样、室内测试结果，该层平均渗透系数为</w:t>
      </w:r>
      <w:r>
        <w:t>5.80×10</w:t>
      </w:r>
      <w:r>
        <w:rPr>
          <w:vertAlign w:val="superscript"/>
        </w:rPr>
        <w:t xml:space="preserve">-7 </w:t>
      </w:r>
      <w:r>
        <w:t>cm/s</w:t>
      </w:r>
      <w:r>
        <w:rPr>
          <w:rFonts w:ascii="宋体" w:hAnsi="宋体" w:hint="eastAsia"/>
        </w:rPr>
        <w:t>。</w:t>
      </w:r>
    </w:p>
    <w:p w:rsidR="004E3021" w:rsidRDefault="00606E48">
      <w:pPr>
        <w:pStyle w:val="4a"/>
      </w:pPr>
      <w:r>
        <w:rPr>
          <w:rFonts w:hint="eastAsia"/>
        </w:rPr>
        <w:t>5</w:t>
      </w:r>
      <w:r>
        <w:t>.5.3.2</w:t>
      </w:r>
      <w:r>
        <w:rPr>
          <w:rFonts w:hint="eastAsia"/>
        </w:rPr>
        <w:t>各含水层之间的水力联系</w:t>
      </w:r>
    </w:p>
    <w:p w:rsidR="004E3021" w:rsidRDefault="00606E48">
      <w:pPr>
        <w:ind w:firstLine="480"/>
      </w:pPr>
      <w:r>
        <w:t>1</w:t>
      </w:r>
      <w:r>
        <w:rPr>
          <w:rFonts w:ascii="宋体" w:hAnsi="宋体" w:hint="eastAsia"/>
        </w:rPr>
        <w:t>、第一弱透水层与地表水体</w:t>
      </w:r>
    </w:p>
    <w:p w:rsidR="004E3021" w:rsidRDefault="00606E48">
      <w:pPr>
        <w:ind w:firstLine="480"/>
      </w:pPr>
      <w:r>
        <w:rPr>
          <w:rFonts w:ascii="宋体" w:hAnsi="宋体" w:hint="eastAsia"/>
        </w:rPr>
        <w:t>该弱透水层直接与地表水体接触，该层岩性为第四系上更新统粘土、粉细砂和粉土夹砂，具有弱透水性，使得第一弱透水层与上部地表水有一定的水力联系，根据监测，一般情况下，地下水补给地表水体，但在汛期洪峰时，出现地表水补给地下水。</w:t>
      </w:r>
    </w:p>
    <w:p w:rsidR="004E3021" w:rsidRDefault="00606E48">
      <w:pPr>
        <w:ind w:firstLine="480"/>
      </w:pPr>
      <w:r>
        <w:t>2</w:t>
      </w:r>
      <w:r>
        <w:rPr>
          <w:rFonts w:ascii="宋体" w:hAnsi="宋体" w:hint="eastAsia"/>
        </w:rPr>
        <w:t>、第一含水层与地表水体和第一弱透水层</w:t>
      </w:r>
    </w:p>
    <w:p w:rsidR="004E3021" w:rsidRDefault="00606E48">
      <w:pPr>
        <w:ind w:firstLine="480"/>
        <w:rPr>
          <w:b/>
        </w:rPr>
      </w:pPr>
      <w:r>
        <w:rPr>
          <w:rFonts w:ascii="宋体" w:hAnsi="宋体" w:hint="eastAsia"/>
        </w:rPr>
        <w:t>该含水层上部有第一隔水层存在，岩性为为上更新统的粘土，分布稳定，并且未发育</w:t>
      </w:r>
      <w:r>
        <w:t>“</w:t>
      </w:r>
      <w:r>
        <w:rPr>
          <w:rFonts w:ascii="宋体" w:hAnsi="宋体" w:hint="eastAsia"/>
        </w:rPr>
        <w:t>天窗</w:t>
      </w:r>
      <w:r>
        <w:t>”</w:t>
      </w:r>
      <w:r>
        <w:rPr>
          <w:rFonts w:ascii="宋体" w:hAnsi="宋体" w:hint="eastAsia"/>
        </w:rPr>
        <w:t>，有一定的隔水性能，使得第一含水层与第一弱透水层无水力联系，且区内河</w:t>
      </w:r>
      <w:r>
        <w:rPr>
          <w:rFonts w:ascii="宋体" w:hAnsi="宋体" w:hint="eastAsia"/>
        </w:rPr>
        <w:lastRenderedPageBreak/>
        <w:t>流和水塘均未切至第一含水层，使得第一含水层与上部地表水体无水力联系。</w:t>
      </w:r>
    </w:p>
    <w:p w:rsidR="004E3021" w:rsidRDefault="00606E48">
      <w:pPr>
        <w:pStyle w:val="4a"/>
      </w:pPr>
      <w:r>
        <w:rPr>
          <w:rFonts w:hint="eastAsia"/>
        </w:rPr>
        <w:t>5</w:t>
      </w:r>
      <w:r>
        <w:t>.5.3.3</w:t>
      </w:r>
      <w:r>
        <w:rPr>
          <w:rFonts w:hint="eastAsia"/>
        </w:rPr>
        <w:t>地下水补给、径流、排泄</w:t>
      </w:r>
    </w:p>
    <w:p w:rsidR="004E3021" w:rsidRDefault="00606E48">
      <w:pPr>
        <w:ind w:firstLine="480"/>
        <w:rPr>
          <w:b/>
        </w:rPr>
      </w:pPr>
      <w:r>
        <w:t>1</w:t>
      </w:r>
      <w:r>
        <w:rPr>
          <w:rFonts w:ascii="宋体" w:hAnsi="宋体" w:hint="eastAsia"/>
        </w:rPr>
        <w:t>、松散岩类孔隙水</w:t>
      </w:r>
    </w:p>
    <w:p w:rsidR="004E3021" w:rsidRDefault="00606E48">
      <w:pPr>
        <w:ind w:firstLine="480"/>
        <w:rPr>
          <w:b/>
        </w:rPr>
      </w:pPr>
      <w:r>
        <w:rPr>
          <w:rFonts w:ascii="宋体" w:hAnsi="宋体" w:hint="eastAsia"/>
        </w:rPr>
        <w:t>浅层松散岩类孔隙水主要补给来源主要为大气降水，其次为灌溉回归及地表水入渗；地下水总体流向为由西北向东南，浅层地下水水力坡度小，地下径流滞缓，主要排泄方式为蒸发，其次为零星的人工开采和局部河段的常年排泄。</w:t>
      </w:r>
    </w:p>
    <w:p w:rsidR="004E3021" w:rsidRDefault="00606E48">
      <w:pPr>
        <w:ind w:firstLine="480"/>
        <w:rPr>
          <w:b/>
        </w:rPr>
      </w:pPr>
      <w:r>
        <w:rPr>
          <w:rFonts w:ascii="宋体" w:hAnsi="宋体" w:hint="eastAsia"/>
        </w:rPr>
        <w:t>深层松散岩类孔隙水以水平侧向径流补给为主，次为垂向补给，补给量的大小取决于从补给区到排泄区的水头差和含水层的透水性能，地下水总体流向为由西北向东南，地下径流滞缓，主要排泄方式为蒸发，其次为人工开采。</w:t>
      </w:r>
    </w:p>
    <w:p w:rsidR="004E3021" w:rsidRDefault="00606E48">
      <w:pPr>
        <w:ind w:firstLine="480"/>
        <w:rPr>
          <w:b/>
        </w:rPr>
      </w:pPr>
      <w:r>
        <w:t>2</w:t>
      </w:r>
      <w:r>
        <w:rPr>
          <w:rFonts w:ascii="宋体" w:hAnsi="宋体" w:hint="eastAsia"/>
        </w:rPr>
        <w:t>、基岩裂隙水</w:t>
      </w:r>
    </w:p>
    <w:p w:rsidR="004E3021" w:rsidRDefault="00606E48">
      <w:pPr>
        <w:ind w:firstLine="480"/>
        <w:rPr>
          <w:b/>
        </w:rPr>
      </w:pPr>
      <w:r>
        <w:rPr>
          <w:rFonts w:ascii="宋体" w:hAnsi="宋体" w:hint="eastAsia"/>
        </w:rPr>
        <w:t>在岩石裸露区主要补给来源为大气降水；地下水的径流受地貌条件的控制，其水力坡度与所处地形的坡度和坡向基本一致，同时也受岩石的裂隙的发育程度，充填情况及相互连通性的影响；其主要的排泄方式为蒸发、侧向径流。</w:t>
      </w:r>
    </w:p>
    <w:p w:rsidR="004E3021" w:rsidRDefault="00606E48">
      <w:pPr>
        <w:pStyle w:val="4a"/>
      </w:pPr>
      <w:r>
        <w:rPr>
          <w:rFonts w:hint="eastAsia"/>
        </w:rPr>
        <w:t>5</w:t>
      </w:r>
      <w:r>
        <w:t>.5.3.4</w:t>
      </w:r>
      <w:r>
        <w:rPr>
          <w:rFonts w:hint="eastAsia"/>
        </w:rPr>
        <w:t>区域地下水与地表水之间水力联系</w:t>
      </w:r>
    </w:p>
    <w:p w:rsidR="004E3021" w:rsidRDefault="00606E48">
      <w:pPr>
        <w:ind w:firstLine="480"/>
        <w:rPr>
          <w:b/>
        </w:rPr>
      </w:pPr>
      <w:r>
        <w:t>1</w:t>
      </w:r>
      <w:r>
        <w:rPr>
          <w:rFonts w:ascii="宋体" w:hAnsi="宋体" w:hint="eastAsia"/>
        </w:rPr>
        <w:t>、浅层松散层类孔隙水与地表水体</w:t>
      </w:r>
    </w:p>
    <w:p w:rsidR="004E3021" w:rsidRDefault="00606E48">
      <w:pPr>
        <w:ind w:firstLine="480"/>
        <w:rPr>
          <w:b/>
        </w:rPr>
      </w:pPr>
      <w:r>
        <w:rPr>
          <w:rFonts w:ascii="宋体" w:hAnsi="宋体" w:hint="eastAsia"/>
        </w:rPr>
        <w:t>浅层松散层类孔隙水与地表水体直接接触，地下水主要赋存在第四系粉细砂</w:t>
      </w:r>
      <w:r>
        <w:t>-</w:t>
      </w:r>
      <w:r>
        <w:rPr>
          <w:rFonts w:ascii="宋体" w:hAnsi="宋体" w:hint="eastAsia"/>
        </w:rPr>
        <w:t>中砂，具有透水性，使得松散层类孔隙水与上部地表水有一定的水力联系，根据监测，一般情况下，地下水补给地表水体，但在汛期洪峰时，出现地表水补给地下水。</w:t>
      </w:r>
    </w:p>
    <w:p w:rsidR="004E3021" w:rsidRDefault="00606E48">
      <w:pPr>
        <w:ind w:firstLine="480"/>
        <w:rPr>
          <w:b/>
        </w:rPr>
      </w:pPr>
      <w:r>
        <w:t>2</w:t>
      </w:r>
      <w:r>
        <w:rPr>
          <w:rFonts w:ascii="宋体" w:hAnsi="宋体" w:hint="eastAsia"/>
        </w:rPr>
        <w:t>、深层松散层类孔隙水与地表水体</w:t>
      </w:r>
    </w:p>
    <w:p w:rsidR="004E3021" w:rsidRDefault="00606E48">
      <w:pPr>
        <w:ind w:firstLine="480"/>
        <w:rPr>
          <w:b/>
        </w:rPr>
      </w:pPr>
      <w:r>
        <w:rPr>
          <w:rFonts w:ascii="宋体" w:hAnsi="宋体" w:hint="eastAsia"/>
        </w:rPr>
        <w:t>深层松散层类孔隙水上覆浅层松散层类孔隙水，浅层松散层类孔隙水岩性主要为第四系粘土、粉土夹砂和粉细砂，具有透水性，使得深层松散层类孔隙水与上部地表水有一定的水力联系，但联系不密切。</w:t>
      </w:r>
    </w:p>
    <w:p w:rsidR="004E3021" w:rsidRDefault="00606E48">
      <w:pPr>
        <w:ind w:firstLine="480"/>
        <w:rPr>
          <w:b/>
        </w:rPr>
      </w:pPr>
      <w:r>
        <w:t>3</w:t>
      </w:r>
      <w:r>
        <w:rPr>
          <w:rFonts w:ascii="宋体" w:hAnsi="宋体" w:hint="eastAsia"/>
        </w:rPr>
        <w:t>、基岩裂隙水与地表水体</w:t>
      </w:r>
    </w:p>
    <w:p w:rsidR="004E3021" w:rsidRDefault="00606E48">
      <w:pPr>
        <w:ind w:firstLine="480"/>
        <w:rPr>
          <w:b/>
        </w:rPr>
      </w:pPr>
      <w:r>
        <w:rPr>
          <w:rFonts w:ascii="宋体" w:hAnsi="宋体" w:hint="eastAsia"/>
        </w:rPr>
        <w:t>在岩石裸露区，基岩裂隙水与地表水体直接接触，地下水主要赋存在蚌埠期混合二长花岗岩的节理裂隙中，具有弱透水性，使得基岩裂隙水与上部地表水有一定的水力联系。</w:t>
      </w:r>
    </w:p>
    <w:p w:rsidR="004E3021" w:rsidRDefault="00606E48">
      <w:pPr>
        <w:pStyle w:val="4a"/>
      </w:pPr>
      <w:r>
        <w:rPr>
          <w:rFonts w:hint="eastAsia"/>
        </w:rPr>
        <w:t>5.5.3.</w:t>
      </w:r>
      <w:r>
        <w:t>5</w:t>
      </w:r>
      <w:r>
        <w:rPr>
          <w:rFonts w:hint="eastAsia"/>
        </w:rPr>
        <w:t>地下水</w:t>
      </w:r>
      <w:r>
        <w:t>开发利用现状</w:t>
      </w:r>
    </w:p>
    <w:p w:rsidR="004E3021" w:rsidRDefault="00606E48">
      <w:pPr>
        <w:ind w:firstLine="480"/>
      </w:pPr>
      <w:r>
        <w:rPr>
          <w:rFonts w:ascii="宋体" w:hAnsi="宋体" w:hint="eastAsia"/>
        </w:rPr>
        <w:t>根据《</w:t>
      </w:r>
      <w:r>
        <w:t>2019</w:t>
      </w:r>
      <w:r>
        <w:rPr>
          <w:rFonts w:ascii="宋体" w:hAnsi="宋体" w:hint="eastAsia"/>
        </w:rPr>
        <w:t>年蚌埠市水资源公报》，本项目位于蚌</w:t>
      </w:r>
      <w:r>
        <w:rPr>
          <w:rFonts w:ascii="宋体" w:hAnsi="宋体"/>
        </w:rPr>
        <w:t>洪区间北岸</w:t>
      </w:r>
      <w:r>
        <w:rPr>
          <w:rFonts w:ascii="宋体" w:hAnsi="宋体" w:hint="eastAsia"/>
        </w:rPr>
        <w:t>，其总</w:t>
      </w:r>
      <w:r>
        <w:rPr>
          <w:rFonts w:ascii="宋体" w:hAnsi="宋体"/>
        </w:rPr>
        <w:t>供水量为</w:t>
      </w:r>
      <w:r>
        <w:rPr>
          <w:rFonts w:hint="eastAsia"/>
        </w:rPr>
        <w:t>8.40</w:t>
      </w:r>
      <w:r>
        <w:rPr>
          <w:rFonts w:ascii="宋体" w:hAnsi="宋体" w:hint="eastAsia"/>
        </w:rPr>
        <w:lastRenderedPageBreak/>
        <w:t>亿</w:t>
      </w:r>
      <w:r>
        <w:rPr>
          <w:rFonts w:hint="eastAsia"/>
        </w:rPr>
        <w:t>m</w:t>
      </w:r>
      <w:r>
        <w:rPr>
          <w:rFonts w:hint="eastAsia"/>
          <w:vertAlign w:val="superscript"/>
        </w:rPr>
        <w:t>3</w:t>
      </w:r>
      <w:r>
        <w:rPr>
          <w:rFonts w:ascii="宋体" w:hAnsi="宋体" w:hint="eastAsia"/>
        </w:rPr>
        <w:t>（其中</w:t>
      </w:r>
      <w:r>
        <w:rPr>
          <w:rFonts w:ascii="宋体" w:hAnsi="宋体"/>
        </w:rPr>
        <w:t>地表水源供水量</w:t>
      </w:r>
      <w:r>
        <w:t>6.89</w:t>
      </w:r>
      <w:r>
        <w:rPr>
          <w:rFonts w:ascii="宋体" w:hAnsi="宋体" w:hint="eastAsia"/>
        </w:rPr>
        <w:t>亿</w:t>
      </w:r>
      <w:r>
        <w:rPr>
          <w:rFonts w:hint="eastAsia"/>
        </w:rPr>
        <w:t>m</w:t>
      </w:r>
      <w:r>
        <w:rPr>
          <w:rFonts w:hint="eastAsia"/>
          <w:vertAlign w:val="superscript"/>
        </w:rPr>
        <w:t>3</w:t>
      </w:r>
      <w:r>
        <w:rPr>
          <w:rFonts w:ascii="宋体" w:hAnsi="宋体"/>
        </w:rPr>
        <w:t>、地下水源供水量为</w:t>
      </w:r>
      <w:r>
        <w:rPr>
          <w:rFonts w:hint="eastAsia"/>
        </w:rPr>
        <w:t>1.49</w:t>
      </w:r>
      <w:r>
        <w:rPr>
          <w:rFonts w:ascii="宋体" w:hAnsi="宋体" w:hint="eastAsia"/>
        </w:rPr>
        <w:t>亿</w:t>
      </w:r>
      <w:r>
        <w:rPr>
          <w:rFonts w:hint="eastAsia"/>
        </w:rPr>
        <w:t>m</w:t>
      </w:r>
      <w:r>
        <w:rPr>
          <w:rFonts w:hint="eastAsia"/>
          <w:vertAlign w:val="superscript"/>
        </w:rPr>
        <w:t>3</w:t>
      </w:r>
      <w:r>
        <w:rPr>
          <w:rFonts w:ascii="宋体" w:hAnsi="宋体" w:hint="eastAsia"/>
        </w:rPr>
        <w:t>、其他</w:t>
      </w:r>
      <w:r>
        <w:rPr>
          <w:rFonts w:ascii="宋体" w:hAnsi="宋体"/>
        </w:rPr>
        <w:t>水源供水量为</w:t>
      </w:r>
      <w:r>
        <w:t>0.01</w:t>
      </w:r>
      <w:r>
        <w:rPr>
          <w:rFonts w:ascii="宋体" w:hAnsi="宋体" w:hint="eastAsia"/>
        </w:rPr>
        <w:t>亿</w:t>
      </w:r>
      <w:r>
        <w:rPr>
          <w:rFonts w:hint="eastAsia"/>
        </w:rPr>
        <w:t>m</w:t>
      </w:r>
      <w:r>
        <w:rPr>
          <w:rFonts w:hint="eastAsia"/>
          <w:vertAlign w:val="superscript"/>
        </w:rPr>
        <w:t>3</w:t>
      </w:r>
      <w:r>
        <w:rPr>
          <w:rFonts w:ascii="宋体" w:hAnsi="宋体" w:hint="eastAsia"/>
        </w:rPr>
        <w:t>），总耗水量</w:t>
      </w:r>
      <w:r>
        <w:rPr>
          <w:rFonts w:ascii="宋体" w:hAnsi="宋体"/>
        </w:rPr>
        <w:t>为</w:t>
      </w:r>
      <w:r>
        <w:t>5.57</w:t>
      </w:r>
      <w:r>
        <w:rPr>
          <w:rFonts w:ascii="宋体" w:hAnsi="宋体" w:hint="eastAsia"/>
        </w:rPr>
        <w:t>亿</w:t>
      </w:r>
      <w:r>
        <w:rPr>
          <w:rFonts w:hint="eastAsia"/>
        </w:rPr>
        <w:t>m</w:t>
      </w:r>
      <w:r>
        <w:rPr>
          <w:rFonts w:hint="eastAsia"/>
          <w:vertAlign w:val="superscript"/>
        </w:rPr>
        <w:t>3</w:t>
      </w:r>
      <w:r>
        <w:rPr>
          <w:rFonts w:ascii="宋体" w:hAnsi="宋体" w:hint="eastAsia"/>
        </w:rPr>
        <w:t>（其中农田灌溉</w:t>
      </w:r>
      <w:r>
        <w:t>3.82</w:t>
      </w:r>
      <w:r>
        <w:rPr>
          <w:rFonts w:ascii="宋体" w:hAnsi="宋体" w:hint="eastAsia"/>
        </w:rPr>
        <w:t>亿</w:t>
      </w:r>
      <w:r>
        <w:rPr>
          <w:rFonts w:hint="eastAsia"/>
        </w:rPr>
        <w:t>m</w:t>
      </w:r>
      <w:r>
        <w:rPr>
          <w:rFonts w:hint="eastAsia"/>
          <w:vertAlign w:val="superscript"/>
        </w:rPr>
        <w:t>3</w:t>
      </w:r>
      <w:r>
        <w:rPr>
          <w:rFonts w:ascii="宋体" w:hAnsi="宋体"/>
        </w:rPr>
        <w:t>、</w:t>
      </w:r>
      <w:r>
        <w:rPr>
          <w:rFonts w:ascii="宋体" w:hAnsi="宋体" w:hint="eastAsia"/>
        </w:rPr>
        <w:t>林牧</w:t>
      </w:r>
      <w:r>
        <w:rPr>
          <w:rFonts w:ascii="宋体" w:hAnsi="宋体"/>
        </w:rPr>
        <w:t>渔</w:t>
      </w:r>
      <w:r>
        <w:rPr>
          <w:rFonts w:ascii="宋体" w:hAnsi="宋体" w:hint="eastAsia"/>
        </w:rPr>
        <w:t>畜</w:t>
      </w:r>
      <w:r>
        <w:t>0.74</w:t>
      </w:r>
      <w:r>
        <w:rPr>
          <w:rFonts w:ascii="宋体" w:hAnsi="宋体" w:hint="eastAsia"/>
        </w:rPr>
        <w:t>亿</w:t>
      </w:r>
      <w:r>
        <w:rPr>
          <w:rFonts w:hint="eastAsia"/>
        </w:rPr>
        <w:t>m</w:t>
      </w:r>
      <w:r>
        <w:rPr>
          <w:rFonts w:hint="eastAsia"/>
          <w:vertAlign w:val="superscript"/>
        </w:rPr>
        <w:t>3</w:t>
      </w:r>
      <w:r>
        <w:rPr>
          <w:rFonts w:ascii="宋体" w:hAnsi="宋体" w:hint="eastAsia"/>
        </w:rPr>
        <w:t>、工业</w:t>
      </w:r>
      <w:r>
        <w:t>0.54</w:t>
      </w:r>
      <w:r>
        <w:rPr>
          <w:rFonts w:ascii="宋体" w:hAnsi="宋体" w:hint="eastAsia"/>
        </w:rPr>
        <w:t>亿</w:t>
      </w:r>
      <w:r>
        <w:rPr>
          <w:rFonts w:hint="eastAsia"/>
        </w:rPr>
        <w:t>m</w:t>
      </w:r>
      <w:r>
        <w:rPr>
          <w:rFonts w:hint="eastAsia"/>
          <w:vertAlign w:val="superscript"/>
        </w:rPr>
        <w:t>3</w:t>
      </w:r>
      <w:r>
        <w:rPr>
          <w:rFonts w:ascii="宋体" w:hAnsi="宋体" w:hint="eastAsia"/>
        </w:rPr>
        <w:t>、城镇公用</w:t>
      </w:r>
      <w:r>
        <w:t>0.05</w:t>
      </w:r>
      <w:r>
        <w:rPr>
          <w:rFonts w:ascii="宋体" w:hAnsi="宋体" w:hint="eastAsia"/>
        </w:rPr>
        <w:t>亿</w:t>
      </w:r>
      <w:r>
        <w:rPr>
          <w:rFonts w:hint="eastAsia"/>
        </w:rPr>
        <w:t>m</w:t>
      </w:r>
      <w:r>
        <w:rPr>
          <w:rFonts w:hint="eastAsia"/>
          <w:vertAlign w:val="superscript"/>
        </w:rPr>
        <w:t>3</w:t>
      </w:r>
      <w:r>
        <w:rPr>
          <w:rFonts w:ascii="宋体" w:hAnsi="宋体" w:hint="eastAsia"/>
        </w:rPr>
        <w:t>、居民生活</w:t>
      </w:r>
      <w:r>
        <w:t>0.34</w:t>
      </w:r>
      <w:r>
        <w:rPr>
          <w:rFonts w:ascii="宋体" w:hAnsi="宋体" w:hint="eastAsia"/>
        </w:rPr>
        <w:t>亿</w:t>
      </w:r>
      <w:r>
        <w:rPr>
          <w:rFonts w:hint="eastAsia"/>
        </w:rPr>
        <w:t>m</w:t>
      </w:r>
      <w:r>
        <w:rPr>
          <w:rFonts w:hint="eastAsia"/>
          <w:vertAlign w:val="superscript"/>
        </w:rPr>
        <w:t>3</w:t>
      </w:r>
      <w:r>
        <w:rPr>
          <w:rFonts w:ascii="宋体" w:hAnsi="宋体" w:hint="eastAsia"/>
        </w:rPr>
        <w:t>、生态环境</w:t>
      </w:r>
      <w:r>
        <w:t>0.08</w:t>
      </w:r>
      <w:r>
        <w:rPr>
          <w:rFonts w:ascii="宋体" w:hAnsi="宋体" w:hint="eastAsia"/>
        </w:rPr>
        <w:t>亿</w:t>
      </w:r>
      <w:r>
        <w:rPr>
          <w:rFonts w:hint="eastAsia"/>
        </w:rPr>
        <w:t>m</w:t>
      </w:r>
      <w:r>
        <w:rPr>
          <w:rFonts w:hint="eastAsia"/>
          <w:vertAlign w:val="superscript"/>
        </w:rPr>
        <w:t>3</w:t>
      </w:r>
      <w:r>
        <w:rPr>
          <w:rFonts w:ascii="宋体" w:hAnsi="宋体" w:hint="eastAsia"/>
        </w:rPr>
        <w:t>）。</w:t>
      </w:r>
    </w:p>
    <w:p w:rsidR="004E3021" w:rsidRDefault="00606E48">
      <w:pPr>
        <w:ind w:firstLine="480"/>
      </w:pPr>
      <w:r>
        <w:rPr>
          <w:rFonts w:ascii="宋体" w:hAnsi="宋体" w:hint="eastAsia"/>
        </w:rPr>
        <w:t>通过</w:t>
      </w:r>
      <w:r>
        <w:rPr>
          <w:rFonts w:ascii="宋体" w:hAnsi="宋体"/>
        </w:rPr>
        <w:t>现场调查和访问，</w:t>
      </w:r>
      <w:r>
        <w:rPr>
          <w:rFonts w:ascii="宋体" w:hAnsi="宋体" w:hint="eastAsia"/>
        </w:rPr>
        <w:t>评价范围</w:t>
      </w:r>
      <w:r>
        <w:rPr>
          <w:rFonts w:ascii="宋体" w:hAnsi="宋体"/>
        </w:rPr>
        <w:t>内的各企事业单位与周边</w:t>
      </w:r>
      <w:r>
        <w:rPr>
          <w:rFonts w:ascii="宋体" w:hAnsi="宋体" w:hint="eastAsia"/>
        </w:rPr>
        <w:t>居民</w:t>
      </w:r>
      <w:r>
        <w:rPr>
          <w:rFonts w:ascii="宋体" w:hAnsi="宋体"/>
        </w:rPr>
        <w:t>的生产、生活用水均来</w:t>
      </w:r>
      <w:r>
        <w:rPr>
          <w:rFonts w:ascii="宋体" w:hAnsi="宋体" w:hint="eastAsia"/>
        </w:rPr>
        <w:t>自地表水体</w:t>
      </w:r>
      <w:r>
        <w:rPr>
          <w:rFonts w:ascii="宋体" w:hAnsi="宋体"/>
        </w:rPr>
        <w:t>，区域</w:t>
      </w:r>
      <w:r>
        <w:rPr>
          <w:rFonts w:ascii="宋体" w:hAnsi="宋体" w:hint="eastAsia"/>
        </w:rPr>
        <w:t>几乎</w:t>
      </w:r>
      <w:r>
        <w:rPr>
          <w:rFonts w:ascii="宋体" w:hAnsi="宋体"/>
        </w:rPr>
        <w:t>不开采地下水，</w:t>
      </w:r>
      <w:r>
        <w:rPr>
          <w:rFonts w:ascii="宋体" w:hAnsi="宋体" w:hint="eastAsia"/>
        </w:rPr>
        <w:t>仅剩</w:t>
      </w:r>
      <w:r>
        <w:rPr>
          <w:rFonts w:ascii="宋体" w:hAnsi="宋体"/>
        </w:rPr>
        <w:t>部分村庄的民用井</w:t>
      </w:r>
      <w:r>
        <w:rPr>
          <w:rFonts w:ascii="宋体" w:hAnsi="宋体" w:hint="eastAsia"/>
        </w:rPr>
        <w:t>（不具备饮用</w:t>
      </w:r>
      <w:r>
        <w:rPr>
          <w:rFonts w:ascii="宋体" w:hAnsi="宋体"/>
        </w:rPr>
        <w:t>、生活功能</w:t>
      </w:r>
      <w:r>
        <w:rPr>
          <w:rFonts w:ascii="宋体" w:hAnsi="宋体" w:hint="eastAsia"/>
        </w:rPr>
        <w:t>）</w:t>
      </w:r>
      <w:r>
        <w:rPr>
          <w:rFonts w:ascii="宋体" w:hAnsi="宋体"/>
        </w:rPr>
        <w:t>未拆除</w:t>
      </w:r>
      <w:r>
        <w:rPr>
          <w:rFonts w:ascii="宋体" w:hAnsi="宋体" w:hint="eastAsia"/>
        </w:rPr>
        <w:t>。</w:t>
      </w:r>
    </w:p>
    <w:p w:rsidR="004E3021" w:rsidRDefault="00606E48">
      <w:pPr>
        <w:pStyle w:val="afffffffffffffffff4"/>
      </w:pPr>
      <w:bookmarkStart w:id="461" w:name="_Toc52175554"/>
      <w:bookmarkStart w:id="462" w:name="_Toc108662663"/>
      <w:bookmarkStart w:id="463" w:name="_Toc101135886"/>
      <w:bookmarkStart w:id="464" w:name="_Toc100784054"/>
      <w:bookmarkStart w:id="465" w:name="_Toc221088818"/>
      <w:bookmarkStart w:id="466" w:name="_Toc221501033"/>
      <w:bookmarkEnd w:id="461"/>
      <w:r>
        <w:rPr>
          <w:rFonts w:hint="eastAsia"/>
        </w:rPr>
        <w:t>5.5.4</w:t>
      </w:r>
      <w:r>
        <w:t>包气带防污性能分析</w:t>
      </w:r>
      <w:bookmarkEnd w:id="462"/>
      <w:bookmarkEnd w:id="463"/>
      <w:bookmarkEnd w:id="464"/>
      <w:bookmarkEnd w:id="465"/>
      <w:bookmarkEnd w:id="466"/>
    </w:p>
    <w:p w:rsidR="004E3021" w:rsidRDefault="00606E48">
      <w:pPr>
        <w:wordWrap w:val="0"/>
        <w:ind w:firstLine="480"/>
        <w:rPr>
          <w:b/>
          <w:bCs/>
        </w:rPr>
      </w:pPr>
      <w:r>
        <w:rPr>
          <w:rFonts w:ascii="宋体" w:hAnsi="宋体" w:hint="eastAsia"/>
          <w:bCs/>
        </w:rPr>
        <w:t>包气带防污能力根据园区扩区规划环评勘察资料，项目区含水层主要是由第四系上更新统层杂填土与粉质粘土夹砾与粉土所组成，赋存潜水、局部具有弱承压性质；该套含水层之上，覆盖有第四系上更新统和全新统粉质粘土、粘土层，该套弱透水层构成建设项目场地包气带层。</w:t>
      </w:r>
    </w:p>
    <w:p w:rsidR="004E3021" w:rsidRDefault="00606E48">
      <w:pPr>
        <w:wordWrap w:val="0"/>
        <w:ind w:firstLine="480"/>
        <w:rPr>
          <w:b/>
          <w:bCs/>
        </w:rPr>
      </w:pPr>
      <w:r>
        <w:rPr>
          <w:rFonts w:ascii="宋体" w:hAnsi="宋体" w:hint="eastAsia"/>
          <w:bCs/>
        </w:rPr>
        <w:t>建设项目区域位于第四系上更新统和全新统层粉质粘土、粉土，揭露层厚大于</w:t>
      </w:r>
      <w:r>
        <w:rPr>
          <w:rFonts w:hint="eastAsia"/>
          <w:bCs/>
        </w:rPr>
        <w:t>30m</w:t>
      </w:r>
      <w:r>
        <w:rPr>
          <w:rFonts w:ascii="宋体" w:hAnsi="宋体" w:hint="eastAsia"/>
          <w:bCs/>
        </w:rPr>
        <w:t>，场地包气带岩层单层厚度</w:t>
      </w:r>
      <w:r>
        <w:rPr>
          <w:rFonts w:hint="eastAsia"/>
          <w:bCs/>
        </w:rPr>
        <w:t>Mb</w:t>
      </w:r>
      <w:r>
        <w:rPr>
          <w:rFonts w:ascii="宋体" w:hAnsi="宋体" w:hint="eastAsia"/>
          <w:bCs/>
        </w:rPr>
        <w:t>≥</w:t>
      </w:r>
      <w:r>
        <w:rPr>
          <w:rFonts w:hint="eastAsia"/>
          <w:bCs/>
        </w:rPr>
        <w:t>1m</w:t>
      </w:r>
      <w:r>
        <w:rPr>
          <w:rFonts w:ascii="宋体" w:hAnsi="宋体" w:hint="eastAsia"/>
          <w:bCs/>
        </w:rPr>
        <w:t>，且分布连续、稳定；根据场地内的渗水试验结果，该层渗透垂向渗透系数为</w:t>
      </w:r>
      <w:r>
        <w:rPr>
          <w:rFonts w:hint="eastAsia"/>
          <w:bCs/>
        </w:rPr>
        <w:t>2.5</w:t>
      </w:r>
      <w:r>
        <w:rPr>
          <w:rFonts w:ascii="宋体" w:hAnsi="宋体" w:hint="eastAsia"/>
          <w:bCs/>
        </w:rPr>
        <w:t>×</w:t>
      </w:r>
      <w:r>
        <w:rPr>
          <w:rFonts w:hint="eastAsia"/>
          <w:bCs/>
        </w:rPr>
        <w:t>10</w:t>
      </w:r>
      <w:r>
        <w:rPr>
          <w:rFonts w:hint="eastAsia"/>
          <w:bCs/>
          <w:vertAlign w:val="superscript"/>
        </w:rPr>
        <w:t>-5</w:t>
      </w:r>
      <w:r>
        <w:rPr>
          <w:bCs/>
        </w:rPr>
        <w:t>~</w:t>
      </w:r>
      <w:r>
        <w:rPr>
          <w:rFonts w:hint="eastAsia"/>
          <w:bCs/>
        </w:rPr>
        <w:t>3.33</w:t>
      </w:r>
      <w:r>
        <w:rPr>
          <w:rFonts w:ascii="宋体" w:hAnsi="宋体" w:hint="eastAsia"/>
          <w:bCs/>
        </w:rPr>
        <w:t>×</w:t>
      </w:r>
      <w:r>
        <w:rPr>
          <w:rFonts w:hint="eastAsia"/>
          <w:bCs/>
        </w:rPr>
        <w:t>10</w:t>
      </w:r>
      <w:r>
        <w:rPr>
          <w:rFonts w:hint="eastAsia"/>
          <w:bCs/>
          <w:vertAlign w:val="superscript"/>
        </w:rPr>
        <w:t>-5</w:t>
      </w:r>
      <w:r>
        <w:rPr>
          <w:rFonts w:hint="eastAsia"/>
          <w:bCs/>
        </w:rPr>
        <w:t>cm/s</w:t>
      </w:r>
      <w:r>
        <w:rPr>
          <w:rFonts w:ascii="宋体" w:hAnsi="宋体" w:hint="eastAsia"/>
          <w:bCs/>
        </w:rPr>
        <w:t>，即为</w:t>
      </w:r>
      <w:r>
        <w:rPr>
          <w:rFonts w:hint="eastAsia"/>
          <w:bCs/>
        </w:rPr>
        <w:t>10</w:t>
      </w:r>
      <w:r>
        <w:rPr>
          <w:rFonts w:hint="eastAsia"/>
          <w:bCs/>
          <w:vertAlign w:val="superscript"/>
        </w:rPr>
        <w:t>-</w:t>
      </w:r>
      <w:r>
        <w:rPr>
          <w:bCs/>
          <w:vertAlign w:val="superscript"/>
        </w:rPr>
        <w:t>6</w:t>
      </w:r>
      <w:r>
        <w:rPr>
          <w:rFonts w:hint="eastAsia"/>
          <w:bCs/>
        </w:rPr>
        <w:t>cm/s</w:t>
      </w:r>
      <w:r>
        <w:rPr>
          <w:rFonts w:ascii="宋体" w:hAnsi="宋体" w:hint="eastAsia"/>
          <w:bCs/>
        </w:rPr>
        <w:t>≤渗透系数≤</w:t>
      </w:r>
      <w:r>
        <w:rPr>
          <w:rFonts w:hint="eastAsia"/>
          <w:bCs/>
        </w:rPr>
        <w:t>10</w:t>
      </w:r>
      <w:r>
        <w:rPr>
          <w:rFonts w:hint="eastAsia"/>
          <w:bCs/>
          <w:vertAlign w:val="superscript"/>
        </w:rPr>
        <w:t>-4</w:t>
      </w:r>
      <w:r>
        <w:rPr>
          <w:rFonts w:hint="eastAsia"/>
          <w:bCs/>
        </w:rPr>
        <w:t>cm/s</w:t>
      </w:r>
      <w:r>
        <w:rPr>
          <w:rFonts w:ascii="宋体" w:hAnsi="宋体" w:hint="eastAsia"/>
          <w:bCs/>
        </w:rPr>
        <w:t>。</w:t>
      </w:r>
    </w:p>
    <w:p w:rsidR="004E3021" w:rsidRDefault="00606E48">
      <w:pPr>
        <w:wordWrap w:val="0"/>
        <w:ind w:firstLine="480"/>
        <w:rPr>
          <w:bCs/>
        </w:rPr>
      </w:pPr>
      <w:r>
        <w:rPr>
          <w:rFonts w:ascii="宋体" w:hAnsi="宋体" w:hint="eastAsia"/>
          <w:bCs/>
        </w:rPr>
        <w:t>因此，确定评价区地下水包气带防污性能分级确定为</w:t>
      </w:r>
      <w:r>
        <w:rPr>
          <w:rFonts w:hint="eastAsia"/>
          <w:bCs/>
        </w:rPr>
        <w:t>“中”。</w:t>
      </w:r>
    </w:p>
    <w:p w:rsidR="004E3021" w:rsidRDefault="00606E48">
      <w:pPr>
        <w:wordWrap w:val="0"/>
        <w:ind w:firstLine="480"/>
        <w:rPr>
          <w:bCs/>
        </w:rPr>
      </w:pPr>
      <w:r>
        <w:rPr>
          <w:bCs/>
        </w:rPr>
        <w:t xml:space="preserve"> </w:t>
      </w:r>
    </w:p>
    <w:p w:rsidR="004E3021" w:rsidRDefault="004E3021">
      <w:pPr>
        <w:widowControl/>
        <w:ind w:firstLineChars="0" w:firstLine="0"/>
        <w:jc w:val="left"/>
        <w:rPr>
          <w:rFonts w:eastAsia="黑体"/>
          <w:sz w:val="28"/>
          <w:szCs w:val="28"/>
        </w:rPr>
        <w:sectPr w:rsidR="004E3021">
          <w:pgSz w:w="11907" w:h="16840"/>
          <w:pgMar w:top="1440" w:right="1440" w:bottom="1440" w:left="1440" w:header="851" w:footer="992" w:gutter="0"/>
          <w:cols w:space="720"/>
          <w:docGrid w:type="lines" w:linePitch="326"/>
        </w:sectPr>
      </w:pPr>
    </w:p>
    <w:p w:rsidR="004E3021" w:rsidRDefault="00606E48">
      <w:pPr>
        <w:pStyle w:val="afffffffffffffffff4"/>
      </w:pPr>
      <w:bookmarkStart w:id="467" w:name="_Toc52175555"/>
      <w:bookmarkStart w:id="468" w:name="_Toc100784055"/>
      <w:bookmarkStart w:id="469" w:name="_Toc108662664"/>
      <w:bookmarkStart w:id="470" w:name="_Toc101135887"/>
      <w:bookmarkStart w:id="471" w:name="_Toc221088819"/>
      <w:bookmarkStart w:id="472" w:name="_Toc221501034"/>
      <w:bookmarkEnd w:id="467"/>
      <w:r>
        <w:rPr>
          <w:rFonts w:hint="eastAsia"/>
        </w:rPr>
        <w:lastRenderedPageBreak/>
        <w:t>5.5.5</w:t>
      </w:r>
      <w:r>
        <w:rPr>
          <w:rFonts w:hint="eastAsia"/>
        </w:rPr>
        <w:t>水文地质概念模型</w:t>
      </w:r>
      <w:bookmarkEnd w:id="468"/>
      <w:bookmarkEnd w:id="469"/>
      <w:bookmarkEnd w:id="470"/>
      <w:bookmarkEnd w:id="471"/>
      <w:bookmarkEnd w:id="472"/>
    </w:p>
    <w:p w:rsidR="004E3021" w:rsidRDefault="00606E48">
      <w:pPr>
        <w:pStyle w:val="4a"/>
      </w:pPr>
      <w:r>
        <w:rPr>
          <w:rFonts w:hint="eastAsia"/>
        </w:rPr>
        <w:t>5</w:t>
      </w:r>
      <w:r>
        <w:t>.5.5.1</w:t>
      </w:r>
      <w:r>
        <w:rPr>
          <w:rFonts w:hint="eastAsia"/>
        </w:rPr>
        <w:t>模拟计算区范围</w:t>
      </w:r>
    </w:p>
    <w:p w:rsidR="004E3021" w:rsidRDefault="00606E48">
      <w:pPr>
        <w:wordWrap w:val="0"/>
        <w:ind w:firstLine="480"/>
        <w:rPr>
          <w:b/>
          <w:bCs/>
        </w:rPr>
      </w:pPr>
      <w:r>
        <w:rPr>
          <w:rFonts w:ascii="宋体" w:hAnsi="宋体"/>
          <w:bCs/>
        </w:rPr>
        <w:t>水文地质概念模型按照地下水环评导则要求，充分结合水系分布，考虑区域地质、水文地质、环境水文地质条件以及工程对地下水环境影响评价和预测要求确定本次模拟区范围</w:t>
      </w:r>
      <w:r>
        <w:rPr>
          <w:rFonts w:ascii="宋体" w:hAnsi="宋体" w:hint="eastAsia"/>
          <w:bCs/>
        </w:rPr>
        <w:t>，</w:t>
      </w:r>
      <w:r>
        <w:rPr>
          <w:rFonts w:ascii="宋体" w:hAnsi="宋体"/>
          <w:bCs/>
        </w:rPr>
        <w:t>确定模拟区范围如下图所示。</w:t>
      </w:r>
    </w:p>
    <w:p w:rsidR="004E3021" w:rsidRDefault="00606E48">
      <w:pPr>
        <w:widowControl/>
        <w:wordWrap w:val="0"/>
        <w:ind w:firstLineChars="0" w:firstLine="0"/>
        <w:jc w:val="center"/>
        <w:rPr>
          <w:b/>
          <w:bCs/>
        </w:rPr>
      </w:pPr>
      <w:r>
        <w:rPr>
          <w:b/>
          <w:bCs/>
        </w:rPr>
        <w:t xml:space="preserve"> </w:t>
      </w:r>
      <w:r>
        <w:rPr>
          <w:noProof/>
        </w:rPr>
        <w:drawing>
          <wp:inline distT="0" distB="0" distL="0" distR="0">
            <wp:extent cx="5724525" cy="4095750"/>
            <wp:effectExtent l="0" t="0" r="952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724525" cy="4095750"/>
                    </a:xfrm>
                    <a:prstGeom prst="rect">
                      <a:avLst/>
                    </a:prstGeom>
                    <a:noFill/>
                    <a:ln>
                      <a:noFill/>
                    </a:ln>
                  </pic:spPr>
                </pic:pic>
              </a:graphicData>
            </a:graphic>
          </wp:inline>
        </w:drawing>
      </w:r>
    </w:p>
    <w:p w:rsidR="004E3021" w:rsidRDefault="00606E48">
      <w:pPr>
        <w:pStyle w:val="afffff4"/>
        <w:ind w:firstLine="480"/>
        <w:rPr>
          <w:b/>
        </w:rPr>
      </w:pPr>
      <w:r>
        <w:rPr>
          <w:rFonts w:ascii="黑体" w:hAnsi="黑体"/>
        </w:rPr>
        <w:t>图</w:t>
      </w:r>
      <w:r>
        <w:rPr>
          <w:rFonts w:hint="eastAsia"/>
        </w:rPr>
        <w:t>5.</w:t>
      </w:r>
      <w:r>
        <w:t>5</w:t>
      </w:r>
      <w:r>
        <w:rPr>
          <w:rFonts w:hint="eastAsia"/>
        </w:rPr>
        <w:t>.5</w:t>
      </w:r>
      <w:r>
        <w:t>-</w:t>
      </w:r>
      <w:r>
        <w:rPr>
          <w:rFonts w:hint="eastAsia"/>
        </w:rPr>
        <w:t>1</w:t>
      </w:r>
      <w:r>
        <w:t xml:space="preserve">  </w:t>
      </w:r>
      <w:r>
        <w:rPr>
          <w:rFonts w:ascii="黑体" w:hAnsi="黑体"/>
        </w:rPr>
        <w:t>模拟计算区范围图</w:t>
      </w:r>
    </w:p>
    <w:p w:rsidR="004E3021" w:rsidRDefault="00606E48">
      <w:pPr>
        <w:wordWrap w:val="0"/>
        <w:ind w:firstLine="480"/>
        <w:rPr>
          <w:b/>
          <w:bCs/>
        </w:rPr>
      </w:pPr>
      <w:r>
        <w:rPr>
          <w:rFonts w:ascii="宋体" w:hAnsi="宋体"/>
          <w:bCs/>
        </w:rPr>
        <w:t>模拟范围范围</w:t>
      </w:r>
      <w:r>
        <w:rPr>
          <w:rFonts w:ascii="宋体" w:hAnsi="宋体" w:hint="eastAsia"/>
          <w:bCs/>
        </w:rPr>
        <w:t>内南侧为淮河，西侧为三铺大沟，定义为给定水头边界，其他边界</w:t>
      </w:r>
      <w:r>
        <w:rPr>
          <w:rFonts w:ascii="宋体" w:hAnsi="宋体"/>
          <w:bCs/>
        </w:rPr>
        <w:t>均定义为流量边界，边界流量根据达西定律计算得出，评价范围约</w:t>
      </w:r>
      <w:r>
        <w:rPr>
          <w:bCs/>
        </w:rPr>
        <w:t>19.33km</w:t>
      </w:r>
      <w:r>
        <w:rPr>
          <w:bCs/>
          <w:vertAlign w:val="superscript"/>
        </w:rPr>
        <w:t>2</w:t>
      </w:r>
      <w:r>
        <w:rPr>
          <w:rFonts w:ascii="宋体" w:hAnsi="宋体"/>
          <w:bCs/>
        </w:rPr>
        <w:t>。</w:t>
      </w:r>
      <w:r>
        <w:rPr>
          <w:rFonts w:ascii="宋体" w:hAnsi="宋体" w:hint="eastAsia"/>
          <w:bCs/>
        </w:rPr>
        <w:t>模拟区域内地下水流向从西北向东南径流。</w:t>
      </w:r>
    </w:p>
    <w:p w:rsidR="004E3021" w:rsidRDefault="00606E48">
      <w:pPr>
        <w:pStyle w:val="4a"/>
      </w:pPr>
      <w:r>
        <w:rPr>
          <w:rFonts w:hint="eastAsia"/>
        </w:rPr>
        <w:t>5</w:t>
      </w:r>
      <w:r>
        <w:t>.5.5.2</w:t>
      </w:r>
      <w:r>
        <w:rPr>
          <w:rFonts w:hint="eastAsia"/>
        </w:rPr>
        <w:t>地下含水系统三维空间分布</w:t>
      </w:r>
    </w:p>
    <w:p w:rsidR="004E3021" w:rsidRDefault="00606E48">
      <w:pPr>
        <w:wordWrap w:val="0"/>
        <w:ind w:firstLine="480"/>
        <w:rPr>
          <w:b/>
          <w:bCs/>
        </w:rPr>
      </w:pPr>
      <w:r>
        <w:rPr>
          <w:rFonts w:ascii="宋体" w:hAnsi="宋体"/>
          <w:bCs/>
        </w:rPr>
        <w:t>潜水含水层自由水面为模拟区的上边界，通过该边界，潜水与系统外发生垂向水量交换，主要接受大气降水入渗、田间灌溉等补给，同时以蒸发进行排泄。一般情况下，均作为垂向流入流出量边界处理。</w:t>
      </w:r>
    </w:p>
    <w:p w:rsidR="004E3021" w:rsidRDefault="00606E48">
      <w:pPr>
        <w:autoSpaceDE w:val="0"/>
        <w:autoSpaceDN w:val="0"/>
        <w:ind w:firstLine="480"/>
        <w:jc w:val="left"/>
        <w:rPr>
          <w:b/>
        </w:rPr>
      </w:pPr>
      <w:r>
        <w:rPr>
          <w:rFonts w:ascii="宋体" w:hAnsi="宋体"/>
        </w:rPr>
        <w:lastRenderedPageBreak/>
        <w:t>研究区地下水流动系统为非稳定流，受到降雨、蒸发等影响，结合实际资料，将水文地质模型概化为非均质各向异性非稳定流。</w:t>
      </w:r>
    </w:p>
    <w:p w:rsidR="004E3021" w:rsidRDefault="00606E48">
      <w:pPr>
        <w:spacing w:line="240" w:lineRule="auto"/>
        <w:ind w:firstLineChars="0" w:firstLine="0"/>
        <w:jc w:val="center"/>
        <w:rPr>
          <w:color w:val="FF0000"/>
        </w:rPr>
      </w:pPr>
      <w:bookmarkStart w:id="473" w:name="_Toc52175556"/>
      <w:bookmarkEnd w:id="473"/>
      <w:r>
        <w:rPr>
          <w:noProof/>
        </w:rPr>
        <w:drawing>
          <wp:inline distT="0" distB="0" distL="0" distR="0">
            <wp:extent cx="5734050" cy="41529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734050" cy="4152900"/>
                    </a:xfrm>
                    <a:prstGeom prst="rect">
                      <a:avLst/>
                    </a:prstGeom>
                    <a:noFill/>
                    <a:ln>
                      <a:noFill/>
                    </a:ln>
                  </pic:spPr>
                </pic:pic>
              </a:graphicData>
            </a:graphic>
          </wp:inline>
        </w:drawing>
      </w:r>
    </w:p>
    <w:p w:rsidR="004E3021" w:rsidRDefault="00606E48">
      <w:pPr>
        <w:pStyle w:val="ab"/>
        <w:snapToGrid/>
        <w:spacing w:line="240" w:lineRule="auto"/>
        <w:ind w:firstLine="480"/>
        <w:jc w:val="center"/>
        <w:rPr>
          <w:rFonts w:ascii="Times New Roman" w:hAnsi="Times New Roman"/>
        </w:rPr>
      </w:pPr>
      <w:r>
        <w:rPr>
          <w:rFonts w:ascii="Times New Roman" w:hAnsi="Times New Roman"/>
        </w:rPr>
        <w:t>图</w:t>
      </w:r>
      <w:r>
        <w:rPr>
          <w:rFonts w:ascii="Times New Roman" w:hAnsi="Times New Roman"/>
        </w:rPr>
        <w:t>5.5.5</w:t>
      </w:r>
      <w:r>
        <w:rPr>
          <w:rFonts w:ascii="Times New Roman" w:hAnsi="Times New Roman"/>
        </w:rPr>
        <w:noBreakHyphen/>
      </w:r>
      <w:r>
        <w:rPr>
          <w:rFonts w:ascii="Times New Roman" w:hAnsi="Times New Roman" w:hint="eastAsia"/>
        </w:rPr>
        <w:t xml:space="preserve">2  </w:t>
      </w:r>
      <w:r>
        <w:rPr>
          <w:rFonts w:ascii="Times New Roman" w:hAnsi="Times New Roman" w:hint="eastAsia"/>
        </w:rPr>
        <w:t>地下水等水位线图</w:t>
      </w:r>
    </w:p>
    <w:p w:rsidR="004E3021" w:rsidRDefault="00606E48">
      <w:pPr>
        <w:pStyle w:val="afffffffffffffffff4"/>
      </w:pPr>
      <w:bookmarkStart w:id="474" w:name="_Toc101135888"/>
      <w:bookmarkStart w:id="475" w:name="_Toc100784056"/>
      <w:bookmarkStart w:id="476" w:name="_Toc108662665"/>
      <w:bookmarkStart w:id="477" w:name="_Toc221088820"/>
      <w:bookmarkStart w:id="478" w:name="_Toc221501035"/>
      <w:r>
        <w:rPr>
          <w:rFonts w:hint="eastAsia"/>
        </w:rPr>
        <w:t>5.5.6</w:t>
      </w:r>
      <w:r>
        <w:rPr>
          <w:rFonts w:ascii="黑体" w:hAnsi="黑体"/>
        </w:rPr>
        <w:t>数值模拟模型</w:t>
      </w:r>
      <w:bookmarkEnd w:id="474"/>
      <w:bookmarkEnd w:id="475"/>
      <w:bookmarkEnd w:id="476"/>
      <w:bookmarkEnd w:id="477"/>
      <w:bookmarkEnd w:id="478"/>
    </w:p>
    <w:p w:rsidR="004E3021" w:rsidRDefault="00606E48">
      <w:pPr>
        <w:ind w:firstLine="480"/>
        <w:rPr>
          <w:bCs/>
        </w:rPr>
      </w:pPr>
      <w:r>
        <w:rPr>
          <w:rFonts w:ascii="宋体" w:hAnsi="宋体"/>
          <w:bCs/>
        </w:rPr>
        <w:t>刻画潜水中污染物运移需要两个数学模型：地下水流动数学模型和地下水污染物迁移数学模型。对复杂数学模型，采用数值方法求解。</w:t>
      </w:r>
    </w:p>
    <w:p w:rsidR="004E3021" w:rsidRDefault="00606E48">
      <w:pPr>
        <w:ind w:firstLine="480"/>
        <w:rPr>
          <w:bCs/>
        </w:rPr>
      </w:pPr>
      <w:r>
        <w:rPr>
          <w:rFonts w:ascii="宋体" w:hAnsi="宋体"/>
          <w:bCs/>
        </w:rPr>
        <w:t>（</w:t>
      </w:r>
      <w:r>
        <w:rPr>
          <w:bCs/>
        </w:rPr>
        <w:t>1</w:t>
      </w:r>
      <w:r>
        <w:rPr>
          <w:rFonts w:ascii="宋体" w:hAnsi="宋体"/>
          <w:bCs/>
        </w:rPr>
        <w:t>）地下水流运动数学模型</w:t>
      </w:r>
    </w:p>
    <w:p w:rsidR="004E3021" w:rsidRDefault="00606E48">
      <w:pPr>
        <w:ind w:firstLine="480"/>
        <w:rPr>
          <w:bCs/>
        </w:rPr>
      </w:pPr>
      <w:r>
        <w:rPr>
          <w:rFonts w:ascii="宋体" w:hAnsi="宋体"/>
          <w:bCs/>
        </w:rPr>
        <w:t>根据上述水文地质概念模型，评价范围内地下水流运动的数学模型可以表示为非均质、各向异性、空间三维结构、非稳定地下水流系统，其控制方程及定解条件如下：</w:t>
      </w:r>
    </w:p>
    <w:p w:rsidR="004E3021" w:rsidRDefault="00606E48">
      <w:pPr>
        <w:ind w:firstLine="480"/>
        <w:rPr>
          <w:bCs/>
        </w:rPr>
      </w:pPr>
      <w:r>
        <w:rPr>
          <w:noProof/>
        </w:rPr>
        <w:drawing>
          <wp:inline distT="0" distB="0" distL="0" distR="0">
            <wp:extent cx="3514725" cy="1438275"/>
            <wp:effectExtent l="0" t="0" r="9525" b="9525"/>
            <wp:docPr id="100" name="图片 100" descr="C:\Users\ADMINI~1\AppData\Local\Temp\ksohtml\wps4B2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C:\Users\ADMINI~1\AppData\Local\Temp\ksohtml\wps4B22.tmp.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3514725" cy="1438275"/>
                    </a:xfrm>
                    <a:prstGeom prst="rect">
                      <a:avLst/>
                    </a:prstGeom>
                    <a:noFill/>
                    <a:ln>
                      <a:noFill/>
                    </a:ln>
                  </pic:spPr>
                </pic:pic>
              </a:graphicData>
            </a:graphic>
          </wp:inline>
        </w:drawing>
      </w:r>
    </w:p>
    <w:p w:rsidR="004E3021" w:rsidRDefault="00606E48">
      <w:pPr>
        <w:ind w:firstLine="480"/>
        <w:rPr>
          <w:bCs/>
        </w:rPr>
      </w:pPr>
      <w:r>
        <w:rPr>
          <w:rFonts w:ascii="宋体" w:hAnsi="宋体"/>
          <w:bCs/>
        </w:rPr>
        <w:t>式中，</w:t>
      </w:r>
      <w:r>
        <w:rPr>
          <w:noProof/>
        </w:rPr>
        <w:drawing>
          <wp:inline distT="0" distB="0" distL="0" distR="0">
            <wp:extent cx="142875" cy="238125"/>
            <wp:effectExtent l="0" t="0" r="9525" b="9525"/>
            <wp:docPr id="99" name="图片 99" descr="C:\Users\ADMINI~1\AppData\Local\Temp\ksohtml\wps4B2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C:\Users\ADMINI~1\AppData\Local\Temp\ksohtml\wps4B23.tmp.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142875" cy="238125"/>
                    </a:xfrm>
                    <a:prstGeom prst="rect">
                      <a:avLst/>
                    </a:prstGeom>
                    <a:noFill/>
                    <a:ln>
                      <a:noFill/>
                    </a:ln>
                  </pic:spPr>
                </pic:pic>
              </a:graphicData>
            </a:graphic>
          </wp:inline>
        </w:drawing>
      </w:r>
      <w:r>
        <w:rPr>
          <w:noProof/>
        </w:rPr>
        <w:drawing>
          <wp:inline distT="0" distB="0" distL="0" distR="0">
            <wp:extent cx="114300" cy="190500"/>
            <wp:effectExtent l="0" t="0" r="0" b="0"/>
            <wp:docPr id="98" name="图片 98" descr="C:\Users\ADMINI~1\AppData\Local\Temp\ksohtml\wps4B2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C:\Users\ADMINI~1\AppData\Local\Temp\ksohtml\wps4B24.tmp.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114300" cy="190500"/>
                    </a:xfrm>
                    <a:prstGeom prst="rect">
                      <a:avLst/>
                    </a:prstGeom>
                    <a:noFill/>
                    <a:ln>
                      <a:noFill/>
                    </a:ln>
                  </pic:spPr>
                </pic:pic>
              </a:graphicData>
            </a:graphic>
          </wp:inline>
        </w:drawing>
      </w:r>
      <w:r>
        <w:rPr>
          <w:rFonts w:ascii="宋体" w:hAnsi="宋体"/>
          <w:bCs/>
        </w:rPr>
        <w:t>为模型模拟区；</w:t>
      </w:r>
      <w:r>
        <w:rPr>
          <w:bCs/>
        </w:rPr>
        <w:t>H</w:t>
      </w:r>
      <w:r>
        <w:rPr>
          <w:rFonts w:ascii="宋体" w:hAnsi="宋体"/>
          <w:bCs/>
        </w:rPr>
        <w:t>为含水层的水位</w:t>
      </w:r>
      <w:r>
        <w:rPr>
          <w:bCs/>
        </w:rPr>
        <w:t>(m)</w:t>
      </w:r>
      <w:r>
        <w:rPr>
          <w:rFonts w:ascii="宋体" w:hAnsi="宋体"/>
          <w:bCs/>
        </w:rPr>
        <w:t>；</w:t>
      </w:r>
      <w:r>
        <w:rPr>
          <w:noProof/>
        </w:rPr>
        <w:drawing>
          <wp:inline distT="0" distB="0" distL="0" distR="0">
            <wp:extent cx="238125" cy="238125"/>
            <wp:effectExtent l="0" t="0" r="9525" b="9525"/>
            <wp:docPr id="97" name="图片 97" descr="C:\Users\ADMINI~1\AppData\Local\Temp\ksohtml\wps4B2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C:\Users\ADMINI~1\AppData\Local\Temp\ksohtml\wps4B25.tmp.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38125" cy="238125"/>
                    </a:xfrm>
                    <a:prstGeom prst="rect">
                      <a:avLst/>
                    </a:prstGeom>
                    <a:noFill/>
                    <a:ln>
                      <a:noFill/>
                    </a:ln>
                  </pic:spPr>
                </pic:pic>
              </a:graphicData>
            </a:graphic>
          </wp:inline>
        </w:drawing>
      </w:r>
      <w:r>
        <w:rPr>
          <w:rFonts w:ascii="宋体" w:hAnsi="宋体"/>
          <w:bCs/>
        </w:rPr>
        <w:t>、</w:t>
      </w:r>
      <w:r>
        <w:rPr>
          <w:noProof/>
        </w:rPr>
        <w:drawing>
          <wp:inline distT="0" distB="0" distL="0" distR="0">
            <wp:extent cx="238125" cy="238125"/>
            <wp:effectExtent l="0" t="0" r="0" b="9525"/>
            <wp:docPr id="96" name="图片 96" descr="C:\Users\ADMINI~1\AppData\Local\Temp\ksohtml\wps4B2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C:\Users\ADMINI~1\AppData\Local\Temp\ksohtml\wps4B26.tmp.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238125" cy="238125"/>
                    </a:xfrm>
                    <a:prstGeom prst="rect">
                      <a:avLst/>
                    </a:prstGeom>
                    <a:noFill/>
                    <a:ln>
                      <a:noFill/>
                    </a:ln>
                  </pic:spPr>
                </pic:pic>
              </a:graphicData>
            </a:graphic>
          </wp:inline>
        </w:drawing>
      </w:r>
      <w:r>
        <w:rPr>
          <w:rFonts w:ascii="宋体" w:hAnsi="宋体"/>
          <w:bCs/>
        </w:rPr>
        <w:t>、</w:t>
      </w:r>
      <w:r>
        <w:rPr>
          <w:noProof/>
        </w:rPr>
        <w:drawing>
          <wp:inline distT="0" distB="0" distL="0" distR="0">
            <wp:extent cx="219075" cy="238125"/>
            <wp:effectExtent l="0" t="0" r="9525" b="9525"/>
            <wp:docPr id="95" name="图片 95" descr="C:\Users\ADMINI~1\AppData\Local\Temp\ksohtml\wps4B27.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Users\ADMINI~1\AppData\Local\Temp\ksohtml\wps4B27.tmp.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19075" cy="238125"/>
                    </a:xfrm>
                    <a:prstGeom prst="rect">
                      <a:avLst/>
                    </a:prstGeom>
                    <a:noFill/>
                    <a:ln>
                      <a:noFill/>
                    </a:ln>
                  </pic:spPr>
                </pic:pic>
              </a:graphicData>
            </a:graphic>
          </wp:inline>
        </w:drawing>
      </w:r>
      <w:r>
        <w:rPr>
          <w:rFonts w:ascii="宋体" w:hAnsi="宋体"/>
          <w:bCs/>
        </w:rPr>
        <w:t>分别为</w:t>
      </w:r>
      <w:r>
        <w:rPr>
          <w:noProof/>
        </w:rPr>
        <w:drawing>
          <wp:inline distT="0" distB="0" distL="0" distR="0">
            <wp:extent cx="142875" cy="142875"/>
            <wp:effectExtent l="0" t="0" r="9525" b="9525"/>
            <wp:docPr id="94" name="图片 94" descr="C:\Users\ADMINI~1\AppData\Local\Temp\ksohtml\wps4B38.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ADMINI~1\AppData\Local\Temp\ksohtml\wps4B38.tmp.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142875" cy="142875"/>
                    </a:xfrm>
                    <a:prstGeom prst="rect">
                      <a:avLst/>
                    </a:prstGeom>
                    <a:noFill/>
                    <a:ln>
                      <a:noFill/>
                    </a:ln>
                  </pic:spPr>
                </pic:pic>
              </a:graphicData>
            </a:graphic>
          </wp:inline>
        </w:drawing>
      </w:r>
      <w:r>
        <w:rPr>
          <w:rFonts w:ascii="宋体" w:hAnsi="宋体"/>
          <w:bCs/>
        </w:rPr>
        <w:t>、</w:t>
      </w:r>
      <w:r>
        <w:rPr>
          <w:noProof/>
        </w:rPr>
        <w:drawing>
          <wp:inline distT="0" distB="0" distL="0" distR="0">
            <wp:extent cx="142875" cy="142875"/>
            <wp:effectExtent l="0" t="0" r="9525" b="9525"/>
            <wp:docPr id="93" name="图片 93" descr="C:\Users\ADMINI~1\AppData\Local\Temp\ksohtml\wps4B39.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C:\Users\ADMINI~1\AppData\Local\Temp\ksohtml\wps4B39.tmp.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142875" cy="142875"/>
                    </a:xfrm>
                    <a:prstGeom prst="rect">
                      <a:avLst/>
                    </a:prstGeom>
                    <a:noFill/>
                    <a:ln>
                      <a:noFill/>
                    </a:ln>
                  </pic:spPr>
                </pic:pic>
              </a:graphicData>
            </a:graphic>
          </wp:inline>
        </w:drawing>
      </w:r>
      <w:r>
        <w:rPr>
          <w:rFonts w:ascii="宋体" w:hAnsi="宋体"/>
          <w:bCs/>
        </w:rPr>
        <w:t>、</w:t>
      </w:r>
      <w:r>
        <w:rPr>
          <w:noProof/>
        </w:rPr>
        <w:lastRenderedPageBreak/>
        <w:drawing>
          <wp:inline distT="0" distB="0" distL="0" distR="0">
            <wp:extent cx="142875" cy="142875"/>
            <wp:effectExtent l="0" t="0" r="9525" b="9525"/>
            <wp:docPr id="92" name="图片 92" descr="C:\Users\ADMINI~1\AppData\Local\Temp\ksohtml\wps4B3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C:\Users\ADMINI~1\AppData\Local\Temp\ksohtml\wps4B3A.tmp.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142875" cy="142875"/>
                    </a:xfrm>
                    <a:prstGeom prst="rect">
                      <a:avLst/>
                    </a:prstGeom>
                    <a:noFill/>
                    <a:ln>
                      <a:noFill/>
                    </a:ln>
                  </pic:spPr>
                </pic:pic>
              </a:graphicData>
            </a:graphic>
          </wp:inline>
        </w:drawing>
      </w:r>
      <w:r>
        <w:rPr>
          <w:rFonts w:ascii="宋体" w:hAnsi="宋体"/>
          <w:bCs/>
        </w:rPr>
        <w:t>方向的渗透系数</w:t>
      </w:r>
      <w:r>
        <w:rPr>
          <w:bCs/>
        </w:rPr>
        <w:t>(m/d)</w:t>
      </w:r>
      <w:r>
        <w:rPr>
          <w:rFonts w:ascii="宋体" w:hAnsi="宋体"/>
          <w:bCs/>
        </w:rPr>
        <w:t>；</w:t>
      </w:r>
      <w:r>
        <w:rPr>
          <w:noProof/>
        </w:rPr>
        <w:drawing>
          <wp:inline distT="0" distB="0" distL="0" distR="0">
            <wp:extent cx="171450" cy="238125"/>
            <wp:effectExtent l="0" t="0" r="0" b="9525"/>
            <wp:docPr id="91" name="图片 91" descr="C:\Users\ADMINI~1\AppData\Local\Temp\ksohtml\wps4B3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Users\ADMINI~1\AppData\Local\Temp\ksohtml\wps4B3B.tmp.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71450" cy="238125"/>
                    </a:xfrm>
                    <a:prstGeom prst="rect">
                      <a:avLst/>
                    </a:prstGeom>
                    <a:noFill/>
                    <a:ln>
                      <a:noFill/>
                    </a:ln>
                  </pic:spPr>
                </pic:pic>
              </a:graphicData>
            </a:graphic>
          </wp:inline>
        </w:drawing>
      </w:r>
      <w:r>
        <w:rPr>
          <w:noProof/>
        </w:rPr>
        <w:drawing>
          <wp:inline distT="0" distB="0" distL="0" distR="0">
            <wp:extent cx="142875" cy="190500"/>
            <wp:effectExtent l="0" t="0" r="9525" b="0"/>
            <wp:docPr id="90" name="图片 90" descr="C:\Users\ADMINI~1\AppData\Local\Temp\ksohtml\wps4B3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C:\Users\ADMINI~1\AppData\Local\Temp\ksohtml\wps4B3C.tmp.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42875" cy="190500"/>
                    </a:xfrm>
                    <a:prstGeom prst="rect">
                      <a:avLst/>
                    </a:prstGeom>
                    <a:noFill/>
                    <a:ln>
                      <a:noFill/>
                    </a:ln>
                  </pic:spPr>
                </pic:pic>
              </a:graphicData>
            </a:graphic>
          </wp:inline>
        </w:drawing>
      </w:r>
      <w:r>
        <w:rPr>
          <w:rFonts w:ascii="宋体" w:hAnsi="宋体"/>
          <w:bCs/>
        </w:rPr>
        <w:t>为贮水率（</w:t>
      </w:r>
      <w:r>
        <w:rPr>
          <w:bCs/>
        </w:rPr>
        <w:t>1/m</w:t>
      </w:r>
      <w:r>
        <w:rPr>
          <w:rFonts w:ascii="宋体" w:hAnsi="宋体"/>
          <w:bCs/>
        </w:rPr>
        <w:t>）；</w:t>
      </w:r>
      <w:r>
        <w:rPr>
          <w:bCs/>
        </w:rPr>
        <w:t>W</w:t>
      </w:r>
      <w:r>
        <w:rPr>
          <w:rFonts w:ascii="宋体" w:hAnsi="宋体"/>
          <w:bCs/>
        </w:rPr>
        <w:t>为含水层的源汇项</w:t>
      </w:r>
      <w:r>
        <w:rPr>
          <w:bCs/>
        </w:rPr>
        <w:t>(m3/d)</w:t>
      </w:r>
      <w:r>
        <w:rPr>
          <w:rFonts w:ascii="宋体" w:hAnsi="宋体"/>
          <w:bCs/>
        </w:rPr>
        <w:t>；</w:t>
      </w:r>
      <w:r>
        <w:rPr>
          <w:noProof/>
        </w:rPr>
        <w:drawing>
          <wp:inline distT="0" distB="0" distL="0" distR="0">
            <wp:extent cx="809625" cy="238125"/>
            <wp:effectExtent l="0" t="0" r="9525" b="9525"/>
            <wp:docPr id="89" name="图片 89" descr="C:\Users\ADMINI~1\AppData\Local\Temp\ksohtml\wps4B3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C:\Users\ADMINI~1\AppData\Local\Temp\ksohtml\wps4B3D.tmp.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809625" cy="238125"/>
                    </a:xfrm>
                    <a:prstGeom prst="rect">
                      <a:avLst/>
                    </a:prstGeom>
                    <a:noFill/>
                    <a:ln>
                      <a:noFill/>
                    </a:ln>
                  </pic:spPr>
                </pic:pic>
              </a:graphicData>
            </a:graphic>
          </wp:inline>
        </w:drawing>
      </w:r>
      <w:r>
        <w:rPr>
          <w:noProof/>
        </w:rPr>
        <w:drawing>
          <wp:inline distT="0" distB="0" distL="0" distR="0">
            <wp:extent cx="647700" cy="190500"/>
            <wp:effectExtent l="0" t="0" r="0" b="0"/>
            <wp:docPr id="88" name="图片 88" descr="C:\Users\ADMINI~1\AppData\Local\Temp\ksohtml\wps4B3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C:\Users\ADMINI~1\AppData\Local\Temp\ksohtml\wps4B3E.tmp.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647700" cy="190500"/>
                    </a:xfrm>
                    <a:prstGeom prst="rect">
                      <a:avLst/>
                    </a:prstGeom>
                    <a:noFill/>
                    <a:ln>
                      <a:noFill/>
                    </a:ln>
                  </pic:spPr>
                </pic:pic>
              </a:graphicData>
            </a:graphic>
          </wp:inline>
        </w:drawing>
      </w:r>
      <w:r>
        <w:rPr>
          <w:rFonts w:ascii="宋体" w:hAnsi="宋体"/>
          <w:bCs/>
        </w:rPr>
        <w:t>为已知水位分布</w:t>
      </w:r>
      <w:r>
        <w:rPr>
          <w:bCs/>
        </w:rPr>
        <w:t>(m)</w:t>
      </w:r>
      <w:r>
        <w:rPr>
          <w:rFonts w:ascii="宋体" w:hAnsi="宋体"/>
          <w:bCs/>
        </w:rPr>
        <w:t>；</w:t>
      </w:r>
      <w:r>
        <w:rPr>
          <w:noProof/>
        </w:rPr>
        <w:drawing>
          <wp:inline distT="0" distB="0" distL="0" distR="0">
            <wp:extent cx="142875" cy="238125"/>
            <wp:effectExtent l="0" t="0" r="9525" b="9525"/>
            <wp:docPr id="87" name="图片 87" descr="C:\Users\ADMINI~1\AppData\Local\Temp\ksohtml\wps4B4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C:\Users\ADMINI~1\AppData\Local\Temp\ksohtml\wps4B4E.tmp.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142875" cy="238125"/>
                    </a:xfrm>
                    <a:prstGeom prst="rect">
                      <a:avLst/>
                    </a:prstGeom>
                    <a:noFill/>
                    <a:ln>
                      <a:noFill/>
                    </a:ln>
                  </pic:spPr>
                </pic:pic>
              </a:graphicData>
            </a:graphic>
          </wp:inline>
        </w:drawing>
      </w:r>
      <w:r>
        <w:rPr>
          <w:noProof/>
        </w:rPr>
        <w:drawing>
          <wp:inline distT="0" distB="0" distL="0" distR="0">
            <wp:extent cx="114300" cy="190500"/>
            <wp:effectExtent l="0" t="0" r="0" b="0"/>
            <wp:docPr id="86" name="图片 86" descr="C:\Users\ADMINI~1\AppData\Local\Temp\ksohtml\wps4B4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Users\ADMINI~1\AppData\Local\Temp\ksohtml\wps4B4F.tmp.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114300" cy="190500"/>
                    </a:xfrm>
                    <a:prstGeom prst="rect">
                      <a:avLst/>
                    </a:prstGeom>
                    <a:noFill/>
                    <a:ln>
                      <a:noFill/>
                    </a:ln>
                  </pic:spPr>
                </pic:pic>
              </a:graphicData>
            </a:graphic>
          </wp:inline>
        </w:drawing>
      </w:r>
      <w:r>
        <w:rPr>
          <w:rFonts w:ascii="宋体" w:hAnsi="宋体"/>
          <w:bCs/>
        </w:rPr>
        <w:t>为渗流区域的一类边界；</w:t>
      </w:r>
      <w:r>
        <w:rPr>
          <w:noProof/>
        </w:rPr>
        <w:drawing>
          <wp:inline distT="0" distB="0" distL="0" distR="0">
            <wp:extent cx="152400" cy="238125"/>
            <wp:effectExtent l="0" t="0" r="0" b="9525"/>
            <wp:docPr id="85" name="图片 85" descr="C:\Users\ADMINI~1\AppData\Local\Temp\ksohtml\wps4B50.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ADMINI~1\AppData\Local\Temp\ksohtml\wps4B50.tmp.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52400" cy="238125"/>
                    </a:xfrm>
                    <a:prstGeom prst="rect">
                      <a:avLst/>
                    </a:prstGeom>
                    <a:noFill/>
                    <a:ln>
                      <a:noFill/>
                    </a:ln>
                  </pic:spPr>
                </pic:pic>
              </a:graphicData>
            </a:graphic>
          </wp:inline>
        </w:drawing>
      </w:r>
      <w:r>
        <w:rPr>
          <w:noProof/>
        </w:rPr>
        <w:drawing>
          <wp:inline distT="0" distB="0" distL="0" distR="0">
            <wp:extent cx="123825" cy="190500"/>
            <wp:effectExtent l="0" t="0" r="9525" b="0"/>
            <wp:docPr id="84" name="图片 84" descr="C:\Users\ADMINI~1\AppData\Local\Temp\ksohtml\wps4B5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Users\ADMINI~1\AppData\Local\Temp\ksohtml\wps4B51.tmp.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123825" cy="190500"/>
                    </a:xfrm>
                    <a:prstGeom prst="rect">
                      <a:avLst/>
                    </a:prstGeom>
                    <a:noFill/>
                    <a:ln>
                      <a:noFill/>
                    </a:ln>
                  </pic:spPr>
                </pic:pic>
              </a:graphicData>
            </a:graphic>
          </wp:inline>
        </w:drawing>
      </w:r>
      <w:r>
        <w:rPr>
          <w:rFonts w:ascii="宋体" w:hAnsi="宋体"/>
          <w:bCs/>
        </w:rPr>
        <w:t>为渗流区域的二类边界；</w:t>
      </w:r>
      <w:r>
        <w:rPr>
          <w:noProof/>
        </w:rPr>
        <w:drawing>
          <wp:inline distT="0" distB="0" distL="0" distR="0">
            <wp:extent cx="142875" cy="142875"/>
            <wp:effectExtent l="0" t="0" r="9525" b="9525"/>
            <wp:docPr id="83" name="图片 83" descr="C:\Users\ADMINI~1\AppData\Local\Temp\ksohtml\wps4B5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ADMINI~1\AppData\Local\Temp\ksohtml\wps4B52.tmp.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142875" cy="142875"/>
                    </a:xfrm>
                    <a:prstGeom prst="rect">
                      <a:avLst/>
                    </a:prstGeom>
                    <a:noFill/>
                    <a:ln>
                      <a:noFill/>
                    </a:ln>
                  </pic:spPr>
                </pic:pic>
              </a:graphicData>
            </a:graphic>
          </wp:inline>
        </w:drawing>
      </w:r>
      <w:r>
        <w:rPr>
          <w:rFonts w:ascii="宋体" w:hAnsi="宋体"/>
          <w:bCs/>
        </w:rPr>
        <w:t>为边界</w:t>
      </w:r>
      <w:r>
        <w:rPr>
          <w:noProof/>
        </w:rPr>
        <w:drawing>
          <wp:inline distT="0" distB="0" distL="0" distR="0">
            <wp:extent cx="152400" cy="238125"/>
            <wp:effectExtent l="0" t="0" r="0" b="9525"/>
            <wp:docPr id="82" name="图片 82" descr="C:\Users\ADMINI~1\AppData\Local\Temp\ksohtml\wps4B5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Users\ADMINI~1\AppData\Local\Temp\ksohtml\wps4B53.tmp.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52400" cy="238125"/>
                    </a:xfrm>
                    <a:prstGeom prst="rect">
                      <a:avLst/>
                    </a:prstGeom>
                    <a:noFill/>
                    <a:ln>
                      <a:noFill/>
                    </a:ln>
                  </pic:spPr>
                </pic:pic>
              </a:graphicData>
            </a:graphic>
          </wp:inline>
        </w:drawing>
      </w:r>
      <w:r>
        <w:rPr>
          <w:noProof/>
        </w:rPr>
        <w:drawing>
          <wp:inline distT="0" distB="0" distL="0" distR="0">
            <wp:extent cx="123825" cy="190500"/>
            <wp:effectExtent l="0" t="0" r="9525" b="0"/>
            <wp:docPr id="81" name="图片 81" descr="C:\Users\ADMINI~1\AppData\Local\Temp\ksohtml\wps4B5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ADMINI~1\AppData\Local\Temp\ksohtml\wps4B54.tmp.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123825" cy="190500"/>
                    </a:xfrm>
                    <a:prstGeom prst="rect">
                      <a:avLst/>
                    </a:prstGeom>
                    <a:noFill/>
                    <a:ln>
                      <a:noFill/>
                    </a:ln>
                  </pic:spPr>
                </pic:pic>
              </a:graphicData>
            </a:graphic>
          </wp:inline>
        </w:drawing>
      </w:r>
      <w:r>
        <w:rPr>
          <w:rFonts w:ascii="宋体" w:hAnsi="宋体"/>
          <w:bCs/>
        </w:rPr>
        <w:t>的外法线方向；</w:t>
      </w:r>
      <w:r>
        <w:rPr>
          <w:bCs/>
        </w:rPr>
        <w:t>k</w:t>
      </w:r>
      <w:r>
        <w:rPr>
          <w:rFonts w:ascii="宋体" w:hAnsi="宋体"/>
          <w:bCs/>
        </w:rPr>
        <w:t>为三维空间上的渗透系数张量</w:t>
      </w:r>
      <w:r>
        <w:rPr>
          <w:bCs/>
        </w:rPr>
        <w:t>(m/d)</w:t>
      </w:r>
      <w:r>
        <w:rPr>
          <w:rFonts w:ascii="宋体" w:hAnsi="宋体"/>
          <w:bCs/>
        </w:rPr>
        <w:t>；</w:t>
      </w:r>
      <w:r>
        <w:rPr>
          <w:noProof/>
        </w:rPr>
        <w:drawing>
          <wp:inline distT="0" distB="0" distL="0" distR="0">
            <wp:extent cx="866775" cy="238125"/>
            <wp:effectExtent l="0" t="0" r="9525" b="9525"/>
            <wp:docPr id="80" name="图片 80" descr="C:\Users\ADMINI~1\AppData\Local\Temp\ksohtml\wps4B6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C:\Users\ADMINI~1\AppData\Local\Temp\ksohtml\wps4B65.tmp.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866775" cy="238125"/>
                    </a:xfrm>
                    <a:prstGeom prst="rect">
                      <a:avLst/>
                    </a:prstGeom>
                    <a:noFill/>
                    <a:ln>
                      <a:noFill/>
                    </a:ln>
                  </pic:spPr>
                </pic:pic>
              </a:graphicData>
            </a:graphic>
          </wp:inline>
        </w:drawing>
      </w:r>
      <w:r>
        <w:rPr>
          <w:noProof/>
        </w:rPr>
        <w:drawing>
          <wp:inline distT="0" distB="0" distL="0" distR="0">
            <wp:extent cx="695325" cy="190500"/>
            <wp:effectExtent l="0" t="0" r="9525" b="0"/>
            <wp:docPr id="79" name="图片 79" descr="C:\Users\ADMINI~1\AppData\Local\Temp\ksohtml\wps4B6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C:\Users\ADMINI~1\AppData\Local\Temp\ksohtml\wps4B66.tmp.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695325" cy="190500"/>
                    </a:xfrm>
                    <a:prstGeom prst="rect">
                      <a:avLst/>
                    </a:prstGeom>
                    <a:noFill/>
                    <a:ln>
                      <a:noFill/>
                    </a:ln>
                  </pic:spPr>
                </pic:pic>
              </a:graphicData>
            </a:graphic>
          </wp:inline>
        </w:drawing>
      </w:r>
      <w:r>
        <w:rPr>
          <w:rFonts w:ascii="宋体" w:hAnsi="宋体"/>
          <w:bCs/>
        </w:rPr>
        <w:t>为定义为二类边界上已知流量函数，流入为正、流出为负、隔水边界为</w:t>
      </w:r>
      <w:r>
        <w:rPr>
          <w:bCs/>
        </w:rPr>
        <w:t>0</w:t>
      </w:r>
      <w:r>
        <w:rPr>
          <w:rFonts w:ascii="宋体" w:hAnsi="宋体"/>
          <w:bCs/>
        </w:rPr>
        <w:t>。</w:t>
      </w:r>
    </w:p>
    <w:p w:rsidR="004E3021" w:rsidRDefault="00606E48">
      <w:pPr>
        <w:ind w:firstLine="480"/>
        <w:rPr>
          <w:bCs/>
        </w:rPr>
      </w:pPr>
      <w:r>
        <w:rPr>
          <w:rFonts w:ascii="宋体" w:hAnsi="宋体"/>
          <w:bCs/>
        </w:rPr>
        <w:t>（</w:t>
      </w:r>
      <w:r>
        <w:rPr>
          <w:bCs/>
        </w:rPr>
        <w:t>2</w:t>
      </w:r>
      <w:r>
        <w:rPr>
          <w:rFonts w:ascii="宋体" w:hAnsi="宋体"/>
          <w:bCs/>
        </w:rPr>
        <w:t>）地下水污染物迁移数学模型</w:t>
      </w:r>
    </w:p>
    <w:p w:rsidR="004E3021" w:rsidRDefault="00606E48">
      <w:pPr>
        <w:ind w:firstLine="480"/>
        <w:rPr>
          <w:bCs/>
        </w:rPr>
      </w:pPr>
      <w:r>
        <w:rPr>
          <w:rFonts w:ascii="宋体" w:hAnsi="宋体"/>
          <w:bCs/>
        </w:rPr>
        <w:t>污染物在地下水中的运移包括对流、弥散以及溶质本身的物理、化学变化等过程，可表示为：</w:t>
      </w:r>
    </w:p>
    <w:p w:rsidR="004E3021" w:rsidRDefault="00606E48">
      <w:pPr>
        <w:ind w:firstLine="480"/>
        <w:rPr>
          <w:bCs/>
        </w:rPr>
      </w:pPr>
      <w:r>
        <w:rPr>
          <w:noProof/>
        </w:rPr>
        <w:drawing>
          <wp:inline distT="0" distB="0" distL="0" distR="0">
            <wp:extent cx="4181475" cy="1295400"/>
            <wp:effectExtent l="0" t="0" r="9525" b="0"/>
            <wp:docPr id="78" name="图片 78" descr="C:\Users\ADMINI~1\AppData\Local\Temp\ksohtml\wps4B6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C:\Users\ADMINI~1\AppData\Local\Temp\ksohtml\wps4B67.tmp.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4181475" cy="1295400"/>
                    </a:xfrm>
                    <a:prstGeom prst="rect">
                      <a:avLst/>
                    </a:prstGeom>
                    <a:noFill/>
                    <a:ln>
                      <a:noFill/>
                    </a:ln>
                  </pic:spPr>
                </pic:pic>
              </a:graphicData>
            </a:graphic>
          </wp:inline>
        </w:drawing>
      </w:r>
      <w:r>
        <w:rPr>
          <w:bCs/>
        </w:rPr>
        <w:t xml:space="preserve">        </w:t>
      </w:r>
    </w:p>
    <w:p w:rsidR="004E3021" w:rsidRDefault="00606E48">
      <w:pPr>
        <w:ind w:firstLine="480"/>
        <w:rPr>
          <w:bCs/>
        </w:rPr>
      </w:pPr>
      <w:r>
        <w:rPr>
          <w:rFonts w:ascii="宋体" w:hAnsi="宋体"/>
          <w:bCs/>
        </w:rPr>
        <w:t>式中，</w:t>
      </w:r>
      <w:r>
        <w:rPr>
          <w:bCs/>
        </w:rPr>
        <w:t>R</w:t>
      </w:r>
      <w:r>
        <w:rPr>
          <w:rFonts w:ascii="宋体" w:hAnsi="宋体"/>
          <w:bCs/>
        </w:rPr>
        <w:t>为迟滞系数，无量纲；</w:t>
      </w:r>
      <w:r>
        <w:rPr>
          <w:noProof/>
        </w:rPr>
        <w:drawing>
          <wp:inline distT="0" distB="0" distL="0" distR="0">
            <wp:extent cx="190500" cy="238125"/>
            <wp:effectExtent l="0" t="0" r="0" b="9525"/>
            <wp:docPr id="77" name="图片 77" descr="C:\Users\ADMINI~1\AppData\Local\Temp\ksohtml\wps4B68.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Users\ADMINI~1\AppData\Local\Temp\ksohtml\wps4B68.tmp.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190500" cy="238125"/>
                    </a:xfrm>
                    <a:prstGeom prst="rect">
                      <a:avLst/>
                    </a:prstGeom>
                    <a:noFill/>
                    <a:ln>
                      <a:noFill/>
                    </a:ln>
                  </pic:spPr>
                </pic:pic>
              </a:graphicData>
            </a:graphic>
          </wp:inline>
        </w:drawing>
      </w:r>
      <w:r>
        <w:rPr>
          <w:noProof/>
        </w:rPr>
        <w:drawing>
          <wp:inline distT="0" distB="0" distL="0" distR="0">
            <wp:extent cx="152400" cy="190500"/>
            <wp:effectExtent l="0" t="0" r="0" b="0"/>
            <wp:docPr id="76" name="图片 76" descr="C:\Users\ADMINI~1\AppData\Local\Temp\ksohtml\wps4B6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ADMINI~1\AppData\Local\Temp\ksohtml\wps4B69.tmp.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152400" cy="190500"/>
                    </a:xfrm>
                    <a:prstGeom prst="rect">
                      <a:avLst/>
                    </a:prstGeom>
                    <a:noFill/>
                    <a:ln>
                      <a:noFill/>
                    </a:ln>
                  </pic:spPr>
                </pic:pic>
              </a:graphicData>
            </a:graphic>
          </wp:inline>
        </w:drawing>
      </w:r>
      <w:r>
        <w:rPr>
          <w:rFonts w:ascii="宋体" w:hAnsi="宋体"/>
          <w:bCs/>
        </w:rPr>
        <w:t>为介质密度（</w:t>
      </w:r>
      <w:r>
        <w:rPr>
          <w:bCs/>
        </w:rPr>
        <w:t>kg/(dm)3</w:t>
      </w:r>
      <w:r>
        <w:rPr>
          <w:rFonts w:ascii="宋体" w:hAnsi="宋体"/>
          <w:bCs/>
        </w:rPr>
        <w:t>）；</w:t>
      </w:r>
      <w:r>
        <w:rPr>
          <w:noProof/>
        </w:rPr>
        <w:drawing>
          <wp:inline distT="0" distB="0" distL="0" distR="0">
            <wp:extent cx="114300" cy="238125"/>
            <wp:effectExtent l="0" t="0" r="0" b="9525"/>
            <wp:docPr id="75" name="图片 75" descr="C:\Users\ADMINI~1\AppData\Local\Temp\ksohtml\wps4B7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Users\ADMINI~1\AppData\Local\Temp\ksohtml\wps4B7A.tmp.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114300" cy="238125"/>
                    </a:xfrm>
                    <a:prstGeom prst="rect">
                      <a:avLst/>
                    </a:prstGeom>
                    <a:noFill/>
                    <a:ln>
                      <a:noFill/>
                    </a:ln>
                  </pic:spPr>
                </pic:pic>
              </a:graphicData>
            </a:graphic>
          </wp:inline>
        </w:drawing>
      </w:r>
      <w:r>
        <w:rPr>
          <w:noProof/>
        </w:rPr>
        <w:drawing>
          <wp:inline distT="0" distB="0" distL="0" distR="0">
            <wp:extent cx="95250" cy="190500"/>
            <wp:effectExtent l="0" t="0" r="0" b="0"/>
            <wp:docPr id="74" name="图片 74" descr="C:\Users\ADMINI~1\AppData\Local\Temp\ksohtml\wps4B7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Users\ADMINI~1\AppData\Local\Temp\ksohtml\wps4B7B.tmp.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95250" cy="190500"/>
                    </a:xfrm>
                    <a:prstGeom prst="rect">
                      <a:avLst/>
                    </a:prstGeom>
                    <a:noFill/>
                    <a:ln>
                      <a:noFill/>
                    </a:ln>
                  </pic:spPr>
                </pic:pic>
              </a:graphicData>
            </a:graphic>
          </wp:inline>
        </w:drawing>
      </w:r>
      <w:r>
        <w:rPr>
          <w:rFonts w:ascii="宋体" w:hAnsi="宋体"/>
          <w:bCs/>
        </w:rPr>
        <w:t>为介质孔隙度，无量纲；</w:t>
      </w:r>
      <w:r>
        <w:rPr>
          <w:bCs/>
        </w:rPr>
        <w:t>c</w:t>
      </w:r>
      <w:r>
        <w:rPr>
          <w:rFonts w:ascii="宋体" w:hAnsi="宋体"/>
          <w:bCs/>
        </w:rPr>
        <w:t>为组分浓度，（</w:t>
      </w:r>
      <w:r>
        <w:rPr>
          <w:bCs/>
        </w:rPr>
        <w:t>g/kg</w:t>
      </w:r>
      <w:r>
        <w:rPr>
          <w:rFonts w:ascii="宋体" w:hAnsi="宋体"/>
          <w:bCs/>
        </w:rPr>
        <w:t>）；</w:t>
      </w:r>
      <w:r>
        <w:rPr>
          <w:noProof/>
        </w:rPr>
        <w:drawing>
          <wp:inline distT="0" distB="0" distL="0" distR="0">
            <wp:extent cx="123825" cy="238125"/>
            <wp:effectExtent l="0" t="0" r="9525" b="9525"/>
            <wp:docPr id="73" name="图片 73" descr="C:\Users\ADMINI~1\AppData\Local\Temp\ksohtml\wps4B7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C:\Users\ADMINI~1\AppData\Local\Temp\ksohtml\wps4B7C.tmp.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123825" cy="238125"/>
                    </a:xfrm>
                    <a:prstGeom prst="rect">
                      <a:avLst/>
                    </a:prstGeom>
                    <a:noFill/>
                    <a:ln>
                      <a:noFill/>
                    </a:ln>
                  </pic:spPr>
                </pic:pic>
              </a:graphicData>
            </a:graphic>
          </wp:inline>
        </w:drawing>
      </w:r>
      <w:r>
        <w:rPr>
          <w:noProof/>
        </w:rPr>
        <w:drawing>
          <wp:inline distT="0" distB="0" distL="0" distR="0">
            <wp:extent cx="104775" cy="190500"/>
            <wp:effectExtent l="0" t="0" r="9525" b="0"/>
            <wp:docPr id="72" name="图片 72" descr="C:\Users\ADMINI~1\AppData\Local\Temp\ksohtml\wps4B7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ADMINI~1\AppData\Local\Temp\ksohtml\wps4B7D.tmp.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104775" cy="190500"/>
                    </a:xfrm>
                    <a:prstGeom prst="rect">
                      <a:avLst/>
                    </a:prstGeom>
                    <a:noFill/>
                    <a:ln>
                      <a:noFill/>
                    </a:ln>
                  </pic:spPr>
                </pic:pic>
              </a:graphicData>
            </a:graphic>
          </wp:inline>
        </w:drawing>
      </w:r>
      <w:r>
        <w:rPr>
          <w:rFonts w:ascii="宋体" w:hAnsi="宋体"/>
          <w:bCs/>
        </w:rPr>
        <w:t>为介质骨架吸附的溶质浓度（</w:t>
      </w:r>
      <w:r>
        <w:rPr>
          <w:bCs/>
        </w:rPr>
        <w:t>g/kg</w:t>
      </w:r>
      <w:r>
        <w:rPr>
          <w:rFonts w:ascii="宋体" w:hAnsi="宋体"/>
          <w:bCs/>
        </w:rPr>
        <w:t>）；</w:t>
      </w:r>
      <w:r>
        <w:rPr>
          <w:bCs/>
        </w:rPr>
        <w:t>t</w:t>
      </w:r>
      <w:r>
        <w:rPr>
          <w:rFonts w:ascii="宋体" w:hAnsi="宋体"/>
          <w:bCs/>
        </w:rPr>
        <w:t>为时间（</w:t>
      </w:r>
      <w:r>
        <w:rPr>
          <w:bCs/>
        </w:rPr>
        <w:t>d</w:t>
      </w:r>
      <w:r>
        <w:rPr>
          <w:rFonts w:ascii="宋体" w:hAnsi="宋体"/>
          <w:bCs/>
        </w:rPr>
        <w:t>）；</w:t>
      </w:r>
      <w:r>
        <w:rPr>
          <w:bCs/>
        </w:rPr>
        <w:t>Dij</w:t>
      </w:r>
      <w:r>
        <w:rPr>
          <w:rFonts w:ascii="宋体" w:hAnsi="宋体"/>
          <w:bCs/>
        </w:rPr>
        <w:t>为水动力弥散系数张量（</w:t>
      </w:r>
      <w:r>
        <w:rPr>
          <w:bCs/>
        </w:rPr>
        <w:t>m</w:t>
      </w:r>
      <w:r>
        <w:rPr>
          <w:bCs/>
          <w:vertAlign w:val="superscript"/>
        </w:rPr>
        <w:t>2</w:t>
      </w:r>
      <w:r>
        <w:rPr>
          <w:bCs/>
        </w:rPr>
        <w:t>/d</w:t>
      </w:r>
      <w:r>
        <w:rPr>
          <w:rFonts w:ascii="宋体" w:hAnsi="宋体"/>
          <w:bCs/>
        </w:rPr>
        <w:t>）；</w:t>
      </w:r>
      <w:r>
        <w:rPr>
          <w:bCs/>
        </w:rPr>
        <w:t>Vi</w:t>
      </w:r>
      <w:r>
        <w:rPr>
          <w:rFonts w:ascii="宋体" w:hAnsi="宋体"/>
          <w:bCs/>
        </w:rPr>
        <w:t>为地下水渗流速度张量（</w:t>
      </w:r>
      <w:r>
        <w:rPr>
          <w:bCs/>
        </w:rPr>
        <w:t>m/d</w:t>
      </w:r>
      <w:r>
        <w:rPr>
          <w:rFonts w:ascii="宋体" w:hAnsi="宋体"/>
          <w:bCs/>
        </w:rPr>
        <w:t>）；</w:t>
      </w:r>
      <w:r>
        <w:rPr>
          <w:bCs/>
        </w:rPr>
        <w:t>W</w:t>
      </w:r>
      <w:r>
        <w:rPr>
          <w:rFonts w:ascii="宋体" w:hAnsi="宋体"/>
          <w:bCs/>
        </w:rPr>
        <w:t>为水流的源汇项（</w:t>
      </w:r>
      <w:r>
        <w:rPr>
          <w:bCs/>
        </w:rPr>
        <w:t>1/d</w:t>
      </w:r>
      <w:r>
        <w:rPr>
          <w:rFonts w:ascii="宋体" w:hAnsi="宋体"/>
          <w:bCs/>
        </w:rPr>
        <w:t>）；</w:t>
      </w:r>
      <w:r>
        <w:rPr>
          <w:bCs/>
        </w:rPr>
        <w:t>Cs</w:t>
      </w:r>
      <w:r>
        <w:rPr>
          <w:rFonts w:ascii="宋体" w:hAnsi="宋体"/>
          <w:bCs/>
        </w:rPr>
        <w:t>为组分的浓度（</w:t>
      </w:r>
      <w:r>
        <w:rPr>
          <w:bCs/>
        </w:rPr>
        <w:t>g/L</w:t>
      </w:r>
      <w:r>
        <w:rPr>
          <w:rFonts w:ascii="宋体" w:hAnsi="宋体"/>
          <w:bCs/>
        </w:rPr>
        <w:t>）；</w:t>
      </w:r>
      <w:r>
        <w:rPr>
          <w:noProof/>
        </w:rPr>
        <w:drawing>
          <wp:inline distT="0" distB="0" distL="0" distR="0">
            <wp:extent cx="171450" cy="238125"/>
            <wp:effectExtent l="0" t="0" r="0" b="9525"/>
            <wp:docPr id="71" name="图片 71" descr="C:\Users\ADMINI~1\AppData\Local\Temp\ksohtml\wps4B7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ADMINI~1\AppData\Local\Temp\ksohtml\wps4B7E.tmp.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171450" cy="238125"/>
                    </a:xfrm>
                    <a:prstGeom prst="rect">
                      <a:avLst/>
                    </a:prstGeom>
                    <a:noFill/>
                    <a:ln>
                      <a:noFill/>
                    </a:ln>
                  </pic:spPr>
                </pic:pic>
              </a:graphicData>
            </a:graphic>
          </wp:inline>
        </w:drawing>
      </w:r>
      <w:r>
        <w:rPr>
          <w:noProof/>
        </w:rPr>
        <w:drawing>
          <wp:inline distT="0" distB="0" distL="0" distR="0">
            <wp:extent cx="142875" cy="190500"/>
            <wp:effectExtent l="0" t="0" r="9525" b="0"/>
            <wp:docPr id="70" name="图片 70" descr="C:\Users\ADMINI~1\AppData\Local\Temp\ksohtml\wps4B8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ADMINI~1\AppData\Local\Temp\ksohtml\wps4B8E.tmp.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142875" cy="190500"/>
                    </a:xfrm>
                    <a:prstGeom prst="rect">
                      <a:avLst/>
                    </a:prstGeom>
                    <a:noFill/>
                    <a:ln>
                      <a:noFill/>
                    </a:ln>
                  </pic:spPr>
                </pic:pic>
              </a:graphicData>
            </a:graphic>
          </wp:inline>
        </w:drawing>
      </w:r>
      <w:r>
        <w:rPr>
          <w:rFonts w:ascii="宋体" w:hAnsi="宋体"/>
          <w:bCs/>
        </w:rPr>
        <w:t>为溶解相一级反应速率（</w:t>
      </w:r>
      <w:r>
        <w:rPr>
          <w:bCs/>
        </w:rPr>
        <w:t>1/d</w:t>
      </w:r>
      <w:r>
        <w:rPr>
          <w:rFonts w:ascii="宋体" w:hAnsi="宋体"/>
          <w:bCs/>
        </w:rPr>
        <w:t>）；</w:t>
      </w:r>
      <w:r>
        <w:rPr>
          <w:noProof/>
        </w:rPr>
        <w:drawing>
          <wp:inline distT="0" distB="0" distL="0" distR="0">
            <wp:extent cx="171450" cy="238125"/>
            <wp:effectExtent l="0" t="0" r="0" b="9525"/>
            <wp:docPr id="69" name="图片 69" descr="C:\Users\ADMINI~1\AppData\Local\Temp\ksohtml\wps4B8F.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Users\ADMINI~1\AppData\Local\Temp\ksohtml\wps4B8F.tmp.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171450" cy="238125"/>
                    </a:xfrm>
                    <a:prstGeom prst="rect">
                      <a:avLst/>
                    </a:prstGeom>
                    <a:noFill/>
                    <a:ln>
                      <a:noFill/>
                    </a:ln>
                  </pic:spPr>
                </pic:pic>
              </a:graphicData>
            </a:graphic>
          </wp:inline>
        </w:drawing>
      </w:r>
      <w:r>
        <w:rPr>
          <w:noProof/>
        </w:rPr>
        <w:drawing>
          <wp:inline distT="0" distB="0" distL="0" distR="0">
            <wp:extent cx="142875" cy="190500"/>
            <wp:effectExtent l="0" t="0" r="9525" b="0"/>
            <wp:docPr id="68" name="图片 68" descr="C:\Users\ADMINI~1\AppData\Local\Temp\ksohtml\wps4B9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ADMINI~1\AppData\Local\Temp\ksohtml\wps4B90.tmp.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142875" cy="190500"/>
                    </a:xfrm>
                    <a:prstGeom prst="rect">
                      <a:avLst/>
                    </a:prstGeom>
                    <a:noFill/>
                    <a:ln>
                      <a:noFill/>
                    </a:ln>
                  </pic:spPr>
                </pic:pic>
              </a:graphicData>
            </a:graphic>
          </wp:inline>
        </w:drawing>
      </w:r>
      <w:r>
        <w:rPr>
          <w:rFonts w:ascii="宋体" w:hAnsi="宋体"/>
          <w:bCs/>
        </w:rPr>
        <w:t>吸附相反</w:t>
      </w:r>
      <w:r>
        <w:rPr>
          <w:noProof/>
        </w:rPr>
        <w:drawing>
          <wp:inline distT="0" distB="0" distL="0" distR="0">
            <wp:extent cx="647700" cy="190500"/>
            <wp:effectExtent l="0" t="0" r="0" b="0"/>
            <wp:docPr id="67" name="图片 67" descr="C:\Users\ADMINI~1\AppData\Local\Temp\ksohtml\wps4B9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C:\Users\ADMINI~1\AppData\Local\Temp\ksohtml\wps4B91.tmp.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647700" cy="190500"/>
                    </a:xfrm>
                    <a:prstGeom prst="rect">
                      <a:avLst/>
                    </a:prstGeom>
                    <a:noFill/>
                    <a:ln>
                      <a:noFill/>
                    </a:ln>
                  </pic:spPr>
                </pic:pic>
              </a:graphicData>
            </a:graphic>
          </wp:inline>
        </w:drawing>
      </w:r>
      <w:r>
        <w:rPr>
          <w:rFonts w:ascii="宋体" w:hAnsi="宋体"/>
          <w:bCs/>
        </w:rPr>
        <w:t>应速率（</w:t>
      </w:r>
      <w:r>
        <w:rPr>
          <w:bCs/>
        </w:rPr>
        <w:t>1/d</w:t>
      </w:r>
      <w:r>
        <w:rPr>
          <w:rFonts w:ascii="宋体" w:hAnsi="宋体"/>
          <w:bCs/>
        </w:rPr>
        <w:t>）；</w:t>
      </w:r>
      <w:r>
        <w:rPr>
          <w:noProof/>
        </w:rPr>
        <w:drawing>
          <wp:inline distT="0" distB="0" distL="0" distR="0">
            <wp:extent cx="809625" cy="238125"/>
            <wp:effectExtent l="0" t="0" r="9525" b="9525"/>
            <wp:docPr id="66" name="图片 66" descr="C:\Users\ADMINI~1\AppData\Local\Temp\ksohtml\wps4B9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C:\Users\ADMINI~1\AppData\Local\Temp\ksohtml\wps4B92.tmp.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809625" cy="238125"/>
                    </a:xfrm>
                    <a:prstGeom prst="rect">
                      <a:avLst/>
                    </a:prstGeom>
                    <a:noFill/>
                    <a:ln>
                      <a:noFill/>
                    </a:ln>
                  </pic:spPr>
                </pic:pic>
              </a:graphicData>
            </a:graphic>
          </wp:inline>
        </w:drawing>
      </w:r>
      <w:r>
        <w:rPr>
          <w:rFonts w:ascii="宋体" w:hAnsi="宋体"/>
          <w:bCs/>
        </w:rPr>
        <w:t>为已知浓度分布；</w:t>
      </w:r>
      <w:r>
        <w:rPr>
          <w:noProof/>
        </w:rPr>
        <w:drawing>
          <wp:inline distT="0" distB="0" distL="0" distR="0">
            <wp:extent cx="142875" cy="238125"/>
            <wp:effectExtent l="0" t="0" r="9525" b="9525"/>
            <wp:docPr id="65" name="图片 65" descr="C:\Users\ADMINI~1\AppData\Local\Temp\ksohtml\wps4BA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Users\ADMINI~1\AppData\Local\Temp\ksohtml\wps4BA3.tmp.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142875" cy="238125"/>
                    </a:xfrm>
                    <a:prstGeom prst="rect">
                      <a:avLst/>
                    </a:prstGeom>
                    <a:noFill/>
                    <a:ln>
                      <a:noFill/>
                    </a:ln>
                  </pic:spPr>
                </pic:pic>
              </a:graphicData>
            </a:graphic>
          </wp:inline>
        </w:drawing>
      </w:r>
      <w:r>
        <w:rPr>
          <w:noProof/>
        </w:rPr>
        <w:drawing>
          <wp:inline distT="0" distB="0" distL="0" distR="0">
            <wp:extent cx="114300" cy="190500"/>
            <wp:effectExtent l="0" t="0" r="0" b="0"/>
            <wp:docPr id="64" name="图片 64" descr="C:\Users\ADMINI~1\AppData\Local\Temp\ksohtml\wps4BA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Users\ADMINI~1\AppData\Local\Temp\ksohtml\wps4BA4.tmp.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114300" cy="190500"/>
                    </a:xfrm>
                    <a:prstGeom prst="rect">
                      <a:avLst/>
                    </a:prstGeom>
                    <a:noFill/>
                    <a:ln>
                      <a:noFill/>
                    </a:ln>
                  </pic:spPr>
                </pic:pic>
              </a:graphicData>
            </a:graphic>
          </wp:inline>
        </w:drawing>
      </w:r>
      <w:r>
        <w:rPr>
          <w:rFonts w:ascii="宋体" w:hAnsi="宋体"/>
          <w:bCs/>
        </w:rPr>
        <w:t>为模型模拟区；</w:t>
      </w:r>
      <w:r>
        <w:rPr>
          <w:noProof/>
        </w:rPr>
        <w:drawing>
          <wp:inline distT="0" distB="0" distL="0" distR="0">
            <wp:extent cx="142875" cy="238125"/>
            <wp:effectExtent l="0" t="0" r="9525" b="9525"/>
            <wp:docPr id="63" name="图片 63" descr="C:\Users\ADMINI~1\AppData\Local\Temp\ksohtml\wps4BA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ADMINI~1\AppData\Local\Temp\ksohtml\wps4BA5.tmp.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142875" cy="238125"/>
                    </a:xfrm>
                    <a:prstGeom prst="rect">
                      <a:avLst/>
                    </a:prstGeom>
                    <a:noFill/>
                    <a:ln>
                      <a:noFill/>
                    </a:ln>
                  </pic:spPr>
                </pic:pic>
              </a:graphicData>
            </a:graphic>
          </wp:inline>
        </w:drawing>
      </w:r>
      <w:r>
        <w:rPr>
          <w:noProof/>
        </w:rPr>
        <w:drawing>
          <wp:inline distT="0" distB="0" distL="0" distR="0">
            <wp:extent cx="114300" cy="190500"/>
            <wp:effectExtent l="0" t="0" r="0" b="0"/>
            <wp:docPr id="62" name="图片 62" descr="C:\Users\ADMINI~1\AppData\Local\Temp\ksohtml\wps4BA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ADMINI~1\AppData\Local\Temp\ksohtml\wps4BA6.tmp.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114300" cy="190500"/>
                    </a:xfrm>
                    <a:prstGeom prst="rect">
                      <a:avLst/>
                    </a:prstGeom>
                    <a:noFill/>
                    <a:ln>
                      <a:noFill/>
                    </a:ln>
                  </pic:spPr>
                </pic:pic>
              </a:graphicData>
            </a:graphic>
          </wp:inline>
        </w:drawing>
      </w:r>
      <w:r>
        <w:rPr>
          <w:rFonts w:ascii="宋体" w:hAnsi="宋体"/>
          <w:bCs/>
        </w:rPr>
        <w:t>为给定浓度边界；</w:t>
      </w:r>
      <w:r>
        <w:rPr>
          <w:noProof/>
        </w:rPr>
        <w:drawing>
          <wp:inline distT="0" distB="0" distL="0" distR="0">
            <wp:extent cx="885825" cy="238125"/>
            <wp:effectExtent l="0" t="0" r="9525" b="9525"/>
            <wp:docPr id="61" name="图片 61" descr="C:\Users\ADMINI~1\AppData\Local\Temp\ksohtml\wps4BA7.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ADMINI~1\AppData\Local\Temp\ksohtml\wps4BA7.tmp.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885825" cy="238125"/>
                    </a:xfrm>
                    <a:prstGeom prst="rect">
                      <a:avLst/>
                    </a:prstGeom>
                    <a:noFill/>
                    <a:ln>
                      <a:noFill/>
                    </a:ln>
                  </pic:spPr>
                </pic:pic>
              </a:graphicData>
            </a:graphic>
          </wp:inline>
        </w:drawing>
      </w:r>
      <w:r>
        <w:rPr>
          <w:noProof/>
        </w:rPr>
        <w:drawing>
          <wp:inline distT="0" distB="0" distL="0" distR="0">
            <wp:extent cx="714375" cy="190500"/>
            <wp:effectExtent l="0" t="0" r="9525" b="0"/>
            <wp:docPr id="60" name="图片 60" descr="C:\Users\ADMINI~1\AppData\Local\Temp\ksohtml\wps4BA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ADMINI~1\AppData\Local\Temp\ksohtml\wps4BA8.tmp.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714375" cy="190500"/>
                    </a:xfrm>
                    <a:prstGeom prst="rect">
                      <a:avLst/>
                    </a:prstGeom>
                    <a:noFill/>
                    <a:ln>
                      <a:noFill/>
                    </a:ln>
                  </pic:spPr>
                </pic:pic>
              </a:graphicData>
            </a:graphic>
          </wp:inline>
        </w:drawing>
      </w:r>
      <w:r>
        <w:rPr>
          <w:rFonts w:ascii="宋体" w:hAnsi="宋体"/>
          <w:bCs/>
        </w:rPr>
        <w:t>为定浓度边界上的浓度分布；</w:t>
      </w:r>
      <w:r>
        <w:rPr>
          <w:noProof/>
        </w:rPr>
        <w:drawing>
          <wp:inline distT="0" distB="0" distL="0" distR="0">
            <wp:extent cx="152400" cy="238125"/>
            <wp:effectExtent l="0" t="0" r="0" b="9525"/>
            <wp:docPr id="59" name="图片 59" descr="C:\Users\ADMINI~1\AppData\Local\Temp\ksohtml\wps4BB9.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ADMINI~1\AppData\Local\Temp\ksohtml\wps4BB9.tmp.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52400" cy="238125"/>
                    </a:xfrm>
                    <a:prstGeom prst="rect">
                      <a:avLst/>
                    </a:prstGeom>
                    <a:noFill/>
                    <a:ln>
                      <a:noFill/>
                    </a:ln>
                  </pic:spPr>
                </pic:pic>
              </a:graphicData>
            </a:graphic>
          </wp:inline>
        </w:drawing>
      </w:r>
      <w:r>
        <w:rPr>
          <w:noProof/>
        </w:rPr>
        <w:drawing>
          <wp:inline distT="0" distB="0" distL="0" distR="0">
            <wp:extent cx="123825" cy="190500"/>
            <wp:effectExtent l="0" t="0" r="9525" b="0"/>
            <wp:docPr id="58" name="图片 58" descr="C:\Users\ADMINI~1\AppData\Local\Temp\ksohtml\wps4BB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ADMINI~1\AppData\Local\Temp\ksohtml\wps4BBA.tmp.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123825" cy="190500"/>
                    </a:xfrm>
                    <a:prstGeom prst="rect">
                      <a:avLst/>
                    </a:prstGeom>
                    <a:noFill/>
                    <a:ln>
                      <a:noFill/>
                    </a:ln>
                  </pic:spPr>
                </pic:pic>
              </a:graphicData>
            </a:graphic>
          </wp:inline>
        </w:drawing>
      </w:r>
      <w:r>
        <w:rPr>
          <w:rFonts w:ascii="宋体" w:hAnsi="宋体"/>
          <w:bCs/>
        </w:rPr>
        <w:t>为通量边界；</w:t>
      </w:r>
      <w:r>
        <w:rPr>
          <w:noProof/>
        </w:rPr>
        <w:drawing>
          <wp:inline distT="0" distB="0" distL="0" distR="0">
            <wp:extent cx="904875" cy="238125"/>
            <wp:effectExtent l="0" t="0" r="9525" b="9525"/>
            <wp:docPr id="57" name="图片 57" descr="C:\Users\ADMINI~1\AppData\Local\Temp\ksohtml\wps4BB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Users\ADMINI~1\AppData\Local\Temp\ksohtml\wps4BBB.tmp.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904875" cy="238125"/>
                    </a:xfrm>
                    <a:prstGeom prst="rect">
                      <a:avLst/>
                    </a:prstGeom>
                    <a:noFill/>
                    <a:ln>
                      <a:noFill/>
                    </a:ln>
                  </pic:spPr>
                </pic:pic>
              </a:graphicData>
            </a:graphic>
          </wp:inline>
        </w:drawing>
      </w:r>
      <w:r>
        <w:rPr>
          <w:noProof/>
        </w:rPr>
        <w:drawing>
          <wp:inline distT="0" distB="0" distL="0" distR="0">
            <wp:extent cx="723900" cy="190500"/>
            <wp:effectExtent l="0" t="0" r="0" b="0"/>
            <wp:docPr id="56" name="图片 56" descr="C:\Users\ADMINI~1\AppData\Local\Temp\ksohtml\wps4BB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Users\ADMINI~1\AppData\Local\Temp\ksohtml\wps4BBC.tmp.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723900" cy="190500"/>
                    </a:xfrm>
                    <a:prstGeom prst="rect">
                      <a:avLst/>
                    </a:prstGeom>
                    <a:noFill/>
                    <a:ln>
                      <a:noFill/>
                    </a:ln>
                  </pic:spPr>
                </pic:pic>
              </a:graphicData>
            </a:graphic>
          </wp:inline>
        </w:drawing>
      </w:r>
      <w:r>
        <w:rPr>
          <w:rFonts w:ascii="宋体" w:hAnsi="宋体"/>
          <w:bCs/>
        </w:rPr>
        <w:t>为边界</w:t>
      </w:r>
      <w:r>
        <w:rPr>
          <w:noProof/>
        </w:rPr>
        <w:drawing>
          <wp:inline distT="0" distB="0" distL="0" distR="0">
            <wp:extent cx="152400" cy="238125"/>
            <wp:effectExtent l="0" t="0" r="0" b="9525"/>
            <wp:docPr id="55" name="图片 55" descr="C:\Users\ADMINI~1\AppData\Local\Temp\ksohtml\wps4BB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ADMINI~1\AppData\Local\Temp\ksohtml\wps4BBD.tmp.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52400" cy="238125"/>
                    </a:xfrm>
                    <a:prstGeom prst="rect">
                      <a:avLst/>
                    </a:prstGeom>
                    <a:noFill/>
                    <a:ln>
                      <a:noFill/>
                    </a:ln>
                  </pic:spPr>
                </pic:pic>
              </a:graphicData>
            </a:graphic>
          </wp:inline>
        </w:drawing>
      </w:r>
      <w:r>
        <w:rPr>
          <w:noProof/>
        </w:rPr>
        <w:drawing>
          <wp:inline distT="0" distB="0" distL="0" distR="0">
            <wp:extent cx="123825" cy="190500"/>
            <wp:effectExtent l="0" t="0" r="9525" b="0"/>
            <wp:docPr id="54" name="图片 54" descr="C:\Users\ADMINI~1\AppData\Local\Temp\ksohtml\wps4BC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ADMINI~1\AppData\Local\Temp\ksohtml\wps4BCD.tmp.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123825" cy="190500"/>
                    </a:xfrm>
                    <a:prstGeom prst="rect">
                      <a:avLst/>
                    </a:prstGeom>
                    <a:noFill/>
                    <a:ln>
                      <a:noFill/>
                    </a:ln>
                  </pic:spPr>
                </pic:pic>
              </a:graphicData>
            </a:graphic>
          </wp:inline>
        </w:drawing>
      </w:r>
      <w:r>
        <w:rPr>
          <w:rFonts w:ascii="宋体" w:hAnsi="宋体"/>
          <w:bCs/>
        </w:rPr>
        <w:t>上已知的弥散通量函数。</w:t>
      </w:r>
    </w:p>
    <w:p w:rsidR="004E3021" w:rsidRDefault="00606E48">
      <w:pPr>
        <w:wordWrap w:val="0"/>
        <w:ind w:firstLine="480"/>
        <w:rPr>
          <w:b/>
          <w:bCs/>
        </w:rPr>
      </w:pPr>
      <w:r>
        <w:rPr>
          <w:rFonts w:ascii="宋体" w:hAnsi="宋体"/>
          <w:bCs/>
        </w:rPr>
        <w:t>（</w:t>
      </w:r>
      <w:r>
        <w:rPr>
          <w:bCs/>
        </w:rPr>
        <w:t>3</w:t>
      </w:r>
      <w:r>
        <w:rPr>
          <w:rFonts w:ascii="宋体" w:hAnsi="宋体"/>
          <w:bCs/>
        </w:rPr>
        <w:t>）数学模型求解</w:t>
      </w:r>
    </w:p>
    <w:p w:rsidR="004E3021" w:rsidRDefault="00606E48">
      <w:pPr>
        <w:wordWrap w:val="0"/>
        <w:ind w:firstLine="480"/>
        <w:rPr>
          <w:b/>
          <w:bCs/>
        </w:rPr>
      </w:pPr>
      <w:r>
        <w:rPr>
          <w:rFonts w:ascii="宋体" w:hAnsi="宋体"/>
          <w:bCs/>
        </w:rPr>
        <w:t>上述数学模型可用不同的数值法来求解。本次模拟计算，采用</w:t>
      </w:r>
      <w:r>
        <w:rPr>
          <w:bCs/>
        </w:rPr>
        <w:t>GMS</w:t>
      </w:r>
      <w:r>
        <w:rPr>
          <w:rFonts w:ascii="宋体" w:hAnsi="宋体"/>
          <w:bCs/>
        </w:rPr>
        <w:t>软件求解，用</w:t>
      </w:r>
      <w:r>
        <w:rPr>
          <w:bCs/>
        </w:rPr>
        <w:t>MODFLOW</w:t>
      </w:r>
      <w:r>
        <w:rPr>
          <w:rFonts w:ascii="宋体" w:hAnsi="宋体"/>
          <w:bCs/>
        </w:rPr>
        <w:t>计算模块求解地下水水流运动数学模型，用</w:t>
      </w:r>
      <w:r>
        <w:rPr>
          <w:bCs/>
        </w:rPr>
        <w:t>MT3DMS</w:t>
      </w:r>
      <w:r>
        <w:rPr>
          <w:rFonts w:ascii="宋体" w:hAnsi="宋体"/>
          <w:bCs/>
        </w:rPr>
        <w:t>模块求解地下水污染物运移数学模型。</w:t>
      </w:r>
    </w:p>
    <w:p w:rsidR="004E3021" w:rsidRDefault="00606E48">
      <w:pPr>
        <w:pStyle w:val="afffffffffffffffff4"/>
      </w:pPr>
      <w:bookmarkStart w:id="479" w:name="_Toc52175557"/>
      <w:bookmarkStart w:id="480" w:name="_Toc108662666"/>
      <w:bookmarkStart w:id="481" w:name="_Toc100784057"/>
      <w:bookmarkStart w:id="482" w:name="_Toc101135889"/>
      <w:bookmarkStart w:id="483" w:name="_Toc221088821"/>
      <w:bookmarkStart w:id="484" w:name="_Toc221501036"/>
      <w:bookmarkEnd w:id="479"/>
      <w:r>
        <w:rPr>
          <w:rFonts w:hint="eastAsia"/>
        </w:rPr>
        <w:t>5.5.7</w:t>
      </w:r>
      <w:r>
        <w:rPr>
          <w:rFonts w:ascii="黑体" w:hAnsi="黑体" w:hint="eastAsia"/>
        </w:rPr>
        <w:t>模型参数</w:t>
      </w:r>
      <w:bookmarkEnd w:id="480"/>
      <w:bookmarkEnd w:id="481"/>
      <w:bookmarkEnd w:id="482"/>
      <w:bookmarkEnd w:id="483"/>
      <w:bookmarkEnd w:id="484"/>
    </w:p>
    <w:p w:rsidR="004E3021" w:rsidRDefault="00606E48">
      <w:pPr>
        <w:ind w:firstLine="480"/>
        <w:rPr>
          <w:bCs/>
        </w:rPr>
      </w:pPr>
      <w:r>
        <w:rPr>
          <w:rFonts w:ascii="宋体" w:hAnsi="宋体"/>
          <w:bCs/>
        </w:rPr>
        <w:t>（</w:t>
      </w:r>
      <w:r>
        <w:rPr>
          <w:bCs/>
        </w:rPr>
        <w:t>1</w:t>
      </w:r>
      <w:r>
        <w:rPr>
          <w:rFonts w:ascii="宋体" w:hAnsi="宋体"/>
          <w:bCs/>
        </w:rPr>
        <w:t>）渗透系数计算</w:t>
      </w:r>
    </w:p>
    <w:p w:rsidR="004E3021" w:rsidRDefault="00606E48">
      <w:pPr>
        <w:ind w:firstLine="480"/>
        <w:rPr>
          <w:bCs/>
        </w:rPr>
      </w:pPr>
      <w:r>
        <w:rPr>
          <w:rFonts w:ascii="宋体" w:hAnsi="宋体"/>
          <w:bCs/>
        </w:rPr>
        <w:t>根据导则附录表</w:t>
      </w:r>
      <w:r>
        <w:rPr>
          <w:bCs/>
        </w:rPr>
        <w:t>B.1</w:t>
      </w:r>
      <w:r>
        <w:rPr>
          <w:rFonts w:ascii="宋体" w:hAnsi="宋体"/>
          <w:bCs/>
        </w:rPr>
        <w:t>，研究区</w:t>
      </w:r>
      <w:r>
        <w:rPr>
          <w:rFonts w:ascii="宋体" w:hAnsi="宋体" w:hint="eastAsia"/>
          <w:bCs/>
        </w:rPr>
        <w:t>第一层以粘土、粉质粘土、粘土夹砂和薄层粉细砂</w:t>
      </w:r>
      <w:r>
        <w:rPr>
          <w:rFonts w:ascii="宋体" w:hAnsi="宋体"/>
          <w:bCs/>
        </w:rPr>
        <w:t>，</w:t>
      </w:r>
      <w:r>
        <w:rPr>
          <w:rFonts w:ascii="宋体" w:hAnsi="宋体"/>
          <w:bCs/>
        </w:rPr>
        <w:lastRenderedPageBreak/>
        <w:t>取值范围设定为</w:t>
      </w:r>
      <w:r>
        <w:rPr>
          <w:rFonts w:hint="eastAsia"/>
          <w:bCs/>
        </w:rPr>
        <w:t>0.5</w:t>
      </w:r>
      <w:r>
        <w:rPr>
          <w:bCs/>
        </w:rPr>
        <w:t>~</w:t>
      </w:r>
      <w:r>
        <w:rPr>
          <w:rFonts w:hint="eastAsia"/>
          <w:bCs/>
        </w:rPr>
        <w:t>1.5</w:t>
      </w:r>
      <w:r>
        <w:rPr>
          <w:bCs/>
        </w:rPr>
        <w:t>m/d</w:t>
      </w:r>
      <w:r>
        <w:rPr>
          <w:rFonts w:ascii="宋体" w:hAnsi="宋体"/>
          <w:bCs/>
        </w:rPr>
        <w:t>，第</w:t>
      </w:r>
      <w:r>
        <w:rPr>
          <w:rFonts w:ascii="宋体" w:hAnsi="宋体" w:hint="eastAsia"/>
          <w:bCs/>
        </w:rPr>
        <w:t>二</w:t>
      </w:r>
      <w:r>
        <w:rPr>
          <w:rFonts w:ascii="宋体" w:hAnsi="宋体"/>
          <w:bCs/>
        </w:rPr>
        <w:t>层</w:t>
      </w:r>
      <w:r>
        <w:rPr>
          <w:rFonts w:ascii="宋体" w:hAnsi="宋体" w:hint="eastAsia"/>
          <w:bCs/>
        </w:rPr>
        <w:t>为粘土</w:t>
      </w:r>
      <w:r>
        <w:rPr>
          <w:rFonts w:ascii="宋体" w:hAnsi="宋体"/>
          <w:bCs/>
        </w:rPr>
        <w:t>，取值范围设定为</w:t>
      </w:r>
      <w:r>
        <w:rPr>
          <w:rFonts w:hint="eastAsia"/>
          <w:bCs/>
        </w:rPr>
        <w:t>0.1</w:t>
      </w:r>
      <w:r>
        <w:rPr>
          <w:bCs/>
        </w:rPr>
        <w:t>~</w:t>
      </w:r>
      <w:r>
        <w:rPr>
          <w:rFonts w:hint="eastAsia"/>
          <w:bCs/>
        </w:rPr>
        <w:t>0.25</w:t>
      </w:r>
      <w:r>
        <w:rPr>
          <w:bCs/>
        </w:rPr>
        <w:t>m/d</w:t>
      </w:r>
      <w:r>
        <w:rPr>
          <w:rFonts w:ascii="宋体" w:hAnsi="宋体" w:hint="eastAsia"/>
          <w:bCs/>
        </w:rPr>
        <w:t>；第三层为粉细砂</w:t>
      </w:r>
      <w:r>
        <w:rPr>
          <w:bCs/>
        </w:rPr>
        <w:t>-</w:t>
      </w:r>
      <w:r>
        <w:rPr>
          <w:rFonts w:ascii="宋体" w:hAnsi="宋体" w:hint="eastAsia"/>
          <w:bCs/>
        </w:rPr>
        <w:t>中砂、粘土夹砂组，</w:t>
      </w:r>
      <w:r>
        <w:rPr>
          <w:rFonts w:ascii="宋体" w:hAnsi="宋体"/>
          <w:bCs/>
        </w:rPr>
        <w:t>取值范围设定为</w:t>
      </w:r>
      <w:r>
        <w:rPr>
          <w:rFonts w:hint="eastAsia"/>
          <w:bCs/>
        </w:rPr>
        <w:t>1</w:t>
      </w:r>
      <w:r>
        <w:rPr>
          <w:bCs/>
        </w:rPr>
        <w:t>~</w:t>
      </w:r>
      <w:r>
        <w:rPr>
          <w:rFonts w:hint="eastAsia"/>
          <w:bCs/>
        </w:rPr>
        <w:t>25</w:t>
      </w:r>
      <w:r>
        <w:rPr>
          <w:bCs/>
        </w:rPr>
        <w:t>m/d</w:t>
      </w:r>
      <w:r>
        <w:rPr>
          <w:rFonts w:ascii="宋体" w:hAnsi="宋体" w:hint="eastAsia"/>
          <w:bCs/>
        </w:rPr>
        <w:t>；第四层为粘土</w:t>
      </w:r>
      <w:r>
        <w:rPr>
          <w:rFonts w:ascii="宋体" w:hAnsi="宋体"/>
          <w:bCs/>
        </w:rPr>
        <w:t>，取值范围设定为</w:t>
      </w:r>
      <w:r>
        <w:rPr>
          <w:rFonts w:hint="eastAsia"/>
          <w:bCs/>
        </w:rPr>
        <w:t>0.1</w:t>
      </w:r>
      <w:r>
        <w:rPr>
          <w:bCs/>
        </w:rPr>
        <w:t>~</w:t>
      </w:r>
      <w:r>
        <w:rPr>
          <w:rFonts w:hint="eastAsia"/>
          <w:bCs/>
        </w:rPr>
        <w:t>0.25</w:t>
      </w:r>
      <w:r>
        <w:rPr>
          <w:bCs/>
        </w:rPr>
        <w:t>m/d</w:t>
      </w:r>
      <w:r>
        <w:rPr>
          <w:rFonts w:ascii="宋体" w:hAnsi="宋体"/>
          <w:bCs/>
        </w:rPr>
        <w:t>。垂向渗透系数与水平渗透系数比值设置为</w:t>
      </w:r>
      <w:r>
        <w:rPr>
          <w:bCs/>
        </w:rPr>
        <w:t>0.</w:t>
      </w:r>
      <w:r>
        <w:rPr>
          <w:rFonts w:hint="eastAsia"/>
          <w:bCs/>
        </w:rPr>
        <w:t>2</w:t>
      </w:r>
      <w:r>
        <w:rPr>
          <w:rFonts w:ascii="宋体" w:hAnsi="宋体"/>
          <w:bCs/>
        </w:rPr>
        <w:t>。</w:t>
      </w:r>
    </w:p>
    <w:p w:rsidR="004E3021" w:rsidRDefault="00606E48">
      <w:pPr>
        <w:pStyle w:val="afffff4"/>
        <w:ind w:firstLine="480"/>
      </w:pPr>
      <w:bookmarkStart w:id="485" w:name="_Toc1514_WPSOffice_Level2"/>
      <w:bookmarkEnd w:id="485"/>
      <w:r>
        <w:rPr>
          <w:rFonts w:ascii="黑体" w:hAnsi="黑体"/>
        </w:rPr>
        <w:t>表</w:t>
      </w:r>
      <w:r>
        <w:rPr>
          <w:rFonts w:hint="eastAsia"/>
        </w:rPr>
        <w:t>5</w:t>
      </w:r>
      <w:r>
        <w:t>.</w:t>
      </w:r>
      <w:r>
        <w:rPr>
          <w:rFonts w:hint="eastAsia"/>
        </w:rPr>
        <w:t>5.7</w:t>
      </w:r>
      <w:r>
        <w:t>-</w:t>
      </w:r>
      <w:r>
        <w:rPr>
          <w:rFonts w:hint="eastAsia"/>
        </w:rPr>
        <w:t xml:space="preserve">1 </w:t>
      </w:r>
      <w:r>
        <w:t xml:space="preserve"> </w:t>
      </w:r>
      <w:r>
        <w:rPr>
          <w:rFonts w:ascii="黑体" w:hAnsi="黑体"/>
        </w:rPr>
        <w:t>岩土渗透系数参考值</w:t>
      </w:r>
    </w:p>
    <w:tbl>
      <w:tblPr>
        <w:tblW w:w="5000" w:type="pct"/>
        <w:jc w:val="center"/>
        <w:tblLook w:val="04A0" w:firstRow="1" w:lastRow="0" w:firstColumn="1" w:lastColumn="0" w:noHBand="0" w:noVBand="1"/>
      </w:tblPr>
      <w:tblGrid>
        <w:gridCol w:w="3775"/>
        <w:gridCol w:w="5252"/>
      </w:tblGrid>
      <w:tr w:rsidR="004E3021" w:rsidRPr="00BC57D1">
        <w:trPr>
          <w:jc w:val="center"/>
        </w:trPr>
        <w:tc>
          <w:tcPr>
            <w:tcW w:w="2091" w:type="pct"/>
            <w:tcBorders>
              <w:top w:val="single" w:sz="12" w:space="0" w:color="auto"/>
              <w:left w:val="nil"/>
              <w:bottom w:val="single" w:sz="4" w:space="0" w:color="auto"/>
              <w:right w:val="single" w:sz="4" w:space="0" w:color="auto"/>
            </w:tcBorders>
          </w:tcPr>
          <w:p w:rsidR="004E3021" w:rsidRPr="00BC57D1" w:rsidRDefault="00606E48">
            <w:pPr>
              <w:pStyle w:val="afffffff2"/>
              <w:rPr>
                <w:b/>
                <w:kern w:val="0"/>
                <w:sz w:val="21"/>
                <w:szCs w:val="21"/>
              </w:rPr>
            </w:pPr>
            <w:r w:rsidRPr="00BC57D1">
              <w:rPr>
                <w:b/>
                <w:kern w:val="0"/>
                <w:sz w:val="21"/>
                <w:szCs w:val="21"/>
              </w:rPr>
              <w:t>岩性</w:t>
            </w:r>
          </w:p>
        </w:tc>
        <w:tc>
          <w:tcPr>
            <w:tcW w:w="2909" w:type="pct"/>
            <w:tcBorders>
              <w:top w:val="single" w:sz="12" w:space="0" w:color="auto"/>
              <w:left w:val="single" w:sz="4" w:space="0" w:color="auto"/>
              <w:bottom w:val="single" w:sz="4" w:space="0" w:color="auto"/>
              <w:right w:val="nil"/>
            </w:tcBorders>
          </w:tcPr>
          <w:p w:rsidR="004E3021" w:rsidRPr="00BC57D1" w:rsidRDefault="00606E48">
            <w:pPr>
              <w:pStyle w:val="afffffff2"/>
              <w:rPr>
                <w:b/>
                <w:kern w:val="0"/>
                <w:sz w:val="21"/>
                <w:szCs w:val="21"/>
              </w:rPr>
            </w:pPr>
            <w:r w:rsidRPr="00BC57D1">
              <w:rPr>
                <w:b/>
                <w:kern w:val="0"/>
                <w:sz w:val="21"/>
                <w:szCs w:val="21"/>
              </w:rPr>
              <w:t>渗透系数</w:t>
            </w:r>
            <w:r w:rsidRPr="00BC57D1">
              <w:rPr>
                <w:b/>
                <w:kern w:val="0"/>
                <w:sz w:val="21"/>
                <w:szCs w:val="21"/>
              </w:rPr>
              <w:t>K</w:t>
            </w:r>
            <w:r w:rsidRPr="00BC57D1">
              <w:rPr>
                <w:b/>
                <w:kern w:val="0"/>
                <w:sz w:val="21"/>
                <w:szCs w:val="21"/>
              </w:rPr>
              <w:t>（</w:t>
            </w:r>
            <w:r w:rsidRPr="00BC57D1">
              <w:rPr>
                <w:b/>
                <w:kern w:val="0"/>
                <w:sz w:val="21"/>
                <w:szCs w:val="21"/>
              </w:rPr>
              <w:t>m/d</w:t>
            </w:r>
            <w:r w:rsidRPr="00BC57D1">
              <w:rPr>
                <w:b/>
                <w:kern w:val="0"/>
                <w:sz w:val="21"/>
                <w:szCs w:val="21"/>
              </w:rPr>
              <w:t>）</w:t>
            </w:r>
          </w:p>
        </w:tc>
      </w:tr>
      <w:tr w:rsidR="004E3021" w:rsidRPr="00BC57D1">
        <w:trPr>
          <w:jc w:val="center"/>
        </w:trPr>
        <w:tc>
          <w:tcPr>
            <w:tcW w:w="209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轻亚黏土</w:t>
            </w:r>
          </w:p>
        </w:tc>
        <w:tc>
          <w:tcPr>
            <w:tcW w:w="2909"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0.05-0.1</w:t>
            </w:r>
          </w:p>
        </w:tc>
      </w:tr>
      <w:tr w:rsidR="004E3021" w:rsidRPr="00BC57D1">
        <w:trPr>
          <w:jc w:val="center"/>
        </w:trPr>
        <w:tc>
          <w:tcPr>
            <w:tcW w:w="209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亚黏土</w:t>
            </w:r>
          </w:p>
        </w:tc>
        <w:tc>
          <w:tcPr>
            <w:tcW w:w="2909"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0.1-0.25</w:t>
            </w:r>
          </w:p>
        </w:tc>
      </w:tr>
      <w:tr w:rsidR="004E3021" w:rsidRPr="00BC57D1">
        <w:trPr>
          <w:jc w:val="center"/>
        </w:trPr>
        <w:tc>
          <w:tcPr>
            <w:tcW w:w="209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黄土</w:t>
            </w:r>
          </w:p>
        </w:tc>
        <w:tc>
          <w:tcPr>
            <w:tcW w:w="2909"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0.25-0.5</w:t>
            </w:r>
          </w:p>
        </w:tc>
      </w:tr>
      <w:tr w:rsidR="004E3021" w:rsidRPr="00BC57D1">
        <w:trPr>
          <w:jc w:val="center"/>
        </w:trPr>
        <w:tc>
          <w:tcPr>
            <w:tcW w:w="209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粉土质砂</w:t>
            </w:r>
          </w:p>
        </w:tc>
        <w:tc>
          <w:tcPr>
            <w:tcW w:w="2909"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0.5-1.0</w:t>
            </w:r>
          </w:p>
        </w:tc>
      </w:tr>
      <w:tr w:rsidR="004E3021" w:rsidRPr="00BC57D1">
        <w:trPr>
          <w:jc w:val="center"/>
        </w:trPr>
        <w:tc>
          <w:tcPr>
            <w:tcW w:w="209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粉砂</w:t>
            </w:r>
          </w:p>
        </w:tc>
        <w:tc>
          <w:tcPr>
            <w:tcW w:w="2909"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1.0-1.5</w:t>
            </w:r>
          </w:p>
        </w:tc>
      </w:tr>
      <w:tr w:rsidR="004E3021" w:rsidRPr="00BC57D1">
        <w:trPr>
          <w:jc w:val="center"/>
        </w:trPr>
        <w:tc>
          <w:tcPr>
            <w:tcW w:w="209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细砂</w:t>
            </w:r>
          </w:p>
        </w:tc>
        <w:tc>
          <w:tcPr>
            <w:tcW w:w="2909"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5-10</w:t>
            </w:r>
          </w:p>
        </w:tc>
      </w:tr>
      <w:tr w:rsidR="004E3021" w:rsidRPr="00BC57D1">
        <w:trPr>
          <w:jc w:val="center"/>
        </w:trPr>
        <w:tc>
          <w:tcPr>
            <w:tcW w:w="209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中砂</w:t>
            </w:r>
          </w:p>
        </w:tc>
        <w:tc>
          <w:tcPr>
            <w:tcW w:w="2909"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10-25</w:t>
            </w:r>
          </w:p>
        </w:tc>
      </w:tr>
      <w:tr w:rsidR="004E3021" w:rsidRPr="00BC57D1">
        <w:trPr>
          <w:jc w:val="center"/>
        </w:trPr>
        <w:tc>
          <w:tcPr>
            <w:tcW w:w="209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粗砂</w:t>
            </w:r>
          </w:p>
        </w:tc>
        <w:tc>
          <w:tcPr>
            <w:tcW w:w="2909"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25-50</w:t>
            </w:r>
          </w:p>
        </w:tc>
      </w:tr>
      <w:tr w:rsidR="004E3021" w:rsidRPr="00BC57D1">
        <w:trPr>
          <w:jc w:val="center"/>
        </w:trPr>
        <w:tc>
          <w:tcPr>
            <w:tcW w:w="209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砾砂</w:t>
            </w:r>
          </w:p>
        </w:tc>
        <w:tc>
          <w:tcPr>
            <w:tcW w:w="2909"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50-100</w:t>
            </w:r>
          </w:p>
        </w:tc>
      </w:tr>
      <w:tr w:rsidR="004E3021" w:rsidRPr="00BC57D1">
        <w:trPr>
          <w:jc w:val="center"/>
        </w:trPr>
        <w:tc>
          <w:tcPr>
            <w:tcW w:w="209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圆砂</w:t>
            </w:r>
          </w:p>
        </w:tc>
        <w:tc>
          <w:tcPr>
            <w:tcW w:w="2909"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75-150</w:t>
            </w:r>
          </w:p>
        </w:tc>
      </w:tr>
      <w:tr w:rsidR="004E3021" w:rsidRPr="00BC57D1">
        <w:trPr>
          <w:jc w:val="center"/>
        </w:trPr>
        <w:tc>
          <w:tcPr>
            <w:tcW w:w="209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卵石</w:t>
            </w:r>
          </w:p>
        </w:tc>
        <w:tc>
          <w:tcPr>
            <w:tcW w:w="2909"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100-200</w:t>
            </w:r>
          </w:p>
        </w:tc>
      </w:tr>
      <w:tr w:rsidR="004E3021" w:rsidRPr="00BC57D1">
        <w:trPr>
          <w:jc w:val="center"/>
        </w:trPr>
        <w:tc>
          <w:tcPr>
            <w:tcW w:w="209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块石</w:t>
            </w:r>
          </w:p>
        </w:tc>
        <w:tc>
          <w:tcPr>
            <w:tcW w:w="2909"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200-500</w:t>
            </w:r>
          </w:p>
        </w:tc>
      </w:tr>
      <w:tr w:rsidR="004E3021" w:rsidRPr="00BC57D1">
        <w:trPr>
          <w:jc w:val="center"/>
        </w:trPr>
        <w:tc>
          <w:tcPr>
            <w:tcW w:w="2091" w:type="pct"/>
            <w:tcBorders>
              <w:top w:val="single" w:sz="4" w:space="0" w:color="auto"/>
              <w:left w:val="nil"/>
              <w:bottom w:val="single" w:sz="12"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漂石</w:t>
            </w:r>
          </w:p>
        </w:tc>
        <w:tc>
          <w:tcPr>
            <w:tcW w:w="2909" w:type="pct"/>
            <w:tcBorders>
              <w:top w:val="single" w:sz="4" w:space="0" w:color="auto"/>
              <w:left w:val="single" w:sz="4" w:space="0" w:color="auto"/>
              <w:bottom w:val="single" w:sz="12" w:space="0" w:color="auto"/>
              <w:right w:val="nil"/>
            </w:tcBorders>
          </w:tcPr>
          <w:p w:rsidR="004E3021" w:rsidRPr="00BC57D1" w:rsidRDefault="00606E48">
            <w:pPr>
              <w:pStyle w:val="afffffff2"/>
              <w:rPr>
                <w:kern w:val="0"/>
                <w:sz w:val="21"/>
                <w:szCs w:val="21"/>
              </w:rPr>
            </w:pPr>
            <w:r w:rsidRPr="00BC57D1">
              <w:rPr>
                <w:kern w:val="0"/>
                <w:sz w:val="21"/>
                <w:szCs w:val="21"/>
              </w:rPr>
              <w:t>500-1000</w:t>
            </w:r>
          </w:p>
        </w:tc>
      </w:tr>
    </w:tbl>
    <w:p w:rsidR="004E3021" w:rsidRDefault="00606E48">
      <w:pPr>
        <w:wordWrap w:val="0"/>
        <w:ind w:firstLine="480"/>
        <w:rPr>
          <w:b/>
          <w:bCs/>
        </w:rPr>
      </w:pPr>
      <w:bookmarkStart w:id="486" w:name="_Toc24452_WPSOffice_Level3"/>
      <w:bookmarkEnd w:id="486"/>
      <w:r>
        <w:rPr>
          <w:rFonts w:ascii="宋体" w:hAnsi="宋体"/>
          <w:bCs/>
        </w:rPr>
        <w:t>（</w:t>
      </w:r>
      <w:r>
        <w:rPr>
          <w:rFonts w:hint="eastAsia"/>
          <w:bCs/>
        </w:rPr>
        <w:t>2</w:t>
      </w:r>
      <w:r>
        <w:rPr>
          <w:rFonts w:ascii="宋体" w:hAnsi="宋体"/>
          <w:bCs/>
        </w:rPr>
        <w:t>）给水度的确定</w:t>
      </w:r>
    </w:p>
    <w:p w:rsidR="004E3021" w:rsidRDefault="00606E48">
      <w:pPr>
        <w:wordWrap w:val="0"/>
        <w:ind w:firstLine="480"/>
        <w:rPr>
          <w:bCs/>
        </w:rPr>
      </w:pPr>
      <w:r>
        <w:rPr>
          <w:rFonts w:ascii="宋体" w:hAnsi="宋体"/>
          <w:bCs/>
        </w:rPr>
        <w:t>根据导则附录表</w:t>
      </w:r>
      <w:r>
        <w:rPr>
          <w:bCs/>
        </w:rPr>
        <w:t>B.2</w:t>
      </w:r>
      <w:r>
        <w:rPr>
          <w:rFonts w:ascii="宋体" w:hAnsi="宋体"/>
          <w:bCs/>
        </w:rPr>
        <w:t>，研究区</w:t>
      </w:r>
      <w:r>
        <w:rPr>
          <w:rFonts w:ascii="宋体" w:hAnsi="宋体" w:hint="eastAsia"/>
          <w:bCs/>
        </w:rPr>
        <w:t>第一层以粘土、粉质粘土、粘土夹砂和薄层粉细砂</w:t>
      </w:r>
      <w:r>
        <w:rPr>
          <w:rFonts w:ascii="宋体" w:hAnsi="宋体"/>
          <w:bCs/>
        </w:rPr>
        <w:t>，取值范围设定为</w:t>
      </w:r>
      <w:r>
        <w:rPr>
          <w:rFonts w:hint="eastAsia"/>
          <w:bCs/>
        </w:rPr>
        <w:t>0.03</w:t>
      </w:r>
      <w:r>
        <w:rPr>
          <w:bCs/>
        </w:rPr>
        <w:t>~</w:t>
      </w:r>
      <w:r>
        <w:rPr>
          <w:rFonts w:hint="eastAsia"/>
          <w:bCs/>
        </w:rPr>
        <w:t>0.28</w:t>
      </w:r>
      <w:r>
        <w:rPr>
          <w:rFonts w:ascii="宋体" w:hAnsi="宋体"/>
          <w:bCs/>
        </w:rPr>
        <w:t>，第</w:t>
      </w:r>
      <w:r>
        <w:rPr>
          <w:rFonts w:ascii="宋体" w:hAnsi="宋体" w:hint="eastAsia"/>
          <w:bCs/>
        </w:rPr>
        <w:t>二</w:t>
      </w:r>
      <w:r>
        <w:rPr>
          <w:rFonts w:ascii="宋体" w:hAnsi="宋体"/>
          <w:bCs/>
        </w:rPr>
        <w:t>层</w:t>
      </w:r>
      <w:r>
        <w:rPr>
          <w:rFonts w:ascii="宋体" w:hAnsi="宋体" w:hint="eastAsia"/>
          <w:bCs/>
        </w:rPr>
        <w:t>为粘土</w:t>
      </w:r>
      <w:r>
        <w:rPr>
          <w:rFonts w:ascii="宋体" w:hAnsi="宋体"/>
          <w:bCs/>
        </w:rPr>
        <w:t>，取值范围设定为</w:t>
      </w:r>
      <w:r>
        <w:rPr>
          <w:rFonts w:hint="eastAsia"/>
          <w:bCs/>
        </w:rPr>
        <w:t>0.03</w:t>
      </w:r>
      <w:r>
        <w:rPr>
          <w:bCs/>
        </w:rPr>
        <w:t>~</w:t>
      </w:r>
      <w:r>
        <w:rPr>
          <w:rFonts w:hint="eastAsia"/>
          <w:bCs/>
        </w:rPr>
        <w:t>0.12</w:t>
      </w:r>
      <w:r>
        <w:rPr>
          <w:rFonts w:ascii="宋体" w:hAnsi="宋体" w:hint="eastAsia"/>
          <w:bCs/>
        </w:rPr>
        <w:t>；第三层为粉细砂</w:t>
      </w:r>
      <w:r>
        <w:rPr>
          <w:bCs/>
        </w:rPr>
        <w:t>-</w:t>
      </w:r>
      <w:r>
        <w:rPr>
          <w:rFonts w:ascii="宋体" w:hAnsi="宋体" w:hint="eastAsia"/>
          <w:bCs/>
        </w:rPr>
        <w:t>中砂、粘土夹砂组，</w:t>
      </w:r>
      <w:r>
        <w:rPr>
          <w:rFonts w:ascii="宋体" w:hAnsi="宋体"/>
          <w:bCs/>
        </w:rPr>
        <w:t>取值范围设定为</w:t>
      </w:r>
      <w:r>
        <w:rPr>
          <w:rFonts w:hint="eastAsia"/>
          <w:bCs/>
        </w:rPr>
        <w:t>0.05</w:t>
      </w:r>
      <w:r>
        <w:rPr>
          <w:bCs/>
        </w:rPr>
        <w:t>~</w:t>
      </w:r>
      <w:r>
        <w:rPr>
          <w:rFonts w:hint="eastAsia"/>
          <w:bCs/>
        </w:rPr>
        <w:t>0.32</w:t>
      </w:r>
      <w:r>
        <w:rPr>
          <w:rFonts w:ascii="宋体" w:hAnsi="宋体" w:hint="eastAsia"/>
          <w:bCs/>
        </w:rPr>
        <w:t>；第四层为粘土</w:t>
      </w:r>
      <w:r>
        <w:rPr>
          <w:rFonts w:ascii="宋体" w:hAnsi="宋体"/>
          <w:bCs/>
        </w:rPr>
        <w:t>，取值范围设定为</w:t>
      </w:r>
      <w:r>
        <w:rPr>
          <w:rFonts w:hint="eastAsia"/>
          <w:bCs/>
        </w:rPr>
        <w:t>0.03</w:t>
      </w:r>
      <w:r>
        <w:rPr>
          <w:bCs/>
        </w:rPr>
        <w:t>~</w:t>
      </w:r>
      <w:r>
        <w:rPr>
          <w:rFonts w:hint="eastAsia"/>
          <w:bCs/>
        </w:rPr>
        <w:t>0.12</w:t>
      </w:r>
      <w:r>
        <w:rPr>
          <w:rFonts w:ascii="宋体" w:hAnsi="宋体"/>
          <w:bCs/>
        </w:rPr>
        <w:t>。</w:t>
      </w:r>
    </w:p>
    <w:p w:rsidR="004E3021" w:rsidRDefault="004E3021">
      <w:pPr>
        <w:widowControl/>
        <w:ind w:firstLineChars="0" w:firstLine="0"/>
        <w:jc w:val="left"/>
        <w:rPr>
          <w:rFonts w:eastAsia="黑体"/>
        </w:rPr>
        <w:sectPr w:rsidR="004E3021">
          <w:pgSz w:w="11907" w:h="16840"/>
          <w:pgMar w:top="1440" w:right="1440" w:bottom="1440" w:left="1440" w:header="851" w:footer="992" w:gutter="0"/>
          <w:cols w:space="720"/>
          <w:docGrid w:type="lines" w:linePitch="326"/>
        </w:sectPr>
      </w:pPr>
    </w:p>
    <w:p w:rsidR="004E3021" w:rsidRDefault="00606E48">
      <w:pPr>
        <w:pStyle w:val="afffff4"/>
        <w:ind w:firstLine="480"/>
        <w:rPr>
          <w:b/>
        </w:rPr>
      </w:pPr>
      <w:r>
        <w:rPr>
          <w:rFonts w:ascii="黑体" w:hAnsi="黑体"/>
        </w:rPr>
        <w:lastRenderedPageBreak/>
        <w:t>表</w:t>
      </w:r>
      <w:r>
        <w:rPr>
          <w:rFonts w:hint="eastAsia"/>
        </w:rPr>
        <w:t>5</w:t>
      </w:r>
      <w:r>
        <w:t>.5</w:t>
      </w:r>
      <w:r>
        <w:rPr>
          <w:rFonts w:hint="eastAsia"/>
        </w:rPr>
        <w:t>.</w:t>
      </w:r>
      <w:r>
        <w:t>7-</w:t>
      </w:r>
      <w:r>
        <w:rPr>
          <w:rFonts w:hint="eastAsia"/>
        </w:rPr>
        <w:t xml:space="preserve">2  </w:t>
      </w:r>
      <w:r>
        <w:rPr>
          <w:rFonts w:ascii="黑体" w:hAnsi="黑体"/>
        </w:rPr>
        <w:t>松散岩石给水度参考值</w:t>
      </w:r>
    </w:p>
    <w:tbl>
      <w:tblPr>
        <w:tblStyle w:val="1ffffffd"/>
        <w:tblW w:w="5000" w:type="pct"/>
        <w:tblLook w:val="04A0" w:firstRow="1" w:lastRow="0" w:firstColumn="1" w:lastColumn="0" w:noHBand="0" w:noVBand="1"/>
      </w:tblPr>
      <w:tblGrid>
        <w:gridCol w:w="3009"/>
        <w:gridCol w:w="3008"/>
        <w:gridCol w:w="3010"/>
      </w:tblGrid>
      <w:tr w:rsidR="004E3021" w:rsidRPr="00BC57D1" w:rsidTr="00BC57D1">
        <w:tc>
          <w:tcPr>
            <w:tcW w:w="1666" w:type="pct"/>
            <w:vAlign w:val="center"/>
          </w:tcPr>
          <w:p w:rsidR="004E3021" w:rsidRPr="00BC57D1" w:rsidRDefault="00606E48" w:rsidP="00BC57D1">
            <w:pPr>
              <w:pStyle w:val="afffffff2"/>
              <w:rPr>
                <w:rFonts w:ascii="Times New Roman" w:hAnsi="Times New Roman" w:cs="Times New Roman"/>
                <w:b/>
                <w:kern w:val="0"/>
                <w:sz w:val="21"/>
                <w:szCs w:val="21"/>
              </w:rPr>
            </w:pPr>
            <w:r w:rsidRPr="00BC57D1">
              <w:rPr>
                <w:rFonts w:ascii="Times New Roman" w:hAnsi="Times New Roman" w:cs="Times New Roman"/>
                <w:b/>
                <w:kern w:val="0"/>
                <w:sz w:val="21"/>
                <w:szCs w:val="21"/>
              </w:rPr>
              <w:t>岩石名称</w:t>
            </w:r>
          </w:p>
        </w:tc>
        <w:tc>
          <w:tcPr>
            <w:tcW w:w="1666" w:type="pct"/>
            <w:vAlign w:val="center"/>
          </w:tcPr>
          <w:p w:rsidR="004E3021" w:rsidRPr="00BC57D1" w:rsidRDefault="00606E48" w:rsidP="00BC57D1">
            <w:pPr>
              <w:pStyle w:val="afffffff2"/>
              <w:rPr>
                <w:rFonts w:ascii="Times New Roman" w:hAnsi="Times New Roman" w:cs="Times New Roman"/>
                <w:b/>
                <w:kern w:val="0"/>
                <w:sz w:val="21"/>
                <w:szCs w:val="21"/>
              </w:rPr>
            </w:pPr>
            <w:r w:rsidRPr="00BC57D1">
              <w:rPr>
                <w:rFonts w:ascii="Times New Roman" w:hAnsi="Times New Roman" w:cs="Times New Roman"/>
                <w:b/>
                <w:kern w:val="0"/>
                <w:sz w:val="21"/>
                <w:szCs w:val="21"/>
              </w:rPr>
              <w:t>给水度变化区间</w:t>
            </w:r>
          </w:p>
        </w:tc>
        <w:tc>
          <w:tcPr>
            <w:tcW w:w="1667" w:type="pct"/>
            <w:vAlign w:val="center"/>
          </w:tcPr>
          <w:p w:rsidR="004E3021" w:rsidRPr="00BC57D1" w:rsidRDefault="00606E48" w:rsidP="00BC57D1">
            <w:pPr>
              <w:pStyle w:val="afffffff2"/>
              <w:rPr>
                <w:rFonts w:ascii="Times New Roman" w:hAnsi="Times New Roman" w:cs="Times New Roman"/>
                <w:b/>
                <w:kern w:val="0"/>
                <w:sz w:val="21"/>
                <w:szCs w:val="21"/>
              </w:rPr>
            </w:pPr>
            <w:r w:rsidRPr="00BC57D1">
              <w:rPr>
                <w:rFonts w:ascii="Times New Roman" w:hAnsi="Times New Roman" w:cs="Times New Roman"/>
                <w:b/>
                <w:kern w:val="0"/>
                <w:sz w:val="21"/>
                <w:szCs w:val="21"/>
              </w:rPr>
              <w:t>平均给水度</w:t>
            </w:r>
          </w:p>
        </w:tc>
      </w:tr>
      <w:tr w:rsidR="004E3021" w:rsidRPr="00BC57D1" w:rsidTr="00BC57D1">
        <w:tc>
          <w:tcPr>
            <w:tcW w:w="1666"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砾砂</w:t>
            </w:r>
          </w:p>
        </w:tc>
        <w:tc>
          <w:tcPr>
            <w:tcW w:w="1666"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0.20-0.35</w:t>
            </w:r>
          </w:p>
        </w:tc>
        <w:tc>
          <w:tcPr>
            <w:tcW w:w="1667"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0.25</w:t>
            </w:r>
          </w:p>
        </w:tc>
      </w:tr>
      <w:tr w:rsidR="004E3021" w:rsidRPr="00BC57D1" w:rsidTr="00BC57D1">
        <w:tc>
          <w:tcPr>
            <w:tcW w:w="1666"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粗砂</w:t>
            </w:r>
          </w:p>
        </w:tc>
        <w:tc>
          <w:tcPr>
            <w:tcW w:w="1666"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0.20-0.35</w:t>
            </w:r>
          </w:p>
        </w:tc>
        <w:tc>
          <w:tcPr>
            <w:tcW w:w="1667"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0.26</w:t>
            </w:r>
          </w:p>
        </w:tc>
      </w:tr>
      <w:tr w:rsidR="004E3021" w:rsidRPr="00BC57D1" w:rsidTr="00BC57D1">
        <w:tc>
          <w:tcPr>
            <w:tcW w:w="1666"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中砂</w:t>
            </w:r>
          </w:p>
        </w:tc>
        <w:tc>
          <w:tcPr>
            <w:tcW w:w="1666"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0.15-0.32</w:t>
            </w:r>
          </w:p>
        </w:tc>
        <w:tc>
          <w:tcPr>
            <w:tcW w:w="1667"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0.27</w:t>
            </w:r>
          </w:p>
        </w:tc>
      </w:tr>
      <w:tr w:rsidR="004E3021" w:rsidRPr="00BC57D1" w:rsidTr="00BC57D1">
        <w:tc>
          <w:tcPr>
            <w:tcW w:w="1666"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细砂</w:t>
            </w:r>
          </w:p>
        </w:tc>
        <w:tc>
          <w:tcPr>
            <w:tcW w:w="1666"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0.10-0.28</w:t>
            </w:r>
          </w:p>
        </w:tc>
        <w:tc>
          <w:tcPr>
            <w:tcW w:w="1667"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0.21</w:t>
            </w:r>
          </w:p>
        </w:tc>
      </w:tr>
      <w:tr w:rsidR="004E3021" w:rsidRPr="00BC57D1" w:rsidTr="00BC57D1">
        <w:tc>
          <w:tcPr>
            <w:tcW w:w="1666"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粉砂</w:t>
            </w:r>
          </w:p>
        </w:tc>
        <w:tc>
          <w:tcPr>
            <w:tcW w:w="1666"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0.05-0.19</w:t>
            </w:r>
          </w:p>
        </w:tc>
        <w:tc>
          <w:tcPr>
            <w:tcW w:w="1667"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0.18</w:t>
            </w:r>
          </w:p>
        </w:tc>
      </w:tr>
      <w:tr w:rsidR="004E3021" w:rsidRPr="00BC57D1" w:rsidTr="00BC57D1">
        <w:tc>
          <w:tcPr>
            <w:tcW w:w="1666"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亚黏土</w:t>
            </w:r>
          </w:p>
        </w:tc>
        <w:tc>
          <w:tcPr>
            <w:tcW w:w="1666"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0.03-0.12</w:t>
            </w:r>
          </w:p>
        </w:tc>
        <w:tc>
          <w:tcPr>
            <w:tcW w:w="1667"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0.07</w:t>
            </w:r>
          </w:p>
        </w:tc>
      </w:tr>
      <w:tr w:rsidR="004E3021" w:rsidRPr="00BC57D1" w:rsidTr="00BC57D1">
        <w:tc>
          <w:tcPr>
            <w:tcW w:w="1666"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黏土</w:t>
            </w:r>
          </w:p>
        </w:tc>
        <w:tc>
          <w:tcPr>
            <w:tcW w:w="1666"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0.00-0.05</w:t>
            </w:r>
          </w:p>
        </w:tc>
        <w:tc>
          <w:tcPr>
            <w:tcW w:w="1667" w:type="pct"/>
            <w:vAlign w:val="center"/>
          </w:tcPr>
          <w:p w:rsidR="004E3021" w:rsidRPr="00BC57D1" w:rsidRDefault="00606E48" w:rsidP="00BC57D1">
            <w:pPr>
              <w:pStyle w:val="afffffff2"/>
              <w:rPr>
                <w:rFonts w:ascii="Times New Roman" w:hAnsi="Times New Roman" w:cs="Times New Roman"/>
                <w:kern w:val="0"/>
                <w:sz w:val="21"/>
                <w:szCs w:val="21"/>
              </w:rPr>
            </w:pPr>
            <w:r w:rsidRPr="00BC57D1">
              <w:rPr>
                <w:rFonts w:ascii="Times New Roman" w:hAnsi="Times New Roman" w:cs="Times New Roman"/>
                <w:kern w:val="0"/>
                <w:sz w:val="21"/>
                <w:szCs w:val="21"/>
              </w:rPr>
              <w:t>0.02</w:t>
            </w:r>
          </w:p>
        </w:tc>
      </w:tr>
    </w:tbl>
    <w:p w:rsidR="004E3021" w:rsidRDefault="00606E48">
      <w:pPr>
        <w:wordWrap w:val="0"/>
        <w:ind w:firstLine="480"/>
        <w:rPr>
          <w:b/>
          <w:bCs/>
        </w:rPr>
      </w:pPr>
      <w:bookmarkStart w:id="487" w:name="_Toc446880040"/>
      <w:bookmarkStart w:id="488" w:name="_Toc26787_WPSOffice_Level3"/>
      <w:bookmarkEnd w:id="487"/>
      <w:r>
        <w:rPr>
          <w:rFonts w:ascii="宋体" w:hAnsi="宋体"/>
          <w:bCs/>
        </w:rPr>
        <w:t>（</w:t>
      </w:r>
      <w:bookmarkEnd w:id="488"/>
      <w:r>
        <w:rPr>
          <w:rFonts w:hint="eastAsia"/>
          <w:bCs/>
        </w:rPr>
        <w:t>3</w:t>
      </w:r>
      <w:r>
        <w:rPr>
          <w:rFonts w:ascii="宋体" w:hAnsi="宋体"/>
          <w:bCs/>
        </w:rPr>
        <w:t>）孔隙度的确定</w:t>
      </w:r>
    </w:p>
    <w:p w:rsidR="004E3021" w:rsidRDefault="00606E48">
      <w:pPr>
        <w:ind w:firstLine="480"/>
      </w:pPr>
      <w:r>
        <w:rPr>
          <w:rFonts w:ascii="宋体" w:hAnsi="宋体"/>
        </w:rPr>
        <w:t>岩石和土壤孔隙度的大小与颗粒的排列方式、颗粒大小、分选性、颗粒形状以及胶结程度有关，不同岩性孔隙度大小见下表。研究区</w:t>
      </w:r>
      <w:r>
        <w:rPr>
          <w:rFonts w:ascii="宋体" w:hAnsi="宋体" w:hint="eastAsia"/>
        </w:rPr>
        <w:t>第一层以粘土、粉质粘土、粘土夹砂和薄层粉细砂</w:t>
      </w:r>
      <w:r>
        <w:rPr>
          <w:rFonts w:ascii="宋体" w:hAnsi="宋体"/>
        </w:rPr>
        <w:t>，取值范围设定为</w:t>
      </w:r>
      <w:r>
        <w:rPr>
          <w:rFonts w:hint="eastAsia"/>
        </w:rPr>
        <w:t>34%</w:t>
      </w:r>
      <w:r>
        <w:t>~</w:t>
      </w:r>
      <w:r>
        <w:rPr>
          <w:rFonts w:hint="eastAsia"/>
        </w:rPr>
        <w:t>61%</w:t>
      </w:r>
      <w:r>
        <w:rPr>
          <w:rFonts w:ascii="宋体" w:hAnsi="宋体"/>
        </w:rPr>
        <w:t>，第</w:t>
      </w:r>
      <w:r>
        <w:rPr>
          <w:rFonts w:ascii="宋体" w:hAnsi="宋体" w:hint="eastAsia"/>
        </w:rPr>
        <w:t>二</w:t>
      </w:r>
      <w:r>
        <w:rPr>
          <w:rFonts w:ascii="宋体" w:hAnsi="宋体"/>
        </w:rPr>
        <w:t>层</w:t>
      </w:r>
      <w:r>
        <w:rPr>
          <w:rFonts w:ascii="宋体" w:hAnsi="宋体" w:hint="eastAsia"/>
        </w:rPr>
        <w:t>为粘土</w:t>
      </w:r>
      <w:r>
        <w:rPr>
          <w:rFonts w:ascii="宋体" w:hAnsi="宋体"/>
        </w:rPr>
        <w:t>，取值范围设定为</w:t>
      </w:r>
      <w:r>
        <w:rPr>
          <w:rFonts w:hint="eastAsia"/>
        </w:rPr>
        <w:t>34%</w:t>
      </w:r>
      <w:r>
        <w:t>~</w:t>
      </w:r>
      <w:r>
        <w:rPr>
          <w:rFonts w:hint="eastAsia"/>
        </w:rPr>
        <w:t>60%</w:t>
      </w:r>
      <w:r>
        <w:rPr>
          <w:rFonts w:ascii="宋体" w:hAnsi="宋体" w:hint="eastAsia"/>
        </w:rPr>
        <w:t>；第三层为粉细砂</w:t>
      </w:r>
      <w:r>
        <w:t>-</w:t>
      </w:r>
      <w:r>
        <w:rPr>
          <w:rFonts w:ascii="宋体" w:hAnsi="宋体" w:hint="eastAsia"/>
        </w:rPr>
        <w:t>中砂、粘土夹砂组，</w:t>
      </w:r>
      <w:r>
        <w:rPr>
          <w:rFonts w:ascii="宋体" w:hAnsi="宋体"/>
        </w:rPr>
        <w:t>取值范围设定为</w:t>
      </w:r>
      <w:r>
        <w:rPr>
          <w:rFonts w:hint="eastAsia"/>
        </w:rPr>
        <w:t>31%</w:t>
      </w:r>
      <w:r>
        <w:t>~</w:t>
      </w:r>
      <w:r>
        <w:rPr>
          <w:rFonts w:hint="eastAsia"/>
        </w:rPr>
        <w:t>46%</w:t>
      </w:r>
      <w:r>
        <w:rPr>
          <w:rFonts w:ascii="宋体" w:hAnsi="宋体" w:hint="eastAsia"/>
        </w:rPr>
        <w:t>；第四层为粘土</w:t>
      </w:r>
      <w:r>
        <w:rPr>
          <w:rFonts w:ascii="宋体" w:hAnsi="宋体"/>
        </w:rPr>
        <w:t>，取值范围设定为</w:t>
      </w:r>
      <w:r>
        <w:rPr>
          <w:rFonts w:hint="eastAsia"/>
        </w:rPr>
        <w:t>34%</w:t>
      </w:r>
      <w:r>
        <w:t>~</w:t>
      </w:r>
      <w:r>
        <w:rPr>
          <w:rFonts w:hint="eastAsia"/>
        </w:rPr>
        <w:t>60%</w:t>
      </w:r>
      <w:r>
        <w:rPr>
          <w:rFonts w:ascii="宋体" w:hAnsi="宋体"/>
        </w:rPr>
        <w:t>。</w:t>
      </w:r>
    </w:p>
    <w:p w:rsidR="004E3021" w:rsidRDefault="00606E48">
      <w:pPr>
        <w:pStyle w:val="afffff4"/>
        <w:ind w:firstLine="480"/>
        <w:rPr>
          <w:b/>
        </w:rPr>
      </w:pPr>
      <w:r>
        <w:rPr>
          <w:rFonts w:ascii="黑体" w:hAnsi="黑体"/>
        </w:rPr>
        <w:t>表</w:t>
      </w:r>
      <w:r>
        <w:rPr>
          <w:rFonts w:hint="eastAsia"/>
        </w:rPr>
        <w:t>5</w:t>
      </w:r>
      <w:r>
        <w:t>.5</w:t>
      </w:r>
      <w:r>
        <w:rPr>
          <w:rFonts w:hint="eastAsia"/>
        </w:rPr>
        <w:t>.</w:t>
      </w:r>
      <w:r>
        <w:t>7-</w:t>
      </w:r>
      <w:r>
        <w:rPr>
          <w:rFonts w:hint="eastAsia"/>
        </w:rPr>
        <w:t xml:space="preserve">3  </w:t>
      </w:r>
      <w:r>
        <w:rPr>
          <w:rFonts w:ascii="黑体" w:hAnsi="黑体"/>
        </w:rPr>
        <w:t>松散岩石孔隙度参考值（据弗里泽，</w:t>
      </w:r>
      <w:r>
        <w:t>1987</w:t>
      </w:r>
      <w:r>
        <w:rPr>
          <w:rFonts w:ascii="黑体" w:hAnsi="黑体"/>
        </w:rPr>
        <w:t>）</w:t>
      </w:r>
    </w:p>
    <w:tbl>
      <w:tblPr>
        <w:tblW w:w="5000" w:type="pct"/>
        <w:jc w:val="center"/>
        <w:tblLook w:val="04A0" w:firstRow="1" w:lastRow="0" w:firstColumn="1" w:lastColumn="0" w:noHBand="0" w:noVBand="1"/>
      </w:tblPr>
      <w:tblGrid>
        <w:gridCol w:w="1266"/>
        <w:gridCol w:w="1744"/>
        <w:gridCol w:w="1007"/>
        <w:gridCol w:w="1744"/>
        <w:gridCol w:w="1634"/>
        <w:gridCol w:w="1632"/>
      </w:tblGrid>
      <w:tr w:rsidR="004E3021" w:rsidRPr="00BC57D1">
        <w:trPr>
          <w:jc w:val="center"/>
        </w:trPr>
        <w:tc>
          <w:tcPr>
            <w:tcW w:w="701" w:type="pct"/>
            <w:tcBorders>
              <w:top w:val="single" w:sz="12" w:space="0" w:color="auto"/>
              <w:left w:val="nil"/>
              <w:bottom w:val="single" w:sz="4" w:space="0" w:color="auto"/>
              <w:right w:val="single" w:sz="4" w:space="0" w:color="auto"/>
            </w:tcBorders>
          </w:tcPr>
          <w:p w:rsidR="004E3021" w:rsidRPr="00BC57D1" w:rsidRDefault="00606E48">
            <w:pPr>
              <w:pStyle w:val="afffffff2"/>
              <w:rPr>
                <w:b/>
                <w:kern w:val="0"/>
                <w:sz w:val="21"/>
                <w:szCs w:val="21"/>
              </w:rPr>
            </w:pPr>
            <w:r w:rsidRPr="00BC57D1">
              <w:rPr>
                <w:b/>
                <w:kern w:val="0"/>
                <w:sz w:val="21"/>
                <w:szCs w:val="21"/>
              </w:rPr>
              <w:t>松散岩体</w:t>
            </w:r>
          </w:p>
        </w:tc>
        <w:tc>
          <w:tcPr>
            <w:tcW w:w="966" w:type="pct"/>
            <w:tcBorders>
              <w:top w:val="single" w:sz="12" w:space="0" w:color="auto"/>
              <w:left w:val="single" w:sz="4" w:space="0" w:color="auto"/>
              <w:bottom w:val="single" w:sz="4" w:space="0" w:color="auto"/>
              <w:right w:val="single" w:sz="4" w:space="0" w:color="auto"/>
            </w:tcBorders>
          </w:tcPr>
          <w:p w:rsidR="004E3021" w:rsidRPr="00BC57D1" w:rsidRDefault="00606E48">
            <w:pPr>
              <w:pStyle w:val="afffffff2"/>
              <w:rPr>
                <w:b/>
                <w:kern w:val="0"/>
                <w:sz w:val="21"/>
                <w:szCs w:val="21"/>
              </w:rPr>
            </w:pPr>
            <w:r w:rsidRPr="00BC57D1">
              <w:rPr>
                <w:b/>
                <w:kern w:val="0"/>
                <w:sz w:val="21"/>
                <w:szCs w:val="21"/>
              </w:rPr>
              <w:t>孔隙度（</w:t>
            </w:r>
            <w:r w:rsidRPr="00BC57D1">
              <w:rPr>
                <w:b/>
                <w:kern w:val="0"/>
                <w:sz w:val="21"/>
                <w:szCs w:val="21"/>
              </w:rPr>
              <w:t>%</w:t>
            </w:r>
            <w:r w:rsidRPr="00BC57D1">
              <w:rPr>
                <w:b/>
                <w:kern w:val="0"/>
                <w:sz w:val="21"/>
                <w:szCs w:val="21"/>
              </w:rPr>
              <w:t>）</w:t>
            </w:r>
          </w:p>
        </w:tc>
        <w:tc>
          <w:tcPr>
            <w:tcW w:w="558" w:type="pct"/>
            <w:tcBorders>
              <w:top w:val="single" w:sz="12" w:space="0" w:color="auto"/>
              <w:left w:val="single" w:sz="4" w:space="0" w:color="auto"/>
              <w:bottom w:val="single" w:sz="4" w:space="0" w:color="auto"/>
              <w:right w:val="single" w:sz="4" w:space="0" w:color="auto"/>
            </w:tcBorders>
          </w:tcPr>
          <w:p w:rsidR="004E3021" w:rsidRPr="00BC57D1" w:rsidRDefault="00606E48">
            <w:pPr>
              <w:pStyle w:val="afffffff2"/>
              <w:rPr>
                <w:b/>
                <w:kern w:val="0"/>
                <w:sz w:val="21"/>
                <w:szCs w:val="21"/>
              </w:rPr>
            </w:pPr>
            <w:r w:rsidRPr="00BC57D1">
              <w:rPr>
                <w:b/>
                <w:kern w:val="0"/>
                <w:sz w:val="21"/>
                <w:szCs w:val="21"/>
              </w:rPr>
              <w:t>沉积岩</w:t>
            </w:r>
          </w:p>
        </w:tc>
        <w:tc>
          <w:tcPr>
            <w:tcW w:w="966" w:type="pct"/>
            <w:tcBorders>
              <w:top w:val="single" w:sz="12" w:space="0" w:color="auto"/>
              <w:left w:val="single" w:sz="4" w:space="0" w:color="auto"/>
              <w:bottom w:val="single" w:sz="4" w:space="0" w:color="auto"/>
              <w:right w:val="single" w:sz="4" w:space="0" w:color="auto"/>
            </w:tcBorders>
          </w:tcPr>
          <w:p w:rsidR="004E3021" w:rsidRPr="00BC57D1" w:rsidRDefault="00606E48">
            <w:pPr>
              <w:pStyle w:val="afffffff2"/>
              <w:rPr>
                <w:b/>
                <w:kern w:val="0"/>
                <w:sz w:val="21"/>
                <w:szCs w:val="21"/>
              </w:rPr>
            </w:pPr>
            <w:r w:rsidRPr="00BC57D1">
              <w:rPr>
                <w:b/>
                <w:kern w:val="0"/>
                <w:sz w:val="21"/>
                <w:szCs w:val="21"/>
              </w:rPr>
              <w:t>孔隙度（</w:t>
            </w:r>
            <w:r w:rsidRPr="00BC57D1">
              <w:rPr>
                <w:b/>
                <w:kern w:val="0"/>
                <w:sz w:val="21"/>
                <w:szCs w:val="21"/>
              </w:rPr>
              <w:t>%</w:t>
            </w:r>
            <w:r w:rsidRPr="00BC57D1">
              <w:rPr>
                <w:b/>
                <w:kern w:val="0"/>
                <w:sz w:val="21"/>
                <w:szCs w:val="21"/>
              </w:rPr>
              <w:t>）</w:t>
            </w:r>
          </w:p>
        </w:tc>
        <w:tc>
          <w:tcPr>
            <w:tcW w:w="905" w:type="pct"/>
            <w:tcBorders>
              <w:top w:val="single" w:sz="12" w:space="0" w:color="auto"/>
              <w:left w:val="single" w:sz="4" w:space="0" w:color="auto"/>
              <w:bottom w:val="single" w:sz="4" w:space="0" w:color="auto"/>
              <w:right w:val="single" w:sz="4" w:space="0" w:color="auto"/>
            </w:tcBorders>
          </w:tcPr>
          <w:p w:rsidR="004E3021" w:rsidRPr="00BC57D1" w:rsidRDefault="00606E48">
            <w:pPr>
              <w:pStyle w:val="afffffff2"/>
              <w:rPr>
                <w:b/>
                <w:kern w:val="0"/>
                <w:sz w:val="21"/>
                <w:szCs w:val="21"/>
              </w:rPr>
            </w:pPr>
            <w:r w:rsidRPr="00BC57D1">
              <w:rPr>
                <w:b/>
                <w:kern w:val="0"/>
                <w:sz w:val="21"/>
                <w:szCs w:val="21"/>
              </w:rPr>
              <w:t>结晶岩</w:t>
            </w:r>
          </w:p>
        </w:tc>
        <w:tc>
          <w:tcPr>
            <w:tcW w:w="904" w:type="pct"/>
            <w:tcBorders>
              <w:top w:val="single" w:sz="12" w:space="0" w:color="auto"/>
              <w:left w:val="single" w:sz="4" w:space="0" w:color="auto"/>
              <w:bottom w:val="single" w:sz="4" w:space="0" w:color="auto"/>
              <w:right w:val="nil"/>
            </w:tcBorders>
          </w:tcPr>
          <w:p w:rsidR="004E3021" w:rsidRPr="00BC57D1" w:rsidRDefault="00606E48">
            <w:pPr>
              <w:pStyle w:val="afffffff2"/>
              <w:rPr>
                <w:b/>
                <w:kern w:val="0"/>
                <w:sz w:val="21"/>
                <w:szCs w:val="21"/>
              </w:rPr>
            </w:pPr>
            <w:r w:rsidRPr="00BC57D1">
              <w:rPr>
                <w:b/>
                <w:kern w:val="0"/>
                <w:sz w:val="21"/>
                <w:szCs w:val="21"/>
              </w:rPr>
              <w:t>孔隙度（</w:t>
            </w:r>
            <w:r w:rsidRPr="00BC57D1">
              <w:rPr>
                <w:b/>
                <w:kern w:val="0"/>
                <w:sz w:val="21"/>
                <w:szCs w:val="21"/>
              </w:rPr>
              <w:t>%</w:t>
            </w:r>
            <w:r w:rsidRPr="00BC57D1">
              <w:rPr>
                <w:b/>
                <w:kern w:val="0"/>
                <w:sz w:val="21"/>
                <w:szCs w:val="21"/>
              </w:rPr>
              <w:t>）</w:t>
            </w:r>
          </w:p>
        </w:tc>
      </w:tr>
      <w:tr w:rsidR="004E3021" w:rsidRPr="00BC57D1">
        <w:trPr>
          <w:jc w:val="center"/>
        </w:trPr>
        <w:tc>
          <w:tcPr>
            <w:tcW w:w="70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粗砾</w:t>
            </w:r>
          </w:p>
        </w:tc>
        <w:tc>
          <w:tcPr>
            <w:tcW w:w="966"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24-36</w:t>
            </w:r>
          </w:p>
        </w:tc>
        <w:tc>
          <w:tcPr>
            <w:tcW w:w="558"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砂岩</w:t>
            </w:r>
          </w:p>
        </w:tc>
        <w:tc>
          <w:tcPr>
            <w:tcW w:w="966"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5-30</w:t>
            </w:r>
          </w:p>
        </w:tc>
        <w:tc>
          <w:tcPr>
            <w:tcW w:w="905" w:type="pct"/>
            <w:vMerge w:val="restar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裂隙化结晶岩</w:t>
            </w:r>
          </w:p>
        </w:tc>
        <w:tc>
          <w:tcPr>
            <w:tcW w:w="904" w:type="pct"/>
            <w:vMerge w:val="restar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0-10</w:t>
            </w:r>
          </w:p>
        </w:tc>
      </w:tr>
      <w:tr w:rsidR="004E3021" w:rsidRPr="00BC57D1">
        <w:trPr>
          <w:jc w:val="center"/>
        </w:trPr>
        <w:tc>
          <w:tcPr>
            <w:tcW w:w="70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细砾</w:t>
            </w:r>
          </w:p>
        </w:tc>
        <w:tc>
          <w:tcPr>
            <w:tcW w:w="966"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25-38</w:t>
            </w:r>
          </w:p>
        </w:tc>
        <w:tc>
          <w:tcPr>
            <w:tcW w:w="558"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粉砂岩</w:t>
            </w:r>
          </w:p>
        </w:tc>
        <w:tc>
          <w:tcPr>
            <w:tcW w:w="966"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21-41</w:t>
            </w:r>
          </w:p>
        </w:tc>
        <w:tc>
          <w:tcPr>
            <w:tcW w:w="0" w:type="auto"/>
            <w:vMerge/>
            <w:tcBorders>
              <w:top w:val="single" w:sz="4" w:space="0" w:color="auto"/>
              <w:left w:val="single" w:sz="4" w:space="0" w:color="auto"/>
              <w:bottom w:val="single" w:sz="4" w:space="0" w:color="auto"/>
              <w:right w:val="single" w:sz="4" w:space="0" w:color="auto"/>
            </w:tcBorders>
          </w:tcPr>
          <w:p w:rsidR="004E3021" w:rsidRPr="00BC57D1" w:rsidRDefault="004E3021">
            <w:pPr>
              <w:pStyle w:val="afffffff2"/>
              <w:rPr>
                <w:kern w:val="0"/>
                <w:sz w:val="21"/>
                <w:szCs w:val="21"/>
              </w:rPr>
            </w:pPr>
          </w:p>
        </w:tc>
        <w:tc>
          <w:tcPr>
            <w:tcW w:w="0" w:type="auto"/>
            <w:vMerge/>
            <w:tcBorders>
              <w:top w:val="single" w:sz="4" w:space="0" w:color="auto"/>
              <w:left w:val="single" w:sz="4" w:space="0" w:color="auto"/>
              <w:bottom w:val="single" w:sz="4" w:space="0" w:color="auto"/>
              <w:right w:val="nil"/>
            </w:tcBorders>
          </w:tcPr>
          <w:p w:rsidR="004E3021" w:rsidRPr="00BC57D1" w:rsidRDefault="004E3021">
            <w:pPr>
              <w:pStyle w:val="afffffff2"/>
              <w:rPr>
                <w:kern w:val="0"/>
                <w:sz w:val="21"/>
                <w:szCs w:val="21"/>
              </w:rPr>
            </w:pPr>
          </w:p>
        </w:tc>
      </w:tr>
      <w:tr w:rsidR="004E3021" w:rsidRPr="00BC57D1">
        <w:trPr>
          <w:jc w:val="center"/>
        </w:trPr>
        <w:tc>
          <w:tcPr>
            <w:tcW w:w="70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粗砂</w:t>
            </w:r>
          </w:p>
        </w:tc>
        <w:tc>
          <w:tcPr>
            <w:tcW w:w="966"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31-46</w:t>
            </w:r>
          </w:p>
        </w:tc>
        <w:tc>
          <w:tcPr>
            <w:tcW w:w="558"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石灰岩</w:t>
            </w:r>
          </w:p>
        </w:tc>
        <w:tc>
          <w:tcPr>
            <w:tcW w:w="966"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0-40</w:t>
            </w:r>
          </w:p>
        </w:tc>
        <w:tc>
          <w:tcPr>
            <w:tcW w:w="905"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致密结晶岩</w:t>
            </w:r>
          </w:p>
        </w:tc>
        <w:tc>
          <w:tcPr>
            <w:tcW w:w="904"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0-5</w:t>
            </w:r>
          </w:p>
        </w:tc>
      </w:tr>
      <w:tr w:rsidR="004E3021" w:rsidRPr="00BC57D1">
        <w:trPr>
          <w:jc w:val="center"/>
        </w:trPr>
        <w:tc>
          <w:tcPr>
            <w:tcW w:w="70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细砂</w:t>
            </w:r>
          </w:p>
        </w:tc>
        <w:tc>
          <w:tcPr>
            <w:tcW w:w="966"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26-53</w:t>
            </w:r>
          </w:p>
        </w:tc>
        <w:tc>
          <w:tcPr>
            <w:tcW w:w="558"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岩溶</w:t>
            </w:r>
          </w:p>
        </w:tc>
        <w:tc>
          <w:tcPr>
            <w:tcW w:w="966"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0-40</w:t>
            </w:r>
          </w:p>
        </w:tc>
        <w:tc>
          <w:tcPr>
            <w:tcW w:w="905"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玄武岩</w:t>
            </w:r>
          </w:p>
        </w:tc>
        <w:tc>
          <w:tcPr>
            <w:tcW w:w="904"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3-35</w:t>
            </w:r>
          </w:p>
        </w:tc>
      </w:tr>
      <w:tr w:rsidR="004E3021" w:rsidRPr="00BC57D1">
        <w:trPr>
          <w:jc w:val="center"/>
        </w:trPr>
        <w:tc>
          <w:tcPr>
            <w:tcW w:w="701"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粉砂</w:t>
            </w:r>
          </w:p>
        </w:tc>
        <w:tc>
          <w:tcPr>
            <w:tcW w:w="966"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34-61</w:t>
            </w:r>
          </w:p>
        </w:tc>
        <w:tc>
          <w:tcPr>
            <w:tcW w:w="558"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页岩</w:t>
            </w:r>
          </w:p>
        </w:tc>
        <w:tc>
          <w:tcPr>
            <w:tcW w:w="966"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0-10</w:t>
            </w:r>
          </w:p>
        </w:tc>
        <w:tc>
          <w:tcPr>
            <w:tcW w:w="905"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风化花岗岩</w:t>
            </w:r>
          </w:p>
        </w:tc>
        <w:tc>
          <w:tcPr>
            <w:tcW w:w="904"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34-57</w:t>
            </w:r>
          </w:p>
        </w:tc>
      </w:tr>
      <w:tr w:rsidR="004E3021" w:rsidRPr="00BC57D1">
        <w:trPr>
          <w:jc w:val="center"/>
        </w:trPr>
        <w:tc>
          <w:tcPr>
            <w:tcW w:w="701" w:type="pct"/>
            <w:tcBorders>
              <w:top w:val="single" w:sz="4" w:space="0" w:color="auto"/>
              <w:left w:val="nil"/>
              <w:bottom w:val="single" w:sz="12"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粘土</w:t>
            </w:r>
          </w:p>
        </w:tc>
        <w:tc>
          <w:tcPr>
            <w:tcW w:w="966" w:type="pct"/>
            <w:tcBorders>
              <w:top w:val="single" w:sz="4" w:space="0" w:color="auto"/>
              <w:left w:val="single" w:sz="4" w:space="0" w:color="auto"/>
              <w:bottom w:val="single" w:sz="12"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34-60</w:t>
            </w:r>
          </w:p>
        </w:tc>
        <w:tc>
          <w:tcPr>
            <w:tcW w:w="558" w:type="pct"/>
            <w:tcBorders>
              <w:top w:val="single" w:sz="4" w:space="0" w:color="auto"/>
              <w:left w:val="single" w:sz="4" w:space="0" w:color="auto"/>
              <w:bottom w:val="single" w:sz="12" w:space="0" w:color="auto"/>
              <w:right w:val="single" w:sz="4" w:space="0" w:color="auto"/>
            </w:tcBorders>
          </w:tcPr>
          <w:p w:rsidR="004E3021" w:rsidRPr="00BC57D1" w:rsidRDefault="004E3021">
            <w:pPr>
              <w:pStyle w:val="afffffff2"/>
              <w:rPr>
                <w:kern w:val="0"/>
                <w:sz w:val="21"/>
                <w:szCs w:val="21"/>
              </w:rPr>
            </w:pPr>
          </w:p>
        </w:tc>
        <w:tc>
          <w:tcPr>
            <w:tcW w:w="966" w:type="pct"/>
            <w:tcBorders>
              <w:top w:val="single" w:sz="4" w:space="0" w:color="auto"/>
              <w:left w:val="single" w:sz="4" w:space="0" w:color="auto"/>
              <w:bottom w:val="single" w:sz="12" w:space="0" w:color="auto"/>
              <w:right w:val="single" w:sz="4" w:space="0" w:color="auto"/>
            </w:tcBorders>
          </w:tcPr>
          <w:p w:rsidR="004E3021" w:rsidRPr="00BC57D1" w:rsidRDefault="004E3021">
            <w:pPr>
              <w:pStyle w:val="afffffff2"/>
              <w:rPr>
                <w:kern w:val="0"/>
                <w:sz w:val="21"/>
                <w:szCs w:val="21"/>
              </w:rPr>
            </w:pPr>
          </w:p>
        </w:tc>
        <w:tc>
          <w:tcPr>
            <w:tcW w:w="905" w:type="pct"/>
            <w:tcBorders>
              <w:top w:val="single" w:sz="4" w:space="0" w:color="auto"/>
              <w:left w:val="single" w:sz="4" w:space="0" w:color="auto"/>
              <w:bottom w:val="single" w:sz="12"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风化辉长岩</w:t>
            </w:r>
          </w:p>
        </w:tc>
        <w:tc>
          <w:tcPr>
            <w:tcW w:w="904" w:type="pct"/>
            <w:tcBorders>
              <w:top w:val="single" w:sz="4" w:space="0" w:color="auto"/>
              <w:left w:val="single" w:sz="4" w:space="0" w:color="auto"/>
              <w:bottom w:val="single" w:sz="12" w:space="0" w:color="auto"/>
              <w:right w:val="nil"/>
            </w:tcBorders>
          </w:tcPr>
          <w:p w:rsidR="004E3021" w:rsidRPr="00BC57D1" w:rsidRDefault="00606E48">
            <w:pPr>
              <w:pStyle w:val="afffffff2"/>
              <w:rPr>
                <w:kern w:val="0"/>
                <w:sz w:val="21"/>
                <w:szCs w:val="21"/>
              </w:rPr>
            </w:pPr>
            <w:r w:rsidRPr="00BC57D1">
              <w:rPr>
                <w:kern w:val="0"/>
                <w:sz w:val="21"/>
                <w:szCs w:val="21"/>
              </w:rPr>
              <w:t>42-45</w:t>
            </w:r>
          </w:p>
        </w:tc>
      </w:tr>
    </w:tbl>
    <w:p w:rsidR="004E3021" w:rsidRDefault="00606E48">
      <w:pPr>
        <w:wordWrap w:val="0"/>
        <w:ind w:firstLine="480"/>
        <w:rPr>
          <w:b/>
          <w:bCs/>
        </w:rPr>
      </w:pPr>
      <w:bookmarkStart w:id="489" w:name="_Toc446880041"/>
      <w:bookmarkStart w:id="490" w:name="_Toc17905_WPSOffice_Level3"/>
      <w:bookmarkEnd w:id="489"/>
      <w:r>
        <w:rPr>
          <w:rFonts w:ascii="宋体" w:hAnsi="宋体"/>
          <w:bCs/>
        </w:rPr>
        <w:t>（</w:t>
      </w:r>
      <w:bookmarkEnd w:id="490"/>
      <w:r>
        <w:rPr>
          <w:rFonts w:hint="eastAsia"/>
          <w:bCs/>
        </w:rPr>
        <w:t>4</w:t>
      </w:r>
      <w:r>
        <w:rPr>
          <w:rFonts w:ascii="宋体" w:hAnsi="宋体"/>
          <w:bCs/>
        </w:rPr>
        <w:t>）弥散系数确定</w:t>
      </w:r>
    </w:p>
    <w:p w:rsidR="004E3021" w:rsidRDefault="00606E48">
      <w:pPr>
        <w:wordWrap w:val="0"/>
        <w:ind w:firstLine="480"/>
        <w:rPr>
          <w:b/>
          <w:bCs/>
        </w:rPr>
      </w:pPr>
      <w:r>
        <w:rPr>
          <w:bCs/>
        </w:rPr>
        <w:t>D.S.Makuch</w:t>
      </w:r>
      <w:r>
        <w:rPr>
          <w:rFonts w:ascii="宋体" w:hAnsi="宋体"/>
          <w:bCs/>
        </w:rPr>
        <w:t>（</w:t>
      </w:r>
      <w:r>
        <w:rPr>
          <w:bCs/>
        </w:rPr>
        <w:t>2005</w:t>
      </w:r>
      <w:r>
        <w:rPr>
          <w:rFonts w:ascii="宋体" w:hAnsi="宋体"/>
          <w:bCs/>
        </w:rPr>
        <w:t>）综合了其他人的研究成果，对不同岩性和不同尺度条件下介质的弥散度大小进行了统计，获得了污染物在不同岩性中迁移的纵向弥散度，并存在尺度效应现象（下图）。根据室内弥散试验以及我们在其它地区的现场试验结果，对本次评价范围潜水含水层弥散度取</w:t>
      </w:r>
      <w:r>
        <w:rPr>
          <w:rFonts w:hint="eastAsia"/>
          <w:bCs/>
        </w:rPr>
        <w:t>2</w:t>
      </w:r>
      <w:r>
        <w:rPr>
          <w:bCs/>
        </w:rPr>
        <w:t>0m</w:t>
      </w:r>
      <w:r>
        <w:rPr>
          <w:rFonts w:ascii="宋体" w:hAnsi="宋体"/>
          <w:bCs/>
        </w:rPr>
        <w:t>。</w:t>
      </w:r>
    </w:p>
    <w:p w:rsidR="004E3021" w:rsidRDefault="00606E48">
      <w:pPr>
        <w:ind w:firstLineChars="0" w:firstLine="0"/>
        <w:jc w:val="center"/>
        <w:rPr>
          <w:spacing w:val="4"/>
        </w:rPr>
      </w:pPr>
      <w:r>
        <w:rPr>
          <w:noProof/>
        </w:rPr>
        <w:lastRenderedPageBreak/>
        <w:drawing>
          <wp:inline distT="0" distB="0" distL="0" distR="0">
            <wp:extent cx="4133850" cy="2943225"/>
            <wp:effectExtent l="0" t="0" r="0" b="9525"/>
            <wp:docPr id="53" name="图片 53" descr="C:\Users\ADMINI~1\AppData\Local\Temp\ksohtml\wps4BC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ADMINI~1\AppData\Local\Temp\ksohtml\wps4BCE.tmp.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4133850" cy="2943225"/>
                    </a:xfrm>
                    <a:prstGeom prst="rect">
                      <a:avLst/>
                    </a:prstGeom>
                    <a:noFill/>
                    <a:ln>
                      <a:noFill/>
                    </a:ln>
                  </pic:spPr>
                </pic:pic>
              </a:graphicData>
            </a:graphic>
          </wp:inline>
        </w:drawing>
      </w:r>
      <w:r>
        <w:rPr>
          <w:spacing w:val="4"/>
        </w:rPr>
        <w:t xml:space="preserve"> </w:t>
      </w:r>
    </w:p>
    <w:p w:rsidR="004E3021" w:rsidRDefault="00606E48">
      <w:pPr>
        <w:widowControl/>
        <w:ind w:firstLine="360"/>
        <w:jc w:val="center"/>
        <w:rPr>
          <w:sz w:val="18"/>
          <w:szCs w:val="18"/>
        </w:rPr>
      </w:pPr>
      <w:bookmarkStart w:id="491" w:name="_Toc21682_WPSOffice_Level1"/>
      <w:bookmarkEnd w:id="491"/>
      <w:r>
        <w:rPr>
          <w:rFonts w:ascii="宋体" w:hAnsi="宋体"/>
          <w:sz w:val="18"/>
          <w:szCs w:val="18"/>
        </w:rPr>
        <w:t>（注：图中圆圈大小表示可靠性。圆圈越大，表示对应情况的结果可靠度越高）</w:t>
      </w:r>
    </w:p>
    <w:p w:rsidR="004E3021" w:rsidRDefault="00606E48">
      <w:pPr>
        <w:pStyle w:val="afffff4"/>
        <w:ind w:firstLine="496"/>
        <w:rPr>
          <w:bCs/>
          <w:szCs w:val="24"/>
        </w:rPr>
      </w:pPr>
      <w:r>
        <w:rPr>
          <w:rFonts w:ascii="黑体" w:hAnsi="黑体"/>
          <w:bCs/>
          <w:spacing w:val="4"/>
        </w:rPr>
        <w:t>图</w:t>
      </w:r>
      <w:r>
        <w:rPr>
          <w:rFonts w:hint="eastAsia"/>
          <w:bCs/>
          <w:spacing w:val="4"/>
        </w:rPr>
        <w:t>5.5.7</w:t>
      </w:r>
      <w:r>
        <w:rPr>
          <w:bCs/>
          <w:spacing w:val="4"/>
        </w:rPr>
        <w:t>-</w:t>
      </w:r>
      <w:r>
        <w:rPr>
          <w:rFonts w:hint="eastAsia"/>
          <w:bCs/>
          <w:spacing w:val="4"/>
        </w:rPr>
        <w:t xml:space="preserve">1  </w:t>
      </w:r>
      <w:r>
        <w:rPr>
          <w:rFonts w:ascii="黑体" w:hAnsi="黑体"/>
        </w:rPr>
        <w:t>弥散度的尺度效应（</w:t>
      </w:r>
      <w:r>
        <w:t>Gelhar et al., 1992</w:t>
      </w:r>
      <w:r>
        <w:rPr>
          <w:rFonts w:ascii="黑体" w:hAnsi="黑体"/>
        </w:rPr>
        <w:t>）</w:t>
      </w:r>
    </w:p>
    <w:p w:rsidR="004E3021" w:rsidRDefault="00606E48">
      <w:pPr>
        <w:pStyle w:val="afffffffffffffffff4"/>
      </w:pPr>
      <w:bookmarkStart w:id="492" w:name="_Toc52175558"/>
      <w:bookmarkStart w:id="493" w:name="_Toc100784058"/>
      <w:bookmarkStart w:id="494" w:name="_Toc108662667"/>
      <w:bookmarkStart w:id="495" w:name="_Toc101135890"/>
      <w:bookmarkStart w:id="496" w:name="_Toc221088822"/>
      <w:bookmarkStart w:id="497" w:name="_Toc221501037"/>
      <w:bookmarkEnd w:id="492"/>
      <w:r>
        <w:rPr>
          <w:rFonts w:hint="eastAsia"/>
        </w:rPr>
        <w:t>5.5.8</w:t>
      </w:r>
      <w:r>
        <w:rPr>
          <w:rFonts w:ascii="黑体" w:hAnsi="黑体" w:hint="eastAsia"/>
        </w:rPr>
        <w:t>模型网格剖分</w:t>
      </w:r>
      <w:bookmarkEnd w:id="493"/>
      <w:bookmarkEnd w:id="494"/>
      <w:bookmarkEnd w:id="495"/>
      <w:bookmarkEnd w:id="496"/>
      <w:bookmarkEnd w:id="497"/>
    </w:p>
    <w:p w:rsidR="004E3021" w:rsidRDefault="00606E48">
      <w:pPr>
        <w:wordWrap w:val="0"/>
        <w:ind w:firstLine="480"/>
        <w:rPr>
          <w:b/>
          <w:bCs/>
        </w:rPr>
      </w:pPr>
      <w:r>
        <w:rPr>
          <w:rFonts w:ascii="宋体" w:hAnsi="宋体"/>
          <w:bCs/>
        </w:rPr>
        <w:t>采用</w:t>
      </w:r>
      <w:r>
        <w:rPr>
          <w:bCs/>
        </w:rPr>
        <w:t>GMS</w:t>
      </w:r>
      <w:r>
        <w:rPr>
          <w:rFonts w:ascii="宋体" w:hAnsi="宋体"/>
          <w:bCs/>
        </w:rPr>
        <w:t>软件对数值模型求解，用</w:t>
      </w:r>
      <w:r>
        <w:rPr>
          <w:bCs/>
        </w:rPr>
        <w:t>MODFLOW</w:t>
      </w:r>
      <w:r>
        <w:rPr>
          <w:rFonts w:ascii="宋体" w:hAnsi="宋体"/>
          <w:bCs/>
        </w:rPr>
        <w:t>模块求解地下水流问题时采用有限差分法，需对评价范围进行网格剖分，</w:t>
      </w:r>
      <w:r>
        <w:rPr>
          <w:rFonts w:ascii="宋体" w:hAnsi="宋体" w:hint="eastAsia"/>
          <w:bCs/>
        </w:rPr>
        <w:t>见</w:t>
      </w:r>
      <w:r>
        <w:rPr>
          <w:rFonts w:ascii="宋体" w:hAnsi="宋体"/>
          <w:bCs/>
        </w:rPr>
        <w:t>图</w:t>
      </w:r>
      <w:r>
        <w:rPr>
          <w:rFonts w:hint="eastAsia"/>
          <w:bCs/>
        </w:rPr>
        <w:t>5.5.8</w:t>
      </w:r>
      <w:r>
        <w:rPr>
          <w:bCs/>
        </w:rPr>
        <w:t>-1</w:t>
      </w:r>
      <w:r>
        <w:rPr>
          <w:rFonts w:ascii="宋体" w:hAnsi="宋体"/>
          <w:bCs/>
        </w:rPr>
        <w:t>。为精确模拟溶质运移行为，在</w:t>
      </w:r>
      <w:r>
        <w:rPr>
          <w:rFonts w:ascii="宋体" w:hAnsi="宋体" w:hint="eastAsia"/>
          <w:bCs/>
        </w:rPr>
        <w:t>污水处理</w:t>
      </w:r>
      <w:r>
        <w:rPr>
          <w:rFonts w:ascii="宋体" w:hAnsi="宋体" w:hint="eastAsia"/>
        </w:rPr>
        <w:t>区</w:t>
      </w:r>
      <w:r>
        <w:rPr>
          <w:rFonts w:ascii="宋体" w:hAnsi="宋体"/>
          <w:bCs/>
        </w:rPr>
        <w:t>处加密网格，最小网格空间长度达到</w:t>
      </w:r>
      <w:r>
        <w:rPr>
          <w:rFonts w:hint="eastAsia"/>
          <w:bCs/>
        </w:rPr>
        <w:t>5</w:t>
      </w:r>
      <w:r>
        <w:rPr>
          <w:bCs/>
        </w:rPr>
        <w:t>m</w:t>
      </w:r>
      <w:r>
        <w:rPr>
          <w:rFonts w:ascii="宋体" w:hAnsi="宋体"/>
          <w:bCs/>
        </w:rPr>
        <w:t>。</w:t>
      </w:r>
    </w:p>
    <w:p w:rsidR="004E3021" w:rsidRDefault="00606E48">
      <w:pPr>
        <w:ind w:firstLineChars="0" w:firstLine="0"/>
        <w:jc w:val="center"/>
      </w:pPr>
      <w:r>
        <w:rPr>
          <w:noProof/>
        </w:rPr>
        <w:lastRenderedPageBreak/>
        <w:drawing>
          <wp:inline distT="0" distB="0" distL="0" distR="0">
            <wp:extent cx="5732145" cy="4030345"/>
            <wp:effectExtent l="0" t="0" r="1905" b="825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5732145" cy="4030414"/>
                    </a:xfrm>
                    <a:prstGeom prst="rect">
                      <a:avLst/>
                    </a:prstGeom>
                    <a:noFill/>
                    <a:ln>
                      <a:noFill/>
                    </a:ln>
                  </pic:spPr>
                </pic:pic>
              </a:graphicData>
            </a:graphic>
          </wp:inline>
        </w:drawing>
      </w:r>
      <w:r>
        <w:t xml:space="preserve"> </w:t>
      </w:r>
    </w:p>
    <w:p w:rsidR="004E3021" w:rsidRDefault="00606E48">
      <w:pPr>
        <w:pStyle w:val="afffff4"/>
        <w:ind w:firstLine="480"/>
      </w:pPr>
      <w:r>
        <w:rPr>
          <w:rFonts w:ascii="黑体" w:hAnsi="黑体"/>
        </w:rPr>
        <w:t>图</w:t>
      </w:r>
      <w:r>
        <w:rPr>
          <w:rFonts w:hint="eastAsia"/>
        </w:rPr>
        <w:t>5</w:t>
      </w:r>
      <w:r>
        <w:t>.5</w:t>
      </w:r>
      <w:r>
        <w:rPr>
          <w:rFonts w:hint="eastAsia"/>
        </w:rPr>
        <w:t>.8-1</w:t>
      </w:r>
      <w:r>
        <w:t xml:space="preserve">  </w:t>
      </w:r>
      <w:r>
        <w:rPr>
          <w:rFonts w:ascii="黑体" w:hAnsi="黑体"/>
        </w:rPr>
        <w:t>模型网格剖分示意图</w:t>
      </w:r>
    </w:p>
    <w:p w:rsidR="004E3021" w:rsidRDefault="00606E48">
      <w:pPr>
        <w:spacing w:before="240" w:after="120"/>
        <w:ind w:firstLineChars="0" w:firstLine="0"/>
        <w:jc w:val="left"/>
        <w:outlineLvl w:val="2"/>
        <w:rPr>
          <w:rFonts w:eastAsia="黑体"/>
          <w:sz w:val="28"/>
          <w:szCs w:val="28"/>
        </w:rPr>
      </w:pPr>
      <w:bookmarkStart w:id="498" w:name="_Toc52175559"/>
      <w:bookmarkStart w:id="499" w:name="_Toc100784059"/>
      <w:bookmarkStart w:id="500" w:name="_Toc101135891"/>
      <w:bookmarkStart w:id="501" w:name="_Toc108662668"/>
      <w:bookmarkStart w:id="502" w:name="_Toc221088823"/>
      <w:bookmarkStart w:id="503" w:name="_Toc221501038"/>
      <w:bookmarkEnd w:id="498"/>
      <w:r>
        <w:rPr>
          <w:rFonts w:eastAsia="黑体" w:hint="eastAsia"/>
          <w:sz w:val="28"/>
          <w:szCs w:val="28"/>
        </w:rPr>
        <w:t>5.5.9</w:t>
      </w:r>
      <w:r>
        <w:rPr>
          <w:rFonts w:ascii="黑体" w:eastAsia="黑体" w:hAnsi="黑体" w:hint="eastAsia"/>
          <w:sz w:val="28"/>
          <w:szCs w:val="28"/>
        </w:rPr>
        <w:t>模型校正与检验</w:t>
      </w:r>
      <w:bookmarkEnd w:id="499"/>
      <w:bookmarkEnd w:id="500"/>
      <w:bookmarkEnd w:id="501"/>
      <w:bookmarkEnd w:id="502"/>
      <w:bookmarkEnd w:id="503"/>
    </w:p>
    <w:p w:rsidR="004E3021" w:rsidRDefault="00606E48">
      <w:pPr>
        <w:wordWrap w:val="0"/>
        <w:ind w:firstLine="480"/>
        <w:rPr>
          <w:b/>
          <w:bCs/>
        </w:rPr>
      </w:pPr>
      <w:r>
        <w:rPr>
          <w:rFonts w:ascii="宋体" w:hAnsi="宋体"/>
          <w:bCs/>
        </w:rPr>
        <w:t>采用</w:t>
      </w:r>
      <w:r>
        <w:rPr>
          <w:bCs/>
        </w:rPr>
        <w:t>GMS</w:t>
      </w:r>
      <w:r>
        <w:rPr>
          <w:rFonts w:ascii="宋体" w:hAnsi="宋体"/>
          <w:bCs/>
        </w:rPr>
        <w:t>中的</w:t>
      </w:r>
      <w:r>
        <w:rPr>
          <w:bCs/>
        </w:rPr>
        <w:t>MODFLOW</w:t>
      </w:r>
      <w:r>
        <w:rPr>
          <w:rFonts w:ascii="宋体" w:hAnsi="宋体"/>
          <w:bCs/>
        </w:rPr>
        <w:t>模块对水流模型进行求解，通过对比流场、水均衡的模拟计算结果和实际（观测）结果对比，对模型进行识别验证。</w:t>
      </w:r>
    </w:p>
    <w:p w:rsidR="004E3021" w:rsidRDefault="00606E48">
      <w:pPr>
        <w:wordWrap w:val="0"/>
        <w:ind w:firstLine="480"/>
        <w:rPr>
          <w:b/>
          <w:bCs/>
        </w:rPr>
      </w:pPr>
      <w:r>
        <w:rPr>
          <w:rFonts w:ascii="宋体" w:hAnsi="宋体"/>
          <w:bCs/>
        </w:rPr>
        <w:t>（</w:t>
      </w:r>
      <w:r>
        <w:rPr>
          <w:bCs/>
        </w:rPr>
        <w:t>1</w:t>
      </w:r>
      <w:r>
        <w:rPr>
          <w:rFonts w:ascii="宋体" w:hAnsi="宋体"/>
          <w:bCs/>
        </w:rPr>
        <w:t>）地下水流场</w:t>
      </w:r>
    </w:p>
    <w:p w:rsidR="004E3021" w:rsidRDefault="00606E48">
      <w:pPr>
        <w:wordWrap w:val="0"/>
        <w:ind w:firstLine="480"/>
        <w:rPr>
          <w:b/>
          <w:bCs/>
        </w:rPr>
      </w:pPr>
      <w:r>
        <w:rPr>
          <w:rFonts w:ascii="宋体" w:hAnsi="宋体"/>
          <w:bCs/>
        </w:rPr>
        <w:t>地下水流场是模型识别和校正的关键，同时也是影响污染物迁移分布的决定性因素。将实测水位作为模型初始流场带入模型计算，将模型计算结果与实际观测数据进行比较，从而对模型进行校正检验，计算得到的流场和实际观测流场对比图见下图。评价范围内水位拟合计算差值</w:t>
      </w:r>
      <w:r>
        <w:rPr>
          <w:rFonts w:ascii="宋体" w:hAnsi="宋体" w:hint="eastAsia"/>
          <w:bCs/>
        </w:rPr>
        <w:t>符合要求</w:t>
      </w:r>
      <w:r>
        <w:rPr>
          <w:rFonts w:ascii="宋体" w:hAnsi="宋体"/>
          <w:bCs/>
        </w:rPr>
        <w:t>，模型表现较为可靠。</w:t>
      </w:r>
    </w:p>
    <w:p w:rsidR="004E3021" w:rsidRDefault="00606E48">
      <w:pPr>
        <w:ind w:firstLineChars="0" w:firstLine="0"/>
        <w:jc w:val="center"/>
        <w:rPr>
          <w:bCs/>
        </w:rPr>
      </w:pPr>
      <w:r>
        <w:rPr>
          <w:noProof/>
        </w:rPr>
        <w:lastRenderedPageBreak/>
        <w:drawing>
          <wp:inline distT="0" distB="0" distL="0" distR="0">
            <wp:extent cx="5267325" cy="3067050"/>
            <wp:effectExtent l="0" t="0" r="9525" b="0"/>
            <wp:docPr id="51" name="图片 51" descr="C:\Users\ADMINI~1\AppData\Local\Temp\ksohtml\wps4BD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ADMINI~1\AppData\Local\Temp\ksohtml\wps4BD0.tmp.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5267325" cy="3067050"/>
                    </a:xfrm>
                    <a:prstGeom prst="rect">
                      <a:avLst/>
                    </a:prstGeom>
                    <a:noFill/>
                    <a:ln>
                      <a:noFill/>
                    </a:ln>
                  </pic:spPr>
                </pic:pic>
              </a:graphicData>
            </a:graphic>
          </wp:inline>
        </w:drawing>
      </w:r>
      <w:r>
        <w:rPr>
          <w:bCs/>
        </w:rPr>
        <w:t xml:space="preserve"> </w:t>
      </w:r>
    </w:p>
    <w:p w:rsidR="004E3021" w:rsidRDefault="00606E48">
      <w:pPr>
        <w:pStyle w:val="afffff4"/>
        <w:ind w:firstLine="480"/>
      </w:pPr>
      <w:r>
        <w:rPr>
          <w:rFonts w:ascii="黑体" w:hAnsi="黑体"/>
        </w:rPr>
        <w:t>图</w:t>
      </w:r>
      <w:r>
        <w:rPr>
          <w:rFonts w:hint="eastAsia"/>
        </w:rPr>
        <w:t>5</w:t>
      </w:r>
      <w:r>
        <w:t xml:space="preserve">.5.9-1  </w:t>
      </w:r>
      <w:r>
        <w:rPr>
          <w:rFonts w:ascii="黑体" w:hAnsi="黑体"/>
        </w:rPr>
        <w:t>评价范围实测水位与模拟水位对比图</w:t>
      </w:r>
    </w:p>
    <w:p w:rsidR="004E3021" w:rsidRDefault="00606E48">
      <w:pPr>
        <w:wordWrap w:val="0"/>
        <w:ind w:firstLine="480"/>
        <w:rPr>
          <w:b/>
          <w:bCs/>
        </w:rPr>
      </w:pPr>
      <w:r>
        <w:rPr>
          <w:rFonts w:ascii="宋体" w:hAnsi="宋体"/>
          <w:bCs/>
        </w:rPr>
        <w:t>（</w:t>
      </w:r>
      <w:r>
        <w:rPr>
          <w:bCs/>
        </w:rPr>
        <w:t>2</w:t>
      </w:r>
      <w:r>
        <w:rPr>
          <w:rFonts w:ascii="宋体" w:hAnsi="宋体"/>
          <w:bCs/>
        </w:rPr>
        <w:t>）水均衡</w:t>
      </w:r>
    </w:p>
    <w:p w:rsidR="004E3021" w:rsidRDefault="00606E48">
      <w:pPr>
        <w:wordWrap w:val="0"/>
        <w:ind w:firstLine="480"/>
        <w:rPr>
          <w:b/>
          <w:bCs/>
        </w:rPr>
      </w:pPr>
      <w:r>
        <w:rPr>
          <w:rFonts w:ascii="宋体" w:hAnsi="宋体"/>
          <w:bCs/>
        </w:rPr>
        <w:t>模拟计算区（评价范围）水均衡结果见下表。</w:t>
      </w:r>
    </w:p>
    <w:p w:rsidR="004E3021" w:rsidRDefault="00606E48">
      <w:pPr>
        <w:pStyle w:val="afffff4"/>
        <w:ind w:firstLine="480"/>
        <w:rPr>
          <w:b/>
        </w:rPr>
      </w:pPr>
      <w:r>
        <w:rPr>
          <w:rFonts w:ascii="黑体" w:hAnsi="黑体"/>
        </w:rPr>
        <w:t>表</w:t>
      </w:r>
      <w:r>
        <w:rPr>
          <w:rFonts w:hint="eastAsia"/>
        </w:rPr>
        <w:t>5.</w:t>
      </w:r>
      <w:r>
        <w:t>5.9-</w:t>
      </w:r>
      <w:r>
        <w:rPr>
          <w:rFonts w:hint="eastAsia"/>
        </w:rPr>
        <w:t>1</w:t>
      </w:r>
      <w:r>
        <w:t xml:space="preserve">  </w:t>
      </w:r>
      <w:r>
        <w:rPr>
          <w:rFonts w:ascii="黑体" w:hAnsi="黑体"/>
        </w:rPr>
        <w:t>模拟计算区水均衡结果（</w:t>
      </w:r>
      <w:r>
        <w:t>m</w:t>
      </w:r>
      <w:r>
        <w:rPr>
          <w:vertAlign w:val="superscript"/>
        </w:rPr>
        <w:t>3</w:t>
      </w:r>
      <w:r>
        <w:t>/d</w:t>
      </w:r>
      <w:r>
        <w:rPr>
          <w:rFonts w:ascii="黑体" w:hAnsi="黑体"/>
        </w:rPr>
        <w:t>）</w:t>
      </w:r>
    </w:p>
    <w:tbl>
      <w:tblPr>
        <w:tblW w:w="5000" w:type="pct"/>
        <w:jc w:val="center"/>
        <w:tblLook w:val="04A0" w:firstRow="1" w:lastRow="0" w:firstColumn="1" w:lastColumn="0" w:noHBand="0" w:noVBand="1"/>
      </w:tblPr>
      <w:tblGrid>
        <w:gridCol w:w="3650"/>
        <w:gridCol w:w="2851"/>
        <w:gridCol w:w="2526"/>
      </w:tblGrid>
      <w:tr w:rsidR="004E3021" w:rsidRPr="00BC57D1">
        <w:trPr>
          <w:jc w:val="center"/>
        </w:trPr>
        <w:tc>
          <w:tcPr>
            <w:tcW w:w="2022" w:type="pct"/>
            <w:tcBorders>
              <w:top w:val="single" w:sz="12" w:space="0" w:color="auto"/>
              <w:left w:val="nil"/>
              <w:bottom w:val="single" w:sz="4" w:space="0" w:color="auto"/>
              <w:right w:val="single" w:sz="4" w:space="0" w:color="auto"/>
            </w:tcBorders>
          </w:tcPr>
          <w:p w:rsidR="004E3021" w:rsidRPr="00BC57D1" w:rsidRDefault="00606E48">
            <w:pPr>
              <w:pStyle w:val="afffffff2"/>
              <w:rPr>
                <w:b/>
                <w:kern w:val="0"/>
                <w:sz w:val="21"/>
                <w:szCs w:val="21"/>
              </w:rPr>
            </w:pPr>
            <w:r w:rsidRPr="00BC57D1">
              <w:rPr>
                <w:b/>
                <w:kern w:val="0"/>
                <w:sz w:val="21"/>
                <w:szCs w:val="21"/>
              </w:rPr>
              <w:t>水均衡要素</w:t>
            </w:r>
          </w:p>
        </w:tc>
        <w:tc>
          <w:tcPr>
            <w:tcW w:w="1579" w:type="pct"/>
            <w:tcBorders>
              <w:top w:val="single" w:sz="12" w:space="0" w:color="auto"/>
              <w:left w:val="single" w:sz="4" w:space="0" w:color="auto"/>
              <w:bottom w:val="single" w:sz="4" w:space="0" w:color="auto"/>
              <w:right w:val="single" w:sz="4" w:space="0" w:color="auto"/>
            </w:tcBorders>
          </w:tcPr>
          <w:p w:rsidR="004E3021" w:rsidRPr="00BC57D1" w:rsidRDefault="00606E48">
            <w:pPr>
              <w:pStyle w:val="afffffff2"/>
              <w:rPr>
                <w:b/>
                <w:kern w:val="0"/>
                <w:sz w:val="21"/>
                <w:szCs w:val="21"/>
              </w:rPr>
            </w:pPr>
            <w:r w:rsidRPr="00BC57D1">
              <w:rPr>
                <w:b/>
                <w:kern w:val="0"/>
                <w:sz w:val="21"/>
                <w:szCs w:val="21"/>
              </w:rPr>
              <w:t>源</w:t>
            </w:r>
          </w:p>
        </w:tc>
        <w:tc>
          <w:tcPr>
            <w:tcW w:w="1399" w:type="pct"/>
            <w:tcBorders>
              <w:top w:val="single" w:sz="12" w:space="0" w:color="auto"/>
              <w:left w:val="single" w:sz="4" w:space="0" w:color="auto"/>
              <w:bottom w:val="single" w:sz="4" w:space="0" w:color="auto"/>
              <w:right w:val="nil"/>
            </w:tcBorders>
          </w:tcPr>
          <w:p w:rsidR="004E3021" w:rsidRPr="00BC57D1" w:rsidRDefault="00606E48">
            <w:pPr>
              <w:pStyle w:val="afffffff2"/>
              <w:rPr>
                <w:b/>
                <w:kern w:val="0"/>
                <w:sz w:val="21"/>
                <w:szCs w:val="21"/>
              </w:rPr>
            </w:pPr>
            <w:r w:rsidRPr="00BC57D1">
              <w:rPr>
                <w:b/>
                <w:kern w:val="0"/>
                <w:sz w:val="21"/>
                <w:szCs w:val="21"/>
              </w:rPr>
              <w:t>汇</w:t>
            </w:r>
          </w:p>
        </w:tc>
      </w:tr>
      <w:tr w:rsidR="004E3021" w:rsidRPr="00BC57D1">
        <w:trPr>
          <w:jc w:val="center"/>
        </w:trPr>
        <w:tc>
          <w:tcPr>
            <w:tcW w:w="2022"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入渗补给</w:t>
            </w:r>
            <w:r w:rsidRPr="00BC57D1">
              <w:rPr>
                <w:kern w:val="0"/>
                <w:sz w:val="21"/>
                <w:szCs w:val="21"/>
              </w:rPr>
              <w:t>—</w:t>
            </w:r>
            <w:r w:rsidRPr="00BC57D1">
              <w:rPr>
                <w:kern w:val="0"/>
                <w:sz w:val="21"/>
                <w:szCs w:val="21"/>
              </w:rPr>
              <w:t>蒸发量</w:t>
            </w:r>
          </w:p>
        </w:tc>
        <w:tc>
          <w:tcPr>
            <w:tcW w:w="1579"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rFonts w:hint="eastAsia"/>
                <w:kern w:val="0"/>
                <w:sz w:val="21"/>
                <w:szCs w:val="21"/>
              </w:rPr>
              <w:t>1.97</w:t>
            </w:r>
          </w:p>
        </w:tc>
        <w:tc>
          <w:tcPr>
            <w:tcW w:w="1399"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kern w:val="0"/>
                <w:sz w:val="21"/>
                <w:szCs w:val="21"/>
              </w:rPr>
              <w:t>0</w:t>
            </w:r>
          </w:p>
        </w:tc>
      </w:tr>
      <w:tr w:rsidR="004E3021" w:rsidRPr="00BC57D1">
        <w:trPr>
          <w:jc w:val="center"/>
        </w:trPr>
        <w:tc>
          <w:tcPr>
            <w:tcW w:w="2022"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侧向补给</w:t>
            </w:r>
            <w:r w:rsidRPr="00BC57D1">
              <w:rPr>
                <w:kern w:val="0"/>
                <w:sz w:val="21"/>
                <w:szCs w:val="21"/>
              </w:rPr>
              <w:t>/</w:t>
            </w:r>
            <w:r w:rsidRPr="00BC57D1">
              <w:rPr>
                <w:kern w:val="0"/>
                <w:sz w:val="21"/>
                <w:szCs w:val="21"/>
              </w:rPr>
              <w:t>排泄量</w:t>
            </w:r>
          </w:p>
        </w:tc>
        <w:tc>
          <w:tcPr>
            <w:tcW w:w="1579"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rFonts w:hint="eastAsia"/>
                <w:kern w:val="0"/>
                <w:sz w:val="21"/>
                <w:szCs w:val="21"/>
              </w:rPr>
              <w:t>223.13</w:t>
            </w:r>
          </w:p>
        </w:tc>
        <w:tc>
          <w:tcPr>
            <w:tcW w:w="1399"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rFonts w:hint="eastAsia"/>
                <w:kern w:val="0"/>
                <w:sz w:val="21"/>
                <w:szCs w:val="21"/>
              </w:rPr>
              <w:t>225.36</w:t>
            </w:r>
          </w:p>
        </w:tc>
      </w:tr>
      <w:tr w:rsidR="004E3021" w:rsidRPr="00BC57D1">
        <w:trPr>
          <w:jc w:val="center"/>
        </w:trPr>
        <w:tc>
          <w:tcPr>
            <w:tcW w:w="2022" w:type="pct"/>
            <w:tcBorders>
              <w:top w:val="single" w:sz="4" w:space="0" w:color="auto"/>
              <w:left w:val="nil"/>
              <w:bottom w:val="single" w:sz="4"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总和</w:t>
            </w:r>
          </w:p>
        </w:tc>
        <w:tc>
          <w:tcPr>
            <w:tcW w:w="1579" w:type="pct"/>
            <w:tcBorders>
              <w:top w:val="single" w:sz="4" w:space="0" w:color="auto"/>
              <w:left w:val="single" w:sz="4" w:space="0" w:color="auto"/>
              <w:bottom w:val="single" w:sz="4" w:space="0" w:color="auto"/>
              <w:right w:val="single" w:sz="4" w:space="0" w:color="auto"/>
            </w:tcBorders>
          </w:tcPr>
          <w:p w:rsidR="004E3021" w:rsidRPr="00BC57D1" w:rsidRDefault="00606E48">
            <w:pPr>
              <w:pStyle w:val="afffffff2"/>
              <w:rPr>
                <w:kern w:val="0"/>
                <w:sz w:val="21"/>
                <w:szCs w:val="21"/>
              </w:rPr>
            </w:pPr>
            <w:r w:rsidRPr="00BC57D1">
              <w:rPr>
                <w:rFonts w:hint="eastAsia"/>
                <w:kern w:val="0"/>
                <w:sz w:val="21"/>
                <w:szCs w:val="21"/>
              </w:rPr>
              <w:t>225.1</w:t>
            </w:r>
          </w:p>
        </w:tc>
        <w:tc>
          <w:tcPr>
            <w:tcW w:w="1399" w:type="pct"/>
            <w:tcBorders>
              <w:top w:val="single" w:sz="4" w:space="0" w:color="auto"/>
              <w:left w:val="single" w:sz="4" w:space="0" w:color="auto"/>
              <w:bottom w:val="single" w:sz="4" w:space="0" w:color="auto"/>
              <w:right w:val="nil"/>
            </w:tcBorders>
          </w:tcPr>
          <w:p w:rsidR="004E3021" w:rsidRPr="00BC57D1" w:rsidRDefault="00606E48">
            <w:pPr>
              <w:pStyle w:val="afffffff2"/>
              <w:rPr>
                <w:kern w:val="0"/>
                <w:sz w:val="21"/>
                <w:szCs w:val="21"/>
              </w:rPr>
            </w:pPr>
            <w:r w:rsidRPr="00BC57D1">
              <w:rPr>
                <w:rFonts w:hint="eastAsia"/>
                <w:kern w:val="0"/>
                <w:sz w:val="21"/>
                <w:szCs w:val="21"/>
              </w:rPr>
              <w:t>225.36</w:t>
            </w:r>
          </w:p>
        </w:tc>
      </w:tr>
      <w:tr w:rsidR="004E3021" w:rsidRPr="00BC57D1">
        <w:trPr>
          <w:jc w:val="center"/>
        </w:trPr>
        <w:tc>
          <w:tcPr>
            <w:tcW w:w="2022" w:type="pct"/>
            <w:tcBorders>
              <w:top w:val="single" w:sz="4" w:space="0" w:color="auto"/>
              <w:left w:val="nil"/>
              <w:bottom w:val="single" w:sz="12" w:space="0" w:color="auto"/>
              <w:right w:val="single" w:sz="4" w:space="0" w:color="auto"/>
            </w:tcBorders>
          </w:tcPr>
          <w:p w:rsidR="004E3021" w:rsidRPr="00BC57D1" w:rsidRDefault="00606E48">
            <w:pPr>
              <w:pStyle w:val="afffffff2"/>
              <w:rPr>
                <w:kern w:val="0"/>
                <w:sz w:val="21"/>
                <w:szCs w:val="21"/>
              </w:rPr>
            </w:pPr>
            <w:r w:rsidRPr="00BC57D1">
              <w:rPr>
                <w:kern w:val="0"/>
                <w:sz w:val="21"/>
                <w:szCs w:val="21"/>
              </w:rPr>
              <w:t>均衡差</w:t>
            </w:r>
          </w:p>
        </w:tc>
        <w:tc>
          <w:tcPr>
            <w:tcW w:w="2978" w:type="pct"/>
            <w:gridSpan w:val="2"/>
            <w:tcBorders>
              <w:top w:val="single" w:sz="4" w:space="0" w:color="auto"/>
              <w:left w:val="single" w:sz="4" w:space="0" w:color="auto"/>
              <w:bottom w:val="single" w:sz="12" w:space="0" w:color="auto"/>
              <w:right w:val="nil"/>
            </w:tcBorders>
          </w:tcPr>
          <w:p w:rsidR="004E3021" w:rsidRPr="00BC57D1" w:rsidRDefault="00606E48">
            <w:pPr>
              <w:pStyle w:val="afffffff2"/>
              <w:rPr>
                <w:kern w:val="0"/>
                <w:sz w:val="21"/>
                <w:szCs w:val="21"/>
              </w:rPr>
            </w:pPr>
            <w:r w:rsidRPr="00BC57D1">
              <w:rPr>
                <w:rFonts w:hint="eastAsia"/>
                <w:kern w:val="0"/>
                <w:sz w:val="21"/>
                <w:szCs w:val="21"/>
              </w:rPr>
              <w:t>0.026</w:t>
            </w:r>
          </w:p>
        </w:tc>
      </w:tr>
    </w:tbl>
    <w:p w:rsidR="004E3021" w:rsidRDefault="00606E48">
      <w:pPr>
        <w:widowControl/>
        <w:ind w:firstLine="480"/>
        <w:rPr>
          <w:b/>
          <w:bCs/>
        </w:rPr>
      </w:pPr>
      <w:r>
        <w:rPr>
          <w:rFonts w:ascii="宋体" w:hAnsi="宋体"/>
          <w:bCs/>
        </w:rPr>
        <w:t>对数值模型进行计算求解，通过水均衡观测和模拟计算的流场对比以及观测孔水位拟合情况，对模型进行识别验证，识别后各参数为：第一层渗透系数</w:t>
      </w:r>
      <w:r>
        <w:rPr>
          <w:rFonts w:hint="eastAsia"/>
          <w:bCs/>
        </w:rPr>
        <w:t>1.2</w:t>
      </w:r>
      <w:r>
        <w:rPr>
          <w:bCs/>
        </w:rPr>
        <w:t>m/d</w:t>
      </w:r>
      <w:r>
        <w:rPr>
          <w:rFonts w:ascii="宋体" w:hAnsi="宋体"/>
          <w:bCs/>
        </w:rPr>
        <w:t>；第二层渗透系数</w:t>
      </w:r>
      <w:r>
        <w:rPr>
          <w:rFonts w:hint="eastAsia"/>
          <w:bCs/>
        </w:rPr>
        <w:t>0.15</w:t>
      </w:r>
      <w:r>
        <w:rPr>
          <w:bCs/>
        </w:rPr>
        <w:t>m/d</w:t>
      </w:r>
      <w:r>
        <w:rPr>
          <w:rFonts w:ascii="宋体" w:hAnsi="宋体"/>
          <w:bCs/>
        </w:rPr>
        <w:t>；第</w:t>
      </w:r>
      <w:r>
        <w:rPr>
          <w:rFonts w:ascii="宋体" w:hAnsi="宋体" w:hint="eastAsia"/>
          <w:bCs/>
        </w:rPr>
        <w:t>三</w:t>
      </w:r>
      <w:r>
        <w:rPr>
          <w:rFonts w:ascii="宋体" w:hAnsi="宋体"/>
          <w:bCs/>
        </w:rPr>
        <w:t>层渗透系数</w:t>
      </w:r>
      <w:r>
        <w:rPr>
          <w:rFonts w:hint="eastAsia"/>
          <w:bCs/>
        </w:rPr>
        <w:t>10</w:t>
      </w:r>
      <w:r>
        <w:rPr>
          <w:bCs/>
        </w:rPr>
        <w:t>m/d</w:t>
      </w:r>
      <w:r>
        <w:rPr>
          <w:rFonts w:ascii="宋体" w:hAnsi="宋体"/>
          <w:bCs/>
        </w:rPr>
        <w:t>；第</w:t>
      </w:r>
      <w:r>
        <w:rPr>
          <w:rFonts w:ascii="宋体" w:hAnsi="宋体" w:hint="eastAsia"/>
          <w:bCs/>
        </w:rPr>
        <w:t>四</w:t>
      </w:r>
      <w:r>
        <w:rPr>
          <w:rFonts w:ascii="宋体" w:hAnsi="宋体"/>
          <w:bCs/>
        </w:rPr>
        <w:t>层渗透系数</w:t>
      </w:r>
      <w:r>
        <w:rPr>
          <w:rFonts w:hint="eastAsia"/>
          <w:bCs/>
        </w:rPr>
        <w:t>0.25</w:t>
      </w:r>
      <w:r>
        <w:rPr>
          <w:bCs/>
        </w:rPr>
        <w:t>m/d</w:t>
      </w:r>
      <w:r>
        <w:rPr>
          <w:rFonts w:ascii="宋体" w:hAnsi="宋体"/>
          <w:bCs/>
        </w:rPr>
        <w:t>。</w:t>
      </w:r>
    </w:p>
    <w:p w:rsidR="004E3021" w:rsidRDefault="00606E48">
      <w:pPr>
        <w:ind w:firstLineChars="150" w:firstLine="360"/>
        <w:rPr>
          <w:b/>
          <w:bCs/>
        </w:rPr>
      </w:pPr>
      <w:r>
        <w:rPr>
          <w:rFonts w:ascii="宋体" w:hAnsi="宋体"/>
          <w:bCs/>
        </w:rPr>
        <w:t>根据对地下水水位及水均衡计算结果的分析，</w:t>
      </w:r>
      <w:r>
        <w:rPr>
          <w:rFonts w:ascii="宋体" w:hAnsi="宋体" w:hint="eastAsia"/>
          <w:bCs/>
        </w:rPr>
        <w:t>模拟区为近似独立的水文地质单元，地下水主要接受大气降雨补给，以蒸发和向下排泄为主，模型与实际情况符合，从一定程度上反应模型计算结果的合理性</w:t>
      </w:r>
      <w:r>
        <w:rPr>
          <w:rFonts w:ascii="宋体" w:hAnsi="宋体"/>
          <w:bCs/>
        </w:rPr>
        <w:t>。</w:t>
      </w:r>
    </w:p>
    <w:p w:rsidR="004E3021" w:rsidRDefault="00606E48">
      <w:pPr>
        <w:pStyle w:val="afffffffffffffffff4"/>
      </w:pPr>
      <w:bookmarkStart w:id="504" w:name="_Toc52175560"/>
      <w:bookmarkStart w:id="505" w:name="_Toc100784060"/>
      <w:bookmarkStart w:id="506" w:name="_Toc101135892"/>
      <w:bookmarkStart w:id="507" w:name="_Toc108662669"/>
      <w:bookmarkStart w:id="508" w:name="_Toc221088824"/>
      <w:bookmarkStart w:id="509" w:name="_Toc221501039"/>
      <w:bookmarkEnd w:id="504"/>
      <w:r>
        <w:rPr>
          <w:rFonts w:hint="eastAsia"/>
        </w:rPr>
        <w:t>5.5.10</w:t>
      </w:r>
      <w:r>
        <w:rPr>
          <w:rFonts w:hint="eastAsia"/>
        </w:rPr>
        <w:t>地下水环境影响预测评价</w:t>
      </w:r>
      <w:bookmarkEnd w:id="505"/>
      <w:bookmarkEnd w:id="506"/>
      <w:bookmarkEnd w:id="507"/>
      <w:bookmarkEnd w:id="508"/>
      <w:bookmarkEnd w:id="509"/>
    </w:p>
    <w:p w:rsidR="004E3021" w:rsidRDefault="00606E48">
      <w:pPr>
        <w:ind w:firstLine="520"/>
        <w:jc w:val="left"/>
        <w:textAlignment w:val="baseline"/>
        <w:rPr>
          <w:spacing w:val="10"/>
        </w:rPr>
      </w:pPr>
      <w:r>
        <w:rPr>
          <w:rFonts w:hint="eastAsia"/>
          <w:spacing w:val="10"/>
        </w:rPr>
        <w:t>本次污染物运移采用</w:t>
      </w:r>
      <w:r>
        <w:rPr>
          <w:rFonts w:hint="eastAsia"/>
          <w:spacing w:val="10"/>
        </w:rPr>
        <w:t>GMS</w:t>
      </w:r>
      <w:r>
        <w:rPr>
          <w:rFonts w:hint="eastAsia"/>
          <w:spacing w:val="10"/>
        </w:rPr>
        <w:t>界面下的</w:t>
      </w:r>
      <w:r>
        <w:rPr>
          <w:rFonts w:hint="eastAsia"/>
          <w:spacing w:val="10"/>
        </w:rPr>
        <w:t>MT3DMS</w:t>
      </w:r>
      <w:r>
        <w:rPr>
          <w:rFonts w:hint="eastAsia"/>
          <w:spacing w:val="10"/>
        </w:rPr>
        <w:t>软件进行模拟，本着风险最大化原则，在模拟污染物运移扩散时不考虑吸附作用、化学反应等因素，重点考虑对流弥散作用。</w:t>
      </w:r>
    </w:p>
    <w:p w:rsidR="004E3021" w:rsidRDefault="00606E48">
      <w:pPr>
        <w:ind w:firstLine="520"/>
        <w:jc w:val="left"/>
        <w:textAlignment w:val="baseline"/>
        <w:rPr>
          <w:spacing w:val="10"/>
        </w:rPr>
      </w:pPr>
      <w:r>
        <w:rPr>
          <w:rFonts w:hint="eastAsia"/>
          <w:spacing w:val="10"/>
        </w:rPr>
        <w:lastRenderedPageBreak/>
        <w:t>（</w:t>
      </w:r>
      <w:r>
        <w:rPr>
          <w:rFonts w:hint="eastAsia"/>
          <w:spacing w:val="10"/>
        </w:rPr>
        <w:t>1</w:t>
      </w:r>
      <w:r>
        <w:rPr>
          <w:rFonts w:hint="eastAsia"/>
          <w:spacing w:val="10"/>
        </w:rPr>
        <w:t>）预测时段</w:t>
      </w:r>
    </w:p>
    <w:p w:rsidR="004E3021" w:rsidRDefault="00606E48">
      <w:pPr>
        <w:ind w:firstLine="520"/>
        <w:jc w:val="left"/>
        <w:textAlignment w:val="baseline"/>
        <w:rPr>
          <w:spacing w:val="10"/>
        </w:rPr>
      </w:pPr>
      <w:r>
        <w:rPr>
          <w:rFonts w:hint="eastAsia"/>
          <w:spacing w:val="10"/>
        </w:rPr>
        <w:t>本次选取可能产生地下水污染的关键时段，本次共分</w:t>
      </w:r>
      <w:r>
        <w:rPr>
          <w:rFonts w:hint="eastAsia"/>
          <w:spacing w:val="10"/>
        </w:rPr>
        <w:t>100d</w:t>
      </w:r>
      <w:r>
        <w:rPr>
          <w:rFonts w:hint="eastAsia"/>
          <w:spacing w:val="10"/>
        </w:rPr>
        <w:t>、</w:t>
      </w:r>
      <w:r>
        <w:rPr>
          <w:rFonts w:hint="eastAsia"/>
          <w:spacing w:val="10"/>
        </w:rPr>
        <w:t>1000d</w:t>
      </w:r>
      <w:r>
        <w:rPr>
          <w:rFonts w:hint="eastAsia"/>
          <w:spacing w:val="10"/>
        </w:rPr>
        <w:t>、</w:t>
      </w:r>
      <w:r>
        <w:rPr>
          <w:rFonts w:hint="eastAsia"/>
          <w:spacing w:val="10"/>
        </w:rPr>
        <w:t>3650d</w:t>
      </w:r>
      <w:r>
        <w:rPr>
          <w:rFonts w:hint="eastAsia"/>
          <w:spacing w:val="10"/>
        </w:rPr>
        <w:t>、</w:t>
      </w:r>
      <w:r>
        <w:rPr>
          <w:rFonts w:hint="eastAsia"/>
          <w:spacing w:val="10"/>
        </w:rPr>
        <w:t>7300d</w:t>
      </w:r>
      <w:r>
        <w:rPr>
          <w:rFonts w:hint="eastAsia"/>
          <w:spacing w:val="10"/>
        </w:rPr>
        <w:t>三个时间节点分别进行预测。</w:t>
      </w:r>
    </w:p>
    <w:p w:rsidR="004E3021" w:rsidRDefault="00606E48">
      <w:pPr>
        <w:ind w:firstLine="520"/>
        <w:jc w:val="left"/>
        <w:textAlignment w:val="baseline"/>
        <w:rPr>
          <w:spacing w:val="10"/>
        </w:rPr>
      </w:pPr>
      <w:r>
        <w:rPr>
          <w:rFonts w:hint="eastAsia"/>
          <w:spacing w:val="10"/>
        </w:rPr>
        <w:t>（</w:t>
      </w:r>
      <w:r>
        <w:rPr>
          <w:rFonts w:hint="eastAsia"/>
          <w:spacing w:val="10"/>
        </w:rPr>
        <w:t>2</w:t>
      </w:r>
      <w:r>
        <w:rPr>
          <w:rFonts w:hint="eastAsia"/>
          <w:spacing w:val="10"/>
        </w:rPr>
        <w:t>）预测方案</w:t>
      </w:r>
    </w:p>
    <w:p w:rsidR="004E3021" w:rsidRDefault="00606E48">
      <w:pPr>
        <w:ind w:firstLine="520"/>
        <w:jc w:val="left"/>
        <w:textAlignment w:val="baseline"/>
        <w:rPr>
          <w:spacing w:val="10"/>
        </w:rPr>
      </w:pPr>
      <w:r>
        <w:rPr>
          <w:rFonts w:hint="eastAsia"/>
          <w:spacing w:val="10"/>
        </w:rPr>
        <w:t>调节池在正常工况下不会发生泄漏，当调节池在非正常工况下，可能会有</w:t>
      </w:r>
      <w:r>
        <w:rPr>
          <w:rFonts w:hint="eastAsia"/>
          <w:color w:val="000000" w:themeColor="text1"/>
          <w:spacing w:val="10"/>
        </w:rPr>
        <w:t>部分污染物渗出，并直接进入潜水含水层，从而污染地下水。调节池污染组分主要为</w:t>
      </w:r>
      <w:r>
        <w:rPr>
          <w:color w:val="000000" w:themeColor="text1"/>
        </w:rPr>
        <w:t>COD</w:t>
      </w:r>
      <w:r>
        <w:rPr>
          <w:color w:val="000000" w:themeColor="text1"/>
          <w:vertAlign w:val="subscript"/>
        </w:rPr>
        <w:t>Mn</w:t>
      </w:r>
      <w:r>
        <w:rPr>
          <w:rFonts w:hint="eastAsia"/>
          <w:color w:val="000000" w:themeColor="text1"/>
          <w:spacing w:val="10"/>
        </w:rPr>
        <w:t>。本着风险最大化原则，本次选取调节池与酸洗废水预处理设施非正常工况下发生泄漏的预测，其污染物排放方式为连续恒定排</w:t>
      </w:r>
      <w:r>
        <w:rPr>
          <w:rFonts w:hint="eastAsia"/>
          <w:spacing w:val="10"/>
        </w:rPr>
        <w:t>放。</w:t>
      </w:r>
    </w:p>
    <w:p w:rsidR="004E3021" w:rsidRDefault="00606E48">
      <w:pPr>
        <w:wordWrap w:val="0"/>
        <w:ind w:firstLine="520"/>
        <w:jc w:val="left"/>
        <w:textAlignment w:val="baseline"/>
        <w:rPr>
          <w:color w:val="000000" w:themeColor="text1"/>
          <w:spacing w:val="10"/>
        </w:rPr>
      </w:pPr>
      <w:r>
        <w:rPr>
          <w:rFonts w:hint="eastAsia"/>
          <w:color w:val="000000" w:themeColor="text1"/>
          <w:spacing w:val="10"/>
        </w:rPr>
        <w:t>根据本项目进水水质，选取</w:t>
      </w:r>
      <w:r>
        <w:rPr>
          <w:color w:val="000000" w:themeColor="text1"/>
        </w:rPr>
        <w:t>COD</w:t>
      </w:r>
      <w:r>
        <w:rPr>
          <w:color w:val="000000" w:themeColor="text1"/>
          <w:vertAlign w:val="subscript"/>
        </w:rPr>
        <w:t>Mn</w:t>
      </w:r>
      <w:r>
        <w:rPr>
          <w:rFonts w:hint="eastAsia"/>
          <w:color w:val="000000" w:themeColor="text1"/>
          <w:spacing w:val="10"/>
        </w:rPr>
        <w:t>作为特征因子进行预测。</w:t>
      </w:r>
      <w:r>
        <w:rPr>
          <w:color w:val="000000" w:themeColor="text1"/>
        </w:rPr>
        <w:t>根据扬州市环境监测中心站《水质监测中</w:t>
      </w:r>
      <w:r>
        <w:rPr>
          <w:color w:val="000000" w:themeColor="text1"/>
        </w:rPr>
        <w:t>COD</w:t>
      </w:r>
      <w:r>
        <w:rPr>
          <w:color w:val="000000" w:themeColor="text1"/>
          <w:vertAlign w:val="subscript"/>
        </w:rPr>
        <w:t>Cr</w:t>
      </w:r>
      <w:r>
        <w:rPr>
          <w:color w:val="000000" w:themeColor="text1"/>
        </w:rPr>
        <w:t>、</w:t>
      </w:r>
      <w:r>
        <w:rPr>
          <w:color w:val="000000" w:themeColor="text1"/>
        </w:rPr>
        <w:t>COD</w:t>
      </w:r>
      <w:r>
        <w:rPr>
          <w:color w:val="000000" w:themeColor="text1"/>
          <w:vertAlign w:val="subscript"/>
        </w:rPr>
        <w:t>Mn</w:t>
      </w:r>
      <w:r>
        <w:rPr>
          <w:color w:val="000000" w:themeColor="text1"/>
        </w:rPr>
        <w:t>、</w:t>
      </w:r>
      <w:r>
        <w:rPr>
          <w:color w:val="000000" w:themeColor="text1"/>
        </w:rPr>
        <w:t>BOD</w:t>
      </w:r>
      <w:r>
        <w:rPr>
          <w:color w:val="000000" w:themeColor="text1"/>
        </w:rPr>
        <w:t>的关系》、常州市环境监测中心站《浅谈水质</w:t>
      </w:r>
      <w:r>
        <w:rPr>
          <w:color w:val="000000" w:themeColor="text1"/>
        </w:rPr>
        <w:t>COD</w:t>
      </w:r>
      <w:r>
        <w:rPr>
          <w:color w:val="000000" w:themeColor="text1"/>
          <w:vertAlign w:val="subscript"/>
        </w:rPr>
        <w:t>Cr</w:t>
      </w:r>
      <w:r>
        <w:rPr>
          <w:color w:val="000000" w:themeColor="text1"/>
        </w:rPr>
        <w:t>、</w:t>
      </w:r>
      <w:r>
        <w:rPr>
          <w:color w:val="000000" w:themeColor="text1"/>
        </w:rPr>
        <w:t>COD</w:t>
      </w:r>
      <w:r>
        <w:rPr>
          <w:color w:val="000000" w:themeColor="text1"/>
          <w:vertAlign w:val="subscript"/>
        </w:rPr>
        <w:t>Mn</w:t>
      </w:r>
      <w:r>
        <w:rPr>
          <w:color w:val="000000" w:themeColor="text1"/>
        </w:rPr>
        <w:t>和</w:t>
      </w:r>
      <w:r>
        <w:rPr>
          <w:color w:val="000000" w:themeColor="text1"/>
        </w:rPr>
        <w:t>BOD</w:t>
      </w:r>
      <w:r>
        <w:rPr>
          <w:color w:val="000000" w:themeColor="text1"/>
          <w:vertAlign w:val="subscript"/>
        </w:rPr>
        <w:t>5</w:t>
      </w:r>
      <w:r>
        <w:rPr>
          <w:color w:val="000000" w:themeColor="text1"/>
        </w:rPr>
        <w:t>三者之间的关系》等文献成果，一般污水水质中高锰酸盐指数一般来说是</w:t>
      </w:r>
      <w:r>
        <w:rPr>
          <w:color w:val="000000" w:themeColor="text1"/>
        </w:rPr>
        <w:t>COD</w:t>
      </w:r>
      <w:r>
        <w:rPr>
          <w:color w:val="000000" w:themeColor="text1"/>
        </w:rPr>
        <w:t>的</w:t>
      </w:r>
      <w:r>
        <w:rPr>
          <w:color w:val="000000" w:themeColor="text1"/>
        </w:rPr>
        <w:t>20%~50%</w:t>
      </w:r>
      <w:r>
        <w:rPr>
          <w:color w:val="000000" w:themeColor="text1"/>
        </w:rPr>
        <w:t>，本次模拟预测按</w:t>
      </w:r>
      <w:r>
        <w:rPr>
          <w:rFonts w:hint="eastAsia"/>
          <w:color w:val="000000" w:themeColor="text1"/>
        </w:rPr>
        <w:t>5</w:t>
      </w:r>
      <w:r>
        <w:rPr>
          <w:color w:val="000000" w:themeColor="text1"/>
        </w:rPr>
        <w:t>0%</w:t>
      </w:r>
      <w:r w:rsidR="00A26569">
        <w:rPr>
          <w:color w:val="000000" w:themeColor="text1"/>
        </w:rPr>
        <w:t>计</w:t>
      </w:r>
      <w:r>
        <w:rPr>
          <w:rFonts w:hint="eastAsia"/>
          <w:color w:val="000000" w:themeColor="text1"/>
        </w:rPr>
        <w:t>。</w:t>
      </w:r>
      <w:r w:rsidR="00A26569">
        <w:rPr>
          <w:rFonts w:hint="eastAsia"/>
          <w:color w:val="000000" w:themeColor="text1"/>
        </w:rPr>
        <w:t>调节池废水中</w:t>
      </w:r>
      <w:r w:rsidR="00A26569">
        <w:rPr>
          <w:rFonts w:hint="eastAsia"/>
          <w:color w:val="000000" w:themeColor="text1"/>
        </w:rPr>
        <w:t>COD</w:t>
      </w:r>
      <w:r w:rsidR="00A26569">
        <w:rPr>
          <w:rFonts w:hint="eastAsia"/>
          <w:color w:val="000000" w:themeColor="text1"/>
        </w:rPr>
        <w:t>浓度为</w:t>
      </w:r>
      <w:r w:rsidR="00A26569">
        <w:rPr>
          <w:rFonts w:hint="eastAsia"/>
          <w:color w:val="000000" w:themeColor="text1"/>
        </w:rPr>
        <w:t>1</w:t>
      </w:r>
      <w:r w:rsidR="00A26569">
        <w:rPr>
          <w:color w:val="000000" w:themeColor="text1"/>
        </w:rPr>
        <w:t>397.494</w:t>
      </w:r>
      <w:r w:rsidR="00A26569" w:rsidRPr="00A26569">
        <w:rPr>
          <w:b/>
          <w:kern w:val="0"/>
          <w:sz w:val="21"/>
          <w:szCs w:val="21"/>
        </w:rPr>
        <w:t xml:space="preserve"> </w:t>
      </w:r>
      <w:r w:rsidR="00A26569" w:rsidRPr="00A26569">
        <w:rPr>
          <w:color w:val="000000" w:themeColor="text1"/>
        </w:rPr>
        <w:t>mg/L</w:t>
      </w:r>
      <w:r w:rsidR="00A26569" w:rsidRPr="00A26569">
        <w:rPr>
          <w:rFonts w:hint="eastAsia"/>
          <w:bCs/>
          <w:color w:val="000000" w:themeColor="text1"/>
        </w:rPr>
        <w:t xml:space="preserve"> </w:t>
      </w:r>
      <w:r w:rsidR="00A26569">
        <w:rPr>
          <w:rFonts w:hint="eastAsia"/>
          <w:bCs/>
          <w:color w:val="000000" w:themeColor="text1"/>
        </w:rPr>
        <w:t>，则高锰酸盐指数为</w:t>
      </w:r>
      <w:r w:rsidR="00A26569">
        <w:rPr>
          <w:rFonts w:hint="eastAsia"/>
          <w:bCs/>
          <w:color w:val="000000" w:themeColor="text1"/>
        </w:rPr>
        <w:t>6</w:t>
      </w:r>
      <w:r w:rsidR="00A26569">
        <w:rPr>
          <w:bCs/>
          <w:color w:val="000000" w:themeColor="text1"/>
        </w:rPr>
        <w:t>99</w:t>
      </w:r>
      <w:r w:rsidR="00A26569" w:rsidRPr="00A26569">
        <w:rPr>
          <w:color w:val="000000" w:themeColor="text1"/>
        </w:rPr>
        <w:t xml:space="preserve"> mg/L</w:t>
      </w:r>
      <w:r w:rsidR="00A26569" w:rsidRPr="00A26569">
        <w:rPr>
          <w:rFonts w:hint="eastAsia"/>
          <w:bCs/>
          <w:color w:val="000000" w:themeColor="text1"/>
        </w:rPr>
        <w:t xml:space="preserve"> </w:t>
      </w:r>
      <w:r w:rsidR="00A26569">
        <w:rPr>
          <w:rFonts w:hint="eastAsia"/>
          <w:bCs/>
          <w:color w:val="000000" w:themeColor="text1"/>
        </w:rPr>
        <w:t>。</w:t>
      </w:r>
      <w:r>
        <w:rPr>
          <w:rFonts w:hint="eastAsia"/>
          <w:bCs/>
          <w:color w:val="000000" w:themeColor="text1"/>
          <w:kern w:val="0"/>
        </w:rPr>
        <w:t>C</w:t>
      </w:r>
      <w:r>
        <w:rPr>
          <w:bCs/>
          <w:color w:val="000000" w:themeColor="text1"/>
          <w:kern w:val="0"/>
        </w:rPr>
        <w:t>OD</w:t>
      </w:r>
      <w:r>
        <w:rPr>
          <w:rFonts w:hint="eastAsia"/>
          <w:bCs/>
          <w:color w:val="000000" w:themeColor="text1"/>
          <w:kern w:val="0"/>
          <w:vertAlign w:val="subscript"/>
        </w:rPr>
        <w:t>Mn</w:t>
      </w:r>
      <w:r>
        <w:rPr>
          <w:rFonts w:hint="eastAsia"/>
          <w:color w:val="000000" w:themeColor="text1"/>
        </w:rPr>
        <w:t>超标范围执行《地下水质量标准》（</w:t>
      </w:r>
      <w:r>
        <w:rPr>
          <w:rFonts w:hint="eastAsia"/>
          <w:color w:val="000000" w:themeColor="text1"/>
        </w:rPr>
        <w:t>GB/T14848-2017</w:t>
      </w:r>
      <w:r>
        <w:rPr>
          <w:rFonts w:hint="eastAsia"/>
          <w:color w:val="000000" w:themeColor="text1"/>
        </w:rPr>
        <w:t>）</w:t>
      </w:r>
      <w:r>
        <w:rPr>
          <w:rFonts w:hint="eastAsia"/>
          <w:color w:val="000000" w:themeColor="text1"/>
        </w:rPr>
        <w:t>III</w:t>
      </w:r>
      <w:r>
        <w:rPr>
          <w:rFonts w:hint="eastAsia"/>
          <w:color w:val="000000" w:themeColor="text1"/>
        </w:rPr>
        <w:t>类标准限值，污染物浓度超过上述标准限值的范围即为浓度超标范围，因此</w:t>
      </w:r>
      <w:r>
        <w:rPr>
          <w:rFonts w:hint="eastAsia"/>
          <w:bCs/>
          <w:color w:val="000000" w:themeColor="text1"/>
          <w:kern w:val="0"/>
        </w:rPr>
        <w:t>C</w:t>
      </w:r>
      <w:r>
        <w:rPr>
          <w:bCs/>
          <w:color w:val="000000" w:themeColor="text1"/>
          <w:kern w:val="0"/>
        </w:rPr>
        <w:t>OD</w:t>
      </w:r>
      <w:r>
        <w:rPr>
          <w:rFonts w:hint="eastAsia"/>
          <w:bCs/>
          <w:color w:val="000000" w:themeColor="text1"/>
          <w:kern w:val="0"/>
          <w:vertAlign w:val="subscript"/>
        </w:rPr>
        <w:t>Mn</w:t>
      </w:r>
      <w:r>
        <w:rPr>
          <w:rFonts w:hint="eastAsia"/>
          <w:color w:val="000000" w:themeColor="text1"/>
        </w:rPr>
        <w:t>标准限值为</w:t>
      </w:r>
      <w:r>
        <w:rPr>
          <w:color w:val="000000" w:themeColor="text1"/>
        </w:rPr>
        <w:t>3</w:t>
      </w:r>
      <w:r>
        <w:rPr>
          <w:rFonts w:hint="eastAsia"/>
          <w:color w:val="000000" w:themeColor="text1"/>
        </w:rPr>
        <w:t>mg/L</w:t>
      </w:r>
      <w:r>
        <w:rPr>
          <w:rFonts w:hint="eastAsia"/>
          <w:color w:val="000000" w:themeColor="text1"/>
        </w:rPr>
        <w:t>。</w:t>
      </w:r>
      <w:r>
        <w:rPr>
          <w:rFonts w:hint="eastAsia"/>
          <w:color w:val="000000" w:themeColor="text1"/>
          <w:spacing w:val="10"/>
        </w:rPr>
        <w:t>污染物浓度超过上述标准限值的范围即为浓度超标范围。</w:t>
      </w:r>
    </w:p>
    <w:p w:rsidR="00A4478C" w:rsidRDefault="00A4478C" w:rsidP="00A4478C">
      <w:pPr>
        <w:pStyle w:val="afffff4"/>
        <w:ind w:firstLine="480"/>
      </w:pPr>
      <w:r>
        <w:rPr>
          <w:rFonts w:hint="eastAsia"/>
        </w:rPr>
        <w:t>表</w:t>
      </w:r>
      <w:r>
        <w:rPr>
          <w:rFonts w:hint="eastAsia"/>
        </w:rPr>
        <w:t>5</w:t>
      </w:r>
      <w:r>
        <w:t>.5.10</w:t>
      </w:r>
      <w:r>
        <w:rPr>
          <w:rFonts w:hint="eastAsia"/>
        </w:rPr>
        <w:t>-</w:t>
      </w:r>
      <w:r>
        <w:t xml:space="preserve">1  </w:t>
      </w:r>
      <w:r>
        <w:rPr>
          <w:rFonts w:hint="eastAsia"/>
        </w:rPr>
        <w:t>主要污染因子标准指数</w:t>
      </w:r>
    </w:p>
    <w:tbl>
      <w:tblPr>
        <w:tblStyle w:val="afff"/>
        <w:tblW w:w="0" w:type="auto"/>
        <w:tblLook w:val="04A0" w:firstRow="1" w:lastRow="0" w:firstColumn="1" w:lastColumn="0" w:noHBand="0" w:noVBand="1"/>
      </w:tblPr>
      <w:tblGrid>
        <w:gridCol w:w="1504"/>
        <w:gridCol w:w="1190"/>
        <w:gridCol w:w="1818"/>
        <w:gridCol w:w="2009"/>
        <w:gridCol w:w="1417"/>
        <w:gridCol w:w="1089"/>
      </w:tblGrid>
      <w:tr w:rsidR="00A4478C" w:rsidRPr="00A4478C" w:rsidTr="00DA16A6">
        <w:tc>
          <w:tcPr>
            <w:tcW w:w="1504" w:type="dxa"/>
            <w:vAlign w:val="center"/>
          </w:tcPr>
          <w:p w:rsidR="00A4478C" w:rsidRPr="00A4478C" w:rsidRDefault="00A4478C" w:rsidP="00A4478C">
            <w:pPr>
              <w:pStyle w:val="afffffff2"/>
              <w:rPr>
                <w:rFonts w:ascii="Times New Roman" w:hAnsi="Times New Roman" w:cs="Times New Roman"/>
                <w:b/>
                <w:kern w:val="0"/>
                <w:sz w:val="21"/>
                <w:szCs w:val="21"/>
              </w:rPr>
            </w:pPr>
            <w:r w:rsidRPr="00A4478C">
              <w:rPr>
                <w:rFonts w:ascii="Times New Roman" w:hAnsi="Times New Roman" w:cs="Times New Roman"/>
                <w:b/>
                <w:kern w:val="0"/>
                <w:sz w:val="21"/>
                <w:szCs w:val="21"/>
              </w:rPr>
              <w:t>事故情景</w:t>
            </w:r>
          </w:p>
        </w:tc>
        <w:tc>
          <w:tcPr>
            <w:tcW w:w="1190" w:type="dxa"/>
            <w:vAlign w:val="center"/>
          </w:tcPr>
          <w:p w:rsidR="00A4478C" w:rsidRPr="00A4478C" w:rsidRDefault="00A4478C" w:rsidP="00A4478C">
            <w:pPr>
              <w:pStyle w:val="afffffff2"/>
              <w:rPr>
                <w:rFonts w:ascii="Times New Roman" w:hAnsi="Times New Roman" w:cs="Times New Roman"/>
                <w:b/>
                <w:kern w:val="0"/>
                <w:sz w:val="21"/>
                <w:szCs w:val="21"/>
              </w:rPr>
            </w:pPr>
            <w:r w:rsidRPr="00A4478C">
              <w:rPr>
                <w:rFonts w:ascii="Times New Roman" w:hAnsi="Times New Roman" w:cs="Times New Roman"/>
                <w:b/>
                <w:kern w:val="0"/>
                <w:sz w:val="21"/>
                <w:szCs w:val="21"/>
              </w:rPr>
              <w:t>污染因子</w:t>
            </w:r>
          </w:p>
        </w:tc>
        <w:tc>
          <w:tcPr>
            <w:tcW w:w="1818" w:type="dxa"/>
            <w:vAlign w:val="center"/>
          </w:tcPr>
          <w:p w:rsidR="00A4478C" w:rsidRPr="00A4478C" w:rsidRDefault="00A4478C" w:rsidP="00A4478C">
            <w:pPr>
              <w:pStyle w:val="afffffff2"/>
              <w:rPr>
                <w:rFonts w:ascii="Times New Roman" w:hAnsi="Times New Roman" w:cs="Times New Roman"/>
                <w:b/>
                <w:kern w:val="0"/>
                <w:sz w:val="21"/>
                <w:szCs w:val="21"/>
              </w:rPr>
            </w:pPr>
            <w:r w:rsidRPr="00A4478C">
              <w:rPr>
                <w:rFonts w:ascii="Times New Roman" w:hAnsi="Times New Roman" w:cs="Times New Roman"/>
                <w:b/>
                <w:kern w:val="0"/>
                <w:sz w:val="21"/>
                <w:szCs w:val="21"/>
              </w:rPr>
              <w:t>源强（</w:t>
            </w:r>
            <w:r w:rsidRPr="00A4478C">
              <w:rPr>
                <w:rFonts w:ascii="Times New Roman" w:hAnsi="Times New Roman" w:cs="Times New Roman"/>
                <w:b/>
                <w:kern w:val="0"/>
                <w:sz w:val="21"/>
                <w:szCs w:val="21"/>
              </w:rPr>
              <w:t>mg/L</w:t>
            </w:r>
            <w:r w:rsidRPr="00A4478C">
              <w:rPr>
                <w:rFonts w:ascii="Times New Roman" w:hAnsi="Times New Roman" w:cs="Times New Roman"/>
                <w:b/>
                <w:kern w:val="0"/>
                <w:sz w:val="21"/>
                <w:szCs w:val="21"/>
              </w:rPr>
              <w:t>）</w:t>
            </w:r>
          </w:p>
        </w:tc>
        <w:tc>
          <w:tcPr>
            <w:tcW w:w="2009" w:type="dxa"/>
            <w:vAlign w:val="center"/>
          </w:tcPr>
          <w:p w:rsidR="00A4478C" w:rsidRPr="00A4478C" w:rsidRDefault="00A4478C" w:rsidP="00A4478C">
            <w:pPr>
              <w:pStyle w:val="afffffff2"/>
              <w:rPr>
                <w:rFonts w:ascii="Times New Roman" w:hAnsi="Times New Roman" w:cs="Times New Roman"/>
                <w:b/>
                <w:kern w:val="0"/>
                <w:sz w:val="21"/>
                <w:szCs w:val="21"/>
              </w:rPr>
            </w:pPr>
            <w:r w:rsidRPr="00A4478C">
              <w:rPr>
                <w:rFonts w:ascii="Times New Roman" w:hAnsi="Times New Roman" w:cs="Times New Roman"/>
                <w:b/>
                <w:kern w:val="0"/>
                <w:sz w:val="21"/>
                <w:szCs w:val="21"/>
              </w:rPr>
              <w:t>执行标准（</w:t>
            </w:r>
            <w:r w:rsidRPr="00A4478C">
              <w:rPr>
                <w:rFonts w:ascii="Times New Roman" w:hAnsi="Times New Roman" w:cs="Times New Roman"/>
                <w:b/>
                <w:kern w:val="0"/>
                <w:sz w:val="21"/>
                <w:szCs w:val="21"/>
              </w:rPr>
              <w:t>mg/L</w:t>
            </w:r>
            <w:r w:rsidRPr="00A4478C">
              <w:rPr>
                <w:rFonts w:ascii="Times New Roman" w:hAnsi="Times New Roman" w:cs="Times New Roman"/>
                <w:b/>
                <w:kern w:val="0"/>
                <w:sz w:val="21"/>
                <w:szCs w:val="21"/>
              </w:rPr>
              <w:t>）</w:t>
            </w:r>
          </w:p>
        </w:tc>
        <w:tc>
          <w:tcPr>
            <w:tcW w:w="1417" w:type="dxa"/>
            <w:vAlign w:val="center"/>
          </w:tcPr>
          <w:p w:rsidR="00A4478C" w:rsidRPr="00A4478C" w:rsidRDefault="00A4478C" w:rsidP="00A4478C">
            <w:pPr>
              <w:pStyle w:val="afffffff2"/>
              <w:rPr>
                <w:rFonts w:ascii="Times New Roman" w:hAnsi="Times New Roman" w:cs="Times New Roman"/>
                <w:b/>
                <w:kern w:val="0"/>
                <w:sz w:val="21"/>
                <w:szCs w:val="21"/>
              </w:rPr>
            </w:pPr>
            <w:r w:rsidRPr="00A4478C">
              <w:rPr>
                <w:rFonts w:ascii="Times New Roman" w:hAnsi="Times New Roman" w:cs="Times New Roman"/>
                <w:b/>
                <w:kern w:val="0"/>
                <w:sz w:val="21"/>
                <w:szCs w:val="21"/>
              </w:rPr>
              <w:t>标准指数</w:t>
            </w:r>
          </w:p>
        </w:tc>
        <w:tc>
          <w:tcPr>
            <w:tcW w:w="1089" w:type="dxa"/>
            <w:vAlign w:val="center"/>
          </w:tcPr>
          <w:p w:rsidR="00A4478C" w:rsidRPr="00A4478C" w:rsidRDefault="00A4478C" w:rsidP="00A4478C">
            <w:pPr>
              <w:pStyle w:val="afffffff2"/>
              <w:rPr>
                <w:rFonts w:ascii="Times New Roman" w:hAnsi="Times New Roman" w:cs="Times New Roman"/>
                <w:b/>
                <w:kern w:val="0"/>
                <w:sz w:val="21"/>
                <w:szCs w:val="21"/>
              </w:rPr>
            </w:pPr>
            <w:r w:rsidRPr="00A4478C">
              <w:rPr>
                <w:rFonts w:ascii="Times New Roman" w:hAnsi="Times New Roman" w:cs="Times New Roman"/>
                <w:b/>
                <w:kern w:val="0"/>
                <w:sz w:val="21"/>
                <w:szCs w:val="21"/>
              </w:rPr>
              <w:t>排序</w:t>
            </w:r>
          </w:p>
        </w:tc>
      </w:tr>
      <w:tr w:rsidR="00A4478C" w:rsidRPr="00A4478C" w:rsidTr="00DA16A6">
        <w:tc>
          <w:tcPr>
            <w:tcW w:w="1504" w:type="dxa"/>
            <w:vMerge w:val="restart"/>
            <w:vAlign w:val="center"/>
          </w:tcPr>
          <w:p w:rsidR="00A4478C" w:rsidRPr="00A4478C" w:rsidRDefault="00A4478C" w:rsidP="00A4478C">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调节池</w:t>
            </w:r>
            <w:r w:rsidRPr="00A4478C">
              <w:rPr>
                <w:rFonts w:ascii="Times New Roman" w:hAnsi="Times New Roman" w:cs="Times New Roman"/>
                <w:kern w:val="0"/>
                <w:sz w:val="21"/>
                <w:szCs w:val="21"/>
              </w:rPr>
              <w:t>泄漏</w:t>
            </w:r>
          </w:p>
        </w:tc>
        <w:tc>
          <w:tcPr>
            <w:tcW w:w="1190" w:type="dxa"/>
            <w:vAlign w:val="center"/>
          </w:tcPr>
          <w:p w:rsidR="00A4478C" w:rsidRPr="00A4478C" w:rsidRDefault="00A4478C" w:rsidP="00A4478C">
            <w:pPr>
              <w:pStyle w:val="afffffff2"/>
              <w:rPr>
                <w:rFonts w:ascii="Times New Roman" w:hAnsi="Times New Roman" w:cs="Times New Roman"/>
                <w:sz w:val="21"/>
                <w:szCs w:val="21"/>
              </w:rPr>
            </w:pPr>
            <w:r w:rsidRPr="00A4478C">
              <w:rPr>
                <w:rFonts w:ascii="Times New Roman" w:hAnsi="Times New Roman" w:cs="Times New Roman"/>
                <w:sz w:val="21"/>
                <w:szCs w:val="21"/>
              </w:rPr>
              <w:t>COD</w:t>
            </w:r>
          </w:p>
        </w:tc>
        <w:tc>
          <w:tcPr>
            <w:tcW w:w="1818" w:type="dxa"/>
            <w:vAlign w:val="center"/>
          </w:tcPr>
          <w:p w:rsidR="00A4478C" w:rsidRPr="00A4478C" w:rsidRDefault="00A4478C" w:rsidP="00A4478C">
            <w:pPr>
              <w:pStyle w:val="afffffff2"/>
              <w:rPr>
                <w:rFonts w:ascii="Times New Roman" w:hAnsi="Times New Roman" w:cs="Times New Roman"/>
                <w:sz w:val="21"/>
                <w:szCs w:val="21"/>
              </w:rPr>
            </w:pPr>
            <w:r w:rsidRPr="00A4478C">
              <w:rPr>
                <w:rFonts w:ascii="Times New Roman" w:hAnsi="Times New Roman" w:cs="Times New Roman"/>
                <w:sz w:val="21"/>
                <w:szCs w:val="21"/>
              </w:rPr>
              <w:t>1397.494</w:t>
            </w:r>
          </w:p>
        </w:tc>
        <w:tc>
          <w:tcPr>
            <w:tcW w:w="2009" w:type="dxa"/>
            <w:vAlign w:val="center"/>
          </w:tcPr>
          <w:p w:rsidR="00A4478C" w:rsidRPr="00A4478C" w:rsidRDefault="00A4478C" w:rsidP="00A4478C">
            <w:pPr>
              <w:pStyle w:val="afffffff2"/>
              <w:rPr>
                <w:rFonts w:ascii="Times New Roman" w:hAnsi="Times New Roman" w:cs="Times New Roman"/>
                <w:kern w:val="0"/>
                <w:sz w:val="21"/>
                <w:szCs w:val="21"/>
              </w:rPr>
            </w:pPr>
            <w:r>
              <w:rPr>
                <w:rFonts w:ascii="Times New Roman" w:hAnsi="Times New Roman" w:cs="Times New Roman"/>
                <w:kern w:val="0"/>
                <w:sz w:val="21"/>
                <w:szCs w:val="21"/>
              </w:rPr>
              <w:t>3.0</w:t>
            </w:r>
          </w:p>
        </w:tc>
        <w:tc>
          <w:tcPr>
            <w:tcW w:w="1417" w:type="dxa"/>
            <w:vAlign w:val="center"/>
          </w:tcPr>
          <w:p w:rsidR="00A4478C" w:rsidRPr="00A4478C" w:rsidRDefault="00A4478C" w:rsidP="00A4478C">
            <w:pPr>
              <w:pStyle w:val="afffffff2"/>
              <w:rPr>
                <w:rFonts w:ascii="Times New Roman" w:hAnsi="Times New Roman" w:cs="Times New Roman"/>
                <w:kern w:val="0"/>
                <w:sz w:val="21"/>
                <w:szCs w:val="21"/>
              </w:rPr>
            </w:pPr>
            <w:r>
              <w:rPr>
                <w:rFonts w:ascii="Times New Roman" w:hAnsi="Times New Roman" w:cs="Times New Roman"/>
                <w:color w:val="000000"/>
                <w:sz w:val="21"/>
                <w:szCs w:val="21"/>
              </w:rPr>
              <w:t>465.83</w:t>
            </w:r>
          </w:p>
        </w:tc>
        <w:tc>
          <w:tcPr>
            <w:tcW w:w="1089" w:type="dxa"/>
            <w:vAlign w:val="center"/>
          </w:tcPr>
          <w:p w:rsidR="00A4478C" w:rsidRPr="00A4478C" w:rsidRDefault="00A4478C" w:rsidP="00A4478C">
            <w:pPr>
              <w:pStyle w:val="afffffff2"/>
              <w:rPr>
                <w:rFonts w:ascii="Times New Roman" w:hAnsi="Times New Roman" w:cs="Times New Roman"/>
                <w:kern w:val="0"/>
                <w:sz w:val="21"/>
                <w:szCs w:val="21"/>
              </w:rPr>
            </w:pPr>
            <w:r>
              <w:rPr>
                <w:rFonts w:ascii="Times New Roman" w:hAnsi="Times New Roman" w:cs="Times New Roman"/>
                <w:kern w:val="0"/>
                <w:sz w:val="21"/>
                <w:szCs w:val="21"/>
              </w:rPr>
              <w:t>1</w:t>
            </w:r>
          </w:p>
        </w:tc>
      </w:tr>
      <w:tr w:rsidR="00A4478C" w:rsidRPr="00A4478C" w:rsidTr="00DA16A6">
        <w:tc>
          <w:tcPr>
            <w:tcW w:w="1504" w:type="dxa"/>
            <w:vMerge/>
            <w:vAlign w:val="center"/>
          </w:tcPr>
          <w:p w:rsidR="00A4478C" w:rsidRDefault="00A4478C" w:rsidP="00A4478C">
            <w:pPr>
              <w:pStyle w:val="afffffff2"/>
              <w:rPr>
                <w:rFonts w:cs="Times New Roman"/>
                <w:kern w:val="0"/>
                <w:sz w:val="21"/>
                <w:szCs w:val="21"/>
              </w:rPr>
            </w:pPr>
          </w:p>
        </w:tc>
        <w:tc>
          <w:tcPr>
            <w:tcW w:w="1190" w:type="dxa"/>
            <w:vAlign w:val="center"/>
          </w:tcPr>
          <w:p w:rsidR="00A4478C" w:rsidRPr="00A4478C" w:rsidRDefault="00A4478C" w:rsidP="00A4478C">
            <w:pPr>
              <w:pStyle w:val="afffffff2"/>
              <w:rPr>
                <w:rFonts w:ascii="Times New Roman" w:hAnsi="Times New Roman" w:cs="Times New Roman"/>
                <w:sz w:val="21"/>
                <w:szCs w:val="21"/>
              </w:rPr>
            </w:pPr>
            <w:r w:rsidRPr="00A4478C">
              <w:rPr>
                <w:rFonts w:ascii="Times New Roman" w:hAnsi="Times New Roman" w:cs="Times New Roman"/>
                <w:sz w:val="21"/>
                <w:szCs w:val="21"/>
              </w:rPr>
              <w:t>NH</w:t>
            </w:r>
            <w:r w:rsidRPr="00A4478C">
              <w:rPr>
                <w:rFonts w:ascii="Times New Roman" w:hAnsi="Times New Roman" w:cs="Times New Roman"/>
                <w:sz w:val="21"/>
                <w:szCs w:val="21"/>
                <w:vertAlign w:val="subscript"/>
              </w:rPr>
              <w:t>3</w:t>
            </w:r>
            <w:r w:rsidRPr="00A4478C">
              <w:rPr>
                <w:rFonts w:ascii="Times New Roman" w:hAnsi="Times New Roman" w:cs="Times New Roman"/>
                <w:sz w:val="21"/>
                <w:szCs w:val="21"/>
              </w:rPr>
              <w:t>-N</w:t>
            </w:r>
          </w:p>
        </w:tc>
        <w:tc>
          <w:tcPr>
            <w:tcW w:w="1818" w:type="dxa"/>
            <w:vAlign w:val="center"/>
          </w:tcPr>
          <w:p w:rsidR="00A4478C" w:rsidRPr="00A4478C" w:rsidRDefault="00A4478C" w:rsidP="00A4478C">
            <w:pPr>
              <w:pStyle w:val="afffffff2"/>
              <w:rPr>
                <w:rFonts w:ascii="Times New Roman" w:hAnsi="Times New Roman" w:cs="Times New Roman"/>
                <w:sz w:val="21"/>
                <w:szCs w:val="21"/>
              </w:rPr>
            </w:pPr>
            <w:r w:rsidRPr="00A4478C">
              <w:rPr>
                <w:rFonts w:ascii="Times New Roman" w:hAnsi="Times New Roman" w:cs="Times New Roman"/>
                <w:sz w:val="21"/>
                <w:szCs w:val="21"/>
              </w:rPr>
              <w:t>10.274</w:t>
            </w:r>
          </w:p>
        </w:tc>
        <w:tc>
          <w:tcPr>
            <w:tcW w:w="2009" w:type="dxa"/>
            <w:vAlign w:val="center"/>
          </w:tcPr>
          <w:p w:rsidR="00A4478C" w:rsidRPr="00A4478C" w:rsidRDefault="00A4478C" w:rsidP="00A4478C">
            <w:pPr>
              <w:pStyle w:val="afffffff2"/>
              <w:rPr>
                <w:rFonts w:ascii="Times New Roman" w:hAnsi="Times New Roman" w:cs="Times New Roman"/>
                <w:kern w:val="0"/>
                <w:sz w:val="21"/>
                <w:szCs w:val="21"/>
              </w:rPr>
            </w:pPr>
            <w:r w:rsidRPr="00A4478C">
              <w:rPr>
                <w:rFonts w:ascii="Times New Roman" w:hAnsi="Times New Roman" w:cs="Times New Roman"/>
                <w:kern w:val="0"/>
                <w:sz w:val="21"/>
                <w:szCs w:val="21"/>
              </w:rPr>
              <w:t>0.5</w:t>
            </w:r>
          </w:p>
        </w:tc>
        <w:tc>
          <w:tcPr>
            <w:tcW w:w="1417" w:type="dxa"/>
            <w:vAlign w:val="center"/>
          </w:tcPr>
          <w:p w:rsidR="00A4478C" w:rsidRPr="00A4478C" w:rsidRDefault="00A4478C" w:rsidP="00A4478C">
            <w:pPr>
              <w:pStyle w:val="afffffff2"/>
              <w:rPr>
                <w:rFonts w:ascii="Times New Roman" w:hAnsi="Times New Roman" w:cs="Times New Roman"/>
                <w:color w:val="000000"/>
                <w:sz w:val="21"/>
                <w:szCs w:val="21"/>
              </w:rPr>
            </w:pPr>
            <w:r>
              <w:rPr>
                <w:rFonts w:ascii="Times New Roman" w:hAnsi="Times New Roman" w:cs="Times New Roman" w:hint="eastAsia"/>
                <w:color w:val="000000"/>
                <w:sz w:val="21"/>
                <w:szCs w:val="21"/>
              </w:rPr>
              <w:t>2</w:t>
            </w:r>
            <w:r>
              <w:rPr>
                <w:rFonts w:ascii="Times New Roman" w:hAnsi="Times New Roman" w:cs="Times New Roman"/>
                <w:color w:val="000000"/>
                <w:sz w:val="21"/>
                <w:szCs w:val="21"/>
              </w:rPr>
              <w:t>0.55</w:t>
            </w:r>
          </w:p>
        </w:tc>
        <w:tc>
          <w:tcPr>
            <w:tcW w:w="1089" w:type="dxa"/>
            <w:vAlign w:val="center"/>
          </w:tcPr>
          <w:p w:rsidR="00A4478C" w:rsidRPr="00A4478C" w:rsidRDefault="00A4478C" w:rsidP="00A4478C">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2</w:t>
            </w:r>
          </w:p>
        </w:tc>
      </w:tr>
      <w:tr w:rsidR="00A4478C" w:rsidRPr="00A4478C" w:rsidTr="00DA16A6">
        <w:tc>
          <w:tcPr>
            <w:tcW w:w="1504" w:type="dxa"/>
            <w:vMerge/>
            <w:vAlign w:val="center"/>
          </w:tcPr>
          <w:p w:rsidR="00A4478C" w:rsidRPr="00A4478C" w:rsidRDefault="00A4478C" w:rsidP="00A4478C">
            <w:pPr>
              <w:pStyle w:val="afffffff2"/>
              <w:rPr>
                <w:rFonts w:ascii="Times New Roman" w:hAnsi="Times New Roman" w:cs="Times New Roman"/>
                <w:kern w:val="0"/>
                <w:sz w:val="21"/>
                <w:szCs w:val="21"/>
              </w:rPr>
            </w:pPr>
          </w:p>
        </w:tc>
        <w:tc>
          <w:tcPr>
            <w:tcW w:w="1190" w:type="dxa"/>
            <w:vAlign w:val="center"/>
          </w:tcPr>
          <w:p w:rsidR="00A4478C" w:rsidRPr="00A4478C" w:rsidRDefault="00A4478C" w:rsidP="00A4478C">
            <w:pPr>
              <w:pStyle w:val="afffffff2"/>
              <w:rPr>
                <w:rFonts w:ascii="Times New Roman" w:hAnsi="Times New Roman" w:cs="Times New Roman"/>
                <w:sz w:val="21"/>
                <w:szCs w:val="21"/>
              </w:rPr>
            </w:pPr>
            <w:r w:rsidRPr="00A4478C">
              <w:rPr>
                <w:rFonts w:ascii="Times New Roman" w:hAnsi="Times New Roman" w:cs="Times New Roman"/>
                <w:sz w:val="21"/>
                <w:szCs w:val="21"/>
              </w:rPr>
              <w:t>盐分</w:t>
            </w:r>
          </w:p>
        </w:tc>
        <w:tc>
          <w:tcPr>
            <w:tcW w:w="1818" w:type="dxa"/>
            <w:vAlign w:val="center"/>
          </w:tcPr>
          <w:p w:rsidR="00A4478C" w:rsidRPr="00A4478C" w:rsidRDefault="00A4478C" w:rsidP="00A4478C">
            <w:pPr>
              <w:pStyle w:val="afffffff2"/>
              <w:rPr>
                <w:rFonts w:ascii="Times New Roman" w:hAnsi="Times New Roman" w:cs="Times New Roman"/>
                <w:sz w:val="21"/>
                <w:szCs w:val="21"/>
              </w:rPr>
            </w:pPr>
            <w:r w:rsidRPr="00A4478C">
              <w:rPr>
                <w:rFonts w:ascii="Times New Roman" w:hAnsi="Times New Roman" w:cs="Times New Roman"/>
                <w:sz w:val="21"/>
                <w:szCs w:val="21"/>
              </w:rPr>
              <w:t>402.543</w:t>
            </w:r>
          </w:p>
        </w:tc>
        <w:tc>
          <w:tcPr>
            <w:tcW w:w="2009" w:type="dxa"/>
            <w:vAlign w:val="center"/>
          </w:tcPr>
          <w:p w:rsidR="00A4478C" w:rsidRPr="00A4478C" w:rsidRDefault="00A4478C" w:rsidP="00A4478C">
            <w:pPr>
              <w:pStyle w:val="afffffff2"/>
              <w:rPr>
                <w:rFonts w:ascii="Times New Roman" w:hAnsi="Times New Roman" w:cs="Times New Roman"/>
                <w:kern w:val="0"/>
                <w:sz w:val="21"/>
                <w:szCs w:val="21"/>
              </w:rPr>
            </w:pPr>
            <w:r>
              <w:rPr>
                <w:rFonts w:ascii="Times New Roman" w:hAnsi="Times New Roman" w:cs="Times New Roman"/>
                <w:kern w:val="0"/>
                <w:sz w:val="21"/>
                <w:szCs w:val="21"/>
              </w:rPr>
              <w:t>250</w:t>
            </w:r>
          </w:p>
        </w:tc>
        <w:tc>
          <w:tcPr>
            <w:tcW w:w="1417" w:type="dxa"/>
            <w:vAlign w:val="center"/>
          </w:tcPr>
          <w:p w:rsidR="00A4478C" w:rsidRPr="00A4478C" w:rsidRDefault="00A4478C" w:rsidP="00A4478C">
            <w:pPr>
              <w:pStyle w:val="afffffff2"/>
              <w:rPr>
                <w:rFonts w:ascii="Times New Roman" w:hAnsi="Times New Roman" w:cs="Times New Roman"/>
                <w:kern w:val="0"/>
                <w:sz w:val="21"/>
                <w:szCs w:val="21"/>
              </w:rPr>
            </w:pPr>
            <w:r>
              <w:rPr>
                <w:rFonts w:ascii="Times New Roman" w:hAnsi="Times New Roman" w:cs="Times New Roman"/>
                <w:color w:val="000000"/>
                <w:sz w:val="21"/>
                <w:szCs w:val="21"/>
              </w:rPr>
              <w:t>1.61</w:t>
            </w:r>
          </w:p>
        </w:tc>
        <w:tc>
          <w:tcPr>
            <w:tcW w:w="1089" w:type="dxa"/>
            <w:vAlign w:val="center"/>
          </w:tcPr>
          <w:p w:rsidR="00A4478C" w:rsidRPr="00A4478C" w:rsidRDefault="00A4478C" w:rsidP="00A4478C">
            <w:pPr>
              <w:pStyle w:val="afffffff2"/>
              <w:rPr>
                <w:rFonts w:ascii="Times New Roman" w:hAnsi="Times New Roman" w:cs="Times New Roman"/>
                <w:kern w:val="0"/>
                <w:sz w:val="21"/>
                <w:szCs w:val="21"/>
              </w:rPr>
            </w:pPr>
            <w:r>
              <w:rPr>
                <w:rFonts w:ascii="Times New Roman" w:hAnsi="Times New Roman" w:cs="Times New Roman"/>
                <w:kern w:val="0"/>
                <w:sz w:val="21"/>
                <w:szCs w:val="21"/>
              </w:rPr>
              <w:t>3</w:t>
            </w:r>
          </w:p>
        </w:tc>
      </w:tr>
    </w:tbl>
    <w:p w:rsidR="004E3021" w:rsidRDefault="00606E48">
      <w:pPr>
        <w:wordWrap w:val="0"/>
        <w:ind w:firstLine="520"/>
        <w:rPr>
          <w:spacing w:val="10"/>
        </w:rPr>
      </w:pPr>
      <w:r>
        <w:rPr>
          <w:rFonts w:hint="eastAsia"/>
          <w:spacing w:val="10"/>
        </w:rPr>
        <w:t>非正常工况下，调节池废水泄漏进入地下水，对地下水造成不同程度的污染。非正常工况下的污染源强见表</w:t>
      </w:r>
      <w:r>
        <w:rPr>
          <w:rFonts w:hint="eastAsia"/>
          <w:spacing w:val="10"/>
        </w:rPr>
        <w:t>5.5.10-</w:t>
      </w:r>
      <w:r w:rsidR="00A26569">
        <w:rPr>
          <w:spacing w:val="10"/>
        </w:rPr>
        <w:t>2</w:t>
      </w:r>
      <w:r>
        <w:rPr>
          <w:rFonts w:hint="eastAsia"/>
          <w:spacing w:val="10"/>
        </w:rPr>
        <w:t>。</w:t>
      </w:r>
    </w:p>
    <w:p w:rsidR="004E3021" w:rsidRDefault="00606E48">
      <w:pPr>
        <w:pStyle w:val="afffff4"/>
        <w:spacing w:line="240" w:lineRule="auto"/>
        <w:ind w:firstLine="480"/>
      </w:pPr>
      <w:r>
        <w:t>表</w:t>
      </w:r>
      <w:r>
        <w:t>5.5.10-</w:t>
      </w:r>
      <w:r w:rsidR="00A26569">
        <w:t>2</w:t>
      </w:r>
      <w:r>
        <w:t xml:space="preserve"> </w:t>
      </w:r>
      <w:r>
        <w:t>非正常工况下污染源强</w:t>
      </w:r>
    </w:p>
    <w:tbl>
      <w:tblPr>
        <w:tblW w:w="5000" w:type="pct"/>
        <w:jc w:val="center"/>
        <w:tblBorders>
          <w:top w:val="single" w:sz="12" w:space="0" w:color="000000"/>
          <w:bottom w:val="single" w:sz="12" w:space="0" w:color="000000"/>
          <w:insideH w:val="single" w:sz="8" w:space="0" w:color="000000"/>
          <w:insideV w:val="single" w:sz="8" w:space="0" w:color="000000"/>
        </w:tblBorders>
        <w:tblLook w:val="04A0" w:firstRow="1" w:lastRow="0" w:firstColumn="1" w:lastColumn="0" w:noHBand="0" w:noVBand="1"/>
      </w:tblPr>
      <w:tblGrid>
        <w:gridCol w:w="4309"/>
        <w:gridCol w:w="2134"/>
        <w:gridCol w:w="2584"/>
      </w:tblGrid>
      <w:tr w:rsidR="00863FE6" w:rsidRPr="00BC57D1" w:rsidTr="00863FE6">
        <w:trPr>
          <w:tblHeader/>
          <w:jc w:val="center"/>
        </w:trPr>
        <w:tc>
          <w:tcPr>
            <w:tcW w:w="2387" w:type="pct"/>
            <w:shd w:val="clear" w:color="auto" w:fill="auto"/>
            <w:vAlign w:val="center"/>
          </w:tcPr>
          <w:p w:rsidR="00863FE6" w:rsidRPr="00A4478C" w:rsidRDefault="00863FE6">
            <w:pPr>
              <w:pStyle w:val="afffffff2"/>
              <w:rPr>
                <w:b/>
                <w:sz w:val="21"/>
                <w:szCs w:val="21"/>
              </w:rPr>
            </w:pPr>
            <w:r w:rsidRPr="00A4478C">
              <w:rPr>
                <w:b/>
                <w:sz w:val="21"/>
                <w:szCs w:val="21"/>
              </w:rPr>
              <w:t>污染源位置</w:t>
            </w:r>
          </w:p>
        </w:tc>
        <w:tc>
          <w:tcPr>
            <w:tcW w:w="1182" w:type="pct"/>
            <w:shd w:val="clear" w:color="auto" w:fill="auto"/>
            <w:vAlign w:val="center"/>
          </w:tcPr>
          <w:p w:rsidR="00863FE6" w:rsidRPr="00A4478C" w:rsidRDefault="00863FE6">
            <w:pPr>
              <w:pStyle w:val="afffffff2"/>
              <w:rPr>
                <w:b/>
                <w:sz w:val="21"/>
                <w:szCs w:val="21"/>
              </w:rPr>
            </w:pPr>
            <w:r w:rsidRPr="00A4478C">
              <w:rPr>
                <w:b/>
                <w:sz w:val="21"/>
                <w:szCs w:val="21"/>
              </w:rPr>
              <w:t>预测工况</w:t>
            </w:r>
          </w:p>
        </w:tc>
        <w:tc>
          <w:tcPr>
            <w:tcW w:w="1431" w:type="pct"/>
            <w:shd w:val="clear" w:color="auto" w:fill="auto"/>
            <w:vAlign w:val="center"/>
          </w:tcPr>
          <w:p w:rsidR="00863FE6" w:rsidRPr="00A4478C" w:rsidRDefault="00863FE6">
            <w:pPr>
              <w:pStyle w:val="afffffff2"/>
              <w:rPr>
                <w:b/>
                <w:color w:val="000000" w:themeColor="text1"/>
                <w:sz w:val="21"/>
                <w:szCs w:val="21"/>
              </w:rPr>
            </w:pPr>
            <w:r w:rsidRPr="00A4478C">
              <w:rPr>
                <w:rFonts w:cs="Times New Roman" w:hint="eastAsia"/>
                <w:b/>
                <w:bCs/>
                <w:color w:val="000000" w:themeColor="text1"/>
                <w:sz w:val="21"/>
                <w:szCs w:val="21"/>
              </w:rPr>
              <w:t>C</w:t>
            </w:r>
            <w:r w:rsidRPr="00A4478C">
              <w:rPr>
                <w:rFonts w:cs="Times New Roman"/>
                <w:b/>
                <w:bCs/>
                <w:color w:val="000000" w:themeColor="text1"/>
                <w:sz w:val="21"/>
                <w:szCs w:val="21"/>
              </w:rPr>
              <w:t>OD</w:t>
            </w:r>
            <w:r w:rsidRPr="00A4478C">
              <w:rPr>
                <w:rFonts w:cs="Times New Roman" w:hint="eastAsia"/>
                <w:b/>
                <w:bCs/>
                <w:color w:val="000000" w:themeColor="text1"/>
                <w:sz w:val="21"/>
                <w:szCs w:val="21"/>
                <w:vertAlign w:val="subscript"/>
              </w:rPr>
              <w:t>Mn</w:t>
            </w:r>
            <w:r w:rsidRPr="00A4478C">
              <w:rPr>
                <w:b/>
                <w:color w:val="000000" w:themeColor="text1"/>
                <w:sz w:val="21"/>
                <w:szCs w:val="21"/>
              </w:rPr>
              <w:t>(mg/L)</w:t>
            </w:r>
          </w:p>
        </w:tc>
      </w:tr>
      <w:tr w:rsidR="00863FE6" w:rsidRPr="00BC57D1" w:rsidTr="00863FE6">
        <w:trPr>
          <w:jc w:val="center"/>
        </w:trPr>
        <w:tc>
          <w:tcPr>
            <w:tcW w:w="2387" w:type="pct"/>
            <w:shd w:val="clear" w:color="auto" w:fill="auto"/>
            <w:vAlign w:val="center"/>
          </w:tcPr>
          <w:p w:rsidR="00863FE6" w:rsidRPr="00BC57D1" w:rsidRDefault="00863FE6">
            <w:pPr>
              <w:pStyle w:val="afffffff2"/>
              <w:rPr>
                <w:sz w:val="21"/>
                <w:szCs w:val="21"/>
              </w:rPr>
            </w:pPr>
            <w:r w:rsidRPr="00BC57D1">
              <w:rPr>
                <w:rFonts w:hint="eastAsia"/>
                <w:sz w:val="21"/>
                <w:szCs w:val="21"/>
              </w:rPr>
              <w:t>调节池</w:t>
            </w:r>
          </w:p>
        </w:tc>
        <w:tc>
          <w:tcPr>
            <w:tcW w:w="1182" w:type="pct"/>
            <w:shd w:val="clear" w:color="auto" w:fill="auto"/>
            <w:vAlign w:val="center"/>
          </w:tcPr>
          <w:p w:rsidR="00863FE6" w:rsidRPr="00BC57D1" w:rsidRDefault="00863FE6">
            <w:pPr>
              <w:pStyle w:val="afffffff2"/>
              <w:rPr>
                <w:sz w:val="21"/>
                <w:szCs w:val="21"/>
              </w:rPr>
            </w:pPr>
            <w:r w:rsidRPr="00BC57D1">
              <w:rPr>
                <w:sz w:val="21"/>
                <w:szCs w:val="21"/>
              </w:rPr>
              <w:t>非正常工况</w:t>
            </w:r>
          </w:p>
        </w:tc>
        <w:tc>
          <w:tcPr>
            <w:tcW w:w="1431" w:type="pct"/>
            <w:shd w:val="clear" w:color="auto" w:fill="auto"/>
            <w:vAlign w:val="center"/>
          </w:tcPr>
          <w:p w:rsidR="00863FE6" w:rsidRPr="00BC57D1" w:rsidRDefault="00863FE6">
            <w:pPr>
              <w:pStyle w:val="afffffff2"/>
              <w:rPr>
                <w:rFonts w:cs="Times New Roman"/>
                <w:bCs/>
                <w:color w:val="000000" w:themeColor="text1"/>
                <w:sz w:val="21"/>
                <w:szCs w:val="21"/>
              </w:rPr>
            </w:pPr>
            <w:r>
              <w:rPr>
                <w:rFonts w:cs="Times New Roman"/>
                <w:bCs/>
                <w:color w:val="000000" w:themeColor="text1"/>
                <w:sz w:val="21"/>
                <w:szCs w:val="21"/>
              </w:rPr>
              <w:t>699</w:t>
            </w:r>
          </w:p>
        </w:tc>
      </w:tr>
    </w:tbl>
    <w:p w:rsidR="004E3021" w:rsidRDefault="00606E48">
      <w:pPr>
        <w:ind w:firstLine="520"/>
        <w:jc w:val="left"/>
        <w:textAlignment w:val="baseline"/>
        <w:rPr>
          <w:spacing w:val="10"/>
        </w:rPr>
      </w:pPr>
      <w:r>
        <w:rPr>
          <w:rFonts w:hint="eastAsia"/>
          <w:spacing w:val="10"/>
        </w:rPr>
        <w:t>（</w:t>
      </w:r>
      <w:r>
        <w:rPr>
          <w:rFonts w:hint="eastAsia"/>
          <w:spacing w:val="10"/>
        </w:rPr>
        <w:t>3</w:t>
      </w:r>
      <w:r>
        <w:rPr>
          <w:rFonts w:hint="eastAsia"/>
          <w:spacing w:val="10"/>
        </w:rPr>
        <w:t>）预测结果及分析</w:t>
      </w:r>
    </w:p>
    <w:p w:rsidR="004E3021" w:rsidRDefault="00606E48">
      <w:pPr>
        <w:ind w:firstLine="520"/>
        <w:jc w:val="left"/>
        <w:textAlignment w:val="baseline"/>
        <w:rPr>
          <w:spacing w:val="10"/>
        </w:rPr>
      </w:pPr>
      <w:r>
        <w:rPr>
          <w:rFonts w:hint="eastAsia"/>
          <w:spacing w:val="10"/>
        </w:rPr>
        <w:t>模拟污染物扩散时，不考虑吸附作用、化学反应等因素，重点考虑了对流和弥散作用。将含水层参数、初始条件和边界条件带入水质模型。利用校正后的水流模型，结合上述情景设置，预测各类污染物在含水层的迁移行为。</w:t>
      </w:r>
    </w:p>
    <w:p w:rsidR="004E3021" w:rsidRDefault="00606E48">
      <w:pPr>
        <w:ind w:firstLine="520"/>
        <w:jc w:val="left"/>
        <w:textAlignment w:val="baseline"/>
        <w:rPr>
          <w:spacing w:val="10"/>
        </w:rPr>
      </w:pPr>
      <w:r>
        <w:rPr>
          <w:rFonts w:hint="eastAsia"/>
          <w:spacing w:val="10"/>
        </w:rPr>
        <w:t>在防渗措施发生破裂的情况下，此时废水更容易经包气带进入地下水，设</w:t>
      </w:r>
      <w:r>
        <w:rPr>
          <w:rFonts w:hint="eastAsia"/>
          <w:spacing w:val="10"/>
        </w:rPr>
        <w:lastRenderedPageBreak/>
        <w:t>定预测污染源强为未经处理的产生浓度，污染源特征为面源连续污染。非正常工况下，利用所建立的模型，评价预测时间段（</w:t>
      </w:r>
      <w:r>
        <w:rPr>
          <w:rFonts w:hint="eastAsia"/>
          <w:spacing w:val="10"/>
        </w:rPr>
        <w:t>7300d</w:t>
      </w:r>
      <w:r>
        <w:rPr>
          <w:rFonts w:hint="eastAsia"/>
          <w:spacing w:val="10"/>
        </w:rPr>
        <w:t>）内污染物运移过程。经过模拟计算得到</w:t>
      </w:r>
      <w:r>
        <w:rPr>
          <w:rFonts w:hint="eastAsia"/>
          <w:spacing w:val="10"/>
        </w:rPr>
        <w:t>C</w:t>
      </w:r>
      <w:r>
        <w:rPr>
          <w:spacing w:val="10"/>
        </w:rPr>
        <w:t>OD</w:t>
      </w:r>
      <w:r>
        <w:rPr>
          <w:rFonts w:hint="eastAsia"/>
          <w:spacing w:val="10"/>
        </w:rPr>
        <w:t>运移过程分布情况见图</w:t>
      </w:r>
      <w:r>
        <w:rPr>
          <w:spacing w:val="10"/>
        </w:rPr>
        <w:t>5.</w:t>
      </w:r>
      <w:r>
        <w:rPr>
          <w:rFonts w:hint="eastAsia"/>
          <w:spacing w:val="10"/>
        </w:rPr>
        <w:t>5.10-1~</w:t>
      </w:r>
      <w:r>
        <w:rPr>
          <w:rFonts w:hint="eastAsia"/>
          <w:spacing w:val="10"/>
        </w:rPr>
        <w:t>图</w:t>
      </w:r>
      <w:r>
        <w:rPr>
          <w:spacing w:val="10"/>
        </w:rPr>
        <w:t>5.</w:t>
      </w:r>
      <w:r>
        <w:rPr>
          <w:rFonts w:hint="eastAsia"/>
          <w:spacing w:val="10"/>
        </w:rPr>
        <w:t>5.10-</w:t>
      </w:r>
      <w:r>
        <w:rPr>
          <w:spacing w:val="10"/>
        </w:rPr>
        <w:t>8</w:t>
      </w:r>
      <w:r>
        <w:rPr>
          <w:rFonts w:hint="eastAsia"/>
          <w:spacing w:val="10"/>
        </w:rPr>
        <w:t>。</w:t>
      </w:r>
    </w:p>
    <w:p w:rsidR="004E3021" w:rsidRDefault="00606E48">
      <w:pPr>
        <w:spacing w:line="240" w:lineRule="auto"/>
        <w:ind w:firstLineChars="0" w:firstLine="0"/>
        <w:jc w:val="center"/>
        <w:textAlignment w:val="baseline"/>
        <w:rPr>
          <w:color w:val="000000"/>
          <w:spacing w:val="10"/>
        </w:rPr>
      </w:pPr>
      <w:bookmarkStart w:id="510" w:name="_Ref35442603"/>
      <w:bookmarkStart w:id="511" w:name="_Ref35442594"/>
      <w:r>
        <w:rPr>
          <w:noProof/>
        </w:rPr>
        <w:drawing>
          <wp:inline distT="0" distB="0" distL="0" distR="0">
            <wp:extent cx="5410200" cy="7337363"/>
            <wp:effectExtent l="0" t="0" r="0" b="0"/>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89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5411907" cy="7339678"/>
                    </a:xfrm>
                    <a:prstGeom prst="rect">
                      <a:avLst/>
                    </a:prstGeom>
                    <a:noFill/>
                    <a:ln>
                      <a:noFill/>
                    </a:ln>
                  </pic:spPr>
                </pic:pic>
              </a:graphicData>
            </a:graphic>
          </wp:inline>
        </w:drawing>
      </w:r>
    </w:p>
    <w:p w:rsidR="004E3021" w:rsidRDefault="00606E48">
      <w:pPr>
        <w:spacing w:line="240" w:lineRule="auto"/>
        <w:ind w:firstLineChars="0" w:firstLine="0"/>
        <w:jc w:val="center"/>
        <w:textAlignment w:val="baseline"/>
        <w:rPr>
          <w:b/>
          <w:bCs/>
          <w:spacing w:val="10"/>
          <w:sz w:val="21"/>
          <w:szCs w:val="21"/>
        </w:rPr>
      </w:pPr>
      <w:r>
        <w:rPr>
          <w:rFonts w:eastAsia="黑体" w:hint="eastAsia"/>
        </w:rPr>
        <w:t>图</w:t>
      </w:r>
      <w:r>
        <w:rPr>
          <w:rFonts w:eastAsia="黑体" w:hint="eastAsia"/>
        </w:rPr>
        <w:t>5.5.10-</w:t>
      </w:r>
      <w:bookmarkEnd w:id="510"/>
      <w:r>
        <w:rPr>
          <w:rFonts w:eastAsia="黑体" w:hint="eastAsia"/>
        </w:rPr>
        <w:t xml:space="preserve">1  </w:t>
      </w:r>
      <w:r>
        <w:rPr>
          <w:rFonts w:eastAsia="黑体" w:hint="eastAsia"/>
        </w:rPr>
        <w:t>非正常工况下调节池</w:t>
      </w:r>
      <w:r>
        <w:rPr>
          <w:rFonts w:eastAsia="黑体" w:hint="eastAsia"/>
        </w:rPr>
        <w:t>COD100d</w:t>
      </w:r>
      <w:r>
        <w:rPr>
          <w:rFonts w:eastAsia="黑体" w:hint="eastAsia"/>
        </w:rPr>
        <w:t>运移图</w:t>
      </w:r>
      <w:bookmarkEnd w:id="511"/>
    </w:p>
    <w:p w:rsidR="004E3021" w:rsidRDefault="00606E48">
      <w:pPr>
        <w:spacing w:line="240" w:lineRule="auto"/>
        <w:ind w:firstLineChars="0" w:firstLine="0"/>
        <w:jc w:val="center"/>
        <w:rPr>
          <w:color w:val="FF0000"/>
        </w:rPr>
      </w:pPr>
      <w:r>
        <w:rPr>
          <w:noProof/>
        </w:rPr>
        <w:lastRenderedPageBreak/>
        <w:drawing>
          <wp:inline distT="0" distB="0" distL="114300" distR="114300">
            <wp:extent cx="5729605" cy="7718425"/>
            <wp:effectExtent l="0" t="0" r="4445" b="15875"/>
            <wp:docPr id="10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0"/>
                    <pic:cNvPicPr>
                      <a:picLocks noChangeAspect="1"/>
                    </pic:cNvPicPr>
                  </pic:nvPicPr>
                  <pic:blipFill>
                    <a:blip r:embed="rId110"/>
                    <a:stretch>
                      <a:fillRect/>
                    </a:stretch>
                  </pic:blipFill>
                  <pic:spPr>
                    <a:xfrm>
                      <a:off x="0" y="0"/>
                      <a:ext cx="5729605" cy="7718425"/>
                    </a:xfrm>
                    <a:prstGeom prst="rect">
                      <a:avLst/>
                    </a:prstGeom>
                    <a:noFill/>
                    <a:ln>
                      <a:noFill/>
                    </a:ln>
                  </pic:spPr>
                </pic:pic>
              </a:graphicData>
            </a:graphic>
          </wp:inline>
        </w:drawing>
      </w:r>
    </w:p>
    <w:p w:rsidR="004E3021" w:rsidRDefault="00606E48">
      <w:pPr>
        <w:ind w:firstLineChars="0" w:firstLine="0"/>
        <w:jc w:val="center"/>
        <w:rPr>
          <w:b/>
          <w:sz w:val="21"/>
        </w:rPr>
      </w:pPr>
      <w:bookmarkStart w:id="512" w:name="_Ref35442605"/>
      <w:r>
        <w:rPr>
          <w:rFonts w:eastAsia="黑体" w:hint="eastAsia"/>
        </w:rPr>
        <w:t>图</w:t>
      </w:r>
      <w:bookmarkEnd w:id="512"/>
      <w:r>
        <w:rPr>
          <w:rFonts w:eastAsia="黑体" w:hint="eastAsia"/>
        </w:rPr>
        <w:t xml:space="preserve">5.5.10-2  </w:t>
      </w:r>
      <w:r>
        <w:rPr>
          <w:rFonts w:eastAsia="黑体" w:hint="eastAsia"/>
        </w:rPr>
        <w:t>非正常工况下调节池</w:t>
      </w:r>
      <w:r>
        <w:rPr>
          <w:rFonts w:eastAsia="黑体" w:hint="eastAsia"/>
        </w:rPr>
        <w:t>COD 1000d</w:t>
      </w:r>
      <w:r>
        <w:rPr>
          <w:rFonts w:eastAsia="黑体" w:hint="eastAsia"/>
        </w:rPr>
        <w:t>运移图</w:t>
      </w:r>
    </w:p>
    <w:p w:rsidR="004E3021" w:rsidRDefault="00606E48">
      <w:pPr>
        <w:spacing w:line="240" w:lineRule="auto"/>
        <w:ind w:firstLineChars="0" w:firstLine="0"/>
        <w:jc w:val="center"/>
        <w:rPr>
          <w:color w:val="FF0000"/>
        </w:rPr>
      </w:pPr>
      <w:r>
        <w:rPr>
          <w:noProof/>
        </w:rPr>
        <w:lastRenderedPageBreak/>
        <w:drawing>
          <wp:inline distT="0" distB="0" distL="114300" distR="114300">
            <wp:extent cx="5732145" cy="7630795"/>
            <wp:effectExtent l="0" t="0" r="1905" b="8255"/>
            <wp:docPr id="10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1"/>
                    <pic:cNvPicPr>
                      <a:picLocks noChangeAspect="1"/>
                    </pic:cNvPicPr>
                  </pic:nvPicPr>
                  <pic:blipFill>
                    <a:blip r:embed="rId111"/>
                    <a:stretch>
                      <a:fillRect/>
                    </a:stretch>
                  </pic:blipFill>
                  <pic:spPr>
                    <a:xfrm>
                      <a:off x="0" y="0"/>
                      <a:ext cx="5732145" cy="7630795"/>
                    </a:xfrm>
                    <a:prstGeom prst="rect">
                      <a:avLst/>
                    </a:prstGeom>
                    <a:noFill/>
                    <a:ln>
                      <a:noFill/>
                    </a:ln>
                  </pic:spPr>
                </pic:pic>
              </a:graphicData>
            </a:graphic>
          </wp:inline>
        </w:drawing>
      </w:r>
    </w:p>
    <w:p w:rsidR="004E3021" w:rsidRDefault="00606E48">
      <w:pPr>
        <w:ind w:firstLineChars="0" w:firstLine="0"/>
        <w:jc w:val="center"/>
        <w:rPr>
          <w:rFonts w:eastAsia="黑体"/>
        </w:rPr>
      </w:pPr>
      <w:r>
        <w:rPr>
          <w:rFonts w:eastAsia="黑体" w:hint="eastAsia"/>
        </w:rPr>
        <w:t>图</w:t>
      </w:r>
      <w:r>
        <w:rPr>
          <w:rFonts w:eastAsia="黑体" w:hint="eastAsia"/>
        </w:rPr>
        <w:t xml:space="preserve">5.5.10-3  </w:t>
      </w:r>
      <w:r>
        <w:rPr>
          <w:rFonts w:eastAsia="黑体" w:hint="eastAsia"/>
        </w:rPr>
        <w:t>非正常工况下调节池</w:t>
      </w:r>
      <w:r>
        <w:rPr>
          <w:rFonts w:eastAsia="黑体" w:hint="eastAsia"/>
        </w:rPr>
        <w:t>COD 3650d</w:t>
      </w:r>
      <w:r>
        <w:rPr>
          <w:rFonts w:eastAsia="黑体" w:hint="eastAsia"/>
        </w:rPr>
        <w:t>运移图</w:t>
      </w:r>
    </w:p>
    <w:p w:rsidR="004E3021" w:rsidRDefault="00606E48">
      <w:pPr>
        <w:spacing w:line="240" w:lineRule="auto"/>
        <w:ind w:firstLineChars="0" w:firstLine="0"/>
        <w:jc w:val="center"/>
        <w:rPr>
          <w:color w:val="FF0000"/>
        </w:rPr>
      </w:pPr>
      <w:r>
        <w:rPr>
          <w:noProof/>
        </w:rPr>
        <w:lastRenderedPageBreak/>
        <w:drawing>
          <wp:inline distT="0" distB="0" distL="114300" distR="114300">
            <wp:extent cx="5729605" cy="7599045"/>
            <wp:effectExtent l="0" t="0" r="4445" b="1905"/>
            <wp:docPr id="10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2"/>
                    <pic:cNvPicPr>
                      <a:picLocks noChangeAspect="1"/>
                    </pic:cNvPicPr>
                  </pic:nvPicPr>
                  <pic:blipFill>
                    <a:blip r:embed="rId112"/>
                    <a:stretch>
                      <a:fillRect/>
                    </a:stretch>
                  </pic:blipFill>
                  <pic:spPr>
                    <a:xfrm>
                      <a:off x="0" y="0"/>
                      <a:ext cx="5729605" cy="7599045"/>
                    </a:xfrm>
                    <a:prstGeom prst="rect">
                      <a:avLst/>
                    </a:prstGeom>
                    <a:noFill/>
                    <a:ln>
                      <a:noFill/>
                    </a:ln>
                  </pic:spPr>
                </pic:pic>
              </a:graphicData>
            </a:graphic>
          </wp:inline>
        </w:drawing>
      </w:r>
    </w:p>
    <w:p w:rsidR="004E3021" w:rsidRDefault="00606E48">
      <w:pPr>
        <w:ind w:firstLineChars="0" w:firstLine="0"/>
        <w:jc w:val="center"/>
        <w:rPr>
          <w:b/>
          <w:color w:val="FF0000"/>
          <w:sz w:val="21"/>
        </w:rPr>
      </w:pPr>
      <w:r>
        <w:rPr>
          <w:rFonts w:eastAsia="黑体" w:hint="eastAsia"/>
        </w:rPr>
        <w:t>图</w:t>
      </w:r>
      <w:r>
        <w:rPr>
          <w:rFonts w:eastAsia="黑体" w:hint="eastAsia"/>
        </w:rPr>
        <w:t xml:space="preserve">5.5.10-4  </w:t>
      </w:r>
      <w:r>
        <w:rPr>
          <w:rFonts w:eastAsia="黑体" w:hint="eastAsia"/>
        </w:rPr>
        <w:t>非正常工况下调节池</w:t>
      </w:r>
      <w:r>
        <w:rPr>
          <w:rFonts w:eastAsia="黑体" w:hint="eastAsia"/>
        </w:rPr>
        <w:t>COD 7300d</w:t>
      </w:r>
      <w:r>
        <w:rPr>
          <w:rFonts w:eastAsia="黑体" w:hint="eastAsia"/>
        </w:rPr>
        <w:t>运移图</w:t>
      </w:r>
    </w:p>
    <w:p w:rsidR="004E3021" w:rsidRDefault="004E3021">
      <w:pPr>
        <w:ind w:firstLine="520"/>
        <w:jc w:val="left"/>
        <w:textAlignment w:val="baseline"/>
        <w:rPr>
          <w:spacing w:val="10"/>
        </w:rPr>
        <w:sectPr w:rsidR="004E3021">
          <w:pgSz w:w="11907" w:h="16840"/>
          <w:pgMar w:top="1440" w:right="1440" w:bottom="1440" w:left="1440" w:header="851" w:footer="992" w:gutter="0"/>
          <w:cols w:space="720"/>
          <w:docGrid w:type="lines" w:linePitch="326"/>
        </w:sectPr>
      </w:pPr>
    </w:p>
    <w:p w:rsidR="004E3021" w:rsidRDefault="00606E48">
      <w:pPr>
        <w:ind w:firstLine="520"/>
        <w:jc w:val="left"/>
        <w:textAlignment w:val="baseline"/>
        <w:rPr>
          <w:spacing w:val="10"/>
        </w:rPr>
      </w:pPr>
      <w:r>
        <w:rPr>
          <w:rFonts w:hint="eastAsia"/>
          <w:spacing w:val="10"/>
        </w:rPr>
        <w:lastRenderedPageBreak/>
        <w:t>非正常工况下污染物运移特征见</w:t>
      </w:r>
      <w:r>
        <w:rPr>
          <w:spacing w:val="10"/>
        </w:rPr>
        <w:t>表</w:t>
      </w:r>
      <w:r>
        <w:rPr>
          <w:spacing w:val="10"/>
        </w:rPr>
        <w:t>5.5.10-</w:t>
      </w:r>
      <w:r w:rsidR="00A26569">
        <w:rPr>
          <w:spacing w:val="10"/>
        </w:rPr>
        <w:t>3</w:t>
      </w:r>
      <w:r>
        <w:rPr>
          <w:rFonts w:hint="eastAsia"/>
          <w:spacing w:val="10"/>
        </w:rPr>
        <w:t>。</w:t>
      </w:r>
    </w:p>
    <w:p w:rsidR="004E3021" w:rsidRDefault="00606E48">
      <w:pPr>
        <w:spacing w:line="240" w:lineRule="auto"/>
        <w:ind w:firstLineChars="0" w:firstLine="0"/>
        <w:jc w:val="center"/>
        <w:rPr>
          <w:rFonts w:eastAsia="黑体"/>
        </w:rPr>
      </w:pPr>
      <w:r>
        <w:rPr>
          <w:rFonts w:eastAsia="黑体"/>
        </w:rPr>
        <w:t>表</w:t>
      </w:r>
      <w:r>
        <w:rPr>
          <w:rFonts w:eastAsia="黑体"/>
        </w:rPr>
        <w:t>5.5.10-</w:t>
      </w:r>
      <w:r w:rsidR="00A26569">
        <w:rPr>
          <w:rFonts w:eastAsia="黑体"/>
        </w:rPr>
        <w:t>3</w:t>
      </w:r>
      <w:r>
        <w:rPr>
          <w:rFonts w:eastAsia="黑体" w:hint="eastAsia"/>
        </w:rPr>
        <w:t xml:space="preserve"> </w:t>
      </w:r>
      <w:r>
        <w:rPr>
          <w:rFonts w:eastAsia="黑体" w:hint="eastAsia"/>
        </w:rPr>
        <w:t>非正常工况下污染物运移特征表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973949" w:rsidRPr="00973949" w:rsidRDefault="00973949" w:rsidP="00973949">
      <w:pPr>
        <w:pStyle w:val="a0"/>
        <w:ind w:firstLine="480"/>
      </w:pPr>
    </w:p>
    <w:p w:rsidR="004E3021" w:rsidRDefault="00606E48" w:rsidP="00836377">
      <w:pPr>
        <w:spacing w:beforeLines="50" w:before="163"/>
        <w:ind w:firstLine="520"/>
        <w:rPr>
          <w:sz w:val="28"/>
        </w:rPr>
      </w:pPr>
      <w:r>
        <w:rPr>
          <w:rFonts w:hint="eastAsia"/>
          <w:spacing w:val="10"/>
        </w:rPr>
        <w:t>由上表可知：运移</w:t>
      </w:r>
      <w:r>
        <w:rPr>
          <w:rFonts w:hint="eastAsia"/>
          <w:spacing w:val="10"/>
        </w:rPr>
        <w:t>7300d</w:t>
      </w:r>
      <w:r>
        <w:rPr>
          <w:rFonts w:hint="eastAsia"/>
          <w:spacing w:val="10"/>
        </w:rPr>
        <w:t>后厂区地下水中</w:t>
      </w:r>
      <w:r>
        <w:rPr>
          <w:rFonts w:hint="eastAsia"/>
          <w:spacing w:val="10"/>
        </w:rPr>
        <w:t>C</w:t>
      </w:r>
      <w:r>
        <w:rPr>
          <w:spacing w:val="10"/>
        </w:rPr>
        <w:t>OD</w:t>
      </w:r>
      <w:r>
        <w:rPr>
          <w:rFonts w:hint="eastAsia"/>
          <w:spacing w:val="10"/>
        </w:rPr>
        <w:t>浓度最大值为</w:t>
      </w:r>
      <w:r w:rsidR="00836377">
        <w:rPr>
          <w:bCs/>
        </w:rPr>
        <w:t>4</w:t>
      </w:r>
      <w:r>
        <w:rPr>
          <w:rFonts w:hint="eastAsia"/>
          <w:bCs/>
        </w:rPr>
        <w:t>95.83</w:t>
      </w:r>
      <w:r>
        <w:rPr>
          <w:rFonts w:hint="eastAsia"/>
          <w:spacing w:val="10"/>
        </w:rPr>
        <w:t>mg/L</w:t>
      </w:r>
      <w:r>
        <w:rPr>
          <w:rFonts w:hint="eastAsia"/>
          <w:spacing w:val="10"/>
        </w:rPr>
        <w:t>，叠加背景值后浓度最大值为</w:t>
      </w:r>
      <w:r w:rsidR="00836377">
        <w:rPr>
          <w:bCs/>
        </w:rPr>
        <w:t>4</w:t>
      </w:r>
      <w:r>
        <w:rPr>
          <w:rFonts w:hint="eastAsia"/>
          <w:bCs/>
        </w:rPr>
        <w:t xml:space="preserve">97.54 </w:t>
      </w:r>
      <w:r>
        <w:rPr>
          <w:rFonts w:hint="eastAsia"/>
          <w:spacing w:val="10"/>
        </w:rPr>
        <w:t>mg/L</w:t>
      </w:r>
      <w:r>
        <w:rPr>
          <w:rFonts w:hint="eastAsia"/>
          <w:spacing w:val="10"/>
        </w:rPr>
        <w:t>，</w:t>
      </w:r>
      <w:r>
        <w:rPr>
          <w:rFonts w:hint="eastAsia"/>
          <w:bCs/>
        </w:rPr>
        <w:t>超标污染羽最大迁移距离</w:t>
      </w:r>
      <w:r>
        <w:rPr>
          <w:rFonts w:hint="eastAsia"/>
          <w:spacing w:val="10"/>
        </w:rPr>
        <w:t>为</w:t>
      </w:r>
      <w:r w:rsidR="00836377">
        <w:rPr>
          <w:bCs/>
        </w:rPr>
        <w:t>87.5</w:t>
      </w:r>
      <w:r>
        <w:rPr>
          <w:spacing w:val="10"/>
        </w:rPr>
        <w:t>m</w:t>
      </w:r>
      <w:r>
        <w:rPr>
          <w:rFonts w:hint="eastAsia"/>
          <w:spacing w:val="10"/>
        </w:rPr>
        <w:t>，</w:t>
      </w:r>
      <w:r>
        <w:rPr>
          <w:rFonts w:hint="eastAsia"/>
          <w:bCs/>
        </w:rPr>
        <w:t>超标污染羽超出厂界距离</w:t>
      </w:r>
      <w:r>
        <w:rPr>
          <w:rFonts w:hint="eastAsia"/>
          <w:bCs/>
        </w:rPr>
        <w:t>0</w:t>
      </w:r>
      <w:r>
        <w:rPr>
          <w:spacing w:val="10"/>
        </w:rPr>
        <w:t>m</w:t>
      </w:r>
      <w:r>
        <w:rPr>
          <w:rFonts w:hint="eastAsia"/>
          <w:bCs/>
        </w:rPr>
        <w:t>，</w:t>
      </w:r>
      <w:r w:rsidR="00836377">
        <w:rPr>
          <w:rFonts w:hint="eastAsia"/>
          <w:spacing w:val="10"/>
        </w:rPr>
        <w:t>污染晕主要向东南扩散</w:t>
      </w:r>
      <w:r>
        <w:rPr>
          <w:rFonts w:hint="eastAsia"/>
          <w:spacing w:val="10"/>
        </w:rPr>
        <w:t>。</w:t>
      </w:r>
    </w:p>
    <w:p w:rsidR="004E3021" w:rsidRDefault="00606E48">
      <w:pPr>
        <w:spacing w:before="240" w:after="120"/>
        <w:ind w:firstLineChars="0" w:firstLine="0"/>
        <w:jc w:val="left"/>
        <w:outlineLvl w:val="2"/>
        <w:rPr>
          <w:rFonts w:eastAsia="黑体"/>
          <w:sz w:val="28"/>
          <w:szCs w:val="28"/>
        </w:rPr>
      </w:pPr>
      <w:bookmarkStart w:id="513" w:name="_Toc52175561"/>
      <w:bookmarkStart w:id="514" w:name="_Toc101135893"/>
      <w:bookmarkStart w:id="515" w:name="_Toc108662670"/>
      <w:bookmarkStart w:id="516" w:name="_Toc100784061"/>
      <w:bookmarkStart w:id="517" w:name="_Toc221088825"/>
      <w:bookmarkStart w:id="518" w:name="_Toc221501040"/>
      <w:bookmarkEnd w:id="513"/>
      <w:r>
        <w:rPr>
          <w:rFonts w:eastAsia="黑体" w:hint="eastAsia"/>
          <w:sz w:val="28"/>
          <w:szCs w:val="28"/>
        </w:rPr>
        <w:t>5.5.11</w:t>
      </w:r>
      <w:r>
        <w:rPr>
          <w:rFonts w:ascii="黑体" w:eastAsia="黑体" w:hAnsi="黑体" w:hint="eastAsia"/>
          <w:sz w:val="28"/>
          <w:szCs w:val="28"/>
        </w:rPr>
        <w:t>小结</w:t>
      </w:r>
      <w:bookmarkEnd w:id="514"/>
      <w:bookmarkEnd w:id="515"/>
      <w:bookmarkEnd w:id="516"/>
      <w:bookmarkEnd w:id="517"/>
      <w:bookmarkEnd w:id="518"/>
    </w:p>
    <w:p w:rsidR="004E3021" w:rsidRDefault="00606E48">
      <w:pPr>
        <w:widowControl/>
        <w:wordWrap w:val="0"/>
        <w:ind w:firstLine="480"/>
        <w:rPr>
          <w:b/>
          <w:bCs/>
        </w:rPr>
      </w:pPr>
      <w:r>
        <w:rPr>
          <w:rFonts w:ascii="宋体" w:hAnsi="宋体"/>
          <w:bCs/>
        </w:rPr>
        <w:t>根据地下水环评导则要求，预测采用数值模拟模型。通过资料收集和野外勘查获取评价区含水层空间分布特征，根据评价区水文地质条件，确定以潜水含水层为本次的地下水对象，重点模拟了非正常工况下</w:t>
      </w:r>
      <w:r>
        <w:rPr>
          <w:rFonts w:ascii="宋体" w:hAnsi="宋体" w:hint="eastAsia"/>
          <w:bCs/>
        </w:rPr>
        <w:t>污水处理</w:t>
      </w:r>
      <w:r>
        <w:rPr>
          <w:rFonts w:ascii="宋体" w:hAnsi="宋体" w:hint="eastAsia"/>
        </w:rPr>
        <w:t>区</w:t>
      </w:r>
      <w:r>
        <w:rPr>
          <w:bCs/>
        </w:rPr>
        <w:t>7300d</w:t>
      </w:r>
      <w:r>
        <w:rPr>
          <w:rFonts w:ascii="宋体" w:hAnsi="宋体"/>
          <w:bCs/>
        </w:rPr>
        <w:t>内污染物的运移扩散过程。评价结论如下：</w:t>
      </w:r>
    </w:p>
    <w:p w:rsidR="004E3021" w:rsidRDefault="00606E48">
      <w:pPr>
        <w:ind w:firstLine="480"/>
        <w:rPr>
          <w:b/>
        </w:rPr>
      </w:pPr>
      <w:r>
        <w:rPr>
          <w:rFonts w:ascii="宋体" w:hAnsi="宋体" w:hint="eastAsia"/>
        </w:rPr>
        <w:t>（</w:t>
      </w:r>
      <w:r>
        <w:rPr>
          <w:rFonts w:hint="eastAsia"/>
        </w:rPr>
        <w:t>1</w:t>
      </w:r>
      <w:r>
        <w:rPr>
          <w:rFonts w:ascii="宋体" w:hAnsi="宋体"/>
        </w:rPr>
        <w:t>）正常工况</w:t>
      </w:r>
      <w:r>
        <w:rPr>
          <w:rFonts w:ascii="宋体" w:hAnsi="宋体" w:hint="eastAsia"/>
        </w:rPr>
        <w:t>下，污染防渗措施有效，不会发生泄漏</w:t>
      </w:r>
      <w:r>
        <w:rPr>
          <w:rFonts w:ascii="宋体" w:hAnsi="宋体"/>
        </w:rPr>
        <w:t>或</w:t>
      </w:r>
      <w:r>
        <w:rPr>
          <w:rFonts w:ascii="宋体" w:hAnsi="宋体" w:hint="eastAsia"/>
        </w:rPr>
        <w:t>污水渗入地下水的情景发生，对区域地下水质不产生影响。而非正常工况下，污染物泄漏会在厂区及周边一定范围内污染地下水，泄漏</w:t>
      </w:r>
      <w:r>
        <w:rPr>
          <w:rFonts w:hint="eastAsia"/>
        </w:rPr>
        <w:t>1</w:t>
      </w:r>
      <w:r>
        <w:rPr>
          <w:rFonts w:ascii="宋体" w:hAnsi="宋体" w:hint="eastAsia"/>
        </w:rPr>
        <w:t>年停止后，污染物随着运移稀释，浓度逐渐降低，但扩散范围逐渐增大，污染物未扩散到厂区界外。</w:t>
      </w:r>
    </w:p>
    <w:p w:rsidR="004E3021" w:rsidRDefault="00606E48">
      <w:pPr>
        <w:ind w:firstLine="480"/>
        <w:rPr>
          <w:b/>
        </w:rPr>
      </w:pPr>
      <w:r>
        <w:rPr>
          <w:rFonts w:ascii="宋体" w:hAnsi="宋体" w:hint="eastAsia"/>
        </w:rPr>
        <w:t>（</w:t>
      </w:r>
      <w:r>
        <w:rPr>
          <w:rFonts w:hint="eastAsia"/>
        </w:rPr>
        <w:t>2</w:t>
      </w:r>
      <w:r>
        <w:rPr>
          <w:rFonts w:ascii="宋体" w:hAnsi="宋体"/>
        </w:rPr>
        <w:t>）</w:t>
      </w:r>
      <w:r>
        <w:rPr>
          <w:rFonts w:ascii="宋体" w:hAnsi="宋体" w:hint="eastAsia"/>
        </w:rPr>
        <w:t>非正常工况下，污染物泄漏后主要水平迁移方向为东南侧，和水流方向基本一致，调节池</w:t>
      </w:r>
      <w:r>
        <w:rPr>
          <w:rFonts w:ascii="宋体" w:hAnsi="宋体"/>
        </w:rPr>
        <w:t>和废水池</w:t>
      </w:r>
      <w:r>
        <w:rPr>
          <w:rFonts w:ascii="宋体" w:hAnsi="宋体" w:hint="eastAsia"/>
        </w:rPr>
        <w:t>的污染物泄漏对厂区周围地下水环境会造成一定不利影响，不过仅影响到周边较小范围地下水水质而不会影响到区域大范围地下水水质。</w:t>
      </w:r>
    </w:p>
    <w:p w:rsidR="004E3021" w:rsidRDefault="00606E48">
      <w:pPr>
        <w:ind w:firstLine="480"/>
        <w:rPr>
          <w:b/>
        </w:rPr>
      </w:pPr>
      <w:r>
        <w:rPr>
          <w:rFonts w:ascii="宋体" w:hAnsi="宋体" w:hint="eastAsia"/>
        </w:rPr>
        <w:t>（</w:t>
      </w:r>
      <w:r>
        <w:rPr>
          <w:rFonts w:hint="eastAsia"/>
        </w:rPr>
        <w:t>3</w:t>
      </w:r>
      <w:r>
        <w:rPr>
          <w:rFonts w:ascii="宋体" w:hAnsi="宋体"/>
        </w:rPr>
        <w:t>）</w:t>
      </w:r>
      <w:r>
        <w:rPr>
          <w:rFonts w:ascii="宋体" w:hAnsi="宋体" w:hint="eastAsia"/>
        </w:rPr>
        <w:t>非正常工况下，污染物泄漏</w:t>
      </w:r>
      <w:r>
        <w:rPr>
          <w:rFonts w:hint="eastAsia"/>
        </w:rPr>
        <w:t>1</w:t>
      </w:r>
      <w:r>
        <w:rPr>
          <w:rFonts w:ascii="宋体" w:hAnsi="宋体" w:hint="eastAsia"/>
        </w:rPr>
        <w:t>年被发现，导致地下水中出现污染物超标。在本次模拟事故源强和预测时段条件下，调节池的</w:t>
      </w:r>
      <w:r>
        <w:rPr>
          <w:rFonts w:hint="eastAsia"/>
        </w:rPr>
        <w:t>COD</w:t>
      </w:r>
      <w:r>
        <w:rPr>
          <w:rFonts w:ascii="宋体" w:hAnsi="宋体"/>
        </w:rPr>
        <w:t>不会</w:t>
      </w:r>
      <w:r>
        <w:rPr>
          <w:rFonts w:ascii="宋体" w:hAnsi="宋体" w:hint="eastAsia"/>
        </w:rPr>
        <w:t>导致厂区边界地下水超标。调节池</w:t>
      </w:r>
      <w:r>
        <w:rPr>
          <w:rFonts w:hint="eastAsia"/>
        </w:rPr>
        <w:t>COD</w:t>
      </w:r>
      <w:r>
        <w:rPr>
          <w:rFonts w:hint="eastAsia"/>
          <w:bCs/>
        </w:rPr>
        <w:t>超标污染羽最大迁移距离</w:t>
      </w:r>
      <w:r>
        <w:rPr>
          <w:rFonts w:hint="eastAsia"/>
          <w:spacing w:val="10"/>
        </w:rPr>
        <w:t>为</w:t>
      </w:r>
      <w:r w:rsidR="00993079">
        <w:rPr>
          <w:bCs/>
        </w:rPr>
        <w:t>87.5</w:t>
      </w:r>
      <w:r>
        <w:rPr>
          <w:spacing w:val="10"/>
        </w:rPr>
        <w:t>m</w:t>
      </w:r>
      <w:r>
        <w:rPr>
          <w:rFonts w:hint="eastAsia"/>
          <w:spacing w:val="10"/>
        </w:rPr>
        <w:t>，</w:t>
      </w:r>
      <w:r>
        <w:rPr>
          <w:rFonts w:hint="eastAsia"/>
          <w:bCs/>
        </w:rPr>
        <w:t>超标污染羽超出厂界距离</w:t>
      </w:r>
      <w:r>
        <w:rPr>
          <w:rFonts w:hint="eastAsia"/>
          <w:bCs/>
        </w:rPr>
        <w:t>0</w:t>
      </w:r>
      <w:r>
        <w:rPr>
          <w:spacing w:val="10"/>
        </w:rPr>
        <w:t>m</w:t>
      </w:r>
      <w:r>
        <w:rPr>
          <w:rFonts w:hint="eastAsia"/>
          <w:spacing w:val="10"/>
        </w:rPr>
        <w:t>。</w:t>
      </w:r>
      <w:r>
        <w:rPr>
          <w:rFonts w:ascii="宋体" w:hAnsi="宋体" w:hint="eastAsia"/>
        </w:rPr>
        <w:t>企业应做好污水处理区的防渗工作，及时发现并做好防渗措施能较好控制污染物迁移。</w:t>
      </w:r>
    </w:p>
    <w:p w:rsidR="004E3021" w:rsidRDefault="00606E48">
      <w:pPr>
        <w:ind w:firstLine="480"/>
        <w:rPr>
          <w:b/>
        </w:rPr>
      </w:pPr>
      <w:r>
        <w:rPr>
          <w:rFonts w:ascii="宋体" w:hAnsi="宋体" w:hint="eastAsia"/>
        </w:rPr>
        <w:t>（</w:t>
      </w:r>
      <w:r>
        <w:rPr>
          <w:rFonts w:hint="eastAsia"/>
        </w:rPr>
        <w:t>4</w:t>
      </w:r>
      <w:r>
        <w:rPr>
          <w:rFonts w:ascii="宋体" w:hAnsi="宋体"/>
        </w:rPr>
        <w:t>）</w:t>
      </w:r>
      <w:r>
        <w:rPr>
          <w:rFonts w:ascii="宋体" w:hAnsi="宋体" w:hint="eastAsia"/>
        </w:rPr>
        <w:t>污染物浓度随时间变化过程显示，非正常工况下污染物运移速度总体较慢，污染物运移范围不大，且污染物运移过程中不断稀释。污染物运移范围主要是场地水文地质条件决定，模拟区为独立水文地质单位，项目所在地含水层水力坡度相对较小，地下水径流较缓慢，污染物运移扩散范围有限。</w:t>
      </w:r>
    </w:p>
    <w:p w:rsidR="004E3021" w:rsidRDefault="00606E48">
      <w:pPr>
        <w:ind w:firstLine="480"/>
        <w:rPr>
          <w:rFonts w:eastAsia="黑体"/>
          <w:sz w:val="32"/>
          <w:szCs w:val="32"/>
        </w:rPr>
        <w:sectPr w:rsidR="004E3021">
          <w:pgSz w:w="11907" w:h="16840"/>
          <w:pgMar w:top="1440" w:right="1440" w:bottom="1440" w:left="1440" w:header="851" w:footer="992" w:gutter="0"/>
          <w:cols w:space="720"/>
          <w:docGrid w:type="lines" w:linePitch="326"/>
        </w:sectPr>
      </w:pPr>
      <w:r>
        <w:rPr>
          <w:rFonts w:hint="eastAsia"/>
        </w:rPr>
        <w:t>（</w:t>
      </w:r>
      <w:r>
        <w:rPr>
          <w:rFonts w:hint="eastAsia"/>
        </w:rPr>
        <w:t>5</w:t>
      </w:r>
      <w:r>
        <w:t>）</w:t>
      </w:r>
      <w:r>
        <w:rPr>
          <w:rFonts w:hint="eastAsia"/>
        </w:rPr>
        <w:t>为防止非正常工况的发生，必须严格实施各项地下水防渗措施，提高防渗标准，减小事故发生的概率以及污染物入渗强度；同时结合地下水环境监测措施，一旦事</w:t>
      </w:r>
      <w:r>
        <w:rPr>
          <w:rFonts w:hint="eastAsia"/>
        </w:rPr>
        <w:lastRenderedPageBreak/>
        <w:t>故发生，能及时发现；启动应急响应，分析事故发展趋势，及时切断污染源，并将监测井转化为抽水井，实施水力截获，将污染物控制在较小范围，在采取上述措施后，</w:t>
      </w:r>
      <w:r w:rsidR="00947F13">
        <w:rPr>
          <w:rFonts w:hint="eastAsia"/>
        </w:rPr>
        <w:t>本</w:t>
      </w:r>
      <w:r>
        <w:rPr>
          <w:rFonts w:hint="eastAsia"/>
        </w:rPr>
        <w:t>项目对地下水环境影响可控。</w:t>
      </w:r>
    </w:p>
    <w:p w:rsidR="004E3021" w:rsidRDefault="00606E48">
      <w:pPr>
        <w:pStyle w:val="afffffffffffffffff3"/>
      </w:pPr>
      <w:bookmarkStart w:id="519" w:name="_Toc87977853"/>
      <w:bookmarkStart w:id="520" w:name="_Toc221501041"/>
      <w:bookmarkEnd w:id="519"/>
      <w:r>
        <w:rPr>
          <w:rFonts w:hint="eastAsia"/>
        </w:rPr>
        <w:lastRenderedPageBreak/>
        <w:t>5.6</w:t>
      </w:r>
      <w:r>
        <w:rPr>
          <w:rFonts w:hint="eastAsia"/>
        </w:rPr>
        <w:t>环境风险分析与评价</w:t>
      </w:r>
      <w:bookmarkEnd w:id="520"/>
    </w:p>
    <w:p w:rsidR="00DE2F8A" w:rsidRDefault="00DE2F8A" w:rsidP="00DE2F8A">
      <w:pPr>
        <w:autoSpaceDE w:val="0"/>
        <w:spacing w:before="240" w:after="120"/>
        <w:ind w:firstLineChars="0" w:firstLine="0"/>
        <w:jc w:val="left"/>
        <w:outlineLvl w:val="2"/>
        <w:rPr>
          <w:rFonts w:eastAsia="黑体"/>
          <w:sz w:val="28"/>
          <w:szCs w:val="28"/>
        </w:rPr>
      </w:pPr>
      <w:bookmarkStart w:id="521" w:name="_Toc221088827"/>
      <w:bookmarkStart w:id="522" w:name="_Toc221501042"/>
      <w:bookmarkStart w:id="523" w:name="_Toc108662673"/>
      <w:bookmarkStart w:id="524" w:name="_Toc101135896"/>
      <w:bookmarkStart w:id="525" w:name="_Toc100784064"/>
      <w:r>
        <w:rPr>
          <w:rFonts w:eastAsia="黑体" w:hint="eastAsia"/>
          <w:sz w:val="28"/>
          <w:szCs w:val="28"/>
        </w:rPr>
        <w:t>5.6.1</w:t>
      </w:r>
      <w:r>
        <w:rPr>
          <w:rFonts w:ascii="黑体" w:eastAsia="黑体" w:hAnsi="黑体" w:hint="eastAsia"/>
          <w:sz w:val="28"/>
          <w:szCs w:val="28"/>
        </w:rPr>
        <w:t>评价原则和目的</w:t>
      </w:r>
      <w:bookmarkEnd w:id="521"/>
      <w:bookmarkEnd w:id="522"/>
    </w:p>
    <w:p w:rsidR="00DE2F8A" w:rsidRDefault="00DE2F8A" w:rsidP="00DE2F8A">
      <w:pPr>
        <w:pStyle w:val="affffffffa"/>
        <w:ind w:firstLine="480"/>
        <w:rPr>
          <w:b/>
        </w:rPr>
      </w:pPr>
      <w:r>
        <w:t>按照《建设项目环境风险评价技术导则》（</w:t>
      </w:r>
      <w:r>
        <w:t>HJ 169-2018</w:t>
      </w:r>
      <w:r>
        <w:t>）的要求，环境风险评价应以突发性事故导致的危险物质环境急性损害防控为目标，对建设项目的环境风险进行分析、预测和评估，提出环境风险预防、控制、减缓措施，明确环境风险监控及应急要求，为建设项目环境风险防控提供科学依据。</w:t>
      </w:r>
    </w:p>
    <w:p w:rsidR="004E3021" w:rsidRDefault="00606E48">
      <w:pPr>
        <w:spacing w:before="240" w:after="120"/>
        <w:ind w:firstLineChars="0" w:firstLine="0"/>
        <w:jc w:val="left"/>
        <w:outlineLvl w:val="2"/>
        <w:rPr>
          <w:rFonts w:eastAsia="黑体"/>
          <w:sz w:val="28"/>
          <w:szCs w:val="28"/>
        </w:rPr>
      </w:pPr>
      <w:bookmarkStart w:id="526" w:name="_Toc221088828"/>
      <w:bookmarkStart w:id="527" w:name="_Toc221501043"/>
      <w:r>
        <w:rPr>
          <w:rFonts w:eastAsia="黑体" w:hint="eastAsia"/>
          <w:sz w:val="28"/>
          <w:szCs w:val="28"/>
        </w:rPr>
        <w:t>5.6.</w:t>
      </w:r>
      <w:r>
        <w:rPr>
          <w:rFonts w:eastAsia="黑体"/>
          <w:sz w:val="28"/>
          <w:szCs w:val="28"/>
        </w:rPr>
        <w:t>2</w:t>
      </w:r>
      <w:r>
        <w:rPr>
          <w:rFonts w:ascii="黑体" w:eastAsia="黑体" w:hAnsi="黑体" w:hint="eastAsia"/>
          <w:sz w:val="28"/>
          <w:szCs w:val="28"/>
        </w:rPr>
        <w:t>风险</w:t>
      </w:r>
      <w:r>
        <w:rPr>
          <w:rFonts w:ascii="黑体" w:eastAsia="黑体" w:hAnsi="黑体"/>
          <w:sz w:val="28"/>
          <w:szCs w:val="28"/>
        </w:rPr>
        <w:t>调查</w:t>
      </w:r>
      <w:bookmarkEnd w:id="523"/>
      <w:bookmarkEnd w:id="524"/>
      <w:bookmarkEnd w:id="525"/>
      <w:bookmarkEnd w:id="526"/>
      <w:bookmarkEnd w:id="527"/>
    </w:p>
    <w:p w:rsidR="004E3021" w:rsidRDefault="00606E48">
      <w:pPr>
        <w:widowControl/>
        <w:spacing w:before="120" w:after="120"/>
        <w:ind w:firstLineChars="0" w:firstLine="0"/>
        <w:jc w:val="left"/>
        <w:outlineLvl w:val="3"/>
        <w:rPr>
          <w:rFonts w:eastAsia="黑体"/>
        </w:rPr>
      </w:pPr>
      <w:r>
        <w:rPr>
          <w:rFonts w:eastAsia="黑体" w:hint="eastAsia"/>
        </w:rPr>
        <w:t>5.6.</w:t>
      </w:r>
      <w:r>
        <w:rPr>
          <w:rFonts w:eastAsia="黑体"/>
        </w:rPr>
        <w:t>2</w:t>
      </w:r>
      <w:r>
        <w:rPr>
          <w:rFonts w:eastAsia="黑体" w:hint="eastAsia"/>
        </w:rPr>
        <w:t>.1</w:t>
      </w:r>
      <w:r>
        <w:rPr>
          <w:rFonts w:ascii="黑体" w:eastAsia="黑体" w:hAnsi="黑体" w:hint="eastAsia"/>
        </w:rPr>
        <w:t>风险源</w:t>
      </w:r>
      <w:r>
        <w:rPr>
          <w:rFonts w:ascii="黑体" w:eastAsia="黑体" w:hAnsi="黑体"/>
        </w:rPr>
        <w:t>调查</w:t>
      </w:r>
    </w:p>
    <w:p w:rsidR="004E3021" w:rsidRDefault="00606E48">
      <w:pPr>
        <w:ind w:firstLine="480"/>
      </w:pPr>
      <w:r>
        <w:rPr>
          <w:rFonts w:ascii="宋体" w:hAnsi="宋体"/>
        </w:rPr>
        <w:t>环境风险因素识别对象包括生产设施、所涉及物质、受影响的环境要素和环境保护目标，其中生产设施风险因素识别包括主要生产装置、贮运系统、公用工程系统、辅助生产设施及环境保护设施等；物质风险因素识别包括主要原材料及辅助材料、燃料、</w:t>
      </w:r>
      <w:r>
        <w:t>“</w:t>
      </w:r>
      <w:r>
        <w:rPr>
          <w:rFonts w:ascii="宋体" w:hAnsi="宋体"/>
        </w:rPr>
        <w:t>三废</w:t>
      </w:r>
      <w:r>
        <w:t>”</w:t>
      </w:r>
      <w:r>
        <w:rPr>
          <w:rFonts w:ascii="宋体" w:hAnsi="宋体"/>
        </w:rPr>
        <w:t>污染物、火灾和爆炸等伴生</w:t>
      </w:r>
      <w:r>
        <w:t>/</w:t>
      </w:r>
      <w:r>
        <w:rPr>
          <w:rFonts w:ascii="宋体" w:hAnsi="宋体"/>
        </w:rPr>
        <w:t>次生的危险物质。</w:t>
      </w:r>
    </w:p>
    <w:p w:rsidR="004E3021" w:rsidRDefault="00606E48">
      <w:pPr>
        <w:ind w:firstLine="480"/>
      </w:pPr>
      <w:r>
        <w:rPr>
          <w:rFonts w:ascii="宋体" w:hAnsi="宋体"/>
        </w:rPr>
        <w:t>根据本项目生产特点，确定风险识别范围如下：</w:t>
      </w:r>
    </w:p>
    <w:p w:rsidR="004E3021" w:rsidRDefault="00606E48">
      <w:pPr>
        <w:ind w:firstLine="480"/>
      </w:pPr>
      <w:r>
        <w:rPr>
          <w:rFonts w:ascii="宋体" w:hAnsi="宋体"/>
        </w:rPr>
        <w:t>生产设施风险识别范围：本项目生产设施产生重大事故的装置主要有回转窑、尾气处理装置</w:t>
      </w:r>
      <w:r>
        <w:rPr>
          <w:rFonts w:ascii="宋体" w:hAnsi="宋体" w:hint="eastAsia"/>
        </w:rPr>
        <w:t>及</w:t>
      </w:r>
      <w:r>
        <w:rPr>
          <w:rFonts w:ascii="宋体" w:hAnsi="宋体"/>
        </w:rPr>
        <w:t>废水处理设施等。</w:t>
      </w:r>
    </w:p>
    <w:p w:rsidR="004E3021" w:rsidRDefault="00606E48">
      <w:pPr>
        <w:ind w:firstLine="480"/>
      </w:pPr>
      <w:r>
        <w:rPr>
          <w:rFonts w:ascii="宋体" w:hAnsi="宋体"/>
        </w:rPr>
        <w:t>物质风险识别范围：主要有</w:t>
      </w:r>
      <w:r w:rsidR="00DE2F8A">
        <w:rPr>
          <w:rFonts w:ascii="宋体" w:hAnsi="宋体" w:hint="eastAsia"/>
        </w:rPr>
        <w:t>甲醇</w:t>
      </w:r>
      <w:r>
        <w:rPr>
          <w:rFonts w:ascii="宋体" w:hAnsi="宋体"/>
        </w:rPr>
        <w:t>、氨水等。</w:t>
      </w:r>
    </w:p>
    <w:p w:rsidR="004E3021" w:rsidRDefault="00606E48">
      <w:pPr>
        <w:ind w:firstLine="480"/>
      </w:pPr>
      <w:r>
        <w:rPr>
          <w:rFonts w:ascii="宋体" w:hAnsi="宋体"/>
        </w:rPr>
        <w:t>风险类型：危险废物在输送以及储存过程中</w:t>
      </w:r>
      <w:r>
        <w:rPr>
          <w:rFonts w:ascii="宋体" w:hAnsi="宋体" w:hint="eastAsia"/>
        </w:rPr>
        <w:t>吨桶</w:t>
      </w:r>
      <w:r>
        <w:rPr>
          <w:rFonts w:ascii="宋体" w:hAnsi="宋体"/>
        </w:rPr>
        <w:t>或包装废料泄漏或操作不规范导致危险废物大量溢出、散落等泄漏意外情况，将会污染运输线路沿途及厂内大气、水体、土壤、路面，对人体、环境造成危害；操作不慎或其它原因引起桶类包装破裂造成</w:t>
      </w:r>
      <w:r>
        <w:rPr>
          <w:rFonts w:ascii="宋体" w:hAnsi="宋体" w:hint="eastAsia"/>
        </w:rPr>
        <w:t>有机废液</w:t>
      </w:r>
      <w:r>
        <w:rPr>
          <w:rFonts w:ascii="宋体" w:hAnsi="宋体"/>
        </w:rPr>
        <w:t>泄漏；尾气吸收装置操作失误或停车，造成尾气直接排放对周边环境造成危害；废水处理设施</w:t>
      </w:r>
      <w:r>
        <w:rPr>
          <w:rFonts w:ascii="宋体" w:hAnsi="宋体" w:hint="eastAsia"/>
        </w:rPr>
        <w:t>破损</w:t>
      </w:r>
      <w:r>
        <w:rPr>
          <w:rFonts w:ascii="宋体" w:hAnsi="宋体"/>
        </w:rPr>
        <w:t>，未达标废水直接排放至</w:t>
      </w:r>
      <w:r>
        <w:rPr>
          <w:rFonts w:ascii="宋体" w:hAnsi="宋体" w:hint="eastAsia"/>
        </w:rPr>
        <w:t>园区污水厂</w:t>
      </w:r>
      <w:r>
        <w:rPr>
          <w:rFonts w:ascii="宋体" w:hAnsi="宋体"/>
        </w:rPr>
        <w:t>，</w:t>
      </w:r>
      <w:r>
        <w:rPr>
          <w:rFonts w:ascii="宋体" w:hAnsi="宋体" w:hint="eastAsia"/>
        </w:rPr>
        <w:t>对园区</w:t>
      </w:r>
      <w:r>
        <w:rPr>
          <w:rFonts w:ascii="宋体" w:hAnsi="宋体"/>
        </w:rPr>
        <w:t>污水厂造成冲击，</w:t>
      </w:r>
      <w:r>
        <w:rPr>
          <w:rFonts w:ascii="宋体" w:hAnsi="宋体" w:hint="eastAsia"/>
        </w:rPr>
        <w:t>导致</w:t>
      </w:r>
      <w:r>
        <w:rPr>
          <w:rFonts w:ascii="宋体" w:hAnsi="宋体"/>
        </w:rPr>
        <w:t>环境危害。</w:t>
      </w:r>
    </w:p>
    <w:p w:rsidR="004E3021" w:rsidRDefault="00606E48">
      <w:pPr>
        <w:widowControl/>
        <w:spacing w:before="120" w:after="120"/>
        <w:ind w:firstLineChars="0" w:firstLine="0"/>
        <w:jc w:val="left"/>
        <w:outlineLvl w:val="3"/>
        <w:rPr>
          <w:rFonts w:eastAsia="黑体"/>
        </w:rPr>
      </w:pPr>
      <w:r>
        <w:rPr>
          <w:rFonts w:eastAsia="黑体" w:hint="eastAsia"/>
        </w:rPr>
        <w:t>5.6.</w:t>
      </w:r>
      <w:r>
        <w:rPr>
          <w:rFonts w:eastAsia="黑体"/>
        </w:rPr>
        <w:t>2</w:t>
      </w:r>
      <w:r>
        <w:rPr>
          <w:rFonts w:eastAsia="黑体" w:hint="eastAsia"/>
        </w:rPr>
        <w:t>.2</w:t>
      </w:r>
      <w:r>
        <w:rPr>
          <w:rFonts w:ascii="黑体" w:eastAsia="黑体" w:hAnsi="黑体" w:hint="eastAsia"/>
        </w:rPr>
        <w:t>环境</w:t>
      </w:r>
      <w:r>
        <w:rPr>
          <w:rFonts w:ascii="黑体" w:eastAsia="黑体" w:hAnsi="黑体"/>
        </w:rPr>
        <w:t>风险敏感</w:t>
      </w:r>
      <w:r>
        <w:rPr>
          <w:rFonts w:ascii="黑体" w:eastAsia="黑体" w:hAnsi="黑体" w:hint="eastAsia"/>
        </w:rPr>
        <w:t>目标</w:t>
      </w:r>
      <w:r>
        <w:rPr>
          <w:rFonts w:ascii="黑体" w:eastAsia="黑体" w:hAnsi="黑体"/>
        </w:rPr>
        <w:t>调查</w:t>
      </w:r>
    </w:p>
    <w:p w:rsidR="004E3021" w:rsidRDefault="00606E48">
      <w:pPr>
        <w:ind w:firstLine="480"/>
      </w:pPr>
      <w:r>
        <w:rPr>
          <w:rFonts w:ascii="宋体" w:hAnsi="宋体" w:hint="eastAsia"/>
        </w:rPr>
        <w:t>根据《建设项目环境风险评价技术导则</w:t>
      </w:r>
      <w:r>
        <w:rPr>
          <w:rFonts w:ascii="宋体" w:hAnsi="宋体"/>
        </w:rPr>
        <w:t>》</w:t>
      </w:r>
      <w:r>
        <w:t>(HJ169-2018)</w:t>
      </w:r>
      <w:r>
        <w:rPr>
          <w:rFonts w:ascii="宋体" w:hAnsi="宋体"/>
        </w:rPr>
        <w:t>，环境风险评价范围最大为</w:t>
      </w:r>
      <w:r>
        <w:t>5km</w:t>
      </w:r>
      <w:r>
        <w:rPr>
          <w:rFonts w:ascii="宋体" w:hAnsi="宋体"/>
        </w:rPr>
        <w:t>，本次环境风险重点考虑项目装置边界</w:t>
      </w:r>
      <w:r>
        <w:t>5km</w:t>
      </w:r>
      <w:r>
        <w:rPr>
          <w:rFonts w:ascii="宋体" w:hAnsi="宋体"/>
        </w:rPr>
        <w:t>范围内的居民点。</w:t>
      </w:r>
    </w:p>
    <w:p w:rsidR="004E3021" w:rsidRDefault="00606E48">
      <w:pPr>
        <w:ind w:firstLine="480"/>
      </w:pPr>
      <w:r>
        <w:rPr>
          <w:rFonts w:ascii="宋体" w:hAnsi="宋体" w:hint="eastAsia"/>
        </w:rPr>
        <w:t>本项目环境</w:t>
      </w:r>
      <w:r>
        <w:rPr>
          <w:rFonts w:ascii="宋体" w:hAnsi="宋体"/>
        </w:rPr>
        <w:t>风险评价范围内敏感保护</w:t>
      </w:r>
      <w:r>
        <w:rPr>
          <w:rFonts w:ascii="宋体" w:hAnsi="宋体" w:hint="eastAsia"/>
        </w:rPr>
        <w:t>目标见</w:t>
      </w:r>
      <w:r>
        <w:rPr>
          <w:rFonts w:ascii="宋体" w:hAnsi="宋体"/>
        </w:rPr>
        <w:t>表</w:t>
      </w:r>
      <w:r>
        <w:t>5.6.2-1</w:t>
      </w:r>
      <w:r>
        <w:rPr>
          <w:rFonts w:ascii="宋体" w:hAnsi="宋体" w:hint="eastAsia"/>
        </w:rPr>
        <w:t>及</w:t>
      </w:r>
      <w:r>
        <w:rPr>
          <w:rFonts w:ascii="宋体" w:hAnsi="宋体"/>
        </w:rPr>
        <w:t>附图</w:t>
      </w:r>
      <w:r>
        <w:t>2.4.2-1</w:t>
      </w:r>
      <w:r>
        <w:rPr>
          <w:rFonts w:ascii="宋体" w:hAnsi="宋体" w:hint="eastAsia"/>
        </w:rPr>
        <w:t>。</w:t>
      </w:r>
    </w:p>
    <w:p w:rsidR="004E3021" w:rsidRDefault="00606E48">
      <w:pPr>
        <w:spacing w:line="500" w:lineRule="exact"/>
        <w:ind w:firstLineChars="0" w:firstLine="0"/>
        <w:jc w:val="center"/>
        <w:rPr>
          <w:rFonts w:ascii="黑体" w:eastAsia="黑体" w:hAnsi="黑体"/>
        </w:rPr>
      </w:pPr>
      <w:r>
        <w:rPr>
          <w:rFonts w:ascii="黑体" w:eastAsia="黑体" w:hAnsi="黑体" w:hint="eastAsia"/>
        </w:rPr>
        <w:lastRenderedPageBreak/>
        <w:t>表</w:t>
      </w:r>
      <w:r>
        <w:rPr>
          <w:rFonts w:eastAsia="黑体" w:hint="eastAsia"/>
        </w:rPr>
        <w:t>5.6.</w:t>
      </w:r>
      <w:r>
        <w:rPr>
          <w:rFonts w:eastAsia="黑体"/>
        </w:rPr>
        <w:t xml:space="preserve">2-1  </w:t>
      </w:r>
      <w:r>
        <w:rPr>
          <w:rFonts w:ascii="黑体" w:eastAsia="黑体" w:hAnsi="黑体" w:hint="eastAsia"/>
        </w:rPr>
        <w:t>环境</w:t>
      </w:r>
      <w:r>
        <w:rPr>
          <w:rFonts w:ascii="黑体" w:eastAsia="黑体" w:hAnsi="黑体"/>
        </w:rPr>
        <w:t>风险评价范围及敏感保护目标</w:t>
      </w:r>
    </w:p>
    <w:tbl>
      <w:tblPr>
        <w:tblStyle w:val="afff"/>
        <w:tblW w:w="9071" w:type="dxa"/>
        <w:jc w:val="center"/>
        <w:tblLayout w:type="fixed"/>
        <w:tblLook w:val="04A0" w:firstRow="1" w:lastRow="0" w:firstColumn="1" w:lastColumn="0" w:noHBand="0" w:noVBand="1"/>
      </w:tblPr>
      <w:tblGrid>
        <w:gridCol w:w="794"/>
        <w:gridCol w:w="778"/>
        <w:gridCol w:w="1638"/>
        <w:gridCol w:w="1127"/>
        <w:gridCol w:w="1273"/>
        <w:gridCol w:w="1664"/>
        <w:gridCol w:w="1797"/>
      </w:tblGrid>
      <w:tr w:rsidR="00DE2F8A" w:rsidTr="00DE2F8A">
        <w:trPr>
          <w:jc w:val="center"/>
        </w:trPr>
        <w:tc>
          <w:tcPr>
            <w:tcW w:w="794" w:type="dxa"/>
            <w:tcBorders>
              <w:top w:val="single" w:sz="12" w:space="0" w:color="auto"/>
              <w:left w:val="nil"/>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b/>
                <w:bCs/>
                <w:kern w:val="0"/>
                <w:sz w:val="21"/>
                <w:szCs w:val="21"/>
              </w:rPr>
            </w:pPr>
            <w:r>
              <w:rPr>
                <w:rFonts w:ascii="宋体" w:hAnsi="宋体" w:hint="eastAsia"/>
                <w:b/>
                <w:bCs/>
                <w:kern w:val="0"/>
                <w:sz w:val="21"/>
                <w:szCs w:val="21"/>
              </w:rPr>
              <w:t>环境</w:t>
            </w:r>
            <w:r>
              <w:rPr>
                <w:rFonts w:ascii="宋体" w:hAnsi="宋体"/>
                <w:b/>
                <w:bCs/>
                <w:kern w:val="0"/>
                <w:sz w:val="21"/>
                <w:szCs w:val="21"/>
              </w:rPr>
              <w:t>要素</w:t>
            </w:r>
          </w:p>
        </w:tc>
        <w:tc>
          <w:tcPr>
            <w:tcW w:w="778" w:type="dxa"/>
            <w:tcBorders>
              <w:top w:val="single" w:sz="12"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b/>
                <w:bCs/>
                <w:kern w:val="0"/>
                <w:sz w:val="21"/>
                <w:szCs w:val="21"/>
              </w:rPr>
            </w:pPr>
            <w:r>
              <w:rPr>
                <w:rFonts w:ascii="宋体" w:hAnsi="宋体" w:hint="eastAsia"/>
                <w:b/>
                <w:bCs/>
                <w:kern w:val="0"/>
                <w:sz w:val="21"/>
                <w:szCs w:val="21"/>
              </w:rPr>
              <w:t>序号</w:t>
            </w:r>
          </w:p>
        </w:tc>
        <w:tc>
          <w:tcPr>
            <w:tcW w:w="1638" w:type="dxa"/>
            <w:tcBorders>
              <w:top w:val="single" w:sz="12"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b/>
                <w:bCs/>
                <w:kern w:val="0"/>
                <w:sz w:val="21"/>
                <w:szCs w:val="21"/>
              </w:rPr>
            </w:pPr>
            <w:r>
              <w:rPr>
                <w:rFonts w:ascii="宋体" w:hAnsi="宋体" w:hint="eastAsia"/>
                <w:b/>
                <w:bCs/>
                <w:kern w:val="0"/>
                <w:sz w:val="21"/>
                <w:szCs w:val="21"/>
              </w:rPr>
              <w:t>名称</w:t>
            </w:r>
          </w:p>
        </w:tc>
        <w:tc>
          <w:tcPr>
            <w:tcW w:w="1127" w:type="dxa"/>
            <w:tcBorders>
              <w:top w:val="single" w:sz="12"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b/>
                <w:bCs/>
                <w:kern w:val="0"/>
                <w:sz w:val="21"/>
                <w:szCs w:val="21"/>
              </w:rPr>
            </w:pPr>
            <w:r>
              <w:rPr>
                <w:rFonts w:ascii="宋体" w:hAnsi="宋体"/>
                <w:b/>
                <w:bCs/>
                <w:kern w:val="0"/>
                <w:sz w:val="21"/>
                <w:szCs w:val="21"/>
              </w:rPr>
              <w:t>相对厂址方位</w:t>
            </w:r>
          </w:p>
        </w:tc>
        <w:tc>
          <w:tcPr>
            <w:tcW w:w="1273" w:type="dxa"/>
            <w:tcBorders>
              <w:top w:val="single" w:sz="12"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b/>
                <w:bCs/>
                <w:kern w:val="0"/>
                <w:sz w:val="21"/>
                <w:szCs w:val="21"/>
              </w:rPr>
            </w:pPr>
            <w:r>
              <w:rPr>
                <w:rFonts w:ascii="宋体" w:hAnsi="宋体"/>
                <w:b/>
                <w:bCs/>
                <w:kern w:val="0"/>
                <w:sz w:val="21"/>
                <w:szCs w:val="21"/>
              </w:rPr>
              <w:t>相对厂界距离</w:t>
            </w:r>
            <w:r>
              <w:rPr>
                <w:rFonts w:ascii="Times New Roman" w:hAnsi="Times New Roman"/>
                <w:b/>
                <w:bCs/>
                <w:kern w:val="0"/>
                <w:sz w:val="21"/>
                <w:szCs w:val="21"/>
              </w:rPr>
              <w:t>/m</w:t>
            </w:r>
          </w:p>
        </w:tc>
        <w:tc>
          <w:tcPr>
            <w:tcW w:w="1664" w:type="dxa"/>
            <w:tcBorders>
              <w:top w:val="single" w:sz="12"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b/>
                <w:bCs/>
                <w:kern w:val="0"/>
                <w:sz w:val="21"/>
                <w:szCs w:val="21"/>
              </w:rPr>
            </w:pPr>
            <w:r>
              <w:rPr>
                <w:rFonts w:ascii="宋体" w:hAnsi="宋体" w:hint="eastAsia"/>
                <w:b/>
                <w:bCs/>
                <w:kern w:val="0"/>
                <w:sz w:val="21"/>
                <w:szCs w:val="21"/>
              </w:rPr>
              <w:t>保护</w:t>
            </w:r>
            <w:r>
              <w:rPr>
                <w:rFonts w:ascii="宋体" w:hAnsi="宋体"/>
                <w:b/>
                <w:bCs/>
                <w:kern w:val="0"/>
                <w:sz w:val="21"/>
                <w:szCs w:val="21"/>
              </w:rPr>
              <w:t>对象</w:t>
            </w:r>
          </w:p>
        </w:tc>
        <w:tc>
          <w:tcPr>
            <w:tcW w:w="1797" w:type="dxa"/>
            <w:tcBorders>
              <w:top w:val="single" w:sz="12"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b/>
                <w:bCs/>
                <w:kern w:val="0"/>
                <w:sz w:val="21"/>
                <w:szCs w:val="21"/>
              </w:rPr>
            </w:pPr>
            <w:r>
              <w:rPr>
                <w:rFonts w:ascii="宋体" w:hAnsi="宋体" w:hint="eastAsia"/>
                <w:b/>
                <w:bCs/>
                <w:kern w:val="0"/>
                <w:sz w:val="21"/>
                <w:szCs w:val="21"/>
              </w:rPr>
              <w:t>保护内容</w:t>
            </w:r>
          </w:p>
        </w:tc>
      </w:tr>
      <w:tr w:rsidR="00DE2F8A" w:rsidTr="00DE2F8A">
        <w:trPr>
          <w:jc w:val="center"/>
        </w:trPr>
        <w:tc>
          <w:tcPr>
            <w:tcW w:w="794" w:type="dxa"/>
            <w:vMerge w:val="restart"/>
            <w:tcBorders>
              <w:top w:val="single" w:sz="4" w:space="0" w:color="auto"/>
              <w:left w:val="nil"/>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hint="eastAsia"/>
                <w:kern w:val="0"/>
                <w:sz w:val="21"/>
                <w:szCs w:val="21"/>
              </w:rPr>
              <w:t>大气</w:t>
            </w:r>
            <w:r>
              <w:rPr>
                <w:rFonts w:ascii="宋体" w:hAnsi="宋体"/>
                <w:kern w:val="0"/>
                <w:sz w:val="21"/>
                <w:szCs w:val="21"/>
              </w:rPr>
              <w:t>环境</w:t>
            </w:r>
          </w:p>
        </w:tc>
        <w:tc>
          <w:tcPr>
            <w:tcW w:w="778"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1</w:t>
            </w:r>
          </w:p>
        </w:tc>
        <w:tc>
          <w:tcPr>
            <w:tcW w:w="1638"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小李庄</w:t>
            </w:r>
          </w:p>
        </w:tc>
        <w:tc>
          <w:tcPr>
            <w:tcW w:w="1127"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SW</w:t>
            </w:r>
          </w:p>
        </w:tc>
        <w:tc>
          <w:tcPr>
            <w:tcW w:w="1273"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4354</w:t>
            </w:r>
          </w:p>
        </w:tc>
        <w:tc>
          <w:tcPr>
            <w:tcW w:w="1664"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35</w:t>
            </w:r>
            <w:r>
              <w:rPr>
                <w:rFonts w:ascii="宋体" w:hAnsi="宋体" w:hint="eastAsia"/>
                <w:kern w:val="0"/>
                <w:sz w:val="21"/>
                <w:szCs w:val="21"/>
              </w:rPr>
              <w:t>户</w:t>
            </w:r>
            <w:r>
              <w:rPr>
                <w:rFonts w:ascii="Times New Roman" w:hAnsi="Times New Roman" w:hint="eastAsia"/>
                <w:kern w:val="0"/>
                <w:sz w:val="21"/>
                <w:szCs w:val="21"/>
              </w:rPr>
              <w:t>/112</w:t>
            </w:r>
            <w:r>
              <w:rPr>
                <w:rFonts w:ascii="宋体" w:hAnsi="宋体" w:hint="eastAsia"/>
                <w:kern w:val="0"/>
                <w:sz w:val="21"/>
                <w:szCs w:val="21"/>
              </w:rPr>
              <w:t>人</w:t>
            </w:r>
          </w:p>
        </w:tc>
      </w:tr>
      <w:tr w:rsidR="00DE2F8A" w:rsidTr="00DE2F8A">
        <w:trPr>
          <w:jc w:val="center"/>
        </w:trPr>
        <w:tc>
          <w:tcPr>
            <w:tcW w:w="794" w:type="dxa"/>
            <w:vMerge/>
            <w:tcBorders>
              <w:top w:val="single" w:sz="4" w:space="0" w:color="auto"/>
              <w:left w:val="nil"/>
              <w:bottom w:val="single" w:sz="4" w:space="0" w:color="auto"/>
              <w:right w:val="single" w:sz="4" w:space="0" w:color="auto"/>
            </w:tcBorders>
            <w:vAlign w:val="center"/>
            <w:hideMark/>
          </w:tcPr>
          <w:p w:rsidR="00DE2F8A" w:rsidRDefault="00DE2F8A" w:rsidP="00DE2F8A">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2</w:t>
            </w:r>
          </w:p>
        </w:tc>
        <w:tc>
          <w:tcPr>
            <w:tcW w:w="1638"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汤陈村</w:t>
            </w:r>
          </w:p>
        </w:tc>
        <w:tc>
          <w:tcPr>
            <w:tcW w:w="1127"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SW</w:t>
            </w:r>
          </w:p>
        </w:tc>
        <w:tc>
          <w:tcPr>
            <w:tcW w:w="1273"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2342</w:t>
            </w:r>
          </w:p>
        </w:tc>
        <w:tc>
          <w:tcPr>
            <w:tcW w:w="1664"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680</w:t>
            </w:r>
            <w:r>
              <w:rPr>
                <w:rFonts w:ascii="宋体" w:hAnsi="宋体" w:hint="eastAsia"/>
                <w:kern w:val="0"/>
                <w:sz w:val="21"/>
                <w:szCs w:val="21"/>
              </w:rPr>
              <w:t>户</w:t>
            </w:r>
            <w:r>
              <w:rPr>
                <w:rFonts w:ascii="Times New Roman" w:hAnsi="Times New Roman" w:hint="eastAsia"/>
                <w:kern w:val="0"/>
                <w:sz w:val="21"/>
                <w:szCs w:val="21"/>
              </w:rPr>
              <w:t>/2176</w:t>
            </w:r>
            <w:r>
              <w:rPr>
                <w:rFonts w:ascii="宋体" w:hAnsi="宋体" w:hint="eastAsia"/>
                <w:kern w:val="0"/>
                <w:sz w:val="21"/>
                <w:szCs w:val="21"/>
              </w:rPr>
              <w:t>人</w:t>
            </w:r>
          </w:p>
        </w:tc>
      </w:tr>
      <w:tr w:rsidR="00DE2F8A" w:rsidTr="00DE2F8A">
        <w:trPr>
          <w:jc w:val="center"/>
        </w:trPr>
        <w:tc>
          <w:tcPr>
            <w:tcW w:w="794" w:type="dxa"/>
            <w:vMerge/>
            <w:tcBorders>
              <w:top w:val="single" w:sz="4" w:space="0" w:color="auto"/>
              <w:left w:val="nil"/>
              <w:bottom w:val="single" w:sz="4" w:space="0" w:color="auto"/>
              <w:right w:val="single" w:sz="4" w:space="0" w:color="auto"/>
            </w:tcBorders>
            <w:vAlign w:val="center"/>
            <w:hideMark/>
          </w:tcPr>
          <w:p w:rsidR="00DE2F8A" w:rsidRDefault="00DE2F8A" w:rsidP="00DE2F8A">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3</w:t>
            </w:r>
          </w:p>
        </w:tc>
        <w:tc>
          <w:tcPr>
            <w:tcW w:w="1638"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汤家</w:t>
            </w:r>
          </w:p>
        </w:tc>
        <w:tc>
          <w:tcPr>
            <w:tcW w:w="1127"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SW</w:t>
            </w:r>
          </w:p>
        </w:tc>
        <w:tc>
          <w:tcPr>
            <w:tcW w:w="1273"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2487</w:t>
            </w:r>
          </w:p>
        </w:tc>
        <w:tc>
          <w:tcPr>
            <w:tcW w:w="1664"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31</w:t>
            </w:r>
            <w:r>
              <w:rPr>
                <w:rFonts w:ascii="宋体" w:hAnsi="宋体" w:hint="eastAsia"/>
                <w:kern w:val="0"/>
                <w:sz w:val="21"/>
                <w:szCs w:val="21"/>
              </w:rPr>
              <w:t>户</w:t>
            </w:r>
            <w:r>
              <w:rPr>
                <w:rFonts w:ascii="Times New Roman" w:hAnsi="Times New Roman" w:hint="eastAsia"/>
                <w:kern w:val="0"/>
                <w:sz w:val="21"/>
                <w:szCs w:val="21"/>
              </w:rPr>
              <w:t>/99</w:t>
            </w:r>
            <w:r>
              <w:rPr>
                <w:rFonts w:ascii="宋体" w:hAnsi="宋体" w:hint="eastAsia"/>
                <w:kern w:val="0"/>
                <w:sz w:val="21"/>
                <w:szCs w:val="21"/>
              </w:rPr>
              <w:t>人</w:t>
            </w:r>
          </w:p>
        </w:tc>
      </w:tr>
      <w:tr w:rsidR="00DE2F8A" w:rsidTr="00DE2F8A">
        <w:trPr>
          <w:jc w:val="center"/>
        </w:trPr>
        <w:tc>
          <w:tcPr>
            <w:tcW w:w="794" w:type="dxa"/>
            <w:vMerge/>
            <w:tcBorders>
              <w:top w:val="single" w:sz="4" w:space="0" w:color="auto"/>
              <w:left w:val="nil"/>
              <w:bottom w:val="single" w:sz="4" w:space="0" w:color="auto"/>
              <w:right w:val="single" w:sz="4" w:space="0" w:color="auto"/>
            </w:tcBorders>
            <w:vAlign w:val="center"/>
            <w:hideMark/>
          </w:tcPr>
          <w:p w:rsidR="00DE2F8A" w:rsidRDefault="00DE2F8A" w:rsidP="00DE2F8A">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4</w:t>
            </w:r>
          </w:p>
        </w:tc>
        <w:tc>
          <w:tcPr>
            <w:tcW w:w="1638"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陈巷</w:t>
            </w:r>
          </w:p>
        </w:tc>
        <w:tc>
          <w:tcPr>
            <w:tcW w:w="1127"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SW</w:t>
            </w:r>
          </w:p>
        </w:tc>
        <w:tc>
          <w:tcPr>
            <w:tcW w:w="1273"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2500</w:t>
            </w:r>
          </w:p>
        </w:tc>
        <w:tc>
          <w:tcPr>
            <w:tcW w:w="1664"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590</w:t>
            </w:r>
            <w:r>
              <w:rPr>
                <w:rFonts w:ascii="宋体" w:hAnsi="宋体" w:hint="eastAsia"/>
                <w:kern w:val="0"/>
                <w:sz w:val="21"/>
                <w:szCs w:val="21"/>
              </w:rPr>
              <w:t>户</w:t>
            </w:r>
            <w:r>
              <w:rPr>
                <w:rFonts w:ascii="Times New Roman" w:hAnsi="Times New Roman" w:hint="eastAsia"/>
                <w:kern w:val="0"/>
                <w:sz w:val="21"/>
                <w:szCs w:val="21"/>
              </w:rPr>
              <w:t>/1888</w:t>
            </w:r>
            <w:r>
              <w:rPr>
                <w:rFonts w:ascii="宋体" w:hAnsi="宋体" w:hint="eastAsia"/>
                <w:kern w:val="0"/>
                <w:sz w:val="21"/>
                <w:szCs w:val="21"/>
              </w:rPr>
              <w:t>人</w:t>
            </w:r>
          </w:p>
        </w:tc>
      </w:tr>
      <w:tr w:rsidR="00DE2F8A"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DE2F8A" w:rsidRDefault="00DE2F8A" w:rsidP="00DE2F8A">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DE2F8A" w:rsidRDefault="00C31861"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5</w:t>
            </w:r>
          </w:p>
        </w:tc>
        <w:tc>
          <w:tcPr>
            <w:tcW w:w="1638"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于家村</w:t>
            </w:r>
          </w:p>
        </w:tc>
        <w:tc>
          <w:tcPr>
            <w:tcW w:w="1127"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SW</w:t>
            </w:r>
          </w:p>
        </w:tc>
        <w:tc>
          <w:tcPr>
            <w:tcW w:w="1273"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2566</w:t>
            </w:r>
          </w:p>
        </w:tc>
        <w:tc>
          <w:tcPr>
            <w:tcW w:w="1664"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573</w:t>
            </w:r>
            <w:r>
              <w:rPr>
                <w:rFonts w:ascii="宋体" w:hAnsi="宋体" w:hint="eastAsia"/>
                <w:kern w:val="0"/>
                <w:sz w:val="21"/>
                <w:szCs w:val="21"/>
              </w:rPr>
              <w:t>户</w:t>
            </w:r>
            <w:r>
              <w:rPr>
                <w:rFonts w:ascii="Times New Roman" w:hAnsi="Times New Roman" w:hint="eastAsia"/>
                <w:kern w:val="0"/>
                <w:sz w:val="21"/>
                <w:szCs w:val="21"/>
              </w:rPr>
              <w:t>/1834</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6</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柳西村</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4482</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35</w:t>
            </w:r>
            <w:r>
              <w:rPr>
                <w:rFonts w:ascii="宋体" w:hAnsi="宋体" w:hint="eastAsia"/>
                <w:kern w:val="0"/>
                <w:sz w:val="21"/>
                <w:szCs w:val="21"/>
              </w:rPr>
              <w:t>户</w:t>
            </w:r>
            <w:r>
              <w:rPr>
                <w:rFonts w:ascii="Times New Roman" w:hAnsi="Times New Roman" w:hint="eastAsia"/>
                <w:kern w:val="0"/>
                <w:sz w:val="21"/>
                <w:szCs w:val="21"/>
              </w:rPr>
              <w:t>/112</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7</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柳东村</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4323</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268</w:t>
            </w:r>
            <w:r>
              <w:rPr>
                <w:rFonts w:ascii="宋体" w:hAnsi="宋体" w:hint="eastAsia"/>
                <w:kern w:val="0"/>
                <w:sz w:val="21"/>
                <w:szCs w:val="21"/>
              </w:rPr>
              <w:t>户</w:t>
            </w:r>
            <w:r>
              <w:rPr>
                <w:rFonts w:ascii="Times New Roman" w:hAnsi="Times New Roman" w:hint="eastAsia"/>
                <w:kern w:val="0"/>
                <w:sz w:val="21"/>
                <w:szCs w:val="21"/>
              </w:rPr>
              <w:t>/858</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8</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孙台子</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4350</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83</w:t>
            </w:r>
            <w:r>
              <w:rPr>
                <w:rFonts w:ascii="宋体" w:hAnsi="宋体" w:hint="eastAsia"/>
                <w:kern w:val="0"/>
                <w:sz w:val="21"/>
                <w:szCs w:val="21"/>
              </w:rPr>
              <w:t>户</w:t>
            </w:r>
            <w:r>
              <w:rPr>
                <w:rFonts w:ascii="Times New Roman" w:hAnsi="Times New Roman" w:hint="eastAsia"/>
                <w:kern w:val="0"/>
                <w:sz w:val="21"/>
                <w:szCs w:val="21"/>
              </w:rPr>
              <w:t>/266</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9</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中台村</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4252</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257</w:t>
            </w:r>
            <w:r>
              <w:rPr>
                <w:rFonts w:ascii="宋体" w:hAnsi="宋体" w:hint="eastAsia"/>
                <w:kern w:val="0"/>
                <w:sz w:val="21"/>
                <w:szCs w:val="21"/>
              </w:rPr>
              <w:t>户</w:t>
            </w:r>
            <w:r>
              <w:rPr>
                <w:rFonts w:ascii="Times New Roman" w:hAnsi="Times New Roman" w:hint="eastAsia"/>
                <w:kern w:val="0"/>
                <w:sz w:val="21"/>
                <w:szCs w:val="21"/>
              </w:rPr>
              <w:t>/822</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10</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顾台村</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4609</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w:t>
            </w:r>
            <w:r>
              <w:rPr>
                <w:rFonts w:ascii="宋体" w:hAnsi="宋体" w:hint="eastAsia"/>
                <w:kern w:val="0"/>
                <w:sz w:val="21"/>
                <w:szCs w:val="21"/>
              </w:rPr>
              <w:t>户</w:t>
            </w:r>
            <w:r>
              <w:rPr>
                <w:rFonts w:ascii="Times New Roman" w:hAnsi="Times New Roman" w:hint="eastAsia"/>
                <w:kern w:val="0"/>
                <w:sz w:val="21"/>
                <w:szCs w:val="21"/>
              </w:rPr>
              <w:t>/10</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11</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堌堆</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4610</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6</w:t>
            </w:r>
            <w:r>
              <w:rPr>
                <w:rFonts w:ascii="宋体" w:hAnsi="宋体" w:hint="eastAsia"/>
                <w:kern w:val="0"/>
                <w:sz w:val="21"/>
                <w:szCs w:val="21"/>
              </w:rPr>
              <w:t>户</w:t>
            </w:r>
            <w:r>
              <w:rPr>
                <w:rFonts w:ascii="Times New Roman" w:hAnsi="Times New Roman" w:hint="eastAsia"/>
                <w:kern w:val="0"/>
                <w:sz w:val="21"/>
                <w:szCs w:val="21"/>
              </w:rPr>
              <w:t>/19</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12</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小董家</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4043</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53</w:t>
            </w:r>
            <w:r>
              <w:rPr>
                <w:rFonts w:ascii="宋体" w:hAnsi="宋体" w:hint="eastAsia"/>
                <w:kern w:val="0"/>
                <w:sz w:val="21"/>
                <w:szCs w:val="21"/>
              </w:rPr>
              <w:t>户</w:t>
            </w:r>
            <w:r>
              <w:rPr>
                <w:rFonts w:ascii="Times New Roman" w:hAnsi="Times New Roman" w:hint="eastAsia"/>
                <w:kern w:val="0"/>
                <w:sz w:val="21"/>
                <w:szCs w:val="21"/>
              </w:rPr>
              <w:t>/170</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13</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任桥</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3753</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65</w:t>
            </w:r>
            <w:r>
              <w:rPr>
                <w:rFonts w:ascii="宋体" w:hAnsi="宋体" w:hint="eastAsia"/>
                <w:kern w:val="0"/>
                <w:sz w:val="21"/>
                <w:szCs w:val="21"/>
              </w:rPr>
              <w:t>户</w:t>
            </w:r>
            <w:r>
              <w:rPr>
                <w:rFonts w:ascii="Times New Roman" w:hAnsi="Times New Roman" w:hint="eastAsia"/>
                <w:kern w:val="0"/>
                <w:sz w:val="21"/>
                <w:szCs w:val="21"/>
              </w:rPr>
              <w:t>/208</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14</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李圩子</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3297</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68</w:t>
            </w:r>
            <w:r>
              <w:rPr>
                <w:rFonts w:ascii="宋体" w:hAnsi="宋体" w:hint="eastAsia"/>
                <w:kern w:val="0"/>
                <w:sz w:val="21"/>
                <w:szCs w:val="21"/>
              </w:rPr>
              <w:t>户</w:t>
            </w:r>
            <w:r>
              <w:rPr>
                <w:rFonts w:ascii="Times New Roman" w:hAnsi="Times New Roman" w:hint="eastAsia"/>
                <w:kern w:val="0"/>
                <w:sz w:val="21"/>
                <w:szCs w:val="21"/>
              </w:rPr>
              <w:t>/218</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1</w:t>
            </w:r>
            <w:r>
              <w:rPr>
                <w:rFonts w:ascii="Times New Roman" w:hAnsi="Times New Roman"/>
                <w:kern w:val="0"/>
                <w:sz w:val="21"/>
                <w:szCs w:val="21"/>
              </w:rPr>
              <w:t>5</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曹吴村</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3033</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135</w:t>
            </w:r>
            <w:r>
              <w:rPr>
                <w:rFonts w:ascii="宋体" w:hAnsi="宋体" w:hint="eastAsia"/>
                <w:kern w:val="0"/>
                <w:sz w:val="21"/>
                <w:szCs w:val="21"/>
              </w:rPr>
              <w:t>户</w:t>
            </w:r>
            <w:r>
              <w:rPr>
                <w:rFonts w:ascii="Times New Roman" w:hAnsi="Times New Roman" w:hint="eastAsia"/>
                <w:kern w:val="0"/>
                <w:sz w:val="21"/>
                <w:szCs w:val="21"/>
              </w:rPr>
              <w:t>/432</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16</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邓庙</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2610</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72</w:t>
            </w:r>
            <w:r>
              <w:rPr>
                <w:rFonts w:ascii="宋体" w:hAnsi="宋体" w:hint="eastAsia"/>
                <w:kern w:val="0"/>
                <w:sz w:val="21"/>
                <w:szCs w:val="21"/>
              </w:rPr>
              <w:t>户</w:t>
            </w:r>
            <w:r>
              <w:rPr>
                <w:rFonts w:ascii="Times New Roman" w:hAnsi="Times New Roman" w:hint="eastAsia"/>
                <w:kern w:val="0"/>
                <w:sz w:val="21"/>
                <w:szCs w:val="21"/>
              </w:rPr>
              <w:t>/230</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17</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牛洼</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4136</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37</w:t>
            </w:r>
            <w:r>
              <w:rPr>
                <w:rFonts w:ascii="宋体" w:hAnsi="宋体" w:hint="eastAsia"/>
                <w:kern w:val="0"/>
                <w:sz w:val="21"/>
                <w:szCs w:val="21"/>
              </w:rPr>
              <w:t>户</w:t>
            </w:r>
            <w:r>
              <w:rPr>
                <w:rFonts w:ascii="Times New Roman" w:hAnsi="Times New Roman" w:hint="eastAsia"/>
                <w:kern w:val="0"/>
                <w:sz w:val="21"/>
                <w:szCs w:val="21"/>
              </w:rPr>
              <w:t>/118</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1</w:t>
            </w:r>
            <w:r>
              <w:rPr>
                <w:rFonts w:ascii="Times New Roman" w:hAnsi="Times New Roman"/>
                <w:kern w:val="0"/>
                <w:sz w:val="21"/>
                <w:szCs w:val="21"/>
              </w:rPr>
              <w:t>8</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小王家</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3475</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83</w:t>
            </w:r>
            <w:r>
              <w:rPr>
                <w:rFonts w:ascii="宋体" w:hAnsi="宋体" w:hint="eastAsia"/>
                <w:kern w:val="0"/>
                <w:sz w:val="21"/>
                <w:szCs w:val="21"/>
              </w:rPr>
              <w:t>户</w:t>
            </w:r>
            <w:r>
              <w:rPr>
                <w:rFonts w:ascii="Times New Roman" w:hAnsi="Times New Roman" w:hint="eastAsia"/>
                <w:kern w:val="0"/>
                <w:sz w:val="21"/>
                <w:szCs w:val="21"/>
              </w:rPr>
              <w:t>/266</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19</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团结村</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2715</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93</w:t>
            </w:r>
            <w:r>
              <w:rPr>
                <w:rFonts w:ascii="宋体" w:hAnsi="宋体" w:hint="eastAsia"/>
                <w:kern w:val="0"/>
                <w:sz w:val="21"/>
                <w:szCs w:val="21"/>
              </w:rPr>
              <w:t>户</w:t>
            </w:r>
            <w:r>
              <w:rPr>
                <w:rFonts w:ascii="Times New Roman" w:hAnsi="Times New Roman" w:hint="eastAsia"/>
                <w:kern w:val="0"/>
                <w:sz w:val="21"/>
                <w:szCs w:val="21"/>
              </w:rPr>
              <w:t>/298</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20</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小朱家</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3948</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77</w:t>
            </w:r>
            <w:r>
              <w:rPr>
                <w:rFonts w:ascii="宋体" w:hAnsi="宋体" w:hint="eastAsia"/>
                <w:kern w:val="0"/>
                <w:sz w:val="21"/>
                <w:szCs w:val="21"/>
              </w:rPr>
              <w:t>户</w:t>
            </w:r>
            <w:r>
              <w:rPr>
                <w:rFonts w:ascii="Times New Roman" w:hAnsi="Times New Roman" w:hint="eastAsia"/>
                <w:kern w:val="0"/>
                <w:sz w:val="21"/>
                <w:szCs w:val="21"/>
              </w:rPr>
              <w:t>/246</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2</w:t>
            </w:r>
            <w:r>
              <w:rPr>
                <w:rFonts w:ascii="Times New Roman" w:hAnsi="Times New Roman"/>
                <w:kern w:val="0"/>
                <w:sz w:val="21"/>
                <w:szCs w:val="21"/>
              </w:rPr>
              <w:t>1</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李洼</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2165</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23</w:t>
            </w:r>
            <w:r>
              <w:rPr>
                <w:rFonts w:ascii="宋体" w:hAnsi="宋体" w:hint="eastAsia"/>
                <w:kern w:val="0"/>
                <w:sz w:val="21"/>
                <w:szCs w:val="21"/>
              </w:rPr>
              <w:t>户</w:t>
            </w:r>
            <w:r>
              <w:rPr>
                <w:rFonts w:ascii="Times New Roman" w:hAnsi="Times New Roman" w:hint="eastAsia"/>
                <w:kern w:val="0"/>
                <w:sz w:val="21"/>
                <w:szCs w:val="21"/>
              </w:rPr>
              <w:t>/74</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2</w:t>
            </w:r>
            <w:r>
              <w:rPr>
                <w:rFonts w:ascii="Times New Roman" w:hAnsi="Times New Roman"/>
                <w:kern w:val="0"/>
                <w:sz w:val="21"/>
                <w:szCs w:val="21"/>
              </w:rPr>
              <w:t>2</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丽豪佳园</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2175</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300</w:t>
            </w:r>
            <w:r>
              <w:rPr>
                <w:rFonts w:ascii="宋体" w:hAnsi="宋体" w:hint="eastAsia"/>
                <w:kern w:val="0"/>
                <w:sz w:val="21"/>
                <w:szCs w:val="21"/>
              </w:rPr>
              <w:t>户</w:t>
            </w:r>
            <w:r>
              <w:rPr>
                <w:rFonts w:ascii="Times New Roman" w:hAnsi="Times New Roman" w:hint="eastAsia"/>
                <w:kern w:val="0"/>
                <w:sz w:val="21"/>
                <w:szCs w:val="21"/>
              </w:rPr>
              <w:t>/960</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23</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龙庙村</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3846</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96</w:t>
            </w:r>
            <w:r>
              <w:rPr>
                <w:rFonts w:ascii="宋体" w:hAnsi="宋体" w:hint="eastAsia"/>
                <w:kern w:val="0"/>
                <w:sz w:val="21"/>
                <w:szCs w:val="21"/>
              </w:rPr>
              <w:t>户</w:t>
            </w:r>
            <w:r>
              <w:rPr>
                <w:rFonts w:ascii="Times New Roman" w:hAnsi="Times New Roman" w:hint="eastAsia"/>
                <w:kern w:val="0"/>
                <w:sz w:val="21"/>
                <w:szCs w:val="21"/>
              </w:rPr>
              <w:t>/307</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24</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马门台</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4191</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369</w:t>
            </w:r>
            <w:r>
              <w:rPr>
                <w:rFonts w:ascii="宋体" w:hAnsi="宋体" w:hint="eastAsia"/>
                <w:kern w:val="0"/>
                <w:sz w:val="21"/>
                <w:szCs w:val="21"/>
              </w:rPr>
              <w:t>户</w:t>
            </w:r>
            <w:r>
              <w:rPr>
                <w:rFonts w:ascii="Times New Roman" w:hAnsi="Times New Roman" w:hint="eastAsia"/>
                <w:kern w:val="0"/>
                <w:sz w:val="21"/>
                <w:szCs w:val="21"/>
              </w:rPr>
              <w:t>/1181</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25</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沫河口镇</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2900</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968</w:t>
            </w:r>
            <w:r>
              <w:rPr>
                <w:rFonts w:ascii="宋体" w:hAnsi="宋体" w:hint="eastAsia"/>
                <w:kern w:val="0"/>
                <w:sz w:val="21"/>
                <w:szCs w:val="21"/>
              </w:rPr>
              <w:t>户</w:t>
            </w:r>
            <w:r>
              <w:rPr>
                <w:rFonts w:ascii="Times New Roman" w:hAnsi="Times New Roman" w:hint="eastAsia"/>
                <w:kern w:val="0"/>
                <w:sz w:val="21"/>
                <w:szCs w:val="21"/>
              </w:rPr>
              <w:t>/3098</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2</w:t>
            </w:r>
            <w:r>
              <w:rPr>
                <w:rFonts w:ascii="Times New Roman" w:hAnsi="Times New Roman"/>
                <w:kern w:val="0"/>
                <w:sz w:val="21"/>
                <w:szCs w:val="21"/>
              </w:rPr>
              <w:t>6</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邓郭</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3533</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69</w:t>
            </w:r>
            <w:r>
              <w:rPr>
                <w:rFonts w:ascii="宋体" w:hAnsi="宋体" w:hint="eastAsia"/>
                <w:kern w:val="0"/>
                <w:sz w:val="21"/>
                <w:szCs w:val="21"/>
              </w:rPr>
              <w:t>户</w:t>
            </w:r>
            <w:r>
              <w:rPr>
                <w:rFonts w:ascii="Times New Roman" w:hAnsi="Times New Roman" w:hint="eastAsia"/>
                <w:kern w:val="0"/>
                <w:sz w:val="21"/>
                <w:szCs w:val="21"/>
              </w:rPr>
              <w:t>/221</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27</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三铺村</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683</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1056</w:t>
            </w:r>
            <w:r>
              <w:rPr>
                <w:rFonts w:ascii="宋体" w:hAnsi="宋体" w:hint="eastAsia"/>
                <w:kern w:val="0"/>
                <w:sz w:val="21"/>
                <w:szCs w:val="21"/>
              </w:rPr>
              <w:t>户</w:t>
            </w:r>
            <w:r>
              <w:rPr>
                <w:rFonts w:ascii="Times New Roman" w:hAnsi="Times New Roman" w:hint="eastAsia"/>
                <w:kern w:val="0"/>
                <w:sz w:val="21"/>
                <w:szCs w:val="21"/>
              </w:rPr>
              <w:t>/3379</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28</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前刘</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4622</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28</w:t>
            </w:r>
            <w:r>
              <w:rPr>
                <w:rFonts w:ascii="宋体" w:hAnsi="宋体" w:hint="eastAsia"/>
                <w:kern w:val="0"/>
                <w:sz w:val="21"/>
                <w:szCs w:val="21"/>
              </w:rPr>
              <w:t>户</w:t>
            </w:r>
            <w:r>
              <w:rPr>
                <w:rFonts w:ascii="Times New Roman" w:hAnsi="Times New Roman" w:hint="eastAsia"/>
                <w:kern w:val="0"/>
                <w:sz w:val="21"/>
                <w:szCs w:val="21"/>
              </w:rPr>
              <w:t>/90</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29</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汪邢村</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4118</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290</w:t>
            </w:r>
            <w:r>
              <w:rPr>
                <w:rFonts w:ascii="宋体" w:hAnsi="宋体" w:hint="eastAsia"/>
                <w:kern w:val="0"/>
                <w:sz w:val="21"/>
                <w:szCs w:val="21"/>
              </w:rPr>
              <w:t>户</w:t>
            </w:r>
            <w:r>
              <w:rPr>
                <w:rFonts w:ascii="Times New Roman" w:hAnsi="Times New Roman" w:hint="eastAsia"/>
                <w:kern w:val="0"/>
                <w:sz w:val="21"/>
                <w:szCs w:val="21"/>
              </w:rPr>
              <w:t>/928</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30</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邢家</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3659</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165</w:t>
            </w:r>
            <w:r>
              <w:rPr>
                <w:rFonts w:ascii="宋体" w:hAnsi="宋体" w:hint="eastAsia"/>
                <w:kern w:val="0"/>
                <w:sz w:val="21"/>
                <w:szCs w:val="21"/>
              </w:rPr>
              <w:t>户</w:t>
            </w:r>
            <w:r>
              <w:rPr>
                <w:rFonts w:ascii="Times New Roman" w:hAnsi="Times New Roman" w:hint="eastAsia"/>
                <w:kern w:val="0"/>
                <w:sz w:val="21"/>
                <w:szCs w:val="21"/>
              </w:rPr>
              <w:t>/528</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31</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尚家湖</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4530</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45</w:t>
            </w:r>
            <w:r>
              <w:rPr>
                <w:rFonts w:ascii="宋体" w:hAnsi="宋体" w:hint="eastAsia"/>
                <w:kern w:val="0"/>
                <w:sz w:val="21"/>
                <w:szCs w:val="21"/>
              </w:rPr>
              <w:t>户</w:t>
            </w:r>
            <w:r>
              <w:rPr>
                <w:rFonts w:ascii="Times New Roman" w:hAnsi="Times New Roman" w:hint="eastAsia"/>
                <w:kern w:val="0"/>
                <w:sz w:val="21"/>
                <w:szCs w:val="21"/>
              </w:rPr>
              <w:t>/144</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32</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高王家</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2625</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825</w:t>
            </w:r>
            <w:r>
              <w:rPr>
                <w:rFonts w:ascii="宋体" w:hAnsi="宋体" w:hint="eastAsia"/>
                <w:kern w:val="0"/>
                <w:sz w:val="21"/>
                <w:szCs w:val="21"/>
              </w:rPr>
              <w:t>户</w:t>
            </w:r>
            <w:r>
              <w:rPr>
                <w:rFonts w:ascii="Times New Roman" w:hAnsi="Times New Roman" w:hint="eastAsia"/>
                <w:kern w:val="0"/>
                <w:sz w:val="21"/>
                <w:szCs w:val="21"/>
              </w:rPr>
              <w:t>/2640</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33</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大柏村</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3319</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56</w:t>
            </w:r>
            <w:r>
              <w:rPr>
                <w:rFonts w:ascii="宋体" w:hAnsi="宋体" w:hint="eastAsia"/>
                <w:kern w:val="0"/>
                <w:sz w:val="21"/>
                <w:szCs w:val="21"/>
              </w:rPr>
              <w:t>户</w:t>
            </w:r>
            <w:r>
              <w:rPr>
                <w:rFonts w:ascii="Times New Roman" w:hAnsi="Times New Roman" w:hint="eastAsia"/>
                <w:kern w:val="0"/>
                <w:sz w:val="21"/>
                <w:szCs w:val="21"/>
              </w:rPr>
              <w:t>/179</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34</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小柏家</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3298</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43</w:t>
            </w:r>
            <w:r>
              <w:rPr>
                <w:rFonts w:ascii="宋体" w:hAnsi="宋体" w:hint="eastAsia"/>
                <w:kern w:val="0"/>
                <w:sz w:val="21"/>
                <w:szCs w:val="21"/>
              </w:rPr>
              <w:t>户</w:t>
            </w:r>
            <w:r>
              <w:rPr>
                <w:rFonts w:ascii="Times New Roman" w:hAnsi="Times New Roman" w:hint="eastAsia"/>
                <w:kern w:val="0"/>
                <w:sz w:val="21"/>
                <w:szCs w:val="21"/>
              </w:rPr>
              <w:t>/138</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35</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草杨家</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3456</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165</w:t>
            </w:r>
            <w:r>
              <w:rPr>
                <w:rFonts w:ascii="宋体" w:hAnsi="宋体" w:hint="eastAsia"/>
                <w:kern w:val="0"/>
                <w:sz w:val="21"/>
                <w:szCs w:val="21"/>
              </w:rPr>
              <w:t>户</w:t>
            </w:r>
            <w:r>
              <w:rPr>
                <w:rFonts w:ascii="Times New Roman" w:hAnsi="Times New Roman" w:hint="eastAsia"/>
                <w:kern w:val="0"/>
                <w:sz w:val="21"/>
                <w:szCs w:val="21"/>
              </w:rPr>
              <w:t>/528</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36</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夏家湖</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3309</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205</w:t>
            </w:r>
            <w:r>
              <w:rPr>
                <w:rFonts w:ascii="宋体" w:hAnsi="宋体" w:hint="eastAsia"/>
                <w:kern w:val="0"/>
                <w:sz w:val="21"/>
                <w:szCs w:val="21"/>
              </w:rPr>
              <w:t>户</w:t>
            </w:r>
            <w:r>
              <w:rPr>
                <w:rFonts w:ascii="Times New Roman" w:hAnsi="Times New Roman" w:hint="eastAsia"/>
                <w:kern w:val="0"/>
                <w:sz w:val="21"/>
                <w:szCs w:val="21"/>
              </w:rPr>
              <w:t>/656</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37</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芦李庄</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4181</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82</w:t>
            </w:r>
            <w:r>
              <w:rPr>
                <w:rFonts w:ascii="宋体" w:hAnsi="宋体" w:hint="eastAsia"/>
                <w:kern w:val="0"/>
                <w:sz w:val="21"/>
                <w:szCs w:val="21"/>
              </w:rPr>
              <w:t>户</w:t>
            </w:r>
            <w:r>
              <w:rPr>
                <w:rFonts w:ascii="Times New Roman" w:hAnsi="Times New Roman" w:hint="eastAsia"/>
                <w:kern w:val="0"/>
                <w:sz w:val="21"/>
                <w:szCs w:val="21"/>
              </w:rPr>
              <w:t>/262</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38</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店子</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2849</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58</w:t>
            </w:r>
            <w:r>
              <w:rPr>
                <w:rFonts w:ascii="宋体" w:hAnsi="宋体" w:hint="eastAsia"/>
                <w:kern w:val="0"/>
                <w:sz w:val="21"/>
                <w:szCs w:val="21"/>
              </w:rPr>
              <w:t>户</w:t>
            </w:r>
            <w:r>
              <w:rPr>
                <w:rFonts w:ascii="Times New Roman" w:hAnsi="Times New Roman" w:hint="eastAsia"/>
                <w:kern w:val="0"/>
                <w:sz w:val="21"/>
                <w:szCs w:val="21"/>
              </w:rPr>
              <w:t>/186</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39</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二铺</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3225</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533</w:t>
            </w:r>
            <w:r>
              <w:rPr>
                <w:rFonts w:ascii="宋体" w:hAnsi="宋体" w:hint="eastAsia"/>
                <w:kern w:val="0"/>
                <w:sz w:val="21"/>
                <w:szCs w:val="21"/>
              </w:rPr>
              <w:t>户</w:t>
            </w:r>
            <w:r>
              <w:rPr>
                <w:rFonts w:ascii="Times New Roman" w:hAnsi="Times New Roman" w:hint="eastAsia"/>
                <w:kern w:val="0"/>
                <w:sz w:val="21"/>
                <w:szCs w:val="21"/>
              </w:rPr>
              <w:t>/1706</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40</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石家</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2936</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515</w:t>
            </w:r>
            <w:r>
              <w:rPr>
                <w:rFonts w:ascii="宋体" w:hAnsi="宋体" w:hint="eastAsia"/>
                <w:kern w:val="0"/>
                <w:sz w:val="21"/>
                <w:szCs w:val="21"/>
              </w:rPr>
              <w:t>户</w:t>
            </w:r>
            <w:r>
              <w:rPr>
                <w:rFonts w:ascii="Times New Roman" w:hAnsi="Times New Roman" w:hint="eastAsia"/>
                <w:kern w:val="0"/>
                <w:sz w:val="21"/>
                <w:szCs w:val="21"/>
              </w:rPr>
              <w:t>/1648</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4</w:t>
            </w:r>
            <w:r>
              <w:rPr>
                <w:rFonts w:ascii="Times New Roman" w:hAnsi="Times New Roman"/>
                <w:kern w:val="0"/>
                <w:sz w:val="21"/>
                <w:szCs w:val="21"/>
              </w:rPr>
              <w:t>1</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新划村</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3686</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439</w:t>
            </w:r>
            <w:r>
              <w:rPr>
                <w:rFonts w:ascii="宋体" w:hAnsi="宋体" w:hint="eastAsia"/>
                <w:kern w:val="0"/>
                <w:sz w:val="21"/>
                <w:szCs w:val="21"/>
              </w:rPr>
              <w:t>户</w:t>
            </w:r>
            <w:r>
              <w:rPr>
                <w:rFonts w:ascii="Times New Roman" w:hAnsi="Times New Roman" w:hint="eastAsia"/>
                <w:kern w:val="0"/>
                <w:sz w:val="21"/>
                <w:szCs w:val="21"/>
              </w:rPr>
              <w:t>/1405</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4</w:t>
            </w:r>
            <w:r>
              <w:rPr>
                <w:rFonts w:ascii="Times New Roman" w:hAnsi="Times New Roman"/>
                <w:kern w:val="0"/>
                <w:sz w:val="21"/>
                <w:szCs w:val="21"/>
              </w:rPr>
              <w:t>2</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小杨家</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4370</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32</w:t>
            </w:r>
            <w:r>
              <w:rPr>
                <w:rFonts w:ascii="宋体" w:hAnsi="宋体" w:hint="eastAsia"/>
                <w:kern w:val="0"/>
                <w:sz w:val="21"/>
                <w:szCs w:val="21"/>
              </w:rPr>
              <w:t>户</w:t>
            </w:r>
            <w:r>
              <w:rPr>
                <w:rFonts w:ascii="Times New Roman" w:hAnsi="Times New Roman" w:hint="eastAsia"/>
                <w:kern w:val="0"/>
                <w:sz w:val="21"/>
                <w:szCs w:val="21"/>
              </w:rPr>
              <w:t>/102</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43</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十里程村</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4149</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居民区</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90</w:t>
            </w:r>
            <w:r>
              <w:rPr>
                <w:rFonts w:ascii="宋体" w:hAnsi="宋体" w:hint="eastAsia"/>
                <w:kern w:val="0"/>
                <w:sz w:val="21"/>
                <w:szCs w:val="21"/>
              </w:rPr>
              <w:t>户</w:t>
            </w:r>
            <w:r>
              <w:rPr>
                <w:rFonts w:ascii="Times New Roman" w:hAnsi="Times New Roman" w:hint="eastAsia"/>
                <w:kern w:val="0"/>
                <w:sz w:val="21"/>
                <w:szCs w:val="21"/>
              </w:rPr>
              <w:t>/288</w:t>
            </w:r>
            <w:r>
              <w:rPr>
                <w:rFonts w:ascii="宋体" w:hAnsi="宋体" w:hint="eastAsia"/>
                <w:kern w:val="0"/>
                <w:sz w:val="21"/>
                <w:szCs w:val="21"/>
              </w:rPr>
              <w:t>人</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44</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童之梦幼儿园</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3398</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学校</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约</w:t>
            </w:r>
            <w:r>
              <w:rPr>
                <w:rFonts w:ascii="Times New Roman" w:hAnsi="Times New Roman" w:hint="eastAsia"/>
                <w:kern w:val="0"/>
                <w:sz w:val="21"/>
                <w:szCs w:val="21"/>
              </w:rPr>
              <w:t>80</w:t>
            </w:r>
            <w:r>
              <w:rPr>
                <w:rFonts w:ascii="宋体" w:hAnsi="宋体" w:hint="eastAsia"/>
                <w:kern w:val="0"/>
                <w:sz w:val="21"/>
                <w:szCs w:val="21"/>
              </w:rPr>
              <w:t>师生</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45</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沫河口镇中心小学</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3235</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学校</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约</w:t>
            </w:r>
            <w:r>
              <w:rPr>
                <w:rFonts w:ascii="Times New Roman" w:hAnsi="Times New Roman" w:hint="eastAsia"/>
                <w:kern w:val="0"/>
                <w:sz w:val="21"/>
                <w:szCs w:val="21"/>
              </w:rPr>
              <w:t>1200</w:t>
            </w:r>
            <w:r>
              <w:rPr>
                <w:rFonts w:ascii="宋体" w:hAnsi="宋体" w:hint="eastAsia"/>
                <w:kern w:val="0"/>
                <w:sz w:val="21"/>
                <w:szCs w:val="21"/>
              </w:rPr>
              <w:t>师生</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46</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沫河口中学</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SW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2957</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学校</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约</w:t>
            </w:r>
            <w:r>
              <w:rPr>
                <w:rFonts w:ascii="Times New Roman" w:hAnsi="Times New Roman" w:hint="eastAsia"/>
                <w:kern w:val="0"/>
                <w:sz w:val="21"/>
                <w:szCs w:val="21"/>
              </w:rPr>
              <w:t>720</w:t>
            </w:r>
            <w:r>
              <w:rPr>
                <w:rFonts w:ascii="宋体" w:hAnsi="宋体" w:hint="eastAsia"/>
                <w:kern w:val="0"/>
                <w:sz w:val="21"/>
                <w:szCs w:val="21"/>
              </w:rPr>
              <w:t>师生</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47</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蓝天启蒙幼儿园</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3119</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学校</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约</w:t>
            </w:r>
            <w:r>
              <w:rPr>
                <w:rFonts w:ascii="Times New Roman" w:hAnsi="Times New Roman" w:hint="eastAsia"/>
                <w:kern w:val="0"/>
                <w:sz w:val="21"/>
                <w:szCs w:val="21"/>
              </w:rPr>
              <w:t>30</w:t>
            </w:r>
            <w:r>
              <w:rPr>
                <w:rFonts w:ascii="宋体" w:hAnsi="宋体" w:hint="eastAsia"/>
                <w:kern w:val="0"/>
                <w:sz w:val="21"/>
                <w:szCs w:val="21"/>
              </w:rPr>
              <w:t>师生</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48</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团结希望小学</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3102</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学校</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约</w:t>
            </w:r>
            <w:r>
              <w:rPr>
                <w:rFonts w:ascii="Times New Roman" w:hAnsi="Times New Roman" w:hint="eastAsia"/>
                <w:kern w:val="0"/>
                <w:sz w:val="21"/>
                <w:szCs w:val="21"/>
              </w:rPr>
              <w:t>270</w:t>
            </w:r>
            <w:r>
              <w:rPr>
                <w:rFonts w:ascii="宋体" w:hAnsi="宋体" w:hint="eastAsia"/>
                <w:kern w:val="0"/>
                <w:sz w:val="21"/>
                <w:szCs w:val="21"/>
              </w:rPr>
              <w:t>师生</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49</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三铺小学</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1663</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学校</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约</w:t>
            </w:r>
            <w:r>
              <w:rPr>
                <w:rFonts w:ascii="Times New Roman" w:hAnsi="Times New Roman" w:hint="eastAsia"/>
                <w:kern w:val="0"/>
                <w:sz w:val="21"/>
                <w:szCs w:val="21"/>
              </w:rPr>
              <w:t>850</w:t>
            </w:r>
            <w:r>
              <w:rPr>
                <w:rFonts w:ascii="宋体" w:hAnsi="宋体" w:hint="eastAsia"/>
                <w:kern w:val="0"/>
                <w:sz w:val="21"/>
                <w:szCs w:val="21"/>
              </w:rPr>
              <w:t>师生</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50</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淮上区培英幼儿园</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1409</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学校</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约</w:t>
            </w:r>
            <w:r>
              <w:rPr>
                <w:rFonts w:ascii="Times New Roman" w:hAnsi="Times New Roman" w:hint="eastAsia"/>
                <w:kern w:val="0"/>
                <w:sz w:val="21"/>
                <w:szCs w:val="21"/>
              </w:rPr>
              <w:t>50</w:t>
            </w:r>
            <w:r>
              <w:rPr>
                <w:rFonts w:ascii="宋体" w:hAnsi="宋体" w:hint="eastAsia"/>
                <w:kern w:val="0"/>
                <w:sz w:val="21"/>
                <w:szCs w:val="21"/>
              </w:rPr>
              <w:t>师生</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51</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快乐之星幼儿园</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1747</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学校</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约</w:t>
            </w:r>
            <w:r>
              <w:rPr>
                <w:rFonts w:ascii="Times New Roman" w:hAnsi="Times New Roman" w:hint="eastAsia"/>
                <w:kern w:val="0"/>
                <w:sz w:val="21"/>
                <w:szCs w:val="21"/>
              </w:rPr>
              <w:t>70</w:t>
            </w:r>
            <w:r>
              <w:rPr>
                <w:rFonts w:ascii="宋体" w:hAnsi="宋体" w:hint="eastAsia"/>
                <w:kern w:val="0"/>
                <w:sz w:val="21"/>
                <w:szCs w:val="21"/>
              </w:rPr>
              <w:t>师生</w:t>
            </w:r>
          </w:p>
        </w:tc>
      </w:tr>
      <w:tr w:rsidR="00C31861" w:rsidTr="00C31861">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52</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三铺中学</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1422</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学校</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约</w:t>
            </w:r>
            <w:r>
              <w:rPr>
                <w:rFonts w:ascii="Times New Roman" w:hAnsi="Times New Roman" w:hint="eastAsia"/>
                <w:kern w:val="0"/>
                <w:sz w:val="21"/>
                <w:szCs w:val="21"/>
              </w:rPr>
              <w:t>600</w:t>
            </w:r>
            <w:r>
              <w:rPr>
                <w:rFonts w:ascii="宋体" w:hAnsi="宋体" w:hint="eastAsia"/>
                <w:kern w:val="0"/>
                <w:sz w:val="21"/>
                <w:szCs w:val="21"/>
              </w:rPr>
              <w:t>师生</w:t>
            </w:r>
          </w:p>
        </w:tc>
      </w:tr>
      <w:tr w:rsidR="00C31861" w:rsidTr="00DE2F8A">
        <w:trPr>
          <w:jc w:val="center"/>
        </w:trPr>
        <w:tc>
          <w:tcPr>
            <w:tcW w:w="794" w:type="dxa"/>
            <w:vMerge/>
            <w:tcBorders>
              <w:top w:val="single" w:sz="4" w:space="0" w:color="auto"/>
              <w:left w:val="nil"/>
              <w:bottom w:val="single" w:sz="4" w:space="0" w:color="auto"/>
              <w:right w:val="single" w:sz="4" w:space="0" w:color="auto"/>
            </w:tcBorders>
            <w:vAlign w:val="center"/>
            <w:hideMark/>
          </w:tcPr>
          <w:p w:rsidR="00C31861" w:rsidRDefault="00C31861" w:rsidP="00C31861">
            <w:pPr>
              <w:widowControl/>
              <w:adjustRightInd/>
              <w:snapToGrid/>
              <w:spacing w:line="360" w:lineRule="exact"/>
              <w:ind w:firstLineChars="0" w:firstLine="0"/>
              <w:jc w:val="left"/>
              <w:rPr>
                <w:rFonts w:ascii="Times New Roman" w:hAnsi="Times New Roman"/>
                <w:kern w:val="0"/>
                <w:sz w:val="21"/>
                <w:szCs w:val="21"/>
              </w:rPr>
            </w:pPr>
          </w:p>
        </w:tc>
        <w:tc>
          <w:tcPr>
            <w:tcW w:w="77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53</w:t>
            </w:r>
          </w:p>
        </w:tc>
        <w:tc>
          <w:tcPr>
            <w:tcW w:w="1638"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大柏小学</w:t>
            </w:r>
          </w:p>
        </w:tc>
        <w:tc>
          <w:tcPr>
            <w:tcW w:w="1127"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NE</w:t>
            </w:r>
          </w:p>
        </w:tc>
        <w:tc>
          <w:tcPr>
            <w:tcW w:w="1273"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Times New Roman" w:hAnsi="Times New Roman" w:hint="eastAsia"/>
                <w:kern w:val="0"/>
                <w:sz w:val="21"/>
                <w:szCs w:val="21"/>
              </w:rPr>
              <w:t>3816</w:t>
            </w:r>
          </w:p>
        </w:tc>
        <w:tc>
          <w:tcPr>
            <w:tcW w:w="1664" w:type="dxa"/>
            <w:tcBorders>
              <w:top w:val="single" w:sz="4" w:space="0" w:color="auto"/>
              <w:left w:val="single" w:sz="4" w:space="0" w:color="auto"/>
              <w:bottom w:val="single" w:sz="4" w:space="0" w:color="auto"/>
              <w:right w:val="single" w:sz="4" w:space="0" w:color="auto"/>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学校</w:t>
            </w:r>
          </w:p>
        </w:tc>
        <w:tc>
          <w:tcPr>
            <w:tcW w:w="1797" w:type="dxa"/>
            <w:tcBorders>
              <w:top w:val="single" w:sz="4" w:space="0" w:color="auto"/>
              <w:left w:val="single" w:sz="4" w:space="0" w:color="auto"/>
              <w:bottom w:val="single" w:sz="4" w:space="0" w:color="auto"/>
              <w:right w:val="nil"/>
            </w:tcBorders>
            <w:vAlign w:val="center"/>
            <w:hideMark/>
          </w:tcPr>
          <w:p w:rsidR="00C31861" w:rsidRDefault="00C31861" w:rsidP="00C31861">
            <w:pPr>
              <w:widowControl/>
              <w:autoSpaceDE w:val="0"/>
              <w:spacing w:line="360" w:lineRule="exact"/>
              <w:ind w:firstLineChars="0" w:firstLine="0"/>
              <w:jc w:val="center"/>
              <w:textAlignment w:val="center"/>
              <w:rPr>
                <w:rFonts w:ascii="Times New Roman" w:hAnsi="Times New Roman"/>
                <w:kern w:val="0"/>
                <w:sz w:val="21"/>
                <w:szCs w:val="21"/>
              </w:rPr>
            </w:pPr>
            <w:r>
              <w:rPr>
                <w:rFonts w:ascii="宋体" w:hAnsi="宋体" w:hint="eastAsia"/>
                <w:kern w:val="0"/>
                <w:sz w:val="21"/>
                <w:szCs w:val="21"/>
              </w:rPr>
              <w:t>约</w:t>
            </w:r>
            <w:r>
              <w:rPr>
                <w:rFonts w:ascii="Times New Roman" w:hAnsi="Times New Roman" w:hint="eastAsia"/>
                <w:kern w:val="0"/>
                <w:sz w:val="21"/>
                <w:szCs w:val="21"/>
              </w:rPr>
              <w:t>190</w:t>
            </w:r>
            <w:r>
              <w:rPr>
                <w:rFonts w:ascii="宋体" w:hAnsi="宋体" w:hint="eastAsia"/>
                <w:kern w:val="0"/>
                <w:sz w:val="21"/>
                <w:szCs w:val="21"/>
              </w:rPr>
              <w:t>师生</w:t>
            </w:r>
          </w:p>
        </w:tc>
      </w:tr>
      <w:tr w:rsidR="00DE2F8A" w:rsidTr="00DE2F8A">
        <w:trPr>
          <w:jc w:val="center"/>
        </w:trPr>
        <w:tc>
          <w:tcPr>
            <w:tcW w:w="794" w:type="dxa"/>
            <w:vMerge/>
            <w:tcBorders>
              <w:top w:val="single" w:sz="4" w:space="0" w:color="auto"/>
              <w:left w:val="nil"/>
              <w:bottom w:val="single" w:sz="4" w:space="0" w:color="auto"/>
              <w:right w:val="single" w:sz="4" w:space="0" w:color="auto"/>
            </w:tcBorders>
            <w:vAlign w:val="center"/>
            <w:hideMark/>
          </w:tcPr>
          <w:p w:rsidR="00DE2F8A" w:rsidRDefault="00DE2F8A" w:rsidP="00DE2F8A">
            <w:pPr>
              <w:widowControl/>
              <w:adjustRightInd/>
              <w:snapToGrid/>
              <w:spacing w:line="360" w:lineRule="exact"/>
              <w:ind w:firstLineChars="0" w:firstLine="0"/>
              <w:jc w:val="left"/>
              <w:rPr>
                <w:rFonts w:ascii="Times New Roman" w:hAnsi="Times New Roman"/>
                <w:kern w:val="0"/>
                <w:sz w:val="21"/>
                <w:szCs w:val="21"/>
              </w:rPr>
            </w:pPr>
          </w:p>
        </w:tc>
        <w:tc>
          <w:tcPr>
            <w:tcW w:w="6480" w:type="dxa"/>
            <w:gridSpan w:val="5"/>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厂址周边</w:t>
            </w:r>
            <w:r>
              <w:rPr>
                <w:rFonts w:ascii="Times New Roman" w:hAnsi="Times New Roman"/>
                <w:kern w:val="0"/>
                <w:sz w:val="21"/>
                <w:szCs w:val="21"/>
              </w:rPr>
              <w:t>500m</w:t>
            </w:r>
            <w:r>
              <w:rPr>
                <w:rFonts w:ascii="宋体" w:hAnsi="宋体"/>
                <w:kern w:val="0"/>
                <w:sz w:val="21"/>
                <w:szCs w:val="21"/>
              </w:rPr>
              <w:t>范围内敏感点人口数小计</w:t>
            </w:r>
          </w:p>
        </w:tc>
        <w:tc>
          <w:tcPr>
            <w:tcW w:w="1797" w:type="dxa"/>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1879</w:t>
            </w:r>
            <w:r>
              <w:rPr>
                <w:rFonts w:ascii="宋体" w:hAnsi="宋体"/>
                <w:kern w:val="0"/>
                <w:sz w:val="21"/>
                <w:szCs w:val="21"/>
              </w:rPr>
              <w:t>（包含周边企业员工）</w:t>
            </w:r>
          </w:p>
        </w:tc>
      </w:tr>
      <w:tr w:rsidR="00DE2F8A" w:rsidTr="00DE2F8A">
        <w:trPr>
          <w:jc w:val="center"/>
        </w:trPr>
        <w:tc>
          <w:tcPr>
            <w:tcW w:w="794" w:type="dxa"/>
            <w:vMerge/>
            <w:tcBorders>
              <w:top w:val="single" w:sz="4" w:space="0" w:color="auto"/>
              <w:left w:val="nil"/>
              <w:bottom w:val="single" w:sz="4" w:space="0" w:color="auto"/>
              <w:right w:val="single" w:sz="4" w:space="0" w:color="auto"/>
            </w:tcBorders>
            <w:vAlign w:val="center"/>
            <w:hideMark/>
          </w:tcPr>
          <w:p w:rsidR="00DE2F8A" w:rsidRDefault="00DE2F8A" w:rsidP="00DE2F8A">
            <w:pPr>
              <w:widowControl/>
              <w:adjustRightInd/>
              <w:snapToGrid/>
              <w:spacing w:line="360" w:lineRule="exact"/>
              <w:ind w:firstLineChars="0" w:firstLine="0"/>
              <w:jc w:val="left"/>
              <w:rPr>
                <w:rFonts w:ascii="Times New Roman" w:hAnsi="Times New Roman"/>
                <w:kern w:val="0"/>
                <w:sz w:val="21"/>
                <w:szCs w:val="21"/>
              </w:rPr>
            </w:pPr>
          </w:p>
        </w:tc>
        <w:tc>
          <w:tcPr>
            <w:tcW w:w="6480" w:type="dxa"/>
            <w:gridSpan w:val="5"/>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厂址周边</w:t>
            </w:r>
            <w:r>
              <w:rPr>
                <w:rFonts w:ascii="Times New Roman" w:hAnsi="Times New Roman"/>
                <w:kern w:val="0"/>
                <w:sz w:val="21"/>
                <w:szCs w:val="21"/>
              </w:rPr>
              <w:t>5km</w:t>
            </w:r>
            <w:r>
              <w:rPr>
                <w:rFonts w:ascii="宋体" w:hAnsi="宋体"/>
                <w:kern w:val="0"/>
                <w:sz w:val="21"/>
                <w:szCs w:val="21"/>
              </w:rPr>
              <w:t>范围内敏感点人口数小计</w:t>
            </w:r>
          </w:p>
        </w:tc>
        <w:tc>
          <w:tcPr>
            <w:tcW w:w="1797" w:type="dxa"/>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38998</w:t>
            </w:r>
            <w:r>
              <w:rPr>
                <w:rFonts w:ascii="宋体" w:hAnsi="宋体" w:hint="eastAsia"/>
                <w:kern w:val="0"/>
                <w:sz w:val="21"/>
                <w:szCs w:val="21"/>
              </w:rPr>
              <w:t>（包含周边企业员工）</w:t>
            </w:r>
          </w:p>
        </w:tc>
      </w:tr>
      <w:tr w:rsidR="00DE2F8A" w:rsidTr="00DE2F8A">
        <w:trPr>
          <w:jc w:val="center"/>
        </w:trPr>
        <w:tc>
          <w:tcPr>
            <w:tcW w:w="794" w:type="dxa"/>
            <w:vMerge/>
            <w:tcBorders>
              <w:top w:val="single" w:sz="4" w:space="0" w:color="auto"/>
              <w:left w:val="nil"/>
              <w:bottom w:val="single" w:sz="4" w:space="0" w:color="auto"/>
              <w:right w:val="single" w:sz="4" w:space="0" w:color="auto"/>
            </w:tcBorders>
            <w:vAlign w:val="center"/>
            <w:hideMark/>
          </w:tcPr>
          <w:p w:rsidR="00DE2F8A" w:rsidRDefault="00DE2F8A" w:rsidP="00DE2F8A">
            <w:pPr>
              <w:widowControl/>
              <w:adjustRightInd/>
              <w:snapToGrid/>
              <w:spacing w:line="360" w:lineRule="exact"/>
              <w:ind w:firstLineChars="0" w:firstLine="0"/>
              <w:jc w:val="left"/>
              <w:rPr>
                <w:rFonts w:ascii="Times New Roman" w:hAnsi="Times New Roman"/>
                <w:kern w:val="0"/>
                <w:sz w:val="21"/>
                <w:szCs w:val="21"/>
              </w:rPr>
            </w:pPr>
          </w:p>
        </w:tc>
        <w:tc>
          <w:tcPr>
            <w:tcW w:w="6480" w:type="dxa"/>
            <w:gridSpan w:val="5"/>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大气环境敏感程度</w:t>
            </w:r>
            <w:r>
              <w:rPr>
                <w:rFonts w:ascii="Times New Roman" w:hAnsi="Times New Roman"/>
                <w:kern w:val="0"/>
                <w:sz w:val="21"/>
                <w:szCs w:val="21"/>
              </w:rPr>
              <w:t>E</w:t>
            </w:r>
            <w:r>
              <w:rPr>
                <w:rFonts w:ascii="宋体" w:hAnsi="宋体"/>
                <w:kern w:val="0"/>
                <w:sz w:val="21"/>
                <w:szCs w:val="21"/>
              </w:rPr>
              <w:t>值</w:t>
            </w:r>
          </w:p>
        </w:tc>
        <w:tc>
          <w:tcPr>
            <w:tcW w:w="1797" w:type="dxa"/>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E1</w:t>
            </w:r>
          </w:p>
        </w:tc>
      </w:tr>
      <w:tr w:rsidR="00DE2F8A" w:rsidTr="00DE2F8A">
        <w:trPr>
          <w:jc w:val="center"/>
        </w:trPr>
        <w:tc>
          <w:tcPr>
            <w:tcW w:w="794" w:type="dxa"/>
            <w:vMerge w:val="restart"/>
            <w:tcBorders>
              <w:top w:val="single" w:sz="4" w:space="0" w:color="auto"/>
              <w:left w:val="nil"/>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hint="eastAsia"/>
                <w:kern w:val="0"/>
                <w:sz w:val="21"/>
                <w:szCs w:val="21"/>
              </w:rPr>
              <w:t>地表水</w:t>
            </w:r>
          </w:p>
        </w:tc>
        <w:tc>
          <w:tcPr>
            <w:tcW w:w="8277" w:type="dxa"/>
            <w:gridSpan w:val="6"/>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hint="eastAsia"/>
                <w:kern w:val="0"/>
                <w:sz w:val="21"/>
                <w:szCs w:val="21"/>
              </w:rPr>
              <w:t>受纳水体</w:t>
            </w:r>
          </w:p>
        </w:tc>
      </w:tr>
      <w:tr w:rsidR="00DE2F8A" w:rsidTr="00DE2F8A">
        <w:trPr>
          <w:jc w:val="center"/>
        </w:trPr>
        <w:tc>
          <w:tcPr>
            <w:tcW w:w="794" w:type="dxa"/>
            <w:vMerge/>
            <w:tcBorders>
              <w:top w:val="single" w:sz="4" w:space="0" w:color="auto"/>
              <w:left w:val="nil"/>
              <w:bottom w:val="single" w:sz="4" w:space="0" w:color="auto"/>
              <w:right w:val="single" w:sz="4" w:space="0" w:color="auto"/>
            </w:tcBorders>
            <w:vAlign w:val="center"/>
            <w:hideMark/>
          </w:tcPr>
          <w:p w:rsidR="00DE2F8A" w:rsidRDefault="00DE2F8A" w:rsidP="00DE2F8A">
            <w:pPr>
              <w:widowControl/>
              <w:adjustRightInd/>
              <w:snapToGrid/>
              <w:spacing w:line="360" w:lineRule="exact"/>
              <w:ind w:firstLineChars="0" w:firstLine="0"/>
              <w:jc w:val="left"/>
              <w:rPr>
                <w:rFonts w:ascii="Times New Roman" w:hAnsi="Times New Roman"/>
                <w:kern w:val="0"/>
                <w:sz w:val="21"/>
                <w:szCs w:val="21"/>
              </w:rPr>
            </w:pPr>
          </w:p>
        </w:tc>
        <w:tc>
          <w:tcPr>
            <w:tcW w:w="3543" w:type="dxa"/>
            <w:gridSpan w:val="3"/>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受纳水体名称</w:t>
            </w:r>
          </w:p>
        </w:tc>
        <w:tc>
          <w:tcPr>
            <w:tcW w:w="2937" w:type="dxa"/>
            <w:gridSpan w:val="2"/>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排放点水域环境功能</w:t>
            </w:r>
          </w:p>
        </w:tc>
        <w:tc>
          <w:tcPr>
            <w:tcW w:w="1797" w:type="dxa"/>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24h</w:t>
            </w:r>
            <w:r>
              <w:rPr>
                <w:rFonts w:ascii="宋体" w:hAnsi="宋体"/>
                <w:kern w:val="0"/>
                <w:sz w:val="21"/>
                <w:szCs w:val="21"/>
              </w:rPr>
              <w:t>流经范围</w:t>
            </w:r>
            <w:r>
              <w:rPr>
                <w:rFonts w:ascii="Times New Roman" w:hAnsi="Times New Roman"/>
                <w:kern w:val="0"/>
                <w:sz w:val="21"/>
                <w:szCs w:val="21"/>
              </w:rPr>
              <w:t>km</w:t>
            </w:r>
          </w:p>
        </w:tc>
      </w:tr>
      <w:tr w:rsidR="00DE2F8A" w:rsidTr="00DE2F8A">
        <w:trPr>
          <w:jc w:val="center"/>
        </w:trPr>
        <w:tc>
          <w:tcPr>
            <w:tcW w:w="794" w:type="dxa"/>
            <w:vMerge/>
            <w:tcBorders>
              <w:top w:val="single" w:sz="4" w:space="0" w:color="auto"/>
              <w:left w:val="nil"/>
              <w:bottom w:val="single" w:sz="4" w:space="0" w:color="auto"/>
              <w:right w:val="single" w:sz="4" w:space="0" w:color="auto"/>
            </w:tcBorders>
            <w:vAlign w:val="center"/>
            <w:hideMark/>
          </w:tcPr>
          <w:p w:rsidR="00DE2F8A" w:rsidRDefault="00DE2F8A" w:rsidP="00DE2F8A">
            <w:pPr>
              <w:widowControl/>
              <w:adjustRightInd/>
              <w:snapToGrid/>
              <w:spacing w:line="360" w:lineRule="exact"/>
              <w:ind w:firstLineChars="0" w:firstLine="0"/>
              <w:jc w:val="left"/>
              <w:rPr>
                <w:rFonts w:ascii="Times New Roman" w:hAnsi="Times New Roman"/>
                <w:kern w:val="0"/>
                <w:sz w:val="21"/>
                <w:szCs w:val="21"/>
              </w:rPr>
            </w:pPr>
          </w:p>
        </w:tc>
        <w:tc>
          <w:tcPr>
            <w:tcW w:w="3543" w:type="dxa"/>
            <w:gridSpan w:val="3"/>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hint="eastAsia"/>
                <w:kern w:val="0"/>
                <w:sz w:val="21"/>
                <w:szCs w:val="21"/>
              </w:rPr>
              <w:t>淮河</w:t>
            </w:r>
          </w:p>
        </w:tc>
        <w:tc>
          <w:tcPr>
            <w:tcW w:w="2937" w:type="dxa"/>
            <w:gridSpan w:val="2"/>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1797" w:type="dxa"/>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其他</w:t>
            </w:r>
          </w:p>
        </w:tc>
      </w:tr>
      <w:tr w:rsidR="00DE2F8A" w:rsidTr="00DE2F8A">
        <w:trPr>
          <w:jc w:val="center"/>
        </w:trPr>
        <w:tc>
          <w:tcPr>
            <w:tcW w:w="794" w:type="dxa"/>
            <w:vMerge/>
            <w:tcBorders>
              <w:top w:val="single" w:sz="4" w:space="0" w:color="auto"/>
              <w:left w:val="nil"/>
              <w:bottom w:val="single" w:sz="4" w:space="0" w:color="auto"/>
              <w:right w:val="single" w:sz="4" w:space="0" w:color="auto"/>
            </w:tcBorders>
            <w:vAlign w:val="center"/>
            <w:hideMark/>
          </w:tcPr>
          <w:p w:rsidR="00DE2F8A" w:rsidRDefault="00DE2F8A" w:rsidP="00DE2F8A">
            <w:pPr>
              <w:widowControl/>
              <w:adjustRightInd/>
              <w:snapToGrid/>
              <w:spacing w:line="360" w:lineRule="exact"/>
              <w:ind w:firstLineChars="0" w:firstLine="0"/>
              <w:jc w:val="left"/>
              <w:rPr>
                <w:rFonts w:ascii="Times New Roman" w:hAnsi="Times New Roman"/>
                <w:kern w:val="0"/>
                <w:sz w:val="21"/>
                <w:szCs w:val="21"/>
              </w:rPr>
            </w:pPr>
          </w:p>
        </w:tc>
        <w:tc>
          <w:tcPr>
            <w:tcW w:w="8277" w:type="dxa"/>
            <w:gridSpan w:val="6"/>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内陆水体排放点下游</w:t>
            </w:r>
            <w:r>
              <w:rPr>
                <w:rFonts w:ascii="Times New Roman" w:hAnsi="Times New Roman"/>
                <w:kern w:val="0"/>
                <w:sz w:val="21"/>
                <w:szCs w:val="21"/>
              </w:rPr>
              <w:t>10km</w:t>
            </w:r>
            <w:r>
              <w:rPr>
                <w:rFonts w:ascii="宋体" w:hAnsi="宋体"/>
                <w:kern w:val="0"/>
                <w:sz w:val="21"/>
                <w:szCs w:val="21"/>
              </w:rPr>
              <w:t>范围内敏感目标</w:t>
            </w:r>
          </w:p>
        </w:tc>
      </w:tr>
      <w:tr w:rsidR="00DE2F8A" w:rsidTr="00DE2F8A">
        <w:trPr>
          <w:jc w:val="center"/>
        </w:trPr>
        <w:tc>
          <w:tcPr>
            <w:tcW w:w="794" w:type="dxa"/>
            <w:vMerge/>
            <w:tcBorders>
              <w:top w:val="single" w:sz="4" w:space="0" w:color="auto"/>
              <w:left w:val="nil"/>
              <w:bottom w:val="single" w:sz="4" w:space="0" w:color="auto"/>
              <w:right w:val="single" w:sz="4" w:space="0" w:color="auto"/>
            </w:tcBorders>
            <w:vAlign w:val="center"/>
            <w:hideMark/>
          </w:tcPr>
          <w:p w:rsidR="00DE2F8A" w:rsidRDefault="00DE2F8A" w:rsidP="00DE2F8A">
            <w:pPr>
              <w:widowControl/>
              <w:adjustRightInd/>
              <w:snapToGrid/>
              <w:spacing w:line="360" w:lineRule="exact"/>
              <w:ind w:firstLineChars="0" w:firstLine="0"/>
              <w:jc w:val="left"/>
              <w:rPr>
                <w:rFonts w:ascii="Times New Roman" w:hAnsi="Times New Roman"/>
                <w:kern w:val="0"/>
                <w:sz w:val="21"/>
                <w:szCs w:val="21"/>
              </w:rPr>
            </w:pPr>
          </w:p>
        </w:tc>
        <w:tc>
          <w:tcPr>
            <w:tcW w:w="3543" w:type="dxa"/>
            <w:gridSpan w:val="3"/>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敏感目标名称</w:t>
            </w:r>
          </w:p>
        </w:tc>
        <w:tc>
          <w:tcPr>
            <w:tcW w:w="1273"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环境敏感特征</w:t>
            </w:r>
          </w:p>
        </w:tc>
        <w:tc>
          <w:tcPr>
            <w:tcW w:w="1664"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水质目标</w:t>
            </w:r>
          </w:p>
        </w:tc>
        <w:tc>
          <w:tcPr>
            <w:tcW w:w="1797" w:type="dxa"/>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与排放点距离</w:t>
            </w:r>
            <w:r>
              <w:rPr>
                <w:rFonts w:ascii="Times New Roman" w:hAnsi="Times New Roman"/>
                <w:kern w:val="0"/>
                <w:sz w:val="21"/>
                <w:szCs w:val="21"/>
              </w:rPr>
              <w:t>m</w:t>
            </w:r>
          </w:p>
        </w:tc>
      </w:tr>
      <w:tr w:rsidR="00DE2F8A" w:rsidTr="00DE2F8A">
        <w:trPr>
          <w:jc w:val="center"/>
        </w:trPr>
        <w:tc>
          <w:tcPr>
            <w:tcW w:w="794" w:type="dxa"/>
            <w:vMerge/>
            <w:tcBorders>
              <w:top w:val="single" w:sz="4" w:space="0" w:color="auto"/>
              <w:left w:val="nil"/>
              <w:bottom w:val="single" w:sz="4" w:space="0" w:color="auto"/>
              <w:right w:val="single" w:sz="4" w:space="0" w:color="auto"/>
            </w:tcBorders>
            <w:vAlign w:val="center"/>
            <w:hideMark/>
          </w:tcPr>
          <w:p w:rsidR="00DE2F8A" w:rsidRDefault="00DE2F8A" w:rsidP="00DE2F8A">
            <w:pPr>
              <w:widowControl/>
              <w:adjustRightInd/>
              <w:snapToGrid/>
              <w:spacing w:line="360" w:lineRule="exact"/>
              <w:ind w:firstLineChars="0" w:firstLine="0"/>
              <w:jc w:val="left"/>
              <w:rPr>
                <w:rFonts w:ascii="Times New Roman" w:hAnsi="Times New Roman"/>
                <w:kern w:val="0"/>
                <w:sz w:val="21"/>
                <w:szCs w:val="21"/>
              </w:rPr>
            </w:pPr>
          </w:p>
        </w:tc>
        <w:tc>
          <w:tcPr>
            <w:tcW w:w="3543" w:type="dxa"/>
            <w:gridSpan w:val="3"/>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无</w:t>
            </w:r>
          </w:p>
        </w:tc>
        <w:tc>
          <w:tcPr>
            <w:tcW w:w="1273"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1664"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1797" w:type="dxa"/>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r>
      <w:tr w:rsidR="00DE2F8A" w:rsidTr="00DE2F8A">
        <w:trPr>
          <w:jc w:val="center"/>
        </w:trPr>
        <w:tc>
          <w:tcPr>
            <w:tcW w:w="794" w:type="dxa"/>
            <w:vMerge/>
            <w:tcBorders>
              <w:top w:val="single" w:sz="4" w:space="0" w:color="auto"/>
              <w:left w:val="nil"/>
              <w:bottom w:val="single" w:sz="4" w:space="0" w:color="auto"/>
              <w:right w:val="single" w:sz="4" w:space="0" w:color="auto"/>
            </w:tcBorders>
            <w:vAlign w:val="center"/>
            <w:hideMark/>
          </w:tcPr>
          <w:p w:rsidR="00DE2F8A" w:rsidRDefault="00DE2F8A" w:rsidP="00DE2F8A">
            <w:pPr>
              <w:widowControl/>
              <w:adjustRightInd/>
              <w:snapToGrid/>
              <w:spacing w:line="360" w:lineRule="exact"/>
              <w:ind w:firstLineChars="0" w:firstLine="0"/>
              <w:jc w:val="left"/>
              <w:rPr>
                <w:rFonts w:ascii="Times New Roman" w:hAnsi="Times New Roman"/>
                <w:kern w:val="0"/>
                <w:sz w:val="21"/>
                <w:szCs w:val="21"/>
              </w:rPr>
            </w:pPr>
          </w:p>
        </w:tc>
        <w:tc>
          <w:tcPr>
            <w:tcW w:w="6480" w:type="dxa"/>
            <w:gridSpan w:val="5"/>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hint="eastAsia"/>
                <w:kern w:val="0"/>
                <w:sz w:val="21"/>
                <w:szCs w:val="21"/>
              </w:rPr>
              <w:t>地表水</w:t>
            </w:r>
            <w:r>
              <w:rPr>
                <w:rFonts w:ascii="宋体" w:hAnsi="宋体"/>
                <w:kern w:val="0"/>
                <w:sz w:val="21"/>
                <w:szCs w:val="21"/>
              </w:rPr>
              <w:t>环境敏感程度</w:t>
            </w:r>
            <w:r>
              <w:rPr>
                <w:rFonts w:ascii="Times New Roman" w:hAnsi="Times New Roman"/>
                <w:kern w:val="0"/>
                <w:sz w:val="21"/>
                <w:szCs w:val="21"/>
              </w:rPr>
              <w:t>E</w:t>
            </w:r>
            <w:r>
              <w:rPr>
                <w:rFonts w:ascii="宋体" w:hAnsi="宋体" w:hint="eastAsia"/>
                <w:kern w:val="0"/>
                <w:sz w:val="21"/>
                <w:szCs w:val="21"/>
              </w:rPr>
              <w:t>值</w:t>
            </w:r>
          </w:p>
        </w:tc>
        <w:tc>
          <w:tcPr>
            <w:tcW w:w="1797" w:type="dxa"/>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E2</w:t>
            </w:r>
          </w:p>
        </w:tc>
      </w:tr>
      <w:tr w:rsidR="00DE2F8A" w:rsidTr="00DE2F8A">
        <w:trPr>
          <w:jc w:val="center"/>
        </w:trPr>
        <w:tc>
          <w:tcPr>
            <w:tcW w:w="794" w:type="dxa"/>
            <w:vMerge w:val="restart"/>
            <w:tcBorders>
              <w:top w:val="single" w:sz="4" w:space="0" w:color="auto"/>
              <w:left w:val="nil"/>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hint="eastAsia"/>
                <w:kern w:val="0"/>
                <w:sz w:val="21"/>
                <w:szCs w:val="21"/>
              </w:rPr>
              <w:lastRenderedPageBreak/>
              <w:t>地下水</w:t>
            </w:r>
          </w:p>
        </w:tc>
        <w:tc>
          <w:tcPr>
            <w:tcW w:w="2416" w:type="dxa"/>
            <w:gridSpan w:val="2"/>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环境敏感区名称</w:t>
            </w:r>
          </w:p>
        </w:tc>
        <w:tc>
          <w:tcPr>
            <w:tcW w:w="1127"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环境敏感特征</w:t>
            </w:r>
          </w:p>
        </w:tc>
        <w:tc>
          <w:tcPr>
            <w:tcW w:w="1273"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水质目标</w:t>
            </w:r>
          </w:p>
        </w:tc>
        <w:tc>
          <w:tcPr>
            <w:tcW w:w="1664"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包气带防污性能</w:t>
            </w:r>
          </w:p>
        </w:tc>
        <w:tc>
          <w:tcPr>
            <w:tcW w:w="1797" w:type="dxa"/>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kern w:val="0"/>
                <w:sz w:val="21"/>
                <w:szCs w:val="21"/>
              </w:rPr>
              <w:t>与下游厂界距离</w:t>
            </w:r>
            <w:r>
              <w:rPr>
                <w:rFonts w:ascii="Times New Roman" w:hAnsi="Times New Roman"/>
                <w:kern w:val="0"/>
                <w:sz w:val="21"/>
                <w:szCs w:val="21"/>
              </w:rPr>
              <w:t>m</w:t>
            </w:r>
          </w:p>
        </w:tc>
      </w:tr>
      <w:tr w:rsidR="00DE2F8A" w:rsidTr="00DE2F8A">
        <w:trPr>
          <w:jc w:val="center"/>
        </w:trPr>
        <w:tc>
          <w:tcPr>
            <w:tcW w:w="794" w:type="dxa"/>
            <w:vMerge/>
            <w:tcBorders>
              <w:top w:val="single" w:sz="4" w:space="0" w:color="auto"/>
              <w:left w:val="nil"/>
              <w:bottom w:val="single" w:sz="4" w:space="0" w:color="auto"/>
              <w:right w:val="single" w:sz="4" w:space="0" w:color="auto"/>
            </w:tcBorders>
            <w:vAlign w:val="center"/>
            <w:hideMark/>
          </w:tcPr>
          <w:p w:rsidR="00DE2F8A" w:rsidRDefault="00DE2F8A" w:rsidP="00DE2F8A">
            <w:pPr>
              <w:widowControl/>
              <w:adjustRightInd/>
              <w:snapToGrid/>
              <w:spacing w:line="360" w:lineRule="exact"/>
              <w:ind w:firstLineChars="0" w:firstLine="0"/>
              <w:jc w:val="left"/>
              <w:rPr>
                <w:rFonts w:ascii="Times New Roman" w:hAnsi="Times New Roman"/>
                <w:kern w:val="0"/>
                <w:sz w:val="21"/>
                <w:szCs w:val="21"/>
              </w:rPr>
            </w:pPr>
          </w:p>
        </w:tc>
        <w:tc>
          <w:tcPr>
            <w:tcW w:w="2416" w:type="dxa"/>
            <w:gridSpan w:val="2"/>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hint="eastAsia"/>
                <w:kern w:val="0"/>
                <w:sz w:val="21"/>
                <w:szCs w:val="21"/>
              </w:rPr>
              <w:t>区域地下水</w:t>
            </w:r>
          </w:p>
        </w:tc>
        <w:tc>
          <w:tcPr>
            <w:tcW w:w="1127"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1273"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1664" w:type="dxa"/>
            <w:tcBorders>
              <w:top w:val="single" w:sz="4" w:space="0" w:color="auto"/>
              <w:left w:val="single" w:sz="4" w:space="0" w:color="auto"/>
              <w:bottom w:val="single" w:sz="4"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1×10</w:t>
            </w:r>
            <w:r>
              <w:rPr>
                <w:rFonts w:ascii="Times New Roman" w:hAnsi="Times New Roman"/>
                <w:kern w:val="0"/>
                <w:sz w:val="21"/>
                <w:szCs w:val="21"/>
                <w:vertAlign w:val="superscript"/>
              </w:rPr>
              <w:t>-6</w:t>
            </w:r>
            <w:r>
              <w:rPr>
                <w:rFonts w:ascii="Times New Roman" w:hAnsi="Times New Roman"/>
                <w:kern w:val="0"/>
                <w:sz w:val="21"/>
                <w:szCs w:val="21"/>
              </w:rPr>
              <w:t>cm/s&lt;K≤1×10</w:t>
            </w:r>
            <w:r>
              <w:rPr>
                <w:rFonts w:ascii="Times New Roman" w:hAnsi="Times New Roman"/>
                <w:kern w:val="0"/>
                <w:sz w:val="21"/>
                <w:szCs w:val="21"/>
                <w:vertAlign w:val="superscript"/>
              </w:rPr>
              <w:t>-4</w:t>
            </w:r>
            <w:r>
              <w:rPr>
                <w:rFonts w:ascii="Times New Roman" w:hAnsi="Times New Roman"/>
                <w:kern w:val="0"/>
                <w:sz w:val="21"/>
                <w:szCs w:val="21"/>
              </w:rPr>
              <w:t>cm/s</w:t>
            </w:r>
          </w:p>
        </w:tc>
        <w:tc>
          <w:tcPr>
            <w:tcW w:w="1797" w:type="dxa"/>
            <w:tcBorders>
              <w:top w:val="single" w:sz="4" w:space="0" w:color="auto"/>
              <w:left w:val="single" w:sz="4" w:space="0" w:color="auto"/>
              <w:bottom w:val="single" w:sz="4" w:space="0" w:color="auto"/>
              <w:right w:val="nil"/>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r>
      <w:tr w:rsidR="00DE2F8A" w:rsidTr="00DE2F8A">
        <w:trPr>
          <w:jc w:val="center"/>
        </w:trPr>
        <w:tc>
          <w:tcPr>
            <w:tcW w:w="794" w:type="dxa"/>
            <w:vMerge/>
            <w:tcBorders>
              <w:top w:val="single" w:sz="4" w:space="0" w:color="auto"/>
              <w:left w:val="nil"/>
              <w:bottom w:val="single" w:sz="4" w:space="0" w:color="auto"/>
              <w:right w:val="single" w:sz="4" w:space="0" w:color="auto"/>
            </w:tcBorders>
            <w:vAlign w:val="center"/>
            <w:hideMark/>
          </w:tcPr>
          <w:p w:rsidR="00DE2F8A" w:rsidRDefault="00DE2F8A" w:rsidP="00DE2F8A">
            <w:pPr>
              <w:widowControl/>
              <w:adjustRightInd/>
              <w:snapToGrid/>
              <w:spacing w:line="360" w:lineRule="exact"/>
              <w:ind w:firstLineChars="0" w:firstLine="0"/>
              <w:jc w:val="left"/>
              <w:rPr>
                <w:rFonts w:ascii="Times New Roman" w:hAnsi="Times New Roman"/>
                <w:kern w:val="0"/>
                <w:sz w:val="21"/>
                <w:szCs w:val="21"/>
              </w:rPr>
            </w:pPr>
          </w:p>
        </w:tc>
        <w:tc>
          <w:tcPr>
            <w:tcW w:w="6480" w:type="dxa"/>
            <w:gridSpan w:val="5"/>
            <w:tcBorders>
              <w:top w:val="single" w:sz="4" w:space="0" w:color="auto"/>
              <w:left w:val="single" w:sz="4" w:space="0" w:color="auto"/>
              <w:bottom w:val="single" w:sz="12" w:space="0" w:color="auto"/>
              <w:right w:val="single" w:sz="4" w:space="0" w:color="auto"/>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宋体" w:hAnsi="宋体" w:hint="eastAsia"/>
                <w:kern w:val="0"/>
                <w:sz w:val="21"/>
                <w:szCs w:val="21"/>
              </w:rPr>
              <w:t>地下水环境敏感程度</w:t>
            </w:r>
            <w:r>
              <w:rPr>
                <w:rFonts w:ascii="Times New Roman" w:hAnsi="Times New Roman" w:hint="eastAsia"/>
                <w:kern w:val="0"/>
                <w:sz w:val="21"/>
                <w:szCs w:val="21"/>
              </w:rPr>
              <w:t>E</w:t>
            </w:r>
            <w:r>
              <w:rPr>
                <w:rFonts w:ascii="宋体" w:hAnsi="宋体" w:hint="eastAsia"/>
                <w:kern w:val="0"/>
                <w:sz w:val="21"/>
                <w:szCs w:val="21"/>
              </w:rPr>
              <w:t>值</w:t>
            </w:r>
          </w:p>
        </w:tc>
        <w:tc>
          <w:tcPr>
            <w:tcW w:w="1797" w:type="dxa"/>
            <w:tcBorders>
              <w:top w:val="single" w:sz="4" w:space="0" w:color="auto"/>
              <w:left w:val="single" w:sz="4" w:space="0" w:color="auto"/>
              <w:bottom w:val="single" w:sz="12" w:space="0" w:color="auto"/>
              <w:right w:val="nil"/>
            </w:tcBorders>
            <w:vAlign w:val="center"/>
            <w:hideMark/>
          </w:tcPr>
          <w:p w:rsidR="00DE2F8A" w:rsidRDefault="00DE2F8A" w:rsidP="00DE2F8A">
            <w:pPr>
              <w:widowControl/>
              <w:autoSpaceDE w:val="0"/>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E3</w:t>
            </w:r>
          </w:p>
        </w:tc>
      </w:tr>
    </w:tbl>
    <w:p w:rsidR="004E3021" w:rsidRDefault="00606E48">
      <w:pPr>
        <w:spacing w:before="240" w:after="120"/>
        <w:ind w:firstLineChars="0" w:firstLine="0"/>
        <w:jc w:val="left"/>
        <w:outlineLvl w:val="2"/>
        <w:rPr>
          <w:rFonts w:ascii="黑体" w:eastAsia="黑体" w:hAnsi="黑体"/>
          <w:sz w:val="28"/>
          <w:szCs w:val="28"/>
        </w:rPr>
      </w:pPr>
      <w:bookmarkStart w:id="528" w:name="_Toc100784065"/>
      <w:bookmarkStart w:id="529" w:name="_Toc108662674"/>
      <w:bookmarkStart w:id="530" w:name="_Toc101135897"/>
      <w:bookmarkStart w:id="531" w:name="_Toc221088829"/>
      <w:bookmarkStart w:id="532" w:name="_Toc221501044"/>
      <w:r>
        <w:rPr>
          <w:rFonts w:eastAsia="黑体" w:hint="eastAsia"/>
          <w:sz w:val="28"/>
          <w:szCs w:val="28"/>
        </w:rPr>
        <w:t>5</w:t>
      </w:r>
      <w:r>
        <w:rPr>
          <w:rFonts w:eastAsia="黑体"/>
          <w:sz w:val="28"/>
          <w:szCs w:val="28"/>
        </w:rPr>
        <w:t>.6.3</w:t>
      </w:r>
      <w:r>
        <w:rPr>
          <w:rFonts w:ascii="黑体" w:eastAsia="黑体" w:hAnsi="黑体" w:hint="eastAsia"/>
          <w:sz w:val="28"/>
          <w:szCs w:val="28"/>
        </w:rPr>
        <w:t>风险识别</w:t>
      </w:r>
      <w:bookmarkEnd w:id="528"/>
      <w:bookmarkEnd w:id="529"/>
      <w:bookmarkEnd w:id="530"/>
      <w:bookmarkEnd w:id="531"/>
      <w:bookmarkEnd w:id="532"/>
    </w:p>
    <w:p w:rsidR="004E3021" w:rsidRDefault="00606E48">
      <w:pPr>
        <w:ind w:firstLine="480"/>
      </w:pPr>
      <w:r>
        <w:t>根据</w:t>
      </w:r>
      <w:r>
        <w:rPr>
          <w:rFonts w:hint="eastAsia"/>
          <w:lang w:val="zh-CN"/>
        </w:rPr>
        <w:t>《建设项目环境风险评价技术导则》</w:t>
      </w:r>
      <w:r>
        <w:t>（</w:t>
      </w:r>
      <w:r>
        <w:t>HJ169-2018</w:t>
      </w:r>
      <w:r>
        <w:t>），风险识别内容主要包括物质危险性识别、生产系统危险性识别和危险物质向环境转移的途径识别。</w:t>
      </w:r>
    </w:p>
    <w:p w:rsidR="004E3021" w:rsidRDefault="00606E48">
      <w:pPr>
        <w:ind w:firstLine="480"/>
      </w:pPr>
      <w:r>
        <w:t>（</w:t>
      </w:r>
      <w:r>
        <w:t>1</w:t>
      </w:r>
      <w:r>
        <w:t>）物质危险性识别：包括主要原辅材料、燃料、中间产品、副产品、最终产品、污染物、火灾和爆炸伴生</w:t>
      </w:r>
      <w:r>
        <w:t>/</w:t>
      </w:r>
      <w:r>
        <w:t>次生物等。</w:t>
      </w:r>
    </w:p>
    <w:p w:rsidR="004E3021" w:rsidRDefault="00606E48">
      <w:pPr>
        <w:ind w:firstLine="480"/>
      </w:pPr>
      <w:r>
        <w:t>（</w:t>
      </w:r>
      <w:r>
        <w:t>2</w:t>
      </w:r>
      <w:r>
        <w:t>）生产系统危险性识别：包括主要生产装置、储运设施、公用工程和辅助生产设施，以及环境保护设施。</w:t>
      </w:r>
    </w:p>
    <w:p w:rsidR="004E3021" w:rsidRDefault="00606E48">
      <w:pPr>
        <w:ind w:firstLine="480"/>
      </w:pPr>
      <w:r>
        <w:t>（</w:t>
      </w:r>
      <w:r>
        <w:t>3</w:t>
      </w:r>
      <w:r>
        <w:t>）危险物质向环境转移的途径识别：包括分析危险物质特性及可能的环境风险类型，识别危险物质影响环境的途径，分析可能影响的环境敏感目标</w:t>
      </w:r>
      <w:r>
        <w:rPr>
          <w:rFonts w:hint="eastAsia"/>
        </w:rPr>
        <w:t>。</w:t>
      </w:r>
    </w:p>
    <w:p w:rsidR="004E3021" w:rsidRDefault="00606E48">
      <w:pPr>
        <w:widowControl/>
        <w:spacing w:before="120" w:after="120"/>
        <w:ind w:firstLineChars="0" w:firstLine="0"/>
        <w:jc w:val="left"/>
        <w:outlineLvl w:val="3"/>
        <w:rPr>
          <w:rFonts w:ascii="黑体" w:eastAsia="黑体" w:hAnsi="黑体"/>
        </w:rPr>
      </w:pPr>
      <w:r>
        <w:rPr>
          <w:rFonts w:eastAsia="黑体"/>
        </w:rPr>
        <w:t>5.6.3.1</w:t>
      </w:r>
      <w:r>
        <w:rPr>
          <w:rFonts w:ascii="黑体" w:eastAsia="黑体" w:hAnsi="黑体"/>
        </w:rPr>
        <w:t>物质危险性识别</w:t>
      </w:r>
    </w:p>
    <w:p w:rsidR="004E3021" w:rsidRDefault="00606E48">
      <w:pPr>
        <w:ind w:firstLine="480"/>
      </w:pPr>
      <w:r>
        <w:t>根据（</w:t>
      </w:r>
      <w:r>
        <w:t>HJ169-2018</w:t>
      </w:r>
      <w:r>
        <w:t>）附录</w:t>
      </w:r>
      <w:r>
        <w:t>B</w:t>
      </w:r>
      <w:r>
        <w:t>识别处本项目主要危险物质为</w:t>
      </w:r>
      <w:r>
        <w:rPr>
          <w:rFonts w:hint="eastAsia"/>
        </w:rPr>
        <w:t>甲醇</w:t>
      </w:r>
      <w:r>
        <w:t>、氢氟酸、盐酸、</w:t>
      </w:r>
      <w:r>
        <w:rPr>
          <w:rFonts w:hint="eastAsia"/>
        </w:rPr>
        <w:t>氯化氢</w:t>
      </w:r>
      <w:r>
        <w:t>、</w:t>
      </w:r>
      <w:r>
        <w:rPr>
          <w:rFonts w:hint="eastAsia"/>
        </w:rPr>
        <w:t>氨水、硫酸</w:t>
      </w:r>
      <w:r>
        <w:t>、</w:t>
      </w:r>
      <w:r>
        <w:rPr>
          <w:rFonts w:hint="eastAsia"/>
        </w:rPr>
        <w:t>烯丙基缩水甘油醚和</w:t>
      </w:r>
      <w:r>
        <w:t>异丙醇等</w:t>
      </w:r>
      <w:r>
        <w:rPr>
          <w:rFonts w:hint="eastAsia"/>
        </w:rPr>
        <w:t>。</w:t>
      </w:r>
      <w:r>
        <w:t>具体理化性质见下表</w:t>
      </w:r>
      <w:r>
        <w:t>5.6.3-1</w:t>
      </w:r>
      <w:r>
        <w:rPr>
          <w:rFonts w:ascii="宋体" w:hAnsi="宋体" w:hint="eastAsia"/>
        </w:rPr>
        <w:t>。</w:t>
      </w:r>
    </w:p>
    <w:p w:rsidR="004E3021" w:rsidRDefault="00606E48">
      <w:pPr>
        <w:pStyle w:val="afffff4"/>
      </w:pPr>
      <w:r>
        <w:rPr>
          <w:rFonts w:hint="eastAsia"/>
        </w:rPr>
        <w:t>表</w:t>
      </w:r>
      <w:r>
        <w:t xml:space="preserve">5.6.3-1  </w:t>
      </w:r>
      <w:r>
        <w:rPr>
          <w:rFonts w:hint="eastAsia"/>
        </w:rPr>
        <w:t>主要原辅材料</w:t>
      </w:r>
      <w:r>
        <w:t>、产物理化性质、毒性毒理</w:t>
      </w:r>
    </w:p>
    <w:tbl>
      <w:tblPr>
        <w:tblStyle w:val="afff"/>
        <w:tblW w:w="5000" w:type="pct"/>
        <w:tblLook w:val="04A0" w:firstRow="1" w:lastRow="0" w:firstColumn="1" w:lastColumn="0" w:noHBand="0" w:noVBand="1"/>
      </w:tblPr>
      <w:tblGrid>
        <w:gridCol w:w="490"/>
        <w:gridCol w:w="1453"/>
        <w:gridCol w:w="2291"/>
        <w:gridCol w:w="2385"/>
        <w:gridCol w:w="2408"/>
      </w:tblGrid>
      <w:tr w:rsidR="004E3021" w:rsidRPr="008005B3" w:rsidTr="008005B3">
        <w:trPr>
          <w:trHeight w:val="340"/>
        </w:trPr>
        <w:tc>
          <w:tcPr>
            <w:tcW w:w="271"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序号</w:t>
            </w:r>
          </w:p>
        </w:tc>
        <w:tc>
          <w:tcPr>
            <w:tcW w:w="805"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名称</w:t>
            </w:r>
          </w:p>
        </w:tc>
        <w:tc>
          <w:tcPr>
            <w:tcW w:w="1269"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理化性质</w:t>
            </w:r>
          </w:p>
        </w:tc>
        <w:tc>
          <w:tcPr>
            <w:tcW w:w="1321"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燃烧爆炸性</w:t>
            </w:r>
          </w:p>
        </w:tc>
        <w:tc>
          <w:tcPr>
            <w:tcW w:w="1334"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毒性毒理</w:t>
            </w:r>
          </w:p>
        </w:tc>
      </w:tr>
      <w:tr w:rsidR="004E3021" w:rsidRPr="008005B3" w:rsidTr="008005B3">
        <w:trPr>
          <w:trHeight w:val="340"/>
        </w:trPr>
        <w:tc>
          <w:tcPr>
            <w:tcW w:w="271"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1</w:t>
            </w:r>
          </w:p>
        </w:tc>
        <w:tc>
          <w:tcPr>
            <w:tcW w:w="805"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氨水</w:t>
            </w:r>
          </w:p>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NH</w:t>
            </w:r>
            <w:r w:rsidRPr="008005B3">
              <w:rPr>
                <w:rFonts w:ascii="Times New Roman" w:hAnsi="Times New Roman" w:cs="Times New Roman"/>
                <w:kern w:val="0"/>
                <w:sz w:val="21"/>
                <w:szCs w:val="21"/>
                <w:vertAlign w:val="subscript"/>
              </w:rPr>
              <w:t>4</w:t>
            </w:r>
            <w:r w:rsidRPr="008005B3">
              <w:rPr>
                <w:rFonts w:ascii="Times New Roman" w:hAnsi="Times New Roman" w:cs="Times New Roman"/>
                <w:kern w:val="0"/>
                <w:sz w:val="21"/>
                <w:szCs w:val="21"/>
              </w:rPr>
              <w:t>OH</w:t>
            </w:r>
          </w:p>
        </w:tc>
        <w:tc>
          <w:tcPr>
            <w:tcW w:w="1269"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分子量</w:t>
            </w:r>
            <w:r w:rsidRPr="008005B3">
              <w:rPr>
                <w:rFonts w:ascii="Times New Roman" w:hAnsi="Times New Roman" w:cs="Times New Roman"/>
                <w:kern w:val="0"/>
                <w:sz w:val="21"/>
                <w:szCs w:val="21"/>
              </w:rPr>
              <w:t>35</w:t>
            </w:r>
            <w:r w:rsidRPr="008005B3">
              <w:rPr>
                <w:rFonts w:ascii="Times New Roman" w:hAnsi="Times New Roman" w:cs="Times New Roman"/>
                <w:kern w:val="0"/>
                <w:sz w:val="21"/>
                <w:szCs w:val="21"/>
              </w:rPr>
              <w:t>，密度</w:t>
            </w:r>
            <w:r w:rsidRPr="008005B3">
              <w:rPr>
                <w:rFonts w:ascii="Times New Roman" w:hAnsi="Times New Roman" w:cs="Times New Roman"/>
                <w:kern w:val="0"/>
                <w:sz w:val="21"/>
                <w:szCs w:val="21"/>
              </w:rPr>
              <w:t>0.91g/cm</w:t>
            </w:r>
            <w:r w:rsidRPr="008005B3">
              <w:rPr>
                <w:rFonts w:ascii="Times New Roman" w:hAnsi="Times New Roman" w:cs="Times New Roman"/>
                <w:kern w:val="0"/>
                <w:sz w:val="21"/>
                <w:szCs w:val="21"/>
                <w:vertAlign w:val="superscript"/>
              </w:rPr>
              <w:t>3</w:t>
            </w:r>
            <w:r w:rsidRPr="008005B3">
              <w:rPr>
                <w:rFonts w:ascii="Times New Roman" w:hAnsi="Times New Roman" w:cs="Times New Roman"/>
                <w:kern w:val="0"/>
                <w:sz w:val="21"/>
                <w:szCs w:val="21"/>
              </w:rPr>
              <w:t>。无色透明液体，有强烈的刺激性臭味。溶于水、醇。</w:t>
            </w:r>
          </w:p>
        </w:tc>
        <w:tc>
          <w:tcPr>
            <w:tcW w:w="1321"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碱性腐蚀品。易分解放出氨气，温度越高，分解速度越快，可形成爆炸性气氛。</w:t>
            </w:r>
          </w:p>
        </w:tc>
        <w:tc>
          <w:tcPr>
            <w:tcW w:w="1334"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低毒类。急性毒性：</w:t>
            </w:r>
            <w:r w:rsidRPr="008005B3">
              <w:rPr>
                <w:rFonts w:ascii="Times New Roman" w:hAnsi="Times New Roman" w:cs="Times New Roman"/>
                <w:kern w:val="0"/>
                <w:sz w:val="21"/>
                <w:szCs w:val="21"/>
              </w:rPr>
              <w:t>LD</w:t>
            </w:r>
            <w:r w:rsidRPr="008005B3">
              <w:rPr>
                <w:rFonts w:ascii="Times New Roman" w:hAnsi="Times New Roman" w:cs="Times New Roman"/>
                <w:kern w:val="0"/>
                <w:sz w:val="21"/>
                <w:szCs w:val="21"/>
                <w:vertAlign w:val="subscript"/>
              </w:rPr>
              <w:t>50</w:t>
            </w:r>
            <w:r w:rsidRPr="008005B3">
              <w:rPr>
                <w:rFonts w:ascii="Times New Roman" w:hAnsi="Times New Roman" w:cs="Times New Roman"/>
                <w:kern w:val="0"/>
                <w:sz w:val="21"/>
                <w:szCs w:val="21"/>
              </w:rPr>
              <w:t>350mg/kg</w:t>
            </w:r>
            <w:r w:rsidRPr="008005B3">
              <w:rPr>
                <w:rFonts w:ascii="Times New Roman" w:hAnsi="Times New Roman" w:cs="Times New Roman"/>
                <w:kern w:val="0"/>
                <w:sz w:val="21"/>
                <w:szCs w:val="21"/>
              </w:rPr>
              <w:t>（大鼠经口）。</w:t>
            </w:r>
          </w:p>
        </w:tc>
      </w:tr>
      <w:tr w:rsidR="004E3021" w:rsidRPr="008005B3" w:rsidTr="008005B3">
        <w:trPr>
          <w:trHeight w:val="340"/>
        </w:trPr>
        <w:tc>
          <w:tcPr>
            <w:tcW w:w="271"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2</w:t>
            </w:r>
          </w:p>
        </w:tc>
        <w:tc>
          <w:tcPr>
            <w:tcW w:w="805"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三甲氧基硅烷</w:t>
            </w:r>
            <w:r w:rsidRPr="008005B3">
              <w:rPr>
                <w:rFonts w:ascii="Times New Roman" w:hAnsi="Times New Roman" w:cs="Times New Roman"/>
                <w:kern w:val="0"/>
                <w:sz w:val="21"/>
                <w:szCs w:val="21"/>
              </w:rPr>
              <w:t>C</w:t>
            </w:r>
            <w:r w:rsidRPr="008005B3">
              <w:rPr>
                <w:rFonts w:ascii="Times New Roman" w:hAnsi="Times New Roman" w:cs="Times New Roman"/>
                <w:kern w:val="0"/>
                <w:sz w:val="21"/>
                <w:szCs w:val="21"/>
                <w:vertAlign w:val="subscript"/>
              </w:rPr>
              <w:t>3</w:t>
            </w:r>
            <w:r w:rsidRPr="008005B3">
              <w:rPr>
                <w:rFonts w:ascii="Times New Roman" w:hAnsi="Times New Roman" w:cs="Times New Roman"/>
                <w:kern w:val="0"/>
                <w:sz w:val="21"/>
                <w:szCs w:val="21"/>
              </w:rPr>
              <w:t>H</w:t>
            </w:r>
            <w:r w:rsidRPr="008005B3">
              <w:rPr>
                <w:rFonts w:ascii="Times New Roman" w:hAnsi="Times New Roman" w:cs="Times New Roman"/>
                <w:kern w:val="0"/>
                <w:sz w:val="21"/>
                <w:szCs w:val="21"/>
                <w:vertAlign w:val="subscript"/>
              </w:rPr>
              <w:t>9</w:t>
            </w:r>
            <w:r w:rsidRPr="008005B3">
              <w:rPr>
                <w:rFonts w:ascii="Times New Roman" w:hAnsi="Times New Roman" w:cs="Times New Roman"/>
                <w:kern w:val="0"/>
                <w:sz w:val="21"/>
                <w:szCs w:val="21"/>
              </w:rPr>
              <w:t>O</w:t>
            </w:r>
            <w:r w:rsidRPr="008005B3">
              <w:rPr>
                <w:rFonts w:ascii="Times New Roman" w:hAnsi="Times New Roman" w:cs="Times New Roman"/>
                <w:kern w:val="0"/>
                <w:sz w:val="21"/>
                <w:szCs w:val="21"/>
                <w:vertAlign w:val="subscript"/>
              </w:rPr>
              <w:t>3</w:t>
            </w:r>
            <w:r w:rsidRPr="008005B3">
              <w:rPr>
                <w:rFonts w:ascii="Times New Roman" w:hAnsi="Times New Roman" w:cs="Times New Roman"/>
                <w:kern w:val="0"/>
                <w:sz w:val="21"/>
                <w:szCs w:val="21"/>
              </w:rPr>
              <w:t>Si</w:t>
            </w:r>
          </w:p>
        </w:tc>
        <w:tc>
          <w:tcPr>
            <w:tcW w:w="1269"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分子量</w:t>
            </w:r>
            <w:r w:rsidRPr="008005B3">
              <w:rPr>
                <w:rFonts w:ascii="Times New Roman" w:hAnsi="Times New Roman" w:cs="Times New Roman"/>
                <w:kern w:val="0"/>
                <w:sz w:val="21"/>
                <w:szCs w:val="21"/>
              </w:rPr>
              <w:t>122.2</w:t>
            </w:r>
            <w:r w:rsidRPr="008005B3">
              <w:rPr>
                <w:rFonts w:ascii="Times New Roman" w:hAnsi="Times New Roman" w:cs="Times New Roman"/>
                <w:kern w:val="0"/>
                <w:sz w:val="21"/>
                <w:szCs w:val="21"/>
              </w:rPr>
              <w:t>，熔点</w:t>
            </w:r>
            <w:r w:rsidRPr="008005B3">
              <w:rPr>
                <w:rFonts w:ascii="Times New Roman" w:hAnsi="Times New Roman" w:cs="Times New Roman"/>
                <w:kern w:val="0"/>
                <w:sz w:val="21"/>
                <w:szCs w:val="21"/>
              </w:rPr>
              <w:t>-115℃</w:t>
            </w:r>
            <w:r w:rsidRPr="008005B3">
              <w:rPr>
                <w:rFonts w:ascii="Times New Roman" w:hAnsi="Times New Roman" w:cs="Times New Roman"/>
                <w:kern w:val="0"/>
                <w:sz w:val="21"/>
                <w:szCs w:val="21"/>
              </w:rPr>
              <w:t>，沸点</w:t>
            </w:r>
            <w:r w:rsidRPr="008005B3">
              <w:rPr>
                <w:rFonts w:ascii="Times New Roman" w:hAnsi="Times New Roman" w:cs="Times New Roman"/>
                <w:kern w:val="0"/>
                <w:sz w:val="21"/>
                <w:szCs w:val="21"/>
              </w:rPr>
              <w:t>81°C</w:t>
            </w:r>
            <w:r w:rsidRPr="008005B3">
              <w:rPr>
                <w:rFonts w:ascii="Times New Roman" w:hAnsi="Times New Roman" w:cs="Times New Roman"/>
                <w:kern w:val="0"/>
                <w:sz w:val="21"/>
                <w:szCs w:val="21"/>
              </w:rPr>
              <w:t>。溶于乙醇、乙醚，微溶于甲苯，不溶于水。遇水分解成具有黏性的二氧化硅。</w:t>
            </w:r>
          </w:p>
        </w:tc>
        <w:tc>
          <w:tcPr>
            <w:tcW w:w="1321"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可燃。有毒，对呼吸道和眼睛有较强的刺激性。</w:t>
            </w:r>
          </w:p>
        </w:tc>
        <w:tc>
          <w:tcPr>
            <w:tcW w:w="1334"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LD</w:t>
            </w:r>
            <w:r w:rsidRPr="008005B3">
              <w:rPr>
                <w:rFonts w:ascii="Times New Roman" w:hAnsi="Times New Roman" w:cs="Times New Roman"/>
                <w:kern w:val="0"/>
                <w:sz w:val="21"/>
                <w:szCs w:val="21"/>
                <w:vertAlign w:val="subscript"/>
              </w:rPr>
              <w:t>50</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15700 mg/kg(</w:t>
            </w:r>
            <w:r w:rsidRPr="008005B3">
              <w:rPr>
                <w:rFonts w:ascii="Times New Roman" w:hAnsi="Times New Roman" w:cs="Times New Roman"/>
                <w:kern w:val="0"/>
                <w:sz w:val="21"/>
                <w:szCs w:val="21"/>
              </w:rPr>
              <w:t>大鼠经口</w:t>
            </w:r>
            <w:r w:rsidRPr="008005B3">
              <w:rPr>
                <w:rFonts w:ascii="Times New Roman" w:hAnsi="Times New Roman" w:cs="Times New Roman"/>
                <w:kern w:val="0"/>
                <w:sz w:val="21"/>
                <w:szCs w:val="21"/>
              </w:rPr>
              <w:t>) LC50</w:t>
            </w:r>
            <w:r w:rsidRPr="008005B3">
              <w:rPr>
                <w:rFonts w:ascii="Times New Roman" w:hAnsi="Times New Roman" w:cs="Times New Roman"/>
                <w:kern w:val="0"/>
                <w:sz w:val="21"/>
                <w:szCs w:val="21"/>
              </w:rPr>
              <w:t>：无资料</w:t>
            </w:r>
          </w:p>
        </w:tc>
      </w:tr>
      <w:tr w:rsidR="004E3021" w:rsidRPr="008005B3" w:rsidTr="008005B3">
        <w:trPr>
          <w:trHeight w:val="340"/>
        </w:trPr>
        <w:tc>
          <w:tcPr>
            <w:tcW w:w="271" w:type="pct"/>
            <w:vAlign w:val="center"/>
          </w:tcPr>
          <w:p w:rsidR="004E3021" w:rsidRPr="008005B3" w:rsidRDefault="008005B3" w:rsidP="008005B3">
            <w:pPr>
              <w:pStyle w:val="afffffff2"/>
              <w:rPr>
                <w:rFonts w:ascii="Times New Roman" w:hAnsi="Times New Roman" w:cs="Times New Roman"/>
                <w:kern w:val="0"/>
                <w:sz w:val="21"/>
                <w:szCs w:val="21"/>
              </w:rPr>
            </w:pPr>
            <w:r>
              <w:rPr>
                <w:rFonts w:ascii="Times New Roman" w:hAnsi="Times New Roman" w:cs="Times New Roman"/>
                <w:kern w:val="0"/>
                <w:sz w:val="21"/>
                <w:szCs w:val="21"/>
              </w:rPr>
              <w:lastRenderedPageBreak/>
              <w:t>3</w:t>
            </w:r>
          </w:p>
        </w:tc>
        <w:tc>
          <w:tcPr>
            <w:tcW w:w="805"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硫酸</w:t>
            </w:r>
          </w:p>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H</w:t>
            </w:r>
            <w:r w:rsidRPr="008005B3">
              <w:rPr>
                <w:rFonts w:ascii="Times New Roman" w:hAnsi="Times New Roman" w:cs="Times New Roman"/>
                <w:kern w:val="0"/>
                <w:sz w:val="21"/>
                <w:szCs w:val="21"/>
                <w:vertAlign w:val="subscript"/>
              </w:rPr>
              <w:t>2</w:t>
            </w:r>
            <w:r w:rsidRPr="008005B3">
              <w:rPr>
                <w:rFonts w:ascii="Times New Roman" w:hAnsi="Times New Roman" w:cs="Times New Roman"/>
                <w:kern w:val="0"/>
                <w:sz w:val="21"/>
                <w:szCs w:val="21"/>
              </w:rPr>
              <w:t>SO</w:t>
            </w:r>
            <w:r w:rsidRPr="008005B3">
              <w:rPr>
                <w:rFonts w:ascii="Times New Roman" w:hAnsi="Times New Roman" w:cs="Times New Roman"/>
                <w:kern w:val="0"/>
                <w:sz w:val="21"/>
                <w:szCs w:val="21"/>
                <w:vertAlign w:val="subscript"/>
              </w:rPr>
              <w:t>4</w:t>
            </w:r>
          </w:p>
        </w:tc>
        <w:tc>
          <w:tcPr>
            <w:tcW w:w="1269"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分子量</w:t>
            </w:r>
            <w:r w:rsidRPr="008005B3">
              <w:rPr>
                <w:rFonts w:ascii="Times New Roman" w:hAnsi="Times New Roman" w:cs="Times New Roman"/>
                <w:kern w:val="0"/>
                <w:sz w:val="21"/>
                <w:szCs w:val="21"/>
              </w:rPr>
              <w:t>98</w:t>
            </w:r>
            <w:r w:rsidRPr="008005B3">
              <w:rPr>
                <w:rFonts w:ascii="Times New Roman" w:hAnsi="Times New Roman" w:cs="Times New Roman"/>
                <w:kern w:val="0"/>
                <w:sz w:val="21"/>
                <w:szCs w:val="21"/>
              </w:rPr>
              <w:t>，密度</w:t>
            </w:r>
            <w:r w:rsidRPr="008005B3">
              <w:rPr>
                <w:rFonts w:ascii="Times New Roman" w:hAnsi="Times New Roman" w:cs="Times New Roman"/>
                <w:kern w:val="0"/>
                <w:sz w:val="21"/>
                <w:szCs w:val="21"/>
              </w:rPr>
              <w:t>1.83g/cm</w:t>
            </w:r>
            <w:r w:rsidRPr="008005B3">
              <w:rPr>
                <w:rFonts w:ascii="Times New Roman" w:hAnsi="Times New Roman" w:cs="Times New Roman"/>
                <w:kern w:val="0"/>
                <w:sz w:val="21"/>
                <w:szCs w:val="21"/>
                <w:vertAlign w:val="superscript"/>
              </w:rPr>
              <w:t>3</w:t>
            </w:r>
            <w:r w:rsidRPr="008005B3">
              <w:rPr>
                <w:rFonts w:ascii="Times New Roman" w:hAnsi="Times New Roman" w:cs="Times New Roman"/>
                <w:kern w:val="0"/>
                <w:sz w:val="21"/>
                <w:szCs w:val="21"/>
              </w:rPr>
              <w:t>，熔点</w:t>
            </w:r>
            <w:r w:rsidRPr="008005B3">
              <w:rPr>
                <w:rFonts w:ascii="Times New Roman" w:hAnsi="Times New Roman" w:cs="Times New Roman"/>
                <w:kern w:val="0"/>
                <w:sz w:val="21"/>
                <w:szCs w:val="21"/>
              </w:rPr>
              <w:t>10.5℃</w:t>
            </w:r>
            <w:r w:rsidRPr="008005B3">
              <w:rPr>
                <w:rFonts w:ascii="Times New Roman" w:hAnsi="Times New Roman" w:cs="Times New Roman"/>
                <w:kern w:val="0"/>
                <w:sz w:val="21"/>
                <w:szCs w:val="21"/>
              </w:rPr>
              <w:t>，沸点</w:t>
            </w:r>
            <w:r w:rsidRPr="008005B3">
              <w:rPr>
                <w:rFonts w:ascii="Times New Roman" w:hAnsi="Times New Roman" w:cs="Times New Roman"/>
                <w:kern w:val="0"/>
                <w:sz w:val="21"/>
                <w:szCs w:val="21"/>
              </w:rPr>
              <w:t>330℃</w:t>
            </w:r>
            <w:r w:rsidRPr="008005B3">
              <w:rPr>
                <w:rFonts w:ascii="Times New Roman" w:hAnsi="Times New Roman" w:cs="Times New Roman"/>
                <w:kern w:val="0"/>
                <w:sz w:val="21"/>
                <w:szCs w:val="21"/>
              </w:rPr>
              <w:t>。无色透明油状液体，无臭。与水混溶。</w:t>
            </w:r>
          </w:p>
        </w:tc>
        <w:tc>
          <w:tcPr>
            <w:tcW w:w="1321"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酸性腐蚀品。与易燃物和有机物接触会发生剧烈反应，甚至引起燃烧。能与一些活性金属粉末发生反应，放出氢气。遇水大量放热，可发生沸溅。</w:t>
            </w:r>
          </w:p>
        </w:tc>
        <w:tc>
          <w:tcPr>
            <w:tcW w:w="1334"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属中等毒性。急性毒性：</w:t>
            </w:r>
            <w:r w:rsidRPr="008005B3">
              <w:rPr>
                <w:rFonts w:ascii="Times New Roman" w:hAnsi="Times New Roman" w:cs="Times New Roman"/>
                <w:kern w:val="0"/>
                <w:sz w:val="21"/>
                <w:szCs w:val="21"/>
              </w:rPr>
              <w:t>LD</w:t>
            </w:r>
            <w:r w:rsidRPr="008005B3">
              <w:rPr>
                <w:rFonts w:ascii="Times New Roman" w:hAnsi="Times New Roman" w:cs="Times New Roman"/>
                <w:kern w:val="0"/>
                <w:sz w:val="21"/>
                <w:szCs w:val="21"/>
                <w:vertAlign w:val="subscript"/>
              </w:rPr>
              <w:t>50</w:t>
            </w:r>
            <w:r w:rsidRPr="008005B3">
              <w:rPr>
                <w:rFonts w:ascii="Times New Roman" w:hAnsi="Times New Roman" w:cs="Times New Roman"/>
                <w:kern w:val="0"/>
                <w:sz w:val="21"/>
                <w:szCs w:val="21"/>
              </w:rPr>
              <w:t>80mg/kg(</w:t>
            </w:r>
            <w:r w:rsidRPr="008005B3">
              <w:rPr>
                <w:rFonts w:ascii="Times New Roman" w:hAnsi="Times New Roman" w:cs="Times New Roman"/>
                <w:kern w:val="0"/>
                <w:sz w:val="21"/>
                <w:szCs w:val="21"/>
              </w:rPr>
              <w:t>大鼠经口</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LC</w:t>
            </w:r>
            <w:r w:rsidRPr="008005B3">
              <w:rPr>
                <w:rFonts w:ascii="Times New Roman" w:hAnsi="Times New Roman" w:cs="Times New Roman"/>
                <w:kern w:val="0"/>
                <w:sz w:val="21"/>
                <w:szCs w:val="21"/>
                <w:vertAlign w:val="subscript"/>
              </w:rPr>
              <w:t>50</w:t>
            </w:r>
            <w:r w:rsidRPr="008005B3">
              <w:rPr>
                <w:rFonts w:ascii="Times New Roman" w:hAnsi="Times New Roman" w:cs="Times New Roman"/>
                <w:kern w:val="0"/>
                <w:sz w:val="21"/>
                <w:szCs w:val="21"/>
              </w:rPr>
              <w:t>510mg/m</w:t>
            </w:r>
            <w:r w:rsidRPr="008005B3">
              <w:rPr>
                <w:rFonts w:ascii="Times New Roman" w:hAnsi="Times New Roman" w:cs="Times New Roman"/>
                <w:kern w:val="0"/>
                <w:sz w:val="21"/>
                <w:szCs w:val="21"/>
                <w:vertAlign w:val="superscript"/>
              </w:rPr>
              <w:t>3</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2</w:t>
            </w:r>
            <w:r w:rsidRPr="008005B3">
              <w:rPr>
                <w:rFonts w:ascii="Times New Roman" w:hAnsi="Times New Roman" w:cs="Times New Roman"/>
                <w:kern w:val="0"/>
                <w:sz w:val="21"/>
                <w:szCs w:val="21"/>
              </w:rPr>
              <w:t>小时</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大鼠吸入</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320mg/m</w:t>
            </w:r>
            <w:r w:rsidRPr="008005B3">
              <w:rPr>
                <w:rFonts w:ascii="Times New Roman" w:hAnsi="Times New Roman" w:cs="Times New Roman"/>
                <w:kern w:val="0"/>
                <w:sz w:val="21"/>
                <w:szCs w:val="21"/>
                <w:vertAlign w:val="superscript"/>
              </w:rPr>
              <w:t>3</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2</w:t>
            </w:r>
            <w:r w:rsidRPr="008005B3">
              <w:rPr>
                <w:rFonts w:ascii="Times New Roman" w:hAnsi="Times New Roman" w:cs="Times New Roman"/>
                <w:kern w:val="0"/>
                <w:sz w:val="21"/>
                <w:szCs w:val="21"/>
              </w:rPr>
              <w:t>小时</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小鼠吸入</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w:t>
            </w:r>
          </w:p>
        </w:tc>
      </w:tr>
      <w:tr w:rsidR="004E3021" w:rsidRPr="008005B3" w:rsidTr="008005B3">
        <w:trPr>
          <w:trHeight w:val="340"/>
        </w:trPr>
        <w:tc>
          <w:tcPr>
            <w:tcW w:w="271" w:type="pct"/>
            <w:vAlign w:val="center"/>
          </w:tcPr>
          <w:p w:rsidR="004E3021" w:rsidRPr="008005B3" w:rsidRDefault="008005B3" w:rsidP="008005B3">
            <w:pPr>
              <w:pStyle w:val="afffffff2"/>
              <w:rPr>
                <w:rFonts w:ascii="Times New Roman" w:hAnsi="Times New Roman" w:cs="Times New Roman"/>
                <w:kern w:val="0"/>
                <w:sz w:val="21"/>
                <w:szCs w:val="21"/>
              </w:rPr>
            </w:pPr>
            <w:r>
              <w:rPr>
                <w:rFonts w:ascii="Times New Roman" w:hAnsi="Times New Roman" w:cs="Times New Roman"/>
                <w:kern w:val="0"/>
                <w:sz w:val="21"/>
                <w:szCs w:val="21"/>
              </w:rPr>
              <w:t>4</w:t>
            </w:r>
          </w:p>
        </w:tc>
        <w:tc>
          <w:tcPr>
            <w:tcW w:w="805"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甲醇</w:t>
            </w:r>
          </w:p>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CH</w:t>
            </w:r>
            <w:r w:rsidRPr="008005B3">
              <w:rPr>
                <w:rFonts w:ascii="Times New Roman" w:hAnsi="Times New Roman" w:cs="Times New Roman"/>
                <w:kern w:val="0"/>
                <w:sz w:val="21"/>
                <w:szCs w:val="21"/>
                <w:vertAlign w:val="subscript"/>
              </w:rPr>
              <w:t>3</w:t>
            </w:r>
            <w:r w:rsidRPr="008005B3">
              <w:rPr>
                <w:rFonts w:ascii="Times New Roman" w:hAnsi="Times New Roman" w:cs="Times New Roman"/>
                <w:kern w:val="0"/>
                <w:sz w:val="21"/>
                <w:szCs w:val="21"/>
              </w:rPr>
              <w:t>OH</w:t>
            </w:r>
          </w:p>
        </w:tc>
        <w:tc>
          <w:tcPr>
            <w:tcW w:w="1269"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分子量</w:t>
            </w:r>
            <w:r w:rsidRPr="008005B3">
              <w:rPr>
                <w:rFonts w:ascii="Times New Roman" w:hAnsi="Times New Roman" w:cs="Times New Roman"/>
                <w:kern w:val="0"/>
                <w:sz w:val="21"/>
                <w:szCs w:val="21"/>
              </w:rPr>
              <w:t>32</w:t>
            </w:r>
            <w:r w:rsidRPr="008005B3">
              <w:rPr>
                <w:rFonts w:ascii="Times New Roman" w:hAnsi="Times New Roman" w:cs="Times New Roman"/>
                <w:kern w:val="0"/>
                <w:sz w:val="21"/>
                <w:szCs w:val="21"/>
              </w:rPr>
              <w:t>，无色澄清液体，有刺激性气味，溶于水，可混溶于醇、醚等多数有机溶剂。熔点</w:t>
            </w:r>
            <w:r w:rsidRPr="008005B3">
              <w:rPr>
                <w:rFonts w:ascii="Times New Roman" w:hAnsi="Times New Roman" w:cs="Times New Roman"/>
                <w:kern w:val="0"/>
                <w:sz w:val="21"/>
                <w:szCs w:val="21"/>
              </w:rPr>
              <w:t>-97℃</w:t>
            </w:r>
            <w:r w:rsidRPr="008005B3">
              <w:rPr>
                <w:rFonts w:ascii="Times New Roman" w:hAnsi="Times New Roman" w:cs="Times New Roman"/>
                <w:kern w:val="0"/>
                <w:sz w:val="21"/>
                <w:szCs w:val="21"/>
              </w:rPr>
              <w:t>，沸点</w:t>
            </w:r>
            <w:r w:rsidRPr="008005B3">
              <w:rPr>
                <w:rFonts w:ascii="Times New Roman" w:hAnsi="Times New Roman" w:cs="Times New Roman"/>
                <w:kern w:val="0"/>
                <w:sz w:val="21"/>
                <w:szCs w:val="21"/>
              </w:rPr>
              <w:t>64.7℃</w:t>
            </w:r>
            <w:r w:rsidRPr="008005B3">
              <w:rPr>
                <w:rFonts w:ascii="Times New Roman" w:hAnsi="Times New Roman" w:cs="Times New Roman"/>
                <w:kern w:val="0"/>
                <w:sz w:val="21"/>
                <w:szCs w:val="21"/>
              </w:rPr>
              <w:t>，密度</w:t>
            </w:r>
            <w:r w:rsidRPr="008005B3">
              <w:rPr>
                <w:rFonts w:ascii="Times New Roman" w:hAnsi="Times New Roman" w:cs="Times New Roman"/>
                <w:kern w:val="0"/>
                <w:sz w:val="21"/>
                <w:szCs w:val="21"/>
              </w:rPr>
              <w:t>0.792 g/cm</w:t>
            </w:r>
            <w:r w:rsidRPr="008005B3">
              <w:rPr>
                <w:rFonts w:ascii="Times New Roman" w:hAnsi="Times New Roman" w:cs="Times New Roman"/>
                <w:kern w:val="0"/>
                <w:sz w:val="21"/>
                <w:szCs w:val="21"/>
                <w:vertAlign w:val="superscript"/>
              </w:rPr>
              <w:t>3</w:t>
            </w:r>
          </w:p>
        </w:tc>
        <w:tc>
          <w:tcPr>
            <w:tcW w:w="1321"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易燃，其蒸气与空气可形成爆炸性混合物。遇明火、高热能引起燃烧爆炸。与氧化剂接触发生化学反应或引起燃烧。</w:t>
            </w:r>
          </w:p>
        </w:tc>
        <w:tc>
          <w:tcPr>
            <w:tcW w:w="1334"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急性毒性：</w:t>
            </w:r>
            <w:r w:rsidRPr="008005B3">
              <w:rPr>
                <w:rFonts w:ascii="Times New Roman" w:hAnsi="Times New Roman" w:cs="Times New Roman"/>
                <w:kern w:val="0"/>
                <w:sz w:val="21"/>
                <w:szCs w:val="21"/>
              </w:rPr>
              <w:t>LD</w:t>
            </w:r>
            <w:r w:rsidRPr="008005B3">
              <w:rPr>
                <w:rFonts w:ascii="Times New Roman" w:hAnsi="Times New Roman" w:cs="Times New Roman"/>
                <w:kern w:val="0"/>
                <w:sz w:val="21"/>
                <w:szCs w:val="21"/>
                <w:vertAlign w:val="subscript"/>
              </w:rPr>
              <w:t>50</w:t>
            </w:r>
            <w:r w:rsidRPr="008005B3">
              <w:rPr>
                <w:rFonts w:ascii="Times New Roman" w:hAnsi="Times New Roman" w:cs="Times New Roman"/>
                <w:kern w:val="0"/>
                <w:sz w:val="21"/>
                <w:szCs w:val="21"/>
              </w:rPr>
              <w:t>5628mg/kg(</w:t>
            </w:r>
            <w:r w:rsidRPr="008005B3">
              <w:rPr>
                <w:rFonts w:ascii="Times New Roman" w:hAnsi="Times New Roman" w:cs="Times New Roman"/>
                <w:kern w:val="0"/>
                <w:sz w:val="21"/>
                <w:szCs w:val="21"/>
              </w:rPr>
              <w:t>大鼠经口</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15800mg/kg(</w:t>
            </w:r>
            <w:r w:rsidRPr="008005B3">
              <w:rPr>
                <w:rFonts w:ascii="Times New Roman" w:hAnsi="Times New Roman" w:cs="Times New Roman"/>
                <w:kern w:val="0"/>
                <w:sz w:val="21"/>
                <w:szCs w:val="21"/>
              </w:rPr>
              <w:t>兔经皮</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LC</w:t>
            </w:r>
            <w:r w:rsidRPr="008005B3">
              <w:rPr>
                <w:rFonts w:ascii="Times New Roman" w:hAnsi="Times New Roman" w:cs="Times New Roman"/>
                <w:kern w:val="0"/>
                <w:sz w:val="21"/>
                <w:szCs w:val="21"/>
                <w:vertAlign w:val="subscript"/>
              </w:rPr>
              <w:t>50</w:t>
            </w:r>
            <w:r w:rsidRPr="008005B3">
              <w:rPr>
                <w:rFonts w:ascii="Times New Roman" w:hAnsi="Times New Roman" w:cs="Times New Roman"/>
                <w:kern w:val="0"/>
                <w:sz w:val="21"/>
                <w:szCs w:val="21"/>
              </w:rPr>
              <w:t>82776mg/kg</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4</w:t>
            </w:r>
            <w:r w:rsidRPr="008005B3">
              <w:rPr>
                <w:rFonts w:ascii="Times New Roman" w:hAnsi="Times New Roman" w:cs="Times New Roman"/>
                <w:kern w:val="0"/>
                <w:sz w:val="21"/>
                <w:szCs w:val="21"/>
              </w:rPr>
              <w:t>小时</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大鼠吸入</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w:t>
            </w:r>
          </w:p>
        </w:tc>
      </w:tr>
      <w:tr w:rsidR="004E3021" w:rsidRPr="008005B3" w:rsidTr="008005B3">
        <w:trPr>
          <w:trHeight w:val="340"/>
        </w:trPr>
        <w:tc>
          <w:tcPr>
            <w:tcW w:w="271" w:type="pct"/>
            <w:vAlign w:val="center"/>
          </w:tcPr>
          <w:p w:rsidR="004E3021" w:rsidRPr="008005B3" w:rsidRDefault="008005B3" w:rsidP="008005B3">
            <w:pPr>
              <w:pStyle w:val="afffffff2"/>
              <w:rPr>
                <w:rFonts w:ascii="Times New Roman" w:hAnsi="Times New Roman" w:cs="Times New Roman"/>
                <w:kern w:val="0"/>
                <w:sz w:val="21"/>
                <w:szCs w:val="21"/>
              </w:rPr>
            </w:pPr>
            <w:r>
              <w:rPr>
                <w:rFonts w:ascii="Times New Roman" w:hAnsi="Times New Roman" w:cs="Times New Roman"/>
                <w:kern w:val="0"/>
                <w:sz w:val="21"/>
                <w:szCs w:val="21"/>
              </w:rPr>
              <w:t>5</w:t>
            </w:r>
          </w:p>
        </w:tc>
        <w:tc>
          <w:tcPr>
            <w:tcW w:w="805"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四甲氧基硅烷</w:t>
            </w:r>
          </w:p>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C</w:t>
            </w:r>
            <w:r w:rsidRPr="008005B3">
              <w:rPr>
                <w:rFonts w:ascii="Times New Roman" w:hAnsi="Times New Roman" w:cs="Times New Roman"/>
                <w:kern w:val="0"/>
                <w:sz w:val="21"/>
                <w:szCs w:val="21"/>
                <w:vertAlign w:val="subscript"/>
              </w:rPr>
              <w:t>4</w:t>
            </w:r>
            <w:r w:rsidRPr="008005B3">
              <w:rPr>
                <w:rFonts w:ascii="Times New Roman" w:hAnsi="Times New Roman" w:cs="Times New Roman"/>
                <w:kern w:val="0"/>
                <w:sz w:val="21"/>
                <w:szCs w:val="21"/>
              </w:rPr>
              <w:t>H</w:t>
            </w:r>
            <w:r w:rsidRPr="008005B3">
              <w:rPr>
                <w:rFonts w:ascii="Times New Roman" w:hAnsi="Times New Roman" w:cs="Times New Roman"/>
                <w:kern w:val="0"/>
                <w:sz w:val="21"/>
                <w:szCs w:val="21"/>
                <w:vertAlign w:val="subscript"/>
              </w:rPr>
              <w:t>12</w:t>
            </w:r>
            <w:r w:rsidRPr="008005B3">
              <w:rPr>
                <w:rFonts w:ascii="Times New Roman" w:hAnsi="Times New Roman" w:cs="Times New Roman"/>
                <w:kern w:val="0"/>
                <w:sz w:val="21"/>
                <w:szCs w:val="21"/>
              </w:rPr>
              <w:t>O</w:t>
            </w:r>
            <w:r w:rsidRPr="008005B3">
              <w:rPr>
                <w:rFonts w:ascii="Times New Roman" w:hAnsi="Times New Roman" w:cs="Times New Roman"/>
                <w:kern w:val="0"/>
                <w:sz w:val="21"/>
                <w:szCs w:val="21"/>
                <w:vertAlign w:val="subscript"/>
              </w:rPr>
              <w:t>4</w:t>
            </w:r>
            <w:r w:rsidRPr="008005B3">
              <w:rPr>
                <w:rFonts w:ascii="Times New Roman" w:hAnsi="Times New Roman" w:cs="Times New Roman"/>
                <w:kern w:val="0"/>
                <w:sz w:val="21"/>
                <w:szCs w:val="21"/>
              </w:rPr>
              <w:t>Si</w:t>
            </w:r>
          </w:p>
        </w:tc>
        <w:tc>
          <w:tcPr>
            <w:tcW w:w="1269"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分子量</w:t>
            </w:r>
            <w:r w:rsidRPr="008005B3">
              <w:rPr>
                <w:rFonts w:ascii="Times New Roman" w:hAnsi="Times New Roman" w:cs="Times New Roman"/>
                <w:kern w:val="0"/>
                <w:sz w:val="21"/>
                <w:szCs w:val="21"/>
              </w:rPr>
              <w:t>152.22</w:t>
            </w:r>
            <w:r w:rsidRPr="008005B3">
              <w:rPr>
                <w:rFonts w:ascii="Times New Roman" w:hAnsi="Times New Roman" w:cs="Times New Roman"/>
                <w:kern w:val="0"/>
                <w:sz w:val="21"/>
                <w:szCs w:val="21"/>
              </w:rPr>
              <w:t>，熔点</w:t>
            </w:r>
            <w:r w:rsidRPr="008005B3">
              <w:rPr>
                <w:rFonts w:ascii="Times New Roman" w:hAnsi="Times New Roman" w:cs="Times New Roman"/>
                <w:kern w:val="0"/>
                <w:sz w:val="21"/>
                <w:szCs w:val="21"/>
              </w:rPr>
              <w:t>-2℃</w:t>
            </w:r>
            <w:r w:rsidRPr="008005B3">
              <w:rPr>
                <w:rFonts w:ascii="Times New Roman" w:hAnsi="Times New Roman" w:cs="Times New Roman"/>
                <w:kern w:val="0"/>
                <w:sz w:val="21"/>
                <w:szCs w:val="21"/>
              </w:rPr>
              <w:t>，沸点：</w:t>
            </w:r>
            <w:r w:rsidRPr="008005B3">
              <w:rPr>
                <w:rFonts w:ascii="Times New Roman" w:hAnsi="Times New Roman" w:cs="Times New Roman"/>
                <w:kern w:val="0"/>
                <w:sz w:val="21"/>
                <w:szCs w:val="21"/>
              </w:rPr>
              <w:t>121~122℃</w:t>
            </w:r>
            <w:r w:rsidRPr="008005B3">
              <w:rPr>
                <w:rFonts w:ascii="Times New Roman" w:hAnsi="Times New Roman" w:cs="Times New Roman"/>
                <w:kern w:val="0"/>
                <w:sz w:val="21"/>
                <w:szCs w:val="21"/>
              </w:rPr>
              <w:t>。无色透明液体，有特殊气味，有水份存在时不稳定，在空气中逐渐分解出氧化硅，与有机溶剂任意比混溶，不溶于水。</w:t>
            </w:r>
          </w:p>
        </w:tc>
        <w:tc>
          <w:tcPr>
            <w:tcW w:w="1321"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易燃，遇高热、明火及强氧化剂易引起燃烧。加热分解产生毒性气体。与强氧化剂接触可发生化学反应。遇低级醇和水起化学反应而分解。</w:t>
            </w:r>
          </w:p>
        </w:tc>
        <w:tc>
          <w:tcPr>
            <w:tcW w:w="1334"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LD</w:t>
            </w:r>
            <w:r w:rsidRPr="008005B3">
              <w:rPr>
                <w:rFonts w:ascii="Times New Roman" w:hAnsi="Times New Roman" w:cs="Times New Roman"/>
                <w:kern w:val="0"/>
                <w:sz w:val="21"/>
                <w:szCs w:val="21"/>
                <w:vertAlign w:val="subscript"/>
              </w:rPr>
              <w:t xml:space="preserve">50 </w:t>
            </w:r>
            <w:r w:rsidRPr="008005B3">
              <w:rPr>
                <w:rFonts w:ascii="Times New Roman" w:hAnsi="Times New Roman" w:cs="Times New Roman"/>
                <w:kern w:val="0"/>
                <w:sz w:val="21"/>
                <w:szCs w:val="21"/>
              </w:rPr>
              <w:t>100mg/kg</w:t>
            </w:r>
            <w:r w:rsidRPr="008005B3">
              <w:rPr>
                <w:rFonts w:ascii="Times New Roman" w:hAnsi="Times New Roman" w:cs="Times New Roman"/>
                <w:kern w:val="0"/>
                <w:sz w:val="21"/>
                <w:szCs w:val="21"/>
              </w:rPr>
              <w:t>（大鼠腹膜腔）</w:t>
            </w:r>
            <w:r w:rsidRPr="008005B3">
              <w:rPr>
                <w:rFonts w:ascii="Times New Roman" w:hAnsi="Times New Roman" w:cs="Times New Roman"/>
                <w:kern w:val="0"/>
                <w:sz w:val="21"/>
                <w:szCs w:val="21"/>
              </w:rPr>
              <w:t xml:space="preserve"> LD</w:t>
            </w:r>
            <w:r w:rsidRPr="008005B3">
              <w:rPr>
                <w:rFonts w:ascii="Times New Roman" w:hAnsi="Times New Roman" w:cs="Times New Roman"/>
                <w:kern w:val="0"/>
                <w:sz w:val="21"/>
                <w:szCs w:val="21"/>
                <w:vertAlign w:val="subscript"/>
              </w:rPr>
              <w:t xml:space="preserve">50 </w:t>
            </w:r>
            <w:r w:rsidRPr="008005B3">
              <w:rPr>
                <w:rFonts w:ascii="Times New Roman" w:hAnsi="Times New Roman" w:cs="Times New Roman"/>
                <w:kern w:val="0"/>
                <w:sz w:val="21"/>
                <w:szCs w:val="21"/>
              </w:rPr>
              <w:t>17540mg/kg</w:t>
            </w:r>
            <w:r w:rsidRPr="008005B3">
              <w:rPr>
                <w:rFonts w:ascii="Times New Roman" w:hAnsi="Times New Roman" w:cs="Times New Roman"/>
                <w:kern w:val="0"/>
                <w:sz w:val="21"/>
                <w:szCs w:val="21"/>
              </w:rPr>
              <w:t>（兔经皮）</w:t>
            </w:r>
          </w:p>
        </w:tc>
      </w:tr>
      <w:tr w:rsidR="004E3021" w:rsidRPr="008005B3" w:rsidTr="008005B3">
        <w:trPr>
          <w:trHeight w:val="340"/>
        </w:trPr>
        <w:tc>
          <w:tcPr>
            <w:tcW w:w="271" w:type="pct"/>
            <w:vAlign w:val="center"/>
          </w:tcPr>
          <w:p w:rsidR="004E3021" w:rsidRPr="008005B3" w:rsidRDefault="008005B3" w:rsidP="008005B3">
            <w:pPr>
              <w:pStyle w:val="afffffff2"/>
              <w:rPr>
                <w:rFonts w:ascii="Times New Roman" w:hAnsi="Times New Roman" w:cs="Times New Roman"/>
                <w:kern w:val="0"/>
                <w:sz w:val="21"/>
                <w:szCs w:val="21"/>
              </w:rPr>
            </w:pPr>
            <w:r>
              <w:rPr>
                <w:rFonts w:ascii="Times New Roman" w:hAnsi="Times New Roman" w:cs="Times New Roman"/>
                <w:kern w:val="0"/>
                <w:sz w:val="21"/>
                <w:szCs w:val="21"/>
              </w:rPr>
              <w:t>6</w:t>
            </w:r>
          </w:p>
        </w:tc>
        <w:tc>
          <w:tcPr>
            <w:tcW w:w="805"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甲基三甲氧基硅烷</w:t>
            </w:r>
            <w:r w:rsidRPr="008005B3">
              <w:rPr>
                <w:rFonts w:ascii="Times New Roman" w:hAnsi="Times New Roman" w:cs="Times New Roman"/>
                <w:kern w:val="0"/>
                <w:sz w:val="21"/>
                <w:szCs w:val="21"/>
              </w:rPr>
              <w:t>C</w:t>
            </w:r>
            <w:r w:rsidRPr="008005B3">
              <w:rPr>
                <w:rFonts w:ascii="Times New Roman" w:hAnsi="Times New Roman" w:cs="Times New Roman"/>
                <w:kern w:val="0"/>
                <w:sz w:val="21"/>
                <w:szCs w:val="21"/>
                <w:vertAlign w:val="subscript"/>
              </w:rPr>
              <w:t>4</w:t>
            </w:r>
            <w:r w:rsidRPr="008005B3">
              <w:rPr>
                <w:rFonts w:ascii="Times New Roman" w:hAnsi="Times New Roman" w:cs="Times New Roman"/>
                <w:kern w:val="0"/>
                <w:sz w:val="21"/>
                <w:szCs w:val="21"/>
              </w:rPr>
              <w:t>H</w:t>
            </w:r>
            <w:r w:rsidRPr="008005B3">
              <w:rPr>
                <w:rFonts w:ascii="Times New Roman" w:hAnsi="Times New Roman" w:cs="Times New Roman"/>
                <w:kern w:val="0"/>
                <w:sz w:val="21"/>
                <w:szCs w:val="21"/>
                <w:vertAlign w:val="subscript"/>
              </w:rPr>
              <w:t>12</w:t>
            </w:r>
            <w:r w:rsidRPr="008005B3">
              <w:rPr>
                <w:rFonts w:ascii="Times New Roman" w:hAnsi="Times New Roman" w:cs="Times New Roman"/>
                <w:kern w:val="0"/>
                <w:sz w:val="21"/>
                <w:szCs w:val="21"/>
              </w:rPr>
              <w:t>O</w:t>
            </w:r>
            <w:r w:rsidRPr="008005B3">
              <w:rPr>
                <w:rFonts w:ascii="Times New Roman" w:hAnsi="Times New Roman" w:cs="Times New Roman"/>
                <w:kern w:val="0"/>
                <w:sz w:val="21"/>
                <w:szCs w:val="21"/>
                <w:vertAlign w:val="subscript"/>
              </w:rPr>
              <w:t>3</w:t>
            </w:r>
            <w:r w:rsidRPr="008005B3">
              <w:rPr>
                <w:rFonts w:ascii="Times New Roman" w:hAnsi="Times New Roman" w:cs="Times New Roman"/>
                <w:kern w:val="0"/>
                <w:sz w:val="21"/>
                <w:szCs w:val="21"/>
              </w:rPr>
              <w:t>Si</w:t>
            </w:r>
          </w:p>
        </w:tc>
        <w:tc>
          <w:tcPr>
            <w:tcW w:w="1269"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分子量</w:t>
            </w:r>
            <w:r w:rsidRPr="008005B3">
              <w:rPr>
                <w:rFonts w:ascii="Times New Roman" w:hAnsi="Times New Roman" w:cs="Times New Roman"/>
                <w:kern w:val="0"/>
                <w:sz w:val="21"/>
                <w:szCs w:val="21"/>
              </w:rPr>
              <w:t>136.22</w:t>
            </w:r>
            <w:r w:rsidRPr="008005B3">
              <w:rPr>
                <w:rFonts w:ascii="Times New Roman" w:hAnsi="Times New Roman" w:cs="Times New Roman"/>
                <w:kern w:val="0"/>
                <w:sz w:val="21"/>
                <w:szCs w:val="21"/>
              </w:rPr>
              <w:t>，密度</w:t>
            </w:r>
            <w:r w:rsidRPr="008005B3">
              <w:rPr>
                <w:rFonts w:ascii="Times New Roman" w:hAnsi="Times New Roman" w:cs="Times New Roman"/>
                <w:kern w:val="0"/>
                <w:sz w:val="21"/>
                <w:szCs w:val="21"/>
              </w:rPr>
              <w:t>0.9g/cm</w:t>
            </w:r>
            <w:r w:rsidRPr="008005B3">
              <w:rPr>
                <w:rFonts w:ascii="Times New Roman" w:hAnsi="Times New Roman" w:cs="Times New Roman"/>
                <w:kern w:val="0"/>
                <w:sz w:val="21"/>
                <w:szCs w:val="21"/>
                <w:vertAlign w:val="superscript"/>
              </w:rPr>
              <w:t>3</w:t>
            </w:r>
            <w:r w:rsidRPr="008005B3">
              <w:rPr>
                <w:rFonts w:ascii="Times New Roman" w:hAnsi="Times New Roman" w:cs="Times New Roman"/>
                <w:kern w:val="0"/>
                <w:sz w:val="21"/>
                <w:szCs w:val="21"/>
              </w:rPr>
              <w:t>，沸点</w:t>
            </w:r>
            <w:r w:rsidRPr="008005B3">
              <w:rPr>
                <w:rFonts w:ascii="Times New Roman" w:hAnsi="Times New Roman" w:cs="Times New Roman"/>
                <w:kern w:val="0"/>
                <w:sz w:val="21"/>
                <w:szCs w:val="21"/>
              </w:rPr>
              <w:t>102℃</w:t>
            </w:r>
            <w:r w:rsidRPr="008005B3">
              <w:rPr>
                <w:rFonts w:ascii="Times New Roman" w:hAnsi="Times New Roman" w:cs="Times New Roman"/>
                <w:kern w:val="0"/>
                <w:sz w:val="21"/>
                <w:szCs w:val="21"/>
              </w:rPr>
              <w:t>。无色透明液体，易吸湿。溶于甲醇、乙醇、丙酮、苯等有机溶剂中，遇水会水解交联，并产生甲醇。</w:t>
            </w:r>
          </w:p>
        </w:tc>
        <w:tc>
          <w:tcPr>
            <w:tcW w:w="1321"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高度易燃</w:t>
            </w:r>
          </w:p>
        </w:tc>
        <w:tc>
          <w:tcPr>
            <w:tcW w:w="1334"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w:t>
            </w:r>
          </w:p>
        </w:tc>
      </w:tr>
      <w:tr w:rsidR="004E3021" w:rsidRPr="008005B3" w:rsidTr="008005B3">
        <w:trPr>
          <w:trHeight w:val="340"/>
        </w:trPr>
        <w:tc>
          <w:tcPr>
            <w:tcW w:w="271" w:type="pct"/>
            <w:vAlign w:val="center"/>
          </w:tcPr>
          <w:p w:rsidR="004E3021" w:rsidRPr="008005B3" w:rsidRDefault="008005B3" w:rsidP="008005B3">
            <w:pPr>
              <w:pStyle w:val="afffffff2"/>
              <w:rPr>
                <w:rFonts w:ascii="Times New Roman" w:hAnsi="Times New Roman" w:cs="Times New Roman"/>
                <w:kern w:val="0"/>
                <w:sz w:val="21"/>
                <w:szCs w:val="21"/>
              </w:rPr>
            </w:pPr>
            <w:r>
              <w:rPr>
                <w:rFonts w:ascii="Times New Roman" w:hAnsi="Times New Roman" w:cs="Times New Roman"/>
                <w:kern w:val="0"/>
                <w:sz w:val="21"/>
                <w:szCs w:val="21"/>
              </w:rPr>
              <w:t>7</w:t>
            </w:r>
          </w:p>
        </w:tc>
        <w:tc>
          <w:tcPr>
            <w:tcW w:w="805"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烯丙基缩水甘油醚</w:t>
            </w:r>
            <w:r w:rsidRPr="008005B3">
              <w:rPr>
                <w:rFonts w:ascii="Times New Roman" w:hAnsi="Times New Roman" w:cs="Times New Roman"/>
                <w:kern w:val="0"/>
                <w:sz w:val="21"/>
                <w:szCs w:val="21"/>
              </w:rPr>
              <w:t>C</w:t>
            </w:r>
            <w:r w:rsidRPr="008005B3">
              <w:rPr>
                <w:rFonts w:ascii="Times New Roman" w:hAnsi="Times New Roman" w:cs="Times New Roman"/>
                <w:kern w:val="0"/>
                <w:sz w:val="21"/>
                <w:szCs w:val="21"/>
                <w:vertAlign w:val="subscript"/>
              </w:rPr>
              <w:t>6</w:t>
            </w:r>
            <w:r w:rsidRPr="008005B3">
              <w:rPr>
                <w:rFonts w:ascii="Times New Roman" w:hAnsi="Times New Roman" w:cs="Times New Roman"/>
                <w:kern w:val="0"/>
                <w:sz w:val="21"/>
                <w:szCs w:val="21"/>
              </w:rPr>
              <w:t>H</w:t>
            </w:r>
            <w:r w:rsidRPr="008005B3">
              <w:rPr>
                <w:rFonts w:ascii="Times New Roman" w:hAnsi="Times New Roman" w:cs="Times New Roman"/>
                <w:kern w:val="0"/>
                <w:sz w:val="21"/>
                <w:szCs w:val="21"/>
                <w:vertAlign w:val="subscript"/>
              </w:rPr>
              <w:t>10</w:t>
            </w:r>
            <w:r w:rsidRPr="008005B3">
              <w:rPr>
                <w:rFonts w:ascii="Times New Roman" w:hAnsi="Times New Roman" w:cs="Times New Roman"/>
                <w:kern w:val="0"/>
                <w:sz w:val="21"/>
                <w:szCs w:val="21"/>
              </w:rPr>
              <w:t>O</w:t>
            </w:r>
            <w:r w:rsidRPr="008005B3">
              <w:rPr>
                <w:rFonts w:ascii="Times New Roman" w:hAnsi="Times New Roman" w:cs="Times New Roman"/>
                <w:kern w:val="0"/>
                <w:sz w:val="21"/>
                <w:szCs w:val="21"/>
                <w:vertAlign w:val="subscript"/>
              </w:rPr>
              <w:t>2</w:t>
            </w:r>
          </w:p>
        </w:tc>
        <w:tc>
          <w:tcPr>
            <w:tcW w:w="1269"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分子量</w:t>
            </w:r>
            <w:r w:rsidRPr="008005B3">
              <w:rPr>
                <w:rFonts w:ascii="Times New Roman" w:hAnsi="Times New Roman" w:cs="Times New Roman"/>
                <w:kern w:val="0"/>
                <w:sz w:val="21"/>
                <w:szCs w:val="21"/>
              </w:rPr>
              <w:t>114.14</w:t>
            </w:r>
            <w:r w:rsidRPr="008005B3">
              <w:rPr>
                <w:rFonts w:ascii="Times New Roman" w:hAnsi="Times New Roman" w:cs="Times New Roman"/>
                <w:kern w:val="0"/>
                <w:sz w:val="21"/>
                <w:szCs w:val="21"/>
              </w:rPr>
              <w:t>，密度</w:t>
            </w:r>
            <w:r w:rsidRPr="008005B3">
              <w:rPr>
                <w:rFonts w:ascii="Times New Roman" w:hAnsi="Times New Roman" w:cs="Times New Roman"/>
                <w:kern w:val="0"/>
                <w:sz w:val="21"/>
                <w:szCs w:val="21"/>
              </w:rPr>
              <w:t>0.962 g/cm</w:t>
            </w:r>
            <w:r w:rsidRPr="008005B3">
              <w:rPr>
                <w:rFonts w:ascii="Times New Roman" w:hAnsi="Times New Roman" w:cs="Times New Roman"/>
                <w:kern w:val="0"/>
                <w:sz w:val="21"/>
                <w:szCs w:val="21"/>
                <w:vertAlign w:val="superscript"/>
              </w:rPr>
              <w:t>3</w:t>
            </w:r>
            <w:r w:rsidRPr="008005B3">
              <w:rPr>
                <w:rFonts w:ascii="Times New Roman" w:hAnsi="Times New Roman" w:cs="Times New Roman"/>
                <w:kern w:val="0"/>
                <w:sz w:val="21"/>
                <w:szCs w:val="21"/>
              </w:rPr>
              <w:t>，沸点</w:t>
            </w:r>
            <w:r w:rsidRPr="008005B3">
              <w:rPr>
                <w:rFonts w:ascii="Times New Roman" w:hAnsi="Times New Roman" w:cs="Times New Roman"/>
                <w:kern w:val="0"/>
                <w:sz w:val="21"/>
                <w:szCs w:val="21"/>
              </w:rPr>
              <w:t>154℃</w:t>
            </w:r>
            <w:r w:rsidRPr="008005B3">
              <w:rPr>
                <w:rFonts w:ascii="Times New Roman" w:hAnsi="Times New Roman" w:cs="Times New Roman"/>
                <w:kern w:val="0"/>
                <w:sz w:val="21"/>
                <w:szCs w:val="21"/>
              </w:rPr>
              <w:t>。无色透明，有特殊的臭味，溶于水、溶于丙酮、苯、四氯化碳和醇。</w:t>
            </w:r>
          </w:p>
        </w:tc>
        <w:tc>
          <w:tcPr>
            <w:tcW w:w="1321"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高毒且易燃。</w:t>
            </w:r>
          </w:p>
        </w:tc>
        <w:tc>
          <w:tcPr>
            <w:tcW w:w="1334" w:type="pct"/>
            <w:vAlign w:val="center"/>
          </w:tcPr>
          <w:p w:rsidR="004E3021" w:rsidRPr="008005B3" w:rsidRDefault="00606E48" w:rsidP="008005B3">
            <w:pPr>
              <w:pStyle w:val="afffffff2"/>
              <w:rPr>
                <w:rFonts w:ascii="Times New Roman" w:hAnsi="Times New Roman" w:cs="Times New Roman"/>
                <w:kern w:val="0"/>
                <w:sz w:val="21"/>
                <w:szCs w:val="21"/>
              </w:rPr>
            </w:pPr>
            <w:r w:rsidRPr="008005B3">
              <w:rPr>
                <w:rFonts w:ascii="Times New Roman" w:hAnsi="Times New Roman" w:cs="Times New Roman"/>
                <w:kern w:val="0"/>
                <w:sz w:val="21"/>
                <w:szCs w:val="21"/>
              </w:rPr>
              <w:t>急性毒性：大鼠经口</w:t>
            </w:r>
            <w:r w:rsidRPr="008005B3">
              <w:rPr>
                <w:rFonts w:ascii="Times New Roman" w:hAnsi="Times New Roman" w:cs="Times New Roman"/>
                <w:kern w:val="0"/>
                <w:sz w:val="21"/>
                <w:szCs w:val="21"/>
              </w:rPr>
              <w:t>LD</w:t>
            </w:r>
            <w:r w:rsidRPr="008005B3">
              <w:rPr>
                <w:rFonts w:ascii="Times New Roman" w:hAnsi="Times New Roman" w:cs="Times New Roman"/>
                <w:kern w:val="0"/>
                <w:sz w:val="21"/>
                <w:szCs w:val="21"/>
                <w:vertAlign w:val="subscript"/>
              </w:rPr>
              <w:t>50</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920mg/kg</w:t>
            </w:r>
            <w:r w:rsidRPr="008005B3">
              <w:rPr>
                <w:rFonts w:ascii="Times New Roman" w:hAnsi="Times New Roman" w:cs="Times New Roman"/>
                <w:kern w:val="0"/>
                <w:sz w:val="21"/>
                <w:szCs w:val="21"/>
              </w:rPr>
              <w:t>；兔径皮</w:t>
            </w:r>
            <w:r w:rsidRPr="008005B3">
              <w:rPr>
                <w:rFonts w:ascii="Times New Roman" w:hAnsi="Times New Roman" w:cs="Times New Roman"/>
                <w:kern w:val="0"/>
                <w:sz w:val="21"/>
                <w:szCs w:val="21"/>
              </w:rPr>
              <w:t>LD</w:t>
            </w:r>
            <w:r w:rsidRPr="008005B3">
              <w:rPr>
                <w:rFonts w:ascii="Times New Roman" w:hAnsi="Times New Roman" w:cs="Times New Roman"/>
                <w:kern w:val="0"/>
                <w:sz w:val="21"/>
                <w:szCs w:val="21"/>
                <w:vertAlign w:val="subscript"/>
              </w:rPr>
              <w:t>50</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2550mg/kg</w:t>
            </w:r>
            <w:r w:rsidRPr="008005B3">
              <w:rPr>
                <w:rFonts w:ascii="Times New Roman" w:hAnsi="Times New Roman" w:cs="Times New Roman"/>
                <w:kern w:val="0"/>
                <w:sz w:val="21"/>
                <w:szCs w:val="21"/>
              </w:rPr>
              <w:t>；大鼠吸入</w:t>
            </w:r>
            <w:r w:rsidRPr="008005B3">
              <w:rPr>
                <w:rFonts w:ascii="Times New Roman" w:hAnsi="Times New Roman" w:cs="Times New Roman"/>
                <w:kern w:val="0"/>
                <w:sz w:val="21"/>
                <w:szCs w:val="21"/>
              </w:rPr>
              <w:t>LC</w:t>
            </w:r>
            <w:r w:rsidRPr="008005B3">
              <w:rPr>
                <w:rFonts w:ascii="Times New Roman" w:hAnsi="Times New Roman" w:cs="Times New Roman"/>
                <w:kern w:val="0"/>
                <w:sz w:val="21"/>
                <w:szCs w:val="21"/>
                <w:vertAlign w:val="subscript"/>
              </w:rPr>
              <w:t>50</w:t>
            </w:r>
            <w:r w:rsidRPr="008005B3">
              <w:rPr>
                <w:rFonts w:ascii="Times New Roman" w:hAnsi="Times New Roman" w:cs="Times New Roman"/>
                <w:kern w:val="0"/>
                <w:sz w:val="21"/>
                <w:szCs w:val="21"/>
              </w:rPr>
              <w:t>：</w:t>
            </w:r>
            <w:r w:rsidRPr="008005B3">
              <w:rPr>
                <w:rFonts w:ascii="Times New Roman" w:hAnsi="Times New Roman" w:cs="Times New Roman"/>
                <w:kern w:val="0"/>
                <w:sz w:val="21"/>
                <w:szCs w:val="21"/>
              </w:rPr>
              <w:t>860ppm/4h</w:t>
            </w:r>
          </w:p>
        </w:tc>
      </w:tr>
    </w:tbl>
    <w:p w:rsidR="004E3021" w:rsidRDefault="00606E48">
      <w:pPr>
        <w:widowControl/>
        <w:spacing w:before="120" w:after="120"/>
        <w:ind w:firstLineChars="0" w:firstLine="0"/>
        <w:jc w:val="left"/>
        <w:outlineLvl w:val="3"/>
        <w:rPr>
          <w:rFonts w:eastAsia="黑体"/>
        </w:rPr>
      </w:pPr>
      <w:r>
        <w:rPr>
          <w:rFonts w:eastAsia="黑体"/>
        </w:rPr>
        <w:t>5.6.3</w:t>
      </w:r>
      <w:r>
        <w:rPr>
          <w:rFonts w:eastAsia="黑体" w:hint="eastAsia"/>
        </w:rPr>
        <w:t>.</w:t>
      </w:r>
      <w:r>
        <w:rPr>
          <w:rFonts w:eastAsia="黑体"/>
        </w:rPr>
        <w:t>2</w:t>
      </w:r>
      <w:r>
        <w:rPr>
          <w:rFonts w:ascii="黑体" w:eastAsia="黑体" w:hAnsi="黑体" w:hint="eastAsia"/>
        </w:rPr>
        <w:t>生产及公辅环保设施环境风险识别</w:t>
      </w:r>
    </w:p>
    <w:p w:rsidR="004E3021" w:rsidRDefault="00606E48">
      <w:pPr>
        <w:ind w:firstLine="480"/>
      </w:pPr>
      <w:r>
        <w:rPr>
          <w:rFonts w:ascii="宋体" w:hAnsi="宋体" w:hint="eastAsia"/>
        </w:rPr>
        <w:lastRenderedPageBreak/>
        <w:t>（</w:t>
      </w:r>
      <w:r>
        <w:rPr>
          <w:rFonts w:hint="eastAsia"/>
        </w:rPr>
        <w:t>1</w:t>
      </w:r>
      <w:r>
        <w:rPr>
          <w:rFonts w:ascii="宋体" w:hAnsi="宋体" w:hint="eastAsia"/>
        </w:rPr>
        <w:t>）生产装置区</w:t>
      </w:r>
    </w:p>
    <w:p w:rsidR="004E3021" w:rsidRDefault="00606E48">
      <w:pPr>
        <w:ind w:firstLine="480"/>
      </w:pPr>
      <w:r>
        <w:t>依据物质的危险、有害特性分析，本</w:t>
      </w:r>
      <w:r>
        <w:rPr>
          <w:rFonts w:hint="eastAsia"/>
        </w:rPr>
        <w:t>项目</w:t>
      </w:r>
      <w:r>
        <w:t>生产过程及生产过程中涉及厂内物料</w:t>
      </w:r>
      <w:r>
        <w:rPr>
          <w:rFonts w:hint="eastAsia"/>
        </w:rPr>
        <w:t>储存</w:t>
      </w:r>
      <w:r>
        <w:t>运输及其它用电设备等存在火灾、爆炸、腐蚀、中毒、窒息等危险有害性</w:t>
      </w:r>
      <w:r>
        <w:rPr>
          <w:rFonts w:ascii="宋体" w:hAnsi="宋体"/>
        </w:rPr>
        <w:t>。</w:t>
      </w:r>
    </w:p>
    <w:p w:rsidR="004E3021" w:rsidRDefault="00606E48">
      <w:pPr>
        <w:ind w:firstLine="480"/>
      </w:pPr>
      <w:r>
        <w:rPr>
          <w:rFonts w:ascii="宋体" w:hAnsi="宋体"/>
        </w:rPr>
        <w:t>生产过程中各单元的主要危险、有害性分析详见表</w:t>
      </w:r>
      <w:r>
        <w:t>5.6.3-2</w:t>
      </w:r>
      <w:r>
        <w:rPr>
          <w:rFonts w:ascii="宋体" w:hAnsi="宋体"/>
        </w:rPr>
        <w:t>。厂区危险单元分布图见</w:t>
      </w:r>
      <w:r>
        <w:rPr>
          <w:rFonts w:ascii="宋体" w:hAnsi="宋体" w:hint="eastAsia"/>
        </w:rPr>
        <w:t>附图</w:t>
      </w:r>
      <w:r>
        <w:t>5.6.3-1</w:t>
      </w:r>
      <w:r>
        <w:rPr>
          <w:rFonts w:ascii="宋体" w:hAnsi="宋体" w:hint="eastAsia"/>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rPr>
        <w:t xml:space="preserve">5.6.3-2  </w:t>
      </w:r>
      <w:r>
        <w:rPr>
          <w:rFonts w:ascii="黑体" w:eastAsia="黑体" w:hAnsi="黑体" w:hint="eastAsia"/>
        </w:rPr>
        <w:t>生产过程</w:t>
      </w:r>
      <w:r>
        <w:rPr>
          <w:rFonts w:ascii="黑体" w:eastAsia="黑体" w:hAnsi="黑体"/>
        </w:rPr>
        <w:t>环境风险识别表</w:t>
      </w:r>
    </w:p>
    <w:tbl>
      <w:tblPr>
        <w:tblStyle w:val="1ffffffd"/>
        <w:tblW w:w="5000" w:type="pct"/>
        <w:tblLook w:val="04A0" w:firstRow="1" w:lastRow="0" w:firstColumn="1" w:lastColumn="0" w:noHBand="0" w:noVBand="1"/>
      </w:tblPr>
      <w:tblGrid>
        <w:gridCol w:w="504"/>
        <w:gridCol w:w="899"/>
        <w:gridCol w:w="1291"/>
        <w:gridCol w:w="1547"/>
        <w:gridCol w:w="1406"/>
        <w:gridCol w:w="1836"/>
        <w:gridCol w:w="1544"/>
      </w:tblGrid>
      <w:tr w:rsidR="004E3021" w:rsidRPr="00DE2F8A" w:rsidTr="00DE2F8A">
        <w:tc>
          <w:tcPr>
            <w:tcW w:w="279" w:type="pct"/>
            <w:vAlign w:val="center"/>
          </w:tcPr>
          <w:p w:rsidR="004E3021" w:rsidRPr="00DE2F8A" w:rsidRDefault="00606E48"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序号</w:t>
            </w:r>
          </w:p>
        </w:tc>
        <w:tc>
          <w:tcPr>
            <w:tcW w:w="498" w:type="pct"/>
            <w:vAlign w:val="center"/>
          </w:tcPr>
          <w:p w:rsidR="004E3021" w:rsidRPr="00DE2F8A" w:rsidRDefault="00606E48"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危险单元</w:t>
            </w:r>
          </w:p>
        </w:tc>
        <w:tc>
          <w:tcPr>
            <w:tcW w:w="715" w:type="pct"/>
            <w:vAlign w:val="center"/>
          </w:tcPr>
          <w:p w:rsidR="004E3021" w:rsidRPr="00DE2F8A" w:rsidRDefault="00606E48"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风险源</w:t>
            </w:r>
          </w:p>
        </w:tc>
        <w:tc>
          <w:tcPr>
            <w:tcW w:w="857" w:type="pct"/>
            <w:vAlign w:val="center"/>
          </w:tcPr>
          <w:p w:rsidR="004E3021" w:rsidRPr="00DE2F8A" w:rsidRDefault="00606E48"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主要危险物质</w:t>
            </w:r>
          </w:p>
        </w:tc>
        <w:tc>
          <w:tcPr>
            <w:tcW w:w="779" w:type="pct"/>
            <w:vAlign w:val="center"/>
          </w:tcPr>
          <w:p w:rsidR="004E3021" w:rsidRPr="00DE2F8A" w:rsidRDefault="00606E48"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环境风险类型</w:t>
            </w:r>
          </w:p>
        </w:tc>
        <w:tc>
          <w:tcPr>
            <w:tcW w:w="1017" w:type="pct"/>
            <w:vAlign w:val="center"/>
          </w:tcPr>
          <w:p w:rsidR="004E3021" w:rsidRPr="00DE2F8A" w:rsidRDefault="00606E48"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环境影响途径</w:t>
            </w:r>
          </w:p>
        </w:tc>
        <w:tc>
          <w:tcPr>
            <w:tcW w:w="855" w:type="pct"/>
            <w:vAlign w:val="center"/>
          </w:tcPr>
          <w:p w:rsidR="004E3021" w:rsidRPr="00DE2F8A" w:rsidRDefault="00606E48"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可能受影响的环境敏感目标</w:t>
            </w:r>
          </w:p>
        </w:tc>
      </w:tr>
      <w:tr w:rsidR="004E3021" w:rsidRPr="00DE2F8A" w:rsidTr="00DE2F8A">
        <w:tc>
          <w:tcPr>
            <w:tcW w:w="279" w:type="pct"/>
            <w:vAlign w:val="center"/>
          </w:tcPr>
          <w:p w:rsidR="004E3021" w:rsidRPr="00DE2F8A" w:rsidRDefault="00606E48"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1</w:t>
            </w:r>
          </w:p>
        </w:tc>
        <w:tc>
          <w:tcPr>
            <w:tcW w:w="498" w:type="pct"/>
            <w:vAlign w:val="center"/>
          </w:tcPr>
          <w:p w:rsidR="004E3021" w:rsidRPr="00DE2F8A" w:rsidRDefault="00606E48"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合成精馏偶联剂车间</w:t>
            </w:r>
          </w:p>
        </w:tc>
        <w:tc>
          <w:tcPr>
            <w:tcW w:w="715" w:type="pct"/>
            <w:vAlign w:val="center"/>
          </w:tcPr>
          <w:p w:rsidR="004E3021" w:rsidRPr="00DE2F8A" w:rsidRDefault="00DE2F8A" w:rsidP="00DE2F8A">
            <w:pPr>
              <w:widowControl/>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反应釜</w:t>
            </w:r>
            <w:r w:rsidR="00606E48" w:rsidRPr="00DE2F8A">
              <w:rPr>
                <w:rFonts w:ascii="Times New Roman" w:hAnsi="Times New Roman"/>
                <w:kern w:val="0"/>
                <w:sz w:val="21"/>
                <w:szCs w:val="21"/>
              </w:rPr>
              <w:t>、</w:t>
            </w:r>
            <w:r w:rsidRPr="00DE2F8A">
              <w:rPr>
                <w:rFonts w:ascii="Times New Roman" w:hAnsi="Times New Roman"/>
                <w:kern w:val="0"/>
                <w:sz w:val="21"/>
                <w:szCs w:val="21"/>
              </w:rPr>
              <w:t>水解釜、</w:t>
            </w:r>
            <w:r w:rsidR="00606E48" w:rsidRPr="00DE2F8A">
              <w:rPr>
                <w:rFonts w:ascii="Times New Roman" w:hAnsi="Times New Roman"/>
                <w:kern w:val="0"/>
                <w:sz w:val="21"/>
                <w:szCs w:val="21"/>
              </w:rPr>
              <w:t>精馏塔</w:t>
            </w:r>
          </w:p>
        </w:tc>
        <w:tc>
          <w:tcPr>
            <w:tcW w:w="857" w:type="pct"/>
            <w:vAlign w:val="center"/>
          </w:tcPr>
          <w:p w:rsidR="004E3021" w:rsidRPr="00DE2F8A" w:rsidRDefault="00606E48"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甲醇等有机物</w:t>
            </w:r>
            <w:r w:rsidR="00D63FD0">
              <w:rPr>
                <w:rFonts w:ascii="Times New Roman" w:hAnsi="Times New Roman" w:hint="eastAsia"/>
                <w:kern w:val="0"/>
                <w:sz w:val="21"/>
                <w:szCs w:val="21"/>
              </w:rPr>
              <w:t>、氨气</w:t>
            </w:r>
          </w:p>
        </w:tc>
        <w:tc>
          <w:tcPr>
            <w:tcW w:w="779" w:type="pct"/>
            <w:vAlign w:val="center"/>
          </w:tcPr>
          <w:p w:rsidR="004E3021" w:rsidRPr="00DE2F8A" w:rsidRDefault="00606E48"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泄漏、火灾</w:t>
            </w:r>
          </w:p>
        </w:tc>
        <w:tc>
          <w:tcPr>
            <w:tcW w:w="1017" w:type="pct"/>
            <w:vMerge w:val="restart"/>
            <w:vAlign w:val="center"/>
          </w:tcPr>
          <w:p w:rsidR="004E3021" w:rsidRPr="00DE2F8A" w:rsidRDefault="00606E48"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大气污染排放造成中毒等</w:t>
            </w:r>
          </w:p>
        </w:tc>
        <w:tc>
          <w:tcPr>
            <w:tcW w:w="855" w:type="pct"/>
            <w:vMerge w:val="restart"/>
            <w:vAlign w:val="center"/>
          </w:tcPr>
          <w:p w:rsidR="004E3021" w:rsidRPr="00DE2F8A" w:rsidRDefault="00606E48"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周边</w:t>
            </w:r>
            <w:r w:rsidRPr="00DE2F8A">
              <w:rPr>
                <w:rFonts w:ascii="Times New Roman" w:hAnsi="Times New Roman"/>
                <w:kern w:val="0"/>
                <w:sz w:val="21"/>
                <w:szCs w:val="21"/>
              </w:rPr>
              <w:t>5km</w:t>
            </w:r>
            <w:r w:rsidRPr="00DE2F8A">
              <w:rPr>
                <w:rFonts w:ascii="Times New Roman" w:hAnsi="Times New Roman"/>
                <w:kern w:val="0"/>
                <w:sz w:val="21"/>
                <w:szCs w:val="21"/>
              </w:rPr>
              <w:t>大气环境</w:t>
            </w:r>
          </w:p>
        </w:tc>
      </w:tr>
      <w:tr w:rsidR="004E3021" w:rsidRPr="00DE2F8A" w:rsidTr="00DE2F8A">
        <w:tc>
          <w:tcPr>
            <w:tcW w:w="279" w:type="pct"/>
            <w:vAlign w:val="center"/>
          </w:tcPr>
          <w:p w:rsidR="004E3021" w:rsidRPr="00DE2F8A" w:rsidRDefault="00606E48"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2</w:t>
            </w:r>
          </w:p>
        </w:tc>
        <w:tc>
          <w:tcPr>
            <w:tcW w:w="498" w:type="pct"/>
            <w:vAlign w:val="center"/>
          </w:tcPr>
          <w:p w:rsidR="004E3021" w:rsidRPr="00DE2F8A" w:rsidRDefault="00D63FD0" w:rsidP="00DE2F8A">
            <w:pPr>
              <w:widowControl/>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乙炔车间</w:t>
            </w:r>
          </w:p>
        </w:tc>
        <w:tc>
          <w:tcPr>
            <w:tcW w:w="715" w:type="pct"/>
            <w:vAlign w:val="center"/>
          </w:tcPr>
          <w:p w:rsidR="004E3021" w:rsidRPr="00DE2F8A" w:rsidRDefault="00D63FD0" w:rsidP="00DE2F8A">
            <w:pPr>
              <w:widowControl/>
              <w:spacing w:line="360" w:lineRule="exact"/>
              <w:ind w:firstLineChars="0" w:firstLine="0"/>
              <w:jc w:val="center"/>
              <w:rPr>
                <w:rFonts w:ascii="Times New Roman" w:hAnsi="Times New Roman"/>
                <w:kern w:val="0"/>
                <w:sz w:val="21"/>
                <w:szCs w:val="21"/>
              </w:rPr>
            </w:pPr>
            <w:r w:rsidRPr="00317CE1">
              <w:rPr>
                <w:color w:val="000000"/>
                <w:kern w:val="0"/>
                <w:sz w:val="21"/>
                <w:szCs w:val="21"/>
                <w:lang w:bidi="ar"/>
              </w:rPr>
              <w:t>乙炔密闭式发生器</w:t>
            </w:r>
            <w:r>
              <w:rPr>
                <w:rFonts w:hint="eastAsia"/>
                <w:color w:val="000000"/>
                <w:kern w:val="0"/>
                <w:sz w:val="21"/>
                <w:szCs w:val="21"/>
                <w:lang w:bidi="ar"/>
              </w:rPr>
              <w:t>、气柜等</w:t>
            </w:r>
          </w:p>
        </w:tc>
        <w:tc>
          <w:tcPr>
            <w:tcW w:w="857" w:type="pct"/>
            <w:vAlign w:val="center"/>
          </w:tcPr>
          <w:p w:rsidR="004E3021" w:rsidRPr="00DE2F8A" w:rsidRDefault="00D63FD0" w:rsidP="00DE2F8A">
            <w:pPr>
              <w:widowControl/>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乙炔</w:t>
            </w:r>
          </w:p>
        </w:tc>
        <w:tc>
          <w:tcPr>
            <w:tcW w:w="779" w:type="pct"/>
            <w:vAlign w:val="center"/>
          </w:tcPr>
          <w:p w:rsidR="004E3021" w:rsidRPr="00DE2F8A" w:rsidRDefault="00606E48" w:rsidP="00DE2F8A">
            <w:pPr>
              <w:widowControl/>
              <w:spacing w:line="360" w:lineRule="exact"/>
              <w:ind w:firstLineChars="0" w:firstLine="0"/>
              <w:jc w:val="center"/>
              <w:rPr>
                <w:rFonts w:ascii="Times New Roman" w:hAnsi="Times New Roman"/>
                <w:kern w:val="0"/>
                <w:sz w:val="21"/>
                <w:szCs w:val="21"/>
              </w:rPr>
            </w:pPr>
            <w:r w:rsidRPr="00DE2F8A">
              <w:rPr>
                <w:rFonts w:ascii="Times New Roman" w:hAnsi="Times New Roman"/>
                <w:kern w:val="0"/>
                <w:sz w:val="21"/>
                <w:szCs w:val="21"/>
              </w:rPr>
              <w:t>泄漏、火灾</w:t>
            </w:r>
          </w:p>
        </w:tc>
        <w:tc>
          <w:tcPr>
            <w:tcW w:w="1017" w:type="pct"/>
            <w:vMerge/>
            <w:vAlign w:val="center"/>
          </w:tcPr>
          <w:p w:rsidR="004E3021" w:rsidRPr="00DE2F8A" w:rsidRDefault="004E3021" w:rsidP="00DE2F8A">
            <w:pPr>
              <w:widowControl/>
              <w:spacing w:line="360" w:lineRule="exact"/>
              <w:ind w:firstLineChars="0" w:firstLine="0"/>
              <w:jc w:val="center"/>
              <w:rPr>
                <w:rFonts w:ascii="Times New Roman" w:hAnsi="Times New Roman"/>
                <w:kern w:val="0"/>
                <w:sz w:val="21"/>
                <w:szCs w:val="21"/>
              </w:rPr>
            </w:pPr>
          </w:p>
        </w:tc>
        <w:tc>
          <w:tcPr>
            <w:tcW w:w="855" w:type="pct"/>
            <w:vMerge/>
            <w:vAlign w:val="center"/>
          </w:tcPr>
          <w:p w:rsidR="004E3021" w:rsidRPr="00DE2F8A" w:rsidRDefault="004E3021" w:rsidP="00DE2F8A">
            <w:pPr>
              <w:widowControl/>
              <w:spacing w:line="360" w:lineRule="exact"/>
              <w:ind w:firstLineChars="0" w:firstLine="0"/>
              <w:jc w:val="center"/>
              <w:rPr>
                <w:rFonts w:ascii="Times New Roman" w:hAnsi="Times New Roman"/>
                <w:kern w:val="0"/>
                <w:sz w:val="21"/>
                <w:szCs w:val="21"/>
              </w:rPr>
            </w:pPr>
          </w:p>
        </w:tc>
      </w:tr>
    </w:tbl>
    <w:p w:rsidR="004E3021" w:rsidRDefault="00606E48">
      <w:pPr>
        <w:ind w:firstLine="480"/>
      </w:pPr>
      <w:r>
        <w:rPr>
          <w:rFonts w:ascii="宋体" w:hAnsi="宋体" w:hint="eastAsia"/>
        </w:rPr>
        <w:t>（</w:t>
      </w:r>
      <w:r>
        <w:rPr>
          <w:rFonts w:hint="eastAsia"/>
        </w:rPr>
        <w:t>2</w:t>
      </w:r>
      <w:r>
        <w:rPr>
          <w:rFonts w:ascii="宋体" w:hAnsi="宋体" w:hint="eastAsia"/>
        </w:rPr>
        <w:t>）储运设施</w:t>
      </w:r>
    </w:p>
    <w:p w:rsidR="004E3021" w:rsidRDefault="00606E48">
      <w:pPr>
        <w:ind w:firstLine="480"/>
      </w:pPr>
      <w:r>
        <w:rPr>
          <w:rFonts w:ascii="宋体" w:hAnsi="宋体"/>
        </w:rPr>
        <w:t>本项目设有罐区</w:t>
      </w:r>
      <w:r>
        <w:rPr>
          <w:rFonts w:ascii="宋体" w:hAnsi="宋体" w:hint="eastAsia"/>
        </w:rPr>
        <w:t>和</w:t>
      </w:r>
      <w:r>
        <w:rPr>
          <w:rFonts w:ascii="宋体" w:hAnsi="宋体"/>
        </w:rPr>
        <w:t>仓库。储存的物料多为易燃易爆、有毒物质，物料泄漏后可能会造成人员中毒事故，若遇明火还会进一步发生火灾爆炸事故次生环境污染。</w:t>
      </w:r>
    </w:p>
    <w:p w:rsidR="004E3021" w:rsidRDefault="00606E48">
      <w:pPr>
        <w:ind w:firstLine="480"/>
      </w:pPr>
      <w:r>
        <w:rPr>
          <w:rFonts w:ascii="宋体" w:hAnsi="宋体"/>
        </w:rPr>
        <w:t>经分析储运设施可能发生的潜在突发环境事件类型见</w:t>
      </w:r>
      <w:r>
        <w:rPr>
          <w:rFonts w:ascii="宋体" w:hAnsi="宋体" w:hint="eastAsia"/>
        </w:rPr>
        <w:t>表</w:t>
      </w:r>
      <w:r>
        <w:t>5.6.3-3</w:t>
      </w:r>
      <w:r>
        <w:rPr>
          <w:rFonts w:ascii="宋体" w:hAnsi="宋体"/>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rPr>
        <w:t>5</w:t>
      </w:r>
      <w:r>
        <w:rPr>
          <w:rFonts w:eastAsia="黑体" w:hint="eastAsia"/>
        </w:rPr>
        <w:t>.</w:t>
      </w:r>
      <w:r>
        <w:rPr>
          <w:rFonts w:eastAsia="黑体"/>
        </w:rPr>
        <w:t xml:space="preserve">6.3-3  </w:t>
      </w:r>
      <w:r>
        <w:rPr>
          <w:rFonts w:ascii="黑体" w:eastAsia="黑体" w:hAnsi="黑体" w:hint="eastAsia"/>
        </w:rPr>
        <w:t>储运设施</w:t>
      </w:r>
      <w:r>
        <w:rPr>
          <w:rFonts w:ascii="黑体" w:eastAsia="黑体" w:hAnsi="黑体"/>
        </w:rPr>
        <w:t>环境风险识别表</w:t>
      </w:r>
    </w:p>
    <w:tbl>
      <w:tblPr>
        <w:tblW w:w="9071" w:type="dxa"/>
        <w:jc w:val="center"/>
        <w:tblBorders>
          <w:top w:val="single" w:sz="12" w:space="0" w:color="auto"/>
          <w:bottom w:val="single" w:sz="12"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428"/>
        <w:gridCol w:w="1027"/>
        <w:gridCol w:w="1052"/>
        <w:gridCol w:w="1746"/>
        <w:gridCol w:w="992"/>
        <w:gridCol w:w="1559"/>
        <w:gridCol w:w="2267"/>
      </w:tblGrid>
      <w:tr w:rsidR="004E3021" w:rsidRPr="00D63FD0" w:rsidTr="00D63FD0">
        <w:trPr>
          <w:cantSplit/>
          <w:trHeight w:val="20"/>
          <w:jc w:val="center"/>
        </w:trPr>
        <w:tc>
          <w:tcPr>
            <w:tcW w:w="428" w:type="dxa"/>
            <w:tcBorders>
              <w:top w:val="single" w:sz="12" w:space="0" w:color="auto"/>
              <w:left w:val="nil"/>
              <w:bottom w:val="single" w:sz="4" w:space="0" w:color="auto"/>
              <w:right w:val="single" w:sz="4" w:space="0" w:color="auto"/>
            </w:tcBorders>
            <w:vAlign w:val="center"/>
          </w:tcPr>
          <w:p w:rsidR="004E3021" w:rsidRPr="00D63FD0" w:rsidRDefault="00606E48">
            <w:pPr>
              <w:widowControl/>
              <w:spacing w:line="360" w:lineRule="exact"/>
              <w:ind w:firstLineChars="0" w:firstLine="0"/>
              <w:jc w:val="center"/>
              <w:rPr>
                <w:b/>
                <w:sz w:val="21"/>
                <w:szCs w:val="21"/>
              </w:rPr>
            </w:pPr>
            <w:r w:rsidRPr="00D63FD0">
              <w:rPr>
                <w:rFonts w:ascii="宋体" w:hAnsi="宋体"/>
                <w:b/>
                <w:sz w:val="21"/>
                <w:szCs w:val="21"/>
              </w:rPr>
              <w:t>序号</w:t>
            </w:r>
          </w:p>
        </w:tc>
        <w:tc>
          <w:tcPr>
            <w:tcW w:w="1027" w:type="dxa"/>
            <w:tcBorders>
              <w:top w:val="single" w:sz="12" w:space="0" w:color="auto"/>
              <w:left w:val="single" w:sz="4" w:space="0" w:color="auto"/>
              <w:bottom w:val="single" w:sz="4" w:space="0" w:color="auto"/>
              <w:right w:val="single" w:sz="4" w:space="0" w:color="auto"/>
            </w:tcBorders>
            <w:vAlign w:val="center"/>
          </w:tcPr>
          <w:p w:rsidR="004E3021" w:rsidRPr="00D63FD0" w:rsidRDefault="00606E48">
            <w:pPr>
              <w:widowControl/>
              <w:spacing w:line="360" w:lineRule="exact"/>
              <w:ind w:firstLineChars="0" w:firstLine="0"/>
              <w:jc w:val="center"/>
              <w:rPr>
                <w:b/>
                <w:sz w:val="21"/>
                <w:szCs w:val="21"/>
              </w:rPr>
            </w:pPr>
            <w:r w:rsidRPr="00D63FD0">
              <w:rPr>
                <w:rFonts w:ascii="宋体" w:hAnsi="宋体"/>
                <w:b/>
                <w:sz w:val="21"/>
                <w:szCs w:val="21"/>
              </w:rPr>
              <w:t>危险单元</w:t>
            </w:r>
          </w:p>
        </w:tc>
        <w:tc>
          <w:tcPr>
            <w:tcW w:w="1052" w:type="dxa"/>
            <w:tcBorders>
              <w:top w:val="single" w:sz="12" w:space="0" w:color="auto"/>
              <w:left w:val="single" w:sz="4" w:space="0" w:color="auto"/>
              <w:bottom w:val="single" w:sz="4" w:space="0" w:color="auto"/>
              <w:right w:val="single" w:sz="4" w:space="0" w:color="auto"/>
            </w:tcBorders>
            <w:vAlign w:val="center"/>
          </w:tcPr>
          <w:p w:rsidR="004E3021" w:rsidRPr="00D63FD0" w:rsidRDefault="00606E48">
            <w:pPr>
              <w:widowControl/>
              <w:spacing w:line="360" w:lineRule="exact"/>
              <w:ind w:firstLineChars="0" w:firstLine="0"/>
              <w:jc w:val="center"/>
              <w:rPr>
                <w:b/>
                <w:sz w:val="21"/>
                <w:szCs w:val="21"/>
              </w:rPr>
            </w:pPr>
            <w:r w:rsidRPr="00D63FD0">
              <w:rPr>
                <w:rFonts w:ascii="宋体" w:hAnsi="宋体"/>
                <w:b/>
                <w:sz w:val="21"/>
                <w:szCs w:val="21"/>
              </w:rPr>
              <w:t>风险源</w:t>
            </w:r>
          </w:p>
        </w:tc>
        <w:tc>
          <w:tcPr>
            <w:tcW w:w="1746" w:type="dxa"/>
            <w:tcBorders>
              <w:top w:val="single" w:sz="12" w:space="0" w:color="auto"/>
              <w:left w:val="single" w:sz="4" w:space="0" w:color="auto"/>
              <w:bottom w:val="single" w:sz="4" w:space="0" w:color="auto"/>
              <w:right w:val="single" w:sz="4" w:space="0" w:color="auto"/>
            </w:tcBorders>
            <w:vAlign w:val="center"/>
          </w:tcPr>
          <w:p w:rsidR="004E3021" w:rsidRPr="00D63FD0" w:rsidRDefault="00606E48">
            <w:pPr>
              <w:widowControl/>
              <w:spacing w:line="360" w:lineRule="exact"/>
              <w:ind w:firstLineChars="0" w:firstLine="0"/>
              <w:jc w:val="center"/>
              <w:rPr>
                <w:b/>
                <w:sz w:val="21"/>
                <w:szCs w:val="21"/>
              </w:rPr>
            </w:pPr>
            <w:r w:rsidRPr="00D63FD0">
              <w:rPr>
                <w:rFonts w:ascii="宋体" w:hAnsi="宋体"/>
                <w:b/>
                <w:sz w:val="21"/>
                <w:szCs w:val="21"/>
              </w:rPr>
              <w:t>主要危险物质</w:t>
            </w:r>
          </w:p>
        </w:tc>
        <w:tc>
          <w:tcPr>
            <w:tcW w:w="992" w:type="dxa"/>
            <w:tcBorders>
              <w:top w:val="single" w:sz="12" w:space="0" w:color="auto"/>
              <w:left w:val="single" w:sz="4" w:space="0" w:color="auto"/>
              <w:bottom w:val="single" w:sz="4" w:space="0" w:color="auto"/>
              <w:right w:val="single" w:sz="4" w:space="0" w:color="auto"/>
            </w:tcBorders>
            <w:vAlign w:val="center"/>
          </w:tcPr>
          <w:p w:rsidR="004E3021" w:rsidRPr="00D63FD0" w:rsidRDefault="00606E48">
            <w:pPr>
              <w:widowControl/>
              <w:spacing w:line="360" w:lineRule="exact"/>
              <w:ind w:firstLineChars="0" w:firstLine="0"/>
              <w:jc w:val="center"/>
              <w:rPr>
                <w:b/>
                <w:sz w:val="21"/>
                <w:szCs w:val="21"/>
              </w:rPr>
            </w:pPr>
            <w:r w:rsidRPr="00D63FD0">
              <w:rPr>
                <w:rFonts w:ascii="宋体" w:hAnsi="宋体"/>
                <w:b/>
                <w:sz w:val="21"/>
                <w:szCs w:val="21"/>
              </w:rPr>
              <w:t>环境风险类型</w:t>
            </w:r>
          </w:p>
        </w:tc>
        <w:tc>
          <w:tcPr>
            <w:tcW w:w="1559" w:type="dxa"/>
            <w:tcBorders>
              <w:top w:val="single" w:sz="12" w:space="0" w:color="auto"/>
              <w:left w:val="single" w:sz="4" w:space="0" w:color="auto"/>
              <w:bottom w:val="single" w:sz="4" w:space="0" w:color="auto"/>
              <w:right w:val="single" w:sz="4" w:space="0" w:color="auto"/>
            </w:tcBorders>
            <w:vAlign w:val="center"/>
          </w:tcPr>
          <w:p w:rsidR="004E3021" w:rsidRPr="00D63FD0" w:rsidRDefault="00606E48">
            <w:pPr>
              <w:widowControl/>
              <w:spacing w:line="360" w:lineRule="exact"/>
              <w:ind w:firstLineChars="0" w:firstLine="0"/>
              <w:jc w:val="center"/>
              <w:rPr>
                <w:b/>
                <w:sz w:val="21"/>
                <w:szCs w:val="21"/>
              </w:rPr>
            </w:pPr>
            <w:r w:rsidRPr="00D63FD0">
              <w:rPr>
                <w:rFonts w:ascii="宋体" w:hAnsi="宋体"/>
                <w:b/>
                <w:sz w:val="21"/>
                <w:szCs w:val="21"/>
              </w:rPr>
              <w:t>环境影响途径</w:t>
            </w:r>
          </w:p>
        </w:tc>
        <w:tc>
          <w:tcPr>
            <w:tcW w:w="2267" w:type="dxa"/>
            <w:tcBorders>
              <w:top w:val="single" w:sz="12" w:space="0" w:color="auto"/>
              <w:left w:val="single" w:sz="4" w:space="0" w:color="auto"/>
              <w:bottom w:val="single" w:sz="4" w:space="0" w:color="auto"/>
              <w:right w:val="nil"/>
            </w:tcBorders>
            <w:vAlign w:val="center"/>
          </w:tcPr>
          <w:p w:rsidR="004E3021" w:rsidRPr="00D63FD0" w:rsidRDefault="00606E48">
            <w:pPr>
              <w:widowControl/>
              <w:spacing w:line="360" w:lineRule="exact"/>
              <w:ind w:firstLineChars="0" w:firstLine="0"/>
              <w:jc w:val="center"/>
              <w:rPr>
                <w:b/>
                <w:sz w:val="21"/>
                <w:szCs w:val="21"/>
              </w:rPr>
            </w:pPr>
            <w:r w:rsidRPr="00D63FD0">
              <w:rPr>
                <w:rFonts w:ascii="宋体" w:hAnsi="宋体"/>
                <w:b/>
                <w:sz w:val="21"/>
                <w:szCs w:val="21"/>
              </w:rPr>
              <w:t>可能受影响的环境敏感目标</w:t>
            </w:r>
          </w:p>
        </w:tc>
      </w:tr>
      <w:tr w:rsidR="004E3021" w:rsidRPr="00D63FD0" w:rsidTr="007566DC">
        <w:trPr>
          <w:cantSplit/>
          <w:trHeight w:val="1819"/>
          <w:jc w:val="center"/>
        </w:trPr>
        <w:tc>
          <w:tcPr>
            <w:tcW w:w="428" w:type="dxa"/>
            <w:tcBorders>
              <w:top w:val="single" w:sz="4" w:space="0" w:color="auto"/>
              <w:left w:val="nil"/>
              <w:bottom w:val="single" w:sz="4" w:space="0" w:color="auto"/>
              <w:right w:val="single" w:sz="4" w:space="0" w:color="auto"/>
            </w:tcBorders>
            <w:vAlign w:val="center"/>
          </w:tcPr>
          <w:p w:rsidR="004E3021" w:rsidRPr="00D63FD0" w:rsidRDefault="00606E48">
            <w:pPr>
              <w:widowControl/>
              <w:spacing w:line="360" w:lineRule="exact"/>
              <w:ind w:firstLineChars="0" w:firstLine="0"/>
              <w:jc w:val="center"/>
              <w:rPr>
                <w:sz w:val="21"/>
                <w:szCs w:val="21"/>
              </w:rPr>
            </w:pPr>
            <w:r w:rsidRPr="00D63FD0">
              <w:rPr>
                <w:sz w:val="21"/>
                <w:szCs w:val="21"/>
              </w:rPr>
              <w:t>1</w:t>
            </w:r>
          </w:p>
        </w:tc>
        <w:tc>
          <w:tcPr>
            <w:tcW w:w="1027" w:type="dxa"/>
            <w:tcBorders>
              <w:top w:val="single" w:sz="4" w:space="0" w:color="auto"/>
              <w:left w:val="single" w:sz="4" w:space="0" w:color="auto"/>
              <w:bottom w:val="single" w:sz="4" w:space="0" w:color="auto"/>
              <w:right w:val="single" w:sz="4" w:space="0" w:color="auto"/>
            </w:tcBorders>
            <w:vAlign w:val="center"/>
          </w:tcPr>
          <w:p w:rsidR="004E3021" w:rsidRPr="00D63FD0" w:rsidRDefault="00606E48">
            <w:pPr>
              <w:widowControl/>
              <w:spacing w:line="360" w:lineRule="exact"/>
              <w:ind w:firstLineChars="0" w:firstLine="0"/>
              <w:jc w:val="center"/>
              <w:rPr>
                <w:sz w:val="21"/>
                <w:szCs w:val="21"/>
              </w:rPr>
            </w:pPr>
            <w:r w:rsidRPr="00D63FD0">
              <w:rPr>
                <w:rFonts w:ascii="宋体" w:hAnsi="宋体"/>
                <w:sz w:val="21"/>
                <w:szCs w:val="21"/>
              </w:rPr>
              <w:t>储罐</w:t>
            </w:r>
          </w:p>
        </w:tc>
        <w:tc>
          <w:tcPr>
            <w:tcW w:w="1052" w:type="dxa"/>
            <w:tcBorders>
              <w:top w:val="single" w:sz="4" w:space="0" w:color="auto"/>
              <w:left w:val="single" w:sz="4" w:space="0" w:color="auto"/>
              <w:bottom w:val="single" w:sz="4" w:space="0" w:color="auto"/>
              <w:right w:val="single" w:sz="4" w:space="0" w:color="auto"/>
            </w:tcBorders>
            <w:vAlign w:val="center"/>
          </w:tcPr>
          <w:p w:rsidR="004E3021" w:rsidRPr="00D63FD0" w:rsidRDefault="00606E48">
            <w:pPr>
              <w:widowControl/>
              <w:spacing w:line="360" w:lineRule="exact"/>
              <w:ind w:firstLineChars="0" w:firstLine="0"/>
              <w:jc w:val="center"/>
              <w:rPr>
                <w:sz w:val="21"/>
                <w:szCs w:val="21"/>
              </w:rPr>
            </w:pPr>
            <w:r w:rsidRPr="00D63FD0">
              <w:rPr>
                <w:rFonts w:ascii="宋体" w:hAnsi="宋体"/>
                <w:sz w:val="21"/>
                <w:szCs w:val="21"/>
              </w:rPr>
              <w:t>储罐</w:t>
            </w:r>
          </w:p>
        </w:tc>
        <w:tc>
          <w:tcPr>
            <w:tcW w:w="1746" w:type="dxa"/>
            <w:tcBorders>
              <w:top w:val="single" w:sz="4" w:space="0" w:color="auto"/>
              <w:left w:val="single" w:sz="4" w:space="0" w:color="auto"/>
              <w:bottom w:val="single" w:sz="4" w:space="0" w:color="auto"/>
              <w:right w:val="single" w:sz="4" w:space="0" w:color="auto"/>
            </w:tcBorders>
            <w:vAlign w:val="center"/>
          </w:tcPr>
          <w:p w:rsidR="004E3021" w:rsidRPr="00D63FD0" w:rsidRDefault="00606E48" w:rsidP="00D63FD0">
            <w:pPr>
              <w:widowControl/>
              <w:spacing w:line="360" w:lineRule="exact"/>
              <w:ind w:firstLineChars="0" w:firstLine="0"/>
              <w:jc w:val="center"/>
              <w:rPr>
                <w:sz w:val="21"/>
                <w:szCs w:val="21"/>
              </w:rPr>
            </w:pPr>
            <w:r w:rsidRPr="00D63FD0">
              <w:rPr>
                <w:rFonts w:ascii="宋体" w:hAnsi="宋体" w:hint="eastAsia"/>
                <w:sz w:val="21"/>
                <w:szCs w:val="21"/>
              </w:rPr>
              <w:t>甲醇、</w:t>
            </w:r>
            <w:r w:rsidRPr="00D63FD0">
              <w:rPr>
                <w:rFonts w:ascii="宋体" w:hAnsi="宋体"/>
                <w:sz w:val="21"/>
                <w:szCs w:val="21"/>
              </w:rPr>
              <w:t>氨水</w:t>
            </w:r>
            <w:r w:rsidRPr="00D63FD0">
              <w:rPr>
                <w:rFonts w:ascii="宋体" w:hAnsi="宋体" w:hint="eastAsia"/>
                <w:sz w:val="21"/>
                <w:szCs w:val="21"/>
              </w:rPr>
              <w:t>等</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4E3021" w:rsidRPr="00D63FD0" w:rsidRDefault="00606E48">
            <w:pPr>
              <w:widowControl/>
              <w:spacing w:line="360" w:lineRule="exact"/>
              <w:ind w:firstLineChars="0" w:firstLine="0"/>
              <w:jc w:val="center"/>
              <w:rPr>
                <w:sz w:val="21"/>
                <w:szCs w:val="21"/>
              </w:rPr>
            </w:pPr>
            <w:r w:rsidRPr="00D63FD0">
              <w:rPr>
                <w:rFonts w:ascii="宋体" w:hAnsi="宋体"/>
                <w:sz w:val="21"/>
                <w:szCs w:val="21"/>
              </w:rPr>
              <w:t>泄漏</w:t>
            </w:r>
            <w:r w:rsidRPr="00D63FD0">
              <w:rPr>
                <w:sz w:val="21"/>
                <w:szCs w:val="21"/>
              </w:rPr>
              <w:t>/</w:t>
            </w:r>
            <w:r w:rsidRPr="00D63FD0">
              <w:rPr>
                <w:rFonts w:ascii="宋体" w:hAnsi="宋体"/>
                <w:sz w:val="21"/>
                <w:szCs w:val="21"/>
              </w:rPr>
              <w:t>火灾爆炸引发的次生</w:t>
            </w:r>
            <w:r w:rsidRPr="00D63FD0">
              <w:rPr>
                <w:sz w:val="21"/>
                <w:szCs w:val="21"/>
              </w:rPr>
              <w:t>/</w:t>
            </w:r>
            <w:r w:rsidRPr="00D63FD0">
              <w:rPr>
                <w:rFonts w:ascii="宋体" w:hAnsi="宋体"/>
                <w:sz w:val="21"/>
                <w:szCs w:val="21"/>
              </w:rPr>
              <w:t>伴生污染物排放</w:t>
            </w:r>
          </w:p>
        </w:tc>
        <w:tc>
          <w:tcPr>
            <w:tcW w:w="1559" w:type="dxa"/>
            <w:vMerge w:val="restart"/>
            <w:tcBorders>
              <w:top w:val="single" w:sz="4" w:space="0" w:color="auto"/>
              <w:left w:val="single" w:sz="4" w:space="0" w:color="auto"/>
              <w:bottom w:val="single" w:sz="4" w:space="0" w:color="auto"/>
              <w:right w:val="single" w:sz="4" w:space="0" w:color="auto"/>
            </w:tcBorders>
            <w:vAlign w:val="center"/>
          </w:tcPr>
          <w:p w:rsidR="004E3021" w:rsidRPr="00D63FD0" w:rsidRDefault="00606E48">
            <w:pPr>
              <w:widowControl/>
              <w:spacing w:line="360" w:lineRule="exact"/>
              <w:ind w:firstLineChars="0" w:firstLine="0"/>
              <w:jc w:val="center"/>
              <w:rPr>
                <w:sz w:val="21"/>
                <w:szCs w:val="21"/>
              </w:rPr>
            </w:pPr>
            <w:r w:rsidRPr="00D63FD0">
              <w:rPr>
                <w:rFonts w:ascii="宋体" w:hAnsi="宋体"/>
                <w:sz w:val="21"/>
                <w:szCs w:val="21"/>
              </w:rPr>
              <w:t>大气污染或废液进入雨水管网造成水体污染以及泄漏造成的土壤及地下水污染</w:t>
            </w:r>
          </w:p>
        </w:tc>
        <w:tc>
          <w:tcPr>
            <w:tcW w:w="2267" w:type="dxa"/>
            <w:vMerge w:val="restart"/>
            <w:tcBorders>
              <w:top w:val="single" w:sz="4" w:space="0" w:color="auto"/>
              <w:left w:val="single" w:sz="4" w:space="0" w:color="auto"/>
              <w:bottom w:val="single" w:sz="4" w:space="0" w:color="auto"/>
              <w:right w:val="nil"/>
            </w:tcBorders>
            <w:vAlign w:val="center"/>
          </w:tcPr>
          <w:p w:rsidR="004E3021" w:rsidRPr="00D63FD0" w:rsidRDefault="00606E48">
            <w:pPr>
              <w:widowControl/>
              <w:spacing w:line="360" w:lineRule="exact"/>
              <w:ind w:firstLineChars="0" w:firstLine="0"/>
              <w:jc w:val="center"/>
              <w:rPr>
                <w:b/>
                <w:sz w:val="21"/>
                <w:szCs w:val="21"/>
              </w:rPr>
            </w:pPr>
            <w:r w:rsidRPr="00D63FD0">
              <w:rPr>
                <w:rFonts w:ascii="宋体" w:hAnsi="宋体"/>
                <w:b/>
                <w:sz w:val="21"/>
                <w:szCs w:val="21"/>
              </w:rPr>
              <w:t>火灾爆炸事故：</w:t>
            </w:r>
          </w:p>
          <w:p w:rsidR="004E3021" w:rsidRPr="00D63FD0" w:rsidRDefault="00606E48">
            <w:pPr>
              <w:widowControl/>
              <w:spacing w:line="360" w:lineRule="exact"/>
              <w:ind w:firstLineChars="0" w:firstLine="0"/>
              <w:jc w:val="center"/>
              <w:rPr>
                <w:sz w:val="21"/>
                <w:szCs w:val="21"/>
              </w:rPr>
            </w:pPr>
            <w:r w:rsidRPr="00D63FD0">
              <w:rPr>
                <w:rFonts w:ascii="宋体" w:hAnsi="宋体"/>
                <w:sz w:val="21"/>
                <w:szCs w:val="21"/>
              </w:rPr>
              <w:t>产生的次生</w:t>
            </w:r>
            <w:r w:rsidRPr="00D63FD0">
              <w:rPr>
                <w:sz w:val="21"/>
                <w:szCs w:val="21"/>
              </w:rPr>
              <w:t>/</w:t>
            </w:r>
            <w:r w:rsidRPr="00D63FD0">
              <w:rPr>
                <w:rFonts w:ascii="宋体" w:hAnsi="宋体"/>
                <w:sz w:val="21"/>
                <w:szCs w:val="21"/>
              </w:rPr>
              <w:t>伴生污染物质可能影响厂内职工及下风向大气环境敏感目标</w:t>
            </w:r>
          </w:p>
          <w:p w:rsidR="004E3021" w:rsidRPr="00D63FD0" w:rsidRDefault="00606E48">
            <w:pPr>
              <w:widowControl/>
              <w:spacing w:line="360" w:lineRule="exact"/>
              <w:ind w:firstLineChars="0" w:firstLine="0"/>
              <w:jc w:val="center"/>
              <w:rPr>
                <w:b/>
                <w:sz w:val="21"/>
                <w:szCs w:val="21"/>
              </w:rPr>
            </w:pPr>
            <w:r w:rsidRPr="00D63FD0">
              <w:rPr>
                <w:rFonts w:ascii="宋体" w:hAnsi="宋体"/>
                <w:b/>
                <w:sz w:val="21"/>
                <w:szCs w:val="21"/>
              </w:rPr>
              <w:t>泄漏事故：</w:t>
            </w:r>
          </w:p>
          <w:p w:rsidR="004E3021" w:rsidRPr="00D63FD0" w:rsidRDefault="00606E48">
            <w:pPr>
              <w:widowControl/>
              <w:spacing w:line="360" w:lineRule="exact"/>
              <w:ind w:firstLineChars="0" w:firstLine="0"/>
              <w:jc w:val="center"/>
              <w:rPr>
                <w:sz w:val="21"/>
                <w:szCs w:val="21"/>
              </w:rPr>
            </w:pPr>
            <w:r w:rsidRPr="00D63FD0">
              <w:rPr>
                <w:rFonts w:ascii="宋体" w:hAnsi="宋体"/>
                <w:sz w:val="21"/>
                <w:szCs w:val="21"/>
              </w:rPr>
              <w:t>可能影响厂内土壤</w:t>
            </w:r>
          </w:p>
          <w:p w:rsidR="004E3021" w:rsidRPr="00D63FD0" w:rsidRDefault="00606E48">
            <w:pPr>
              <w:widowControl/>
              <w:spacing w:line="360" w:lineRule="exact"/>
              <w:ind w:firstLineChars="0" w:firstLine="0"/>
              <w:jc w:val="center"/>
              <w:rPr>
                <w:sz w:val="21"/>
                <w:szCs w:val="21"/>
              </w:rPr>
            </w:pPr>
            <w:r w:rsidRPr="00D63FD0">
              <w:rPr>
                <w:rFonts w:ascii="宋体" w:hAnsi="宋体"/>
                <w:sz w:val="21"/>
                <w:szCs w:val="21"/>
              </w:rPr>
              <w:t>废液进入雨水管网可能造成水体污染</w:t>
            </w:r>
          </w:p>
        </w:tc>
      </w:tr>
      <w:tr w:rsidR="004E3021" w:rsidRPr="00D63FD0" w:rsidTr="00D63FD0">
        <w:trPr>
          <w:cantSplit/>
          <w:trHeight w:val="20"/>
          <w:jc w:val="center"/>
        </w:trPr>
        <w:tc>
          <w:tcPr>
            <w:tcW w:w="428" w:type="dxa"/>
            <w:tcBorders>
              <w:top w:val="single" w:sz="4" w:space="0" w:color="auto"/>
              <w:left w:val="nil"/>
              <w:bottom w:val="single" w:sz="4" w:space="0" w:color="auto"/>
              <w:right w:val="single" w:sz="4" w:space="0" w:color="auto"/>
            </w:tcBorders>
            <w:vAlign w:val="center"/>
          </w:tcPr>
          <w:p w:rsidR="004E3021" w:rsidRPr="00D63FD0" w:rsidRDefault="00606E48">
            <w:pPr>
              <w:widowControl/>
              <w:spacing w:line="360" w:lineRule="exact"/>
              <w:ind w:firstLineChars="0" w:firstLine="0"/>
              <w:jc w:val="center"/>
              <w:rPr>
                <w:sz w:val="21"/>
                <w:szCs w:val="21"/>
              </w:rPr>
            </w:pPr>
            <w:r w:rsidRPr="00D63FD0">
              <w:rPr>
                <w:rFonts w:hint="eastAsia"/>
                <w:sz w:val="21"/>
                <w:szCs w:val="21"/>
              </w:rPr>
              <w:t>2</w:t>
            </w:r>
          </w:p>
        </w:tc>
        <w:tc>
          <w:tcPr>
            <w:tcW w:w="1027" w:type="dxa"/>
            <w:tcBorders>
              <w:top w:val="single" w:sz="4" w:space="0" w:color="auto"/>
              <w:left w:val="single" w:sz="4" w:space="0" w:color="auto"/>
              <w:bottom w:val="single" w:sz="4" w:space="0" w:color="auto"/>
              <w:right w:val="single" w:sz="4" w:space="0" w:color="auto"/>
            </w:tcBorders>
            <w:vAlign w:val="center"/>
          </w:tcPr>
          <w:p w:rsidR="004E3021" w:rsidRPr="00D63FD0" w:rsidRDefault="00606E48">
            <w:pPr>
              <w:widowControl/>
              <w:spacing w:line="360" w:lineRule="exact"/>
              <w:ind w:firstLineChars="0" w:firstLine="0"/>
              <w:jc w:val="center"/>
              <w:rPr>
                <w:sz w:val="21"/>
                <w:szCs w:val="21"/>
              </w:rPr>
            </w:pPr>
            <w:r w:rsidRPr="00D63FD0">
              <w:rPr>
                <w:rFonts w:ascii="宋体" w:hAnsi="宋体" w:hint="eastAsia"/>
                <w:sz w:val="21"/>
                <w:szCs w:val="21"/>
              </w:rPr>
              <w:t>危废库</w:t>
            </w:r>
          </w:p>
        </w:tc>
        <w:tc>
          <w:tcPr>
            <w:tcW w:w="1052" w:type="dxa"/>
            <w:tcBorders>
              <w:top w:val="single" w:sz="4" w:space="0" w:color="auto"/>
              <w:left w:val="single" w:sz="4" w:space="0" w:color="auto"/>
              <w:bottom w:val="single" w:sz="4" w:space="0" w:color="auto"/>
              <w:right w:val="single" w:sz="4" w:space="0" w:color="auto"/>
            </w:tcBorders>
            <w:vAlign w:val="center"/>
          </w:tcPr>
          <w:p w:rsidR="004E3021" w:rsidRPr="00D63FD0" w:rsidRDefault="00606E48">
            <w:pPr>
              <w:widowControl/>
              <w:spacing w:line="360" w:lineRule="exact"/>
              <w:ind w:firstLineChars="0" w:firstLine="0"/>
              <w:jc w:val="center"/>
              <w:rPr>
                <w:sz w:val="21"/>
                <w:szCs w:val="21"/>
              </w:rPr>
            </w:pPr>
            <w:r w:rsidRPr="00D63FD0">
              <w:rPr>
                <w:rFonts w:ascii="宋体" w:hAnsi="宋体" w:hint="eastAsia"/>
                <w:sz w:val="21"/>
                <w:szCs w:val="21"/>
              </w:rPr>
              <w:t>危险废物</w:t>
            </w:r>
          </w:p>
        </w:tc>
        <w:tc>
          <w:tcPr>
            <w:tcW w:w="1746" w:type="dxa"/>
            <w:tcBorders>
              <w:top w:val="single" w:sz="4" w:space="0" w:color="auto"/>
              <w:left w:val="single" w:sz="4" w:space="0" w:color="auto"/>
              <w:bottom w:val="single" w:sz="4" w:space="0" w:color="auto"/>
              <w:right w:val="single" w:sz="4" w:space="0" w:color="auto"/>
            </w:tcBorders>
            <w:vAlign w:val="center"/>
          </w:tcPr>
          <w:p w:rsidR="004E3021" w:rsidRPr="00D63FD0" w:rsidRDefault="00606E48">
            <w:pPr>
              <w:widowControl/>
              <w:spacing w:line="360" w:lineRule="exact"/>
              <w:ind w:firstLineChars="0" w:firstLine="0"/>
              <w:jc w:val="center"/>
              <w:rPr>
                <w:sz w:val="21"/>
                <w:szCs w:val="21"/>
              </w:rPr>
            </w:pPr>
            <w:r w:rsidRPr="00D63FD0">
              <w:rPr>
                <w:rFonts w:ascii="宋体" w:hAnsi="宋体" w:hint="eastAsia"/>
                <w:sz w:val="21"/>
                <w:szCs w:val="21"/>
              </w:rPr>
              <w:t>精馏残渣、</w:t>
            </w:r>
            <w:r w:rsidRPr="00D63FD0">
              <w:rPr>
                <w:rFonts w:ascii="宋体" w:hAnsi="宋体"/>
                <w:sz w:val="21"/>
                <w:szCs w:val="21"/>
              </w:rPr>
              <w:t>废催化剂</w:t>
            </w:r>
            <w:r w:rsidRPr="00D63FD0">
              <w:rPr>
                <w:rFonts w:ascii="宋体" w:hAnsi="宋体" w:hint="eastAsia"/>
                <w:sz w:val="21"/>
                <w:szCs w:val="21"/>
              </w:rPr>
              <w:t>、</w:t>
            </w:r>
            <w:r w:rsidRPr="00D63FD0">
              <w:rPr>
                <w:rFonts w:ascii="宋体" w:hAnsi="宋体"/>
                <w:sz w:val="21"/>
                <w:szCs w:val="21"/>
              </w:rPr>
              <w:t>实验室废物</w:t>
            </w:r>
            <w:r w:rsidRPr="00D63FD0">
              <w:rPr>
                <w:rFonts w:ascii="宋体" w:hAnsi="宋体" w:hint="eastAsia"/>
                <w:sz w:val="21"/>
                <w:szCs w:val="21"/>
              </w:rPr>
              <w:t>等</w:t>
            </w:r>
          </w:p>
        </w:tc>
        <w:tc>
          <w:tcPr>
            <w:tcW w:w="992" w:type="dxa"/>
            <w:vMerge/>
            <w:tcBorders>
              <w:top w:val="single" w:sz="4" w:space="0" w:color="auto"/>
              <w:left w:val="single" w:sz="4" w:space="0" w:color="auto"/>
              <w:bottom w:val="single" w:sz="4" w:space="0" w:color="auto"/>
              <w:right w:val="single" w:sz="4" w:space="0" w:color="auto"/>
            </w:tcBorders>
            <w:vAlign w:val="center"/>
          </w:tcPr>
          <w:p w:rsidR="004E3021" w:rsidRPr="00D63FD0" w:rsidRDefault="004E3021">
            <w:pPr>
              <w:widowControl/>
              <w:ind w:firstLineChars="0" w:firstLine="0"/>
              <w:jc w:val="left"/>
              <w:rPr>
                <w:sz w:val="21"/>
                <w:szCs w:val="21"/>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4E3021" w:rsidRPr="00D63FD0" w:rsidRDefault="004E3021">
            <w:pPr>
              <w:widowControl/>
              <w:ind w:firstLineChars="0" w:firstLine="0"/>
              <w:jc w:val="left"/>
              <w:rPr>
                <w:sz w:val="21"/>
                <w:szCs w:val="21"/>
              </w:rPr>
            </w:pPr>
          </w:p>
        </w:tc>
        <w:tc>
          <w:tcPr>
            <w:tcW w:w="2267" w:type="dxa"/>
            <w:vMerge/>
            <w:tcBorders>
              <w:top w:val="single" w:sz="4" w:space="0" w:color="auto"/>
              <w:left w:val="single" w:sz="4" w:space="0" w:color="auto"/>
              <w:bottom w:val="single" w:sz="4" w:space="0" w:color="auto"/>
              <w:right w:val="nil"/>
            </w:tcBorders>
            <w:vAlign w:val="center"/>
          </w:tcPr>
          <w:p w:rsidR="004E3021" w:rsidRPr="00D63FD0" w:rsidRDefault="004E3021">
            <w:pPr>
              <w:widowControl/>
              <w:ind w:firstLineChars="0" w:firstLine="0"/>
              <w:jc w:val="left"/>
              <w:rPr>
                <w:sz w:val="21"/>
                <w:szCs w:val="21"/>
              </w:rPr>
            </w:pPr>
          </w:p>
        </w:tc>
      </w:tr>
    </w:tbl>
    <w:p w:rsidR="004E3021" w:rsidRDefault="00606E48">
      <w:pPr>
        <w:ind w:firstLine="480"/>
      </w:pPr>
      <w:r>
        <w:rPr>
          <w:rFonts w:ascii="宋体" w:hAnsi="宋体" w:hint="eastAsia"/>
        </w:rPr>
        <w:t>（</w:t>
      </w:r>
      <w:r>
        <w:rPr>
          <w:rFonts w:hint="eastAsia"/>
        </w:rPr>
        <w:t>3</w:t>
      </w:r>
      <w:r>
        <w:rPr>
          <w:rFonts w:ascii="宋体" w:hAnsi="宋体" w:hint="eastAsia"/>
        </w:rPr>
        <w:t>）环保工程</w:t>
      </w:r>
    </w:p>
    <w:p w:rsidR="004E3021" w:rsidRDefault="00606E48">
      <w:pPr>
        <w:ind w:firstLine="480"/>
      </w:pPr>
      <w:r>
        <w:rPr>
          <w:rFonts w:ascii="宋体" w:hAnsi="宋体" w:hint="eastAsia"/>
        </w:rPr>
        <w:t>环保</w:t>
      </w:r>
      <w:r>
        <w:rPr>
          <w:rFonts w:ascii="宋体" w:hAnsi="宋体"/>
        </w:rPr>
        <w:t>工程若发生故障，</w:t>
      </w:r>
      <w:r>
        <w:rPr>
          <w:rFonts w:ascii="宋体" w:hAnsi="宋体" w:hint="eastAsia"/>
        </w:rPr>
        <w:t>可能</w:t>
      </w:r>
      <w:r>
        <w:rPr>
          <w:rFonts w:ascii="宋体" w:hAnsi="宋体"/>
        </w:rPr>
        <w:t>会造成污染物质未经处理直接排放</w:t>
      </w:r>
      <w:r>
        <w:rPr>
          <w:rFonts w:ascii="宋体" w:hAnsi="宋体" w:hint="eastAsia"/>
        </w:rPr>
        <w:t>。</w:t>
      </w:r>
      <w:r>
        <w:rPr>
          <w:rFonts w:ascii="宋体" w:hAnsi="宋体"/>
        </w:rPr>
        <w:t>本项目废气通过</w:t>
      </w:r>
      <w:r>
        <w:t>5</w:t>
      </w:r>
      <w:r>
        <w:rPr>
          <w:rFonts w:ascii="宋体" w:hAnsi="宋体" w:hint="eastAsia"/>
        </w:rPr>
        <w:t>处</w:t>
      </w:r>
      <w:r>
        <w:rPr>
          <w:rFonts w:ascii="宋体" w:hAnsi="宋体"/>
        </w:rPr>
        <w:t>废气处理系统排放，有火灾、泄漏中毒的潜在风险。</w:t>
      </w:r>
      <w:r>
        <w:rPr>
          <w:rFonts w:ascii="宋体" w:hAnsi="宋体" w:hint="eastAsia"/>
        </w:rPr>
        <w:t>本</w:t>
      </w:r>
      <w:r>
        <w:rPr>
          <w:rFonts w:ascii="宋体" w:hAnsi="宋体"/>
        </w:rPr>
        <w:t>项目污水处理</w:t>
      </w:r>
      <w:r>
        <w:rPr>
          <w:rFonts w:ascii="宋体" w:hAnsi="宋体" w:hint="eastAsia"/>
        </w:rPr>
        <w:t>站</w:t>
      </w:r>
      <w:r>
        <w:rPr>
          <w:rFonts w:ascii="宋体" w:hAnsi="宋体"/>
        </w:rPr>
        <w:t>，有</w:t>
      </w:r>
      <w:r>
        <w:rPr>
          <w:rFonts w:ascii="宋体" w:hAnsi="宋体" w:hint="eastAsia"/>
        </w:rPr>
        <w:t>泄漏中毒、</w:t>
      </w:r>
      <w:r>
        <w:rPr>
          <w:rFonts w:ascii="宋体" w:hAnsi="宋体"/>
        </w:rPr>
        <w:lastRenderedPageBreak/>
        <w:t>污染</w:t>
      </w:r>
      <w:r>
        <w:rPr>
          <w:rFonts w:ascii="宋体" w:hAnsi="宋体" w:hint="eastAsia"/>
        </w:rPr>
        <w:t>地表水体</w:t>
      </w:r>
      <w:r>
        <w:rPr>
          <w:rFonts w:ascii="宋体" w:hAnsi="宋体"/>
        </w:rPr>
        <w:t>、地下水体的潜在</w:t>
      </w:r>
      <w:r>
        <w:rPr>
          <w:rFonts w:ascii="宋体" w:hAnsi="宋体" w:hint="eastAsia"/>
        </w:rPr>
        <w:t>风险</w:t>
      </w:r>
      <w:r>
        <w:rPr>
          <w:rFonts w:ascii="宋体" w:hAnsi="宋体"/>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rPr>
        <w:t xml:space="preserve">5.6.3-4  </w:t>
      </w:r>
      <w:r>
        <w:rPr>
          <w:rFonts w:ascii="黑体" w:eastAsia="黑体" w:hAnsi="黑体" w:hint="eastAsia"/>
        </w:rPr>
        <w:t>环保</w:t>
      </w:r>
      <w:r>
        <w:rPr>
          <w:rFonts w:ascii="黑体" w:eastAsia="黑体" w:hAnsi="黑体"/>
        </w:rPr>
        <w:t>工程环境</w:t>
      </w:r>
      <w:r>
        <w:rPr>
          <w:rFonts w:ascii="黑体" w:eastAsia="黑体" w:hAnsi="黑体" w:hint="eastAsia"/>
        </w:rPr>
        <w:t>风险识别</w:t>
      </w:r>
      <w:r>
        <w:rPr>
          <w:rFonts w:ascii="黑体" w:eastAsia="黑体" w:hAnsi="黑体"/>
        </w:rPr>
        <w:t>表</w:t>
      </w:r>
    </w:p>
    <w:tbl>
      <w:tblPr>
        <w:tblStyle w:val="1ffffffd"/>
        <w:tblW w:w="5000" w:type="pct"/>
        <w:tblLook w:val="04A0" w:firstRow="1" w:lastRow="0" w:firstColumn="1" w:lastColumn="0" w:noHBand="0" w:noVBand="1"/>
      </w:tblPr>
      <w:tblGrid>
        <w:gridCol w:w="572"/>
        <w:gridCol w:w="608"/>
        <w:gridCol w:w="3214"/>
        <w:gridCol w:w="1136"/>
        <w:gridCol w:w="1415"/>
        <w:gridCol w:w="2082"/>
      </w:tblGrid>
      <w:tr w:rsidR="004E3021" w:rsidRPr="007566DC" w:rsidTr="00EE23FF">
        <w:tc>
          <w:tcPr>
            <w:tcW w:w="317" w:type="pct"/>
            <w:vAlign w:val="center"/>
          </w:tcPr>
          <w:p w:rsidR="004E3021" w:rsidRPr="007566DC" w:rsidRDefault="00606E48" w:rsidP="007566DC">
            <w:pPr>
              <w:widowControl/>
              <w:spacing w:line="360" w:lineRule="exact"/>
              <w:ind w:firstLineChars="0" w:firstLine="0"/>
              <w:jc w:val="center"/>
              <w:rPr>
                <w:rFonts w:ascii="Times New Roman" w:hAnsi="Times New Roman"/>
                <w:b/>
                <w:kern w:val="0"/>
                <w:sz w:val="21"/>
                <w:szCs w:val="21"/>
              </w:rPr>
            </w:pPr>
            <w:r w:rsidRPr="007566DC">
              <w:rPr>
                <w:rFonts w:ascii="Times New Roman" w:hAnsi="Times New Roman"/>
                <w:b/>
                <w:kern w:val="0"/>
                <w:sz w:val="21"/>
                <w:szCs w:val="21"/>
              </w:rPr>
              <w:t>序号</w:t>
            </w:r>
          </w:p>
        </w:tc>
        <w:tc>
          <w:tcPr>
            <w:tcW w:w="337" w:type="pct"/>
            <w:vAlign w:val="center"/>
          </w:tcPr>
          <w:p w:rsidR="004E3021" w:rsidRPr="007566DC" w:rsidRDefault="00606E48" w:rsidP="007566DC">
            <w:pPr>
              <w:widowControl/>
              <w:spacing w:line="360" w:lineRule="exact"/>
              <w:ind w:firstLineChars="0" w:firstLine="0"/>
              <w:jc w:val="center"/>
              <w:rPr>
                <w:rFonts w:ascii="Times New Roman" w:hAnsi="Times New Roman"/>
                <w:b/>
                <w:kern w:val="0"/>
                <w:sz w:val="21"/>
                <w:szCs w:val="21"/>
              </w:rPr>
            </w:pPr>
            <w:r w:rsidRPr="007566DC">
              <w:rPr>
                <w:rFonts w:ascii="Times New Roman" w:hAnsi="Times New Roman"/>
                <w:b/>
                <w:kern w:val="0"/>
                <w:sz w:val="21"/>
                <w:szCs w:val="21"/>
              </w:rPr>
              <w:t>危险单元</w:t>
            </w:r>
          </w:p>
        </w:tc>
        <w:tc>
          <w:tcPr>
            <w:tcW w:w="1780" w:type="pct"/>
            <w:vAlign w:val="center"/>
          </w:tcPr>
          <w:p w:rsidR="004E3021" w:rsidRPr="007566DC" w:rsidRDefault="00606E48" w:rsidP="007566DC">
            <w:pPr>
              <w:widowControl/>
              <w:spacing w:line="360" w:lineRule="exact"/>
              <w:ind w:firstLineChars="0" w:firstLine="0"/>
              <w:jc w:val="center"/>
              <w:rPr>
                <w:rFonts w:ascii="Times New Roman" w:hAnsi="Times New Roman"/>
                <w:b/>
                <w:kern w:val="0"/>
                <w:sz w:val="21"/>
                <w:szCs w:val="21"/>
              </w:rPr>
            </w:pPr>
            <w:r w:rsidRPr="007566DC">
              <w:rPr>
                <w:rFonts w:ascii="Times New Roman" w:hAnsi="Times New Roman"/>
                <w:b/>
                <w:kern w:val="0"/>
                <w:sz w:val="21"/>
                <w:szCs w:val="21"/>
              </w:rPr>
              <w:t>风险源</w:t>
            </w:r>
          </w:p>
        </w:tc>
        <w:tc>
          <w:tcPr>
            <w:tcW w:w="629" w:type="pct"/>
            <w:vAlign w:val="center"/>
          </w:tcPr>
          <w:p w:rsidR="004E3021" w:rsidRPr="007566DC" w:rsidRDefault="00606E48" w:rsidP="007566DC">
            <w:pPr>
              <w:widowControl/>
              <w:spacing w:line="360" w:lineRule="exact"/>
              <w:ind w:firstLineChars="0" w:firstLine="0"/>
              <w:jc w:val="center"/>
              <w:rPr>
                <w:rFonts w:ascii="Times New Roman" w:hAnsi="Times New Roman"/>
                <w:b/>
                <w:kern w:val="0"/>
                <w:sz w:val="21"/>
                <w:szCs w:val="21"/>
              </w:rPr>
            </w:pPr>
            <w:r w:rsidRPr="007566DC">
              <w:rPr>
                <w:rFonts w:ascii="Times New Roman" w:hAnsi="Times New Roman"/>
                <w:b/>
                <w:kern w:val="0"/>
                <w:sz w:val="21"/>
                <w:szCs w:val="21"/>
              </w:rPr>
              <w:t>环境风险类型</w:t>
            </w:r>
          </w:p>
        </w:tc>
        <w:tc>
          <w:tcPr>
            <w:tcW w:w="784" w:type="pct"/>
            <w:vAlign w:val="center"/>
          </w:tcPr>
          <w:p w:rsidR="004E3021" w:rsidRPr="007566DC" w:rsidRDefault="00606E48" w:rsidP="007566DC">
            <w:pPr>
              <w:widowControl/>
              <w:spacing w:line="360" w:lineRule="exact"/>
              <w:ind w:firstLineChars="0" w:firstLine="0"/>
              <w:jc w:val="center"/>
              <w:rPr>
                <w:rFonts w:ascii="Times New Roman" w:hAnsi="Times New Roman"/>
                <w:b/>
                <w:kern w:val="0"/>
                <w:sz w:val="21"/>
                <w:szCs w:val="21"/>
              </w:rPr>
            </w:pPr>
            <w:r w:rsidRPr="007566DC">
              <w:rPr>
                <w:rFonts w:ascii="Times New Roman" w:hAnsi="Times New Roman"/>
                <w:b/>
                <w:kern w:val="0"/>
                <w:sz w:val="21"/>
                <w:szCs w:val="21"/>
              </w:rPr>
              <w:t>环境影响途径</w:t>
            </w:r>
          </w:p>
        </w:tc>
        <w:tc>
          <w:tcPr>
            <w:tcW w:w="1153" w:type="pct"/>
            <w:vAlign w:val="center"/>
          </w:tcPr>
          <w:p w:rsidR="004E3021" w:rsidRPr="007566DC" w:rsidRDefault="00606E48" w:rsidP="007566DC">
            <w:pPr>
              <w:widowControl/>
              <w:spacing w:line="360" w:lineRule="exact"/>
              <w:ind w:firstLineChars="0" w:firstLine="0"/>
              <w:jc w:val="center"/>
              <w:rPr>
                <w:rFonts w:ascii="Times New Roman" w:hAnsi="Times New Roman"/>
                <w:b/>
                <w:kern w:val="0"/>
                <w:sz w:val="21"/>
                <w:szCs w:val="21"/>
              </w:rPr>
            </w:pPr>
            <w:r w:rsidRPr="007566DC">
              <w:rPr>
                <w:rFonts w:ascii="Times New Roman" w:hAnsi="Times New Roman"/>
                <w:b/>
                <w:kern w:val="0"/>
                <w:sz w:val="21"/>
                <w:szCs w:val="21"/>
              </w:rPr>
              <w:t>可能受影响的环境敏感目标</w:t>
            </w:r>
          </w:p>
        </w:tc>
      </w:tr>
      <w:tr w:rsidR="004E3021" w:rsidRPr="007566DC" w:rsidTr="00EE23FF">
        <w:tc>
          <w:tcPr>
            <w:tcW w:w="317" w:type="pct"/>
            <w:vAlign w:val="center"/>
          </w:tcPr>
          <w:p w:rsidR="004E3021" w:rsidRPr="007566DC" w:rsidRDefault="00606E48" w:rsidP="007566DC">
            <w:pPr>
              <w:widowControl/>
              <w:spacing w:line="360" w:lineRule="exact"/>
              <w:ind w:firstLineChars="0" w:firstLine="0"/>
              <w:jc w:val="center"/>
              <w:rPr>
                <w:rFonts w:ascii="Times New Roman" w:hAnsi="Times New Roman"/>
                <w:kern w:val="0"/>
                <w:sz w:val="21"/>
                <w:szCs w:val="21"/>
              </w:rPr>
            </w:pPr>
            <w:r w:rsidRPr="007566DC">
              <w:rPr>
                <w:rFonts w:ascii="Times New Roman" w:hAnsi="Times New Roman"/>
                <w:kern w:val="0"/>
                <w:sz w:val="21"/>
                <w:szCs w:val="21"/>
              </w:rPr>
              <w:t>1</w:t>
            </w:r>
          </w:p>
        </w:tc>
        <w:tc>
          <w:tcPr>
            <w:tcW w:w="337" w:type="pct"/>
            <w:vAlign w:val="center"/>
          </w:tcPr>
          <w:p w:rsidR="004E3021" w:rsidRPr="007566DC" w:rsidRDefault="00606E48" w:rsidP="007566DC">
            <w:pPr>
              <w:widowControl/>
              <w:spacing w:line="360" w:lineRule="exact"/>
              <w:ind w:firstLineChars="0" w:firstLine="0"/>
              <w:jc w:val="center"/>
              <w:rPr>
                <w:rFonts w:ascii="Times New Roman" w:hAnsi="Times New Roman"/>
                <w:kern w:val="0"/>
                <w:sz w:val="21"/>
                <w:szCs w:val="21"/>
              </w:rPr>
            </w:pPr>
            <w:r w:rsidRPr="007566DC">
              <w:rPr>
                <w:rFonts w:ascii="Times New Roman" w:hAnsi="Times New Roman"/>
                <w:kern w:val="0"/>
                <w:sz w:val="21"/>
                <w:szCs w:val="21"/>
              </w:rPr>
              <w:t>尾气处理</w:t>
            </w:r>
          </w:p>
        </w:tc>
        <w:tc>
          <w:tcPr>
            <w:tcW w:w="1780" w:type="pct"/>
            <w:vAlign w:val="center"/>
          </w:tcPr>
          <w:p w:rsidR="004E3021" w:rsidRPr="007566DC" w:rsidRDefault="00606E48" w:rsidP="00EE23FF">
            <w:pPr>
              <w:widowControl/>
              <w:spacing w:line="360" w:lineRule="exact"/>
              <w:ind w:firstLineChars="0" w:firstLine="0"/>
              <w:jc w:val="center"/>
              <w:rPr>
                <w:rFonts w:ascii="Times New Roman" w:hAnsi="Times New Roman"/>
                <w:kern w:val="0"/>
                <w:sz w:val="21"/>
                <w:szCs w:val="21"/>
              </w:rPr>
            </w:pPr>
            <w:r w:rsidRPr="007566DC">
              <w:rPr>
                <w:rFonts w:ascii="Times New Roman" w:hAnsi="Times New Roman"/>
                <w:kern w:val="0"/>
                <w:sz w:val="21"/>
                <w:szCs w:val="21"/>
              </w:rPr>
              <w:t>有机废气处理设施</w:t>
            </w:r>
            <w:r w:rsidR="007566DC" w:rsidRPr="007566DC">
              <w:rPr>
                <w:rFonts w:ascii="Times New Roman" w:hAnsi="Times New Roman" w:hint="eastAsia"/>
                <w:kern w:val="0"/>
                <w:sz w:val="21"/>
                <w:szCs w:val="21"/>
              </w:rPr>
              <w:t>“二级深冷</w:t>
            </w:r>
            <w:r w:rsidR="007566DC" w:rsidRPr="007566DC">
              <w:rPr>
                <w:rFonts w:ascii="Times New Roman" w:hAnsi="Times New Roman" w:hint="eastAsia"/>
                <w:kern w:val="0"/>
                <w:sz w:val="21"/>
                <w:szCs w:val="21"/>
              </w:rPr>
              <w:t>+</w:t>
            </w:r>
            <w:r w:rsidR="007566DC" w:rsidRPr="007566DC">
              <w:rPr>
                <w:rFonts w:ascii="Times New Roman" w:hAnsi="Times New Roman" w:hint="eastAsia"/>
                <w:kern w:val="0"/>
                <w:sz w:val="21"/>
                <w:szCs w:val="21"/>
              </w:rPr>
              <w:t>一级水洗”</w:t>
            </w:r>
            <w:r w:rsidRPr="007566DC">
              <w:rPr>
                <w:rFonts w:ascii="Times New Roman" w:hAnsi="Times New Roman"/>
                <w:kern w:val="0"/>
                <w:sz w:val="21"/>
                <w:szCs w:val="21"/>
              </w:rPr>
              <w:t>、</w:t>
            </w:r>
            <w:r w:rsidRPr="007566DC">
              <w:rPr>
                <w:rFonts w:ascii="Times New Roman" w:hAnsi="Times New Roman"/>
                <w:kern w:val="0"/>
                <w:sz w:val="21"/>
                <w:szCs w:val="21"/>
              </w:rPr>
              <w:t xml:space="preserve">“ </w:t>
            </w:r>
            <w:r w:rsidRPr="007566DC">
              <w:rPr>
                <w:rFonts w:ascii="Times New Roman" w:hAnsi="Times New Roman"/>
                <w:kern w:val="0"/>
                <w:sz w:val="21"/>
                <w:szCs w:val="21"/>
              </w:rPr>
              <w:t>两级深冷</w:t>
            </w:r>
            <w:r w:rsidRPr="007566DC">
              <w:rPr>
                <w:rFonts w:ascii="Times New Roman" w:hAnsi="Times New Roman"/>
                <w:kern w:val="0"/>
                <w:sz w:val="21"/>
                <w:szCs w:val="21"/>
              </w:rPr>
              <w:t>”</w:t>
            </w:r>
            <w:r w:rsidR="007566DC">
              <w:rPr>
                <w:rFonts w:ascii="Times New Roman" w:hAnsi="Times New Roman" w:hint="eastAsia"/>
                <w:kern w:val="0"/>
                <w:sz w:val="21"/>
                <w:szCs w:val="21"/>
              </w:rPr>
              <w:t>、</w:t>
            </w:r>
            <w:r w:rsidR="007566DC" w:rsidRPr="007566DC">
              <w:rPr>
                <w:rFonts w:ascii="Times New Roman" w:hAnsi="Times New Roman" w:hint="eastAsia"/>
              </w:rPr>
              <w:t xml:space="preserve"> </w:t>
            </w:r>
            <w:r w:rsidR="007566DC" w:rsidRPr="007566DC">
              <w:rPr>
                <w:rFonts w:ascii="Times New Roman" w:hAnsi="Times New Roman" w:hint="eastAsia"/>
                <w:kern w:val="0"/>
                <w:sz w:val="21"/>
                <w:szCs w:val="21"/>
              </w:rPr>
              <w:t>“一级深冷</w:t>
            </w:r>
            <w:r w:rsidR="007566DC" w:rsidRPr="007566DC">
              <w:rPr>
                <w:rFonts w:ascii="Times New Roman" w:hAnsi="Times New Roman" w:hint="eastAsia"/>
                <w:kern w:val="0"/>
                <w:sz w:val="21"/>
                <w:szCs w:val="21"/>
              </w:rPr>
              <w:t>+</w:t>
            </w:r>
            <w:r w:rsidR="00A04339">
              <w:rPr>
                <w:rFonts w:ascii="Times New Roman" w:hAnsi="Times New Roman" w:hint="eastAsia"/>
                <w:kern w:val="0"/>
                <w:sz w:val="21"/>
                <w:szCs w:val="21"/>
              </w:rPr>
              <w:t>二</w:t>
            </w:r>
            <w:r w:rsidR="007566DC" w:rsidRPr="007566DC">
              <w:rPr>
                <w:rFonts w:ascii="Times New Roman" w:hAnsi="Times New Roman" w:hint="eastAsia"/>
                <w:kern w:val="0"/>
                <w:sz w:val="21"/>
                <w:szCs w:val="21"/>
              </w:rPr>
              <w:t>级活性炭吸附”</w:t>
            </w:r>
            <w:r w:rsidRPr="007566DC">
              <w:rPr>
                <w:rFonts w:ascii="Times New Roman" w:hAnsi="Times New Roman"/>
                <w:kern w:val="0"/>
                <w:sz w:val="21"/>
                <w:szCs w:val="21"/>
              </w:rPr>
              <w:t>；粉尘处理设施</w:t>
            </w:r>
            <w:r w:rsidR="007566DC" w:rsidRPr="007566DC">
              <w:rPr>
                <w:rFonts w:ascii="Times New Roman" w:hAnsi="Times New Roman" w:hint="eastAsia"/>
                <w:kern w:val="0"/>
                <w:sz w:val="21"/>
                <w:szCs w:val="21"/>
              </w:rPr>
              <w:t>“过滤罐</w:t>
            </w:r>
            <w:r w:rsidR="007566DC" w:rsidRPr="007566DC">
              <w:rPr>
                <w:rFonts w:ascii="Times New Roman" w:hAnsi="Times New Roman" w:hint="eastAsia"/>
                <w:kern w:val="0"/>
                <w:sz w:val="21"/>
                <w:szCs w:val="21"/>
              </w:rPr>
              <w:t>+</w:t>
            </w:r>
            <w:r w:rsidR="007566DC" w:rsidRPr="007566DC">
              <w:rPr>
                <w:rFonts w:ascii="Times New Roman" w:hAnsi="Times New Roman" w:hint="eastAsia"/>
                <w:kern w:val="0"/>
                <w:sz w:val="21"/>
                <w:szCs w:val="21"/>
              </w:rPr>
              <w:t>一级水洗”</w:t>
            </w:r>
            <w:r w:rsidRPr="007566DC">
              <w:rPr>
                <w:rFonts w:ascii="Times New Roman" w:hAnsi="Times New Roman"/>
                <w:kern w:val="0"/>
                <w:sz w:val="21"/>
                <w:szCs w:val="21"/>
              </w:rPr>
              <w:t>、</w:t>
            </w:r>
            <w:r w:rsidRPr="007566DC">
              <w:rPr>
                <w:rFonts w:ascii="Times New Roman" w:hAnsi="Times New Roman"/>
                <w:kern w:val="0"/>
                <w:sz w:val="21"/>
                <w:szCs w:val="21"/>
              </w:rPr>
              <w:t>“</w:t>
            </w:r>
            <w:r w:rsidRPr="007566DC">
              <w:rPr>
                <w:rFonts w:ascii="Times New Roman" w:hAnsi="Times New Roman"/>
                <w:kern w:val="0"/>
                <w:sz w:val="21"/>
                <w:szCs w:val="21"/>
              </w:rPr>
              <w:t>布袋除尘</w:t>
            </w:r>
            <w:r w:rsidRPr="007566DC">
              <w:rPr>
                <w:rFonts w:ascii="Times New Roman" w:hAnsi="Times New Roman"/>
                <w:kern w:val="0"/>
                <w:sz w:val="21"/>
                <w:szCs w:val="21"/>
              </w:rPr>
              <w:t>+</w:t>
            </w:r>
            <w:r w:rsidRPr="007566DC">
              <w:rPr>
                <w:rFonts w:ascii="Times New Roman" w:hAnsi="Times New Roman"/>
                <w:kern w:val="0"/>
                <w:sz w:val="21"/>
                <w:szCs w:val="21"/>
              </w:rPr>
              <w:t>一级水洗</w:t>
            </w:r>
            <w:r w:rsidRPr="007566DC">
              <w:rPr>
                <w:rFonts w:ascii="Times New Roman" w:hAnsi="Times New Roman"/>
                <w:kern w:val="0"/>
                <w:sz w:val="21"/>
                <w:szCs w:val="21"/>
              </w:rPr>
              <w:t>”</w:t>
            </w:r>
            <w:r w:rsidRPr="007566DC">
              <w:rPr>
                <w:rFonts w:ascii="Times New Roman" w:hAnsi="Times New Roman"/>
                <w:kern w:val="0"/>
                <w:sz w:val="21"/>
                <w:szCs w:val="21"/>
              </w:rPr>
              <w:t>和</w:t>
            </w:r>
            <w:r w:rsidRPr="007566DC">
              <w:rPr>
                <w:rFonts w:ascii="Times New Roman" w:hAnsi="Times New Roman"/>
                <w:kern w:val="0"/>
                <w:sz w:val="21"/>
                <w:szCs w:val="21"/>
              </w:rPr>
              <w:t>“</w:t>
            </w:r>
            <w:r w:rsidRPr="007566DC">
              <w:rPr>
                <w:rFonts w:ascii="Times New Roman" w:hAnsi="Times New Roman"/>
                <w:kern w:val="0"/>
                <w:sz w:val="21"/>
                <w:szCs w:val="21"/>
              </w:rPr>
              <w:t>布袋除尘</w:t>
            </w:r>
            <w:r w:rsidRPr="007566DC">
              <w:rPr>
                <w:rFonts w:ascii="Times New Roman" w:hAnsi="Times New Roman"/>
                <w:kern w:val="0"/>
                <w:sz w:val="21"/>
                <w:szCs w:val="21"/>
              </w:rPr>
              <w:t>”</w:t>
            </w:r>
            <w:r w:rsidRPr="007566DC">
              <w:rPr>
                <w:rFonts w:ascii="Times New Roman" w:hAnsi="Times New Roman"/>
                <w:kern w:val="0"/>
                <w:sz w:val="21"/>
                <w:szCs w:val="21"/>
              </w:rPr>
              <w:t>；含氨废气处理设施</w:t>
            </w:r>
            <w:r w:rsidRPr="007566DC">
              <w:rPr>
                <w:rFonts w:ascii="Times New Roman" w:hAnsi="Times New Roman"/>
                <w:kern w:val="0"/>
                <w:sz w:val="21"/>
                <w:szCs w:val="21"/>
              </w:rPr>
              <w:t>“</w:t>
            </w:r>
            <w:r w:rsidRPr="007566DC">
              <w:rPr>
                <w:rFonts w:ascii="Times New Roman" w:hAnsi="Times New Roman"/>
                <w:kern w:val="0"/>
                <w:sz w:val="21"/>
                <w:szCs w:val="21"/>
              </w:rPr>
              <w:t>一级水洗</w:t>
            </w:r>
            <w:r w:rsidRPr="007566DC">
              <w:rPr>
                <w:rFonts w:ascii="Times New Roman" w:hAnsi="Times New Roman"/>
                <w:kern w:val="0"/>
                <w:sz w:val="21"/>
                <w:szCs w:val="21"/>
              </w:rPr>
              <w:t>+</w:t>
            </w:r>
            <w:r w:rsidRPr="007566DC">
              <w:rPr>
                <w:rFonts w:ascii="Times New Roman" w:hAnsi="Times New Roman"/>
                <w:kern w:val="0"/>
                <w:sz w:val="21"/>
                <w:szCs w:val="21"/>
              </w:rPr>
              <w:t>一级酸洗</w:t>
            </w:r>
            <w:r w:rsidRPr="007566DC">
              <w:rPr>
                <w:rFonts w:ascii="Times New Roman" w:hAnsi="Times New Roman"/>
                <w:kern w:val="0"/>
                <w:sz w:val="21"/>
                <w:szCs w:val="21"/>
              </w:rPr>
              <w:t>”</w:t>
            </w:r>
          </w:p>
        </w:tc>
        <w:tc>
          <w:tcPr>
            <w:tcW w:w="629" w:type="pct"/>
            <w:vMerge w:val="restart"/>
            <w:vAlign w:val="center"/>
          </w:tcPr>
          <w:p w:rsidR="004E3021" w:rsidRPr="007566DC" w:rsidRDefault="00606E48" w:rsidP="007566DC">
            <w:pPr>
              <w:widowControl/>
              <w:spacing w:line="360" w:lineRule="exact"/>
              <w:ind w:firstLineChars="0" w:firstLine="0"/>
              <w:jc w:val="center"/>
              <w:rPr>
                <w:rFonts w:ascii="Times New Roman" w:hAnsi="Times New Roman"/>
                <w:kern w:val="0"/>
                <w:sz w:val="21"/>
                <w:szCs w:val="21"/>
              </w:rPr>
            </w:pPr>
            <w:r w:rsidRPr="007566DC">
              <w:rPr>
                <w:rFonts w:ascii="Times New Roman" w:hAnsi="Times New Roman"/>
                <w:kern w:val="0"/>
                <w:sz w:val="21"/>
                <w:szCs w:val="21"/>
              </w:rPr>
              <w:t>发生故障，可能会造成污染物质未经处理直接排放</w:t>
            </w:r>
          </w:p>
        </w:tc>
        <w:tc>
          <w:tcPr>
            <w:tcW w:w="784" w:type="pct"/>
            <w:vAlign w:val="center"/>
          </w:tcPr>
          <w:p w:rsidR="004E3021" w:rsidRPr="007566DC" w:rsidRDefault="00606E48" w:rsidP="007566DC">
            <w:pPr>
              <w:widowControl/>
              <w:spacing w:line="360" w:lineRule="exact"/>
              <w:ind w:firstLineChars="0" w:firstLine="0"/>
              <w:jc w:val="center"/>
              <w:rPr>
                <w:rFonts w:ascii="Times New Roman" w:hAnsi="Times New Roman"/>
                <w:kern w:val="0"/>
                <w:sz w:val="21"/>
                <w:szCs w:val="21"/>
              </w:rPr>
            </w:pPr>
            <w:r w:rsidRPr="007566DC">
              <w:rPr>
                <w:rFonts w:ascii="Times New Roman" w:hAnsi="Times New Roman"/>
                <w:kern w:val="0"/>
                <w:sz w:val="21"/>
                <w:szCs w:val="21"/>
              </w:rPr>
              <w:t>下风向大气环境污染</w:t>
            </w:r>
          </w:p>
        </w:tc>
        <w:tc>
          <w:tcPr>
            <w:tcW w:w="1153" w:type="pct"/>
            <w:vAlign w:val="center"/>
          </w:tcPr>
          <w:p w:rsidR="004E3021" w:rsidRPr="007566DC" w:rsidRDefault="00606E48" w:rsidP="007566DC">
            <w:pPr>
              <w:widowControl/>
              <w:spacing w:line="360" w:lineRule="exact"/>
              <w:ind w:firstLineChars="0" w:firstLine="0"/>
              <w:jc w:val="center"/>
              <w:rPr>
                <w:rFonts w:ascii="Times New Roman" w:hAnsi="Times New Roman"/>
                <w:kern w:val="0"/>
                <w:sz w:val="21"/>
                <w:szCs w:val="21"/>
              </w:rPr>
            </w:pPr>
            <w:r w:rsidRPr="007566DC">
              <w:rPr>
                <w:rFonts w:ascii="Times New Roman" w:hAnsi="Times New Roman"/>
                <w:kern w:val="0"/>
                <w:sz w:val="21"/>
                <w:szCs w:val="21"/>
              </w:rPr>
              <w:t>产生的次生</w:t>
            </w:r>
            <w:r w:rsidRPr="007566DC">
              <w:rPr>
                <w:rFonts w:ascii="Times New Roman" w:hAnsi="Times New Roman"/>
                <w:kern w:val="0"/>
                <w:sz w:val="21"/>
                <w:szCs w:val="21"/>
              </w:rPr>
              <w:t>/</w:t>
            </w:r>
            <w:r w:rsidRPr="007566DC">
              <w:rPr>
                <w:rFonts w:ascii="Times New Roman" w:hAnsi="Times New Roman"/>
                <w:kern w:val="0"/>
                <w:sz w:val="21"/>
                <w:szCs w:val="21"/>
              </w:rPr>
              <w:t>伴生污染物质可能影响厂内职工及下风向大气环境敏感目标</w:t>
            </w:r>
          </w:p>
        </w:tc>
      </w:tr>
      <w:tr w:rsidR="004E3021" w:rsidRPr="007566DC" w:rsidTr="00EE23FF">
        <w:tc>
          <w:tcPr>
            <w:tcW w:w="317" w:type="pct"/>
            <w:vAlign w:val="center"/>
          </w:tcPr>
          <w:p w:rsidR="004E3021" w:rsidRPr="007566DC" w:rsidRDefault="00606E48" w:rsidP="007566DC">
            <w:pPr>
              <w:widowControl/>
              <w:spacing w:line="360" w:lineRule="exact"/>
              <w:ind w:firstLineChars="0" w:firstLine="0"/>
              <w:jc w:val="center"/>
              <w:rPr>
                <w:rFonts w:ascii="Times New Roman" w:hAnsi="Times New Roman"/>
                <w:kern w:val="0"/>
                <w:sz w:val="21"/>
                <w:szCs w:val="21"/>
              </w:rPr>
            </w:pPr>
            <w:r w:rsidRPr="007566DC">
              <w:rPr>
                <w:rFonts w:ascii="Times New Roman" w:hAnsi="Times New Roman"/>
                <w:kern w:val="0"/>
                <w:sz w:val="21"/>
                <w:szCs w:val="21"/>
              </w:rPr>
              <w:t>2</w:t>
            </w:r>
          </w:p>
        </w:tc>
        <w:tc>
          <w:tcPr>
            <w:tcW w:w="337" w:type="pct"/>
            <w:vAlign w:val="center"/>
          </w:tcPr>
          <w:p w:rsidR="004E3021" w:rsidRPr="007566DC" w:rsidRDefault="00606E48" w:rsidP="007566DC">
            <w:pPr>
              <w:widowControl/>
              <w:spacing w:line="360" w:lineRule="exact"/>
              <w:ind w:firstLineChars="0" w:firstLine="0"/>
              <w:jc w:val="center"/>
              <w:rPr>
                <w:rFonts w:ascii="Times New Roman" w:hAnsi="Times New Roman"/>
                <w:kern w:val="0"/>
                <w:sz w:val="21"/>
                <w:szCs w:val="21"/>
              </w:rPr>
            </w:pPr>
            <w:r w:rsidRPr="007566DC">
              <w:rPr>
                <w:rFonts w:ascii="Times New Roman" w:hAnsi="Times New Roman"/>
                <w:kern w:val="0"/>
                <w:sz w:val="21"/>
                <w:szCs w:val="21"/>
              </w:rPr>
              <w:t>废水处理</w:t>
            </w:r>
          </w:p>
        </w:tc>
        <w:tc>
          <w:tcPr>
            <w:tcW w:w="1780" w:type="pct"/>
            <w:vAlign w:val="center"/>
          </w:tcPr>
          <w:p w:rsidR="004E3021" w:rsidRPr="007566DC" w:rsidRDefault="00606E48" w:rsidP="007566DC">
            <w:pPr>
              <w:widowControl/>
              <w:spacing w:line="360" w:lineRule="exact"/>
              <w:ind w:firstLineChars="0" w:firstLine="0"/>
              <w:jc w:val="center"/>
              <w:rPr>
                <w:rFonts w:ascii="Times New Roman" w:hAnsi="Times New Roman"/>
                <w:kern w:val="0"/>
                <w:sz w:val="21"/>
                <w:szCs w:val="21"/>
              </w:rPr>
            </w:pPr>
            <w:r w:rsidRPr="007566DC">
              <w:rPr>
                <w:rFonts w:ascii="Times New Roman" w:hAnsi="Times New Roman"/>
                <w:kern w:val="0"/>
                <w:sz w:val="21"/>
                <w:szCs w:val="21"/>
              </w:rPr>
              <w:t>污水处理站</w:t>
            </w:r>
            <w:r w:rsidRPr="007566DC">
              <w:rPr>
                <w:rFonts w:ascii="Times New Roman" w:hAnsi="Times New Roman"/>
                <w:kern w:val="0"/>
                <w:sz w:val="21"/>
                <w:szCs w:val="21"/>
              </w:rPr>
              <w:t>“</w:t>
            </w:r>
            <w:r w:rsidRPr="007566DC">
              <w:rPr>
                <w:rFonts w:ascii="Times New Roman" w:hAnsi="Times New Roman"/>
                <w:kern w:val="0"/>
                <w:sz w:val="21"/>
                <w:szCs w:val="21"/>
              </w:rPr>
              <w:t>调节池</w:t>
            </w:r>
            <w:r w:rsidRPr="007566DC">
              <w:rPr>
                <w:rFonts w:ascii="Times New Roman" w:hAnsi="Times New Roman"/>
                <w:kern w:val="0"/>
                <w:sz w:val="21"/>
                <w:szCs w:val="21"/>
              </w:rPr>
              <w:t>+</w:t>
            </w:r>
            <w:r w:rsidRPr="007566DC">
              <w:rPr>
                <w:rFonts w:ascii="Times New Roman" w:hAnsi="Times New Roman"/>
                <w:kern w:val="0"/>
                <w:sz w:val="21"/>
                <w:szCs w:val="21"/>
              </w:rPr>
              <w:t>混凝沉淀</w:t>
            </w:r>
            <w:r w:rsidRPr="007566DC">
              <w:rPr>
                <w:rFonts w:ascii="Times New Roman" w:hAnsi="Times New Roman"/>
                <w:kern w:val="0"/>
                <w:sz w:val="21"/>
                <w:szCs w:val="21"/>
              </w:rPr>
              <w:t>+</w:t>
            </w:r>
            <w:r w:rsidRPr="007566DC">
              <w:rPr>
                <w:rFonts w:ascii="Times New Roman" w:hAnsi="Times New Roman"/>
                <w:kern w:val="0"/>
                <w:sz w:val="21"/>
                <w:szCs w:val="21"/>
              </w:rPr>
              <w:t>水解酸化</w:t>
            </w:r>
            <w:r w:rsidR="00361EDD" w:rsidRPr="007566DC">
              <w:rPr>
                <w:rFonts w:ascii="Times New Roman" w:hAnsi="Times New Roman"/>
                <w:sz w:val="21"/>
                <w:szCs w:val="21"/>
              </w:rPr>
              <w:t>+</w:t>
            </w:r>
            <w:r w:rsidR="00361EDD" w:rsidRPr="007566DC">
              <w:rPr>
                <w:rFonts w:ascii="Times New Roman" w:hAnsi="Times New Roman"/>
                <w:sz w:val="21"/>
                <w:szCs w:val="21"/>
              </w:rPr>
              <w:t>好氧</w:t>
            </w:r>
            <w:r w:rsidRPr="007566DC">
              <w:rPr>
                <w:rFonts w:ascii="Times New Roman" w:hAnsi="Times New Roman"/>
                <w:kern w:val="0"/>
                <w:sz w:val="21"/>
                <w:szCs w:val="21"/>
              </w:rPr>
              <w:t>+MBR”</w:t>
            </w:r>
          </w:p>
        </w:tc>
        <w:tc>
          <w:tcPr>
            <w:tcW w:w="629" w:type="pct"/>
            <w:vMerge/>
            <w:vAlign w:val="center"/>
          </w:tcPr>
          <w:p w:rsidR="004E3021" w:rsidRPr="007566DC" w:rsidRDefault="004E3021" w:rsidP="007566DC">
            <w:pPr>
              <w:widowControl/>
              <w:ind w:firstLineChars="0" w:firstLine="0"/>
              <w:jc w:val="center"/>
              <w:rPr>
                <w:rFonts w:ascii="Times New Roman" w:hAnsi="Times New Roman"/>
                <w:kern w:val="0"/>
                <w:sz w:val="21"/>
                <w:szCs w:val="21"/>
              </w:rPr>
            </w:pPr>
          </w:p>
        </w:tc>
        <w:tc>
          <w:tcPr>
            <w:tcW w:w="784" w:type="pct"/>
            <w:vAlign w:val="center"/>
          </w:tcPr>
          <w:p w:rsidR="004E3021" w:rsidRPr="007566DC" w:rsidRDefault="00606E48" w:rsidP="007566DC">
            <w:pPr>
              <w:widowControl/>
              <w:spacing w:line="360" w:lineRule="exact"/>
              <w:ind w:firstLineChars="0" w:firstLine="0"/>
              <w:jc w:val="center"/>
              <w:rPr>
                <w:rFonts w:ascii="Times New Roman" w:hAnsi="Times New Roman"/>
                <w:kern w:val="0"/>
                <w:sz w:val="21"/>
                <w:szCs w:val="21"/>
              </w:rPr>
            </w:pPr>
            <w:r w:rsidRPr="007566DC">
              <w:rPr>
                <w:rFonts w:ascii="Times New Roman" w:hAnsi="Times New Roman"/>
                <w:kern w:val="0"/>
                <w:sz w:val="21"/>
                <w:szCs w:val="21"/>
              </w:rPr>
              <w:t>水体超标进入沫河口污水处理厂；废水下渗至土壤</w:t>
            </w:r>
          </w:p>
        </w:tc>
        <w:tc>
          <w:tcPr>
            <w:tcW w:w="1153" w:type="pct"/>
            <w:vAlign w:val="center"/>
          </w:tcPr>
          <w:p w:rsidR="004E3021" w:rsidRPr="007566DC" w:rsidRDefault="00606E48" w:rsidP="007566DC">
            <w:pPr>
              <w:widowControl/>
              <w:spacing w:line="360" w:lineRule="exact"/>
              <w:ind w:firstLineChars="0" w:firstLine="0"/>
              <w:jc w:val="center"/>
              <w:rPr>
                <w:rFonts w:ascii="Times New Roman" w:hAnsi="Times New Roman"/>
                <w:kern w:val="0"/>
                <w:sz w:val="21"/>
                <w:szCs w:val="21"/>
              </w:rPr>
            </w:pPr>
            <w:r w:rsidRPr="007566DC">
              <w:rPr>
                <w:rFonts w:ascii="Times New Roman" w:hAnsi="Times New Roman"/>
                <w:kern w:val="0"/>
                <w:sz w:val="21"/>
                <w:szCs w:val="21"/>
              </w:rPr>
              <w:t>沫河口污水处理厂及排放口下游水体；废水下渗扩散厂区及周边地下水和土壤</w:t>
            </w:r>
          </w:p>
        </w:tc>
      </w:tr>
    </w:tbl>
    <w:p w:rsidR="006B2786" w:rsidRPr="006B2786" w:rsidRDefault="006B2786" w:rsidP="006B2786">
      <w:pPr>
        <w:pStyle w:val="affffffffa"/>
        <w:ind w:firstLine="480"/>
      </w:pPr>
      <w:bookmarkStart w:id="533" w:name="_Toc108662675"/>
      <w:bookmarkStart w:id="534" w:name="_Toc100784066"/>
      <w:bookmarkStart w:id="535" w:name="_Toc101135898"/>
      <w:bookmarkStart w:id="536" w:name="_Toc221088830"/>
    </w:p>
    <w:p w:rsidR="004E3021" w:rsidRDefault="00606E48">
      <w:pPr>
        <w:spacing w:before="240" w:after="120"/>
        <w:ind w:firstLineChars="0" w:firstLine="0"/>
        <w:jc w:val="left"/>
        <w:outlineLvl w:val="2"/>
        <w:rPr>
          <w:rFonts w:eastAsia="黑体"/>
          <w:sz w:val="28"/>
          <w:szCs w:val="28"/>
        </w:rPr>
      </w:pPr>
      <w:bookmarkStart w:id="537" w:name="_Toc221501045"/>
      <w:r>
        <w:rPr>
          <w:rFonts w:eastAsia="黑体" w:hint="eastAsia"/>
          <w:sz w:val="28"/>
          <w:szCs w:val="28"/>
        </w:rPr>
        <w:t>5.6.</w:t>
      </w:r>
      <w:r>
        <w:rPr>
          <w:rFonts w:eastAsia="黑体"/>
          <w:sz w:val="28"/>
          <w:szCs w:val="28"/>
        </w:rPr>
        <w:t>4</w:t>
      </w:r>
      <w:r>
        <w:rPr>
          <w:rFonts w:ascii="黑体" w:eastAsia="黑体" w:hAnsi="黑体"/>
          <w:sz w:val="28"/>
          <w:szCs w:val="28"/>
        </w:rPr>
        <w:t>环境风险</w:t>
      </w:r>
      <w:r>
        <w:rPr>
          <w:rFonts w:ascii="黑体" w:eastAsia="黑体" w:hAnsi="黑体" w:hint="eastAsia"/>
          <w:sz w:val="28"/>
          <w:szCs w:val="28"/>
        </w:rPr>
        <w:t>事故情景</w:t>
      </w:r>
      <w:r>
        <w:rPr>
          <w:rFonts w:ascii="黑体" w:eastAsia="黑体" w:hAnsi="黑体"/>
          <w:sz w:val="28"/>
          <w:szCs w:val="28"/>
        </w:rPr>
        <w:t>设定</w:t>
      </w:r>
      <w:bookmarkEnd w:id="533"/>
      <w:bookmarkEnd w:id="534"/>
      <w:bookmarkEnd w:id="535"/>
      <w:bookmarkEnd w:id="536"/>
      <w:bookmarkEnd w:id="537"/>
    </w:p>
    <w:p w:rsidR="004E3021" w:rsidRDefault="00606E48">
      <w:pPr>
        <w:ind w:firstLine="480"/>
      </w:pPr>
      <w:r>
        <w:t>根据《建设项目环境风险评价技术导则》</w:t>
      </w:r>
      <w:r>
        <w:t>(HJ169-2018)</w:t>
      </w:r>
      <w:r>
        <w:t>，本项目环境风险事故设定的原则如下：</w:t>
      </w:r>
    </w:p>
    <w:p w:rsidR="004E3021" w:rsidRDefault="00606E48">
      <w:pPr>
        <w:ind w:firstLine="480"/>
      </w:pPr>
      <w:r>
        <w:rPr>
          <w:rFonts w:hint="eastAsia"/>
        </w:rPr>
        <w:t>（</w:t>
      </w:r>
      <w:r>
        <w:rPr>
          <w:rFonts w:hint="eastAsia"/>
        </w:rPr>
        <w:t>1</w:t>
      </w:r>
      <w:r>
        <w:rPr>
          <w:rFonts w:hint="eastAsia"/>
        </w:rPr>
        <w:t>）</w:t>
      </w:r>
      <w:r>
        <w:t>同一种危险物质可能涉及泄漏，以及火灾、爆炸等引发的伴生</w:t>
      </w:r>
      <w:r>
        <w:t>/</w:t>
      </w:r>
      <w:r>
        <w:t>次生污染物排放等多种环境风险类型，其风险事故情形设定应全面考虑。同一物质对不同环境要素均产生的影响的，风险事故情形分别进行设定。</w:t>
      </w:r>
    </w:p>
    <w:p w:rsidR="004E3021" w:rsidRDefault="00606E48">
      <w:pPr>
        <w:ind w:firstLine="480"/>
      </w:pPr>
      <w:r>
        <w:rPr>
          <w:rFonts w:hint="eastAsia"/>
        </w:rPr>
        <w:t>（</w:t>
      </w:r>
      <w:r>
        <w:rPr>
          <w:rFonts w:hint="eastAsia"/>
        </w:rPr>
        <w:t>2</w:t>
      </w:r>
      <w:r>
        <w:rPr>
          <w:rFonts w:hint="eastAsia"/>
        </w:rPr>
        <w:t>）</w:t>
      </w:r>
      <w:r>
        <w:t>对于火灾、爆炸事故，将事故中未完全燃烧的危险物质在高温下迅速挥发至大气，以及燃烧过程中产生的伴生</w:t>
      </w:r>
      <w:r>
        <w:t>/</w:t>
      </w:r>
      <w:r>
        <w:t>次生污染物对环境的影响作为风险事故情形设定的内容。</w:t>
      </w:r>
    </w:p>
    <w:p w:rsidR="004E3021" w:rsidRDefault="00606E48">
      <w:pPr>
        <w:ind w:firstLine="480"/>
      </w:pPr>
      <w:r>
        <w:rPr>
          <w:rFonts w:hint="eastAsia"/>
        </w:rPr>
        <w:t>（</w:t>
      </w:r>
      <w:r>
        <w:rPr>
          <w:rFonts w:hint="eastAsia"/>
        </w:rPr>
        <w:t>3</w:t>
      </w:r>
      <w:r>
        <w:rPr>
          <w:rFonts w:hint="eastAsia"/>
        </w:rPr>
        <w:t>）</w:t>
      </w:r>
      <w:r>
        <w:t>设定的风险事故情形发生可的能性应处于合理的区间，并与经济技术发展水平相适应。根据导则，将发生概率小于</w:t>
      </w:r>
      <w:r>
        <w:t>10</w:t>
      </w:r>
      <w:r>
        <w:rPr>
          <w:vertAlign w:val="superscript"/>
        </w:rPr>
        <w:t>-6</w:t>
      </w:r>
      <w:r>
        <w:t>/</w:t>
      </w:r>
      <w:r>
        <w:t>年的事件认定为极小概率事件，作为代表性事故情形中最大可信事故设定的参考值。</w:t>
      </w:r>
    </w:p>
    <w:p w:rsidR="004E3021" w:rsidRDefault="00606E48">
      <w:pPr>
        <w:ind w:firstLine="480"/>
      </w:pPr>
      <w:r>
        <w:rPr>
          <w:rFonts w:hint="eastAsia"/>
        </w:rPr>
        <w:t>（</w:t>
      </w:r>
      <w:r>
        <w:rPr>
          <w:rFonts w:hint="eastAsia"/>
        </w:rPr>
        <w:t>4</w:t>
      </w:r>
      <w:r>
        <w:rPr>
          <w:rFonts w:hint="eastAsia"/>
        </w:rPr>
        <w:t>）</w:t>
      </w:r>
      <w:r>
        <w:t>由于事故触发因素具有不确定性，因此本项目事故情形的设定并不能包含全</w:t>
      </w:r>
      <w:r>
        <w:lastRenderedPageBreak/>
        <w:t>部可能的环境风险，事故情形的设定建立在环境风险识别基础上，通过对代表性事故情形的分析力求为风险管理提供科学依据。</w:t>
      </w:r>
    </w:p>
    <w:p w:rsidR="004E3021" w:rsidRDefault="00606E48">
      <w:pPr>
        <w:ind w:firstLine="480"/>
        <w:rPr>
          <w:bCs/>
        </w:rPr>
      </w:pPr>
      <w:r>
        <w:rPr>
          <w:rFonts w:hint="eastAsia"/>
        </w:rPr>
        <w:t>（</w:t>
      </w:r>
      <w:r>
        <w:rPr>
          <w:rFonts w:hint="eastAsia"/>
        </w:rPr>
        <w:t>5</w:t>
      </w:r>
      <w:r>
        <w:rPr>
          <w:rFonts w:hint="eastAsia"/>
        </w:rPr>
        <w:t>）</w:t>
      </w:r>
      <w:r>
        <w:t>环境风险评价主要针对项目发生突发性污染事故后通过污染物迁移所造成的区域外环境影响进行评价，大气风险评价范围主要包括厂界外污染影响区域，地下水风险评价范围主要包括厂界内地下水及厂界外地下水环境敏感点；安全评价着眼于设备安全性事故后暴露范围内的人员与财产损失，通常设备燃爆安全性事故的范围限于厂界内。因此，本次环境风险评价主要为项目发生突发性污染事故后影响环境的区域，不包括单纯因火灾和爆炸引起的厂界内外人员伤亡</w:t>
      </w:r>
      <w:r>
        <w:rPr>
          <w:rFonts w:ascii="宋体" w:hAnsi="宋体" w:hint="eastAsia"/>
          <w:bCs/>
        </w:rPr>
        <w:t>。</w:t>
      </w:r>
    </w:p>
    <w:p w:rsidR="004E3021" w:rsidRDefault="00606E48">
      <w:pPr>
        <w:spacing w:before="240" w:after="120"/>
        <w:ind w:firstLineChars="0" w:firstLine="0"/>
        <w:jc w:val="left"/>
        <w:outlineLvl w:val="2"/>
        <w:rPr>
          <w:rFonts w:eastAsia="黑体"/>
          <w:sz w:val="28"/>
          <w:szCs w:val="28"/>
        </w:rPr>
      </w:pPr>
      <w:bookmarkStart w:id="538" w:name="_Toc101135899"/>
      <w:bookmarkStart w:id="539" w:name="_Toc108662676"/>
      <w:bookmarkStart w:id="540" w:name="_Toc100784067"/>
      <w:bookmarkStart w:id="541" w:name="_Toc221088831"/>
      <w:bookmarkStart w:id="542" w:name="_Toc221501046"/>
      <w:r>
        <w:rPr>
          <w:rFonts w:eastAsia="黑体" w:hint="eastAsia"/>
          <w:sz w:val="28"/>
          <w:szCs w:val="28"/>
        </w:rPr>
        <w:t>5.6.</w:t>
      </w:r>
      <w:r>
        <w:rPr>
          <w:rFonts w:eastAsia="黑体"/>
          <w:sz w:val="28"/>
          <w:szCs w:val="28"/>
        </w:rPr>
        <w:t>5</w:t>
      </w:r>
      <w:r>
        <w:rPr>
          <w:rFonts w:ascii="黑体" w:eastAsia="黑体" w:hAnsi="黑体" w:hint="eastAsia"/>
          <w:sz w:val="28"/>
          <w:szCs w:val="28"/>
        </w:rPr>
        <w:t>最大可信事故</w:t>
      </w:r>
      <w:r>
        <w:rPr>
          <w:rFonts w:ascii="黑体" w:eastAsia="黑体" w:hAnsi="黑体"/>
          <w:sz w:val="28"/>
          <w:szCs w:val="28"/>
        </w:rPr>
        <w:t>概率分析</w:t>
      </w:r>
      <w:bookmarkEnd w:id="538"/>
      <w:bookmarkEnd w:id="539"/>
      <w:bookmarkEnd w:id="540"/>
      <w:bookmarkEnd w:id="541"/>
      <w:bookmarkEnd w:id="542"/>
    </w:p>
    <w:p w:rsidR="004E3021" w:rsidRDefault="00606E48">
      <w:pPr>
        <w:ind w:firstLine="480"/>
        <w:rPr>
          <w:rFonts w:ascii="宋体" w:hAnsi="宋体"/>
        </w:rPr>
      </w:pPr>
      <w:r>
        <w:rPr>
          <w:rFonts w:ascii="宋体" w:hAnsi="宋体"/>
        </w:rPr>
        <w:t>根据《</w:t>
      </w:r>
      <w:r>
        <w:rPr>
          <w:rFonts w:ascii="宋体" w:hAnsi="宋体" w:hint="eastAsia"/>
        </w:rPr>
        <w:t>建设项目</w:t>
      </w:r>
      <w:r>
        <w:rPr>
          <w:rFonts w:ascii="宋体" w:hAnsi="宋体"/>
        </w:rPr>
        <w:t>环境风险评价技术导则》（</w:t>
      </w:r>
      <w:r>
        <w:rPr>
          <w:rFonts w:hint="eastAsia"/>
        </w:rPr>
        <w:t>HJ 169-2018</w:t>
      </w:r>
      <w:r>
        <w:rPr>
          <w:rFonts w:ascii="宋体" w:hAnsi="宋体"/>
        </w:rPr>
        <w:t>）中</w:t>
      </w:r>
      <w:r>
        <w:rPr>
          <w:rFonts w:ascii="宋体" w:hAnsi="宋体" w:hint="eastAsia"/>
        </w:rPr>
        <w:t>附录</w:t>
      </w:r>
      <w:r>
        <w:rPr>
          <w:rFonts w:hint="eastAsia"/>
        </w:rPr>
        <w:t>E</w:t>
      </w:r>
      <w:r>
        <w:rPr>
          <w:rFonts w:ascii="宋体" w:hAnsi="宋体" w:hint="eastAsia"/>
        </w:rPr>
        <w:t>中</w:t>
      </w:r>
      <w:r>
        <w:rPr>
          <w:rFonts w:ascii="宋体" w:hAnsi="宋体"/>
        </w:rPr>
        <w:t>表</w:t>
      </w:r>
      <w:r>
        <w:rPr>
          <w:rFonts w:hint="eastAsia"/>
        </w:rPr>
        <w:t>E.1</w:t>
      </w:r>
      <w:r>
        <w:rPr>
          <w:rFonts w:ascii="宋体" w:hAnsi="宋体" w:hint="eastAsia"/>
        </w:rPr>
        <w:t>泄漏</w:t>
      </w:r>
      <w:r>
        <w:rPr>
          <w:rFonts w:ascii="宋体" w:hAnsi="宋体"/>
        </w:rPr>
        <w:t>频率</w:t>
      </w:r>
      <w:r>
        <w:rPr>
          <w:rFonts w:ascii="宋体" w:hAnsi="宋体" w:hint="eastAsia"/>
        </w:rPr>
        <w:t>表及根据《石油和化工装备事故分析与预防（第三版）》（化学工业出版社</w:t>
      </w:r>
      <w:r>
        <w:rPr>
          <w:rFonts w:hint="eastAsia"/>
        </w:rPr>
        <w:t>(2011)</w:t>
      </w:r>
      <w:r>
        <w:rPr>
          <w:rFonts w:ascii="宋体" w:hAnsi="宋体" w:hint="eastAsia"/>
        </w:rPr>
        <w:t>）中统计的</w:t>
      </w:r>
      <w:r>
        <w:rPr>
          <w:rFonts w:hint="eastAsia"/>
        </w:rPr>
        <w:t>1989</w:t>
      </w:r>
      <w:r>
        <w:rPr>
          <w:rFonts w:ascii="宋体" w:hAnsi="宋体" w:hint="eastAsia"/>
        </w:rPr>
        <w:t>年～</w:t>
      </w:r>
      <w:r>
        <w:rPr>
          <w:rFonts w:hint="eastAsia"/>
        </w:rPr>
        <w:t>2008</w:t>
      </w:r>
      <w:r>
        <w:rPr>
          <w:rFonts w:ascii="宋体" w:hAnsi="宋体" w:hint="eastAsia"/>
        </w:rPr>
        <w:t>年</w:t>
      </w:r>
      <w:r>
        <w:rPr>
          <w:rFonts w:hint="eastAsia"/>
        </w:rPr>
        <w:t>20</w:t>
      </w:r>
      <w:r>
        <w:rPr>
          <w:rFonts w:ascii="宋体" w:hAnsi="宋体" w:hint="eastAsia"/>
        </w:rPr>
        <w:t>年间全国化工行业事故发生情况的相关资料</w:t>
      </w:r>
      <w:r>
        <w:rPr>
          <w:rFonts w:ascii="宋体" w:hAnsi="宋体"/>
        </w:rPr>
        <w:t>显示</w:t>
      </w:r>
      <w:r>
        <w:rPr>
          <w:rFonts w:ascii="宋体" w:hAnsi="宋体" w:hint="eastAsia"/>
        </w:rPr>
        <w:t>本项目</w:t>
      </w:r>
      <w:r>
        <w:rPr>
          <w:rFonts w:ascii="宋体" w:hAnsi="宋体"/>
        </w:rPr>
        <w:t>的各类事故发生概率</w:t>
      </w:r>
      <w:r>
        <w:t>Pa</w:t>
      </w:r>
      <w:r>
        <w:rPr>
          <w:rFonts w:ascii="宋体" w:hAnsi="宋体"/>
        </w:rPr>
        <w:t>分布情况，见</w:t>
      </w:r>
      <w:r>
        <w:rPr>
          <w:rFonts w:ascii="宋体" w:hAnsi="宋体" w:hint="eastAsia"/>
        </w:rPr>
        <w:t>表</w:t>
      </w:r>
      <w:r>
        <w:t>5.6.5-1</w:t>
      </w:r>
      <w:r>
        <w:rPr>
          <w:rFonts w:ascii="宋体" w:hAnsi="宋体"/>
        </w:rPr>
        <w:t>。</w:t>
      </w:r>
    </w:p>
    <w:p w:rsidR="006B2786" w:rsidRDefault="006B2786" w:rsidP="006B2786">
      <w:pPr>
        <w:pStyle w:val="a0"/>
        <w:ind w:firstLine="480"/>
      </w:pPr>
    </w:p>
    <w:p w:rsidR="006B2786" w:rsidRPr="006B2786" w:rsidRDefault="006B2786" w:rsidP="006B2786">
      <w:pPr>
        <w:pStyle w:val="a0"/>
        <w:ind w:firstLine="480"/>
      </w:pPr>
    </w:p>
    <w:p w:rsidR="004E3021" w:rsidRDefault="00606E48">
      <w:pPr>
        <w:pStyle w:val="afffff4"/>
      </w:pPr>
      <w:r>
        <w:rPr>
          <w:rFonts w:hint="eastAsia"/>
        </w:rPr>
        <w:t>表</w:t>
      </w:r>
      <w:r>
        <w:t xml:space="preserve">5.6.5-1  </w:t>
      </w:r>
      <w:r>
        <w:t>事故发生概率</w:t>
      </w:r>
      <w:r>
        <w:t>Pa</w:t>
      </w:r>
      <w:r>
        <w:t>取值表（单位：次</w:t>
      </w:r>
      <w:r>
        <w:t>/</w:t>
      </w:r>
      <w:r>
        <w:t>年）</w:t>
      </w:r>
    </w:p>
    <w:tbl>
      <w:tblPr>
        <w:tblW w:w="5000" w:type="pct"/>
        <w:jc w:val="center"/>
        <w:tblLook w:val="04A0" w:firstRow="1" w:lastRow="0" w:firstColumn="1" w:lastColumn="0" w:noHBand="0" w:noVBand="1"/>
      </w:tblPr>
      <w:tblGrid>
        <w:gridCol w:w="2045"/>
        <w:gridCol w:w="2277"/>
        <w:gridCol w:w="2354"/>
        <w:gridCol w:w="2351"/>
      </w:tblGrid>
      <w:tr w:rsidR="004E3021" w:rsidRPr="006B2786">
        <w:trPr>
          <w:trHeight w:val="20"/>
          <w:jc w:val="center"/>
        </w:trPr>
        <w:tc>
          <w:tcPr>
            <w:tcW w:w="1133" w:type="pct"/>
            <w:tcBorders>
              <w:top w:val="single" w:sz="12" w:space="0" w:color="auto"/>
              <w:left w:val="nil"/>
              <w:bottom w:val="single" w:sz="4" w:space="0" w:color="auto"/>
              <w:right w:val="single" w:sz="4" w:space="0" w:color="auto"/>
            </w:tcBorders>
          </w:tcPr>
          <w:p w:rsidR="004E3021" w:rsidRPr="006B2786" w:rsidRDefault="00606E48">
            <w:pPr>
              <w:widowControl/>
              <w:spacing w:line="360" w:lineRule="exact"/>
              <w:ind w:firstLineChars="0" w:firstLine="0"/>
              <w:jc w:val="center"/>
              <w:rPr>
                <w:b/>
                <w:kern w:val="0"/>
                <w:sz w:val="21"/>
                <w:szCs w:val="21"/>
              </w:rPr>
            </w:pPr>
            <w:r w:rsidRPr="006B2786">
              <w:rPr>
                <w:rFonts w:ascii="宋体" w:hAnsi="宋体"/>
                <w:b/>
                <w:kern w:val="0"/>
                <w:sz w:val="21"/>
                <w:szCs w:val="21"/>
              </w:rPr>
              <w:t>设备名称</w:t>
            </w:r>
          </w:p>
        </w:tc>
        <w:tc>
          <w:tcPr>
            <w:tcW w:w="1261" w:type="pct"/>
            <w:tcBorders>
              <w:top w:val="single" w:sz="12" w:space="0" w:color="auto"/>
              <w:left w:val="single" w:sz="4" w:space="0" w:color="auto"/>
              <w:bottom w:val="single" w:sz="4" w:space="0" w:color="auto"/>
              <w:right w:val="single" w:sz="4" w:space="0" w:color="auto"/>
            </w:tcBorders>
          </w:tcPr>
          <w:p w:rsidR="004E3021" w:rsidRPr="006B2786" w:rsidRDefault="00606E48">
            <w:pPr>
              <w:widowControl/>
              <w:spacing w:line="360" w:lineRule="exact"/>
              <w:ind w:firstLineChars="0" w:firstLine="0"/>
              <w:jc w:val="center"/>
              <w:rPr>
                <w:b/>
                <w:kern w:val="0"/>
                <w:sz w:val="21"/>
                <w:szCs w:val="21"/>
              </w:rPr>
            </w:pPr>
            <w:r w:rsidRPr="006B2786">
              <w:rPr>
                <w:rFonts w:ascii="宋体" w:hAnsi="宋体" w:hint="eastAsia"/>
                <w:b/>
                <w:kern w:val="0"/>
                <w:sz w:val="21"/>
                <w:szCs w:val="21"/>
              </w:rPr>
              <w:t>生产装置</w:t>
            </w:r>
            <w:r w:rsidRPr="006B2786">
              <w:rPr>
                <w:rFonts w:ascii="宋体" w:hAnsi="宋体"/>
                <w:b/>
                <w:kern w:val="0"/>
                <w:sz w:val="21"/>
                <w:szCs w:val="21"/>
              </w:rPr>
              <w:t>事故</w:t>
            </w:r>
            <w:r w:rsidRPr="006B2786">
              <w:rPr>
                <w:rFonts w:hint="eastAsia"/>
                <w:b/>
                <w:kern w:val="0"/>
                <w:sz w:val="21"/>
                <w:szCs w:val="21"/>
              </w:rPr>
              <w:t>*</w:t>
            </w:r>
          </w:p>
        </w:tc>
        <w:tc>
          <w:tcPr>
            <w:tcW w:w="1304" w:type="pct"/>
            <w:tcBorders>
              <w:top w:val="single" w:sz="12" w:space="0" w:color="auto"/>
              <w:left w:val="single" w:sz="4" w:space="0" w:color="auto"/>
              <w:bottom w:val="single" w:sz="4" w:space="0" w:color="auto"/>
              <w:right w:val="single" w:sz="4" w:space="0" w:color="auto"/>
            </w:tcBorders>
          </w:tcPr>
          <w:p w:rsidR="004E3021" w:rsidRPr="006B2786" w:rsidRDefault="00606E48">
            <w:pPr>
              <w:widowControl/>
              <w:spacing w:line="360" w:lineRule="exact"/>
              <w:ind w:firstLineChars="0" w:firstLine="0"/>
              <w:jc w:val="center"/>
              <w:rPr>
                <w:b/>
                <w:kern w:val="0"/>
                <w:sz w:val="21"/>
                <w:szCs w:val="21"/>
              </w:rPr>
            </w:pPr>
            <w:r w:rsidRPr="006B2786">
              <w:rPr>
                <w:rFonts w:ascii="宋体" w:hAnsi="宋体" w:hint="eastAsia"/>
                <w:b/>
                <w:kern w:val="0"/>
                <w:sz w:val="21"/>
                <w:szCs w:val="21"/>
              </w:rPr>
              <w:t>储罐、</w:t>
            </w:r>
            <w:r w:rsidRPr="006B2786">
              <w:rPr>
                <w:rFonts w:ascii="宋体" w:hAnsi="宋体"/>
                <w:b/>
                <w:kern w:val="0"/>
                <w:sz w:val="21"/>
                <w:szCs w:val="21"/>
              </w:rPr>
              <w:t>仓库</w:t>
            </w:r>
            <w:r w:rsidRPr="006B2786">
              <w:rPr>
                <w:rFonts w:ascii="宋体" w:hAnsi="宋体" w:hint="eastAsia"/>
                <w:b/>
                <w:kern w:val="0"/>
                <w:sz w:val="21"/>
                <w:szCs w:val="21"/>
              </w:rPr>
              <w:t>液体</w:t>
            </w:r>
            <w:r w:rsidRPr="006B2786">
              <w:rPr>
                <w:rFonts w:ascii="宋体" w:hAnsi="宋体"/>
                <w:b/>
                <w:kern w:val="0"/>
                <w:sz w:val="21"/>
                <w:szCs w:val="21"/>
              </w:rPr>
              <w:t>泄漏</w:t>
            </w:r>
          </w:p>
        </w:tc>
        <w:tc>
          <w:tcPr>
            <w:tcW w:w="1302" w:type="pct"/>
            <w:tcBorders>
              <w:top w:val="single" w:sz="12" w:space="0" w:color="auto"/>
              <w:left w:val="single" w:sz="4" w:space="0" w:color="auto"/>
              <w:bottom w:val="single" w:sz="4" w:space="0" w:color="auto"/>
              <w:right w:val="nil"/>
            </w:tcBorders>
          </w:tcPr>
          <w:p w:rsidR="004E3021" w:rsidRPr="006B2786" w:rsidRDefault="00606E48">
            <w:pPr>
              <w:widowControl/>
              <w:spacing w:line="360" w:lineRule="exact"/>
              <w:ind w:firstLineChars="0" w:firstLine="0"/>
              <w:jc w:val="center"/>
              <w:rPr>
                <w:b/>
                <w:kern w:val="0"/>
                <w:sz w:val="21"/>
                <w:szCs w:val="21"/>
              </w:rPr>
            </w:pPr>
            <w:r w:rsidRPr="006B2786">
              <w:rPr>
                <w:rFonts w:ascii="宋体" w:hAnsi="宋体"/>
                <w:b/>
                <w:kern w:val="0"/>
                <w:sz w:val="21"/>
                <w:szCs w:val="21"/>
              </w:rPr>
              <w:t>管道</w:t>
            </w:r>
            <w:r w:rsidRPr="006B2786">
              <w:rPr>
                <w:rFonts w:ascii="宋体" w:hAnsi="宋体" w:hint="eastAsia"/>
                <w:b/>
                <w:kern w:val="0"/>
                <w:sz w:val="21"/>
                <w:szCs w:val="21"/>
              </w:rPr>
              <w:t>泄漏</w:t>
            </w:r>
          </w:p>
        </w:tc>
      </w:tr>
      <w:tr w:rsidR="004E3021" w:rsidRPr="006B2786">
        <w:trPr>
          <w:trHeight w:val="20"/>
          <w:jc w:val="center"/>
        </w:trPr>
        <w:tc>
          <w:tcPr>
            <w:tcW w:w="1133" w:type="pct"/>
            <w:tcBorders>
              <w:top w:val="single" w:sz="4" w:space="0" w:color="auto"/>
              <w:left w:val="nil"/>
              <w:bottom w:val="single" w:sz="12" w:space="0" w:color="auto"/>
              <w:right w:val="single" w:sz="4" w:space="0" w:color="auto"/>
            </w:tcBorders>
          </w:tcPr>
          <w:p w:rsidR="004E3021" w:rsidRPr="006B2786" w:rsidRDefault="00606E48">
            <w:pPr>
              <w:widowControl/>
              <w:spacing w:line="360" w:lineRule="exact"/>
              <w:ind w:firstLineChars="0" w:firstLine="0"/>
              <w:jc w:val="center"/>
              <w:rPr>
                <w:kern w:val="0"/>
                <w:sz w:val="21"/>
                <w:szCs w:val="21"/>
              </w:rPr>
            </w:pPr>
            <w:r w:rsidRPr="006B2786">
              <w:rPr>
                <w:rFonts w:ascii="宋体" w:hAnsi="宋体"/>
                <w:kern w:val="0"/>
                <w:sz w:val="21"/>
                <w:szCs w:val="21"/>
              </w:rPr>
              <w:t>事故频率</w:t>
            </w:r>
          </w:p>
        </w:tc>
        <w:tc>
          <w:tcPr>
            <w:tcW w:w="1261" w:type="pct"/>
            <w:tcBorders>
              <w:top w:val="single" w:sz="4" w:space="0" w:color="auto"/>
              <w:left w:val="single" w:sz="4" w:space="0" w:color="auto"/>
              <w:bottom w:val="single" w:sz="12" w:space="0" w:color="auto"/>
              <w:right w:val="single" w:sz="4" w:space="0" w:color="auto"/>
            </w:tcBorders>
          </w:tcPr>
          <w:p w:rsidR="004E3021" w:rsidRPr="006B2786" w:rsidRDefault="00606E48">
            <w:pPr>
              <w:widowControl/>
              <w:spacing w:line="360" w:lineRule="exact"/>
              <w:ind w:firstLineChars="0" w:firstLine="0"/>
              <w:jc w:val="center"/>
              <w:rPr>
                <w:kern w:val="0"/>
                <w:sz w:val="21"/>
                <w:szCs w:val="21"/>
              </w:rPr>
            </w:pPr>
            <w:r w:rsidRPr="006B2786">
              <w:rPr>
                <w:kern w:val="0"/>
                <w:sz w:val="21"/>
                <w:szCs w:val="21"/>
              </w:rPr>
              <w:t>1.08×10</w:t>
            </w:r>
            <w:r w:rsidRPr="006B2786">
              <w:rPr>
                <w:kern w:val="0"/>
                <w:sz w:val="21"/>
                <w:szCs w:val="21"/>
                <w:vertAlign w:val="superscript"/>
              </w:rPr>
              <w:t>-5</w:t>
            </w:r>
          </w:p>
        </w:tc>
        <w:tc>
          <w:tcPr>
            <w:tcW w:w="1304" w:type="pct"/>
            <w:tcBorders>
              <w:top w:val="single" w:sz="4" w:space="0" w:color="auto"/>
              <w:left w:val="single" w:sz="4" w:space="0" w:color="auto"/>
              <w:bottom w:val="single" w:sz="12" w:space="0" w:color="auto"/>
              <w:right w:val="single" w:sz="4" w:space="0" w:color="auto"/>
            </w:tcBorders>
          </w:tcPr>
          <w:p w:rsidR="004E3021" w:rsidRPr="006B2786" w:rsidRDefault="00606E48">
            <w:pPr>
              <w:widowControl/>
              <w:spacing w:line="360" w:lineRule="exact"/>
              <w:ind w:firstLineChars="0" w:firstLine="0"/>
              <w:jc w:val="center"/>
              <w:rPr>
                <w:kern w:val="0"/>
                <w:sz w:val="21"/>
                <w:szCs w:val="21"/>
              </w:rPr>
            </w:pPr>
            <w:r w:rsidRPr="006B2786">
              <w:rPr>
                <w:rFonts w:hint="eastAsia"/>
                <w:kern w:val="0"/>
                <w:sz w:val="21"/>
                <w:szCs w:val="21"/>
              </w:rPr>
              <w:t>1.00</w:t>
            </w:r>
            <w:r w:rsidRPr="006B2786">
              <w:rPr>
                <w:rFonts w:ascii="宋体" w:hAnsi="宋体" w:hint="eastAsia"/>
                <w:kern w:val="0"/>
                <w:sz w:val="21"/>
                <w:szCs w:val="21"/>
              </w:rPr>
              <w:t>×</w:t>
            </w:r>
            <w:r w:rsidRPr="006B2786">
              <w:rPr>
                <w:rFonts w:hint="eastAsia"/>
                <w:kern w:val="0"/>
                <w:sz w:val="21"/>
                <w:szCs w:val="21"/>
              </w:rPr>
              <w:t>10</w:t>
            </w:r>
            <w:r w:rsidRPr="006B2786">
              <w:rPr>
                <w:rFonts w:hint="eastAsia"/>
                <w:kern w:val="0"/>
                <w:sz w:val="21"/>
                <w:szCs w:val="21"/>
                <w:vertAlign w:val="superscript"/>
              </w:rPr>
              <w:t>-4</w:t>
            </w:r>
          </w:p>
        </w:tc>
        <w:tc>
          <w:tcPr>
            <w:tcW w:w="1302" w:type="pct"/>
            <w:tcBorders>
              <w:top w:val="single" w:sz="4" w:space="0" w:color="auto"/>
              <w:left w:val="single" w:sz="4" w:space="0" w:color="auto"/>
              <w:bottom w:val="single" w:sz="12" w:space="0" w:color="auto"/>
              <w:right w:val="nil"/>
            </w:tcBorders>
          </w:tcPr>
          <w:p w:rsidR="004E3021" w:rsidRPr="006B2786" w:rsidRDefault="00606E48">
            <w:pPr>
              <w:widowControl/>
              <w:spacing w:line="360" w:lineRule="exact"/>
              <w:ind w:firstLineChars="0" w:firstLine="0"/>
              <w:jc w:val="center"/>
              <w:rPr>
                <w:kern w:val="0"/>
                <w:sz w:val="21"/>
                <w:szCs w:val="21"/>
              </w:rPr>
            </w:pPr>
            <w:r w:rsidRPr="006B2786">
              <w:rPr>
                <w:kern w:val="0"/>
                <w:sz w:val="21"/>
                <w:szCs w:val="21"/>
              </w:rPr>
              <w:t>2.00×10</w:t>
            </w:r>
            <w:r w:rsidRPr="006B2786">
              <w:rPr>
                <w:kern w:val="0"/>
                <w:sz w:val="21"/>
                <w:szCs w:val="21"/>
                <w:vertAlign w:val="superscript"/>
              </w:rPr>
              <w:t>-6</w:t>
            </w:r>
          </w:p>
        </w:tc>
      </w:tr>
    </w:tbl>
    <w:p w:rsidR="004E3021" w:rsidRDefault="00606E48">
      <w:pPr>
        <w:ind w:firstLineChars="0" w:firstLine="0"/>
        <w:rPr>
          <w:sz w:val="18"/>
          <w:szCs w:val="18"/>
        </w:rPr>
      </w:pPr>
      <w:r>
        <w:rPr>
          <w:rFonts w:ascii="宋体" w:hAnsi="宋体" w:hint="eastAsia"/>
          <w:b/>
          <w:sz w:val="18"/>
          <w:szCs w:val="18"/>
        </w:rPr>
        <w:t>备注</w:t>
      </w:r>
      <w:r>
        <w:rPr>
          <w:rFonts w:ascii="宋体" w:hAnsi="宋体"/>
          <w:b/>
          <w:sz w:val="18"/>
          <w:szCs w:val="18"/>
        </w:rPr>
        <w:t>：</w:t>
      </w:r>
      <w:r>
        <w:rPr>
          <w:rFonts w:hint="eastAsia"/>
          <w:b/>
          <w:sz w:val="18"/>
          <w:szCs w:val="18"/>
        </w:rPr>
        <w:t>*</w:t>
      </w:r>
      <w:r>
        <w:rPr>
          <w:rFonts w:ascii="宋体" w:hAnsi="宋体" w:hint="eastAsia"/>
          <w:b/>
          <w:sz w:val="18"/>
          <w:szCs w:val="18"/>
        </w:rPr>
        <w:t>来源于《石油和化工装备事故分析与预防（第三版）》（化学工业出版社</w:t>
      </w:r>
      <w:r>
        <w:rPr>
          <w:rFonts w:hint="eastAsia"/>
          <w:b/>
          <w:sz w:val="18"/>
          <w:szCs w:val="18"/>
        </w:rPr>
        <w:t>(2011)</w:t>
      </w:r>
      <w:r>
        <w:rPr>
          <w:rFonts w:ascii="宋体" w:hAnsi="宋体" w:hint="eastAsia"/>
          <w:b/>
          <w:sz w:val="18"/>
          <w:szCs w:val="18"/>
        </w:rPr>
        <w:t>）中</w:t>
      </w:r>
      <w:r>
        <w:rPr>
          <w:rFonts w:ascii="宋体" w:hAnsi="宋体"/>
          <w:b/>
          <w:sz w:val="18"/>
          <w:szCs w:val="18"/>
        </w:rPr>
        <w:t>反应釜的事故频率</w:t>
      </w:r>
      <w:r>
        <w:rPr>
          <w:rFonts w:ascii="宋体" w:hAnsi="宋体" w:hint="eastAsia"/>
          <w:sz w:val="18"/>
          <w:szCs w:val="18"/>
        </w:rPr>
        <w:t>。</w:t>
      </w:r>
    </w:p>
    <w:p w:rsidR="004E3021" w:rsidRDefault="00606E48">
      <w:pPr>
        <w:ind w:firstLine="480"/>
      </w:pPr>
      <w:r>
        <w:rPr>
          <w:rFonts w:ascii="宋体" w:hAnsi="宋体"/>
        </w:rPr>
        <w:t>从事故发生概率上看，管道泄漏（泄漏孔径为</w:t>
      </w:r>
      <w:r>
        <w:t>10%</w:t>
      </w:r>
      <w:r>
        <w:rPr>
          <w:rFonts w:ascii="宋体" w:hAnsi="宋体"/>
        </w:rPr>
        <w:t>孔径）事故概率＜</w:t>
      </w:r>
      <w:r>
        <w:t>10</w:t>
      </w:r>
      <w:r>
        <w:rPr>
          <w:vertAlign w:val="superscript"/>
        </w:rPr>
        <w:t>-6</w:t>
      </w:r>
      <w:r>
        <w:t>/</w:t>
      </w:r>
      <w:r>
        <w:rPr>
          <w:rFonts w:ascii="宋体" w:hAnsi="宋体"/>
        </w:rPr>
        <w:t>年，是极小概率事件，根据项目的特点，确定本项目的最大可信事故为：</w:t>
      </w:r>
      <w:r>
        <w:rPr>
          <w:rFonts w:hint="eastAsia"/>
        </w:rPr>
        <w:t>①</w:t>
      </w:r>
      <w:r>
        <w:rPr>
          <w:rFonts w:hint="eastAsia"/>
          <w:color w:val="000000"/>
        </w:rPr>
        <w:t>甲醇储罐</w:t>
      </w:r>
      <w:r>
        <w:rPr>
          <w:rFonts w:hint="eastAsia"/>
        </w:rPr>
        <w:t>泄漏火灾次生事故；②</w:t>
      </w:r>
      <w:r w:rsidR="001E262C">
        <w:rPr>
          <w:rFonts w:hint="eastAsia"/>
        </w:rPr>
        <w:t>乙炔气柜</w:t>
      </w:r>
      <w:r>
        <w:rPr>
          <w:rFonts w:hint="eastAsia"/>
        </w:rPr>
        <w:t>泄漏事故；③</w:t>
      </w:r>
      <w:r w:rsidR="001E262C">
        <w:rPr>
          <w:rFonts w:hint="eastAsia"/>
        </w:rPr>
        <w:t>氨水</w:t>
      </w:r>
      <w:r>
        <w:rPr>
          <w:rFonts w:hint="eastAsia"/>
        </w:rPr>
        <w:t>储罐泄漏事故</w:t>
      </w:r>
      <w:r>
        <w:rPr>
          <w:lang w:val="zh-CN"/>
        </w:rPr>
        <w:t>④</w:t>
      </w:r>
      <w:r>
        <w:rPr>
          <w:lang w:val="zh-CN"/>
        </w:rPr>
        <w:t>污水处理调节池破损</w:t>
      </w:r>
      <w:r>
        <w:rPr>
          <w:rFonts w:hint="eastAsia"/>
          <w:lang w:val="zh-CN"/>
        </w:rPr>
        <w:t>污染</w:t>
      </w:r>
      <w:r>
        <w:rPr>
          <w:rFonts w:hint="eastAsia"/>
        </w:rPr>
        <w:t>地下水事故</w:t>
      </w:r>
      <w:r>
        <w:rPr>
          <w:rFonts w:ascii="宋体" w:hAnsi="宋体"/>
        </w:rPr>
        <w:t>。</w:t>
      </w:r>
    </w:p>
    <w:p w:rsidR="004E3021" w:rsidRDefault="00606E48">
      <w:pPr>
        <w:pStyle w:val="afffffffffffffffff4"/>
      </w:pPr>
      <w:bookmarkStart w:id="543" w:name="_Toc100784068"/>
      <w:bookmarkStart w:id="544" w:name="_Toc108662677"/>
      <w:bookmarkStart w:id="545" w:name="_Toc101135900"/>
      <w:bookmarkStart w:id="546" w:name="_Toc221088832"/>
      <w:bookmarkStart w:id="547" w:name="_Toc221501047"/>
      <w:r>
        <w:rPr>
          <w:rFonts w:hint="eastAsia"/>
        </w:rPr>
        <w:t>5.6.</w:t>
      </w:r>
      <w:r>
        <w:t>6</w:t>
      </w:r>
      <w:r>
        <w:t>环境风险</w:t>
      </w:r>
      <w:r>
        <w:rPr>
          <w:rFonts w:hint="eastAsia"/>
        </w:rPr>
        <w:t>源项分析</w:t>
      </w:r>
      <w:bookmarkEnd w:id="543"/>
      <w:bookmarkEnd w:id="544"/>
      <w:bookmarkEnd w:id="545"/>
      <w:bookmarkEnd w:id="546"/>
      <w:bookmarkEnd w:id="547"/>
    </w:p>
    <w:p w:rsidR="004E3021" w:rsidRDefault="00606E48">
      <w:pPr>
        <w:pStyle w:val="4a"/>
        <w:rPr>
          <w:lang w:val="zh-CN"/>
        </w:rPr>
      </w:pPr>
      <w:r>
        <w:rPr>
          <w:rFonts w:hint="eastAsia"/>
        </w:rPr>
        <w:t>5.6.</w:t>
      </w:r>
      <w:r>
        <w:t>6</w:t>
      </w:r>
      <w:r>
        <w:rPr>
          <w:rFonts w:hint="eastAsia"/>
        </w:rPr>
        <w:t>.1</w:t>
      </w:r>
      <w:r>
        <w:rPr>
          <w:rFonts w:hint="eastAsia"/>
          <w:lang w:val="zh-CN"/>
        </w:rPr>
        <w:t>甲醇储罐泄漏</w:t>
      </w:r>
      <w:r>
        <w:rPr>
          <w:rFonts w:hint="eastAsia"/>
        </w:rPr>
        <w:t>火灾次生事故</w:t>
      </w:r>
      <w:r>
        <w:rPr>
          <w:rFonts w:hint="eastAsia"/>
          <w:lang w:val="zh-CN"/>
        </w:rPr>
        <w:t>源项分析</w:t>
      </w:r>
    </w:p>
    <w:p w:rsidR="004E3021" w:rsidRDefault="00606E48">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）液体泄漏量</w:t>
      </w:r>
    </w:p>
    <w:p w:rsidR="004E3021" w:rsidRDefault="00606E48">
      <w:pPr>
        <w:ind w:firstLine="480"/>
        <w:rPr>
          <w:color w:val="000000" w:themeColor="text1"/>
        </w:rPr>
      </w:pPr>
      <w:r>
        <w:rPr>
          <w:rFonts w:hint="eastAsia"/>
          <w:color w:val="000000" w:themeColor="text1"/>
        </w:rPr>
        <w:t>根据《建设项目环境风险评价技术导则》（</w:t>
      </w:r>
      <w:r>
        <w:rPr>
          <w:color w:val="000000" w:themeColor="text1"/>
        </w:rPr>
        <w:t>HJ169</w:t>
      </w:r>
      <w:r>
        <w:rPr>
          <w:rFonts w:hint="eastAsia"/>
          <w:color w:val="000000" w:themeColor="text1"/>
        </w:rPr>
        <w:t>-20</w:t>
      </w:r>
      <w:r>
        <w:rPr>
          <w:color w:val="000000" w:themeColor="text1"/>
        </w:rPr>
        <w:t>18</w:t>
      </w:r>
      <w:r>
        <w:rPr>
          <w:rFonts w:hint="eastAsia"/>
          <w:color w:val="000000" w:themeColor="text1"/>
        </w:rPr>
        <w:t>），甲醇储罐泄漏采用附录</w:t>
      </w:r>
      <w:r>
        <w:rPr>
          <w:rFonts w:hint="eastAsia"/>
          <w:color w:val="000000" w:themeColor="text1"/>
        </w:rPr>
        <w:t>F</w:t>
      </w:r>
      <w:r>
        <w:rPr>
          <w:rFonts w:hint="eastAsia"/>
          <w:color w:val="000000" w:themeColor="text1"/>
        </w:rPr>
        <w:t>中液体泄漏计算模式：</w:t>
      </w:r>
    </w:p>
    <w:p w:rsidR="004E3021" w:rsidRDefault="00606E48">
      <w:pPr>
        <w:ind w:firstLine="480"/>
        <w:rPr>
          <w:color w:val="000000" w:themeColor="text1"/>
        </w:rPr>
      </w:pPr>
      <w:r>
        <w:rPr>
          <w:rFonts w:hint="eastAsia"/>
          <w:color w:val="000000" w:themeColor="text1"/>
        </w:rPr>
        <w:lastRenderedPageBreak/>
        <w:t>液体</w:t>
      </w:r>
      <w:r>
        <w:rPr>
          <w:color w:val="000000" w:themeColor="text1"/>
        </w:rPr>
        <w:t>泄漏速率</w:t>
      </w:r>
      <w:r>
        <w:rPr>
          <w:color w:val="000000" w:themeColor="text1"/>
        </w:rPr>
        <w:t>Q</w:t>
      </w:r>
      <w:r>
        <w:rPr>
          <w:color w:val="000000" w:themeColor="text1"/>
          <w:vertAlign w:val="subscript"/>
        </w:rPr>
        <w:t>L</w:t>
      </w:r>
      <w:r>
        <w:rPr>
          <w:rFonts w:hint="eastAsia"/>
          <w:color w:val="000000" w:themeColor="text1"/>
        </w:rPr>
        <w:t>用</w:t>
      </w:r>
      <w:r>
        <w:rPr>
          <w:color w:val="000000" w:themeColor="text1"/>
        </w:rPr>
        <w:t>伯努利方程计算（</w:t>
      </w:r>
      <w:r>
        <w:rPr>
          <w:rFonts w:hint="eastAsia"/>
          <w:color w:val="000000" w:themeColor="text1"/>
        </w:rPr>
        <w:t>限制条件</w:t>
      </w:r>
      <w:r>
        <w:rPr>
          <w:color w:val="000000" w:themeColor="text1"/>
        </w:rPr>
        <w:t>为液体在喷口内</w:t>
      </w:r>
      <w:r>
        <w:rPr>
          <w:rFonts w:hint="eastAsia"/>
          <w:color w:val="000000" w:themeColor="text1"/>
        </w:rPr>
        <w:t>不</w:t>
      </w:r>
      <w:r>
        <w:rPr>
          <w:color w:val="000000" w:themeColor="text1"/>
        </w:rPr>
        <w:t>应有急骤喷发）</w:t>
      </w:r>
      <w:r>
        <w:rPr>
          <w:rFonts w:hint="eastAsia"/>
          <w:color w:val="000000" w:themeColor="text1"/>
        </w:rPr>
        <w:t>：</w:t>
      </w:r>
    </w:p>
    <w:p w:rsidR="004E3021" w:rsidRDefault="00606E48">
      <w:pPr>
        <w:ind w:firstLineChars="1200" w:firstLine="2880"/>
        <w:jc w:val="left"/>
      </w:pPr>
      <w:r>
        <w:rPr>
          <w:position w:val="-30"/>
        </w:rPr>
        <w:object w:dxaOrig="2880" w:dyaOrig="720">
          <v:shape id="_x0000_i1037" type="#_x0000_t75" style="width:2in;height:36pt" o:ole="">
            <v:imagedata r:id="rId113" o:title=""/>
          </v:shape>
          <o:OLEObject Type="Embed" ProgID="Equation.3" ShapeID="_x0000_i1037" DrawAspect="Content" ObjectID="_1832392369" r:id="rId114"/>
        </w:object>
      </w:r>
    </w:p>
    <w:p w:rsidR="004E3021" w:rsidRDefault="00606E48">
      <w:pPr>
        <w:ind w:firstLine="480"/>
      </w:pPr>
      <w:r>
        <w:t>式中：</w:t>
      </w:r>
      <w:r>
        <w:t>Q</w:t>
      </w:r>
      <w:r>
        <w:rPr>
          <w:vertAlign w:val="subscript"/>
        </w:rPr>
        <w:t>L</w:t>
      </w:r>
      <w:r>
        <w:t>—</w:t>
      </w:r>
      <w:r>
        <w:rPr>
          <w:rFonts w:hint="eastAsia"/>
        </w:rPr>
        <w:t>液体</w:t>
      </w:r>
      <w:r>
        <w:t>泄漏速率，</w:t>
      </w:r>
      <w:r>
        <w:t>kg/s</w:t>
      </w:r>
      <w:r>
        <w:t>；</w:t>
      </w:r>
    </w:p>
    <w:p w:rsidR="004E3021" w:rsidRDefault="00606E48">
      <w:pPr>
        <w:ind w:firstLineChars="500" w:firstLine="1200"/>
      </w:pPr>
      <w:r>
        <w:t>P—</w:t>
      </w:r>
      <w:r>
        <w:t>容器内介质压力，</w:t>
      </w:r>
      <w:r>
        <w:t>Pa</w:t>
      </w:r>
      <w:r>
        <w:t>；</w:t>
      </w:r>
    </w:p>
    <w:p w:rsidR="004E3021" w:rsidRDefault="00606E48">
      <w:pPr>
        <w:ind w:firstLineChars="500" w:firstLine="1200"/>
      </w:pPr>
      <w:r>
        <w:t>P</w:t>
      </w:r>
      <w:r>
        <w:rPr>
          <w:vertAlign w:val="subscript"/>
        </w:rPr>
        <w:t>0</w:t>
      </w:r>
      <w:r>
        <w:t>—</w:t>
      </w:r>
      <w:r>
        <w:t>环境压力，</w:t>
      </w:r>
      <w:r>
        <w:t>Pa</w:t>
      </w:r>
      <w:r>
        <w:t>；</w:t>
      </w:r>
    </w:p>
    <w:p w:rsidR="004E3021" w:rsidRDefault="00606E48">
      <w:pPr>
        <w:ind w:firstLineChars="500" w:firstLine="1200"/>
      </w:pPr>
      <w:r>
        <w:t>ρ—</w:t>
      </w:r>
      <w:r>
        <w:t>液体密度，</w:t>
      </w:r>
      <w:r>
        <w:t>kg/m</w:t>
      </w:r>
      <w:r>
        <w:rPr>
          <w:vertAlign w:val="superscript"/>
        </w:rPr>
        <w:t>3</w:t>
      </w:r>
      <w:r>
        <w:t>；</w:t>
      </w:r>
    </w:p>
    <w:p w:rsidR="004E3021" w:rsidRDefault="00606E48">
      <w:pPr>
        <w:ind w:firstLineChars="500" w:firstLine="1200"/>
      </w:pPr>
      <w:r>
        <w:t>g—</w:t>
      </w:r>
      <w:r>
        <w:t>重力加速度</w:t>
      </w:r>
      <w:r>
        <w:rPr>
          <w:rFonts w:hint="eastAsia"/>
        </w:rPr>
        <w:t>，</w:t>
      </w:r>
      <w:r>
        <w:rPr>
          <w:rFonts w:hint="eastAsia"/>
        </w:rPr>
        <w:t>9.81</w:t>
      </w:r>
      <w:r>
        <w:t>m/s</w:t>
      </w:r>
      <w:r>
        <w:rPr>
          <w:vertAlign w:val="superscript"/>
        </w:rPr>
        <w:t>2</w:t>
      </w:r>
      <w:r>
        <w:t>；</w:t>
      </w:r>
    </w:p>
    <w:p w:rsidR="004E3021" w:rsidRDefault="00606E48">
      <w:pPr>
        <w:ind w:firstLineChars="500" w:firstLine="1200"/>
      </w:pPr>
      <w:r>
        <w:t>h—</w:t>
      </w:r>
      <w:r>
        <w:t>裂口之上液面高度，</w:t>
      </w:r>
      <w:r>
        <w:t>m</w:t>
      </w:r>
      <w:r>
        <w:rPr>
          <w:rFonts w:hint="eastAsia"/>
        </w:rPr>
        <w:t>；</w:t>
      </w:r>
    </w:p>
    <w:p w:rsidR="004E3021" w:rsidRDefault="00606E48">
      <w:pPr>
        <w:ind w:firstLineChars="500" w:firstLine="1200"/>
      </w:pPr>
      <w:r>
        <w:t>Cd—</w:t>
      </w:r>
      <w:r>
        <w:rPr>
          <w:rFonts w:hint="eastAsia"/>
        </w:rPr>
        <w:t>液体泄漏</w:t>
      </w:r>
      <w:r>
        <w:t>系数；</w:t>
      </w:r>
    </w:p>
    <w:p w:rsidR="004E3021" w:rsidRDefault="00606E48">
      <w:pPr>
        <w:ind w:firstLineChars="500" w:firstLine="1200"/>
      </w:pPr>
      <w:r>
        <w:t>A—</w:t>
      </w:r>
      <w:r>
        <w:t>裂口面积，</w:t>
      </w:r>
      <w:r>
        <w:t>m</w:t>
      </w:r>
      <w:r>
        <w:rPr>
          <w:vertAlign w:val="superscript"/>
        </w:rPr>
        <w:t>2</w:t>
      </w:r>
      <w:r>
        <w:t>；</w:t>
      </w:r>
    </w:p>
    <w:p w:rsidR="004E3021" w:rsidRDefault="00606E48">
      <w:pPr>
        <w:ind w:firstLine="480"/>
        <w:rPr>
          <w:color w:val="000000"/>
        </w:rPr>
      </w:pPr>
      <w:r>
        <w:rPr>
          <w:rFonts w:hint="eastAsia"/>
        </w:rPr>
        <w:t>甲醇储罐泄漏点在储罐侧面，</w:t>
      </w:r>
      <w:r>
        <w:t>泄漏</w:t>
      </w:r>
      <w:r>
        <w:rPr>
          <w:rFonts w:hint="eastAsia"/>
        </w:rPr>
        <w:t>面积等效于</w:t>
      </w:r>
      <w:r>
        <w:t>1cm</w:t>
      </w:r>
      <w:r>
        <w:rPr>
          <w:vertAlign w:val="superscript"/>
        </w:rPr>
        <w:t>2</w:t>
      </w:r>
      <w:r>
        <w:rPr>
          <w:rFonts w:hint="eastAsia"/>
        </w:rPr>
        <w:t>的圆，容器内介质压力</w:t>
      </w:r>
      <w:r>
        <w:t>0.15Mpa</w:t>
      </w:r>
      <w:r>
        <w:rPr>
          <w:rFonts w:hint="eastAsia"/>
        </w:rPr>
        <w:t>，环境压力定为</w:t>
      </w:r>
      <w:r>
        <w:rPr>
          <w:rFonts w:hint="eastAsia"/>
        </w:rPr>
        <w:t>1</w:t>
      </w:r>
      <w:r>
        <w:t>01325</w:t>
      </w:r>
      <w:r>
        <w:rPr>
          <w:rFonts w:hint="eastAsia"/>
        </w:rPr>
        <w:t>pa</w:t>
      </w:r>
      <w:r>
        <w:rPr>
          <w:rFonts w:hint="eastAsia"/>
        </w:rPr>
        <w:t>，甲醇密度以</w:t>
      </w:r>
      <w:r>
        <w:t>786.5992</w:t>
      </w:r>
      <w:r>
        <w:rPr>
          <w:rFonts w:hint="eastAsia"/>
        </w:rPr>
        <w:t>kg</w:t>
      </w:r>
      <w:r>
        <w:t>/m</w:t>
      </w:r>
      <w:r>
        <w:rPr>
          <w:vertAlign w:val="superscript"/>
        </w:rPr>
        <w:t>3</w:t>
      </w:r>
      <w:r>
        <w:rPr>
          <w:rFonts w:hint="eastAsia"/>
        </w:rPr>
        <w:t>计，裂口之上液位高度以</w:t>
      </w:r>
      <w:r>
        <w:t>3m</w:t>
      </w:r>
      <w:r>
        <w:rPr>
          <w:rFonts w:hint="eastAsia"/>
        </w:rPr>
        <w:t>计，</w:t>
      </w:r>
      <w:r>
        <w:rPr>
          <w:rFonts w:hint="eastAsia"/>
        </w:rPr>
        <w:t>Cd</w:t>
      </w:r>
      <w:r>
        <w:rPr>
          <w:rFonts w:hint="eastAsia"/>
        </w:rPr>
        <w:t>选取</w:t>
      </w:r>
      <w:r>
        <w:rPr>
          <w:rFonts w:hint="eastAsia"/>
        </w:rPr>
        <w:t>0</w:t>
      </w:r>
      <w:r>
        <w:t>.65</w:t>
      </w:r>
      <w:r>
        <w:rPr>
          <w:rFonts w:hint="eastAsia"/>
        </w:rPr>
        <w:t>（甲醇雷诺数</w:t>
      </w:r>
      <w:r>
        <w:rPr>
          <w:rFonts w:hint="eastAsia"/>
        </w:rPr>
        <w:t>Re</w:t>
      </w:r>
      <w:r>
        <w:rPr>
          <w:rFonts w:hint="eastAsia"/>
        </w:rPr>
        <w:t>＞</w:t>
      </w:r>
      <w:r>
        <w:rPr>
          <w:rFonts w:hint="eastAsia"/>
        </w:rPr>
        <w:t>1</w:t>
      </w:r>
      <w:r>
        <w:t>00</w:t>
      </w:r>
      <w:r>
        <w:rPr>
          <w:rFonts w:hint="eastAsia"/>
        </w:rPr>
        <w:t>）。则计算出甲醇泄漏速率为</w:t>
      </w:r>
      <w:r>
        <w:rPr>
          <w:rFonts w:hint="eastAsia"/>
        </w:rPr>
        <w:t>Q</w:t>
      </w:r>
      <w:r>
        <w:rPr>
          <w:vertAlign w:val="subscript"/>
        </w:rPr>
        <w:t>L</w:t>
      </w:r>
      <w:r>
        <w:rPr>
          <w:rFonts w:hint="eastAsia"/>
        </w:rPr>
        <w:t>为</w:t>
      </w:r>
      <w:r>
        <w:t>0.659</w:t>
      </w:r>
      <w:r>
        <w:rPr>
          <w:rFonts w:hint="eastAsia"/>
        </w:rPr>
        <w:t>kg</w:t>
      </w:r>
      <w:r>
        <w:t>/s</w:t>
      </w:r>
      <w:r>
        <w:rPr>
          <w:rFonts w:hint="eastAsia"/>
        </w:rPr>
        <w:t>，</w:t>
      </w:r>
      <w:r w:rsidR="00DB5A09">
        <w:rPr>
          <w:rFonts w:hint="eastAsia"/>
        </w:rPr>
        <w:t>本项目罐区设置了紧急系统，</w:t>
      </w:r>
      <w:r>
        <w:t>泄漏</w:t>
      </w:r>
      <w:r>
        <w:rPr>
          <w:rFonts w:hint="eastAsia"/>
        </w:rPr>
        <w:t>时间设定</w:t>
      </w:r>
      <w:r>
        <w:t>为</w:t>
      </w:r>
      <w:r>
        <w:t>10min</w:t>
      </w:r>
      <w:r>
        <w:rPr>
          <w:rFonts w:hint="eastAsia"/>
        </w:rPr>
        <w:t>，则甲醇</w:t>
      </w:r>
      <w:r>
        <w:t>泄漏量为</w:t>
      </w:r>
      <w:r>
        <w:t>0.3954t</w:t>
      </w:r>
      <w:r>
        <w:rPr>
          <w:rFonts w:hint="eastAsia"/>
        </w:rPr>
        <w:t>。</w:t>
      </w:r>
    </w:p>
    <w:p w:rsidR="004E3021" w:rsidRDefault="00606E48">
      <w:pPr>
        <w:ind w:firstLine="480"/>
      </w:pPr>
      <w:r>
        <w:rPr>
          <w:rFonts w:hint="eastAsia"/>
        </w:rPr>
        <w:t>（</w:t>
      </w:r>
      <w:r>
        <w:rPr>
          <w:rFonts w:hint="eastAsia"/>
        </w:rPr>
        <w:t>2</w:t>
      </w:r>
      <w:r>
        <w:rPr>
          <w:rFonts w:hint="eastAsia"/>
        </w:rPr>
        <w:t>）液体泄漏</w:t>
      </w:r>
      <w:r>
        <w:t>火灾次生</w:t>
      </w:r>
      <w:r>
        <w:rPr>
          <w:rFonts w:hint="eastAsia"/>
        </w:rPr>
        <w:t>源强</w:t>
      </w:r>
    </w:p>
    <w:p w:rsidR="004E3021" w:rsidRDefault="00606E48">
      <w:pPr>
        <w:ind w:firstLine="480"/>
      </w:pPr>
      <w:r>
        <w:rPr>
          <w:rFonts w:hint="eastAsia"/>
        </w:rPr>
        <w:t>依据《建设项目环境风险评价技术导则》（</w:t>
      </w:r>
      <w:r>
        <w:t>HJ169</w:t>
      </w:r>
      <w:r>
        <w:rPr>
          <w:rFonts w:hint="eastAsia"/>
        </w:rPr>
        <w:t>-20</w:t>
      </w:r>
      <w:r>
        <w:t>18</w:t>
      </w:r>
      <w:r>
        <w:rPr>
          <w:rFonts w:hint="eastAsia"/>
        </w:rPr>
        <w:t>）附录</w:t>
      </w:r>
      <w:r>
        <w:rPr>
          <w:rFonts w:hint="eastAsia"/>
        </w:rPr>
        <w:t>F.</w:t>
      </w:r>
      <w:r>
        <w:t>3</w:t>
      </w:r>
      <w:r>
        <w:rPr>
          <w:rFonts w:hint="eastAsia"/>
        </w:rPr>
        <w:t>，火灾伴生</w:t>
      </w:r>
      <w:r>
        <w:t>/</w:t>
      </w:r>
      <w:r>
        <w:rPr>
          <w:rFonts w:hint="eastAsia"/>
        </w:rPr>
        <w:t>次生</w:t>
      </w:r>
      <w:r>
        <w:t>CO</w:t>
      </w:r>
      <w:r>
        <w:rPr>
          <w:rFonts w:hint="eastAsia"/>
        </w:rPr>
        <w:t>产生量以公式</w:t>
      </w:r>
      <w:r>
        <w:t>2</w:t>
      </w:r>
      <w:r>
        <w:rPr>
          <w:rFonts w:hint="eastAsia"/>
        </w:rPr>
        <w:t>计算：</w:t>
      </w:r>
    </w:p>
    <w:p w:rsidR="004E3021" w:rsidRDefault="00606E48">
      <w:pPr>
        <w:ind w:firstLineChars="0" w:firstLine="0"/>
        <w:jc w:val="center"/>
      </w:pPr>
      <w:r>
        <w:t>G</w:t>
      </w:r>
      <w:r>
        <w:rPr>
          <w:rFonts w:hint="eastAsia"/>
          <w:vertAlign w:val="subscript"/>
        </w:rPr>
        <w:t>一氧化碳</w:t>
      </w:r>
      <w:r>
        <w:t xml:space="preserve">=2330qCQ                 </w:t>
      </w:r>
      <w:r>
        <w:rPr>
          <w:rFonts w:hint="eastAsia"/>
        </w:rPr>
        <w:t>公式</w:t>
      </w:r>
      <w:r>
        <w:t>2</w:t>
      </w:r>
    </w:p>
    <w:p w:rsidR="004E3021" w:rsidRDefault="00606E48">
      <w:pPr>
        <w:ind w:firstLine="480"/>
      </w:pPr>
      <w:r>
        <w:rPr>
          <w:rFonts w:hint="eastAsia"/>
        </w:rPr>
        <w:t>式中：</w:t>
      </w:r>
      <w:r>
        <w:t>G</w:t>
      </w:r>
      <w:r>
        <w:rPr>
          <w:rFonts w:hint="eastAsia"/>
          <w:vertAlign w:val="subscript"/>
        </w:rPr>
        <w:t>一氧化碳</w:t>
      </w:r>
      <w:r>
        <w:t>——</w:t>
      </w:r>
      <w:r>
        <w:rPr>
          <w:rFonts w:hint="eastAsia"/>
        </w:rPr>
        <w:t>一氧化碳的产生量，</w:t>
      </w:r>
      <w:r>
        <w:rPr>
          <w:rFonts w:hint="eastAsia"/>
        </w:rPr>
        <w:t>kg</w:t>
      </w:r>
      <w:r>
        <w:t>/s</w:t>
      </w:r>
      <w:r>
        <w:rPr>
          <w:rFonts w:hint="eastAsia"/>
        </w:rPr>
        <w:t>；</w:t>
      </w:r>
    </w:p>
    <w:p w:rsidR="004E3021" w:rsidRDefault="00606E48">
      <w:pPr>
        <w:ind w:firstLineChars="500" w:firstLine="1200"/>
      </w:pPr>
      <w:r>
        <w:t>C——</w:t>
      </w:r>
      <w:r>
        <w:rPr>
          <w:rFonts w:hint="eastAsia"/>
        </w:rPr>
        <w:t>物质中碳的含量，</w:t>
      </w:r>
      <w:r>
        <w:rPr>
          <w:rFonts w:hint="eastAsia"/>
        </w:rPr>
        <w:t>%</w:t>
      </w:r>
      <w:r>
        <w:rPr>
          <w:rFonts w:hint="eastAsia"/>
        </w:rPr>
        <w:t>；</w:t>
      </w:r>
    </w:p>
    <w:p w:rsidR="004E3021" w:rsidRDefault="00606E48">
      <w:pPr>
        <w:ind w:firstLineChars="500" w:firstLine="1200"/>
      </w:pPr>
      <w:r>
        <w:t>q——</w:t>
      </w:r>
      <w:r>
        <w:rPr>
          <w:rFonts w:hint="eastAsia"/>
        </w:rPr>
        <w:t>化学不完全燃烧值，取</w:t>
      </w:r>
      <w:r>
        <w:t>1.5</w:t>
      </w:r>
      <w:r>
        <w:rPr>
          <w:rFonts w:hint="eastAsia"/>
        </w:rPr>
        <w:t>%</w:t>
      </w:r>
      <w:r>
        <w:t>~6.0%</w:t>
      </w:r>
      <w:r>
        <w:rPr>
          <w:rFonts w:hint="eastAsia"/>
        </w:rPr>
        <w:t>；</w:t>
      </w:r>
    </w:p>
    <w:p w:rsidR="004E3021" w:rsidRDefault="00606E48">
      <w:pPr>
        <w:ind w:firstLineChars="500" w:firstLine="1200"/>
      </w:pPr>
      <w:r>
        <w:rPr>
          <w:rFonts w:hint="eastAsia"/>
        </w:rPr>
        <w:t>Q</w:t>
      </w:r>
      <w:r>
        <w:t>——</w:t>
      </w:r>
      <w:r>
        <w:rPr>
          <w:rFonts w:hint="eastAsia"/>
        </w:rPr>
        <w:t>参与燃烧的物质量，</w:t>
      </w:r>
      <w:r>
        <w:rPr>
          <w:rFonts w:hint="eastAsia"/>
        </w:rPr>
        <w:t>t</w:t>
      </w:r>
      <w:r>
        <w:t>/s</w:t>
      </w:r>
      <w:r>
        <w:rPr>
          <w:rFonts w:hint="eastAsia"/>
        </w:rPr>
        <w:t>。</w:t>
      </w:r>
    </w:p>
    <w:p w:rsidR="004E3021" w:rsidRDefault="00606E48">
      <w:pPr>
        <w:ind w:firstLine="480"/>
      </w:pPr>
      <w:r>
        <w:t>甲醇碳量为</w:t>
      </w:r>
      <w:r>
        <w:t>37.5%</w:t>
      </w:r>
      <w:r>
        <w:t>，化学不完全燃烧值取</w:t>
      </w:r>
      <w:r>
        <w:t>4.0%</w:t>
      </w:r>
      <w:r>
        <w:rPr>
          <w:rFonts w:hint="eastAsia"/>
        </w:rPr>
        <w:t>，根据</w:t>
      </w:r>
      <w:r>
        <w:t>计算可得</w:t>
      </w:r>
      <w:r>
        <w:t>G</w:t>
      </w:r>
      <w:r>
        <w:rPr>
          <w:rFonts w:hint="eastAsia"/>
          <w:vertAlign w:val="subscript"/>
        </w:rPr>
        <w:t>一氧化碳</w:t>
      </w:r>
      <w:r>
        <w:rPr>
          <w:rFonts w:hint="eastAsia"/>
        </w:rPr>
        <w:t>=</w:t>
      </w:r>
      <w:r>
        <w:t>0.023</w:t>
      </w:r>
      <w:r>
        <w:rPr>
          <w:rFonts w:hint="eastAsia"/>
        </w:rPr>
        <w:t xml:space="preserve"> kg</w:t>
      </w:r>
      <w:r>
        <w:t>/s</w:t>
      </w:r>
      <w:r>
        <w:rPr>
          <w:rFonts w:hint="eastAsia"/>
        </w:rPr>
        <w:t>。</w:t>
      </w:r>
    </w:p>
    <w:p w:rsidR="004E3021" w:rsidRDefault="00606E48">
      <w:pPr>
        <w:ind w:firstLine="480"/>
      </w:pPr>
      <w:r>
        <w:rPr>
          <w:rFonts w:hint="eastAsia"/>
        </w:rPr>
        <w:t>根据污染物气体性质，采用理查德森数判断，</w:t>
      </w:r>
      <w:r w:rsidR="006A32D2">
        <w:t>CO</w:t>
      </w:r>
      <w:r w:rsidR="006A32D2">
        <w:rPr>
          <w:rFonts w:hint="eastAsia"/>
        </w:rPr>
        <w:t>属于轻质气体，采</w:t>
      </w:r>
      <w:r>
        <w:rPr>
          <w:rFonts w:hint="eastAsia"/>
        </w:rPr>
        <w:t>用</w:t>
      </w:r>
      <w:r>
        <w:rPr>
          <w:rFonts w:hint="eastAsia"/>
        </w:rPr>
        <w:t>A</w:t>
      </w:r>
      <w:r>
        <w:t>FTOX</w:t>
      </w:r>
      <w:r>
        <w:rPr>
          <w:rFonts w:hint="eastAsia"/>
        </w:rPr>
        <w:t>模型。</w:t>
      </w:r>
    </w:p>
    <w:p w:rsidR="004E3021" w:rsidRDefault="00606E48">
      <w:pPr>
        <w:pStyle w:val="afffff4"/>
      </w:pPr>
      <w:r>
        <w:rPr>
          <w:rFonts w:hint="eastAsia"/>
        </w:rPr>
        <w:t>表</w:t>
      </w:r>
      <w:r>
        <w:rPr>
          <w:rFonts w:hint="eastAsia"/>
        </w:rPr>
        <w:t>5.6.</w:t>
      </w:r>
      <w:r>
        <w:t>6-1</w:t>
      </w:r>
      <w:r>
        <w:rPr>
          <w:rFonts w:hint="eastAsia"/>
        </w:rPr>
        <w:t xml:space="preserve"> </w:t>
      </w:r>
      <w:r>
        <w:t xml:space="preserve"> </w:t>
      </w:r>
      <w:r>
        <w:rPr>
          <w:rFonts w:hint="eastAsia"/>
        </w:rPr>
        <w:t>有毒有害物质终点浓度</w:t>
      </w:r>
    </w:p>
    <w:tbl>
      <w:tblPr>
        <w:tblStyle w:val="1ffffffd"/>
        <w:tblW w:w="5000" w:type="pct"/>
        <w:tblLook w:val="04A0" w:firstRow="1" w:lastRow="0" w:firstColumn="1" w:lastColumn="0" w:noHBand="0" w:noVBand="1"/>
      </w:tblPr>
      <w:tblGrid>
        <w:gridCol w:w="2001"/>
        <w:gridCol w:w="3394"/>
        <w:gridCol w:w="3632"/>
      </w:tblGrid>
      <w:tr w:rsidR="004E3021" w:rsidRPr="001E262C" w:rsidTr="001E262C">
        <w:tc>
          <w:tcPr>
            <w:tcW w:w="1108" w:type="pct"/>
            <w:vAlign w:val="center"/>
          </w:tcPr>
          <w:p w:rsidR="004E3021" w:rsidRPr="001E262C" w:rsidRDefault="00606E48" w:rsidP="001E262C">
            <w:pPr>
              <w:widowControl/>
              <w:spacing w:line="360" w:lineRule="exact"/>
              <w:ind w:firstLineChars="0" w:firstLine="0"/>
              <w:jc w:val="center"/>
              <w:rPr>
                <w:rFonts w:ascii="Times New Roman" w:hAnsi="Times New Roman"/>
                <w:b/>
                <w:kern w:val="0"/>
                <w:sz w:val="21"/>
                <w:szCs w:val="21"/>
              </w:rPr>
            </w:pPr>
            <w:r w:rsidRPr="001E262C">
              <w:rPr>
                <w:rFonts w:ascii="Times New Roman" w:hAnsi="Times New Roman"/>
                <w:b/>
                <w:kern w:val="0"/>
                <w:sz w:val="21"/>
                <w:szCs w:val="21"/>
              </w:rPr>
              <w:t>物质名称</w:t>
            </w:r>
          </w:p>
        </w:tc>
        <w:tc>
          <w:tcPr>
            <w:tcW w:w="1880" w:type="pct"/>
            <w:vAlign w:val="center"/>
          </w:tcPr>
          <w:p w:rsidR="004E3021" w:rsidRPr="001E262C" w:rsidRDefault="00606E48" w:rsidP="001E262C">
            <w:pPr>
              <w:widowControl/>
              <w:spacing w:line="360" w:lineRule="exact"/>
              <w:ind w:firstLineChars="0" w:firstLine="0"/>
              <w:jc w:val="center"/>
              <w:rPr>
                <w:rFonts w:ascii="Times New Roman" w:hAnsi="Times New Roman"/>
                <w:b/>
                <w:kern w:val="0"/>
                <w:sz w:val="21"/>
                <w:szCs w:val="21"/>
              </w:rPr>
            </w:pPr>
            <w:r w:rsidRPr="001E262C">
              <w:rPr>
                <w:rFonts w:ascii="Times New Roman" w:hAnsi="Times New Roman"/>
                <w:b/>
                <w:kern w:val="0"/>
                <w:sz w:val="21"/>
                <w:szCs w:val="21"/>
              </w:rPr>
              <w:t>毒性终点浓度</w:t>
            </w:r>
            <w:r w:rsidRPr="001E262C">
              <w:rPr>
                <w:rFonts w:ascii="Times New Roman" w:hAnsi="Times New Roman"/>
                <w:b/>
                <w:kern w:val="0"/>
                <w:sz w:val="21"/>
                <w:szCs w:val="21"/>
              </w:rPr>
              <w:t>-1</w:t>
            </w:r>
            <w:r w:rsidRPr="001E262C">
              <w:rPr>
                <w:rFonts w:ascii="Times New Roman" w:hAnsi="Times New Roman"/>
                <w:b/>
                <w:kern w:val="0"/>
                <w:sz w:val="21"/>
                <w:szCs w:val="21"/>
              </w:rPr>
              <w:t>（</w:t>
            </w:r>
            <w:r w:rsidRPr="001E262C">
              <w:rPr>
                <w:rFonts w:ascii="Times New Roman" w:hAnsi="Times New Roman"/>
                <w:b/>
                <w:kern w:val="0"/>
                <w:sz w:val="21"/>
                <w:szCs w:val="21"/>
              </w:rPr>
              <w:t>mg/m</w:t>
            </w:r>
            <w:r w:rsidRPr="001E262C">
              <w:rPr>
                <w:rFonts w:ascii="Times New Roman" w:hAnsi="Times New Roman"/>
                <w:b/>
                <w:kern w:val="0"/>
                <w:sz w:val="21"/>
                <w:szCs w:val="21"/>
                <w:vertAlign w:val="superscript"/>
              </w:rPr>
              <w:t>3</w:t>
            </w:r>
            <w:r w:rsidRPr="001E262C">
              <w:rPr>
                <w:rFonts w:ascii="Times New Roman" w:hAnsi="Times New Roman"/>
                <w:b/>
                <w:kern w:val="0"/>
                <w:sz w:val="21"/>
                <w:szCs w:val="21"/>
              </w:rPr>
              <w:t>）</w:t>
            </w:r>
          </w:p>
        </w:tc>
        <w:tc>
          <w:tcPr>
            <w:tcW w:w="2012" w:type="pct"/>
            <w:vAlign w:val="center"/>
          </w:tcPr>
          <w:p w:rsidR="004E3021" w:rsidRPr="001E262C" w:rsidRDefault="00606E48" w:rsidP="001E262C">
            <w:pPr>
              <w:widowControl/>
              <w:spacing w:line="360" w:lineRule="exact"/>
              <w:ind w:firstLineChars="0" w:firstLine="0"/>
              <w:jc w:val="center"/>
              <w:rPr>
                <w:rFonts w:ascii="Times New Roman" w:hAnsi="Times New Roman"/>
                <w:b/>
                <w:kern w:val="0"/>
                <w:sz w:val="21"/>
                <w:szCs w:val="21"/>
              </w:rPr>
            </w:pPr>
            <w:r w:rsidRPr="001E262C">
              <w:rPr>
                <w:rFonts w:ascii="Times New Roman" w:hAnsi="Times New Roman"/>
                <w:b/>
                <w:kern w:val="0"/>
                <w:sz w:val="21"/>
                <w:szCs w:val="21"/>
              </w:rPr>
              <w:t>毒性终点浓度</w:t>
            </w:r>
            <w:r w:rsidRPr="001E262C">
              <w:rPr>
                <w:rFonts w:ascii="Times New Roman" w:hAnsi="Times New Roman"/>
                <w:b/>
                <w:kern w:val="0"/>
                <w:sz w:val="21"/>
                <w:szCs w:val="21"/>
              </w:rPr>
              <w:t>-2</w:t>
            </w:r>
            <w:r w:rsidRPr="001E262C">
              <w:rPr>
                <w:rFonts w:ascii="Times New Roman" w:hAnsi="Times New Roman"/>
                <w:b/>
                <w:kern w:val="0"/>
                <w:sz w:val="21"/>
                <w:szCs w:val="21"/>
              </w:rPr>
              <w:t>（</w:t>
            </w:r>
            <w:r w:rsidRPr="001E262C">
              <w:rPr>
                <w:rFonts w:ascii="Times New Roman" w:hAnsi="Times New Roman"/>
                <w:b/>
                <w:kern w:val="0"/>
                <w:sz w:val="21"/>
                <w:szCs w:val="21"/>
              </w:rPr>
              <w:t>mg/m</w:t>
            </w:r>
            <w:r w:rsidRPr="001E262C">
              <w:rPr>
                <w:rFonts w:ascii="Times New Roman" w:hAnsi="Times New Roman"/>
                <w:b/>
                <w:kern w:val="0"/>
                <w:sz w:val="21"/>
                <w:szCs w:val="21"/>
                <w:vertAlign w:val="superscript"/>
              </w:rPr>
              <w:t>3</w:t>
            </w:r>
            <w:r w:rsidRPr="001E262C">
              <w:rPr>
                <w:rFonts w:ascii="Times New Roman" w:hAnsi="Times New Roman"/>
                <w:b/>
                <w:kern w:val="0"/>
                <w:sz w:val="21"/>
                <w:szCs w:val="21"/>
              </w:rPr>
              <w:t>）</w:t>
            </w:r>
          </w:p>
        </w:tc>
      </w:tr>
      <w:tr w:rsidR="004E3021" w:rsidRPr="001E262C" w:rsidTr="001E262C">
        <w:tc>
          <w:tcPr>
            <w:tcW w:w="1108" w:type="pct"/>
            <w:vAlign w:val="center"/>
          </w:tcPr>
          <w:p w:rsidR="004E3021" w:rsidRPr="001E262C" w:rsidRDefault="00606E48" w:rsidP="001E262C">
            <w:pPr>
              <w:widowControl/>
              <w:spacing w:line="360" w:lineRule="exact"/>
              <w:ind w:firstLineChars="0" w:firstLine="0"/>
              <w:jc w:val="center"/>
              <w:rPr>
                <w:rFonts w:ascii="Times New Roman" w:hAnsi="Times New Roman"/>
                <w:kern w:val="0"/>
                <w:sz w:val="21"/>
                <w:szCs w:val="21"/>
              </w:rPr>
            </w:pPr>
            <w:r w:rsidRPr="001E262C">
              <w:rPr>
                <w:rFonts w:ascii="Times New Roman" w:hAnsi="Times New Roman"/>
                <w:kern w:val="0"/>
                <w:sz w:val="21"/>
                <w:szCs w:val="21"/>
              </w:rPr>
              <w:t>CO</w:t>
            </w:r>
          </w:p>
        </w:tc>
        <w:tc>
          <w:tcPr>
            <w:tcW w:w="1880" w:type="pct"/>
            <w:vAlign w:val="center"/>
          </w:tcPr>
          <w:p w:rsidR="004E3021" w:rsidRPr="001E262C" w:rsidRDefault="00606E48" w:rsidP="001E262C">
            <w:pPr>
              <w:widowControl/>
              <w:spacing w:line="360" w:lineRule="exact"/>
              <w:ind w:firstLineChars="0" w:firstLine="0"/>
              <w:jc w:val="center"/>
              <w:rPr>
                <w:rFonts w:ascii="Times New Roman" w:hAnsi="Times New Roman"/>
                <w:kern w:val="0"/>
                <w:sz w:val="21"/>
                <w:szCs w:val="21"/>
              </w:rPr>
            </w:pPr>
            <w:r w:rsidRPr="001E262C">
              <w:rPr>
                <w:rFonts w:ascii="Times New Roman" w:hAnsi="Times New Roman"/>
                <w:kern w:val="0"/>
                <w:sz w:val="21"/>
                <w:szCs w:val="21"/>
              </w:rPr>
              <w:t>380</w:t>
            </w:r>
          </w:p>
        </w:tc>
        <w:tc>
          <w:tcPr>
            <w:tcW w:w="2012" w:type="pct"/>
            <w:vAlign w:val="center"/>
          </w:tcPr>
          <w:p w:rsidR="004E3021" w:rsidRPr="001E262C" w:rsidRDefault="00606E48" w:rsidP="001E262C">
            <w:pPr>
              <w:widowControl/>
              <w:spacing w:line="360" w:lineRule="exact"/>
              <w:ind w:firstLineChars="0" w:firstLine="0"/>
              <w:jc w:val="center"/>
              <w:rPr>
                <w:rFonts w:ascii="Times New Roman" w:hAnsi="Times New Roman"/>
                <w:kern w:val="0"/>
                <w:sz w:val="21"/>
                <w:szCs w:val="21"/>
              </w:rPr>
            </w:pPr>
            <w:r w:rsidRPr="001E262C">
              <w:rPr>
                <w:rFonts w:ascii="Times New Roman" w:hAnsi="Times New Roman"/>
                <w:kern w:val="0"/>
                <w:sz w:val="21"/>
                <w:szCs w:val="21"/>
              </w:rPr>
              <w:t>95</w:t>
            </w:r>
          </w:p>
        </w:tc>
      </w:tr>
    </w:tbl>
    <w:p w:rsidR="004E3021" w:rsidRDefault="00606E48">
      <w:pPr>
        <w:pStyle w:val="4a"/>
      </w:pPr>
      <w:r>
        <w:rPr>
          <w:rFonts w:hint="eastAsia"/>
        </w:rPr>
        <w:t>5.6.6.2</w:t>
      </w:r>
      <w:r w:rsidR="001E262C">
        <w:rPr>
          <w:rFonts w:hint="eastAsia"/>
        </w:rPr>
        <w:t>乙炔气柜</w:t>
      </w:r>
      <w:r>
        <w:t>泄漏事故</w:t>
      </w:r>
    </w:p>
    <w:p w:rsidR="004E3021" w:rsidRDefault="001E262C">
      <w:pPr>
        <w:spacing w:line="500" w:lineRule="exact"/>
        <w:ind w:firstLine="480"/>
      </w:pPr>
      <w:r>
        <w:rPr>
          <w:rFonts w:hint="eastAsia"/>
        </w:rPr>
        <w:lastRenderedPageBreak/>
        <w:t>乙炔</w:t>
      </w:r>
      <w:r w:rsidR="00606E48">
        <w:rPr>
          <w:rFonts w:hint="eastAsia"/>
        </w:rPr>
        <w:t>泄漏气体速率计算公式，具体如下：</w:t>
      </w:r>
    </w:p>
    <w:p w:rsidR="004E3021" w:rsidRDefault="00606E48">
      <w:pPr>
        <w:spacing w:line="500" w:lineRule="exact"/>
        <w:ind w:firstLine="480"/>
      </w:pPr>
      <w:r>
        <w:rPr>
          <w:rFonts w:hint="eastAsia"/>
        </w:rPr>
        <w:t>当气体流速在音速范围（临界流）：</w:t>
      </w:r>
    </w:p>
    <w:p w:rsidR="004E3021" w:rsidRDefault="00E8730B">
      <w:pPr>
        <w:spacing w:line="300" w:lineRule="auto"/>
        <w:ind w:firstLine="480"/>
        <w:jc w:val="left"/>
        <w:rPr>
          <w:rFonts w:cs="宋体"/>
        </w:rPr>
      </w:pPr>
      <w:r>
        <w:object w:dxaOrig="1440" w:dyaOrig="1440">
          <v:shape id="Picture 25" o:spid="_x0000_s1071" type="#_x0000_t75" style="position:absolute;left:0;text-align:left;margin-left:170pt;margin-top:5.5pt;width:82pt;height:41pt;z-index:251663360;mso-width-relative:page;mso-height-relative:page">
            <v:imagedata r:id="rId115" o:title=""/>
          </v:shape>
          <o:OLEObject Type="Embed" ProgID="Equation.3" ShapeID="Picture 25" DrawAspect="Content" ObjectID="_1832392376" r:id="rId116"/>
        </w:object>
      </w:r>
    </w:p>
    <w:p w:rsidR="004E3021" w:rsidRDefault="004E3021">
      <w:pPr>
        <w:autoSpaceDE w:val="0"/>
        <w:autoSpaceDN w:val="0"/>
        <w:spacing w:line="300" w:lineRule="auto"/>
        <w:ind w:firstLine="480"/>
        <w:jc w:val="left"/>
      </w:pPr>
    </w:p>
    <w:p w:rsidR="004E3021" w:rsidRDefault="00606E48">
      <w:pPr>
        <w:autoSpaceDE w:val="0"/>
        <w:autoSpaceDN w:val="0"/>
        <w:spacing w:line="300" w:lineRule="auto"/>
        <w:ind w:firstLine="480"/>
        <w:jc w:val="left"/>
      </w:pPr>
      <w:r>
        <w:t xml:space="preserve">                                                              </w:t>
      </w:r>
    </w:p>
    <w:p w:rsidR="004E3021" w:rsidRDefault="00606E48">
      <w:pPr>
        <w:spacing w:line="500" w:lineRule="exact"/>
        <w:ind w:firstLine="480"/>
      </w:pPr>
      <w:r>
        <w:rPr>
          <w:rFonts w:hint="eastAsia"/>
        </w:rPr>
        <w:t>当气体流速在亚音速范围</w:t>
      </w:r>
      <w:r>
        <w:t>(</w:t>
      </w:r>
      <w:r>
        <w:rPr>
          <w:rFonts w:hint="eastAsia"/>
        </w:rPr>
        <w:t>次临界流</w:t>
      </w:r>
      <w:r>
        <w:t>)</w:t>
      </w:r>
      <w:r>
        <w:rPr>
          <w:rFonts w:hint="eastAsia"/>
        </w:rPr>
        <w:t>：</w:t>
      </w:r>
    </w:p>
    <w:p w:rsidR="004E3021" w:rsidRDefault="00E8730B">
      <w:pPr>
        <w:autoSpaceDE w:val="0"/>
        <w:autoSpaceDN w:val="0"/>
        <w:spacing w:line="300" w:lineRule="auto"/>
        <w:ind w:firstLine="480"/>
        <w:jc w:val="left"/>
      </w:pPr>
      <w:r>
        <w:object w:dxaOrig="1440" w:dyaOrig="1440">
          <v:shape id="Picture 26" o:spid="_x0000_s1072" type="#_x0000_t75" style="position:absolute;left:0;text-align:left;margin-left:174pt;margin-top:1pt;width:78pt;height:41pt;z-index:251664384;mso-width-relative:page;mso-height-relative:page">
            <v:imagedata r:id="rId117" o:title=""/>
          </v:shape>
          <o:OLEObject Type="Embed" ProgID="Equation.3" ShapeID="Picture 26" DrawAspect="Content" ObjectID="_1832392377" r:id="rId118"/>
        </w:object>
      </w:r>
    </w:p>
    <w:p w:rsidR="004E3021" w:rsidRDefault="00E8730B">
      <w:pPr>
        <w:spacing w:line="500" w:lineRule="exact"/>
        <w:ind w:firstLine="480"/>
      </w:pPr>
      <w:r>
        <w:object w:dxaOrig="1440" w:dyaOrig="1440">
          <v:shape id="Picture 27" o:spid="_x0000_s1073" type="#_x0000_t75" style="position:absolute;left:0;text-align:left;margin-left:0;margin-top:0;width:9pt;height:17pt;z-index:251665408;mso-wrap-distance-top:0;mso-wrap-distance-bottom:0;mso-width-relative:page;mso-height-relative:page" o:allowincell="f">
            <v:imagedata r:id="rId119" o:title=""/>
            <w10:wrap type="topAndBottom"/>
          </v:shape>
          <o:OLEObject Type="Embed" ProgID="Equation.3" ShapeID="Picture 27" DrawAspect="Content" ObjectID="_1832392378" r:id="rId120"/>
        </w:object>
      </w:r>
      <w:r w:rsidR="00606E48">
        <w:rPr>
          <w:rFonts w:hint="eastAsia"/>
        </w:rPr>
        <w:t>式中：</w:t>
      </w:r>
      <w:r w:rsidR="00606E48">
        <w:t>P</w:t>
      </w:r>
      <w:r w:rsidR="00606E48">
        <w:rPr>
          <w:vertAlign w:val="subscript"/>
        </w:rPr>
        <w:t>0</w:t>
      </w:r>
      <w:r w:rsidR="00606E48">
        <w:rPr>
          <w:rFonts w:hint="eastAsia"/>
        </w:rPr>
        <w:t>—环境压力，</w:t>
      </w:r>
      <w:r w:rsidR="00606E48">
        <w:t>Pa</w:t>
      </w:r>
      <w:r w:rsidR="00606E48">
        <w:rPr>
          <w:rFonts w:hint="eastAsia"/>
        </w:rPr>
        <w:t>；</w:t>
      </w:r>
    </w:p>
    <w:p w:rsidR="004E3021" w:rsidRDefault="00606E48">
      <w:pPr>
        <w:spacing w:line="500" w:lineRule="exact"/>
        <w:ind w:firstLine="480"/>
      </w:pPr>
      <w:r>
        <w:t xml:space="preserve">      </w:t>
      </w:r>
      <w:r>
        <w:rPr>
          <w:rFonts w:hint="eastAsia"/>
        </w:rPr>
        <w:t>γ—气体的绝热指数（热容比），即定压热容</w:t>
      </w:r>
      <w:r>
        <w:t>Cp</w:t>
      </w:r>
      <w:r>
        <w:rPr>
          <w:rFonts w:hint="eastAsia"/>
        </w:rPr>
        <w:t>与定容热容</w:t>
      </w:r>
      <w:r>
        <w:t>C</w:t>
      </w:r>
      <w:r>
        <w:rPr>
          <w:vertAlign w:val="subscript"/>
        </w:rPr>
        <w:t>V</w:t>
      </w:r>
      <w:r>
        <w:rPr>
          <w:rFonts w:hint="eastAsia"/>
        </w:rPr>
        <w:t>之比。</w:t>
      </w:r>
    </w:p>
    <w:p w:rsidR="004E3021" w:rsidRDefault="00606E48">
      <w:pPr>
        <w:spacing w:line="500" w:lineRule="exact"/>
        <w:ind w:firstLine="480"/>
      </w:pPr>
      <w:r>
        <w:rPr>
          <w:rFonts w:hint="eastAsia"/>
        </w:rPr>
        <w:t>假定气体的特性是理想气体，气体泄漏速度</w:t>
      </w:r>
      <w:r>
        <w:t>Q</w:t>
      </w:r>
      <w:r>
        <w:rPr>
          <w:vertAlign w:val="subscript"/>
        </w:rPr>
        <w:t>G</w:t>
      </w:r>
      <w:r>
        <w:rPr>
          <w:rFonts w:hint="eastAsia"/>
        </w:rPr>
        <w:t>按下式计算：</w:t>
      </w:r>
    </w:p>
    <w:p w:rsidR="004E3021" w:rsidRDefault="00E8730B">
      <w:pPr>
        <w:autoSpaceDE w:val="0"/>
        <w:autoSpaceDN w:val="0"/>
        <w:spacing w:line="300" w:lineRule="auto"/>
        <w:ind w:firstLine="480"/>
        <w:jc w:val="left"/>
      </w:pPr>
      <w:r>
        <w:object w:dxaOrig="1440" w:dyaOrig="1440">
          <v:shape id="Picture 28" o:spid="_x0000_s1074" type="#_x0000_t75" style="position:absolute;left:0;text-align:left;margin-left:126.75pt;margin-top:1.4pt;width:153pt;height:47pt;z-index:251666432;mso-width-relative:page;mso-height-relative:page">
            <v:imagedata r:id="rId121" o:title=""/>
          </v:shape>
          <o:OLEObject Type="Embed" ProgID="Equation.3" ShapeID="Picture 28" DrawAspect="Content" ObjectID="_1832392379" r:id="rId122"/>
        </w:object>
      </w:r>
      <w:r w:rsidR="00606E48">
        <w:t xml:space="preserve">                                                              </w:t>
      </w:r>
    </w:p>
    <w:p w:rsidR="004E3021" w:rsidRDefault="004E3021">
      <w:pPr>
        <w:autoSpaceDE w:val="0"/>
        <w:autoSpaceDN w:val="0"/>
        <w:spacing w:line="300" w:lineRule="auto"/>
        <w:ind w:firstLine="480"/>
        <w:jc w:val="left"/>
      </w:pPr>
    </w:p>
    <w:p w:rsidR="004E3021" w:rsidRDefault="004E3021">
      <w:pPr>
        <w:autoSpaceDE w:val="0"/>
        <w:autoSpaceDN w:val="0"/>
        <w:spacing w:line="300" w:lineRule="auto"/>
        <w:ind w:firstLine="480"/>
        <w:jc w:val="left"/>
      </w:pPr>
    </w:p>
    <w:p w:rsidR="004E3021" w:rsidRDefault="00606E48">
      <w:pPr>
        <w:spacing w:line="500" w:lineRule="exact"/>
        <w:ind w:firstLine="480"/>
      </w:pPr>
      <w:r>
        <w:rPr>
          <w:rFonts w:hint="eastAsia"/>
        </w:rPr>
        <w:t>式中：</w:t>
      </w:r>
      <w:r>
        <w:t>Q</w:t>
      </w:r>
      <w:r>
        <w:rPr>
          <w:vertAlign w:val="subscript"/>
        </w:rPr>
        <w:t>G</w:t>
      </w:r>
      <w:r>
        <w:rPr>
          <w:rFonts w:hint="eastAsia"/>
        </w:rPr>
        <w:t>—气体泄漏速度，</w:t>
      </w:r>
      <w:r>
        <w:t>kg/s</w:t>
      </w:r>
      <w:r>
        <w:rPr>
          <w:rFonts w:hint="eastAsia"/>
        </w:rPr>
        <w:t>；</w:t>
      </w:r>
    </w:p>
    <w:p w:rsidR="004E3021" w:rsidRDefault="00606E48">
      <w:pPr>
        <w:spacing w:line="500" w:lineRule="exact"/>
        <w:ind w:firstLine="480"/>
      </w:pPr>
      <w:r>
        <w:t xml:space="preserve">      P</w:t>
      </w:r>
      <w:r>
        <w:rPr>
          <w:rFonts w:hint="eastAsia"/>
        </w:rPr>
        <w:t>—容器压力，</w:t>
      </w:r>
      <w:r>
        <w:t>Pa</w:t>
      </w:r>
      <w:r>
        <w:rPr>
          <w:rFonts w:hint="eastAsia"/>
        </w:rPr>
        <w:t>；</w:t>
      </w:r>
    </w:p>
    <w:p w:rsidR="004E3021" w:rsidRDefault="00606E48">
      <w:pPr>
        <w:spacing w:line="500" w:lineRule="exact"/>
        <w:ind w:firstLine="480"/>
      </w:pPr>
      <w:r>
        <w:t xml:space="preserve">      C</w:t>
      </w:r>
      <w:r>
        <w:rPr>
          <w:vertAlign w:val="subscript"/>
        </w:rPr>
        <w:t>d</w:t>
      </w:r>
      <w:r>
        <w:rPr>
          <w:rFonts w:hint="eastAsia"/>
        </w:rPr>
        <w:t>—气体泄漏系数；</w:t>
      </w:r>
    </w:p>
    <w:p w:rsidR="004E3021" w:rsidRDefault="00606E48">
      <w:pPr>
        <w:spacing w:line="500" w:lineRule="exact"/>
        <w:ind w:firstLine="480"/>
      </w:pPr>
      <w:r>
        <w:rPr>
          <w:rFonts w:hint="eastAsia"/>
        </w:rPr>
        <w:t xml:space="preserve">      </w:t>
      </w:r>
      <w:r>
        <w:rPr>
          <w:rFonts w:hint="eastAsia"/>
        </w:rPr>
        <w:t>当裂口形状位圆形时取</w:t>
      </w:r>
      <w:r>
        <w:t>1.00</w:t>
      </w:r>
      <w:r>
        <w:rPr>
          <w:rFonts w:hint="eastAsia"/>
        </w:rPr>
        <w:t>，三角形时取</w:t>
      </w:r>
      <w:r>
        <w:t>0.95</w:t>
      </w:r>
      <w:r>
        <w:rPr>
          <w:rFonts w:hint="eastAsia"/>
        </w:rPr>
        <w:t>，长方形时取</w:t>
      </w:r>
      <w:r>
        <w:t>0.90</w:t>
      </w:r>
      <w:r>
        <w:rPr>
          <w:rFonts w:hint="eastAsia"/>
        </w:rPr>
        <w:t>；</w:t>
      </w:r>
    </w:p>
    <w:p w:rsidR="004E3021" w:rsidRDefault="00606E48">
      <w:pPr>
        <w:spacing w:line="500" w:lineRule="exact"/>
        <w:ind w:firstLine="480"/>
      </w:pPr>
      <w:r>
        <w:t xml:space="preserve">      A</w:t>
      </w:r>
      <w:r>
        <w:rPr>
          <w:rFonts w:hint="eastAsia"/>
        </w:rPr>
        <w:t>—裂口面积，</w:t>
      </w:r>
      <w:r>
        <w:t>m</w:t>
      </w:r>
      <w:r>
        <w:rPr>
          <w:vertAlign w:val="superscript"/>
        </w:rPr>
        <w:t>2</w:t>
      </w:r>
      <w:r>
        <w:rPr>
          <w:rFonts w:hint="eastAsia"/>
        </w:rPr>
        <w:t>；</w:t>
      </w:r>
    </w:p>
    <w:p w:rsidR="004E3021" w:rsidRDefault="00606E48">
      <w:pPr>
        <w:spacing w:line="500" w:lineRule="exact"/>
        <w:ind w:firstLine="480"/>
      </w:pPr>
      <w:r>
        <w:t xml:space="preserve">      M</w:t>
      </w:r>
      <w:r>
        <w:rPr>
          <w:rFonts w:hint="eastAsia"/>
        </w:rPr>
        <w:t>—分子量；</w:t>
      </w:r>
    </w:p>
    <w:p w:rsidR="004E3021" w:rsidRDefault="00606E48">
      <w:pPr>
        <w:spacing w:line="500" w:lineRule="exact"/>
        <w:ind w:firstLine="480"/>
      </w:pPr>
      <w:r>
        <w:t xml:space="preserve">      R</w:t>
      </w:r>
      <w:r>
        <w:rPr>
          <w:rFonts w:hint="eastAsia"/>
        </w:rPr>
        <w:t>—气体常数，</w:t>
      </w:r>
      <w:r>
        <w:t>J/(mol·k)</w:t>
      </w:r>
      <w:r>
        <w:rPr>
          <w:rFonts w:hint="eastAsia"/>
        </w:rPr>
        <w:t>；</w:t>
      </w:r>
    </w:p>
    <w:p w:rsidR="004E3021" w:rsidRDefault="00606E48">
      <w:pPr>
        <w:spacing w:line="500" w:lineRule="exact"/>
        <w:ind w:firstLine="480"/>
      </w:pPr>
      <w:r>
        <w:t xml:space="preserve">      T</w:t>
      </w:r>
      <w:r>
        <w:rPr>
          <w:vertAlign w:val="subscript"/>
        </w:rPr>
        <w:t>G</w:t>
      </w:r>
      <w:r>
        <w:rPr>
          <w:rFonts w:hint="eastAsia"/>
        </w:rPr>
        <w:t>—气体温度，</w:t>
      </w:r>
      <w:r>
        <w:t>K</w:t>
      </w:r>
      <w:r>
        <w:rPr>
          <w:rFonts w:hint="eastAsia"/>
        </w:rPr>
        <w:t>；</w:t>
      </w:r>
    </w:p>
    <w:p w:rsidR="004E3021" w:rsidRDefault="00606E48">
      <w:pPr>
        <w:spacing w:line="500" w:lineRule="exact"/>
        <w:ind w:firstLine="480"/>
      </w:pPr>
      <w:r>
        <w:t xml:space="preserve">      Y-</w:t>
      </w:r>
      <w:r>
        <w:rPr>
          <w:rFonts w:hint="eastAsia"/>
        </w:rPr>
        <w:t>流出系数，对于临界流</w:t>
      </w:r>
      <w:r>
        <w:t>Y=1.0</w:t>
      </w:r>
      <w:r>
        <w:rPr>
          <w:rFonts w:hint="eastAsia"/>
        </w:rPr>
        <w:t>对于次临界流按下式计算：</w:t>
      </w:r>
    </w:p>
    <w:p w:rsidR="004E3021" w:rsidRDefault="00E8730B">
      <w:pPr>
        <w:autoSpaceDE w:val="0"/>
        <w:autoSpaceDN w:val="0"/>
        <w:spacing w:line="300" w:lineRule="auto"/>
        <w:ind w:firstLine="480"/>
        <w:jc w:val="left"/>
      </w:pPr>
      <w:r>
        <w:object w:dxaOrig="1440" w:dyaOrig="1440">
          <v:shape id="Picture 29" o:spid="_x0000_s1075" type="#_x0000_t75" style="position:absolute;left:0;text-align:left;margin-left:75.75pt;margin-top:4.65pt;width:272pt;height:59pt;z-index:251667456;mso-width-relative:page;mso-height-relative:page">
            <v:imagedata r:id="rId123" o:title=""/>
          </v:shape>
          <o:OLEObject Type="Embed" ProgID="Equation.3" ShapeID="Picture 29" DrawAspect="Content" ObjectID="_1832392380" r:id="rId124"/>
        </w:object>
      </w:r>
      <w:r w:rsidR="00606E48">
        <w:t xml:space="preserve">                                                              </w:t>
      </w:r>
    </w:p>
    <w:p w:rsidR="004E3021" w:rsidRDefault="004E3021">
      <w:pPr>
        <w:autoSpaceDE w:val="0"/>
        <w:autoSpaceDN w:val="0"/>
        <w:spacing w:line="300" w:lineRule="auto"/>
        <w:ind w:firstLine="480"/>
        <w:jc w:val="left"/>
        <w:rPr>
          <w:rFonts w:cs="宋体"/>
        </w:rPr>
      </w:pPr>
    </w:p>
    <w:p w:rsidR="004E3021" w:rsidRDefault="004E3021">
      <w:pPr>
        <w:autoSpaceDE w:val="0"/>
        <w:autoSpaceDN w:val="0"/>
        <w:spacing w:line="500" w:lineRule="exact"/>
        <w:ind w:firstLine="480"/>
        <w:jc w:val="left"/>
      </w:pPr>
    </w:p>
    <w:p w:rsidR="004E3021" w:rsidRDefault="00606E48">
      <w:pPr>
        <w:autoSpaceDE w:val="0"/>
        <w:autoSpaceDN w:val="0"/>
        <w:spacing w:line="500" w:lineRule="exact"/>
        <w:ind w:firstLine="480"/>
        <w:jc w:val="left"/>
        <w:rPr>
          <w:rFonts w:cs="宋体"/>
        </w:rPr>
      </w:pPr>
      <w:r>
        <w:rPr>
          <w:rFonts w:hint="eastAsia"/>
        </w:rPr>
        <w:t>对于泄漏主要考虑装置管道接口断裂。具体源强见表</w:t>
      </w:r>
      <w:r>
        <w:t>7</w:t>
      </w:r>
      <w:r>
        <w:rPr>
          <w:rFonts w:hint="eastAsia"/>
        </w:rPr>
        <w:t>.</w:t>
      </w:r>
      <w:r>
        <w:t>2</w:t>
      </w:r>
      <w:r>
        <w:rPr>
          <w:rFonts w:hint="eastAsia"/>
        </w:rPr>
        <w:t>-</w:t>
      </w:r>
      <w:r>
        <w:t>1</w:t>
      </w:r>
      <w:r>
        <w:rPr>
          <w:rFonts w:hint="eastAsia"/>
        </w:rPr>
        <w:t>。由计算结果可知，</w:t>
      </w:r>
      <w:r w:rsidR="001E262C">
        <w:rPr>
          <w:rFonts w:hint="eastAsia"/>
        </w:rPr>
        <w:t>乙炔</w:t>
      </w:r>
      <w:r>
        <w:rPr>
          <w:rFonts w:hint="eastAsia"/>
        </w:rPr>
        <w:t>泄漏气体流速在音速范围</w:t>
      </w:r>
      <w:r>
        <w:t>(</w:t>
      </w:r>
      <w:r>
        <w:rPr>
          <w:rFonts w:hint="eastAsia"/>
        </w:rPr>
        <w:t>临界流</w:t>
      </w:r>
      <w:r>
        <w:t>)</w:t>
      </w:r>
      <w:r>
        <w:rPr>
          <w:rFonts w:hint="eastAsia"/>
        </w:rPr>
        <w:t>，</w:t>
      </w:r>
      <w:r>
        <w:t>Y=1.0</w:t>
      </w:r>
      <w:r>
        <w:rPr>
          <w:rFonts w:hint="eastAsia"/>
        </w:rPr>
        <w:t>。</w:t>
      </w:r>
    </w:p>
    <w:p w:rsidR="004E3021" w:rsidRDefault="00606E48">
      <w:pPr>
        <w:pStyle w:val="afffff4"/>
      </w:pPr>
      <w:r>
        <w:rPr>
          <w:rFonts w:hint="eastAsia"/>
        </w:rPr>
        <w:t>表</w:t>
      </w:r>
      <w:r>
        <w:t>5.6.6-2</w:t>
      </w:r>
      <w:r>
        <w:rPr>
          <w:rFonts w:hint="eastAsia"/>
        </w:rPr>
        <w:t xml:space="preserve">  </w:t>
      </w:r>
      <w:r>
        <w:rPr>
          <w:rFonts w:hint="eastAsia"/>
        </w:rPr>
        <w:t>氯化氢</w:t>
      </w:r>
      <w:r>
        <w:t>钢瓶泄漏</w:t>
      </w:r>
      <w:r>
        <w:rPr>
          <w:rFonts w:hint="eastAsia"/>
        </w:rPr>
        <w:t>源强分析</w:t>
      </w:r>
    </w:p>
    <w:tbl>
      <w:tblPr>
        <w:tblStyle w:val="1ffffffd"/>
        <w:tblW w:w="5000" w:type="pct"/>
        <w:tblLook w:val="04A0" w:firstRow="1" w:lastRow="0" w:firstColumn="1" w:lastColumn="0" w:noHBand="0" w:noVBand="1"/>
      </w:tblPr>
      <w:tblGrid>
        <w:gridCol w:w="1657"/>
        <w:gridCol w:w="3636"/>
        <w:gridCol w:w="3734"/>
      </w:tblGrid>
      <w:tr w:rsidR="004E3021" w:rsidRPr="001E262C" w:rsidTr="001E262C">
        <w:trPr>
          <w:trHeight w:val="284"/>
        </w:trPr>
        <w:tc>
          <w:tcPr>
            <w:tcW w:w="918" w:type="pct"/>
            <w:vAlign w:val="center"/>
          </w:tcPr>
          <w:p w:rsidR="004E3021" w:rsidRPr="001E262C" w:rsidRDefault="00606E48" w:rsidP="001E262C">
            <w:pPr>
              <w:pStyle w:val="afffffff2"/>
              <w:rPr>
                <w:rFonts w:ascii="Times New Roman" w:hAnsi="Times New Roman" w:cs="Times New Roman"/>
                <w:b/>
                <w:kern w:val="0"/>
                <w:sz w:val="21"/>
                <w:szCs w:val="21"/>
              </w:rPr>
            </w:pPr>
            <w:r w:rsidRPr="001E262C">
              <w:rPr>
                <w:rFonts w:ascii="Times New Roman" w:hAnsi="Times New Roman" w:cs="Times New Roman"/>
                <w:b/>
                <w:kern w:val="0"/>
                <w:sz w:val="21"/>
                <w:szCs w:val="21"/>
              </w:rPr>
              <w:t>序号</w:t>
            </w:r>
          </w:p>
        </w:tc>
        <w:tc>
          <w:tcPr>
            <w:tcW w:w="2014" w:type="pct"/>
            <w:vAlign w:val="center"/>
          </w:tcPr>
          <w:p w:rsidR="004E3021" w:rsidRPr="001E262C" w:rsidRDefault="00606E48" w:rsidP="001E262C">
            <w:pPr>
              <w:pStyle w:val="afffffff2"/>
              <w:rPr>
                <w:rFonts w:ascii="Times New Roman" w:hAnsi="Times New Roman" w:cs="Times New Roman"/>
                <w:b/>
                <w:kern w:val="0"/>
                <w:sz w:val="21"/>
                <w:szCs w:val="21"/>
              </w:rPr>
            </w:pPr>
            <w:r w:rsidRPr="001E262C">
              <w:rPr>
                <w:rFonts w:ascii="Times New Roman" w:hAnsi="Times New Roman" w:cs="Times New Roman"/>
                <w:b/>
                <w:kern w:val="0"/>
                <w:sz w:val="21"/>
                <w:szCs w:val="21"/>
              </w:rPr>
              <w:t>事故工况与源强参数</w:t>
            </w:r>
          </w:p>
        </w:tc>
        <w:tc>
          <w:tcPr>
            <w:tcW w:w="2068" w:type="pct"/>
            <w:vAlign w:val="center"/>
          </w:tcPr>
          <w:p w:rsidR="004E3021" w:rsidRPr="001E262C" w:rsidRDefault="00606E48" w:rsidP="001E262C">
            <w:pPr>
              <w:pStyle w:val="afffffff2"/>
              <w:rPr>
                <w:rFonts w:ascii="Times New Roman" w:hAnsi="Times New Roman" w:cs="Times New Roman"/>
                <w:b/>
                <w:kern w:val="0"/>
                <w:sz w:val="21"/>
                <w:szCs w:val="21"/>
              </w:rPr>
            </w:pPr>
            <w:r w:rsidRPr="001E262C">
              <w:rPr>
                <w:rFonts w:ascii="Times New Roman" w:hAnsi="Times New Roman" w:cs="Times New Roman"/>
                <w:b/>
                <w:kern w:val="0"/>
                <w:sz w:val="21"/>
                <w:szCs w:val="21"/>
              </w:rPr>
              <w:t>氯化氢</w:t>
            </w:r>
          </w:p>
        </w:tc>
      </w:tr>
      <w:tr w:rsidR="004E3021" w:rsidRPr="001E262C" w:rsidTr="001E262C">
        <w:trPr>
          <w:trHeight w:val="284"/>
        </w:trPr>
        <w:tc>
          <w:tcPr>
            <w:tcW w:w="918"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1</w:t>
            </w:r>
          </w:p>
        </w:tc>
        <w:tc>
          <w:tcPr>
            <w:tcW w:w="2014"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事故类型</w:t>
            </w:r>
          </w:p>
        </w:tc>
        <w:tc>
          <w:tcPr>
            <w:tcW w:w="2068" w:type="pct"/>
            <w:vAlign w:val="center"/>
          </w:tcPr>
          <w:p w:rsidR="004E3021" w:rsidRPr="001E262C" w:rsidRDefault="001E262C" w:rsidP="001E262C">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气柜</w:t>
            </w:r>
            <w:r w:rsidR="00606E48" w:rsidRPr="001E262C">
              <w:rPr>
                <w:rFonts w:ascii="Times New Roman" w:hAnsi="Times New Roman" w:cs="Times New Roman"/>
                <w:kern w:val="0"/>
                <w:sz w:val="21"/>
                <w:szCs w:val="21"/>
              </w:rPr>
              <w:t>泄漏</w:t>
            </w:r>
          </w:p>
        </w:tc>
      </w:tr>
      <w:tr w:rsidR="004E3021" w:rsidRPr="001E262C" w:rsidTr="001E262C">
        <w:trPr>
          <w:trHeight w:val="284"/>
        </w:trPr>
        <w:tc>
          <w:tcPr>
            <w:tcW w:w="918"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lastRenderedPageBreak/>
              <w:t>2</w:t>
            </w:r>
          </w:p>
        </w:tc>
        <w:tc>
          <w:tcPr>
            <w:tcW w:w="2014"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环境压力</w:t>
            </w:r>
            <w:r w:rsidRPr="001E262C">
              <w:rPr>
                <w:rFonts w:ascii="Times New Roman" w:hAnsi="Times New Roman" w:cs="Times New Roman"/>
                <w:kern w:val="0"/>
                <w:sz w:val="21"/>
                <w:szCs w:val="21"/>
              </w:rPr>
              <w:t>Pa</w:t>
            </w:r>
          </w:p>
        </w:tc>
        <w:tc>
          <w:tcPr>
            <w:tcW w:w="2068"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101325</w:t>
            </w:r>
          </w:p>
        </w:tc>
      </w:tr>
      <w:tr w:rsidR="004E3021" w:rsidRPr="001E262C" w:rsidTr="001E262C">
        <w:trPr>
          <w:trHeight w:val="284"/>
        </w:trPr>
        <w:tc>
          <w:tcPr>
            <w:tcW w:w="918"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3</w:t>
            </w:r>
          </w:p>
        </w:tc>
        <w:tc>
          <w:tcPr>
            <w:tcW w:w="2014"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容器压力</w:t>
            </w:r>
            <w:r w:rsidRPr="001E262C">
              <w:rPr>
                <w:rFonts w:ascii="Times New Roman" w:hAnsi="Times New Roman" w:cs="Times New Roman"/>
                <w:kern w:val="0"/>
                <w:sz w:val="21"/>
                <w:szCs w:val="21"/>
              </w:rPr>
              <w:t>Pa</w:t>
            </w:r>
          </w:p>
        </w:tc>
        <w:tc>
          <w:tcPr>
            <w:tcW w:w="2068" w:type="pct"/>
            <w:vAlign w:val="center"/>
          </w:tcPr>
          <w:p w:rsidR="004E3021" w:rsidRPr="001E262C" w:rsidRDefault="00A33F93"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101325</w:t>
            </w:r>
          </w:p>
        </w:tc>
      </w:tr>
      <w:tr w:rsidR="004E3021" w:rsidRPr="001E262C" w:rsidTr="001E262C">
        <w:trPr>
          <w:trHeight w:val="284"/>
        </w:trPr>
        <w:tc>
          <w:tcPr>
            <w:tcW w:w="918"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4</w:t>
            </w:r>
          </w:p>
        </w:tc>
        <w:tc>
          <w:tcPr>
            <w:tcW w:w="2014"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气体温度</w:t>
            </w:r>
            <w:r w:rsidRPr="001E262C">
              <w:rPr>
                <w:rFonts w:ascii="Times New Roman" w:hAnsi="Times New Roman" w:cs="Times New Roman"/>
                <w:kern w:val="0"/>
                <w:sz w:val="21"/>
                <w:szCs w:val="21"/>
              </w:rPr>
              <w:t>(K)</w:t>
            </w:r>
          </w:p>
        </w:tc>
        <w:tc>
          <w:tcPr>
            <w:tcW w:w="2068"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298.15</w:t>
            </w:r>
          </w:p>
        </w:tc>
      </w:tr>
      <w:tr w:rsidR="004E3021" w:rsidRPr="001E262C" w:rsidTr="001E262C">
        <w:trPr>
          <w:trHeight w:val="284"/>
        </w:trPr>
        <w:tc>
          <w:tcPr>
            <w:tcW w:w="918"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5</w:t>
            </w:r>
          </w:p>
        </w:tc>
        <w:tc>
          <w:tcPr>
            <w:tcW w:w="2014"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气体泄漏系数</w:t>
            </w:r>
          </w:p>
        </w:tc>
        <w:tc>
          <w:tcPr>
            <w:tcW w:w="2068"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1.00</w:t>
            </w:r>
            <w:r w:rsidRPr="001E262C">
              <w:rPr>
                <w:rFonts w:ascii="Times New Roman" w:hAnsi="Times New Roman" w:cs="Times New Roman"/>
                <w:kern w:val="0"/>
                <w:sz w:val="21"/>
                <w:szCs w:val="21"/>
              </w:rPr>
              <w:t>（圆形裂口）</w:t>
            </w:r>
          </w:p>
        </w:tc>
      </w:tr>
      <w:tr w:rsidR="004E3021" w:rsidRPr="001E262C" w:rsidTr="001E262C">
        <w:trPr>
          <w:trHeight w:val="284"/>
        </w:trPr>
        <w:tc>
          <w:tcPr>
            <w:tcW w:w="918"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6</w:t>
            </w:r>
          </w:p>
        </w:tc>
        <w:tc>
          <w:tcPr>
            <w:tcW w:w="2014"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裂口面积（</w:t>
            </w:r>
            <w:r w:rsidRPr="001E262C">
              <w:rPr>
                <w:rFonts w:ascii="Times New Roman" w:hAnsi="Times New Roman" w:cs="Times New Roman"/>
                <w:kern w:val="0"/>
                <w:sz w:val="21"/>
                <w:szCs w:val="21"/>
              </w:rPr>
              <w:t>m</w:t>
            </w:r>
            <w:r w:rsidRPr="001E262C">
              <w:rPr>
                <w:rFonts w:ascii="Times New Roman" w:hAnsi="Times New Roman" w:cs="Times New Roman"/>
                <w:kern w:val="0"/>
                <w:sz w:val="21"/>
                <w:szCs w:val="21"/>
                <w:vertAlign w:val="superscript"/>
              </w:rPr>
              <w:t>2</w:t>
            </w:r>
            <w:r w:rsidRPr="001E262C">
              <w:rPr>
                <w:rFonts w:ascii="Times New Roman" w:hAnsi="Times New Roman" w:cs="Times New Roman"/>
                <w:kern w:val="0"/>
                <w:sz w:val="21"/>
                <w:szCs w:val="21"/>
              </w:rPr>
              <w:t>）</w:t>
            </w:r>
          </w:p>
        </w:tc>
        <w:tc>
          <w:tcPr>
            <w:tcW w:w="2068"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7.85×10</w:t>
            </w:r>
            <w:r w:rsidRPr="001E262C">
              <w:rPr>
                <w:rFonts w:ascii="Times New Roman" w:hAnsi="Times New Roman" w:cs="Times New Roman"/>
                <w:kern w:val="0"/>
                <w:sz w:val="21"/>
                <w:szCs w:val="21"/>
                <w:vertAlign w:val="superscript"/>
              </w:rPr>
              <w:t>-6</w:t>
            </w:r>
          </w:p>
        </w:tc>
      </w:tr>
      <w:tr w:rsidR="004E3021" w:rsidRPr="001E262C" w:rsidTr="001E262C">
        <w:trPr>
          <w:trHeight w:val="284"/>
        </w:trPr>
        <w:tc>
          <w:tcPr>
            <w:tcW w:w="918"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7</w:t>
            </w:r>
          </w:p>
        </w:tc>
        <w:tc>
          <w:tcPr>
            <w:tcW w:w="2014"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分子量</w:t>
            </w:r>
          </w:p>
        </w:tc>
        <w:tc>
          <w:tcPr>
            <w:tcW w:w="2068" w:type="pct"/>
            <w:vAlign w:val="center"/>
          </w:tcPr>
          <w:p w:rsidR="004E3021" w:rsidRPr="001E262C" w:rsidRDefault="001E262C" w:rsidP="001E262C">
            <w:pPr>
              <w:pStyle w:val="afffffff2"/>
              <w:rPr>
                <w:rFonts w:ascii="Times New Roman" w:hAnsi="Times New Roman" w:cs="Times New Roman"/>
                <w:kern w:val="0"/>
                <w:sz w:val="21"/>
                <w:szCs w:val="21"/>
              </w:rPr>
            </w:pPr>
            <w:r>
              <w:rPr>
                <w:rFonts w:ascii="Times New Roman" w:hAnsi="Times New Roman" w:cs="Times New Roman"/>
                <w:kern w:val="0"/>
                <w:sz w:val="21"/>
                <w:szCs w:val="21"/>
              </w:rPr>
              <w:t>26.04</w:t>
            </w:r>
          </w:p>
        </w:tc>
      </w:tr>
      <w:tr w:rsidR="004E3021" w:rsidRPr="001E262C" w:rsidTr="001E262C">
        <w:trPr>
          <w:trHeight w:val="284"/>
        </w:trPr>
        <w:tc>
          <w:tcPr>
            <w:tcW w:w="918"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8</w:t>
            </w:r>
          </w:p>
        </w:tc>
        <w:tc>
          <w:tcPr>
            <w:tcW w:w="2014"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气体常数</w:t>
            </w:r>
          </w:p>
        </w:tc>
        <w:tc>
          <w:tcPr>
            <w:tcW w:w="2068"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8.314</w:t>
            </w:r>
          </w:p>
        </w:tc>
      </w:tr>
      <w:tr w:rsidR="004E3021" w:rsidRPr="001E262C" w:rsidTr="001E262C">
        <w:trPr>
          <w:trHeight w:val="284"/>
        </w:trPr>
        <w:tc>
          <w:tcPr>
            <w:tcW w:w="918"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9</w:t>
            </w:r>
          </w:p>
        </w:tc>
        <w:tc>
          <w:tcPr>
            <w:tcW w:w="2014"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泄漏出口气体温度</w:t>
            </w:r>
            <w:r w:rsidRPr="001E262C">
              <w:rPr>
                <w:rFonts w:ascii="Times New Roman" w:hAnsi="Times New Roman" w:cs="Times New Roman"/>
                <w:kern w:val="0"/>
                <w:sz w:val="21"/>
                <w:szCs w:val="21"/>
              </w:rPr>
              <w:t>(℃)</w:t>
            </w:r>
          </w:p>
        </w:tc>
        <w:tc>
          <w:tcPr>
            <w:tcW w:w="2068" w:type="pct"/>
            <w:vAlign w:val="center"/>
          </w:tcPr>
          <w:p w:rsidR="004E3021" w:rsidRPr="001E262C" w:rsidRDefault="001E262C" w:rsidP="001E262C">
            <w:pPr>
              <w:pStyle w:val="afffffff2"/>
              <w:rPr>
                <w:rFonts w:ascii="Times New Roman" w:hAnsi="Times New Roman" w:cs="Times New Roman"/>
                <w:kern w:val="0"/>
                <w:sz w:val="21"/>
                <w:szCs w:val="21"/>
              </w:rPr>
            </w:pPr>
            <w:r>
              <w:rPr>
                <w:rFonts w:ascii="Times New Roman" w:hAnsi="Times New Roman" w:cs="Times New Roman"/>
                <w:kern w:val="0"/>
                <w:sz w:val="21"/>
                <w:szCs w:val="21"/>
              </w:rPr>
              <w:t>25</w:t>
            </w:r>
          </w:p>
        </w:tc>
      </w:tr>
      <w:tr w:rsidR="004E3021" w:rsidRPr="001E262C" w:rsidTr="001E262C">
        <w:trPr>
          <w:trHeight w:val="284"/>
        </w:trPr>
        <w:tc>
          <w:tcPr>
            <w:tcW w:w="918"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10</w:t>
            </w:r>
          </w:p>
        </w:tc>
        <w:tc>
          <w:tcPr>
            <w:tcW w:w="2014"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气体泄漏速率（</w:t>
            </w:r>
            <w:r w:rsidRPr="001E262C">
              <w:rPr>
                <w:rFonts w:ascii="Times New Roman" w:hAnsi="Times New Roman" w:cs="Times New Roman"/>
                <w:kern w:val="0"/>
                <w:sz w:val="21"/>
                <w:szCs w:val="21"/>
              </w:rPr>
              <w:t>kg/s</w:t>
            </w:r>
            <w:r w:rsidRPr="001E262C">
              <w:rPr>
                <w:rFonts w:ascii="Times New Roman" w:hAnsi="Times New Roman" w:cs="Times New Roman"/>
                <w:kern w:val="0"/>
                <w:sz w:val="21"/>
                <w:szCs w:val="21"/>
              </w:rPr>
              <w:t>）</w:t>
            </w:r>
          </w:p>
        </w:tc>
        <w:tc>
          <w:tcPr>
            <w:tcW w:w="2068" w:type="pct"/>
            <w:vAlign w:val="center"/>
          </w:tcPr>
          <w:p w:rsidR="004E3021" w:rsidRPr="001E262C" w:rsidRDefault="00606E48" w:rsidP="001E262C">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0.106</w:t>
            </w:r>
          </w:p>
        </w:tc>
      </w:tr>
    </w:tbl>
    <w:p w:rsidR="004E3021" w:rsidRDefault="00606E48">
      <w:pPr>
        <w:pStyle w:val="afffff4"/>
      </w:pPr>
      <w:r>
        <w:rPr>
          <w:rFonts w:hint="eastAsia"/>
        </w:rPr>
        <w:t>表</w:t>
      </w:r>
      <w:r>
        <w:rPr>
          <w:rFonts w:hint="eastAsia"/>
        </w:rPr>
        <w:t>5.6.</w:t>
      </w:r>
      <w:r>
        <w:t xml:space="preserve">6-3 </w:t>
      </w:r>
      <w:r>
        <w:rPr>
          <w:rFonts w:hint="eastAsia"/>
        </w:rPr>
        <w:t>有毒有害物质终点浓度</w:t>
      </w:r>
    </w:p>
    <w:tbl>
      <w:tblPr>
        <w:tblStyle w:val="1ffffffd"/>
        <w:tblW w:w="5000" w:type="pct"/>
        <w:tblLook w:val="04A0" w:firstRow="1" w:lastRow="0" w:firstColumn="1" w:lastColumn="0" w:noHBand="0" w:noVBand="1"/>
      </w:tblPr>
      <w:tblGrid>
        <w:gridCol w:w="2001"/>
        <w:gridCol w:w="3394"/>
        <w:gridCol w:w="3632"/>
      </w:tblGrid>
      <w:tr w:rsidR="004E3021" w:rsidRPr="001E262C" w:rsidTr="001E262C">
        <w:tc>
          <w:tcPr>
            <w:tcW w:w="1108" w:type="pct"/>
          </w:tcPr>
          <w:p w:rsidR="004E3021" w:rsidRPr="001E262C" w:rsidRDefault="00606E48">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物质名称</w:t>
            </w:r>
          </w:p>
        </w:tc>
        <w:tc>
          <w:tcPr>
            <w:tcW w:w="1880" w:type="pct"/>
          </w:tcPr>
          <w:p w:rsidR="004E3021" w:rsidRPr="001E262C" w:rsidRDefault="00606E48">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毒性终点浓度</w:t>
            </w:r>
            <w:r w:rsidRPr="001E262C">
              <w:rPr>
                <w:rFonts w:ascii="Times New Roman" w:hAnsi="Times New Roman" w:cs="Times New Roman"/>
                <w:kern w:val="0"/>
                <w:sz w:val="21"/>
                <w:szCs w:val="21"/>
              </w:rPr>
              <w:t>-1</w:t>
            </w:r>
            <w:r w:rsidRPr="001E262C">
              <w:rPr>
                <w:rFonts w:ascii="Times New Roman" w:hAnsi="Times New Roman" w:cs="Times New Roman"/>
                <w:kern w:val="0"/>
                <w:sz w:val="21"/>
                <w:szCs w:val="21"/>
              </w:rPr>
              <w:t>（</w:t>
            </w:r>
            <w:r w:rsidRPr="001E262C">
              <w:rPr>
                <w:rFonts w:ascii="Times New Roman" w:hAnsi="Times New Roman" w:cs="Times New Roman"/>
                <w:kern w:val="0"/>
                <w:sz w:val="21"/>
                <w:szCs w:val="21"/>
              </w:rPr>
              <w:t>mg/m</w:t>
            </w:r>
            <w:r w:rsidRPr="001E262C">
              <w:rPr>
                <w:rFonts w:ascii="Times New Roman" w:hAnsi="Times New Roman" w:cs="Times New Roman"/>
                <w:kern w:val="0"/>
                <w:sz w:val="21"/>
                <w:szCs w:val="21"/>
                <w:vertAlign w:val="superscript"/>
              </w:rPr>
              <w:t>3</w:t>
            </w:r>
            <w:r w:rsidRPr="001E262C">
              <w:rPr>
                <w:rFonts w:ascii="Times New Roman" w:hAnsi="Times New Roman" w:cs="Times New Roman"/>
                <w:kern w:val="0"/>
                <w:sz w:val="21"/>
                <w:szCs w:val="21"/>
              </w:rPr>
              <w:t>）</w:t>
            </w:r>
          </w:p>
        </w:tc>
        <w:tc>
          <w:tcPr>
            <w:tcW w:w="2012" w:type="pct"/>
          </w:tcPr>
          <w:p w:rsidR="004E3021" w:rsidRPr="001E262C" w:rsidRDefault="00606E48">
            <w:pPr>
              <w:pStyle w:val="afffffff2"/>
              <w:rPr>
                <w:rFonts w:ascii="Times New Roman" w:hAnsi="Times New Roman" w:cs="Times New Roman"/>
                <w:kern w:val="0"/>
                <w:sz w:val="21"/>
                <w:szCs w:val="21"/>
              </w:rPr>
            </w:pPr>
            <w:r w:rsidRPr="001E262C">
              <w:rPr>
                <w:rFonts w:ascii="Times New Roman" w:hAnsi="Times New Roman" w:cs="Times New Roman"/>
                <w:kern w:val="0"/>
                <w:sz w:val="21"/>
                <w:szCs w:val="21"/>
              </w:rPr>
              <w:t>毒性终点浓度</w:t>
            </w:r>
            <w:r w:rsidRPr="001E262C">
              <w:rPr>
                <w:rFonts w:ascii="Times New Roman" w:hAnsi="Times New Roman" w:cs="Times New Roman"/>
                <w:kern w:val="0"/>
                <w:sz w:val="21"/>
                <w:szCs w:val="21"/>
              </w:rPr>
              <w:t>-2</w:t>
            </w:r>
            <w:r w:rsidRPr="001E262C">
              <w:rPr>
                <w:rFonts w:ascii="Times New Roman" w:hAnsi="Times New Roman" w:cs="Times New Roman"/>
                <w:kern w:val="0"/>
                <w:sz w:val="21"/>
                <w:szCs w:val="21"/>
              </w:rPr>
              <w:t>（</w:t>
            </w:r>
            <w:r w:rsidRPr="001E262C">
              <w:rPr>
                <w:rFonts w:ascii="Times New Roman" w:hAnsi="Times New Roman" w:cs="Times New Roman"/>
                <w:kern w:val="0"/>
                <w:sz w:val="21"/>
                <w:szCs w:val="21"/>
              </w:rPr>
              <w:t>mg/m</w:t>
            </w:r>
            <w:r w:rsidRPr="001E262C">
              <w:rPr>
                <w:rFonts w:ascii="Times New Roman" w:hAnsi="Times New Roman" w:cs="Times New Roman"/>
                <w:kern w:val="0"/>
                <w:sz w:val="21"/>
                <w:szCs w:val="21"/>
                <w:vertAlign w:val="superscript"/>
              </w:rPr>
              <w:t>3</w:t>
            </w:r>
            <w:r w:rsidRPr="001E262C">
              <w:rPr>
                <w:rFonts w:ascii="Times New Roman" w:hAnsi="Times New Roman" w:cs="Times New Roman"/>
                <w:kern w:val="0"/>
                <w:sz w:val="21"/>
                <w:szCs w:val="21"/>
              </w:rPr>
              <w:t>）</w:t>
            </w:r>
          </w:p>
        </w:tc>
      </w:tr>
      <w:tr w:rsidR="004E3021" w:rsidRPr="001E262C" w:rsidTr="001E262C">
        <w:tc>
          <w:tcPr>
            <w:tcW w:w="1108" w:type="pct"/>
          </w:tcPr>
          <w:p w:rsidR="004E3021" w:rsidRPr="001E262C" w:rsidRDefault="001E262C">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乙炔</w:t>
            </w:r>
          </w:p>
        </w:tc>
        <w:tc>
          <w:tcPr>
            <w:tcW w:w="1880" w:type="pct"/>
          </w:tcPr>
          <w:p w:rsidR="004E3021" w:rsidRPr="001E262C" w:rsidRDefault="001E262C">
            <w:pPr>
              <w:pStyle w:val="afffffff2"/>
              <w:rPr>
                <w:rFonts w:ascii="Times New Roman" w:hAnsi="Times New Roman" w:cs="Times New Roman"/>
                <w:kern w:val="0"/>
                <w:sz w:val="21"/>
                <w:szCs w:val="21"/>
              </w:rPr>
            </w:pPr>
            <w:r>
              <w:rPr>
                <w:rFonts w:ascii="Times New Roman" w:hAnsi="Times New Roman" w:cs="Times New Roman"/>
                <w:kern w:val="0"/>
                <w:sz w:val="21"/>
                <w:szCs w:val="21"/>
              </w:rPr>
              <w:t>43000</w:t>
            </w:r>
            <w:r w:rsidR="00606E48" w:rsidRPr="001E262C">
              <w:rPr>
                <w:rFonts w:ascii="Times New Roman" w:hAnsi="Times New Roman" w:cs="Times New Roman"/>
                <w:kern w:val="0"/>
                <w:sz w:val="21"/>
                <w:szCs w:val="21"/>
              </w:rPr>
              <w:t>0</w:t>
            </w:r>
          </w:p>
        </w:tc>
        <w:tc>
          <w:tcPr>
            <w:tcW w:w="2012" w:type="pct"/>
          </w:tcPr>
          <w:p w:rsidR="004E3021" w:rsidRPr="001E262C" w:rsidRDefault="001E262C">
            <w:pPr>
              <w:pStyle w:val="afffffff2"/>
              <w:rPr>
                <w:rFonts w:ascii="Times New Roman" w:hAnsi="Times New Roman" w:cs="Times New Roman"/>
                <w:kern w:val="0"/>
                <w:sz w:val="21"/>
                <w:szCs w:val="21"/>
              </w:rPr>
            </w:pPr>
            <w:r>
              <w:rPr>
                <w:rFonts w:ascii="Times New Roman" w:hAnsi="Times New Roman" w:cs="Times New Roman"/>
                <w:kern w:val="0"/>
                <w:sz w:val="21"/>
                <w:szCs w:val="21"/>
              </w:rPr>
              <w:t>240000</w:t>
            </w:r>
          </w:p>
        </w:tc>
      </w:tr>
    </w:tbl>
    <w:p w:rsidR="004E3021" w:rsidRDefault="00606E48">
      <w:pPr>
        <w:pStyle w:val="4a"/>
      </w:pPr>
      <w:r>
        <w:rPr>
          <w:rFonts w:hint="eastAsia"/>
          <w:lang w:val="zh-CN"/>
        </w:rPr>
        <w:t>5</w:t>
      </w:r>
      <w:r>
        <w:rPr>
          <w:lang w:val="zh-CN"/>
        </w:rPr>
        <w:t>.6.6.3</w:t>
      </w:r>
      <w:r w:rsidR="001E262C">
        <w:rPr>
          <w:rFonts w:hint="eastAsia"/>
          <w:lang w:val="zh-CN"/>
        </w:rPr>
        <w:t>氨水</w:t>
      </w:r>
      <w:r>
        <w:rPr>
          <w:rFonts w:hint="eastAsia"/>
        </w:rPr>
        <w:t>储罐泄漏事故</w:t>
      </w:r>
    </w:p>
    <w:p w:rsidR="004E3021" w:rsidRDefault="00606E48">
      <w:pPr>
        <w:ind w:firstLine="480"/>
      </w:pPr>
      <w:r>
        <w:t>（</w:t>
      </w:r>
      <w:r>
        <w:t>1</w:t>
      </w:r>
      <w:r>
        <w:t>）液体泄漏公式</w:t>
      </w:r>
    </w:p>
    <w:p w:rsidR="004E3021" w:rsidRDefault="00606E48">
      <w:pPr>
        <w:ind w:firstLine="480"/>
      </w:pPr>
      <w:r>
        <w:t>液体泄漏速率</w:t>
      </w:r>
      <w:r>
        <w:t>Q</w:t>
      </w:r>
      <w:r>
        <w:rPr>
          <w:vertAlign w:val="subscript"/>
        </w:rPr>
        <w:t>L</w:t>
      </w:r>
      <w:r>
        <w:t>采用伯努利方程（限制条件为液体在喷口不应有急骤蒸发）</w:t>
      </w:r>
    </w:p>
    <w:p w:rsidR="004E3021" w:rsidRDefault="00606E48">
      <w:pPr>
        <w:ind w:firstLine="480"/>
        <w:jc w:val="center"/>
      </w:pPr>
      <w:r>
        <w:object w:dxaOrig="4080" w:dyaOrig="1080">
          <v:shape id="_x0000_i1043" type="#_x0000_t75" style="width:204pt;height:54pt" o:ole="">
            <v:imagedata r:id="rId125" o:title=""/>
          </v:shape>
          <o:OLEObject Type="Embed" ProgID="Equation.3" ShapeID="_x0000_i1043" DrawAspect="Content" ObjectID="_1832392370" r:id="rId126"/>
        </w:object>
      </w:r>
    </w:p>
    <w:p w:rsidR="004E3021" w:rsidRDefault="00606E48">
      <w:pPr>
        <w:ind w:firstLine="480"/>
      </w:pPr>
      <w:r>
        <w:t>式中，</w:t>
      </w:r>
      <w:r>
        <w:t>Q</w:t>
      </w:r>
      <w:r>
        <w:rPr>
          <w:vertAlign w:val="subscript"/>
        </w:rPr>
        <w:t>L</w:t>
      </w:r>
      <w:r>
        <w:t>—</w:t>
      </w:r>
      <w:r>
        <w:t>液体泄漏速率，</w:t>
      </w:r>
      <w:r>
        <w:t>kg/s</w:t>
      </w:r>
      <w:r>
        <w:t>；</w:t>
      </w:r>
    </w:p>
    <w:p w:rsidR="004E3021" w:rsidRDefault="00606E48">
      <w:pPr>
        <w:ind w:firstLineChars="500" w:firstLine="1200"/>
      </w:pPr>
      <w:r>
        <w:t>Ar—</w:t>
      </w:r>
      <w:r>
        <w:t>裂口面积，</w:t>
      </w:r>
      <w:r>
        <w:t>m</w:t>
      </w:r>
      <w:r>
        <w:rPr>
          <w:vertAlign w:val="superscript"/>
        </w:rPr>
        <w:t>2</w:t>
      </w:r>
      <w:r>
        <w:t>；</w:t>
      </w:r>
    </w:p>
    <w:p w:rsidR="004E3021" w:rsidRDefault="00606E48">
      <w:pPr>
        <w:ind w:firstLineChars="500" w:firstLine="1200"/>
      </w:pPr>
      <w:r>
        <w:t>Cd—</w:t>
      </w:r>
      <w:r>
        <w:t>液体泄漏系数，</w:t>
      </w:r>
      <w:r>
        <w:t>C</w:t>
      </w:r>
      <w:r>
        <w:rPr>
          <w:vertAlign w:val="subscript"/>
        </w:rPr>
        <w:t>d</w:t>
      </w:r>
      <w:r>
        <w:t>取值</w:t>
      </w:r>
      <w:r>
        <w:t>0.65</w:t>
      </w:r>
      <w:r>
        <w:t>。</w:t>
      </w:r>
    </w:p>
    <w:p w:rsidR="004E3021" w:rsidRDefault="00606E48">
      <w:pPr>
        <w:ind w:firstLineChars="500" w:firstLine="1200"/>
      </w:pPr>
      <w:r>
        <w:t>P</w:t>
      </w:r>
      <w:r>
        <w:rPr>
          <w:vertAlign w:val="subscript"/>
        </w:rPr>
        <w:t>1</w:t>
      </w:r>
      <w:r>
        <w:t>—</w:t>
      </w:r>
      <w:r>
        <w:t>容器内介质压力，</w:t>
      </w:r>
      <w:r>
        <w:t>Pa</w:t>
      </w:r>
      <w:r>
        <w:t>；</w:t>
      </w:r>
    </w:p>
    <w:p w:rsidR="004E3021" w:rsidRDefault="00606E48">
      <w:pPr>
        <w:ind w:firstLineChars="500" w:firstLine="1200"/>
      </w:pPr>
      <w:r>
        <w:t>Pa—</w:t>
      </w:r>
      <w:r>
        <w:t>环境压力，</w:t>
      </w:r>
      <w:r>
        <w:t>Pa</w:t>
      </w:r>
      <w:r>
        <w:t>；</w:t>
      </w:r>
      <w:r>
        <w:t xml:space="preserve"> </w:t>
      </w:r>
    </w:p>
    <w:p w:rsidR="004E3021" w:rsidRDefault="00606E48">
      <w:pPr>
        <w:ind w:firstLineChars="500" w:firstLine="1200"/>
      </w:pPr>
      <w:r>
        <w:t>ρ—</w:t>
      </w:r>
      <w:r>
        <w:t>泄漏液体密度，</w:t>
      </w:r>
      <w:r>
        <w:t>kg/m</w:t>
      </w:r>
      <w:r>
        <w:rPr>
          <w:vertAlign w:val="superscript"/>
        </w:rPr>
        <w:t>3</w:t>
      </w:r>
      <w:r>
        <w:t>；</w:t>
      </w:r>
      <w:r>
        <w:t xml:space="preserve"> </w:t>
      </w:r>
    </w:p>
    <w:p w:rsidR="004E3021" w:rsidRDefault="00606E48">
      <w:pPr>
        <w:ind w:firstLineChars="500" w:firstLine="1200"/>
      </w:pPr>
      <w:r>
        <w:t>h—</w:t>
      </w:r>
      <w:r>
        <w:t>裂口之上液体高度，</w:t>
      </w:r>
      <w:r>
        <w:t>m</w:t>
      </w:r>
      <w:r>
        <w:t>。</w:t>
      </w:r>
    </w:p>
    <w:p w:rsidR="004E3021" w:rsidRDefault="00606E48">
      <w:pPr>
        <w:ind w:firstLine="480"/>
      </w:pPr>
      <w:r>
        <w:t>（</w:t>
      </w:r>
      <w:r>
        <w:t>2</w:t>
      </w:r>
      <w:r>
        <w:t>）泄漏液体蒸发量计算</w:t>
      </w:r>
    </w:p>
    <w:p w:rsidR="004E3021" w:rsidRDefault="00606E48">
      <w:pPr>
        <w:ind w:firstLine="480"/>
      </w:pPr>
      <w:r>
        <w:t>通常泄漏后液体的挥发按其机理可有闪蒸蒸发、热量蒸发和质量蒸发三种，其挥发总量为这三种蒸发之和。</w:t>
      </w:r>
    </w:p>
    <w:p w:rsidR="004E3021" w:rsidRDefault="00606E48">
      <w:pPr>
        <w:ind w:firstLine="480"/>
      </w:pPr>
      <w:r w:rsidRPr="00C051B4">
        <w:rPr>
          <w:rFonts w:ascii="宋体" w:hAnsi="宋体" w:cs="宋体" w:hint="eastAsia"/>
        </w:rPr>
        <w:t>①</w:t>
      </w:r>
      <w:r w:rsidRPr="00C051B4">
        <w:t xml:space="preserve"> </w:t>
      </w:r>
      <w:r>
        <w:t>闪蒸蒸发估算</w:t>
      </w:r>
    </w:p>
    <w:p w:rsidR="004E3021" w:rsidRDefault="00606E48">
      <w:pPr>
        <w:ind w:firstLine="480"/>
      </w:pPr>
      <w:r>
        <w:t>当液体的沸点低于储存温度，液体流过裂口时会发生闪蒸。其闪蒸系数用下式计算：</w:t>
      </w:r>
    </w:p>
    <w:p w:rsidR="004E3021" w:rsidRDefault="00606E48">
      <w:pPr>
        <w:ind w:firstLine="480"/>
        <w:jc w:val="center"/>
      </w:pPr>
      <w:r>
        <w:object w:dxaOrig="1560" w:dyaOrig="720">
          <v:shape id="_x0000_i1044" type="#_x0000_t75" style="width:78pt;height:36pt" o:ole="">
            <v:imagedata r:id="rId127" o:title=""/>
          </v:shape>
          <o:OLEObject Type="Embed" ProgID="Equation.3" ShapeID="_x0000_i1044" DrawAspect="Content" ObjectID="_1832392371" r:id="rId128"/>
        </w:object>
      </w:r>
    </w:p>
    <w:p w:rsidR="004E3021" w:rsidRDefault="00606E48">
      <w:pPr>
        <w:ind w:firstLine="480"/>
      </w:pPr>
      <w:r>
        <w:lastRenderedPageBreak/>
        <w:t>过热液体闪蒸蒸发速率按下式计算：</w:t>
      </w:r>
    </w:p>
    <w:p w:rsidR="004E3021" w:rsidRDefault="00606E48">
      <w:pPr>
        <w:ind w:firstLine="480"/>
        <w:jc w:val="center"/>
      </w:pPr>
      <w:r>
        <w:t>Q</w:t>
      </w:r>
      <w:r>
        <w:rPr>
          <w:vertAlign w:val="subscript"/>
        </w:rPr>
        <w:t>1</w:t>
      </w:r>
      <w:r>
        <w:t>=Q</w:t>
      </w:r>
      <w:r>
        <w:rPr>
          <w:vertAlign w:val="subscript"/>
        </w:rPr>
        <w:t>L</w:t>
      </w:r>
      <w:r>
        <w:t>×Q</w:t>
      </w:r>
    </w:p>
    <w:p w:rsidR="004E3021" w:rsidRDefault="00606E48">
      <w:pPr>
        <w:ind w:firstLine="480"/>
      </w:pPr>
      <w:r>
        <w:t>式中：</w:t>
      </w:r>
      <w:r>
        <w:t>F—</w:t>
      </w:r>
      <w:r>
        <w:t>泄漏液体的闪蒸比例；</w:t>
      </w:r>
    </w:p>
    <w:p w:rsidR="004E3021" w:rsidRDefault="00606E48">
      <w:pPr>
        <w:ind w:firstLineChars="500" w:firstLine="1200"/>
      </w:pPr>
      <w:r>
        <w:t>C</w:t>
      </w:r>
      <w:r>
        <w:rPr>
          <w:vertAlign w:val="subscript"/>
        </w:rPr>
        <w:t>p</w:t>
      </w:r>
      <w:r>
        <w:t>—</w:t>
      </w:r>
      <w:r>
        <w:t>泄漏液体的定压比热容，</w:t>
      </w:r>
      <w:r>
        <w:t>J/(kg•K)</w:t>
      </w:r>
      <w:r>
        <w:t>；</w:t>
      </w:r>
    </w:p>
    <w:p w:rsidR="004E3021" w:rsidRDefault="00606E48">
      <w:pPr>
        <w:ind w:firstLineChars="500" w:firstLine="1200"/>
      </w:pPr>
      <w:r>
        <w:t>T</w:t>
      </w:r>
      <w:r>
        <w:rPr>
          <w:vertAlign w:val="subscript"/>
        </w:rPr>
        <w:t>L</w:t>
      </w:r>
      <w:r>
        <w:t>—</w:t>
      </w:r>
      <w:r>
        <w:t>储存温度，</w:t>
      </w:r>
      <w:r>
        <w:t>K</w:t>
      </w:r>
      <w:r>
        <w:t>；</w:t>
      </w:r>
    </w:p>
    <w:p w:rsidR="004E3021" w:rsidRDefault="00606E48">
      <w:pPr>
        <w:ind w:firstLineChars="500" w:firstLine="1200"/>
      </w:pPr>
      <w:r>
        <w:t>T</w:t>
      </w:r>
      <w:r>
        <w:rPr>
          <w:vertAlign w:val="subscript"/>
        </w:rPr>
        <w:t>b</w:t>
      </w:r>
      <w:r>
        <w:t>—</w:t>
      </w:r>
      <w:r>
        <w:t>泄漏液体的沸点，</w:t>
      </w:r>
      <w:r>
        <w:t>K</w:t>
      </w:r>
      <w:r>
        <w:t>；</w:t>
      </w:r>
    </w:p>
    <w:p w:rsidR="004E3021" w:rsidRDefault="00606E48">
      <w:pPr>
        <w:ind w:firstLineChars="500" w:firstLine="1200"/>
      </w:pPr>
      <w:r>
        <w:t>H—</w:t>
      </w:r>
      <w:r>
        <w:t>泄漏液体的蒸发热，</w:t>
      </w:r>
      <w:r>
        <w:t>J/kg</w:t>
      </w:r>
      <w:r>
        <w:t>；</w:t>
      </w:r>
    </w:p>
    <w:p w:rsidR="004E3021" w:rsidRDefault="00606E48">
      <w:pPr>
        <w:ind w:firstLineChars="500" w:firstLine="1200"/>
      </w:pPr>
      <w:r>
        <w:t>Q</w:t>
      </w:r>
      <w:r>
        <w:rPr>
          <w:vertAlign w:val="subscript"/>
        </w:rPr>
        <w:t>1</w:t>
      </w:r>
      <w:r>
        <w:t>—</w:t>
      </w:r>
      <w:r>
        <w:t>过热液体闪蒸蒸发速率，</w:t>
      </w:r>
      <w:r>
        <w:t>kg/s</w:t>
      </w:r>
      <w:r>
        <w:t>；</w:t>
      </w:r>
    </w:p>
    <w:p w:rsidR="004E3021" w:rsidRDefault="00606E48">
      <w:pPr>
        <w:ind w:firstLineChars="500" w:firstLine="1200"/>
      </w:pPr>
      <w:r>
        <w:t>Q</w:t>
      </w:r>
      <w:r>
        <w:rPr>
          <w:vertAlign w:val="subscript"/>
        </w:rPr>
        <w:t>L</w:t>
      </w:r>
      <w:r>
        <w:t>—</w:t>
      </w:r>
      <w:r>
        <w:t>物质泄漏速率，</w:t>
      </w:r>
      <w:r>
        <w:t>kg/s</w:t>
      </w:r>
      <w:r>
        <w:t>。</w:t>
      </w:r>
    </w:p>
    <w:p w:rsidR="004E3021" w:rsidRDefault="00606E48">
      <w:pPr>
        <w:ind w:firstLine="480"/>
      </w:pPr>
      <w:r w:rsidRPr="00C051B4">
        <w:rPr>
          <w:rFonts w:ascii="宋体" w:hAnsi="宋体" w:cs="宋体" w:hint="eastAsia"/>
        </w:rPr>
        <w:t>②</w:t>
      </w:r>
      <w:r w:rsidRPr="00C051B4">
        <w:t xml:space="preserve"> </w:t>
      </w:r>
      <w:r>
        <w:t>热量蒸发估算</w:t>
      </w:r>
    </w:p>
    <w:p w:rsidR="004E3021" w:rsidRDefault="00606E48">
      <w:pPr>
        <w:ind w:firstLine="480"/>
      </w:pPr>
      <w:r>
        <w:t>当液体闪蒸不完全，有一部分液体在地面形成液池，并吸收地面热量而气化，其蒸发速度按下式计算，并应考虑对流传热系数。</w:t>
      </w:r>
    </w:p>
    <w:p w:rsidR="004E3021" w:rsidRDefault="00606E48">
      <w:pPr>
        <w:ind w:firstLine="480"/>
        <w:jc w:val="center"/>
      </w:pPr>
      <w:r>
        <w:object w:dxaOrig="2400" w:dyaOrig="840">
          <v:shape id="_x0000_i1045" type="#_x0000_t75" style="width:120pt;height:42pt" o:ole="">
            <v:imagedata r:id="rId129" o:title=""/>
          </v:shape>
          <o:OLEObject Type="Embed" ProgID="Equation.3" ShapeID="_x0000_i1045" DrawAspect="Content" ObjectID="_1832392372" r:id="rId130"/>
        </w:object>
      </w:r>
    </w:p>
    <w:p w:rsidR="004E3021" w:rsidRDefault="00606E48">
      <w:pPr>
        <w:ind w:firstLine="480"/>
      </w:pPr>
      <w:r>
        <w:t>式中：</w:t>
      </w:r>
      <w:r>
        <w:t>Q</w:t>
      </w:r>
      <w:r>
        <w:rPr>
          <w:vertAlign w:val="subscript"/>
        </w:rPr>
        <w:t>2</w:t>
      </w:r>
      <w:r>
        <w:t>—</w:t>
      </w:r>
      <w:r>
        <w:t>热量蒸发速度，</w:t>
      </w:r>
      <w:r>
        <w:t>kg/s</w:t>
      </w:r>
      <w:r>
        <w:t>；</w:t>
      </w:r>
    </w:p>
    <w:p w:rsidR="004E3021" w:rsidRDefault="00606E48">
      <w:pPr>
        <w:ind w:firstLine="480"/>
      </w:pPr>
      <w:r>
        <w:t xml:space="preserve">      T</w:t>
      </w:r>
      <w:r>
        <w:rPr>
          <w:vertAlign w:val="subscript"/>
        </w:rPr>
        <w:t>0</w:t>
      </w:r>
      <w:r>
        <w:t>—</w:t>
      </w:r>
      <w:r>
        <w:t>环境温度，</w:t>
      </w:r>
      <w:r>
        <w:t>K</w:t>
      </w:r>
      <w:r>
        <w:t>；</w:t>
      </w:r>
    </w:p>
    <w:p w:rsidR="004E3021" w:rsidRDefault="00606E48">
      <w:pPr>
        <w:ind w:firstLine="480"/>
      </w:pPr>
      <w:r>
        <w:t xml:space="preserve">      T</w:t>
      </w:r>
      <w:r>
        <w:rPr>
          <w:vertAlign w:val="subscript"/>
        </w:rPr>
        <w:t>b</w:t>
      </w:r>
      <w:r>
        <w:t>—</w:t>
      </w:r>
      <w:r>
        <w:t>泄漏液体沸点温度，</w:t>
      </w:r>
      <w:r>
        <w:t>K</w:t>
      </w:r>
      <w:r>
        <w:t>；</w:t>
      </w:r>
    </w:p>
    <w:p w:rsidR="004E3021" w:rsidRDefault="00606E48">
      <w:pPr>
        <w:ind w:firstLine="480"/>
      </w:pPr>
      <w:r>
        <w:t xml:space="preserve">      S—</w:t>
      </w:r>
      <w:r>
        <w:t>液池面积，</w:t>
      </w:r>
      <w:r>
        <w:t>m</w:t>
      </w:r>
      <w:r>
        <w:rPr>
          <w:vertAlign w:val="superscript"/>
        </w:rPr>
        <w:t>2</w:t>
      </w:r>
      <w:r>
        <w:t>；</w:t>
      </w:r>
    </w:p>
    <w:p w:rsidR="004E3021" w:rsidRDefault="00606E48">
      <w:pPr>
        <w:ind w:firstLine="480"/>
      </w:pPr>
      <w:r>
        <w:t xml:space="preserve">      H—</w:t>
      </w:r>
      <w:r>
        <w:t>液体气化热，</w:t>
      </w:r>
      <w:r>
        <w:t>J/kg</w:t>
      </w:r>
      <w:r>
        <w:t>；</w:t>
      </w:r>
    </w:p>
    <w:p w:rsidR="004E3021" w:rsidRDefault="00606E48">
      <w:pPr>
        <w:ind w:firstLine="480"/>
      </w:pPr>
      <w:r>
        <w:t xml:space="preserve">      λ—</w:t>
      </w:r>
      <w:r>
        <w:t>表面热导系数，</w:t>
      </w:r>
      <w:r>
        <w:t>W/</w:t>
      </w:r>
      <w:r>
        <w:t>（</w:t>
      </w:r>
      <w:r>
        <w:t>m•k</w:t>
      </w:r>
      <w:r>
        <w:t>）；</w:t>
      </w:r>
    </w:p>
    <w:p w:rsidR="004E3021" w:rsidRDefault="00606E48">
      <w:pPr>
        <w:ind w:firstLine="480"/>
      </w:pPr>
      <w:r>
        <w:t xml:space="preserve">      α—</w:t>
      </w:r>
      <w:r>
        <w:t>表面热扩散系数，</w:t>
      </w:r>
      <w:r>
        <w:t>m</w:t>
      </w:r>
      <w:r>
        <w:rPr>
          <w:vertAlign w:val="superscript"/>
        </w:rPr>
        <w:t>2</w:t>
      </w:r>
      <w:r>
        <w:t>/s</w:t>
      </w:r>
      <w:r>
        <w:t>；</w:t>
      </w:r>
    </w:p>
    <w:p w:rsidR="004E3021" w:rsidRDefault="00606E48">
      <w:pPr>
        <w:ind w:firstLine="480"/>
      </w:pPr>
      <w:r>
        <w:t xml:space="preserve">       t—</w:t>
      </w:r>
      <w:r>
        <w:t>蒸发时间，</w:t>
      </w:r>
      <w:r>
        <w:t>s</w:t>
      </w:r>
      <w:r>
        <w:t>。</w:t>
      </w:r>
    </w:p>
    <w:p w:rsidR="004E3021" w:rsidRDefault="00606E48">
      <w:pPr>
        <w:ind w:firstLine="480"/>
      </w:pPr>
      <w:r w:rsidRPr="00C051B4">
        <w:rPr>
          <w:rFonts w:ascii="宋体" w:hAnsi="宋体" w:cs="宋体" w:hint="eastAsia"/>
        </w:rPr>
        <w:t>③</w:t>
      </w:r>
      <w:r>
        <w:t xml:space="preserve"> </w:t>
      </w:r>
      <w:r>
        <w:t>质量蒸发估算</w:t>
      </w:r>
    </w:p>
    <w:p w:rsidR="004E3021" w:rsidRDefault="00606E48">
      <w:pPr>
        <w:ind w:firstLine="480"/>
      </w:pPr>
      <w:r>
        <w:t>当热量蒸发结束后，转由液池表面气流运动使液体蒸发，称之为质量蒸发。其蒸发速率按下式计算。</w:t>
      </w:r>
    </w:p>
    <w:p w:rsidR="004E3021" w:rsidRDefault="00606E48">
      <w:pPr>
        <w:ind w:firstLine="480"/>
        <w:jc w:val="center"/>
      </w:pPr>
      <w:r>
        <w:rPr>
          <w:position w:val="-12"/>
        </w:rPr>
        <w:object w:dxaOrig="6000" w:dyaOrig="480">
          <v:shape id="_x0000_i1046" type="#_x0000_t75" style="width:300pt;height:24pt" o:ole="">
            <v:imagedata r:id="rId131" o:title=""/>
          </v:shape>
          <o:OLEObject Type="Embed" ProgID="Equation.3" ShapeID="_x0000_i1046" DrawAspect="Content" ObjectID="_1832392373" r:id="rId132"/>
        </w:object>
      </w:r>
    </w:p>
    <w:p w:rsidR="004E3021" w:rsidRDefault="00606E48">
      <w:pPr>
        <w:ind w:firstLine="480"/>
      </w:pPr>
      <w:r>
        <w:t>式中：</w:t>
      </w:r>
      <w:r>
        <w:t>Q—</w:t>
      </w:r>
      <w:r>
        <w:t>质量蒸发速率，</w:t>
      </w:r>
      <w:r>
        <w:t>kg/s</w:t>
      </w:r>
      <w:r>
        <w:t>；</w:t>
      </w:r>
    </w:p>
    <w:p w:rsidR="004E3021" w:rsidRDefault="00606E48">
      <w:pPr>
        <w:ind w:firstLine="480"/>
      </w:pPr>
      <w:r>
        <w:t xml:space="preserve">      P—</w:t>
      </w:r>
      <w:r>
        <w:t>液体表面蒸气压，</w:t>
      </w:r>
      <w:r>
        <w:t>Pa</w:t>
      </w:r>
      <w:r>
        <w:t>；</w:t>
      </w:r>
    </w:p>
    <w:p w:rsidR="004E3021" w:rsidRDefault="00606E48">
      <w:pPr>
        <w:ind w:firstLine="480"/>
      </w:pPr>
      <w:r>
        <w:t xml:space="preserve">      M —</w:t>
      </w:r>
      <w:r>
        <w:t>物质的摩尔质量，</w:t>
      </w:r>
      <w:r>
        <w:t>kg/mol</w:t>
      </w:r>
      <w:r>
        <w:t>；</w:t>
      </w:r>
    </w:p>
    <w:p w:rsidR="004E3021" w:rsidRDefault="00606E48">
      <w:pPr>
        <w:ind w:firstLine="480"/>
      </w:pPr>
      <w:r>
        <w:lastRenderedPageBreak/>
        <w:t xml:space="preserve">      R—</w:t>
      </w:r>
      <w:r>
        <w:t>气体常数，</w:t>
      </w:r>
      <w:r>
        <w:t>J/(mol</w:t>
      </w:r>
      <w:r>
        <w:t>数，</w:t>
      </w:r>
      <w:r>
        <w:t>)</w:t>
      </w:r>
      <w:r>
        <w:t>；</w:t>
      </w:r>
    </w:p>
    <w:p w:rsidR="004E3021" w:rsidRDefault="00606E48">
      <w:pPr>
        <w:ind w:firstLine="480"/>
      </w:pPr>
      <w:r>
        <w:t xml:space="preserve">      T —</w:t>
      </w:r>
      <w:r>
        <w:t>环境温度，</w:t>
      </w:r>
      <w:r>
        <w:t>K</w:t>
      </w:r>
      <w:r>
        <w:t>；</w:t>
      </w:r>
    </w:p>
    <w:p w:rsidR="004E3021" w:rsidRDefault="00606E48">
      <w:pPr>
        <w:ind w:firstLineChars="500" w:firstLine="1200"/>
      </w:pPr>
      <w:r>
        <w:t>μ—</w:t>
      </w:r>
      <w:r>
        <w:t>风速，</w:t>
      </w:r>
      <w:r>
        <w:t>m/s</w:t>
      </w:r>
      <w:r>
        <w:t>；</w:t>
      </w:r>
    </w:p>
    <w:p w:rsidR="004E3021" w:rsidRDefault="00606E48">
      <w:pPr>
        <w:ind w:firstLineChars="500" w:firstLine="1200"/>
      </w:pPr>
      <w:r>
        <w:t>r s</w:t>
      </w:r>
      <w:r>
        <w:t>液池半径，</w:t>
      </w:r>
      <w:r>
        <w:t>m</w:t>
      </w:r>
      <w:r>
        <w:t>，以围堰最大等效半径为液池半径；</w:t>
      </w:r>
    </w:p>
    <w:p w:rsidR="004E3021" w:rsidRDefault="00606E48">
      <w:pPr>
        <w:ind w:firstLineChars="500" w:firstLine="1200"/>
      </w:pPr>
      <w:r>
        <w:t>a</w:t>
      </w:r>
      <w:r>
        <w:t>，</w:t>
      </w:r>
      <w:r>
        <w:t>n—</w:t>
      </w:r>
      <w:r>
        <w:t>大气稳定系数。</w:t>
      </w:r>
    </w:p>
    <w:p w:rsidR="004E3021" w:rsidRDefault="00606E48">
      <w:pPr>
        <w:ind w:firstLine="480"/>
      </w:pPr>
      <w:r w:rsidRPr="00C051B4">
        <w:rPr>
          <w:rFonts w:ascii="宋体" w:hAnsi="宋体" w:cs="宋体" w:hint="eastAsia"/>
        </w:rPr>
        <w:t>④</w:t>
      </w:r>
      <w:r w:rsidRPr="00C051B4">
        <w:t xml:space="preserve"> </w:t>
      </w:r>
      <w:r>
        <w:t>液体蒸发总量计算</w:t>
      </w:r>
    </w:p>
    <w:p w:rsidR="004E3021" w:rsidRDefault="00606E48">
      <w:pPr>
        <w:ind w:firstLine="480"/>
      </w:pPr>
      <w:r>
        <w:t>液体蒸发总量按下式计算。</w:t>
      </w:r>
    </w:p>
    <w:p w:rsidR="004E3021" w:rsidRDefault="00606E48">
      <w:pPr>
        <w:ind w:firstLineChars="500" w:firstLine="1200"/>
        <w:jc w:val="center"/>
      </w:pPr>
      <w:r>
        <w:t>Wp=Q</w:t>
      </w:r>
      <w:r>
        <w:rPr>
          <w:vertAlign w:val="subscript"/>
        </w:rPr>
        <w:t>1</w:t>
      </w:r>
      <w:r>
        <w:t>t</w:t>
      </w:r>
      <w:r>
        <w:rPr>
          <w:vertAlign w:val="subscript"/>
        </w:rPr>
        <w:t>1</w:t>
      </w:r>
      <w:r>
        <w:t>+Q</w:t>
      </w:r>
      <w:r>
        <w:rPr>
          <w:vertAlign w:val="subscript"/>
        </w:rPr>
        <w:t>2</w:t>
      </w:r>
      <w:r>
        <w:t>t</w:t>
      </w:r>
      <w:r>
        <w:rPr>
          <w:vertAlign w:val="subscript"/>
        </w:rPr>
        <w:t>2</w:t>
      </w:r>
      <w:r>
        <w:t>+Q</w:t>
      </w:r>
      <w:r>
        <w:rPr>
          <w:vertAlign w:val="subscript"/>
        </w:rPr>
        <w:t>3</w:t>
      </w:r>
      <w:r>
        <w:t>t</w:t>
      </w:r>
      <w:r>
        <w:rPr>
          <w:vertAlign w:val="subscript"/>
        </w:rPr>
        <w:t>3</w:t>
      </w:r>
    </w:p>
    <w:p w:rsidR="004E3021" w:rsidRDefault="00606E48">
      <w:pPr>
        <w:ind w:firstLine="480"/>
      </w:pPr>
      <w:r>
        <w:t>式中：</w:t>
      </w:r>
      <w:r>
        <w:t>Wp—</w:t>
      </w:r>
      <w:r>
        <w:t>液体蒸发总量，</w:t>
      </w:r>
      <w:r>
        <w:t>kg</w:t>
      </w:r>
      <w:r>
        <w:t>；</w:t>
      </w:r>
    </w:p>
    <w:p w:rsidR="004E3021" w:rsidRDefault="00606E48">
      <w:pPr>
        <w:ind w:firstLine="480"/>
      </w:pPr>
      <w:r>
        <w:t xml:space="preserve">      Q</w:t>
      </w:r>
      <w:r>
        <w:rPr>
          <w:vertAlign w:val="subscript"/>
        </w:rPr>
        <w:t>1</w:t>
      </w:r>
      <w:r>
        <w:t>—</w:t>
      </w:r>
      <w:r>
        <w:t>闪蒸液体蒸发速率，</w:t>
      </w:r>
      <w:r>
        <w:t>kg/s</w:t>
      </w:r>
      <w:r>
        <w:t>；</w:t>
      </w:r>
    </w:p>
    <w:p w:rsidR="004E3021" w:rsidRDefault="00606E48">
      <w:pPr>
        <w:ind w:firstLineChars="500" w:firstLine="1200"/>
        <w:rPr>
          <w:rFonts w:eastAsia="黑体"/>
        </w:rPr>
      </w:pPr>
      <w:r>
        <w:t>Q</w:t>
      </w:r>
      <w:r>
        <w:rPr>
          <w:vertAlign w:val="subscript"/>
        </w:rPr>
        <w:t>2</w:t>
      </w:r>
      <w:r>
        <w:t>—</w:t>
      </w:r>
      <w:r>
        <w:t>热量蒸发速率，</w:t>
      </w:r>
      <w:r>
        <w:t>kg/s</w:t>
      </w:r>
      <w:r>
        <w:t>；</w:t>
      </w:r>
    </w:p>
    <w:p w:rsidR="004E3021" w:rsidRDefault="00606E48">
      <w:pPr>
        <w:ind w:firstLineChars="500" w:firstLine="1200"/>
        <w:rPr>
          <w:rFonts w:eastAsia="黑体"/>
        </w:rPr>
      </w:pPr>
      <w:r>
        <w:t>Q</w:t>
      </w:r>
      <w:r>
        <w:rPr>
          <w:vertAlign w:val="subscript"/>
        </w:rPr>
        <w:t>3</w:t>
      </w:r>
      <w:r>
        <w:t>—</w:t>
      </w:r>
      <w:r>
        <w:t>质量蒸发速率，</w:t>
      </w:r>
      <w:r>
        <w:t>kg/s</w:t>
      </w:r>
      <w:r>
        <w:t>；</w:t>
      </w:r>
    </w:p>
    <w:p w:rsidR="004E3021" w:rsidRDefault="00606E48">
      <w:pPr>
        <w:ind w:firstLineChars="500" w:firstLine="1200"/>
      </w:pPr>
      <w:r>
        <w:t>t</w:t>
      </w:r>
      <w:r>
        <w:rPr>
          <w:vertAlign w:val="subscript"/>
        </w:rPr>
        <w:t>1</w:t>
      </w:r>
      <w:r>
        <w:t>—</w:t>
      </w:r>
      <w:r>
        <w:t>闪蒸蒸发时间，</w:t>
      </w:r>
      <w:r>
        <w:t>s</w:t>
      </w:r>
      <w:r>
        <w:t>；</w:t>
      </w:r>
    </w:p>
    <w:p w:rsidR="004E3021" w:rsidRDefault="00606E48">
      <w:pPr>
        <w:ind w:firstLineChars="500" w:firstLine="1200"/>
        <w:rPr>
          <w:rFonts w:eastAsia="黑体"/>
        </w:rPr>
      </w:pPr>
      <w:r>
        <w:t>t</w:t>
      </w:r>
      <w:r>
        <w:rPr>
          <w:vertAlign w:val="subscript"/>
        </w:rPr>
        <w:t>2</w:t>
      </w:r>
      <w:r>
        <w:t>—</w:t>
      </w:r>
      <w:r>
        <w:t>热量蒸发时间，</w:t>
      </w:r>
      <w:r>
        <w:t>s</w:t>
      </w:r>
      <w:r>
        <w:t>；</w:t>
      </w:r>
    </w:p>
    <w:p w:rsidR="004E3021" w:rsidRDefault="00606E48">
      <w:pPr>
        <w:ind w:firstLineChars="500" w:firstLine="1200"/>
      </w:pPr>
      <w:r>
        <w:t>t</w:t>
      </w:r>
      <w:r>
        <w:rPr>
          <w:vertAlign w:val="subscript"/>
        </w:rPr>
        <w:t>3</w:t>
      </w:r>
      <w:r>
        <w:t>—</w:t>
      </w:r>
      <w:r>
        <w:t>从液体泄漏到全部清理完毕的时间，</w:t>
      </w:r>
      <w:r>
        <w:t>s</w:t>
      </w:r>
      <w:r>
        <w:t>；</w:t>
      </w:r>
    </w:p>
    <w:p w:rsidR="004E3021" w:rsidRDefault="00C051B4">
      <w:pPr>
        <w:ind w:firstLine="480"/>
      </w:pPr>
      <w:r>
        <w:rPr>
          <w:rFonts w:hint="eastAsia"/>
          <w:color w:val="000000" w:themeColor="text1"/>
        </w:rPr>
        <w:t>氨水储罐与管线连接处</w:t>
      </w:r>
      <w:r w:rsidRPr="001136BD">
        <w:t>一旦发生泄漏，自动报警设备将会自动报警，并会自动关闭所有管线的阀门，也可手动关闭其它所有管线的阀门，以保证</w:t>
      </w:r>
      <w:r w:rsidRPr="001136BD">
        <w:rPr>
          <w:rFonts w:hint="eastAsia"/>
        </w:rPr>
        <w:t>储罐和</w:t>
      </w:r>
      <w:r w:rsidRPr="001136BD">
        <w:t>管线内的</w:t>
      </w:r>
      <w:r w:rsidR="00327E8E">
        <w:rPr>
          <w:rFonts w:hint="eastAsia"/>
          <w:color w:val="000000" w:themeColor="text1"/>
        </w:rPr>
        <w:t>氨水</w:t>
      </w:r>
      <w:r w:rsidRPr="001136BD">
        <w:t>不泄漏。</w:t>
      </w:r>
      <w:r w:rsidRPr="001136BD">
        <w:rPr>
          <w:rFonts w:hint="eastAsia"/>
        </w:rPr>
        <w:t>根据建设单位提供的资料，当</w:t>
      </w:r>
      <w:r w:rsidR="00327E8E">
        <w:rPr>
          <w:rFonts w:hint="eastAsia"/>
          <w:color w:val="000000" w:themeColor="text1"/>
        </w:rPr>
        <w:t>氨水</w:t>
      </w:r>
      <w:r>
        <w:rPr>
          <w:rFonts w:hint="eastAsia"/>
          <w:color w:val="000000" w:themeColor="text1"/>
        </w:rPr>
        <w:t>储罐与管线连接处</w:t>
      </w:r>
      <w:r w:rsidRPr="001136BD">
        <w:rPr>
          <w:rFonts w:hint="eastAsia"/>
        </w:rPr>
        <w:t>发生泄漏时，</w:t>
      </w:r>
      <w:r w:rsidR="00327E8E">
        <w:rPr>
          <w:rFonts w:hint="eastAsia"/>
          <w:color w:val="000000" w:themeColor="text1"/>
        </w:rPr>
        <w:t>氨水</w:t>
      </w:r>
      <w:r w:rsidRPr="001136BD">
        <w:rPr>
          <w:rFonts w:hint="eastAsia"/>
        </w:rPr>
        <w:t>泄露报警器发出报警至泄漏源得到控制的应急时间约为</w:t>
      </w:r>
      <w:r w:rsidRPr="001136BD">
        <w:rPr>
          <w:rFonts w:hint="eastAsia"/>
        </w:rPr>
        <w:t>10</w:t>
      </w:r>
      <w:r w:rsidRPr="001136BD">
        <w:rPr>
          <w:rFonts w:hint="eastAsia"/>
        </w:rPr>
        <w:t>分钟，</w:t>
      </w:r>
      <w:r w:rsidRPr="001136BD">
        <w:rPr>
          <w:rFonts w:hint="eastAsia"/>
        </w:rPr>
        <w:t>3</w:t>
      </w:r>
      <w:r w:rsidRPr="001136BD">
        <w:t>0</w:t>
      </w:r>
      <w:r w:rsidRPr="001136BD">
        <w:rPr>
          <w:rFonts w:hint="eastAsia"/>
        </w:rPr>
        <w:t>分钟内可将泄漏物处理完毕。液体泄漏后会向环境中蒸发，由于氨的沸点为</w:t>
      </w:r>
      <w:r w:rsidRPr="001136BD">
        <w:rPr>
          <w:rFonts w:hint="eastAsia"/>
        </w:rPr>
        <w:t>-33.4</w:t>
      </w:r>
      <w:r w:rsidRPr="001136BD">
        <w:rPr>
          <w:rFonts w:hint="eastAsia"/>
        </w:rPr>
        <w:t>℃，故会发生闪蒸蒸发和热量蒸发，</w:t>
      </w:r>
      <w:r>
        <w:rPr>
          <w:rFonts w:hint="eastAsia"/>
        </w:rPr>
        <w:t>由于</w:t>
      </w:r>
      <w:r>
        <w:rPr>
          <w:rFonts w:hint="eastAsia"/>
        </w:rPr>
        <w:t>1</w:t>
      </w:r>
      <w:r>
        <w:t>0</w:t>
      </w:r>
      <w:r>
        <w:rPr>
          <w:rFonts w:hint="eastAsia"/>
        </w:rPr>
        <w:t>分钟内泄露物料未通过闪蒸蒸发及热量蒸发两种途径蒸发完毕，因此</w:t>
      </w:r>
      <w:r w:rsidR="00327E8E">
        <w:rPr>
          <w:rFonts w:hint="eastAsia"/>
        </w:rPr>
        <w:t>有质量蒸发存在</w:t>
      </w:r>
      <w:r w:rsidR="00606E48">
        <w:t>。</w:t>
      </w:r>
    </w:p>
    <w:p w:rsidR="00327E8E" w:rsidRPr="004C4CEA" w:rsidRDefault="00327E8E" w:rsidP="00327E8E">
      <w:pPr>
        <w:pStyle w:val="afffff4"/>
        <w:ind w:firstLine="480"/>
      </w:pPr>
      <w:r w:rsidRPr="004C4CEA">
        <w:rPr>
          <w:rFonts w:hint="eastAsia"/>
        </w:rPr>
        <w:t>表</w:t>
      </w:r>
      <w:r>
        <w:t>5</w:t>
      </w:r>
      <w:r w:rsidRPr="004C4CEA">
        <w:t>.6.</w:t>
      </w:r>
      <w:r>
        <w:t>6</w:t>
      </w:r>
      <w:r w:rsidRPr="004C4CEA">
        <w:t>-</w:t>
      </w:r>
      <w:r>
        <w:t>4</w:t>
      </w:r>
      <w:r w:rsidRPr="004C4CEA">
        <w:t xml:space="preserve">  </w:t>
      </w:r>
      <w:r>
        <w:rPr>
          <w:rFonts w:hint="eastAsia"/>
        </w:rPr>
        <w:t>各项参数取值表</w:t>
      </w:r>
    </w:p>
    <w:tbl>
      <w:tblPr>
        <w:tblStyle w:val="afffffffffffffffff6"/>
        <w:tblW w:w="5000" w:type="pct"/>
        <w:tblLook w:val="0000" w:firstRow="0" w:lastRow="0" w:firstColumn="0" w:lastColumn="0" w:noHBand="0" w:noVBand="0"/>
      </w:tblPr>
      <w:tblGrid>
        <w:gridCol w:w="2093"/>
        <w:gridCol w:w="830"/>
        <w:gridCol w:w="1251"/>
        <w:gridCol w:w="1213"/>
        <w:gridCol w:w="1215"/>
        <w:gridCol w:w="1215"/>
        <w:gridCol w:w="1210"/>
      </w:tblGrid>
      <w:tr w:rsidR="00327E8E" w:rsidRPr="001136BD" w:rsidTr="00A33F93">
        <w:trPr>
          <w:trHeight w:hRule="exact" w:val="397"/>
        </w:trPr>
        <w:tc>
          <w:tcPr>
            <w:tcW w:w="1159" w:type="pct"/>
            <w:vAlign w:val="center"/>
          </w:tcPr>
          <w:p w:rsidR="00327E8E" w:rsidRPr="00327E8E" w:rsidRDefault="00327E8E" w:rsidP="00327E8E">
            <w:pPr>
              <w:widowControl/>
              <w:spacing w:line="360" w:lineRule="exact"/>
              <w:ind w:firstLineChars="0" w:firstLine="0"/>
              <w:jc w:val="center"/>
              <w:textAlignment w:val="center"/>
              <w:rPr>
                <w:b/>
                <w:color w:val="000000"/>
                <w:kern w:val="0"/>
                <w:sz w:val="21"/>
                <w:szCs w:val="21"/>
                <w:lang w:bidi="ar"/>
              </w:rPr>
            </w:pPr>
            <w:r w:rsidRPr="00327E8E">
              <w:rPr>
                <w:rFonts w:hint="eastAsia"/>
                <w:b/>
                <w:color w:val="000000"/>
                <w:kern w:val="0"/>
                <w:sz w:val="21"/>
                <w:szCs w:val="21"/>
                <w:lang w:bidi="ar"/>
              </w:rPr>
              <w:t>泄露处</w:t>
            </w:r>
          </w:p>
        </w:tc>
        <w:tc>
          <w:tcPr>
            <w:tcW w:w="460" w:type="pct"/>
            <w:vAlign w:val="center"/>
          </w:tcPr>
          <w:p w:rsidR="00327E8E" w:rsidRPr="00327E8E" w:rsidRDefault="00327E8E" w:rsidP="00327E8E">
            <w:pPr>
              <w:widowControl/>
              <w:spacing w:line="360" w:lineRule="exact"/>
              <w:ind w:firstLineChars="0" w:firstLine="0"/>
              <w:jc w:val="center"/>
              <w:textAlignment w:val="center"/>
              <w:rPr>
                <w:b/>
                <w:color w:val="000000"/>
                <w:kern w:val="0"/>
                <w:sz w:val="21"/>
                <w:szCs w:val="21"/>
                <w:lang w:bidi="ar"/>
              </w:rPr>
            </w:pPr>
            <w:r w:rsidRPr="00327E8E">
              <w:rPr>
                <w:b/>
                <w:color w:val="000000"/>
                <w:kern w:val="0"/>
                <w:sz w:val="21"/>
                <w:szCs w:val="21"/>
                <w:lang w:bidi="ar"/>
              </w:rPr>
              <w:t>Cd</w:t>
            </w:r>
          </w:p>
        </w:tc>
        <w:tc>
          <w:tcPr>
            <w:tcW w:w="693" w:type="pct"/>
            <w:vAlign w:val="center"/>
          </w:tcPr>
          <w:p w:rsidR="00327E8E" w:rsidRPr="00327E8E" w:rsidRDefault="00327E8E" w:rsidP="00327E8E">
            <w:pPr>
              <w:widowControl/>
              <w:spacing w:line="360" w:lineRule="exact"/>
              <w:ind w:firstLineChars="0" w:firstLine="0"/>
              <w:jc w:val="center"/>
              <w:textAlignment w:val="center"/>
              <w:rPr>
                <w:b/>
                <w:color w:val="000000"/>
                <w:kern w:val="0"/>
                <w:sz w:val="21"/>
                <w:szCs w:val="21"/>
                <w:lang w:bidi="ar"/>
              </w:rPr>
            </w:pPr>
            <w:r w:rsidRPr="00327E8E">
              <w:rPr>
                <w:b/>
                <w:color w:val="000000"/>
                <w:kern w:val="0"/>
                <w:sz w:val="21"/>
                <w:szCs w:val="21"/>
                <w:lang w:bidi="ar"/>
              </w:rPr>
              <w:t>A(m</w:t>
            </w:r>
            <w:r w:rsidRPr="00327E8E">
              <w:rPr>
                <w:b/>
                <w:color w:val="000000"/>
                <w:kern w:val="0"/>
                <w:sz w:val="21"/>
                <w:szCs w:val="21"/>
                <w:vertAlign w:val="superscript"/>
                <w:lang w:bidi="ar"/>
              </w:rPr>
              <w:t>2</w:t>
            </w:r>
            <w:r w:rsidRPr="00327E8E">
              <w:rPr>
                <w:b/>
                <w:color w:val="000000"/>
                <w:kern w:val="0"/>
                <w:sz w:val="21"/>
                <w:szCs w:val="21"/>
                <w:lang w:bidi="ar"/>
              </w:rPr>
              <w:t>)</w:t>
            </w:r>
          </w:p>
        </w:tc>
        <w:tc>
          <w:tcPr>
            <w:tcW w:w="672" w:type="pct"/>
            <w:vAlign w:val="center"/>
          </w:tcPr>
          <w:p w:rsidR="00327E8E" w:rsidRPr="00327E8E" w:rsidRDefault="00327E8E" w:rsidP="00327E8E">
            <w:pPr>
              <w:widowControl/>
              <w:spacing w:line="360" w:lineRule="exact"/>
              <w:ind w:firstLineChars="0" w:firstLine="0"/>
              <w:jc w:val="center"/>
              <w:textAlignment w:val="center"/>
              <w:rPr>
                <w:b/>
                <w:color w:val="000000"/>
                <w:kern w:val="0"/>
                <w:sz w:val="21"/>
                <w:szCs w:val="21"/>
                <w:lang w:bidi="ar"/>
              </w:rPr>
            </w:pPr>
            <w:r w:rsidRPr="00327E8E">
              <w:rPr>
                <w:b/>
                <w:color w:val="000000"/>
                <w:kern w:val="0"/>
                <w:sz w:val="21"/>
                <w:szCs w:val="21"/>
                <w:lang w:bidi="ar"/>
              </w:rPr>
              <w:t>ρ(kg/m</w:t>
            </w:r>
            <w:r w:rsidRPr="00327E8E">
              <w:rPr>
                <w:b/>
                <w:color w:val="000000"/>
                <w:kern w:val="0"/>
                <w:sz w:val="21"/>
                <w:szCs w:val="21"/>
                <w:vertAlign w:val="superscript"/>
                <w:lang w:bidi="ar"/>
              </w:rPr>
              <w:t>3</w:t>
            </w:r>
            <w:r w:rsidRPr="00327E8E">
              <w:rPr>
                <w:b/>
                <w:color w:val="000000"/>
                <w:kern w:val="0"/>
                <w:sz w:val="21"/>
                <w:szCs w:val="21"/>
                <w:lang w:bidi="ar"/>
              </w:rPr>
              <w:t>)</w:t>
            </w:r>
          </w:p>
        </w:tc>
        <w:tc>
          <w:tcPr>
            <w:tcW w:w="673" w:type="pct"/>
            <w:vAlign w:val="center"/>
          </w:tcPr>
          <w:p w:rsidR="00327E8E" w:rsidRPr="00327E8E" w:rsidRDefault="00327E8E" w:rsidP="00327E8E">
            <w:pPr>
              <w:widowControl/>
              <w:spacing w:line="360" w:lineRule="exact"/>
              <w:ind w:firstLineChars="0" w:firstLine="0"/>
              <w:jc w:val="center"/>
              <w:textAlignment w:val="center"/>
              <w:rPr>
                <w:b/>
                <w:color w:val="000000"/>
                <w:kern w:val="0"/>
                <w:sz w:val="21"/>
                <w:szCs w:val="21"/>
                <w:lang w:bidi="ar"/>
              </w:rPr>
            </w:pPr>
            <w:r w:rsidRPr="00327E8E">
              <w:rPr>
                <w:b/>
                <w:color w:val="000000"/>
                <w:kern w:val="0"/>
                <w:sz w:val="21"/>
                <w:szCs w:val="21"/>
                <w:lang w:bidi="ar"/>
              </w:rPr>
              <w:t>P(Pa)</w:t>
            </w:r>
          </w:p>
        </w:tc>
        <w:tc>
          <w:tcPr>
            <w:tcW w:w="673" w:type="pct"/>
            <w:vAlign w:val="center"/>
          </w:tcPr>
          <w:p w:rsidR="00327E8E" w:rsidRPr="00327E8E" w:rsidRDefault="00327E8E" w:rsidP="00327E8E">
            <w:pPr>
              <w:widowControl/>
              <w:spacing w:line="360" w:lineRule="exact"/>
              <w:ind w:firstLineChars="0" w:firstLine="0"/>
              <w:jc w:val="center"/>
              <w:textAlignment w:val="center"/>
              <w:rPr>
                <w:b/>
                <w:color w:val="000000"/>
                <w:kern w:val="0"/>
                <w:sz w:val="21"/>
                <w:szCs w:val="21"/>
                <w:lang w:bidi="ar"/>
              </w:rPr>
            </w:pPr>
            <w:r w:rsidRPr="00327E8E">
              <w:rPr>
                <w:b/>
                <w:color w:val="000000"/>
                <w:kern w:val="0"/>
                <w:sz w:val="21"/>
                <w:szCs w:val="21"/>
                <w:lang w:bidi="ar"/>
              </w:rPr>
              <w:t>P0</w:t>
            </w:r>
            <w:r w:rsidRPr="00327E8E">
              <w:rPr>
                <w:rFonts w:hint="eastAsia"/>
                <w:b/>
                <w:color w:val="000000"/>
                <w:kern w:val="0"/>
                <w:sz w:val="21"/>
                <w:szCs w:val="21"/>
                <w:lang w:bidi="ar"/>
              </w:rPr>
              <w:t xml:space="preserve"> </w:t>
            </w:r>
            <w:r w:rsidRPr="00327E8E">
              <w:rPr>
                <w:b/>
                <w:color w:val="000000"/>
                <w:kern w:val="0"/>
                <w:sz w:val="21"/>
                <w:szCs w:val="21"/>
                <w:lang w:bidi="ar"/>
              </w:rPr>
              <w:t>(Pa)</w:t>
            </w:r>
          </w:p>
        </w:tc>
        <w:tc>
          <w:tcPr>
            <w:tcW w:w="670" w:type="pct"/>
            <w:vAlign w:val="center"/>
          </w:tcPr>
          <w:p w:rsidR="00327E8E" w:rsidRPr="00327E8E" w:rsidRDefault="00327E8E" w:rsidP="00327E8E">
            <w:pPr>
              <w:widowControl/>
              <w:spacing w:line="360" w:lineRule="exact"/>
              <w:ind w:firstLineChars="0" w:firstLine="0"/>
              <w:jc w:val="center"/>
              <w:textAlignment w:val="center"/>
              <w:rPr>
                <w:b/>
                <w:color w:val="000000"/>
                <w:kern w:val="0"/>
                <w:sz w:val="21"/>
                <w:szCs w:val="21"/>
                <w:lang w:bidi="ar"/>
              </w:rPr>
            </w:pPr>
            <w:r w:rsidRPr="00327E8E">
              <w:rPr>
                <w:rFonts w:hint="eastAsia"/>
                <w:b/>
                <w:color w:val="000000"/>
                <w:kern w:val="0"/>
                <w:sz w:val="21"/>
                <w:szCs w:val="21"/>
                <w:lang w:bidi="ar"/>
              </w:rPr>
              <w:t>h</w:t>
            </w:r>
            <w:r w:rsidRPr="00327E8E">
              <w:rPr>
                <w:b/>
                <w:color w:val="000000"/>
                <w:kern w:val="0"/>
                <w:sz w:val="21"/>
                <w:szCs w:val="21"/>
                <w:lang w:bidi="ar"/>
              </w:rPr>
              <w:t>(m)</w:t>
            </w:r>
          </w:p>
        </w:tc>
      </w:tr>
      <w:tr w:rsidR="00327E8E" w:rsidRPr="001136BD" w:rsidTr="00A33F93">
        <w:trPr>
          <w:trHeight w:hRule="exact" w:val="397"/>
        </w:trPr>
        <w:tc>
          <w:tcPr>
            <w:tcW w:w="1159" w:type="pct"/>
            <w:vAlign w:val="center"/>
          </w:tcPr>
          <w:p w:rsidR="00327E8E" w:rsidRPr="00327E8E" w:rsidRDefault="00327E8E" w:rsidP="00327E8E">
            <w:pPr>
              <w:widowControl/>
              <w:spacing w:line="360" w:lineRule="exact"/>
              <w:ind w:firstLineChars="0" w:firstLine="0"/>
              <w:jc w:val="center"/>
              <w:textAlignment w:val="center"/>
              <w:rPr>
                <w:color w:val="000000"/>
                <w:kern w:val="0"/>
                <w:sz w:val="21"/>
                <w:szCs w:val="21"/>
                <w:lang w:bidi="ar"/>
              </w:rPr>
            </w:pPr>
            <w:r w:rsidRPr="00327E8E">
              <w:rPr>
                <w:rFonts w:hint="eastAsia"/>
                <w:color w:val="000000"/>
                <w:kern w:val="0"/>
                <w:sz w:val="21"/>
                <w:szCs w:val="21"/>
                <w:lang w:bidi="ar"/>
              </w:rPr>
              <w:t>设备连接阀门处</w:t>
            </w:r>
          </w:p>
        </w:tc>
        <w:tc>
          <w:tcPr>
            <w:tcW w:w="460" w:type="pct"/>
            <w:vAlign w:val="center"/>
          </w:tcPr>
          <w:p w:rsidR="00327E8E" w:rsidRPr="00327E8E" w:rsidRDefault="00327E8E" w:rsidP="00327E8E">
            <w:pPr>
              <w:widowControl/>
              <w:spacing w:line="360" w:lineRule="exact"/>
              <w:ind w:firstLineChars="0" w:firstLine="0"/>
              <w:jc w:val="center"/>
              <w:textAlignment w:val="center"/>
              <w:rPr>
                <w:color w:val="000000"/>
                <w:kern w:val="0"/>
                <w:sz w:val="21"/>
                <w:szCs w:val="21"/>
                <w:lang w:bidi="ar"/>
              </w:rPr>
            </w:pPr>
            <w:r w:rsidRPr="00327E8E">
              <w:rPr>
                <w:rFonts w:hint="eastAsia"/>
                <w:color w:val="000000"/>
                <w:kern w:val="0"/>
                <w:sz w:val="21"/>
                <w:szCs w:val="21"/>
                <w:lang w:bidi="ar"/>
              </w:rPr>
              <w:t>0.62</w:t>
            </w:r>
          </w:p>
        </w:tc>
        <w:tc>
          <w:tcPr>
            <w:tcW w:w="693" w:type="pct"/>
            <w:vAlign w:val="center"/>
          </w:tcPr>
          <w:p w:rsidR="00327E8E" w:rsidRPr="00327E8E" w:rsidRDefault="00327E8E" w:rsidP="00327E8E">
            <w:pPr>
              <w:widowControl/>
              <w:spacing w:line="360" w:lineRule="exact"/>
              <w:ind w:firstLineChars="0" w:firstLine="0"/>
              <w:jc w:val="center"/>
              <w:textAlignment w:val="center"/>
              <w:rPr>
                <w:color w:val="000000"/>
                <w:kern w:val="0"/>
                <w:sz w:val="21"/>
                <w:szCs w:val="21"/>
                <w:lang w:bidi="ar"/>
              </w:rPr>
            </w:pPr>
            <w:r w:rsidRPr="00327E8E">
              <w:rPr>
                <w:rFonts w:hint="eastAsia"/>
                <w:color w:val="000000"/>
                <w:kern w:val="0"/>
                <w:sz w:val="21"/>
                <w:szCs w:val="21"/>
                <w:lang w:bidi="ar"/>
              </w:rPr>
              <w:t>0.0001539</w:t>
            </w:r>
          </w:p>
        </w:tc>
        <w:tc>
          <w:tcPr>
            <w:tcW w:w="672" w:type="pct"/>
            <w:vAlign w:val="center"/>
          </w:tcPr>
          <w:p w:rsidR="00327E8E" w:rsidRPr="00327E8E" w:rsidRDefault="00327E8E" w:rsidP="00327E8E">
            <w:pPr>
              <w:widowControl/>
              <w:spacing w:line="360" w:lineRule="exact"/>
              <w:ind w:firstLineChars="0" w:firstLine="0"/>
              <w:jc w:val="center"/>
              <w:textAlignment w:val="center"/>
              <w:rPr>
                <w:color w:val="000000"/>
                <w:kern w:val="0"/>
                <w:sz w:val="21"/>
                <w:szCs w:val="21"/>
                <w:lang w:bidi="ar"/>
              </w:rPr>
            </w:pPr>
            <w:r>
              <w:rPr>
                <w:color w:val="000000"/>
                <w:kern w:val="0"/>
                <w:sz w:val="21"/>
                <w:szCs w:val="21"/>
                <w:lang w:bidi="ar"/>
              </w:rPr>
              <w:t>98</w:t>
            </w:r>
            <w:r w:rsidRPr="00327E8E">
              <w:rPr>
                <w:rFonts w:hint="eastAsia"/>
                <w:color w:val="000000"/>
                <w:kern w:val="0"/>
                <w:sz w:val="21"/>
                <w:szCs w:val="21"/>
                <w:lang w:bidi="ar"/>
              </w:rPr>
              <w:t>0</w:t>
            </w:r>
          </w:p>
        </w:tc>
        <w:tc>
          <w:tcPr>
            <w:tcW w:w="673" w:type="pct"/>
            <w:vAlign w:val="center"/>
          </w:tcPr>
          <w:p w:rsidR="00327E8E" w:rsidRPr="00327E8E" w:rsidRDefault="00327E8E" w:rsidP="00327E8E">
            <w:pPr>
              <w:widowControl/>
              <w:spacing w:line="360" w:lineRule="exact"/>
              <w:ind w:firstLineChars="0" w:firstLine="0"/>
              <w:jc w:val="center"/>
              <w:textAlignment w:val="center"/>
              <w:rPr>
                <w:color w:val="000000"/>
                <w:kern w:val="0"/>
                <w:sz w:val="21"/>
                <w:szCs w:val="21"/>
                <w:lang w:bidi="ar"/>
              </w:rPr>
            </w:pPr>
            <w:r w:rsidRPr="00327E8E">
              <w:rPr>
                <w:color w:val="000000"/>
                <w:kern w:val="0"/>
                <w:sz w:val="21"/>
                <w:szCs w:val="21"/>
                <w:lang w:bidi="ar"/>
              </w:rPr>
              <w:t>1013</w:t>
            </w:r>
            <w:r w:rsidRPr="00327E8E">
              <w:rPr>
                <w:rFonts w:hint="eastAsia"/>
                <w:color w:val="000000"/>
                <w:kern w:val="0"/>
                <w:sz w:val="21"/>
                <w:szCs w:val="21"/>
                <w:lang w:bidi="ar"/>
              </w:rPr>
              <w:t>25</w:t>
            </w:r>
          </w:p>
        </w:tc>
        <w:tc>
          <w:tcPr>
            <w:tcW w:w="673" w:type="pct"/>
            <w:vAlign w:val="center"/>
          </w:tcPr>
          <w:p w:rsidR="00327E8E" w:rsidRPr="00327E8E" w:rsidRDefault="00327E8E" w:rsidP="00327E8E">
            <w:pPr>
              <w:widowControl/>
              <w:spacing w:line="360" w:lineRule="exact"/>
              <w:ind w:firstLineChars="0" w:firstLine="0"/>
              <w:jc w:val="center"/>
              <w:textAlignment w:val="center"/>
              <w:rPr>
                <w:color w:val="000000"/>
                <w:kern w:val="0"/>
                <w:sz w:val="21"/>
                <w:szCs w:val="21"/>
                <w:lang w:bidi="ar"/>
              </w:rPr>
            </w:pPr>
            <w:r w:rsidRPr="00327E8E">
              <w:rPr>
                <w:color w:val="000000"/>
                <w:kern w:val="0"/>
                <w:sz w:val="21"/>
                <w:szCs w:val="21"/>
                <w:lang w:bidi="ar"/>
              </w:rPr>
              <w:t>1013</w:t>
            </w:r>
            <w:r w:rsidRPr="00327E8E">
              <w:rPr>
                <w:rFonts w:hint="eastAsia"/>
                <w:color w:val="000000"/>
                <w:kern w:val="0"/>
                <w:sz w:val="21"/>
                <w:szCs w:val="21"/>
                <w:lang w:bidi="ar"/>
              </w:rPr>
              <w:t>25</w:t>
            </w:r>
          </w:p>
        </w:tc>
        <w:tc>
          <w:tcPr>
            <w:tcW w:w="670" w:type="pct"/>
            <w:vAlign w:val="center"/>
          </w:tcPr>
          <w:p w:rsidR="00327E8E" w:rsidRPr="00327E8E" w:rsidRDefault="00327E8E" w:rsidP="00327E8E">
            <w:pPr>
              <w:widowControl/>
              <w:spacing w:line="360" w:lineRule="exact"/>
              <w:ind w:firstLineChars="0" w:firstLine="0"/>
              <w:jc w:val="center"/>
              <w:textAlignment w:val="center"/>
              <w:rPr>
                <w:color w:val="000000"/>
                <w:kern w:val="0"/>
                <w:sz w:val="21"/>
                <w:szCs w:val="21"/>
                <w:lang w:bidi="ar"/>
              </w:rPr>
            </w:pPr>
            <w:r w:rsidRPr="00327E8E">
              <w:rPr>
                <w:rFonts w:hint="eastAsia"/>
                <w:color w:val="000000"/>
                <w:kern w:val="0"/>
                <w:sz w:val="21"/>
                <w:szCs w:val="21"/>
                <w:lang w:bidi="ar"/>
              </w:rPr>
              <w:t>1.8</w:t>
            </w:r>
          </w:p>
        </w:tc>
      </w:tr>
    </w:tbl>
    <w:p w:rsidR="00327E8E" w:rsidRPr="00EA103D" w:rsidRDefault="00327E8E" w:rsidP="00327E8E">
      <w:pPr>
        <w:pStyle w:val="afffff4"/>
        <w:ind w:firstLine="480"/>
      </w:pPr>
      <w:r w:rsidRPr="00EA103D">
        <w:rPr>
          <w:rFonts w:hint="eastAsia"/>
        </w:rPr>
        <w:t>表</w:t>
      </w:r>
      <w:r>
        <w:t>5</w:t>
      </w:r>
      <w:r w:rsidRPr="00EA103D">
        <w:t>.6.6-</w:t>
      </w:r>
      <w:r>
        <w:t>5</w:t>
      </w:r>
      <w:r w:rsidRPr="00EA103D">
        <w:t xml:space="preserve">  </w:t>
      </w:r>
      <w:r w:rsidRPr="00EA103D">
        <w:rPr>
          <w:rFonts w:hint="eastAsia"/>
        </w:rPr>
        <w:t>最大可信事故污染物泄漏量和蒸发速率</w:t>
      </w:r>
    </w:p>
    <w:tbl>
      <w:tblPr>
        <w:tblW w:w="0" w:type="auto"/>
        <w:jc w:val="center"/>
        <w:tblBorders>
          <w:top w:val="single" w:sz="12" w:space="0" w:color="auto"/>
          <w:bottom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729"/>
        <w:gridCol w:w="1015"/>
        <w:gridCol w:w="1019"/>
        <w:gridCol w:w="1015"/>
        <w:gridCol w:w="1017"/>
        <w:gridCol w:w="1015"/>
        <w:gridCol w:w="1017"/>
        <w:gridCol w:w="1017"/>
      </w:tblGrid>
      <w:tr w:rsidR="00327E8E" w:rsidRPr="00327E8E" w:rsidTr="00A33F93">
        <w:trPr>
          <w:trHeight w:val="397"/>
          <w:jc w:val="center"/>
        </w:trPr>
        <w:tc>
          <w:tcPr>
            <w:tcW w:w="1729" w:type="dxa"/>
            <w:vAlign w:val="center"/>
          </w:tcPr>
          <w:p w:rsidR="00327E8E" w:rsidRPr="00327E8E" w:rsidRDefault="00327E8E" w:rsidP="00A33F93">
            <w:pPr>
              <w:pStyle w:val="afffffff2"/>
              <w:spacing w:before="163" w:after="163"/>
              <w:rPr>
                <w:b/>
                <w:sz w:val="21"/>
                <w:szCs w:val="21"/>
              </w:rPr>
            </w:pPr>
            <w:r w:rsidRPr="00327E8E">
              <w:rPr>
                <w:rFonts w:hint="eastAsia"/>
                <w:b/>
                <w:sz w:val="21"/>
                <w:szCs w:val="21"/>
              </w:rPr>
              <w:t>泄漏处</w:t>
            </w:r>
          </w:p>
        </w:tc>
        <w:tc>
          <w:tcPr>
            <w:tcW w:w="1015" w:type="dxa"/>
            <w:vAlign w:val="center"/>
          </w:tcPr>
          <w:p w:rsidR="00327E8E" w:rsidRPr="00327E8E" w:rsidRDefault="00327E8E" w:rsidP="00A33F93">
            <w:pPr>
              <w:pStyle w:val="afffffff2"/>
              <w:spacing w:before="163" w:after="163"/>
              <w:rPr>
                <w:b/>
                <w:sz w:val="21"/>
                <w:szCs w:val="21"/>
              </w:rPr>
            </w:pPr>
            <w:r w:rsidRPr="00327E8E">
              <w:rPr>
                <w:rFonts w:hint="eastAsia"/>
                <w:b/>
                <w:sz w:val="21"/>
                <w:szCs w:val="21"/>
              </w:rPr>
              <w:t>容积</w:t>
            </w:r>
          </w:p>
          <w:p w:rsidR="00327E8E" w:rsidRPr="00327E8E" w:rsidRDefault="00327E8E" w:rsidP="00A33F93">
            <w:pPr>
              <w:pStyle w:val="afffffff2"/>
              <w:spacing w:before="163" w:after="163"/>
              <w:rPr>
                <w:b/>
                <w:sz w:val="21"/>
                <w:szCs w:val="21"/>
              </w:rPr>
            </w:pPr>
            <w:r w:rsidRPr="00327E8E">
              <w:rPr>
                <w:rFonts w:hint="eastAsia"/>
                <w:b/>
                <w:sz w:val="21"/>
                <w:szCs w:val="21"/>
              </w:rPr>
              <w:t>（</w:t>
            </w:r>
            <w:r w:rsidRPr="00327E8E">
              <w:rPr>
                <w:rFonts w:hint="eastAsia"/>
                <w:b/>
                <w:sz w:val="21"/>
                <w:szCs w:val="21"/>
              </w:rPr>
              <w:t>m</w:t>
            </w:r>
            <w:r w:rsidRPr="00327E8E">
              <w:rPr>
                <w:rFonts w:hint="eastAsia"/>
                <w:b/>
                <w:sz w:val="21"/>
                <w:szCs w:val="21"/>
                <w:vertAlign w:val="superscript"/>
              </w:rPr>
              <w:t>3</w:t>
            </w:r>
            <w:r w:rsidRPr="00327E8E">
              <w:rPr>
                <w:rFonts w:hint="eastAsia"/>
                <w:b/>
                <w:sz w:val="21"/>
                <w:szCs w:val="21"/>
              </w:rPr>
              <w:t>）</w:t>
            </w:r>
          </w:p>
        </w:tc>
        <w:tc>
          <w:tcPr>
            <w:tcW w:w="1019" w:type="dxa"/>
            <w:tcBorders>
              <w:right w:val="single" w:sz="2" w:space="0" w:color="auto"/>
            </w:tcBorders>
            <w:vAlign w:val="center"/>
          </w:tcPr>
          <w:p w:rsidR="00327E8E" w:rsidRPr="00327E8E" w:rsidRDefault="00327E8E" w:rsidP="00A33F93">
            <w:pPr>
              <w:pStyle w:val="afffffff2"/>
              <w:spacing w:before="163" w:after="163"/>
              <w:rPr>
                <w:b/>
                <w:sz w:val="21"/>
                <w:szCs w:val="21"/>
              </w:rPr>
            </w:pPr>
            <w:bookmarkStart w:id="548" w:name="OLE_LINK13"/>
            <w:r w:rsidRPr="00327E8E">
              <w:rPr>
                <w:rFonts w:hint="eastAsia"/>
                <w:b/>
                <w:sz w:val="21"/>
                <w:szCs w:val="21"/>
              </w:rPr>
              <w:t>事故</w:t>
            </w:r>
          </w:p>
          <w:p w:rsidR="00327E8E" w:rsidRPr="00327E8E" w:rsidRDefault="00327E8E" w:rsidP="00A33F93">
            <w:pPr>
              <w:pStyle w:val="afffffff2"/>
              <w:spacing w:before="163" w:after="163"/>
              <w:rPr>
                <w:b/>
                <w:sz w:val="21"/>
                <w:szCs w:val="21"/>
              </w:rPr>
            </w:pPr>
            <w:r w:rsidRPr="00327E8E">
              <w:rPr>
                <w:rFonts w:hint="eastAsia"/>
                <w:b/>
                <w:sz w:val="21"/>
                <w:szCs w:val="21"/>
              </w:rPr>
              <w:t>类型</w:t>
            </w:r>
            <w:bookmarkEnd w:id="548"/>
          </w:p>
        </w:tc>
        <w:tc>
          <w:tcPr>
            <w:tcW w:w="1015" w:type="dxa"/>
            <w:tcBorders>
              <w:left w:val="single" w:sz="2" w:space="0" w:color="auto"/>
            </w:tcBorders>
            <w:vAlign w:val="center"/>
          </w:tcPr>
          <w:p w:rsidR="00327E8E" w:rsidRPr="00327E8E" w:rsidRDefault="00327E8E" w:rsidP="00A33F93">
            <w:pPr>
              <w:pStyle w:val="afffffff2"/>
              <w:spacing w:before="163" w:after="163"/>
              <w:rPr>
                <w:b/>
                <w:sz w:val="21"/>
                <w:szCs w:val="21"/>
              </w:rPr>
            </w:pPr>
            <w:r w:rsidRPr="00327E8E">
              <w:rPr>
                <w:rFonts w:hint="eastAsia"/>
                <w:b/>
                <w:sz w:val="21"/>
                <w:szCs w:val="21"/>
              </w:rPr>
              <w:t>压强</w:t>
            </w:r>
          </w:p>
        </w:tc>
        <w:tc>
          <w:tcPr>
            <w:tcW w:w="1017" w:type="dxa"/>
            <w:vAlign w:val="center"/>
          </w:tcPr>
          <w:p w:rsidR="00327E8E" w:rsidRPr="00327E8E" w:rsidRDefault="00327E8E" w:rsidP="00A33F93">
            <w:pPr>
              <w:pStyle w:val="afffffff2"/>
              <w:spacing w:before="163" w:after="163"/>
              <w:rPr>
                <w:b/>
                <w:sz w:val="21"/>
                <w:szCs w:val="21"/>
              </w:rPr>
            </w:pPr>
            <w:r w:rsidRPr="00327E8E">
              <w:rPr>
                <w:rFonts w:hint="eastAsia"/>
                <w:b/>
                <w:sz w:val="21"/>
                <w:szCs w:val="21"/>
              </w:rPr>
              <w:t>泄漏量</w:t>
            </w:r>
          </w:p>
          <w:p w:rsidR="00327E8E" w:rsidRPr="00327E8E" w:rsidRDefault="00327E8E" w:rsidP="00A33F93">
            <w:pPr>
              <w:pStyle w:val="afffffff2"/>
              <w:spacing w:before="163" w:after="163"/>
              <w:rPr>
                <w:b/>
                <w:sz w:val="21"/>
                <w:szCs w:val="21"/>
              </w:rPr>
            </w:pPr>
            <w:r w:rsidRPr="00327E8E">
              <w:rPr>
                <w:rFonts w:hint="eastAsia"/>
                <w:b/>
                <w:sz w:val="21"/>
                <w:szCs w:val="21"/>
              </w:rPr>
              <w:t>（</w:t>
            </w:r>
            <w:r w:rsidRPr="00327E8E">
              <w:rPr>
                <w:rFonts w:hint="eastAsia"/>
                <w:b/>
                <w:sz w:val="21"/>
                <w:szCs w:val="21"/>
              </w:rPr>
              <w:t>kg</w:t>
            </w:r>
            <w:r w:rsidRPr="00327E8E">
              <w:rPr>
                <w:rFonts w:hint="eastAsia"/>
                <w:b/>
                <w:sz w:val="21"/>
                <w:szCs w:val="21"/>
              </w:rPr>
              <w:t>）</w:t>
            </w:r>
          </w:p>
        </w:tc>
        <w:tc>
          <w:tcPr>
            <w:tcW w:w="1015" w:type="dxa"/>
            <w:vAlign w:val="center"/>
          </w:tcPr>
          <w:p w:rsidR="00327E8E" w:rsidRPr="00327E8E" w:rsidRDefault="00327E8E" w:rsidP="00A33F93">
            <w:pPr>
              <w:pStyle w:val="afffffff2"/>
              <w:spacing w:before="163" w:after="163"/>
              <w:rPr>
                <w:b/>
                <w:sz w:val="21"/>
                <w:szCs w:val="21"/>
              </w:rPr>
            </w:pPr>
            <w:r w:rsidRPr="00327E8E">
              <w:rPr>
                <w:rFonts w:hint="eastAsia"/>
                <w:b/>
                <w:sz w:val="21"/>
                <w:szCs w:val="21"/>
              </w:rPr>
              <w:t>泄露速率（</w:t>
            </w:r>
            <w:r w:rsidRPr="00327E8E">
              <w:rPr>
                <w:rFonts w:hint="eastAsia"/>
                <w:b/>
                <w:sz w:val="21"/>
                <w:szCs w:val="21"/>
              </w:rPr>
              <w:t>kg/s</w:t>
            </w:r>
            <w:r w:rsidRPr="00327E8E">
              <w:rPr>
                <w:rFonts w:hint="eastAsia"/>
                <w:b/>
                <w:sz w:val="21"/>
                <w:szCs w:val="21"/>
              </w:rPr>
              <w:t>）</w:t>
            </w:r>
          </w:p>
        </w:tc>
        <w:tc>
          <w:tcPr>
            <w:tcW w:w="1017" w:type="dxa"/>
            <w:vAlign w:val="center"/>
          </w:tcPr>
          <w:p w:rsidR="00327E8E" w:rsidRPr="00327E8E" w:rsidRDefault="00327E8E" w:rsidP="00A33F93">
            <w:pPr>
              <w:pStyle w:val="afffffff2"/>
              <w:spacing w:before="163" w:after="163"/>
              <w:rPr>
                <w:b/>
                <w:sz w:val="21"/>
                <w:szCs w:val="21"/>
              </w:rPr>
            </w:pPr>
            <w:r w:rsidRPr="00327E8E">
              <w:rPr>
                <w:rFonts w:hint="eastAsia"/>
                <w:b/>
                <w:sz w:val="21"/>
                <w:szCs w:val="21"/>
              </w:rPr>
              <w:t>蒸发速率（</w:t>
            </w:r>
            <w:r w:rsidRPr="00327E8E">
              <w:rPr>
                <w:rFonts w:hint="eastAsia"/>
                <w:b/>
                <w:sz w:val="21"/>
                <w:szCs w:val="21"/>
              </w:rPr>
              <w:t>kg/s</w:t>
            </w:r>
            <w:r w:rsidRPr="00327E8E">
              <w:rPr>
                <w:rFonts w:hint="eastAsia"/>
                <w:b/>
                <w:sz w:val="21"/>
                <w:szCs w:val="21"/>
              </w:rPr>
              <w:t>）</w:t>
            </w:r>
          </w:p>
        </w:tc>
        <w:tc>
          <w:tcPr>
            <w:tcW w:w="1017" w:type="dxa"/>
            <w:vAlign w:val="center"/>
          </w:tcPr>
          <w:p w:rsidR="00327E8E" w:rsidRPr="00327E8E" w:rsidRDefault="00327E8E" w:rsidP="00A33F93">
            <w:pPr>
              <w:pStyle w:val="afffffff2"/>
              <w:spacing w:before="163" w:after="163"/>
              <w:rPr>
                <w:b/>
                <w:sz w:val="21"/>
                <w:szCs w:val="21"/>
              </w:rPr>
            </w:pPr>
            <w:r w:rsidRPr="00327E8E">
              <w:rPr>
                <w:rFonts w:hint="eastAsia"/>
                <w:b/>
                <w:sz w:val="21"/>
                <w:szCs w:val="21"/>
              </w:rPr>
              <w:t>发生频率</w:t>
            </w:r>
          </w:p>
          <w:p w:rsidR="00327E8E" w:rsidRPr="00327E8E" w:rsidRDefault="00327E8E" w:rsidP="00A33F93">
            <w:pPr>
              <w:pStyle w:val="afffffff2"/>
              <w:spacing w:before="163" w:after="163"/>
              <w:rPr>
                <w:b/>
                <w:sz w:val="21"/>
                <w:szCs w:val="21"/>
              </w:rPr>
            </w:pPr>
            <w:r w:rsidRPr="00327E8E">
              <w:rPr>
                <w:rFonts w:hint="eastAsia"/>
                <w:b/>
                <w:sz w:val="21"/>
                <w:szCs w:val="21"/>
              </w:rPr>
              <w:t>（次</w:t>
            </w:r>
            <w:r w:rsidRPr="00327E8E">
              <w:rPr>
                <w:rFonts w:hint="eastAsia"/>
                <w:b/>
                <w:sz w:val="21"/>
                <w:szCs w:val="21"/>
              </w:rPr>
              <w:t>/a</w:t>
            </w:r>
            <w:r w:rsidRPr="00327E8E">
              <w:rPr>
                <w:rFonts w:hint="eastAsia"/>
                <w:b/>
                <w:sz w:val="21"/>
                <w:szCs w:val="21"/>
              </w:rPr>
              <w:t>）</w:t>
            </w:r>
          </w:p>
        </w:tc>
      </w:tr>
      <w:tr w:rsidR="00327E8E" w:rsidRPr="00327E8E" w:rsidTr="00A33F93">
        <w:trPr>
          <w:trHeight w:val="397"/>
          <w:jc w:val="center"/>
        </w:trPr>
        <w:tc>
          <w:tcPr>
            <w:tcW w:w="1729" w:type="dxa"/>
            <w:vAlign w:val="center"/>
          </w:tcPr>
          <w:p w:rsidR="00327E8E" w:rsidRPr="00327E8E" w:rsidRDefault="00327E8E" w:rsidP="00A33F93">
            <w:pPr>
              <w:pStyle w:val="afffffff2"/>
              <w:spacing w:before="163" w:after="163"/>
              <w:rPr>
                <w:sz w:val="21"/>
                <w:szCs w:val="21"/>
              </w:rPr>
            </w:pPr>
            <w:r w:rsidRPr="00327E8E">
              <w:rPr>
                <w:rFonts w:cs="Times New Roman" w:hint="eastAsia"/>
                <w:color w:val="000000" w:themeColor="text1"/>
                <w:sz w:val="21"/>
                <w:szCs w:val="21"/>
              </w:rPr>
              <w:lastRenderedPageBreak/>
              <w:t>储罐与管线连接处</w:t>
            </w:r>
          </w:p>
        </w:tc>
        <w:tc>
          <w:tcPr>
            <w:tcW w:w="1015" w:type="dxa"/>
            <w:vAlign w:val="center"/>
          </w:tcPr>
          <w:p w:rsidR="00327E8E" w:rsidRPr="00327E8E" w:rsidRDefault="00327E8E" w:rsidP="00A33F93">
            <w:pPr>
              <w:pStyle w:val="afffffff2"/>
              <w:spacing w:before="163" w:after="163"/>
              <w:rPr>
                <w:sz w:val="21"/>
                <w:szCs w:val="21"/>
              </w:rPr>
            </w:pPr>
            <w:r>
              <w:rPr>
                <w:sz w:val="21"/>
                <w:szCs w:val="21"/>
              </w:rPr>
              <w:t>10</w:t>
            </w:r>
          </w:p>
        </w:tc>
        <w:tc>
          <w:tcPr>
            <w:tcW w:w="1019" w:type="dxa"/>
            <w:tcBorders>
              <w:right w:val="single" w:sz="2" w:space="0" w:color="auto"/>
            </w:tcBorders>
            <w:vAlign w:val="center"/>
          </w:tcPr>
          <w:p w:rsidR="00327E8E" w:rsidRPr="00327E8E" w:rsidRDefault="00327E8E" w:rsidP="00A33F93">
            <w:pPr>
              <w:pStyle w:val="afffffff2"/>
              <w:spacing w:before="163" w:after="163"/>
              <w:rPr>
                <w:sz w:val="21"/>
                <w:szCs w:val="21"/>
              </w:rPr>
            </w:pPr>
            <w:r w:rsidRPr="00327E8E">
              <w:rPr>
                <w:rFonts w:hint="eastAsia"/>
                <w:sz w:val="21"/>
                <w:szCs w:val="21"/>
              </w:rPr>
              <w:t>泄漏</w:t>
            </w:r>
          </w:p>
        </w:tc>
        <w:tc>
          <w:tcPr>
            <w:tcW w:w="1015" w:type="dxa"/>
            <w:tcBorders>
              <w:left w:val="single" w:sz="2" w:space="0" w:color="auto"/>
            </w:tcBorders>
            <w:vAlign w:val="center"/>
          </w:tcPr>
          <w:p w:rsidR="00327E8E" w:rsidRPr="00327E8E" w:rsidRDefault="00327E8E" w:rsidP="00A33F93">
            <w:pPr>
              <w:pStyle w:val="afffffff2"/>
              <w:spacing w:before="163" w:after="163"/>
              <w:rPr>
                <w:sz w:val="21"/>
                <w:szCs w:val="21"/>
              </w:rPr>
            </w:pPr>
            <w:r>
              <w:rPr>
                <w:sz w:val="21"/>
                <w:szCs w:val="21"/>
              </w:rPr>
              <w:t>0.1</w:t>
            </w:r>
            <w:r w:rsidRPr="00327E8E">
              <w:rPr>
                <w:rFonts w:hint="eastAsia"/>
                <w:sz w:val="21"/>
                <w:szCs w:val="21"/>
              </w:rPr>
              <w:t>MPa</w:t>
            </w:r>
          </w:p>
        </w:tc>
        <w:tc>
          <w:tcPr>
            <w:tcW w:w="1017" w:type="dxa"/>
            <w:vAlign w:val="center"/>
          </w:tcPr>
          <w:p w:rsidR="00327E8E" w:rsidRPr="00327E8E" w:rsidRDefault="00327E8E" w:rsidP="00A33F93">
            <w:pPr>
              <w:pStyle w:val="afffffff2"/>
              <w:spacing w:before="163" w:after="163"/>
              <w:rPr>
                <w:sz w:val="21"/>
                <w:szCs w:val="21"/>
              </w:rPr>
            </w:pPr>
            <w:r>
              <w:rPr>
                <w:sz w:val="21"/>
                <w:szCs w:val="21"/>
              </w:rPr>
              <w:t>333.42</w:t>
            </w:r>
          </w:p>
        </w:tc>
        <w:tc>
          <w:tcPr>
            <w:tcW w:w="1015" w:type="dxa"/>
            <w:vAlign w:val="center"/>
          </w:tcPr>
          <w:p w:rsidR="00327E8E" w:rsidRPr="00327E8E" w:rsidRDefault="00327E8E" w:rsidP="00A33F93">
            <w:pPr>
              <w:pStyle w:val="afffffff2"/>
              <w:spacing w:before="163" w:after="163"/>
              <w:rPr>
                <w:sz w:val="21"/>
                <w:szCs w:val="21"/>
              </w:rPr>
            </w:pPr>
            <w:r>
              <w:rPr>
                <w:sz w:val="21"/>
                <w:szCs w:val="21"/>
              </w:rPr>
              <w:t>0.5557</w:t>
            </w:r>
          </w:p>
        </w:tc>
        <w:tc>
          <w:tcPr>
            <w:tcW w:w="1017" w:type="dxa"/>
            <w:vAlign w:val="center"/>
          </w:tcPr>
          <w:p w:rsidR="00327E8E" w:rsidRPr="00327E8E" w:rsidRDefault="00327E8E" w:rsidP="00A33F93">
            <w:pPr>
              <w:pStyle w:val="afffffff2"/>
              <w:spacing w:before="163" w:after="163"/>
              <w:rPr>
                <w:sz w:val="21"/>
                <w:szCs w:val="21"/>
              </w:rPr>
            </w:pPr>
            <w:r w:rsidRPr="00327E8E">
              <w:rPr>
                <w:rFonts w:hint="eastAsia"/>
                <w:sz w:val="21"/>
                <w:szCs w:val="21"/>
              </w:rPr>
              <w:t>1.3664</w:t>
            </w:r>
          </w:p>
        </w:tc>
        <w:tc>
          <w:tcPr>
            <w:tcW w:w="1017" w:type="dxa"/>
            <w:vAlign w:val="center"/>
          </w:tcPr>
          <w:p w:rsidR="00327E8E" w:rsidRPr="00327E8E" w:rsidRDefault="00327E8E" w:rsidP="00A33F93">
            <w:pPr>
              <w:pStyle w:val="afffffff2"/>
              <w:spacing w:before="163" w:after="163"/>
              <w:rPr>
                <w:sz w:val="21"/>
                <w:szCs w:val="21"/>
              </w:rPr>
            </w:pPr>
            <w:r w:rsidRPr="00327E8E">
              <w:rPr>
                <w:rFonts w:hint="eastAsia"/>
                <w:sz w:val="21"/>
                <w:szCs w:val="21"/>
              </w:rPr>
              <w:t>&lt;1</w:t>
            </w:r>
            <w:r w:rsidRPr="00327E8E">
              <w:rPr>
                <w:rFonts w:hint="eastAsia"/>
                <w:sz w:val="21"/>
                <w:szCs w:val="21"/>
              </w:rPr>
              <w:t>×</w:t>
            </w:r>
            <w:r w:rsidRPr="00327E8E">
              <w:rPr>
                <w:rFonts w:hint="eastAsia"/>
                <w:sz w:val="21"/>
                <w:szCs w:val="21"/>
              </w:rPr>
              <w:t>10</w:t>
            </w:r>
            <w:r w:rsidRPr="00327E8E">
              <w:rPr>
                <w:rFonts w:hint="eastAsia"/>
                <w:sz w:val="21"/>
                <w:szCs w:val="21"/>
                <w:vertAlign w:val="superscript"/>
              </w:rPr>
              <w:t>-5</w:t>
            </w:r>
          </w:p>
        </w:tc>
      </w:tr>
    </w:tbl>
    <w:p w:rsidR="004E3021" w:rsidRDefault="00606E48">
      <w:pPr>
        <w:pStyle w:val="afffff4"/>
      </w:pPr>
      <w:r>
        <w:rPr>
          <w:rFonts w:hint="eastAsia"/>
        </w:rPr>
        <w:t>表</w:t>
      </w:r>
      <w:r>
        <w:rPr>
          <w:rFonts w:hint="eastAsia"/>
        </w:rPr>
        <w:t>5.6.</w:t>
      </w:r>
      <w:r>
        <w:t xml:space="preserve">6-5 </w:t>
      </w:r>
      <w:r>
        <w:rPr>
          <w:rFonts w:hint="eastAsia"/>
        </w:rPr>
        <w:t>有毒有害物质终点浓度</w:t>
      </w:r>
    </w:p>
    <w:tbl>
      <w:tblPr>
        <w:tblStyle w:val="1ffffffd"/>
        <w:tblW w:w="5000" w:type="pct"/>
        <w:tblLook w:val="04A0" w:firstRow="1" w:lastRow="0" w:firstColumn="1" w:lastColumn="0" w:noHBand="0" w:noVBand="1"/>
      </w:tblPr>
      <w:tblGrid>
        <w:gridCol w:w="2001"/>
        <w:gridCol w:w="3394"/>
        <w:gridCol w:w="3632"/>
      </w:tblGrid>
      <w:tr w:rsidR="004E3021" w:rsidRPr="00327E8E" w:rsidTr="00327E8E">
        <w:tc>
          <w:tcPr>
            <w:tcW w:w="1108" w:type="pct"/>
            <w:vAlign w:val="center"/>
          </w:tcPr>
          <w:p w:rsidR="004E3021" w:rsidRPr="00327E8E" w:rsidRDefault="00606E48" w:rsidP="00327E8E">
            <w:pPr>
              <w:pStyle w:val="afffffff2"/>
              <w:rPr>
                <w:rFonts w:ascii="Times New Roman" w:hAnsi="Times New Roman" w:cs="Times New Roman"/>
                <w:b/>
                <w:kern w:val="0"/>
                <w:sz w:val="21"/>
                <w:szCs w:val="21"/>
              </w:rPr>
            </w:pPr>
            <w:r w:rsidRPr="00327E8E">
              <w:rPr>
                <w:rFonts w:ascii="Times New Roman" w:hAnsi="Times New Roman" w:cs="Times New Roman"/>
                <w:b/>
                <w:kern w:val="0"/>
                <w:sz w:val="21"/>
                <w:szCs w:val="21"/>
              </w:rPr>
              <w:t>物质名称</w:t>
            </w:r>
          </w:p>
        </w:tc>
        <w:tc>
          <w:tcPr>
            <w:tcW w:w="1880" w:type="pct"/>
            <w:vAlign w:val="center"/>
          </w:tcPr>
          <w:p w:rsidR="004E3021" w:rsidRPr="00327E8E" w:rsidRDefault="00606E48" w:rsidP="00327E8E">
            <w:pPr>
              <w:pStyle w:val="afffffff2"/>
              <w:rPr>
                <w:rFonts w:ascii="Times New Roman" w:hAnsi="Times New Roman" w:cs="Times New Roman"/>
                <w:b/>
                <w:kern w:val="0"/>
                <w:sz w:val="21"/>
                <w:szCs w:val="21"/>
              </w:rPr>
            </w:pPr>
            <w:r w:rsidRPr="00327E8E">
              <w:rPr>
                <w:rFonts w:ascii="Times New Roman" w:hAnsi="Times New Roman" w:cs="Times New Roman"/>
                <w:b/>
                <w:kern w:val="0"/>
                <w:sz w:val="21"/>
                <w:szCs w:val="21"/>
              </w:rPr>
              <w:t>毒性终点浓度</w:t>
            </w:r>
            <w:r w:rsidRPr="00327E8E">
              <w:rPr>
                <w:rFonts w:ascii="Times New Roman" w:hAnsi="Times New Roman" w:cs="Times New Roman"/>
                <w:b/>
                <w:kern w:val="0"/>
                <w:sz w:val="21"/>
                <w:szCs w:val="21"/>
              </w:rPr>
              <w:t>-1</w:t>
            </w:r>
            <w:r w:rsidRPr="00327E8E">
              <w:rPr>
                <w:rFonts w:ascii="Times New Roman" w:hAnsi="Times New Roman" w:cs="Times New Roman"/>
                <w:b/>
                <w:kern w:val="0"/>
                <w:sz w:val="21"/>
                <w:szCs w:val="21"/>
              </w:rPr>
              <w:t>（</w:t>
            </w:r>
            <w:r w:rsidRPr="00327E8E">
              <w:rPr>
                <w:rFonts w:ascii="Times New Roman" w:hAnsi="Times New Roman" w:cs="Times New Roman"/>
                <w:b/>
                <w:kern w:val="0"/>
                <w:sz w:val="21"/>
                <w:szCs w:val="21"/>
              </w:rPr>
              <w:t>mg/m</w:t>
            </w:r>
            <w:r w:rsidRPr="00327E8E">
              <w:rPr>
                <w:rFonts w:ascii="Times New Roman" w:hAnsi="Times New Roman" w:cs="Times New Roman"/>
                <w:b/>
                <w:kern w:val="0"/>
                <w:sz w:val="21"/>
                <w:szCs w:val="21"/>
                <w:vertAlign w:val="superscript"/>
              </w:rPr>
              <w:t>3</w:t>
            </w:r>
            <w:r w:rsidRPr="00327E8E">
              <w:rPr>
                <w:rFonts w:ascii="Times New Roman" w:hAnsi="Times New Roman" w:cs="Times New Roman"/>
                <w:b/>
                <w:kern w:val="0"/>
                <w:sz w:val="21"/>
                <w:szCs w:val="21"/>
              </w:rPr>
              <w:t>）</w:t>
            </w:r>
          </w:p>
        </w:tc>
        <w:tc>
          <w:tcPr>
            <w:tcW w:w="2012" w:type="pct"/>
            <w:vAlign w:val="center"/>
          </w:tcPr>
          <w:p w:rsidR="004E3021" w:rsidRPr="00327E8E" w:rsidRDefault="00606E48" w:rsidP="00327E8E">
            <w:pPr>
              <w:pStyle w:val="afffffff2"/>
              <w:rPr>
                <w:rFonts w:ascii="Times New Roman" w:hAnsi="Times New Roman" w:cs="Times New Roman"/>
                <w:b/>
                <w:kern w:val="0"/>
                <w:sz w:val="21"/>
                <w:szCs w:val="21"/>
              </w:rPr>
            </w:pPr>
            <w:r w:rsidRPr="00327E8E">
              <w:rPr>
                <w:rFonts w:ascii="Times New Roman" w:hAnsi="Times New Roman" w:cs="Times New Roman"/>
                <w:b/>
                <w:kern w:val="0"/>
                <w:sz w:val="21"/>
                <w:szCs w:val="21"/>
              </w:rPr>
              <w:t>毒性终点浓度</w:t>
            </w:r>
            <w:r w:rsidRPr="00327E8E">
              <w:rPr>
                <w:rFonts w:ascii="Times New Roman" w:hAnsi="Times New Roman" w:cs="Times New Roman"/>
                <w:b/>
                <w:kern w:val="0"/>
                <w:sz w:val="21"/>
                <w:szCs w:val="21"/>
              </w:rPr>
              <w:t>-2</w:t>
            </w:r>
            <w:r w:rsidRPr="00327E8E">
              <w:rPr>
                <w:rFonts w:ascii="Times New Roman" w:hAnsi="Times New Roman" w:cs="Times New Roman"/>
                <w:b/>
                <w:kern w:val="0"/>
                <w:sz w:val="21"/>
                <w:szCs w:val="21"/>
              </w:rPr>
              <w:t>（</w:t>
            </w:r>
            <w:r w:rsidRPr="00327E8E">
              <w:rPr>
                <w:rFonts w:ascii="Times New Roman" w:hAnsi="Times New Roman" w:cs="Times New Roman"/>
                <w:b/>
                <w:kern w:val="0"/>
                <w:sz w:val="21"/>
                <w:szCs w:val="21"/>
              </w:rPr>
              <w:t>mg/m</w:t>
            </w:r>
            <w:r w:rsidRPr="00327E8E">
              <w:rPr>
                <w:rFonts w:ascii="Times New Roman" w:hAnsi="Times New Roman" w:cs="Times New Roman"/>
                <w:b/>
                <w:kern w:val="0"/>
                <w:sz w:val="21"/>
                <w:szCs w:val="21"/>
                <w:vertAlign w:val="superscript"/>
              </w:rPr>
              <w:t>3</w:t>
            </w:r>
            <w:r w:rsidRPr="00327E8E">
              <w:rPr>
                <w:rFonts w:ascii="Times New Roman" w:hAnsi="Times New Roman" w:cs="Times New Roman"/>
                <w:b/>
                <w:kern w:val="0"/>
                <w:sz w:val="21"/>
                <w:szCs w:val="21"/>
              </w:rPr>
              <w:t>）</w:t>
            </w:r>
          </w:p>
        </w:tc>
      </w:tr>
      <w:tr w:rsidR="004E3021" w:rsidRPr="00327E8E" w:rsidTr="00327E8E">
        <w:tc>
          <w:tcPr>
            <w:tcW w:w="1108" w:type="pct"/>
            <w:vAlign w:val="center"/>
          </w:tcPr>
          <w:p w:rsidR="004E3021" w:rsidRPr="00327E8E" w:rsidRDefault="00327E8E" w:rsidP="00327E8E">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氨</w:t>
            </w:r>
          </w:p>
        </w:tc>
        <w:tc>
          <w:tcPr>
            <w:tcW w:w="1880" w:type="pct"/>
            <w:vAlign w:val="center"/>
          </w:tcPr>
          <w:p w:rsidR="004E3021" w:rsidRPr="00327E8E" w:rsidRDefault="00327E8E" w:rsidP="00327E8E">
            <w:pPr>
              <w:pStyle w:val="afffffff2"/>
              <w:rPr>
                <w:rFonts w:ascii="Times New Roman" w:hAnsi="Times New Roman" w:cs="Times New Roman"/>
                <w:kern w:val="0"/>
                <w:sz w:val="21"/>
                <w:szCs w:val="21"/>
              </w:rPr>
            </w:pPr>
            <w:r>
              <w:rPr>
                <w:rFonts w:ascii="Times New Roman" w:hAnsi="Times New Roman" w:cs="Times New Roman"/>
                <w:kern w:val="0"/>
                <w:sz w:val="21"/>
                <w:szCs w:val="21"/>
              </w:rPr>
              <w:t>770</w:t>
            </w:r>
          </w:p>
        </w:tc>
        <w:tc>
          <w:tcPr>
            <w:tcW w:w="2012" w:type="pct"/>
            <w:vAlign w:val="center"/>
          </w:tcPr>
          <w:p w:rsidR="004E3021" w:rsidRPr="00327E8E" w:rsidRDefault="00327E8E" w:rsidP="00327E8E">
            <w:pPr>
              <w:pStyle w:val="afffffff2"/>
              <w:rPr>
                <w:rFonts w:ascii="Times New Roman" w:hAnsi="Times New Roman" w:cs="Times New Roman"/>
                <w:kern w:val="0"/>
                <w:sz w:val="21"/>
                <w:szCs w:val="21"/>
              </w:rPr>
            </w:pPr>
            <w:r>
              <w:rPr>
                <w:rFonts w:ascii="Times New Roman" w:hAnsi="Times New Roman" w:cs="Times New Roman"/>
                <w:kern w:val="0"/>
                <w:sz w:val="21"/>
                <w:szCs w:val="21"/>
              </w:rPr>
              <w:t>110</w:t>
            </w:r>
          </w:p>
        </w:tc>
      </w:tr>
    </w:tbl>
    <w:p w:rsidR="004E3021" w:rsidRDefault="00606E48">
      <w:pPr>
        <w:pStyle w:val="4a"/>
        <w:rPr>
          <w:lang w:val="zh-CN"/>
        </w:rPr>
      </w:pPr>
      <w:r>
        <w:rPr>
          <w:lang w:val="zh-CN"/>
        </w:rPr>
        <w:t>5.6.6.4</w:t>
      </w:r>
      <w:r>
        <w:rPr>
          <w:lang w:val="zh-CN"/>
        </w:rPr>
        <w:t>污水处理调节池破损</w:t>
      </w:r>
      <w:r>
        <w:rPr>
          <w:rFonts w:hint="eastAsia"/>
          <w:lang w:val="zh-CN"/>
        </w:rPr>
        <w:t>污染地下水事故</w:t>
      </w:r>
    </w:p>
    <w:p w:rsidR="004E3021" w:rsidRDefault="00606E48">
      <w:pPr>
        <w:ind w:firstLine="480"/>
      </w:pPr>
      <w:r>
        <w:rPr>
          <w:rFonts w:hint="eastAsia"/>
        </w:rPr>
        <w:t>当污水站调节池发生破损时，未经处理的废水中会下渗</w:t>
      </w:r>
      <w:r>
        <w:t>至厂区地下</w:t>
      </w:r>
      <w:r>
        <w:rPr>
          <w:rFonts w:hint="eastAsia"/>
        </w:rPr>
        <w:t>，会长期污染土壤并进入地下水</w:t>
      </w:r>
      <w:r>
        <w:t>。</w:t>
      </w:r>
      <w:r>
        <w:rPr>
          <w:rFonts w:hint="eastAsia"/>
        </w:rPr>
        <w:t>废水对地下水的源强及影响分析见报告</w:t>
      </w:r>
      <w:r>
        <w:rPr>
          <w:rFonts w:hint="eastAsia"/>
        </w:rPr>
        <w:t>5</w:t>
      </w:r>
      <w:r>
        <w:t>.5</w:t>
      </w:r>
      <w:r>
        <w:rPr>
          <w:rFonts w:hint="eastAsia"/>
        </w:rPr>
        <w:t>章节（地下水影响评价章节）。</w:t>
      </w:r>
    </w:p>
    <w:p w:rsidR="004E3021" w:rsidRDefault="00606E48">
      <w:pPr>
        <w:spacing w:before="240" w:after="120"/>
        <w:ind w:firstLineChars="0" w:firstLine="0"/>
        <w:jc w:val="left"/>
        <w:outlineLvl w:val="2"/>
        <w:rPr>
          <w:rFonts w:eastAsia="黑体"/>
          <w:sz w:val="28"/>
          <w:szCs w:val="28"/>
        </w:rPr>
      </w:pPr>
      <w:bookmarkStart w:id="549" w:name="_Toc108662678"/>
      <w:bookmarkStart w:id="550" w:name="_Toc101135901"/>
      <w:bookmarkStart w:id="551" w:name="_Toc100784069"/>
      <w:bookmarkStart w:id="552" w:name="_Toc221088833"/>
      <w:bookmarkStart w:id="553" w:name="_Toc221501048"/>
      <w:r>
        <w:rPr>
          <w:rFonts w:eastAsia="黑体" w:hint="eastAsia"/>
          <w:sz w:val="28"/>
          <w:szCs w:val="28"/>
        </w:rPr>
        <w:t>5.6.7</w:t>
      </w:r>
      <w:r>
        <w:rPr>
          <w:rFonts w:eastAsia="黑体" w:hint="eastAsia"/>
          <w:sz w:val="28"/>
          <w:szCs w:val="28"/>
        </w:rPr>
        <w:t>风险</w:t>
      </w:r>
      <w:r>
        <w:rPr>
          <w:rFonts w:eastAsia="黑体"/>
          <w:sz w:val="28"/>
          <w:szCs w:val="28"/>
        </w:rPr>
        <w:t>预测</w:t>
      </w:r>
      <w:r>
        <w:rPr>
          <w:rFonts w:eastAsia="黑体" w:hint="eastAsia"/>
          <w:sz w:val="28"/>
          <w:szCs w:val="28"/>
        </w:rPr>
        <w:t>与</w:t>
      </w:r>
      <w:r>
        <w:rPr>
          <w:rFonts w:eastAsia="黑体"/>
          <w:sz w:val="28"/>
          <w:szCs w:val="28"/>
        </w:rPr>
        <w:t>分析</w:t>
      </w:r>
      <w:bookmarkEnd w:id="549"/>
      <w:bookmarkEnd w:id="550"/>
      <w:bookmarkEnd w:id="551"/>
      <w:bookmarkEnd w:id="552"/>
      <w:bookmarkEnd w:id="553"/>
    </w:p>
    <w:p w:rsidR="004E3021" w:rsidRDefault="00606E48">
      <w:pPr>
        <w:ind w:firstLine="480"/>
      </w:pPr>
      <w:r>
        <w:t>本项目风险评价等级为</w:t>
      </w:r>
      <w:r w:rsidR="00327E8E">
        <w:rPr>
          <w:rFonts w:hint="eastAsia"/>
        </w:rPr>
        <w:t>二</w:t>
      </w:r>
      <w:r>
        <w:t>级，根据导则要求，</w:t>
      </w:r>
      <w:r w:rsidR="00327E8E">
        <w:rPr>
          <w:rFonts w:hint="eastAsia"/>
        </w:rPr>
        <w:t>二</w:t>
      </w:r>
      <w:r>
        <w:t>级评价需选取最不利气象条件</w:t>
      </w:r>
      <w:r>
        <w:rPr>
          <w:rFonts w:hint="eastAsia"/>
        </w:rPr>
        <w:t>和</w:t>
      </w:r>
      <w:r>
        <w:t>最常见气象</w:t>
      </w:r>
      <w:r>
        <w:rPr>
          <w:rFonts w:hint="eastAsia"/>
        </w:rPr>
        <w:t>条件</w:t>
      </w:r>
      <w:r>
        <w:t>，选择适用的数值方法进行分析预测，给出风险事故情形下危险物质释放可能造成的大气环境影响范围与程度。</w:t>
      </w:r>
    </w:p>
    <w:p w:rsidR="004E3021" w:rsidRDefault="00606E48">
      <w:pPr>
        <w:ind w:firstLine="480"/>
      </w:pPr>
      <w:r>
        <w:t>最不利气象条件</w:t>
      </w:r>
      <w:r>
        <w:rPr>
          <w:rFonts w:hint="eastAsia"/>
        </w:rPr>
        <w:t>为：</w:t>
      </w:r>
      <w:r>
        <w:rPr>
          <w:rFonts w:hint="eastAsia"/>
        </w:rPr>
        <w:t>F</w:t>
      </w:r>
      <w:r>
        <w:rPr>
          <w:rFonts w:hint="eastAsia"/>
        </w:rPr>
        <w:t>稳定度、风速</w:t>
      </w:r>
      <w:r>
        <w:t>1.5m/s</w:t>
      </w:r>
      <w:r>
        <w:t>、</w:t>
      </w:r>
      <w:r>
        <w:rPr>
          <w:rFonts w:hint="eastAsia"/>
        </w:rPr>
        <w:t>温度</w:t>
      </w:r>
      <w:r>
        <w:rPr>
          <w:rFonts w:hint="eastAsia"/>
        </w:rPr>
        <w:t>2</w:t>
      </w:r>
      <w:r>
        <w:t>5</w:t>
      </w:r>
      <w:r>
        <w:rPr>
          <w:rFonts w:ascii="宋体" w:hAnsi="宋体" w:cs="宋体" w:hint="eastAsia"/>
          <w:lang w:eastAsia="ja-JP"/>
        </w:rPr>
        <w:t>℃</w:t>
      </w:r>
      <w:r>
        <w:rPr>
          <w:rFonts w:hint="eastAsia"/>
        </w:rPr>
        <w:t>、</w:t>
      </w:r>
      <w:r>
        <w:t>相对湿度</w:t>
      </w:r>
      <w:r>
        <w:rPr>
          <w:rFonts w:hint="eastAsia"/>
        </w:rPr>
        <w:t>5</w:t>
      </w:r>
      <w:r>
        <w:t>0%</w:t>
      </w:r>
      <w:r>
        <w:rPr>
          <w:rFonts w:hint="eastAsia"/>
        </w:rPr>
        <w:t>；</w:t>
      </w:r>
    </w:p>
    <w:p w:rsidR="004E3021" w:rsidRDefault="00606E48">
      <w:pPr>
        <w:ind w:firstLine="480"/>
      </w:pPr>
      <w:r>
        <w:rPr>
          <w:rFonts w:hint="eastAsia"/>
        </w:rPr>
        <w:t>最常见</w:t>
      </w:r>
      <w:r>
        <w:t>气象条件为：</w:t>
      </w:r>
      <w:r>
        <w:t>D</w:t>
      </w:r>
      <w:r>
        <w:t>稳定度、风速</w:t>
      </w:r>
      <w:r>
        <w:rPr>
          <w:rFonts w:hint="eastAsia"/>
        </w:rPr>
        <w:t>2.45</w:t>
      </w:r>
      <w:r>
        <w:t xml:space="preserve"> m/s</w:t>
      </w:r>
      <w:r>
        <w:t>、</w:t>
      </w:r>
      <w:r>
        <w:rPr>
          <w:rFonts w:hint="eastAsia"/>
        </w:rPr>
        <w:t>温度</w:t>
      </w:r>
      <w:r>
        <w:t>16.38</w:t>
      </w:r>
      <w:r>
        <w:rPr>
          <w:rFonts w:ascii="宋体" w:hAnsi="宋体" w:cs="宋体" w:hint="eastAsia"/>
          <w:lang w:eastAsia="ja-JP"/>
        </w:rPr>
        <w:t>℃</w:t>
      </w:r>
      <w:r>
        <w:rPr>
          <w:rFonts w:hint="eastAsia"/>
        </w:rPr>
        <w:t>、</w:t>
      </w:r>
      <w:r>
        <w:t>相对湿度</w:t>
      </w:r>
      <w:r>
        <w:rPr>
          <w:rFonts w:hint="eastAsia"/>
        </w:rPr>
        <w:t>5</w:t>
      </w:r>
      <w:r>
        <w:t>0%</w:t>
      </w:r>
      <w:r>
        <w:rPr>
          <w:rFonts w:hint="eastAsia"/>
        </w:rPr>
        <w:t>。</w:t>
      </w:r>
    </w:p>
    <w:p w:rsidR="006B2786" w:rsidRPr="006B2786" w:rsidRDefault="006B2786" w:rsidP="006B2786">
      <w:pPr>
        <w:pStyle w:val="a0"/>
        <w:ind w:firstLine="480"/>
      </w:pPr>
    </w:p>
    <w:p w:rsidR="004E3021" w:rsidRDefault="00606E48">
      <w:pPr>
        <w:pStyle w:val="4a"/>
      </w:pPr>
      <w:r>
        <w:rPr>
          <w:rFonts w:hint="eastAsia"/>
        </w:rPr>
        <w:t>5.6.7.1</w:t>
      </w:r>
      <w:r>
        <w:rPr>
          <w:rFonts w:hint="eastAsia"/>
          <w:lang w:val="zh-CN"/>
        </w:rPr>
        <w:t>甲醇储罐泄漏</w:t>
      </w:r>
      <w:r>
        <w:rPr>
          <w:rFonts w:hint="eastAsia"/>
        </w:rPr>
        <w:t>火灾次生事故污染</w:t>
      </w:r>
      <w:r>
        <w:t>影响</w:t>
      </w:r>
    </w:p>
    <w:p w:rsidR="004E3021" w:rsidRDefault="00606E48">
      <w:pPr>
        <w:ind w:firstLine="480"/>
      </w:pPr>
      <w:r>
        <w:rPr>
          <w:rFonts w:hint="eastAsia"/>
        </w:rPr>
        <w:t>根据污染物气体性质，采用理查德森数判断，确定</w:t>
      </w:r>
      <w:r>
        <w:rPr>
          <w:rFonts w:hint="eastAsia"/>
        </w:rPr>
        <w:t>CO</w:t>
      </w:r>
      <w:r>
        <w:rPr>
          <w:rFonts w:hint="eastAsia"/>
        </w:rPr>
        <w:t>计算用</w:t>
      </w:r>
      <w:r>
        <w:t>AFTOX</w:t>
      </w:r>
      <w:r>
        <w:rPr>
          <w:rFonts w:hint="eastAsia"/>
        </w:rPr>
        <w:t>模型。</w:t>
      </w:r>
    </w:p>
    <w:p w:rsidR="004E3021" w:rsidRDefault="00606E48">
      <w:pPr>
        <w:ind w:firstLine="480"/>
        <w:rPr>
          <w:lang w:val="zh-CN"/>
        </w:rPr>
      </w:pPr>
      <w:r>
        <w:rPr>
          <w:rFonts w:hint="eastAsia"/>
        </w:rPr>
        <w:t>利用多烟团模式计算最常见</w:t>
      </w:r>
      <w:r>
        <w:t>气象</w:t>
      </w:r>
      <w:r>
        <w:rPr>
          <w:rFonts w:hint="eastAsia"/>
        </w:rPr>
        <w:t>条件</w:t>
      </w:r>
      <w:r>
        <w:t>下和</w:t>
      </w:r>
      <w:r>
        <w:rPr>
          <w:rFonts w:hint="eastAsia"/>
        </w:rPr>
        <w:t>最不利气象条件下，甲醇储罐</w:t>
      </w:r>
      <w:r>
        <w:t>泄漏</w:t>
      </w:r>
      <w:r>
        <w:rPr>
          <w:rFonts w:hint="eastAsia"/>
        </w:rPr>
        <w:t>火灾事故次生污染物从泄漏开始</w:t>
      </w:r>
      <w:r>
        <w:t>30min</w:t>
      </w:r>
      <w:r>
        <w:rPr>
          <w:rFonts w:hint="eastAsia"/>
        </w:rPr>
        <w:t>的影响范围及最大落地浓度，本次预测时刻为</w:t>
      </w:r>
      <w:r>
        <w:t>5min</w:t>
      </w:r>
      <w:r>
        <w:rPr>
          <w:rFonts w:hint="eastAsia"/>
        </w:rPr>
        <w:t>、</w:t>
      </w:r>
      <w:r>
        <w:t>30min</w:t>
      </w:r>
      <w:r>
        <w:rPr>
          <w:rFonts w:hint="eastAsia"/>
        </w:rPr>
        <w:t>。预测事故排放污染物最常见</w:t>
      </w:r>
      <w:r>
        <w:t>气象</w:t>
      </w:r>
      <w:r>
        <w:rPr>
          <w:rFonts w:hint="eastAsia"/>
        </w:rPr>
        <w:t>条件</w:t>
      </w:r>
      <w:r>
        <w:t>下和</w:t>
      </w:r>
      <w:r>
        <w:rPr>
          <w:rFonts w:hint="eastAsia"/>
        </w:rPr>
        <w:t>最不利气象条件下的最大浓度值见表</w:t>
      </w:r>
      <w:r>
        <w:t>5.6.7-1</w:t>
      </w:r>
      <w:r>
        <w:rPr>
          <w:rFonts w:hint="eastAsia"/>
        </w:rPr>
        <w:t>。</w:t>
      </w:r>
    </w:p>
    <w:p w:rsidR="004E3021" w:rsidRDefault="00606E48">
      <w:pPr>
        <w:spacing w:line="500" w:lineRule="exact"/>
        <w:ind w:firstLineChars="0" w:firstLine="0"/>
        <w:jc w:val="center"/>
        <w:rPr>
          <w:rFonts w:eastAsia="黑体"/>
        </w:rPr>
      </w:pPr>
      <w:r>
        <w:rPr>
          <w:rFonts w:eastAsia="黑体" w:hint="eastAsia"/>
        </w:rPr>
        <w:t>表</w:t>
      </w:r>
      <w:r>
        <w:rPr>
          <w:rFonts w:eastAsia="黑体" w:hint="eastAsia"/>
        </w:rPr>
        <w:t>5.6.</w:t>
      </w:r>
      <w:r>
        <w:rPr>
          <w:rFonts w:eastAsia="黑体"/>
        </w:rPr>
        <w:t xml:space="preserve">7-1  </w:t>
      </w:r>
      <w:r>
        <w:rPr>
          <w:rFonts w:eastAsia="黑体" w:hint="eastAsia"/>
        </w:rPr>
        <w:t>D</w:t>
      </w:r>
      <w:r>
        <w:rPr>
          <w:rFonts w:eastAsia="黑体" w:hint="eastAsia"/>
        </w:rPr>
        <w:t>稳定度</w:t>
      </w:r>
      <w:r>
        <w:rPr>
          <w:rFonts w:eastAsia="黑体"/>
        </w:rPr>
        <w:t>和</w:t>
      </w:r>
      <w:r>
        <w:rPr>
          <w:rFonts w:eastAsia="黑体"/>
        </w:rPr>
        <w:t>F</w:t>
      </w:r>
      <w:r>
        <w:rPr>
          <w:rFonts w:eastAsia="黑体"/>
        </w:rPr>
        <w:t>稳定度</w:t>
      </w:r>
      <w:r>
        <w:rPr>
          <w:rFonts w:eastAsia="黑体" w:hint="eastAsia"/>
        </w:rPr>
        <w:t>下</w:t>
      </w:r>
      <w:r>
        <w:rPr>
          <w:rFonts w:eastAsia="黑体" w:hint="eastAsia"/>
        </w:rPr>
        <w:t>CO</w:t>
      </w:r>
      <w:r>
        <w:rPr>
          <w:rFonts w:eastAsia="黑体"/>
        </w:rPr>
        <w:t>最大</w:t>
      </w:r>
      <w:r>
        <w:rPr>
          <w:rFonts w:eastAsia="黑体" w:hint="eastAsia"/>
        </w:rPr>
        <w:t>高峰</w:t>
      </w:r>
      <w:r>
        <w:rPr>
          <w:rFonts w:eastAsia="黑体"/>
        </w:rPr>
        <w:t>浓度</w:t>
      </w:r>
      <w:r>
        <w:rPr>
          <w:rFonts w:eastAsia="黑体" w:hint="eastAsia"/>
        </w:rPr>
        <w:t xml:space="preserve">  </w:t>
      </w:r>
      <w:r>
        <w:rPr>
          <w:rFonts w:eastAsia="黑体" w:hint="eastAsia"/>
        </w:rPr>
        <w:t>单位</w:t>
      </w:r>
      <w:r>
        <w:rPr>
          <w:rFonts w:eastAsia="黑体"/>
        </w:rPr>
        <w:t>：</w:t>
      </w:r>
      <w:r>
        <w:rPr>
          <w:rFonts w:eastAsia="黑体" w:hint="eastAsia"/>
        </w:rPr>
        <w:t>mg/m</w:t>
      </w:r>
      <w:r>
        <w:rPr>
          <w:rFonts w:eastAsia="黑体" w:hint="eastAsia"/>
          <w:vertAlign w:val="superscript"/>
        </w:rPr>
        <w:t>3</w:t>
      </w:r>
    </w:p>
    <w:tbl>
      <w:tblPr>
        <w:tblStyle w:val="1ffffffd"/>
        <w:tblW w:w="5000" w:type="pct"/>
        <w:tblLook w:val="04A0" w:firstRow="1" w:lastRow="0" w:firstColumn="1" w:lastColumn="0" w:noHBand="0" w:noVBand="1"/>
      </w:tblPr>
      <w:tblGrid>
        <w:gridCol w:w="1433"/>
        <w:gridCol w:w="3797"/>
        <w:gridCol w:w="3797"/>
      </w:tblGrid>
      <w:tr w:rsidR="004E3021" w:rsidRPr="00327E8E" w:rsidTr="00327E8E">
        <w:tc>
          <w:tcPr>
            <w:tcW w:w="794" w:type="pct"/>
            <w:vMerge w:val="restart"/>
            <w:vAlign w:val="center"/>
          </w:tcPr>
          <w:p w:rsidR="004E3021" w:rsidRPr="00327E8E" w:rsidRDefault="00606E48" w:rsidP="00327E8E">
            <w:pPr>
              <w:pStyle w:val="afffffff2"/>
              <w:rPr>
                <w:rFonts w:ascii="Times New Roman" w:hAnsi="Times New Roman" w:cs="Times New Roman"/>
                <w:b/>
                <w:kern w:val="0"/>
                <w:sz w:val="21"/>
                <w:szCs w:val="21"/>
              </w:rPr>
            </w:pPr>
            <w:r w:rsidRPr="00327E8E">
              <w:rPr>
                <w:rFonts w:ascii="Times New Roman" w:hAnsi="Times New Roman" w:cs="Times New Roman"/>
                <w:b/>
                <w:kern w:val="0"/>
                <w:sz w:val="21"/>
                <w:szCs w:val="21"/>
              </w:rPr>
              <w:t>距离</w:t>
            </w:r>
          </w:p>
        </w:tc>
        <w:tc>
          <w:tcPr>
            <w:tcW w:w="4206" w:type="pct"/>
            <w:gridSpan w:val="2"/>
            <w:vAlign w:val="center"/>
          </w:tcPr>
          <w:p w:rsidR="004E3021" w:rsidRPr="00327E8E" w:rsidRDefault="00606E48" w:rsidP="00327E8E">
            <w:pPr>
              <w:pStyle w:val="afffffff2"/>
              <w:rPr>
                <w:rFonts w:ascii="Times New Roman" w:hAnsi="Times New Roman" w:cs="Times New Roman"/>
                <w:b/>
                <w:kern w:val="0"/>
                <w:sz w:val="21"/>
                <w:szCs w:val="21"/>
              </w:rPr>
            </w:pPr>
            <w:r w:rsidRPr="00327E8E">
              <w:rPr>
                <w:rFonts w:ascii="Times New Roman" w:hAnsi="Times New Roman" w:cs="Times New Roman"/>
                <w:b/>
                <w:kern w:val="0"/>
                <w:sz w:val="21"/>
                <w:szCs w:val="21"/>
              </w:rPr>
              <w:t>CO</w:t>
            </w:r>
          </w:p>
        </w:tc>
      </w:tr>
      <w:tr w:rsidR="004E3021" w:rsidRPr="00327E8E" w:rsidTr="00327E8E">
        <w:tc>
          <w:tcPr>
            <w:tcW w:w="794" w:type="pct"/>
            <w:vMerge/>
            <w:vAlign w:val="center"/>
          </w:tcPr>
          <w:p w:rsidR="004E3021" w:rsidRPr="00327E8E" w:rsidRDefault="004E3021" w:rsidP="00327E8E">
            <w:pPr>
              <w:pStyle w:val="afffffff2"/>
              <w:rPr>
                <w:rFonts w:ascii="Times New Roman" w:hAnsi="Times New Roman" w:cs="Times New Roman"/>
                <w:b/>
                <w:kern w:val="0"/>
                <w:sz w:val="21"/>
                <w:szCs w:val="21"/>
              </w:rPr>
            </w:pPr>
          </w:p>
        </w:tc>
        <w:tc>
          <w:tcPr>
            <w:tcW w:w="2103" w:type="pct"/>
            <w:vAlign w:val="center"/>
          </w:tcPr>
          <w:p w:rsidR="004E3021" w:rsidRPr="00327E8E" w:rsidRDefault="00606E48" w:rsidP="00327E8E">
            <w:pPr>
              <w:pStyle w:val="afffffff2"/>
              <w:rPr>
                <w:rFonts w:ascii="Times New Roman" w:hAnsi="Times New Roman" w:cs="Times New Roman"/>
                <w:b/>
                <w:kern w:val="0"/>
                <w:sz w:val="21"/>
                <w:szCs w:val="21"/>
              </w:rPr>
            </w:pPr>
            <w:r w:rsidRPr="00327E8E">
              <w:rPr>
                <w:rFonts w:ascii="Times New Roman" w:hAnsi="Times New Roman" w:cs="Times New Roman"/>
                <w:b/>
                <w:kern w:val="0"/>
                <w:sz w:val="21"/>
                <w:szCs w:val="21"/>
              </w:rPr>
              <w:t>最常见气象条件</w:t>
            </w:r>
            <w:r w:rsidRPr="00327E8E">
              <w:rPr>
                <w:rFonts w:ascii="Times New Roman" w:hAnsi="Times New Roman" w:cs="Times New Roman"/>
                <w:b/>
                <w:kern w:val="0"/>
                <w:sz w:val="21"/>
                <w:szCs w:val="21"/>
              </w:rPr>
              <w:t>D</w:t>
            </w:r>
          </w:p>
        </w:tc>
        <w:tc>
          <w:tcPr>
            <w:tcW w:w="2103" w:type="pct"/>
            <w:vAlign w:val="center"/>
          </w:tcPr>
          <w:p w:rsidR="004E3021" w:rsidRPr="00327E8E" w:rsidRDefault="00606E48" w:rsidP="00327E8E">
            <w:pPr>
              <w:pStyle w:val="afffffff2"/>
              <w:rPr>
                <w:rFonts w:ascii="Times New Roman" w:hAnsi="Times New Roman" w:cs="Times New Roman"/>
                <w:b/>
                <w:kern w:val="0"/>
                <w:sz w:val="21"/>
                <w:szCs w:val="21"/>
              </w:rPr>
            </w:pPr>
            <w:r w:rsidRPr="00327E8E">
              <w:rPr>
                <w:rFonts w:ascii="Times New Roman" w:hAnsi="Times New Roman" w:cs="Times New Roman"/>
                <w:b/>
                <w:kern w:val="0"/>
                <w:sz w:val="21"/>
                <w:szCs w:val="21"/>
              </w:rPr>
              <w:t>最不利气象条件</w:t>
            </w:r>
            <w:r w:rsidRPr="00327E8E">
              <w:rPr>
                <w:rFonts w:ascii="Times New Roman" w:hAnsi="Times New Roman" w:cs="Times New Roman"/>
                <w:b/>
                <w:kern w:val="0"/>
                <w:sz w:val="21"/>
                <w:szCs w:val="21"/>
              </w:rPr>
              <w:t>F</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20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30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40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lastRenderedPageBreak/>
              <w:t>50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60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70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80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90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200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3.12E-10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1.30E-41</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300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1.54E-04</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2.27E-18</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400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1.11E-02</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2.34E-10</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500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6.96E-02</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1.17E-06</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600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1.73E-01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1.17E-04</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700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2.80E-01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1.84E-03</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800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3.63E-01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1.08E-02</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900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4.17E-01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3.54E-02</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1000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4.45E-01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8.12E-02</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1100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4.54E-01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1.47E-01</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1200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4.55E-01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2.28E-01</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1300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4.53E-01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3.16E-01</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1400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4.44E-01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4.03E-01</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1500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4.32E-01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4.90E-01</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1600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4.17E-01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5.77E-01</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1700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4.01E-01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6.56E-01</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1800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3.85E-01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7.25E-01</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1900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3.69E-01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7.84E-01</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2000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3.53E-01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8.34E-01</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2100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3.37E-01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8.74E-01</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2200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3.23E-01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9.07E-01</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2300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3.09E-01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9.32E-01</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2400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2.95E-01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9.50E-01</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2500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2.82E-01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9.62E-01</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3000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2.29E-01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7.81E-04</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3500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1.89E-01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1.71E-15</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4000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1.55E-01</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3.85E-30</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4500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5.46E-02</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r>
      <w:tr w:rsidR="004E3021" w:rsidRPr="00327E8E" w:rsidTr="00327E8E">
        <w:tc>
          <w:tcPr>
            <w:tcW w:w="794"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5000</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2.52E-03</w:t>
            </w:r>
          </w:p>
        </w:tc>
        <w:tc>
          <w:tcPr>
            <w:tcW w:w="2103" w:type="pct"/>
            <w:vAlign w:val="center"/>
          </w:tcPr>
          <w:p w:rsidR="004E3021" w:rsidRPr="00327E8E" w:rsidRDefault="00606E48" w:rsidP="00327E8E">
            <w:pPr>
              <w:pStyle w:val="afffffff2"/>
              <w:rPr>
                <w:rFonts w:ascii="Times New Roman" w:hAnsi="Times New Roman" w:cs="Times New Roman"/>
                <w:kern w:val="0"/>
                <w:sz w:val="21"/>
                <w:szCs w:val="21"/>
              </w:rPr>
            </w:pPr>
            <w:r w:rsidRPr="00327E8E">
              <w:rPr>
                <w:rFonts w:ascii="Times New Roman" w:hAnsi="Times New Roman" w:cs="Times New Roman"/>
                <w:kern w:val="0"/>
                <w:sz w:val="21"/>
                <w:szCs w:val="21"/>
              </w:rPr>
              <w:t>0.00E+00</w:t>
            </w:r>
          </w:p>
        </w:tc>
      </w:tr>
    </w:tbl>
    <w:p w:rsidR="004E3021" w:rsidRDefault="00606E48">
      <w:pPr>
        <w:spacing w:line="500" w:lineRule="exact"/>
        <w:ind w:firstLineChars="0" w:firstLine="0"/>
        <w:jc w:val="center"/>
        <w:rPr>
          <w:rFonts w:eastAsia="黑体"/>
        </w:rPr>
      </w:pPr>
      <w:r>
        <w:rPr>
          <w:rFonts w:eastAsia="黑体" w:hint="eastAsia"/>
        </w:rPr>
        <w:t>表</w:t>
      </w:r>
      <w:r>
        <w:rPr>
          <w:rFonts w:eastAsia="黑体" w:hint="eastAsia"/>
        </w:rPr>
        <w:t>5.6.</w:t>
      </w:r>
      <w:r>
        <w:rPr>
          <w:rFonts w:eastAsia="黑体"/>
        </w:rPr>
        <w:t>7-2  CO</w:t>
      </w:r>
      <w:r>
        <w:rPr>
          <w:rFonts w:eastAsia="黑体" w:hint="eastAsia"/>
          <w:lang w:val="zh-CN"/>
        </w:rPr>
        <w:t>各阈值的廓线对应的位置</w:t>
      </w:r>
    </w:p>
    <w:tbl>
      <w:tblPr>
        <w:tblStyle w:val="1ffffffd"/>
        <w:tblW w:w="5000" w:type="pct"/>
        <w:tblLook w:val="04A0" w:firstRow="1" w:lastRow="0" w:firstColumn="1" w:lastColumn="0" w:noHBand="0" w:noVBand="1"/>
      </w:tblPr>
      <w:tblGrid>
        <w:gridCol w:w="1282"/>
        <w:gridCol w:w="2164"/>
        <w:gridCol w:w="1221"/>
        <w:gridCol w:w="890"/>
        <w:gridCol w:w="892"/>
        <w:gridCol w:w="1115"/>
        <w:gridCol w:w="1463"/>
      </w:tblGrid>
      <w:tr w:rsidR="004E3021" w:rsidRPr="00327E8E" w:rsidTr="00327E8E">
        <w:tc>
          <w:tcPr>
            <w:tcW w:w="737" w:type="pct"/>
            <w:vAlign w:val="center"/>
          </w:tcPr>
          <w:p w:rsidR="004E3021" w:rsidRPr="00327E8E" w:rsidRDefault="00606E48" w:rsidP="00327E8E">
            <w:pPr>
              <w:widowControl/>
              <w:spacing w:line="360" w:lineRule="exact"/>
              <w:ind w:firstLineChars="0" w:firstLine="0"/>
              <w:jc w:val="center"/>
              <w:rPr>
                <w:rFonts w:ascii="Times New Roman" w:hAnsi="Times New Roman"/>
                <w:b/>
                <w:kern w:val="0"/>
                <w:sz w:val="21"/>
                <w:szCs w:val="21"/>
                <w:lang w:val="en-GB"/>
              </w:rPr>
            </w:pPr>
            <w:r w:rsidRPr="00327E8E">
              <w:rPr>
                <w:rFonts w:ascii="Times New Roman" w:hAnsi="Times New Roman"/>
                <w:b/>
                <w:kern w:val="0"/>
                <w:sz w:val="21"/>
                <w:szCs w:val="21"/>
                <w:lang w:val="en-GB"/>
              </w:rPr>
              <w:lastRenderedPageBreak/>
              <w:t>预测气象条件</w:t>
            </w:r>
          </w:p>
        </w:tc>
        <w:tc>
          <w:tcPr>
            <w:tcW w:w="1226" w:type="pct"/>
            <w:vAlign w:val="center"/>
          </w:tcPr>
          <w:p w:rsidR="004E3021" w:rsidRPr="00327E8E" w:rsidRDefault="00606E48" w:rsidP="00327E8E">
            <w:pPr>
              <w:widowControl/>
              <w:spacing w:line="360" w:lineRule="exact"/>
              <w:ind w:firstLineChars="0" w:firstLine="0"/>
              <w:jc w:val="center"/>
              <w:rPr>
                <w:rFonts w:ascii="Times New Roman" w:hAnsi="Times New Roman"/>
                <w:b/>
                <w:kern w:val="0"/>
                <w:sz w:val="21"/>
                <w:szCs w:val="21"/>
                <w:lang w:val="en-GB"/>
              </w:rPr>
            </w:pPr>
            <w:r w:rsidRPr="00327E8E">
              <w:rPr>
                <w:rFonts w:ascii="Times New Roman" w:hAnsi="Times New Roman"/>
                <w:b/>
                <w:kern w:val="0"/>
                <w:sz w:val="21"/>
                <w:szCs w:val="21"/>
                <w:lang w:val="en-GB"/>
              </w:rPr>
              <w:t>指标</w:t>
            </w:r>
          </w:p>
        </w:tc>
        <w:tc>
          <w:tcPr>
            <w:tcW w:w="514" w:type="pct"/>
            <w:vAlign w:val="center"/>
          </w:tcPr>
          <w:p w:rsidR="004E3021" w:rsidRPr="00327E8E" w:rsidRDefault="00606E48" w:rsidP="00327E8E">
            <w:pPr>
              <w:widowControl/>
              <w:spacing w:line="360" w:lineRule="exact"/>
              <w:ind w:firstLineChars="0" w:firstLine="0"/>
              <w:jc w:val="center"/>
              <w:rPr>
                <w:rFonts w:ascii="Times New Roman" w:hAnsi="Times New Roman"/>
                <w:b/>
                <w:kern w:val="0"/>
                <w:sz w:val="21"/>
                <w:szCs w:val="21"/>
                <w:lang w:val="en-GB"/>
              </w:rPr>
            </w:pPr>
            <w:r w:rsidRPr="00327E8E">
              <w:rPr>
                <w:rFonts w:ascii="Times New Roman" w:hAnsi="Times New Roman"/>
                <w:b/>
                <w:kern w:val="0"/>
                <w:sz w:val="21"/>
                <w:szCs w:val="21"/>
                <w:lang w:val="en-GB"/>
              </w:rPr>
              <w:t>浓度值（</w:t>
            </w:r>
            <w:r w:rsidRPr="00327E8E">
              <w:rPr>
                <w:rFonts w:ascii="Times New Roman" w:hAnsi="Times New Roman"/>
                <w:b/>
                <w:kern w:val="0"/>
                <w:sz w:val="21"/>
                <w:szCs w:val="21"/>
              </w:rPr>
              <w:t>mg/m</w:t>
            </w:r>
            <w:r w:rsidRPr="00327E8E">
              <w:rPr>
                <w:rFonts w:ascii="Times New Roman" w:hAnsi="Times New Roman"/>
                <w:b/>
                <w:kern w:val="0"/>
                <w:sz w:val="21"/>
                <w:szCs w:val="21"/>
                <w:vertAlign w:val="superscript"/>
              </w:rPr>
              <w:t>3</w:t>
            </w:r>
            <w:r w:rsidRPr="00327E8E">
              <w:rPr>
                <w:rFonts w:ascii="Times New Roman" w:hAnsi="Times New Roman"/>
                <w:b/>
                <w:kern w:val="0"/>
                <w:sz w:val="21"/>
                <w:szCs w:val="21"/>
                <w:lang w:val="en-GB"/>
              </w:rPr>
              <w:t>）</w:t>
            </w:r>
          </w:p>
        </w:tc>
        <w:tc>
          <w:tcPr>
            <w:tcW w:w="520" w:type="pct"/>
            <w:vAlign w:val="center"/>
          </w:tcPr>
          <w:p w:rsidR="004E3021" w:rsidRPr="00327E8E" w:rsidRDefault="00606E48" w:rsidP="00327E8E">
            <w:pPr>
              <w:widowControl/>
              <w:spacing w:line="360" w:lineRule="exact"/>
              <w:ind w:firstLineChars="0" w:firstLine="0"/>
              <w:jc w:val="center"/>
              <w:rPr>
                <w:rFonts w:ascii="Times New Roman" w:hAnsi="Times New Roman"/>
                <w:b/>
                <w:kern w:val="0"/>
                <w:sz w:val="21"/>
                <w:szCs w:val="21"/>
                <w:lang w:val="en-GB"/>
              </w:rPr>
            </w:pPr>
            <w:r w:rsidRPr="00327E8E">
              <w:rPr>
                <w:rFonts w:ascii="Times New Roman" w:hAnsi="Times New Roman"/>
                <w:b/>
                <w:kern w:val="0"/>
                <w:sz w:val="21"/>
                <w:szCs w:val="21"/>
                <w:lang w:val="zh-CN"/>
              </w:rPr>
              <w:t>X</w:t>
            </w:r>
            <w:r w:rsidRPr="00327E8E">
              <w:rPr>
                <w:rFonts w:ascii="Times New Roman" w:hAnsi="Times New Roman"/>
                <w:b/>
                <w:kern w:val="0"/>
                <w:sz w:val="21"/>
                <w:szCs w:val="21"/>
                <w:lang w:val="zh-CN"/>
              </w:rPr>
              <w:t>起点</w:t>
            </w:r>
            <w:r w:rsidRPr="00327E8E">
              <w:rPr>
                <w:rFonts w:ascii="Times New Roman" w:hAnsi="Times New Roman"/>
                <w:b/>
                <w:kern w:val="0"/>
                <w:sz w:val="21"/>
                <w:szCs w:val="21"/>
                <w:lang w:val="zh-CN"/>
              </w:rPr>
              <w:t>(m)</w:t>
            </w:r>
          </w:p>
        </w:tc>
        <w:tc>
          <w:tcPr>
            <w:tcW w:w="521" w:type="pct"/>
            <w:vAlign w:val="center"/>
          </w:tcPr>
          <w:p w:rsidR="004E3021" w:rsidRPr="00327E8E" w:rsidRDefault="00606E48" w:rsidP="00327E8E">
            <w:pPr>
              <w:widowControl/>
              <w:spacing w:line="360" w:lineRule="exact"/>
              <w:ind w:firstLineChars="0" w:firstLine="0"/>
              <w:jc w:val="center"/>
              <w:rPr>
                <w:rFonts w:ascii="Times New Roman" w:hAnsi="Times New Roman"/>
                <w:b/>
                <w:kern w:val="0"/>
                <w:sz w:val="21"/>
                <w:szCs w:val="21"/>
                <w:lang w:val="en-GB"/>
              </w:rPr>
            </w:pPr>
            <w:r w:rsidRPr="00327E8E">
              <w:rPr>
                <w:rFonts w:ascii="Times New Roman" w:hAnsi="Times New Roman"/>
                <w:b/>
                <w:kern w:val="0"/>
                <w:sz w:val="21"/>
                <w:szCs w:val="21"/>
                <w:lang w:val="zh-CN"/>
              </w:rPr>
              <w:t>X</w:t>
            </w:r>
            <w:r w:rsidRPr="00327E8E">
              <w:rPr>
                <w:rFonts w:ascii="Times New Roman" w:hAnsi="Times New Roman"/>
                <w:b/>
                <w:kern w:val="0"/>
                <w:sz w:val="21"/>
                <w:szCs w:val="21"/>
                <w:lang w:val="zh-CN"/>
              </w:rPr>
              <w:t>终点</w:t>
            </w:r>
            <w:r w:rsidRPr="00327E8E">
              <w:rPr>
                <w:rFonts w:ascii="Times New Roman" w:hAnsi="Times New Roman"/>
                <w:b/>
                <w:kern w:val="0"/>
                <w:sz w:val="21"/>
                <w:szCs w:val="21"/>
                <w:lang w:val="zh-CN"/>
              </w:rPr>
              <w:t>(m)</w:t>
            </w:r>
          </w:p>
        </w:tc>
        <w:tc>
          <w:tcPr>
            <w:tcW w:w="645" w:type="pct"/>
            <w:vAlign w:val="center"/>
          </w:tcPr>
          <w:p w:rsidR="004E3021" w:rsidRPr="00327E8E" w:rsidRDefault="00606E48" w:rsidP="00327E8E">
            <w:pPr>
              <w:widowControl/>
              <w:spacing w:line="360" w:lineRule="exact"/>
              <w:ind w:firstLineChars="0" w:firstLine="0"/>
              <w:jc w:val="center"/>
              <w:rPr>
                <w:rFonts w:ascii="Times New Roman" w:hAnsi="Times New Roman"/>
                <w:b/>
                <w:kern w:val="0"/>
                <w:sz w:val="21"/>
                <w:szCs w:val="21"/>
                <w:lang w:val="en-GB"/>
              </w:rPr>
            </w:pPr>
            <w:r w:rsidRPr="00327E8E">
              <w:rPr>
                <w:rFonts w:ascii="Times New Roman" w:hAnsi="Times New Roman"/>
                <w:b/>
                <w:kern w:val="0"/>
                <w:sz w:val="21"/>
                <w:szCs w:val="21"/>
                <w:lang w:val="zh-CN"/>
              </w:rPr>
              <w:t>最大半宽</w:t>
            </w:r>
            <w:r w:rsidRPr="00327E8E">
              <w:rPr>
                <w:rFonts w:ascii="Times New Roman" w:hAnsi="Times New Roman"/>
                <w:b/>
                <w:kern w:val="0"/>
                <w:sz w:val="21"/>
                <w:szCs w:val="21"/>
                <w:lang w:val="zh-CN"/>
              </w:rPr>
              <w:t>(m)</w:t>
            </w:r>
          </w:p>
        </w:tc>
        <w:tc>
          <w:tcPr>
            <w:tcW w:w="837" w:type="pct"/>
            <w:vAlign w:val="center"/>
          </w:tcPr>
          <w:p w:rsidR="004E3021" w:rsidRPr="00327E8E" w:rsidRDefault="00606E48" w:rsidP="00327E8E">
            <w:pPr>
              <w:widowControl/>
              <w:spacing w:line="360" w:lineRule="exact"/>
              <w:ind w:firstLineChars="0" w:firstLine="0"/>
              <w:jc w:val="center"/>
              <w:rPr>
                <w:rFonts w:ascii="Times New Roman" w:hAnsi="Times New Roman"/>
                <w:b/>
                <w:kern w:val="0"/>
                <w:sz w:val="21"/>
                <w:szCs w:val="21"/>
                <w:lang w:val="en-GB"/>
              </w:rPr>
            </w:pPr>
            <w:r w:rsidRPr="00327E8E">
              <w:rPr>
                <w:rFonts w:ascii="Times New Roman" w:hAnsi="Times New Roman"/>
                <w:b/>
                <w:kern w:val="0"/>
                <w:sz w:val="21"/>
                <w:szCs w:val="21"/>
                <w:lang w:val="zh-CN"/>
              </w:rPr>
              <w:t>最大半宽对应</w:t>
            </w:r>
            <w:r w:rsidRPr="00327E8E">
              <w:rPr>
                <w:rFonts w:ascii="Times New Roman" w:hAnsi="Times New Roman"/>
                <w:b/>
                <w:kern w:val="0"/>
                <w:sz w:val="21"/>
                <w:szCs w:val="21"/>
                <w:lang w:val="zh-CN"/>
              </w:rPr>
              <w:t>X(m)</w:t>
            </w:r>
          </w:p>
        </w:tc>
      </w:tr>
      <w:tr w:rsidR="004E3021" w:rsidRPr="00327E8E" w:rsidTr="00327E8E">
        <w:tc>
          <w:tcPr>
            <w:tcW w:w="737" w:type="pct"/>
            <w:vMerge w:val="restar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lang w:val="en-GB"/>
              </w:rPr>
            </w:pPr>
            <w:r w:rsidRPr="00327E8E">
              <w:rPr>
                <w:rFonts w:ascii="Times New Roman" w:hAnsi="Times New Roman"/>
                <w:kern w:val="0"/>
                <w:sz w:val="21"/>
                <w:szCs w:val="21"/>
              </w:rPr>
              <w:t>最常见气象条件</w:t>
            </w:r>
            <w:r w:rsidRPr="00327E8E">
              <w:rPr>
                <w:rFonts w:ascii="Times New Roman" w:hAnsi="Times New Roman"/>
                <w:kern w:val="0"/>
                <w:sz w:val="21"/>
                <w:szCs w:val="21"/>
              </w:rPr>
              <w:t>D</w:t>
            </w:r>
          </w:p>
        </w:tc>
        <w:tc>
          <w:tcPr>
            <w:tcW w:w="1226"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lang w:val="en-GB"/>
              </w:rPr>
            </w:pPr>
            <w:r w:rsidRPr="00327E8E">
              <w:rPr>
                <w:rFonts w:ascii="Times New Roman" w:hAnsi="Times New Roman"/>
                <w:kern w:val="0"/>
                <w:sz w:val="21"/>
                <w:szCs w:val="21"/>
                <w:lang w:val="en-GB"/>
              </w:rPr>
              <w:t>大气毒性终点浓度</w:t>
            </w:r>
            <w:r w:rsidRPr="00327E8E">
              <w:rPr>
                <w:rFonts w:ascii="Times New Roman" w:hAnsi="Times New Roman"/>
                <w:kern w:val="0"/>
                <w:sz w:val="21"/>
                <w:szCs w:val="21"/>
                <w:lang w:val="en-GB"/>
              </w:rPr>
              <w:t>-2</w:t>
            </w:r>
          </w:p>
        </w:tc>
        <w:tc>
          <w:tcPr>
            <w:tcW w:w="514"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rPr>
            </w:pPr>
            <w:r w:rsidRPr="00327E8E">
              <w:rPr>
                <w:rFonts w:ascii="Times New Roman" w:hAnsi="Times New Roman"/>
                <w:kern w:val="0"/>
                <w:sz w:val="21"/>
                <w:szCs w:val="21"/>
              </w:rPr>
              <w:t>95</w:t>
            </w:r>
          </w:p>
        </w:tc>
        <w:tc>
          <w:tcPr>
            <w:tcW w:w="520"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rPr>
            </w:pPr>
            <w:r w:rsidRPr="00327E8E">
              <w:rPr>
                <w:rFonts w:ascii="Times New Roman" w:hAnsi="Times New Roman"/>
                <w:kern w:val="0"/>
                <w:sz w:val="21"/>
                <w:szCs w:val="21"/>
              </w:rPr>
              <w:t>80</w:t>
            </w:r>
          </w:p>
        </w:tc>
        <w:tc>
          <w:tcPr>
            <w:tcW w:w="521"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rPr>
            </w:pPr>
            <w:r w:rsidRPr="00327E8E">
              <w:rPr>
                <w:rFonts w:ascii="Times New Roman" w:hAnsi="Times New Roman"/>
                <w:kern w:val="0"/>
                <w:sz w:val="21"/>
                <w:szCs w:val="21"/>
              </w:rPr>
              <w:t>80</w:t>
            </w:r>
          </w:p>
        </w:tc>
        <w:tc>
          <w:tcPr>
            <w:tcW w:w="645"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rPr>
            </w:pPr>
            <w:r w:rsidRPr="00327E8E">
              <w:rPr>
                <w:rFonts w:ascii="Times New Roman" w:hAnsi="Times New Roman"/>
                <w:kern w:val="0"/>
                <w:sz w:val="21"/>
                <w:szCs w:val="21"/>
              </w:rPr>
              <w:t>4</w:t>
            </w:r>
          </w:p>
        </w:tc>
        <w:tc>
          <w:tcPr>
            <w:tcW w:w="837"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rPr>
            </w:pPr>
            <w:r w:rsidRPr="00327E8E">
              <w:rPr>
                <w:rFonts w:ascii="Times New Roman" w:hAnsi="Times New Roman"/>
                <w:kern w:val="0"/>
                <w:sz w:val="21"/>
                <w:szCs w:val="21"/>
              </w:rPr>
              <w:t>80</w:t>
            </w:r>
          </w:p>
        </w:tc>
      </w:tr>
      <w:tr w:rsidR="004E3021" w:rsidRPr="00327E8E" w:rsidTr="00327E8E">
        <w:tc>
          <w:tcPr>
            <w:tcW w:w="737" w:type="pct"/>
            <w:vMerge/>
            <w:vAlign w:val="center"/>
          </w:tcPr>
          <w:p w:rsidR="004E3021" w:rsidRPr="00327E8E" w:rsidRDefault="004E3021" w:rsidP="00327E8E">
            <w:pPr>
              <w:widowControl/>
              <w:spacing w:line="360" w:lineRule="exact"/>
              <w:ind w:firstLineChars="0" w:firstLine="0"/>
              <w:jc w:val="center"/>
              <w:rPr>
                <w:rFonts w:ascii="Times New Roman" w:hAnsi="Times New Roman"/>
                <w:kern w:val="0"/>
                <w:sz w:val="21"/>
                <w:szCs w:val="21"/>
                <w:lang w:val="en-GB"/>
              </w:rPr>
            </w:pPr>
          </w:p>
        </w:tc>
        <w:tc>
          <w:tcPr>
            <w:tcW w:w="1226"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lang w:val="en-GB"/>
              </w:rPr>
            </w:pPr>
            <w:r w:rsidRPr="00327E8E">
              <w:rPr>
                <w:rFonts w:ascii="Times New Roman" w:hAnsi="Times New Roman"/>
                <w:kern w:val="0"/>
                <w:sz w:val="21"/>
                <w:szCs w:val="21"/>
                <w:lang w:val="en-GB"/>
              </w:rPr>
              <w:t>大气毒性终点浓度</w:t>
            </w:r>
            <w:r w:rsidRPr="00327E8E">
              <w:rPr>
                <w:rFonts w:ascii="Times New Roman" w:hAnsi="Times New Roman"/>
                <w:kern w:val="0"/>
                <w:sz w:val="21"/>
                <w:szCs w:val="21"/>
                <w:lang w:val="en-GB"/>
              </w:rPr>
              <w:t>-1</w:t>
            </w:r>
          </w:p>
        </w:tc>
        <w:tc>
          <w:tcPr>
            <w:tcW w:w="514"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rPr>
            </w:pPr>
            <w:r w:rsidRPr="00327E8E">
              <w:rPr>
                <w:rFonts w:ascii="Times New Roman" w:hAnsi="Times New Roman"/>
                <w:kern w:val="0"/>
                <w:sz w:val="21"/>
                <w:szCs w:val="21"/>
              </w:rPr>
              <w:t>380</w:t>
            </w:r>
          </w:p>
        </w:tc>
        <w:tc>
          <w:tcPr>
            <w:tcW w:w="2523" w:type="pct"/>
            <w:gridSpan w:val="4"/>
            <w:vAlign w:val="center"/>
          </w:tcPr>
          <w:p w:rsidR="004E3021" w:rsidRPr="00327E8E" w:rsidRDefault="00606E48" w:rsidP="00327E8E">
            <w:pPr>
              <w:pStyle w:val="afffffff2"/>
              <w:rPr>
                <w:rFonts w:ascii="Times New Roman" w:hAnsi="Times New Roman" w:cs="Times New Roman"/>
                <w:kern w:val="0"/>
                <w:sz w:val="21"/>
                <w:szCs w:val="21"/>
                <w:lang w:val="zh-CN"/>
              </w:rPr>
            </w:pPr>
            <w:r w:rsidRPr="00327E8E">
              <w:rPr>
                <w:rFonts w:ascii="Times New Roman" w:hAnsi="Times New Roman" w:cs="Times New Roman"/>
                <w:kern w:val="0"/>
                <w:sz w:val="21"/>
                <w:szCs w:val="21"/>
                <w:lang w:val="zh-CN"/>
              </w:rPr>
              <w:t>此阈值及以上，无对应位置，因计算浓度均小于此阈值</w:t>
            </w:r>
          </w:p>
        </w:tc>
      </w:tr>
      <w:tr w:rsidR="004E3021" w:rsidRPr="00327E8E" w:rsidTr="00327E8E">
        <w:tc>
          <w:tcPr>
            <w:tcW w:w="737" w:type="pct"/>
            <w:vMerge w:val="restar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lang w:val="en-GB"/>
              </w:rPr>
            </w:pPr>
            <w:r w:rsidRPr="00327E8E">
              <w:rPr>
                <w:rFonts w:ascii="Times New Roman" w:hAnsi="Times New Roman"/>
                <w:kern w:val="0"/>
                <w:sz w:val="21"/>
                <w:szCs w:val="21"/>
                <w:lang w:val="en-GB"/>
              </w:rPr>
              <w:t>最不利气象条件</w:t>
            </w:r>
            <w:r w:rsidRPr="00327E8E">
              <w:rPr>
                <w:rFonts w:ascii="Times New Roman" w:hAnsi="Times New Roman"/>
                <w:kern w:val="0"/>
                <w:sz w:val="21"/>
                <w:szCs w:val="21"/>
                <w:lang w:val="en-GB"/>
              </w:rPr>
              <w:t>F</w:t>
            </w:r>
          </w:p>
        </w:tc>
        <w:tc>
          <w:tcPr>
            <w:tcW w:w="1226"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lang w:val="en-GB"/>
              </w:rPr>
            </w:pPr>
            <w:r w:rsidRPr="00327E8E">
              <w:rPr>
                <w:rFonts w:ascii="Times New Roman" w:hAnsi="Times New Roman"/>
                <w:kern w:val="0"/>
                <w:sz w:val="21"/>
                <w:szCs w:val="21"/>
                <w:lang w:val="en-GB"/>
              </w:rPr>
              <w:t>大气毒性终点浓度</w:t>
            </w:r>
            <w:r w:rsidRPr="00327E8E">
              <w:rPr>
                <w:rFonts w:ascii="Times New Roman" w:hAnsi="Times New Roman"/>
                <w:kern w:val="0"/>
                <w:sz w:val="21"/>
                <w:szCs w:val="21"/>
                <w:lang w:val="en-GB"/>
              </w:rPr>
              <w:t>-2</w:t>
            </w:r>
          </w:p>
        </w:tc>
        <w:tc>
          <w:tcPr>
            <w:tcW w:w="514"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rPr>
            </w:pPr>
            <w:r w:rsidRPr="00327E8E">
              <w:rPr>
                <w:rFonts w:ascii="Times New Roman" w:hAnsi="Times New Roman"/>
                <w:kern w:val="0"/>
                <w:sz w:val="21"/>
                <w:szCs w:val="21"/>
              </w:rPr>
              <w:t>95</w:t>
            </w:r>
          </w:p>
        </w:tc>
        <w:tc>
          <w:tcPr>
            <w:tcW w:w="520"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rPr>
            </w:pPr>
            <w:r w:rsidRPr="00327E8E">
              <w:rPr>
                <w:rFonts w:ascii="Times New Roman" w:hAnsi="Times New Roman"/>
                <w:kern w:val="0"/>
                <w:sz w:val="21"/>
                <w:szCs w:val="21"/>
              </w:rPr>
              <w:t>20</w:t>
            </w:r>
          </w:p>
        </w:tc>
        <w:tc>
          <w:tcPr>
            <w:tcW w:w="521"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rPr>
            </w:pPr>
            <w:r w:rsidRPr="00327E8E">
              <w:rPr>
                <w:rFonts w:ascii="Times New Roman" w:hAnsi="Times New Roman"/>
                <w:kern w:val="0"/>
                <w:sz w:val="21"/>
                <w:szCs w:val="21"/>
              </w:rPr>
              <w:t>190</w:t>
            </w:r>
          </w:p>
        </w:tc>
        <w:tc>
          <w:tcPr>
            <w:tcW w:w="645"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rPr>
            </w:pPr>
            <w:r w:rsidRPr="00327E8E">
              <w:rPr>
                <w:rFonts w:ascii="Times New Roman" w:hAnsi="Times New Roman"/>
                <w:kern w:val="0"/>
                <w:sz w:val="21"/>
                <w:szCs w:val="21"/>
              </w:rPr>
              <w:t>4</w:t>
            </w:r>
          </w:p>
        </w:tc>
        <w:tc>
          <w:tcPr>
            <w:tcW w:w="837"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rPr>
            </w:pPr>
            <w:r w:rsidRPr="00327E8E">
              <w:rPr>
                <w:rFonts w:ascii="Times New Roman" w:hAnsi="Times New Roman"/>
                <w:kern w:val="0"/>
                <w:sz w:val="21"/>
                <w:szCs w:val="21"/>
              </w:rPr>
              <w:t>20</w:t>
            </w:r>
          </w:p>
        </w:tc>
      </w:tr>
      <w:tr w:rsidR="004E3021" w:rsidRPr="00327E8E" w:rsidTr="00327E8E">
        <w:tc>
          <w:tcPr>
            <w:tcW w:w="737" w:type="pct"/>
            <w:vMerge/>
            <w:vAlign w:val="center"/>
          </w:tcPr>
          <w:p w:rsidR="004E3021" w:rsidRPr="00327E8E" w:rsidRDefault="004E3021" w:rsidP="00327E8E">
            <w:pPr>
              <w:widowControl/>
              <w:spacing w:line="360" w:lineRule="exact"/>
              <w:ind w:firstLineChars="0" w:firstLine="0"/>
              <w:jc w:val="center"/>
              <w:rPr>
                <w:rFonts w:ascii="Times New Roman" w:hAnsi="Times New Roman"/>
                <w:kern w:val="0"/>
                <w:sz w:val="21"/>
                <w:szCs w:val="21"/>
                <w:lang w:val="en-GB"/>
              </w:rPr>
            </w:pPr>
          </w:p>
        </w:tc>
        <w:tc>
          <w:tcPr>
            <w:tcW w:w="1226"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lang w:val="en-GB"/>
              </w:rPr>
            </w:pPr>
            <w:r w:rsidRPr="00327E8E">
              <w:rPr>
                <w:rFonts w:ascii="Times New Roman" w:hAnsi="Times New Roman"/>
                <w:kern w:val="0"/>
                <w:sz w:val="21"/>
                <w:szCs w:val="21"/>
                <w:lang w:val="en-GB"/>
              </w:rPr>
              <w:t>大气毒性终点浓度</w:t>
            </w:r>
            <w:r w:rsidRPr="00327E8E">
              <w:rPr>
                <w:rFonts w:ascii="Times New Roman" w:hAnsi="Times New Roman"/>
                <w:kern w:val="0"/>
                <w:sz w:val="21"/>
                <w:szCs w:val="21"/>
                <w:lang w:val="en-GB"/>
              </w:rPr>
              <w:t>-1</w:t>
            </w:r>
          </w:p>
        </w:tc>
        <w:tc>
          <w:tcPr>
            <w:tcW w:w="514"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rPr>
            </w:pPr>
            <w:r w:rsidRPr="00327E8E">
              <w:rPr>
                <w:rFonts w:ascii="Times New Roman" w:hAnsi="Times New Roman"/>
                <w:kern w:val="0"/>
                <w:sz w:val="21"/>
                <w:szCs w:val="21"/>
              </w:rPr>
              <w:t>380</w:t>
            </w:r>
          </w:p>
        </w:tc>
        <w:tc>
          <w:tcPr>
            <w:tcW w:w="520"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rPr>
            </w:pPr>
            <w:r w:rsidRPr="00327E8E">
              <w:rPr>
                <w:rFonts w:ascii="Times New Roman" w:hAnsi="Times New Roman"/>
                <w:kern w:val="0"/>
                <w:sz w:val="21"/>
                <w:szCs w:val="21"/>
              </w:rPr>
              <w:t>60</w:t>
            </w:r>
          </w:p>
        </w:tc>
        <w:tc>
          <w:tcPr>
            <w:tcW w:w="521"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rPr>
            </w:pPr>
            <w:r w:rsidRPr="00327E8E">
              <w:rPr>
                <w:rFonts w:ascii="Times New Roman" w:hAnsi="Times New Roman"/>
                <w:kern w:val="0"/>
                <w:sz w:val="21"/>
                <w:szCs w:val="21"/>
              </w:rPr>
              <w:t>60</w:t>
            </w:r>
          </w:p>
        </w:tc>
        <w:tc>
          <w:tcPr>
            <w:tcW w:w="645"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rPr>
            </w:pPr>
            <w:r w:rsidRPr="00327E8E">
              <w:rPr>
                <w:rFonts w:ascii="Times New Roman" w:hAnsi="Times New Roman"/>
                <w:kern w:val="0"/>
                <w:sz w:val="21"/>
                <w:szCs w:val="21"/>
              </w:rPr>
              <w:t>0</w:t>
            </w:r>
          </w:p>
        </w:tc>
        <w:tc>
          <w:tcPr>
            <w:tcW w:w="837" w:type="pct"/>
            <w:vAlign w:val="center"/>
          </w:tcPr>
          <w:p w:rsidR="004E3021" w:rsidRPr="00327E8E" w:rsidRDefault="00606E48" w:rsidP="00327E8E">
            <w:pPr>
              <w:widowControl/>
              <w:spacing w:line="360" w:lineRule="exact"/>
              <w:ind w:firstLineChars="0" w:firstLine="0"/>
              <w:jc w:val="center"/>
              <w:rPr>
                <w:rFonts w:ascii="Times New Roman" w:hAnsi="Times New Roman"/>
                <w:kern w:val="0"/>
                <w:sz w:val="21"/>
                <w:szCs w:val="21"/>
              </w:rPr>
            </w:pPr>
            <w:r w:rsidRPr="00327E8E">
              <w:rPr>
                <w:rFonts w:ascii="Times New Roman" w:hAnsi="Times New Roman"/>
                <w:kern w:val="0"/>
                <w:sz w:val="21"/>
                <w:szCs w:val="21"/>
              </w:rPr>
              <w:t>60</w:t>
            </w:r>
          </w:p>
        </w:tc>
      </w:tr>
    </w:tbl>
    <w:p w:rsidR="004E3021" w:rsidRDefault="004E3021">
      <w:pPr>
        <w:ind w:firstLine="480"/>
        <w:sectPr w:rsidR="004E3021">
          <w:pgSz w:w="11907" w:h="16840"/>
          <w:pgMar w:top="1440" w:right="1440" w:bottom="1440" w:left="1440" w:header="851" w:footer="992" w:gutter="0"/>
          <w:cols w:space="720"/>
          <w:docGrid w:type="lines" w:linePitch="326"/>
        </w:sectPr>
      </w:pPr>
    </w:p>
    <w:p w:rsidR="00DB5A09" w:rsidRDefault="00DB5A09" w:rsidP="00DB5A09">
      <w:pPr>
        <w:ind w:firstLineChars="0" w:firstLine="0"/>
        <w:jc w:val="center"/>
      </w:pPr>
      <w:r w:rsidRPr="00826424">
        <w:rPr>
          <w:noProof/>
        </w:rPr>
        <w:lastRenderedPageBreak/>
        <w:drawing>
          <wp:inline distT="0" distB="0" distL="0" distR="0" wp14:anchorId="45732D13" wp14:editId="6E950359">
            <wp:extent cx="4838400" cy="3949200"/>
            <wp:effectExtent l="0" t="0" r="635" b="0"/>
            <wp:docPr id="20" name="图片 20" descr="C:\Users\ADMINI~1\AppData\Local\Temp\16499388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ADMINI~1\AppData\Local\Temp\1649938856(1).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38400" cy="3949200"/>
                    </a:xfrm>
                    <a:prstGeom prst="rect">
                      <a:avLst/>
                    </a:prstGeom>
                    <a:noFill/>
                    <a:ln>
                      <a:noFill/>
                    </a:ln>
                  </pic:spPr>
                </pic:pic>
              </a:graphicData>
            </a:graphic>
          </wp:inline>
        </w:drawing>
      </w:r>
    </w:p>
    <w:p w:rsidR="00DB5A09" w:rsidRDefault="00DB5A09" w:rsidP="00DB5A09">
      <w:pPr>
        <w:spacing w:line="500" w:lineRule="exact"/>
        <w:ind w:firstLineChars="0" w:firstLine="0"/>
        <w:jc w:val="center"/>
        <w:rPr>
          <w:rFonts w:eastAsia="黑体"/>
        </w:rPr>
      </w:pPr>
      <w:r w:rsidRPr="00562D76">
        <w:rPr>
          <w:rFonts w:eastAsia="黑体" w:hint="eastAsia"/>
        </w:rPr>
        <w:t>图</w:t>
      </w:r>
      <w:r w:rsidRPr="00562D76">
        <w:rPr>
          <w:rFonts w:eastAsia="黑体" w:hint="eastAsia"/>
        </w:rPr>
        <w:t>5.6.</w:t>
      </w:r>
      <w:r w:rsidRPr="00562D76">
        <w:rPr>
          <w:rFonts w:eastAsia="黑体"/>
        </w:rPr>
        <w:t>7-</w:t>
      </w:r>
      <w:r>
        <w:rPr>
          <w:rFonts w:eastAsia="黑体"/>
        </w:rPr>
        <w:t>1</w:t>
      </w:r>
      <w:r w:rsidRPr="00562D76">
        <w:rPr>
          <w:rFonts w:eastAsia="黑体"/>
        </w:rPr>
        <w:t xml:space="preserve">  </w:t>
      </w:r>
      <w:r>
        <w:rPr>
          <w:rFonts w:eastAsia="黑体"/>
        </w:rPr>
        <w:t>D</w:t>
      </w:r>
      <w:r w:rsidRPr="00562D76">
        <w:rPr>
          <w:rFonts w:eastAsia="黑体" w:hint="eastAsia"/>
        </w:rPr>
        <w:t>稳定度</w:t>
      </w:r>
      <w:r>
        <w:rPr>
          <w:rFonts w:eastAsia="黑体"/>
        </w:rPr>
        <w:t>CO</w:t>
      </w:r>
      <w:r w:rsidRPr="00562D76">
        <w:rPr>
          <w:rFonts w:eastAsia="黑体"/>
        </w:rPr>
        <w:t>最大</w:t>
      </w:r>
      <w:r w:rsidRPr="00562D76">
        <w:rPr>
          <w:rFonts w:eastAsia="黑体" w:hint="eastAsia"/>
        </w:rPr>
        <w:t>影响区域</w:t>
      </w:r>
      <w:r w:rsidRPr="00562D76">
        <w:rPr>
          <w:rFonts w:eastAsia="黑体"/>
        </w:rPr>
        <w:t>图</w:t>
      </w:r>
    </w:p>
    <w:p w:rsidR="00DB5A09" w:rsidRDefault="00DB5A09" w:rsidP="00DB5A09">
      <w:pPr>
        <w:ind w:firstLineChars="0" w:firstLine="0"/>
        <w:jc w:val="center"/>
      </w:pPr>
      <w:r w:rsidRPr="00826424">
        <w:rPr>
          <w:noProof/>
        </w:rPr>
        <w:drawing>
          <wp:inline distT="0" distB="0" distL="0" distR="0" wp14:anchorId="65AE582E" wp14:editId="6C79B772">
            <wp:extent cx="4838400" cy="3949200"/>
            <wp:effectExtent l="0" t="0" r="635" b="0"/>
            <wp:docPr id="52" name="图片 52" descr="C:\Users\ADMINI~1\AppData\Local\Temp\16499389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DMINI~1\AppData\Local\Temp\1649938934(1).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838400" cy="3949200"/>
                    </a:xfrm>
                    <a:prstGeom prst="rect">
                      <a:avLst/>
                    </a:prstGeom>
                    <a:noFill/>
                    <a:ln>
                      <a:noFill/>
                    </a:ln>
                  </pic:spPr>
                </pic:pic>
              </a:graphicData>
            </a:graphic>
          </wp:inline>
        </w:drawing>
      </w:r>
    </w:p>
    <w:p w:rsidR="00DB5A09" w:rsidRPr="00562D76" w:rsidRDefault="00DB5A09" w:rsidP="00DB5A09">
      <w:pPr>
        <w:spacing w:line="500" w:lineRule="exact"/>
        <w:ind w:firstLineChars="0" w:firstLine="0"/>
        <w:jc w:val="center"/>
        <w:rPr>
          <w:rFonts w:eastAsia="黑体"/>
        </w:rPr>
      </w:pPr>
      <w:r w:rsidRPr="00562D76">
        <w:rPr>
          <w:rFonts w:eastAsia="黑体" w:hint="eastAsia"/>
        </w:rPr>
        <w:t>图</w:t>
      </w:r>
      <w:r w:rsidRPr="00562D76">
        <w:rPr>
          <w:rFonts w:eastAsia="黑体" w:hint="eastAsia"/>
        </w:rPr>
        <w:t>5.6.</w:t>
      </w:r>
      <w:r w:rsidRPr="00562D76">
        <w:rPr>
          <w:rFonts w:eastAsia="黑体"/>
        </w:rPr>
        <w:t>7-</w:t>
      </w:r>
      <w:r>
        <w:rPr>
          <w:rFonts w:eastAsia="黑体"/>
        </w:rPr>
        <w:t>2</w:t>
      </w:r>
      <w:r w:rsidRPr="00562D76">
        <w:rPr>
          <w:rFonts w:eastAsia="黑体"/>
        </w:rPr>
        <w:t xml:space="preserve">  F</w:t>
      </w:r>
      <w:r w:rsidRPr="00562D76">
        <w:rPr>
          <w:rFonts w:eastAsia="黑体" w:hint="eastAsia"/>
        </w:rPr>
        <w:t>稳定度</w:t>
      </w:r>
      <w:r>
        <w:rPr>
          <w:rFonts w:eastAsia="黑体"/>
        </w:rPr>
        <w:t>CO</w:t>
      </w:r>
      <w:r w:rsidRPr="00562D76">
        <w:rPr>
          <w:rFonts w:eastAsia="黑体"/>
        </w:rPr>
        <w:t>最大</w:t>
      </w:r>
      <w:r w:rsidRPr="00562D76">
        <w:rPr>
          <w:rFonts w:eastAsia="黑体" w:hint="eastAsia"/>
        </w:rPr>
        <w:t>影响区域</w:t>
      </w:r>
      <w:r w:rsidRPr="00562D76">
        <w:rPr>
          <w:rFonts w:eastAsia="黑体"/>
        </w:rPr>
        <w:t>图</w:t>
      </w:r>
    </w:p>
    <w:p w:rsidR="004E3021" w:rsidRDefault="00606E48">
      <w:pPr>
        <w:ind w:firstLine="480"/>
      </w:pPr>
      <w:r>
        <w:rPr>
          <w:rFonts w:hint="eastAsia"/>
        </w:rPr>
        <w:lastRenderedPageBreak/>
        <w:t>在</w:t>
      </w:r>
      <w:r>
        <w:t>D</w:t>
      </w:r>
      <w:r>
        <w:t>稳定度下，</w:t>
      </w:r>
      <w:r>
        <w:rPr>
          <w:rFonts w:hint="eastAsia"/>
        </w:rPr>
        <w:t>甲醇储罐</w:t>
      </w:r>
      <w:r>
        <w:t>泄漏火灾</w:t>
      </w:r>
      <w:r>
        <w:rPr>
          <w:rFonts w:hint="eastAsia"/>
        </w:rPr>
        <w:t>次生</w:t>
      </w:r>
      <w:r>
        <w:t>事故</w:t>
      </w:r>
      <w:r>
        <w:rPr>
          <w:rFonts w:hint="eastAsia"/>
        </w:rPr>
        <w:t>产生</w:t>
      </w:r>
      <w:r>
        <w:t>的</w:t>
      </w:r>
      <w:r>
        <w:rPr>
          <w:rFonts w:hint="eastAsia"/>
        </w:rPr>
        <w:t>一氧化碳</w:t>
      </w:r>
      <w:r>
        <w:t>30min</w:t>
      </w:r>
      <w:r>
        <w:rPr>
          <w:rFonts w:hint="eastAsia"/>
        </w:rPr>
        <w:t>达到</w:t>
      </w:r>
      <w:r>
        <w:t>毒性终点浓度</w:t>
      </w:r>
      <w:r>
        <w:rPr>
          <w:rFonts w:hint="eastAsia"/>
        </w:rPr>
        <w:t>-</w:t>
      </w:r>
      <w:r>
        <w:t>2</w:t>
      </w:r>
      <w:r>
        <w:rPr>
          <w:rFonts w:hint="eastAsia"/>
        </w:rPr>
        <w:t>最大出现距离为甲醇储罐</w:t>
      </w:r>
      <w:r>
        <w:t>下风向</w:t>
      </w:r>
      <w:r>
        <w:t>80m</w:t>
      </w:r>
      <w:r>
        <w:rPr>
          <w:rFonts w:hint="eastAsia"/>
        </w:rPr>
        <w:t>（超</w:t>
      </w:r>
      <w:r>
        <w:t>厂界</w:t>
      </w:r>
      <w:r>
        <w:rPr>
          <w:rFonts w:hint="eastAsia"/>
        </w:rPr>
        <w:t>外</w:t>
      </w:r>
      <w:r>
        <w:t>6</w:t>
      </w:r>
      <w:r>
        <w:rPr>
          <w:rFonts w:hint="eastAsia"/>
        </w:rPr>
        <w:t>0</w:t>
      </w:r>
      <w:r>
        <w:t>m</w:t>
      </w:r>
      <w:r>
        <w:rPr>
          <w:rFonts w:hint="eastAsia"/>
        </w:rPr>
        <w:t>）；最大浓度</w:t>
      </w:r>
      <w:r>
        <w:t>未超过</w:t>
      </w:r>
      <w:r>
        <w:rPr>
          <w:rFonts w:hint="eastAsia"/>
        </w:rPr>
        <w:t>毒性终点</w:t>
      </w:r>
      <w:r>
        <w:t>浓度</w:t>
      </w:r>
      <w:r>
        <w:t>-1</w:t>
      </w:r>
      <w:r>
        <w:rPr>
          <w:rFonts w:hint="eastAsia"/>
        </w:rPr>
        <w:t>，</w:t>
      </w:r>
      <w:r>
        <w:t>无对应位置</w:t>
      </w:r>
      <w:r>
        <w:rPr>
          <w:rFonts w:hint="eastAsia"/>
        </w:rPr>
        <w:t>。</w:t>
      </w:r>
    </w:p>
    <w:p w:rsidR="004E3021" w:rsidRDefault="00606E48">
      <w:pPr>
        <w:ind w:firstLine="480"/>
      </w:pPr>
      <w:r>
        <w:rPr>
          <w:rFonts w:hint="eastAsia"/>
        </w:rPr>
        <w:t>在</w:t>
      </w:r>
      <w:r>
        <w:t>F</w:t>
      </w:r>
      <w:r>
        <w:t>稳定度下，</w:t>
      </w:r>
      <w:r>
        <w:rPr>
          <w:rFonts w:hint="eastAsia"/>
        </w:rPr>
        <w:t>甲醇储罐</w:t>
      </w:r>
      <w:r>
        <w:t>泄漏火灾</w:t>
      </w:r>
      <w:r>
        <w:rPr>
          <w:rFonts w:hint="eastAsia"/>
        </w:rPr>
        <w:t>次生</w:t>
      </w:r>
      <w:r>
        <w:t>事故</w:t>
      </w:r>
      <w:r>
        <w:rPr>
          <w:rFonts w:hint="eastAsia"/>
        </w:rPr>
        <w:t>产生</w:t>
      </w:r>
      <w:r>
        <w:t>的</w:t>
      </w:r>
      <w:r>
        <w:rPr>
          <w:rFonts w:hint="eastAsia"/>
        </w:rPr>
        <w:t>一氧化碳</w:t>
      </w:r>
      <w:r>
        <w:t>30min</w:t>
      </w:r>
      <w:r>
        <w:rPr>
          <w:rFonts w:hint="eastAsia"/>
        </w:rPr>
        <w:t>达到</w:t>
      </w:r>
      <w:r>
        <w:t>毒性终点浓度</w:t>
      </w:r>
      <w:r>
        <w:rPr>
          <w:rFonts w:hint="eastAsia"/>
        </w:rPr>
        <w:t>-</w:t>
      </w:r>
      <w:r>
        <w:t>2</w:t>
      </w:r>
      <w:r>
        <w:rPr>
          <w:rFonts w:hint="eastAsia"/>
        </w:rPr>
        <w:t>最大出现距离为甲醇储罐</w:t>
      </w:r>
      <w:r>
        <w:t>下风向</w:t>
      </w:r>
      <w:r>
        <w:t>190m</w:t>
      </w:r>
      <w:r>
        <w:rPr>
          <w:rFonts w:hint="eastAsia"/>
        </w:rPr>
        <w:t>（超</w:t>
      </w:r>
      <w:r>
        <w:t>厂界</w:t>
      </w:r>
      <w:r>
        <w:rPr>
          <w:rFonts w:hint="eastAsia"/>
        </w:rPr>
        <w:t>外</w:t>
      </w:r>
      <w:r>
        <w:t>17</w:t>
      </w:r>
      <w:r>
        <w:rPr>
          <w:rFonts w:hint="eastAsia"/>
        </w:rPr>
        <w:t>0</w:t>
      </w:r>
      <w:r>
        <w:t>m</w:t>
      </w:r>
      <w:r>
        <w:rPr>
          <w:rFonts w:hint="eastAsia"/>
        </w:rPr>
        <w:t>）；达到</w:t>
      </w:r>
      <w:r>
        <w:t>毒性终点浓度</w:t>
      </w:r>
      <w:r>
        <w:rPr>
          <w:rFonts w:hint="eastAsia"/>
        </w:rPr>
        <w:t>-</w:t>
      </w:r>
      <w:r>
        <w:t>1</w:t>
      </w:r>
      <w:r>
        <w:rPr>
          <w:rFonts w:hint="eastAsia"/>
        </w:rPr>
        <w:t>最大出现距离为甲醇储罐</w:t>
      </w:r>
      <w:r>
        <w:t>下风向</w:t>
      </w:r>
      <w:r>
        <w:t>60m</w:t>
      </w:r>
      <w:r>
        <w:t>（</w:t>
      </w:r>
      <w:r>
        <w:rPr>
          <w:rFonts w:hint="eastAsia"/>
        </w:rPr>
        <w:t>超厂界外</w:t>
      </w:r>
      <w:r>
        <w:t>4</w:t>
      </w:r>
      <w:r>
        <w:rPr>
          <w:rFonts w:hint="eastAsia"/>
        </w:rPr>
        <w:t>0</w:t>
      </w:r>
      <w:r>
        <w:t>m</w:t>
      </w:r>
      <w:r>
        <w:t>）</w:t>
      </w:r>
      <w:r>
        <w:rPr>
          <w:rFonts w:hint="eastAsia"/>
        </w:rPr>
        <w:t>。</w:t>
      </w:r>
    </w:p>
    <w:p w:rsidR="004E3021" w:rsidRDefault="00606E48">
      <w:pPr>
        <w:pStyle w:val="4a"/>
      </w:pPr>
      <w:r>
        <w:rPr>
          <w:rFonts w:hint="eastAsia"/>
        </w:rPr>
        <w:t>5.6.7.2</w:t>
      </w:r>
      <w:r w:rsidR="00A33F93">
        <w:rPr>
          <w:rFonts w:hint="eastAsia"/>
        </w:rPr>
        <w:t>乙炔气柜</w:t>
      </w:r>
      <w:r>
        <w:t>泄漏</w:t>
      </w:r>
      <w:r>
        <w:rPr>
          <w:rFonts w:hint="eastAsia"/>
        </w:rPr>
        <w:t>事故</w:t>
      </w:r>
      <w:r>
        <w:t>污染影响</w:t>
      </w:r>
    </w:p>
    <w:p w:rsidR="004E3021" w:rsidRDefault="00606E48">
      <w:pPr>
        <w:ind w:firstLine="480"/>
      </w:pPr>
      <w:r>
        <w:rPr>
          <w:rFonts w:hint="eastAsia"/>
        </w:rPr>
        <w:t>根据污染物气体性质，采用理查德森数判断，确定氯化氢计算用</w:t>
      </w:r>
      <w:r>
        <w:rPr>
          <w:rFonts w:hint="eastAsia"/>
        </w:rPr>
        <w:t>S</w:t>
      </w:r>
      <w:r>
        <w:t>LAB</w:t>
      </w:r>
      <w:r>
        <w:rPr>
          <w:rFonts w:hint="eastAsia"/>
        </w:rPr>
        <w:t>模型。</w:t>
      </w:r>
    </w:p>
    <w:p w:rsidR="004E3021" w:rsidRDefault="00606E48">
      <w:pPr>
        <w:ind w:firstLine="480"/>
        <w:rPr>
          <w:lang w:val="zh-CN"/>
        </w:rPr>
      </w:pPr>
      <w:r>
        <w:rPr>
          <w:rFonts w:hint="eastAsia"/>
        </w:rPr>
        <w:t>利用多烟团模式计算最常见</w:t>
      </w:r>
      <w:r>
        <w:t>气象</w:t>
      </w:r>
      <w:r>
        <w:rPr>
          <w:rFonts w:hint="eastAsia"/>
        </w:rPr>
        <w:t>条件</w:t>
      </w:r>
      <w:r>
        <w:t>下和</w:t>
      </w:r>
      <w:r>
        <w:rPr>
          <w:rFonts w:hint="eastAsia"/>
        </w:rPr>
        <w:t>最不利气象条件下，</w:t>
      </w:r>
      <w:r w:rsidR="00A33F93">
        <w:rPr>
          <w:rFonts w:hint="eastAsia"/>
        </w:rPr>
        <w:t>乙炔气柜泄漏</w:t>
      </w:r>
      <w:r>
        <w:rPr>
          <w:rFonts w:hint="eastAsia"/>
        </w:rPr>
        <w:t>从泄漏开始</w:t>
      </w:r>
      <w:r>
        <w:t>30min</w:t>
      </w:r>
      <w:r>
        <w:rPr>
          <w:rFonts w:hint="eastAsia"/>
        </w:rPr>
        <w:t>的影响范围及最大落地浓度，本次预测时刻为</w:t>
      </w:r>
      <w:r>
        <w:t>5min</w:t>
      </w:r>
      <w:r>
        <w:rPr>
          <w:rFonts w:hint="eastAsia"/>
        </w:rPr>
        <w:t>、</w:t>
      </w:r>
      <w:r>
        <w:t>30min</w:t>
      </w:r>
      <w:r>
        <w:rPr>
          <w:rFonts w:hint="eastAsia"/>
        </w:rPr>
        <w:t>。预测事故排放污染物最常见</w:t>
      </w:r>
      <w:r>
        <w:t>气象</w:t>
      </w:r>
      <w:r>
        <w:rPr>
          <w:rFonts w:hint="eastAsia"/>
        </w:rPr>
        <w:t>条件</w:t>
      </w:r>
      <w:r>
        <w:t>下和</w:t>
      </w:r>
      <w:r>
        <w:rPr>
          <w:rFonts w:hint="eastAsia"/>
        </w:rPr>
        <w:t>最不利气象条件下的最大浓度值见表</w:t>
      </w:r>
      <w:r>
        <w:t>5.6.7-3</w:t>
      </w:r>
      <w:r>
        <w:rPr>
          <w:rFonts w:hint="eastAsia"/>
        </w:rPr>
        <w:t>。</w:t>
      </w:r>
    </w:p>
    <w:p w:rsidR="004E3021" w:rsidRDefault="00606E48">
      <w:pPr>
        <w:spacing w:line="500" w:lineRule="exact"/>
        <w:ind w:firstLineChars="0" w:firstLine="0"/>
        <w:jc w:val="center"/>
        <w:rPr>
          <w:rFonts w:eastAsia="黑体"/>
        </w:rPr>
      </w:pPr>
      <w:r>
        <w:rPr>
          <w:rFonts w:eastAsia="黑体" w:hint="eastAsia"/>
        </w:rPr>
        <w:t>表</w:t>
      </w:r>
      <w:r>
        <w:rPr>
          <w:rFonts w:eastAsia="黑体" w:hint="eastAsia"/>
        </w:rPr>
        <w:t>5.6.</w:t>
      </w:r>
      <w:r>
        <w:rPr>
          <w:rFonts w:eastAsia="黑体"/>
        </w:rPr>
        <w:t xml:space="preserve">7-3  </w:t>
      </w:r>
      <w:r>
        <w:rPr>
          <w:rFonts w:eastAsia="黑体" w:hint="eastAsia"/>
        </w:rPr>
        <w:t>D</w:t>
      </w:r>
      <w:r>
        <w:rPr>
          <w:rFonts w:eastAsia="黑体" w:hint="eastAsia"/>
        </w:rPr>
        <w:t>稳定度</w:t>
      </w:r>
      <w:r>
        <w:rPr>
          <w:rFonts w:eastAsia="黑体"/>
        </w:rPr>
        <w:t>和</w:t>
      </w:r>
      <w:r>
        <w:rPr>
          <w:rFonts w:eastAsia="黑体"/>
        </w:rPr>
        <w:t>F</w:t>
      </w:r>
      <w:r>
        <w:rPr>
          <w:rFonts w:eastAsia="黑体"/>
        </w:rPr>
        <w:t>稳定度</w:t>
      </w:r>
      <w:r>
        <w:rPr>
          <w:rFonts w:eastAsia="黑体" w:hint="eastAsia"/>
        </w:rPr>
        <w:t>下氯化氢</w:t>
      </w:r>
      <w:r>
        <w:rPr>
          <w:rFonts w:eastAsia="黑体"/>
        </w:rPr>
        <w:t>最大</w:t>
      </w:r>
      <w:r>
        <w:rPr>
          <w:rFonts w:eastAsia="黑体" w:hint="eastAsia"/>
        </w:rPr>
        <w:t>高峰</w:t>
      </w:r>
      <w:r>
        <w:rPr>
          <w:rFonts w:eastAsia="黑体"/>
        </w:rPr>
        <w:t>浓度</w:t>
      </w:r>
      <w:r>
        <w:rPr>
          <w:rFonts w:eastAsia="黑体" w:hint="eastAsia"/>
        </w:rPr>
        <w:t xml:space="preserve">  </w:t>
      </w:r>
      <w:r>
        <w:rPr>
          <w:rFonts w:eastAsia="黑体" w:hint="eastAsia"/>
        </w:rPr>
        <w:t>单位</w:t>
      </w:r>
      <w:r>
        <w:rPr>
          <w:rFonts w:eastAsia="黑体"/>
        </w:rPr>
        <w:t>：</w:t>
      </w:r>
      <w:r>
        <w:rPr>
          <w:rFonts w:eastAsia="黑体" w:hint="eastAsia"/>
        </w:rPr>
        <w:t>mg/m</w:t>
      </w:r>
      <w:r>
        <w:rPr>
          <w:rFonts w:eastAsia="黑体" w:hint="eastAsia"/>
          <w:vertAlign w:val="superscript"/>
        </w:rPr>
        <w:t>3</w:t>
      </w:r>
    </w:p>
    <w:tbl>
      <w:tblPr>
        <w:tblStyle w:val="1ffffffd"/>
        <w:tblW w:w="5000" w:type="pct"/>
        <w:tblLook w:val="04A0" w:firstRow="1" w:lastRow="0" w:firstColumn="1" w:lastColumn="0" w:noHBand="0" w:noVBand="1"/>
      </w:tblPr>
      <w:tblGrid>
        <w:gridCol w:w="1433"/>
        <w:gridCol w:w="3797"/>
        <w:gridCol w:w="3797"/>
      </w:tblGrid>
      <w:tr w:rsidR="004E3021" w:rsidRPr="00A33F93" w:rsidTr="00A33F93">
        <w:tc>
          <w:tcPr>
            <w:tcW w:w="794" w:type="pct"/>
            <w:vMerge w:val="restart"/>
            <w:vAlign w:val="center"/>
          </w:tcPr>
          <w:p w:rsidR="004E3021" w:rsidRPr="00A33F93" w:rsidRDefault="00606E48" w:rsidP="00A33F93">
            <w:pPr>
              <w:pStyle w:val="afffffff2"/>
              <w:rPr>
                <w:rFonts w:ascii="Times New Roman" w:hAnsi="Times New Roman" w:cs="Times New Roman"/>
                <w:b/>
                <w:kern w:val="0"/>
                <w:sz w:val="21"/>
                <w:szCs w:val="21"/>
              </w:rPr>
            </w:pPr>
            <w:r w:rsidRPr="00A33F93">
              <w:rPr>
                <w:rFonts w:ascii="Times New Roman" w:hAnsi="Times New Roman" w:cs="Times New Roman"/>
                <w:b/>
                <w:kern w:val="0"/>
                <w:sz w:val="21"/>
                <w:szCs w:val="21"/>
              </w:rPr>
              <w:t>距离</w:t>
            </w:r>
          </w:p>
        </w:tc>
        <w:tc>
          <w:tcPr>
            <w:tcW w:w="4206" w:type="pct"/>
            <w:gridSpan w:val="2"/>
            <w:vAlign w:val="center"/>
          </w:tcPr>
          <w:p w:rsidR="004E3021" w:rsidRPr="00A33F93" w:rsidRDefault="00A33F93" w:rsidP="00A33F93">
            <w:pPr>
              <w:pStyle w:val="afffffff2"/>
              <w:rPr>
                <w:rFonts w:ascii="Times New Roman" w:hAnsi="Times New Roman" w:cs="Times New Roman"/>
                <w:b/>
                <w:kern w:val="0"/>
                <w:sz w:val="21"/>
                <w:szCs w:val="21"/>
              </w:rPr>
            </w:pPr>
            <w:r>
              <w:rPr>
                <w:rFonts w:ascii="Times New Roman" w:hAnsi="Times New Roman" w:cs="Times New Roman" w:hint="eastAsia"/>
                <w:b/>
                <w:kern w:val="0"/>
                <w:sz w:val="21"/>
                <w:szCs w:val="21"/>
              </w:rPr>
              <w:t>乙炔</w:t>
            </w:r>
          </w:p>
        </w:tc>
      </w:tr>
      <w:tr w:rsidR="004E3021" w:rsidRPr="00A33F93" w:rsidTr="00A33F93">
        <w:tc>
          <w:tcPr>
            <w:tcW w:w="794" w:type="pct"/>
            <w:vMerge/>
            <w:vAlign w:val="center"/>
          </w:tcPr>
          <w:p w:rsidR="004E3021" w:rsidRPr="00A33F93" w:rsidRDefault="004E3021" w:rsidP="00A33F93">
            <w:pPr>
              <w:pStyle w:val="afffffff2"/>
              <w:rPr>
                <w:rFonts w:ascii="Times New Roman" w:hAnsi="Times New Roman" w:cs="Times New Roman"/>
                <w:b/>
                <w:kern w:val="0"/>
                <w:sz w:val="21"/>
                <w:szCs w:val="21"/>
              </w:rPr>
            </w:pPr>
          </w:p>
        </w:tc>
        <w:tc>
          <w:tcPr>
            <w:tcW w:w="2103" w:type="pct"/>
            <w:vAlign w:val="center"/>
          </w:tcPr>
          <w:p w:rsidR="004E3021" w:rsidRPr="00A33F93" w:rsidRDefault="00606E48" w:rsidP="00A33F93">
            <w:pPr>
              <w:pStyle w:val="afffffff2"/>
              <w:rPr>
                <w:rFonts w:ascii="Times New Roman" w:hAnsi="Times New Roman" w:cs="Times New Roman"/>
                <w:b/>
                <w:kern w:val="0"/>
                <w:sz w:val="21"/>
                <w:szCs w:val="21"/>
              </w:rPr>
            </w:pPr>
            <w:r w:rsidRPr="00A33F93">
              <w:rPr>
                <w:rFonts w:ascii="Times New Roman" w:hAnsi="Times New Roman" w:cs="Times New Roman"/>
                <w:b/>
                <w:kern w:val="0"/>
                <w:sz w:val="21"/>
                <w:szCs w:val="21"/>
              </w:rPr>
              <w:t>最常见气象条件</w:t>
            </w:r>
            <w:r w:rsidRPr="00A33F93">
              <w:rPr>
                <w:rFonts w:ascii="Times New Roman" w:hAnsi="Times New Roman" w:cs="Times New Roman"/>
                <w:b/>
                <w:kern w:val="0"/>
                <w:sz w:val="21"/>
                <w:szCs w:val="21"/>
              </w:rPr>
              <w:t>D</w:t>
            </w:r>
          </w:p>
        </w:tc>
        <w:tc>
          <w:tcPr>
            <w:tcW w:w="2103" w:type="pct"/>
            <w:vAlign w:val="center"/>
          </w:tcPr>
          <w:p w:rsidR="004E3021" w:rsidRPr="00A33F93" w:rsidRDefault="00606E48" w:rsidP="00A33F93">
            <w:pPr>
              <w:pStyle w:val="afffffff2"/>
              <w:rPr>
                <w:rFonts w:ascii="Times New Roman" w:hAnsi="Times New Roman" w:cs="Times New Roman"/>
                <w:b/>
                <w:kern w:val="0"/>
                <w:sz w:val="21"/>
                <w:szCs w:val="21"/>
              </w:rPr>
            </w:pPr>
            <w:r w:rsidRPr="00A33F93">
              <w:rPr>
                <w:rFonts w:ascii="Times New Roman" w:hAnsi="Times New Roman" w:cs="Times New Roman"/>
                <w:b/>
                <w:kern w:val="0"/>
                <w:sz w:val="21"/>
                <w:szCs w:val="21"/>
              </w:rPr>
              <w:t>最不利气象条件</w:t>
            </w:r>
            <w:r w:rsidRPr="00A33F93">
              <w:rPr>
                <w:rFonts w:ascii="Times New Roman" w:hAnsi="Times New Roman" w:cs="Times New Roman"/>
                <w:b/>
                <w:kern w:val="0"/>
                <w:sz w:val="21"/>
                <w:szCs w:val="21"/>
              </w:rPr>
              <w:t>F</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30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40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50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60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70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8.07E-12</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80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5.24E-09</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90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3.52E-07</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6.81E-06</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3.76E-04</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2.37E-01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300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9.35E-02</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5.52E+00</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400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6.26E-01</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1.50E+01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500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1.38E+00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2.89E+01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600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1.94E+00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3.44E+01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700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6.68E+00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3.95E+01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800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6.44E+00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4.59E+01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900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5.12E+00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4.30E+01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1000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4.20E+00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4.05E+01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lastRenderedPageBreak/>
              <w:t>1100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3.50E+00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4.23E+01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1200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2.98E+00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3.93E+01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1300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2.56E+00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3.30E+01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1400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2.22E+00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3.08E+01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1500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1.96E+00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2.71E+01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1600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1.73E+00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2.41E+01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1700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1.55E+00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2.14E+01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1800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1.40E+00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1.86E+01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1900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1.26E+00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1.34E+01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2000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1.15E+00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9.07E+00</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2100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1.05E+00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5.71E+00</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2200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9.67E-01</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3.35E+00</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2300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8.89E-01</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1.83E+00</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2400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8.22E-01</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9.37E-01</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2500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7.62E-01</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3000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5.46E-01</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3500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4.13E-01</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4000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3.25E-01</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4500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2.61E-01</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r>
      <w:tr w:rsidR="004E3021" w:rsidRPr="00A33F93" w:rsidTr="00A33F93">
        <w:tc>
          <w:tcPr>
            <w:tcW w:w="794"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5000</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2.15E-01</w:t>
            </w:r>
          </w:p>
        </w:tc>
        <w:tc>
          <w:tcPr>
            <w:tcW w:w="2103" w:type="pct"/>
            <w:vAlign w:val="center"/>
          </w:tcPr>
          <w:p w:rsidR="004E3021" w:rsidRPr="00A33F93" w:rsidRDefault="00606E48" w:rsidP="00A33F93">
            <w:pPr>
              <w:pStyle w:val="afffffff2"/>
              <w:rPr>
                <w:rFonts w:ascii="Times New Roman" w:hAnsi="Times New Roman" w:cs="Times New Roman"/>
                <w:kern w:val="0"/>
                <w:sz w:val="21"/>
                <w:szCs w:val="21"/>
              </w:rPr>
            </w:pPr>
            <w:r w:rsidRPr="00A33F93">
              <w:rPr>
                <w:rFonts w:ascii="Times New Roman" w:hAnsi="Times New Roman" w:cs="Times New Roman"/>
                <w:kern w:val="0"/>
                <w:sz w:val="21"/>
                <w:szCs w:val="21"/>
              </w:rPr>
              <w:t>0.00E+00</w:t>
            </w:r>
          </w:p>
        </w:tc>
      </w:tr>
    </w:tbl>
    <w:p w:rsidR="004E3021" w:rsidRDefault="00606E48">
      <w:pPr>
        <w:spacing w:line="500" w:lineRule="exact"/>
        <w:ind w:firstLineChars="0" w:firstLine="0"/>
        <w:jc w:val="center"/>
        <w:rPr>
          <w:rFonts w:eastAsia="黑体"/>
        </w:rPr>
      </w:pPr>
      <w:r>
        <w:rPr>
          <w:rFonts w:eastAsia="黑体" w:hint="eastAsia"/>
        </w:rPr>
        <w:t>表</w:t>
      </w:r>
      <w:r>
        <w:rPr>
          <w:rFonts w:eastAsia="黑体" w:hint="eastAsia"/>
        </w:rPr>
        <w:t>5.6.</w:t>
      </w:r>
      <w:r>
        <w:rPr>
          <w:rFonts w:eastAsia="黑体"/>
        </w:rPr>
        <w:t xml:space="preserve">7-4 </w:t>
      </w:r>
      <w:r w:rsidR="00A33F93">
        <w:rPr>
          <w:rFonts w:eastAsia="黑体" w:hint="eastAsia"/>
        </w:rPr>
        <w:t>乙炔</w:t>
      </w:r>
      <w:r>
        <w:rPr>
          <w:rFonts w:eastAsia="黑体" w:hint="eastAsia"/>
          <w:lang w:val="zh-CN"/>
        </w:rPr>
        <w:t>各阈值的廓线对应的位置</w:t>
      </w:r>
    </w:p>
    <w:tbl>
      <w:tblPr>
        <w:tblStyle w:val="1ffffffd"/>
        <w:tblW w:w="5000" w:type="pct"/>
        <w:tblLook w:val="04A0" w:firstRow="1" w:lastRow="0" w:firstColumn="1" w:lastColumn="0" w:noHBand="0" w:noVBand="1"/>
      </w:tblPr>
      <w:tblGrid>
        <w:gridCol w:w="1328"/>
        <w:gridCol w:w="1930"/>
        <w:gridCol w:w="1221"/>
        <w:gridCol w:w="937"/>
        <w:gridCol w:w="939"/>
        <w:gridCol w:w="1163"/>
        <w:gridCol w:w="1509"/>
      </w:tblGrid>
      <w:tr w:rsidR="004E3021" w:rsidRPr="00A33F93" w:rsidTr="00A33F93">
        <w:tc>
          <w:tcPr>
            <w:tcW w:w="736" w:type="pct"/>
            <w:vAlign w:val="center"/>
          </w:tcPr>
          <w:p w:rsidR="004E3021" w:rsidRPr="00A33F93" w:rsidRDefault="00606E48" w:rsidP="00A33F93">
            <w:pPr>
              <w:widowControl/>
              <w:spacing w:line="360" w:lineRule="exact"/>
              <w:ind w:firstLineChars="0" w:firstLine="0"/>
              <w:jc w:val="center"/>
              <w:rPr>
                <w:rFonts w:ascii="Times New Roman" w:hAnsi="Times New Roman"/>
                <w:b/>
                <w:kern w:val="0"/>
                <w:sz w:val="21"/>
                <w:szCs w:val="21"/>
                <w:lang w:val="en-GB"/>
              </w:rPr>
            </w:pPr>
            <w:r w:rsidRPr="00A33F93">
              <w:rPr>
                <w:rFonts w:ascii="Times New Roman" w:hAnsi="Times New Roman"/>
                <w:b/>
                <w:kern w:val="0"/>
                <w:sz w:val="21"/>
                <w:szCs w:val="21"/>
                <w:lang w:val="en-GB"/>
              </w:rPr>
              <w:t>预测气象条件</w:t>
            </w:r>
          </w:p>
        </w:tc>
        <w:tc>
          <w:tcPr>
            <w:tcW w:w="1069" w:type="pct"/>
            <w:vAlign w:val="center"/>
          </w:tcPr>
          <w:p w:rsidR="004E3021" w:rsidRPr="00A33F93" w:rsidRDefault="00606E48" w:rsidP="00A33F93">
            <w:pPr>
              <w:widowControl/>
              <w:spacing w:line="360" w:lineRule="exact"/>
              <w:ind w:firstLineChars="0" w:firstLine="0"/>
              <w:jc w:val="center"/>
              <w:rPr>
                <w:rFonts w:ascii="Times New Roman" w:hAnsi="Times New Roman"/>
                <w:b/>
                <w:kern w:val="0"/>
                <w:sz w:val="21"/>
                <w:szCs w:val="21"/>
                <w:lang w:val="en-GB"/>
              </w:rPr>
            </w:pPr>
            <w:r w:rsidRPr="00A33F93">
              <w:rPr>
                <w:rFonts w:ascii="Times New Roman" w:hAnsi="Times New Roman"/>
                <w:b/>
                <w:kern w:val="0"/>
                <w:sz w:val="21"/>
                <w:szCs w:val="21"/>
                <w:lang w:val="en-GB"/>
              </w:rPr>
              <w:t>指标</w:t>
            </w:r>
          </w:p>
        </w:tc>
        <w:tc>
          <w:tcPr>
            <w:tcW w:w="676" w:type="pct"/>
            <w:vAlign w:val="center"/>
          </w:tcPr>
          <w:p w:rsidR="004E3021" w:rsidRPr="00A33F93" w:rsidRDefault="00606E48" w:rsidP="00A33F93">
            <w:pPr>
              <w:widowControl/>
              <w:spacing w:line="360" w:lineRule="exact"/>
              <w:ind w:firstLineChars="0" w:firstLine="0"/>
              <w:jc w:val="center"/>
              <w:rPr>
                <w:rFonts w:ascii="Times New Roman" w:hAnsi="Times New Roman"/>
                <w:b/>
                <w:kern w:val="0"/>
                <w:sz w:val="21"/>
                <w:szCs w:val="21"/>
                <w:lang w:val="en-GB"/>
              </w:rPr>
            </w:pPr>
            <w:r w:rsidRPr="00A33F93">
              <w:rPr>
                <w:rFonts w:ascii="Times New Roman" w:hAnsi="Times New Roman"/>
                <w:b/>
                <w:kern w:val="0"/>
                <w:sz w:val="21"/>
                <w:szCs w:val="21"/>
                <w:lang w:val="en-GB"/>
              </w:rPr>
              <w:t>浓度值（</w:t>
            </w:r>
            <w:r w:rsidRPr="00A33F93">
              <w:rPr>
                <w:rFonts w:ascii="Times New Roman" w:hAnsi="Times New Roman"/>
                <w:b/>
                <w:kern w:val="0"/>
                <w:sz w:val="21"/>
                <w:szCs w:val="21"/>
              </w:rPr>
              <w:t>mg/m</w:t>
            </w:r>
            <w:r w:rsidRPr="00A33F93">
              <w:rPr>
                <w:rFonts w:ascii="Times New Roman" w:hAnsi="Times New Roman"/>
                <w:b/>
                <w:kern w:val="0"/>
                <w:sz w:val="21"/>
                <w:szCs w:val="21"/>
                <w:vertAlign w:val="superscript"/>
              </w:rPr>
              <w:t>3</w:t>
            </w:r>
            <w:r w:rsidRPr="00A33F93">
              <w:rPr>
                <w:rFonts w:ascii="Times New Roman" w:hAnsi="Times New Roman"/>
                <w:b/>
                <w:kern w:val="0"/>
                <w:sz w:val="21"/>
                <w:szCs w:val="21"/>
                <w:lang w:val="en-GB"/>
              </w:rPr>
              <w:t>）</w:t>
            </w:r>
          </w:p>
        </w:tc>
        <w:tc>
          <w:tcPr>
            <w:tcW w:w="519" w:type="pct"/>
            <w:vAlign w:val="center"/>
          </w:tcPr>
          <w:p w:rsidR="004E3021" w:rsidRPr="00A33F93" w:rsidRDefault="00606E48" w:rsidP="00A33F93">
            <w:pPr>
              <w:widowControl/>
              <w:spacing w:line="360" w:lineRule="exact"/>
              <w:ind w:firstLineChars="0" w:firstLine="0"/>
              <w:jc w:val="center"/>
              <w:rPr>
                <w:rFonts w:ascii="Times New Roman" w:hAnsi="Times New Roman"/>
                <w:b/>
                <w:kern w:val="0"/>
                <w:sz w:val="21"/>
                <w:szCs w:val="21"/>
                <w:lang w:val="en-GB"/>
              </w:rPr>
            </w:pPr>
            <w:r w:rsidRPr="00A33F93">
              <w:rPr>
                <w:rFonts w:ascii="Times New Roman" w:hAnsi="Times New Roman"/>
                <w:b/>
                <w:kern w:val="0"/>
                <w:sz w:val="21"/>
                <w:szCs w:val="21"/>
                <w:lang w:val="zh-CN"/>
              </w:rPr>
              <w:t>X</w:t>
            </w:r>
            <w:r w:rsidRPr="00A33F93">
              <w:rPr>
                <w:rFonts w:ascii="Times New Roman" w:hAnsi="Times New Roman"/>
                <w:b/>
                <w:kern w:val="0"/>
                <w:sz w:val="21"/>
                <w:szCs w:val="21"/>
                <w:lang w:val="zh-CN"/>
              </w:rPr>
              <w:t>起点</w:t>
            </w:r>
            <w:r w:rsidRPr="00A33F93">
              <w:rPr>
                <w:rFonts w:ascii="Times New Roman" w:hAnsi="Times New Roman"/>
                <w:b/>
                <w:kern w:val="0"/>
                <w:sz w:val="21"/>
                <w:szCs w:val="21"/>
                <w:lang w:val="zh-CN"/>
              </w:rPr>
              <w:t>(m)</w:t>
            </w:r>
          </w:p>
        </w:tc>
        <w:tc>
          <w:tcPr>
            <w:tcW w:w="520" w:type="pct"/>
            <w:vAlign w:val="center"/>
          </w:tcPr>
          <w:p w:rsidR="004E3021" w:rsidRPr="00A33F93" w:rsidRDefault="00606E48" w:rsidP="00A33F93">
            <w:pPr>
              <w:widowControl/>
              <w:spacing w:line="360" w:lineRule="exact"/>
              <w:ind w:firstLineChars="0" w:firstLine="0"/>
              <w:jc w:val="center"/>
              <w:rPr>
                <w:rFonts w:ascii="Times New Roman" w:hAnsi="Times New Roman"/>
                <w:b/>
                <w:kern w:val="0"/>
                <w:sz w:val="21"/>
                <w:szCs w:val="21"/>
                <w:lang w:val="en-GB"/>
              </w:rPr>
            </w:pPr>
            <w:r w:rsidRPr="00A33F93">
              <w:rPr>
                <w:rFonts w:ascii="Times New Roman" w:hAnsi="Times New Roman"/>
                <w:b/>
                <w:kern w:val="0"/>
                <w:sz w:val="21"/>
                <w:szCs w:val="21"/>
                <w:lang w:val="zh-CN"/>
              </w:rPr>
              <w:t>X</w:t>
            </w:r>
            <w:r w:rsidRPr="00A33F93">
              <w:rPr>
                <w:rFonts w:ascii="Times New Roman" w:hAnsi="Times New Roman"/>
                <w:b/>
                <w:kern w:val="0"/>
                <w:sz w:val="21"/>
                <w:szCs w:val="21"/>
                <w:lang w:val="zh-CN"/>
              </w:rPr>
              <w:t>终点</w:t>
            </w:r>
            <w:r w:rsidRPr="00A33F93">
              <w:rPr>
                <w:rFonts w:ascii="Times New Roman" w:hAnsi="Times New Roman"/>
                <w:b/>
                <w:kern w:val="0"/>
                <w:sz w:val="21"/>
                <w:szCs w:val="21"/>
                <w:lang w:val="zh-CN"/>
              </w:rPr>
              <w:t>(m)</w:t>
            </w:r>
          </w:p>
        </w:tc>
        <w:tc>
          <w:tcPr>
            <w:tcW w:w="644" w:type="pct"/>
            <w:vAlign w:val="center"/>
          </w:tcPr>
          <w:p w:rsidR="004E3021" w:rsidRPr="00A33F93" w:rsidRDefault="00606E48" w:rsidP="00A33F93">
            <w:pPr>
              <w:widowControl/>
              <w:spacing w:line="360" w:lineRule="exact"/>
              <w:ind w:firstLineChars="0" w:firstLine="0"/>
              <w:jc w:val="center"/>
              <w:rPr>
                <w:rFonts w:ascii="Times New Roman" w:hAnsi="Times New Roman"/>
                <w:b/>
                <w:kern w:val="0"/>
                <w:sz w:val="21"/>
                <w:szCs w:val="21"/>
                <w:lang w:val="en-GB"/>
              </w:rPr>
            </w:pPr>
            <w:r w:rsidRPr="00A33F93">
              <w:rPr>
                <w:rFonts w:ascii="Times New Roman" w:hAnsi="Times New Roman"/>
                <w:b/>
                <w:kern w:val="0"/>
                <w:sz w:val="21"/>
                <w:szCs w:val="21"/>
                <w:lang w:val="zh-CN"/>
              </w:rPr>
              <w:t>最大半宽</w:t>
            </w:r>
            <w:r w:rsidRPr="00A33F93">
              <w:rPr>
                <w:rFonts w:ascii="Times New Roman" w:hAnsi="Times New Roman"/>
                <w:b/>
                <w:kern w:val="0"/>
                <w:sz w:val="21"/>
                <w:szCs w:val="21"/>
                <w:lang w:val="zh-CN"/>
              </w:rPr>
              <w:t>(m)</w:t>
            </w:r>
          </w:p>
        </w:tc>
        <w:tc>
          <w:tcPr>
            <w:tcW w:w="836" w:type="pct"/>
            <w:vAlign w:val="center"/>
          </w:tcPr>
          <w:p w:rsidR="004E3021" w:rsidRPr="00A33F93" w:rsidRDefault="00606E48" w:rsidP="00A33F93">
            <w:pPr>
              <w:widowControl/>
              <w:spacing w:line="360" w:lineRule="exact"/>
              <w:ind w:firstLineChars="0" w:firstLine="0"/>
              <w:jc w:val="center"/>
              <w:rPr>
                <w:rFonts w:ascii="Times New Roman" w:hAnsi="Times New Roman"/>
                <w:b/>
                <w:kern w:val="0"/>
                <w:sz w:val="21"/>
                <w:szCs w:val="21"/>
                <w:lang w:val="en-GB"/>
              </w:rPr>
            </w:pPr>
            <w:r w:rsidRPr="00A33F93">
              <w:rPr>
                <w:rFonts w:ascii="Times New Roman" w:hAnsi="Times New Roman"/>
                <w:b/>
                <w:kern w:val="0"/>
                <w:sz w:val="21"/>
                <w:szCs w:val="21"/>
                <w:lang w:val="zh-CN"/>
              </w:rPr>
              <w:t>最大半宽对应</w:t>
            </w:r>
            <w:r w:rsidRPr="00A33F93">
              <w:rPr>
                <w:rFonts w:ascii="Times New Roman" w:hAnsi="Times New Roman"/>
                <w:b/>
                <w:kern w:val="0"/>
                <w:sz w:val="21"/>
                <w:szCs w:val="21"/>
                <w:lang w:val="zh-CN"/>
              </w:rPr>
              <w:t>X(m)</w:t>
            </w:r>
          </w:p>
        </w:tc>
      </w:tr>
      <w:tr w:rsidR="00A33F93" w:rsidRPr="00A33F93" w:rsidTr="00A33F93">
        <w:tc>
          <w:tcPr>
            <w:tcW w:w="736" w:type="pct"/>
            <w:vMerge w:val="restar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lang w:val="en-GB"/>
              </w:rPr>
            </w:pPr>
            <w:r w:rsidRPr="00A33F93">
              <w:rPr>
                <w:rFonts w:ascii="Times New Roman" w:hAnsi="Times New Roman"/>
                <w:kern w:val="0"/>
                <w:sz w:val="21"/>
                <w:szCs w:val="21"/>
              </w:rPr>
              <w:t>最常见气象条件</w:t>
            </w:r>
            <w:r w:rsidRPr="00A33F93">
              <w:rPr>
                <w:rFonts w:ascii="Times New Roman" w:hAnsi="Times New Roman"/>
                <w:kern w:val="0"/>
                <w:sz w:val="21"/>
                <w:szCs w:val="21"/>
              </w:rPr>
              <w:t>D</w:t>
            </w:r>
          </w:p>
        </w:tc>
        <w:tc>
          <w:tcPr>
            <w:tcW w:w="1069"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lang w:val="en-GB"/>
              </w:rPr>
            </w:pPr>
            <w:r w:rsidRPr="00A33F93">
              <w:rPr>
                <w:rFonts w:ascii="Times New Roman" w:hAnsi="Times New Roman"/>
                <w:kern w:val="0"/>
                <w:sz w:val="21"/>
                <w:szCs w:val="21"/>
                <w:lang w:val="en-GB"/>
              </w:rPr>
              <w:t>大气毒性终点浓度</w:t>
            </w:r>
            <w:r w:rsidRPr="00A33F93">
              <w:rPr>
                <w:rFonts w:ascii="Times New Roman" w:hAnsi="Times New Roman"/>
                <w:kern w:val="0"/>
                <w:sz w:val="21"/>
                <w:szCs w:val="21"/>
                <w:lang w:val="en-GB"/>
              </w:rPr>
              <w:t>-2</w:t>
            </w:r>
          </w:p>
        </w:tc>
        <w:tc>
          <w:tcPr>
            <w:tcW w:w="676"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240000</w:t>
            </w:r>
          </w:p>
        </w:tc>
        <w:tc>
          <w:tcPr>
            <w:tcW w:w="519"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sidRPr="00A33F93">
              <w:rPr>
                <w:rFonts w:ascii="Times New Roman" w:hAnsi="Times New Roman"/>
                <w:kern w:val="0"/>
                <w:sz w:val="21"/>
                <w:szCs w:val="21"/>
              </w:rPr>
              <w:t>10</w:t>
            </w:r>
          </w:p>
        </w:tc>
        <w:tc>
          <w:tcPr>
            <w:tcW w:w="520"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644"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836"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r>
      <w:tr w:rsidR="00A33F93" w:rsidRPr="00A33F93" w:rsidTr="00A33F93">
        <w:tc>
          <w:tcPr>
            <w:tcW w:w="736" w:type="pct"/>
            <w:vMerge/>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lang w:val="en-GB"/>
              </w:rPr>
            </w:pPr>
          </w:p>
        </w:tc>
        <w:tc>
          <w:tcPr>
            <w:tcW w:w="1069"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lang w:val="en-GB"/>
              </w:rPr>
            </w:pPr>
            <w:r w:rsidRPr="00A33F93">
              <w:rPr>
                <w:rFonts w:ascii="Times New Roman" w:hAnsi="Times New Roman"/>
                <w:kern w:val="0"/>
                <w:sz w:val="21"/>
                <w:szCs w:val="21"/>
                <w:lang w:val="en-GB"/>
              </w:rPr>
              <w:t>大气毒性终点浓度</w:t>
            </w:r>
            <w:r w:rsidRPr="00A33F93">
              <w:rPr>
                <w:rFonts w:ascii="Times New Roman" w:hAnsi="Times New Roman"/>
                <w:kern w:val="0"/>
                <w:sz w:val="21"/>
                <w:szCs w:val="21"/>
                <w:lang w:val="en-GB"/>
              </w:rPr>
              <w:t>-1</w:t>
            </w:r>
          </w:p>
        </w:tc>
        <w:tc>
          <w:tcPr>
            <w:tcW w:w="676"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430000</w:t>
            </w:r>
          </w:p>
        </w:tc>
        <w:tc>
          <w:tcPr>
            <w:tcW w:w="519" w:type="pct"/>
            <w:vAlign w:val="center"/>
          </w:tcPr>
          <w:p w:rsidR="00A33F93" w:rsidRPr="00A33F93" w:rsidRDefault="00A33F93" w:rsidP="00A33F93">
            <w:pPr>
              <w:pStyle w:val="afffffff2"/>
              <w:rPr>
                <w:rFonts w:ascii="Times New Roman" w:hAnsi="Times New Roman" w:cs="Times New Roman"/>
                <w:kern w:val="0"/>
                <w:sz w:val="21"/>
                <w:szCs w:val="21"/>
                <w:lang w:val="zh-CN"/>
              </w:rPr>
            </w:pPr>
            <w:r w:rsidRPr="00A33F93">
              <w:rPr>
                <w:rFonts w:ascii="Times New Roman" w:hAnsi="Times New Roman" w:cs="Times New Roman"/>
                <w:kern w:val="0"/>
                <w:sz w:val="21"/>
                <w:szCs w:val="21"/>
                <w:lang w:val="zh-CN"/>
              </w:rPr>
              <w:t>10</w:t>
            </w:r>
          </w:p>
        </w:tc>
        <w:tc>
          <w:tcPr>
            <w:tcW w:w="520" w:type="pct"/>
            <w:vAlign w:val="center"/>
          </w:tcPr>
          <w:p w:rsidR="00A33F93" w:rsidRPr="00A33F93" w:rsidRDefault="00A33F93" w:rsidP="00A33F93">
            <w:pPr>
              <w:pStyle w:val="afffffff2"/>
              <w:rPr>
                <w:rFonts w:ascii="Times New Roman" w:hAnsi="Times New Roman" w:cs="Times New Roman"/>
                <w:kern w:val="0"/>
                <w:sz w:val="21"/>
                <w:szCs w:val="21"/>
                <w:lang w:val="zh-CN"/>
              </w:rPr>
            </w:pPr>
            <w:r>
              <w:rPr>
                <w:rFonts w:ascii="Times New Roman" w:hAnsi="Times New Roman" w:cs="Times New Roman"/>
                <w:kern w:val="0"/>
                <w:sz w:val="21"/>
                <w:szCs w:val="21"/>
                <w:lang w:val="zh-CN"/>
              </w:rPr>
              <w:t>/</w:t>
            </w:r>
          </w:p>
        </w:tc>
        <w:tc>
          <w:tcPr>
            <w:tcW w:w="644" w:type="pct"/>
            <w:vAlign w:val="center"/>
          </w:tcPr>
          <w:p w:rsidR="00A33F93" w:rsidRPr="00A33F93" w:rsidRDefault="00A33F93" w:rsidP="00A33F93">
            <w:pPr>
              <w:pStyle w:val="afffffff2"/>
              <w:rPr>
                <w:rFonts w:ascii="Times New Roman" w:hAnsi="Times New Roman" w:cs="Times New Roman"/>
                <w:kern w:val="0"/>
                <w:sz w:val="21"/>
                <w:szCs w:val="21"/>
                <w:lang w:val="zh-CN"/>
              </w:rPr>
            </w:pPr>
            <w:r>
              <w:rPr>
                <w:rFonts w:ascii="Times New Roman" w:hAnsi="Times New Roman" w:cs="Times New Roman"/>
                <w:kern w:val="0"/>
                <w:sz w:val="21"/>
                <w:szCs w:val="21"/>
                <w:lang w:val="zh-CN"/>
              </w:rPr>
              <w:t>/</w:t>
            </w:r>
          </w:p>
        </w:tc>
        <w:tc>
          <w:tcPr>
            <w:tcW w:w="836" w:type="pct"/>
            <w:vAlign w:val="center"/>
          </w:tcPr>
          <w:p w:rsidR="00A33F93" w:rsidRPr="00A33F93" w:rsidRDefault="00A33F93" w:rsidP="00A33F93">
            <w:pPr>
              <w:pStyle w:val="afffffff2"/>
              <w:rPr>
                <w:rFonts w:ascii="Times New Roman" w:hAnsi="Times New Roman" w:cs="Times New Roman"/>
                <w:kern w:val="0"/>
                <w:sz w:val="21"/>
                <w:szCs w:val="21"/>
                <w:lang w:val="zh-CN"/>
              </w:rPr>
            </w:pPr>
            <w:r>
              <w:rPr>
                <w:rFonts w:ascii="Times New Roman" w:hAnsi="Times New Roman" w:cs="Times New Roman"/>
                <w:kern w:val="0"/>
                <w:sz w:val="21"/>
                <w:szCs w:val="21"/>
                <w:lang w:val="zh-CN"/>
              </w:rPr>
              <w:t>/</w:t>
            </w:r>
          </w:p>
        </w:tc>
      </w:tr>
      <w:tr w:rsidR="00A33F93" w:rsidRPr="00A33F93" w:rsidTr="00A33F93">
        <w:tc>
          <w:tcPr>
            <w:tcW w:w="736" w:type="pct"/>
            <w:vMerge w:val="restar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lang w:val="en-GB"/>
              </w:rPr>
            </w:pPr>
            <w:r w:rsidRPr="00A33F93">
              <w:rPr>
                <w:rFonts w:ascii="Times New Roman" w:hAnsi="Times New Roman"/>
                <w:kern w:val="0"/>
                <w:sz w:val="21"/>
                <w:szCs w:val="21"/>
                <w:lang w:val="en-GB"/>
              </w:rPr>
              <w:t>最不利气象条件</w:t>
            </w:r>
            <w:r w:rsidRPr="00A33F93">
              <w:rPr>
                <w:rFonts w:ascii="Times New Roman" w:hAnsi="Times New Roman"/>
                <w:kern w:val="0"/>
                <w:sz w:val="21"/>
                <w:szCs w:val="21"/>
                <w:lang w:val="en-GB"/>
              </w:rPr>
              <w:t>F</w:t>
            </w:r>
          </w:p>
        </w:tc>
        <w:tc>
          <w:tcPr>
            <w:tcW w:w="1069"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lang w:val="en-GB"/>
              </w:rPr>
            </w:pPr>
            <w:r w:rsidRPr="00A33F93">
              <w:rPr>
                <w:rFonts w:ascii="Times New Roman" w:hAnsi="Times New Roman"/>
                <w:kern w:val="0"/>
                <w:sz w:val="21"/>
                <w:szCs w:val="21"/>
                <w:lang w:val="en-GB"/>
              </w:rPr>
              <w:t>大气毒性终点浓度</w:t>
            </w:r>
            <w:r w:rsidRPr="00A33F93">
              <w:rPr>
                <w:rFonts w:ascii="Times New Roman" w:hAnsi="Times New Roman"/>
                <w:kern w:val="0"/>
                <w:sz w:val="21"/>
                <w:szCs w:val="21"/>
                <w:lang w:val="en-GB"/>
              </w:rPr>
              <w:t>-2</w:t>
            </w:r>
          </w:p>
        </w:tc>
        <w:tc>
          <w:tcPr>
            <w:tcW w:w="676"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240000</w:t>
            </w:r>
          </w:p>
        </w:tc>
        <w:tc>
          <w:tcPr>
            <w:tcW w:w="519"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sidRPr="00A33F93">
              <w:rPr>
                <w:rFonts w:ascii="Times New Roman" w:hAnsi="Times New Roman"/>
                <w:kern w:val="0"/>
                <w:sz w:val="21"/>
                <w:szCs w:val="21"/>
              </w:rPr>
              <w:t>20</w:t>
            </w:r>
          </w:p>
        </w:tc>
        <w:tc>
          <w:tcPr>
            <w:tcW w:w="520"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644"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836"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r>
      <w:tr w:rsidR="00A33F93" w:rsidRPr="00A33F93" w:rsidTr="00A33F93">
        <w:tc>
          <w:tcPr>
            <w:tcW w:w="736" w:type="pct"/>
            <w:vMerge/>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lang w:val="en-GB"/>
              </w:rPr>
            </w:pPr>
          </w:p>
        </w:tc>
        <w:tc>
          <w:tcPr>
            <w:tcW w:w="1069"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lang w:val="en-GB"/>
              </w:rPr>
            </w:pPr>
            <w:r w:rsidRPr="00A33F93">
              <w:rPr>
                <w:rFonts w:ascii="Times New Roman" w:hAnsi="Times New Roman"/>
                <w:kern w:val="0"/>
                <w:sz w:val="21"/>
                <w:szCs w:val="21"/>
                <w:lang w:val="en-GB"/>
              </w:rPr>
              <w:t>大气毒性终点浓度</w:t>
            </w:r>
            <w:r w:rsidRPr="00A33F93">
              <w:rPr>
                <w:rFonts w:ascii="Times New Roman" w:hAnsi="Times New Roman"/>
                <w:kern w:val="0"/>
                <w:sz w:val="21"/>
                <w:szCs w:val="21"/>
                <w:lang w:val="en-GB"/>
              </w:rPr>
              <w:t>-1</w:t>
            </w:r>
          </w:p>
        </w:tc>
        <w:tc>
          <w:tcPr>
            <w:tcW w:w="676"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430000</w:t>
            </w:r>
          </w:p>
        </w:tc>
        <w:tc>
          <w:tcPr>
            <w:tcW w:w="519"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sidRPr="00A33F93">
              <w:rPr>
                <w:rFonts w:ascii="Times New Roman" w:hAnsi="Times New Roman"/>
                <w:kern w:val="0"/>
                <w:sz w:val="21"/>
                <w:szCs w:val="21"/>
              </w:rPr>
              <w:t>30</w:t>
            </w:r>
          </w:p>
        </w:tc>
        <w:tc>
          <w:tcPr>
            <w:tcW w:w="520"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644"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836"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r>
    </w:tbl>
    <w:p w:rsidR="004E3021" w:rsidRDefault="00606E48">
      <w:pPr>
        <w:ind w:firstLine="480"/>
      </w:pPr>
      <w:r>
        <w:rPr>
          <w:rFonts w:hint="eastAsia"/>
        </w:rPr>
        <w:t>在</w:t>
      </w:r>
      <w:r>
        <w:t>D</w:t>
      </w:r>
      <w:r>
        <w:t>稳定度下，</w:t>
      </w:r>
      <w:r w:rsidR="00A33F93">
        <w:rPr>
          <w:rFonts w:hint="eastAsia"/>
        </w:rPr>
        <w:t>乙炔气柜</w:t>
      </w:r>
      <w:r>
        <w:t>泄漏事故</w:t>
      </w:r>
      <w:r>
        <w:rPr>
          <w:rFonts w:hint="eastAsia"/>
        </w:rPr>
        <w:t>产生</w:t>
      </w:r>
      <w:r>
        <w:t>的</w:t>
      </w:r>
      <w:r w:rsidR="00A33F93">
        <w:rPr>
          <w:rFonts w:hint="eastAsia"/>
        </w:rPr>
        <w:t>乙炔</w:t>
      </w:r>
      <w:r>
        <w:t>30min</w:t>
      </w:r>
      <w:r w:rsidR="00A33F93">
        <w:rPr>
          <w:rFonts w:hint="eastAsia"/>
        </w:rPr>
        <w:t>未</w:t>
      </w:r>
      <w:r>
        <w:rPr>
          <w:rFonts w:hint="eastAsia"/>
        </w:rPr>
        <w:t>达到</w:t>
      </w:r>
      <w:r>
        <w:t>毒性终点浓度</w:t>
      </w:r>
      <w:r>
        <w:rPr>
          <w:rFonts w:hint="eastAsia"/>
        </w:rPr>
        <w:t>-</w:t>
      </w:r>
      <w:r>
        <w:t>2</w:t>
      </w:r>
      <w:r>
        <w:rPr>
          <w:rFonts w:hint="eastAsia"/>
        </w:rPr>
        <w:t>；</w:t>
      </w:r>
      <w:r w:rsidR="00A33F93">
        <w:rPr>
          <w:rFonts w:hint="eastAsia"/>
        </w:rPr>
        <w:t>未</w:t>
      </w:r>
      <w:r>
        <w:rPr>
          <w:rFonts w:hint="eastAsia"/>
        </w:rPr>
        <w:t>达到</w:t>
      </w:r>
      <w:r>
        <w:t>毒性终点浓度</w:t>
      </w:r>
      <w:r>
        <w:rPr>
          <w:rFonts w:hint="eastAsia"/>
        </w:rPr>
        <w:t>-</w:t>
      </w:r>
      <w:r>
        <w:t>1</w:t>
      </w:r>
      <w:r>
        <w:rPr>
          <w:rFonts w:hint="eastAsia"/>
        </w:rPr>
        <w:t>。</w:t>
      </w:r>
    </w:p>
    <w:p w:rsidR="004E3021" w:rsidRDefault="00606E48">
      <w:pPr>
        <w:ind w:firstLine="480"/>
      </w:pPr>
      <w:r>
        <w:rPr>
          <w:rFonts w:hint="eastAsia"/>
        </w:rPr>
        <w:t>在</w:t>
      </w:r>
      <w:r>
        <w:t>F</w:t>
      </w:r>
      <w:r>
        <w:t>稳定度下，</w:t>
      </w:r>
      <w:r w:rsidR="00A33F93">
        <w:rPr>
          <w:rFonts w:hint="eastAsia"/>
        </w:rPr>
        <w:t>乙炔气柜</w:t>
      </w:r>
      <w:r w:rsidR="00A33F93">
        <w:t>泄漏事故</w:t>
      </w:r>
      <w:r w:rsidR="00A33F93">
        <w:rPr>
          <w:rFonts w:hint="eastAsia"/>
        </w:rPr>
        <w:t>产生</w:t>
      </w:r>
      <w:r w:rsidR="00A33F93">
        <w:t>的</w:t>
      </w:r>
      <w:r w:rsidR="00A33F93">
        <w:rPr>
          <w:rFonts w:hint="eastAsia"/>
        </w:rPr>
        <w:t>乙炔</w:t>
      </w:r>
      <w:r w:rsidR="00A33F93">
        <w:t>30min</w:t>
      </w:r>
      <w:r w:rsidR="00A33F93">
        <w:rPr>
          <w:rFonts w:hint="eastAsia"/>
        </w:rPr>
        <w:t>未达到</w:t>
      </w:r>
      <w:r w:rsidR="00A33F93">
        <w:t>毒性终点浓度</w:t>
      </w:r>
      <w:r w:rsidR="00A33F93">
        <w:rPr>
          <w:rFonts w:hint="eastAsia"/>
        </w:rPr>
        <w:t>-</w:t>
      </w:r>
      <w:r w:rsidR="00A33F93">
        <w:t>2</w:t>
      </w:r>
      <w:r w:rsidR="00A33F93">
        <w:rPr>
          <w:rFonts w:hint="eastAsia"/>
        </w:rPr>
        <w:t>；未达到</w:t>
      </w:r>
      <w:r w:rsidR="00A33F93">
        <w:t>毒性终点浓度</w:t>
      </w:r>
      <w:r w:rsidR="00A33F93">
        <w:rPr>
          <w:rFonts w:hint="eastAsia"/>
        </w:rPr>
        <w:t>-</w:t>
      </w:r>
      <w:r w:rsidR="00A33F93">
        <w:t>1</w:t>
      </w:r>
      <w:r>
        <w:rPr>
          <w:rFonts w:hint="eastAsia"/>
        </w:rPr>
        <w:t>。</w:t>
      </w:r>
    </w:p>
    <w:p w:rsidR="004E3021" w:rsidRDefault="00606E48">
      <w:pPr>
        <w:pStyle w:val="4a"/>
        <w:rPr>
          <w:lang w:val="zh-CN"/>
        </w:rPr>
      </w:pPr>
      <w:r>
        <w:rPr>
          <w:rFonts w:hint="eastAsia"/>
          <w:lang w:val="zh-CN"/>
        </w:rPr>
        <w:lastRenderedPageBreak/>
        <w:t>5</w:t>
      </w:r>
      <w:r>
        <w:rPr>
          <w:lang w:val="zh-CN"/>
        </w:rPr>
        <w:t>.6.7.3</w:t>
      </w:r>
      <w:r w:rsidR="00A33F93">
        <w:rPr>
          <w:rFonts w:hint="eastAsia"/>
          <w:lang w:val="zh-CN"/>
        </w:rPr>
        <w:t>氨水</w:t>
      </w:r>
      <w:r>
        <w:rPr>
          <w:rFonts w:hint="eastAsia"/>
          <w:lang w:val="zh-CN"/>
        </w:rPr>
        <w:t>储罐泄漏事故污染影响</w:t>
      </w:r>
    </w:p>
    <w:p w:rsidR="004E3021" w:rsidRDefault="00606E48">
      <w:pPr>
        <w:ind w:firstLine="480"/>
      </w:pPr>
      <w:r>
        <w:rPr>
          <w:rFonts w:hint="eastAsia"/>
        </w:rPr>
        <w:t>根据污染物气体性质，采用理查德森数判断，确定</w:t>
      </w:r>
      <w:r w:rsidR="00A33F93">
        <w:rPr>
          <w:rFonts w:hint="eastAsia"/>
        </w:rPr>
        <w:t>氨水</w:t>
      </w:r>
      <w:r>
        <w:rPr>
          <w:rFonts w:hint="eastAsia"/>
        </w:rPr>
        <w:t>计算用</w:t>
      </w:r>
      <w:r>
        <w:rPr>
          <w:rFonts w:hint="eastAsia"/>
        </w:rPr>
        <w:t>S</w:t>
      </w:r>
      <w:r>
        <w:t>LAB</w:t>
      </w:r>
      <w:r>
        <w:rPr>
          <w:rFonts w:hint="eastAsia"/>
        </w:rPr>
        <w:t>模型。</w:t>
      </w:r>
    </w:p>
    <w:p w:rsidR="004E3021" w:rsidRDefault="00606E48">
      <w:pPr>
        <w:ind w:firstLine="480"/>
        <w:rPr>
          <w:lang w:val="zh-CN"/>
        </w:rPr>
      </w:pPr>
      <w:r>
        <w:rPr>
          <w:rFonts w:hint="eastAsia"/>
        </w:rPr>
        <w:t>利用多烟团模式计算最常见</w:t>
      </w:r>
      <w:r>
        <w:t>气象</w:t>
      </w:r>
      <w:r>
        <w:rPr>
          <w:rFonts w:hint="eastAsia"/>
        </w:rPr>
        <w:t>条件</w:t>
      </w:r>
      <w:r>
        <w:t>下和</w:t>
      </w:r>
      <w:r>
        <w:rPr>
          <w:rFonts w:hint="eastAsia"/>
        </w:rPr>
        <w:t>最不利气象条件下，</w:t>
      </w:r>
      <w:r w:rsidR="00A33F93">
        <w:rPr>
          <w:rFonts w:hint="eastAsia"/>
        </w:rPr>
        <w:t>氨水</w:t>
      </w:r>
      <w:r>
        <w:rPr>
          <w:rFonts w:hint="eastAsia"/>
        </w:rPr>
        <w:t>储罐泄漏产生</w:t>
      </w:r>
      <w:r w:rsidR="00A33F93">
        <w:rPr>
          <w:rFonts w:hint="eastAsia"/>
        </w:rPr>
        <w:t>氨气</w:t>
      </w:r>
      <w:r>
        <w:rPr>
          <w:rFonts w:hint="eastAsia"/>
        </w:rPr>
        <w:t>从泄漏开始</w:t>
      </w:r>
      <w:r>
        <w:t>30min</w:t>
      </w:r>
      <w:r>
        <w:rPr>
          <w:rFonts w:hint="eastAsia"/>
        </w:rPr>
        <w:t>的影响范围及最大落地浓度，本次预测时刻为</w:t>
      </w:r>
      <w:r>
        <w:t>5min</w:t>
      </w:r>
      <w:r>
        <w:rPr>
          <w:rFonts w:hint="eastAsia"/>
        </w:rPr>
        <w:t>、</w:t>
      </w:r>
      <w:r>
        <w:t>30min</w:t>
      </w:r>
      <w:r>
        <w:rPr>
          <w:rFonts w:hint="eastAsia"/>
        </w:rPr>
        <w:t>。预测事故排放污染物最常见</w:t>
      </w:r>
      <w:r>
        <w:t>气象</w:t>
      </w:r>
      <w:r>
        <w:rPr>
          <w:rFonts w:hint="eastAsia"/>
        </w:rPr>
        <w:t>条件</w:t>
      </w:r>
      <w:r>
        <w:t>下和</w:t>
      </w:r>
      <w:r>
        <w:rPr>
          <w:rFonts w:hint="eastAsia"/>
        </w:rPr>
        <w:t>最不利气象条件下的最大浓度值见表</w:t>
      </w:r>
      <w:r>
        <w:t>5.6.7-3</w:t>
      </w:r>
      <w:r>
        <w:rPr>
          <w:rFonts w:hint="eastAsia"/>
        </w:rPr>
        <w:t>。</w:t>
      </w:r>
    </w:p>
    <w:p w:rsidR="004E3021" w:rsidRDefault="00606E48">
      <w:pPr>
        <w:spacing w:line="500" w:lineRule="exact"/>
        <w:ind w:firstLineChars="0" w:firstLine="0"/>
        <w:jc w:val="center"/>
        <w:rPr>
          <w:rFonts w:eastAsia="黑体"/>
          <w:vertAlign w:val="superscript"/>
        </w:rPr>
      </w:pPr>
      <w:r>
        <w:rPr>
          <w:rFonts w:eastAsia="黑体" w:hint="eastAsia"/>
        </w:rPr>
        <w:t>表</w:t>
      </w:r>
      <w:r>
        <w:rPr>
          <w:rFonts w:eastAsia="黑体" w:hint="eastAsia"/>
        </w:rPr>
        <w:t>5.6.</w:t>
      </w:r>
      <w:r>
        <w:rPr>
          <w:rFonts w:eastAsia="黑体"/>
        </w:rPr>
        <w:t xml:space="preserve">7-5  </w:t>
      </w:r>
      <w:r>
        <w:rPr>
          <w:rFonts w:eastAsia="黑体" w:hint="eastAsia"/>
        </w:rPr>
        <w:t>D</w:t>
      </w:r>
      <w:r>
        <w:rPr>
          <w:rFonts w:eastAsia="黑体" w:hint="eastAsia"/>
        </w:rPr>
        <w:t>稳定度</w:t>
      </w:r>
      <w:r>
        <w:rPr>
          <w:rFonts w:eastAsia="黑体"/>
        </w:rPr>
        <w:t>和</w:t>
      </w:r>
      <w:r>
        <w:rPr>
          <w:rFonts w:eastAsia="黑体"/>
        </w:rPr>
        <w:t>F</w:t>
      </w:r>
      <w:r>
        <w:rPr>
          <w:rFonts w:eastAsia="黑体"/>
        </w:rPr>
        <w:t>稳定度</w:t>
      </w:r>
      <w:r>
        <w:rPr>
          <w:rFonts w:eastAsia="黑体" w:hint="eastAsia"/>
        </w:rPr>
        <w:t>下</w:t>
      </w:r>
      <w:r w:rsidR="00A33F93">
        <w:rPr>
          <w:rFonts w:eastAsia="黑体" w:hint="eastAsia"/>
        </w:rPr>
        <w:t>氨气</w:t>
      </w:r>
      <w:r>
        <w:rPr>
          <w:rFonts w:eastAsia="黑体"/>
        </w:rPr>
        <w:t>最大</w:t>
      </w:r>
      <w:r>
        <w:rPr>
          <w:rFonts w:eastAsia="黑体" w:hint="eastAsia"/>
        </w:rPr>
        <w:t>高峰</w:t>
      </w:r>
      <w:r>
        <w:rPr>
          <w:rFonts w:eastAsia="黑体"/>
        </w:rPr>
        <w:t>浓度</w:t>
      </w:r>
      <w:r>
        <w:rPr>
          <w:rFonts w:eastAsia="黑体" w:hint="eastAsia"/>
        </w:rPr>
        <w:t xml:space="preserve">  </w:t>
      </w:r>
      <w:r>
        <w:rPr>
          <w:rFonts w:eastAsia="黑体" w:hint="eastAsia"/>
        </w:rPr>
        <w:t>单位</w:t>
      </w:r>
      <w:r>
        <w:rPr>
          <w:rFonts w:eastAsia="黑体"/>
        </w:rPr>
        <w:t>：</w:t>
      </w:r>
      <w:r>
        <w:rPr>
          <w:rFonts w:eastAsia="黑体" w:hint="eastAsia"/>
        </w:rPr>
        <w:t>mg/m</w:t>
      </w:r>
      <w:r>
        <w:rPr>
          <w:rFonts w:eastAsia="黑体" w:hint="eastAsia"/>
          <w:vertAlign w:val="superscript"/>
        </w:rPr>
        <w:t>3</w:t>
      </w:r>
    </w:p>
    <w:tbl>
      <w:tblPr>
        <w:tblStyle w:val="1ffffffd"/>
        <w:tblW w:w="5000" w:type="pct"/>
        <w:tblLook w:val="04A0" w:firstRow="1" w:lastRow="0" w:firstColumn="1" w:lastColumn="0" w:noHBand="0" w:noVBand="1"/>
      </w:tblPr>
      <w:tblGrid>
        <w:gridCol w:w="3006"/>
        <w:gridCol w:w="3008"/>
        <w:gridCol w:w="3013"/>
      </w:tblGrid>
      <w:tr w:rsidR="00A33F93" w:rsidRPr="00A33F93" w:rsidTr="00A33F93">
        <w:trPr>
          <w:trHeight w:val="156"/>
        </w:trPr>
        <w:tc>
          <w:tcPr>
            <w:tcW w:w="1665" w:type="pct"/>
            <w:vMerge w:val="restart"/>
            <w:noWrap/>
            <w:vAlign w:val="center"/>
          </w:tcPr>
          <w:p w:rsidR="00A33F93" w:rsidRPr="00A33F93" w:rsidRDefault="00A33F93" w:rsidP="00A33F93">
            <w:pPr>
              <w:pStyle w:val="afffffff2"/>
              <w:rPr>
                <w:rFonts w:ascii="Times New Roman" w:hAnsi="Times New Roman" w:cs="Times New Roman"/>
                <w:b/>
                <w:sz w:val="21"/>
                <w:szCs w:val="21"/>
              </w:rPr>
            </w:pPr>
            <w:r w:rsidRPr="00A33F93">
              <w:rPr>
                <w:rFonts w:ascii="Times New Roman" w:hAnsi="Times New Roman" w:cs="Times New Roman"/>
                <w:b/>
                <w:sz w:val="21"/>
                <w:szCs w:val="21"/>
              </w:rPr>
              <w:t>距离</w:t>
            </w:r>
            <w:r w:rsidRPr="00A33F93">
              <w:rPr>
                <w:rFonts w:ascii="Times New Roman" w:hAnsi="Times New Roman" w:cs="Times New Roman"/>
                <w:b/>
                <w:sz w:val="21"/>
                <w:szCs w:val="21"/>
              </w:rPr>
              <w:t xml:space="preserve"> (m)</w:t>
            </w:r>
          </w:p>
        </w:tc>
        <w:tc>
          <w:tcPr>
            <w:tcW w:w="3335" w:type="pct"/>
            <w:gridSpan w:val="2"/>
            <w:noWrap/>
            <w:vAlign w:val="center"/>
          </w:tcPr>
          <w:p w:rsidR="00A33F93" w:rsidRPr="00A33F93" w:rsidRDefault="00A33F93" w:rsidP="00A33F93">
            <w:pPr>
              <w:pStyle w:val="afffffff2"/>
              <w:rPr>
                <w:rFonts w:ascii="Times New Roman" w:hAnsi="Times New Roman" w:cs="Times New Roman"/>
                <w:b/>
                <w:sz w:val="21"/>
                <w:szCs w:val="21"/>
              </w:rPr>
            </w:pPr>
            <w:r w:rsidRPr="00A33F93">
              <w:rPr>
                <w:rFonts w:ascii="Times New Roman" w:hAnsi="Times New Roman" w:cs="Times New Roman"/>
                <w:b/>
                <w:sz w:val="21"/>
                <w:szCs w:val="21"/>
              </w:rPr>
              <w:t>液氨</w:t>
            </w:r>
          </w:p>
        </w:tc>
      </w:tr>
      <w:tr w:rsidR="00A33F93" w:rsidRPr="00A33F93" w:rsidTr="00A33F93">
        <w:trPr>
          <w:trHeight w:val="156"/>
        </w:trPr>
        <w:tc>
          <w:tcPr>
            <w:tcW w:w="1665" w:type="pct"/>
            <w:vMerge/>
            <w:noWrap/>
            <w:vAlign w:val="center"/>
          </w:tcPr>
          <w:p w:rsidR="00A33F93" w:rsidRPr="00A33F93" w:rsidRDefault="00A33F93" w:rsidP="00A33F93">
            <w:pPr>
              <w:pStyle w:val="afffffff2"/>
              <w:rPr>
                <w:rFonts w:ascii="Times New Roman" w:hAnsi="Times New Roman" w:cs="Times New Roman"/>
                <w:b/>
                <w:sz w:val="21"/>
                <w:szCs w:val="21"/>
              </w:rPr>
            </w:pPr>
          </w:p>
        </w:tc>
        <w:tc>
          <w:tcPr>
            <w:tcW w:w="1666" w:type="pct"/>
            <w:noWrap/>
            <w:vAlign w:val="center"/>
          </w:tcPr>
          <w:p w:rsidR="00A33F93" w:rsidRPr="00A33F93" w:rsidRDefault="00A33F93" w:rsidP="00A33F93">
            <w:pPr>
              <w:pStyle w:val="afffffff2"/>
              <w:rPr>
                <w:rFonts w:ascii="Times New Roman" w:hAnsi="Times New Roman" w:cs="Times New Roman"/>
                <w:b/>
                <w:sz w:val="21"/>
                <w:szCs w:val="21"/>
              </w:rPr>
            </w:pPr>
            <w:r w:rsidRPr="00A33F93">
              <w:rPr>
                <w:rFonts w:ascii="Times New Roman" w:hAnsi="Times New Roman" w:cs="Times New Roman"/>
                <w:b/>
                <w:sz w:val="21"/>
                <w:szCs w:val="21"/>
              </w:rPr>
              <w:t>最不利</w:t>
            </w:r>
          </w:p>
        </w:tc>
        <w:tc>
          <w:tcPr>
            <w:tcW w:w="1669" w:type="pct"/>
            <w:noWrap/>
            <w:vAlign w:val="center"/>
          </w:tcPr>
          <w:p w:rsidR="00A33F93" w:rsidRPr="00A33F93" w:rsidRDefault="00A33F93" w:rsidP="00A33F93">
            <w:pPr>
              <w:pStyle w:val="afffffff2"/>
              <w:rPr>
                <w:rFonts w:ascii="Times New Roman" w:hAnsi="Times New Roman" w:cs="Times New Roman"/>
                <w:b/>
                <w:sz w:val="21"/>
                <w:szCs w:val="21"/>
              </w:rPr>
            </w:pPr>
            <w:r w:rsidRPr="00A33F93">
              <w:rPr>
                <w:rFonts w:ascii="Times New Roman" w:hAnsi="Times New Roman" w:cs="Times New Roman"/>
                <w:b/>
                <w:sz w:val="21"/>
                <w:szCs w:val="21"/>
              </w:rPr>
              <w:t>最常见</w:t>
            </w:r>
          </w:p>
        </w:tc>
      </w:tr>
      <w:tr w:rsidR="00A33F93" w:rsidRPr="00A33F93" w:rsidTr="00A33F93">
        <w:trPr>
          <w:trHeight w:val="270"/>
        </w:trPr>
        <w:tc>
          <w:tcPr>
            <w:tcW w:w="1665" w:type="pct"/>
            <w:noWrap/>
            <w:vAlign w:val="center"/>
          </w:tcPr>
          <w:p w:rsidR="00A33F93" w:rsidRPr="00A33F93" w:rsidRDefault="00A33F93" w:rsidP="00A33F93">
            <w:pPr>
              <w:pStyle w:val="afffffff2"/>
              <w:rPr>
                <w:rFonts w:ascii="Times New Roman" w:hAnsi="Times New Roman" w:cs="Times New Roman"/>
                <w:sz w:val="21"/>
                <w:szCs w:val="21"/>
              </w:rPr>
            </w:pPr>
            <w:r w:rsidRPr="00A33F93">
              <w:rPr>
                <w:rFonts w:ascii="Times New Roman" w:hAnsi="Times New Roman" w:cs="Times New Roman"/>
                <w:sz w:val="21"/>
                <w:szCs w:val="21"/>
              </w:rPr>
              <w:t>10</w:t>
            </w:r>
          </w:p>
        </w:tc>
        <w:tc>
          <w:tcPr>
            <w:tcW w:w="1666" w:type="pct"/>
            <w:noWrap/>
            <w:vAlign w:val="center"/>
          </w:tcPr>
          <w:p w:rsidR="00A33F93" w:rsidRPr="00A33F93" w:rsidRDefault="00A33F93" w:rsidP="00A33F93">
            <w:pPr>
              <w:pStyle w:val="afffffff2"/>
              <w:rPr>
                <w:rFonts w:ascii="Times New Roman" w:hAnsi="Times New Roman" w:cs="Times New Roman"/>
                <w:sz w:val="21"/>
                <w:szCs w:val="21"/>
              </w:rPr>
            </w:pPr>
            <w:r w:rsidRPr="00A33F93">
              <w:rPr>
                <w:rFonts w:ascii="Times New Roman" w:hAnsi="Times New Roman" w:cs="Times New Roman"/>
                <w:sz w:val="21"/>
                <w:szCs w:val="21"/>
              </w:rPr>
              <w:t>2.2527E-10</w:t>
            </w:r>
          </w:p>
        </w:tc>
        <w:tc>
          <w:tcPr>
            <w:tcW w:w="1669" w:type="pct"/>
            <w:noWrap/>
            <w:vAlign w:val="center"/>
          </w:tcPr>
          <w:p w:rsidR="00A33F93" w:rsidRPr="00A33F93" w:rsidRDefault="00A33F93" w:rsidP="00A33F93">
            <w:pPr>
              <w:pStyle w:val="afffffff2"/>
              <w:rPr>
                <w:rFonts w:ascii="Times New Roman" w:hAnsi="Times New Roman" w:cs="Times New Roman"/>
                <w:sz w:val="21"/>
                <w:szCs w:val="21"/>
              </w:rPr>
            </w:pPr>
            <w:r w:rsidRPr="00A33F93">
              <w:rPr>
                <w:rFonts w:ascii="Times New Roman" w:hAnsi="Times New Roman" w:cs="Times New Roman"/>
                <w:sz w:val="21"/>
                <w:szCs w:val="21"/>
              </w:rPr>
              <w:t>1.728E-10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60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sidRPr="00A33F93">
              <w:rPr>
                <w:rFonts w:ascii="Times New Roman" w:hAnsi="Times New Roman" w:cs="Times New Roman"/>
                <w:color w:val="000000" w:themeColor="text1"/>
                <w:sz w:val="21"/>
                <w:szCs w:val="21"/>
              </w:rPr>
              <w:t>310.237</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sidRPr="00A33F93">
              <w:rPr>
                <w:rFonts w:ascii="Times New Roman" w:hAnsi="Times New Roman" w:cs="Times New Roman"/>
                <w:color w:val="000000" w:themeColor="text1"/>
                <w:sz w:val="21"/>
                <w:szCs w:val="21"/>
              </w:rPr>
              <w:t>8.0142</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110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sidRPr="00A33F93">
              <w:rPr>
                <w:rFonts w:ascii="Times New Roman" w:hAnsi="Times New Roman" w:cs="Times New Roman"/>
                <w:color w:val="000000" w:themeColor="text1"/>
                <w:sz w:val="21"/>
                <w:szCs w:val="21"/>
              </w:rPr>
              <w:t>279.3746</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sidRPr="00A33F93">
              <w:rPr>
                <w:rFonts w:ascii="Times New Roman" w:hAnsi="Times New Roman" w:cs="Times New Roman"/>
                <w:color w:val="000000" w:themeColor="text1"/>
                <w:sz w:val="21"/>
                <w:szCs w:val="21"/>
              </w:rPr>
              <w:t>7.3394</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160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sidRPr="00A33F93">
              <w:rPr>
                <w:rFonts w:ascii="Times New Roman" w:hAnsi="Times New Roman" w:cs="Times New Roman"/>
                <w:color w:val="000000" w:themeColor="text1"/>
                <w:sz w:val="21"/>
                <w:szCs w:val="21"/>
              </w:rPr>
              <w:t>218.6208</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sidRPr="00A33F93">
              <w:rPr>
                <w:rFonts w:ascii="Times New Roman" w:hAnsi="Times New Roman" w:cs="Times New Roman"/>
                <w:color w:val="000000" w:themeColor="text1"/>
                <w:sz w:val="21"/>
                <w:szCs w:val="21"/>
              </w:rPr>
              <w:t>6.7493</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210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sidRPr="00A33F93">
              <w:rPr>
                <w:rFonts w:ascii="Times New Roman" w:hAnsi="Times New Roman" w:cs="Times New Roman"/>
                <w:color w:val="000000" w:themeColor="text1"/>
                <w:sz w:val="21"/>
                <w:szCs w:val="21"/>
              </w:rPr>
              <w:t>187.9578</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sidRPr="00A33F93">
              <w:rPr>
                <w:rFonts w:ascii="Times New Roman" w:hAnsi="Times New Roman" w:cs="Times New Roman"/>
                <w:color w:val="000000" w:themeColor="text1"/>
                <w:sz w:val="21"/>
                <w:szCs w:val="21"/>
              </w:rPr>
              <w:t>6.2303</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260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sidRPr="00A33F93">
              <w:rPr>
                <w:rFonts w:ascii="Times New Roman" w:hAnsi="Times New Roman" w:cs="Times New Roman"/>
                <w:color w:val="000000" w:themeColor="text1"/>
                <w:sz w:val="21"/>
                <w:szCs w:val="21"/>
              </w:rPr>
              <w:t>167.3713</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sidRPr="00A33F93">
              <w:rPr>
                <w:rFonts w:ascii="Times New Roman" w:hAnsi="Times New Roman" w:cs="Times New Roman"/>
                <w:color w:val="000000" w:themeColor="text1"/>
                <w:sz w:val="21"/>
                <w:szCs w:val="21"/>
              </w:rPr>
              <w:t>5.7711</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310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sidRPr="00A33F93">
              <w:rPr>
                <w:rFonts w:ascii="Times New Roman" w:hAnsi="Times New Roman" w:cs="Times New Roman"/>
                <w:color w:val="000000" w:themeColor="text1"/>
                <w:sz w:val="21"/>
                <w:szCs w:val="21"/>
              </w:rPr>
              <w:t>146.8498</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sidRPr="00A33F93">
              <w:rPr>
                <w:rFonts w:ascii="Times New Roman" w:hAnsi="Times New Roman" w:cs="Times New Roman"/>
                <w:color w:val="000000" w:themeColor="text1"/>
                <w:sz w:val="21"/>
                <w:szCs w:val="21"/>
              </w:rPr>
              <w:t>5.363</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360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sidRPr="00A33F93">
              <w:rPr>
                <w:rFonts w:ascii="Times New Roman" w:hAnsi="Times New Roman" w:cs="Times New Roman"/>
                <w:color w:val="000000" w:themeColor="text1"/>
                <w:sz w:val="21"/>
                <w:szCs w:val="21"/>
              </w:rPr>
              <w:t>117.489</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sidRPr="00A33F93">
              <w:rPr>
                <w:rFonts w:ascii="Times New Roman" w:hAnsi="Times New Roman" w:cs="Times New Roman"/>
                <w:color w:val="000000" w:themeColor="text1"/>
                <w:sz w:val="21"/>
                <w:szCs w:val="21"/>
              </w:rPr>
              <w:t>4.9984</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color w:val="000000" w:themeColor="text1"/>
                <w:sz w:val="21"/>
                <w:szCs w:val="21"/>
              </w:rPr>
              <w:t>108.47</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color w:val="000000" w:themeColor="text1"/>
                <w:sz w:val="21"/>
                <w:szCs w:val="21"/>
              </w:rPr>
              <w:t>4.671</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100.843</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color w:val="000000" w:themeColor="text1"/>
                <w:sz w:val="21"/>
                <w:szCs w:val="21"/>
              </w:rPr>
              <w:t>4.3764</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510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89.478</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color w:val="000000" w:themeColor="text1"/>
                <w:sz w:val="21"/>
                <w:szCs w:val="21"/>
              </w:rPr>
              <w:t>4.1101</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560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color w:val="000000" w:themeColor="text1"/>
                <w:sz w:val="21"/>
                <w:szCs w:val="21"/>
              </w:rPr>
              <w:t>80.45</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color w:val="000000" w:themeColor="text1"/>
                <w:sz w:val="21"/>
                <w:szCs w:val="21"/>
              </w:rPr>
              <w:t>3.8684</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610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74.6354</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3.6292</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660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64.4344</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3.4718</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710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54.2483</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3.3261</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760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44.0756</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3.191</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810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33.915</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3.0652</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860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23.7652</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2.9479</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910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13.6253</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2.8384</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960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3.4943</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2.7358</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1010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3.3714</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2.6397</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1060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3.256</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2.5493</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1110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3.1474</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2.4643</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1160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3.0451</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2.3842</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1210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2.9485</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2.3086</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1260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2.8572</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2.2371</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1310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2.7707</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2.1694</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lastRenderedPageBreak/>
              <w:t>1360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2.6888</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2.1053</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1410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2.6111</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2.0444</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1460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2.5373</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1.9866</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1510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2.4671</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1.9316</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1560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2.4002</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1.8793</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1610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2.3364</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1.8294</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1660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2.2756</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1.7818</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1710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2.2175</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1.7364</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1760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2.1621</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1.6929</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1810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2.109</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1.6513</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1860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2.0582</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1.6115</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1910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2.0095</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1.5733</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1960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1.9628</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1.5367</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2010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1.918</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1.5015</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2060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1.875</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1.4677</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2110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1.8337</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1.4353</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2160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1.7939</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1.404</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2210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1.7557</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1.3739</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2260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1.7188</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1.3449</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2310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1.6833</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1.3169</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2360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1.6491</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1.2899</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2410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1.6161</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1.2638</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2460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1.5843</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1.2386</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2510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1.5535</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1.2143</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2560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1.5238</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1.1907</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2610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1.495</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1.1679</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2660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1.4673</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1.1458</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2710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1.4404</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1.1244</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2760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1.4143</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1.1036</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2810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1.3891</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1.0835</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2860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1.3647</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1.064</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2910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1.341</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1.045</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2960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1.3181</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1.0265</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3010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1.2958</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1.0086</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3060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1.2742</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0.99114</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3110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1.2532</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0.97417</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3160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1.2328</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0.95765</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lastRenderedPageBreak/>
              <w:t>3210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1.213</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0.94157</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3260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1.1938</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0.9259</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3310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1.175</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0.91063</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3360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1.1568</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0.89575</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3410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1.1391</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0.88123</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3460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1.1219</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0.86707</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3510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1.1051</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0.85325</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3560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1.0888</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0.83977</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3610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1.0728</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0.82659</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3660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1.0573</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0.81373</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3710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1.0422</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0.80116</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3760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1.0275</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0.78887</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3810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1.0131</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0.77686</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3860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0.99906</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0.76512</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3910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0.98536</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0.75363</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3960</w:t>
            </w:r>
          </w:p>
        </w:tc>
        <w:tc>
          <w:tcPr>
            <w:tcW w:w="1666"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0.97199</w:t>
            </w:r>
          </w:p>
        </w:tc>
        <w:tc>
          <w:tcPr>
            <w:tcW w:w="1669"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0.74239</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4010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4060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4110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4160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4210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4260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4310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4360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4410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4460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4510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4560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4610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4660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4710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4760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4810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4860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4910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r w:rsidR="00470A35" w:rsidRPr="00A33F93" w:rsidTr="00A33F93">
        <w:trPr>
          <w:trHeight w:val="270"/>
        </w:trPr>
        <w:tc>
          <w:tcPr>
            <w:tcW w:w="1665" w:type="pct"/>
            <w:noWrap/>
            <w:vAlign w:val="center"/>
          </w:tcPr>
          <w:p w:rsidR="00470A35" w:rsidRPr="00A33F93" w:rsidRDefault="00470A35" w:rsidP="00470A35">
            <w:pPr>
              <w:pStyle w:val="afffffff2"/>
              <w:rPr>
                <w:rFonts w:ascii="Times New Roman" w:hAnsi="Times New Roman" w:cs="Times New Roman"/>
                <w:sz w:val="21"/>
                <w:szCs w:val="21"/>
              </w:rPr>
            </w:pPr>
            <w:r w:rsidRPr="00A33F93">
              <w:rPr>
                <w:rFonts w:ascii="Times New Roman" w:hAnsi="Times New Roman" w:cs="Times New Roman"/>
                <w:sz w:val="21"/>
                <w:szCs w:val="21"/>
              </w:rPr>
              <w:t>4960</w:t>
            </w:r>
          </w:p>
        </w:tc>
        <w:tc>
          <w:tcPr>
            <w:tcW w:w="1666"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c>
          <w:tcPr>
            <w:tcW w:w="1669" w:type="pct"/>
            <w:noWrap/>
            <w:vAlign w:val="center"/>
          </w:tcPr>
          <w:p w:rsidR="00470A35" w:rsidRPr="00A33F93" w:rsidRDefault="00470A35" w:rsidP="00470A35">
            <w:pPr>
              <w:pStyle w:val="afffffff2"/>
              <w:rPr>
                <w:rFonts w:ascii="Times New Roman" w:hAnsi="Times New Roman" w:cs="Times New Roman"/>
                <w:color w:val="000000" w:themeColor="text1"/>
                <w:sz w:val="21"/>
                <w:szCs w:val="21"/>
              </w:rPr>
            </w:pPr>
            <w:r>
              <w:rPr>
                <w:rFonts w:ascii="Times New Roman" w:hAnsi="Times New Roman" w:cs="Times New Roman"/>
                <w:kern w:val="0"/>
                <w:sz w:val="21"/>
                <w:szCs w:val="21"/>
              </w:rPr>
              <w:t>0</w:t>
            </w:r>
            <w:r w:rsidRPr="00676F99">
              <w:rPr>
                <w:rFonts w:ascii="Times New Roman" w:hAnsi="Times New Roman" w:cs="Times New Roman"/>
                <w:kern w:val="0"/>
                <w:sz w:val="21"/>
                <w:szCs w:val="21"/>
              </w:rPr>
              <w:t>.00E+00</w:t>
            </w:r>
          </w:p>
        </w:tc>
      </w:tr>
    </w:tbl>
    <w:p w:rsidR="00A33F93" w:rsidRPr="00A33F93" w:rsidRDefault="00A33F93" w:rsidP="00A33F93">
      <w:pPr>
        <w:pStyle w:val="a0"/>
        <w:ind w:firstLine="480"/>
      </w:pPr>
    </w:p>
    <w:p w:rsidR="004E3021" w:rsidRDefault="00606E48">
      <w:pPr>
        <w:spacing w:line="500" w:lineRule="exact"/>
        <w:ind w:firstLineChars="0" w:firstLine="0"/>
        <w:jc w:val="center"/>
        <w:rPr>
          <w:rFonts w:eastAsia="黑体"/>
        </w:rPr>
      </w:pPr>
      <w:r>
        <w:rPr>
          <w:rFonts w:eastAsia="黑体" w:hint="eastAsia"/>
        </w:rPr>
        <w:lastRenderedPageBreak/>
        <w:t>表</w:t>
      </w:r>
      <w:r>
        <w:rPr>
          <w:rFonts w:eastAsia="黑体" w:hint="eastAsia"/>
        </w:rPr>
        <w:t>5.6.</w:t>
      </w:r>
      <w:r>
        <w:rPr>
          <w:rFonts w:eastAsia="黑体"/>
        </w:rPr>
        <w:t xml:space="preserve">7-6  </w:t>
      </w:r>
      <w:r w:rsidR="00A33F93">
        <w:rPr>
          <w:rFonts w:eastAsia="黑体" w:hint="eastAsia"/>
        </w:rPr>
        <w:t>氨气</w:t>
      </w:r>
      <w:r>
        <w:rPr>
          <w:rFonts w:eastAsia="黑体" w:hint="eastAsia"/>
          <w:lang w:val="zh-CN"/>
        </w:rPr>
        <w:t>各阈值的廓线对应的位置</w:t>
      </w:r>
    </w:p>
    <w:tbl>
      <w:tblPr>
        <w:tblStyle w:val="1ffffffd"/>
        <w:tblW w:w="5000" w:type="pct"/>
        <w:tblLook w:val="04A0" w:firstRow="1" w:lastRow="0" w:firstColumn="1" w:lastColumn="0" w:noHBand="0" w:noVBand="1"/>
      </w:tblPr>
      <w:tblGrid>
        <w:gridCol w:w="1328"/>
        <w:gridCol w:w="1930"/>
        <w:gridCol w:w="1221"/>
        <w:gridCol w:w="937"/>
        <w:gridCol w:w="939"/>
        <w:gridCol w:w="1163"/>
        <w:gridCol w:w="1509"/>
      </w:tblGrid>
      <w:tr w:rsidR="004E3021" w:rsidRPr="00A33F93" w:rsidTr="00A33F93">
        <w:tc>
          <w:tcPr>
            <w:tcW w:w="736" w:type="pct"/>
            <w:vAlign w:val="center"/>
          </w:tcPr>
          <w:p w:rsidR="004E3021" w:rsidRPr="00A33F93" w:rsidRDefault="00606E48" w:rsidP="00A33F93">
            <w:pPr>
              <w:widowControl/>
              <w:spacing w:line="360" w:lineRule="exact"/>
              <w:ind w:firstLineChars="0" w:firstLine="0"/>
              <w:jc w:val="center"/>
              <w:rPr>
                <w:rFonts w:ascii="Times New Roman" w:hAnsi="Times New Roman"/>
                <w:b/>
                <w:kern w:val="0"/>
                <w:sz w:val="21"/>
                <w:szCs w:val="21"/>
                <w:lang w:val="en-GB"/>
              </w:rPr>
            </w:pPr>
            <w:r w:rsidRPr="00A33F93">
              <w:rPr>
                <w:rFonts w:ascii="Times New Roman" w:hAnsi="Times New Roman"/>
                <w:b/>
                <w:kern w:val="0"/>
                <w:sz w:val="21"/>
                <w:szCs w:val="21"/>
                <w:lang w:val="en-GB"/>
              </w:rPr>
              <w:t>预测气象条件</w:t>
            </w:r>
          </w:p>
        </w:tc>
        <w:tc>
          <w:tcPr>
            <w:tcW w:w="1069" w:type="pct"/>
            <w:vAlign w:val="center"/>
          </w:tcPr>
          <w:p w:rsidR="004E3021" w:rsidRPr="00A33F93" w:rsidRDefault="00606E48" w:rsidP="00A33F93">
            <w:pPr>
              <w:widowControl/>
              <w:spacing w:line="360" w:lineRule="exact"/>
              <w:ind w:firstLineChars="0" w:firstLine="0"/>
              <w:jc w:val="center"/>
              <w:rPr>
                <w:rFonts w:ascii="Times New Roman" w:hAnsi="Times New Roman"/>
                <w:b/>
                <w:kern w:val="0"/>
                <w:sz w:val="21"/>
                <w:szCs w:val="21"/>
                <w:lang w:val="en-GB"/>
              </w:rPr>
            </w:pPr>
            <w:r w:rsidRPr="00A33F93">
              <w:rPr>
                <w:rFonts w:ascii="Times New Roman" w:hAnsi="Times New Roman"/>
                <w:b/>
                <w:kern w:val="0"/>
                <w:sz w:val="21"/>
                <w:szCs w:val="21"/>
                <w:lang w:val="en-GB"/>
              </w:rPr>
              <w:t>指标</w:t>
            </w:r>
          </w:p>
        </w:tc>
        <w:tc>
          <w:tcPr>
            <w:tcW w:w="676" w:type="pct"/>
            <w:vAlign w:val="center"/>
          </w:tcPr>
          <w:p w:rsidR="004E3021" w:rsidRPr="00A33F93" w:rsidRDefault="00606E48" w:rsidP="00A33F93">
            <w:pPr>
              <w:widowControl/>
              <w:spacing w:line="360" w:lineRule="exact"/>
              <w:ind w:firstLineChars="0" w:firstLine="0"/>
              <w:jc w:val="center"/>
              <w:rPr>
                <w:rFonts w:ascii="Times New Roman" w:hAnsi="Times New Roman"/>
                <w:b/>
                <w:kern w:val="0"/>
                <w:sz w:val="21"/>
                <w:szCs w:val="21"/>
                <w:lang w:val="en-GB"/>
              </w:rPr>
            </w:pPr>
            <w:r w:rsidRPr="00A33F93">
              <w:rPr>
                <w:rFonts w:ascii="Times New Roman" w:hAnsi="Times New Roman"/>
                <w:b/>
                <w:kern w:val="0"/>
                <w:sz w:val="21"/>
                <w:szCs w:val="21"/>
                <w:lang w:val="en-GB"/>
              </w:rPr>
              <w:t>浓度值（</w:t>
            </w:r>
            <w:r w:rsidRPr="00A33F93">
              <w:rPr>
                <w:rFonts w:ascii="Times New Roman" w:hAnsi="Times New Roman"/>
                <w:b/>
                <w:kern w:val="0"/>
                <w:sz w:val="21"/>
                <w:szCs w:val="21"/>
              </w:rPr>
              <w:t>mg/m</w:t>
            </w:r>
            <w:r w:rsidRPr="00A33F93">
              <w:rPr>
                <w:rFonts w:ascii="Times New Roman" w:hAnsi="Times New Roman"/>
                <w:b/>
                <w:kern w:val="0"/>
                <w:sz w:val="21"/>
                <w:szCs w:val="21"/>
                <w:vertAlign w:val="superscript"/>
              </w:rPr>
              <w:t>3</w:t>
            </w:r>
            <w:r w:rsidRPr="00A33F93">
              <w:rPr>
                <w:rFonts w:ascii="Times New Roman" w:hAnsi="Times New Roman"/>
                <w:b/>
                <w:kern w:val="0"/>
                <w:sz w:val="21"/>
                <w:szCs w:val="21"/>
                <w:lang w:val="en-GB"/>
              </w:rPr>
              <w:t>）</w:t>
            </w:r>
          </w:p>
        </w:tc>
        <w:tc>
          <w:tcPr>
            <w:tcW w:w="519" w:type="pct"/>
            <w:vAlign w:val="center"/>
          </w:tcPr>
          <w:p w:rsidR="004E3021" w:rsidRPr="00A33F93" w:rsidRDefault="00606E48" w:rsidP="00A33F93">
            <w:pPr>
              <w:widowControl/>
              <w:spacing w:line="360" w:lineRule="exact"/>
              <w:ind w:firstLineChars="0" w:firstLine="0"/>
              <w:jc w:val="center"/>
              <w:rPr>
                <w:rFonts w:ascii="Times New Roman" w:hAnsi="Times New Roman"/>
                <w:b/>
                <w:kern w:val="0"/>
                <w:sz w:val="21"/>
                <w:szCs w:val="21"/>
                <w:lang w:val="en-GB"/>
              </w:rPr>
            </w:pPr>
            <w:r w:rsidRPr="00A33F93">
              <w:rPr>
                <w:rFonts w:ascii="Times New Roman" w:hAnsi="Times New Roman"/>
                <w:b/>
                <w:kern w:val="0"/>
                <w:sz w:val="21"/>
                <w:szCs w:val="21"/>
                <w:lang w:val="zh-CN"/>
              </w:rPr>
              <w:t>X</w:t>
            </w:r>
            <w:r w:rsidRPr="00A33F93">
              <w:rPr>
                <w:rFonts w:ascii="Times New Roman" w:hAnsi="Times New Roman"/>
                <w:b/>
                <w:kern w:val="0"/>
                <w:sz w:val="21"/>
                <w:szCs w:val="21"/>
                <w:lang w:val="zh-CN"/>
              </w:rPr>
              <w:t>起点</w:t>
            </w:r>
            <w:r w:rsidRPr="00A33F93">
              <w:rPr>
                <w:rFonts w:ascii="Times New Roman" w:hAnsi="Times New Roman"/>
                <w:b/>
                <w:kern w:val="0"/>
                <w:sz w:val="21"/>
                <w:szCs w:val="21"/>
                <w:lang w:val="zh-CN"/>
              </w:rPr>
              <w:t>(m)</w:t>
            </w:r>
          </w:p>
        </w:tc>
        <w:tc>
          <w:tcPr>
            <w:tcW w:w="520" w:type="pct"/>
            <w:vAlign w:val="center"/>
          </w:tcPr>
          <w:p w:rsidR="004E3021" w:rsidRPr="00A33F93" w:rsidRDefault="00606E48" w:rsidP="00A33F93">
            <w:pPr>
              <w:widowControl/>
              <w:spacing w:line="360" w:lineRule="exact"/>
              <w:ind w:firstLineChars="0" w:firstLine="0"/>
              <w:jc w:val="center"/>
              <w:rPr>
                <w:rFonts w:ascii="Times New Roman" w:hAnsi="Times New Roman"/>
                <w:b/>
                <w:kern w:val="0"/>
                <w:sz w:val="21"/>
                <w:szCs w:val="21"/>
                <w:lang w:val="en-GB"/>
              </w:rPr>
            </w:pPr>
            <w:r w:rsidRPr="00A33F93">
              <w:rPr>
                <w:rFonts w:ascii="Times New Roman" w:hAnsi="Times New Roman"/>
                <w:b/>
                <w:kern w:val="0"/>
                <w:sz w:val="21"/>
                <w:szCs w:val="21"/>
                <w:lang w:val="zh-CN"/>
              </w:rPr>
              <w:t>X</w:t>
            </w:r>
            <w:r w:rsidRPr="00A33F93">
              <w:rPr>
                <w:rFonts w:ascii="Times New Roman" w:hAnsi="Times New Roman"/>
                <w:b/>
                <w:kern w:val="0"/>
                <w:sz w:val="21"/>
                <w:szCs w:val="21"/>
                <w:lang w:val="zh-CN"/>
              </w:rPr>
              <w:t>终点</w:t>
            </w:r>
            <w:r w:rsidRPr="00A33F93">
              <w:rPr>
                <w:rFonts w:ascii="Times New Roman" w:hAnsi="Times New Roman"/>
                <w:b/>
                <w:kern w:val="0"/>
                <w:sz w:val="21"/>
                <w:szCs w:val="21"/>
                <w:lang w:val="zh-CN"/>
              </w:rPr>
              <w:t>(m)</w:t>
            </w:r>
          </w:p>
        </w:tc>
        <w:tc>
          <w:tcPr>
            <w:tcW w:w="644" w:type="pct"/>
            <w:vAlign w:val="center"/>
          </w:tcPr>
          <w:p w:rsidR="004E3021" w:rsidRPr="00A33F93" w:rsidRDefault="00606E48" w:rsidP="00A33F93">
            <w:pPr>
              <w:widowControl/>
              <w:spacing w:line="360" w:lineRule="exact"/>
              <w:ind w:firstLineChars="0" w:firstLine="0"/>
              <w:jc w:val="center"/>
              <w:rPr>
                <w:rFonts w:ascii="Times New Roman" w:hAnsi="Times New Roman"/>
                <w:b/>
                <w:kern w:val="0"/>
                <w:sz w:val="21"/>
                <w:szCs w:val="21"/>
                <w:lang w:val="en-GB"/>
              </w:rPr>
            </w:pPr>
            <w:r w:rsidRPr="00A33F93">
              <w:rPr>
                <w:rFonts w:ascii="Times New Roman" w:hAnsi="Times New Roman"/>
                <w:b/>
                <w:kern w:val="0"/>
                <w:sz w:val="21"/>
                <w:szCs w:val="21"/>
                <w:lang w:val="zh-CN"/>
              </w:rPr>
              <w:t>最大半宽</w:t>
            </w:r>
            <w:r w:rsidRPr="00A33F93">
              <w:rPr>
                <w:rFonts w:ascii="Times New Roman" w:hAnsi="Times New Roman"/>
                <w:b/>
                <w:kern w:val="0"/>
                <w:sz w:val="21"/>
                <w:szCs w:val="21"/>
                <w:lang w:val="zh-CN"/>
              </w:rPr>
              <w:t>(m)</w:t>
            </w:r>
          </w:p>
        </w:tc>
        <w:tc>
          <w:tcPr>
            <w:tcW w:w="836" w:type="pct"/>
            <w:vAlign w:val="center"/>
          </w:tcPr>
          <w:p w:rsidR="004E3021" w:rsidRPr="00A33F93" w:rsidRDefault="00606E48" w:rsidP="00A33F93">
            <w:pPr>
              <w:widowControl/>
              <w:spacing w:line="360" w:lineRule="exact"/>
              <w:ind w:firstLineChars="0" w:firstLine="0"/>
              <w:jc w:val="center"/>
              <w:rPr>
                <w:rFonts w:ascii="Times New Roman" w:hAnsi="Times New Roman"/>
                <w:b/>
                <w:kern w:val="0"/>
                <w:sz w:val="21"/>
                <w:szCs w:val="21"/>
                <w:lang w:val="en-GB"/>
              </w:rPr>
            </w:pPr>
            <w:r w:rsidRPr="00A33F93">
              <w:rPr>
                <w:rFonts w:ascii="Times New Roman" w:hAnsi="Times New Roman"/>
                <w:b/>
                <w:kern w:val="0"/>
                <w:sz w:val="21"/>
                <w:szCs w:val="21"/>
                <w:lang w:val="zh-CN"/>
              </w:rPr>
              <w:t>最大半宽对应</w:t>
            </w:r>
            <w:r w:rsidRPr="00A33F93">
              <w:rPr>
                <w:rFonts w:ascii="Times New Roman" w:hAnsi="Times New Roman"/>
                <w:b/>
                <w:kern w:val="0"/>
                <w:sz w:val="21"/>
                <w:szCs w:val="21"/>
                <w:lang w:val="zh-CN"/>
              </w:rPr>
              <w:t>X(m)</w:t>
            </w:r>
          </w:p>
        </w:tc>
      </w:tr>
      <w:tr w:rsidR="008E4CEC" w:rsidRPr="00A33F93" w:rsidTr="00A33F93">
        <w:tc>
          <w:tcPr>
            <w:tcW w:w="736" w:type="pct"/>
            <w:vMerge w:val="restart"/>
            <w:vAlign w:val="center"/>
          </w:tcPr>
          <w:p w:rsidR="008E4CEC" w:rsidRPr="00A33F93" w:rsidRDefault="008E4CEC" w:rsidP="008E4CEC">
            <w:pPr>
              <w:widowControl/>
              <w:spacing w:line="360" w:lineRule="exact"/>
              <w:ind w:firstLineChars="0" w:firstLine="0"/>
              <w:jc w:val="center"/>
              <w:rPr>
                <w:rFonts w:ascii="Times New Roman" w:hAnsi="Times New Roman"/>
                <w:kern w:val="0"/>
                <w:sz w:val="21"/>
                <w:szCs w:val="21"/>
                <w:lang w:val="en-GB"/>
              </w:rPr>
            </w:pPr>
            <w:r w:rsidRPr="00A33F93">
              <w:rPr>
                <w:rFonts w:ascii="Times New Roman" w:hAnsi="Times New Roman"/>
                <w:kern w:val="0"/>
                <w:sz w:val="21"/>
                <w:szCs w:val="21"/>
              </w:rPr>
              <w:t>最常见气象条件</w:t>
            </w:r>
            <w:r w:rsidRPr="00A33F93">
              <w:rPr>
                <w:rFonts w:ascii="Times New Roman" w:hAnsi="Times New Roman"/>
                <w:kern w:val="0"/>
                <w:sz w:val="21"/>
                <w:szCs w:val="21"/>
              </w:rPr>
              <w:t>D</w:t>
            </w:r>
          </w:p>
        </w:tc>
        <w:tc>
          <w:tcPr>
            <w:tcW w:w="1069" w:type="pct"/>
            <w:vAlign w:val="center"/>
          </w:tcPr>
          <w:p w:rsidR="008E4CEC" w:rsidRPr="00A33F93" w:rsidRDefault="008E4CEC" w:rsidP="008E4CEC">
            <w:pPr>
              <w:widowControl/>
              <w:spacing w:line="360" w:lineRule="exact"/>
              <w:ind w:firstLineChars="0" w:firstLine="0"/>
              <w:jc w:val="center"/>
              <w:rPr>
                <w:rFonts w:ascii="Times New Roman" w:hAnsi="Times New Roman"/>
                <w:kern w:val="0"/>
                <w:sz w:val="21"/>
                <w:szCs w:val="21"/>
                <w:lang w:val="en-GB"/>
              </w:rPr>
            </w:pPr>
            <w:r w:rsidRPr="00A33F93">
              <w:rPr>
                <w:rFonts w:ascii="Times New Roman" w:hAnsi="Times New Roman"/>
                <w:kern w:val="0"/>
                <w:sz w:val="21"/>
                <w:szCs w:val="21"/>
                <w:lang w:val="en-GB"/>
              </w:rPr>
              <w:t>大气毒性终点浓度</w:t>
            </w:r>
            <w:r w:rsidRPr="00A33F93">
              <w:rPr>
                <w:rFonts w:ascii="Times New Roman" w:hAnsi="Times New Roman"/>
                <w:kern w:val="0"/>
                <w:sz w:val="21"/>
                <w:szCs w:val="21"/>
                <w:lang w:val="en-GB"/>
              </w:rPr>
              <w:t>-2</w:t>
            </w:r>
          </w:p>
        </w:tc>
        <w:tc>
          <w:tcPr>
            <w:tcW w:w="676" w:type="pct"/>
            <w:vAlign w:val="center"/>
          </w:tcPr>
          <w:p w:rsidR="008E4CEC" w:rsidRPr="00A33F93" w:rsidRDefault="008E4CEC" w:rsidP="008E4CEC">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110</w:t>
            </w:r>
          </w:p>
        </w:tc>
        <w:tc>
          <w:tcPr>
            <w:tcW w:w="519" w:type="pct"/>
            <w:vAlign w:val="center"/>
          </w:tcPr>
          <w:p w:rsidR="008E4CEC" w:rsidRPr="00A33F93" w:rsidRDefault="008E4CEC" w:rsidP="008E4CEC">
            <w:pPr>
              <w:widowControl/>
              <w:spacing w:line="360" w:lineRule="exact"/>
              <w:ind w:firstLineChars="0" w:firstLine="0"/>
              <w:jc w:val="center"/>
              <w:rPr>
                <w:rFonts w:ascii="Times New Roman" w:hAnsi="Times New Roman"/>
                <w:kern w:val="0"/>
                <w:sz w:val="21"/>
                <w:szCs w:val="21"/>
              </w:rPr>
            </w:pPr>
            <w:r w:rsidRPr="00A33F93">
              <w:rPr>
                <w:rFonts w:ascii="Times New Roman" w:hAnsi="Times New Roman"/>
                <w:kern w:val="0"/>
                <w:sz w:val="21"/>
                <w:szCs w:val="21"/>
              </w:rPr>
              <w:t>40</w:t>
            </w:r>
          </w:p>
        </w:tc>
        <w:tc>
          <w:tcPr>
            <w:tcW w:w="520" w:type="pct"/>
            <w:vAlign w:val="center"/>
          </w:tcPr>
          <w:p w:rsidR="008E4CEC" w:rsidRPr="00A33F93" w:rsidRDefault="008E4CEC" w:rsidP="008E4CEC">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644" w:type="pct"/>
            <w:vAlign w:val="center"/>
          </w:tcPr>
          <w:p w:rsidR="008E4CEC" w:rsidRPr="00A33F93" w:rsidRDefault="008E4CEC" w:rsidP="008E4CEC">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836" w:type="pct"/>
            <w:vAlign w:val="center"/>
          </w:tcPr>
          <w:p w:rsidR="008E4CEC" w:rsidRPr="00A33F93" w:rsidRDefault="008E4CEC" w:rsidP="008E4CEC">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r>
      <w:tr w:rsidR="008E4CEC" w:rsidRPr="00A33F93" w:rsidTr="00A33F93">
        <w:tc>
          <w:tcPr>
            <w:tcW w:w="736" w:type="pct"/>
            <w:vMerge/>
            <w:vAlign w:val="center"/>
          </w:tcPr>
          <w:p w:rsidR="008E4CEC" w:rsidRPr="00A33F93" w:rsidRDefault="008E4CEC" w:rsidP="008E4CEC">
            <w:pPr>
              <w:widowControl/>
              <w:spacing w:line="360" w:lineRule="exact"/>
              <w:ind w:firstLineChars="0" w:firstLine="0"/>
              <w:jc w:val="center"/>
              <w:rPr>
                <w:rFonts w:ascii="Times New Roman" w:hAnsi="Times New Roman"/>
                <w:kern w:val="0"/>
                <w:sz w:val="21"/>
                <w:szCs w:val="21"/>
                <w:lang w:val="en-GB"/>
              </w:rPr>
            </w:pPr>
          </w:p>
        </w:tc>
        <w:tc>
          <w:tcPr>
            <w:tcW w:w="1069" w:type="pct"/>
            <w:vAlign w:val="center"/>
          </w:tcPr>
          <w:p w:rsidR="008E4CEC" w:rsidRPr="00A33F93" w:rsidRDefault="008E4CEC" w:rsidP="008E4CEC">
            <w:pPr>
              <w:widowControl/>
              <w:spacing w:line="360" w:lineRule="exact"/>
              <w:ind w:firstLineChars="0" w:firstLine="0"/>
              <w:jc w:val="center"/>
              <w:rPr>
                <w:rFonts w:ascii="Times New Roman" w:hAnsi="Times New Roman"/>
                <w:kern w:val="0"/>
                <w:sz w:val="21"/>
                <w:szCs w:val="21"/>
                <w:lang w:val="en-GB"/>
              </w:rPr>
            </w:pPr>
            <w:r w:rsidRPr="00A33F93">
              <w:rPr>
                <w:rFonts w:ascii="Times New Roman" w:hAnsi="Times New Roman"/>
                <w:kern w:val="0"/>
                <w:sz w:val="21"/>
                <w:szCs w:val="21"/>
                <w:lang w:val="en-GB"/>
              </w:rPr>
              <w:t>大气毒性终点浓度</w:t>
            </w:r>
            <w:r w:rsidRPr="00A33F93">
              <w:rPr>
                <w:rFonts w:ascii="Times New Roman" w:hAnsi="Times New Roman"/>
                <w:kern w:val="0"/>
                <w:sz w:val="21"/>
                <w:szCs w:val="21"/>
                <w:lang w:val="en-GB"/>
              </w:rPr>
              <w:t>-1</w:t>
            </w:r>
          </w:p>
        </w:tc>
        <w:tc>
          <w:tcPr>
            <w:tcW w:w="676" w:type="pct"/>
            <w:vAlign w:val="center"/>
          </w:tcPr>
          <w:p w:rsidR="008E4CEC" w:rsidRPr="00A33F93" w:rsidRDefault="008E4CEC" w:rsidP="008E4CEC">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770</w:t>
            </w:r>
          </w:p>
        </w:tc>
        <w:tc>
          <w:tcPr>
            <w:tcW w:w="519" w:type="pct"/>
            <w:vAlign w:val="center"/>
          </w:tcPr>
          <w:p w:rsidR="008E4CEC" w:rsidRPr="00A33F93" w:rsidRDefault="008E4CEC" w:rsidP="008E4CEC">
            <w:pPr>
              <w:widowControl/>
              <w:spacing w:line="360" w:lineRule="exact"/>
              <w:ind w:firstLineChars="0" w:firstLine="0"/>
              <w:jc w:val="center"/>
              <w:rPr>
                <w:rFonts w:ascii="Times New Roman" w:hAnsi="Times New Roman"/>
                <w:kern w:val="0"/>
                <w:sz w:val="21"/>
                <w:szCs w:val="21"/>
              </w:rPr>
            </w:pPr>
            <w:r w:rsidRPr="00A33F93">
              <w:rPr>
                <w:rFonts w:ascii="Times New Roman" w:hAnsi="Times New Roman"/>
                <w:kern w:val="0"/>
                <w:sz w:val="21"/>
                <w:szCs w:val="21"/>
              </w:rPr>
              <w:t>50</w:t>
            </w:r>
          </w:p>
        </w:tc>
        <w:tc>
          <w:tcPr>
            <w:tcW w:w="520" w:type="pct"/>
            <w:vAlign w:val="center"/>
          </w:tcPr>
          <w:p w:rsidR="008E4CEC" w:rsidRPr="00A33F93" w:rsidRDefault="008E4CEC" w:rsidP="008E4CEC">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644" w:type="pct"/>
            <w:vAlign w:val="center"/>
          </w:tcPr>
          <w:p w:rsidR="008E4CEC" w:rsidRPr="00A33F93" w:rsidRDefault="008E4CEC" w:rsidP="008E4CEC">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836" w:type="pct"/>
            <w:vAlign w:val="center"/>
          </w:tcPr>
          <w:p w:rsidR="008E4CEC" w:rsidRPr="00A33F93" w:rsidRDefault="008E4CEC" w:rsidP="008E4CEC">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r>
      <w:tr w:rsidR="00A33F93" w:rsidRPr="00A33F93" w:rsidTr="00A33F93">
        <w:tc>
          <w:tcPr>
            <w:tcW w:w="736" w:type="pct"/>
            <w:vMerge w:val="restar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lang w:val="en-GB"/>
              </w:rPr>
            </w:pPr>
            <w:r w:rsidRPr="00A33F93">
              <w:rPr>
                <w:rFonts w:ascii="Times New Roman" w:hAnsi="Times New Roman"/>
                <w:kern w:val="0"/>
                <w:sz w:val="21"/>
                <w:szCs w:val="21"/>
                <w:lang w:val="en-GB"/>
              </w:rPr>
              <w:t>最不利气象条件</w:t>
            </w:r>
            <w:r w:rsidRPr="00A33F93">
              <w:rPr>
                <w:rFonts w:ascii="Times New Roman" w:hAnsi="Times New Roman"/>
                <w:kern w:val="0"/>
                <w:sz w:val="21"/>
                <w:szCs w:val="21"/>
                <w:lang w:val="en-GB"/>
              </w:rPr>
              <w:t>F</w:t>
            </w:r>
          </w:p>
        </w:tc>
        <w:tc>
          <w:tcPr>
            <w:tcW w:w="1069"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lang w:val="en-GB"/>
              </w:rPr>
            </w:pPr>
            <w:r w:rsidRPr="00A33F93">
              <w:rPr>
                <w:rFonts w:ascii="Times New Roman" w:hAnsi="Times New Roman"/>
                <w:kern w:val="0"/>
                <w:sz w:val="21"/>
                <w:szCs w:val="21"/>
                <w:lang w:val="en-GB"/>
              </w:rPr>
              <w:t>大气毒性终点浓度</w:t>
            </w:r>
            <w:r w:rsidRPr="00A33F93">
              <w:rPr>
                <w:rFonts w:ascii="Times New Roman" w:hAnsi="Times New Roman"/>
                <w:kern w:val="0"/>
                <w:sz w:val="21"/>
                <w:szCs w:val="21"/>
                <w:lang w:val="en-GB"/>
              </w:rPr>
              <w:t>-2</w:t>
            </w:r>
          </w:p>
        </w:tc>
        <w:tc>
          <w:tcPr>
            <w:tcW w:w="676"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110</w:t>
            </w:r>
          </w:p>
        </w:tc>
        <w:tc>
          <w:tcPr>
            <w:tcW w:w="519"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sidRPr="00A33F93">
              <w:rPr>
                <w:rFonts w:ascii="Times New Roman" w:hAnsi="Times New Roman"/>
                <w:kern w:val="0"/>
                <w:sz w:val="21"/>
                <w:szCs w:val="21"/>
              </w:rPr>
              <w:t>40</w:t>
            </w:r>
          </w:p>
        </w:tc>
        <w:tc>
          <w:tcPr>
            <w:tcW w:w="520" w:type="pct"/>
            <w:vAlign w:val="center"/>
          </w:tcPr>
          <w:p w:rsidR="00A33F93" w:rsidRPr="00A33F93" w:rsidRDefault="008E4CEC"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395</w:t>
            </w:r>
          </w:p>
        </w:tc>
        <w:tc>
          <w:tcPr>
            <w:tcW w:w="644"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sidRPr="00A33F93">
              <w:rPr>
                <w:rFonts w:ascii="Times New Roman" w:hAnsi="Times New Roman" w:hint="eastAsia"/>
                <w:kern w:val="0"/>
                <w:sz w:val="21"/>
                <w:szCs w:val="21"/>
              </w:rPr>
              <w:t>1</w:t>
            </w:r>
            <w:r w:rsidRPr="00A33F93">
              <w:rPr>
                <w:rFonts w:ascii="Times New Roman" w:hAnsi="Times New Roman"/>
                <w:kern w:val="0"/>
                <w:sz w:val="21"/>
                <w:szCs w:val="21"/>
              </w:rPr>
              <w:t>2</w:t>
            </w:r>
          </w:p>
        </w:tc>
        <w:tc>
          <w:tcPr>
            <w:tcW w:w="836"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sidRPr="00A33F93">
              <w:rPr>
                <w:rFonts w:ascii="Times New Roman" w:hAnsi="Times New Roman" w:hint="eastAsia"/>
                <w:kern w:val="0"/>
                <w:sz w:val="21"/>
                <w:szCs w:val="21"/>
              </w:rPr>
              <w:t>2</w:t>
            </w:r>
            <w:r w:rsidRPr="00A33F93">
              <w:rPr>
                <w:rFonts w:ascii="Times New Roman" w:hAnsi="Times New Roman"/>
                <w:kern w:val="0"/>
                <w:sz w:val="21"/>
                <w:szCs w:val="21"/>
              </w:rPr>
              <w:t>0</w:t>
            </w:r>
          </w:p>
        </w:tc>
      </w:tr>
      <w:tr w:rsidR="00A33F93" w:rsidRPr="00A33F93" w:rsidTr="00A33F93">
        <w:tc>
          <w:tcPr>
            <w:tcW w:w="736" w:type="pct"/>
            <w:vMerge/>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lang w:val="en-GB"/>
              </w:rPr>
            </w:pPr>
          </w:p>
        </w:tc>
        <w:tc>
          <w:tcPr>
            <w:tcW w:w="1069"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lang w:val="en-GB"/>
              </w:rPr>
            </w:pPr>
            <w:r w:rsidRPr="00A33F93">
              <w:rPr>
                <w:rFonts w:ascii="Times New Roman" w:hAnsi="Times New Roman"/>
                <w:kern w:val="0"/>
                <w:sz w:val="21"/>
                <w:szCs w:val="21"/>
                <w:lang w:val="en-GB"/>
              </w:rPr>
              <w:t>大气毒性终点浓度</w:t>
            </w:r>
            <w:r w:rsidRPr="00A33F93">
              <w:rPr>
                <w:rFonts w:ascii="Times New Roman" w:hAnsi="Times New Roman"/>
                <w:kern w:val="0"/>
                <w:sz w:val="21"/>
                <w:szCs w:val="21"/>
                <w:lang w:val="en-GB"/>
              </w:rPr>
              <w:t>-1</w:t>
            </w:r>
          </w:p>
        </w:tc>
        <w:tc>
          <w:tcPr>
            <w:tcW w:w="676"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770</w:t>
            </w:r>
          </w:p>
        </w:tc>
        <w:tc>
          <w:tcPr>
            <w:tcW w:w="519" w:type="pct"/>
            <w:vAlign w:val="center"/>
          </w:tcPr>
          <w:p w:rsidR="00A33F93" w:rsidRPr="00A33F93" w:rsidRDefault="00A33F93" w:rsidP="00A33F93">
            <w:pPr>
              <w:widowControl/>
              <w:spacing w:line="360" w:lineRule="exact"/>
              <w:ind w:firstLineChars="0" w:firstLine="0"/>
              <w:jc w:val="center"/>
              <w:rPr>
                <w:rFonts w:ascii="Times New Roman" w:hAnsi="Times New Roman"/>
                <w:kern w:val="0"/>
                <w:sz w:val="21"/>
                <w:szCs w:val="21"/>
              </w:rPr>
            </w:pPr>
            <w:r w:rsidRPr="00A33F93">
              <w:rPr>
                <w:rFonts w:ascii="Times New Roman" w:hAnsi="Times New Roman"/>
                <w:kern w:val="0"/>
                <w:sz w:val="21"/>
                <w:szCs w:val="21"/>
              </w:rPr>
              <w:t>50</w:t>
            </w:r>
          </w:p>
        </w:tc>
        <w:tc>
          <w:tcPr>
            <w:tcW w:w="520" w:type="pct"/>
            <w:vAlign w:val="center"/>
          </w:tcPr>
          <w:p w:rsidR="00A33F93" w:rsidRPr="00A33F93" w:rsidRDefault="008E4CEC"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644" w:type="pct"/>
            <w:vAlign w:val="center"/>
          </w:tcPr>
          <w:p w:rsidR="00A33F93" w:rsidRPr="00A33F93" w:rsidRDefault="008E4CEC"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c>
          <w:tcPr>
            <w:tcW w:w="836" w:type="pct"/>
            <w:vAlign w:val="center"/>
          </w:tcPr>
          <w:p w:rsidR="00A33F93" w:rsidRPr="00A33F93" w:rsidRDefault="008E4CEC" w:rsidP="00A33F93">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w:t>
            </w:r>
          </w:p>
        </w:tc>
      </w:tr>
    </w:tbl>
    <w:p w:rsidR="00A33F93" w:rsidRDefault="00A33F93" w:rsidP="00A33F93">
      <w:pPr>
        <w:ind w:firstLine="480"/>
        <w:rPr>
          <w:color w:val="000000" w:themeColor="text1"/>
        </w:rPr>
      </w:pPr>
      <w:r>
        <w:rPr>
          <w:color w:val="000000" w:themeColor="text1"/>
        </w:rPr>
        <w:t>在</w:t>
      </w:r>
      <w:r w:rsidR="00B77ADC">
        <w:rPr>
          <w:rFonts w:hint="eastAsia"/>
          <w:color w:val="000000" w:themeColor="text1"/>
        </w:rPr>
        <w:t>D</w:t>
      </w:r>
      <w:r>
        <w:rPr>
          <w:color w:val="000000" w:themeColor="text1"/>
        </w:rPr>
        <w:t>气象条件下，</w:t>
      </w:r>
      <w:r w:rsidR="00470A35">
        <w:rPr>
          <w:rFonts w:hint="eastAsia"/>
          <w:color w:val="000000" w:themeColor="text1"/>
        </w:rPr>
        <w:t>氨水</w:t>
      </w:r>
      <w:r>
        <w:rPr>
          <w:rFonts w:hint="eastAsia"/>
          <w:color w:val="000000" w:themeColor="text1"/>
        </w:rPr>
        <w:t>储罐与管线连接处</w:t>
      </w:r>
      <w:r>
        <w:rPr>
          <w:color w:val="000000" w:themeColor="text1"/>
        </w:rPr>
        <w:t>泄漏事故产生的</w:t>
      </w:r>
      <w:r>
        <w:rPr>
          <w:color w:val="000000" w:themeColor="text1"/>
        </w:rPr>
        <w:t>NH</w:t>
      </w:r>
      <w:r w:rsidRPr="00BF33CA">
        <w:rPr>
          <w:color w:val="000000" w:themeColor="text1"/>
          <w:vertAlign w:val="subscript"/>
        </w:rPr>
        <w:t>3</w:t>
      </w:r>
      <w:r w:rsidR="00470A35" w:rsidRPr="00470A35">
        <w:rPr>
          <w:rFonts w:hint="eastAsia"/>
          <w:color w:val="000000" w:themeColor="text1"/>
        </w:rPr>
        <w:t>未</w:t>
      </w:r>
      <w:r>
        <w:rPr>
          <w:color w:val="000000" w:themeColor="text1"/>
        </w:rPr>
        <w:t>达到毒性终点浓度</w:t>
      </w:r>
      <w:r>
        <w:rPr>
          <w:color w:val="000000" w:themeColor="text1"/>
        </w:rPr>
        <w:t>-2</w:t>
      </w:r>
      <w:r>
        <w:rPr>
          <w:color w:val="000000" w:themeColor="text1"/>
        </w:rPr>
        <w:t>；</w:t>
      </w:r>
      <w:r w:rsidR="00470A35">
        <w:rPr>
          <w:rFonts w:hint="eastAsia"/>
          <w:color w:val="000000" w:themeColor="text1"/>
        </w:rPr>
        <w:t>未</w:t>
      </w:r>
      <w:r>
        <w:rPr>
          <w:color w:val="000000" w:themeColor="text1"/>
        </w:rPr>
        <w:t>达到毒性终点浓度</w:t>
      </w:r>
      <w:r>
        <w:rPr>
          <w:color w:val="000000" w:themeColor="text1"/>
        </w:rPr>
        <w:t>-1</w:t>
      </w:r>
      <w:r>
        <w:rPr>
          <w:color w:val="000000" w:themeColor="text1"/>
        </w:rPr>
        <w:t>。</w:t>
      </w:r>
    </w:p>
    <w:p w:rsidR="004E3021" w:rsidRDefault="00A33F93" w:rsidP="00A33F93">
      <w:pPr>
        <w:ind w:firstLine="480"/>
      </w:pPr>
      <w:r>
        <w:rPr>
          <w:color w:val="000000" w:themeColor="text1"/>
        </w:rPr>
        <w:t>在</w:t>
      </w:r>
      <w:r w:rsidR="00B77ADC">
        <w:rPr>
          <w:rFonts w:hint="eastAsia"/>
          <w:color w:val="000000" w:themeColor="text1"/>
        </w:rPr>
        <w:t>F</w:t>
      </w:r>
      <w:r>
        <w:rPr>
          <w:color w:val="000000" w:themeColor="text1"/>
        </w:rPr>
        <w:t>气象条件下，</w:t>
      </w:r>
      <w:r w:rsidR="00470A35">
        <w:rPr>
          <w:rFonts w:hint="eastAsia"/>
          <w:color w:val="000000" w:themeColor="text1"/>
        </w:rPr>
        <w:t>氨水储罐与管线连接处</w:t>
      </w:r>
      <w:r w:rsidR="00470A35">
        <w:rPr>
          <w:color w:val="000000" w:themeColor="text1"/>
        </w:rPr>
        <w:t>泄漏事故产生的</w:t>
      </w:r>
      <w:r w:rsidR="00470A35">
        <w:rPr>
          <w:color w:val="000000" w:themeColor="text1"/>
        </w:rPr>
        <w:t>NH</w:t>
      </w:r>
      <w:r w:rsidR="00470A35" w:rsidRPr="00BF33CA">
        <w:rPr>
          <w:color w:val="000000" w:themeColor="text1"/>
          <w:vertAlign w:val="subscript"/>
        </w:rPr>
        <w:t>3</w:t>
      </w:r>
      <w:r w:rsidR="00470A35">
        <w:rPr>
          <w:color w:val="000000" w:themeColor="text1"/>
        </w:rPr>
        <w:t>达到毒性终点浓度</w:t>
      </w:r>
      <w:r w:rsidR="00470A35">
        <w:rPr>
          <w:color w:val="000000" w:themeColor="text1"/>
        </w:rPr>
        <w:t>-2</w:t>
      </w:r>
      <w:r w:rsidR="00470A35">
        <w:rPr>
          <w:color w:val="000000" w:themeColor="text1"/>
        </w:rPr>
        <w:t>最大出现距离为</w:t>
      </w:r>
      <w:r w:rsidR="00470A35">
        <w:rPr>
          <w:rFonts w:hint="eastAsia"/>
          <w:color w:val="000000" w:themeColor="text1"/>
        </w:rPr>
        <w:t>液氨</w:t>
      </w:r>
      <w:r w:rsidR="00470A35">
        <w:rPr>
          <w:color w:val="000000" w:themeColor="text1"/>
        </w:rPr>
        <w:t>储罐下风向</w:t>
      </w:r>
      <w:r w:rsidR="00470A35">
        <w:rPr>
          <w:color w:val="000000" w:themeColor="text1"/>
        </w:rPr>
        <w:t>395m</w:t>
      </w:r>
      <w:r w:rsidR="00470A35">
        <w:rPr>
          <w:color w:val="000000" w:themeColor="text1"/>
        </w:rPr>
        <w:t>（超厂界外</w:t>
      </w:r>
      <w:r w:rsidR="00470A35">
        <w:rPr>
          <w:color w:val="000000" w:themeColor="text1"/>
        </w:rPr>
        <w:t>375m</w:t>
      </w:r>
      <w:r w:rsidR="00470A35">
        <w:rPr>
          <w:color w:val="000000" w:themeColor="text1"/>
        </w:rPr>
        <w:t>）；</w:t>
      </w:r>
      <w:r w:rsidR="00470A35">
        <w:rPr>
          <w:rFonts w:hint="eastAsia"/>
          <w:color w:val="000000" w:themeColor="text1"/>
        </w:rPr>
        <w:t>未</w:t>
      </w:r>
      <w:r w:rsidR="00470A35">
        <w:rPr>
          <w:color w:val="000000" w:themeColor="text1"/>
        </w:rPr>
        <w:t>达到毒性终点浓度</w:t>
      </w:r>
      <w:r w:rsidR="00470A35">
        <w:rPr>
          <w:color w:val="000000" w:themeColor="text1"/>
        </w:rPr>
        <w:t>-1</w:t>
      </w:r>
      <w:r>
        <w:rPr>
          <w:color w:val="000000" w:themeColor="text1"/>
        </w:rPr>
        <w:t>。</w:t>
      </w:r>
    </w:p>
    <w:p w:rsidR="004E3021" w:rsidRDefault="00606E48">
      <w:pPr>
        <w:pStyle w:val="4a"/>
        <w:rPr>
          <w:lang w:val="zh-CN"/>
        </w:rPr>
      </w:pPr>
      <w:r>
        <w:rPr>
          <w:lang w:val="zh-CN"/>
        </w:rPr>
        <w:t>5.6.7.4</w:t>
      </w:r>
      <w:r>
        <w:rPr>
          <w:lang w:val="zh-CN"/>
        </w:rPr>
        <w:t>污水处理调节池破损</w:t>
      </w:r>
      <w:r>
        <w:rPr>
          <w:rFonts w:hint="eastAsia"/>
          <w:lang w:val="zh-CN"/>
        </w:rPr>
        <w:t>污染地下水事故污染</w:t>
      </w:r>
      <w:r>
        <w:rPr>
          <w:lang w:val="zh-CN"/>
        </w:rPr>
        <w:t>影响</w:t>
      </w:r>
    </w:p>
    <w:p w:rsidR="004E3021" w:rsidRDefault="00606E48">
      <w:pPr>
        <w:ind w:firstLine="480"/>
      </w:pPr>
      <w:r>
        <w:rPr>
          <w:rFonts w:hint="eastAsia"/>
        </w:rPr>
        <w:t>根据</w:t>
      </w:r>
      <w:r>
        <w:t>5.5</w:t>
      </w:r>
      <w:r>
        <w:rPr>
          <w:rFonts w:hint="eastAsia"/>
        </w:rPr>
        <w:t>章节预测结果可知，</w:t>
      </w:r>
      <w:r>
        <w:rPr>
          <w:rFonts w:ascii="宋体" w:hAnsi="宋体" w:hint="eastAsia"/>
        </w:rPr>
        <w:t>非正常工况下，污染物泄漏</w:t>
      </w:r>
      <w:r>
        <w:rPr>
          <w:rFonts w:hint="eastAsia"/>
        </w:rPr>
        <w:t>1</w:t>
      </w:r>
      <w:r>
        <w:rPr>
          <w:rFonts w:ascii="宋体" w:hAnsi="宋体" w:hint="eastAsia"/>
        </w:rPr>
        <w:t>年被发现，导致地下水中出现污染物超标。在本次模拟事故源强和预测时段条件下，调节池的</w:t>
      </w:r>
      <w:r>
        <w:rPr>
          <w:rFonts w:hint="eastAsia"/>
        </w:rPr>
        <w:t>COD</w:t>
      </w:r>
      <w:r>
        <w:rPr>
          <w:rFonts w:ascii="宋体" w:hAnsi="宋体"/>
        </w:rPr>
        <w:t>不会</w:t>
      </w:r>
      <w:r>
        <w:rPr>
          <w:rFonts w:ascii="宋体" w:hAnsi="宋体" w:hint="eastAsia"/>
        </w:rPr>
        <w:t>导致厂区边界地下水超标。调节池</w:t>
      </w:r>
      <w:r>
        <w:rPr>
          <w:rFonts w:hint="eastAsia"/>
        </w:rPr>
        <w:t>COD</w:t>
      </w:r>
      <w:r>
        <w:rPr>
          <w:rFonts w:hint="eastAsia"/>
          <w:bCs/>
        </w:rPr>
        <w:t>超标污染羽最大迁移距离</w:t>
      </w:r>
      <w:r>
        <w:rPr>
          <w:rFonts w:hint="eastAsia"/>
          <w:spacing w:val="10"/>
        </w:rPr>
        <w:t>为</w:t>
      </w:r>
      <w:r w:rsidR="00BA3710">
        <w:rPr>
          <w:bCs/>
        </w:rPr>
        <w:t>87.5</w:t>
      </w:r>
      <w:r>
        <w:rPr>
          <w:spacing w:val="10"/>
        </w:rPr>
        <w:t>m</w:t>
      </w:r>
      <w:r>
        <w:rPr>
          <w:rFonts w:hint="eastAsia"/>
          <w:spacing w:val="10"/>
        </w:rPr>
        <w:t>，</w:t>
      </w:r>
      <w:r>
        <w:rPr>
          <w:rFonts w:hint="eastAsia"/>
          <w:bCs/>
        </w:rPr>
        <w:t>超标污染羽超出厂界距离</w:t>
      </w:r>
      <w:r>
        <w:rPr>
          <w:rFonts w:hint="eastAsia"/>
          <w:bCs/>
        </w:rPr>
        <w:t>0</w:t>
      </w:r>
      <w:r>
        <w:rPr>
          <w:spacing w:val="10"/>
        </w:rPr>
        <w:t>m</w:t>
      </w:r>
      <w:r>
        <w:rPr>
          <w:rFonts w:hint="eastAsia"/>
        </w:rPr>
        <w:t>。</w:t>
      </w:r>
      <w:r>
        <w:t>影响范围仍然在园区范围内，不会对周围的环境保护目标及</w:t>
      </w:r>
      <w:r>
        <w:rPr>
          <w:rFonts w:hint="eastAsia"/>
        </w:rPr>
        <w:t>沫冲引河</w:t>
      </w:r>
      <w:r>
        <w:t>造成影响</w:t>
      </w:r>
      <w:r>
        <w:rPr>
          <w:rFonts w:hint="eastAsia"/>
        </w:rPr>
        <w:t>。</w:t>
      </w:r>
      <w:r>
        <w:rPr>
          <w:rFonts w:ascii="宋体" w:hAnsi="宋体" w:hint="eastAsia"/>
        </w:rPr>
        <w:t>企业应做好污水处理区的防渗工作，及时发现并做好防渗措施能较好控制污染物迁移。</w:t>
      </w:r>
    </w:p>
    <w:p w:rsidR="004E3021" w:rsidRDefault="00606E48">
      <w:pPr>
        <w:spacing w:before="240" w:after="120"/>
        <w:ind w:firstLineChars="0" w:firstLine="0"/>
        <w:jc w:val="left"/>
        <w:outlineLvl w:val="2"/>
        <w:rPr>
          <w:rFonts w:eastAsia="黑体"/>
          <w:sz w:val="28"/>
          <w:szCs w:val="28"/>
        </w:rPr>
      </w:pPr>
      <w:bookmarkStart w:id="554" w:name="_Toc100784070"/>
      <w:bookmarkStart w:id="555" w:name="_Toc101135902"/>
      <w:bookmarkStart w:id="556" w:name="_Toc108662679"/>
      <w:bookmarkStart w:id="557" w:name="_Toc221088834"/>
      <w:bookmarkStart w:id="558" w:name="_Toc221501049"/>
      <w:r>
        <w:rPr>
          <w:rFonts w:eastAsia="黑体" w:hint="eastAsia"/>
          <w:sz w:val="28"/>
          <w:szCs w:val="28"/>
        </w:rPr>
        <w:t>5.6.</w:t>
      </w:r>
      <w:r>
        <w:rPr>
          <w:rFonts w:eastAsia="黑体"/>
          <w:sz w:val="28"/>
          <w:szCs w:val="28"/>
        </w:rPr>
        <w:t>8</w:t>
      </w:r>
      <w:r>
        <w:rPr>
          <w:rFonts w:ascii="黑体" w:eastAsia="黑体" w:hAnsi="黑体" w:hint="eastAsia"/>
          <w:sz w:val="28"/>
          <w:szCs w:val="28"/>
        </w:rPr>
        <w:t>环境风险评价结论</w:t>
      </w:r>
      <w:bookmarkEnd w:id="554"/>
      <w:bookmarkEnd w:id="555"/>
      <w:bookmarkEnd w:id="556"/>
      <w:bookmarkEnd w:id="557"/>
      <w:bookmarkEnd w:id="558"/>
    </w:p>
    <w:p w:rsidR="004E3021" w:rsidRDefault="00606E48">
      <w:pPr>
        <w:ind w:firstLine="480"/>
      </w:pPr>
      <w:r>
        <w:rPr>
          <w:rFonts w:ascii="宋体" w:hAnsi="宋体"/>
        </w:rPr>
        <w:t>（</w:t>
      </w:r>
      <w:r>
        <w:t>1</w:t>
      </w:r>
      <w:r>
        <w:rPr>
          <w:rFonts w:ascii="宋体" w:hAnsi="宋体"/>
        </w:rPr>
        <w:t>）项目建成后危险物质包括</w:t>
      </w:r>
      <w:r>
        <w:rPr>
          <w:rFonts w:ascii="宋体" w:hAnsi="宋体" w:hint="eastAsia"/>
        </w:rPr>
        <w:t>甲醇、</w:t>
      </w:r>
      <w:r>
        <w:rPr>
          <w:rFonts w:ascii="宋体" w:hAnsi="宋体"/>
        </w:rPr>
        <w:t>氨水</w:t>
      </w:r>
      <w:r>
        <w:rPr>
          <w:rFonts w:ascii="宋体" w:hAnsi="宋体" w:hint="eastAsia"/>
        </w:rPr>
        <w:t>、</w:t>
      </w:r>
      <w:r w:rsidR="00BA3710">
        <w:rPr>
          <w:rFonts w:ascii="宋体" w:hAnsi="宋体" w:hint="eastAsia"/>
        </w:rPr>
        <w:t>乙炔</w:t>
      </w:r>
      <w:r>
        <w:rPr>
          <w:rFonts w:ascii="宋体" w:hAnsi="宋体"/>
        </w:rPr>
        <w:t>等。</w:t>
      </w:r>
      <w:r>
        <w:rPr>
          <w:rFonts w:ascii="宋体" w:hAnsi="宋体" w:hint="eastAsia"/>
        </w:rPr>
        <w:t>构成危险单元</w:t>
      </w:r>
      <w:r>
        <w:rPr>
          <w:rFonts w:ascii="宋体" w:hAnsi="宋体"/>
        </w:rPr>
        <w:t>的</w:t>
      </w:r>
      <w:r>
        <w:rPr>
          <w:rFonts w:ascii="宋体" w:hAnsi="宋体" w:hint="eastAsia"/>
        </w:rPr>
        <w:t>生产设施</w:t>
      </w:r>
      <w:r>
        <w:rPr>
          <w:rFonts w:ascii="宋体" w:hAnsi="宋体"/>
        </w:rPr>
        <w:t>包括尾气处理装置</w:t>
      </w:r>
      <w:r>
        <w:rPr>
          <w:rFonts w:ascii="宋体" w:hAnsi="宋体" w:hint="eastAsia"/>
        </w:rPr>
        <w:t>及</w:t>
      </w:r>
      <w:r>
        <w:rPr>
          <w:rFonts w:ascii="宋体" w:hAnsi="宋体"/>
        </w:rPr>
        <w:t>废水处理设施等。</w:t>
      </w:r>
    </w:p>
    <w:p w:rsidR="004E3021" w:rsidRDefault="00606E48">
      <w:pPr>
        <w:ind w:firstLine="480"/>
      </w:pPr>
      <w:r>
        <w:rPr>
          <w:rFonts w:ascii="宋体" w:hAnsi="宋体"/>
        </w:rPr>
        <w:t>（</w:t>
      </w:r>
      <w:r>
        <w:t>2</w:t>
      </w:r>
      <w:r>
        <w:rPr>
          <w:rFonts w:ascii="宋体" w:hAnsi="宋体"/>
        </w:rPr>
        <w:t>）本次评价风险事故类型</w:t>
      </w:r>
      <w:r>
        <w:rPr>
          <w:rFonts w:ascii="宋体" w:hAnsi="宋体" w:hint="eastAsia"/>
        </w:rPr>
        <w:t>为</w:t>
      </w:r>
      <w:r w:rsidR="00BA3710">
        <w:rPr>
          <w:rFonts w:hint="eastAsia"/>
        </w:rPr>
        <w:t>①</w:t>
      </w:r>
      <w:r w:rsidR="00BA3710">
        <w:rPr>
          <w:rFonts w:hint="eastAsia"/>
          <w:color w:val="000000"/>
        </w:rPr>
        <w:t>甲醇储罐</w:t>
      </w:r>
      <w:r w:rsidR="00BA3710">
        <w:rPr>
          <w:rFonts w:hint="eastAsia"/>
        </w:rPr>
        <w:t>泄漏火灾次生事故；②乙炔气柜泄漏事故；③氨水储罐泄漏事故</w:t>
      </w:r>
      <w:r w:rsidR="00BA3710">
        <w:rPr>
          <w:rFonts w:ascii="宋体" w:hAnsi="宋体" w:cs="宋体" w:hint="eastAsia"/>
          <w:lang w:val="zh-CN"/>
        </w:rPr>
        <w:t>④</w:t>
      </w:r>
      <w:r w:rsidR="00BA3710">
        <w:rPr>
          <w:lang w:val="zh-CN"/>
        </w:rPr>
        <w:t>污水处理调节池破损</w:t>
      </w:r>
      <w:r w:rsidR="00BA3710">
        <w:rPr>
          <w:rFonts w:hint="eastAsia"/>
          <w:lang w:val="zh-CN"/>
        </w:rPr>
        <w:t>污染</w:t>
      </w:r>
      <w:r w:rsidR="00BA3710">
        <w:rPr>
          <w:rFonts w:hint="eastAsia"/>
        </w:rPr>
        <w:t>地下水事故</w:t>
      </w:r>
      <w:r>
        <w:rPr>
          <w:rFonts w:hint="eastAsia"/>
        </w:rPr>
        <w:t>。</w:t>
      </w:r>
    </w:p>
    <w:p w:rsidR="004E3021" w:rsidRDefault="00606E48">
      <w:pPr>
        <w:ind w:firstLine="480"/>
      </w:pPr>
      <w:r>
        <w:rPr>
          <w:rFonts w:ascii="宋体" w:hAnsi="宋体"/>
        </w:rPr>
        <w:t>（</w:t>
      </w:r>
      <w:r>
        <w:t>3</w:t>
      </w:r>
      <w:r>
        <w:rPr>
          <w:rFonts w:ascii="宋体" w:hAnsi="宋体"/>
        </w:rPr>
        <w:t>）</w:t>
      </w:r>
      <w:r>
        <w:t>预测结果表明</w:t>
      </w:r>
      <w:r>
        <w:rPr>
          <w:rFonts w:hint="eastAsia"/>
        </w:rPr>
        <w:t>：</w:t>
      </w:r>
    </w:p>
    <w:p w:rsidR="00B77ADC" w:rsidRDefault="00B77ADC" w:rsidP="00B77ADC">
      <w:pPr>
        <w:ind w:firstLine="480"/>
      </w:pPr>
      <w:r>
        <w:rPr>
          <w:rFonts w:hint="eastAsia"/>
        </w:rPr>
        <w:t>在</w:t>
      </w:r>
      <w:r>
        <w:t>D</w:t>
      </w:r>
      <w:r>
        <w:t>稳定度下，</w:t>
      </w:r>
      <w:r>
        <w:rPr>
          <w:rFonts w:hint="eastAsia"/>
        </w:rPr>
        <w:t>甲醇储罐</w:t>
      </w:r>
      <w:r>
        <w:t>泄漏火灾</w:t>
      </w:r>
      <w:r>
        <w:rPr>
          <w:rFonts w:hint="eastAsia"/>
        </w:rPr>
        <w:t>次生</w:t>
      </w:r>
      <w:r>
        <w:t>事故</w:t>
      </w:r>
      <w:r>
        <w:rPr>
          <w:rFonts w:hint="eastAsia"/>
        </w:rPr>
        <w:t>产生</w:t>
      </w:r>
      <w:r>
        <w:t>的</w:t>
      </w:r>
      <w:r>
        <w:rPr>
          <w:rFonts w:hint="eastAsia"/>
        </w:rPr>
        <w:t>一氧化碳</w:t>
      </w:r>
      <w:r>
        <w:t>30min</w:t>
      </w:r>
      <w:r>
        <w:rPr>
          <w:rFonts w:hint="eastAsia"/>
        </w:rPr>
        <w:t>达到</w:t>
      </w:r>
      <w:r>
        <w:t>毒性终点浓度</w:t>
      </w:r>
      <w:r>
        <w:rPr>
          <w:rFonts w:hint="eastAsia"/>
        </w:rPr>
        <w:t>-</w:t>
      </w:r>
      <w:r>
        <w:t>2</w:t>
      </w:r>
      <w:r>
        <w:rPr>
          <w:rFonts w:hint="eastAsia"/>
        </w:rPr>
        <w:t>最大出现距离为甲醇储罐</w:t>
      </w:r>
      <w:r>
        <w:t>下风向</w:t>
      </w:r>
      <w:r>
        <w:t>80m</w:t>
      </w:r>
      <w:r>
        <w:rPr>
          <w:rFonts w:hint="eastAsia"/>
        </w:rPr>
        <w:t>（超</w:t>
      </w:r>
      <w:r>
        <w:t>厂界</w:t>
      </w:r>
      <w:r>
        <w:rPr>
          <w:rFonts w:hint="eastAsia"/>
        </w:rPr>
        <w:t>外</w:t>
      </w:r>
      <w:r>
        <w:t>6</w:t>
      </w:r>
      <w:r>
        <w:rPr>
          <w:rFonts w:hint="eastAsia"/>
        </w:rPr>
        <w:t>0</w:t>
      </w:r>
      <w:r>
        <w:t>m</w:t>
      </w:r>
      <w:r>
        <w:rPr>
          <w:rFonts w:hint="eastAsia"/>
        </w:rPr>
        <w:t>）；最大浓度</w:t>
      </w:r>
      <w:r>
        <w:t>未超过</w:t>
      </w:r>
      <w:r>
        <w:rPr>
          <w:rFonts w:hint="eastAsia"/>
        </w:rPr>
        <w:t>毒性终</w:t>
      </w:r>
      <w:r>
        <w:rPr>
          <w:rFonts w:hint="eastAsia"/>
        </w:rPr>
        <w:lastRenderedPageBreak/>
        <w:t>点</w:t>
      </w:r>
      <w:r>
        <w:t>浓度</w:t>
      </w:r>
      <w:r>
        <w:t>-1</w:t>
      </w:r>
      <w:r>
        <w:rPr>
          <w:rFonts w:hint="eastAsia"/>
        </w:rPr>
        <w:t>，</w:t>
      </w:r>
      <w:r>
        <w:t>无对应位置</w:t>
      </w:r>
      <w:r>
        <w:rPr>
          <w:rFonts w:hint="eastAsia"/>
        </w:rPr>
        <w:t>。</w:t>
      </w:r>
    </w:p>
    <w:p w:rsidR="00B77ADC" w:rsidRDefault="00B77ADC" w:rsidP="00B77ADC">
      <w:pPr>
        <w:ind w:firstLine="480"/>
      </w:pPr>
      <w:r>
        <w:rPr>
          <w:rFonts w:hint="eastAsia"/>
        </w:rPr>
        <w:t>在</w:t>
      </w:r>
      <w:r>
        <w:t>F</w:t>
      </w:r>
      <w:r>
        <w:t>稳定度下，</w:t>
      </w:r>
      <w:r>
        <w:rPr>
          <w:rFonts w:hint="eastAsia"/>
        </w:rPr>
        <w:t>甲醇储罐</w:t>
      </w:r>
      <w:r>
        <w:t>泄漏火灾</w:t>
      </w:r>
      <w:r>
        <w:rPr>
          <w:rFonts w:hint="eastAsia"/>
        </w:rPr>
        <w:t>次生</w:t>
      </w:r>
      <w:r>
        <w:t>事故</w:t>
      </w:r>
      <w:r>
        <w:rPr>
          <w:rFonts w:hint="eastAsia"/>
        </w:rPr>
        <w:t>产生</w:t>
      </w:r>
      <w:r>
        <w:t>的</w:t>
      </w:r>
      <w:r>
        <w:rPr>
          <w:rFonts w:hint="eastAsia"/>
        </w:rPr>
        <w:t>一氧化碳</w:t>
      </w:r>
      <w:r>
        <w:t>30min</w:t>
      </w:r>
      <w:r>
        <w:rPr>
          <w:rFonts w:hint="eastAsia"/>
        </w:rPr>
        <w:t>达到</w:t>
      </w:r>
      <w:r>
        <w:t>毒性终点浓度</w:t>
      </w:r>
      <w:r>
        <w:rPr>
          <w:rFonts w:hint="eastAsia"/>
        </w:rPr>
        <w:t>-</w:t>
      </w:r>
      <w:r>
        <w:t>2</w:t>
      </w:r>
      <w:r>
        <w:rPr>
          <w:rFonts w:hint="eastAsia"/>
        </w:rPr>
        <w:t>最大出现距离为甲醇储罐</w:t>
      </w:r>
      <w:r>
        <w:t>下风向</w:t>
      </w:r>
      <w:r>
        <w:t>190m</w:t>
      </w:r>
      <w:r>
        <w:rPr>
          <w:rFonts w:hint="eastAsia"/>
        </w:rPr>
        <w:t>（超</w:t>
      </w:r>
      <w:r>
        <w:t>厂界</w:t>
      </w:r>
      <w:r>
        <w:rPr>
          <w:rFonts w:hint="eastAsia"/>
        </w:rPr>
        <w:t>外</w:t>
      </w:r>
      <w:r>
        <w:t>17</w:t>
      </w:r>
      <w:r>
        <w:rPr>
          <w:rFonts w:hint="eastAsia"/>
        </w:rPr>
        <w:t>0</w:t>
      </w:r>
      <w:r>
        <w:t>m</w:t>
      </w:r>
      <w:r>
        <w:rPr>
          <w:rFonts w:hint="eastAsia"/>
        </w:rPr>
        <w:t>）；达到</w:t>
      </w:r>
      <w:r>
        <w:t>毒性终点浓度</w:t>
      </w:r>
      <w:r>
        <w:rPr>
          <w:rFonts w:hint="eastAsia"/>
        </w:rPr>
        <w:t>-</w:t>
      </w:r>
      <w:r>
        <w:t>1</w:t>
      </w:r>
      <w:r>
        <w:rPr>
          <w:rFonts w:hint="eastAsia"/>
        </w:rPr>
        <w:t>最大出现距离为甲醇储罐</w:t>
      </w:r>
      <w:r>
        <w:t>下风向</w:t>
      </w:r>
      <w:r>
        <w:t>60m</w:t>
      </w:r>
      <w:r>
        <w:t>（</w:t>
      </w:r>
      <w:r>
        <w:rPr>
          <w:rFonts w:hint="eastAsia"/>
        </w:rPr>
        <w:t>超厂界外</w:t>
      </w:r>
      <w:r>
        <w:t>4</w:t>
      </w:r>
      <w:r>
        <w:rPr>
          <w:rFonts w:hint="eastAsia"/>
        </w:rPr>
        <w:t>0</w:t>
      </w:r>
      <w:r>
        <w:t>m</w:t>
      </w:r>
      <w:r>
        <w:t>）</w:t>
      </w:r>
      <w:r>
        <w:rPr>
          <w:rFonts w:hint="eastAsia"/>
        </w:rPr>
        <w:t>。</w:t>
      </w:r>
    </w:p>
    <w:p w:rsidR="00B77ADC" w:rsidRDefault="00B77ADC" w:rsidP="00B77ADC">
      <w:pPr>
        <w:ind w:firstLine="480"/>
      </w:pPr>
      <w:r>
        <w:rPr>
          <w:rFonts w:hint="eastAsia"/>
        </w:rPr>
        <w:t>在</w:t>
      </w:r>
      <w:r>
        <w:t>D</w:t>
      </w:r>
      <w:r>
        <w:t>稳定度下，</w:t>
      </w:r>
      <w:r>
        <w:rPr>
          <w:rFonts w:hint="eastAsia"/>
        </w:rPr>
        <w:t>乙炔气柜</w:t>
      </w:r>
      <w:r>
        <w:t>泄漏事故</w:t>
      </w:r>
      <w:r>
        <w:rPr>
          <w:rFonts w:hint="eastAsia"/>
        </w:rPr>
        <w:t>产生</w:t>
      </w:r>
      <w:r>
        <w:t>的</w:t>
      </w:r>
      <w:r>
        <w:rPr>
          <w:rFonts w:hint="eastAsia"/>
        </w:rPr>
        <w:t>乙炔</w:t>
      </w:r>
      <w:r>
        <w:t>30min</w:t>
      </w:r>
      <w:r>
        <w:rPr>
          <w:rFonts w:hint="eastAsia"/>
        </w:rPr>
        <w:t>未达到</w:t>
      </w:r>
      <w:r>
        <w:t>毒性终点浓度</w:t>
      </w:r>
      <w:r>
        <w:rPr>
          <w:rFonts w:hint="eastAsia"/>
        </w:rPr>
        <w:t>-</w:t>
      </w:r>
      <w:r>
        <w:t>2</w:t>
      </w:r>
      <w:r>
        <w:rPr>
          <w:rFonts w:hint="eastAsia"/>
        </w:rPr>
        <w:t>；未达到</w:t>
      </w:r>
      <w:r>
        <w:t>毒性终点浓度</w:t>
      </w:r>
      <w:r>
        <w:rPr>
          <w:rFonts w:hint="eastAsia"/>
        </w:rPr>
        <w:t>-</w:t>
      </w:r>
      <w:r>
        <w:t>1</w:t>
      </w:r>
      <w:r>
        <w:rPr>
          <w:rFonts w:hint="eastAsia"/>
        </w:rPr>
        <w:t>。</w:t>
      </w:r>
    </w:p>
    <w:p w:rsidR="00B77ADC" w:rsidRDefault="00B77ADC" w:rsidP="00B77ADC">
      <w:pPr>
        <w:ind w:firstLine="480"/>
      </w:pPr>
      <w:r>
        <w:rPr>
          <w:rFonts w:hint="eastAsia"/>
        </w:rPr>
        <w:t>在</w:t>
      </w:r>
      <w:r>
        <w:t>F</w:t>
      </w:r>
      <w:r>
        <w:t>稳定度下，</w:t>
      </w:r>
      <w:r>
        <w:rPr>
          <w:rFonts w:hint="eastAsia"/>
        </w:rPr>
        <w:t>乙炔气柜</w:t>
      </w:r>
      <w:r>
        <w:t>泄漏事故</w:t>
      </w:r>
      <w:r>
        <w:rPr>
          <w:rFonts w:hint="eastAsia"/>
        </w:rPr>
        <w:t>产生</w:t>
      </w:r>
      <w:r>
        <w:t>的</w:t>
      </w:r>
      <w:r>
        <w:rPr>
          <w:rFonts w:hint="eastAsia"/>
        </w:rPr>
        <w:t>乙炔</w:t>
      </w:r>
      <w:r>
        <w:t>30min</w:t>
      </w:r>
      <w:r>
        <w:rPr>
          <w:rFonts w:hint="eastAsia"/>
        </w:rPr>
        <w:t>未达到</w:t>
      </w:r>
      <w:r>
        <w:t>毒性终点浓度</w:t>
      </w:r>
      <w:r>
        <w:rPr>
          <w:rFonts w:hint="eastAsia"/>
        </w:rPr>
        <w:t>-</w:t>
      </w:r>
      <w:r>
        <w:t>2</w:t>
      </w:r>
      <w:r>
        <w:rPr>
          <w:rFonts w:hint="eastAsia"/>
        </w:rPr>
        <w:t>；未达到</w:t>
      </w:r>
      <w:r>
        <w:t>毒性终点浓度</w:t>
      </w:r>
      <w:r>
        <w:rPr>
          <w:rFonts w:hint="eastAsia"/>
        </w:rPr>
        <w:t>-</w:t>
      </w:r>
      <w:r>
        <w:t>1</w:t>
      </w:r>
      <w:r>
        <w:rPr>
          <w:rFonts w:hint="eastAsia"/>
        </w:rPr>
        <w:t>。</w:t>
      </w:r>
    </w:p>
    <w:p w:rsidR="00B77ADC" w:rsidRDefault="00B77ADC" w:rsidP="00B77ADC">
      <w:pPr>
        <w:ind w:firstLine="480"/>
        <w:rPr>
          <w:color w:val="000000" w:themeColor="text1"/>
        </w:rPr>
      </w:pPr>
      <w:r>
        <w:rPr>
          <w:color w:val="000000" w:themeColor="text1"/>
        </w:rPr>
        <w:t>在</w:t>
      </w:r>
      <w:r>
        <w:rPr>
          <w:rFonts w:hint="eastAsia"/>
          <w:color w:val="000000" w:themeColor="text1"/>
        </w:rPr>
        <w:t>D</w:t>
      </w:r>
      <w:r>
        <w:rPr>
          <w:color w:val="000000" w:themeColor="text1"/>
        </w:rPr>
        <w:t>气象条件下，</w:t>
      </w:r>
      <w:r>
        <w:rPr>
          <w:rFonts w:hint="eastAsia"/>
          <w:color w:val="000000" w:themeColor="text1"/>
        </w:rPr>
        <w:t>氨水储罐与管线连接处</w:t>
      </w:r>
      <w:r>
        <w:rPr>
          <w:color w:val="000000" w:themeColor="text1"/>
        </w:rPr>
        <w:t>泄漏事故产生的</w:t>
      </w:r>
      <w:r>
        <w:rPr>
          <w:color w:val="000000" w:themeColor="text1"/>
        </w:rPr>
        <w:t>NH</w:t>
      </w:r>
      <w:r w:rsidRPr="00BF33CA">
        <w:rPr>
          <w:color w:val="000000" w:themeColor="text1"/>
          <w:vertAlign w:val="subscript"/>
        </w:rPr>
        <w:t>3</w:t>
      </w:r>
      <w:r w:rsidRPr="00470A35">
        <w:rPr>
          <w:rFonts w:hint="eastAsia"/>
          <w:color w:val="000000" w:themeColor="text1"/>
        </w:rPr>
        <w:t>未</w:t>
      </w:r>
      <w:r>
        <w:rPr>
          <w:color w:val="000000" w:themeColor="text1"/>
        </w:rPr>
        <w:t>达到毒性终点浓度</w:t>
      </w:r>
      <w:r>
        <w:rPr>
          <w:color w:val="000000" w:themeColor="text1"/>
        </w:rPr>
        <w:t>-2</w:t>
      </w:r>
      <w:r>
        <w:rPr>
          <w:color w:val="000000" w:themeColor="text1"/>
        </w:rPr>
        <w:t>；</w:t>
      </w:r>
      <w:r>
        <w:rPr>
          <w:rFonts w:hint="eastAsia"/>
          <w:color w:val="000000" w:themeColor="text1"/>
        </w:rPr>
        <w:t>未</w:t>
      </w:r>
      <w:r>
        <w:rPr>
          <w:color w:val="000000" w:themeColor="text1"/>
        </w:rPr>
        <w:t>达到毒性终点浓度</w:t>
      </w:r>
      <w:r>
        <w:rPr>
          <w:color w:val="000000" w:themeColor="text1"/>
        </w:rPr>
        <w:t>-1</w:t>
      </w:r>
      <w:r>
        <w:rPr>
          <w:color w:val="000000" w:themeColor="text1"/>
        </w:rPr>
        <w:t>。</w:t>
      </w:r>
    </w:p>
    <w:p w:rsidR="00B77ADC" w:rsidRDefault="00B77ADC" w:rsidP="00B77ADC">
      <w:pPr>
        <w:ind w:firstLine="480"/>
      </w:pPr>
      <w:r>
        <w:rPr>
          <w:color w:val="000000" w:themeColor="text1"/>
        </w:rPr>
        <w:t>在</w:t>
      </w:r>
      <w:r>
        <w:rPr>
          <w:rFonts w:hint="eastAsia"/>
          <w:color w:val="000000" w:themeColor="text1"/>
        </w:rPr>
        <w:t>F</w:t>
      </w:r>
      <w:r>
        <w:rPr>
          <w:color w:val="000000" w:themeColor="text1"/>
        </w:rPr>
        <w:t>气象条件下，</w:t>
      </w:r>
      <w:r>
        <w:rPr>
          <w:rFonts w:hint="eastAsia"/>
          <w:color w:val="000000" w:themeColor="text1"/>
        </w:rPr>
        <w:t>氨水储罐与管线连接处</w:t>
      </w:r>
      <w:r>
        <w:rPr>
          <w:color w:val="000000" w:themeColor="text1"/>
        </w:rPr>
        <w:t>泄漏事故产生的</w:t>
      </w:r>
      <w:r>
        <w:rPr>
          <w:color w:val="000000" w:themeColor="text1"/>
        </w:rPr>
        <w:t>NH</w:t>
      </w:r>
      <w:r w:rsidRPr="00BF33CA">
        <w:rPr>
          <w:color w:val="000000" w:themeColor="text1"/>
          <w:vertAlign w:val="subscript"/>
        </w:rPr>
        <w:t>3</w:t>
      </w:r>
      <w:r>
        <w:rPr>
          <w:color w:val="000000" w:themeColor="text1"/>
        </w:rPr>
        <w:t>达到毒性终点浓度</w:t>
      </w:r>
      <w:r>
        <w:rPr>
          <w:color w:val="000000" w:themeColor="text1"/>
        </w:rPr>
        <w:t>-2</w:t>
      </w:r>
      <w:r>
        <w:rPr>
          <w:color w:val="000000" w:themeColor="text1"/>
        </w:rPr>
        <w:t>最大出现距离为</w:t>
      </w:r>
      <w:r>
        <w:rPr>
          <w:rFonts w:hint="eastAsia"/>
          <w:color w:val="000000" w:themeColor="text1"/>
        </w:rPr>
        <w:t>液氨</w:t>
      </w:r>
      <w:r>
        <w:rPr>
          <w:color w:val="000000" w:themeColor="text1"/>
        </w:rPr>
        <w:t>储罐下风向</w:t>
      </w:r>
      <w:r>
        <w:rPr>
          <w:color w:val="000000" w:themeColor="text1"/>
        </w:rPr>
        <w:t>395m</w:t>
      </w:r>
      <w:r>
        <w:rPr>
          <w:color w:val="000000" w:themeColor="text1"/>
        </w:rPr>
        <w:t>（超厂界外</w:t>
      </w:r>
      <w:r>
        <w:rPr>
          <w:color w:val="000000" w:themeColor="text1"/>
        </w:rPr>
        <w:t>375m</w:t>
      </w:r>
      <w:r>
        <w:rPr>
          <w:color w:val="000000" w:themeColor="text1"/>
        </w:rPr>
        <w:t>）；</w:t>
      </w:r>
      <w:r>
        <w:rPr>
          <w:rFonts w:hint="eastAsia"/>
          <w:color w:val="000000" w:themeColor="text1"/>
        </w:rPr>
        <w:t>未</w:t>
      </w:r>
      <w:r>
        <w:rPr>
          <w:color w:val="000000" w:themeColor="text1"/>
        </w:rPr>
        <w:t>达到毒性终点浓度</w:t>
      </w:r>
      <w:r>
        <w:rPr>
          <w:color w:val="000000" w:themeColor="text1"/>
        </w:rPr>
        <w:t>-1</w:t>
      </w:r>
      <w:r>
        <w:rPr>
          <w:color w:val="000000" w:themeColor="text1"/>
        </w:rPr>
        <w:t>。</w:t>
      </w:r>
    </w:p>
    <w:p w:rsidR="004E3021" w:rsidRDefault="00606E48">
      <w:pPr>
        <w:ind w:firstLine="480"/>
      </w:pPr>
      <w:r>
        <w:rPr>
          <w:rFonts w:ascii="宋体" w:hAnsi="宋体"/>
        </w:rPr>
        <w:t>评价要求建设单位根据事故当天风向，确定可能受影响的环境敏感点，一旦发生事故应及时通知影响范围内保护对象，确保</w:t>
      </w:r>
      <w:r>
        <w:t>1h</w:t>
      </w:r>
      <w:r>
        <w:rPr>
          <w:rFonts w:ascii="宋体" w:hAnsi="宋体"/>
        </w:rPr>
        <w:t>内将受影响对象疏散撤离至上风向安全区域。制定应急预案，并与园区</w:t>
      </w:r>
      <w:r>
        <w:t>/</w:t>
      </w:r>
      <w:r>
        <w:rPr>
          <w:rFonts w:ascii="宋体" w:hAnsi="宋体"/>
        </w:rPr>
        <w:t>区域应急预案联动，事故状态启动应急监测等工作。</w:t>
      </w:r>
    </w:p>
    <w:p w:rsidR="004E3021" w:rsidRDefault="00606E48">
      <w:pPr>
        <w:ind w:firstLine="480"/>
      </w:pPr>
      <w:r>
        <w:rPr>
          <w:rFonts w:ascii="宋体" w:hAnsi="宋体"/>
        </w:rPr>
        <w:t>（</w:t>
      </w:r>
      <w:r>
        <w:t>4</w:t>
      </w:r>
      <w:r>
        <w:rPr>
          <w:rFonts w:ascii="宋体" w:hAnsi="宋体"/>
        </w:rPr>
        <w:t>）</w:t>
      </w:r>
      <w:r>
        <w:rPr>
          <w:rFonts w:ascii="宋体" w:hAnsi="宋体" w:hint="eastAsia"/>
        </w:rPr>
        <w:t>在企业采取有效的截流、控制措施后，事故废水排入沫冲引河的可能性很小。但如有事故废水及消防尾水进入沫冲引河，企业同时会采取有效的防护措施，及时控制事故，因此，进入沫冲引河的事故废水量很小且短暂，对沫冲引河及下游三铺大沟、淮河的影响在可接受范围内</w:t>
      </w:r>
      <w:r>
        <w:rPr>
          <w:rFonts w:ascii="宋体" w:hAnsi="宋体"/>
        </w:rPr>
        <w:t>。</w:t>
      </w:r>
    </w:p>
    <w:p w:rsidR="004E3021" w:rsidRDefault="00606E48">
      <w:pPr>
        <w:ind w:firstLine="480"/>
      </w:pPr>
      <w:r>
        <w:rPr>
          <w:rFonts w:ascii="宋体" w:hAnsi="宋体"/>
        </w:rPr>
        <w:t>（</w:t>
      </w:r>
      <w:r>
        <w:t>5</w:t>
      </w:r>
      <w:r>
        <w:rPr>
          <w:rFonts w:ascii="宋体" w:hAnsi="宋体"/>
        </w:rPr>
        <w:t>）建设单位从源头控制、分区防渗、跟踪监测和应急响应方面采取了地下水污染控制措施，可最大程度降低地下水环境风险。</w:t>
      </w:r>
    </w:p>
    <w:p w:rsidR="004E3021" w:rsidRDefault="00606E48">
      <w:pPr>
        <w:ind w:firstLine="480"/>
      </w:pPr>
      <w:r>
        <w:rPr>
          <w:rFonts w:ascii="宋体" w:hAnsi="宋体"/>
        </w:rPr>
        <w:t>（</w:t>
      </w:r>
      <w:r>
        <w:t>6</w:t>
      </w:r>
      <w:r>
        <w:rPr>
          <w:rFonts w:ascii="宋体" w:hAnsi="宋体"/>
        </w:rPr>
        <w:t>）由于事故触发因素不确定性，本项目事故情形设定并不能包含全部环境风险，事故情形设定建立在风险识别基础上，通过对代表性事故分析力求为风险管理提供科学依据。</w:t>
      </w:r>
    </w:p>
    <w:p w:rsidR="004E3021" w:rsidRDefault="00606E48">
      <w:pPr>
        <w:ind w:firstLine="480"/>
      </w:pPr>
      <w:r>
        <w:rPr>
          <w:rFonts w:ascii="宋体" w:hAnsi="宋体"/>
        </w:rPr>
        <w:t>综上所述，本评价认为，在有效落实风险防范措施和事故应急预案的前提下，项目环境风险可以防控。</w:t>
      </w:r>
    </w:p>
    <w:p w:rsidR="004E3021" w:rsidRDefault="00606E48">
      <w:pPr>
        <w:ind w:firstLine="480"/>
      </w:pPr>
      <w:r>
        <w:rPr>
          <w:rFonts w:hint="eastAsia"/>
        </w:rPr>
        <w:t>本项目环境风险评价自查表见表</w:t>
      </w:r>
      <w:r>
        <w:t>5.6.8-</w:t>
      </w:r>
      <w:r w:rsidR="00B77ADC">
        <w:t>1</w:t>
      </w:r>
      <w:r>
        <w:t>。</w:t>
      </w:r>
    </w:p>
    <w:p w:rsidR="00B77ADC" w:rsidRDefault="00B77ADC" w:rsidP="00B77ADC">
      <w:pPr>
        <w:pStyle w:val="a0"/>
        <w:ind w:firstLine="480"/>
      </w:pPr>
    </w:p>
    <w:p w:rsidR="00B77ADC" w:rsidRDefault="00B77ADC" w:rsidP="00B77ADC">
      <w:pPr>
        <w:pStyle w:val="a0"/>
        <w:ind w:firstLine="480"/>
      </w:pPr>
    </w:p>
    <w:p w:rsidR="00B77ADC" w:rsidRPr="00B77ADC" w:rsidRDefault="00B77ADC" w:rsidP="00B77ADC">
      <w:pPr>
        <w:pStyle w:val="a0"/>
        <w:ind w:firstLine="480"/>
      </w:pPr>
    </w:p>
    <w:p w:rsidR="004E3021" w:rsidRDefault="00606E48">
      <w:pPr>
        <w:tabs>
          <w:tab w:val="left" w:pos="2565"/>
          <w:tab w:val="center" w:pos="4513"/>
        </w:tabs>
        <w:spacing w:line="500" w:lineRule="exact"/>
        <w:ind w:firstLineChars="0" w:firstLine="0"/>
        <w:jc w:val="left"/>
        <w:rPr>
          <w:rFonts w:eastAsia="黑体"/>
        </w:rPr>
      </w:pPr>
      <w:r>
        <w:rPr>
          <w:rFonts w:eastAsia="黑体"/>
        </w:rPr>
        <w:lastRenderedPageBreak/>
        <w:tab/>
      </w:r>
      <w:r>
        <w:rPr>
          <w:rFonts w:eastAsia="黑体"/>
        </w:rPr>
        <w:tab/>
      </w:r>
      <w:r>
        <w:rPr>
          <w:rFonts w:eastAsia="黑体" w:hint="eastAsia"/>
        </w:rPr>
        <w:t>表</w:t>
      </w:r>
      <w:r>
        <w:rPr>
          <w:rFonts w:eastAsia="黑体"/>
        </w:rPr>
        <w:t>5.6.8-</w:t>
      </w:r>
      <w:r w:rsidR="00B77ADC">
        <w:rPr>
          <w:rFonts w:eastAsia="黑体"/>
        </w:rPr>
        <w:t>1</w:t>
      </w:r>
      <w:r>
        <w:rPr>
          <w:rFonts w:eastAsia="黑体"/>
        </w:rPr>
        <w:t xml:space="preserve">  </w:t>
      </w:r>
      <w:r>
        <w:rPr>
          <w:rFonts w:eastAsia="黑体" w:hint="eastAsia"/>
        </w:rPr>
        <w:t>环境风险评价自查表</w:t>
      </w:r>
    </w:p>
    <w:tbl>
      <w:tblPr>
        <w:tblStyle w:val="1ffffffd"/>
        <w:tblW w:w="5000" w:type="pct"/>
        <w:tblLook w:val="04A0" w:firstRow="1" w:lastRow="0" w:firstColumn="1" w:lastColumn="0" w:noHBand="0" w:noVBand="1"/>
      </w:tblPr>
      <w:tblGrid>
        <w:gridCol w:w="913"/>
        <w:gridCol w:w="1487"/>
        <w:gridCol w:w="1015"/>
        <w:gridCol w:w="374"/>
        <w:gridCol w:w="316"/>
        <w:gridCol w:w="135"/>
        <w:gridCol w:w="451"/>
        <w:gridCol w:w="211"/>
        <w:gridCol w:w="327"/>
        <w:gridCol w:w="56"/>
        <w:gridCol w:w="231"/>
        <w:gridCol w:w="303"/>
        <w:gridCol w:w="637"/>
        <w:gridCol w:w="96"/>
        <w:gridCol w:w="493"/>
        <w:gridCol w:w="451"/>
        <w:gridCol w:w="460"/>
        <w:gridCol w:w="1071"/>
      </w:tblGrid>
      <w:tr w:rsidR="004E3021" w:rsidRPr="00B77ADC" w:rsidTr="00B77ADC">
        <w:tc>
          <w:tcPr>
            <w:tcW w:w="1329" w:type="pct"/>
            <w:gridSpan w:val="2"/>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工作内容</w:t>
            </w:r>
          </w:p>
        </w:tc>
        <w:tc>
          <w:tcPr>
            <w:tcW w:w="3671" w:type="pct"/>
            <w:gridSpan w:val="1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完成情况</w:t>
            </w:r>
          </w:p>
        </w:tc>
      </w:tr>
      <w:tr w:rsidR="00B77ADC" w:rsidRPr="00B77ADC" w:rsidTr="00B77ADC">
        <w:tc>
          <w:tcPr>
            <w:tcW w:w="506" w:type="pct"/>
            <w:vMerge w:val="restart"/>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风</w:t>
            </w:r>
          </w:p>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险</w:t>
            </w:r>
          </w:p>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调</w:t>
            </w:r>
          </w:p>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查</w:t>
            </w:r>
          </w:p>
        </w:tc>
        <w:tc>
          <w:tcPr>
            <w:tcW w:w="824" w:type="pct"/>
            <w:vMerge w:val="restart"/>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危险物质</w:t>
            </w:r>
          </w:p>
        </w:tc>
        <w:tc>
          <w:tcPr>
            <w:tcW w:w="562" w:type="pct"/>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名称</w:t>
            </w:r>
          </w:p>
        </w:tc>
        <w:tc>
          <w:tcPr>
            <w:tcW w:w="382" w:type="pct"/>
            <w:gridSpan w:val="2"/>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甲醇</w:t>
            </w:r>
          </w:p>
        </w:tc>
        <w:tc>
          <w:tcPr>
            <w:tcW w:w="325" w:type="pct"/>
            <w:gridSpan w:val="2"/>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氨水</w:t>
            </w:r>
          </w:p>
        </w:tc>
        <w:tc>
          <w:tcPr>
            <w:tcW w:w="625" w:type="pct"/>
            <w:gridSpan w:val="5"/>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Pr>
                <w:rFonts w:ascii="Times New Roman" w:hAnsi="Times New Roman" w:hint="eastAsia"/>
                <w:kern w:val="0"/>
                <w:sz w:val="21"/>
                <w:szCs w:val="21"/>
              </w:rPr>
              <w:t>乙炔</w:t>
            </w:r>
          </w:p>
        </w:tc>
        <w:tc>
          <w:tcPr>
            <w:tcW w:w="353" w:type="pct"/>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硫酸</w:t>
            </w:r>
          </w:p>
        </w:tc>
        <w:tc>
          <w:tcPr>
            <w:tcW w:w="325" w:type="pct"/>
            <w:gridSpan w:val="2"/>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硫酸铵</w:t>
            </w:r>
          </w:p>
        </w:tc>
        <w:tc>
          <w:tcPr>
            <w:tcW w:w="1099" w:type="pct"/>
            <w:gridSpan w:val="3"/>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烯丙基缩水甘油醚</w:t>
            </w:r>
          </w:p>
        </w:tc>
      </w:tr>
      <w:tr w:rsidR="00B77ADC" w:rsidRPr="00B77ADC" w:rsidTr="00B77ADC">
        <w:tc>
          <w:tcPr>
            <w:tcW w:w="506" w:type="pct"/>
            <w:vMerge/>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p>
        </w:tc>
        <w:tc>
          <w:tcPr>
            <w:tcW w:w="824" w:type="pct"/>
            <w:vMerge/>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p>
        </w:tc>
        <w:tc>
          <w:tcPr>
            <w:tcW w:w="562" w:type="pct"/>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存在总量</w:t>
            </w:r>
            <w:r w:rsidRPr="00B77ADC">
              <w:rPr>
                <w:rFonts w:ascii="Times New Roman" w:hAnsi="Times New Roman"/>
                <w:kern w:val="0"/>
                <w:sz w:val="21"/>
                <w:szCs w:val="21"/>
              </w:rPr>
              <w:t>/t</w:t>
            </w:r>
          </w:p>
        </w:tc>
        <w:tc>
          <w:tcPr>
            <w:tcW w:w="382" w:type="pct"/>
            <w:gridSpan w:val="2"/>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4</w:t>
            </w:r>
            <w:r>
              <w:rPr>
                <w:rFonts w:ascii="Times New Roman" w:hAnsi="Times New Roman"/>
                <w:kern w:val="0"/>
                <w:sz w:val="21"/>
                <w:szCs w:val="21"/>
              </w:rPr>
              <w:t>16.6</w:t>
            </w:r>
          </w:p>
        </w:tc>
        <w:tc>
          <w:tcPr>
            <w:tcW w:w="325" w:type="pct"/>
            <w:gridSpan w:val="2"/>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2.40</w:t>
            </w:r>
          </w:p>
        </w:tc>
        <w:tc>
          <w:tcPr>
            <w:tcW w:w="625" w:type="pct"/>
            <w:gridSpan w:val="5"/>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Pr>
                <w:rFonts w:ascii="Times New Roman" w:hAnsi="Times New Roman"/>
                <w:kern w:val="0"/>
                <w:sz w:val="21"/>
                <w:szCs w:val="21"/>
              </w:rPr>
              <w:t>2.46</w:t>
            </w:r>
          </w:p>
        </w:tc>
        <w:tc>
          <w:tcPr>
            <w:tcW w:w="353" w:type="pct"/>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14.6</w:t>
            </w:r>
          </w:p>
        </w:tc>
        <w:tc>
          <w:tcPr>
            <w:tcW w:w="325" w:type="pct"/>
            <w:gridSpan w:val="2"/>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33.6</w:t>
            </w:r>
          </w:p>
        </w:tc>
        <w:tc>
          <w:tcPr>
            <w:tcW w:w="1099" w:type="pct"/>
            <w:gridSpan w:val="3"/>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6</w:t>
            </w:r>
            <w:r>
              <w:rPr>
                <w:rFonts w:ascii="Times New Roman" w:hAnsi="Times New Roman"/>
                <w:kern w:val="0"/>
                <w:sz w:val="21"/>
                <w:szCs w:val="21"/>
              </w:rPr>
              <w:t>4</w:t>
            </w:r>
          </w:p>
        </w:tc>
      </w:tr>
      <w:tr w:rsidR="00B77ADC" w:rsidRPr="00B77ADC" w:rsidTr="00B77ADC">
        <w:tc>
          <w:tcPr>
            <w:tcW w:w="506" w:type="pct"/>
            <w:vMerge/>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p>
        </w:tc>
        <w:tc>
          <w:tcPr>
            <w:tcW w:w="824" w:type="pct"/>
            <w:vMerge w:val="restart"/>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环境敏感性</w:t>
            </w:r>
          </w:p>
        </w:tc>
        <w:tc>
          <w:tcPr>
            <w:tcW w:w="562" w:type="pct"/>
            <w:vMerge w:val="restart"/>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大气</w:t>
            </w:r>
          </w:p>
        </w:tc>
        <w:tc>
          <w:tcPr>
            <w:tcW w:w="1684" w:type="pct"/>
            <w:gridSpan w:val="10"/>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500m</w:t>
            </w:r>
            <w:r w:rsidRPr="00B77ADC">
              <w:rPr>
                <w:rFonts w:ascii="Times New Roman" w:hAnsi="Times New Roman"/>
                <w:kern w:val="0"/>
                <w:sz w:val="21"/>
                <w:szCs w:val="21"/>
              </w:rPr>
              <w:t>范围内人口数</w:t>
            </w:r>
            <w:r w:rsidRPr="00B77ADC">
              <w:rPr>
                <w:rFonts w:ascii="Times New Roman" w:hAnsi="Times New Roman"/>
                <w:kern w:val="0"/>
                <w:sz w:val="21"/>
                <w:szCs w:val="21"/>
              </w:rPr>
              <w:t xml:space="preserve"> 1879 </w:t>
            </w:r>
            <w:r w:rsidRPr="00B77ADC">
              <w:rPr>
                <w:rFonts w:ascii="Times New Roman" w:hAnsi="Times New Roman"/>
                <w:kern w:val="0"/>
                <w:sz w:val="21"/>
                <w:szCs w:val="21"/>
              </w:rPr>
              <w:t>人</w:t>
            </w:r>
          </w:p>
        </w:tc>
        <w:tc>
          <w:tcPr>
            <w:tcW w:w="1425" w:type="pct"/>
            <w:gridSpan w:val="5"/>
            <w:vAlign w:val="center"/>
          </w:tcPr>
          <w:p w:rsidR="00B77ADC" w:rsidRPr="00B77ADC" w:rsidRDefault="00B77ADC"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5km</w:t>
            </w:r>
            <w:r w:rsidRPr="00B77ADC">
              <w:rPr>
                <w:rFonts w:ascii="Times New Roman" w:hAnsi="Times New Roman"/>
                <w:kern w:val="0"/>
                <w:sz w:val="21"/>
                <w:szCs w:val="21"/>
              </w:rPr>
              <w:t>范围内人口数</w:t>
            </w:r>
            <w:r w:rsidRPr="00B77ADC">
              <w:rPr>
                <w:rFonts w:ascii="Times New Roman" w:hAnsi="Times New Roman" w:hint="eastAsia"/>
                <w:kern w:val="0"/>
                <w:sz w:val="21"/>
                <w:szCs w:val="21"/>
              </w:rPr>
              <w:t>38998</w:t>
            </w:r>
            <w:r w:rsidRPr="00B77ADC">
              <w:rPr>
                <w:rFonts w:ascii="Times New Roman" w:hAnsi="Times New Roman"/>
                <w:kern w:val="0"/>
                <w:sz w:val="21"/>
                <w:szCs w:val="21"/>
              </w:rPr>
              <w:t>人</w:t>
            </w:r>
          </w:p>
        </w:tc>
      </w:tr>
      <w:tr w:rsidR="00B77ADC" w:rsidRPr="00B77ADC" w:rsidTr="00B77ADC">
        <w:tc>
          <w:tcPr>
            <w:tcW w:w="506"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824"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562"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2514" w:type="pct"/>
            <w:gridSpan w:val="1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每公里管段周边</w:t>
            </w:r>
            <w:r w:rsidRPr="00B77ADC">
              <w:rPr>
                <w:rFonts w:ascii="Times New Roman" w:hAnsi="Times New Roman"/>
                <w:kern w:val="0"/>
                <w:sz w:val="21"/>
                <w:szCs w:val="21"/>
              </w:rPr>
              <w:t>200m</w:t>
            </w:r>
            <w:r w:rsidRPr="00B77ADC">
              <w:rPr>
                <w:rFonts w:ascii="Times New Roman" w:hAnsi="Times New Roman"/>
                <w:kern w:val="0"/>
                <w:sz w:val="21"/>
                <w:szCs w:val="21"/>
              </w:rPr>
              <w:t>范围内人口数（最大）</w:t>
            </w:r>
          </w:p>
        </w:tc>
        <w:tc>
          <w:tcPr>
            <w:tcW w:w="595"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人</w:t>
            </w:r>
          </w:p>
        </w:tc>
      </w:tr>
      <w:tr w:rsidR="00B77ADC" w:rsidRPr="00B77ADC" w:rsidTr="00B77ADC">
        <w:tc>
          <w:tcPr>
            <w:tcW w:w="506"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824"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562" w:type="pct"/>
            <w:vMerge w:val="restar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地表水</w:t>
            </w:r>
          </w:p>
        </w:tc>
        <w:tc>
          <w:tcPr>
            <w:tcW w:w="1005" w:type="pct"/>
            <w:gridSpan w:val="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地表水功能敏感性</w:t>
            </w:r>
          </w:p>
        </w:tc>
        <w:tc>
          <w:tcPr>
            <w:tcW w:w="680"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F1 □</w:t>
            </w:r>
          </w:p>
        </w:tc>
        <w:tc>
          <w:tcPr>
            <w:tcW w:w="830"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F2 □</w:t>
            </w:r>
          </w:p>
        </w:tc>
        <w:tc>
          <w:tcPr>
            <w:tcW w:w="595"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F3 √</w:t>
            </w:r>
          </w:p>
        </w:tc>
      </w:tr>
      <w:tr w:rsidR="00B77ADC" w:rsidRPr="00B77ADC" w:rsidTr="00B77ADC">
        <w:tc>
          <w:tcPr>
            <w:tcW w:w="506"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824"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562"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1005" w:type="pct"/>
            <w:gridSpan w:val="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环境敏感目标分级</w:t>
            </w:r>
          </w:p>
        </w:tc>
        <w:tc>
          <w:tcPr>
            <w:tcW w:w="680"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S1 □</w:t>
            </w:r>
          </w:p>
        </w:tc>
        <w:tc>
          <w:tcPr>
            <w:tcW w:w="830"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S2 □</w:t>
            </w:r>
          </w:p>
        </w:tc>
        <w:tc>
          <w:tcPr>
            <w:tcW w:w="595"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S3 √</w:t>
            </w:r>
          </w:p>
        </w:tc>
      </w:tr>
      <w:tr w:rsidR="00B77ADC" w:rsidRPr="00B77ADC" w:rsidTr="00B77ADC">
        <w:tc>
          <w:tcPr>
            <w:tcW w:w="506"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824"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562" w:type="pct"/>
            <w:vMerge w:val="restar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地下水</w:t>
            </w:r>
          </w:p>
        </w:tc>
        <w:tc>
          <w:tcPr>
            <w:tcW w:w="1005" w:type="pct"/>
            <w:gridSpan w:val="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地下水功能敏感性</w:t>
            </w:r>
          </w:p>
        </w:tc>
        <w:tc>
          <w:tcPr>
            <w:tcW w:w="680"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G1 □</w:t>
            </w:r>
          </w:p>
        </w:tc>
        <w:tc>
          <w:tcPr>
            <w:tcW w:w="830"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G2 □</w:t>
            </w:r>
          </w:p>
        </w:tc>
        <w:tc>
          <w:tcPr>
            <w:tcW w:w="595"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G3 √</w:t>
            </w:r>
          </w:p>
        </w:tc>
      </w:tr>
      <w:tr w:rsidR="00B77ADC" w:rsidRPr="00B77ADC" w:rsidTr="00B77ADC">
        <w:tc>
          <w:tcPr>
            <w:tcW w:w="506"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824"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562"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1005" w:type="pct"/>
            <w:gridSpan w:val="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包气带防污性能</w:t>
            </w:r>
          </w:p>
        </w:tc>
        <w:tc>
          <w:tcPr>
            <w:tcW w:w="680"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D1 □</w:t>
            </w:r>
          </w:p>
        </w:tc>
        <w:tc>
          <w:tcPr>
            <w:tcW w:w="830"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D2 √</w:t>
            </w:r>
          </w:p>
        </w:tc>
        <w:tc>
          <w:tcPr>
            <w:tcW w:w="595"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D3 □</w:t>
            </w:r>
          </w:p>
        </w:tc>
      </w:tr>
      <w:tr w:rsidR="00B77ADC" w:rsidRPr="00B77ADC" w:rsidTr="00B77ADC">
        <w:tc>
          <w:tcPr>
            <w:tcW w:w="1329" w:type="pct"/>
            <w:gridSpan w:val="2"/>
            <w:vMerge w:val="restar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物质及工艺系统</w:t>
            </w:r>
          </w:p>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危险性</w:t>
            </w:r>
          </w:p>
        </w:tc>
        <w:tc>
          <w:tcPr>
            <w:tcW w:w="562"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Q</w:t>
            </w:r>
            <w:r w:rsidRPr="00B77ADC">
              <w:rPr>
                <w:rFonts w:ascii="Times New Roman" w:hAnsi="Times New Roman"/>
                <w:kern w:val="0"/>
                <w:sz w:val="21"/>
                <w:szCs w:val="21"/>
              </w:rPr>
              <w:t>值</w:t>
            </w:r>
          </w:p>
        </w:tc>
        <w:tc>
          <w:tcPr>
            <w:tcW w:w="1005" w:type="pct"/>
            <w:gridSpan w:val="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Q</w:t>
            </w:r>
            <w:r w:rsidRPr="00B77ADC">
              <w:rPr>
                <w:rFonts w:ascii="Times New Roman" w:hAnsi="Times New Roman"/>
                <w:kern w:val="0"/>
                <w:sz w:val="21"/>
                <w:szCs w:val="21"/>
              </w:rPr>
              <w:t>＜</w:t>
            </w:r>
            <w:r w:rsidRPr="00B77ADC">
              <w:rPr>
                <w:rFonts w:ascii="Times New Roman" w:hAnsi="Times New Roman"/>
                <w:kern w:val="0"/>
                <w:sz w:val="21"/>
                <w:szCs w:val="21"/>
              </w:rPr>
              <w:t>1 □</w:t>
            </w:r>
          </w:p>
        </w:tc>
        <w:tc>
          <w:tcPr>
            <w:tcW w:w="680"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1≤Q</w:t>
            </w:r>
            <w:r w:rsidRPr="00B77ADC">
              <w:rPr>
                <w:rFonts w:ascii="Times New Roman" w:hAnsi="Times New Roman"/>
                <w:kern w:val="0"/>
                <w:sz w:val="21"/>
                <w:szCs w:val="21"/>
              </w:rPr>
              <w:t>＜</w:t>
            </w:r>
            <w:r w:rsidRPr="00B77ADC">
              <w:rPr>
                <w:rFonts w:ascii="Times New Roman" w:hAnsi="Times New Roman"/>
                <w:kern w:val="0"/>
                <w:sz w:val="21"/>
                <w:szCs w:val="21"/>
              </w:rPr>
              <w:t>10</w:t>
            </w:r>
          </w:p>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w:t>
            </w:r>
          </w:p>
        </w:tc>
        <w:tc>
          <w:tcPr>
            <w:tcW w:w="830"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10≤Q</w:t>
            </w:r>
            <w:r w:rsidRPr="00B77ADC">
              <w:rPr>
                <w:rFonts w:ascii="Times New Roman" w:hAnsi="Times New Roman"/>
                <w:kern w:val="0"/>
                <w:sz w:val="21"/>
                <w:szCs w:val="21"/>
              </w:rPr>
              <w:t>＜</w:t>
            </w:r>
            <w:r w:rsidRPr="00B77ADC">
              <w:rPr>
                <w:rFonts w:ascii="Times New Roman" w:hAnsi="Times New Roman"/>
                <w:kern w:val="0"/>
                <w:sz w:val="21"/>
                <w:szCs w:val="21"/>
              </w:rPr>
              <w:t xml:space="preserve">100 </w:t>
            </w:r>
            <w:r w:rsidR="00B77ADC" w:rsidRPr="00B77ADC">
              <w:rPr>
                <w:rFonts w:ascii="Times New Roman" w:hAnsi="Times New Roman"/>
                <w:kern w:val="0"/>
                <w:sz w:val="21"/>
                <w:szCs w:val="21"/>
              </w:rPr>
              <w:t>□</w:t>
            </w:r>
          </w:p>
        </w:tc>
        <w:tc>
          <w:tcPr>
            <w:tcW w:w="595"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Q</w:t>
            </w:r>
            <w:r w:rsidRPr="00B77ADC">
              <w:rPr>
                <w:rFonts w:ascii="Times New Roman" w:hAnsi="Times New Roman"/>
                <w:kern w:val="0"/>
                <w:sz w:val="21"/>
                <w:szCs w:val="21"/>
              </w:rPr>
              <w:t>＞</w:t>
            </w:r>
            <w:r w:rsidRPr="00B77ADC">
              <w:rPr>
                <w:rFonts w:ascii="Times New Roman" w:hAnsi="Times New Roman"/>
                <w:kern w:val="0"/>
                <w:sz w:val="21"/>
                <w:szCs w:val="21"/>
              </w:rPr>
              <w:t xml:space="preserve">100 </w:t>
            </w:r>
            <w:r w:rsidR="00B77ADC" w:rsidRPr="00B77ADC">
              <w:rPr>
                <w:rFonts w:ascii="Times New Roman" w:hAnsi="Times New Roman"/>
                <w:kern w:val="0"/>
                <w:sz w:val="21"/>
                <w:szCs w:val="21"/>
              </w:rPr>
              <w:t>√</w:t>
            </w:r>
          </w:p>
        </w:tc>
      </w:tr>
      <w:tr w:rsidR="00B77ADC" w:rsidRPr="00B77ADC" w:rsidTr="00B77ADC">
        <w:tc>
          <w:tcPr>
            <w:tcW w:w="1329" w:type="pct"/>
            <w:gridSpan w:val="2"/>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562"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M</w:t>
            </w:r>
            <w:r w:rsidRPr="00B77ADC">
              <w:rPr>
                <w:rFonts w:ascii="Times New Roman" w:hAnsi="Times New Roman"/>
                <w:kern w:val="0"/>
                <w:sz w:val="21"/>
                <w:szCs w:val="21"/>
              </w:rPr>
              <w:t>值</w:t>
            </w:r>
          </w:p>
        </w:tc>
        <w:tc>
          <w:tcPr>
            <w:tcW w:w="1005" w:type="pct"/>
            <w:gridSpan w:val="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M1 □</w:t>
            </w:r>
          </w:p>
        </w:tc>
        <w:tc>
          <w:tcPr>
            <w:tcW w:w="680"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 xml:space="preserve">M2 </w:t>
            </w:r>
            <w:r w:rsidR="00B77ADC" w:rsidRPr="00B77ADC">
              <w:rPr>
                <w:rFonts w:ascii="Times New Roman" w:hAnsi="Times New Roman"/>
                <w:kern w:val="0"/>
                <w:sz w:val="21"/>
                <w:szCs w:val="21"/>
              </w:rPr>
              <w:t>□</w:t>
            </w:r>
          </w:p>
        </w:tc>
        <w:tc>
          <w:tcPr>
            <w:tcW w:w="830"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M3 □</w:t>
            </w:r>
          </w:p>
        </w:tc>
        <w:tc>
          <w:tcPr>
            <w:tcW w:w="595"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 xml:space="preserve">M4 </w:t>
            </w:r>
            <w:r w:rsidR="00B77ADC" w:rsidRPr="00B77ADC">
              <w:rPr>
                <w:rFonts w:ascii="Times New Roman" w:hAnsi="Times New Roman"/>
                <w:kern w:val="0"/>
                <w:sz w:val="21"/>
                <w:szCs w:val="21"/>
              </w:rPr>
              <w:t>√</w:t>
            </w:r>
          </w:p>
        </w:tc>
      </w:tr>
      <w:tr w:rsidR="00B77ADC" w:rsidRPr="00B77ADC" w:rsidTr="00B77ADC">
        <w:tc>
          <w:tcPr>
            <w:tcW w:w="1329" w:type="pct"/>
            <w:gridSpan w:val="2"/>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562"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P</w:t>
            </w:r>
            <w:r w:rsidRPr="00B77ADC">
              <w:rPr>
                <w:rFonts w:ascii="Times New Roman" w:hAnsi="Times New Roman"/>
                <w:kern w:val="0"/>
                <w:sz w:val="21"/>
                <w:szCs w:val="21"/>
              </w:rPr>
              <w:t>值</w:t>
            </w:r>
          </w:p>
        </w:tc>
        <w:tc>
          <w:tcPr>
            <w:tcW w:w="1005" w:type="pct"/>
            <w:gridSpan w:val="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P1 □</w:t>
            </w:r>
          </w:p>
        </w:tc>
        <w:tc>
          <w:tcPr>
            <w:tcW w:w="680"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 xml:space="preserve">P2 </w:t>
            </w:r>
            <w:r w:rsidR="00B77ADC" w:rsidRPr="00B77ADC">
              <w:rPr>
                <w:rFonts w:ascii="Times New Roman" w:hAnsi="Times New Roman"/>
                <w:kern w:val="0"/>
                <w:sz w:val="21"/>
                <w:szCs w:val="21"/>
              </w:rPr>
              <w:t>□</w:t>
            </w:r>
          </w:p>
        </w:tc>
        <w:tc>
          <w:tcPr>
            <w:tcW w:w="830"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 xml:space="preserve">P3 </w:t>
            </w:r>
            <w:r w:rsidR="00B77ADC" w:rsidRPr="00B77ADC">
              <w:rPr>
                <w:rFonts w:ascii="Times New Roman" w:hAnsi="Times New Roman"/>
                <w:kern w:val="0"/>
                <w:sz w:val="21"/>
                <w:szCs w:val="21"/>
              </w:rPr>
              <w:t>√</w:t>
            </w:r>
          </w:p>
        </w:tc>
        <w:tc>
          <w:tcPr>
            <w:tcW w:w="595"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P4 □</w:t>
            </w:r>
          </w:p>
        </w:tc>
      </w:tr>
      <w:tr w:rsidR="00B77ADC" w:rsidRPr="00B77ADC" w:rsidTr="00B77ADC">
        <w:tc>
          <w:tcPr>
            <w:tcW w:w="1329" w:type="pct"/>
            <w:gridSpan w:val="2"/>
            <w:vMerge w:val="restar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环境敏感</w:t>
            </w:r>
          </w:p>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程度</w:t>
            </w:r>
          </w:p>
        </w:tc>
        <w:tc>
          <w:tcPr>
            <w:tcW w:w="562"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大气</w:t>
            </w:r>
          </w:p>
        </w:tc>
        <w:tc>
          <w:tcPr>
            <w:tcW w:w="1164" w:type="pct"/>
            <w:gridSpan w:val="8"/>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E1 √</w:t>
            </w:r>
          </w:p>
        </w:tc>
        <w:tc>
          <w:tcPr>
            <w:tcW w:w="1096" w:type="pct"/>
            <w:gridSpan w:val="5"/>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E2 □</w:t>
            </w:r>
          </w:p>
        </w:tc>
        <w:tc>
          <w:tcPr>
            <w:tcW w:w="850" w:type="pct"/>
            <w:gridSpan w:val="2"/>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E3 □</w:t>
            </w:r>
          </w:p>
        </w:tc>
      </w:tr>
      <w:tr w:rsidR="00B77ADC" w:rsidRPr="00B77ADC" w:rsidTr="00B77ADC">
        <w:tc>
          <w:tcPr>
            <w:tcW w:w="1329" w:type="pct"/>
            <w:gridSpan w:val="2"/>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562"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地表水</w:t>
            </w:r>
          </w:p>
        </w:tc>
        <w:tc>
          <w:tcPr>
            <w:tcW w:w="1164" w:type="pct"/>
            <w:gridSpan w:val="8"/>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E1 □</w:t>
            </w:r>
          </w:p>
        </w:tc>
        <w:tc>
          <w:tcPr>
            <w:tcW w:w="1096" w:type="pct"/>
            <w:gridSpan w:val="5"/>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E2 □</w:t>
            </w:r>
          </w:p>
        </w:tc>
        <w:tc>
          <w:tcPr>
            <w:tcW w:w="850" w:type="pct"/>
            <w:gridSpan w:val="2"/>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E3 √</w:t>
            </w:r>
          </w:p>
        </w:tc>
      </w:tr>
      <w:tr w:rsidR="00B77ADC" w:rsidRPr="00B77ADC" w:rsidTr="00B77ADC">
        <w:tc>
          <w:tcPr>
            <w:tcW w:w="1329" w:type="pct"/>
            <w:gridSpan w:val="2"/>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562"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地下水</w:t>
            </w:r>
          </w:p>
        </w:tc>
        <w:tc>
          <w:tcPr>
            <w:tcW w:w="1164" w:type="pct"/>
            <w:gridSpan w:val="8"/>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E1 □</w:t>
            </w:r>
          </w:p>
        </w:tc>
        <w:tc>
          <w:tcPr>
            <w:tcW w:w="1096" w:type="pct"/>
            <w:gridSpan w:val="5"/>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E2 □</w:t>
            </w:r>
          </w:p>
        </w:tc>
        <w:tc>
          <w:tcPr>
            <w:tcW w:w="850" w:type="pct"/>
            <w:gridSpan w:val="2"/>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E3 √</w:t>
            </w:r>
          </w:p>
        </w:tc>
      </w:tr>
      <w:tr w:rsidR="00B77ADC" w:rsidRPr="00B77ADC" w:rsidTr="00B77ADC">
        <w:tc>
          <w:tcPr>
            <w:tcW w:w="1329" w:type="pct"/>
            <w:gridSpan w:val="2"/>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环境风险</w:t>
            </w:r>
          </w:p>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潜势</w:t>
            </w:r>
          </w:p>
        </w:tc>
        <w:tc>
          <w:tcPr>
            <w:tcW w:w="769" w:type="pct"/>
            <w:gridSpan w:val="2"/>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Ⅳ+ □</w:t>
            </w:r>
          </w:p>
        </w:tc>
        <w:tc>
          <w:tcPr>
            <w:tcW w:w="829" w:type="pct"/>
            <w:gridSpan w:val="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Ⅳ</w:t>
            </w:r>
            <w:r w:rsidR="00B77ADC" w:rsidRPr="00B77ADC">
              <w:rPr>
                <w:rFonts w:ascii="Times New Roman" w:hAnsi="Times New Roman"/>
                <w:kern w:val="0"/>
                <w:sz w:val="21"/>
                <w:szCs w:val="21"/>
              </w:rPr>
              <w:t>□</w:t>
            </w:r>
          </w:p>
        </w:tc>
        <w:tc>
          <w:tcPr>
            <w:tcW w:w="701"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Ⅲ</w:t>
            </w:r>
            <w:r w:rsidR="00B77ADC" w:rsidRPr="00B77ADC">
              <w:rPr>
                <w:rFonts w:ascii="Times New Roman" w:hAnsi="Times New Roman"/>
                <w:kern w:val="0"/>
                <w:sz w:val="21"/>
                <w:szCs w:val="21"/>
              </w:rPr>
              <w:t>√</w:t>
            </w:r>
          </w:p>
        </w:tc>
        <w:tc>
          <w:tcPr>
            <w:tcW w:w="777" w:type="pct"/>
            <w:gridSpan w:val="3"/>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Ⅱ □</w:t>
            </w:r>
          </w:p>
        </w:tc>
        <w:tc>
          <w:tcPr>
            <w:tcW w:w="595"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I □</w:t>
            </w:r>
          </w:p>
        </w:tc>
      </w:tr>
      <w:tr w:rsidR="00B77ADC" w:rsidRPr="00B77ADC" w:rsidTr="00B77ADC">
        <w:tc>
          <w:tcPr>
            <w:tcW w:w="1329" w:type="pct"/>
            <w:gridSpan w:val="2"/>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评价等级</w:t>
            </w:r>
          </w:p>
        </w:tc>
        <w:tc>
          <w:tcPr>
            <w:tcW w:w="1019"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一级</w:t>
            </w:r>
            <w:r w:rsidR="00B77ADC" w:rsidRPr="00B77ADC">
              <w:rPr>
                <w:rFonts w:ascii="Times New Roman" w:hAnsi="Times New Roman"/>
                <w:kern w:val="0"/>
                <w:sz w:val="21"/>
                <w:szCs w:val="21"/>
              </w:rPr>
              <w:t>□</w:t>
            </w:r>
          </w:p>
        </w:tc>
        <w:tc>
          <w:tcPr>
            <w:tcW w:w="874" w:type="pct"/>
            <w:gridSpan w:val="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二级</w:t>
            </w:r>
            <w:r w:rsidR="00B77ADC" w:rsidRPr="00B77ADC">
              <w:rPr>
                <w:rFonts w:ascii="Times New Roman" w:hAnsi="Times New Roman"/>
                <w:kern w:val="0"/>
                <w:sz w:val="21"/>
                <w:szCs w:val="21"/>
              </w:rPr>
              <w:t>√</w:t>
            </w:r>
          </w:p>
        </w:tc>
        <w:tc>
          <w:tcPr>
            <w:tcW w:w="928"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三级</w:t>
            </w:r>
            <w:r w:rsidRPr="00B77ADC">
              <w:rPr>
                <w:rFonts w:ascii="Times New Roman" w:hAnsi="Times New Roman"/>
                <w:kern w:val="0"/>
                <w:sz w:val="21"/>
                <w:szCs w:val="21"/>
              </w:rPr>
              <w:t xml:space="preserve"> □</w:t>
            </w:r>
          </w:p>
        </w:tc>
        <w:tc>
          <w:tcPr>
            <w:tcW w:w="850" w:type="pct"/>
            <w:gridSpan w:val="2"/>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简单分析</w:t>
            </w:r>
            <w:r w:rsidRPr="00B77ADC">
              <w:rPr>
                <w:rFonts w:ascii="Times New Roman" w:hAnsi="Times New Roman"/>
                <w:kern w:val="0"/>
                <w:sz w:val="21"/>
                <w:szCs w:val="21"/>
              </w:rPr>
              <w:t xml:space="preserve"> □</w:t>
            </w:r>
          </w:p>
        </w:tc>
      </w:tr>
      <w:tr w:rsidR="00B77ADC" w:rsidRPr="00B77ADC" w:rsidTr="00B77ADC">
        <w:tc>
          <w:tcPr>
            <w:tcW w:w="506" w:type="pct"/>
            <w:vMerge w:val="restar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风</w:t>
            </w:r>
          </w:p>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险</w:t>
            </w:r>
          </w:p>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识</w:t>
            </w:r>
          </w:p>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别</w:t>
            </w:r>
          </w:p>
        </w:tc>
        <w:tc>
          <w:tcPr>
            <w:tcW w:w="824"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物质危险性</w:t>
            </w:r>
          </w:p>
        </w:tc>
        <w:tc>
          <w:tcPr>
            <w:tcW w:w="1893" w:type="pct"/>
            <w:gridSpan w:val="10"/>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有毒有害</w:t>
            </w:r>
            <w:r w:rsidRPr="00B77ADC">
              <w:rPr>
                <w:rFonts w:ascii="Times New Roman" w:hAnsi="Times New Roman"/>
                <w:kern w:val="0"/>
                <w:sz w:val="21"/>
                <w:szCs w:val="21"/>
              </w:rPr>
              <w:t>√</w:t>
            </w:r>
          </w:p>
        </w:tc>
        <w:tc>
          <w:tcPr>
            <w:tcW w:w="1777" w:type="pct"/>
            <w:gridSpan w:val="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易燃易爆</w:t>
            </w:r>
            <w:r w:rsidRPr="00B77ADC">
              <w:rPr>
                <w:rFonts w:ascii="Times New Roman" w:hAnsi="Times New Roman"/>
                <w:kern w:val="0"/>
                <w:sz w:val="21"/>
                <w:szCs w:val="21"/>
              </w:rPr>
              <w:t>√</w:t>
            </w:r>
          </w:p>
        </w:tc>
      </w:tr>
      <w:tr w:rsidR="00B77ADC" w:rsidRPr="00B77ADC" w:rsidTr="00B77ADC">
        <w:tc>
          <w:tcPr>
            <w:tcW w:w="506"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824"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环境风险</w:t>
            </w:r>
          </w:p>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类型</w:t>
            </w:r>
          </w:p>
        </w:tc>
        <w:tc>
          <w:tcPr>
            <w:tcW w:w="1893" w:type="pct"/>
            <w:gridSpan w:val="10"/>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泄漏</w:t>
            </w:r>
            <w:r w:rsidRPr="00B77ADC">
              <w:rPr>
                <w:rFonts w:ascii="Times New Roman" w:hAnsi="Times New Roman"/>
                <w:kern w:val="0"/>
                <w:sz w:val="21"/>
                <w:szCs w:val="21"/>
              </w:rPr>
              <w:t>√</w:t>
            </w:r>
          </w:p>
        </w:tc>
        <w:tc>
          <w:tcPr>
            <w:tcW w:w="1777" w:type="pct"/>
            <w:gridSpan w:val="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火灾、爆炸引发伴生</w:t>
            </w:r>
            <w:r w:rsidRPr="00B77ADC">
              <w:rPr>
                <w:rFonts w:ascii="Times New Roman" w:hAnsi="Times New Roman"/>
                <w:kern w:val="0"/>
                <w:sz w:val="21"/>
                <w:szCs w:val="21"/>
              </w:rPr>
              <w:t>/</w:t>
            </w:r>
            <w:r w:rsidRPr="00B77ADC">
              <w:rPr>
                <w:rFonts w:ascii="Times New Roman" w:hAnsi="Times New Roman"/>
                <w:kern w:val="0"/>
                <w:sz w:val="21"/>
                <w:szCs w:val="21"/>
              </w:rPr>
              <w:t>次生污染物排放</w:t>
            </w:r>
            <w:r w:rsidRPr="00B77ADC">
              <w:rPr>
                <w:rFonts w:ascii="Times New Roman" w:hAnsi="Times New Roman"/>
                <w:kern w:val="0"/>
                <w:sz w:val="21"/>
                <w:szCs w:val="21"/>
              </w:rPr>
              <w:t>√</w:t>
            </w:r>
          </w:p>
        </w:tc>
      </w:tr>
      <w:tr w:rsidR="00B77ADC" w:rsidRPr="00B77ADC" w:rsidTr="00B77ADC">
        <w:tc>
          <w:tcPr>
            <w:tcW w:w="506"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824"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影响途径</w:t>
            </w:r>
          </w:p>
        </w:tc>
        <w:tc>
          <w:tcPr>
            <w:tcW w:w="1386" w:type="pct"/>
            <w:gridSpan w:val="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大气</w:t>
            </w:r>
            <w:r w:rsidRPr="00B77ADC">
              <w:rPr>
                <w:rFonts w:ascii="Times New Roman" w:hAnsi="Times New Roman"/>
                <w:kern w:val="0"/>
                <w:sz w:val="21"/>
                <w:szCs w:val="21"/>
              </w:rPr>
              <w:t>√</w:t>
            </w:r>
          </w:p>
        </w:tc>
        <w:tc>
          <w:tcPr>
            <w:tcW w:w="1185" w:type="pct"/>
            <w:gridSpan w:val="7"/>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地表水</w:t>
            </w:r>
            <w:r w:rsidRPr="00B77ADC">
              <w:rPr>
                <w:rFonts w:ascii="Times New Roman" w:hAnsi="Times New Roman"/>
                <w:kern w:val="0"/>
                <w:sz w:val="21"/>
                <w:szCs w:val="21"/>
              </w:rPr>
              <w:t>□</w:t>
            </w:r>
          </w:p>
        </w:tc>
        <w:tc>
          <w:tcPr>
            <w:tcW w:w="1099" w:type="pct"/>
            <w:gridSpan w:val="3"/>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地下水</w:t>
            </w:r>
            <w:r w:rsidRPr="00B77ADC">
              <w:rPr>
                <w:rFonts w:ascii="Times New Roman" w:hAnsi="Times New Roman"/>
                <w:kern w:val="0"/>
                <w:sz w:val="21"/>
                <w:szCs w:val="21"/>
              </w:rPr>
              <w:t>√</w:t>
            </w:r>
          </w:p>
        </w:tc>
      </w:tr>
      <w:tr w:rsidR="00B77ADC" w:rsidRPr="00B77ADC" w:rsidTr="00B77ADC">
        <w:tc>
          <w:tcPr>
            <w:tcW w:w="1329" w:type="pct"/>
            <w:gridSpan w:val="2"/>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事故情形分析</w:t>
            </w:r>
          </w:p>
        </w:tc>
        <w:tc>
          <w:tcPr>
            <w:tcW w:w="1019"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源强设定方法</w:t>
            </w:r>
          </w:p>
        </w:tc>
        <w:tc>
          <w:tcPr>
            <w:tcW w:w="874" w:type="pct"/>
            <w:gridSpan w:val="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计算法</w:t>
            </w:r>
            <w:r w:rsidRPr="00B77ADC">
              <w:rPr>
                <w:rFonts w:ascii="Times New Roman" w:hAnsi="Times New Roman"/>
                <w:kern w:val="0"/>
                <w:sz w:val="21"/>
                <w:szCs w:val="21"/>
              </w:rPr>
              <w:t xml:space="preserve"> □</w:t>
            </w:r>
          </w:p>
        </w:tc>
        <w:tc>
          <w:tcPr>
            <w:tcW w:w="928"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经验估算法</w:t>
            </w:r>
            <w:r w:rsidRPr="00B77ADC">
              <w:rPr>
                <w:rFonts w:ascii="Times New Roman" w:hAnsi="Times New Roman"/>
                <w:kern w:val="0"/>
                <w:sz w:val="21"/>
                <w:szCs w:val="21"/>
              </w:rPr>
              <w:t xml:space="preserve"> □</w:t>
            </w:r>
          </w:p>
        </w:tc>
        <w:tc>
          <w:tcPr>
            <w:tcW w:w="850" w:type="pct"/>
            <w:gridSpan w:val="2"/>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其他估算法</w:t>
            </w:r>
            <w:r w:rsidRPr="00B77ADC">
              <w:rPr>
                <w:rFonts w:ascii="Times New Roman" w:hAnsi="Times New Roman"/>
                <w:kern w:val="0"/>
                <w:sz w:val="21"/>
                <w:szCs w:val="21"/>
              </w:rPr>
              <w:t xml:space="preserve"> </w:t>
            </w:r>
            <w:r w:rsidRPr="00B77ADC">
              <w:rPr>
                <w:rFonts w:ascii="Times New Roman" w:hAnsi="Times New Roman"/>
                <w:kern w:val="0"/>
                <w:sz w:val="21"/>
                <w:szCs w:val="21"/>
              </w:rPr>
              <w:t></w:t>
            </w:r>
          </w:p>
        </w:tc>
      </w:tr>
      <w:tr w:rsidR="00B77ADC" w:rsidRPr="00B77ADC" w:rsidTr="00B77ADC">
        <w:tc>
          <w:tcPr>
            <w:tcW w:w="506" w:type="pct"/>
            <w:vMerge w:val="restar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风险</w:t>
            </w:r>
          </w:p>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预测</w:t>
            </w:r>
          </w:p>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与</w:t>
            </w:r>
          </w:p>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评价</w:t>
            </w:r>
          </w:p>
        </w:tc>
        <w:tc>
          <w:tcPr>
            <w:tcW w:w="824" w:type="pct"/>
            <w:vMerge w:val="restar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大气</w:t>
            </w:r>
          </w:p>
        </w:tc>
        <w:tc>
          <w:tcPr>
            <w:tcW w:w="1019"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预测模型</w:t>
            </w:r>
          </w:p>
        </w:tc>
        <w:tc>
          <w:tcPr>
            <w:tcW w:w="874" w:type="pct"/>
            <w:gridSpan w:val="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SLAB √</w:t>
            </w:r>
          </w:p>
        </w:tc>
        <w:tc>
          <w:tcPr>
            <w:tcW w:w="928" w:type="pct"/>
            <w:gridSpan w:val="4"/>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AFTOX √</w:t>
            </w:r>
          </w:p>
        </w:tc>
        <w:tc>
          <w:tcPr>
            <w:tcW w:w="850" w:type="pct"/>
            <w:gridSpan w:val="2"/>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其他</w:t>
            </w:r>
            <w:r w:rsidRPr="00B77ADC">
              <w:rPr>
                <w:rFonts w:ascii="Times New Roman" w:hAnsi="Times New Roman"/>
                <w:kern w:val="0"/>
                <w:sz w:val="21"/>
                <w:szCs w:val="21"/>
              </w:rPr>
              <w:t xml:space="preserve"> □</w:t>
            </w:r>
          </w:p>
        </w:tc>
      </w:tr>
      <w:tr w:rsidR="00B77ADC" w:rsidRPr="00B77ADC" w:rsidTr="00B77ADC">
        <w:tc>
          <w:tcPr>
            <w:tcW w:w="506"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824"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1019" w:type="pct"/>
            <w:gridSpan w:val="4"/>
            <w:vMerge w:val="restar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预测结果</w:t>
            </w:r>
          </w:p>
        </w:tc>
        <w:tc>
          <w:tcPr>
            <w:tcW w:w="2651" w:type="pct"/>
            <w:gridSpan w:val="12"/>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大气毒性终点浓度</w:t>
            </w:r>
            <w:r w:rsidRPr="00B77ADC">
              <w:rPr>
                <w:rFonts w:ascii="Times New Roman" w:hAnsi="Times New Roman"/>
                <w:kern w:val="0"/>
                <w:sz w:val="21"/>
                <w:szCs w:val="21"/>
              </w:rPr>
              <w:t xml:space="preserve">-1 </w:t>
            </w:r>
            <w:r w:rsidRPr="00B77ADC">
              <w:rPr>
                <w:rFonts w:ascii="Times New Roman" w:hAnsi="Times New Roman"/>
                <w:kern w:val="0"/>
                <w:sz w:val="21"/>
                <w:szCs w:val="21"/>
              </w:rPr>
              <w:t>最大影响范围</w:t>
            </w:r>
            <w:r w:rsidR="00B77ADC">
              <w:rPr>
                <w:rFonts w:ascii="Times New Roman" w:hAnsi="Times New Roman"/>
                <w:kern w:val="0"/>
                <w:sz w:val="21"/>
                <w:szCs w:val="21"/>
              </w:rPr>
              <w:t>60</w:t>
            </w:r>
            <w:r w:rsidRPr="00B77ADC">
              <w:rPr>
                <w:rFonts w:ascii="Times New Roman" w:hAnsi="Times New Roman"/>
                <w:kern w:val="0"/>
                <w:sz w:val="21"/>
                <w:szCs w:val="21"/>
              </w:rPr>
              <w:t>m</w:t>
            </w:r>
          </w:p>
        </w:tc>
      </w:tr>
      <w:tr w:rsidR="00B77ADC" w:rsidRPr="00B77ADC" w:rsidTr="00B77ADC">
        <w:tc>
          <w:tcPr>
            <w:tcW w:w="506"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824"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1019" w:type="pct"/>
            <w:gridSpan w:val="4"/>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2651" w:type="pct"/>
            <w:gridSpan w:val="12"/>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大气毒性终点浓度</w:t>
            </w:r>
            <w:r w:rsidRPr="00B77ADC">
              <w:rPr>
                <w:rFonts w:ascii="Times New Roman" w:hAnsi="Times New Roman"/>
                <w:kern w:val="0"/>
                <w:sz w:val="21"/>
                <w:szCs w:val="21"/>
              </w:rPr>
              <w:t xml:space="preserve">-2 </w:t>
            </w:r>
            <w:r w:rsidRPr="00B77ADC">
              <w:rPr>
                <w:rFonts w:ascii="Times New Roman" w:hAnsi="Times New Roman"/>
                <w:kern w:val="0"/>
                <w:sz w:val="21"/>
                <w:szCs w:val="21"/>
              </w:rPr>
              <w:t>最大影响范围</w:t>
            </w:r>
            <w:r w:rsidR="00B77ADC">
              <w:rPr>
                <w:rFonts w:ascii="Times New Roman" w:hAnsi="Times New Roman"/>
                <w:kern w:val="0"/>
                <w:sz w:val="21"/>
                <w:szCs w:val="21"/>
              </w:rPr>
              <w:t>395</w:t>
            </w:r>
            <w:r w:rsidRPr="00B77ADC">
              <w:rPr>
                <w:rFonts w:ascii="Times New Roman" w:hAnsi="Times New Roman"/>
                <w:kern w:val="0"/>
                <w:sz w:val="21"/>
                <w:szCs w:val="21"/>
              </w:rPr>
              <w:t>m</w:t>
            </w:r>
          </w:p>
        </w:tc>
      </w:tr>
      <w:tr w:rsidR="00B77ADC" w:rsidRPr="00B77ADC" w:rsidTr="00B77ADC">
        <w:tc>
          <w:tcPr>
            <w:tcW w:w="506"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824" w:type="pc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地表水</w:t>
            </w:r>
          </w:p>
        </w:tc>
        <w:tc>
          <w:tcPr>
            <w:tcW w:w="3671" w:type="pct"/>
            <w:gridSpan w:val="1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最近环境敏感目标</w:t>
            </w:r>
            <w:r w:rsidRPr="00B77ADC">
              <w:rPr>
                <w:rFonts w:ascii="Times New Roman" w:hAnsi="Times New Roman"/>
                <w:kern w:val="0"/>
                <w:sz w:val="21"/>
                <w:szCs w:val="21"/>
              </w:rPr>
              <w:t xml:space="preserve">      </w:t>
            </w:r>
            <w:r w:rsidRPr="00B77ADC">
              <w:rPr>
                <w:rFonts w:ascii="Times New Roman" w:hAnsi="Times New Roman"/>
                <w:kern w:val="0"/>
                <w:sz w:val="21"/>
                <w:szCs w:val="21"/>
              </w:rPr>
              <w:t>，到达时间</w:t>
            </w:r>
            <w:r w:rsidRPr="00B77ADC">
              <w:rPr>
                <w:rFonts w:ascii="Times New Roman" w:hAnsi="Times New Roman"/>
                <w:kern w:val="0"/>
                <w:sz w:val="21"/>
                <w:szCs w:val="21"/>
              </w:rPr>
              <w:t xml:space="preserve">      h</w:t>
            </w:r>
          </w:p>
        </w:tc>
      </w:tr>
      <w:tr w:rsidR="00B77ADC" w:rsidRPr="00B77ADC" w:rsidTr="00B77ADC">
        <w:tc>
          <w:tcPr>
            <w:tcW w:w="506"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824" w:type="pct"/>
            <w:vMerge w:val="restart"/>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地下水</w:t>
            </w:r>
          </w:p>
        </w:tc>
        <w:tc>
          <w:tcPr>
            <w:tcW w:w="3671" w:type="pct"/>
            <w:gridSpan w:val="1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下游厂区边界到达时间</w:t>
            </w:r>
            <w:r w:rsidRPr="00B77ADC">
              <w:rPr>
                <w:rFonts w:ascii="Times New Roman" w:hAnsi="Times New Roman"/>
                <w:kern w:val="0"/>
                <w:sz w:val="21"/>
                <w:szCs w:val="21"/>
              </w:rPr>
              <w:t xml:space="preserve">      d</w:t>
            </w:r>
          </w:p>
        </w:tc>
      </w:tr>
      <w:tr w:rsidR="00B77ADC" w:rsidRPr="00B77ADC" w:rsidTr="00B77ADC">
        <w:tc>
          <w:tcPr>
            <w:tcW w:w="506"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824" w:type="pct"/>
            <w:vMerge/>
            <w:vAlign w:val="center"/>
          </w:tcPr>
          <w:p w:rsidR="004E3021" w:rsidRPr="00B77ADC" w:rsidRDefault="004E3021" w:rsidP="00B77ADC">
            <w:pPr>
              <w:widowControl/>
              <w:spacing w:line="360" w:lineRule="exact"/>
              <w:ind w:firstLineChars="0" w:firstLine="0"/>
              <w:jc w:val="center"/>
              <w:rPr>
                <w:rFonts w:ascii="Times New Roman" w:hAnsi="Times New Roman"/>
                <w:kern w:val="0"/>
                <w:sz w:val="21"/>
                <w:szCs w:val="21"/>
              </w:rPr>
            </w:pPr>
          </w:p>
        </w:tc>
        <w:tc>
          <w:tcPr>
            <w:tcW w:w="3671" w:type="pct"/>
            <w:gridSpan w:val="1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最近环境敏感目标</w:t>
            </w:r>
            <w:r w:rsidRPr="00B77ADC">
              <w:rPr>
                <w:rFonts w:ascii="Times New Roman" w:hAnsi="Times New Roman"/>
                <w:kern w:val="0"/>
                <w:sz w:val="21"/>
                <w:szCs w:val="21"/>
              </w:rPr>
              <w:t xml:space="preserve">      </w:t>
            </w:r>
            <w:r w:rsidRPr="00B77ADC">
              <w:rPr>
                <w:rFonts w:ascii="Times New Roman" w:hAnsi="Times New Roman"/>
                <w:kern w:val="0"/>
                <w:sz w:val="21"/>
                <w:szCs w:val="21"/>
              </w:rPr>
              <w:t>，到达时间</w:t>
            </w:r>
            <w:r w:rsidRPr="00B77ADC">
              <w:rPr>
                <w:rFonts w:ascii="Times New Roman" w:hAnsi="Times New Roman"/>
                <w:kern w:val="0"/>
                <w:sz w:val="21"/>
                <w:szCs w:val="21"/>
              </w:rPr>
              <w:t xml:space="preserve">      d</w:t>
            </w:r>
          </w:p>
        </w:tc>
      </w:tr>
      <w:tr w:rsidR="004E3021" w:rsidRPr="00B77ADC" w:rsidTr="00B77ADC">
        <w:tc>
          <w:tcPr>
            <w:tcW w:w="1329" w:type="pct"/>
            <w:gridSpan w:val="2"/>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重点风险防范</w:t>
            </w:r>
          </w:p>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措施</w:t>
            </w:r>
          </w:p>
        </w:tc>
        <w:tc>
          <w:tcPr>
            <w:tcW w:w="3671" w:type="pct"/>
            <w:gridSpan w:val="1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监控系统及应急监测管理，编制环境风险应急预案</w:t>
            </w:r>
          </w:p>
        </w:tc>
      </w:tr>
      <w:tr w:rsidR="004E3021" w:rsidRPr="00B77ADC" w:rsidTr="00B77ADC">
        <w:trPr>
          <w:trHeight w:val="956"/>
        </w:trPr>
        <w:tc>
          <w:tcPr>
            <w:tcW w:w="1329" w:type="pct"/>
            <w:gridSpan w:val="2"/>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评价结论与建议</w:t>
            </w:r>
          </w:p>
        </w:tc>
        <w:tc>
          <w:tcPr>
            <w:tcW w:w="3671" w:type="pct"/>
            <w:gridSpan w:val="16"/>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建设项目环境风险可防控，同时建议采取报告书中提及的环境风险防范措施及应急预案</w:t>
            </w:r>
          </w:p>
        </w:tc>
      </w:tr>
      <w:tr w:rsidR="004E3021" w:rsidRPr="00B77ADC" w:rsidTr="00B77ADC">
        <w:tc>
          <w:tcPr>
            <w:tcW w:w="5000" w:type="pct"/>
            <w:gridSpan w:val="18"/>
            <w:vAlign w:val="center"/>
          </w:tcPr>
          <w:p w:rsidR="004E3021" w:rsidRPr="00B77ADC" w:rsidRDefault="00606E48" w:rsidP="00B77ADC">
            <w:pPr>
              <w:widowControl/>
              <w:spacing w:line="360" w:lineRule="exact"/>
              <w:ind w:firstLineChars="0" w:firstLine="0"/>
              <w:jc w:val="center"/>
              <w:rPr>
                <w:rFonts w:ascii="Times New Roman" w:hAnsi="Times New Roman"/>
                <w:kern w:val="0"/>
                <w:sz w:val="21"/>
                <w:szCs w:val="21"/>
              </w:rPr>
            </w:pPr>
            <w:r w:rsidRPr="00B77ADC">
              <w:rPr>
                <w:rFonts w:ascii="Times New Roman" w:hAnsi="Times New Roman"/>
                <w:kern w:val="0"/>
                <w:sz w:val="21"/>
                <w:szCs w:val="21"/>
              </w:rPr>
              <w:t>注：</w:t>
            </w:r>
            <w:r w:rsidRPr="00B77ADC">
              <w:rPr>
                <w:rFonts w:ascii="Times New Roman" w:hAnsi="Times New Roman"/>
                <w:kern w:val="0"/>
                <w:sz w:val="21"/>
                <w:szCs w:val="21"/>
              </w:rPr>
              <w:t>“□”</w:t>
            </w:r>
            <w:r w:rsidRPr="00B77ADC">
              <w:rPr>
                <w:rFonts w:ascii="Times New Roman" w:hAnsi="Times New Roman"/>
                <w:kern w:val="0"/>
                <w:sz w:val="21"/>
                <w:szCs w:val="21"/>
              </w:rPr>
              <w:t>为勾选项，</w:t>
            </w:r>
            <w:r w:rsidRPr="00B77ADC">
              <w:rPr>
                <w:rFonts w:ascii="Times New Roman" w:hAnsi="Times New Roman"/>
                <w:kern w:val="0"/>
                <w:sz w:val="21"/>
                <w:szCs w:val="21"/>
              </w:rPr>
              <w:t>“  ”</w:t>
            </w:r>
            <w:r w:rsidRPr="00B77ADC">
              <w:rPr>
                <w:rFonts w:ascii="Times New Roman" w:hAnsi="Times New Roman"/>
                <w:kern w:val="0"/>
                <w:sz w:val="21"/>
                <w:szCs w:val="21"/>
              </w:rPr>
              <w:t>为填写项。</w:t>
            </w:r>
          </w:p>
        </w:tc>
      </w:tr>
    </w:tbl>
    <w:p w:rsidR="004E3021" w:rsidRDefault="004E3021">
      <w:pPr>
        <w:widowControl/>
        <w:ind w:firstLineChars="0" w:firstLine="0"/>
        <w:jc w:val="left"/>
        <w:rPr>
          <w:rFonts w:eastAsia="黑体"/>
          <w:sz w:val="32"/>
          <w:szCs w:val="32"/>
        </w:rPr>
        <w:sectPr w:rsidR="004E3021">
          <w:pgSz w:w="11907" w:h="16840"/>
          <w:pgMar w:top="1440" w:right="1440" w:bottom="1440" w:left="1440" w:header="851" w:footer="992" w:gutter="0"/>
          <w:cols w:space="720"/>
          <w:docGrid w:type="lines" w:linePitch="326"/>
        </w:sectPr>
      </w:pPr>
    </w:p>
    <w:p w:rsidR="004E3021" w:rsidRDefault="00606E48">
      <w:pPr>
        <w:pStyle w:val="afffffffffffffffff3"/>
      </w:pPr>
      <w:bookmarkStart w:id="559" w:name="_Toc87977854"/>
      <w:bookmarkStart w:id="560" w:name="_Toc221501050"/>
      <w:bookmarkEnd w:id="559"/>
      <w:r>
        <w:rPr>
          <w:rFonts w:hint="eastAsia"/>
        </w:rPr>
        <w:lastRenderedPageBreak/>
        <w:t>5</w:t>
      </w:r>
      <w:r>
        <w:t>.7</w:t>
      </w:r>
      <w:r>
        <w:rPr>
          <w:rFonts w:hint="eastAsia"/>
        </w:rPr>
        <w:t>土壤影响分析</w:t>
      </w:r>
      <w:bookmarkEnd w:id="560"/>
    </w:p>
    <w:p w:rsidR="004E3021" w:rsidRDefault="00606E48">
      <w:pPr>
        <w:pStyle w:val="afffffffffffffffff4"/>
      </w:pPr>
      <w:bookmarkStart w:id="561" w:name="_Toc101135904"/>
      <w:bookmarkStart w:id="562" w:name="_Toc100784072"/>
      <w:bookmarkStart w:id="563" w:name="_Toc108662681"/>
      <w:bookmarkStart w:id="564" w:name="_Toc221088836"/>
      <w:bookmarkStart w:id="565" w:name="_Toc221501051"/>
      <w:r>
        <w:rPr>
          <w:rFonts w:hint="eastAsia"/>
        </w:rPr>
        <w:t>5</w:t>
      </w:r>
      <w:r>
        <w:t>.7.1</w:t>
      </w:r>
      <w:r>
        <w:rPr>
          <w:rFonts w:hint="eastAsia"/>
        </w:rPr>
        <w:t>土壤污染途径识别</w:t>
      </w:r>
      <w:bookmarkEnd w:id="561"/>
      <w:bookmarkEnd w:id="562"/>
      <w:bookmarkEnd w:id="563"/>
      <w:bookmarkEnd w:id="564"/>
      <w:bookmarkEnd w:id="565"/>
    </w:p>
    <w:p w:rsidR="004E3021" w:rsidRDefault="00606E48">
      <w:pPr>
        <w:ind w:firstLine="480"/>
      </w:pPr>
      <w:r>
        <w:rPr>
          <w:rFonts w:ascii="宋体" w:hAnsi="宋体" w:hint="eastAsia"/>
        </w:rPr>
        <w:t>（</w:t>
      </w:r>
      <w:r>
        <w:rPr>
          <w:rFonts w:hint="eastAsia"/>
        </w:rPr>
        <w:t>1</w:t>
      </w:r>
      <w:r>
        <w:rPr>
          <w:rFonts w:ascii="宋体" w:hAnsi="宋体" w:hint="eastAsia"/>
        </w:rPr>
        <w:t>）项目类型</w:t>
      </w:r>
    </w:p>
    <w:p w:rsidR="004E3021" w:rsidRDefault="00606E48">
      <w:pPr>
        <w:ind w:firstLine="480"/>
      </w:pPr>
      <w:r>
        <w:rPr>
          <w:rFonts w:ascii="宋体" w:hAnsi="宋体" w:hint="eastAsia"/>
        </w:rPr>
        <w:t>根据《环境影响评价技术导则</w:t>
      </w:r>
      <w:r>
        <w:rPr>
          <w:rFonts w:hint="eastAsia"/>
        </w:rPr>
        <w:t xml:space="preserve"> </w:t>
      </w:r>
      <w:r>
        <w:rPr>
          <w:rFonts w:hint="eastAsia"/>
        </w:rPr>
        <w:t>土壤环境（试行）》（</w:t>
      </w:r>
      <w:r>
        <w:rPr>
          <w:rFonts w:hint="eastAsia"/>
        </w:rPr>
        <w:t>H</w:t>
      </w:r>
      <w:r>
        <w:t>J964-20198</w:t>
      </w:r>
      <w:r>
        <w:t>）附表</w:t>
      </w:r>
      <w:r>
        <w:t>A.1</w:t>
      </w:r>
      <w:r>
        <w:t>，本项目属于</w:t>
      </w:r>
      <w:r>
        <w:t>“</w:t>
      </w:r>
      <w:r>
        <w:t>制造业</w:t>
      </w:r>
      <w:r>
        <w:t xml:space="preserve"> </w:t>
      </w:r>
      <w:r>
        <w:t>石油化工</w:t>
      </w:r>
      <w:r>
        <w:t xml:space="preserve"> </w:t>
      </w:r>
      <w:r>
        <w:t>化学原料和化学制品制造</w:t>
      </w:r>
      <w:r>
        <w:t>”</w:t>
      </w:r>
      <w:r>
        <w:t>，项目类别为</w:t>
      </w:r>
      <w:r>
        <w:rPr>
          <w:rFonts w:ascii="宋体" w:hAnsi="宋体" w:hint="eastAsia"/>
        </w:rPr>
        <w:t>Ⅰ</w:t>
      </w:r>
      <w:r>
        <w:t>类。</w:t>
      </w:r>
    </w:p>
    <w:p w:rsidR="004E3021" w:rsidRDefault="00606E48">
      <w:pPr>
        <w:ind w:firstLine="480"/>
      </w:pPr>
      <w:r>
        <w:rPr>
          <w:rFonts w:ascii="宋体" w:hAnsi="宋体" w:hint="eastAsia"/>
        </w:rPr>
        <w:t>（</w:t>
      </w:r>
      <w:r>
        <w:rPr>
          <w:rFonts w:hint="eastAsia"/>
        </w:rPr>
        <w:t>2</w:t>
      </w:r>
      <w:r>
        <w:rPr>
          <w:rFonts w:ascii="宋体" w:hAnsi="宋体" w:hint="eastAsia"/>
        </w:rPr>
        <w:t>）项目影响类型及途径</w:t>
      </w:r>
    </w:p>
    <w:p w:rsidR="004E3021" w:rsidRDefault="00606E48">
      <w:pPr>
        <w:ind w:firstLine="480"/>
      </w:pPr>
      <w:r>
        <w:rPr>
          <w:rFonts w:hint="eastAsia"/>
        </w:rPr>
        <w:t>项目生产过程中</w:t>
      </w:r>
      <w:r>
        <w:t>会产生</w:t>
      </w:r>
      <w:r>
        <w:rPr>
          <w:rFonts w:hint="eastAsia"/>
        </w:rPr>
        <w:t>工艺</w:t>
      </w:r>
      <w:r>
        <w:t>废气</w:t>
      </w:r>
      <w:r>
        <w:rPr>
          <w:rFonts w:hint="eastAsia"/>
        </w:rPr>
        <w:t>等</w:t>
      </w:r>
      <w:r>
        <w:t>，主要成分</w:t>
      </w:r>
      <w:r>
        <w:rPr>
          <w:rFonts w:hint="eastAsia"/>
        </w:rPr>
        <w:t>甲醇、</w:t>
      </w:r>
      <w:r w:rsidR="00253EEA">
        <w:rPr>
          <w:rFonts w:hint="eastAsia"/>
        </w:rPr>
        <w:t>非甲烷总烃</w:t>
      </w:r>
      <w:r>
        <w:rPr>
          <w:rFonts w:hint="eastAsia"/>
        </w:rPr>
        <w:t>等，排放</w:t>
      </w:r>
      <w:r>
        <w:t>的废气可因重力沉降或降水的作用迁移至水和土壤中</w:t>
      </w:r>
      <w:r>
        <w:rPr>
          <w:rFonts w:hint="eastAsia"/>
        </w:rPr>
        <w:t>，</w:t>
      </w:r>
      <w:r>
        <w:t>对土壤环境产生一定的影响</w:t>
      </w:r>
      <w:r>
        <w:rPr>
          <w:rFonts w:hint="eastAsia"/>
        </w:rPr>
        <w:t>。</w:t>
      </w:r>
    </w:p>
    <w:p w:rsidR="004E3021" w:rsidRDefault="00606E48">
      <w:pPr>
        <w:ind w:firstLine="480"/>
      </w:pPr>
      <w:r>
        <w:rPr>
          <w:rFonts w:hint="eastAsia"/>
        </w:rPr>
        <w:t>项目</w:t>
      </w:r>
      <w:r>
        <w:t>生产过程</w:t>
      </w:r>
      <w:r>
        <w:rPr>
          <w:rFonts w:hint="eastAsia"/>
        </w:rPr>
        <w:t>中</w:t>
      </w:r>
      <w:r>
        <w:t>产生的</w:t>
      </w:r>
      <w:r>
        <w:rPr>
          <w:rFonts w:hint="eastAsia"/>
        </w:rPr>
        <w:t>各类废水</w:t>
      </w:r>
      <w:r>
        <w:t>经预处理</w:t>
      </w:r>
      <w:r>
        <w:rPr>
          <w:rFonts w:hint="eastAsia"/>
        </w:rPr>
        <w:t>和</w:t>
      </w:r>
      <w:r>
        <w:t>污水处理站处理达标后经总排口排往</w:t>
      </w:r>
      <w:r>
        <w:rPr>
          <w:rFonts w:hint="eastAsia"/>
        </w:rPr>
        <w:t>沫河口污水处理厂</w:t>
      </w:r>
      <w:r>
        <w:t>集中处理</w:t>
      </w:r>
      <w:r>
        <w:rPr>
          <w:rFonts w:hint="eastAsia"/>
        </w:rPr>
        <w:t>；</w:t>
      </w:r>
      <w:r>
        <w:t>厂区污水处理站和污水收集及运送管线等均做好防渗措施，正常工况下不会由于废水排放导致地下水污染</w:t>
      </w:r>
      <w:r>
        <w:rPr>
          <w:rFonts w:hint="eastAsia"/>
        </w:rPr>
        <w:t>。当</w:t>
      </w:r>
      <w:r>
        <w:t>污水收集池发生泄漏或溢出，污水渗入地下造成</w:t>
      </w:r>
      <w:r>
        <w:rPr>
          <w:rFonts w:hint="eastAsia"/>
        </w:rPr>
        <w:t>土壤</w:t>
      </w:r>
      <w:r>
        <w:t>污染；污水收集管线发生泄漏，污水渗入地下造成</w:t>
      </w:r>
      <w:r>
        <w:rPr>
          <w:rFonts w:hint="eastAsia"/>
        </w:rPr>
        <w:t>土壤</w:t>
      </w:r>
      <w:r>
        <w:t>污染；生产车间装置发生泄漏造成地下水污染；仓库、危险废物存放库管理不善或发生泄漏，污染物质</w:t>
      </w:r>
      <w:r>
        <w:rPr>
          <w:rFonts w:hint="eastAsia"/>
        </w:rPr>
        <w:t>垂直入渗</w:t>
      </w:r>
      <w:r>
        <w:t>进入地下造成</w:t>
      </w:r>
      <w:r>
        <w:rPr>
          <w:rFonts w:hint="eastAsia"/>
        </w:rPr>
        <w:t>土壤</w:t>
      </w:r>
      <w:r>
        <w:t>污染等</w:t>
      </w:r>
      <w:r>
        <w:rPr>
          <w:rFonts w:ascii="宋体" w:hAnsi="宋体" w:hint="eastAsia"/>
        </w:rPr>
        <w:t>综上，本项目土壤影响类型见表</w:t>
      </w:r>
      <w:r>
        <w:rPr>
          <w:rFonts w:hint="eastAsia"/>
        </w:rPr>
        <w:t>5.7.1-1</w:t>
      </w:r>
      <w:r>
        <w:rPr>
          <w:rFonts w:ascii="宋体" w:hAnsi="宋体" w:hint="eastAsia"/>
        </w:rPr>
        <w:t>。</w:t>
      </w:r>
    </w:p>
    <w:p w:rsidR="004E3021" w:rsidRDefault="00606E48">
      <w:pPr>
        <w:pStyle w:val="afffff4"/>
        <w:ind w:firstLine="480"/>
      </w:pPr>
      <w:r>
        <w:rPr>
          <w:rFonts w:ascii="黑体" w:hAnsi="黑体" w:hint="eastAsia"/>
        </w:rPr>
        <w:t>表</w:t>
      </w:r>
      <w:r>
        <w:rPr>
          <w:rFonts w:hint="eastAsia"/>
        </w:rPr>
        <w:t>5</w:t>
      </w:r>
      <w:r>
        <w:t>.7.1</w:t>
      </w:r>
      <w:r>
        <w:rPr>
          <w:rFonts w:hint="eastAsia"/>
        </w:rPr>
        <w:t>-</w:t>
      </w:r>
      <w:r>
        <w:t xml:space="preserve">1  </w:t>
      </w:r>
      <w:r>
        <w:rPr>
          <w:rFonts w:ascii="黑体" w:hAnsi="黑体" w:hint="eastAsia"/>
        </w:rPr>
        <w:t>建设项目土壤环境影响类型与影响途径表</w:t>
      </w:r>
    </w:p>
    <w:tbl>
      <w:tblPr>
        <w:tblW w:w="5000" w:type="pct"/>
        <w:jc w:val="center"/>
        <w:tblLook w:val="04A0" w:firstRow="1" w:lastRow="0" w:firstColumn="1" w:lastColumn="0" w:noHBand="0" w:noVBand="1"/>
      </w:tblPr>
      <w:tblGrid>
        <w:gridCol w:w="1480"/>
        <w:gridCol w:w="1242"/>
        <w:gridCol w:w="1242"/>
        <w:gridCol w:w="1242"/>
        <w:gridCol w:w="764"/>
        <w:gridCol w:w="764"/>
        <w:gridCol w:w="764"/>
        <w:gridCol w:w="764"/>
        <w:gridCol w:w="765"/>
      </w:tblGrid>
      <w:tr w:rsidR="004E3021" w:rsidRPr="00253EEA">
        <w:trPr>
          <w:jc w:val="center"/>
        </w:trPr>
        <w:tc>
          <w:tcPr>
            <w:tcW w:w="820" w:type="pct"/>
            <w:vMerge w:val="restart"/>
            <w:tcBorders>
              <w:top w:val="single" w:sz="12" w:space="0" w:color="auto"/>
              <w:left w:val="nil"/>
              <w:bottom w:val="single" w:sz="4" w:space="0" w:color="auto"/>
              <w:right w:val="single" w:sz="4" w:space="0" w:color="auto"/>
            </w:tcBorders>
            <w:vAlign w:val="center"/>
          </w:tcPr>
          <w:p w:rsidR="004E3021" w:rsidRPr="00253EEA" w:rsidRDefault="00606E48">
            <w:pPr>
              <w:pStyle w:val="afffffff2"/>
              <w:rPr>
                <w:b/>
                <w:kern w:val="0"/>
                <w:sz w:val="21"/>
                <w:szCs w:val="21"/>
              </w:rPr>
            </w:pPr>
            <w:r w:rsidRPr="00253EEA">
              <w:rPr>
                <w:rFonts w:hint="eastAsia"/>
                <w:b/>
                <w:kern w:val="0"/>
                <w:sz w:val="21"/>
                <w:szCs w:val="21"/>
              </w:rPr>
              <w:t>不同时段</w:t>
            </w:r>
          </w:p>
        </w:tc>
        <w:tc>
          <w:tcPr>
            <w:tcW w:w="2487" w:type="pct"/>
            <w:gridSpan w:val="4"/>
            <w:tcBorders>
              <w:top w:val="single" w:sz="12" w:space="0" w:color="auto"/>
              <w:left w:val="single" w:sz="4" w:space="0" w:color="auto"/>
              <w:bottom w:val="single" w:sz="4" w:space="0" w:color="auto"/>
              <w:right w:val="single" w:sz="4" w:space="0" w:color="auto"/>
            </w:tcBorders>
            <w:vAlign w:val="center"/>
          </w:tcPr>
          <w:p w:rsidR="004E3021" w:rsidRPr="00253EEA" w:rsidRDefault="00606E48">
            <w:pPr>
              <w:pStyle w:val="afffffff2"/>
              <w:rPr>
                <w:b/>
                <w:kern w:val="0"/>
                <w:sz w:val="21"/>
                <w:szCs w:val="21"/>
              </w:rPr>
            </w:pPr>
            <w:r w:rsidRPr="00253EEA">
              <w:rPr>
                <w:rFonts w:hint="eastAsia"/>
                <w:b/>
                <w:kern w:val="0"/>
                <w:sz w:val="21"/>
                <w:szCs w:val="21"/>
              </w:rPr>
              <w:t>污染影响型</w:t>
            </w:r>
          </w:p>
        </w:tc>
        <w:tc>
          <w:tcPr>
            <w:tcW w:w="1693" w:type="pct"/>
            <w:gridSpan w:val="4"/>
            <w:tcBorders>
              <w:top w:val="single" w:sz="12" w:space="0" w:color="auto"/>
              <w:left w:val="single" w:sz="4" w:space="0" w:color="auto"/>
              <w:bottom w:val="single" w:sz="4" w:space="0" w:color="auto"/>
              <w:right w:val="nil"/>
            </w:tcBorders>
            <w:vAlign w:val="center"/>
          </w:tcPr>
          <w:p w:rsidR="004E3021" w:rsidRPr="00253EEA" w:rsidRDefault="00606E48">
            <w:pPr>
              <w:pStyle w:val="afffffff2"/>
              <w:rPr>
                <w:b/>
                <w:kern w:val="0"/>
                <w:sz w:val="21"/>
                <w:szCs w:val="21"/>
              </w:rPr>
            </w:pPr>
            <w:r w:rsidRPr="00253EEA">
              <w:rPr>
                <w:rFonts w:hint="eastAsia"/>
                <w:b/>
                <w:kern w:val="0"/>
                <w:sz w:val="21"/>
                <w:szCs w:val="21"/>
              </w:rPr>
              <w:t>生态影响型</w:t>
            </w:r>
          </w:p>
        </w:tc>
      </w:tr>
      <w:tr w:rsidR="004E3021" w:rsidRPr="00253EEA">
        <w:trPr>
          <w:jc w:val="center"/>
        </w:trPr>
        <w:tc>
          <w:tcPr>
            <w:tcW w:w="0" w:type="auto"/>
            <w:vMerge/>
            <w:tcBorders>
              <w:top w:val="single" w:sz="12" w:space="0" w:color="auto"/>
              <w:left w:val="nil"/>
              <w:bottom w:val="single" w:sz="4" w:space="0" w:color="auto"/>
              <w:right w:val="single" w:sz="4" w:space="0" w:color="auto"/>
            </w:tcBorders>
            <w:vAlign w:val="center"/>
          </w:tcPr>
          <w:p w:rsidR="004E3021" w:rsidRPr="00253EEA" w:rsidRDefault="004E3021">
            <w:pPr>
              <w:pStyle w:val="afffffff2"/>
              <w:rPr>
                <w:b/>
                <w:kern w:val="0"/>
                <w:sz w:val="21"/>
                <w:szCs w:val="21"/>
              </w:rPr>
            </w:pPr>
          </w:p>
        </w:tc>
        <w:tc>
          <w:tcPr>
            <w:tcW w:w="688" w:type="pct"/>
            <w:tcBorders>
              <w:top w:val="single" w:sz="4" w:space="0" w:color="auto"/>
              <w:left w:val="single" w:sz="4" w:space="0" w:color="auto"/>
              <w:bottom w:val="single" w:sz="4" w:space="0" w:color="auto"/>
              <w:right w:val="single" w:sz="4" w:space="0" w:color="auto"/>
            </w:tcBorders>
            <w:vAlign w:val="center"/>
          </w:tcPr>
          <w:p w:rsidR="004E3021" w:rsidRPr="00253EEA" w:rsidRDefault="00606E48">
            <w:pPr>
              <w:pStyle w:val="afffffff2"/>
              <w:rPr>
                <w:b/>
                <w:kern w:val="0"/>
                <w:sz w:val="21"/>
                <w:szCs w:val="21"/>
              </w:rPr>
            </w:pPr>
            <w:r w:rsidRPr="00253EEA">
              <w:rPr>
                <w:rFonts w:hint="eastAsia"/>
                <w:b/>
                <w:kern w:val="0"/>
                <w:sz w:val="21"/>
                <w:szCs w:val="21"/>
              </w:rPr>
              <w:t>大气沉降</w:t>
            </w:r>
          </w:p>
        </w:tc>
        <w:tc>
          <w:tcPr>
            <w:tcW w:w="688" w:type="pct"/>
            <w:tcBorders>
              <w:top w:val="single" w:sz="4" w:space="0" w:color="auto"/>
              <w:left w:val="single" w:sz="4" w:space="0" w:color="auto"/>
              <w:bottom w:val="single" w:sz="4" w:space="0" w:color="auto"/>
              <w:right w:val="single" w:sz="4" w:space="0" w:color="auto"/>
            </w:tcBorders>
            <w:vAlign w:val="center"/>
          </w:tcPr>
          <w:p w:rsidR="004E3021" w:rsidRPr="00253EEA" w:rsidRDefault="00606E48">
            <w:pPr>
              <w:pStyle w:val="afffffff2"/>
              <w:rPr>
                <w:b/>
                <w:kern w:val="0"/>
                <w:sz w:val="21"/>
                <w:szCs w:val="21"/>
              </w:rPr>
            </w:pPr>
            <w:r w:rsidRPr="00253EEA">
              <w:rPr>
                <w:rFonts w:hint="eastAsia"/>
                <w:b/>
                <w:kern w:val="0"/>
                <w:sz w:val="21"/>
                <w:szCs w:val="21"/>
              </w:rPr>
              <w:t>地面漫流</w:t>
            </w:r>
          </w:p>
        </w:tc>
        <w:tc>
          <w:tcPr>
            <w:tcW w:w="688" w:type="pct"/>
            <w:tcBorders>
              <w:top w:val="single" w:sz="4" w:space="0" w:color="auto"/>
              <w:left w:val="single" w:sz="4" w:space="0" w:color="auto"/>
              <w:bottom w:val="single" w:sz="4" w:space="0" w:color="auto"/>
              <w:right w:val="single" w:sz="4" w:space="0" w:color="auto"/>
            </w:tcBorders>
            <w:vAlign w:val="center"/>
          </w:tcPr>
          <w:p w:rsidR="004E3021" w:rsidRPr="00253EEA" w:rsidRDefault="00606E48">
            <w:pPr>
              <w:pStyle w:val="afffffff2"/>
              <w:rPr>
                <w:b/>
                <w:kern w:val="0"/>
                <w:sz w:val="21"/>
                <w:szCs w:val="21"/>
              </w:rPr>
            </w:pPr>
            <w:r w:rsidRPr="00253EEA">
              <w:rPr>
                <w:rFonts w:hint="eastAsia"/>
                <w:b/>
                <w:kern w:val="0"/>
                <w:sz w:val="21"/>
                <w:szCs w:val="21"/>
              </w:rPr>
              <w:t>垂直入渗</w:t>
            </w:r>
          </w:p>
        </w:tc>
        <w:tc>
          <w:tcPr>
            <w:tcW w:w="423" w:type="pct"/>
            <w:tcBorders>
              <w:top w:val="single" w:sz="4" w:space="0" w:color="auto"/>
              <w:left w:val="single" w:sz="4" w:space="0" w:color="auto"/>
              <w:bottom w:val="single" w:sz="4" w:space="0" w:color="auto"/>
              <w:right w:val="single" w:sz="4" w:space="0" w:color="auto"/>
            </w:tcBorders>
            <w:vAlign w:val="center"/>
          </w:tcPr>
          <w:p w:rsidR="004E3021" w:rsidRPr="00253EEA" w:rsidRDefault="00606E48">
            <w:pPr>
              <w:pStyle w:val="afffffff2"/>
              <w:rPr>
                <w:b/>
                <w:kern w:val="0"/>
                <w:sz w:val="21"/>
                <w:szCs w:val="21"/>
              </w:rPr>
            </w:pPr>
            <w:r w:rsidRPr="00253EEA">
              <w:rPr>
                <w:rFonts w:hint="eastAsia"/>
                <w:b/>
                <w:kern w:val="0"/>
                <w:sz w:val="21"/>
                <w:szCs w:val="21"/>
              </w:rPr>
              <w:t>其他</w:t>
            </w:r>
          </w:p>
        </w:tc>
        <w:tc>
          <w:tcPr>
            <w:tcW w:w="423" w:type="pct"/>
            <w:tcBorders>
              <w:top w:val="single" w:sz="4" w:space="0" w:color="auto"/>
              <w:left w:val="single" w:sz="4" w:space="0" w:color="auto"/>
              <w:bottom w:val="single" w:sz="4" w:space="0" w:color="auto"/>
              <w:right w:val="single" w:sz="4" w:space="0" w:color="auto"/>
            </w:tcBorders>
            <w:vAlign w:val="center"/>
          </w:tcPr>
          <w:p w:rsidR="004E3021" w:rsidRPr="00253EEA" w:rsidRDefault="00606E48">
            <w:pPr>
              <w:pStyle w:val="afffffff2"/>
              <w:rPr>
                <w:b/>
                <w:kern w:val="0"/>
                <w:sz w:val="21"/>
                <w:szCs w:val="21"/>
              </w:rPr>
            </w:pPr>
            <w:r w:rsidRPr="00253EEA">
              <w:rPr>
                <w:rFonts w:hint="eastAsia"/>
                <w:b/>
                <w:kern w:val="0"/>
                <w:sz w:val="21"/>
                <w:szCs w:val="21"/>
              </w:rPr>
              <w:t>盐化</w:t>
            </w:r>
          </w:p>
        </w:tc>
        <w:tc>
          <w:tcPr>
            <w:tcW w:w="423" w:type="pct"/>
            <w:tcBorders>
              <w:top w:val="single" w:sz="4" w:space="0" w:color="auto"/>
              <w:left w:val="single" w:sz="4" w:space="0" w:color="auto"/>
              <w:bottom w:val="single" w:sz="4" w:space="0" w:color="auto"/>
              <w:right w:val="single" w:sz="4" w:space="0" w:color="auto"/>
            </w:tcBorders>
            <w:vAlign w:val="center"/>
          </w:tcPr>
          <w:p w:rsidR="004E3021" w:rsidRPr="00253EEA" w:rsidRDefault="00606E48">
            <w:pPr>
              <w:pStyle w:val="afffffff2"/>
              <w:rPr>
                <w:b/>
                <w:kern w:val="0"/>
                <w:sz w:val="21"/>
                <w:szCs w:val="21"/>
              </w:rPr>
            </w:pPr>
            <w:r w:rsidRPr="00253EEA">
              <w:rPr>
                <w:rFonts w:hint="eastAsia"/>
                <w:b/>
                <w:kern w:val="0"/>
                <w:sz w:val="21"/>
                <w:szCs w:val="21"/>
              </w:rPr>
              <w:t>碱化</w:t>
            </w:r>
          </w:p>
        </w:tc>
        <w:tc>
          <w:tcPr>
            <w:tcW w:w="423" w:type="pct"/>
            <w:tcBorders>
              <w:top w:val="single" w:sz="4" w:space="0" w:color="auto"/>
              <w:left w:val="single" w:sz="4" w:space="0" w:color="auto"/>
              <w:bottom w:val="single" w:sz="4" w:space="0" w:color="auto"/>
              <w:right w:val="single" w:sz="4" w:space="0" w:color="auto"/>
            </w:tcBorders>
            <w:vAlign w:val="center"/>
          </w:tcPr>
          <w:p w:rsidR="004E3021" w:rsidRPr="00253EEA" w:rsidRDefault="00606E48">
            <w:pPr>
              <w:pStyle w:val="afffffff2"/>
              <w:rPr>
                <w:b/>
                <w:kern w:val="0"/>
                <w:sz w:val="21"/>
                <w:szCs w:val="21"/>
              </w:rPr>
            </w:pPr>
            <w:r w:rsidRPr="00253EEA">
              <w:rPr>
                <w:rFonts w:hint="eastAsia"/>
                <w:b/>
                <w:kern w:val="0"/>
                <w:sz w:val="21"/>
                <w:szCs w:val="21"/>
              </w:rPr>
              <w:t>酸化</w:t>
            </w:r>
          </w:p>
        </w:tc>
        <w:tc>
          <w:tcPr>
            <w:tcW w:w="424" w:type="pct"/>
            <w:tcBorders>
              <w:top w:val="single" w:sz="4" w:space="0" w:color="auto"/>
              <w:left w:val="single" w:sz="4" w:space="0" w:color="auto"/>
              <w:bottom w:val="single" w:sz="4" w:space="0" w:color="auto"/>
              <w:right w:val="nil"/>
            </w:tcBorders>
            <w:vAlign w:val="center"/>
          </w:tcPr>
          <w:p w:rsidR="004E3021" w:rsidRPr="00253EEA" w:rsidRDefault="00606E48">
            <w:pPr>
              <w:pStyle w:val="afffffff2"/>
              <w:rPr>
                <w:b/>
                <w:kern w:val="0"/>
                <w:sz w:val="21"/>
                <w:szCs w:val="21"/>
              </w:rPr>
            </w:pPr>
            <w:r w:rsidRPr="00253EEA">
              <w:rPr>
                <w:rFonts w:hint="eastAsia"/>
                <w:b/>
                <w:kern w:val="0"/>
                <w:sz w:val="21"/>
                <w:szCs w:val="21"/>
              </w:rPr>
              <w:t>其他</w:t>
            </w:r>
          </w:p>
        </w:tc>
      </w:tr>
      <w:tr w:rsidR="004E3021" w:rsidRPr="00253EEA">
        <w:trPr>
          <w:jc w:val="center"/>
        </w:trPr>
        <w:tc>
          <w:tcPr>
            <w:tcW w:w="820" w:type="pct"/>
            <w:tcBorders>
              <w:top w:val="single" w:sz="4" w:space="0" w:color="auto"/>
              <w:left w:val="nil"/>
              <w:bottom w:val="single" w:sz="4" w:space="0" w:color="auto"/>
              <w:right w:val="single" w:sz="4" w:space="0" w:color="auto"/>
            </w:tcBorders>
            <w:vAlign w:val="center"/>
          </w:tcPr>
          <w:p w:rsidR="004E3021" w:rsidRPr="00253EEA" w:rsidRDefault="00606E48">
            <w:pPr>
              <w:pStyle w:val="afffffff2"/>
              <w:rPr>
                <w:kern w:val="0"/>
                <w:sz w:val="21"/>
                <w:szCs w:val="21"/>
              </w:rPr>
            </w:pPr>
            <w:r w:rsidRPr="00253EEA">
              <w:rPr>
                <w:rFonts w:hint="eastAsia"/>
                <w:kern w:val="0"/>
                <w:sz w:val="21"/>
                <w:szCs w:val="21"/>
              </w:rPr>
              <w:t>建设期</w:t>
            </w:r>
          </w:p>
        </w:tc>
        <w:tc>
          <w:tcPr>
            <w:tcW w:w="688"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688"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688"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423"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423"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423"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423"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424" w:type="pct"/>
            <w:tcBorders>
              <w:top w:val="single" w:sz="4" w:space="0" w:color="auto"/>
              <w:left w:val="single" w:sz="4" w:space="0" w:color="auto"/>
              <w:bottom w:val="single" w:sz="4" w:space="0" w:color="auto"/>
              <w:right w:val="nil"/>
            </w:tcBorders>
            <w:vAlign w:val="center"/>
          </w:tcPr>
          <w:p w:rsidR="004E3021" w:rsidRPr="00253EEA" w:rsidRDefault="004E3021">
            <w:pPr>
              <w:pStyle w:val="afffffff2"/>
              <w:rPr>
                <w:kern w:val="0"/>
                <w:sz w:val="21"/>
                <w:szCs w:val="21"/>
              </w:rPr>
            </w:pPr>
          </w:p>
        </w:tc>
      </w:tr>
      <w:tr w:rsidR="004E3021" w:rsidRPr="00253EEA">
        <w:trPr>
          <w:jc w:val="center"/>
        </w:trPr>
        <w:tc>
          <w:tcPr>
            <w:tcW w:w="820" w:type="pct"/>
            <w:tcBorders>
              <w:top w:val="single" w:sz="4" w:space="0" w:color="auto"/>
              <w:left w:val="nil"/>
              <w:bottom w:val="single" w:sz="4" w:space="0" w:color="auto"/>
              <w:right w:val="single" w:sz="4" w:space="0" w:color="auto"/>
            </w:tcBorders>
            <w:vAlign w:val="center"/>
          </w:tcPr>
          <w:p w:rsidR="004E3021" w:rsidRPr="00253EEA" w:rsidRDefault="00606E48">
            <w:pPr>
              <w:pStyle w:val="afffffff2"/>
              <w:rPr>
                <w:kern w:val="0"/>
                <w:sz w:val="21"/>
                <w:szCs w:val="21"/>
              </w:rPr>
            </w:pPr>
            <w:r w:rsidRPr="00253EEA">
              <w:rPr>
                <w:rFonts w:hint="eastAsia"/>
                <w:kern w:val="0"/>
                <w:sz w:val="21"/>
                <w:szCs w:val="21"/>
              </w:rPr>
              <w:t>运营期</w:t>
            </w:r>
          </w:p>
        </w:tc>
        <w:tc>
          <w:tcPr>
            <w:tcW w:w="688" w:type="pct"/>
            <w:tcBorders>
              <w:top w:val="single" w:sz="4" w:space="0" w:color="auto"/>
              <w:left w:val="single" w:sz="4" w:space="0" w:color="auto"/>
              <w:bottom w:val="single" w:sz="4" w:space="0" w:color="auto"/>
              <w:right w:val="single" w:sz="4" w:space="0" w:color="auto"/>
            </w:tcBorders>
            <w:vAlign w:val="center"/>
          </w:tcPr>
          <w:p w:rsidR="004E3021" w:rsidRPr="00253EEA" w:rsidRDefault="00606E48">
            <w:pPr>
              <w:pStyle w:val="afffffff2"/>
              <w:rPr>
                <w:kern w:val="0"/>
                <w:sz w:val="21"/>
                <w:szCs w:val="21"/>
              </w:rPr>
            </w:pPr>
            <w:r w:rsidRPr="00253EEA">
              <w:rPr>
                <w:rFonts w:hint="eastAsia"/>
                <w:kern w:val="0"/>
                <w:sz w:val="21"/>
                <w:szCs w:val="21"/>
              </w:rPr>
              <w:t>√</w:t>
            </w:r>
          </w:p>
        </w:tc>
        <w:tc>
          <w:tcPr>
            <w:tcW w:w="688"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688" w:type="pct"/>
            <w:tcBorders>
              <w:top w:val="single" w:sz="4" w:space="0" w:color="auto"/>
              <w:left w:val="single" w:sz="4" w:space="0" w:color="auto"/>
              <w:bottom w:val="single" w:sz="4" w:space="0" w:color="auto"/>
              <w:right w:val="single" w:sz="4" w:space="0" w:color="auto"/>
            </w:tcBorders>
            <w:vAlign w:val="center"/>
          </w:tcPr>
          <w:p w:rsidR="004E3021" w:rsidRPr="00253EEA" w:rsidRDefault="00606E48">
            <w:pPr>
              <w:pStyle w:val="afffffff2"/>
              <w:rPr>
                <w:kern w:val="0"/>
                <w:sz w:val="21"/>
                <w:szCs w:val="21"/>
              </w:rPr>
            </w:pPr>
            <w:r w:rsidRPr="00253EEA">
              <w:rPr>
                <w:rFonts w:hint="eastAsia"/>
                <w:kern w:val="0"/>
                <w:sz w:val="21"/>
                <w:szCs w:val="21"/>
              </w:rPr>
              <w:t>√</w:t>
            </w:r>
          </w:p>
        </w:tc>
        <w:tc>
          <w:tcPr>
            <w:tcW w:w="423"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423"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423"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423"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424" w:type="pct"/>
            <w:tcBorders>
              <w:top w:val="single" w:sz="4" w:space="0" w:color="auto"/>
              <w:left w:val="single" w:sz="4" w:space="0" w:color="auto"/>
              <w:bottom w:val="single" w:sz="4" w:space="0" w:color="auto"/>
              <w:right w:val="nil"/>
            </w:tcBorders>
            <w:vAlign w:val="center"/>
          </w:tcPr>
          <w:p w:rsidR="004E3021" w:rsidRPr="00253EEA" w:rsidRDefault="004E3021">
            <w:pPr>
              <w:pStyle w:val="afffffff2"/>
              <w:rPr>
                <w:kern w:val="0"/>
                <w:sz w:val="21"/>
                <w:szCs w:val="21"/>
              </w:rPr>
            </w:pPr>
          </w:p>
        </w:tc>
      </w:tr>
      <w:tr w:rsidR="004E3021" w:rsidRPr="00253EEA">
        <w:trPr>
          <w:jc w:val="center"/>
        </w:trPr>
        <w:tc>
          <w:tcPr>
            <w:tcW w:w="820" w:type="pct"/>
            <w:tcBorders>
              <w:top w:val="single" w:sz="4" w:space="0" w:color="auto"/>
              <w:left w:val="nil"/>
              <w:bottom w:val="single" w:sz="4" w:space="0" w:color="auto"/>
              <w:right w:val="single" w:sz="4" w:space="0" w:color="auto"/>
            </w:tcBorders>
            <w:vAlign w:val="center"/>
          </w:tcPr>
          <w:p w:rsidR="004E3021" w:rsidRPr="00253EEA" w:rsidRDefault="00606E48">
            <w:pPr>
              <w:pStyle w:val="afffffff2"/>
              <w:rPr>
                <w:kern w:val="0"/>
                <w:sz w:val="21"/>
                <w:szCs w:val="21"/>
              </w:rPr>
            </w:pPr>
            <w:r w:rsidRPr="00253EEA">
              <w:rPr>
                <w:rFonts w:hint="eastAsia"/>
                <w:kern w:val="0"/>
                <w:sz w:val="21"/>
                <w:szCs w:val="21"/>
              </w:rPr>
              <w:t>服务期满后</w:t>
            </w:r>
          </w:p>
        </w:tc>
        <w:tc>
          <w:tcPr>
            <w:tcW w:w="688"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688"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688"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423"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423"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423"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423" w:type="pct"/>
            <w:tcBorders>
              <w:top w:val="single" w:sz="4" w:space="0" w:color="auto"/>
              <w:left w:val="single" w:sz="4" w:space="0" w:color="auto"/>
              <w:bottom w:val="single" w:sz="4" w:space="0" w:color="auto"/>
              <w:right w:val="single" w:sz="4" w:space="0" w:color="auto"/>
            </w:tcBorders>
            <w:vAlign w:val="center"/>
          </w:tcPr>
          <w:p w:rsidR="004E3021" w:rsidRPr="00253EEA" w:rsidRDefault="004E3021">
            <w:pPr>
              <w:pStyle w:val="afffffff2"/>
              <w:rPr>
                <w:kern w:val="0"/>
                <w:sz w:val="21"/>
                <w:szCs w:val="21"/>
              </w:rPr>
            </w:pPr>
          </w:p>
        </w:tc>
        <w:tc>
          <w:tcPr>
            <w:tcW w:w="424" w:type="pct"/>
            <w:tcBorders>
              <w:top w:val="single" w:sz="4" w:space="0" w:color="auto"/>
              <w:left w:val="single" w:sz="4" w:space="0" w:color="auto"/>
              <w:bottom w:val="single" w:sz="4" w:space="0" w:color="auto"/>
              <w:right w:val="nil"/>
            </w:tcBorders>
            <w:vAlign w:val="center"/>
          </w:tcPr>
          <w:p w:rsidR="004E3021" w:rsidRPr="00253EEA" w:rsidRDefault="004E3021">
            <w:pPr>
              <w:pStyle w:val="afffffff2"/>
              <w:rPr>
                <w:kern w:val="0"/>
                <w:sz w:val="21"/>
                <w:szCs w:val="21"/>
              </w:rPr>
            </w:pPr>
          </w:p>
        </w:tc>
      </w:tr>
      <w:tr w:rsidR="004E3021" w:rsidRPr="00253EEA">
        <w:trPr>
          <w:jc w:val="center"/>
        </w:trPr>
        <w:tc>
          <w:tcPr>
            <w:tcW w:w="5000" w:type="pct"/>
            <w:gridSpan w:val="9"/>
            <w:tcBorders>
              <w:top w:val="single" w:sz="4" w:space="0" w:color="auto"/>
              <w:left w:val="nil"/>
              <w:bottom w:val="single" w:sz="12" w:space="0" w:color="auto"/>
              <w:right w:val="nil"/>
            </w:tcBorders>
            <w:vAlign w:val="center"/>
          </w:tcPr>
          <w:p w:rsidR="004E3021" w:rsidRPr="00253EEA" w:rsidRDefault="00606E48">
            <w:pPr>
              <w:pStyle w:val="afffffff2"/>
              <w:rPr>
                <w:kern w:val="0"/>
                <w:sz w:val="21"/>
                <w:szCs w:val="21"/>
              </w:rPr>
            </w:pPr>
            <w:r w:rsidRPr="00253EEA">
              <w:rPr>
                <w:rFonts w:hint="eastAsia"/>
                <w:kern w:val="0"/>
                <w:sz w:val="21"/>
                <w:szCs w:val="21"/>
              </w:rPr>
              <w:t>注：在可能产生的土壤环境影响类型处打“√”，列表未涵盖的可自行设计。</w:t>
            </w:r>
          </w:p>
        </w:tc>
      </w:tr>
    </w:tbl>
    <w:p w:rsidR="004E3021" w:rsidRDefault="00606E48">
      <w:pPr>
        <w:ind w:firstLine="480"/>
      </w:pPr>
      <w:r>
        <w:rPr>
          <w:rFonts w:ascii="宋体" w:hAnsi="宋体" w:hint="eastAsia"/>
        </w:rPr>
        <w:t>由上表可知，本项目土壤环境影响途径主要为运营期大气沉降</w:t>
      </w:r>
      <w:r>
        <w:rPr>
          <w:rFonts w:ascii="宋体" w:hAnsi="宋体"/>
        </w:rPr>
        <w:t>和</w:t>
      </w:r>
      <w:r>
        <w:rPr>
          <w:rFonts w:ascii="宋体" w:hAnsi="宋体" w:hint="eastAsia"/>
        </w:rPr>
        <w:t>垂直入渗污染。因此项目土壤环境影响类型为</w:t>
      </w:r>
      <w:r>
        <w:rPr>
          <w:rFonts w:hint="eastAsia"/>
        </w:rPr>
        <w:t>“污染影响型”，应分别开展评价工作。</w:t>
      </w:r>
    </w:p>
    <w:p w:rsidR="004E3021" w:rsidRDefault="00606E48">
      <w:pPr>
        <w:ind w:firstLine="480"/>
        <w:rPr>
          <w:lang w:val="zh-CN"/>
        </w:rPr>
      </w:pPr>
      <w:r>
        <w:rPr>
          <w:rFonts w:hint="eastAsia"/>
          <w:lang w:val="zh-CN"/>
        </w:rPr>
        <w:t>（</w:t>
      </w:r>
      <w:r>
        <w:rPr>
          <w:rFonts w:hint="eastAsia"/>
          <w:lang w:val="zh-CN"/>
        </w:rPr>
        <w:t>3</w:t>
      </w:r>
      <w:r>
        <w:rPr>
          <w:rFonts w:hint="eastAsia"/>
          <w:lang w:val="zh-CN"/>
        </w:rPr>
        <w:t>）</w:t>
      </w:r>
      <w:r>
        <w:rPr>
          <w:rFonts w:hint="eastAsia"/>
        </w:rPr>
        <w:t>影响源及影响因子</w:t>
      </w:r>
    </w:p>
    <w:p w:rsidR="004E3021" w:rsidRDefault="00606E48">
      <w:pPr>
        <w:ind w:firstLine="480"/>
        <w:sectPr w:rsidR="004E3021">
          <w:pgSz w:w="11907" w:h="16840"/>
          <w:pgMar w:top="1440" w:right="1440" w:bottom="1440" w:left="1440" w:header="851" w:footer="992" w:gutter="0"/>
          <w:cols w:space="425"/>
          <w:docGrid w:type="lines" w:linePitch="326"/>
        </w:sectPr>
      </w:pPr>
      <w:r>
        <w:rPr>
          <w:rFonts w:hint="eastAsia"/>
        </w:rPr>
        <w:t>项目土壤环境影响源及影响因子识别结果见表</w:t>
      </w:r>
      <w:r>
        <w:rPr>
          <w:rFonts w:hint="eastAsia"/>
        </w:rPr>
        <w:t>5</w:t>
      </w:r>
      <w:r>
        <w:t>.7.1</w:t>
      </w:r>
      <w:r>
        <w:rPr>
          <w:rFonts w:hint="eastAsia"/>
        </w:rPr>
        <w:t>-</w:t>
      </w:r>
      <w:r>
        <w:t>2</w:t>
      </w:r>
      <w:r>
        <w:rPr>
          <w:rFonts w:hint="eastAsia"/>
        </w:rPr>
        <w:t>。</w:t>
      </w:r>
    </w:p>
    <w:p w:rsidR="004E3021" w:rsidRDefault="00606E48">
      <w:pPr>
        <w:pStyle w:val="afffff4"/>
      </w:pPr>
      <w:r>
        <w:rPr>
          <w:rFonts w:hint="eastAsia"/>
        </w:rPr>
        <w:lastRenderedPageBreak/>
        <w:t>表</w:t>
      </w:r>
      <w:r>
        <w:rPr>
          <w:rFonts w:hint="eastAsia"/>
        </w:rPr>
        <w:t>5</w:t>
      </w:r>
      <w:r>
        <w:t>.7.1</w:t>
      </w:r>
      <w:r>
        <w:rPr>
          <w:rFonts w:hint="eastAsia"/>
        </w:rPr>
        <w:t>-</w:t>
      </w:r>
      <w:r>
        <w:t xml:space="preserve">2   </w:t>
      </w:r>
      <w:r>
        <w:rPr>
          <w:rFonts w:hint="eastAsia"/>
        </w:rPr>
        <w:t>污染影响型土壤环境影响源及影响因子识别表</w:t>
      </w:r>
    </w:p>
    <w:tbl>
      <w:tblPr>
        <w:tblStyle w:val="1ffffffd"/>
        <w:tblW w:w="4843" w:type="pct"/>
        <w:tblLayout w:type="fixed"/>
        <w:tblLook w:val="04A0" w:firstRow="1" w:lastRow="0" w:firstColumn="1" w:lastColumn="0" w:noHBand="0" w:noVBand="1"/>
      </w:tblPr>
      <w:tblGrid>
        <w:gridCol w:w="1276"/>
        <w:gridCol w:w="1639"/>
        <w:gridCol w:w="1338"/>
        <w:gridCol w:w="1576"/>
        <w:gridCol w:w="1457"/>
        <w:gridCol w:w="1458"/>
      </w:tblGrid>
      <w:tr w:rsidR="004E3021" w:rsidRPr="00253EEA" w:rsidTr="00253EEA">
        <w:tc>
          <w:tcPr>
            <w:tcW w:w="1276" w:type="dxa"/>
            <w:vAlign w:val="center"/>
          </w:tcPr>
          <w:p w:rsidR="004E3021" w:rsidRPr="00253EEA" w:rsidRDefault="00606E48" w:rsidP="00253EEA">
            <w:pPr>
              <w:pStyle w:val="afffffff2"/>
              <w:rPr>
                <w:rFonts w:ascii="Times New Roman" w:hAnsi="Times New Roman" w:cs="Times New Roman"/>
                <w:b/>
                <w:kern w:val="0"/>
                <w:sz w:val="21"/>
                <w:szCs w:val="21"/>
              </w:rPr>
            </w:pPr>
            <w:r w:rsidRPr="00253EEA">
              <w:rPr>
                <w:rFonts w:ascii="Times New Roman" w:hAnsi="Times New Roman" w:cs="Times New Roman"/>
                <w:b/>
                <w:kern w:val="0"/>
                <w:sz w:val="21"/>
                <w:szCs w:val="21"/>
              </w:rPr>
              <w:t>污染源</w:t>
            </w:r>
          </w:p>
        </w:tc>
        <w:tc>
          <w:tcPr>
            <w:tcW w:w="1637" w:type="dxa"/>
            <w:vAlign w:val="center"/>
          </w:tcPr>
          <w:p w:rsidR="004E3021" w:rsidRPr="00253EEA" w:rsidRDefault="00606E48" w:rsidP="00253EEA">
            <w:pPr>
              <w:pStyle w:val="afffffff2"/>
              <w:rPr>
                <w:rFonts w:ascii="Times New Roman" w:hAnsi="Times New Roman" w:cs="Times New Roman"/>
                <w:b/>
                <w:kern w:val="0"/>
                <w:sz w:val="21"/>
                <w:szCs w:val="21"/>
              </w:rPr>
            </w:pPr>
            <w:r w:rsidRPr="00253EEA">
              <w:rPr>
                <w:rFonts w:ascii="Times New Roman" w:hAnsi="Times New Roman" w:cs="Times New Roman"/>
                <w:b/>
                <w:kern w:val="0"/>
                <w:sz w:val="21"/>
                <w:szCs w:val="21"/>
              </w:rPr>
              <w:t>工艺流程</w:t>
            </w:r>
            <w:r w:rsidRPr="00253EEA">
              <w:rPr>
                <w:rFonts w:ascii="Times New Roman" w:hAnsi="Times New Roman" w:cs="Times New Roman"/>
                <w:b/>
                <w:kern w:val="0"/>
                <w:sz w:val="21"/>
                <w:szCs w:val="21"/>
              </w:rPr>
              <w:t>/</w:t>
            </w:r>
            <w:r w:rsidRPr="00253EEA">
              <w:rPr>
                <w:rFonts w:ascii="Times New Roman" w:hAnsi="Times New Roman" w:cs="Times New Roman"/>
                <w:b/>
                <w:kern w:val="0"/>
                <w:sz w:val="21"/>
                <w:szCs w:val="21"/>
              </w:rPr>
              <w:t>节点</w:t>
            </w:r>
          </w:p>
        </w:tc>
        <w:tc>
          <w:tcPr>
            <w:tcW w:w="1336" w:type="dxa"/>
            <w:vAlign w:val="center"/>
          </w:tcPr>
          <w:p w:rsidR="004E3021" w:rsidRPr="00253EEA" w:rsidRDefault="00606E48" w:rsidP="00253EEA">
            <w:pPr>
              <w:pStyle w:val="afffffff2"/>
              <w:rPr>
                <w:rFonts w:ascii="Times New Roman" w:hAnsi="Times New Roman" w:cs="Times New Roman"/>
                <w:b/>
                <w:kern w:val="0"/>
                <w:sz w:val="21"/>
                <w:szCs w:val="21"/>
              </w:rPr>
            </w:pPr>
            <w:r w:rsidRPr="00253EEA">
              <w:rPr>
                <w:rFonts w:ascii="Times New Roman" w:hAnsi="Times New Roman" w:cs="Times New Roman"/>
                <w:b/>
                <w:kern w:val="0"/>
                <w:sz w:val="21"/>
                <w:szCs w:val="21"/>
              </w:rPr>
              <w:t>污染途径</w:t>
            </w:r>
          </w:p>
        </w:tc>
        <w:tc>
          <w:tcPr>
            <w:tcW w:w="1574" w:type="dxa"/>
            <w:vAlign w:val="center"/>
          </w:tcPr>
          <w:p w:rsidR="004E3021" w:rsidRPr="00253EEA" w:rsidRDefault="00606E48" w:rsidP="00253EEA">
            <w:pPr>
              <w:pStyle w:val="afffffff2"/>
              <w:rPr>
                <w:rFonts w:ascii="Times New Roman" w:hAnsi="Times New Roman" w:cs="Times New Roman"/>
                <w:b/>
                <w:kern w:val="0"/>
                <w:sz w:val="21"/>
                <w:szCs w:val="21"/>
              </w:rPr>
            </w:pPr>
            <w:r w:rsidRPr="00253EEA">
              <w:rPr>
                <w:rFonts w:ascii="Times New Roman" w:hAnsi="Times New Roman" w:cs="Times New Roman"/>
                <w:b/>
                <w:kern w:val="0"/>
                <w:sz w:val="21"/>
                <w:szCs w:val="21"/>
              </w:rPr>
              <w:t>全部污染指标</w:t>
            </w:r>
          </w:p>
        </w:tc>
        <w:tc>
          <w:tcPr>
            <w:tcW w:w="1455" w:type="dxa"/>
            <w:vAlign w:val="center"/>
          </w:tcPr>
          <w:p w:rsidR="004E3021" w:rsidRPr="00253EEA" w:rsidRDefault="00606E48" w:rsidP="00253EEA">
            <w:pPr>
              <w:pStyle w:val="afffffff2"/>
              <w:rPr>
                <w:rFonts w:ascii="Times New Roman" w:hAnsi="Times New Roman" w:cs="Times New Roman"/>
                <w:b/>
                <w:kern w:val="0"/>
                <w:sz w:val="21"/>
                <w:szCs w:val="21"/>
              </w:rPr>
            </w:pPr>
            <w:r w:rsidRPr="00253EEA">
              <w:rPr>
                <w:rFonts w:ascii="Times New Roman" w:hAnsi="Times New Roman" w:cs="Times New Roman"/>
                <w:b/>
                <w:kern w:val="0"/>
                <w:sz w:val="21"/>
                <w:szCs w:val="21"/>
              </w:rPr>
              <w:t>特征因子</w:t>
            </w:r>
          </w:p>
        </w:tc>
        <w:tc>
          <w:tcPr>
            <w:tcW w:w="1456" w:type="dxa"/>
            <w:vAlign w:val="center"/>
          </w:tcPr>
          <w:p w:rsidR="004E3021" w:rsidRPr="00253EEA" w:rsidRDefault="00606E48" w:rsidP="00253EEA">
            <w:pPr>
              <w:pStyle w:val="afffffff2"/>
              <w:rPr>
                <w:rFonts w:ascii="Times New Roman" w:hAnsi="Times New Roman" w:cs="Times New Roman"/>
                <w:b/>
                <w:kern w:val="0"/>
                <w:sz w:val="21"/>
                <w:szCs w:val="21"/>
              </w:rPr>
            </w:pPr>
            <w:r w:rsidRPr="00253EEA">
              <w:rPr>
                <w:rFonts w:ascii="Times New Roman" w:hAnsi="Times New Roman" w:cs="Times New Roman"/>
                <w:b/>
                <w:kern w:val="0"/>
                <w:sz w:val="21"/>
                <w:szCs w:val="21"/>
              </w:rPr>
              <w:t>备注</w:t>
            </w:r>
          </w:p>
        </w:tc>
      </w:tr>
      <w:tr w:rsidR="004E3021" w:rsidRPr="00253EEA" w:rsidTr="00253EEA">
        <w:tc>
          <w:tcPr>
            <w:tcW w:w="1276" w:type="dxa"/>
            <w:vAlign w:val="center"/>
          </w:tcPr>
          <w:p w:rsidR="004E3021" w:rsidRPr="00253EEA" w:rsidRDefault="00606E48" w:rsidP="00253EEA">
            <w:pPr>
              <w:pStyle w:val="afffffff2"/>
              <w:rPr>
                <w:rFonts w:ascii="Times New Roman" w:hAnsi="Times New Roman" w:cs="Times New Roman"/>
                <w:kern w:val="0"/>
                <w:sz w:val="21"/>
                <w:szCs w:val="21"/>
              </w:rPr>
            </w:pPr>
            <w:r w:rsidRPr="00253EEA">
              <w:rPr>
                <w:rFonts w:ascii="Times New Roman" w:hAnsi="Times New Roman" w:cs="Times New Roman"/>
                <w:kern w:val="0"/>
                <w:sz w:val="21"/>
                <w:szCs w:val="21"/>
              </w:rPr>
              <w:t>废气排放</w:t>
            </w:r>
          </w:p>
        </w:tc>
        <w:tc>
          <w:tcPr>
            <w:tcW w:w="1637" w:type="dxa"/>
            <w:vAlign w:val="center"/>
          </w:tcPr>
          <w:p w:rsidR="004E3021" w:rsidRPr="00253EEA" w:rsidRDefault="00606E48" w:rsidP="00253EEA">
            <w:pPr>
              <w:pStyle w:val="afffffff2"/>
              <w:rPr>
                <w:rFonts w:ascii="Times New Roman" w:hAnsi="Times New Roman" w:cs="Times New Roman"/>
                <w:kern w:val="0"/>
                <w:sz w:val="21"/>
                <w:szCs w:val="21"/>
              </w:rPr>
            </w:pPr>
            <w:r w:rsidRPr="00253EEA">
              <w:rPr>
                <w:rFonts w:ascii="Times New Roman" w:hAnsi="Times New Roman" w:cs="Times New Roman"/>
                <w:kern w:val="0"/>
                <w:sz w:val="21"/>
                <w:szCs w:val="21"/>
              </w:rPr>
              <w:t>生产过程</w:t>
            </w:r>
          </w:p>
        </w:tc>
        <w:tc>
          <w:tcPr>
            <w:tcW w:w="1336" w:type="dxa"/>
            <w:vAlign w:val="center"/>
          </w:tcPr>
          <w:p w:rsidR="004E3021" w:rsidRPr="00253EEA" w:rsidRDefault="00606E48" w:rsidP="00253EEA">
            <w:pPr>
              <w:pStyle w:val="afffffff2"/>
              <w:rPr>
                <w:rFonts w:ascii="Times New Roman" w:hAnsi="Times New Roman" w:cs="Times New Roman"/>
                <w:kern w:val="0"/>
                <w:sz w:val="21"/>
                <w:szCs w:val="21"/>
              </w:rPr>
            </w:pPr>
            <w:r w:rsidRPr="00253EEA">
              <w:rPr>
                <w:rFonts w:ascii="Times New Roman" w:hAnsi="Times New Roman" w:cs="Times New Roman"/>
                <w:kern w:val="0"/>
                <w:sz w:val="21"/>
                <w:szCs w:val="21"/>
              </w:rPr>
              <w:t>大气沉降</w:t>
            </w:r>
          </w:p>
        </w:tc>
        <w:tc>
          <w:tcPr>
            <w:tcW w:w="1574" w:type="dxa"/>
            <w:vAlign w:val="center"/>
          </w:tcPr>
          <w:p w:rsidR="004E3021" w:rsidRPr="00253EEA" w:rsidRDefault="00606E48" w:rsidP="00253EEA">
            <w:pPr>
              <w:pStyle w:val="afffffff2"/>
              <w:rPr>
                <w:rFonts w:ascii="Times New Roman" w:hAnsi="Times New Roman" w:cs="Times New Roman"/>
                <w:kern w:val="0"/>
                <w:sz w:val="21"/>
                <w:szCs w:val="21"/>
              </w:rPr>
            </w:pPr>
            <w:r w:rsidRPr="00253EEA">
              <w:rPr>
                <w:rFonts w:ascii="Times New Roman" w:hAnsi="Times New Roman" w:cs="Times New Roman"/>
                <w:kern w:val="0"/>
                <w:sz w:val="21"/>
                <w:szCs w:val="21"/>
              </w:rPr>
              <w:t>有机废气</w:t>
            </w:r>
          </w:p>
        </w:tc>
        <w:tc>
          <w:tcPr>
            <w:tcW w:w="1455" w:type="dxa"/>
            <w:vAlign w:val="center"/>
          </w:tcPr>
          <w:p w:rsidR="004E3021" w:rsidRPr="00253EEA" w:rsidRDefault="00253EEA" w:rsidP="00253EEA">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非甲烷总烃</w:t>
            </w:r>
          </w:p>
        </w:tc>
        <w:tc>
          <w:tcPr>
            <w:tcW w:w="1456" w:type="dxa"/>
            <w:vAlign w:val="center"/>
          </w:tcPr>
          <w:p w:rsidR="004E3021" w:rsidRPr="00253EEA" w:rsidRDefault="00606E48" w:rsidP="00253EEA">
            <w:pPr>
              <w:pStyle w:val="afffffff2"/>
              <w:rPr>
                <w:rFonts w:ascii="Times New Roman" w:hAnsi="Times New Roman" w:cs="Times New Roman"/>
                <w:kern w:val="0"/>
                <w:sz w:val="21"/>
                <w:szCs w:val="21"/>
              </w:rPr>
            </w:pPr>
            <w:r w:rsidRPr="00253EEA">
              <w:rPr>
                <w:rFonts w:ascii="Times New Roman" w:hAnsi="Times New Roman" w:cs="Times New Roman"/>
                <w:kern w:val="0"/>
                <w:sz w:val="21"/>
                <w:szCs w:val="21"/>
              </w:rPr>
              <w:t>正常工况</w:t>
            </w:r>
          </w:p>
        </w:tc>
      </w:tr>
      <w:tr w:rsidR="004E3021" w:rsidRPr="00253EEA" w:rsidTr="00253EEA">
        <w:tc>
          <w:tcPr>
            <w:tcW w:w="1276" w:type="dxa"/>
            <w:vAlign w:val="center"/>
          </w:tcPr>
          <w:p w:rsidR="004E3021" w:rsidRPr="00253EEA" w:rsidRDefault="00606E48" w:rsidP="00253EEA">
            <w:pPr>
              <w:pStyle w:val="afffffff2"/>
              <w:rPr>
                <w:rFonts w:ascii="Times New Roman" w:hAnsi="Times New Roman" w:cs="Times New Roman"/>
                <w:kern w:val="0"/>
                <w:sz w:val="21"/>
                <w:szCs w:val="21"/>
              </w:rPr>
            </w:pPr>
            <w:r w:rsidRPr="00253EEA">
              <w:rPr>
                <w:rFonts w:ascii="Times New Roman" w:hAnsi="Times New Roman" w:cs="Times New Roman"/>
                <w:kern w:val="0"/>
                <w:sz w:val="21"/>
                <w:szCs w:val="21"/>
              </w:rPr>
              <w:t>废水收集池</w:t>
            </w:r>
          </w:p>
        </w:tc>
        <w:tc>
          <w:tcPr>
            <w:tcW w:w="1637" w:type="dxa"/>
            <w:vAlign w:val="center"/>
          </w:tcPr>
          <w:p w:rsidR="004E3021" w:rsidRPr="00253EEA" w:rsidRDefault="00606E48" w:rsidP="00253EEA">
            <w:pPr>
              <w:pStyle w:val="afffffff2"/>
              <w:rPr>
                <w:rFonts w:ascii="Times New Roman" w:hAnsi="Times New Roman" w:cs="Times New Roman"/>
                <w:kern w:val="0"/>
                <w:sz w:val="21"/>
                <w:szCs w:val="21"/>
              </w:rPr>
            </w:pPr>
            <w:r w:rsidRPr="00253EEA">
              <w:rPr>
                <w:rFonts w:ascii="Times New Roman" w:hAnsi="Times New Roman" w:cs="Times New Roman"/>
                <w:kern w:val="0"/>
                <w:sz w:val="21"/>
                <w:szCs w:val="21"/>
              </w:rPr>
              <w:t>污水处理</w:t>
            </w:r>
          </w:p>
        </w:tc>
        <w:tc>
          <w:tcPr>
            <w:tcW w:w="1336" w:type="dxa"/>
            <w:vAlign w:val="center"/>
          </w:tcPr>
          <w:p w:rsidR="004E3021" w:rsidRPr="00253EEA" w:rsidRDefault="00606E48" w:rsidP="00253EEA">
            <w:pPr>
              <w:pStyle w:val="afffffff2"/>
              <w:rPr>
                <w:rFonts w:ascii="Times New Roman" w:hAnsi="Times New Roman" w:cs="Times New Roman"/>
                <w:kern w:val="0"/>
                <w:sz w:val="21"/>
                <w:szCs w:val="21"/>
              </w:rPr>
            </w:pPr>
            <w:r w:rsidRPr="00253EEA">
              <w:rPr>
                <w:rFonts w:ascii="Times New Roman" w:hAnsi="Times New Roman" w:cs="Times New Roman"/>
                <w:kern w:val="0"/>
                <w:sz w:val="21"/>
                <w:szCs w:val="21"/>
              </w:rPr>
              <w:t>垂直入渗</w:t>
            </w:r>
          </w:p>
        </w:tc>
        <w:tc>
          <w:tcPr>
            <w:tcW w:w="1574" w:type="dxa"/>
            <w:vAlign w:val="center"/>
          </w:tcPr>
          <w:p w:rsidR="004E3021" w:rsidRPr="00253EEA" w:rsidRDefault="00606E48" w:rsidP="00F37B4E">
            <w:pPr>
              <w:pStyle w:val="afffffff2"/>
              <w:rPr>
                <w:rFonts w:ascii="Times New Roman" w:hAnsi="Times New Roman" w:cs="Times New Roman"/>
                <w:kern w:val="0"/>
                <w:sz w:val="21"/>
                <w:szCs w:val="21"/>
              </w:rPr>
            </w:pPr>
            <w:r w:rsidRPr="00253EEA">
              <w:rPr>
                <w:rFonts w:ascii="Times New Roman" w:hAnsi="Times New Roman" w:cs="Times New Roman"/>
                <w:kern w:val="0"/>
                <w:sz w:val="21"/>
                <w:szCs w:val="21"/>
              </w:rPr>
              <w:t>COD</w:t>
            </w:r>
            <w:r w:rsidRPr="00253EEA">
              <w:rPr>
                <w:rFonts w:ascii="Times New Roman" w:hAnsi="Times New Roman" w:cs="Times New Roman"/>
                <w:kern w:val="0"/>
                <w:sz w:val="21"/>
                <w:szCs w:val="21"/>
              </w:rPr>
              <w:t>、氨氮、</w:t>
            </w:r>
            <w:r w:rsidRPr="00253EEA">
              <w:rPr>
                <w:rFonts w:ascii="Times New Roman" w:hAnsi="Times New Roman" w:cs="Times New Roman"/>
                <w:kern w:val="0"/>
                <w:sz w:val="21"/>
                <w:szCs w:val="21"/>
              </w:rPr>
              <w:t>SS</w:t>
            </w:r>
            <w:r w:rsidRPr="00253EEA">
              <w:rPr>
                <w:rFonts w:ascii="Times New Roman" w:hAnsi="Times New Roman" w:cs="Times New Roman"/>
                <w:kern w:val="0"/>
                <w:sz w:val="21"/>
                <w:szCs w:val="21"/>
              </w:rPr>
              <w:t>、盐分</w:t>
            </w:r>
          </w:p>
        </w:tc>
        <w:tc>
          <w:tcPr>
            <w:tcW w:w="1455" w:type="dxa"/>
            <w:vAlign w:val="center"/>
          </w:tcPr>
          <w:p w:rsidR="004E3021" w:rsidRPr="00253EEA" w:rsidRDefault="00606E48" w:rsidP="00253EEA">
            <w:pPr>
              <w:pStyle w:val="afffffff2"/>
              <w:rPr>
                <w:rFonts w:ascii="Times New Roman" w:hAnsi="Times New Roman" w:cs="Times New Roman"/>
                <w:kern w:val="0"/>
                <w:sz w:val="21"/>
                <w:szCs w:val="21"/>
              </w:rPr>
            </w:pPr>
            <w:r w:rsidRPr="00253EEA">
              <w:rPr>
                <w:rFonts w:ascii="Times New Roman" w:hAnsi="Times New Roman" w:cs="Times New Roman"/>
                <w:kern w:val="0"/>
                <w:sz w:val="21"/>
                <w:szCs w:val="21"/>
              </w:rPr>
              <w:t>COD</w:t>
            </w:r>
          </w:p>
        </w:tc>
        <w:tc>
          <w:tcPr>
            <w:tcW w:w="1456" w:type="dxa"/>
            <w:vAlign w:val="center"/>
          </w:tcPr>
          <w:p w:rsidR="004E3021" w:rsidRPr="00253EEA" w:rsidRDefault="00606E48" w:rsidP="00253EEA">
            <w:pPr>
              <w:pStyle w:val="afffffff2"/>
              <w:rPr>
                <w:rFonts w:ascii="Times New Roman" w:hAnsi="Times New Roman" w:cs="Times New Roman"/>
                <w:kern w:val="0"/>
                <w:sz w:val="21"/>
                <w:szCs w:val="21"/>
              </w:rPr>
            </w:pPr>
            <w:r w:rsidRPr="00253EEA">
              <w:rPr>
                <w:rFonts w:ascii="Times New Roman" w:hAnsi="Times New Roman" w:cs="Times New Roman"/>
                <w:kern w:val="0"/>
                <w:sz w:val="21"/>
                <w:szCs w:val="21"/>
              </w:rPr>
              <w:t>事故工况</w:t>
            </w:r>
          </w:p>
        </w:tc>
      </w:tr>
    </w:tbl>
    <w:p w:rsidR="004E3021" w:rsidRDefault="00606E48">
      <w:pPr>
        <w:pStyle w:val="afffffffffffffffff4"/>
      </w:pPr>
      <w:bookmarkStart w:id="566" w:name="_Toc108662682"/>
      <w:bookmarkStart w:id="567" w:name="_Toc101135905"/>
      <w:bookmarkStart w:id="568" w:name="_Toc100784073"/>
      <w:bookmarkStart w:id="569" w:name="_Toc221088837"/>
      <w:bookmarkStart w:id="570" w:name="_Toc221501052"/>
      <w:r>
        <w:rPr>
          <w:rFonts w:hint="eastAsia"/>
        </w:rPr>
        <w:t>5.7.2</w:t>
      </w:r>
      <w:r>
        <w:rPr>
          <w:rFonts w:ascii="黑体" w:hAnsi="黑体" w:hint="eastAsia"/>
        </w:rPr>
        <w:t>土壤</w:t>
      </w:r>
      <w:r>
        <w:rPr>
          <w:rFonts w:ascii="黑体" w:hAnsi="黑体"/>
        </w:rPr>
        <w:t>现状</w:t>
      </w:r>
      <w:r>
        <w:rPr>
          <w:rFonts w:ascii="黑体" w:hAnsi="黑体" w:hint="eastAsia"/>
        </w:rPr>
        <w:t>调查</w:t>
      </w:r>
      <w:bookmarkEnd w:id="566"/>
      <w:bookmarkEnd w:id="567"/>
      <w:bookmarkEnd w:id="568"/>
      <w:bookmarkEnd w:id="569"/>
      <w:bookmarkEnd w:id="570"/>
    </w:p>
    <w:p w:rsidR="004E3021" w:rsidRDefault="00606E48">
      <w:pPr>
        <w:pStyle w:val="a0"/>
        <w:spacing w:line="360" w:lineRule="auto"/>
        <w:ind w:firstLine="480"/>
        <w:rPr>
          <w:color w:val="000000" w:themeColor="text1"/>
        </w:rPr>
      </w:pPr>
      <w:r>
        <w:rPr>
          <w:color w:val="000000" w:themeColor="text1"/>
          <w:lang w:val="zh-CN"/>
        </w:rPr>
        <w:t>根据调查，评价范围内分布的土壤类型主要为潮土。评价区土壤类型分布图见图</w:t>
      </w:r>
      <w:r>
        <w:rPr>
          <w:rFonts w:ascii="Times New Roman" w:hAnsi="Times New Roman"/>
          <w:color w:val="000000" w:themeColor="text1"/>
        </w:rPr>
        <w:t>5.7.2-1</w:t>
      </w:r>
      <w:r>
        <w:rPr>
          <w:rFonts w:hint="eastAsia"/>
          <w:color w:val="000000" w:themeColor="text1"/>
          <w:lang w:val="zh-CN"/>
        </w:rPr>
        <w:t>。</w:t>
      </w:r>
    </w:p>
    <w:p w:rsidR="004E3021" w:rsidRDefault="00606E48">
      <w:pPr>
        <w:pStyle w:val="a0"/>
        <w:ind w:firstLineChars="0" w:firstLine="0"/>
        <w:jc w:val="center"/>
        <w:rPr>
          <w:color w:val="000000" w:themeColor="text1"/>
        </w:rPr>
      </w:pPr>
      <w:r>
        <w:rPr>
          <w:noProof/>
          <w:color w:val="000000" w:themeColor="text1"/>
        </w:rPr>
        <mc:AlternateContent>
          <mc:Choice Requires="wps">
            <w:drawing>
              <wp:anchor distT="0" distB="0" distL="114300" distR="114300" simplePos="0" relativeHeight="251660288" behindDoc="0" locked="0" layoutInCell="1" allowOverlap="1">
                <wp:simplePos x="0" y="0"/>
                <wp:positionH relativeFrom="column">
                  <wp:posOffset>3160395</wp:posOffset>
                </wp:positionH>
                <wp:positionV relativeFrom="paragraph">
                  <wp:posOffset>1076325</wp:posOffset>
                </wp:positionV>
                <wp:extent cx="910590" cy="391795"/>
                <wp:effectExtent l="247015" t="4445" r="23495" b="422910"/>
                <wp:wrapNone/>
                <wp:docPr id="29" name="自选图形 27"/>
                <wp:cNvGraphicFramePr/>
                <a:graphic xmlns:a="http://schemas.openxmlformats.org/drawingml/2006/main">
                  <a:graphicData uri="http://schemas.microsoft.com/office/word/2010/wordprocessingShape">
                    <wps:wsp>
                      <wps:cNvSpPr/>
                      <wps:spPr>
                        <a:xfrm>
                          <a:off x="0" y="0"/>
                          <a:ext cx="910590" cy="391795"/>
                        </a:xfrm>
                        <a:prstGeom prst="wedgeRectCallout">
                          <a:avLst>
                            <a:gd name="adj1" fmla="val -73921"/>
                            <a:gd name="adj2" fmla="val 150972"/>
                          </a:avLst>
                        </a:prstGeom>
                        <a:noFill/>
                        <a:ln w="9525" cap="flat" cmpd="sng">
                          <a:solidFill>
                            <a:srgbClr val="FF0000"/>
                          </a:solidFill>
                          <a:prstDash val="solid"/>
                          <a:miter/>
                          <a:headEnd type="none" w="med" len="med"/>
                          <a:tailEnd type="none" w="med" len="med"/>
                        </a:ln>
                      </wps:spPr>
                      <wps:txbx>
                        <w:txbxContent>
                          <w:p w:rsidR="00B179FB" w:rsidRDefault="00B179FB">
                            <w:pPr>
                              <w:ind w:firstLineChars="0" w:firstLine="0"/>
                              <w:rPr>
                                <w:color w:val="FF0000"/>
                                <w:sz w:val="28"/>
                              </w:rPr>
                            </w:pPr>
                            <w:r>
                              <w:rPr>
                                <w:rFonts w:hint="eastAsia"/>
                                <w:color w:val="FF0000"/>
                                <w:sz w:val="28"/>
                              </w:rPr>
                              <w:t>调查范围</w:t>
                            </w:r>
                          </w:p>
                        </w:txbxContent>
                      </wps:txbx>
                      <wps:bodyPr upright="1"/>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自选图形 27" o:spid="_x0000_s1026" type="#_x0000_t61" style="position:absolute;left:0;text-align:left;margin-left:248.85pt;margin-top:84.75pt;width:71.7pt;height:30.8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VHYJQIAAB8EAAAOAAAAZHJzL2Uyb0RvYy54bWysU82O0zAQviPxDpbv2/ysQknVdA9bygXB&#10;ioUHcGM7MfKfbLdJb9wQz8CNI++wvM1K8BaM3dAtcEGIHJyxPZ755vtmllejkmjPnBdGN7iY5Rgx&#10;3RoqdNfgt282F08x8oFoSqTRrMEH5vHV6vGj5WAXrDS9kZQ5BEG0Xwy2wX0IdpFlvu2ZIn5mLNNw&#10;yY1TJMDWdRl1ZIDoSmZlnj/JBuOodaZl3sPp+niJVyk+56wNrzj3LCDZYMAW0urSuo1rtlqSReeI&#10;7UU7wSD/gEIRoSHpKdSaBIJ2TvwRSonWGW94mLVGZYZz0bJUA1RT5L9Vc9sTy1ItQI63J5r8/wvb&#10;vtzfOCRog8saI00UaPTtw5fv7z/ef/p6f/cZlfPI0WD9Alxv7Y2bdh7MWPDInYp/KAWNidfDiVc2&#10;BtTCYV3kVQ3st3B1WRfzuooxs4fH1vnwnBmFotHggdGOvQbtromUZhcSs2T/wodEMZ1wEvquwIgr&#10;CYrtiUQX88u6LCZJz5zKc6eiyut5OeWfYgKSnwhiAm02QsrUGVKjAfBXZQXoCfQnlySAqSww5nWX&#10;kHkjBY1P4mPvuu21dAgANXizyeGbkv3iFvOtie+PfunqCFyJwFzK3TNCn2mKwsGCKBrGB0cwilGM&#10;JINpi1byDETIv/GEOqUG4qOaR/2iFcbtmDogqRJPtoYeoCt21omuBz0Sp+kVdGESbpqY2Obn+xT7&#10;Ya5XPwAAAP//AwBQSwMEFAAGAAgAAAAhADRqWSDgAAAACwEAAA8AAABkcnMvZG93bnJldi54bWxM&#10;j0FPg0AQhe8m/ofNmHizC7QFQZbGmOilJ6smHqfsFEjZXcJuC/XXO57scfK+vPdNuZlNL840+s5Z&#10;BfEiAkG2drqzjYLPj9eHRxA+oNXYO0sKLuRhU93elFhoN9l3Ou9CI7jE+gIVtCEMhZS+bsmgX7iB&#10;LGcHNxoMfI6N1CNOXG56mURRKg12lhdaHOilpfq4OxkF4efw3bwdt9sl4nTJ4nWYv+pcqfu7+fkJ&#10;RKA5/MPwp8/qULHT3p2s9qJXsMqzjFEO0nwNgol0Fccg9gqSZZyArEp5/UP1CwAA//8DAFBLAQIt&#10;ABQABgAIAAAAIQC2gziS/gAAAOEBAAATAAAAAAAAAAAAAAAAAAAAAABbQ29udGVudF9UeXBlc10u&#10;eG1sUEsBAi0AFAAGAAgAAAAhADj9If/WAAAAlAEAAAsAAAAAAAAAAAAAAAAALwEAAF9yZWxzLy5y&#10;ZWxzUEsBAi0AFAAGAAgAAAAhAJXtUdglAgAAHwQAAA4AAAAAAAAAAAAAAAAALgIAAGRycy9lMm9E&#10;b2MueG1sUEsBAi0AFAAGAAgAAAAhADRqWSDgAAAACwEAAA8AAAAAAAAAAAAAAAAAfwQAAGRycy9k&#10;b3ducmV2LnhtbFBLBQYAAAAABAAEAPMAAACMBQAAAAA=&#10;" adj="-5167,43410" filled="f" strokecolor="red">
                <v:textbox>
                  <w:txbxContent>
                    <w:p w:rsidR="00B179FB" w:rsidRDefault="00B179FB">
                      <w:pPr>
                        <w:ind w:firstLineChars="0" w:firstLine="0"/>
                        <w:rPr>
                          <w:color w:val="FF0000"/>
                          <w:sz w:val="28"/>
                        </w:rPr>
                      </w:pPr>
                      <w:r>
                        <w:rPr>
                          <w:rFonts w:hint="eastAsia"/>
                          <w:color w:val="FF0000"/>
                          <w:sz w:val="28"/>
                        </w:rPr>
                        <w:t>调查范围</w:t>
                      </w:r>
                    </w:p>
                  </w:txbxContent>
                </v:textbox>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2826385</wp:posOffset>
                </wp:positionH>
                <wp:positionV relativeFrom="paragraph">
                  <wp:posOffset>1889760</wp:posOffset>
                </wp:positionV>
                <wp:extent cx="95250" cy="75565"/>
                <wp:effectExtent l="4445" t="4445" r="14605" b="8890"/>
                <wp:wrapNone/>
                <wp:docPr id="30" name="矩形 30"/>
                <wp:cNvGraphicFramePr/>
                <a:graphic xmlns:a="http://schemas.openxmlformats.org/drawingml/2006/main">
                  <a:graphicData uri="http://schemas.microsoft.com/office/word/2010/wordprocessingShape">
                    <wps:wsp>
                      <wps:cNvSpPr/>
                      <wps:spPr>
                        <a:xfrm>
                          <a:off x="4044315" y="4248150"/>
                          <a:ext cx="95250" cy="75565"/>
                        </a:xfrm>
                        <a:prstGeom prst="rect">
                          <a:avLst/>
                        </a:prstGeom>
                        <a:noFill/>
                        <a:ln w="635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22.55pt;margin-top:148.8pt;height:5.95pt;width:7.5pt;z-index:251661312;v-text-anchor:middle;mso-width-relative:page;mso-height-relative:page;" filled="f" stroked="t" coordsize="21600,21600" o:gfxdata="UEsDBAoAAAAAAIdO4kAAAAAAAAAAAAAAAAAEAAAAZHJzL1BLAwQUAAAACACHTuJARpAUT9sAAAAL&#10;AQAADwAAAGRycy9kb3ducmV2LnhtbE2PwU7DMAyG70i8Q2Qkbizp1nas1J1QgUoTJzYk4JY2oa1o&#10;kqrJtvL2mBMcbX/6/f35djYDO+nJ984iRAsBTNvGqd62CK+Hp5tbYD5Iq+TgrEb41h62xeVFLjPl&#10;zvZFn/ahZRRifSYRuhDGjHPfdNpIv3CjtnT7dJORgcap5WqSZwo3A18KkXIje0sfOjnqstPN1/5o&#10;EN7Kj8f7Ku5372FVzlXi6yo8PCNeX0XiDljQc/iD4Vef1KEgp9odrfJsQIjjJCIUYblZp8CIiFNB&#10;mxphJTYJ8CLn/zsUP1BLAwQUAAAACACHTuJAxkPC0HUCAADVBAAADgAAAGRycy9lMm9Eb2MueG1s&#10;rVRLbtswEN0X6B0I7hvZjpSPEDkwYrgoEDQG0qJrmqIsAvyVpC2nlynQXQ/R4xS9Rh8l5dO0iyzq&#10;hTzDGb7he5zhxeVBK7IXPkhrKjo9mlAiDLe1NNuKfvywenNGSYjM1ExZIyp6JwK9nL9+ddG5Usxs&#10;a1UtPAGICWXnKtrG6MosC7wVmoUj64RBsLFeswjXb7Pasw7oWmWzyeQk66yvnbdchIDV5RCkI6J/&#10;CaBtGsnF0vKdFiYOqF4oFkEptNIFOu9P2zSCx5umCSISVVEwjf0XRWBv0jebX7By65lrJR+PwF5y&#10;hGecNJMGRR+gliwysvPyLygtubfBNvGIW50NRHpFwGI6eabNbcuc6LlA6uAeRA//D5a/3689kXVF&#10;jyGJYRo3/uvr958/vhEsQJ3OhRJJt27tRy/ATFQPjdfpHyTIoaL5JM+PpwUld7Bn+dm0GNUVh0g4&#10;Es6LGZYIR/y0KE6KhJ49wjgf4lthNUlGRT2urleU7a9DHFLvU1JVY1dSKayzUhnSVfTkuEdnaMkG&#10;rYBC2oFWMFtKmNqi13n0PWKwStZpd9oc/HZzpTzZM3TIajXBbzzYH2mp9JKFdsjrQymNlVpGjIOS&#10;uqJnafP9bmXALok3yJWsja3vILa3QxcGx1cSsNcsxDXzaDuog8GMN/g0yoKTHS1KWuu//Gs95aMb&#10;EKWkQxuD8Ocd84IS9c6gT86neQ7Y2Dt5cTqD459GNk8jZqevLHSY4glwvDdTflT3ZuOt/oT5XaSq&#10;CDHDUXuQdnSu4jBeeAG4WCz6NPS6Y/Ha3DqewIf7W+yibWR/tY/qjKKh2/vmGCczjdNTv896fI3m&#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GkBRP2wAAAAsBAAAPAAAAAAAAAAEAIAAAACIAAABk&#10;cnMvZG93bnJldi54bWxQSwECFAAUAAAACACHTuJAxkPC0HUCAADVBAAADgAAAAAAAAABACAAAAAq&#10;AQAAZHJzL2Uyb0RvYy54bWxQSwUGAAAAAAYABgBZAQAAEQYAAAAA&#10;">
                <v:fill on="f" focussize="0,0"/>
                <v:stroke weight="0.5pt" color="#FF0000 [3204]" miterlimit="8" joinstyle="miter"/>
                <v:imagedata o:title=""/>
                <o:lock v:ext="edit" aspectratio="f"/>
              </v:rect>
            </w:pict>
          </mc:Fallback>
        </mc:AlternateContent>
      </w:r>
      <w:r>
        <w:rPr>
          <w:noProof/>
        </w:rPr>
        <w:drawing>
          <wp:inline distT="0" distB="0" distL="114300" distR="114300">
            <wp:extent cx="5758815" cy="3329940"/>
            <wp:effectExtent l="0" t="0" r="6985" b="10160"/>
            <wp:docPr id="4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7"/>
                    <pic:cNvPicPr>
                      <a:picLocks noChangeAspect="1"/>
                    </pic:cNvPicPr>
                  </pic:nvPicPr>
                  <pic:blipFill>
                    <a:blip r:embed="rId135"/>
                    <a:stretch>
                      <a:fillRect/>
                    </a:stretch>
                  </pic:blipFill>
                  <pic:spPr>
                    <a:xfrm>
                      <a:off x="0" y="0"/>
                      <a:ext cx="5758815" cy="3329940"/>
                    </a:xfrm>
                    <a:prstGeom prst="rect">
                      <a:avLst/>
                    </a:prstGeom>
                    <a:noFill/>
                    <a:ln>
                      <a:noFill/>
                    </a:ln>
                  </pic:spPr>
                </pic:pic>
              </a:graphicData>
            </a:graphic>
          </wp:inline>
        </w:drawing>
      </w:r>
    </w:p>
    <w:p w:rsidR="004E3021" w:rsidRDefault="00606E48">
      <w:pPr>
        <w:ind w:firstLineChars="0" w:firstLine="0"/>
        <w:jc w:val="center"/>
        <w:rPr>
          <w:rFonts w:eastAsia="黑体"/>
          <w:color w:val="000000" w:themeColor="text1"/>
          <w:lang w:val="zh-CN"/>
        </w:rPr>
      </w:pPr>
      <w:r>
        <w:rPr>
          <w:rFonts w:eastAsia="黑体" w:hint="eastAsia"/>
          <w:color w:val="000000" w:themeColor="text1"/>
          <w:lang w:val="zh-CN"/>
        </w:rPr>
        <w:t>图</w:t>
      </w:r>
      <w:r>
        <w:rPr>
          <w:rFonts w:eastAsia="黑体"/>
          <w:color w:val="000000" w:themeColor="text1"/>
        </w:rPr>
        <w:t xml:space="preserve">5.7.2-1  </w:t>
      </w:r>
      <w:r>
        <w:rPr>
          <w:rFonts w:eastAsia="黑体"/>
          <w:color w:val="000000" w:themeColor="text1"/>
          <w:lang w:val="zh-CN"/>
        </w:rPr>
        <w:t>土壤调查范围土壤类型图</w:t>
      </w:r>
    </w:p>
    <w:p w:rsidR="004E3021" w:rsidRDefault="00E8730B">
      <w:pPr>
        <w:pStyle w:val="afffffffffffffffff4"/>
      </w:pPr>
      <w:hyperlink w:anchor="_Toc371587820" w:history="1">
        <w:bookmarkStart w:id="571" w:name="_Toc101135906"/>
        <w:bookmarkStart w:id="572" w:name="_Toc100784074"/>
        <w:bookmarkStart w:id="573" w:name="_Toc108662683"/>
        <w:bookmarkStart w:id="574" w:name="_Toc221088838"/>
        <w:bookmarkStart w:id="575" w:name="_Toc221501053"/>
        <w:r w:rsidR="00606E48">
          <w:rPr>
            <w:rStyle w:val="afff9"/>
            <w:color w:val="auto"/>
            <w:u w:val="none"/>
          </w:rPr>
          <w:t>5.7</w:t>
        </w:r>
        <w:r w:rsidR="00606E48">
          <w:rPr>
            <w:rStyle w:val="afff9"/>
            <w:rFonts w:hint="eastAsia"/>
            <w:color w:val="auto"/>
            <w:u w:val="none"/>
          </w:rPr>
          <w:t>.</w:t>
        </w:r>
        <w:r w:rsidR="00606E48">
          <w:rPr>
            <w:rStyle w:val="afff9"/>
            <w:color w:val="auto"/>
            <w:u w:val="none"/>
          </w:rPr>
          <w:t>3</w:t>
        </w:r>
        <w:r w:rsidR="00606E48">
          <w:rPr>
            <w:rStyle w:val="afff9"/>
            <w:rFonts w:ascii="黑体" w:hAnsi="黑体" w:hint="eastAsia"/>
            <w:color w:val="auto"/>
            <w:u w:val="none"/>
          </w:rPr>
          <w:t>垂直入渗对</w:t>
        </w:r>
        <w:r w:rsidR="00606E48">
          <w:rPr>
            <w:rStyle w:val="afff9"/>
            <w:rFonts w:ascii="黑体" w:hAnsi="黑体"/>
            <w:color w:val="auto"/>
            <w:u w:val="none"/>
          </w:rPr>
          <w:t>土壤</w:t>
        </w:r>
        <w:r w:rsidR="00606E48">
          <w:rPr>
            <w:rStyle w:val="afff9"/>
            <w:rFonts w:ascii="黑体" w:hAnsi="黑体" w:hint="eastAsia"/>
            <w:color w:val="auto"/>
            <w:u w:val="none"/>
          </w:rPr>
          <w:t>环境的</w:t>
        </w:r>
        <w:r w:rsidR="00606E48">
          <w:rPr>
            <w:rStyle w:val="afff9"/>
            <w:rFonts w:ascii="黑体" w:hAnsi="黑体"/>
            <w:color w:val="auto"/>
            <w:u w:val="none"/>
          </w:rPr>
          <w:t>影响分析</w:t>
        </w:r>
        <w:bookmarkEnd w:id="571"/>
        <w:bookmarkEnd w:id="572"/>
        <w:bookmarkEnd w:id="573"/>
        <w:bookmarkEnd w:id="574"/>
        <w:bookmarkEnd w:id="575"/>
      </w:hyperlink>
    </w:p>
    <w:p w:rsidR="004E3021" w:rsidRDefault="00606E48">
      <w:pPr>
        <w:pStyle w:val="4a"/>
      </w:pPr>
      <w:r>
        <w:t>5.7.3.1</w:t>
      </w:r>
      <w:r>
        <w:rPr>
          <w:rFonts w:ascii="黑体" w:hAnsi="黑体" w:hint="eastAsia"/>
        </w:rPr>
        <w:t>预测模型</w:t>
      </w:r>
    </w:p>
    <w:p w:rsidR="004E3021" w:rsidRDefault="00606E48">
      <w:pPr>
        <w:ind w:firstLine="480"/>
      </w:pPr>
      <w:r>
        <w:rPr>
          <w:rFonts w:ascii="宋体" w:hAnsi="宋体" w:hint="eastAsia"/>
        </w:rPr>
        <w:t>本项目土壤环境影响预测采用导则推荐的一维非饱和溶质运移模型，具体公式如下：</w:t>
      </w:r>
    </w:p>
    <w:p w:rsidR="004E3021" w:rsidRDefault="00606E48">
      <w:pPr>
        <w:ind w:firstLine="480"/>
      </w:pPr>
      <w:r>
        <w:rPr>
          <w:rFonts w:ascii="宋体" w:hAnsi="宋体" w:hint="eastAsia"/>
        </w:rPr>
        <w:t>（</w:t>
      </w:r>
      <w:r>
        <w:rPr>
          <w:rFonts w:hint="eastAsia"/>
        </w:rPr>
        <w:t>1</w:t>
      </w:r>
      <w:r>
        <w:rPr>
          <w:rFonts w:ascii="宋体" w:hAnsi="宋体" w:hint="eastAsia"/>
        </w:rPr>
        <w:t>）一维非饱和溶质垂向运移控制方程：</w:t>
      </w:r>
    </w:p>
    <w:p w:rsidR="004E3021" w:rsidRDefault="00606E48">
      <w:pPr>
        <w:ind w:firstLine="480"/>
        <w:jc w:val="center"/>
      </w:pPr>
      <w:r>
        <w:rPr>
          <w:noProof/>
        </w:rPr>
        <w:drawing>
          <wp:inline distT="0" distB="0" distL="0" distR="0">
            <wp:extent cx="2247900" cy="571500"/>
            <wp:effectExtent l="0" t="0" r="0" b="0"/>
            <wp:docPr id="120" name="图片 120" descr="C:\Users\ADMINI~1\AppData\Local\Temp\ksohtml\wps15D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C:\Users\ADMINI~1\AppData\Local\Temp\ksohtml\wps15D4.tmp.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247900" cy="571500"/>
                    </a:xfrm>
                    <a:prstGeom prst="rect">
                      <a:avLst/>
                    </a:prstGeom>
                    <a:noFill/>
                    <a:ln>
                      <a:noFill/>
                    </a:ln>
                  </pic:spPr>
                </pic:pic>
              </a:graphicData>
            </a:graphic>
          </wp:inline>
        </w:drawing>
      </w:r>
      <w:r>
        <w:t xml:space="preserve"> </w:t>
      </w:r>
    </w:p>
    <w:p w:rsidR="004E3021" w:rsidRDefault="00606E48">
      <w:pPr>
        <w:ind w:firstLine="480"/>
      </w:pPr>
      <w:r>
        <w:rPr>
          <w:rFonts w:ascii="宋体" w:hAnsi="宋体" w:hint="eastAsia"/>
        </w:rPr>
        <w:t>式中：</w:t>
      </w:r>
      <w:r>
        <w:t>c</w:t>
      </w:r>
      <w:r>
        <w:rPr>
          <w:rFonts w:ascii="宋体" w:hAnsi="宋体" w:hint="eastAsia"/>
        </w:rPr>
        <w:t>—污染物介质中的浓度，</w:t>
      </w:r>
      <w:r>
        <w:rPr>
          <w:rFonts w:hint="eastAsia"/>
        </w:rPr>
        <w:t>mg/L</w:t>
      </w:r>
      <w:r>
        <w:rPr>
          <w:rFonts w:ascii="宋体" w:hAnsi="宋体" w:hint="eastAsia"/>
        </w:rPr>
        <w:t>；</w:t>
      </w:r>
    </w:p>
    <w:p w:rsidR="004E3021" w:rsidRDefault="00606E48">
      <w:pPr>
        <w:ind w:firstLineChars="500" w:firstLine="1200"/>
      </w:pPr>
      <w:r>
        <w:rPr>
          <w:rFonts w:hint="eastAsia"/>
        </w:rPr>
        <w:t>D</w:t>
      </w:r>
      <w:r>
        <w:rPr>
          <w:rFonts w:ascii="宋体" w:hAnsi="宋体" w:hint="eastAsia"/>
        </w:rPr>
        <w:t>—弥散系数，</w:t>
      </w:r>
      <w:r>
        <w:rPr>
          <w:rFonts w:hint="eastAsia"/>
        </w:rPr>
        <w:t>m</w:t>
      </w:r>
      <w:r>
        <w:rPr>
          <w:rFonts w:hint="eastAsia"/>
          <w:vertAlign w:val="superscript"/>
        </w:rPr>
        <w:t>2</w:t>
      </w:r>
      <w:r>
        <w:rPr>
          <w:rFonts w:hint="eastAsia"/>
        </w:rPr>
        <w:t>/d</w:t>
      </w:r>
      <w:r>
        <w:rPr>
          <w:rFonts w:ascii="宋体" w:hAnsi="宋体" w:hint="eastAsia"/>
        </w:rPr>
        <w:t>；</w:t>
      </w:r>
    </w:p>
    <w:p w:rsidR="004E3021" w:rsidRDefault="00606E48">
      <w:pPr>
        <w:ind w:firstLineChars="500" w:firstLine="1200"/>
      </w:pPr>
      <w:r>
        <w:lastRenderedPageBreak/>
        <w:t>q</w:t>
      </w:r>
      <w:r>
        <w:rPr>
          <w:rFonts w:ascii="宋体" w:hAnsi="宋体" w:hint="eastAsia"/>
        </w:rPr>
        <w:t>—渗流速度，</w:t>
      </w:r>
      <w:r>
        <w:rPr>
          <w:rFonts w:hint="eastAsia"/>
        </w:rPr>
        <w:t>m/d</w:t>
      </w:r>
      <w:r>
        <w:rPr>
          <w:rFonts w:ascii="宋体" w:hAnsi="宋体" w:hint="eastAsia"/>
        </w:rPr>
        <w:t>；</w:t>
      </w:r>
    </w:p>
    <w:p w:rsidR="004E3021" w:rsidRDefault="00606E48">
      <w:pPr>
        <w:ind w:firstLineChars="500" w:firstLine="1200"/>
      </w:pPr>
      <w:r>
        <w:rPr>
          <w:rFonts w:hint="eastAsia"/>
        </w:rPr>
        <w:t>z</w:t>
      </w:r>
      <w:r>
        <w:rPr>
          <w:rFonts w:ascii="宋体" w:hAnsi="宋体" w:hint="eastAsia"/>
        </w:rPr>
        <w:t>—沿轴的距离，</w:t>
      </w:r>
      <w:r>
        <w:rPr>
          <w:rFonts w:hint="eastAsia"/>
        </w:rPr>
        <w:t>m</w:t>
      </w:r>
      <w:r>
        <w:rPr>
          <w:rFonts w:ascii="宋体" w:hAnsi="宋体" w:hint="eastAsia"/>
        </w:rPr>
        <w:t>；</w:t>
      </w:r>
    </w:p>
    <w:p w:rsidR="004E3021" w:rsidRDefault="00606E48">
      <w:pPr>
        <w:ind w:firstLineChars="500" w:firstLine="1200"/>
      </w:pPr>
      <w:r>
        <w:rPr>
          <w:rFonts w:hint="eastAsia"/>
        </w:rPr>
        <w:t>t</w:t>
      </w:r>
      <w:r>
        <w:rPr>
          <w:rFonts w:ascii="宋体" w:hAnsi="宋体" w:hint="eastAsia"/>
        </w:rPr>
        <w:t>—时间变量，</w:t>
      </w:r>
      <w:r>
        <w:rPr>
          <w:rFonts w:hint="eastAsia"/>
        </w:rPr>
        <w:t>d</w:t>
      </w:r>
      <w:r>
        <w:rPr>
          <w:rFonts w:ascii="宋体" w:hAnsi="宋体" w:hint="eastAsia"/>
        </w:rPr>
        <w:t>；</w:t>
      </w:r>
    </w:p>
    <w:p w:rsidR="004E3021" w:rsidRDefault="00606E48">
      <w:pPr>
        <w:ind w:firstLineChars="500" w:firstLine="1200"/>
      </w:pPr>
      <w:r>
        <w:t>θ</w:t>
      </w:r>
      <w:r>
        <w:rPr>
          <w:rFonts w:ascii="宋体" w:hAnsi="宋体" w:hint="eastAsia"/>
        </w:rPr>
        <w:t>—土壤含水率，</w:t>
      </w:r>
      <w:r>
        <w:rPr>
          <w:rFonts w:hint="eastAsia"/>
        </w:rPr>
        <w:t>%</w:t>
      </w:r>
      <w:r>
        <w:rPr>
          <w:rFonts w:ascii="宋体" w:hAnsi="宋体" w:hint="eastAsia"/>
        </w:rPr>
        <w:t>。</w:t>
      </w:r>
    </w:p>
    <w:p w:rsidR="004E3021" w:rsidRDefault="00606E48">
      <w:pPr>
        <w:ind w:firstLine="480"/>
      </w:pPr>
      <w:r>
        <w:rPr>
          <w:rFonts w:ascii="宋体" w:hAnsi="宋体" w:hint="eastAsia"/>
        </w:rPr>
        <w:t>（</w:t>
      </w:r>
      <w:r>
        <w:rPr>
          <w:rFonts w:hint="eastAsia"/>
        </w:rPr>
        <w:t>2</w:t>
      </w:r>
      <w:r>
        <w:rPr>
          <w:rFonts w:ascii="宋体" w:hAnsi="宋体" w:hint="eastAsia"/>
        </w:rPr>
        <w:t>）初始</w:t>
      </w:r>
      <w:r>
        <w:rPr>
          <w:rFonts w:ascii="宋体" w:hAnsi="宋体"/>
        </w:rPr>
        <w:t>条件</w:t>
      </w:r>
    </w:p>
    <w:p w:rsidR="004E3021" w:rsidRDefault="00606E48">
      <w:pPr>
        <w:ind w:firstLine="480"/>
      </w:pPr>
      <w:r>
        <w:rPr>
          <w:rFonts w:ascii="宋体" w:hAnsi="宋体" w:hint="eastAsia"/>
        </w:rPr>
        <w:t>第一类</w:t>
      </w:r>
      <w:r>
        <w:rPr>
          <w:rFonts w:hint="eastAsia"/>
        </w:rPr>
        <w:t>Dirichlet</w:t>
      </w:r>
      <w:r>
        <w:rPr>
          <w:rFonts w:ascii="宋体" w:hAnsi="宋体" w:hint="eastAsia"/>
        </w:rPr>
        <w:t>边界条件：</w:t>
      </w:r>
    </w:p>
    <w:p w:rsidR="004E3021" w:rsidRDefault="00606E48">
      <w:pPr>
        <w:ind w:firstLine="480"/>
      </w:pPr>
      <w:r>
        <w:rPr>
          <w:rFonts w:ascii="宋体" w:hAnsi="宋体" w:hint="eastAsia"/>
        </w:rPr>
        <w:t>①连续点源</w:t>
      </w:r>
      <w:r>
        <w:rPr>
          <w:rFonts w:ascii="宋体" w:hAnsi="宋体"/>
        </w:rPr>
        <w:t>：</w:t>
      </w:r>
    </w:p>
    <w:p w:rsidR="004E3021" w:rsidRDefault="00606E48">
      <w:pPr>
        <w:ind w:firstLine="480"/>
        <w:jc w:val="center"/>
      </w:pPr>
      <w:r>
        <w:rPr>
          <w:noProof/>
        </w:rPr>
        <w:drawing>
          <wp:inline distT="0" distB="0" distL="0" distR="0">
            <wp:extent cx="2552700" cy="333375"/>
            <wp:effectExtent l="0" t="0" r="0" b="9525"/>
            <wp:docPr id="119" name="图片 119" descr="C:\Users\ADMINI~1\AppData\Local\Temp\ksohtml\wps15E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C:\Users\ADMINI~1\AppData\Local\Temp\ksohtml\wps15E5.tmp.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2552700" cy="333375"/>
                    </a:xfrm>
                    <a:prstGeom prst="rect">
                      <a:avLst/>
                    </a:prstGeom>
                    <a:noFill/>
                    <a:ln>
                      <a:noFill/>
                    </a:ln>
                  </pic:spPr>
                </pic:pic>
              </a:graphicData>
            </a:graphic>
          </wp:inline>
        </w:drawing>
      </w:r>
      <w:r>
        <w:t xml:space="preserve"> </w:t>
      </w:r>
    </w:p>
    <w:p w:rsidR="004E3021" w:rsidRDefault="00606E48">
      <w:pPr>
        <w:ind w:firstLine="480"/>
      </w:pPr>
      <w:r>
        <w:rPr>
          <w:rFonts w:ascii="宋体" w:hAnsi="宋体" w:hint="eastAsia"/>
        </w:rPr>
        <w:t>②非连续点源</w:t>
      </w:r>
    </w:p>
    <w:p w:rsidR="004E3021" w:rsidRDefault="00606E48">
      <w:pPr>
        <w:ind w:firstLine="480"/>
        <w:jc w:val="center"/>
      </w:pPr>
      <w:r>
        <w:rPr>
          <w:noProof/>
        </w:rPr>
        <w:drawing>
          <wp:inline distT="0" distB="0" distL="0" distR="0">
            <wp:extent cx="2314575" cy="495300"/>
            <wp:effectExtent l="0" t="0" r="9525" b="0"/>
            <wp:docPr id="118" name="图片 118" descr="C:\Users\ADMINI~1\AppData\Local\Temp\ksohtml\wps15E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C:\Users\ADMINI~1\AppData\Local\Temp\ksohtml\wps15E6.tmp.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2314575" cy="495300"/>
                    </a:xfrm>
                    <a:prstGeom prst="rect">
                      <a:avLst/>
                    </a:prstGeom>
                    <a:noFill/>
                    <a:ln>
                      <a:noFill/>
                    </a:ln>
                  </pic:spPr>
                </pic:pic>
              </a:graphicData>
            </a:graphic>
          </wp:inline>
        </w:drawing>
      </w:r>
      <w:r>
        <w:t xml:space="preserve"> </w:t>
      </w:r>
    </w:p>
    <w:p w:rsidR="004E3021" w:rsidRDefault="00606E48">
      <w:pPr>
        <w:ind w:firstLine="480"/>
      </w:pPr>
      <w:r>
        <w:rPr>
          <w:rFonts w:ascii="宋体" w:hAnsi="宋体" w:hint="eastAsia"/>
        </w:rPr>
        <w:t>第二类</w:t>
      </w:r>
      <w:r>
        <w:rPr>
          <w:rFonts w:hint="eastAsia"/>
        </w:rPr>
        <w:t>Neumann</w:t>
      </w:r>
      <w:r>
        <w:rPr>
          <w:rFonts w:ascii="宋体" w:hAnsi="宋体" w:hint="eastAsia"/>
        </w:rPr>
        <w:t>零梯度</w:t>
      </w:r>
      <w:r>
        <w:rPr>
          <w:rFonts w:ascii="宋体" w:hAnsi="宋体"/>
        </w:rPr>
        <w:t>边界条件：</w:t>
      </w:r>
    </w:p>
    <w:p w:rsidR="004E3021" w:rsidRDefault="00606E48">
      <w:pPr>
        <w:ind w:firstLine="480"/>
        <w:jc w:val="center"/>
      </w:pPr>
      <w:r>
        <w:rPr>
          <w:noProof/>
        </w:rPr>
        <w:drawing>
          <wp:inline distT="0" distB="0" distL="0" distR="0">
            <wp:extent cx="2286000" cy="409575"/>
            <wp:effectExtent l="0" t="0" r="0" b="9525"/>
            <wp:docPr id="117" name="图片 117" descr="C:\Users\ADMINI~1\AppData\Local\Temp\ksohtml\wps15F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C:\Users\ADMINI~1\AppData\Local\Temp\ksohtml\wps15F6.tmp.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2286000" cy="409575"/>
                    </a:xfrm>
                    <a:prstGeom prst="rect">
                      <a:avLst/>
                    </a:prstGeom>
                    <a:noFill/>
                    <a:ln>
                      <a:noFill/>
                    </a:ln>
                  </pic:spPr>
                </pic:pic>
              </a:graphicData>
            </a:graphic>
          </wp:inline>
        </w:drawing>
      </w:r>
      <w:r>
        <w:t xml:space="preserve"> </w:t>
      </w:r>
    </w:p>
    <w:p w:rsidR="004E3021" w:rsidRDefault="00606E48">
      <w:pPr>
        <w:pStyle w:val="4a"/>
      </w:pPr>
      <w:r>
        <w:t>5.7.3.2</w:t>
      </w:r>
      <w:r>
        <w:rPr>
          <w:rFonts w:ascii="黑体" w:hAnsi="黑体" w:hint="eastAsia"/>
        </w:rPr>
        <w:t>预测方案</w:t>
      </w:r>
    </w:p>
    <w:p w:rsidR="004E3021" w:rsidRDefault="00606E48">
      <w:pPr>
        <w:ind w:firstLine="480"/>
        <w:rPr>
          <w:lang w:val="zh-CN"/>
        </w:rPr>
      </w:pPr>
      <w:r>
        <w:rPr>
          <w:rFonts w:hint="eastAsia"/>
        </w:rPr>
        <w:t>预测情景：正常工况下，土壤和地下水防渗措施完好，不会对土壤造成不利影响。假设以</w:t>
      </w:r>
      <w:r>
        <w:t>废水</w:t>
      </w:r>
      <w:r>
        <w:rPr>
          <w:rFonts w:hint="eastAsia"/>
        </w:rPr>
        <w:t>收集池防渗破损，生产</w:t>
      </w:r>
      <w:r>
        <w:t>废水</w:t>
      </w:r>
      <w:r>
        <w:rPr>
          <w:rFonts w:hint="eastAsia"/>
        </w:rPr>
        <w:t>污染土壤为例进行土壤环境影响预测，概化为</w:t>
      </w:r>
      <w:r>
        <w:rPr>
          <w:rFonts w:hint="eastAsia"/>
          <w:b/>
          <w:bCs/>
        </w:rPr>
        <w:t>连续点源情景</w:t>
      </w:r>
      <w:r>
        <w:rPr>
          <w:rFonts w:hint="eastAsia"/>
        </w:rPr>
        <w:t>。</w:t>
      </w:r>
    </w:p>
    <w:p w:rsidR="004E3021" w:rsidRDefault="00606E48">
      <w:pPr>
        <w:ind w:firstLine="480"/>
        <w:rPr>
          <w:lang w:val="zh-CN"/>
        </w:rPr>
      </w:pPr>
      <w:r>
        <w:rPr>
          <w:rFonts w:hint="eastAsia"/>
        </w:rPr>
        <w:t>预测因子：选</w:t>
      </w:r>
      <w:r>
        <w:rPr>
          <w:rFonts w:hint="eastAsia"/>
          <w:color w:val="000000" w:themeColor="text1"/>
        </w:rPr>
        <w:t>取</w:t>
      </w:r>
      <w:r>
        <w:rPr>
          <w:rFonts w:hint="eastAsia"/>
          <w:color w:val="000000" w:themeColor="text1"/>
        </w:rPr>
        <w:t>COD</w:t>
      </w:r>
      <w:r>
        <w:t>作为特征因子</w:t>
      </w:r>
      <w:r>
        <w:rPr>
          <w:rFonts w:hint="eastAsia"/>
        </w:rPr>
        <w:t>。</w:t>
      </w:r>
    </w:p>
    <w:p w:rsidR="004E3021" w:rsidRDefault="00606E48">
      <w:pPr>
        <w:ind w:firstLine="480"/>
        <w:sectPr w:rsidR="004E3021">
          <w:pgSz w:w="11907" w:h="16840"/>
          <w:pgMar w:top="1440" w:right="1440" w:bottom="1440" w:left="1440" w:header="851" w:footer="992" w:gutter="0"/>
          <w:cols w:space="720"/>
          <w:docGrid w:type="lines" w:linePitch="326"/>
        </w:sectPr>
      </w:pPr>
      <w:r>
        <w:rPr>
          <w:rFonts w:hint="eastAsia"/>
        </w:rPr>
        <w:t>预测参数选取：弥散系数</w:t>
      </w:r>
      <w:r>
        <w:rPr>
          <w:rFonts w:hint="eastAsia"/>
        </w:rPr>
        <w:t>D</w:t>
      </w:r>
      <w:r>
        <w:rPr>
          <w:rFonts w:hint="eastAsia"/>
        </w:rPr>
        <w:t>取值为</w:t>
      </w:r>
      <w:r>
        <w:t>0.324</w:t>
      </w:r>
      <w:r>
        <w:rPr>
          <w:rFonts w:hint="eastAsia"/>
        </w:rPr>
        <w:t>m</w:t>
      </w:r>
      <w:r>
        <w:rPr>
          <w:rFonts w:hint="eastAsia"/>
          <w:vertAlign w:val="superscript"/>
        </w:rPr>
        <w:t>2</w:t>
      </w:r>
      <w:r>
        <w:rPr>
          <w:rFonts w:hint="eastAsia"/>
        </w:rPr>
        <w:t>/d</w:t>
      </w:r>
      <w:r>
        <w:rPr>
          <w:rFonts w:hint="eastAsia"/>
        </w:rPr>
        <w:t>；渗流速率</w:t>
      </w:r>
      <w:r>
        <w:rPr>
          <w:rFonts w:hint="eastAsia"/>
        </w:rPr>
        <w:t>q</w:t>
      </w:r>
      <w:r>
        <w:rPr>
          <w:rFonts w:hint="eastAsia"/>
        </w:rPr>
        <w:t>为</w:t>
      </w:r>
      <w:r>
        <w:t>0.029</w:t>
      </w:r>
      <w:r>
        <w:rPr>
          <w:rFonts w:hint="eastAsia"/>
        </w:rPr>
        <w:t>m/d</w:t>
      </w:r>
      <w:r>
        <w:rPr>
          <w:rFonts w:hint="eastAsia"/>
        </w:rPr>
        <w:t>，土壤含水率根据工勘报告取为</w:t>
      </w:r>
      <w:r>
        <w:rPr>
          <w:rFonts w:hint="eastAsia"/>
        </w:rPr>
        <w:t>26.4%</w:t>
      </w:r>
      <w:r>
        <w:rPr>
          <w:rFonts w:hint="eastAsia"/>
        </w:rPr>
        <w:t>。</w:t>
      </w:r>
    </w:p>
    <w:p w:rsidR="004E3021" w:rsidRDefault="00606E48">
      <w:pPr>
        <w:ind w:firstLine="480"/>
        <w:rPr>
          <w:lang w:val="zh-CN"/>
        </w:rPr>
      </w:pPr>
      <w:r>
        <w:rPr>
          <w:lang w:val="zh-CN"/>
        </w:rPr>
        <w:lastRenderedPageBreak/>
        <w:t>土壤预测</w:t>
      </w:r>
      <w:r>
        <w:rPr>
          <w:rFonts w:hint="eastAsia"/>
          <w:lang w:val="zh-CN"/>
        </w:rPr>
        <w:t>结果</w:t>
      </w:r>
      <w:r>
        <w:rPr>
          <w:lang w:val="zh-CN"/>
        </w:rPr>
        <w:t>如下表：</w:t>
      </w:r>
    </w:p>
    <w:p w:rsidR="004E3021" w:rsidRDefault="00606E48">
      <w:pPr>
        <w:pStyle w:val="afffff4"/>
        <w:rPr>
          <w:lang w:val="zh-CN"/>
        </w:rPr>
      </w:pPr>
      <w:r>
        <w:rPr>
          <w:rFonts w:hint="eastAsia"/>
          <w:lang w:val="zh-CN"/>
        </w:rPr>
        <w:t>表</w:t>
      </w:r>
      <w:r>
        <w:rPr>
          <w:rFonts w:hint="eastAsia"/>
          <w:lang w:val="zh-CN"/>
        </w:rPr>
        <w:t>5.7.</w:t>
      </w:r>
      <w:r>
        <w:rPr>
          <w:lang w:val="zh-CN"/>
        </w:rPr>
        <w:t xml:space="preserve">3-1  </w:t>
      </w:r>
      <w:r>
        <w:rPr>
          <w:rFonts w:hint="eastAsia"/>
          <w:lang w:val="zh-CN"/>
        </w:rPr>
        <w:t>土壤</w:t>
      </w:r>
      <w:r>
        <w:rPr>
          <w:lang w:val="zh-CN"/>
        </w:rPr>
        <w:t>环境影响预测结果</w:t>
      </w:r>
    </w:p>
    <w:tbl>
      <w:tblPr>
        <w:tblStyle w:val="1ffffffd"/>
        <w:tblW w:w="5000" w:type="pct"/>
        <w:tblLook w:val="04A0" w:firstRow="1" w:lastRow="0" w:firstColumn="1" w:lastColumn="0" w:noHBand="0" w:noVBand="1"/>
      </w:tblPr>
      <w:tblGrid>
        <w:gridCol w:w="2698"/>
        <w:gridCol w:w="1140"/>
        <w:gridCol w:w="1139"/>
        <w:gridCol w:w="1284"/>
        <w:gridCol w:w="1284"/>
        <w:gridCol w:w="1284"/>
        <w:gridCol w:w="1284"/>
        <w:gridCol w:w="1284"/>
        <w:gridCol w:w="1284"/>
        <w:gridCol w:w="1279"/>
      </w:tblGrid>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b/>
                <w:kern w:val="0"/>
                <w:sz w:val="21"/>
                <w:szCs w:val="21"/>
              </w:rPr>
            </w:pPr>
            <w:r w:rsidRPr="00F37B4E">
              <w:rPr>
                <w:rFonts w:ascii="Times New Roman" w:hAnsi="Times New Roman" w:cs="Times New Roman"/>
                <w:b/>
                <w:kern w:val="0"/>
                <w:sz w:val="21"/>
                <w:szCs w:val="21"/>
              </w:rPr>
              <w:t>Z(m)\C(mg/L)/t(d)</w:t>
            </w:r>
          </w:p>
        </w:tc>
        <w:tc>
          <w:tcPr>
            <w:tcW w:w="408" w:type="pct"/>
            <w:noWrap/>
            <w:vAlign w:val="center"/>
          </w:tcPr>
          <w:p w:rsidR="004E3021" w:rsidRPr="00F37B4E" w:rsidRDefault="00606E48" w:rsidP="00F37B4E">
            <w:pPr>
              <w:pStyle w:val="afffffff2"/>
              <w:rPr>
                <w:rFonts w:ascii="Times New Roman" w:hAnsi="Times New Roman" w:cs="Times New Roman"/>
                <w:b/>
                <w:kern w:val="0"/>
                <w:sz w:val="21"/>
                <w:szCs w:val="21"/>
              </w:rPr>
            </w:pPr>
            <w:r w:rsidRPr="00F37B4E">
              <w:rPr>
                <w:rFonts w:ascii="Times New Roman" w:hAnsi="Times New Roman" w:cs="Times New Roman"/>
                <w:b/>
                <w:kern w:val="0"/>
                <w:sz w:val="21"/>
                <w:szCs w:val="21"/>
              </w:rPr>
              <w:t>1</w:t>
            </w:r>
          </w:p>
        </w:tc>
        <w:tc>
          <w:tcPr>
            <w:tcW w:w="408" w:type="pct"/>
            <w:vAlign w:val="center"/>
          </w:tcPr>
          <w:p w:rsidR="004E3021" w:rsidRPr="00F37B4E" w:rsidRDefault="00606E48" w:rsidP="00F37B4E">
            <w:pPr>
              <w:pStyle w:val="afffffff2"/>
              <w:rPr>
                <w:rFonts w:ascii="Times New Roman" w:hAnsi="Times New Roman" w:cs="Times New Roman"/>
                <w:b/>
                <w:kern w:val="0"/>
                <w:sz w:val="21"/>
                <w:szCs w:val="21"/>
              </w:rPr>
            </w:pPr>
            <w:r w:rsidRPr="00F37B4E">
              <w:rPr>
                <w:rFonts w:ascii="Times New Roman" w:hAnsi="Times New Roman" w:cs="Times New Roman"/>
                <w:b/>
                <w:kern w:val="0"/>
                <w:sz w:val="21"/>
                <w:szCs w:val="21"/>
              </w:rPr>
              <w:t>10</w:t>
            </w:r>
          </w:p>
        </w:tc>
        <w:tc>
          <w:tcPr>
            <w:tcW w:w="460" w:type="pct"/>
            <w:vAlign w:val="center"/>
          </w:tcPr>
          <w:p w:rsidR="004E3021" w:rsidRPr="00F37B4E" w:rsidRDefault="00606E48" w:rsidP="00F37B4E">
            <w:pPr>
              <w:pStyle w:val="afffffff2"/>
              <w:rPr>
                <w:rFonts w:ascii="Times New Roman" w:hAnsi="Times New Roman" w:cs="Times New Roman"/>
                <w:b/>
                <w:kern w:val="0"/>
                <w:sz w:val="21"/>
                <w:szCs w:val="21"/>
              </w:rPr>
            </w:pPr>
            <w:r w:rsidRPr="00F37B4E">
              <w:rPr>
                <w:rFonts w:ascii="Times New Roman" w:hAnsi="Times New Roman" w:cs="Times New Roman"/>
                <w:b/>
                <w:kern w:val="0"/>
                <w:sz w:val="21"/>
                <w:szCs w:val="21"/>
              </w:rPr>
              <w:t>100</w:t>
            </w:r>
          </w:p>
        </w:tc>
        <w:tc>
          <w:tcPr>
            <w:tcW w:w="460" w:type="pct"/>
            <w:noWrap/>
            <w:vAlign w:val="center"/>
          </w:tcPr>
          <w:p w:rsidR="004E3021" w:rsidRPr="00F37B4E" w:rsidRDefault="00606E48" w:rsidP="00F37B4E">
            <w:pPr>
              <w:pStyle w:val="afffffff2"/>
              <w:rPr>
                <w:rFonts w:ascii="Times New Roman" w:hAnsi="Times New Roman" w:cs="Times New Roman"/>
                <w:b/>
                <w:kern w:val="0"/>
                <w:sz w:val="21"/>
                <w:szCs w:val="21"/>
              </w:rPr>
            </w:pPr>
            <w:r w:rsidRPr="00F37B4E">
              <w:rPr>
                <w:rFonts w:ascii="Times New Roman" w:hAnsi="Times New Roman" w:cs="Times New Roman"/>
                <w:b/>
                <w:kern w:val="0"/>
                <w:sz w:val="21"/>
                <w:szCs w:val="21"/>
              </w:rPr>
              <w:t>150</w:t>
            </w:r>
          </w:p>
        </w:tc>
        <w:tc>
          <w:tcPr>
            <w:tcW w:w="460" w:type="pct"/>
            <w:vAlign w:val="center"/>
          </w:tcPr>
          <w:p w:rsidR="004E3021" w:rsidRPr="00F37B4E" w:rsidRDefault="00606E48" w:rsidP="00F37B4E">
            <w:pPr>
              <w:pStyle w:val="afffffff2"/>
              <w:rPr>
                <w:rFonts w:ascii="Times New Roman" w:hAnsi="Times New Roman" w:cs="Times New Roman"/>
                <w:b/>
                <w:kern w:val="0"/>
                <w:sz w:val="21"/>
                <w:szCs w:val="21"/>
              </w:rPr>
            </w:pPr>
            <w:r w:rsidRPr="00F37B4E">
              <w:rPr>
                <w:rFonts w:ascii="Times New Roman" w:hAnsi="Times New Roman" w:cs="Times New Roman"/>
                <w:b/>
                <w:kern w:val="0"/>
                <w:sz w:val="21"/>
                <w:szCs w:val="21"/>
              </w:rPr>
              <w:t>200</w:t>
            </w:r>
          </w:p>
        </w:tc>
        <w:tc>
          <w:tcPr>
            <w:tcW w:w="460" w:type="pct"/>
            <w:vAlign w:val="center"/>
          </w:tcPr>
          <w:p w:rsidR="004E3021" w:rsidRPr="00F37B4E" w:rsidRDefault="00606E48" w:rsidP="00F37B4E">
            <w:pPr>
              <w:pStyle w:val="afffffff2"/>
              <w:rPr>
                <w:rFonts w:ascii="Times New Roman" w:hAnsi="Times New Roman" w:cs="Times New Roman"/>
                <w:b/>
                <w:kern w:val="0"/>
                <w:sz w:val="21"/>
                <w:szCs w:val="21"/>
              </w:rPr>
            </w:pPr>
            <w:r w:rsidRPr="00F37B4E">
              <w:rPr>
                <w:rFonts w:ascii="Times New Roman" w:hAnsi="Times New Roman" w:cs="Times New Roman"/>
                <w:b/>
                <w:kern w:val="0"/>
                <w:sz w:val="21"/>
                <w:szCs w:val="21"/>
              </w:rPr>
              <w:t>300</w:t>
            </w:r>
          </w:p>
        </w:tc>
        <w:tc>
          <w:tcPr>
            <w:tcW w:w="460" w:type="pct"/>
            <w:vAlign w:val="center"/>
          </w:tcPr>
          <w:p w:rsidR="004E3021" w:rsidRPr="00F37B4E" w:rsidRDefault="00606E48" w:rsidP="00F37B4E">
            <w:pPr>
              <w:pStyle w:val="afffffff2"/>
              <w:rPr>
                <w:rFonts w:ascii="Times New Roman" w:hAnsi="Times New Roman" w:cs="Times New Roman"/>
                <w:b/>
                <w:kern w:val="0"/>
                <w:sz w:val="21"/>
                <w:szCs w:val="21"/>
              </w:rPr>
            </w:pPr>
            <w:r w:rsidRPr="00F37B4E">
              <w:rPr>
                <w:rFonts w:ascii="Times New Roman" w:hAnsi="Times New Roman" w:cs="Times New Roman"/>
                <w:b/>
                <w:kern w:val="0"/>
                <w:sz w:val="21"/>
                <w:szCs w:val="21"/>
              </w:rPr>
              <w:t>365</w:t>
            </w:r>
          </w:p>
        </w:tc>
        <w:tc>
          <w:tcPr>
            <w:tcW w:w="460" w:type="pct"/>
            <w:noWrap/>
            <w:vAlign w:val="center"/>
          </w:tcPr>
          <w:p w:rsidR="004E3021" w:rsidRPr="00F37B4E" w:rsidRDefault="00606E48" w:rsidP="00F37B4E">
            <w:pPr>
              <w:pStyle w:val="afffffff2"/>
              <w:rPr>
                <w:rFonts w:ascii="Times New Roman" w:hAnsi="Times New Roman" w:cs="Times New Roman"/>
                <w:b/>
                <w:bCs/>
                <w:kern w:val="0"/>
                <w:sz w:val="21"/>
                <w:szCs w:val="21"/>
              </w:rPr>
            </w:pPr>
            <w:r w:rsidRPr="00F37B4E">
              <w:rPr>
                <w:rFonts w:ascii="Times New Roman" w:hAnsi="Times New Roman" w:cs="Times New Roman"/>
                <w:b/>
                <w:bCs/>
                <w:kern w:val="0"/>
                <w:sz w:val="21"/>
                <w:szCs w:val="21"/>
              </w:rPr>
              <w:t>1000</w:t>
            </w:r>
          </w:p>
        </w:tc>
        <w:tc>
          <w:tcPr>
            <w:tcW w:w="458" w:type="pct"/>
            <w:noWrap/>
            <w:vAlign w:val="center"/>
          </w:tcPr>
          <w:p w:rsidR="004E3021" w:rsidRPr="00F37B4E" w:rsidRDefault="00606E48" w:rsidP="00F37B4E">
            <w:pPr>
              <w:pStyle w:val="afffffff2"/>
              <w:rPr>
                <w:rFonts w:ascii="Times New Roman" w:hAnsi="Times New Roman" w:cs="Times New Roman"/>
                <w:b/>
                <w:kern w:val="0"/>
                <w:sz w:val="21"/>
                <w:szCs w:val="21"/>
              </w:rPr>
            </w:pPr>
            <w:r w:rsidRPr="00F37B4E">
              <w:rPr>
                <w:rFonts w:ascii="Times New Roman" w:hAnsi="Times New Roman" w:cs="Times New Roman"/>
                <w:b/>
                <w:kern w:val="0"/>
                <w:sz w:val="21"/>
                <w:szCs w:val="21"/>
              </w:rPr>
              <w:t>3650</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0.1</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254.20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598.04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1758.78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1902.80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1965.75</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2011.85</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2022.13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2031.93</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0.2</w:t>
            </w:r>
          </w:p>
        </w:tc>
        <w:tc>
          <w:tcPr>
            <w:tcW w:w="408" w:type="pct"/>
            <w:noWrap/>
            <w:vAlign w:val="center"/>
          </w:tcPr>
          <w:p w:rsidR="004E3021" w:rsidRPr="00F37B4E" w:rsidRDefault="00606E48" w:rsidP="00F37B4E">
            <w:pPr>
              <w:pStyle w:val="afffffff2"/>
              <w:rPr>
                <w:rFonts w:ascii="Times New Roman" w:hAnsi="Times New Roman" w:cs="Times New Roman"/>
                <w:bCs/>
                <w:kern w:val="0"/>
                <w:sz w:val="21"/>
                <w:szCs w:val="21"/>
              </w:rPr>
            </w:pPr>
            <w:r w:rsidRPr="00F37B4E">
              <w:rPr>
                <w:rFonts w:ascii="Times New Roman" w:hAnsi="Times New Roman" w:cs="Times New Roman"/>
                <w:b/>
                <w:bCs/>
                <w:kern w:val="0"/>
                <w:sz w:val="21"/>
                <w:szCs w:val="21"/>
              </w:rPr>
              <w:t>245.11</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577.61</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1752.06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1899.77</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1964.28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2011.44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2021.93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2031.93</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0.3</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236.88</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558.16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1745.22</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1896.68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1962.79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2011.03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2021.74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2031.93</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0.4</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228.66</w:t>
            </w:r>
          </w:p>
        </w:tc>
        <w:tc>
          <w:tcPr>
            <w:tcW w:w="408" w:type="pct"/>
            <w:noWrap/>
            <w:vAlign w:val="center"/>
          </w:tcPr>
          <w:p w:rsidR="004E3021" w:rsidRPr="00F37B4E" w:rsidRDefault="00606E48" w:rsidP="00F37B4E">
            <w:pPr>
              <w:pStyle w:val="afffffff2"/>
              <w:rPr>
                <w:rFonts w:ascii="Times New Roman" w:hAnsi="Times New Roman" w:cs="Times New Roman"/>
                <w:bCs/>
                <w:kern w:val="0"/>
                <w:sz w:val="21"/>
                <w:szCs w:val="21"/>
              </w:rPr>
            </w:pPr>
            <w:r w:rsidRPr="00F37B4E">
              <w:rPr>
                <w:rFonts w:ascii="Times New Roman" w:hAnsi="Times New Roman" w:cs="Times New Roman"/>
                <w:b/>
                <w:bCs/>
                <w:kern w:val="0"/>
                <w:sz w:val="21"/>
                <w:szCs w:val="21"/>
              </w:rPr>
              <w:t>539.63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1738.27</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1893.53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1961.26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2010.60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2021.54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2031.93</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0.5</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219.75</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521.99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1731.21</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1890.33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1959.71</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2010.17</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2021.34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2031.93</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0.6</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209.58</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505.20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1724.05</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1887.06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1958.13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2009.73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2021.13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2031.93</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0.7</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197.80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489.20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1716.77</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1883.74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1956.51</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2009.28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2020.92</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2031.93</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0.8</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184.26</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473.96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1709.38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1880.35</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1954.87</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2008.83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2020.70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2031.93</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0.9</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169.05</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459.43</w:t>
            </w:r>
          </w:p>
        </w:tc>
        <w:tc>
          <w:tcPr>
            <w:tcW w:w="460" w:type="pct"/>
            <w:noWrap/>
            <w:vAlign w:val="center"/>
          </w:tcPr>
          <w:p w:rsidR="004E3021" w:rsidRPr="00F37B4E" w:rsidRDefault="00606E48" w:rsidP="00F37B4E">
            <w:pPr>
              <w:pStyle w:val="afffffff2"/>
              <w:rPr>
                <w:rFonts w:ascii="Times New Roman" w:hAnsi="Times New Roman" w:cs="Times New Roman"/>
                <w:bCs/>
                <w:kern w:val="0"/>
                <w:sz w:val="21"/>
                <w:szCs w:val="21"/>
              </w:rPr>
            </w:pPr>
            <w:r w:rsidRPr="00F37B4E">
              <w:rPr>
                <w:rFonts w:ascii="Times New Roman" w:hAnsi="Times New Roman" w:cs="Times New Roman"/>
                <w:b/>
                <w:bCs/>
                <w:kern w:val="0"/>
                <w:sz w:val="21"/>
                <w:szCs w:val="21"/>
              </w:rPr>
              <w:t>1701.88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1876.91</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1953.20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2008.36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2020.49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2031.93</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152.48</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445.57</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1694.28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1873.40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1951.50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2007.89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2020.26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2031.93</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1.5</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67.72</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384.62</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1654.65</w:t>
            </w:r>
          </w:p>
        </w:tc>
        <w:tc>
          <w:tcPr>
            <w:tcW w:w="460" w:type="pct"/>
            <w:noWrap/>
            <w:vAlign w:val="center"/>
          </w:tcPr>
          <w:p w:rsidR="004E3021" w:rsidRPr="00F37B4E" w:rsidRDefault="00606E48" w:rsidP="00F37B4E">
            <w:pPr>
              <w:pStyle w:val="afffffff2"/>
              <w:rPr>
                <w:rFonts w:ascii="Times New Roman" w:hAnsi="Times New Roman" w:cs="Times New Roman"/>
                <w:bCs/>
                <w:kern w:val="0"/>
                <w:sz w:val="21"/>
                <w:szCs w:val="21"/>
              </w:rPr>
            </w:pPr>
            <w:r w:rsidRPr="00F37B4E">
              <w:rPr>
                <w:rFonts w:ascii="Times New Roman" w:hAnsi="Times New Roman" w:cs="Times New Roman"/>
                <w:b/>
                <w:bCs/>
                <w:kern w:val="0"/>
                <w:sz w:val="21"/>
                <w:szCs w:val="21"/>
              </w:rPr>
              <w:t>1854.92</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1942.50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2005.40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2019.10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2031.93</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17.95</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333.86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1612.44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1834.81</w:t>
            </w:r>
          </w:p>
        </w:tc>
        <w:tc>
          <w:tcPr>
            <w:tcW w:w="460" w:type="pct"/>
            <w:noWrap/>
            <w:vAlign w:val="center"/>
          </w:tcPr>
          <w:p w:rsidR="004E3021" w:rsidRPr="00F37B4E" w:rsidRDefault="00606E48" w:rsidP="00F37B4E">
            <w:pPr>
              <w:pStyle w:val="afffffff2"/>
              <w:rPr>
                <w:rFonts w:ascii="Times New Roman" w:hAnsi="Times New Roman" w:cs="Times New Roman"/>
                <w:bCs/>
                <w:kern w:val="0"/>
                <w:sz w:val="21"/>
                <w:szCs w:val="21"/>
              </w:rPr>
            </w:pPr>
            <w:r w:rsidRPr="00F37B4E">
              <w:rPr>
                <w:rFonts w:ascii="Times New Roman" w:hAnsi="Times New Roman" w:cs="Times New Roman"/>
                <w:b/>
                <w:bCs/>
                <w:kern w:val="0"/>
                <w:sz w:val="21"/>
                <w:szCs w:val="21"/>
              </w:rPr>
              <w:t>1932.66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2002.69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2017.82</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2031.93</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2.5</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3.00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289.00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1567.83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1813.04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1921.93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1999.73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2016.44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2031.92</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3</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0.33</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247.12</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1521.02</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1789.54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1910.26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1996.50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2014.93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2031.92</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3.5</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0.03</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206.75</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1472.27</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1764.30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1897.60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1992.99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2013.29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2031.92</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4</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167.82</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1421.87</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1737.30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1883.89</w:t>
            </w:r>
          </w:p>
        </w:tc>
        <w:tc>
          <w:tcPr>
            <w:tcW w:w="460" w:type="pct"/>
            <w:noWrap/>
            <w:vAlign w:val="center"/>
          </w:tcPr>
          <w:p w:rsidR="004E3021" w:rsidRPr="00F37B4E" w:rsidRDefault="00606E48" w:rsidP="00F37B4E">
            <w:pPr>
              <w:pStyle w:val="afffffff2"/>
              <w:rPr>
                <w:rFonts w:ascii="Times New Roman" w:hAnsi="Times New Roman" w:cs="Times New Roman"/>
                <w:bCs/>
                <w:kern w:val="0"/>
                <w:sz w:val="21"/>
                <w:szCs w:val="21"/>
              </w:rPr>
            </w:pPr>
            <w:r w:rsidRPr="00F37B4E">
              <w:rPr>
                <w:rFonts w:ascii="Times New Roman" w:hAnsi="Times New Roman" w:cs="Times New Roman"/>
                <w:b/>
                <w:bCs/>
                <w:kern w:val="0"/>
                <w:sz w:val="21"/>
                <w:szCs w:val="21"/>
              </w:rPr>
              <w:t>1989.18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2011.52</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2031.92</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4.5</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131.23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1370.14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1708.55</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1869.09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1985.04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2009.59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2031.91</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5</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98.37</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1317.43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1678.06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1853.16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1980.56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2007.50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2031.91</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5.5</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70.46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1264.09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1645.89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1836.05</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1975.70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2005.23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2031.91</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6</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48.15</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1210.46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1612.08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1817.74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1970.45</w:t>
            </w:r>
          </w:p>
        </w:tc>
        <w:tc>
          <w:tcPr>
            <w:tcW w:w="460" w:type="pct"/>
            <w:noWrap/>
            <w:vAlign w:val="center"/>
          </w:tcPr>
          <w:p w:rsidR="004E3021" w:rsidRPr="00F37B4E" w:rsidRDefault="00606E48" w:rsidP="00F37B4E">
            <w:pPr>
              <w:pStyle w:val="afffffff2"/>
              <w:rPr>
                <w:rFonts w:ascii="Times New Roman" w:hAnsi="Times New Roman" w:cs="Times New Roman"/>
                <w:bCs/>
                <w:kern w:val="0"/>
                <w:sz w:val="21"/>
                <w:szCs w:val="21"/>
              </w:rPr>
            </w:pPr>
            <w:r w:rsidRPr="00F37B4E">
              <w:rPr>
                <w:rFonts w:ascii="Times New Roman" w:hAnsi="Times New Roman" w:cs="Times New Roman"/>
                <w:b/>
                <w:bCs/>
                <w:kern w:val="0"/>
                <w:sz w:val="21"/>
                <w:szCs w:val="21"/>
              </w:rPr>
              <w:t>2002.78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2031.90</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lastRenderedPageBreak/>
              <w:t>6</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31.40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1156.89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1576.73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1798.19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1964.79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2000.14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2031.90</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7</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19.56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1103.70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1539.94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1777.38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1958.67</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1997.28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2031.90</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7.5</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11.66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1051.18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1501.81</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1755.30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1952.09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1994.19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2031.89</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8</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6.66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999.60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1462.49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1731.94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1945.02</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1990.87</w:t>
            </w:r>
          </w:p>
        </w:tc>
        <w:tc>
          <w:tcPr>
            <w:tcW w:w="460" w:type="pct"/>
            <w:noWrap/>
            <w:vAlign w:val="center"/>
          </w:tcPr>
          <w:p w:rsidR="004E3021" w:rsidRPr="00F37B4E" w:rsidRDefault="00606E48" w:rsidP="00F37B4E">
            <w:pPr>
              <w:pStyle w:val="afffffff2"/>
              <w:rPr>
                <w:rFonts w:ascii="Times New Roman" w:hAnsi="Times New Roman" w:cs="Times New Roman"/>
                <w:bCs/>
                <w:kern w:val="0"/>
                <w:sz w:val="21"/>
                <w:szCs w:val="21"/>
              </w:rPr>
            </w:pPr>
            <w:r w:rsidRPr="00F37B4E">
              <w:rPr>
                <w:rFonts w:ascii="Times New Roman" w:hAnsi="Times New Roman" w:cs="Times New Roman"/>
                <w:b/>
                <w:bCs/>
                <w:kern w:val="0"/>
                <w:sz w:val="21"/>
                <w:szCs w:val="21"/>
              </w:rPr>
              <w:t>2031.89</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8.5</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3.65</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949.19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1422.13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1707.31</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1937.42</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1987.29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2031.88</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9</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900.13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1380.88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1681.43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1929.27</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1983.45</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2031.87</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9.5</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0.98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852.58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1338.91</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1654.31</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1920.55</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1979.31</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2031.87</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0.48</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806.65</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1296.39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1625.99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1911.22</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1974.87</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2031.86</w:t>
            </w:r>
          </w:p>
        </w:tc>
        <w:tc>
          <w:tcPr>
            <w:tcW w:w="458" w:type="pct"/>
            <w:noWrap/>
            <w:vAlign w:val="center"/>
          </w:tcPr>
          <w:p w:rsidR="004E3021" w:rsidRPr="00F37B4E" w:rsidRDefault="00606E48" w:rsidP="00F37B4E">
            <w:pPr>
              <w:pStyle w:val="afffffff2"/>
              <w:rPr>
                <w:rFonts w:ascii="Times New Roman" w:hAnsi="Times New Roman" w:cs="Times New Roman"/>
                <w:bCs/>
                <w:kern w:val="0"/>
                <w:sz w:val="21"/>
                <w:szCs w:val="21"/>
              </w:rPr>
            </w:pPr>
            <w:r w:rsidRPr="00F37B4E">
              <w:rPr>
                <w:rFonts w:ascii="Times New Roman" w:hAnsi="Times New Roman" w:cs="Times New Roman"/>
                <w:b/>
                <w:bCs/>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12</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0.02</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640.15</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1124.29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1501.74</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1867.39</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1953.73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2031.83</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r w:rsidR="004E3021" w:rsidRPr="00F37B4E" w:rsidTr="00F37B4E">
        <w:trPr>
          <w:trHeight w:val="270"/>
        </w:trPr>
        <w:tc>
          <w:tcPr>
            <w:tcW w:w="966"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15</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0.00</w:t>
            </w:r>
          </w:p>
        </w:tc>
        <w:tc>
          <w:tcPr>
            <w:tcW w:w="40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0.00</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440.07</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876.93</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1290.95</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1779.66</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1909.82</w:t>
            </w:r>
          </w:p>
        </w:tc>
        <w:tc>
          <w:tcPr>
            <w:tcW w:w="460"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2031.75</w:t>
            </w:r>
          </w:p>
        </w:tc>
        <w:tc>
          <w:tcPr>
            <w:tcW w:w="458" w:type="pct"/>
            <w:noWrap/>
            <w:vAlign w:val="center"/>
          </w:tcPr>
          <w:p w:rsidR="004E3021" w:rsidRPr="00F37B4E" w:rsidRDefault="00606E48" w:rsidP="00F37B4E">
            <w:pPr>
              <w:pStyle w:val="afffffff2"/>
              <w:rPr>
                <w:rFonts w:ascii="Times New Roman" w:hAnsi="Times New Roman" w:cs="Times New Roman"/>
                <w:kern w:val="0"/>
                <w:sz w:val="21"/>
                <w:szCs w:val="21"/>
              </w:rPr>
            </w:pPr>
            <w:r w:rsidRPr="00F37B4E">
              <w:rPr>
                <w:rFonts w:ascii="Times New Roman" w:hAnsi="Times New Roman" w:cs="Times New Roman"/>
                <w:kern w:val="0"/>
                <w:sz w:val="21"/>
                <w:szCs w:val="21"/>
              </w:rPr>
              <w:t>2031.95</w:t>
            </w:r>
          </w:p>
        </w:tc>
      </w:tr>
    </w:tbl>
    <w:p w:rsidR="004E3021" w:rsidRDefault="00606E48">
      <w:pPr>
        <w:ind w:firstLine="480"/>
        <w:sectPr w:rsidR="004E3021">
          <w:pgSz w:w="16840" w:h="11907" w:orient="landscape"/>
          <w:pgMar w:top="1440" w:right="1440" w:bottom="1440" w:left="1440" w:header="851" w:footer="992" w:gutter="0"/>
          <w:cols w:space="425"/>
          <w:docGrid w:type="lines" w:linePitch="326"/>
        </w:sectPr>
      </w:pPr>
      <w:r>
        <w:tab/>
      </w:r>
      <w:r>
        <w:rPr>
          <w:rFonts w:hint="eastAsia"/>
        </w:rPr>
        <w:t>本次</w:t>
      </w:r>
      <w:r>
        <w:t>预测指标</w:t>
      </w:r>
      <w:r>
        <w:rPr>
          <w:rFonts w:hint="eastAsia"/>
        </w:rPr>
        <w:t>中</w:t>
      </w:r>
      <w:r>
        <w:t>COD</w:t>
      </w:r>
      <w:r>
        <w:rPr>
          <w:rFonts w:hint="eastAsia"/>
        </w:rPr>
        <w:t>由于在《土壤环境质量</w:t>
      </w:r>
      <w:r>
        <w:t xml:space="preserve"> </w:t>
      </w:r>
      <w:r>
        <w:t>建设用地土壤污染风险管控标准（试行）》（</w:t>
      </w:r>
      <w:r>
        <w:t>GB36600-2018</w:t>
      </w:r>
      <w:r>
        <w:t>）</w:t>
      </w:r>
      <w:r>
        <w:rPr>
          <w:rFonts w:hint="eastAsia"/>
        </w:rPr>
        <w:t>无相应</w:t>
      </w:r>
      <w:r>
        <w:t>限值，故从地下水角度</w:t>
      </w:r>
      <w:r>
        <w:rPr>
          <w:rFonts w:hint="eastAsia"/>
        </w:rPr>
        <w:t>的</w:t>
      </w:r>
      <w:r>
        <w:t>污染角度</w:t>
      </w:r>
      <w:r>
        <w:rPr>
          <w:rFonts w:hint="eastAsia"/>
        </w:rPr>
        <w:t>设置污染</w:t>
      </w:r>
      <w:r>
        <w:t>晕外围</w:t>
      </w:r>
      <w:r>
        <w:rPr>
          <w:rFonts w:hint="eastAsia"/>
        </w:rPr>
        <w:t>浓度</w:t>
      </w:r>
      <w:r>
        <w:t>为</w:t>
      </w:r>
      <w:r>
        <w:rPr>
          <w:rFonts w:hint="eastAsia"/>
        </w:rPr>
        <w:t>3</w:t>
      </w:r>
      <w:r>
        <w:t>mg/L</w:t>
      </w:r>
      <w:r>
        <w:rPr>
          <w:rFonts w:ascii="宋体" w:hAnsi="宋体"/>
        </w:rPr>
        <w:t>(</w:t>
      </w:r>
      <w:r>
        <w:rPr>
          <w:rFonts w:ascii="宋体" w:hAnsi="宋体" w:hint="eastAsia"/>
        </w:rPr>
        <w:t>地下水</w:t>
      </w:r>
      <w:r>
        <w:rPr>
          <w:rFonts w:ascii="宋体" w:hAnsi="宋体"/>
        </w:rPr>
        <w:t>环境质量标准</w:t>
      </w:r>
      <w:r>
        <w:rPr>
          <w:rFonts w:ascii="宋体" w:hAnsi="宋体" w:hint="eastAsia"/>
        </w:rPr>
        <w:t>Ⅲ类水标准</w:t>
      </w:r>
      <w:r>
        <w:rPr>
          <w:rFonts w:ascii="宋体" w:hAnsi="宋体"/>
        </w:rPr>
        <w:t>)</w:t>
      </w:r>
      <w:r>
        <w:rPr>
          <w:rFonts w:hint="eastAsia"/>
        </w:rPr>
        <w:t>。</w:t>
      </w:r>
      <w:r>
        <w:t>由上表可知，废水</w:t>
      </w:r>
      <w:r>
        <w:rPr>
          <w:rFonts w:hint="eastAsia"/>
        </w:rPr>
        <w:t>收集池泄漏</w:t>
      </w:r>
      <w:r>
        <w:t>1d</w:t>
      </w:r>
      <w:r>
        <w:t>时</w:t>
      </w:r>
      <w:r>
        <w:rPr>
          <w:rFonts w:hint="eastAsia"/>
        </w:rPr>
        <w:t>，</w:t>
      </w:r>
      <w:r>
        <w:t>可影响到</w:t>
      </w:r>
      <w:r>
        <w:t>2.5m</w:t>
      </w:r>
      <w:r>
        <w:t>内的土壤</w:t>
      </w:r>
      <w:r>
        <w:rPr>
          <w:rFonts w:hint="eastAsia"/>
        </w:rPr>
        <w:t>；</w:t>
      </w:r>
      <w:r>
        <w:t>泄漏</w:t>
      </w:r>
      <w:r>
        <w:rPr>
          <w:rFonts w:hint="eastAsia"/>
        </w:rPr>
        <w:t>10</w:t>
      </w:r>
      <w:r>
        <w:t>d</w:t>
      </w:r>
      <w:r>
        <w:t>时</w:t>
      </w:r>
      <w:r>
        <w:rPr>
          <w:rFonts w:hint="eastAsia"/>
        </w:rPr>
        <w:t>，可影响到</w:t>
      </w:r>
      <w:r>
        <w:t>9m</w:t>
      </w:r>
      <w:r>
        <w:t>内的土壤；</w:t>
      </w:r>
      <w:r>
        <w:rPr>
          <w:rFonts w:hint="eastAsia"/>
        </w:rPr>
        <w:t>泄漏</w:t>
      </w:r>
      <w:r>
        <w:rPr>
          <w:rFonts w:hint="eastAsia"/>
        </w:rPr>
        <w:t>3650</w:t>
      </w:r>
      <w:r>
        <w:t>d</w:t>
      </w:r>
      <w:r>
        <w:t>时，</w:t>
      </w:r>
      <w:r>
        <w:rPr>
          <w:rFonts w:hint="eastAsia"/>
        </w:rPr>
        <w:t>土壤</w:t>
      </w:r>
      <w:r>
        <w:t>层全被</w:t>
      </w:r>
      <w:r>
        <w:rPr>
          <w:rFonts w:hint="eastAsia"/>
        </w:rPr>
        <w:t>污染，及时修复，</w:t>
      </w:r>
      <w:r>
        <w:t>可保证</w:t>
      </w:r>
      <w:r>
        <w:rPr>
          <w:rFonts w:hint="eastAsia"/>
        </w:rPr>
        <w:t>废水</w:t>
      </w:r>
      <w:r>
        <w:t>对厂区内土壤环境的影响可控</w:t>
      </w:r>
      <w:r>
        <w:rPr>
          <w:rFonts w:hint="eastAsia"/>
        </w:rPr>
        <w:t>。</w:t>
      </w:r>
    </w:p>
    <w:p w:rsidR="004E3021" w:rsidRDefault="00606E48">
      <w:pPr>
        <w:pStyle w:val="afffffffffffffffff4"/>
      </w:pPr>
      <w:bookmarkStart w:id="576" w:name="_Toc100784075"/>
      <w:bookmarkStart w:id="577" w:name="_Toc101135907"/>
      <w:bookmarkStart w:id="578" w:name="_Toc108662684"/>
      <w:bookmarkStart w:id="579" w:name="_Toc221088839"/>
      <w:bookmarkStart w:id="580" w:name="_Toc221501054"/>
      <w:r>
        <w:lastRenderedPageBreak/>
        <w:t>5.7.4</w:t>
      </w:r>
      <w:r>
        <w:rPr>
          <w:rFonts w:hint="eastAsia"/>
        </w:rPr>
        <w:t>大气沉降</w:t>
      </w:r>
      <w:r>
        <w:t>对土壤</w:t>
      </w:r>
      <w:r>
        <w:rPr>
          <w:rFonts w:hint="eastAsia"/>
        </w:rPr>
        <w:t>的累积影响预测</w:t>
      </w:r>
      <w:bookmarkEnd w:id="576"/>
      <w:bookmarkEnd w:id="577"/>
      <w:bookmarkEnd w:id="578"/>
      <w:bookmarkEnd w:id="579"/>
      <w:bookmarkEnd w:id="580"/>
    </w:p>
    <w:p w:rsidR="004E3021" w:rsidRDefault="00606E48">
      <w:pPr>
        <w:ind w:firstLine="480"/>
      </w:pPr>
      <w:r>
        <w:t>本项目排放的</w:t>
      </w:r>
      <w:r>
        <w:rPr>
          <w:rFonts w:hint="eastAsia"/>
        </w:rPr>
        <w:t>有机废气</w:t>
      </w:r>
      <w:r w:rsidR="00F37B4E">
        <w:rPr>
          <w:rFonts w:hint="eastAsia"/>
        </w:rPr>
        <w:t>、</w:t>
      </w:r>
      <w:r>
        <w:t>含氨废气和粉尘在环境中的迁移转化主要由</w:t>
      </w:r>
      <w:r>
        <w:rPr>
          <w:rFonts w:hint="eastAsia"/>
        </w:rPr>
        <w:t>合成</w:t>
      </w:r>
      <w:r>
        <w:t>反应、</w:t>
      </w:r>
      <w:r>
        <w:rPr>
          <w:rFonts w:hint="eastAsia"/>
        </w:rPr>
        <w:t>水解、</w:t>
      </w:r>
      <w:r>
        <w:t>蒸馏、精馏和冷凝等</w:t>
      </w:r>
      <w:r>
        <w:rPr>
          <w:rFonts w:hint="eastAsia"/>
        </w:rPr>
        <w:t>物理</w:t>
      </w:r>
      <w:r>
        <w:t>、化学反应决定。排放的</w:t>
      </w:r>
      <w:r w:rsidR="00F37B4E">
        <w:rPr>
          <w:rFonts w:hint="eastAsia"/>
        </w:rPr>
        <w:t>甲醇</w:t>
      </w:r>
      <w:r>
        <w:rPr>
          <w:rFonts w:hint="eastAsia"/>
        </w:rPr>
        <w:t>等</w:t>
      </w:r>
      <w:r>
        <w:t>可因重力沉降或降水的作用迁移至水和土壤中，颗粒的大小对沉降有明显影响。同时土壤的类型、孔隙率、含水率等均对</w:t>
      </w:r>
      <w:r>
        <w:rPr>
          <w:rFonts w:hint="eastAsia"/>
        </w:rPr>
        <w:t>污染物</w:t>
      </w:r>
      <w:r>
        <w:t>的迁移转化有很大的影响。</w:t>
      </w:r>
    </w:p>
    <w:p w:rsidR="004E3021" w:rsidRDefault="00606E48">
      <w:pPr>
        <w:ind w:firstLine="480"/>
      </w:pPr>
      <w:r>
        <w:rPr>
          <w:rFonts w:hint="eastAsia"/>
        </w:rPr>
        <w:t>由于</w:t>
      </w:r>
      <w:r>
        <w:t>本项目排放的大气污染物</w:t>
      </w:r>
      <w:r>
        <w:rPr>
          <w:rFonts w:hint="eastAsia"/>
        </w:rPr>
        <w:t>（</w:t>
      </w:r>
      <w:r>
        <w:t>PM</w:t>
      </w:r>
      <w:r>
        <w:rPr>
          <w:vertAlign w:val="subscript"/>
        </w:rPr>
        <w:t>10</w:t>
      </w:r>
      <w:r>
        <w:t>、</w:t>
      </w:r>
      <w:r>
        <w:rPr>
          <w:rFonts w:hint="eastAsia"/>
        </w:rPr>
        <w:t>P</w:t>
      </w:r>
      <w:r>
        <w:t>M</w:t>
      </w:r>
      <w:r>
        <w:rPr>
          <w:vertAlign w:val="subscript"/>
        </w:rPr>
        <w:t>2.5</w:t>
      </w:r>
      <w:r>
        <w:rPr>
          <w:rFonts w:hint="eastAsia"/>
        </w:rPr>
        <w:t>、甲醇、</w:t>
      </w:r>
      <w:r>
        <w:t>NH</w:t>
      </w:r>
      <w:r>
        <w:rPr>
          <w:vertAlign w:val="subscript"/>
        </w:rPr>
        <w:t>3</w:t>
      </w:r>
      <w:r>
        <w:rPr>
          <w:rFonts w:hint="eastAsia"/>
        </w:rPr>
        <w:t>、</w:t>
      </w:r>
      <w:r>
        <w:rPr>
          <w:rFonts w:hint="eastAsia"/>
        </w:rPr>
        <w:t>V</w:t>
      </w:r>
      <w:r>
        <w:t>OCs</w:t>
      </w:r>
      <w:r>
        <w:rPr>
          <w:rFonts w:hint="eastAsia"/>
        </w:rPr>
        <w:t>）在《土壤环境质量</w:t>
      </w:r>
      <w:r>
        <w:t xml:space="preserve"> </w:t>
      </w:r>
      <w:r>
        <w:t>建设用地土壤污染风险管控标准（试行）》（</w:t>
      </w:r>
      <w:r>
        <w:t>GB36600-2018</w:t>
      </w:r>
      <w:r>
        <w:t>）</w:t>
      </w:r>
      <w:r>
        <w:rPr>
          <w:rFonts w:hint="eastAsia"/>
        </w:rPr>
        <w:t>无相应</w:t>
      </w:r>
      <w:r>
        <w:t>限值</w:t>
      </w:r>
      <w:r>
        <w:rPr>
          <w:rFonts w:hint="eastAsia"/>
        </w:rPr>
        <w:t>。因此</w:t>
      </w:r>
      <w:r>
        <w:t>本项目</w:t>
      </w:r>
      <w:r>
        <w:rPr>
          <w:rFonts w:hint="eastAsia"/>
        </w:rPr>
        <w:t>对照</w:t>
      </w:r>
      <w:r>
        <w:rPr>
          <w:rFonts w:ascii="宋体" w:hAnsi="宋体" w:hint="eastAsia"/>
        </w:rPr>
        <w:t>《环境影响评价技术导则</w:t>
      </w:r>
      <w:r>
        <w:t xml:space="preserve"> </w:t>
      </w:r>
      <w:r>
        <w:rPr>
          <w:rFonts w:ascii="宋体" w:hAnsi="宋体" w:hint="eastAsia"/>
        </w:rPr>
        <w:t>土壤环境（试行）》（</w:t>
      </w:r>
      <w:r>
        <w:t>HJ964-2018</w:t>
      </w:r>
      <w:r>
        <w:rPr>
          <w:rFonts w:ascii="宋体" w:hAnsi="宋体" w:hint="eastAsia"/>
        </w:rPr>
        <w:t>）中涉及</w:t>
      </w:r>
      <w:r>
        <w:rPr>
          <w:rFonts w:ascii="宋体" w:hAnsi="宋体"/>
        </w:rPr>
        <w:t>大气沉降</w:t>
      </w:r>
      <w:r>
        <w:rPr>
          <w:rFonts w:ascii="宋体" w:hAnsi="宋体" w:hint="eastAsia"/>
        </w:rPr>
        <w:t>影响土壤</w:t>
      </w:r>
      <w:r>
        <w:rPr>
          <w:rFonts w:ascii="宋体" w:hAnsi="宋体"/>
        </w:rPr>
        <w:t>环境预测</w:t>
      </w:r>
      <w:r>
        <w:rPr>
          <w:rFonts w:ascii="宋体" w:hAnsi="宋体" w:hint="eastAsia"/>
        </w:rPr>
        <w:t>，</w:t>
      </w:r>
      <w:r>
        <w:rPr>
          <w:rFonts w:ascii="宋体" w:hAnsi="宋体"/>
        </w:rPr>
        <w:t>可参照</w:t>
      </w:r>
      <w:r>
        <w:rPr>
          <w:rFonts w:ascii="宋体" w:hAnsi="宋体" w:hint="eastAsia"/>
        </w:rPr>
        <w:t>《环境影响评价技术导则 大气环境》（</w:t>
      </w:r>
      <w:r>
        <w:t>HJ2.2-2018</w:t>
      </w:r>
      <w:r>
        <w:rPr>
          <w:rFonts w:ascii="宋体" w:hAnsi="宋体" w:hint="eastAsia"/>
        </w:rPr>
        <w:t>）相关</w:t>
      </w:r>
      <w:r>
        <w:rPr>
          <w:rFonts w:ascii="宋体" w:hAnsi="宋体"/>
        </w:rPr>
        <w:t>技术给出</w:t>
      </w:r>
      <w:r>
        <w:rPr>
          <w:rFonts w:ascii="宋体" w:hAnsi="宋体" w:hint="eastAsia"/>
        </w:rPr>
        <w:t>。由</w:t>
      </w:r>
      <w:r>
        <w:t>5.1</w:t>
      </w:r>
      <w:r>
        <w:t>章节可知，本项目各大气污染物短期浓度和长期浓度贡献值占标率均小于</w:t>
      </w:r>
      <w:r>
        <w:t>1</w:t>
      </w:r>
      <w:r>
        <w:t>，即达标；本项目各大气污染物短期浓度和长期浓度叠加现状浓度、区域同期拟建、在建项目污染源的环境影响后，各大气污染物短期浓度和长期浓度贡献值占标率均小于</w:t>
      </w:r>
      <w:r>
        <w:t>1</w:t>
      </w:r>
      <w:r>
        <w:t>，即达标。</w:t>
      </w:r>
      <w:r>
        <w:rPr>
          <w:rFonts w:hint="eastAsia"/>
        </w:rPr>
        <w:t>建设</w:t>
      </w:r>
      <w:r>
        <w:t>单位将按照</w:t>
      </w:r>
      <w:r>
        <w:rPr>
          <w:rFonts w:ascii="宋体" w:hAnsi="宋体" w:hint="eastAsia"/>
        </w:rPr>
        <w:t>《环境影响评价技术导则</w:t>
      </w:r>
      <w:r>
        <w:t xml:space="preserve"> </w:t>
      </w:r>
      <w:r>
        <w:rPr>
          <w:rFonts w:ascii="宋体" w:hAnsi="宋体" w:hint="eastAsia"/>
        </w:rPr>
        <w:t>土壤环境（试行）》（</w:t>
      </w:r>
      <w:r>
        <w:t>HJ964-2018</w:t>
      </w:r>
      <w:r>
        <w:rPr>
          <w:rFonts w:ascii="宋体" w:hAnsi="宋体" w:hint="eastAsia"/>
        </w:rPr>
        <w:t>）中</w:t>
      </w:r>
      <w:r>
        <w:rPr>
          <w:rFonts w:ascii="宋体" w:hAnsi="宋体"/>
        </w:rPr>
        <w:t>要求，</w:t>
      </w:r>
      <w:r>
        <w:rPr>
          <w:rFonts w:ascii="宋体" w:hAnsi="宋体" w:hint="eastAsia"/>
        </w:rPr>
        <w:t>采取绿化</w:t>
      </w:r>
      <w:r>
        <w:rPr>
          <w:rFonts w:ascii="宋体" w:hAnsi="宋体"/>
        </w:rPr>
        <w:t>措施，种植具有较强吸附能力的植物，</w:t>
      </w:r>
      <w:r>
        <w:rPr>
          <w:rFonts w:ascii="宋体" w:hAnsi="宋体" w:hint="eastAsia"/>
        </w:rPr>
        <w:t>在</w:t>
      </w:r>
      <w:r>
        <w:rPr>
          <w:rFonts w:ascii="宋体" w:hAnsi="宋体"/>
        </w:rPr>
        <w:t>落实</w:t>
      </w:r>
      <w:r>
        <w:rPr>
          <w:rFonts w:ascii="宋体" w:hAnsi="宋体" w:hint="eastAsia"/>
        </w:rPr>
        <w:t>绿化</w:t>
      </w:r>
      <w:r>
        <w:rPr>
          <w:rFonts w:ascii="宋体" w:hAnsi="宋体"/>
        </w:rPr>
        <w:t>措施后，本项目</w:t>
      </w:r>
      <w:r>
        <w:rPr>
          <w:rFonts w:ascii="宋体" w:hAnsi="宋体" w:hint="eastAsia"/>
        </w:rPr>
        <w:t>各</w:t>
      </w:r>
      <w:r>
        <w:rPr>
          <w:rFonts w:ascii="宋体" w:hAnsi="宋体"/>
        </w:rPr>
        <w:t>大气污染物</w:t>
      </w:r>
      <w:r>
        <w:rPr>
          <w:rFonts w:ascii="宋体" w:hAnsi="宋体" w:hint="eastAsia"/>
        </w:rPr>
        <w:t>沉降</w:t>
      </w:r>
      <w:r>
        <w:rPr>
          <w:rFonts w:ascii="宋体" w:hAnsi="宋体"/>
        </w:rPr>
        <w:t>后</w:t>
      </w:r>
      <w:r>
        <w:rPr>
          <w:rFonts w:hint="eastAsia"/>
        </w:rPr>
        <w:t>对周边环境影响较小。</w:t>
      </w:r>
    </w:p>
    <w:p w:rsidR="004E3021" w:rsidRDefault="004E3021">
      <w:pPr>
        <w:widowControl/>
        <w:ind w:firstLineChars="0" w:firstLine="0"/>
        <w:jc w:val="left"/>
        <w:rPr>
          <w:rFonts w:eastAsia="黑体"/>
        </w:rPr>
      </w:pPr>
    </w:p>
    <w:p w:rsidR="004E3021" w:rsidRDefault="004E3021">
      <w:pPr>
        <w:widowControl/>
        <w:ind w:firstLineChars="0" w:firstLine="0"/>
        <w:jc w:val="left"/>
        <w:rPr>
          <w:rFonts w:eastAsia="黑体"/>
        </w:rPr>
        <w:sectPr w:rsidR="004E3021">
          <w:pgSz w:w="11907" w:h="16840"/>
          <w:pgMar w:top="1440" w:right="1440" w:bottom="1440" w:left="1440" w:header="851" w:footer="992" w:gutter="0"/>
          <w:cols w:space="720"/>
          <w:docGrid w:type="lines" w:linePitch="326"/>
        </w:sectPr>
      </w:pPr>
    </w:p>
    <w:p w:rsidR="004E3021" w:rsidRDefault="00606E48">
      <w:pPr>
        <w:pStyle w:val="afffffffffffffffff4"/>
      </w:pPr>
      <w:bookmarkStart w:id="581" w:name="_Toc100784076"/>
      <w:bookmarkStart w:id="582" w:name="_Toc108662685"/>
      <w:bookmarkStart w:id="583" w:name="_Toc101135908"/>
      <w:bookmarkStart w:id="584" w:name="_Toc221088840"/>
      <w:bookmarkStart w:id="585" w:name="_Toc221501055"/>
      <w:r>
        <w:lastRenderedPageBreak/>
        <w:t>5.7.5</w:t>
      </w:r>
      <w:r>
        <w:t>土壤</w:t>
      </w:r>
      <w:r>
        <w:rPr>
          <w:rFonts w:hint="eastAsia"/>
        </w:rPr>
        <w:t>环境影响评价自查表</w:t>
      </w:r>
      <w:bookmarkEnd w:id="581"/>
      <w:bookmarkEnd w:id="582"/>
      <w:bookmarkEnd w:id="583"/>
      <w:bookmarkEnd w:id="584"/>
      <w:bookmarkEnd w:id="585"/>
    </w:p>
    <w:p w:rsidR="004E3021" w:rsidRDefault="00606E48">
      <w:pPr>
        <w:pStyle w:val="afffff4"/>
        <w:ind w:firstLine="480"/>
      </w:pPr>
      <w:r>
        <w:t>5.7.5</w:t>
      </w:r>
      <w:r>
        <w:rPr>
          <w:rFonts w:hint="eastAsia"/>
        </w:rPr>
        <w:t>-1</w:t>
      </w:r>
      <w:r>
        <w:t xml:space="preserve">  </w:t>
      </w:r>
      <w:r>
        <w:rPr>
          <w:rFonts w:ascii="黑体" w:hAnsi="黑体"/>
        </w:rPr>
        <w:t>土壤环境影响评价自查表</w:t>
      </w:r>
    </w:p>
    <w:tbl>
      <w:tblPr>
        <w:tblW w:w="5000" w:type="pct"/>
        <w:jc w:val="center"/>
        <w:tblLook w:val="04A0" w:firstRow="1" w:lastRow="0" w:firstColumn="1" w:lastColumn="0" w:noHBand="0" w:noVBand="1"/>
      </w:tblPr>
      <w:tblGrid>
        <w:gridCol w:w="426"/>
        <w:gridCol w:w="1628"/>
        <w:gridCol w:w="1032"/>
        <w:gridCol w:w="1236"/>
        <w:gridCol w:w="1239"/>
        <w:gridCol w:w="411"/>
        <w:gridCol w:w="1934"/>
        <w:gridCol w:w="1120"/>
      </w:tblGrid>
      <w:tr w:rsidR="004E3021" w:rsidRPr="00F37B4E">
        <w:trPr>
          <w:jc w:val="center"/>
        </w:trPr>
        <w:tc>
          <w:tcPr>
            <w:tcW w:w="1133" w:type="pct"/>
            <w:gridSpan w:val="2"/>
            <w:tcBorders>
              <w:top w:val="single" w:sz="12" w:space="0" w:color="auto"/>
              <w:left w:val="nil"/>
              <w:bottom w:val="single" w:sz="4" w:space="0" w:color="auto"/>
              <w:right w:val="single" w:sz="4" w:space="0" w:color="auto"/>
            </w:tcBorders>
            <w:vAlign w:val="center"/>
          </w:tcPr>
          <w:p w:rsidR="004E3021" w:rsidRPr="00F37B4E" w:rsidRDefault="00606E48">
            <w:pPr>
              <w:pStyle w:val="afffffff2"/>
              <w:rPr>
                <w:b/>
                <w:kern w:val="0"/>
                <w:sz w:val="21"/>
                <w:szCs w:val="21"/>
              </w:rPr>
            </w:pPr>
            <w:r w:rsidRPr="00F37B4E">
              <w:rPr>
                <w:rFonts w:hint="eastAsia"/>
                <w:b/>
                <w:kern w:val="0"/>
                <w:sz w:val="21"/>
                <w:szCs w:val="21"/>
              </w:rPr>
              <w:t>工作内容</w:t>
            </w:r>
          </w:p>
        </w:tc>
        <w:tc>
          <w:tcPr>
            <w:tcW w:w="3246" w:type="pct"/>
            <w:gridSpan w:val="5"/>
            <w:tcBorders>
              <w:top w:val="single" w:sz="12" w:space="0" w:color="auto"/>
              <w:left w:val="single" w:sz="4" w:space="0" w:color="auto"/>
              <w:bottom w:val="single" w:sz="4" w:space="0" w:color="auto"/>
              <w:right w:val="single" w:sz="4" w:space="0" w:color="auto"/>
            </w:tcBorders>
            <w:vAlign w:val="center"/>
          </w:tcPr>
          <w:p w:rsidR="004E3021" w:rsidRPr="00F37B4E" w:rsidRDefault="00606E48">
            <w:pPr>
              <w:pStyle w:val="afffffff2"/>
              <w:rPr>
                <w:b/>
                <w:kern w:val="0"/>
                <w:sz w:val="21"/>
                <w:szCs w:val="21"/>
              </w:rPr>
            </w:pPr>
            <w:r w:rsidRPr="00F37B4E">
              <w:rPr>
                <w:rFonts w:hint="eastAsia"/>
                <w:b/>
                <w:kern w:val="0"/>
                <w:sz w:val="21"/>
                <w:szCs w:val="21"/>
              </w:rPr>
              <w:t>完成情况</w:t>
            </w:r>
          </w:p>
        </w:tc>
        <w:tc>
          <w:tcPr>
            <w:tcW w:w="621" w:type="pct"/>
            <w:tcBorders>
              <w:top w:val="single" w:sz="12" w:space="0" w:color="auto"/>
              <w:left w:val="single" w:sz="4" w:space="0" w:color="auto"/>
              <w:bottom w:val="single" w:sz="4" w:space="0" w:color="auto"/>
              <w:right w:val="nil"/>
            </w:tcBorders>
            <w:vAlign w:val="center"/>
          </w:tcPr>
          <w:p w:rsidR="004E3021" w:rsidRPr="00F37B4E" w:rsidRDefault="00606E48">
            <w:pPr>
              <w:pStyle w:val="afffffff2"/>
              <w:rPr>
                <w:b/>
                <w:kern w:val="0"/>
                <w:sz w:val="21"/>
                <w:szCs w:val="21"/>
              </w:rPr>
            </w:pPr>
            <w:r w:rsidRPr="00F37B4E">
              <w:rPr>
                <w:rFonts w:hint="eastAsia"/>
                <w:b/>
                <w:kern w:val="0"/>
                <w:sz w:val="21"/>
                <w:szCs w:val="21"/>
              </w:rPr>
              <w:t>备注</w:t>
            </w:r>
          </w:p>
        </w:tc>
      </w:tr>
      <w:tr w:rsidR="004E3021" w:rsidRPr="00F37B4E">
        <w:trPr>
          <w:jc w:val="center"/>
        </w:trPr>
        <w:tc>
          <w:tcPr>
            <w:tcW w:w="230" w:type="pct"/>
            <w:vMerge w:val="restart"/>
            <w:tcBorders>
              <w:top w:val="single" w:sz="4" w:space="0" w:color="auto"/>
              <w:left w:val="nil"/>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影响</w:t>
            </w:r>
            <w:r w:rsidRPr="00F37B4E">
              <w:rPr>
                <w:kern w:val="0"/>
                <w:sz w:val="21"/>
                <w:szCs w:val="21"/>
              </w:rPr>
              <w:t xml:space="preserve"> </w:t>
            </w:r>
            <w:r w:rsidRPr="00F37B4E">
              <w:rPr>
                <w:rFonts w:hint="eastAsia"/>
                <w:kern w:val="0"/>
                <w:sz w:val="21"/>
                <w:szCs w:val="21"/>
              </w:rPr>
              <w:t>识别</w:t>
            </w: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影响类型</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污染影响型</w:t>
            </w:r>
            <w:r w:rsidRPr="00F37B4E">
              <w:rPr>
                <w:kern w:val="0"/>
                <w:sz w:val="21"/>
                <w:szCs w:val="21"/>
              </w:rPr>
              <w:t>√</w:t>
            </w:r>
            <w:r w:rsidRPr="00F37B4E">
              <w:rPr>
                <w:rFonts w:hint="eastAsia"/>
                <w:kern w:val="0"/>
                <w:sz w:val="21"/>
                <w:szCs w:val="21"/>
              </w:rPr>
              <w:t>；生态影响型□；两种兼有□</w:t>
            </w: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土地利用类型</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建设用地</w:t>
            </w:r>
            <w:r w:rsidRPr="00F37B4E">
              <w:rPr>
                <w:kern w:val="0"/>
                <w:sz w:val="21"/>
                <w:szCs w:val="21"/>
              </w:rPr>
              <w:t>√</w:t>
            </w:r>
            <w:r w:rsidRPr="00F37B4E">
              <w:rPr>
                <w:rFonts w:hint="eastAsia"/>
                <w:kern w:val="0"/>
                <w:sz w:val="21"/>
                <w:szCs w:val="21"/>
              </w:rPr>
              <w:t>；农用地□；未利用地□</w:t>
            </w:r>
          </w:p>
        </w:tc>
        <w:tc>
          <w:tcPr>
            <w:tcW w:w="621" w:type="pct"/>
            <w:tcBorders>
              <w:top w:val="single" w:sz="4" w:space="0" w:color="auto"/>
              <w:left w:val="single" w:sz="4" w:space="0" w:color="auto"/>
              <w:bottom w:val="single" w:sz="4" w:space="0" w:color="auto"/>
              <w:right w:val="nil"/>
            </w:tcBorders>
            <w:vAlign w:val="center"/>
          </w:tcPr>
          <w:p w:rsidR="004E3021" w:rsidRPr="00F37B4E" w:rsidRDefault="00606E48">
            <w:pPr>
              <w:pStyle w:val="afffffff2"/>
              <w:rPr>
                <w:kern w:val="0"/>
                <w:sz w:val="21"/>
                <w:szCs w:val="21"/>
              </w:rPr>
            </w:pPr>
            <w:r w:rsidRPr="00F37B4E">
              <w:rPr>
                <w:rFonts w:hint="eastAsia"/>
                <w:kern w:val="0"/>
                <w:sz w:val="21"/>
                <w:szCs w:val="21"/>
              </w:rPr>
              <w:t>土地利用</w:t>
            </w:r>
          </w:p>
          <w:p w:rsidR="004E3021" w:rsidRPr="00F37B4E" w:rsidRDefault="00606E48">
            <w:pPr>
              <w:pStyle w:val="afffffff2"/>
              <w:rPr>
                <w:kern w:val="0"/>
                <w:sz w:val="21"/>
                <w:szCs w:val="21"/>
              </w:rPr>
            </w:pPr>
            <w:r w:rsidRPr="00F37B4E">
              <w:rPr>
                <w:rFonts w:hint="eastAsia"/>
                <w:kern w:val="0"/>
                <w:sz w:val="21"/>
                <w:szCs w:val="21"/>
              </w:rPr>
              <w:t>类型图</w:t>
            </w: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占地规模</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w:t>
            </w:r>
            <w:r w:rsidRPr="00F37B4E">
              <w:rPr>
                <w:kern w:val="0"/>
                <w:sz w:val="21"/>
                <w:szCs w:val="21"/>
              </w:rPr>
              <w:t>6.38</w:t>
            </w:r>
            <w:r w:rsidRPr="00F37B4E">
              <w:rPr>
                <w:rFonts w:hint="eastAsia"/>
                <w:kern w:val="0"/>
                <w:sz w:val="21"/>
                <w:szCs w:val="21"/>
              </w:rPr>
              <w:t>）</w:t>
            </w:r>
            <w:r w:rsidRPr="00F37B4E">
              <w:rPr>
                <w:kern w:val="0"/>
                <w:sz w:val="21"/>
                <w:szCs w:val="21"/>
              </w:rPr>
              <w:t>hm</w:t>
            </w:r>
            <w:r w:rsidRPr="00F37B4E">
              <w:rPr>
                <w:kern w:val="0"/>
                <w:sz w:val="21"/>
                <w:szCs w:val="21"/>
                <w:vertAlign w:val="superscript"/>
              </w:rPr>
              <w:t>2</w:t>
            </w: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敏感目标信息</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具体见表</w:t>
            </w:r>
            <w:r w:rsidRPr="00F37B4E">
              <w:rPr>
                <w:rFonts w:hint="eastAsia"/>
                <w:kern w:val="0"/>
                <w:sz w:val="21"/>
                <w:szCs w:val="21"/>
              </w:rPr>
              <w:t>2.4.2-1</w:t>
            </w: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影响途径</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大气沉降</w:t>
            </w:r>
            <w:r w:rsidRPr="00F37B4E">
              <w:rPr>
                <w:kern w:val="0"/>
                <w:sz w:val="21"/>
                <w:szCs w:val="21"/>
              </w:rPr>
              <w:t>√</w:t>
            </w:r>
            <w:r w:rsidRPr="00F37B4E">
              <w:rPr>
                <w:rFonts w:hint="eastAsia"/>
                <w:kern w:val="0"/>
                <w:sz w:val="21"/>
                <w:szCs w:val="21"/>
              </w:rPr>
              <w:t>；地面漫流□；垂直入渗</w:t>
            </w:r>
            <w:r w:rsidRPr="00F37B4E">
              <w:rPr>
                <w:kern w:val="0"/>
                <w:sz w:val="21"/>
                <w:szCs w:val="21"/>
              </w:rPr>
              <w:t>√</w:t>
            </w:r>
            <w:r w:rsidRPr="00F37B4E">
              <w:rPr>
                <w:rFonts w:hint="eastAsia"/>
                <w:kern w:val="0"/>
                <w:sz w:val="21"/>
                <w:szCs w:val="21"/>
              </w:rPr>
              <w:t>；地下水位□；其他（</w:t>
            </w:r>
            <w:r w:rsidRPr="00F37B4E">
              <w:rPr>
                <w:kern w:val="0"/>
                <w:sz w:val="21"/>
                <w:szCs w:val="21"/>
              </w:rPr>
              <w:t xml:space="preserve">        </w:t>
            </w:r>
            <w:r w:rsidRPr="00F37B4E">
              <w:rPr>
                <w:rFonts w:hint="eastAsia"/>
                <w:kern w:val="0"/>
                <w:sz w:val="21"/>
                <w:szCs w:val="21"/>
              </w:rPr>
              <w:t>）</w:t>
            </w: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全部污染物</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4E3021">
            <w:pPr>
              <w:pStyle w:val="afffffff2"/>
              <w:rPr>
                <w:color w:val="FF0000"/>
                <w:kern w:val="0"/>
                <w:sz w:val="21"/>
                <w:szCs w:val="21"/>
                <w:highlight w:val="yellow"/>
              </w:rPr>
            </w:pP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特征因子</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4E3021">
            <w:pPr>
              <w:pStyle w:val="afffffff2"/>
              <w:rPr>
                <w:color w:val="FF0000"/>
                <w:kern w:val="0"/>
                <w:sz w:val="21"/>
                <w:szCs w:val="21"/>
                <w:highlight w:val="yellow"/>
              </w:rPr>
            </w:pP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所属土壤环境影响</w:t>
            </w:r>
          </w:p>
          <w:p w:rsidR="004E3021" w:rsidRPr="00F37B4E" w:rsidRDefault="00606E48">
            <w:pPr>
              <w:pStyle w:val="afffffff2"/>
              <w:rPr>
                <w:kern w:val="0"/>
                <w:sz w:val="21"/>
                <w:szCs w:val="21"/>
              </w:rPr>
            </w:pPr>
            <w:r w:rsidRPr="00F37B4E">
              <w:rPr>
                <w:rFonts w:hint="eastAsia"/>
                <w:kern w:val="0"/>
                <w:sz w:val="21"/>
                <w:szCs w:val="21"/>
              </w:rPr>
              <w:t>评价项目类别</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Ⅰ类</w:t>
            </w:r>
            <w:r w:rsidRPr="00F37B4E">
              <w:rPr>
                <w:kern w:val="0"/>
                <w:sz w:val="21"/>
                <w:szCs w:val="21"/>
              </w:rPr>
              <w:t>R</w:t>
            </w:r>
            <w:r w:rsidRPr="00F37B4E">
              <w:rPr>
                <w:rFonts w:hint="eastAsia"/>
                <w:kern w:val="0"/>
                <w:sz w:val="21"/>
                <w:szCs w:val="21"/>
              </w:rPr>
              <w:t>；Ⅱ类□；Ⅲ类□；Ⅳ类□</w:t>
            </w: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敏感程度</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敏感</w:t>
            </w:r>
            <w:r w:rsidRPr="00F37B4E">
              <w:rPr>
                <w:kern w:val="0"/>
                <w:sz w:val="21"/>
                <w:szCs w:val="21"/>
              </w:rPr>
              <w:t>√</w:t>
            </w:r>
            <w:r w:rsidRPr="00F37B4E">
              <w:rPr>
                <w:rFonts w:hint="eastAsia"/>
                <w:kern w:val="0"/>
                <w:sz w:val="21"/>
                <w:szCs w:val="21"/>
              </w:rPr>
              <w:t>；较敏感</w:t>
            </w:r>
            <w:r w:rsidRPr="00F37B4E">
              <w:rPr>
                <w:kern w:val="0"/>
                <w:sz w:val="21"/>
                <w:szCs w:val="21"/>
              </w:rPr>
              <w:t>□</w:t>
            </w:r>
            <w:r w:rsidRPr="00F37B4E">
              <w:rPr>
                <w:rFonts w:hint="eastAsia"/>
                <w:kern w:val="0"/>
                <w:sz w:val="21"/>
                <w:szCs w:val="21"/>
              </w:rPr>
              <w:t>；不敏感</w:t>
            </w:r>
            <w:r w:rsidRPr="00F37B4E">
              <w:rPr>
                <w:kern w:val="0"/>
                <w:sz w:val="21"/>
                <w:szCs w:val="21"/>
              </w:rPr>
              <w:t>□</w:t>
            </w: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1133" w:type="pct"/>
            <w:gridSpan w:val="2"/>
            <w:tcBorders>
              <w:top w:val="single" w:sz="4" w:space="0" w:color="auto"/>
              <w:left w:val="nil"/>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评价工作等级</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一级</w:t>
            </w:r>
            <w:r w:rsidRPr="00F37B4E">
              <w:rPr>
                <w:kern w:val="0"/>
                <w:sz w:val="21"/>
                <w:szCs w:val="21"/>
              </w:rPr>
              <w:t>√</w:t>
            </w:r>
            <w:r w:rsidRPr="00F37B4E">
              <w:rPr>
                <w:rFonts w:hint="eastAsia"/>
                <w:kern w:val="0"/>
                <w:sz w:val="21"/>
                <w:szCs w:val="21"/>
              </w:rPr>
              <w:t>；二级□；三级□</w:t>
            </w: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230" w:type="pct"/>
            <w:vMerge w:val="restart"/>
            <w:tcBorders>
              <w:top w:val="single" w:sz="4" w:space="0" w:color="auto"/>
              <w:left w:val="nil"/>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现状</w:t>
            </w:r>
            <w:r w:rsidRPr="00F37B4E">
              <w:rPr>
                <w:kern w:val="0"/>
                <w:sz w:val="21"/>
                <w:szCs w:val="21"/>
              </w:rPr>
              <w:t xml:space="preserve"> </w:t>
            </w:r>
            <w:r w:rsidRPr="00F37B4E">
              <w:rPr>
                <w:rFonts w:hint="eastAsia"/>
                <w:kern w:val="0"/>
                <w:sz w:val="21"/>
                <w:szCs w:val="21"/>
              </w:rPr>
              <w:t>调查</w:t>
            </w:r>
            <w:r w:rsidRPr="00F37B4E">
              <w:rPr>
                <w:kern w:val="0"/>
                <w:sz w:val="21"/>
                <w:szCs w:val="21"/>
              </w:rPr>
              <w:t xml:space="preserve"> </w:t>
            </w:r>
            <w:r w:rsidRPr="00F37B4E">
              <w:rPr>
                <w:rFonts w:hint="eastAsia"/>
                <w:kern w:val="0"/>
                <w:sz w:val="21"/>
                <w:szCs w:val="21"/>
              </w:rPr>
              <w:t>内容</w:t>
            </w: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资料收集</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kern w:val="0"/>
                <w:sz w:val="21"/>
                <w:szCs w:val="21"/>
              </w:rPr>
              <w:t>a</w:t>
            </w:r>
            <w:r w:rsidRPr="00F37B4E">
              <w:rPr>
                <w:rFonts w:hint="eastAsia"/>
                <w:kern w:val="0"/>
                <w:sz w:val="21"/>
                <w:szCs w:val="21"/>
              </w:rPr>
              <w:t>）□；</w:t>
            </w:r>
            <w:r w:rsidRPr="00F37B4E">
              <w:rPr>
                <w:kern w:val="0"/>
                <w:sz w:val="21"/>
                <w:szCs w:val="21"/>
              </w:rPr>
              <w:t>b</w:t>
            </w:r>
            <w:r w:rsidRPr="00F37B4E">
              <w:rPr>
                <w:rFonts w:hint="eastAsia"/>
                <w:kern w:val="0"/>
                <w:sz w:val="21"/>
                <w:szCs w:val="21"/>
              </w:rPr>
              <w:t>）</w:t>
            </w:r>
            <w:r w:rsidRPr="00F37B4E">
              <w:rPr>
                <w:kern w:val="0"/>
                <w:sz w:val="21"/>
                <w:szCs w:val="21"/>
              </w:rPr>
              <w:t>√</w:t>
            </w:r>
            <w:r w:rsidRPr="00F37B4E">
              <w:rPr>
                <w:rFonts w:hint="eastAsia"/>
                <w:kern w:val="0"/>
                <w:sz w:val="21"/>
                <w:szCs w:val="21"/>
              </w:rPr>
              <w:t>；</w:t>
            </w:r>
            <w:r w:rsidRPr="00F37B4E">
              <w:rPr>
                <w:kern w:val="0"/>
                <w:sz w:val="21"/>
                <w:szCs w:val="21"/>
              </w:rPr>
              <w:t>c</w:t>
            </w:r>
            <w:r w:rsidRPr="00F37B4E">
              <w:rPr>
                <w:rFonts w:hint="eastAsia"/>
                <w:kern w:val="0"/>
                <w:sz w:val="21"/>
                <w:szCs w:val="21"/>
              </w:rPr>
              <w:t>）□；</w:t>
            </w:r>
            <w:r w:rsidRPr="00F37B4E">
              <w:rPr>
                <w:kern w:val="0"/>
                <w:sz w:val="21"/>
                <w:szCs w:val="21"/>
              </w:rPr>
              <w:t>d</w:t>
            </w:r>
            <w:r w:rsidRPr="00F37B4E">
              <w:rPr>
                <w:rFonts w:hint="eastAsia"/>
                <w:kern w:val="0"/>
                <w:sz w:val="21"/>
                <w:szCs w:val="21"/>
              </w:rPr>
              <w:t>）□</w:t>
            </w: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理化特性</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621" w:type="pct"/>
            <w:tcBorders>
              <w:top w:val="single" w:sz="4" w:space="0" w:color="auto"/>
              <w:left w:val="single" w:sz="4" w:space="0" w:color="auto"/>
              <w:bottom w:val="single" w:sz="4" w:space="0" w:color="auto"/>
              <w:right w:val="nil"/>
            </w:tcBorders>
            <w:vAlign w:val="center"/>
          </w:tcPr>
          <w:p w:rsidR="004E3021" w:rsidRPr="00F37B4E" w:rsidRDefault="00606E48">
            <w:pPr>
              <w:pStyle w:val="afffffff2"/>
              <w:rPr>
                <w:kern w:val="0"/>
                <w:sz w:val="21"/>
                <w:szCs w:val="21"/>
              </w:rPr>
            </w:pPr>
            <w:r w:rsidRPr="00F37B4E">
              <w:rPr>
                <w:rFonts w:hint="eastAsia"/>
                <w:kern w:val="0"/>
                <w:sz w:val="21"/>
                <w:szCs w:val="21"/>
              </w:rPr>
              <w:t>同附录</w:t>
            </w:r>
            <w:r w:rsidRPr="00F37B4E">
              <w:rPr>
                <w:kern w:val="0"/>
                <w:sz w:val="21"/>
                <w:szCs w:val="21"/>
              </w:rPr>
              <w:t>C</w:t>
            </w: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vMerge w:val="restar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现状监测点位</w:t>
            </w:r>
          </w:p>
        </w:tc>
        <w:tc>
          <w:tcPr>
            <w:tcW w:w="573" w:type="pct"/>
            <w:tcBorders>
              <w:top w:val="single" w:sz="4" w:space="0" w:color="auto"/>
              <w:left w:val="single" w:sz="4" w:space="0" w:color="auto"/>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686"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占地范围内</w:t>
            </w:r>
          </w:p>
        </w:tc>
        <w:tc>
          <w:tcPr>
            <w:tcW w:w="687"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占地范围外</w:t>
            </w:r>
          </w:p>
        </w:tc>
        <w:tc>
          <w:tcPr>
            <w:tcW w:w="1300" w:type="pct"/>
            <w:gridSpan w:val="2"/>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深度</w:t>
            </w:r>
          </w:p>
        </w:tc>
        <w:tc>
          <w:tcPr>
            <w:tcW w:w="621" w:type="pct"/>
            <w:vMerge w:val="restar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57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表层样点数</w:t>
            </w:r>
          </w:p>
        </w:tc>
        <w:tc>
          <w:tcPr>
            <w:tcW w:w="686"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kern w:val="0"/>
                <w:sz w:val="21"/>
                <w:szCs w:val="21"/>
              </w:rPr>
              <w:t>2</w:t>
            </w:r>
          </w:p>
        </w:tc>
        <w:tc>
          <w:tcPr>
            <w:tcW w:w="687"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4</w:t>
            </w:r>
          </w:p>
        </w:tc>
        <w:tc>
          <w:tcPr>
            <w:tcW w:w="1300" w:type="pct"/>
            <w:gridSpan w:val="2"/>
            <w:vMerge w:val="restar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表层样应在</w:t>
            </w:r>
            <w:r w:rsidRPr="00F37B4E">
              <w:rPr>
                <w:rFonts w:hint="eastAsia"/>
                <w:kern w:val="0"/>
                <w:sz w:val="21"/>
                <w:szCs w:val="21"/>
              </w:rPr>
              <w:t>0-0.2m</w:t>
            </w:r>
            <w:r w:rsidRPr="00F37B4E">
              <w:rPr>
                <w:rFonts w:hint="eastAsia"/>
                <w:kern w:val="0"/>
                <w:sz w:val="21"/>
                <w:szCs w:val="21"/>
              </w:rPr>
              <w:t>取样，柱状样应分别在</w:t>
            </w:r>
            <w:r w:rsidRPr="00F37B4E">
              <w:rPr>
                <w:rFonts w:hint="eastAsia"/>
                <w:kern w:val="0"/>
                <w:sz w:val="21"/>
                <w:szCs w:val="21"/>
              </w:rPr>
              <w:t>0-0.5m</w:t>
            </w:r>
            <w:r w:rsidRPr="00F37B4E">
              <w:rPr>
                <w:rFonts w:hint="eastAsia"/>
                <w:kern w:val="0"/>
                <w:sz w:val="21"/>
                <w:szCs w:val="21"/>
              </w:rPr>
              <w:t>、</w:t>
            </w:r>
            <w:r w:rsidRPr="00F37B4E">
              <w:rPr>
                <w:rFonts w:hint="eastAsia"/>
                <w:kern w:val="0"/>
                <w:sz w:val="21"/>
                <w:szCs w:val="21"/>
              </w:rPr>
              <w:t>0.5-1.5m</w:t>
            </w:r>
            <w:r w:rsidRPr="00F37B4E">
              <w:rPr>
                <w:rFonts w:hint="eastAsia"/>
                <w:kern w:val="0"/>
                <w:sz w:val="21"/>
                <w:szCs w:val="21"/>
              </w:rPr>
              <w:t>、</w:t>
            </w:r>
            <w:r w:rsidRPr="00F37B4E">
              <w:rPr>
                <w:rFonts w:hint="eastAsia"/>
                <w:kern w:val="0"/>
                <w:sz w:val="21"/>
                <w:szCs w:val="21"/>
              </w:rPr>
              <w:t>1.5-3m</w:t>
            </w:r>
            <w:r w:rsidRPr="00F37B4E">
              <w:rPr>
                <w:rFonts w:hint="eastAsia"/>
                <w:kern w:val="0"/>
                <w:sz w:val="21"/>
                <w:szCs w:val="21"/>
              </w:rPr>
              <w:t>，</w:t>
            </w:r>
            <w:r w:rsidRPr="00F37B4E">
              <w:rPr>
                <w:rFonts w:hint="eastAsia"/>
                <w:kern w:val="0"/>
                <w:sz w:val="21"/>
                <w:szCs w:val="21"/>
              </w:rPr>
              <w:t>3m</w:t>
            </w:r>
            <w:r w:rsidRPr="00F37B4E">
              <w:rPr>
                <w:rFonts w:hint="eastAsia"/>
                <w:kern w:val="0"/>
                <w:sz w:val="21"/>
                <w:szCs w:val="21"/>
              </w:rPr>
              <w:t>各取一个样</w:t>
            </w:r>
          </w:p>
        </w:tc>
        <w:tc>
          <w:tcPr>
            <w:tcW w:w="0" w:type="auto"/>
            <w:vMerge/>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57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柱状样点数</w:t>
            </w:r>
          </w:p>
        </w:tc>
        <w:tc>
          <w:tcPr>
            <w:tcW w:w="686"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kern w:val="0"/>
                <w:sz w:val="21"/>
                <w:szCs w:val="21"/>
              </w:rPr>
              <w:t>5</w:t>
            </w:r>
          </w:p>
        </w:tc>
        <w:tc>
          <w:tcPr>
            <w:tcW w:w="687"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w:t>
            </w:r>
          </w:p>
        </w:tc>
        <w:tc>
          <w:tcPr>
            <w:tcW w:w="0" w:type="auto"/>
            <w:gridSpan w:val="2"/>
            <w:vMerge/>
            <w:tcBorders>
              <w:top w:val="single" w:sz="4" w:space="0" w:color="auto"/>
              <w:left w:val="single" w:sz="4" w:space="0" w:color="auto"/>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0" w:type="auto"/>
            <w:vMerge/>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现状监测因子</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具体见表</w:t>
            </w:r>
            <w:r w:rsidRPr="00F37B4E">
              <w:rPr>
                <w:rFonts w:hint="eastAsia"/>
                <w:kern w:val="0"/>
                <w:sz w:val="21"/>
                <w:szCs w:val="21"/>
              </w:rPr>
              <w:t>4.2.5-1</w:t>
            </w: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230" w:type="pct"/>
            <w:vMerge w:val="restart"/>
            <w:tcBorders>
              <w:top w:val="single" w:sz="4" w:space="0" w:color="auto"/>
              <w:left w:val="nil"/>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现状</w:t>
            </w:r>
            <w:r w:rsidRPr="00F37B4E">
              <w:rPr>
                <w:kern w:val="0"/>
                <w:sz w:val="21"/>
                <w:szCs w:val="21"/>
              </w:rPr>
              <w:t xml:space="preserve"> </w:t>
            </w:r>
            <w:r w:rsidRPr="00F37B4E">
              <w:rPr>
                <w:rFonts w:hint="eastAsia"/>
                <w:kern w:val="0"/>
                <w:sz w:val="21"/>
                <w:szCs w:val="21"/>
              </w:rPr>
              <w:t>评价</w:t>
            </w: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评价因子</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具体见表</w:t>
            </w:r>
            <w:r w:rsidRPr="00F37B4E">
              <w:rPr>
                <w:rFonts w:hint="eastAsia"/>
                <w:kern w:val="0"/>
                <w:sz w:val="21"/>
                <w:szCs w:val="21"/>
              </w:rPr>
              <w:t>4.2.5-1</w:t>
            </w: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评价标准</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kern w:val="0"/>
                <w:sz w:val="21"/>
                <w:szCs w:val="21"/>
              </w:rPr>
              <w:t>GB 15618√</w:t>
            </w:r>
            <w:r w:rsidRPr="00F37B4E">
              <w:rPr>
                <w:rFonts w:hint="eastAsia"/>
                <w:kern w:val="0"/>
                <w:sz w:val="21"/>
                <w:szCs w:val="21"/>
              </w:rPr>
              <w:t>；</w:t>
            </w:r>
            <w:r w:rsidRPr="00F37B4E">
              <w:rPr>
                <w:kern w:val="0"/>
                <w:sz w:val="21"/>
                <w:szCs w:val="21"/>
              </w:rPr>
              <w:t>GB 36600√</w:t>
            </w:r>
            <w:r w:rsidRPr="00F37B4E">
              <w:rPr>
                <w:rFonts w:hint="eastAsia"/>
                <w:kern w:val="0"/>
                <w:sz w:val="21"/>
                <w:szCs w:val="21"/>
              </w:rPr>
              <w:t>；表</w:t>
            </w:r>
            <w:r w:rsidRPr="00F37B4E">
              <w:rPr>
                <w:kern w:val="0"/>
                <w:sz w:val="21"/>
                <w:szCs w:val="21"/>
              </w:rPr>
              <w:t xml:space="preserve"> D.1</w:t>
            </w:r>
            <w:r w:rsidRPr="00F37B4E">
              <w:rPr>
                <w:rFonts w:hint="eastAsia"/>
                <w:kern w:val="0"/>
                <w:sz w:val="21"/>
                <w:szCs w:val="21"/>
              </w:rPr>
              <w:t>□；表</w:t>
            </w:r>
            <w:r w:rsidRPr="00F37B4E">
              <w:rPr>
                <w:kern w:val="0"/>
                <w:sz w:val="21"/>
                <w:szCs w:val="21"/>
              </w:rPr>
              <w:t xml:space="preserve"> D.2</w:t>
            </w:r>
            <w:r w:rsidRPr="00F37B4E">
              <w:rPr>
                <w:rFonts w:hint="eastAsia"/>
                <w:kern w:val="0"/>
                <w:sz w:val="21"/>
                <w:szCs w:val="21"/>
              </w:rPr>
              <w:t>□；其他（</w:t>
            </w:r>
            <w:r w:rsidRPr="00F37B4E">
              <w:rPr>
                <w:kern w:val="0"/>
                <w:sz w:val="21"/>
                <w:szCs w:val="21"/>
              </w:rPr>
              <w:t xml:space="preserve">        </w:t>
            </w:r>
            <w:r w:rsidRPr="00F37B4E">
              <w:rPr>
                <w:rFonts w:hint="eastAsia"/>
                <w:kern w:val="0"/>
                <w:sz w:val="21"/>
                <w:szCs w:val="21"/>
              </w:rPr>
              <w:t>）</w:t>
            </w: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现状评价结论</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kern w:val="0"/>
                <w:sz w:val="21"/>
                <w:szCs w:val="21"/>
              </w:rPr>
              <w:t>土壤监测点所有监测项目均符合相关标准要求</w:t>
            </w: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230" w:type="pct"/>
            <w:vMerge w:val="restart"/>
            <w:tcBorders>
              <w:top w:val="single" w:sz="4" w:space="0" w:color="auto"/>
              <w:left w:val="nil"/>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影响</w:t>
            </w:r>
            <w:r w:rsidRPr="00F37B4E">
              <w:rPr>
                <w:kern w:val="0"/>
                <w:sz w:val="21"/>
                <w:szCs w:val="21"/>
              </w:rPr>
              <w:t xml:space="preserve"> </w:t>
            </w:r>
            <w:r w:rsidRPr="00F37B4E">
              <w:rPr>
                <w:rFonts w:hint="eastAsia"/>
                <w:kern w:val="0"/>
                <w:sz w:val="21"/>
                <w:szCs w:val="21"/>
              </w:rPr>
              <w:t>预测</w:t>
            </w: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预测因子</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预测方法</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附录</w:t>
            </w:r>
            <w:r w:rsidRPr="00F37B4E">
              <w:rPr>
                <w:kern w:val="0"/>
                <w:sz w:val="21"/>
                <w:szCs w:val="21"/>
              </w:rPr>
              <w:t xml:space="preserve"> E√</w:t>
            </w:r>
            <w:r w:rsidRPr="00F37B4E">
              <w:rPr>
                <w:rFonts w:hint="eastAsia"/>
                <w:kern w:val="0"/>
                <w:sz w:val="21"/>
                <w:szCs w:val="21"/>
              </w:rPr>
              <w:t>；附录</w:t>
            </w:r>
            <w:r w:rsidRPr="00F37B4E">
              <w:rPr>
                <w:kern w:val="0"/>
                <w:sz w:val="21"/>
                <w:szCs w:val="21"/>
              </w:rPr>
              <w:t xml:space="preserve"> F</w:t>
            </w:r>
            <w:r w:rsidRPr="00F37B4E">
              <w:rPr>
                <w:rFonts w:hint="eastAsia"/>
                <w:kern w:val="0"/>
                <w:sz w:val="21"/>
                <w:szCs w:val="21"/>
              </w:rPr>
              <w:t>□；其他（</w:t>
            </w:r>
            <w:r w:rsidRPr="00F37B4E">
              <w:rPr>
                <w:kern w:val="0"/>
                <w:sz w:val="21"/>
                <w:szCs w:val="21"/>
              </w:rPr>
              <w:t xml:space="preserve">        </w:t>
            </w:r>
            <w:r w:rsidRPr="00F37B4E">
              <w:rPr>
                <w:rFonts w:hint="eastAsia"/>
                <w:kern w:val="0"/>
                <w:sz w:val="21"/>
                <w:szCs w:val="21"/>
              </w:rPr>
              <w:t>）</w:t>
            </w: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预测分析内容</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影响范围（较小）</w:t>
            </w:r>
          </w:p>
          <w:p w:rsidR="004E3021" w:rsidRPr="00F37B4E" w:rsidRDefault="00606E48">
            <w:pPr>
              <w:pStyle w:val="afffffff2"/>
              <w:rPr>
                <w:kern w:val="0"/>
                <w:sz w:val="21"/>
                <w:szCs w:val="21"/>
              </w:rPr>
            </w:pPr>
            <w:r w:rsidRPr="00F37B4E">
              <w:rPr>
                <w:rFonts w:hint="eastAsia"/>
                <w:kern w:val="0"/>
                <w:sz w:val="21"/>
                <w:szCs w:val="21"/>
              </w:rPr>
              <w:t>影响程度（较小）</w:t>
            </w: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预测结论</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达标结论：</w:t>
            </w:r>
            <w:r w:rsidRPr="00F37B4E">
              <w:rPr>
                <w:kern w:val="0"/>
                <w:sz w:val="21"/>
                <w:szCs w:val="21"/>
              </w:rPr>
              <w:t>a</w:t>
            </w:r>
            <w:r w:rsidRPr="00F37B4E">
              <w:rPr>
                <w:rFonts w:hint="eastAsia"/>
                <w:kern w:val="0"/>
                <w:sz w:val="21"/>
                <w:szCs w:val="21"/>
              </w:rPr>
              <w:t>）</w:t>
            </w:r>
            <w:r w:rsidRPr="00F37B4E">
              <w:rPr>
                <w:kern w:val="0"/>
                <w:sz w:val="21"/>
                <w:szCs w:val="21"/>
              </w:rPr>
              <w:t>√</w:t>
            </w:r>
            <w:r w:rsidRPr="00F37B4E">
              <w:rPr>
                <w:rFonts w:hint="eastAsia"/>
                <w:kern w:val="0"/>
                <w:sz w:val="21"/>
                <w:szCs w:val="21"/>
              </w:rPr>
              <w:t>；</w:t>
            </w:r>
            <w:r w:rsidRPr="00F37B4E">
              <w:rPr>
                <w:kern w:val="0"/>
                <w:sz w:val="21"/>
                <w:szCs w:val="21"/>
              </w:rPr>
              <w:t>b</w:t>
            </w:r>
            <w:r w:rsidRPr="00F37B4E">
              <w:rPr>
                <w:rFonts w:hint="eastAsia"/>
                <w:kern w:val="0"/>
                <w:sz w:val="21"/>
                <w:szCs w:val="21"/>
              </w:rPr>
              <w:t>）□；</w:t>
            </w:r>
            <w:r w:rsidRPr="00F37B4E">
              <w:rPr>
                <w:kern w:val="0"/>
                <w:sz w:val="21"/>
                <w:szCs w:val="21"/>
              </w:rPr>
              <w:t>c</w:t>
            </w:r>
            <w:r w:rsidRPr="00F37B4E">
              <w:rPr>
                <w:rFonts w:hint="eastAsia"/>
                <w:kern w:val="0"/>
                <w:sz w:val="21"/>
                <w:szCs w:val="21"/>
              </w:rPr>
              <w:t>）□</w:t>
            </w:r>
          </w:p>
          <w:p w:rsidR="004E3021" w:rsidRPr="00F37B4E" w:rsidRDefault="00606E48">
            <w:pPr>
              <w:pStyle w:val="afffffff2"/>
              <w:rPr>
                <w:kern w:val="0"/>
                <w:sz w:val="21"/>
                <w:szCs w:val="21"/>
              </w:rPr>
            </w:pPr>
            <w:r w:rsidRPr="00F37B4E">
              <w:rPr>
                <w:rFonts w:hint="eastAsia"/>
                <w:kern w:val="0"/>
                <w:sz w:val="21"/>
                <w:szCs w:val="21"/>
              </w:rPr>
              <w:t>不达标结论：</w:t>
            </w:r>
            <w:r w:rsidRPr="00F37B4E">
              <w:rPr>
                <w:kern w:val="0"/>
                <w:sz w:val="21"/>
                <w:szCs w:val="21"/>
              </w:rPr>
              <w:t>a</w:t>
            </w:r>
            <w:r w:rsidRPr="00F37B4E">
              <w:rPr>
                <w:rFonts w:hint="eastAsia"/>
                <w:kern w:val="0"/>
                <w:sz w:val="21"/>
                <w:szCs w:val="21"/>
              </w:rPr>
              <w:t>）□；</w:t>
            </w:r>
            <w:r w:rsidRPr="00F37B4E">
              <w:rPr>
                <w:kern w:val="0"/>
                <w:sz w:val="21"/>
                <w:szCs w:val="21"/>
              </w:rPr>
              <w:t>b</w:t>
            </w:r>
            <w:r w:rsidRPr="00F37B4E">
              <w:rPr>
                <w:rFonts w:hint="eastAsia"/>
                <w:kern w:val="0"/>
                <w:sz w:val="21"/>
                <w:szCs w:val="21"/>
              </w:rPr>
              <w:t>）□</w:t>
            </w: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230" w:type="pct"/>
            <w:vMerge w:val="restart"/>
            <w:tcBorders>
              <w:top w:val="single" w:sz="4" w:space="0" w:color="auto"/>
              <w:left w:val="nil"/>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lastRenderedPageBreak/>
              <w:t>防治</w:t>
            </w:r>
            <w:r w:rsidRPr="00F37B4E">
              <w:rPr>
                <w:kern w:val="0"/>
                <w:sz w:val="21"/>
                <w:szCs w:val="21"/>
              </w:rPr>
              <w:t xml:space="preserve"> </w:t>
            </w:r>
            <w:r w:rsidRPr="00F37B4E">
              <w:rPr>
                <w:rFonts w:hint="eastAsia"/>
                <w:kern w:val="0"/>
                <w:sz w:val="21"/>
                <w:szCs w:val="21"/>
              </w:rPr>
              <w:t>措施</w:t>
            </w: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防控措施</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土壤环境质量现状保障</w:t>
            </w:r>
            <w:r w:rsidRPr="00F37B4E">
              <w:rPr>
                <w:kern w:val="0"/>
                <w:sz w:val="21"/>
                <w:szCs w:val="21"/>
              </w:rPr>
              <w:t>√</w:t>
            </w:r>
            <w:r w:rsidRPr="00F37B4E">
              <w:rPr>
                <w:rFonts w:hint="eastAsia"/>
                <w:kern w:val="0"/>
                <w:sz w:val="21"/>
                <w:szCs w:val="21"/>
              </w:rPr>
              <w:t>；源头控制</w:t>
            </w:r>
            <w:r w:rsidRPr="00F37B4E">
              <w:rPr>
                <w:kern w:val="0"/>
                <w:sz w:val="21"/>
                <w:szCs w:val="21"/>
              </w:rPr>
              <w:t>√</w:t>
            </w:r>
            <w:r w:rsidRPr="00F37B4E">
              <w:rPr>
                <w:rFonts w:hint="eastAsia"/>
                <w:kern w:val="0"/>
                <w:sz w:val="21"/>
                <w:szCs w:val="21"/>
              </w:rPr>
              <w:t>；过程防控</w:t>
            </w:r>
            <w:r w:rsidRPr="00F37B4E">
              <w:rPr>
                <w:kern w:val="0"/>
                <w:sz w:val="21"/>
                <w:szCs w:val="21"/>
              </w:rPr>
              <w:t>√</w:t>
            </w:r>
            <w:r w:rsidRPr="00F37B4E">
              <w:rPr>
                <w:rFonts w:hint="eastAsia"/>
                <w:kern w:val="0"/>
                <w:sz w:val="21"/>
                <w:szCs w:val="21"/>
              </w:rPr>
              <w:t>；其他（</w:t>
            </w:r>
            <w:r w:rsidRPr="00F37B4E">
              <w:rPr>
                <w:kern w:val="0"/>
                <w:sz w:val="21"/>
                <w:szCs w:val="21"/>
              </w:rPr>
              <w:t xml:space="preserve">        </w:t>
            </w:r>
            <w:r w:rsidRPr="00F37B4E">
              <w:rPr>
                <w:rFonts w:hint="eastAsia"/>
                <w:kern w:val="0"/>
                <w:sz w:val="21"/>
                <w:szCs w:val="21"/>
              </w:rPr>
              <w:t>）</w:t>
            </w: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vMerge w:val="restar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跟踪监测</w:t>
            </w:r>
          </w:p>
        </w:tc>
        <w:tc>
          <w:tcPr>
            <w:tcW w:w="1259" w:type="pct"/>
            <w:gridSpan w:val="2"/>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监测点数</w:t>
            </w:r>
          </w:p>
        </w:tc>
        <w:tc>
          <w:tcPr>
            <w:tcW w:w="915" w:type="pct"/>
            <w:gridSpan w:val="2"/>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监测指标</w:t>
            </w:r>
          </w:p>
        </w:tc>
        <w:tc>
          <w:tcPr>
            <w:tcW w:w="1072"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监测频次</w:t>
            </w:r>
          </w:p>
        </w:tc>
        <w:tc>
          <w:tcPr>
            <w:tcW w:w="621" w:type="pct"/>
            <w:vMerge w:val="restar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1259" w:type="pct"/>
            <w:gridSpan w:val="2"/>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kern w:val="0"/>
                <w:sz w:val="21"/>
                <w:szCs w:val="21"/>
              </w:rPr>
              <w:t>3</w:t>
            </w:r>
          </w:p>
        </w:tc>
        <w:tc>
          <w:tcPr>
            <w:tcW w:w="915" w:type="pct"/>
            <w:gridSpan w:val="2"/>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具体见表</w:t>
            </w:r>
            <w:r w:rsidRPr="00F37B4E">
              <w:rPr>
                <w:kern w:val="0"/>
                <w:sz w:val="21"/>
                <w:szCs w:val="21"/>
              </w:rPr>
              <w:t>6</w:t>
            </w:r>
            <w:r w:rsidRPr="00F37B4E">
              <w:rPr>
                <w:rFonts w:hint="eastAsia"/>
                <w:kern w:val="0"/>
                <w:sz w:val="21"/>
                <w:szCs w:val="21"/>
              </w:rPr>
              <w:t>.6.3-1</w:t>
            </w:r>
          </w:p>
        </w:tc>
        <w:tc>
          <w:tcPr>
            <w:tcW w:w="1072"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kern w:val="0"/>
                <w:sz w:val="21"/>
                <w:szCs w:val="21"/>
              </w:rPr>
              <w:t>1</w:t>
            </w:r>
            <w:r w:rsidRPr="00F37B4E">
              <w:rPr>
                <w:rFonts w:hint="eastAsia"/>
                <w:kern w:val="0"/>
                <w:sz w:val="21"/>
                <w:szCs w:val="21"/>
              </w:rPr>
              <w:t>年一次</w:t>
            </w:r>
          </w:p>
        </w:tc>
        <w:tc>
          <w:tcPr>
            <w:tcW w:w="0" w:type="auto"/>
            <w:vMerge/>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0" w:type="auto"/>
            <w:vMerge/>
            <w:tcBorders>
              <w:top w:val="single" w:sz="4" w:space="0" w:color="auto"/>
              <w:left w:val="nil"/>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903" w:type="pct"/>
            <w:tcBorders>
              <w:top w:val="single" w:sz="4" w:space="0" w:color="auto"/>
              <w:left w:val="single" w:sz="4" w:space="0" w:color="auto"/>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信息公开指标</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1133" w:type="pct"/>
            <w:gridSpan w:val="2"/>
            <w:tcBorders>
              <w:top w:val="single" w:sz="4" w:space="0" w:color="auto"/>
              <w:left w:val="nil"/>
              <w:bottom w:val="single" w:sz="4" w:space="0" w:color="auto"/>
              <w:right w:val="single" w:sz="4" w:space="0" w:color="auto"/>
            </w:tcBorders>
            <w:vAlign w:val="center"/>
          </w:tcPr>
          <w:p w:rsidR="004E3021" w:rsidRPr="00F37B4E" w:rsidRDefault="00606E48">
            <w:pPr>
              <w:pStyle w:val="afffffff2"/>
              <w:rPr>
                <w:kern w:val="0"/>
                <w:sz w:val="21"/>
                <w:szCs w:val="21"/>
              </w:rPr>
            </w:pPr>
            <w:r w:rsidRPr="00F37B4E">
              <w:rPr>
                <w:rFonts w:hint="eastAsia"/>
                <w:kern w:val="0"/>
                <w:sz w:val="21"/>
                <w:szCs w:val="21"/>
              </w:rPr>
              <w:t>评价结论</w:t>
            </w:r>
          </w:p>
        </w:tc>
        <w:tc>
          <w:tcPr>
            <w:tcW w:w="3246" w:type="pct"/>
            <w:gridSpan w:val="5"/>
            <w:tcBorders>
              <w:top w:val="single" w:sz="4" w:space="0" w:color="auto"/>
              <w:left w:val="single" w:sz="4" w:space="0" w:color="auto"/>
              <w:bottom w:val="single" w:sz="4" w:space="0" w:color="auto"/>
              <w:right w:val="single" w:sz="4" w:space="0" w:color="auto"/>
            </w:tcBorders>
            <w:vAlign w:val="center"/>
          </w:tcPr>
          <w:p w:rsidR="004E3021" w:rsidRPr="00F37B4E" w:rsidRDefault="004E3021">
            <w:pPr>
              <w:pStyle w:val="afffffff2"/>
              <w:rPr>
                <w:kern w:val="0"/>
                <w:sz w:val="21"/>
                <w:szCs w:val="21"/>
              </w:rPr>
            </w:pPr>
          </w:p>
        </w:tc>
        <w:tc>
          <w:tcPr>
            <w:tcW w:w="621" w:type="pct"/>
            <w:tcBorders>
              <w:top w:val="single" w:sz="4" w:space="0" w:color="auto"/>
              <w:left w:val="single" w:sz="4" w:space="0" w:color="auto"/>
              <w:bottom w:val="single" w:sz="4" w:space="0" w:color="auto"/>
              <w:right w:val="nil"/>
            </w:tcBorders>
            <w:vAlign w:val="center"/>
          </w:tcPr>
          <w:p w:rsidR="004E3021" w:rsidRPr="00F37B4E" w:rsidRDefault="004E3021">
            <w:pPr>
              <w:pStyle w:val="afffffff2"/>
              <w:rPr>
                <w:kern w:val="0"/>
                <w:sz w:val="21"/>
                <w:szCs w:val="21"/>
              </w:rPr>
            </w:pPr>
          </w:p>
        </w:tc>
      </w:tr>
      <w:tr w:rsidR="004E3021" w:rsidRPr="00F37B4E">
        <w:trPr>
          <w:jc w:val="center"/>
        </w:trPr>
        <w:tc>
          <w:tcPr>
            <w:tcW w:w="5000" w:type="pct"/>
            <w:gridSpan w:val="8"/>
            <w:tcBorders>
              <w:top w:val="single" w:sz="4" w:space="0" w:color="auto"/>
              <w:left w:val="nil"/>
              <w:bottom w:val="single" w:sz="12" w:space="0" w:color="auto"/>
              <w:right w:val="nil"/>
            </w:tcBorders>
            <w:vAlign w:val="center"/>
          </w:tcPr>
          <w:p w:rsidR="004E3021" w:rsidRPr="00F37B4E" w:rsidRDefault="00606E48">
            <w:pPr>
              <w:pStyle w:val="afffffff2"/>
              <w:rPr>
                <w:kern w:val="0"/>
                <w:sz w:val="21"/>
                <w:szCs w:val="21"/>
              </w:rPr>
            </w:pPr>
            <w:r w:rsidRPr="00F37B4E">
              <w:rPr>
                <w:rFonts w:hint="eastAsia"/>
                <w:kern w:val="0"/>
                <w:sz w:val="21"/>
                <w:szCs w:val="21"/>
              </w:rPr>
              <w:t>注</w:t>
            </w:r>
            <w:r w:rsidRPr="00F37B4E">
              <w:rPr>
                <w:kern w:val="0"/>
                <w:sz w:val="21"/>
                <w:szCs w:val="21"/>
              </w:rPr>
              <w:t xml:space="preserve"> 1</w:t>
            </w:r>
            <w:r w:rsidRPr="00F37B4E">
              <w:rPr>
                <w:rFonts w:hint="eastAsia"/>
                <w:kern w:val="0"/>
                <w:sz w:val="21"/>
                <w:szCs w:val="21"/>
              </w:rPr>
              <w:t>：“□”为勾选项，可</w:t>
            </w:r>
            <w:r w:rsidRPr="00F37B4E">
              <w:rPr>
                <w:kern w:val="0"/>
                <w:sz w:val="21"/>
                <w:szCs w:val="21"/>
              </w:rPr>
              <w:t>√</w:t>
            </w:r>
            <w:r w:rsidRPr="00F37B4E">
              <w:rPr>
                <w:rFonts w:hint="eastAsia"/>
                <w:kern w:val="0"/>
                <w:sz w:val="21"/>
                <w:szCs w:val="21"/>
              </w:rPr>
              <w:t>；“（</w:t>
            </w:r>
            <w:r w:rsidRPr="00F37B4E">
              <w:rPr>
                <w:kern w:val="0"/>
                <w:sz w:val="21"/>
                <w:szCs w:val="21"/>
              </w:rPr>
              <w:t xml:space="preserve">  </w:t>
            </w:r>
            <w:r w:rsidRPr="00F37B4E">
              <w:rPr>
                <w:rFonts w:hint="eastAsia"/>
                <w:kern w:val="0"/>
                <w:sz w:val="21"/>
                <w:szCs w:val="21"/>
              </w:rPr>
              <w:t>）”为内容填写项；“备注”为其他补充内容。</w:t>
            </w:r>
          </w:p>
          <w:p w:rsidR="004E3021" w:rsidRPr="00F37B4E" w:rsidRDefault="00606E48">
            <w:pPr>
              <w:pStyle w:val="afffffff2"/>
              <w:rPr>
                <w:kern w:val="0"/>
                <w:sz w:val="21"/>
                <w:szCs w:val="21"/>
              </w:rPr>
            </w:pPr>
            <w:r w:rsidRPr="00F37B4E">
              <w:rPr>
                <w:rFonts w:hint="eastAsia"/>
                <w:kern w:val="0"/>
                <w:sz w:val="21"/>
                <w:szCs w:val="21"/>
              </w:rPr>
              <w:t>注</w:t>
            </w:r>
            <w:r w:rsidRPr="00F37B4E">
              <w:rPr>
                <w:kern w:val="0"/>
                <w:sz w:val="21"/>
                <w:szCs w:val="21"/>
              </w:rPr>
              <w:t xml:space="preserve"> 2</w:t>
            </w:r>
            <w:r w:rsidRPr="00F37B4E">
              <w:rPr>
                <w:rFonts w:hint="eastAsia"/>
                <w:kern w:val="0"/>
                <w:sz w:val="21"/>
                <w:szCs w:val="21"/>
              </w:rPr>
              <w:t>：需要分别开展土壤环境影响评级工作的，分别填写自查表。</w:t>
            </w:r>
          </w:p>
        </w:tc>
      </w:tr>
    </w:tbl>
    <w:p w:rsidR="00F37B4E" w:rsidRDefault="00F37B4E">
      <w:pPr>
        <w:pStyle w:val="afffffffffffffffff3"/>
        <w:sectPr w:rsidR="00F37B4E">
          <w:pgSz w:w="11906" w:h="16838"/>
          <w:pgMar w:top="1440" w:right="1440" w:bottom="1440" w:left="1440" w:header="720" w:footer="720" w:gutter="0"/>
          <w:cols w:space="720"/>
          <w:docGrid w:linePitch="326"/>
        </w:sectPr>
      </w:pPr>
      <w:bookmarkStart w:id="586" w:name="_Toc479340226"/>
      <w:bookmarkStart w:id="587" w:name="_Toc31791"/>
      <w:bookmarkStart w:id="588" w:name="_Toc476667594"/>
      <w:bookmarkEnd w:id="586"/>
      <w:bookmarkEnd w:id="587"/>
      <w:bookmarkEnd w:id="588"/>
    </w:p>
    <w:p w:rsidR="004E3021" w:rsidRDefault="00606E48">
      <w:pPr>
        <w:pStyle w:val="afffffffffffffffff3"/>
      </w:pPr>
      <w:bookmarkStart w:id="589" w:name="_Toc221501056"/>
      <w:r>
        <w:rPr>
          <w:rFonts w:hint="eastAsia"/>
        </w:rPr>
        <w:lastRenderedPageBreak/>
        <w:t>5</w:t>
      </w:r>
      <w:r>
        <w:t>.8</w:t>
      </w:r>
      <w:r>
        <w:t>施工期环境影响分析</w:t>
      </w:r>
      <w:bookmarkEnd w:id="589"/>
    </w:p>
    <w:p w:rsidR="004E3021" w:rsidRDefault="00606E48">
      <w:pPr>
        <w:spacing w:before="240" w:after="120"/>
        <w:ind w:firstLineChars="0" w:firstLine="0"/>
        <w:jc w:val="left"/>
        <w:outlineLvl w:val="2"/>
        <w:rPr>
          <w:rFonts w:eastAsia="黑体"/>
          <w:sz w:val="28"/>
          <w:szCs w:val="28"/>
        </w:rPr>
      </w:pPr>
      <w:bookmarkStart w:id="590" w:name="_Toc108662687"/>
      <w:bookmarkStart w:id="591" w:name="_Toc101135910"/>
      <w:bookmarkStart w:id="592" w:name="_Toc100784078"/>
      <w:bookmarkStart w:id="593" w:name="_Toc221088842"/>
      <w:bookmarkStart w:id="594" w:name="_Toc221501057"/>
      <w:r>
        <w:rPr>
          <w:rFonts w:eastAsia="黑体"/>
          <w:sz w:val="28"/>
          <w:szCs w:val="28"/>
        </w:rPr>
        <w:t>5.8.1</w:t>
      </w:r>
      <w:r>
        <w:rPr>
          <w:rFonts w:ascii="黑体" w:eastAsia="黑体" w:hAnsi="黑体"/>
          <w:sz w:val="28"/>
          <w:szCs w:val="28"/>
        </w:rPr>
        <w:t>施工期大气环境影响分析</w:t>
      </w:r>
      <w:bookmarkEnd w:id="590"/>
      <w:bookmarkEnd w:id="591"/>
      <w:bookmarkEnd w:id="592"/>
      <w:bookmarkEnd w:id="593"/>
      <w:bookmarkEnd w:id="594"/>
    </w:p>
    <w:p w:rsidR="00F37B4E" w:rsidRDefault="00F37B4E" w:rsidP="00F37B4E">
      <w:pPr>
        <w:ind w:firstLine="480"/>
      </w:pPr>
      <w:r>
        <w:t>施工过程中废气主要来源于施工机械驱动设备（如柴油机等）和运输及施工车辆所排放的废气。</w:t>
      </w:r>
    </w:p>
    <w:p w:rsidR="00F37B4E" w:rsidRDefault="00F37B4E" w:rsidP="00F37B4E">
      <w:pPr>
        <w:ind w:firstLine="480"/>
      </w:pPr>
      <w:r>
        <w:t>（</w:t>
      </w:r>
      <w:r>
        <w:t>1</w:t>
      </w:r>
      <w:r>
        <w:t>）粉尘和扬尘</w:t>
      </w:r>
    </w:p>
    <w:p w:rsidR="00F37B4E" w:rsidRDefault="00F37B4E" w:rsidP="00F37B4E">
      <w:pPr>
        <w:ind w:firstLine="480"/>
      </w:pPr>
      <w:r>
        <w:t>本工程项目在建设过程中，粉尘污染主要来源于：</w:t>
      </w:r>
    </w:p>
    <w:p w:rsidR="00F37B4E" w:rsidRDefault="00F37B4E" w:rsidP="00F37B4E">
      <w:pPr>
        <w:ind w:firstLine="480"/>
      </w:pPr>
      <w:r>
        <w:fldChar w:fldCharType="begin"/>
      </w:r>
      <w:r>
        <w:instrText xml:space="preserve"> = 1 \* GB3 </w:instrText>
      </w:r>
      <w:r>
        <w:fldChar w:fldCharType="separate"/>
      </w:r>
      <w:r>
        <w:rPr>
          <w:rFonts w:ascii="宋体" w:hAnsi="宋体" w:cs="宋体" w:hint="eastAsia"/>
        </w:rPr>
        <w:t>①</w:t>
      </w:r>
      <w:r>
        <w:fldChar w:fldCharType="end"/>
      </w:r>
      <w:r>
        <w:t>土方的挖掘、堆放、清运、回填和场地平整等过程产生的粉尘；</w:t>
      </w:r>
    </w:p>
    <w:p w:rsidR="00F37B4E" w:rsidRDefault="00F37B4E" w:rsidP="00F37B4E">
      <w:pPr>
        <w:ind w:firstLine="480"/>
      </w:pPr>
      <w:r>
        <w:fldChar w:fldCharType="begin"/>
      </w:r>
      <w:r>
        <w:instrText xml:space="preserve"> = 2 \* GB3 </w:instrText>
      </w:r>
      <w:r>
        <w:fldChar w:fldCharType="separate"/>
      </w:r>
      <w:r>
        <w:rPr>
          <w:rFonts w:ascii="宋体" w:hAnsi="宋体" w:cs="宋体" w:hint="eastAsia"/>
        </w:rPr>
        <w:t>②</w:t>
      </w:r>
      <w:r>
        <w:fldChar w:fldCharType="end"/>
      </w:r>
      <w:r>
        <w:t>建筑材料如水泥、白灰、砂子以及土方等在其装卸、运输、堆放等过程中，因风力作用而产生的扬尘污染；</w:t>
      </w:r>
    </w:p>
    <w:p w:rsidR="00F37B4E" w:rsidRDefault="00F37B4E" w:rsidP="00F37B4E">
      <w:pPr>
        <w:ind w:firstLine="480"/>
      </w:pPr>
      <w:r>
        <w:fldChar w:fldCharType="begin"/>
      </w:r>
      <w:r>
        <w:instrText xml:space="preserve"> = 3 \* GB3 </w:instrText>
      </w:r>
      <w:r>
        <w:fldChar w:fldCharType="separate"/>
      </w:r>
      <w:r>
        <w:rPr>
          <w:rFonts w:ascii="宋体" w:hAnsi="宋体" w:cs="宋体" w:hint="eastAsia"/>
        </w:rPr>
        <w:t>③</w:t>
      </w:r>
      <w:r>
        <w:fldChar w:fldCharType="end"/>
      </w:r>
      <w:r>
        <w:t>搅拌车辆及运输车辆往来造成地面扬尘；</w:t>
      </w:r>
    </w:p>
    <w:p w:rsidR="00F37B4E" w:rsidRDefault="00F37B4E" w:rsidP="00F37B4E">
      <w:pPr>
        <w:ind w:firstLine="480"/>
      </w:pPr>
      <w:r>
        <w:fldChar w:fldCharType="begin"/>
      </w:r>
      <w:r>
        <w:instrText xml:space="preserve"> = 4 \* GB3 </w:instrText>
      </w:r>
      <w:r>
        <w:fldChar w:fldCharType="separate"/>
      </w:r>
      <w:r>
        <w:rPr>
          <w:rFonts w:ascii="宋体" w:hAnsi="宋体" w:cs="宋体" w:hint="eastAsia"/>
        </w:rPr>
        <w:t>④</w:t>
      </w:r>
      <w:r>
        <w:fldChar w:fldCharType="end"/>
      </w:r>
      <w:r>
        <w:t>施工垃圾堆放及清运过程中产生扬尘。</w:t>
      </w:r>
    </w:p>
    <w:p w:rsidR="00F37B4E" w:rsidRDefault="00F37B4E" w:rsidP="00F37B4E">
      <w:pPr>
        <w:ind w:firstLine="480"/>
      </w:pPr>
      <w:r>
        <w:t>上述施工过程中产生的废气、粉尘及扬尘将会造成周围大气环境污染，其中又以粉尘的危害较为严重。</w:t>
      </w:r>
    </w:p>
    <w:p w:rsidR="00F37B4E" w:rsidRDefault="00F37B4E" w:rsidP="00F37B4E">
      <w:pPr>
        <w:ind w:firstLine="480"/>
      </w:pPr>
      <w:r>
        <w:t>施工期间产生的粉尘（扬尘）污染主要取决于施工作业方式、材料的堆放及风力等因素，其中受风力因素的影响最大。随着风速的增大，施工扬尘产生的污染程度和超标范围也将随之增强和扩大。</w:t>
      </w:r>
    </w:p>
    <w:p w:rsidR="00F37B4E" w:rsidRDefault="00F37B4E" w:rsidP="00F37B4E">
      <w:pPr>
        <w:ind w:firstLine="480"/>
      </w:pPr>
      <w:r>
        <w:t>结合《国务院关于印发打赢蓝天保卫战三年行动计划的通知》、《安徽省打赢蓝天保卫战三年行动计划实施方案》以及《安徽省建筑工程施工和预拌混凝土生产扬尘污染防治标准（试行）》等文件要求，建筑工程施工现场扬尘污染防治应做到施工范围全覆盖。</w:t>
      </w:r>
    </w:p>
    <w:p w:rsidR="00F37B4E" w:rsidRDefault="00F37B4E" w:rsidP="00F37B4E">
      <w:pPr>
        <w:ind w:firstLine="480"/>
      </w:pPr>
      <w:r>
        <w:t>工地周边围挡、物料堆放覆盖、路面硬化、土方开挖湿法作业、出入车辆清洗、渣土车辆密闭运输</w:t>
      </w:r>
      <w:r>
        <w:t>“</w:t>
      </w:r>
      <w:r>
        <w:t>六个百分之百</w:t>
      </w:r>
      <w:r>
        <w:t>”</w:t>
      </w:r>
      <w:r>
        <w:t>。具体防治对策和措施如下：</w:t>
      </w:r>
    </w:p>
    <w:p w:rsidR="00F37B4E" w:rsidRDefault="00F37B4E" w:rsidP="00F37B4E">
      <w:pPr>
        <w:ind w:firstLine="480"/>
      </w:pPr>
      <w:r>
        <w:fldChar w:fldCharType="begin"/>
      </w:r>
      <w:r>
        <w:instrText xml:space="preserve"> = 1 \* GB3 </w:instrText>
      </w:r>
      <w:r>
        <w:fldChar w:fldCharType="separate"/>
      </w:r>
      <w:r>
        <w:rPr>
          <w:rFonts w:ascii="宋体" w:hAnsi="宋体" w:cs="宋体" w:hint="eastAsia"/>
        </w:rPr>
        <w:t>①</w:t>
      </w:r>
      <w:r>
        <w:fldChar w:fldCharType="end"/>
      </w:r>
      <w:r>
        <w:t>防治扬尘污染的费用应当列入工程建设成本。建设单位在招标文件中应当要求投标人在投标文件中，制定施工现场扬尘污染防治措施，并列入技术标评标内容。中标人与建设单位签订的合同中应当包括招标文件中的施工现场扬尘污染防治措施，并明确扬尘污染防治责任。</w:t>
      </w:r>
    </w:p>
    <w:p w:rsidR="00F37B4E" w:rsidRDefault="00F37B4E" w:rsidP="00F37B4E">
      <w:pPr>
        <w:ind w:firstLine="480"/>
      </w:pPr>
      <w:r>
        <w:fldChar w:fldCharType="begin"/>
      </w:r>
      <w:r>
        <w:instrText xml:space="preserve"> = 2 \* GB3 </w:instrText>
      </w:r>
      <w:r>
        <w:fldChar w:fldCharType="separate"/>
      </w:r>
      <w:r>
        <w:rPr>
          <w:rFonts w:ascii="宋体" w:hAnsi="宋体" w:cs="宋体" w:hint="eastAsia"/>
        </w:rPr>
        <w:t>②</w:t>
      </w:r>
      <w:r>
        <w:fldChar w:fldCharType="end"/>
      </w:r>
      <w:r>
        <w:t>施工现场应实行封闭围挡，围挡底边应当设置防溢基础，不得有泥浆外漏；围挡应安全可靠；围挡高度不应低于</w:t>
      </w:r>
      <w:r>
        <w:t>1.8m</w:t>
      </w:r>
      <w:r>
        <w:t>；围挡上部宜设置朝向场内区域的喷雾装置，每组</w:t>
      </w:r>
      <w:r>
        <w:lastRenderedPageBreak/>
        <w:t>间隔不宜大于</w:t>
      </w:r>
      <w:r>
        <w:t>4m</w:t>
      </w:r>
      <w:r>
        <w:t>；围挡立面应保持干净、整洁，宜定时清理；围挡应保证施工作业人员和周边行人的安全，且牢固、美观、环保、无破损。</w:t>
      </w:r>
    </w:p>
    <w:p w:rsidR="00F37B4E" w:rsidRDefault="00F37B4E" w:rsidP="00F37B4E">
      <w:pPr>
        <w:ind w:firstLine="480"/>
      </w:pPr>
      <w:r>
        <w:fldChar w:fldCharType="begin"/>
      </w:r>
      <w:r>
        <w:instrText xml:space="preserve"> = 3 \* GB3 </w:instrText>
      </w:r>
      <w:r>
        <w:fldChar w:fldCharType="separate"/>
      </w:r>
      <w:r>
        <w:rPr>
          <w:rFonts w:ascii="宋体" w:hAnsi="宋体" w:cs="宋体" w:hint="eastAsia"/>
        </w:rPr>
        <w:t>③</w:t>
      </w:r>
      <w:r>
        <w:fldChar w:fldCharType="end"/>
      </w:r>
      <w:r>
        <w:t>施工现场临时设施、临时道路的设置应科学合理，并应符合安全、消防、节能、环保等有关规定。施工区、材料加工及存放区应与办公区、生活区划分清楚，并应采取相应的隔离措施；施工现场出入口、主要道路必须采用硬化处理措施，尽量做到</w:t>
      </w:r>
      <w:r>
        <w:t>“</w:t>
      </w:r>
      <w:r>
        <w:t>永临结合</w:t>
      </w:r>
      <w:r>
        <w:t>”</w:t>
      </w:r>
      <w:r>
        <w:t>。宜设置循环通道或贯通的施工道路，其宽度和承载力应满足车辆通行和消防要求：沿施工道路两侧宜通长布设标准化的道路喷淋系统；施工现场辅助临时道路、加工区、施工用材料堆放场、临时停车场地等应采取铺砌块</w:t>
      </w:r>
      <w:r>
        <w:t>(</w:t>
      </w:r>
      <w:r>
        <w:t>砖</w:t>
      </w:r>
      <w:r>
        <w:t>)</w:t>
      </w:r>
      <w:r>
        <w:t>、焦渣、碎石铺装等固化措施；生活区、办公区地面应进行硬化或绿化，优先使用能重复利用的预制砖、铺砌块等材料；长期存在的废弃物堆场，应当设置高于废弃物堆的围墙、防尘网或者在废弃物堆场表面植被绿化；施工场区内裸露场地和堆放的土方必须采用防尘网覆盖、绿化或固化等扬尘污染防治措施；施工现场地表水和地下管沟应排水畅通，场地无积水。严禁将污水直接排入雨水管网，污水宜沉淀后重复使用；建设单位负责对待建场地裸露地面应进行覆盖，超过三个月的，应当进行临时绿化或者透水铺装。</w:t>
      </w:r>
    </w:p>
    <w:p w:rsidR="00F37B4E" w:rsidRDefault="00F37B4E" w:rsidP="00F37B4E">
      <w:pPr>
        <w:ind w:firstLine="480"/>
      </w:pPr>
      <w:r>
        <w:fldChar w:fldCharType="begin"/>
      </w:r>
      <w:r>
        <w:instrText xml:space="preserve"> = 4 \* GB3 </w:instrText>
      </w:r>
      <w:r>
        <w:fldChar w:fldCharType="separate"/>
      </w:r>
      <w:r>
        <w:rPr>
          <w:rFonts w:ascii="宋体" w:hAnsi="宋体" w:cs="宋体" w:hint="eastAsia"/>
        </w:rPr>
        <w:t>④</w:t>
      </w:r>
      <w:r>
        <w:fldChar w:fldCharType="end"/>
      </w:r>
      <w:r>
        <w:t>施工现场出入口大门内侧场内主道路应按有关规定固定设置车辆自动冲洗设施，包括冲洗平台、冲洗设备、排水沟、沉淀池等。特殊情况及拆除工程施工现场，可采用满足现场冲洗要求的移动式冲洗设备；车辆冲洗应有专人负责并填写台账。确保车辆外部、底盘、轮胎处不得粘有污物和泥土，施工工地大门外车辆出口路面上不应有明显的泥印和泥浆水，以及砂石、灰土等易扬尘材料；车辆冲洗宜采用循环用水，设置分级沉淀池，沉淀池应做防渗处理，污水不得直接排放，沉淀池、排水沟中积存的污泥应定期清理；洗装置应从工程开工之日起设置，并保留至工程竣工，对损坏的设备要及时进行维修，保证正常使用。</w:t>
      </w:r>
    </w:p>
    <w:p w:rsidR="00F37B4E" w:rsidRDefault="00F37B4E" w:rsidP="00F37B4E">
      <w:pPr>
        <w:ind w:firstLine="480"/>
      </w:pPr>
      <w:r>
        <w:fldChar w:fldCharType="begin"/>
      </w:r>
      <w:r>
        <w:instrText xml:space="preserve"> = 5 \* GB3 </w:instrText>
      </w:r>
      <w:r>
        <w:fldChar w:fldCharType="separate"/>
      </w:r>
      <w:r>
        <w:rPr>
          <w:rFonts w:ascii="宋体" w:hAnsi="宋体" w:cs="宋体" w:hint="eastAsia"/>
        </w:rPr>
        <w:t>⑤</w:t>
      </w:r>
      <w:r>
        <w:fldChar w:fldCharType="end"/>
      </w:r>
      <w:r>
        <w:t>砂石等散体材料应设置围挡，集中、分类堆放，并采取防尘网覆盖或其他防尘措施；水泥、粉煤灰、灰土等易产生扬尘的</w:t>
      </w:r>
      <w:r>
        <w:rPr>
          <w:rFonts w:hint="eastAsia"/>
        </w:rPr>
        <w:t>细颗粒</w:t>
      </w:r>
      <w:r>
        <w:t>建筑材料应进行密闭存放或设置围挡进行封闭、覆盖，使用过程中应采取有效抑尘措施；现场搅拌机、砂浆罐必须设置防尘降噪棚，棚体需封闭，棚内应采取有效摔尘措施；严禁在施工现场</w:t>
      </w:r>
      <w:r>
        <w:rPr>
          <w:rFonts w:hint="eastAsia"/>
        </w:rPr>
        <w:t>围挡</w:t>
      </w:r>
      <w:r>
        <w:t>外堆放建筑材料和建筑垃圾；场内装卸、搬运易扬尘</w:t>
      </w:r>
      <w:r>
        <w:rPr>
          <w:rFonts w:hint="eastAsia"/>
        </w:rPr>
        <w:t>材料</w:t>
      </w:r>
      <w:r>
        <w:t>应遮盖、封闭或洒水；施工现场土方堆放时，应采取覆盖防尘网、绿化等防尘措施，并定时洒水，还应做到土方堆放高度不宜超过相邻围挡、使用土方时禁止将所有遮盖的防尘网全部打开、雨季时应采取措施防止随雨水冲刷进入水体或市政雨水管道。</w:t>
      </w:r>
    </w:p>
    <w:p w:rsidR="00F37B4E" w:rsidRDefault="00F37B4E" w:rsidP="00F37B4E">
      <w:pPr>
        <w:ind w:firstLine="480"/>
      </w:pPr>
      <w:r>
        <w:lastRenderedPageBreak/>
        <w:fldChar w:fldCharType="begin"/>
      </w:r>
      <w:r>
        <w:instrText xml:space="preserve"> = 6 \* GB3 </w:instrText>
      </w:r>
      <w:r>
        <w:fldChar w:fldCharType="separate"/>
      </w:r>
      <w:r>
        <w:rPr>
          <w:rFonts w:ascii="宋体" w:hAnsi="宋体" w:cs="宋体" w:hint="eastAsia"/>
        </w:rPr>
        <w:t>⑥</w:t>
      </w:r>
      <w:r>
        <w:fldChar w:fldCharType="end"/>
      </w:r>
      <w:r>
        <w:t>建筑垃圾处置实行减量化、资源化、无害化和</w:t>
      </w:r>
      <w:r>
        <w:t>“</w:t>
      </w:r>
      <w:r>
        <w:t>谁产生、谁处置</w:t>
      </w:r>
      <w:r>
        <w:t>”</w:t>
      </w:r>
      <w:r>
        <w:t>的原则；施工单位应当合理利用资源，防止浪费，减少渣与建筑垃圾的产出量；施工现场建筑垃圾应集中、分类堆放，严密遮盖，必要时建立密闭式垃圾站；楼层内清理施工垃圾，应采取先</w:t>
      </w:r>
      <w:r>
        <w:rPr>
          <w:rFonts w:hint="eastAsia"/>
        </w:rPr>
        <w:t>洒水</w:t>
      </w:r>
      <w:r>
        <w:t>降尘后清扫的作业方法，并使用密闭式专用垃圾通道</w:t>
      </w:r>
      <w:r>
        <w:t>(</w:t>
      </w:r>
      <w:r>
        <w:t>管道</w:t>
      </w:r>
      <w:r>
        <w:t>)</w:t>
      </w:r>
      <w:r>
        <w:t>或袋装清运；施工现场内严禁随意丢弃和焚烧各类废弃物，严禁高空抛洒建筑垃圾；施工工程中产生的弃土、弃料及其他建筑垃圾，应及时清运。若在工地内堆置超过</w:t>
      </w:r>
      <w:r>
        <w:t>48</w:t>
      </w:r>
      <w:r>
        <w:t>小时的，则应在施工工地内设置临时堆放场，并采取下列措施：</w:t>
      </w:r>
    </w:p>
    <w:p w:rsidR="00F37B4E" w:rsidRDefault="00F37B4E" w:rsidP="00F37B4E">
      <w:pPr>
        <w:ind w:firstLine="480"/>
      </w:pPr>
      <w:r>
        <w:t>1</w:t>
      </w:r>
      <w:r>
        <w:t>）覆盖防尘布、防尘网</w:t>
      </w:r>
    </w:p>
    <w:p w:rsidR="00F37B4E" w:rsidRDefault="00F37B4E" w:rsidP="00F37B4E">
      <w:pPr>
        <w:ind w:firstLine="480"/>
      </w:pPr>
      <w:r>
        <w:t>2</w:t>
      </w:r>
      <w:r>
        <w:t>）定期喷洒抑尘剂</w:t>
      </w:r>
    </w:p>
    <w:p w:rsidR="00F37B4E" w:rsidRDefault="00F37B4E" w:rsidP="00F37B4E">
      <w:pPr>
        <w:ind w:firstLine="480"/>
      </w:pPr>
      <w:r>
        <w:t>3</w:t>
      </w:r>
      <w:r>
        <w:t>）定期洒水压尘</w:t>
      </w:r>
    </w:p>
    <w:p w:rsidR="00F37B4E" w:rsidRDefault="00F37B4E" w:rsidP="00F37B4E">
      <w:pPr>
        <w:ind w:firstLine="480"/>
      </w:pPr>
      <w:r>
        <w:t>4</w:t>
      </w:r>
      <w:r>
        <w:t>）其他有效的防尘措施</w:t>
      </w:r>
    </w:p>
    <w:p w:rsidR="00F37B4E" w:rsidRDefault="00F37B4E" w:rsidP="00F37B4E">
      <w:pPr>
        <w:ind w:firstLine="480"/>
      </w:pPr>
      <w:r>
        <w:t>建筑垃圾和土方运输车辆运输中必须采取密闭措施，切实达到无外露、无遗撒、无高尖、无扬尘的要求，按规定的时间、地点、线路运输和装卸；外运泥浆应使用具有吸排性能的密封罐车。</w:t>
      </w:r>
    </w:p>
    <w:p w:rsidR="00F37B4E" w:rsidRDefault="00F37B4E" w:rsidP="00F37B4E">
      <w:pPr>
        <w:ind w:firstLine="480"/>
      </w:pPr>
      <w:r>
        <w:rPr>
          <w:rFonts w:hint="eastAsia"/>
        </w:rPr>
        <w:t>（</w:t>
      </w:r>
      <w:r>
        <w:rPr>
          <w:rFonts w:hint="eastAsia"/>
        </w:rPr>
        <w:t>2</w:t>
      </w:r>
      <w:r>
        <w:rPr>
          <w:rFonts w:hint="eastAsia"/>
        </w:rPr>
        <w:t>）</w:t>
      </w:r>
      <w:r>
        <w:t>燃油废气</w:t>
      </w:r>
    </w:p>
    <w:p w:rsidR="004E3021" w:rsidRPr="00F37B4E" w:rsidRDefault="00F37B4E">
      <w:pPr>
        <w:ind w:firstLine="480"/>
      </w:pPr>
      <w:r>
        <w:t>施工机械和运输车辆排放的尾气中含有一氧化碳</w:t>
      </w:r>
      <w:r>
        <w:t>(CO)</w:t>
      </w:r>
      <w:r>
        <w:t>、氮氧化物</w:t>
      </w:r>
      <w:r>
        <w:t>(</w:t>
      </w:r>
      <w:r>
        <w:t>主要以</w:t>
      </w:r>
      <w:r>
        <w:t>NO</w:t>
      </w:r>
      <w:r>
        <w:t>和</w:t>
      </w:r>
      <w:r>
        <w:t>NO</w:t>
      </w:r>
      <w:r>
        <w:rPr>
          <w:vertAlign w:val="subscript"/>
        </w:rPr>
        <w:t>2</w:t>
      </w:r>
      <w:r>
        <w:t>形式存在</w:t>
      </w:r>
      <w:r>
        <w:t>)</w:t>
      </w:r>
      <w:r>
        <w:t>和总烃</w:t>
      </w:r>
      <w:r>
        <w:t>(THC)</w:t>
      </w:r>
      <w:r>
        <w:t>等污染物。施工期间汽车尾气排放对区域环境空气质量有轻微的影响。</w:t>
      </w:r>
    </w:p>
    <w:p w:rsidR="004E3021" w:rsidRDefault="00606E48">
      <w:pPr>
        <w:spacing w:before="240" w:after="120"/>
        <w:ind w:firstLineChars="0" w:firstLine="0"/>
        <w:jc w:val="left"/>
        <w:outlineLvl w:val="2"/>
        <w:rPr>
          <w:rFonts w:eastAsia="黑体"/>
          <w:sz w:val="28"/>
          <w:szCs w:val="28"/>
        </w:rPr>
      </w:pPr>
      <w:bookmarkStart w:id="595" w:name="_Toc100784079"/>
      <w:bookmarkStart w:id="596" w:name="_Toc101135911"/>
      <w:bookmarkStart w:id="597" w:name="_Toc108662688"/>
      <w:bookmarkStart w:id="598" w:name="_Toc221088843"/>
      <w:bookmarkStart w:id="599" w:name="_Toc221501058"/>
      <w:r>
        <w:rPr>
          <w:rFonts w:eastAsia="黑体"/>
          <w:sz w:val="28"/>
          <w:szCs w:val="28"/>
        </w:rPr>
        <w:t>5</w:t>
      </w:r>
      <w:r>
        <w:rPr>
          <w:rFonts w:eastAsia="黑体" w:hint="eastAsia"/>
          <w:sz w:val="28"/>
          <w:szCs w:val="28"/>
        </w:rPr>
        <w:t>.</w:t>
      </w:r>
      <w:r>
        <w:rPr>
          <w:rFonts w:eastAsia="黑体"/>
          <w:sz w:val="28"/>
          <w:szCs w:val="28"/>
        </w:rPr>
        <w:t>8.2</w:t>
      </w:r>
      <w:r>
        <w:rPr>
          <w:rFonts w:ascii="黑体" w:eastAsia="黑体" w:hAnsi="黑体"/>
          <w:sz w:val="28"/>
          <w:szCs w:val="28"/>
        </w:rPr>
        <w:t>施工期噪声环境影响分析</w:t>
      </w:r>
      <w:bookmarkEnd w:id="595"/>
      <w:bookmarkEnd w:id="596"/>
      <w:bookmarkEnd w:id="597"/>
      <w:bookmarkEnd w:id="598"/>
      <w:bookmarkEnd w:id="599"/>
    </w:p>
    <w:p w:rsidR="00F37B4E" w:rsidRDefault="00F37B4E" w:rsidP="00F37B4E">
      <w:pPr>
        <w:pStyle w:val="4a"/>
        <w:ind w:firstLine="480"/>
      </w:pPr>
      <w:r>
        <w:t>5.8.2.1</w:t>
      </w:r>
      <w:r>
        <w:t>施工噪声环境影响分析</w:t>
      </w:r>
    </w:p>
    <w:p w:rsidR="00F37B4E" w:rsidRDefault="00F37B4E" w:rsidP="00F37B4E">
      <w:pPr>
        <w:ind w:firstLine="480"/>
        <w:rPr>
          <w:color w:val="000000"/>
        </w:rPr>
      </w:pPr>
      <w:r>
        <w:rPr>
          <w:color w:val="000000"/>
        </w:rPr>
        <w:t>（</w:t>
      </w:r>
      <w:r>
        <w:rPr>
          <w:color w:val="000000"/>
        </w:rPr>
        <w:t>1</w:t>
      </w:r>
      <w:r>
        <w:rPr>
          <w:color w:val="000000"/>
        </w:rPr>
        <w:t>）预测模式</w:t>
      </w:r>
    </w:p>
    <w:p w:rsidR="00F37B4E" w:rsidRDefault="00F37B4E" w:rsidP="00F37B4E">
      <w:pPr>
        <w:ind w:firstLine="484"/>
        <w:rPr>
          <w:color w:val="000000"/>
        </w:rPr>
      </w:pPr>
      <w:r>
        <w:rPr>
          <w:rFonts w:ascii="宋体" w:hAnsi="宋体" w:cs="宋体" w:hint="eastAsia"/>
          <w:color w:val="000000"/>
          <w:spacing w:val="1"/>
        </w:rPr>
        <w:t>①</w:t>
      </w:r>
      <w:r>
        <w:rPr>
          <w:color w:val="000000"/>
          <w:spacing w:val="1"/>
        </w:rPr>
        <w:t>点声源衰减模式：</w:t>
      </w:r>
    </w:p>
    <w:p w:rsidR="00F37B4E" w:rsidRDefault="00F37B4E" w:rsidP="00F37B4E">
      <w:pPr>
        <w:ind w:firstLineChars="0" w:firstLine="0"/>
        <w:jc w:val="center"/>
        <w:rPr>
          <w:color w:val="000000"/>
          <w:sz w:val="20"/>
        </w:rPr>
      </w:pPr>
      <w:r>
        <w:rPr>
          <w:noProof/>
          <w:color w:val="000000"/>
          <w:sz w:val="17"/>
          <w:szCs w:val="17"/>
        </w:rPr>
        <w:drawing>
          <wp:inline distT="0" distB="0" distL="114300" distR="114300" wp14:anchorId="2634D77F" wp14:editId="543BE825">
            <wp:extent cx="1905635" cy="376555"/>
            <wp:effectExtent l="0" t="0" r="18415" b="4445"/>
            <wp:docPr id="533"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140"/>
                    <pic:cNvPicPr>
                      <a:picLocks noChangeAspect="1"/>
                    </pic:cNvPicPr>
                  </pic:nvPicPr>
                  <pic:blipFill>
                    <a:blip r:embed="rId140"/>
                    <a:stretch>
                      <a:fillRect/>
                    </a:stretch>
                  </pic:blipFill>
                  <pic:spPr>
                    <a:xfrm>
                      <a:off x="0" y="0"/>
                      <a:ext cx="1905635" cy="376555"/>
                    </a:xfrm>
                    <a:prstGeom prst="rect">
                      <a:avLst/>
                    </a:prstGeom>
                    <a:noFill/>
                    <a:ln>
                      <a:noFill/>
                    </a:ln>
                  </pic:spPr>
                </pic:pic>
              </a:graphicData>
            </a:graphic>
          </wp:inline>
        </w:drawing>
      </w:r>
    </w:p>
    <w:p w:rsidR="00F37B4E" w:rsidRDefault="00F37B4E" w:rsidP="00F37B4E">
      <w:pPr>
        <w:ind w:firstLine="480"/>
        <w:rPr>
          <w:color w:val="000000"/>
          <w:position w:val="1"/>
        </w:rPr>
      </w:pPr>
      <w:r>
        <w:rPr>
          <w:color w:val="000000"/>
          <w:position w:val="1"/>
        </w:rPr>
        <w:t>式中：</w:t>
      </w:r>
      <w:r>
        <w:rPr>
          <w:i/>
          <w:iCs/>
          <w:color w:val="000000"/>
          <w:position w:val="1"/>
        </w:rPr>
        <w:t>L</w:t>
      </w:r>
      <w:r>
        <w:rPr>
          <w:i/>
          <w:iCs/>
          <w:color w:val="000000"/>
          <w:sz w:val="16"/>
          <w:szCs w:val="16"/>
        </w:rPr>
        <w:t>A</w:t>
      </w:r>
      <w:r>
        <w:rPr>
          <w:color w:val="000000"/>
          <w:position w:val="1"/>
        </w:rPr>
        <w:t>（</w:t>
      </w:r>
      <w:r>
        <w:rPr>
          <w:i/>
          <w:iCs/>
          <w:color w:val="000000"/>
          <w:position w:val="1"/>
        </w:rPr>
        <w:t>r</w:t>
      </w:r>
      <w:r>
        <w:rPr>
          <w:color w:val="000000"/>
          <w:position w:val="1"/>
        </w:rPr>
        <w:t>）</w:t>
      </w:r>
      <w:r>
        <w:rPr>
          <w:color w:val="000000"/>
          <w:position w:val="1"/>
        </w:rPr>
        <w:t>——</w:t>
      </w:r>
      <w:r>
        <w:rPr>
          <w:color w:val="000000"/>
          <w:position w:val="1"/>
        </w:rPr>
        <w:t>距声源</w:t>
      </w:r>
      <w:r>
        <w:rPr>
          <w:color w:val="000000"/>
          <w:position w:val="1"/>
        </w:rPr>
        <w:t>r</w:t>
      </w:r>
      <w:r>
        <w:rPr>
          <w:color w:val="000000"/>
          <w:position w:val="1"/>
        </w:rPr>
        <w:t>处的声级，</w:t>
      </w:r>
      <w:r>
        <w:rPr>
          <w:color w:val="000000"/>
          <w:position w:val="1"/>
        </w:rPr>
        <w:t>dB</w:t>
      </w:r>
      <w:r>
        <w:rPr>
          <w:color w:val="000000"/>
          <w:position w:val="1"/>
        </w:rPr>
        <w:t>（</w:t>
      </w:r>
      <w:r>
        <w:rPr>
          <w:color w:val="000000"/>
          <w:position w:val="1"/>
        </w:rPr>
        <w:t>A</w:t>
      </w:r>
      <w:r>
        <w:rPr>
          <w:color w:val="000000"/>
          <w:spacing w:val="1"/>
          <w:position w:val="1"/>
        </w:rPr>
        <w:t>）</w:t>
      </w:r>
      <w:r>
        <w:rPr>
          <w:color w:val="000000"/>
          <w:position w:val="1"/>
        </w:rPr>
        <w:t>；</w:t>
      </w:r>
    </w:p>
    <w:p w:rsidR="00F37B4E" w:rsidRDefault="00F37B4E" w:rsidP="00F37B4E">
      <w:pPr>
        <w:ind w:firstLineChars="500" w:firstLine="1200"/>
        <w:rPr>
          <w:color w:val="000000"/>
          <w:position w:val="1"/>
        </w:rPr>
      </w:pPr>
      <w:r>
        <w:rPr>
          <w:i/>
          <w:iCs/>
          <w:color w:val="000000"/>
          <w:position w:val="1"/>
        </w:rPr>
        <w:t>L</w:t>
      </w:r>
      <w:r>
        <w:rPr>
          <w:i/>
          <w:iCs/>
          <w:color w:val="000000"/>
          <w:sz w:val="16"/>
          <w:szCs w:val="16"/>
        </w:rPr>
        <w:t>A</w:t>
      </w:r>
      <w:r>
        <w:rPr>
          <w:color w:val="000000"/>
          <w:position w:val="1"/>
        </w:rPr>
        <w:t>（</w:t>
      </w:r>
      <w:r>
        <w:rPr>
          <w:i/>
          <w:iCs/>
          <w:color w:val="000000"/>
          <w:position w:val="1"/>
        </w:rPr>
        <w:t>r</w:t>
      </w:r>
      <w:r>
        <w:rPr>
          <w:i/>
          <w:iCs/>
          <w:color w:val="000000"/>
          <w:spacing w:val="1"/>
          <w:sz w:val="16"/>
          <w:szCs w:val="16"/>
        </w:rPr>
        <w:t>0</w:t>
      </w:r>
      <w:r>
        <w:rPr>
          <w:color w:val="000000"/>
          <w:position w:val="1"/>
        </w:rPr>
        <w:t>）</w:t>
      </w:r>
      <w:r>
        <w:rPr>
          <w:color w:val="000000"/>
          <w:position w:val="1"/>
        </w:rPr>
        <w:t>——</w:t>
      </w:r>
      <w:r>
        <w:rPr>
          <w:color w:val="000000"/>
          <w:position w:val="1"/>
        </w:rPr>
        <w:t>参考位置</w:t>
      </w:r>
      <w:r>
        <w:rPr>
          <w:color w:val="000000"/>
          <w:position w:val="1"/>
        </w:rPr>
        <w:t>r</w:t>
      </w:r>
      <w:r>
        <w:rPr>
          <w:color w:val="000000"/>
          <w:sz w:val="16"/>
          <w:szCs w:val="16"/>
        </w:rPr>
        <w:t>0</w:t>
      </w:r>
      <w:r>
        <w:rPr>
          <w:color w:val="000000"/>
          <w:position w:val="1"/>
        </w:rPr>
        <w:t>处的声级，</w:t>
      </w:r>
      <w:r>
        <w:rPr>
          <w:color w:val="000000"/>
          <w:position w:val="1"/>
        </w:rPr>
        <w:t>dB</w:t>
      </w:r>
      <w:r>
        <w:rPr>
          <w:color w:val="000000"/>
          <w:position w:val="1"/>
        </w:rPr>
        <w:t>（</w:t>
      </w:r>
      <w:r>
        <w:rPr>
          <w:color w:val="000000"/>
          <w:position w:val="1"/>
        </w:rPr>
        <w:t>A</w:t>
      </w:r>
      <w:r>
        <w:rPr>
          <w:color w:val="000000"/>
          <w:spacing w:val="1"/>
          <w:position w:val="1"/>
        </w:rPr>
        <w:t>）</w:t>
      </w:r>
      <w:r>
        <w:rPr>
          <w:color w:val="000000"/>
          <w:position w:val="1"/>
        </w:rPr>
        <w:t>；</w:t>
      </w:r>
    </w:p>
    <w:p w:rsidR="00F37B4E" w:rsidRDefault="00F37B4E" w:rsidP="00F37B4E">
      <w:pPr>
        <w:ind w:firstLineChars="500" w:firstLine="1200"/>
        <w:rPr>
          <w:color w:val="000000"/>
          <w:position w:val="1"/>
        </w:rPr>
      </w:pPr>
      <w:r>
        <w:rPr>
          <w:color w:val="000000"/>
          <w:position w:val="1"/>
        </w:rPr>
        <w:t>r——</w:t>
      </w:r>
      <w:r>
        <w:rPr>
          <w:color w:val="000000"/>
          <w:position w:val="1"/>
        </w:rPr>
        <w:t>预测点与点声源之间的距离（</w:t>
      </w:r>
      <w:r>
        <w:rPr>
          <w:color w:val="000000"/>
          <w:position w:val="1"/>
        </w:rPr>
        <w:t>m</w:t>
      </w:r>
      <w:r>
        <w:rPr>
          <w:color w:val="000000"/>
          <w:position w:val="1"/>
        </w:rPr>
        <w:t>）；</w:t>
      </w:r>
    </w:p>
    <w:p w:rsidR="00F37B4E" w:rsidRDefault="00F37B4E" w:rsidP="00F37B4E">
      <w:pPr>
        <w:ind w:firstLineChars="500" w:firstLine="1200"/>
        <w:rPr>
          <w:color w:val="000000"/>
        </w:rPr>
      </w:pPr>
      <w:r>
        <w:rPr>
          <w:i/>
          <w:iCs/>
          <w:color w:val="000000"/>
          <w:position w:val="1"/>
        </w:rPr>
        <w:t>r</w:t>
      </w:r>
      <w:r>
        <w:rPr>
          <w:i/>
          <w:iCs/>
          <w:color w:val="000000"/>
          <w:sz w:val="16"/>
          <w:szCs w:val="16"/>
        </w:rPr>
        <w:t>0</w:t>
      </w:r>
      <w:r>
        <w:rPr>
          <w:color w:val="000000"/>
          <w:position w:val="1"/>
        </w:rPr>
        <w:t>——</w:t>
      </w:r>
      <w:r>
        <w:rPr>
          <w:color w:val="000000"/>
          <w:position w:val="1"/>
        </w:rPr>
        <w:t>参考位置与点声源之间的距离（</w:t>
      </w:r>
      <w:r>
        <w:rPr>
          <w:color w:val="000000"/>
          <w:position w:val="1"/>
        </w:rPr>
        <w:t>m</w:t>
      </w:r>
      <w:r>
        <w:rPr>
          <w:color w:val="000000"/>
          <w:position w:val="1"/>
        </w:rPr>
        <w:t>）；</w:t>
      </w:r>
    </w:p>
    <w:p w:rsidR="00F37B4E" w:rsidRDefault="00F37B4E" w:rsidP="00F37B4E">
      <w:pPr>
        <w:ind w:firstLine="484"/>
        <w:rPr>
          <w:color w:val="000000"/>
          <w:spacing w:val="1"/>
          <w:position w:val="-3"/>
        </w:rPr>
      </w:pPr>
      <w:r>
        <w:rPr>
          <w:rFonts w:ascii="宋体" w:hAnsi="宋体" w:cs="宋体" w:hint="eastAsia"/>
          <w:color w:val="000000"/>
          <w:spacing w:val="1"/>
          <w:position w:val="-3"/>
        </w:rPr>
        <w:t>②</w:t>
      </w:r>
      <w:r>
        <w:rPr>
          <w:color w:val="000000"/>
          <w:spacing w:val="1"/>
          <w:position w:val="-3"/>
        </w:rPr>
        <w:t>等效声级贡献值计算公式：</w:t>
      </w:r>
    </w:p>
    <w:p w:rsidR="00F37B4E" w:rsidRDefault="00F37B4E" w:rsidP="00F37B4E">
      <w:pPr>
        <w:ind w:firstLine="480"/>
        <w:jc w:val="center"/>
        <w:rPr>
          <w:color w:val="000000"/>
        </w:rPr>
      </w:pPr>
      <w:r>
        <w:rPr>
          <w:noProof/>
          <w:color w:val="000000"/>
        </w:rPr>
        <w:lastRenderedPageBreak/>
        <w:drawing>
          <wp:inline distT="0" distB="0" distL="114300" distR="114300" wp14:anchorId="1945B873" wp14:editId="22C1C190">
            <wp:extent cx="2117725" cy="543560"/>
            <wp:effectExtent l="0" t="0" r="15875" b="8890"/>
            <wp:docPr id="534"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141"/>
                    <pic:cNvPicPr>
                      <a:picLocks noChangeAspect="1"/>
                    </pic:cNvPicPr>
                  </pic:nvPicPr>
                  <pic:blipFill>
                    <a:blip r:embed="rId141"/>
                    <a:srcRect t="9988"/>
                    <a:stretch>
                      <a:fillRect/>
                    </a:stretch>
                  </pic:blipFill>
                  <pic:spPr>
                    <a:xfrm>
                      <a:off x="0" y="0"/>
                      <a:ext cx="2117725" cy="543560"/>
                    </a:xfrm>
                    <a:prstGeom prst="rect">
                      <a:avLst/>
                    </a:prstGeom>
                    <a:noFill/>
                    <a:ln>
                      <a:noFill/>
                    </a:ln>
                  </pic:spPr>
                </pic:pic>
              </a:graphicData>
            </a:graphic>
          </wp:inline>
        </w:drawing>
      </w:r>
    </w:p>
    <w:p w:rsidR="00F37B4E" w:rsidRDefault="00F37B4E" w:rsidP="00F37B4E">
      <w:pPr>
        <w:ind w:firstLine="480"/>
        <w:rPr>
          <w:color w:val="000000"/>
        </w:rPr>
      </w:pPr>
      <w:r>
        <w:rPr>
          <w:color w:val="000000"/>
          <w:position w:val="-3"/>
        </w:rPr>
        <w:t>式中：</w:t>
      </w:r>
      <w:r>
        <w:rPr>
          <w:i/>
          <w:iCs/>
          <w:color w:val="000000"/>
          <w:position w:val="1"/>
        </w:rPr>
        <w:t>L</w:t>
      </w:r>
      <w:r>
        <w:rPr>
          <w:i/>
          <w:iCs/>
          <w:color w:val="000000"/>
          <w:sz w:val="16"/>
          <w:szCs w:val="16"/>
        </w:rPr>
        <w:t>eqg</w:t>
      </w:r>
      <w:r>
        <w:rPr>
          <w:color w:val="000000"/>
          <w:position w:val="1"/>
        </w:rPr>
        <w:t>——</w:t>
      </w:r>
      <w:r>
        <w:rPr>
          <w:color w:val="000000"/>
          <w:position w:val="1"/>
        </w:rPr>
        <w:t>建设项目声源在预测点的等效声级贡献值，</w:t>
      </w:r>
      <w:r>
        <w:rPr>
          <w:color w:val="000000"/>
          <w:position w:val="1"/>
        </w:rPr>
        <w:t>dB</w:t>
      </w:r>
      <w:r>
        <w:rPr>
          <w:color w:val="000000"/>
          <w:position w:val="1"/>
        </w:rPr>
        <w:t>（</w:t>
      </w:r>
      <w:r>
        <w:rPr>
          <w:color w:val="000000"/>
          <w:position w:val="1"/>
        </w:rPr>
        <w:t>A</w:t>
      </w:r>
      <w:r>
        <w:rPr>
          <w:color w:val="000000"/>
          <w:spacing w:val="1"/>
          <w:position w:val="1"/>
        </w:rPr>
        <w:t>）</w:t>
      </w:r>
      <w:r>
        <w:rPr>
          <w:color w:val="000000"/>
          <w:position w:val="1"/>
        </w:rPr>
        <w:t>；</w:t>
      </w:r>
    </w:p>
    <w:p w:rsidR="00F37B4E" w:rsidRDefault="00F37B4E" w:rsidP="00F37B4E">
      <w:pPr>
        <w:ind w:firstLineChars="500" w:firstLine="1200"/>
        <w:rPr>
          <w:color w:val="000000"/>
        </w:rPr>
      </w:pPr>
      <w:r>
        <w:rPr>
          <w:i/>
          <w:iCs/>
          <w:color w:val="000000"/>
          <w:position w:val="1"/>
        </w:rPr>
        <w:t>L</w:t>
      </w:r>
      <w:r>
        <w:rPr>
          <w:i/>
          <w:iCs/>
          <w:color w:val="000000"/>
          <w:sz w:val="16"/>
          <w:szCs w:val="16"/>
        </w:rPr>
        <w:t>Ai</w:t>
      </w:r>
      <w:r>
        <w:rPr>
          <w:color w:val="000000"/>
          <w:position w:val="1"/>
        </w:rPr>
        <w:t>——</w:t>
      </w:r>
      <w:r>
        <w:rPr>
          <w:i/>
          <w:iCs/>
          <w:color w:val="000000"/>
          <w:position w:val="1"/>
        </w:rPr>
        <w:t>i</w:t>
      </w:r>
      <w:r>
        <w:rPr>
          <w:color w:val="000000"/>
          <w:position w:val="1"/>
        </w:rPr>
        <w:t>声源在预测点产生的</w:t>
      </w:r>
      <w:r>
        <w:rPr>
          <w:color w:val="000000"/>
          <w:position w:val="1"/>
        </w:rPr>
        <w:t>A</w:t>
      </w:r>
      <w:r>
        <w:rPr>
          <w:color w:val="000000"/>
          <w:position w:val="1"/>
        </w:rPr>
        <w:t>声级，</w:t>
      </w:r>
      <w:r>
        <w:rPr>
          <w:color w:val="000000"/>
          <w:position w:val="1"/>
        </w:rPr>
        <w:t>dB</w:t>
      </w:r>
      <w:r>
        <w:rPr>
          <w:color w:val="000000"/>
          <w:position w:val="1"/>
        </w:rPr>
        <w:t>（</w:t>
      </w:r>
      <w:r>
        <w:rPr>
          <w:color w:val="000000"/>
          <w:position w:val="1"/>
        </w:rPr>
        <w:t>A</w:t>
      </w:r>
      <w:r>
        <w:rPr>
          <w:color w:val="000000"/>
          <w:spacing w:val="1"/>
          <w:position w:val="1"/>
        </w:rPr>
        <w:t>）</w:t>
      </w:r>
      <w:r>
        <w:rPr>
          <w:color w:val="000000"/>
          <w:position w:val="1"/>
        </w:rPr>
        <w:t>；</w:t>
      </w:r>
    </w:p>
    <w:p w:rsidR="00F37B4E" w:rsidRDefault="00F37B4E" w:rsidP="00F37B4E">
      <w:pPr>
        <w:ind w:firstLineChars="500" w:firstLine="1200"/>
        <w:rPr>
          <w:color w:val="000000"/>
        </w:rPr>
      </w:pPr>
      <w:r>
        <w:rPr>
          <w:color w:val="000000"/>
        </w:rPr>
        <w:t>T——</w:t>
      </w:r>
      <w:r>
        <w:rPr>
          <w:color w:val="000000"/>
        </w:rPr>
        <w:t>预测计算的时间段，</w:t>
      </w:r>
      <w:r>
        <w:rPr>
          <w:color w:val="000000"/>
        </w:rPr>
        <w:t>s</w:t>
      </w:r>
      <w:r>
        <w:rPr>
          <w:color w:val="000000"/>
        </w:rPr>
        <w:t>；</w:t>
      </w:r>
    </w:p>
    <w:p w:rsidR="00F37B4E" w:rsidRDefault="00F37B4E" w:rsidP="00F37B4E">
      <w:pPr>
        <w:ind w:firstLineChars="500" w:firstLine="1210"/>
        <w:rPr>
          <w:color w:val="000000"/>
        </w:rPr>
      </w:pPr>
      <w:r>
        <w:rPr>
          <w:i/>
          <w:iCs/>
          <w:color w:val="000000"/>
          <w:spacing w:val="1"/>
          <w:position w:val="1"/>
        </w:rPr>
        <w:t>t</w:t>
      </w:r>
      <w:r>
        <w:rPr>
          <w:i/>
          <w:iCs/>
          <w:color w:val="000000"/>
          <w:sz w:val="16"/>
          <w:szCs w:val="16"/>
        </w:rPr>
        <w:t>i</w:t>
      </w:r>
      <w:r>
        <w:rPr>
          <w:color w:val="000000"/>
          <w:position w:val="1"/>
        </w:rPr>
        <w:t>——</w:t>
      </w:r>
      <w:r>
        <w:rPr>
          <w:i/>
          <w:iCs/>
          <w:color w:val="000000"/>
          <w:position w:val="1"/>
        </w:rPr>
        <w:t>i</w:t>
      </w:r>
      <w:r>
        <w:rPr>
          <w:color w:val="000000"/>
          <w:position w:val="1"/>
        </w:rPr>
        <w:t>声源在</w:t>
      </w:r>
      <w:r>
        <w:rPr>
          <w:color w:val="000000"/>
          <w:position w:val="1"/>
        </w:rPr>
        <w:t>T</w:t>
      </w:r>
      <w:r>
        <w:rPr>
          <w:color w:val="000000"/>
          <w:position w:val="1"/>
        </w:rPr>
        <w:t>时段内的运行时间，</w:t>
      </w:r>
      <w:r>
        <w:rPr>
          <w:color w:val="000000"/>
          <w:position w:val="1"/>
        </w:rPr>
        <w:t>s</w:t>
      </w:r>
      <w:r>
        <w:rPr>
          <w:color w:val="000000"/>
          <w:position w:val="1"/>
        </w:rPr>
        <w:t>。</w:t>
      </w:r>
    </w:p>
    <w:p w:rsidR="00F37B4E" w:rsidRDefault="00F37B4E" w:rsidP="00F37B4E">
      <w:pPr>
        <w:ind w:firstLine="484"/>
        <w:rPr>
          <w:color w:val="000000"/>
        </w:rPr>
      </w:pPr>
      <w:r>
        <w:rPr>
          <w:rFonts w:ascii="宋体" w:hAnsi="宋体" w:cs="宋体" w:hint="eastAsia"/>
          <w:color w:val="000000"/>
          <w:spacing w:val="1"/>
          <w:position w:val="-3"/>
        </w:rPr>
        <w:t>③</w:t>
      </w:r>
      <w:r>
        <w:rPr>
          <w:color w:val="000000"/>
          <w:spacing w:val="1"/>
          <w:position w:val="-3"/>
        </w:rPr>
        <w:t>预测点的预测等效声级</w:t>
      </w:r>
      <w:r>
        <w:rPr>
          <w:bCs/>
          <w:color w:val="000000"/>
          <w:position w:val="-3"/>
        </w:rPr>
        <w:t>（</w:t>
      </w:r>
      <w:r>
        <w:rPr>
          <w:bCs/>
          <w:i/>
          <w:iCs/>
          <w:color w:val="000000"/>
          <w:position w:val="-3"/>
        </w:rPr>
        <w:t>Leq</w:t>
      </w:r>
      <w:r>
        <w:rPr>
          <w:bCs/>
          <w:color w:val="000000"/>
          <w:position w:val="-3"/>
        </w:rPr>
        <w:t>）</w:t>
      </w:r>
      <w:r>
        <w:rPr>
          <w:color w:val="000000"/>
          <w:spacing w:val="1"/>
          <w:position w:val="-3"/>
        </w:rPr>
        <w:t>计算公式</w:t>
      </w:r>
    </w:p>
    <w:p w:rsidR="00F37B4E" w:rsidRDefault="00F37B4E" w:rsidP="00F37B4E">
      <w:pPr>
        <w:ind w:firstLine="480"/>
        <w:jc w:val="center"/>
        <w:rPr>
          <w:color w:val="000000"/>
          <w:position w:val="-3"/>
        </w:rPr>
      </w:pPr>
      <w:r>
        <w:rPr>
          <w:noProof/>
          <w:color w:val="000000"/>
        </w:rPr>
        <w:drawing>
          <wp:inline distT="0" distB="0" distL="114300" distR="114300" wp14:anchorId="7E2B641C" wp14:editId="61AC8C38">
            <wp:extent cx="2252345" cy="410210"/>
            <wp:effectExtent l="0" t="0" r="14605" b="8890"/>
            <wp:docPr id="535"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142"/>
                    <pic:cNvPicPr>
                      <a:picLocks noChangeAspect="1"/>
                    </pic:cNvPicPr>
                  </pic:nvPicPr>
                  <pic:blipFill>
                    <a:blip r:embed="rId142"/>
                    <a:stretch>
                      <a:fillRect/>
                    </a:stretch>
                  </pic:blipFill>
                  <pic:spPr>
                    <a:xfrm>
                      <a:off x="0" y="0"/>
                      <a:ext cx="2252345" cy="410210"/>
                    </a:xfrm>
                    <a:prstGeom prst="rect">
                      <a:avLst/>
                    </a:prstGeom>
                    <a:noFill/>
                    <a:ln>
                      <a:noFill/>
                    </a:ln>
                  </pic:spPr>
                </pic:pic>
              </a:graphicData>
            </a:graphic>
          </wp:inline>
        </w:drawing>
      </w:r>
    </w:p>
    <w:p w:rsidR="00F37B4E" w:rsidRDefault="00F37B4E" w:rsidP="00F37B4E">
      <w:pPr>
        <w:ind w:firstLine="480"/>
        <w:rPr>
          <w:color w:val="000000"/>
        </w:rPr>
      </w:pPr>
      <w:r>
        <w:rPr>
          <w:color w:val="000000"/>
          <w:position w:val="-3"/>
        </w:rPr>
        <w:t>式中：</w:t>
      </w:r>
      <w:r>
        <w:rPr>
          <w:i/>
          <w:iCs/>
          <w:color w:val="000000"/>
          <w:position w:val="1"/>
        </w:rPr>
        <w:t>L</w:t>
      </w:r>
      <w:r>
        <w:rPr>
          <w:i/>
          <w:iCs/>
          <w:color w:val="000000"/>
          <w:sz w:val="16"/>
          <w:szCs w:val="16"/>
        </w:rPr>
        <w:t>eqg</w:t>
      </w:r>
      <w:r>
        <w:rPr>
          <w:color w:val="000000"/>
          <w:position w:val="1"/>
        </w:rPr>
        <w:t>—</w:t>
      </w:r>
      <w:r>
        <w:rPr>
          <w:color w:val="000000"/>
          <w:position w:val="1"/>
        </w:rPr>
        <w:t>建设项目声源在预测点的等效声级贡献值，</w:t>
      </w:r>
      <w:r>
        <w:rPr>
          <w:color w:val="000000"/>
          <w:position w:val="1"/>
        </w:rPr>
        <w:t>dB</w:t>
      </w:r>
      <w:r>
        <w:rPr>
          <w:color w:val="000000"/>
          <w:position w:val="1"/>
        </w:rPr>
        <w:t>（</w:t>
      </w:r>
      <w:r>
        <w:rPr>
          <w:color w:val="000000"/>
          <w:position w:val="1"/>
        </w:rPr>
        <w:t>A</w:t>
      </w:r>
      <w:r>
        <w:rPr>
          <w:color w:val="000000"/>
          <w:spacing w:val="1"/>
          <w:position w:val="1"/>
        </w:rPr>
        <w:t>）</w:t>
      </w:r>
      <w:r>
        <w:rPr>
          <w:color w:val="000000"/>
          <w:position w:val="1"/>
        </w:rPr>
        <w:t>；</w:t>
      </w:r>
    </w:p>
    <w:p w:rsidR="00F37B4E" w:rsidRDefault="00F37B4E" w:rsidP="00F37B4E">
      <w:pPr>
        <w:ind w:firstLineChars="500" w:firstLine="1200"/>
        <w:rPr>
          <w:color w:val="000000"/>
        </w:rPr>
      </w:pPr>
      <w:r>
        <w:rPr>
          <w:i/>
          <w:iCs/>
          <w:color w:val="000000"/>
          <w:position w:val="1"/>
        </w:rPr>
        <w:t>L</w:t>
      </w:r>
      <w:r>
        <w:rPr>
          <w:i/>
          <w:iCs/>
          <w:color w:val="000000"/>
          <w:sz w:val="16"/>
          <w:szCs w:val="16"/>
        </w:rPr>
        <w:t>eqb</w:t>
      </w:r>
      <w:r>
        <w:rPr>
          <w:color w:val="000000"/>
          <w:position w:val="1"/>
        </w:rPr>
        <w:t>—</w:t>
      </w:r>
      <w:r>
        <w:rPr>
          <w:color w:val="000000"/>
          <w:position w:val="1"/>
        </w:rPr>
        <w:t>预测点的背景值，</w:t>
      </w:r>
      <w:r>
        <w:rPr>
          <w:color w:val="000000"/>
          <w:position w:val="1"/>
        </w:rPr>
        <w:t>dB</w:t>
      </w:r>
      <w:r>
        <w:rPr>
          <w:color w:val="000000"/>
          <w:position w:val="1"/>
        </w:rPr>
        <w:t>（</w:t>
      </w:r>
      <w:r>
        <w:rPr>
          <w:color w:val="000000"/>
          <w:position w:val="1"/>
        </w:rPr>
        <w:t>A</w:t>
      </w:r>
      <w:r>
        <w:rPr>
          <w:color w:val="000000"/>
          <w:spacing w:val="1"/>
          <w:position w:val="1"/>
        </w:rPr>
        <w:t>）</w:t>
      </w:r>
      <w:r>
        <w:rPr>
          <w:color w:val="000000"/>
          <w:position w:val="1"/>
        </w:rPr>
        <w:t>。</w:t>
      </w:r>
    </w:p>
    <w:p w:rsidR="00F37B4E" w:rsidRDefault="00F37B4E" w:rsidP="00F37B4E">
      <w:pPr>
        <w:ind w:firstLine="480"/>
        <w:rPr>
          <w:bCs/>
          <w:color w:val="000000"/>
        </w:rPr>
      </w:pPr>
      <w:r>
        <w:rPr>
          <w:bCs/>
          <w:color w:val="000000"/>
        </w:rPr>
        <w:t>（</w:t>
      </w:r>
      <w:r>
        <w:rPr>
          <w:bCs/>
          <w:color w:val="000000"/>
        </w:rPr>
        <w:t>2</w:t>
      </w:r>
      <w:r>
        <w:rPr>
          <w:bCs/>
          <w:color w:val="000000"/>
        </w:rPr>
        <w:t>）单台施工机械场界噪声预测</w:t>
      </w:r>
    </w:p>
    <w:p w:rsidR="00F37B4E" w:rsidRDefault="00F37B4E" w:rsidP="00F37B4E">
      <w:pPr>
        <w:ind w:firstLine="480"/>
        <w:rPr>
          <w:color w:val="000000"/>
        </w:rPr>
      </w:pPr>
      <w:r>
        <w:rPr>
          <w:color w:val="000000"/>
        </w:rPr>
        <w:t>根据施工组织计划，工程施工主要产生噪声的机械设备为挖掘机、推土机等，通过上述噪声衰减公式并根据施工场界噪声限值标准的要求，计算施工机械噪声对环境的影响范围，预测结果见下表。</w:t>
      </w:r>
    </w:p>
    <w:p w:rsidR="00F37B4E" w:rsidRDefault="00F37B4E" w:rsidP="00F37B4E">
      <w:pPr>
        <w:spacing w:line="500" w:lineRule="exact"/>
        <w:ind w:firstLineChars="0" w:firstLine="0"/>
        <w:jc w:val="center"/>
        <w:rPr>
          <w:rFonts w:eastAsia="黑体"/>
        </w:rPr>
      </w:pPr>
      <w:r>
        <w:rPr>
          <w:rFonts w:eastAsia="黑体"/>
        </w:rPr>
        <w:t>表</w:t>
      </w:r>
      <w:r>
        <w:rPr>
          <w:rFonts w:eastAsia="黑体"/>
        </w:rPr>
        <w:t>5.8</w:t>
      </w:r>
      <w:r>
        <w:rPr>
          <w:rFonts w:eastAsia="黑体" w:hint="eastAsia"/>
        </w:rPr>
        <w:t>.</w:t>
      </w:r>
      <w:r>
        <w:rPr>
          <w:rFonts w:eastAsia="黑体"/>
        </w:rPr>
        <w:t>2-</w:t>
      </w:r>
      <w:r>
        <w:rPr>
          <w:rFonts w:eastAsia="黑体" w:hint="eastAsia"/>
        </w:rPr>
        <w:t>1</w:t>
      </w:r>
      <w:r>
        <w:rPr>
          <w:rFonts w:eastAsia="黑体"/>
        </w:rPr>
        <w:t xml:space="preserve">  </w:t>
      </w:r>
      <w:r>
        <w:rPr>
          <w:rFonts w:eastAsia="黑体"/>
        </w:rPr>
        <w:t>本工程最大噪声值施工机械作业噪声预测值</w:t>
      </w:r>
      <w:r>
        <w:rPr>
          <w:rFonts w:eastAsia="黑体"/>
        </w:rPr>
        <w:t xml:space="preserve">   </w:t>
      </w:r>
      <w:r>
        <w:rPr>
          <w:rFonts w:eastAsia="黑体"/>
        </w:rPr>
        <w:t>单位：</w:t>
      </w:r>
      <w:r>
        <w:rPr>
          <w:rFonts w:eastAsia="黑体"/>
        </w:rPr>
        <w:t>dB</w:t>
      </w:r>
      <w:r>
        <w:rPr>
          <w:rFonts w:eastAsia="黑体"/>
        </w:rPr>
        <w:t>（</w:t>
      </w:r>
      <w:r>
        <w:rPr>
          <w:rFonts w:eastAsia="黑体"/>
        </w:rPr>
        <w:t>A</w:t>
      </w:r>
      <w:r>
        <w:rPr>
          <w:rFonts w:eastAsia="黑体"/>
        </w:rPr>
        <w:t>）</w:t>
      </w:r>
    </w:p>
    <w:tbl>
      <w:tblPr>
        <w:tblStyle w:val="afff"/>
        <w:tblW w:w="9239" w:type="dxa"/>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2202"/>
        <w:gridCol w:w="682"/>
        <w:gridCol w:w="682"/>
        <w:gridCol w:w="682"/>
        <w:gridCol w:w="682"/>
        <w:gridCol w:w="682"/>
        <w:gridCol w:w="682"/>
        <w:gridCol w:w="682"/>
        <w:gridCol w:w="725"/>
        <w:gridCol w:w="767"/>
        <w:gridCol w:w="771"/>
      </w:tblGrid>
      <w:tr w:rsidR="00F37B4E" w:rsidRPr="00F37B4E" w:rsidTr="00F37B4E">
        <w:trPr>
          <w:trHeight w:val="283"/>
        </w:trPr>
        <w:tc>
          <w:tcPr>
            <w:tcW w:w="2202" w:type="dxa"/>
            <w:vMerge w:val="restart"/>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b/>
                <w:bCs/>
                <w:iCs/>
                <w:color w:val="000000"/>
                <w:kern w:val="0"/>
                <w:sz w:val="21"/>
                <w:szCs w:val="21"/>
              </w:rPr>
            </w:pPr>
            <w:r w:rsidRPr="00F37B4E">
              <w:rPr>
                <w:rFonts w:ascii="Times New Roman" w:hAnsi="Times New Roman"/>
                <w:b/>
                <w:bCs/>
                <w:iCs/>
                <w:color w:val="000000"/>
                <w:kern w:val="0"/>
                <w:sz w:val="21"/>
                <w:szCs w:val="21"/>
              </w:rPr>
              <w:t>机械种类</w:t>
            </w:r>
          </w:p>
        </w:tc>
        <w:tc>
          <w:tcPr>
            <w:tcW w:w="5499" w:type="dxa"/>
            <w:gridSpan w:val="8"/>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b/>
                <w:bCs/>
                <w:iCs/>
                <w:color w:val="000000"/>
                <w:kern w:val="0"/>
                <w:sz w:val="21"/>
                <w:szCs w:val="21"/>
              </w:rPr>
            </w:pPr>
            <w:r w:rsidRPr="00F37B4E">
              <w:rPr>
                <w:rFonts w:ascii="Times New Roman" w:hAnsi="Times New Roman"/>
                <w:b/>
                <w:bCs/>
                <w:iCs/>
                <w:color w:val="000000"/>
                <w:kern w:val="0"/>
                <w:sz w:val="21"/>
                <w:szCs w:val="21"/>
              </w:rPr>
              <w:t>距施工机械距离（</w:t>
            </w:r>
            <w:r w:rsidRPr="00F37B4E">
              <w:rPr>
                <w:rFonts w:ascii="Times New Roman" w:hAnsi="Times New Roman"/>
                <w:b/>
                <w:bCs/>
                <w:iCs/>
                <w:color w:val="000000"/>
                <w:kern w:val="0"/>
                <w:sz w:val="21"/>
                <w:szCs w:val="21"/>
              </w:rPr>
              <w:t>m</w:t>
            </w:r>
            <w:r w:rsidRPr="00F37B4E">
              <w:rPr>
                <w:rFonts w:ascii="Times New Roman" w:hAnsi="Times New Roman"/>
                <w:b/>
                <w:bCs/>
                <w:iCs/>
                <w:color w:val="000000"/>
                <w:kern w:val="0"/>
                <w:sz w:val="21"/>
                <w:szCs w:val="21"/>
              </w:rPr>
              <w:t>）</w:t>
            </w:r>
          </w:p>
        </w:tc>
        <w:tc>
          <w:tcPr>
            <w:tcW w:w="1538" w:type="dxa"/>
            <w:gridSpan w:val="2"/>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b/>
                <w:bCs/>
                <w:iCs/>
                <w:color w:val="000000"/>
                <w:kern w:val="0"/>
                <w:sz w:val="21"/>
                <w:szCs w:val="21"/>
              </w:rPr>
            </w:pPr>
            <w:r w:rsidRPr="00F37B4E">
              <w:rPr>
                <w:rFonts w:ascii="Times New Roman" w:hAnsi="Times New Roman"/>
                <w:b/>
                <w:bCs/>
                <w:iCs/>
                <w:color w:val="000000"/>
                <w:kern w:val="0"/>
                <w:sz w:val="21"/>
                <w:szCs w:val="21"/>
              </w:rPr>
              <w:t>达标距离（</w:t>
            </w:r>
            <w:r w:rsidRPr="00F37B4E">
              <w:rPr>
                <w:rFonts w:ascii="Times New Roman" w:hAnsi="Times New Roman"/>
                <w:b/>
                <w:bCs/>
                <w:iCs/>
                <w:color w:val="000000"/>
                <w:kern w:val="0"/>
                <w:sz w:val="21"/>
                <w:szCs w:val="21"/>
              </w:rPr>
              <w:t>m</w:t>
            </w:r>
            <w:r w:rsidRPr="00F37B4E">
              <w:rPr>
                <w:rFonts w:ascii="Times New Roman" w:hAnsi="Times New Roman"/>
                <w:b/>
                <w:bCs/>
                <w:iCs/>
                <w:color w:val="000000"/>
                <w:kern w:val="0"/>
                <w:sz w:val="21"/>
                <w:szCs w:val="21"/>
              </w:rPr>
              <w:t>）</w:t>
            </w:r>
          </w:p>
        </w:tc>
      </w:tr>
      <w:tr w:rsidR="00F37B4E" w:rsidRPr="00F37B4E" w:rsidTr="00F37B4E">
        <w:trPr>
          <w:trHeight w:val="283"/>
        </w:trPr>
        <w:tc>
          <w:tcPr>
            <w:tcW w:w="2202" w:type="dxa"/>
            <w:vMerge/>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b/>
                <w:bCs/>
                <w:iCs/>
                <w:color w:val="000000"/>
                <w:kern w:val="0"/>
                <w:sz w:val="21"/>
                <w:szCs w:val="21"/>
              </w:rPr>
            </w:pP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b/>
                <w:bCs/>
                <w:iCs/>
                <w:color w:val="000000"/>
                <w:kern w:val="0"/>
                <w:sz w:val="21"/>
                <w:szCs w:val="21"/>
              </w:rPr>
            </w:pPr>
            <w:r w:rsidRPr="00F37B4E">
              <w:rPr>
                <w:rFonts w:ascii="Times New Roman" w:hAnsi="Times New Roman"/>
                <w:b/>
                <w:bCs/>
                <w:iCs/>
                <w:color w:val="000000"/>
                <w:kern w:val="0"/>
                <w:sz w:val="21"/>
                <w:szCs w:val="21"/>
              </w:rPr>
              <w:t>10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b/>
                <w:bCs/>
                <w:iCs/>
                <w:color w:val="000000"/>
                <w:kern w:val="0"/>
                <w:sz w:val="21"/>
                <w:szCs w:val="21"/>
              </w:rPr>
            </w:pPr>
            <w:r w:rsidRPr="00F37B4E">
              <w:rPr>
                <w:rFonts w:ascii="Times New Roman" w:hAnsi="Times New Roman"/>
                <w:b/>
                <w:bCs/>
                <w:iCs/>
                <w:color w:val="000000"/>
                <w:kern w:val="0"/>
                <w:sz w:val="21"/>
                <w:szCs w:val="21"/>
              </w:rPr>
              <w:t>20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b/>
                <w:bCs/>
                <w:iCs/>
                <w:color w:val="000000"/>
                <w:kern w:val="0"/>
                <w:sz w:val="21"/>
                <w:szCs w:val="21"/>
              </w:rPr>
            </w:pPr>
            <w:r w:rsidRPr="00F37B4E">
              <w:rPr>
                <w:rFonts w:ascii="Times New Roman" w:hAnsi="Times New Roman"/>
                <w:b/>
                <w:bCs/>
                <w:iCs/>
                <w:color w:val="000000"/>
                <w:kern w:val="0"/>
                <w:sz w:val="21"/>
                <w:szCs w:val="21"/>
              </w:rPr>
              <w:t>40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b/>
                <w:bCs/>
                <w:iCs/>
                <w:color w:val="000000"/>
                <w:kern w:val="0"/>
                <w:sz w:val="21"/>
                <w:szCs w:val="21"/>
              </w:rPr>
            </w:pPr>
            <w:r w:rsidRPr="00F37B4E">
              <w:rPr>
                <w:rFonts w:ascii="Times New Roman" w:hAnsi="Times New Roman"/>
                <w:b/>
                <w:bCs/>
                <w:iCs/>
                <w:color w:val="000000"/>
                <w:kern w:val="0"/>
                <w:sz w:val="21"/>
                <w:szCs w:val="21"/>
              </w:rPr>
              <w:t>60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b/>
                <w:bCs/>
                <w:iCs/>
                <w:color w:val="000000"/>
                <w:kern w:val="0"/>
                <w:sz w:val="21"/>
                <w:szCs w:val="21"/>
              </w:rPr>
            </w:pPr>
            <w:r w:rsidRPr="00F37B4E">
              <w:rPr>
                <w:rFonts w:ascii="Times New Roman" w:hAnsi="Times New Roman"/>
                <w:b/>
                <w:bCs/>
                <w:iCs/>
                <w:color w:val="000000"/>
                <w:kern w:val="0"/>
                <w:sz w:val="21"/>
                <w:szCs w:val="21"/>
              </w:rPr>
              <w:t>80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b/>
                <w:bCs/>
                <w:iCs/>
                <w:color w:val="000000"/>
                <w:kern w:val="0"/>
                <w:sz w:val="21"/>
                <w:szCs w:val="21"/>
              </w:rPr>
            </w:pPr>
            <w:r w:rsidRPr="00F37B4E">
              <w:rPr>
                <w:rFonts w:ascii="Times New Roman" w:hAnsi="Times New Roman"/>
                <w:b/>
                <w:bCs/>
                <w:iCs/>
                <w:color w:val="000000"/>
                <w:kern w:val="0"/>
                <w:sz w:val="21"/>
                <w:szCs w:val="21"/>
              </w:rPr>
              <w:t>100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b/>
                <w:bCs/>
                <w:iCs/>
                <w:color w:val="000000"/>
                <w:kern w:val="0"/>
                <w:sz w:val="21"/>
                <w:szCs w:val="21"/>
              </w:rPr>
            </w:pPr>
            <w:r w:rsidRPr="00F37B4E">
              <w:rPr>
                <w:rFonts w:ascii="Times New Roman" w:hAnsi="Times New Roman"/>
                <w:b/>
                <w:bCs/>
                <w:iCs/>
                <w:color w:val="000000"/>
                <w:kern w:val="0"/>
                <w:sz w:val="21"/>
                <w:szCs w:val="21"/>
              </w:rPr>
              <w:t>150</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b/>
                <w:bCs/>
                <w:iCs/>
                <w:color w:val="000000"/>
                <w:kern w:val="0"/>
                <w:sz w:val="21"/>
                <w:szCs w:val="21"/>
              </w:rPr>
            </w:pPr>
            <w:r w:rsidRPr="00F37B4E">
              <w:rPr>
                <w:rFonts w:ascii="Times New Roman" w:hAnsi="Times New Roman"/>
                <w:b/>
                <w:bCs/>
                <w:iCs/>
                <w:color w:val="000000"/>
                <w:kern w:val="0"/>
                <w:sz w:val="21"/>
                <w:szCs w:val="21"/>
              </w:rPr>
              <w:t>200</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b/>
                <w:bCs/>
                <w:iCs/>
                <w:color w:val="000000"/>
                <w:kern w:val="0"/>
                <w:sz w:val="21"/>
                <w:szCs w:val="21"/>
              </w:rPr>
            </w:pPr>
            <w:r w:rsidRPr="00F37B4E">
              <w:rPr>
                <w:rFonts w:ascii="Times New Roman" w:hAnsi="Times New Roman"/>
                <w:b/>
                <w:bCs/>
                <w:iCs/>
                <w:color w:val="000000"/>
                <w:kern w:val="0"/>
                <w:sz w:val="21"/>
                <w:szCs w:val="21"/>
              </w:rPr>
              <w:t>昼间</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b/>
                <w:bCs/>
                <w:iCs/>
                <w:color w:val="000000"/>
                <w:kern w:val="0"/>
                <w:sz w:val="21"/>
                <w:szCs w:val="21"/>
              </w:rPr>
            </w:pPr>
            <w:r w:rsidRPr="00F37B4E">
              <w:rPr>
                <w:rFonts w:ascii="Times New Roman" w:hAnsi="Times New Roman"/>
                <w:b/>
                <w:bCs/>
                <w:iCs/>
                <w:color w:val="000000"/>
                <w:kern w:val="0"/>
                <w:sz w:val="21"/>
                <w:szCs w:val="21"/>
              </w:rPr>
              <w:t>夜间</w:t>
            </w:r>
          </w:p>
        </w:tc>
      </w:tr>
      <w:tr w:rsidR="00F37B4E" w:rsidRPr="00F37B4E" w:rsidTr="00F37B4E">
        <w:trPr>
          <w:trHeight w:val="283"/>
        </w:trPr>
        <w:tc>
          <w:tcPr>
            <w:tcW w:w="220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推土机</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83.0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77.0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71.0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67.4</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64.9</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63.0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59.5</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56.9</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45</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251</w:t>
            </w:r>
          </w:p>
        </w:tc>
      </w:tr>
      <w:tr w:rsidR="00F37B4E" w:rsidRPr="00F37B4E" w:rsidTr="00F37B4E">
        <w:trPr>
          <w:trHeight w:val="283"/>
        </w:trPr>
        <w:tc>
          <w:tcPr>
            <w:tcW w:w="220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挖掘机</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82.0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76.0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70.0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66.4</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63.9</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62.0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58.5</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55.9</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40</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224</w:t>
            </w:r>
          </w:p>
        </w:tc>
      </w:tr>
      <w:tr w:rsidR="00F37B4E" w:rsidRPr="00F37B4E" w:rsidTr="00F37B4E">
        <w:trPr>
          <w:trHeight w:val="283"/>
        </w:trPr>
        <w:tc>
          <w:tcPr>
            <w:tcW w:w="220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装载机</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88.0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82.0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76.0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72.4</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69.9</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68.0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64.5</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61.9</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79</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447</w:t>
            </w:r>
          </w:p>
        </w:tc>
      </w:tr>
      <w:tr w:rsidR="00F37B4E" w:rsidRPr="00F37B4E" w:rsidTr="00F37B4E">
        <w:trPr>
          <w:trHeight w:val="283"/>
        </w:trPr>
        <w:tc>
          <w:tcPr>
            <w:tcW w:w="220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插入式振捣器</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80.0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74.0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68.0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64.4</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61.9</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60.0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56.5</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53.9</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32</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178</w:t>
            </w:r>
          </w:p>
        </w:tc>
      </w:tr>
      <w:tr w:rsidR="00F37B4E" w:rsidRPr="00F37B4E" w:rsidTr="00F37B4E">
        <w:trPr>
          <w:trHeight w:val="283"/>
        </w:trPr>
        <w:tc>
          <w:tcPr>
            <w:tcW w:w="220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冲击式钻孔机</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85.0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79.0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73.0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70.4</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67.9</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65.0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61.5</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58.9</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56</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316</w:t>
            </w:r>
          </w:p>
        </w:tc>
      </w:tr>
      <w:tr w:rsidR="00F37B4E" w:rsidRPr="00F37B4E" w:rsidTr="00F37B4E">
        <w:trPr>
          <w:trHeight w:val="283"/>
        </w:trPr>
        <w:tc>
          <w:tcPr>
            <w:tcW w:w="220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光轮压路机</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81.0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75.0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69.0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65.4</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62.9</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61.0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57.5</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54.9</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35</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200</w:t>
            </w:r>
          </w:p>
        </w:tc>
      </w:tr>
      <w:tr w:rsidR="00F37B4E" w:rsidRPr="00F37B4E" w:rsidTr="00F37B4E">
        <w:trPr>
          <w:trHeight w:val="283"/>
        </w:trPr>
        <w:tc>
          <w:tcPr>
            <w:tcW w:w="220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起重机</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75.0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69.0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63.0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59.4</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56.9</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55.0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51.5</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48.9</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18</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100</w:t>
            </w:r>
          </w:p>
        </w:tc>
      </w:tr>
      <w:tr w:rsidR="00F37B4E" w:rsidRPr="00F37B4E" w:rsidTr="00F37B4E">
        <w:trPr>
          <w:trHeight w:val="283"/>
        </w:trPr>
        <w:tc>
          <w:tcPr>
            <w:tcW w:w="220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蛙式打夯机</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90.0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84.0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78.0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74.4</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71.9</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70.0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66.5</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63.9</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100</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562</w:t>
            </w:r>
          </w:p>
        </w:tc>
      </w:tr>
      <w:tr w:rsidR="00F37B4E" w:rsidRPr="00F37B4E" w:rsidTr="00F37B4E">
        <w:trPr>
          <w:trHeight w:val="283"/>
        </w:trPr>
        <w:tc>
          <w:tcPr>
            <w:tcW w:w="220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空压机</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86.0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80.0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74.0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70.4</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67.9</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66.0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62.5</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59.9</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63</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355</w:t>
            </w:r>
          </w:p>
        </w:tc>
      </w:tr>
      <w:tr w:rsidR="00F37B4E" w:rsidRPr="00F37B4E" w:rsidTr="00F37B4E">
        <w:trPr>
          <w:trHeight w:val="283"/>
        </w:trPr>
        <w:tc>
          <w:tcPr>
            <w:tcW w:w="220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主吊车（</w:t>
            </w:r>
            <w:r w:rsidRPr="00F37B4E">
              <w:rPr>
                <w:rFonts w:ascii="Times New Roman" w:hAnsi="Times New Roman"/>
                <w:iCs/>
                <w:color w:val="000000"/>
                <w:kern w:val="0"/>
                <w:sz w:val="21"/>
                <w:szCs w:val="21"/>
              </w:rPr>
              <w:t>1200t</w:t>
            </w:r>
            <w:r w:rsidRPr="00F37B4E">
              <w:rPr>
                <w:rFonts w:ascii="Times New Roman" w:hAnsi="Times New Roman"/>
                <w:iCs/>
                <w:color w:val="000000"/>
                <w:kern w:val="0"/>
                <w:sz w:val="21"/>
                <w:szCs w:val="21"/>
              </w:rPr>
              <w:t>履带吊）</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88.0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82.0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76.0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72.4</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69.9</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68.0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64.5</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61.9</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79</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447</w:t>
            </w:r>
          </w:p>
        </w:tc>
      </w:tr>
      <w:tr w:rsidR="00F37B4E" w:rsidRPr="00F37B4E" w:rsidTr="00F37B4E">
        <w:trPr>
          <w:trHeight w:val="283"/>
        </w:trPr>
        <w:tc>
          <w:tcPr>
            <w:tcW w:w="220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辅助吊车（</w:t>
            </w:r>
            <w:r w:rsidRPr="00F37B4E">
              <w:rPr>
                <w:rFonts w:ascii="Times New Roman" w:hAnsi="Times New Roman"/>
                <w:iCs/>
                <w:color w:val="000000"/>
                <w:kern w:val="0"/>
                <w:sz w:val="21"/>
                <w:szCs w:val="21"/>
              </w:rPr>
              <w:t>150t</w:t>
            </w:r>
            <w:r w:rsidRPr="00F37B4E">
              <w:rPr>
                <w:rFonts w:ascii="Times New Roman" w:hAnsi="Times New Roman"/>
                <w:iCs/>
                <w:color w:val="000000"/>
                <w:kern w:val="0"/>
                <w:sz w:val="21"/>
                <w:szCs w:val="21"/>
              </w:rPr>
              <w:t>汽车吊）</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85.0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79.0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73.0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69.4</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66.9</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65.0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61.5</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58.9</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56</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316</w:t>
            </w:r>
          </w:p>
        </w:tc>
      </w:tr>
      <w:tr w:rsidR="00F37B4E" w:rsidRPr="00F37B4E" w:rsidTr="00F37B4E">
        <w:trPr>
          <w:trHeight w:val="283"/>
        </w:trPr>
        <w:tc>
          <w:tcPr>
            <w:tcW w:w="220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辅助吊车（</w:t>
            </w:r>
            <w:r w:rsidRPr="00F37B4E">
              <w:rPr>
                <w:rFonts w:ascii="Times New Roman" w:hAnsi="Times New Roman"/>
                <w:iCs/>
                <w:color w:val="000000"/>
                <w:kern w:val="0"/>
                <w:sz w:val="21"/>
                <w:szCs w:val="21"/>
              </w:rPr>
              <w:t>70t</w:t>
            </w:r>
            <w:r w:rsidRPr="00F37B4E">
              <w:rPr>
                <w:rFonts w:ascii="Times New Roman" w:hAnsi="Times New Roman"/>
                <w:iCs/>
                <w:color w:val="000000"/>
                <w:kern w:val="0"/>
                <w:sz w:val="21"/>
                <w:szCs w:val="21"/>
              </w:rPr>
              <w:t>汽车</w:t>
            </w:r>
            <w:r w:rsidRPr="00F37B4E">
              <w:rPr>
                <w:rFonts w:ascii="Times New Roman" w:hAnsi="Times New Roman"/>
                <w:iCs/>
                <w:color w:val="000000"/>
                <w:kern w:val="0"/>
                <w:sz w:val="21"/>
                <w:szCs w:val="21"/>
              </w:rPr>
              <w:lastRenderedPageBreak/>
              <w:t>吊）</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lastRenderedPageBreak/>
              <w:t>82.0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76.0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70.0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66.4</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63.9</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62.0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58.5</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55.9</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40</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224</w:t>
            </w:r>
          </w:p>
        </w:tc>
      </w:tr>
      <w:tr w:rsidR="00F37B4E" w:rsidRPr="00F37B4E" w:rsidTr="00F37B4E">
        <w:trPr>
          <w:trHeight w:val="283"/>
        </w:trPr>
        <w:tc>
          <w:tcPr>
            <w:tcW w:w="220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机械翻斗车</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85.0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79.0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73.0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70.4</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67.9</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65.0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61.5</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58.9</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56</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316</w:t>
            </w:r>
          </w:p>
        </w:tc>
      </w:tr>
      <w:tr w:rsidR="00F37B4E" w:rsidRPr="00F37B4E" w:rsidTr="00F37B4E">
        <w:trPr>
          <w:trHeight w:val="283"/>
        </w:trPr>
        <w:tc>
          <w:tcPr>
            <w:tcW w:w="220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钢筋切割机</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80.0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74.0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68.0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64.4</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61.9</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60.0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56.5</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53.9</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32</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178</w:t>
            </w:r>
          </w:p>
        </w:tc>
      </w:tr>
      <w:tr w:rsidR="00F37B4E" w:rsidRPr="00F37B4E" w:rsidTr="00F37B4E">
        <w:trPr>
          <w:trHeight w:val="283"/>
        </w:trPr>
        <w:tc>
          <w:tcPr>
            <w:tcW w:w="220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钢筋弯曲机</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80.0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74.0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68.0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64.4</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61.9</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60.0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56.5</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53.9</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32</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178</w:t>
            </w:r>
          </w:p>
        </w:tc>
      </w:tr>
      <w:tr w:rsidR="00F37B4E" w:rsidRPr="00F37B4E" w:rsidTr="00F37B4E">
        <w:trPr>
          <w:trHeight w:val="283"/>
        </w:trPr>
        <w:tc>
          <w:tcPr>
            <w:tcW w:w="220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木工电锯</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90.0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84.0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78.0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74.4</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71.9</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70.0</w:t>
            </w:r>
          </w:p>
        </w:tc>
        <w:tc>
          <w:tcPr>
            <w:tcW w:w="682"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66.5</w:t>
            </w:r>
          </w:p>
        </w:tc>
        <w:tc>
          <w:tcPr>
            <w:tcW w:w="725"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63.9</w:t>
            </w:r>
          </w:p>
        </w:tc>
        <w:tc>
          <w:tcPr>
            <w:tcW w:w="767"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100</w:t>
            </w:r>
          </w:p>
        </w:tc>
        <w:tc>
          <w:tcPr>
            <w:tcW w:w="771" w:type="dxa"/>
            <w:tcBorders>
              <w:tl2br w:val="nil"/>
              <w:tr2bl w:val="nil"/>
            </w:tcBorders>
            <w:vAlign w:val="center"/>
          </w:tcPr>
          <w:p w:rsidR="00F37B4E" w:rsidRPr="00F37B4E" w:rsidRDefault="00F37B4E" w:rsidP="00F37B4E">
            <w:pPr>
              <w:tabs>
                <w:tab w:val="left" w:pos="0"/>
              </w:tabs>
              <w:spacing w:line="360" w:lineRule="exact"/>
              <w:ind w:firstLineChars="0" w:firstLine="0"/>
              <w:jc w:val="center"/>
              <w:rPr>
                <w:rFonts w:ascii="Times New Roman" w:hAnsi="Times New Roman"/>
                <w:iCs/>
                <w:color w:val="000000"/>
                <w:kern w:val="0"/>
                <w:sz w:val="21"/>
                <w:szCs w:val="21"/>
              </w:rPr>
            </w:pPr>
            <w:r w:rsidRPr="00F37B4E">
              <w:rPr>
                <w:rFonts w:ascii="Times New Roman" w:hAnsi="Times New Roman"/>
                <w:iCs/>
                <w:color w:val="000000"/>
                <w:kern w:val="0"/>
                <w:sz w:val="21"/>
                <w:szCs w:val="21"/>
              </w:rPr>
              <w:t>562</w:t>
            </w:r>
          </w:p>
        </w:tc>
      </w:tr>
    </w:tbl>
    <w:p w:rsidR="00F37B4E" w:rsidRDefault="00F37B4E" w:rsidP="00F37B4E">
      <w:pPr>
        <w:ind w:firstLine="472"/>
      </w:pPr>
      <w:r>
        <w:rPr>
          <w:spacing w:val="-2"/>
          <w:kern w:val="0"/>
          <w:szCs w:val="20"/>
        </w:rPr>
        <w:t>根据</w:t>
      </w:r>
      <w:r>
        <w:rPr>
          <w:rFonts w:hint="eastAsia"/>
          <w:spacing w:val="-2"/>
          <w:kern w:val="0"/>
          <w:szCs w:val="20"/>
        </w:rPr>
        <w:t>上表</w:t>
      </w:r>
      <w:r>
        <w:rPr>
          <w:spacing w:val="-2"/>
          <w:kern w:val="0"/>
          <w:szCs w:val="20"/>
        </w:rPr>
        <w:t>可见，白天施工时，噪声超标范围达</w:t>
      </w:r>
      <w:r>
        <w:rPr>
          <w:spacing w:val="-2"/>
          <w:kern w:val="0"/>
          <w:szCs w:val="20"/>
        </w:rPr>
        <w:t>100m</w:t>
      </w:r>
      <w:r>
        <w:rPr>
          <w:spacing w:val="-2"/>
          <w:kern w:val="0"/>
          <w:szCs w:val="20"/>
        </w:rPr>
        <w:t>。夜间作业，</w:t>
      </w:r>
      <w:r>
        <w:rPr>
          <w:spacing w:val="-2"/>
          <w:kern w:val="0"/>
          <w:szCs w:val="20"/>
        </w:rPr>
        <w:t>562m</w:t>
      </w:r>
      <w:r>
        <w:rPr>
          <w:spacing w:val="-2"/>
          <w:kern w:val="0"/>
          <w:szCs w:val="20"/>
        </w:rPr>
        <w:t>外才能达到施工作业噪声极限值。为了减少本项目施工噪声对区域声环境的影响，需采取一定的防治措施，减少对施工噪声该敏感点的噪声影响。</w:t>
      </w:r>
    </w:p>
    <w:p w:rsidR="00F37B4E" w:rsidRDefault="00F37B4E" w:rsidP="00F37B4E">
      <w:pPr>
        <w:pStyle w:val="4a"/>
        <w:ind w:firstLine="480"/>
      </w:pPr>
      <w:r>
        <w:t>5.8.2.2</w:t>
      </w:r>
      <w:r>
        <w:t>施工期噪声防治措施</w:t>
      </w:r>
    </w:p>
    <w:p w:rsidR="00F37B4E" w:rsidRDefault="00F37B4E" w:rsidP="00F37B4E">
      <w:pPr>
        <w:ind w:firstLine="480"/>
      </w:pPr>
      <w:r>
        <w:t>根据目前的机械制造水平和施工条件，施工期间的噪声是不可避免的，但只要采取一定的措施、合理安排施工作业时间，加强施工管理，即可减轻施工噪声对环境的影响。施工期噪声控制主要措施有：</w:t>
      </w:r>
    </w:p>
    <w:p w:rsidR="00F37B4E" w:rsidRDefault="00F37B4E" w:rsidP="00F37B4E">
      <w:pPr>
        <w:ind w:firstLine="480"/>
      </w:pPr>
      <w:r>
        <w:t>（</w:t>
      </w:r>
      <w:r>
        <w:t>1</w:t>
      </w:r>
      <w:r>
        <w:t>）严格控制设备噪声源强：建设单位在与施工单位签订合同时，应要求其使用的主要机械设备为低噪声机械设备。同时在施工过程中施工单位应设专人对设备进行定期保养和维护，并负责对现场工作人员进行培训，严格按操作规范使用各类机械，防止</w:t>
      </w:r>
      <w:r>
        <w:rPr>
          <w:rFonts w:hint="eastAsia"/>
        </w:rPr>
        <w:t>因</w:t>
      </w:r>
      <w:r>
        <w:t>设备故障工作时产生高噪声。</w:t>
      </w:r>
    </w:p>
    <w:p w:rsidR="00F37B4E" w:rsidRDefault="00F37B4E" w:rsidP="00F37B4E">
      <w:pPr>
        <w:ind w:firstLine="480"/>
      </w:pPr>
      <w:r>
        <w:t>（</w:t>
      </w:r>
      <w:r>
        <w:t>2</w:t>
      </w:r>
      <w:r>
        <w:t>）合理安排施工时间：合理安排施工作业时间，将施工机械的作业时间严格限制在</w:t>
      </w:r>
      <w:r>
        <w:t>6:00~12:00</w:t>
      </w:r>
      <w:r>
        <w:t>，</w:t>
      </w:r>
      <w:r>
        <w:t>14:00~22:00</w:t>
      </w:r>
      <w:r>
        <w:t>时。原则上禁止夜间施工，严禁高噪声设备在作息时间（中午或夜间）作业。</w:t>
      </w:r>
    </w:p>
    <w:p w:rsidR="00F37B4E" w:rsidRDefault="00F37B4E" w:rsidP="00F37B4E">
      <w:pPr>
        <w:ind w:firstLine="480"/>
      </w:pPr>
      <w:r>
        <w:t>（</w:t>
      </w:r>
      <w:r>
        <w:t>3</w:t>
      </w:r>
      <w:r>
        <w:t>）采取隔声措施：在施工场地周围布设围墙。</w:t>
      </w:r>
    </w:p>
    <w:p w:rsidR="00F37B4E" w:rsidRDefault="00F37B4E" w:rsidP="00F37B4E">
      <w:pPr>
        <w:ind w:firstLine="480"/>
      </w:pPr>
      <w:r>
        <w:t>（</w:t>
      </w:r>
      <w:r>
        <w:t>4</w:t>
      </w:r>
      <w:r>
        <w:t>）对运输车辆进行管理：运输车辆出入现场时应低速、禁鸣。</w:t>
      </w:r>
    </w:p>
    <w:p w:rsidR="00F37B4E" w:rsidRDefault="00F37B4E" w:rsidP="00F37B4E">
      <w:pPr>
        <w:ind w:firstLine="480"/>
      </w:pPr>
      <w:r>
        <w:t>（</w:t>
      </w:r>
      <w:r>
        <w:t>5</w:t>
      </w:r>
      <w:r>
        <w:t>）加强施工管理，合理进行施工场地平面布置。对施工人员进行环保教育，提高施工人员环保意识，遵守各项环保规章制度。</w:t>
      </w:r>
    </w:p>
    <w:p w:rsidR="00F37B4E" w:rsidRDefault="00F37B4E" w:rsidP="00F37B4E">
      <w:pPr>
        <w:ind w:firstLine="480"/>
      </w:pPr>
      <w:r>
        <w:t>（</w:t>
      </w:r>
      <w:r>
        <w:t>6</w:t>
      </w:r>
      <w:r>
        <w:t>）对渣土等运输车辆加强管理，</w:t>
      </w:r>
      <w:r>
        <w:rPr>
          <w:rFonts w:hint="eastAsia"/>
        </w:rPr>
        <w:t>途经</w:t>
      </w:r>
      <w:r>
        <w:t>敏感点时限速禁鸣，减小运输车辆对敏感点的影响。</w:t>
      </w:r>
    </w:p>
    <w:p w:rsidR="00F37B4E" w:rsidRDefault="00F37B4E" w:rsidP="00F37B4E">
      <w:pPr>
        <w:ind w:firstLine="480"/>
      </w:pPr>
      <w:r>
        <w:t>经采取上述措施后，施工噪声对区域声环境的影响可降至最低。</w:t>
      </w:r>
    </w:p>
    <w:p w:rsidR="004E3021" w:rsidRDefault="00606E48">
      <w:pPr>
        <w:spacing w:before="240" w:after="120"/>
        <w:ind w:firstLineChars="0" w:firstLine="0"/>
        <w:jc w:val="left"/>
        <w:outlineLvl w:val="2"/>
        <w:rPr>
          <w:rFonts w:eastAsia="黑体"/>
          <w:sz w:val="28"/>
          <w:szCs w:val="28"/>
        </w:rPr>
      </w:pPr>
      <w:bookmarkStart w:id="600" w:name="_Toc108662689"/>
      <w:bookmarkStart w:id="601" w:name="_Toc100784080"/>
      <w:bookmarkStart w:id="602" w:name="_Toc101135912"/>
      <w:bookmarkStart w:id="603" w:name="_Toc221088844"/>
      <w:bookmarkStart w:id="604" w:name="_Toc221501059"/>
      <w:r>
        <w:rPr>
          <w:rFonts w:eastAsia="黑体"/>
          <w:sz w:val="28"/>
          <w:szCs w:val="28"/>
        </w:rPr>
        <w:t>5</w:t>
      </w:r>
      <w:r>
        <w:rPr>
          <w:rFonts w:eastAsia="黑体" w:hint="eastAsia"/>
          <w:sz w:val="28"/>
          <w:szCs w:val="28"/>
        </w:rPr>
        <w:t>.</w:t>
      </w:r>
      <w:r>
        <w:rPr>
          <w:rFonts w:eastAsia="黑体"/>
          <w:sz w:val="28"/>
          <w:szCs w:val="28"/>
        </w:rPr>
        <w:t>8.3</w:t>
      </w:r>
      <w:r>
        <w:rPr>
          <w:rFonts w:ascii="黑体" w:eastAsia="黑体" w:hAnsi="黑体"/>
          <w:sz w:val="28"/>
          <w:szCs w:val="28"/>
        </w:rPr>
        <w:t>施工期废水环境影响分析</w:t>
      </w:r>
      <w:bookmarkEnd w:id="600"/>
      <w:bookmarkEnd w:id="601"/>
      <w:bookmarkEnd w:id="602"/>
      <w:bookmarkEnd w:id="603"/>
      <w:bookmarkEnd w:id="604"/>
    </w:p>
    <w:p w:rsidR="004E3021" w:rsidRDefault="00606E48">
      <w:pPr>
        <w:ind w:firstLine="482"/>
        <w:rPr>
          <w:b/>
        </w:rPr>
      </w:pPr>
      <w:r>
        <w:rPr>
          <w:rFonts w:ascii="宋体" w:hAnsi="宋体"/>
          <w:b/>
        </w:rPr>
        <w:t>（</w:t>
      </w:r>
      <w:r>
        <w:rPr>
          <w:b/>
        </w:rPr>
        <w:t>1</w:t>
      </w:r>
      <w:r>
        <w:rPr>
          <w:rFonts w:ascii="宋体" w:hAnsi="宋体"/>
          <w:b/>
        </w:rPr>
        <w:t>）</w:t>
      </w:r>
      <w:r>
        <w:rPr>
          <w:rFonts w:ascii="宋体" w:hAnsi="宋体" w:hint="eastAsia"/>
          <w:b/>
        </w:rPr>
        <w:t>施工生产</w:t>
      </w:r>
      <w:r>
        <w:rPr>
          <w:rFonts w:ascii="宋体" w:hAnsi="宋体"/>
          <w:b/>
        </w:rPr>
        <w:t>废水</w:t>
      </w:r>
    </w:p>
    <w:p w:rsidR="004E3021" w:rsidRDefault="00606E48">
      <w:pPr>
        <w:ind w:firstLine="480"/>
      </w:pPr>
      <w:r>
        <w:rPr>
          <w:rFonts w:ascii="宋体" w:hAnsi="宋体"/>
        </w:rPr>
        <w:t>各种施工机械设备运转的冷却水及洗涤用水和施工现场清洗、建材清洗、混凝土养</w:t>
      </w:r>
      <w:r>
        <w:rPr>
          <w:rFonts w:ascii="宋体" w:hAnsi="宋体"/>
        </w:rPr>
        <w:lastRenderedPageBreak/>
        <w:t>护、设备水压试验等产生的废水，这部分废水含有一定量的油污和泥砂</w:t>
      </w:r>
      <w:r>
        <w:rPr>
          <w:rFonts w:ascii="宋体" w:hAnsi="宋体" w:hint="eastAsia"/>
        </w:rPr>
        <w:t>，</w:t>
      </w:r>
      <w:r>
        <w:rPr>
          <w:rFonts w:ascii="宋体" w:hAnsi="宋体"/>
        </w:rPr>
        <w:t>依托</w:t>
      </w:r>
      <w:r>
        <w:rPr>
          <w:rFonts w:ascii="宋体" w:hAnsi="宋体" w:hint="eastAsia"/>
        </w:rPr>
        <w:t>施工场地</w:t>
      </w:r>
      <w:r>
        <w:rPr>
          <w:rFonts w:ascii="宋体" w:hAnsi="宋体"/>
        </w:rPr>
        <w:t>隔油池</w:t>
      </w:r>
      <w:r>
        <w:rPr>
          <w:rFonts w:ascii="宋体" w:hAnsi="宋体" w:hint="eastAsia"/>
        </w:rPr>
        <w:t>、</w:t>
      </w:r>
      <w:r>
        <w:rPr>
          <w:rFonts w:ascii="宋体" w:hAnsi="宋体"/>
        </w:rPr>
        <w:t>沉淀池回用于</w:t>
      </w:r>
      <w:r>
        <w:rPr>
          <w:rFonts w:ascii="宋体" w:hAnsi="宋体" w:hint="eastAsia"/>
        </w:rPr>
        <w:t>场地</w:t>
      </w:r>
      <w:r>
        <w:rPr>
          <w:rFonts w:ascii="宋体" w:hAnsi="宋体"/>
        </w:rPr>
        <w:t>喷淋除尘。</w:t>
      </w:r>
    </w:p>
    <w:p w:rsidR="004E3021" w:rsidRDefault="00606E48">
      <w:pPr>
        <w:ind w:firstLine="482"/>
        <w:rPr>
          <w:b/>
        </w:rPr>
      </w:pPr>
      <w:r>
        <w:rPr>
          <w:rFonts w:ascii="宋体" w:hAnsi="宋体"/>
          <w:b/>
        </w:rPr>
        <w:t>（</w:t>
      </w:r>
      <w:r>
        <w:rPr>
          <w:b/>
        </w:rPr>
        <w:t>2</w:t>
      </w:r>
      <w:r>
        <w:rPr>
          <w:rFonts w:ascii="宋体" w:hAnsi="宋体"/>
          <w:b/>
        </w:rPr>
        <w:t>）生活污水</w:t>
      </w:r>
    </w:p>
    <w:p w:rsidR="004E3021" w:rsidRDefault="00606E48">
      <w:pPr>
        <w:ind w:firstLine="480"/>
      </w:pPr>
      <w:r>
        <w:rPr>
          <w:rFonts w:ascii="宋体" w:hAnsi="宋体"/>
        </w:rPr>
        <w:t>施工期</w:t>
      </w:r>
      <w:r>
        <w:rPr>
          <w:rFonts w:ascii="宋体" w:hAnsi="宋体" w:hint="eastAsia"/>
        </w:rPr>
        <w:t>员工</w:t>
      </w:r>
      <w:r>
        <w:rPr>
          <w:rFonts w:ascii="宋体" w:hAnsi="宋体"/>
        </w:rPr>
        <w:t>集中，施工队伍的生活活动产生一定量的生活污水，包括食堂用水、洗涤废水和冲厕水。生活污水含有大量细菌和病原体。上述废污水水量不大，</w:t>
      </w:r>
      <w:r>
        <w:rPr>
          <w:rFonts w:ascii="宋体" w:hAnsi="宋体" w:hint="eastAsia"/>
        </w:rPr>
        <w:t>施工</w:t>
      </w:r>
      <w:r>
        <w:rPr>
          <w:rFonts w:ascii="宋体" w:hAnsi="宋体"/>
        </w:rPr>
        <w:t>人员的</w:t>
      </w:r>
      <w:r>
        <w:rPr>
          <w:rFonts w:ascii="宋体" w:hAnsi="宋体" w:hint="eastAsia"/>
        </w:rPr>
        <w:t>生活污水经</w:t>
      </w:r>
      <w:r>
        <w:rPr>
          <w:rFonts w:ascii="宋体" w:hAnsi="宋体"/>
        </w:rPr>
        <w:t>收集后接管园区污水管网。</w:t>
      </w:r>
    </w:p>
    <w:p w:rsidR="004E3021" w:rsidRDefault="00606E48">
      <w:pPr>
        <w:spacing w:before="240" w:after="120"/>
        <w:ind w:firstLineChars="0" w:firstLine="0"/>
        <w:jc w:val="left"/>
        <w:outlineLvl w:val="2"/>
        <w:rPr>
          <w:rFonts w:eastAsia="黑体"/>
          <w:sz w:val="28"/>
          <w:szCs w:val="28"/>
        </w:rPr>
      </w:pPr>
      <w:bookmarkStart w:id="605" w:name="_Toc108662690"/>
      <w:bookmarkStart w:id="606" w:name="_Toc100784081"/>
      <w:bookmarkStart w:id="607" w:name="_Toc101135913"/>
      <w:bookmarkStart w:id="608" w:name="_Toc221088845"/>
      <w:bookmarkStart w:id="609" w:name="_Toc221501060"/>
      <w:r>
        <w:rPr>
          <w:rFonts w:eastAsia="黑体"/>
          <w:sz w:val="28"/>
          <w:szCs w:val="28"/>
        </w:rPr>
        <w:t>5</w:t>
      </w:r>
      <w:r>
        <w:rPr>
          <w:rFonts w:eastAsia="黑体" w:hint="eastAsia"/>
          <w:sz w:val="28"/>
          <w:szCs w:val="28"/>
        </w:rPr>
        <w:t>.</w:t>
      </w:r>
      <w:r>
        <w:rPr>
          <w:rFonts w:eastAsia="黑体"/>
          <w:sz w:val="28"/>
          <w:szCs w:val="28"/>
        </w:rPr>
        <w:t>8.4</w:t>
      </w:r>
      <w:r>
        <w:rPr>
          <w:rFonts w:ascii="黑体" w:eastAsia="黑体" w:hAnsi="黑体"/>
          <w:sz w:val="28"/>
          <w:szCs w:val="28"/>
        </w:rPr>
        <w:t>施工期固体废弃物环境影响分析</w:t>
      </w:r>
      <w:bookmarkEnd w:id="605"/>
      <w:bookmarkEnd w:id="606"/>
      <w:bookmarkEnd w:id="607"/>
      <w:bookmarkEnd w:id="608"/>
      <w:bookmarkEnd w:id="609"/>
    </w:p>
    <w:p w:rsidR="004E3021" w:rsidRDefault="00606E48">
      <w:pPr>
        <w:ind w:firstLine="480"/>
      </w:pPr>
      <w:r>
        <w:rPr>
          <w:rFonts w:ascii="宋体" w:hAnsi="宋体"/>
        </w:rPr>
        <w:t>施工垃圾主要来自施工所产生的建筑垃圾和施工队伍的生活垃圾。</w:t>
      </w:r>
    </w:p>
    <w:p w:rsidR="004E3021" w:rsidRDefault="00606E48">
      <w:pPr>
        <w:ind w:firstLine="480"/>
      </w:pPr>
      <w:r>
        <w:rPr>
          <w:rFonts w:ascii="宋体" w:hAnsi="宋体"/>
        </w:rPr>
        <w:t>施工期间将涉及到土地开挖、管道敷设、材料运输、基础工程</w:t>
      </w:r>
      <w:r>
        <w:rPr>
          <w:rFonts w:ascii="宋体" w:hAnsi="宋体" w:hint="eastAsia"/>
        </w:rPr>
        <w:t>等</w:t>
      </w:r>
      <w:r>
        <w:rPr>
          <w:rFonts w:ascii="宋体" w:hAnsi="宋体"/>
        </w:rPr>
        <w:t>工程，在此期间将有一定数量的废弃建筑材料如砂石、石灰、混凝土、废砖、土石方等。因施工历时较长，前后必然要有大量的施工人员工作和生活在施工现场，其日常生活将产生一定数量的生活垃圾。</w:t>
      </w:r>
    </w:p>
    <w:p w:rsidR="004E3021" w:rsidRDefault="00606E48">
      <w:pPr>
        <w:ind w:firstLine="480"/>
      </w:pPr>
      <w:r>
        <w:rPr>
          <w:rFonts w:ascii="宋体" w:hAnsi="宋体"/>
        </w:rPr>
        <w:t>对施工现场要及时进行清理，建筑垃圾要及时清运、加以利用，防止其因长期堆放而产生扬尘。施工过程中产生的生活垃圾如不及时进行清运处理，则会腐烂变质，滋生蚊虫苍蝇，产生恶臭，传染疾病，从而对周围环境和作业人员健康带来不利影响。所以建设期间对生活垃圾要进行专门收集，交由环卫部门定期将之送往较近的垃圾场进行合理处置，严禁乱堆乱扔，防止产生二次污染。</w:t>
      </w:r>
    </w:p>
    <w:p w:rsidR="004E3021" w:rsidRDefault="00606E48">
      <w:pPr>
        <w:spacing w:before="240" w:after="120"/>
        <w:ind w:firstLineChars="0" w:firstLine="0"/>
        <w:jc w:val="left"/>
        <w:outlineLvl w:val="2"/>
        <w:rPr>
          <w:rFonts w:eastAsia="黑体"/>
          <w:sz w:val="28"/>
          <w:szCs w:val="28"/>
        </w:rPr>
      </w:pPr>
      <w:bookmarkStart w:id="610" w:name="_Toc108662691"/>
      <w:bookmarkStart w:id="611" w:name="_Toc101135914"/>
      <w:bookmarkStart w:id="612" w:name="_Toc100784082"/>
      <w:bookmarkStart w:id="613" w:name="_Toc221088846"/>
      <w:bookmarkStart w:id="614" w:name="_Toc221501061"/>
      <w:r>
        <w:rPr>
          <w:rFonts w:eastAsia="黑体"/>
          <w:sz w:val="28"/>
          <w:szCs w:val="28"/>
        </w:rPr>
        <w:t>5</w:t>
      </w:r>
      <w:r>
        <w:rPr>
          <w:rFonts w:eastAsia="黑体" w:hint="eastAsia"/>
          <w:sz w:val="28"/>
          <w:szCs w:val="28"/>
        </w:rPr>
        <w:t>.</w:t>
      </w:r>
      <w:r>
        <w:rPr>
          <w:rFonts w:eastAsia="黑体"/>
          <w:sz w:val="28"/>
          <w:szCs w:val="28"/>
        </w:rPr>
        <w:t>8.5</w:t>
      </w:r>
      <w:r>
        <w:rPr>
          <w:rFonts w:ascii="黑体" w:eastAsia="黑体" w:hAnsi="黑体"/>
          <w:sz w:val="28"/>
          <w:szCs w:val="28"/>
        </w:rPr>
        <w:t>施工期注意事项</w:t>
      </w:r>
      <w:bookmarkEnd w:id="610"/>
      <w:bookmarkEnd w:id="611"/>
      <w:bookmarkEnd w:id="612"/>
      <w:bookmarkEnd w:id="613"/>
      <w:bookmarkEnd w:id="614"/>
    </w:p>
    <w:p w:rsidR="004E3021" w:rsidRDefault="00606E48">
      <w:pPr>
        <w:ind w:firstLine="480"/>
      </w:pPr>
      <w:r>
        <w:rPr>
          <w:rFonts w:ascii="宋体" w:hAnsi="宋体" w:hint="eastAsia"/>
        </w:rPr>
        <w:t>本项目</w:t>
      </w:r>
      <w:r>
        <w:rPr>
          <w:rFonts w:ascii="宋体" w:hAnsi="宋体"/>
        </w:rPr>
        <w:t>在施工过程中应采取以下措施：</w:t>
      </w:r>
    </w:p>
    <w:p w:rsidR="004E3021" w:rsidRDefault="00606E48">
      <w:pPr>
        <w:ind w:firstLine="480"/>
      </w:pPr>
      <w:r>
        <w:rPr>
          <w:rFonts w:ascii="宋体" w:hAnsi="宋体"/>
        </w:rPr>
        <w:t>严格按照设计单位提供的施工方案和施工规范进行施工。</w:t>
      </w:r>
    </w:p>
    <w:p w:rsidR="004E3021" w:rsidRDefault="00606E48">
      <w:pPr>
        <w:ind w:firstLine="480"/>
      </w:pPr>
      <w:r>
        <w:rPr>
          <w:rFonts w:ascii="宋体" w:hAnsi="宋体"/>
        </w:rPr>
        <w:t>施工过程中，严禁将施工弃土、建筑垃圾等倾倒至河流或周围的空地中。</w:t>
      </w:r>
    </w:p>
    <w:p w:rsidR="004E3021" w:rsidRDefault="00606E48">
      <w:pPr>
        <w:ind w:firstLine="480"/>
        <w:rPr>
          <w:rFonts w:ascii="宋体" w:hAnsi="宋体"/>
        </w:rPr>
      </w:pPr>
      <w:r>
        <w:rPr>
          <w:rFonts w:ascii="宋体" w:hAnsi="宋体"/>
        </w:rPr>
        <w:t>加强施工场地的现场管理，车辆出施工场地应清洗，特别是轮胎应冲洗，防止土石方的跑冒滴漏，防止施工垃圾污染厂区内的道路、厂区等。</w:t>
      </w:r>
    </w:p>
    <w:p w:rsidR="004E3021" w:rsidRDefault="004E3021">
      <w:pPr>
        <w:pStyle w:val="afffffffffffffffff2"/>
        <w:sectPr w:rsidR="004E3021">
          <w:pgSz w:w="11906" w:h="16838"/>
          <w:pgMar w:top="1440" w:right="1440" w:bottom="1440" w:left="1440" w:header="720" w:footer="720" w:gutter="0"/>
          <w:cols w:space="720"/>
          <w:docGrid w:linePitch="326"/>
        </w:sectPr>
      </w:pPr>
    </w:p>
    <w:p w:rsidR="004E3021" w:rsidRDefault="00606E48">
      <w:pPr>
        <w:pStyle w:val="afffffffffffffffff2"/>
      </w:pPr>
      <w:bookmarkStart w:id="615" w:name="_Toc221501062"/>
      <w:r>
        <w:lastRenderedPageBreak/>
        <w:t>6</w:t>
      </w:r>
      <w:r>
        <w:rPr>
          <w:rFonts w:hint="eastAsia"/>
        </w:rPr>
        <w:t>、污染</w:t>
      </w:r>
      <w:r>
        <w:t>防治措施</w:t>
      </w:r>
      <w:r>
        <w:rPr>
          <w:rFonts w:hint="eastAsia"/>
        </w:rPr>
        <w:t>评述</w:t>
      </w:r>
      <w:bookmarkEnd w:id="615"/>
    </w:p>
    <w:p w:rsidR="004E3021" w:rsidRDefault="00606E48">
      <w:pPr>
        <w:pStyle w:val="afffffffffffffffff3"/>
      </w:pPr>
      <w:bookmarkStart w:id="616" w:name="_Toc221501063"/>
      <w:r>
        <w:rPr>
          <w:rFonts w:hint="eastAsia"/>
        </w:rPr>
        <w:t>6.1</w:t>
      </w:r>
      <w:r>
        <w:rPr>
          <w:rFonts w:hint="eastAsia"/>
        </w:rPr>
        <w:t>废气</w:t>
      </w:r>
      <w:r>
        <w:t>污染</w:t>
      </w:r>
      <w:r>
        <w:rPr>
          <w:rFonts w:hint="eastAsia"/>
        </w:rPr>
        <w:t>防治措施</w:t>
      </w:r>
      <w:r>
        <w:t>评述</w:t>
      </w:r>
      <w:bookmarkEnd w:id="616"/>
    </w:p>
    <w:p w:rsidR="004E3021" w:rsidRDefault="00606E48">
      <w:pPr>
        <w:ind w:firstLine="480"/>
      </w:pPr>
      <w:r>
        <w:rPr>
          <w:rFonts w:ascii="宋体" w:hAnsi="宋体" w:hint="eastAsia"/>
        </w:rPr>
        <w:t>根据工程</w:t>
      </w:r>
      <w:r>
        <w:rPr>
          <w:rFonts w:ascii="宋体" w:hAnsi="宋体"/>
        </w:rPr>
        <w:t>分析，</w:t>
      </w:r>
      <w:r>
        <w:rPr>
          <w:rFonts w:hint="eastAsia"/>
        </w:rPr>
        <w:t>扩建</w:t>
      </w:r>
      <w:r>
        <w:rPr>
          <w:rFonts w:ascii="宋体" w:hAnsi="宋体" w:hint="eastAsia"/>
        </w:rPr>
        <w:t>工程</w:t>
      </w:r>
      <w:r>
        <w:rPr>
          <w:rFonts w:ascii="宋体" w:hAnsi="宋体"/>
        </w:rPr>
        <w:t>废气主要为</w:t>
      </w:r>
      <w:r>
        <w:rPr>
          <w:rFonts w:ascii="宋体" w:hAnsi="宋体" w:hint="eastAsia"/>
        </w:rPr>
        <w:t>工艺</w:t>
      </w:r>
      <w:r>
        <w:rPr>
          <w:rFonts w:ascii="宋体" w:hAnsi="宋体"/>
        </w:rPr>
        <w:t>废气</w:t>
      </w:r>
      <w:r>
        <w:rPr>
          <w:rFonts w:ascii="宋体" w:hAnsi="宋体" w:hint="eastAsia"/>
        </w:rPr>
        <w:t>、</w:t>
      </w:r>
      <w:r>
        <w:rPr>
          <w:rFonts w:ascii="宋体" w:hAnsi="宋体"/>
        </w:rPr>
        <w:t>罐区废气</w:t>
      </w:r>
      <w:r>
        <w:t>；无组织</w:t>
      </w:r>
      <w:r>
        <w:rPr>
          <w:rFonts w:hint="eastAsia"/>
        </w:rPr>
        <w:t>废气</w:t>
      </w:r>
      <w:r>
        <w:t>主要为</w:t>
      </w:r>
      <w:r>
        <w:rPr>
          <w:rFonts w:hint="eastAsia"/>
        </w:rPr>
        <w:t>生产车间</w:t>
      </w:r>
      <w:r>
        <w:t>废气</w:t>
      </w:r>
      <w:r>
        <w:rPr>
          <w:rFonts w:ascii="宋体" w:hAnsi="宋体"/>
        </w:rPr>
        <w:t>。</w:t>
      </w:r>
    </w:p>
    <w:p w:rsidR="004E3021" w:rsidRDefault="00606E48">
      <w:pPr>
        <w:pStyle w:val="afffffffffffffffff4"/>
      </w:pPr>
      <w:bookmarkStart w:id="617" w:name="_Toc101135917"/>
      <w:bookmarkStart w:id="618" w:name="_Toc100784085"/>
      <w:bookmarkStart w:id="619" w:name="_Toc108662694"/>
      <w:bookmarkStart w:id="620" w:name="_Toc221088849"/>
      <w:bookmarkStart w:id="621" w:name="_Toc221501064"/>
      <w:r>
        <w:rPr>
          <w:rFonts w:hint="eastAsia"/>
        </w:rPr>
        <w:t>6.1.1</w:t>
      </w:r>
      <w:r>
        <w:rPr>
          <w:rFonts w:hint="eastAsia"/>
        </w:rPr>
        <w:t>废气有组织污染防治措施评述</w:t>
      </w:r>
      <w:bookmarkEnd w:id="617"/>
      <w:bookmarkEnd w:id="618"/>
      <w:bookmarkEnd w:id="619"/>
      <w:bookmarkEnd w:id="620"/>
      <w:bookmarkEnd w:id="621"/>
    </w:p>
    <w:p w:rsidR="004E3021" w:rsidRDefault="00606E48">
      <w:pPr>
        <w:pStyle w:val="4a"/>
      </w:pPr>
      <w:r>
        <w:t>6</w:t>
      </w:r>
      <w:r>
        <w:rPr>
          <w:rFonts w:hint="eastAsia"/>
        </w:rPr>
        <w:t>.</w:t>
      </w:r>
      <w:r>
        <w:t>1</w:t>
      </w:r>
      <w:r>
        <w:rPr>
          <w:rFonts w:hint="eastAsia"/>
        </w:rPr>
        <w:t>.1.1</w:t>
      </w:r>
      <w:r>
        <w:rPr>
          <w:rFonts w:hint="eastAsia"/>
        </w:rPr>
        <w:t>废气的</w:t>
      </w:r>
      <w:r>
        <w:t>收集</w:t>
      </w:r>
      <w:r>
        <w:rPr>
          <w:rFonts w:hint="eastAsia"/>
        </w:rPr>
        <w:t>处理</w:t>
      </w:r>
      <w:r>
        <w:t>系统</w:t>
      </w:r>
    </w:p>
    <w:p w:rsidR="004E3021" w:rsidRDefault="00606E48">
      <w:pPr>
        <w:ind w:firstLine="480"/>
        <w:rPr>
          <w:rFonts w:ascii="宋体" w:hAnsi="宋体"/>
        </w:rPr>
      </w:pPr>
      <w:r>
        <w:rPr>
          <w:rFonts w:hint="eastAsia"/>
        </w:rPr>
        <w:t>本项目有组织废气</w:t>
      </w:r>
      <w:r>
        <w:t>污染物为</w:t>
      </w:r>
      <w:r>
        <w:rPr>
          <w:rFonts w:hint="eastAsia"/>
        </w:rPr>
        <w:t>颗粒物</w:t>
      </w:r>
      <w:r>
        <w:t>、甲醇、</w:t>
      </w:r>
      <w:r>
        <w:rPr>
          <w:rFonts w:hint="eastAsia"/>
          <w:color w:val="000000"/>
          <w:szCs w:val="18"/>
        </w:rPr>
        <w:t>四甲氧基硅烷、三甲氧基硅烷</w:t>
      </w:r>
      <w:r>
        <w:rPr>
          <w:rFonts w:hint="eastAsia"/>
        </w:rPr>
        <w:t>、</w:t>
      </w:r>
      <w:r>
        <w:rPr>
          <w:rFonts w:hint="eastAsia"/>
          <w:color w:val="000000"/>
          <w:szCs w:val="18"/>
        </w:rPr>
        <w:t>甲基三甲氧基硅烷、</w:t>
      </w:r>
      <w:r>
        <w:rPr>
          <w:rFonts w:hint="eastAsia"/>
        </w:rPr>
        <w:t>烯丙基缩水甘油醚、氨</w:t>
      </w:r>
      <w:r>
        <w:t>、</w:t>
      </w:r>
      <w:r>
        <w:rPr>
          <w:rFonts w:hint="eastAsia"/>
        </w:rPr>
        <w:t>VOCs</w:t>
      </w:r>
      <w:r>
        <w:rPr>
          <w:rFonts w:hint="eastAsia"/>
        </w:rPr>
        <w:t>、乙炔</w:t>
      </w:r>
      <w:r>
        <w:rPr>
          <w:rFonts w:ascii="宋体" w:hAnsi="宋体"/>
        </w:rPr>
        <w:t>。</w:t>
      </w:r>
    </w:p>
    <w:p w:rsidR="004E3021" w:rsidRDefault="00606E48">
      <w:pPr>
        <w:ind w:firstLine="480"/>
      </w:pPr>
      <w:r>
        <w:rPr>
          <w:rFonts w:ascii="宋体" w:hAnsi="宋体" w:hint="eastAsia"/>
        </w:rPr>
        <w:t>本项目</w:t>
      </w:r>
      <w:r>
        <w:rPr>
          <w:rFonts w:ascii="宋体" w:hAnsi="宋体"/>
        </w:rPr>
        <w:t>无组织废气污染物为</w:t>
      </w:r>
      <w:r>
        <w:rPr>
          <w:rFonts w:hint="eastAsia"/>
        </w:rPr>
        <w:t>颗粒物</w:t>
      </w:r>
      <w:r>
        <w:t>、甲醇、</w:t>
      </w:r>
      <w:r>
        <w:rPr>
          <w:rFonts w:hint="eastAsia"/>
          <w:color w:val="000000"/>
          <w:szCs w:val="18"/>
        </w:rPr>
        <w:t>四甲氧基硅烷、三甲氧基硅烷</w:t>
      </w:r>
      <w:r>
        <w:rPr>
          <w:rFonts w:hint="eastAsia"/>
        </w:rPr>
        <w:t>、</w:t>
      </w:r>
      <w:r>
        <w:rPr>
          <w:rFonts w:hint="eastAsia"/>
          <w:color w:val="000000"/>
          <w:szCs w:val="18"/>
        </w:rPr>
        <w:t>甲基三甲氧基硅烷、乙炔、硫化氢、</w:t>
      </w:r>
      <w:r>
        <w:rPr>
          <w:rFonts w:hint="eastAsia"/>
        </w:rPr>
        <w:t>VOCs</w:t>
      </w:r>
      <w:r>
        <w:rPr>
          <w:rFonts w:hint="eastAsia"/>
        </w:rPr>
        <w:t>。</w:t>
      </w:r>
    </w:p>
    <w:p w:rsidR="004E3021" w:rsidRDefault="00606E48">
      <w:pPr>
        <w:ind w:firstLine="480"/>
      </w:pPr>
      <w:r>
        <w:rPr>
          <w:rFonts w:hint="eastAsia"/>
        </w:rPr>
        <w:t>本项目</w:t>
      </w:r>
      <w:r>
        <w:t>有组织废气收集处理情况见表</w:t>
      </w:r>
      <w:r>
        <w:rPr>
          <w:rFonts w:hint="eastAsia"/>
        </w:rPr>
        <w:t>6.1.1</w:t>
      </w:r>
      <w:r>
        <w:t>-1</w:t>
      </w:r>
      <w:r>
        <w:rPr>
          <w:rFonts w:hint="eastAsia"/>
        </w:rPr>
        <w:t>。</w:t>
      </w:r>
    </w:p>
    <w:p w:rsidR="004E3021" w:rsidRDefault="00606E48">
      <w:pPr>
        <w:pStyle w:val="afffff4"/>
        <w:rPr>
          <w:rFonts w:cs="Times New Roman"/>
          <w:szCs w:val="24"/>
        </w:rPr>
      </w:pPr>
      <w:r>
        <w:rPr>
          <w:rFonts w:hint="eastAsia"/>
        </w:rPr>
        <w:t>表</w:t>
      </w:r>
      <w:r>
        <w:rPr>
          <w:rFonts w:hint="eastAsia"/>
        </w:rPr>
        <w:t>6.1.1</w:t>
      </w:r>
      <w:r>
        <w:t xml:space="preserve">-1  </w:t>
      </w:r>
      <w:r>
        <w:rPr>
          <w:rFonts w:hint="eastAsia"/>
        </w:rPr>
        <w:t>有组织</w:t>
      </w:r>
      <w:r>
        <w:t>废气的收集系统一览表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4E3021" w:rsidRDefault="00606E48">
      <w:pPr>
        <w:pStyle w:val="afffff4"/>
      </w:pPr>
      <w:r>
        <w:rPr>
          <w:rFonts w:hint="eastAsia"/>
        </w:rPr>
        <w:t>图</w:t>
      </w:r>
      <w:r>
        <w:rPr>
          <w:rFonts w:hint="eastAsia"/>
        </w:rPr>
        <w:t>6.1.1</w:t>
      </w:r>
      <w:r>
        <w:t xml:space="preserve">-1 </w:t>
      </w:r>
      <w:r>
        <w:rPr>
          <w:rFonts w:hint="eastAsia"/>
        </w:rPr>
        <w:t>本项目</w:t>
      </w:r>
      <w:r>
        <w:t>废气</w:t>
      </w:r>
      <w:r>
        <w:rPr>
          <w:rFonts w:hint="eastAsia"/>
        </w:rPr>
        <w:t>收集</w:t>
      </w:r>
      <w:r>
        <w:t>处理工艺</w:t>
      </w:r>
      <w:r>
        <w:rPr>
          <w:rFonts w:hint="eastAsia"/>
        </w:rPr>
        <w:t>示意</w:t>
      </w:r>
      <w:r>
        <w:t>图</w:t>
      </w:r>
    </w:p>
    <w:p w:rsidR="004E3021" w:rsidRDefault="00606E48">
      <w:pPr>
        <w:pStyle w:val="4a"/>
      </w:pPr>
      <w:r>
        <w:rPr>
          <w:rFonts w:hint="eastAsia"/>
        </w:rPr>
        <w:t>6.1.1.</w:t>
      </w:r>
      <w:r>
        <w:t>2</w:t>
      </w:r>
      <w:r>
        <w:rPr>
          <w:rFonts w:hint="eastAsia"/>
        </w:rPr>
        <w:t>废气处理方案及</w:t>
      </w:r>
      <w:r>
        <w:t>达标可行性分析</w:t>
      </w:r>
    </w:p>
    <w:p w:rsidR="004E3021" w:rsidRDefault="00606E48">
      <w:pPr>
        <w:ind w:firstLine="480"/>
      </w:pPr>
      <w:r>
        <w:rPr>
          <w:rFonts w:hint="eastAsia"/>
        </w:rPr>
        <w:t>（</w:t>
      </w:r>
      <w:r>
        <w:rPr>
          <w:rFonts w:hint="eastAsia"/>
        </w:rPr>
        <w:t>1</w:t>
      </w:r>
      <w:r>
        <w:rPr>
          <w:rFonts w:hint="eastAsia"/>
        </w:rPr>
        <w:t>）</w:t>
      </w:r>
      <w:r>
        <w:t>有机废气</w:t>
      </w:r>
      <w:r>
        <w:rPr>
          <w:rFonts w:hint="eastAsia"/>
        </w:rPr>
        <w:t>处理方案</w:t>
      </w:r>
    </w:p>
    <w:p w:rsidR="004E3021" w:rsidRDefault="00606E48">
      <w:pPr>
        <w:ind w:firstLine="480"/>
      </w:pPr>
      <w:r>
        <w:t>通过查阅文献及结合化工废气治理工程实践可知，</w:t>
      </w:r>
      <w:r>
        <w:rPr>
          <w:rFonts w:hint="eastAsia"/>
        </w:rPr>
        <w:t>对有机</w:t>
      </w:r>
      <w:r>
        <w:t>废气的处理方法主要有冷凝法、</w:t>
      </w:r>
      <w:r>
        <w:rPr>
          <w:rFonts w:hint="eastAsia"/>
        </w:rPr>
        <w:t>吸收法、</w:t>
      </w:r>
      <w:r>
        <w:t>吸附法和焚烧法等。</w:t>
      </w:r>
    </w:p>
    <w:p w:rsidR="004E3021" w:rsidRDefault="00606E48">
      <w:pPr>
        <w:ind w:firstLine="480"/>
      </w:pPr>
      <w:r>
        <w:t>1</w:t>
      </w:r>
      <w:r>
        <w:rPr>
          <w:rFonts w:hint="eastAsia"/>
        </w:rPr>
        <w:t>）冷凝法</w:t>
      </w:r>
    </w:p>
    <w:p w:rsidR="004E3021" w:rsidRDefault="00606E48">
      <w:pPr>
        <w:ind w:firstLine="480"/>
      </w:pPr>
      <w:r>
        <w:rPr>
          <w:rFonts w:hint="eastAsia"/>
        </w:rPr>
        <w:t>主要是利用物质在不同温度下具有不同饱和蒸汽压这一物理性质，采用降低系统温度或提高系统压力的方法，使处于蒸汽状态的污染物冷凝并从废气中分离出来的过程。</w:t>
      </w:r>
    </w:p>
    <w:p w:rsidR="004E3021" w:rsidRDefault="00606E48">
      <w:pPr>
        <w:ind w:firstLine="480"/>
      </w:pPr>
      <w:r>
        <w:t>2</w:t>
      </w:r>
      <w:r>
        <w:rPr>
          <w:rFonts w:hint="eastAsia"/>
        </w:rPr>
        <w:t>）吸收法</w:t>
      </w:r>
    </w:p>
    <w:p w:rsidR="004E3021" w:rsidRDefault="00606E48">
      <w:pPr>
        <w:ind w:firstLine="480"/>
      </w:pPr>
      <w:r>
        <w:rPr>
          <w:rFonts w:hint="eastAsia"/>
        </w:rPr>
        <w:t>吸收净化法是化工废气治理方法中一种重要的、常用的方法，它是利用废气中各混合组分在选定的吸收剂中溶解度不同，或者其中某一种或多种组分与吸收剂中活性组分</w:t>
      </w:r>
      <w:r>
        <w:rPr>
          <w:rFonts w:hint="eastAsia"/>
        </w:rPr>
        <w:lastRenderedPageBreak/>
        <w:t>发生化学反应，达到将有害物从废气中分离出来，净化废气的目的一种方法。</w:t>
      </w:r>
    </w:p>
    <w:p w:rsidR="004E3021" w:rsidRDefault="00606E48">
      <w:pPr>
        <w:ind w:firstLine="480"/>
      </w:pPr>
      <w:r>
        <w:rPr>
          <w:rFonts w:hint="eastAsia"/>
        </w:rPr>
        <w:t>吸收过程可分为物理吸收和化学吸收两种。物理吸收的主要分离原理是气态污染物在吸收剂中的不同溶解能力。而化学吸收的主要分离原理是气态污染物与吸收剂中活性组分的选择性反应能力。</w:t>
      </w:r>
    </w:p>
    <w:p w:rsidR="004E3021" w:rsidRDefault="00606E48">
      <w:pPr>
        <w:ind w:firstLine="480"/>
      </w:pPr>
      <w:r>
        <w:t>3</w:t>
      </w:r>
      <w:r>
        <w:rPr>
          <w:rFonts w:hint="eastAsia"/>
        </w:rPr>
        <w:t>）直接燃烧法</w:t>
      </w:r>
    </w:p>
    <w:p w:rsidR="004E3021" w:rsidRDefault="00606E48">
      <w:pPr>
        <w:ind w:firstLine="480"/>
      </w:pPr>
      <w:r>
        <w:rPr>
          <w:rFonts w:hint="eastAsia"/>
        </w:rPr>
        <w:t>直接燃烧法亦称为热氧化法、热力燃烧法。本法的特点：工艺简单、设备投资小；适用高浓度废气治理；对于自身不能燃烧的中低浓度尾气，通常需助燃剂或加热。温度在</w:t>
      </w:r>
      <w:r>
        <w:rPr>
          <w:rFonts w:hint="eastAsia"/>
        </w:rPr>
        <w:t>760~850</w:t>
      </w:r>
      <w:r>
        <w:rPr>
          <w:rFonts w:hint="eastAsia"/>
        </w:rPr>
        <w:t>℃时，其转化率为</w:t>
      </w:r>
      <w:r>
        <w:rPr>
          <w:rFonts w:hint="eastAsia"/>
        </w:rPr>
        <w:t>90%~95%</w:t>
      </w:r>
      <w:r>
        <w:rPr>
          <w:rFonts w:hint="eastAsia"/>
        </w:rPr>
        <w:t>。要达到</w:t>
      </w:r>
      <w:r>
        <w:rPr>
          <w:rFonts w:hint="eastAsia"/>
        </w:rPr>
        <w:t>95%~99%</w:t>
      </w:r>
      <w:r>
        <w:rPr>
          <w:rFonts w:hint="eastAsia"/>
        </w:rPr>
        <w:t>时，一般温度控制在</w:t>
      </w:r>
      <w:r>
        <w:rPr>
          <w:rFonts w:hint="eastAsia"/>
        </w:rPr>
        <w:t>850~1100</w:t>
      </w:r>
      <w:r>
        <w:rPr>
          <w:rFonts w:hint="eastAsia"/>
        </w:rPr>
        <w:t>℃之间。</w:t>
      </w:r>
    </w:p>
    <w:p w:rsidR="004E3021" w:rsidRDefault="00606E48">
      <w:pPr>
        <w:ind w:firstLine="480"/>
      </w:pPr>
      <w:r>
        <w:t>4</w:t>
      </w:r>
      <w:r>
        <w:rPr>
          <w:rFonts w:hint="eastAsia"/>
        </w:rPr>
        <w:t>）催化燃烧法</w:t>
      </w:r>
    </w:p>
    <w:p w:rsidR="004E3021" w:rsidRDefault="00606E48">
      <w:pPr>
        <w:ind w:firstLine="480"/>
      </w:pPr>
      <w:r>
        <w:rPr>
          <w:rFonts w:hint="eastAsia"/>
        </w:rPr>
        <w:t>催化燃烧法是把废气加热到</w:t>
      </w:r>
      <w:r>
        <w:rPr>
          <w:rFonts w:hint="eastAsia"/>
        </w:rPr>
        <w:t>200</w:t>
      </w:r>
      <w:r>
        <w:rPr>
          <w:rFonts w:hint="eastAsia"/>
        </w:rPr>
        <w:t>～</w:t>
      </w:r>
      <w:r>
        <w:rPr>
          <w:rFonts w:hint="eastAsia"/>
        </w:rPr>
        <w:t>300</w:t>
      </w:r>
      <w:r>
        <w:rPr>
          <w:rFonts w:hint="eastAsia"/>
        </w:rPr>
        <w:t>℃经过催化床催化燃烧转化成无害无臭的二氧化碳和水，达到净化目的。该法适用于高温、中高浓度的有机废气治理。该法是治理有机废气的有效方法之一，但对于低浓度、大风量的有机废气治理仍存在投资大、运行成本高的缺点。</w:t>
      </w:r>
    </w:p>
    <w:p w:rsidR="004E3021" w:rsidRDefault="00606E48">
      <w:pPr>
        <w:ind w:firstLine="480"/>
      </w:pPr>
      <w:r>
        <w:t>5</w:t>
      </w:r>
      <w:r>
        <w:rPr>
          <w:rFonts w:hint="eastAsia"/>
        </w:rPr>
        <w:t>）吸附法</w:t>
      </w:r>
    </w:p>
    <w:p w:rsidR="004E3021" w:rsidRDefault="00606E48">
      <w:pPr>
        <w:ind w:firstLine="480"/>
      </w:pPr>
      <w:r>
        <w:rPr>
          <w:rFonts w:hint="eastAsia"/>
        </w:rPr>
        <w:t>有机废气通过活性炭的吸附，可达到</w:t>
      </w:r>
      <w:r>
        <w:rPr>
          <w:rFonts w:hint="eastAsia"/>
        </w:rPr>
        <w:t>90%</w:t>
      </w:r>
      <w:r>
        <w:rPr>
          <w:rFonts w:hint="eastAsia"/>
        </w:rPr>
        <w:t>的净化率，设备简单、投资小。例如，对于三苯废气，活性炭达到饱和时吸附量约</w:t>
      </w:r>
      <w:r>
        <w:rPr>
          <w:rFonts w:hint="eastAsia"/>
        </w:rPr>
        <w:t>35%</w:t>
      </w:r>
      <w:r>
        <w:rPr>
          <w:rFonts w:hint="eastAsia"/>
        </w:rPr>
        <w:t>，应用于净化设备可取</w:t>
      </w:r>
      <w:r>
        <w:rPr>
          <w:rFonts w:hint="eastAsia"/>
        </w:rPr>
        <w:t>20</w:t>
      </w:r>
      <w:r>
        <w:rPr>
          <w:rFonts w:hint="eastAsia"/>
        </w:rPr>
        <w:t>～</w:t>
      </w:r>
      <w:r>
        <w:rPr>
          <w:rFonts w:hint="eastAsia"/>
        </w:rPr>
        <w:t>25%</w:t>
      </w:r>
      <w:r>
        <w:rPr>
          <w:rFonts w:hint="eastAsia"/>
        </w:rPr>
        <w:t>的吸附量，即每吨活性炭可吸附</w:t>
      </w:r>
      <w:r>
        <w:rPr>
          <w:rFonts w:hint="eastAsia"/>
        </w:rPr>
        <w:t>200</w:t>
      </w:r>
      <w:r>
        <w:rPr>
          <w:rFonts w:hint="eastAsia"/>
        </w:rPr>
        <w:t>～</w:t>
      </w:r>
      <w:r>
        <w:rPr>
          <w:rFonts w:hint="eastAsia"/>
        </w:rPr>
        <w:t>250kg</w:t>
      </w:r>
      <w:r>
        <w:rPr>
          <w:rFonts w:hint="eastAsia"/>
        </w:rPr>
        <w:t>的“三苯”气体。由于系统不能对吸附饱和的活性炭进行再生，要求经常更换活性炭以保证净化效果，导致装卸、运输等过程中造成二次污染，并且经常更换的活性炭需要量很大，材料损耗大，运行费用相当高。</w:t>
      </w:r>
    </w:p>
    <w:p w:rsidR="004E3021" w:rsidRDefault="00606E48">
      <w:pPr>
        <w:ind w:firstLine="480"/>
      </w:pPr>
      <w:r>
        <w:t>6</w:t>
      </w:r>
      <w:r>
        <w:rPr>
          <w:rFonts w:hint="eastAsia"/>
        </w:rPr>
        <w:t>）蓄热式氧化炉（</w:t>
      </w:r>
      <w:r>
        <w:rPr>
          <w:rFonts w:hint="eastAsia"/>
        </w:rPr>
        <w:t>RTO</w:t>
      </w:r>
      <w:r>
        <w:rPr>
          <w:rFonts w:hint="eastAsia"/>
        </w:rPr>
        <w:t>）</w:t>
      </w:r>
    </w:p>
    <w:p w:rsidR="004E3021" w:rsidRDefault="00606E48">
      <w:pPr>
        <w:ind w:firstLine="480"/>
      </w:pPr>
      <w:r>
        <w:t>蓄热式氧化炉（</w:t>
      </w:r>
      <w:r>
        <w:t>RTO</w:t>
      </w:r>
      <w:r>
        <w:t>）技术是一种工艺简单、占地面积小、运行费用低的低浓度有机废气处理系统，该设备主要采用了先进的热交换设计技术和新型陶瓷蓄热材料，其独特设计的高效先进换热系统保证了燃烧热量的有效回收，在大流量低浓度有机废气净化领域具有很大的优势。系统工作时首先把有机废气加热到</w:t>
      </w:r>
      <w:r>
        <w:t>800</w:t>
      </w:r>
      <w:r>
        <w:rPr>
          <w:rFonts w:hint="eastAsia"/>
        </w:rPr>
        <w:t>℃</w:t>
      </w:r>
      <w:r>
        <w:t>以上，使废气中的</w:t>
      </w:r>
      <w:r>
        <w:t>VOC</w:t>
      </w:r>
      <w:r>
        <w:t>在氧化室氧化分解成</w:t>
      </w:r>
      <w:r>
        <w:t>CO</w:t>
      </w:r>
      <w:r>
        <w:rPr>
          <w:vertAlign w:val="subscript"/>
        </w:rPr>
        <w:t>2</w:t>
      </w:r>
      <w:r>
        <w:t>和</w:t>
      </w:r>
      <w:r>
        <w:t>H</w:t>
      </w:r>
      <w:r>
        <w:rPr>
          <w:vertAlign w:val="subscript"/>
        </w:rPr>
        <w:t>2</w:t>
      </w:r>
      <w:r>
        <w:t>O</w:t>
      </w:r>
      <w:r>
        <w:t>。氧化产生的高温气体流经特制的陶瓷蓄热体，使陶瓷体升温而</w:t>
      </w:r>
      <w:r>
        <w:t>“</w:t>
      </w:r>
      <w:r>
        <w:t>蓄热</w:t>
      </w:r>
      <w:r>
        <w:t>”</w:t>
      </w:r>
      <w:r>
        <w:t>，此</w:t>
      </w:r>
      <w:r>
        <w:t>“</w:t>
      </w:r>
      <w:r>
        <w:t>蓄热</w:t>
      </w:r>
      <w:r>
        <w:t>”</w:t>
      </w:r>
      <w:r>
        <w:t>用于预热后续进入的有机废气，从而节省使废气升温的燃料消耗。</w:t>
      </w:r>
      <w:r>
        <w:t>RTO</w:t>
      </w:r>
      <w:r>
        <w:t>炉主要有多床式和旋转式两大类，多床式</w:t>
      </w:r>
      <w:r>
        <w:t>RTO</w:t>
      </w:r>
      <w:r>
        <w:t>炉又分为两床式和三床式两种，由于两床式</w:t>
      </w:r>
      <w:r>
        <w:t>RTO</w:t>
      </w:r>
      <w:r>
        <w:t>炉工作过程中，部分残留在系统和管路中的废气未净化完全便进行排放，从而影响了总体净化效率，两床式净化效率通常为</w:t>
      </w:r>
      <w:r>
        <w:t>95%</w:t>
      </w:r>
      <w:r>
        <w:t>，三床式通常可达</w:t>
      </w:r>
      <w:r>
        <w:lastRenderedPageBreak/>
        <w:t>99%</w:t>
      </w:r>
      <w:r>
        <w:t>。</w:t>
      </w:r>
    </w:p>
    <w:p w:rsidR="004E3021" w:rsidRDefault="00606E48">
      <w:pPr>
        <w:ind w:firstLine="480"/>
      </w:pPr>
      <w:r>
        <w:rPr>
          <w:rFonts w:hint="eastAsia"/>
        </w:rPr>
        <w:t>本项目</w:t>
      </w:r>
      <w:r>
        <w:t>有机废气</w:t>
      </w:r>
      <w:r>
        <w:rPr>
          <w:rFonts w:hint="eastAsia"/>
        </w:rPr>
        <w:t>采用</w:t>
      </w:r>
      <w:r>
        <w:rPr>
          <w:rFonts w:asciiTheme="minorEastAsia" w:eastAsiaTheme="minorEastAsia" w:hAnsiTheme="minorEastAsia" w:hint="eastAsia"/>
        </w:rPr>
        <w:t>“两级深冷</w:t>
      </w:r>
      <w:r>
        <w:rPr>
          <w:rFonts w:asciiTheme="minorEastAsia" w:eastAsiaTheme="minorEastAsia" w:hAnsiTheme="minorEastAsia"/>
        </w:rPr>
        <w:t>+</w:t>
      </w:r>
      <w:r>
        <w:rPr>
          <w:rFonts w:asciiTheme="minorEastAsia" w:eastAsiaTheme="minorEastAsia" w:hAnsiTheme="minorEastAsia" w:hint="eastAsia"/>
        </w:rPr>
        <w:t>一级</w:t>
      </w:r>
      <w:r w:rsidR="00273E24">
        <w:rPr>
          <w:rFonts w:asciiTheme="minorEastAsia" w:eastAsiaTheme="minorEastAsia" w:hAnsiTheme="minorEastAsia" w:hint="eastAsia"/>
        </w:rPr>
        <w:t>水洗</w:t>
      </w:r>
      <w:r>
        <w:rPr>
          <w:rFonts w:asciiTheme="minorEastAsia" w:eastAsiaTheme="minorEastAsia" w:hAnsiTheme="minorEastAsia" w:hint="eastAsia"/>
        </w:rPr>
        <w:t>”组合和</w:t>
      </w:r>
      <w:r>
        <w:rPr>
          <w:rFonts w:asciiTheme="minorEastAsia" w:eastAsiaTheme="minorEastAsia" w:hAnsiTheme="minorEastAsia"/>
        </w:rPr>
        <w:t>“</w:t>
      </w:r>
      <w:r w:rsidR="00273E24">
        <w:rPr>
          <w:rFonts w:asciiTheme="minorEastAsia" w:eastAsiaTheme="minorEastAsia" w:hAnsiTheme="minorEastAsia" w:hint="eastAsia"/>
        </w:rPr>
        <w:t>一</w:t>
      </w:r>
      <w:r>
        <w:rPr>
          <w:rFonts w:asciiTheme="minorEastAsia" w:eastAsiaTheme="minorEastAsia" w:hAnsiTheme="minorEastAsia" w:hint="eastAsia"/>
        </w:rPr>
        <w:t>级深冷</w:t>
      </w:r>
      <w:r>
        <w:rPr>
          <w:rFonts w:asciiTheme="minorEastAsia" w:eastAsiaTheme="minorEastAsia" w:hAnsiTheme="minorEastAsia"/>
        </w:rPr>
        <w:t>+</w:t>
      </w:r>
      <w:r w:rsidR="00A04339">
        <w:rPr>
          <w:rFonts w:asciiTheme="minorEastAsia" w:eastAsiaTheme="minorEastAsia" w:hAnsiTheme="minorEastAsia" w:hint="eastAsia"/>
        </w:rPr>
        <w:t>二</w:t>
      </w:r>
      <w:r>
        <w:rPr>
          <w:rFonts w:asciiTheme="minorEastAsia" w:eastAsiaTheme="minorEastAsia" w:hAnsiTheme="minorEastAsia" w:hint="eastAsia"/>
        </w:rPr>
        <w:t>级</w:t>
      </w:r>
      <w:r>
        <w:rPr>
          <w:rFonts w:asciiTheme="minorEastAsia" w:eastAsiaTheme="minorEastAsia" w:hAnsiTheme="minorEastAsia"/>
        </w:rPr>
        <w:t>活性</w:t>
      </w:r>
      <w:r>
        <w:rPr>
          <w:rFonts w:asciiTheme="minorEastAsia" w:eastAsiaTheme="minorEastAsia" w:hAnsiTheme="minorEastAsia" w:hint="eastAsia"/>
        </w:rPr>
        <w:t>炭</w:t>
      </w:r>
      <w:r>
        <w:rPr>
          <w:rFonts w:asciiTheme="minorEastAsia" w:eastAsiaTheme="minorEastAsia" w:hAnsiTheme="minorEastAsia"/>
        </w:rPr>
        <w:t>吸附”</w:t>
      </w:r>
      <w:r>
        <w:rPr>
          <w:rFonts w:asciiTheme="minorEastAsia" w:eastAsiaTheme="minorEastAsia" w:hAnsiTheme="minorEastAsia" w:hint="eastAsia"/>
        </w:rPr>
        <w:t>组合</w:t>
      </w:r>
      <w:r>
        <w:rPr>
          <w:rFonts w:asciiTheme="minorEastAsia" w:eastAsiaTheme="minorEastAsia" w:hAnsiTheme="minorEastAsia"/>
        </w:rPr>
        <w:t>处理</w:t>
      </w:r>
      <w:r>
        <w:rPr>
          <w:rFonts w:asciiTheme="minorEastAsia" w:eastAsiaTheme="minorEastAsia" w:hAnsiTheme="minorEastAsia" w:hint="eastAsia"/>
        </w:rPr>
        <w:t>技术</w:t>
      </w:r>
      <w:r>
        <w:rPr>
          <w:rFonts w:asciiTheme="minorEastAsia" w:eastAsiaTheme="minorEastAsia" w:hAnsiTheme="minorEastAsia"/>
        </w:rPr>
        <w:t>，</w:t>
      </w:r>
      <w:r>
        <w:rPr>
          <w:rFonts w:asciiTheme="minorEastAsia" w:eastAsiaTheme="minorEastAsia" w:hAnsiTheme="minorEastAsia" w:hint="eastAsia"/>
        </w:rPr>
        <w:t>对照</w:t>
      </w:r>
      <w:r>
        <w:rPr>
          <w:rFonts w:ascii="宋体" w:hAnsi="宋体" w:hint="eastAsia"/>
        </w:rPr>
        <w:t>《排污许可证申请与核发技术规范 石化工业》</w:t>
      </w:r>
      <w:r>
        <w:t>（</w:t>
      </w:r>
      <w:r>
        <w:t>HJ853-2017</w:t>
      </w:r>
      <w:r>
        <w:t>）</w:t>
      </w:r>
      <w:r>
        <w:rPr>
          <w:rFonts w:hint="eastAsia"/>
        </w:rPr>
        <w:t>中</w:t>
      </w:r>
      <w:r>
        <w:t>附录</w:t>
      </w:r>
      <w:r>
        <w:t>A.1</w:t>
      </w:r>
      <w:r>
        <w:t>中</w:t>
      </w:r>
      <w:r>
        <w:rPr>
          <w:rFonts w:hint="eastAsia"/>
        </w:rPr>
        <w:t>废气治理</w:t>
      </w:r>
      <w:r>
        <w:t>可行技术</w:t>
      </w:r>
      <w:r>
        <w:rPr>
          <w:rFonts w:hint="eastAsia"/>
        </w:rPr>
        <w:t>表</w:t>
      </w:r>
      <w:r>
        <w:t>，</w:t>
      </w:r>
      <w:r>
        <w:rPr>
          <w:rFonts w:hint="eastAsia"/>
        </w:rPr>
        <w:t>本项目</w:t>
      </w:r>
      <w:r>
        <w:t>有机废气治理技术</w:t>
      </w:r>
      <w:r>
        <w:rPr>
          <w:rFonts w:hint="eastAsia"/>
        </w:rPr>
        <w:t>属于</w:t>
      </w:r>
      <w:r>
        <w:t>可行技术。</w:t>
      </w:r>
    </w:p>
    <w:p w:rsidR="004E3021" w:rsidRDefault="00606E48">
      <w:pPr>
        <w:ind w:firstLine="480"/>
      </w:pPr>
      <w:r>
        <w:rPr>
          <w:rFonts w:hint="eastAsia"/>
        </w:rPr>
        <w:t>类比同类项目</w:t>
      </w:r>
      <w:r>
        <w:t>，有机废气</w:t>
      </w:r>
      <w:r>
        <w:rPr>
          <w:rFonts w:hint="eastAsia"/>
        </w:rPr>
        <w:t>经</w:t>
      </w:r>
      <w:r w:rsidR="00273E24">
        <w:rPr>
          <w:rFonts w:asciiTheme="minorEastAsia" w:eastAsiaTheme="minorEastAsia" w:hAnsiTheme="minorEastAsia" w:hint="eastAsia"/>
        </w:rPr>
        <w:t>“两级深冷</w:t>
      </w:r>
      <w:r w:rsidR="00273E24">
        <w:rPr>
          <w:rFonts w:asciiTheme="minorEastAsia" w:eastAsiaTheme="minorEastAsia" w:hAnsiTheme="minorEastAsia"/>
        </w:rPr>
        <w:t>+</w:t>
      </w:r>
      <w:r w:rsidR="00273E24">
        <w:rPr>
          <w:rFonts w:asciiTheme="minorEastAsia" w:eastAsiaTheme="minorEastAsia" w:hAnsiTheme="minorEastAsia" w:hint="eastAsia"/>
        </w:rPr>
        <w:t>一级水洗”组合和</w:t>
      </w:r>
      <w:r w:rsidR="00273E24">
        <w:rPr>
          <w:rFonts w:asciiTheme="minorEastAsia" w:eastAsiaTheme="minorEastAsia" w:hAnsiTheme="minorEastAsia"/>
        </w:rPr>
        <w:t>“</w:t>
      </w:r>
      <w:r w:rsidR="00273E24">
        <w:rPr>
          <w:rFonts w:asciiTheme="minorEastAsia" w:eastAsiaTheme="minorEastAsia" w:hAnsiTheme="minorEastAsia" w:hint="eastAsia"/>
        </w:rPr>
        <w:t>一级深冷</w:t>
      </w:r>
      <w:r w:rsidR="00273E24">
        <w:rPr>
          <w:rFonts w:asciiTheme="minorEastAsia" w:eastAsiaTheme="minorEastAsia" w:hAnsiTheme="minorEastAsia"/>
        </w:rPr>
        <w:t>+</w:t>
      </w:r>
      <w:r w:rsidR="00A04339">
        <w:rPr>
          <w:rFonts w:asciiTheme="minorEastAsia" w:eastAsiaTheme="minorEastAsia" w:hAnsiTheme="minorEastAsia" w:hint="eastAsia"/>
        </w:rPr>
        <w:t>二</w:t>
      </w:r>
      <w:r w:rsidR="00273E24">
        <w:rPr>
          <w:rFonts w:asciiTheme="minorEastAsia" w:eastAsiaTheme="minorEastAsia" w:hAnsiTheme="minorEastAsia" w:hint="eastAsia"/>
        </w:rPr>
        <w:t>级</w:t>
      </w:r>
      <w:r w:rsidR="00273E24">
        <w:rPr>
          <w:rFonts w:asciiTheme="minorEastAsia" w:eastAsiaTheme="minorEastAsia" w:hAnsiTheme="minorEastAsia"/>
        </w:rPr>
        <w:t>活性</w:t>
      </w:r>
      <w:r w:rsidR="00273E24">
        <w:rPr>
          <w:rFonts w:asciiTheme="minorEastAsia" w:eastAsiaTheme="minorEastAsia" w:hAnsiTheme="minorEastAsia" w:hint="eastAsia"/>
        </w:rPr>
        <w:t>炭</w:t>
      </w:r>
      <w:r w:rsidR="00273E24">
        <w:rPr>
          <w:rFonts w:asciiTheme="minorEastAsia" w:eastAsiaTheme="minorEastAsia" w:hAnsiTheme="minorEastAsia"/>
        </w:rPr>
        <w:t>吸附”</w:t>
      </w:r>
      <w:r>
        <w:rPr>
          <w:rFonts w:hint="eastAsia"/>
        </w:rPr>
        <w:t>；有机废气中各类污染物排放速率、排放浓度均可以满足</w:t>
      </w:r>
      <w:r>
        <w:rPr>
          <w:rFonts w:ascii="宋体" w:hAnsi="宋体" w:hint="eastAsia"/>
        </w:rPr>
        <w:t>《大气污染物综合排放标准》（</w:t>
      </w:r>
      <w:r>
        <w:rPr>
          <w:rFonts w:hint="eastAsia"/>
        </w:rPr>
        <w:t>G</w:t>
      </w:r>
      <w:r>
        <w:t>B16297-1996</w:t>
      </w:r>
      <w:r>
        <w:rPr>
          <w:rFonts w:ascii="宋体" w:hAnsi="宋体" w:hint="eastAsia"/>
        </w:rPr>
        <w:t>）</w:t>
      </w:r>
      <w:r>
        <w:rPr>
          <w:rFonts w:hint="eastAsia"/>
        </w:rPr>
        <w:t>规定的排放限值。</w:t>
      </w:r>
    </w:p>
    <w:p w:rsidR="004E3021" w:rsidRDefault="00606E48">
      <w:pPr>
        <w:ind w:firstLine="480"/>
      </w:pPr>
      <w:r>
        <w:rPr>
          <w:rFonts w:hint="eastAsia"/>
        </w:rPr>
        <w:t>（</w:t>
      </w:r>
      <w:r>
        <w:t>2</w:t>
      </w:r>
      <w:r>
        <w:rPr>
          <w:rFonts w:hint="eastAsia"/>
        </w:rPr>
        <w:t>）含氨</w:t>
      </w:r>
      <w:r>
        <w:t>废气</w:t>
      </w:r>
      <w:r>
        <w:rPr>
          <w:rFonts w:hint="eastAsia"/>
        </w:rPr>
        <w:t>处理方案</w:t>
      </w:r>
    </w:p>
    <w:p w:rsidR="004E3021" w:rsidRDefault="00606E48">
      <w:pPr>
        <w:ind w:firstLine="480"/>
      </w:pPr>
      <w:r>
        <w:t>通过查阅文献</w:t>
      </w:r>
      <w:r>
        <w:rPr>
          <w:rFonts w:hint="eastAsia"/>
        </w:rPr>
        <w:t>，对</w:t>
      </w:r>
      <w:r>
        <w:t>含氨废气</w:t>
      </w:r>
      <w:r>
        <w:rPr>
          <w:rFonts w:hint="eastAsia"/>
        </w:rPr>
        <w:t>的</w:t>
      </w:r>
      <w:r>
        <w:t>处理，国内</w:t>
      </w:r>
      <w:r>
        <w:rPr>
          <w:rFonts w:hint="eastAsia"/>
        </w:rPr>
        <w:t>现有</w:t>
      </w:r>
      <w:r>
        <w:t>主要技术为</w:t>
      </w:r>
      <w:r>
        <w:rPr>
          <w:rFonts w:hint="eastAsia"/>
        </w:rPr>
        <w:t>吸收法和催化</w:t>
      </w:r>
      <w:r>
        <w:t>分解</w:t>
      </w:r>
      <w:r>
        <w:rPr>
          <w:rFonts w:hint="eastAsia"/>
        </w:rPr>
        <w:t>等</w:t>
      </w:r>
      <w:r>
        <w:t>。</w:t>
      </w:r>
    </w:p>
    <w:p w:rsidR="004E3021" w:rsidRDefault="00606E48">
      <w:pPr>
        <w:ind w:firstLine="480"/>
      </w:pPr>
      <w:r>
        <w:rPr>
          <w:rFonts w:hint="eastAsia"/>
        </w:rPr>
        <w:t>1</w:t>
      </w:r>
      <w:r>
        <w:rPr>
          <w:rFonts w:hint="eastAsia"/>
        </w:rPr>
        <w:t>）吸收法</w:t>
      </w:r>
    </w:p>
    <w:p w:rsidR="004E3021" w:rsidRDefault="00606E48">
      <w:pPr>
        <w:ind w:firstLine="480"/>
      </w:pPr>
      <w:r>
        <w:t>氨</w:t>
      </w:r>
      <w:r>
        <w:rPr>
          <w:rFonts w:hint="eastAsia"/>
        </w:rPr>
        <w:t>气极易溶于水，常温常压下</w:t>
      </w:r>
      <w:r>
        <w:rPr>
          <w:rFonts w:hint="eastAsia"/>
        </w:rPr>
        <w:t>1</w:t>
      </w:r>
      <w:r>
        <w:rPr>
          <w:rFonts w:hint="eastAsia"/>
        </w:rPr>
        <w:t>体积水可溶解</w:t>
      </w:r>
      <w:r>
        <w:rPr>
          <w:rFonts w:hint="eastAsia"/>
        </w:rPr>
        <w:t>700</w:t>
      </w:r>
      <w:r>
        <w:rPr>
          <w:rFonts w:hint="eastAsia"/>
        </w:rPr>
        <w:t>倍体积氨，可</w:t>
      </w:r>
      <w:r>
        <w:t>通过水洗对</w:t>
      </w:r>
      <w:r>
        <w:rPr>
          <w:rFonts w:hint="eastAsia"/>
        </w:rPr>
        <w:t>含氨</w:t>
      </w:r>
      <w:r>
        <w:t>废气进行吸收处理。</w:t>
      </w:r>
    </w:p>
    <w:p w:rsidR="004E3021" w:rsidRDefault="00606E48">
      <w:pPr>
        <w:ind w:firstLine="480"/>
      </w:pPr>
      <w:r>
        <w:rPr>
          <w:rFonts w:hint="eastAsia"/>
        </w:rPr>
        <w:t>2</w:t>
      </w:r>
      <w:r>
        <w:rPr>
          <w:rFonts w:hint="eastAsia"/>
        </w:rPr>
        <w:t>）</w:t>
      </w:r>
      <w:r>
        <w:t>催化分解</w:t>
      </w:r>
    </w:p>
    <w:p w:rsidR="004E3021" w:rsidRDefault="00606E48">
      <w:pPr>
        <w:ind w:firstLine="480"/>
      </w:pPr>
      <w:r>
        <w:rPr>
          <w:rFonts w:hint="eastAsia"/>
        </w:rPr>
        <w:t>氨</w:t>
      </w:r>
      <w:r>
        <w:t>催化分解技术是在催化剂的作用下将氨彻底分解为</w:t>
      </w:r>
      <w:r>
        <w:t>N</w:t>
      </w:r>
      <w:r>
        <w:t>和</w:t>
      </w:r>
      <w:r>
        <w:t>H</w:t>
      </w:r>
      <w:r>
        <w:t>，是有效脱除氨和减去环境污染的可行方法。</w:t>
      </w:r>
    </w:p>
    <w:p w:rsidR="004E3021" w:rsidRDefault="00606E48">
      <w:pPr>
        <w:ind w:firstLine="480"/>
      </w:pPr>
      <w:r>
        <w:rPr>
          <w:rFonts w:ascii="宋体" w:hAnsi="宋体" w:hint="eastAsia"/>
        </w:rPr>
        <w:t>本项目含氨</w:t>
      </w:r>
      <w:r>
        <w:rPr>
          <w:rFonts w:ascii="宋体" w:hAnsi="宋体"/>
        </w:rPr>
        <w:t>废气采用</w:t>
      </w:r>
      <w:r>
        <w:rPr>
          <w:rFonts w:asciiTheme="minorEastAsia" w:eastAsiaTheme="minorEastAsia" w:hAnsiTheme="minorEastAsia"/>
        </w:rPr>
        <w:t>“</w:t>
      </w:r>
      <w:r>
        <w:rPr>
          <w:rFonts w:asciiTheme="minorEastAsia" w:eastAsiaTheme="minorEastAsia" w:hAnsiTheme="minorEastAsia" w:hint="eastAsia"/>
        </w:rPr>
        <w:t>一级水洗</w:t>
      </w:r>
      <w:r>
        <w:rPr>
          <w:rFonts w:asciiTheme="minorEastAsia" w:eastAsiaTheme="minorEastAsia" w:hAnsiTheme="minorEastAsia"/>
        </w:rPr>
        <w:t>+</w:t>
      </w:r>
      <w:r>
        <w:rPr>
          <w:rFonts w:asciiTheme="minorEastAsia" w:eastAsiaTheme="minorEastAsia" w:hAnsiTheme="minorEastAsia" w:hint="eastAsia"/>
        </w:rPr>
        <w:t>一级酸</w:t>
      </w:r>
      <w:r>
        <w:rPr>
          <w:rFonts w:asciiTheme="minorEastAsia" w:eastAsiaTheme="minorEastAsia" w:hAnsiTheme="minorEastAsia"/>
        </w:rPr>
        <w:t>洗”</w:t>
      </w:r>
      <w:r>
        <w:rPr>
          <w:rFonts w:asciiTheme="minorEastAsia" w:eastAsiaTheme="minorEastAsia" w:hAnsiTheme="minorEastAsia" w:hint="eastAsia"/>
        </w:rPr>
        <w:t>组合处理</w:t>
      </w:r>
      <w:r>
        <w:rPr>
          <w:rFonts w:asciiTheme="minorEastAsia" w:eastAsiaTheme="minorEastAsia" w:hAnsiTheme="minorEastAsia"/>
        </w:rPr>
        <w:t>工艺，</w:t>
      </w:r>
      <w:r>
        <w:rPr>
          <w:rFonts w:asciiTheme="minorEastAsia" w:eastAsiaTheme="minorEastAsia" w:hAnsiTheme="minorEastAsia" w:hint="eastAsia"/>
        </w:rPr>
        <w:t>对照</w:t>
      </w:r>
      <w:r>
        <w:rPr>
          <w:rFonts w:ascii="宋体" w:hAnsi="宋体" w:hint="eastAsia"/>
        </w:rPr>
        <w:t>《排污许可证申请与核发技术规范 无机</w:t>
      </w:r>
      <w:r>
        <w:rPr>
          <w:rFonts w:ascii="宋体" w:hAnsi="宋体"/>
        </w:rPr>
        <w:t>化学</w:t>
      </w:r>
      <w:r>
        <w:rPr>
          <w:rFonts w:ascii="宋体" w:hAnsi="宋体" w:hint="eastAsia"/>
        </w:rPr>
        <w:t>工业》</w:t>
      </w:r>
      <w:r>
        <w:t>（</w:t>
      </w:r>
      <w:r>
        <w:t>HJ1035-2019</w:t>
      </w:r>
      <w:r>
        <w:t>）</w:t>
      </w:r>
      <w:r>
        <w:rPr>
          <w:rFonts w:hint="eastAsia"/>
        </w:rPr>
        <w:t>中中</w:t>
      </w:r>
      <w:r>
        <w:t>附录</w:t>
      </w:r>
      <w:r>
        <w:t>A.1</w:t>
      </w:r>
      <w:r>
        <w:t>中</w:t>
      </w:r>
      <w:r>
        <w:rPr>
          <w:rFonts w:hint="eastAsia"/>
        </w:rPr>
        <w:t>废气治理</w:t>
      </w:r>
      <w:r>
        <w:t>可行技术</w:t>
      </w:r>
      <w:r>
        <w:rPr>
          <w:rFonts w:hint="eastAsia"/>
        </w:rPr>
        <w:t>表</w:t>
      </w:r>
      <w:r>
        <w:t>，</w:t>
      </w:r>
      <w:r>
        <w:rPr>
          <w:rFonts w:hint="eastAsia"/>
        </w:rPr>
        <w:t>本项目含氨</w:t>
      </w:r>
      <w:r>
        <w:t>废气治理技术</w:t>
      </w:r>
      <w:r>
        <w:rPr>
          <w:rFonts w:hint="eastAsia"/>
        </w:rPr>
        <w:t>属于</w:t>
      </w:r>
      <w:r>
        <w:t>可行技术。</w:t>
      </w:r>
    </w:p>
    <w:p w:rsidR="004E3021" w:rsidRDefault="00606E48">
      <w:pPr>
        <w:ind w:firstLine="480"/>
      </w:pPr>
      <w:r>
        <w:rPr>
          <w:rFonts w:hint="eastAsia"/>
        </w:rPr>
        <w:t>类比同类项目</w:t>
      </w:r>
      <w:r>
        <w:t>，</w:t>
      </w:r>
      <w:r>
        <w:rPr>
          <w:rFonts w:hint="eastAsia"/>
        </w:rPr>
        <w:t>含氨</w:t>
      </w:r>
      <w:r>
        <w:t>废气</w:t>
      </w:r>
      <w:r>
        <w:rPr>
          <w:rFonts w:hint="eastAsia"/>
        </w:rPr>
        <w:t>经</w:t>
      </w:r>
      <w:r>
        <w:rPr>
          <w:rFonts w:asciiTheme="minorEastAsia" w:eastAsiaTheme="minorEastAsia" w:hAnsiTheme="minorEastAsia"/>
        </w:rPr>
        <w:t>“</w:t>
      </w:r>
      <w:r>
        <w:rPr>
          <w:rFonts w:asciiTheme="minorEastAsia" w:eastAsiaTheme="minorEastAsia" w:hAnsiTheme="minorEastAsia" w:hint="eastAsia"/>
        </w:rPr>
        <w:t>一级水洗</w:t>
      </w:r>
      <w:r>
        <w:rPr>
          <w:rFonts w:asciiTheme="minorEastAsia" w:eastAsiaTheme="minorEastAsia" w:hAnsiTheme="minorEastAsia"/>
        </w:rPr>
        <w:t>+</w:t>
      </w:r>
      <w:r>
        <w:rPr>
          <w:rFonts w:asciiTheme="minorEastAsia" w:eastAsiaTheme="minorEastAsia" w:hAnsiTheme="minorEastAsia" w:hint="eastAsia"/>
        </w:rPr>
        <w:t>一级酸洗</w:t>
      </w:r>
      <w:r>
        <w:rPr>
          <w:rFonts w:asciiTheme="minorEastAsia" w:eastAsiaTheme="minorEastAsia" w:hAnsiTheme="minorEastAsia"/>
        </w:rPr>
        <w:t>”</w:t>
      </w:r>
      <w:r>
        <w:rPr>
          <w:rFonts w:asciiTheme="minorEastAsia" w:eastAsiaTheme="minorEastAsia" w:hAnsiTheme="minorEastAsia" w:hint="eastAsia"/>
        </w:rPr>
        <w:t>组合处理</w:t>
      </w:r>
      <w:r>
        <w:rPr>
          <w:rFonts w:asciiTheme="minorEastAsia" w:eastAsiaTheme="minorEastAsia" w:hAnsiTheme="minorEastAsia"/>
        </w:rPr>
        <w:t>，</w:t>
      </w:r>
      <w:r>
        <w:rPr>
          <w:rFonts w:asciiTheme="minorEastAsia" w:eastAsiaTheme="minorEastAsia" w:hAnsiTheme="minorEastAsia" w:hint="eastAsia"/>
        </w:rPr>
        <w:t>含氨废气中</w:t>
      </w:r>
      <w:r>
        <w:rPr>
          <w:rFonts w:asciiTheme="minorEastAsia" w:eastAsiaTheme="minorEastAsia" w:hAnsiTheme="minorEastAsia"/>
        </w:rPr>
        <w:t>氨气</w:t>
      </w:r>
      <w:r>
        <w:t>去除效率可达</w:t>
      </w:r>
      <w:r>
        <w:rPr>
          <w:rFonts w:hint="eastAsia"/>
        </w:rPr>
        <w:t>99</w:t>
      </w:r>
      <w:r>
        <w:t>.9%</w:t>
      </w:r>
      <w:r>
        <w:t>，</w:t>
      </w:r>
      <w:r>
        <w:rPr>
          <w:rFonts w:hint="eastAsia"/>
        </w:rPr>
        <w:t>含氨废气中氨气排放速率、排放浓度可以满足</w:t>
      </w:r>
      <w:r>
        <w:rPr>
          <w:rFonts w:ascii="宋体" w:hAnsi="宋体" w:hint="eastAsia"/>
        </w:rPr>
        <w:t>《无机化学</w:t>
      </w:r>
      <w:r>
        <w:rPr>
          <w:rFonts w:ascii="宋体" w:hAnsi="宋体"/>
        </w:rPr>
        <w:t>工业</w:t>
      </w:r>
      <w:r>
        <w:rPr>
          <w:rFonts w:ascii="宋体" w:hAnsi="宋体" w:hint="eastAsia"/>
        </w:rPr>
        <w:t>污染物</w:t>
      </w:r>
      <w:r>
        <w:rPr>
          <w:rFonts w:ascii="宋体" w:hAnsi="宋体"/>
        </w:rPr>
        <w:t>排放</w:t>
      </w:r>
      <w:r>
        <w:rPr>
          <w:rFonts w:ascii="宋体" w:hAnsi="宋体" w:hint="eastAsia"/>
        </w:rPr>
        <w:t>标准》（</w:t>
      </w:r>
      <w:r>
        <w:rPr>
          <w:rFonts w:hint="eastAsia"/>
        </w:rPr>
        <w:t>G</w:t>
      </w:r>
      <w:r>
        <w:t>B31573-2015</w:t>
      </w:r>
      <w:r>
        <w:rPr>
          <w:rFonts w:ascii="宋体" w:hAnsi="宋体" w:hint="eastAsia"/>
        </w:rPr>
        <w:t>）中</w:t>
      </w:r>
      <w:r>
        <w:rPr>
          <w:rFonts w:hint="eastAsia"/>
          <w:szCs w:val="20"/>
        </w:rPr>
        <w:t>表</w:t>
      </w:r>
      <w:r>
        <w:rPr>
          <w:szCs w:val="20"/>
        </w:rPr>
        <w:t>4</w:t>
      </w:r>
      <w:r>
        <w:rPr>
          <w:rFonts w:hint="eastAsia"/>
          <w:szCs w:val="20"/>
        </w:rPr>
        <w:t>中大气污染物</w:t>
      </w:r>
      <w:r>
        <w:rPr>
          <w:szCs w:val="20"/>
        </w:rPr>
        <w:t>特别</w:t>
      </w:r>
      <w:r>
        <w:rPr>
          <w:rFonts w:hint="eastAsia"/>
          <w:szCs w:val="20"/>
        </w:rPr>
        <w:t>排放限值</w:t>
      </w:r>
      <w:r>
        <w:rPr>
          <w:rFonts w:hint="eastAsia"/>
        </w:rPr>
        <w:t>。</w:t>
      </w:r>
    </w:p>
    <w:p w:rsidR="004E3021" w:rsidRDefault="00606E48">
      <w:pPr>
        <w:ind w:firstLine="480"/>
      </w:pPr>
      <w:r>
        <w:rPr>
          <w:rFonts w:hint="eastAsia"/>
        </w:rPr>
        <w:t>（</w:t>
      </w:r>
      <w:r>
        <w:t>3</w:t>
      </w:r>
      <w:r>
        <w:rPr>
          <w:rFonts w:hint="eastAsia"/>
        </w:rPr>
        <w:t>）粉尘</w:t>
      </w:r>
      <w:r>
        <w:t>处理方案</w:t>
      </w:r>
    </w:p>
    <w:p w:rsidR="004E3021" w:rsidRDefault="00606E48">
      <w:pPr>
        <w:ind w:firstLine="480"/>
      </w:pPr>
      <w:r>
        <w:t>通过查阅文献</w:t>
      </w:r>
      <w:r>
        <w:rPr>
          <w:rFonts w:hint="eastAsia"/>
        </w:rPr>
        <w:t>，</w:t>
      </w:r>
      <w:r>
        <w:t>粉尘处理</w:t>
      </w:r>
      <w:r>
        <w:rPr>
          <w:rFonts w:hint="eastAsia"/>
        </w:rPr>
        <w:t>技术可</w:t>
      </w:r>
      <w:r>
        <w:t>分为</w:t>
      </w:r>
      <w:r>
        <w:rPr>
          <w:rFonts w:hint="eastAsia"/>
        </w:rPr>
        <w:t>湿法除尘</w:t>
      </w:r>
      <w:r>
        <w:t>、</w:t>
      </w:r>
      <w:r>
        <w:rPr>
          <w:rFonts w:hint="eastAsia"/>
        </w:rPr>
        <w:t>旋风</w:t>
      </w:r>
      <w:r>
        <w:t>除尘</w:t>
      </w:r>
      <w:r>
        <w:rPr>
          <w:rFonts w:hint="eastAsia"/>
        </w:rPr>
        <w:t>和袋式</w:t>
      </w:r>
      <w:r>
        <w:t>除尘等。</w:t>
      </w:r>
    </w:p>
    <w:p w:rsidR="004E3021" w:rsidRDefault="00606E48">
      <w:pPr>
        <w:ind w:firstLine="480"/>
      </w:pPr>
      <w:r>
        <w:rPr>
          <w:rFonts w:hint="eastAsia"/>
        </w:rPr>
        <w:t>1</w:t>
      </w:r>
      <w:r>
        <w:rPr>
          <w:rFonts w:hint="eastAsia"/>
        </w:rPr>
        <w:t>）</w:t>
      </w:r>
      <w:r>
        <w:t>湿法</w:t>
      </w:r>
      <w:r>
        <w:rPr>
          <w:rFonts w:hint="eastAsia"/>
        </w:rPr>
        <w:t>除尘</w:t>
      </w:r>
    </w:p>
    <w:p w:rsidR="004E3021" w:rsidRDefault="00606E48">
      <w:pPr>
        <w:ind w:firstLine="480"/>
        <w:rPr>
          <w:shd w:val="clear" w:color="auto" w:fill="FFFFFF"/>
        </w:rPr>
      </w:pPr>
      <w:r>
        <w:rPr>
          <w:rFonts w:hint="eastAsia"/>
          <w:shd w:val="clear" w:color="auto" w:fill="FFFFFF"/>
        </w:rPr>
        <w:t>湿法除尘废气与液体（一般为水）密切接触，将污染物从废气中分离出来。它既能净化废气中的固体颗粒污染物，也能脱除气态污染物，同时还能起到气体的降温作用。</w:t>
      </w:r>
    </w:p>
    <w:p w:rsidR="004E3021" w:rsidRDefault="00606E48">
      <w:pPr>
        <w:ind w:firstLine="480"/>
        <w:rPr>
          <w:shd w:val="clear" w:color="auto" w:fill="FFFFFF"/>
        </w:rPr>
      </w:pPr>
      <w:r>
        <w:rPr>
          <w:rFonts w:hint="eastAsia"/>
          <w:shd w:val="clear" w:color="auto" w:fill="FFFFFF"/>
        </w:rPr>
        <w:t>2</w:t>
      </w:r>
      <w:r>
        <w:rPr>
          <w:rFonts w:hint="eastAsia"/>
          <w:shd w:val="clear" w:color="auto" w:fill="FFFFFF"/>
        </w:rPr>
        <w:t>）</w:t>
      </w:r>
      <w:r>
        <w:rPr>
          <w:shd w:val="clear" w:color="auto" w:fill="FFFFFF"/>
        </w:rPr>
        <w:t>旋风除尘</w:t>
      </w:r>
    </w:p>
    <w:p w:rsidR="004E3021" w:rsidRDefault="00606E48">
      <w:pPr>
        <w:ind w:firstLine="480"/>
      </w:pPr>
      <w:r>
        <w:rPr>
          <w:rFonts w:hint="eastAsia"/>
        </w:rPr>
        <w:t>旋风除尘器是利用旋转的含尘气流所产生的离心力，将颗粒污染物从气体中分离出来的过程。</w:t>
      </w:r>
    </w:p>
    <w:p w:rsidR="004E3021" w:rsidRDefault="00606E48">
      <w:pPr>
        <w:ind w:firstLine="480"/>
      </w:pPr>
      <w:r>
        <w:rPr>
          <w:rFonts w:hint="eastAsia"/>
        </w:rPr>
        <w:t>3</w:t>
      </w:r>
      <w:r>
        <w:rPr>
          <w:rFonts w:hint="eastAsia"/>
        </w:rPr>
        <w:t>）袋式</w:t>
      </w:r>
      <w:r>
        <w:t>除尘</w:t>
      </w:r>
    </w:p>
    <w:p w:rsidR="004E3021" w:rsidRDefault="00606E48">
      <w:pPr>
        <w:ind w:firstLine="480"/>
      </w:pPr>
      <w:r>
        <w:rPr>
          <w:rFonts w:hint="eastAsia"/>
        </w:rPr>
        <w:lastRenderedPageBreak/>
        <w:t>袋式除尘器是一种高效干式除尘器。它是依靠纤维滤料做成的滤袋，更主要的是通过滤袋表面上形成的粉尘层来净化气体的。几乎对于一般工业中的所有粉尘，其除尘效率均可能达到</w:t>
      </w:r>
      <w:r>
        <w:rPr>
          <w:rFonts w:hint="eastAsia"/>
        </w:rPr>
        <w:t>99%</w:t>
      </w:r>
      <w:r>
        <w:rPr>
          <w:rFonts w:hint="eastAsia"/>
        </w:rPr>
        <w:t>以上。</w:t>
      </w:r>
    </w:p>
    <w:p w:rsidR="004E3021" w:rsidRDefault="00606E48">
      <w:pPr>
        <w:ind w:firstLine="480"/>
      </w:pPr>
      <w:r>
        <w:rPr>
          <w:rFonts w:hint="eastAsia"/>
        </w:rPr>
        <w:t>本项目</w:t>
      </w:r>
      <w:r>
        <w:t>粉尘处理采用</w:t>
      </w:r>
      <w:r>
        <w:rPr>
          <w:rFonts w:asciiTheme="minorEastAsia" w:eastAsiaTheme="minorEastAsia" w:hAnsiTheme="minorEastAsia"/>
        </w:rPr>
        <w:t>“</w:t>
      </w:r>
      <w:r w:rsidR="00273E24" w:rsidRPr="00273E24">
        <w:rPr>
          <w:rFonts w:asciiTheme="minorEastAsia" w:eastAsiaTheme="minorEastAsia" w:hAnsiTheme="minorEastAsia"/>
        </w:rPr>
        <w:t>过滤罐+一级水洗</w:t>
      </w:r>
      <w:r>
        <w:rPr>
          <w:rFonts w:asciiTheme="minorEastAsia" w:eastAsiaTheme="minorEastAsia" w:hAnsiTheme="minorEastAsia"/>
        </w:rPr>
        <w:t>”</w:t>
      </w:r>
      <w:r w:rsidR="00273E24">
        <w:rPr>
          <w:rFonts w:asciiTheme="minorEastAsia" w:eastAsiaTheme="minorEastAsia" w:hAnsiTheme="minorEastAsia" w:hint="eastAsia"/>
        </w:rPr>
        <w:t>组合</w:t>
      </w:r>
      <w:r>
        <w:rPr>
          <w:rFonts w:asciiTheme="minorEastAsia" w:eastAsiaTheme="minorEastAsia" w:hAnsiTheme="minorEastAsia"/>
        </w:rPr>
        <w:t>“</w:t>
      </w:r>
      <w:r>
        <w:rPr>
          <w:rFonts w:asciiTheme="minorEastAsia" w:eastAsiaTheme="minorEastAsia" w:hAnsiTheme="minorEastAsia" w:hint="eastAsia"/>
        </w:rPr>
        <w:t>布袋除尘</w:t>
      </w:r>
      <w:r>
        <w:rPr>
          <w:rFonts w:asciiTheme="minorEastAsia" w:eastAsiaTheme="minorEastAsia" w:hAnsiTheme="minorEastAsia"/>
        </w:rPr>
        <w:t>+</w:t>
      </w:r>
      <w:r>
        <w:rPr>
          <w:rFonts w:asciiTheme="minorEastAsia" w:eastAsiaTheme="minorEastAsia" w:hAnsiTheme="minorEastAsia" w:hint="eastAsia"/>
        </w:rPr>
        <w:t>一级</w:t>
      </w:r>
      <w:r>
        <w:rPr>
          <w:rFonts w:asciiTheme="minorEastAsia" w:eastAsiaTheme="minorEastAsia" w:hAnsiTheme="minorEastAsia"/>
        </w:rPr>
        <w:t>水洗”</w:t>
      </w:r>
      <w:r>
        <w:rPr>
          <w:rFonts w:asciiTheme="minorEastAsia" w:eastAsiaTheme="minorEastAsia" w:hAnsiTheme="minorEastAsia" w:hint="eastAsia"/>
        </w:rPr>
        <w:t>处理</w:t>
      </w:r>
      <w:r>
        <w:rPr>
          <w:rFonts w:asciiTheme="minorEastAsia" w:eastAsiaTheme="minorEastAsia" w:hAnsiTheme="minorEastAsia"/>
        </w:rPr>
        <w:t>工艺，</w:t>
      </w:r>
      <w:r>
        <w:rPr>
          <w:rFonts w:asciiTheme="minorEastAsia" w:eastAsiaTheme="minorEastAsia" w:hAnsiTheme="minorEastAsia" w:hint="eastAsia"/>
        </w:rPr>
        <w:t>对照</w:t>
      </w:r>
      <w:r>
        <w:rPr>
          <w:rFonts w:ascii="宋体" w:hAnsi="宋体" w:hint="eastAsia"/>
        </w:rPr>
        <w:t>《排污许可证申请与核发技术规范 无机</w:t>
      </w:r>
      <w:r>
        <w:rPr>
          <w:rFonts w:ascii="宋体" w:hAnsi="宋体"/>
        </w:rPr>
        <w:t>化学</w:t>
      </w:r>
      <w:r>
        <w:rPr>
          <w:rFonts w:ascii="宋体" w:hAnsi="宋体" w:hint="eastAsia"/>
        </w:rPr>
        <w:t>工业》</w:t>
      </w:r>
      <w:r>
        <w:t>（</w:t>
      </w:r>
      <w:r>
        <w:t>HJ1035-2019</w:t>
      </w:r>
      <w:r>
        <w:t>）</w:t>
      </w:r>
      <w:r>
        <w:rPr>
          <w:rFonts w:hint="eastAsia"/>
        </w:rPr>
        <w:t>中中</w:t>
      </w:r>
      <w:r>
        <w:t>附录</w:t>
      </w:r>
      <w:r>
        <w:t>A.1</w:t>
      </w:r>
      <w:r>
        <w:t>中</w:t>
      </w:r>
      <w:r>
        <w:rPr>
          <w:rFonts w:hint="eastAsia"/>
        </w:rPr>
        <w:t>废气治理</w:t>
      </w:r>
      <w:r>
        <w:t>可行技术</w:t>
      </w:r>
      <w:r>
        <w:rPr>
          <w:rFonts w:hint="eastAsia"/>
        </w:rPr>
        <w:t>表</w:t>
      </w:r>
      <w:r>
        <w:t>，</w:t>
      </w:r>
      <w:r>
        <w:rPr>
          <w:rFonts w:hint="eastAsia"/>
        </w:rPr>
        <w:t>本项目粉尘</w:t>
      </w:r>
      <w:r>
        <w:t>治理技术</w:t>
      </w:r>
      <w:r>
        <w:rPr>
          <w:rFonts w:hint="eastAsia"/>
        </w:rPr>
        <w:t>属于</w:t>
      </w:r>
      <w:r>
        <w:t>可行技术</w:t>
      </w:r>
      <w:r>
        <w:rPr>
          <w:rFonts w:hint="eastAsia"/>
        </w:rPr>
        <w:t>。</w:t>
      </w:r>
    </w:p>
    <w:p w:rsidR="004E3021" w:rsidRDefault="00606E48">
      <w:pPr>
        <w:ind w:firstLine="480"/>
      </w:pPr>
      <w:r>
        <w:rPr>
          <w:rFonts w:hint="eastAsia"/>
        </w:rPr>
        <w:t>类比同类项目</w:t>
      </w:r>
      <w:r>
        <w:t>，</w:t>
      </w:r>
      <w:r>
        <w:rPr>
          <w:rFonts w:hint="eastAsia"/>
        </w:rPr>
        <w:t>粉尘经</w:t>
      </w:r>
      <w:r>
        <w:rPr>
          <w:rFonts w:asciiTheme="minorEastAsia" w:eastAsiaTheme="minorEastAsia" w:hAnsiTheme="minorEastAsia"/>
        </w:rPr>
        <w:t>“</w:t>
      </w:r>
      <w:r w:rsidR="00273E24" w:rsidRPr="00273E24">
        <w:rPr>
          <w:rFonts w:asciiTheme="minorEastAsia" w:eastAsiaTheme="minorEastAsia" w:hAnsiTheme="minorEastAsia"/>
        </w:rPr>
        <w:t>过滤罐+一级水洗</w:t>
      </w:r>
      <w:r>
        <w:rPr>
          <w:rFonts w:asciiTheme="minorEastAsia" w:eastAsiaTheme="minorEastAsia" w:hAnsiTheme="minorEastAsia"/>
        </w:rPr>
        <w:t>”</w:t>
      </w:r>
      <w:r w:rsidR="00273E24">
        <w:rPr>
          <w:rFonts w:asciiTheme="minorEastAsia" w:eastAsiaTheme="minorEastAsia" w:hAnsiTheme="minorEastAsia" w:hint="eastAsia"/>
        </w:rPr>
        <w:t>组合</w:t>
      </w:r>
      <w:r>
        <w:rPr>
          <w:rFonts w:asciiTheme="minorEastAsia" w:eastAsiaTheme="minorEastAsia" w:hAnsiTheme="minorEastAsia"/>
        </w:rPr>
        <w:t>“</w:t>
      </w:r>
      <w:r>
        <w:rPr>
          <w:rFonts w:asciiTheme="minorEastAsia" w:eastAsiaTheme="minorEastAsia" w:hAnsiTheme="minorEastAsia" w:hint="eastAsia"/>
        </w:rPr>
        <w:t>布袋除尘</w:t>
      </w:r>
      <w:r>
        <w:rPr>
          <w:rFonts w:asciiTheme="minorEastAsia" w:eastAsiaTheme="minorEastAsia" w:hAnsiTheme="minorEastAsia"/>
        </w:rPr>
        <w:t>+</w:t>
      </w:r>
      <w:r>
        <w:rPr>
          <w:rFonts w:asciiTheme="minorEastAsia" w:eastAsiaTheme="minorEastAsia" w:hAnsiTheme="minorEastAsia" w:hint="eastAsia"/>
        </w:rPr>
        <w:t>一级</w:t>
      </w:r>
      <w:r>
        <w:rPr>
          <w:rFonts w:asciiTheme="minorEastAsia" w:eastAsiaTheme="minorEastAsia" w:hAnsiTheme="minorEastAsia"/>
        </w:rPr>
        <w:t>水洗”</w:t>
      </w:r>
      <w:r>
        <w:rPr>
          <w:rFonts w:asciiTheme="minorEastAsia" w:eastAsiaTheme="minorEastAsia" w:hAnsiTheme="minorEastAsia" w:hint="eastAsia"/>
        </w:rPr>
        <w:t>处理</w:t>
      </w:r>
      <w:r>
        <w:rPr>
          <w:rFonts w:asciiTheme="minorEastAsia" w:eastAsiaTheme="minorEastAsia" w:hAnsiTheme="minorEastAsia"/>
        </w:rPr>
        <w:t>，</w:t>
      </w:r>
      <w:r>
        <w:rPr>
          <w:rFonts w:asciiTheme="minorEastAsia" w:eastAsiaTheme="minorEastAsia" w:hAnsiTheme="minorEastAsia" w:hint="eastAsia"/>
        </w:rPr>
        <w:t>粉尘的</w:t>
      </w:r>
      <w:r>
        <w:rPr>
          <w:rFonts w:asciiTheme="minorEastAsia" w:eastAsiaTheme="minorEastAsia" w:hAnsiTheme="minorEastAsia"/>
        </w:rPr>
        <w:t>去</w:t>
      </w:r>
      <w:r>
        <w:t>除效率可达</w:t>
      </w:r>
      <w:r>
        <w:rPr>
          <w:rFonts w:hint="eastAsia"/>
        </w:rPr>
        <w:t>99</w:t>
      </w:r>
      <w:r>
        <w:t>%</w:t>
      </w:r>
      <w:r>
        <w:t>，</w:t>
      </w:r>
      <w:r>
        <w:rPr>
          <w:rFonts w:hint="eastAsia"/>
        </w:rPr>
        <w:t>粉尘排放速率、排放浓度均可以满足</w:t>
      </w:r>
      <w:r>
        <w:rPr>
          <w:rFonts w:ascii="宋体" w:hAnsi="宋体" w:hint="eastAsia"/>
        </w:rPr>
        <w:t>《无机化学</w:t>
      </w:r>
      <w:r>
        <w:rPr>
          <w:rFonts w:ascii="宋体" w:hAnsi="宋体"/>
        </w:rPr>
        <w:t>工业</w:t>
      </w:r>
      <w:r>
        <w:rPr>
          <w:rFonts w:ascii="宋体" w:hAnsi="宋体" w:hint="eastAsia"/>
        </w:rPr>
        <w:t>污染物</w:t>
      </w:r>
      <w:r>
        <w:rPr>
          <w:rFonts w:ascii="宋体" w:hAnsi="宋体"/>
        </w:rPr>
        <w:t>排放</w:t>
      </w:r>
      <w:r>
        <w:rPr>
          <w:rFonts w:ascii="宋体" w:hAnsi="宋体" w:hint="eastAsia"/>
        </w:rPr>
        <w:t>标准》（</w:t>
      </w:r>
      <w:r>
        <w:rPr>
          <w:rFonts w:hint="eastAsia"/>
        </w:rPr>
        <w:t>G</w:t>
      </w:r>
      <w:r>
        <w:t>B31573-2015</w:t>
      </w:r>
      <w:r>
        <w:rPr>
          <w:rFonts w:ascii="宋体" w:hAnsi="宋体" w:hint="eastAsia"/>
        </w:rPr>
        <w:t>）中</w:t>
      </w:r>
      <w:r>
        <w:rPr>
          <w:rFonts w:hint="eastAsia"/>
          <w:szCs w:val="20"/>
        </w:rPr>
        <w:t>表</w:t>
      </w:r>
      <w:r>
        <w:rPr>
          <w:szCs w:val="20"/>
        </w:rPr>
        <w:t>4</w:t>
      </w:r>
      <w:r>
        <w:rPr>
          <w:rFonts w:hint="eastAsia"/>
          <w:szCs w:val="20"/>
        </w:rPr>
        <w:t>中大气污染物</w:t>
      </w:r>
      <w:r>
        <w:rPr>
          <w:szCs w:val="20"/>
        </w:rPr>
        <w:t>特别</w:t>
      </w:r>
      <w:r>
        <w:rPr>
          <w:rFonts w:hint="eastAsia"/>
          <w:szCs w:val="20"/>
        </w:rPr>
        <w:t>排放限值</w:t>
      </w:r>
      <w:r>
        <w:rPr>
          <w:rFonts w:hint="eastAsia"/>
        </w:rPr>
        <w:t>。</w:t>
      </w:r>
    </w:p>
    <w:p w:rsidR="004E3021" w:rsidRDefault="00606E48">
      <w:pPr>
        <w:pStyle w:val="4a"/>
      </w:pPr>
      <w:r>
        <w:rPr>
          <w:rFonts w:hint="eastAsia"/>
        </w:rPr>
        <w:t>6.1.1.3</w:t>
      </w:r>
      <w:r>
        <w:rPr>
          <w:rFonts w:hint="eastAsia"/>
        </w:rPr>
        <w:t>风量</w:t>
      </w:r>
      <w:r>
        <w:t>计算</w:t>
      </w:r>
    </w:p>
    <w:p w:rsidR="004E3021" w:rsidRDefault="00606E48">
      <w:pPr>
        <w:ind w:firstLine="480"/>
      </w:pPr>
      <w:r>
        <w:rPr>
          <w:rFonts w:hint="eastAsia"/>
        </w:rPr>
        <w:t>（</w:t>
      </w:r>
      <w:r>
        <w:rPr>
          <w:rFonts w:hint="eastAsia"/>
        </w:rPr>
        <w:t>1</w:t>
      </w:r>
      <w:r>
        <w:rPr>
          <w:rFonts w:hint="eastAsia"/>
        </w:rPr>
        <w:t>）合成釜引气</w:t>
      </w:r>
      <w:r>
        <w:t>量核算</w:t>
      </w:r>
    </w:p>
    <w:p w:rsidR="004E3021" w:rsidRDefault="00606E48">
      <w:pPr>
        <w:ind w:firstLine="480"/>
      </w:pPr>
      <w:r>
        <w:rPr>
          <w:rFonts w:hint="eastAsia"/>
        </w:rPr>
        <w:t>以合成釜</w:t>
      </w:r>
      <w:r>
        <w:t>大小及排放时间进行核算，车间内合成釜</w:t>
      </w:r>
      <w:r>
        <w:rPr>
          <w:rFonts w:hint="eastAsia"/>
        </w:rPr>
        <w:t>和硅粉罐</w:t>
      </w:r>
      <w:r>
        <w:t>等均设有泄压阀</w:t>
      </w:r>
      <w:r>
        <w:rPr>
          <w:rFonts w:hint="eastAsia"/>
        </w:rPr>
        <w:t>，</w:t>
      </w:r>
      <w:r>
        <w:t>废气通过泄压阀接管汇入废气总管道。</w:t>
      </w:r>
    </w:p>
    <w:p w:rsidR="004E3021" w:rsidRDefault="00606E48">
      <w:pPr>
        <w:ind w:firstLineChars="0" w:firstLine="0"/>
        <w:jc w:val="center"/>
      </w:pPr>
      <w:r>
        <w:rPr>
          <w:rFonts w:hint="eastAsia"/>
        </w:rPr>
        <w:t>计算</w:t>
      </w:r>
      <w:r>
        <w:t>公式：</w:t>
      </w:r>
      <w:r>
        <w:t>Q=V/T</w:t>
      </w:r>
    </w:p>
    <w:p w:rsidR="004E3021" w:rsidRDefault="00606E48">
      <w:pPr>
        <w:ind w:firstLineChars="0" w:firstLine="0"/>
        <w:jc w:val="center"/>
      </w:pPr>
      <w:r>
        <w:t>Q—</w:t>
      </w:r>
      <w:r>
        <w:rPr>
          <w:rFonts w:hint="eastAsia"/>
        </w:rPr>
        <w:t>引气量</w:t>
      </w:r>
      <w:r>
        <w:rPr>
          <w:rFonts w:hint="eastAsia"/>
        </w:rPr>
        <w:t>m</w:t>
      </w:r>
      <w:r>
        <w:rPr>
          <w:vertAlign w:val="superscript"/>
        </w:rPr>
        <w:t>3</w:t>
      </w:r>
      <w:r>
        <w:rPr>
          <w:rFonts w:hint="eastAsia"/>
        </w:rPr>
        <w:t>/h</w:t>
      </w:r>
    </w:p>
    <w:p w:rsidR="004E3021" w:rsidRDefault="00606E48">
      <w:pPr>
        <w:ind w:firstLineChars="0" w:firstLine="0"/>
        <w:jc w:val="center"/>
      </w:pPr>
      <w:r>
        <w:t>V—</w:t>
      </w:r>
      <w:r>
        <w:rPr>
          <w:rFonts w:hint="eastAsia"/>
        </w:rPr>
        <w:t>合成釜</w:t>
      </w:r>
      <w:r>
        <w:t>体积</w:t>
      </w:r>
      <w:r>
        <w:t>m</w:t>
      </w:r>
      <w:r>
        <w:rPr>
          <w:vertAlign w:val="superscript"/>
        </w:rPr>
        <w:t>3</w:t>
      </w:r>
    </w:p>
    <w:p w:rsidR="004E3021" w:rsidRDefault="00606E48">
      <w:pPr>
        <w:ind w:firstLineChars="0" w:firstLine="0"/>
        <w:jc w:val="center"/>
      </w:pPr>
      <w:r>
        <w:t>T—</w:t>
      </w:r>
      <w:r>
        <w:rPr>
          <w:rFonts w:hint="eastAsia"/>
        </w:rPr>
        <w:t>排放</w:t>
      </w:r>
      <w:r>
        <w:t>时间</w:t>
      </w:r>
      <w:r>
        <w:t>h</w:t>
      </w:r>
      <w:r>
        <w:t>，根据</w:t>
      </w:r>
      <w:r>
        <w:rPr>
          <w:rFonts w:hint="eastAsia"/>
        </w:rPr>
        <w:t>反应</w:t>
      </w:r>
      <w:r>
        <w:t>条件计算</w:t>
      </w:r>
    </w:p>
    <w:p w:rsidR="004E3021" w:rsidRDefault="00606E48">
      <w:pPr>
        <w:ind w:firstLine="480"/>
      </w:pPr>
      <w:r>
        <w:rPr>
          <w:rFonts w:hint="eastAsia"/>
        </w:rPr>
        <w:t>（</w:t>
      </w:r>
      <w:r>
        <w:rPr>
          <w:rFonts w:hint="eastAsia"/>
        </w:rPr>
        <w:t>2</w:t>
      </w:r>
      <w:r>
        <w:rPr>
          <w:rFonts w:hint="eastAsia"/>
        </w:rPr>
        <w:t>）物料</w:t>
      </w:r>
      <w:r>
        <w:t>传输废气引气量核算</w:t>
      </w:r>
    </w:p>
    <w:p w:rsidR="004E3021" w:rsidRDefault="00606E48">
      <w:pPr>
        <w:ind w:firstLine="480"/>
      </w:pPr>
      <w:r>
        <w:rPr>
          <w:rFonts w:hint="eastAsia"/>
        </w:rPr>
        <w:t>项目</w:t>
      </w:r>
      <w:r>
        <w:t>再生产过程中针对合成</w:t>
      </w:r>
      <w:r>
        <w:rPr>
          <w:rFonts w:hint="eastAsia"/>
        </w:rPr>
        <w:t>废气，</w:t>
      </w:r>
      <w:r>
        <w:t>采用两级冷凝进行物料回收，</w:t>
      </w:r>
      <w:r>
        <w:rPr>
          <w:rFonts w:hint="eastAsia"/>
        </w:rPr>
        <w:t>不凝气</w:t>
      </w:r>
      <w:r>
        <w:t>通过真空泵</w:t>
      </w:r>
      <w:r>
        <w:rPr>
          <w:rFonts w:hint="eastAsia"/>
        </w:rPr>
        <w:t>排出</w:t>
      </w:r>
      <w:r>
        <w:t>，引气量核算</w:t>
      </w:r>
      <w:r>
        <w:rPr>
          <w:rFonts w:hint="eastAsia"/>
        </w:rPr>
        <w:t>以</w:t>
      </w:r>
      <w:r>
        <w:t>真</w:t>
      </w:r>
      <w:r>
        <w:rPr>
          <w:rFonts w:hint="eastAsia"/>
        </w:rPr>
        <w:t>空泵</w:t>
      </w:r>
      <w:r>
        <w:t>的尺寸及反应时间进行计算。</w:t>
      </w:r>
    </w:p>
    <w:p w:rsidR="004E3021" w:rsidRDefault="00606E48">
      <w:pPr>
        <w:ind w:firstLineChars="0" w:firstLine="0"/>
        <w:jc w:val="center"/>
        <w:rPr>
          <w:vertAlign w:val="subscript"/>
        </w:rPr>
      </w:pPr>
      <w:r>
        <w:rPr>
          <w:rFonts w:hint="eastAsia"/>
        </w:rPr>
        <w:t>计算公式</w:t>
      </w:r>
      <w:r>
        <w:t>：</w:t>
      </w:r>
      <w:r>
        <w:t>Q=∑Q</w:t>
      </w:r>
      <w:r>
        <w:rPr>
          <w:rFonts w:hint="eastAsia"/>
          <w:vertAlign w:val="subscript"/>
        </w:rPr>
        <w:t>泵</w:t>
      </w:r>
    </w:p>
    <w:p w:rsidR="004E3021" w:rsidRDefault="00606E48">
      <w:pPr>
        <w:ind w:firstLineChars="0" w:firstLine="0"/>
        <w:jc w:val="center"/>
      </w:pPr>
      <w:r>
        <w:t>Q—</w:t>
      </w:r>
      <w:r>
        <w:rPr>
          <w:rFonts w:hint="eastAsia"/>
        </w:rPr>
        <w:t>引气量</w:t>
      </w:r>
      <w:r>
        <w:rPr>
          <w:rFonts w:hint="eastAsia"/>
        </w:rPr>
        <w:t>m</w:t>
      </w:r>
      <w:r>
        <w:rPr>
          <w:vertAlign w:val="superscript"/>
        </w:rPr>
        <w:t>3</w:t>
      </w:r>
      <w:r>
        <w:rPr>
          <w:rFonts w:hint="eastAsia"/>
        </w:rPr>
        <w:t>/h</w:t>
      </w:r>
    </w:p>
    <w:p w:rsidR="004E3021" w:rsidRDefault="00606E48">
      <w:pPr>
        <w:ind w:firstLineChars="0" w:firstLine="0"/>
        <w:jc w:val="center"/>
      </w:pPr>
      <w:r>
        <w:t>Q</w:t>
      </w:r>
      <w:r>
        <w:rPr>
          <w:rFonts w:hint="eastAsia"/>
          <w:vertAlign w:val="subscript"/>
        </w:rPr>
        <w:t>泵</w:t>
      </w:r>
      <w:r>
        <w:t>—</w:t>
      </w:r>
      <w:r>
        <w:rPr>
          <w:rFonts w:hint="eastAsia"/>
        </w:rPr>
        <w:t>各类</w:t>
      </w:r>
      <w:r>
        <w:t>泵运输量</w:t>
      </w:r>
      <w:r>
        <w:rPr>
          <w:rFonts w:hint="eastAsia"/>
        </w:rPr>
        <w:t>m</w:t>
      </w:r>
      <w:r>
        <w:rPr>
          <w:vertAlign w:val="superscript"/>
        </w:rPr>
        <w:t>3</w:t>
      </w:r>
      <w:r>
        <w:rPr>
          <w:rFonts w:hint="eastAsia"/>
        </w:rPr>
        <w:t>/h</w:t>
      </w:r>
    </w:p>
    <w:p w:rsidR="004E3021" w:rsidRDefault="00606E48">
      <w:pPr>
        <w:pStyle w:val="afffff4"/>
      </w:pPr>
      <w:r>
        <w:rPr>
          <w:rFonts w:hint="eastAsia"/>
        </w:rPr>
        <w:t>表</w:t>
      </w:r>
      <w:r>
        <w:rPr>
          <w:rFonts w:hint="eastAsia"/>
        </w:rPr>
        <w:t xml:space="preserve">6.1.1-3 </w:t>
      </w:r>
      <w:r>
        <w:rPr>
          <w:rFonts w:hint="eastAsia"/>
        </w:rPr>
        <w:t>合成</w:t>
      </w:r>
      <w:r>
        <w:t>釜进气废气核算</w:t>
      </w:r>
    </w:p>
    <w:tbl>
      <w:tblPr>
        <w:tblStyle w:val="1ffffffd"/>
        <w:tblW w:w="0" w:type="auto"/>
        <w:tblLook w:val="04A0" w:firstRow="1" w:lastRow="0" w:firstColumn="1" w:lastColumn="0" w:noHBand="0" w:noVBand="1"/>
      </w:tblPr>
      <w:tblGrid>
        <w:gridCol w:w="1792"/>
        <w:gridCol w:w="1791"/>
        <w:gridCol w:w="1791"/>
        <w:gridCol w:w="1826"/>
        <w:gridCol w:w="1826"/>
      </w:tblGrid>
      <w:tr w:rsidR="004E3021" w:rsidRPr="00D52A86" w:rsidTr="00D52A86">
        <w:tc>
          <w:tcPr>
            <w:tcW w:w="1872" w:type="dxa"/>
            <w:vAlign w:val="center"/>
          </w:tcPr>
          <w:p w:rsidR="004E3021" w:rsidRPr="00D52A86" w:rsidRDefault="00606E48" w:rsidP="00D52A86">
            <w:pPr>
              <w:pStyle w:val="afffffff2"/>
              <w:rPr>
                <w:rFonts w:ascii="Times New Roman" w:hAnsi="Times New Roman" w:cs="Times New Roman"/>
                <w:b/>
                <w:kern w:val="0"/>
                <w:sz w:val="21"/>
                <w:szCs w:val="21"/>
              </w:rPr>
            </w:pPr>
            <w:r w:rsidRPr="00D52A86">
              <w:rPr>
                <w:rFonts w:ascii="Times New Roman" w:hAnsi="Times New Roman" w:cs="Times New Roman"/>
                <w:b/>
                <w:kern w:val="0"/>
                <w:sz w:val="21"/>
                <w:szCs w:val="21"/>
              </w:rPr>
              <w:t>序号</w:t>
            </w:r>
          </w:p>
        </w:tc>
        <w:tc>
          <w:tcPr>
            <w:tcW w:w="1872" w:type="dxa"/>
            <w:vAlign w:val="center"/>
          </w:tcPr>
          <w:p w:rsidR="004E3021" w:rsidRPr="00D52A86" w:rsidRDefault="00606E48" w:rsidP="00D52A86">
            <w:pPr>
              <w:pStyle w:val="afffffff2"/>
              <w:rPr>
                <w:rFonts w:ascii="Times New Roman" w:hAnsi="Times New Roman" w:cs="Times New Roman"/>
                <w:b/>
                <w:kern w:val="0"/>
                <w:sz w:val="21"/>
                <w:szCs w:val="21"/>
              </w:rPr>
            </w:pPr>
            <w:r w:rsidRPr="00D52A86">
              <w:rPr>
                <w:rFonts w:ascii="Times New Roman" w:hAnsi="Times New Roman" w:cs="Times New Roman"/>
                <w:b/>
                <w:kern w:val="0"/>
                <w:sz w:val="21"/>
                <w:szCs w:val="21"/>
              </w:rPr>
              <w:t>项目</w:t>
            </w:r>
          </w:p>
        </w:tc>
        <w:tc>
          <w:tcPr>
            <w:tcW w:w="1872" w:type="dxa"/>
            <w:vAlign w:val="center"/>
          </w:tcPr>
          <w:p w:rsidR="004E3021" w:rsidRPr="00D52A86" w:rsidRDefault="00606E48" w:rsidP="00D52A86">
            <w:pPr>
              <w:pStyle w:val="afffffff2"/>
              <w:rPr>
                <w:rFonts w:ascii="Times New Roman" w:hAnsi="Times New Roman" w:cs="Times New Roman"/>
                <w:b/>
                <w:kern w:val="0"/>
                <w:sz w:val="21"/>
                <w:szCs w:val="21"/>
              </w:rPr>
            </w:pPr>
            <w:r w:rsidRPr="00D52A86">
              <w:rPr>
                <w:rFonts w:ascii="Times New Roman" w:hAnsi="Times New Roman" w:cs="Times New Roman"/>
                <w:b/>
                <w:kern w:val="0"/>
                <w:sz w:val="21"/>
                <w:szCs w:val="21"/>
              </w:rPr>
              <w:t>数量</w:t>
            </w:r>
          </w:p>
        </w:tc>
        <w:tc>
          <w:tcPr>
            <w:tcW w:w="1872" w:type="dxa"/>
            <w:vAlign w:val="center"/>
          </w:tcPr>
          <w:p w:rsidR="004E3021" w:rsidRPr="00D52A86" w:rsidRDefault="00606E48" w:rsidP="00D52A86">
            <w:pPr>
              <w:pStyle w:val="afffffff2"/>
              <w:rPr>
                <w:rFonts w:ascii="Times New Roman" w:hAnsi="Times New Roman" w:cs="Times New Roman"/>
                <w:b/>
                <w:kern w:val="0"/>
                <w:sz w:val="21"/>
                <w:szCs w:val="21"/>
              </w:rPr>
            </w:pPr>
            <w:r w:rsidRPr="00D52A86">
              <w:rPr>
                <w:rFonts w:ascii="Times New Roman" w:hAnsi="Times New Roman" w:cs="Times New Roman"/>
                <w:b/>
                <w:kern w:val="0"/>
                <w:sz w:val="21"/>
                <w:szCs w:val="21"/>
              </w:rPr>
              <w:t>排放速率（</w:t>
            </w:r>
            <w:r w:rsidRPr="00D52A86">
              <w:rPr>
                <w:rFonts w:ascii="Times New Roman" w:hAnsi="Times New Roman" w:cs="Times New Roman"/>
                <w:b/>
                <w:kern w:val="0"/>
                <w:sz w:val="21"/>
                <w:szCs w:val="21"/>
              </w:rPr>
              <w:t>m</w:t>
            </w:r>
            <w:r w:rsidRPr="00D52A86">
              <w:rPr>
                <w:rFonts w:ascii="Times New Roman" w:hAnsi="Times New Roman" w:cs="Times New Roman"/>
                <w:b/>
                <w:kern w:val="0"/>
                <w:sz w:val="21"/>
                <w:szCs w:val="21"/>
                <w:vertAlign w:val="superscript"/>
              </w:rPr>
              <w:t>3</w:t>
            </w:r>
            <w:r w:rsidRPr="00D52A86">
              <w:rPr>
                <w:rFonts w:ascii="Times New Roman" w:hAnsi="Times New Roman" w:cs="Times New Roman"/>
                <w:b/>
                <w:kern w:val="0"/>
                <w:sz w:val="21"/>
                <w:szCs w:val="21"/>
              </w:rPr>
              <w:t>/h</w:t>
            </w:r>
            <w:r w:rsidRPr="00D52A86">
              <w:rPr>
                <w:rFonts w:ascii="Times New Roman" w:hAnsi="Times New Roman" w:cs="Times New Roman"/>
                <w:b/>
                <w:kern w:val="0"/>
                <w:sz w:val="21"/>
                <w:szCs w:val="21"/>
              </w:rPr>
              <w:t>）</w:t>
            </w:r>
          </w:p>
        </w:tc>
        <w:tc>
          <w:tcPr>
            <w:tcW w:w="1872" w:type="dxa"/>
            <w:vAlign w:val="center"/>
          </w:tcPr>
          <w:p w:rsidR="004E3021" w:rsidRPr="00D52A86" w:rsidRDefault="00606E48" w:rsidP="00D52A86">
            <w:pPr>
              <w:pStyle w:val="afffffff2"/>
              <w:rPr>
                <w:rFonts w:ascii="Times New Roman" w:hAnsi="Times New Roman" w:cs="Times New Roman"/>
                <w:b/>
                <w:kern w:val="0"/>
                <w:sz w:val="21"/>
                <w:szCs w:val="21"/>
              </w:rPr>
            </w:pPr>
            <w:r w:rsidRPr="00D52A86">
              <w:rPr>
                <w:rFonts w:ascii="Times New Roman" w:hAnsi="Times New Roman" w:cs="Times New Roman"/>
                <w:b/>
                <w:kern w:val="0"/>
                <w:sz w:val="21"/>
                <w:szCs w:val="21"/>
              </w:rPr>
              <w:t>风量（</w:t>
            </w:r>
            <w:r w:rsidRPr="00D52A86">
              <w:rPr>
                <w:rFonts w:ascii="Times New Roman" w:hAnsi="Times New Roman" w:cs="Times New Roman"/>
                <w:b/>
                <w:kern w:val="0"/>
                <w:sz w:val="21"/>
                <w:szCs w:val="21"/>
              </w:rPr>
              <w:t>m</w:t>
            </w:r>
            <w:r w:rsidRPr="00D52A86">
              <w:rPr>
                <w:rFonts w:ascii="Times New Roman" w:hAnsi="Times New Roman" w:cs="Times New Roman"/>
                <w:b/>
                <w:kern w:val="0"/>
                <w:sz w:val="21"/>
                <w:szCs w:val="21"/>
                <w:vertAlign w:val="superscript"/>
              </w:rPr>
              <w:t>3</w:t>
            </w:r>
            <w:r w:rsidRPr="00D52A86">
              <w:rPr>
                <w:rFonts w:ascii="Times New Roman" w:hAnsi="Times New Roman" w:cs="Times New Roman"/>
                <w:b/>
                <w:kern w:val="0"/>
                <w:sz w:val="21"/>
                <w:szCs w:val="21"/>
              </w:rPr>
              <w:t>/h</w:t>
            </w:r>
            <w:r w:rsidRPr="00D52A86">
              <w:rPr>
                <w:rFonts w:ascii="Times New Roman" w:hAnsi="Times New Roman" w:cs="Times New Roman"/>
                <w:b/>
                <w:kern w:val="0"/>
                <w:sz w:val="21"/>
                <w:szCs w:val="21"/>
              </w:rPr>
              <w:t>）</w:t>
            </w:r>
          </w:p>
        </w:tc>
      </w:tr>
      <w:tr w:rsidR="004E3021" w:rsidRPr="00D52A86" w:rsidTr="00D52A86">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1</w:t>
            </w:r>
          </w:p>
        </w:tc>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真空机</w:t>
            </w:r>
          </w:p>
        </w:tc>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2</w:t>
            </w:r>
          </w:p>
        </w:tc>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320</w:t>
            </w:r>
          </w:p>
        </w:tc>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640</w:t>
            </w:r>
          </w:p>
        </w:tc>
      </w:tr>
      <w:tr w:rsidR="004E3021" w:rsidRPr="00D52A86" w:rsidTr="00D52A86">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2</w:t>
            </w:r>
          </w:p>
        </w:tc>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两级冷凝器</w:t>
            </w:r>
          </w:p>
        </w:tc>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1</w:t>
            </w:r>
          </w:p>
        </w:tc>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540</w:t>
            </w:r>
          </w:p>
        </w:tc>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540</w:t>
            </w:r>
          </w:p>
        </w:tc>
      </w:tr>
      <w:tr w:rsidR="004E3021" w:rsidRPr="00D52A86" w:rsidTr="00D52A86">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3</w:t>
            </w:r>
          </w:p>
        </w:tc>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合成釜放空阀</w:t>
            </w:r>
          </w:p>
        </w:tc>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2</w:t>
            </w:r>
          </w:p>
        </w:tc>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400</w:t>
            </w:r>
          </w:p>
        </w:tc>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800</w:t>
            </w:r>
          </w:p>
        </w:tc>
      </w:tr>
      <w:tr w:rsidR="004E3021" w:rsidRPr="00D52A86" w:rsidTr="00D52A86">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4</w:t>
            </w:r>
          </w:p>
        </w:tc>
        <w:tc>
          <w:tcPr>
            <w:tcW w:w="5616" w:type="dxa"/>
            <w:gridSpan w:val="3"/>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合计</w:t>
            </w:r>
          </w:p>
        </w:tc>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1980</w:t>
            </w:r>
          </w:p>
        </w:tc>
      </w:tr>
      <w:tr w:rsidR="004E3021" w:rsidRPr="00D52A86" w:rsidTr="00D52A86">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lastRenderedPageBreak/>
              <w:t>5</w:t>
            </w:r>
          </w:p>
        </w:tc>
        <w:tc>
          <w:tcPr>
            <w:tcW w:w="5616" w:type="dxa"/>
            <w:gridSpan w:val="3"/>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设计风量</w:t>
            </w:r>
          </w:p>
        </w:tc>
        <w:tc>
          <w:tcPr>
            <w:tcW w:w="1872" w:type="dxa"/>
            <w:vAlign w:val="center"/>
          </w:tcPr>
          <w:p w:rsidR="004E3021" w:rsidRPr="00D52A86" w:rsidRDefault="00606E48" w:rsidP="00D52A86">
            <w:pPr>
              <w:pStyle w:val="afffffff2"/>
              <w:rPr>
                <w:rFonts w:ascii="Times New Roman" w:hAnsi="Times New Roman" w:cs="Times New Roman"/>
                <w:kern w:val="0"/>
                <w:sz w:val="21"/>
                <w:szCs w:val="21"/>
              </w:rPr>
            </w:pPr>
            <w:r w:rsidRPr="00D52A86">
              <w:rPr>
                <w:rFonts w:ascii="Times New Roman" w:hAnsi="Times New Roman" w:cs="Times New Roman"/>
                <w:kern w:val="0"/>
                <w:sz w:val="21"/>
                <w:szCs w:val="21"/>
              </w:rPr>
              <w:t>2000</w:t>
            </w:r>
          </w:p>
        </w:tc>
      </w:tr>
    </w:tbl>
    <w:p w:rsidR="004E3021" w:rsidRDefault="00606E48">
      <w:pPr>
        <w:pStyle w:val="4a"/>
      </w:pPr>
      <w:r>
        <w:rPr>
          <w:rFonts w:eastAsiaTheme="minorEastAsia" w:cs="Times New Roman"/>
        </w:rPr>
        <w:t>6.1.1.</w:t>
      </w:r>
      <w:r w:rsidR="00973949">
        <w:rPr>
          <w:rFonts w:eastAsiaTheme="minorEastAsia" w:cs="Times New Roman"/>
        </w:rPr>
        <w:t>4</w:t>
      </w:r>
      <w:r>
        <w:rPr>
          <w:rFonts w:hint="eastAsia"/>
        </w:rPr>
        <w:t>排气筒</w:t>
      </w:r>
      <w:r>
        <w:t>设置合理性分析</w:t>
      </w:r>
    </w:p>
    <w:p w:rsidR="004E3021" w:rsidRDefault="00606E48">
      <w:pPr>
        <w:ind w:firstLine="480"/>
      </w:pPr>
      <w:r>
        <w:rPr>
          <w:rFonts w:hint="eastAsia"/>
        </w:rPr>
        <w:t>本项目</w:t>
      </w:r>
      <w:r>
        <w:t>排气筒设置参数</w:t>
      </w:r>
      <w:r>
        <w:rPr>
          <w:rFonts w:hint="eastAsia"/>
        </w:rPr>
        <w:t>见表</w:t>
      </w:r>
      <w:r>
        <w:rPr>
          <w:rFonts w:hint="eastAsia"/>
        </w:rPr>
        <w:t>6.1.1</w:t>
      </w:r>
      <w:r>
        <w:t>-4</w:t>
      </w:r>
      <w:r>
        <w:rPr>
          <w:rFonts w:hint="eastAsia"/>
        </w:rPr>
        <w:t>。</w:t>
      </w:r>
    </w:p>
    <w:p w:rsidR="004E3021" w:rsidRDefault="00606E48">
      <w:pPr>
        <w:pStyle w:val="afffff4"/>
      </w:pPr>
      <w:r>
        <w:rPr>
          <w:rFonts w:hint="eastAsia"/>
        </w:rPr>
        <w:t>表</w:t>
      </w:r>
      <w:r>
        <w:rPr>
          <w:rFonts w:hint="eastAsia"/>
        </w:rPr>
        <w:t>6.1.1</w:t>
      </w:r>
      <w:r>
        <w:t xml:space="preserve">-4  </w:t>
      </w:r>
      <w:r>
        <w:rPr>
          <w:rFonts w:hint="eastAsia"/>
        </w:rPr>
        <w:t>排气筒</w:t>
      </w:r>
      <w:r>
        <w:t>设置参数</w:t>
      </w:r>
    </w:p>
    <w:p w:rsidR="00973949" w:rsidRPr="00D14DE4" w:rsidRDefault="00973949" w:rsidP="00973949">
      <w:pPr>
        <w:pStyle w:val="afffff4"/>
        <w:ind w:firstLine="480"/>
        <w:rPr>
          <w:color w:val="FF0000"/>
        </w:rPr>
      </w:pPr>
      <w:r w:rsidRPr="00D14DE4">
        <w:rPr>
          <w:rFonts w:hint="eastAsia"/>
          <w:color w:val="FF0000"/>
        </w:rPr>
        <w:t>涉及商业机密，已删除</w:t>
      </w:r>
    </w:p>
    <w:p w:rsidR="00973949" w:rsidRPr="00973949" w:rsidRDefault="00973949">
      <w:pPr>
        <w:ind w:firstLine="480"/>
      </w:pPr>
    </w:p>
    <w:p w:rsidR="004E3021" w:rsidRDefault="00ED1705">
      <w:pPr>
        <w:ind w:firstLine="480"/>
      </w:pPr>
      <w:r>
        <w:rPr>
          <w:rFonts w:hint="eastAsia"/>
        </w:rPr>
        <w:t>根据</w:t>
      </w:r>
      <w:r>
        <w:t>《大气污染治理工程技术导则》（</w:t>
      </w:r>
      <w:r>
        <w:t>HJ2000-2010</w:t>
      </w:r>
      <w:r>
        <w:t>）</w:t>
      </w:r>
      <w:r>
        <w:rPr>
          <w:rFonts w:hint="eastAsia"/>
        </w:rPr>
        <w:t>中要求：排气筒的出口直径应根据出口流速确定，流速宜取</w:t>
      </w:r>
      <w:r>
        <w:rPr>
          <w:rFonts w:hint="eastAsia"/>
        </w:rPr>
        <w:t>15m/s</w:t>
      </w:r>
      <w:r>
        <w:rPr>
          <w:rFonts w:hint="eastAsia"/>
        </w:rPr>
        <w:t>左右。当采用钢管烟囱且高度较高时或烟气量较大时，可适当提高出口流速至</w:t>
      </w:r>
      <w:r>
        <w:rPr>
          <w:rFonts w:hint="eastAsia"/>
        </w:rPr>
        <w:t>20~25 m/s</w:t>
      </w:r>
      <w:r>
        <w:rPr>
          <w:rFonts w:hint="eastAsia"/>
        </w:rPr>
        <w:t>。本项目排气筒为钢管烟囱，出口流速均符合该导则中</w:t>
      </w:r>
      <w:r>
        <w:t>关于排气筒烟气出口速度的要求</w:t>
      </w:r>
      <w:r>
        <w:rPr>
          <w:rFonts w:hint="eastAsia"/>
        </w:rPr>
        <w:t>，因此</w:t>
      </w:r>
      <w:r>
        <w:t>，本项目排气筒</w:t>
      </w:r>
      <w:r>
        <w:rPr>
          <w:rFonts w:hint="eastAsia"/>
        </w:rPr>
        <w:t>设置合理</w:t>
      </w:r>
      <w:r w:rsidR="00606E48">
        <w:rPr>
          <w:rFonts w:hint="eastAsia"/>
        </w:rPr>
        <w:t>。</w:t>
      </w:r>
    </w:p>
    <w:p w:rsidR="004E3021" w:rsidRDefault="00606E48">
      <w:pPr>
        <w:pStyle w:val="afffffffffffffffff4"/>
      </w:pPr>
      <w:bookmarkStart w:id="622" w:name="_Toc52175586"/>
      <w:bookmarkStart w:id="623" w:name="_Toc101135918"/>
      <w:bookmarkStart w:id="624" w:name="_Toc108662695"/>
      <w:bookmarkStart w:id="625" w:name="_Toc221088850"/>
      <w:bookmarkStart w:id="626" w:name="_Toc221501065"/>
      <w:bookmarkStart w:id="627" w:name="_Toc100784086"/>
      <w:r>
        <w:rPr>
          <w:rFonts w:hint="eastAsia"/>
        </w:rPr>
        <w:t>6.1.2</w:t>
      </w:r>
      <w:r>
        <w:rPr>
          <w:rFonts w:hint="eastAsia"/>
        </w:rPr>
        <w:t>无组织</w:t>
      </w:r>
      <w:r>
        <w:t>废气污染防治措施</w:t>
      </w:r>
      <w:bookmarkEnd w:id="622"/>
      <w:bookmarkEnd w:id="623"/>
      <w:bookmarkEnd w:id="624"/>
      <w:bookmarkEnd w:id="625"/>
      <w:bookmarkEnd w:id="626"/>
    </w:p>
    <w:p w:rsidR="004E3021" w:rsidRDefault="00606E48">
      <w:pPr>
        <w:ind w:firstLine="480"/>
      </w:pPr>
      <w:r>
        <w:t>对于本项目，无组织废气主要来源为反应釜投料，产品和残液等固废出料及水环泵循环水等操作</w:t>
      </w:r>
      <w:r>
        <w:rPr>
          <w:rFonts w:ascii="宋体" w:hAnsi="宋体"/>
        </w:rPr>
        <w:t>(液体投料企业均以采用通过计量罐或储罐泵入的方式进行投料，系统密闭，不产生无组织废气)</w:t>
      </w:r>
      <w:r>
        <w:t>。</w:t>
      </w:r>
      <w:r>
        <w:rPr>
          <w:rFonts w:hint="eastAsia"/>
        </w:rPr>
        <w:t>本项目</w:t>
      </w:r>
      <w:r>
        <w:t>固体硅粉投料采用氮气冲压方式，管道输送，全封闭投料；对水环泵循环水池，设置密闭式循环水系统并加设冷凝装置。通过以上步骤，可以有效控制废气的无组织废气排放。</w:t>
      </w:r>
    </w:p>
    <w:p w:rsidR="004E3021" w:rsidRDefault="00606E48">
      <w:pPr>
        <w:ind w:firstLine="480"/>
        <w:rPr>
          <w:color w:val="000000" w:themeColor="text1"/>
        </w:rPr>
      </w:pPr>
      <w:r>
        <w:rPr>
          <w:rFonts w:hint="eastAsia"/>
          <w:color w:val="000000" w:themeColor="text1"/>
        </w:rPr>
        <w:t>参照《重点</w:t>
      </w:r>
      <w:r>
        <w:rPr>
          <w:color w:val="000000" w:themeColor="text1"/>
        </w:rPr>
        <w:t>行业挥发性有机物综合治理方案</w:t>
      </w:r>
      <w:r>
        <w:rPr>
          <w:rFonts w:hint="eastAsia"/>
          <w:color w:val="000000" w:themeColor="text1"/>
        </w:rPr>
        <w:t>》、</w:t>
      </w:r>
      <w:r>
        <w:rPr>
          <w:color w:val="000000" w:themeColor="text1"/>
        </w:rPr>
        <w:t>《</w:t>
      </w:r>
      <w:r>
        <w:rPr>
          <w:rFonts w:hint="eastAsia"/>
          <w:color w:val="000000" w:themeColor="text1"/>
        </w:rPr>
        <w:t>挥发性</w:t>
      </w:r>
      <w:r>
        <w:rPr>
          <w:color w:val="000000" w:themeColor="text1"/>
        </w:rPr>
        <w:t>有机物无组织排放控制标准》</w:t>
      </w:r>
      <w:r>
        <w:rPr>
          <w:rFonts w:hint="eastAsia"/>
          <w:color w:val="000000" w:themeColor="text1"/>
        </w:rPr>
        <w:t>（</w:t>
      </w:r>
      <w:r>
        <w:rPr>
          <w:rFonts w:hint="eastAsia"/>
          <w:color w:val="000000" w:themeColor="text1"/>
        </w:rPr>
        <w:t>GB37822-2019</w:t>
      </w:r>
      <w:r>
        <w:rPr>
          <w:rFonts w:hint="eastAsia"/>
          <w:color w:val="000000" w:themeColor="text1"/>
        </w:rPr>
        <w:t>）等</w:t>
      </w:r>
      <w:r>
        <w:rPr>
          <w:color w:val="000000" w:themeColor="text1"/>
        </w:rPr>
        <w:t>相关要求，对无组织废气提出以下控制要求：</w:t>
      </w:r>
    </w:p>
    <w:p w:rsidR="004E3021" w:rsidRDefault="00606E48">
      <w:pPr>
        <w:ind w:firstLine="480"/>
      </w:pPr>
      <w:r>
        <w:t>（</w:t>
      </w:r>
      <w:r>
        <w:t>1</w:t>
      </w:r>
      <w:r>
        <w:t>）工艺过程无组织废气控制</w:t>
      </w:r>
    </w:p>
    <w:p w:rsidR="004E3021" w:rsidRDefault="00606E48">
      <w:pPr>
        <w:ind w:firstLine="480"/>
        <w:rPr>
          <w:color w:val="000000" w:themeColor="text1"/>
        </w:rPr>
      </w:pPr>
      <w:r>
        <w:t>工艺过程涉及的废气主要为</w:t>
      </w:r>
      <w:r>
        <w:rPr>
          <w:rFonts w:hint="eastAsia"/>
        </w:rPr>
        <w:t>甲醇、</w:t>
      </w:r>
      <w:r>
        <w:t>氯化氢、氟化氢和粉尘等。其中</w:t>
      </w:r>
      <w:r>
        <w:rPr>
          <w:rFonts w:hint="eastAsia"/>
        </w:rPr>
        <w:t>甲醇</w:t>
      </w:r>
      <w:r>
        <w:t>等液体原料采用罐装</w:t>
      </w:r>
      <w:r>
        <w:rPr>
          <w:color w:val="000000" w:themeColor="text1"/>
        </w:rPr>
        <w:t>并用物料泵输送至生产反应工段，中间体转移全部采用接受罐</w:t>
      </w:r>
      <w:r>
        <w:rPr>
          <w:rFonts w:hint="eastAsia"/>
          <w:color w:val="000000" w:themeColor="text1"/>
        </w:rPr>
        <w:t>加</w:t>
      </w:r>
      <w:r>
        <w:rPr>
          <w:color w:val="000000" w:themeColor="text1"/>
        </w:rPr>
        <w:t>刚性管道进行输送，从整个工艺过程来看，密闭化程度相对较高，但仍有一定量的无组织废气排放。</w:t>
      </w:r>
    </w:p>
    <w:p w:rsidR="004E3021" w:rsidRDefault="00606E48">
      <w:pPr>
        <w:ind w:firstLine="480"/>
        <w:rPr>
          <w:color w:val="000000" w:themeColor="text1"/>
        </w:rPr>
      </w:pPr>
      <w:r>
        <w:rPr>
          <w:color w:val="000000" w:themeColor="text1"/>
        </w:rPr>
        <w:t>1</w:t>
      </w:r>
      <w:r>
        <w:rPr>
          <w:rFonts w:hint="eastAsia"/>
          <w:color w:val="000000" w:themeColor="text1"/>
        </w:rPr>
        <w:t>）</w:t>
      </w:r>
      <w:r>
        <w:rPr>
          <w:color w:val="000000" w:themeColor="text1"/>
        </w:rPr>
        <w:t>生产过程液体物料中转全部采用刚性管道进行转料，不使用桶装料或临时软管进行中转，防止中转过程无组织废气排放。</w:t>
      </w:r>
    </w:p>
    <w:p w:rsidR="004E3021" w:rsidRDefault="00606E48">
      <w:pPr>
        <w:ind w:firstLine="480"/>
        <w:rPr>
          <w:color w:val="000000" w:themeColor="text1"/>
        </w:rPr>
      </w:pPr>
      <w:r>
        <w:rPr>
          <w:color w:val="000000" w:themeColor="text1"/>
        </w:rPr>
        <w:t>2</w:t>
      </w:r>
      <w:r>
        <w:rPr>
          <w:rFonts w:hint="eastAsia"/>
          <w:color w:val="000000" w:themeColor="text1"/>
        </w:rPr>
        <w:t>）</w:t>
      </w:r>
      <w:r>
        <w:rPr>
          <w:color w:val="000000" w:themeColor="text1"/>
        </w:rPr>
        <w:t>要求在精馏残液降温后再出料，并且出料时采取集气罩收集的措施加以防治，降低无组织废气排放。</w:t>
      </w:r>
    </w:p>
    <w:p w:rsidR="004E3021" w:rsidRDefault="00606E48">
      <w:pPr>
        <w:ind w:firstLine="480"/>
        <w:rPr>
          <w:color w:val="000000" w:themeColor="text1"/>
        </w:rPr>
      </w:pPr>
      <w:r>
        <w:rPr>
          <w:rFonts w:hint="eastAsia"/>
          <w:color w:val="000000" w:themeColor="text1"/>
        </w:rPr>
        <w:t>3</w:t>
      </w:r>
      <w:r>
        <w:rPr>
          <w:rFonts w:hint="eastAsia"/>
          <w:color w:val="000000" w:themeColor="text1"/>
        </w:rPr>
        <w:t>）</w:t>
      </w:r>
      <w:r>
        <w:rPr>
          <w:color w:val="000000" w:themeColor="text1"/>
        </w:rPr>
        <w:t>固体粉状物料经氮气冲压推</w:t>
      </w:r>
      <w:r>
        <w:rPr>
          <w:rFonts w:hint="eastAsia"/>
          <w:color w:val="000000" w:themeColor="text1"/>
        </w:rPr>
        <w:t>动</w:t>
      </w:r>
      <w:r>
        <w:rPr>
          <w:color w:val="000000" w:themeColor="text1"/>
        </w:rPr>
        <w:t>，管道输送，</w:t>
      </w:r>
      <w:r>
        <w:rPr>
          <w:rFonts w:hint="eastAsia"/>
          <w:color w:val="000000" w:themeColor="text1"/>
        </w:rPr>
        <w:t>减少</w:t>
      </w:r>
      <w:r>
        <w:rPr>
          <w:color w:val="000000" w:themeColor="text1"/>
        </w:rPr>
        <w:t>进出料无组织</w:t>
      </w:r>
      <w:r>
        <w:rPr>
          <w:rFonts w:hint="eastAsia"/>
          <w:color w:val="000000" w:themeColor="text1"/>
        </w:rPr>
        <w:t>废气</w:t>
      </w:r>
      <w:r>
        <w:rPr>
          <w:color w:val="000000" w:themeColor="text1"/>
        </w:rPr>
        <w:t>产生。</w:t>
      </w:r>
    </w:p>
    <w:p w:rsidR="004E3021" w:rsidRDefault="00606E48">
      <w:pPr>
        <w:ind w:firstLine="480"/>
        <w:rPr>
          <w:bCs/>
          <w:color w:val="000000" w:themeColor="text1"/>
        </w:rPr>
      </w:pPr>
      <w:bookmarkStart w:id="628" w:name="_Toc263261749"/>
      <w:r>
        <w:rPr>
          <w:bCs/>
          <w:color w:val="000000" w:themeColor="text1"/>
        </w:rPr>
        <w:t>（</w:t>
      </w:r>
      <w:r>
        <w:rPr>
          <w:bCs/>
          <w:color w:val="000000" w:themeColor="text1"/>
        </w:rPr>
        <w:t>2</w:t>
      </w:r>
      <w:r>
        <w:rPr>
          <w:bCs/>
          <w:color w:val="000000" w:themeColor="text1"/>
        </w:rPr>
        <w:t>）固废转运</w:t>
      </w:r>
      <w:bookmarkEnd w:id="628"/>
    </w:p>
    <w:p w:rsidR="004E3021" w:rsidRDefault="00606E48">
      <w:pPr>
        <w:ind w:firstLine="480"/>
        <w:rPr>
          <w:color w:val="000000" w:themeColor="text1"/>
        </w:rPr>
      </w:pPr>
      <w:r>
        <w:rPr>
          <w:color w:val="000000" w:themeColor="text1"/>
        </w:rPr>
        <w:lastRenderedPageBreak/>
        <w:t>生产过程中产生的精馏残液、废活性炭等物质，采用密闭袋装或桶装送至相关单位进行处理，保证了固废转运过程中不产生无组织废气。</w:t>
      </w:r>
    </w:p>
    <w:p w:rsidR="004E3021" w:rsidRDefault="00606E48">
      <w:pPr>
        <w:ind w:firstLine="480"/>
      </w:pPr>
      <w:r>
        <w:t>（</w:t>
      </w:r>
      <w:r>
        <w:rPr>
          <w:rFonts w:hint="eastAsia"/>
        </w:rPr>
        <w:t>3</w:t>
      </w:r>
      <w:r>
        <w:t>）其他无组织废气控制措施</w:t>
      </w:r>
    </w:p>
    <w:p w:rsidR="004E3021" w:rsidRDefault="00606E48">
      <w:pPr>
        <w:ind w:firstLine="480"/>
      </w:pPr>
      <w:r>
        <w:t>1</w:t>
      </w:r>
      <w:r>
        <w:t>）确保反应过程的密闭性，要求全部采用密闭式操作，杜绝开釜操作，并将反应釜放空口接入废气收集管；</w:t>
      </w:r>
    </w:p>
    <w:p w:rsidR="004E3021" w:rsidRDefault="00606E48">
      <w:pPr>
        <w:ind w:firstLine="480"/>
      </w:pPr>
      <w:r>
        <w:t>2</w:t>
      </w:r>
      <w:r>
        <w:t>）液体物料要求全部采用密闭性较好的屏蔽泵或隔膜泵输送，杜绝压缩空气、真空压吸的易产生无组织废气的输送方式；</w:t>
      </w:r>
    </w:p>
    <w:p w:rsidR="004E3021" w:rsidRDefault="00606E48">
      <w:pPr>
        <w:ind w:firstLine="480"/>
      </w:pPr>
      <w:r>
        <w:t>3</w:t>
      </w:r>
      <w:r>
        <w:t>）加强设备和管道的维护管理，防止出现因设备腐蚀或其他非正常运转情况下发生的废气事故性排放现象的发生；</w:t>
      </w:r>
    </w:p>
    <w:p w:rsidR="004E3021" w:rsidRDefault="00606E48">
      <w:pPr>
        <w:ind w:firstLine="480"/>
      </w:pPr>
      <w:r>
        <w:t>4</w:t>
      </w:r>
      <w:r>
        <w:t>）优化生产布局，尽量采用重力流方式进行生产，减少物料输送过程无组织废气产生量。</w:t>
      </w:r>
    </w:p>
    <w:p w:rsidR="004E3021" w:rsidRDefault="00606E48">
      <w:pPr>
        <w:pStyle w:val="afffffffffffffffff4"/>
      </w:pPr>
      <w:bookmarkStart w:id="629" w:name="_Toc101135919"/>
      <w:bookmarkStart w:id="630" w:name="_Toc108662696"/>
      <w:bookmarkStart w:id="631" w:name="_Toc221088851"/>
      <w:bookmarkStart w:id="632" w:name="_Toc221501066"/>
      <w:r>
        <w:rPr>
          <w:rFonts w:hint="eastAsia"/>
        </w:rPr>
        <w:t>6.1.</w:t>
      </w:r>
      <w:r>
        <w:t>3</w:t>
      </w:r>
      <w:r>
        <w:rPr>
          <w:rFonts w:hint="eastAsia"/>
        </w:rPr>
        <w:t>非正常排放</w:t>
      </w:r>
      <w:r>
        <w:t>废气治理措施评述</w:t>
      </w:r>
      <w:bookmarkEnd w:id="627"/>
      <w:bookmarkEnd w:id="629"/>
      <w:bookmarkEnd w:id="630"/>
      <w:bookmarkEnd w:id="631"/>
      <w:bookmarkEnd w:id="632"/>
    </w:p>
    <w:p w:rsidR="004E3021" w:rsidRDefault="00606E48">
      <w:pPr>
        <w:ind w:firstLine="480"/>
      </w:pPr>
      <w:r>
        <w:rPr>
          <w:rFonts w:ascii="宋体" w:hAnsi="宋体" w:hint="eastAsia"/>
        </w:rPr>
        <w:t>本项目非正常排放情况主要是废气处理装置出现故障或处理效率降低时废气排放量突然增大的情况，拟采取以下处理措施进行处理：</w:t>
      </w:r>
    </w:p>
    <w:p w:rsidR="004E3021" w:rsidRDefault="00606E48">
      <w:pPr>
        <w:ind w:firstLine="480"/>
      </w:pPr>
      <w:r>
        <w:rPr>
          <w:rFonts w:ascii="宋体" w:hAnsi="宋体" w:hint="eastAsia"/>
        </w:rPr>
        <w:t>（</w:t>
      </w:r>
      <w:r>
        <w:rPr>
          <w:rFonts w:hint="eastAsia"/>
        </w:rPr>
        <w:t>1</w:t>
      </w:r>
      <w:r>
        <w:rPr>
          <w:rFonts w:ascii="宋体" w:hAnsi="宋体" w:hint="eastAsia"/>
        </w:rPr>
        <w:t>）提高设备自动控制水平，生产线上尽量采用自动监控、报警装置；并加强废气处理装置的管理，防止废气处理装置出现故障造成非正常排放的情况。</w:t>
      </w:r>
    </w:p>
    <w:p w:rsidR="004E3021" w:rsidRDefault="00606E48">
      <w:pPr>
        <w:ind w:firstLine="480"/>
      </w:pPr>
      <w:r>
        <w:rPr>
          <w:rFonts w:ascii="宋体" w:hAnsi="宋体" w:hint="eastAsia"/>
        </w:rPr>
        <w:t>（</w:t>
      </w:r>
      <w:r>
        <w:rPr>
          <w:rFonts w:hint="eastAsia"/>
        </w:rPr>
        <w:t>2</w:t>
      </w:r>
      <w:r>
        <w:rPr>
          <w:rFonts w:ascii="宋体" w:hAnsi="宋体" w:hint="eastAsia"/>
        </w:rPr>
        <w:t>）加强生产的监督和管理，对可能出现的非正常排放情况制定预案或应急措施，出现非正常排放时及时妥善处理；</w:t>
      </w:r>
    </w:p>
    <w:p w:rsidR="004E3021" w:rsidRDefault="00606E48">
      <w:pPr>
        <w:ind w:firstLine="480"/>
      </w:pPr>
      <w:r>
        <w:rPr>
          <w:rFonts w:ascii="宋体" w:hAnsi="宋体" w:hint="eastAsia"/>
        </w:rPr>
        <w:t>（</w:t>
      </w:r>
      <w:r>
        <w:rPr>
          <w:rFonts w:hint="eastAsia"/>
        </w:rPr>
        <w:t>3</w:t>
      </w:r>
      <w:r>
        <w:rPr>
          <w:rFonts w:ascii="宋体" w:hAnsi="宋体" w:hint="eastAsia"/>
        </w:rPr>
        <w:t>）开车过程中，应先运行废气处理装置，后运行生产装置；停车过程中，应先停止生产装置，后停止废气处理装置，在确保废气有效处理后再停止废气处理装置。</w:t>
      </w:r>
    </w:p>
    <w:p w:rsidR="004E3021" w:rsidRDefault="00606E48">
      <w:pPr>
        <w:ind w:firstLine="480"/>
      </w:pPr>
      <w:r>
        <w:rPr>
          <w:rFonts w:ascii="宋体" w:hAnsi="宋体" w:hint="eastAsia"/>
        </w:rPr>
        <w:t>（</w:t>
      </w:r>
      <w:r>
        <w:rPr>
          <w:rFonts w:hint="eastAsia"/>
        </w:rPr>
        <w:t>4</w:t>
      </w:r>
      <w:r>
        <w:rPr>
          <w:rFonts w:ascii="宋体" w:hAnsi="宋体" w:hint="eastAsia"/>
        </w:rPr>
        <w:t>）检修过程中，应与停车的操作规程一致，先停止生产装置，后停止废气处理装置，确保废气通过送至废气处理装置处理后通过排气筒排放。</w:t>
      </w:r>
    </w:p>
    <w:p w:rsidR="004E3021" w:rsidRDefault="00606E48">
      <w:pPr>
        <w:ind w:firstLine="480"/>
      </w:pPr>
      <w:r>
        <w:rPr>
          <w:rFonts w:ascii="宋体" w:hAnsi="宋体" w:hint="eastAsia"/>
        </w:rPr>
        <w:t>（</w:t>
      </w:r>
      <w:r>
        <w:rPr>
          <w:rFonts w:hint="eastAsia"/>
        </w:rPr>
        <w:t>5</w:t>
      </w:r>
      <w:r>
        <w:rPr>
          <w:rFonts w:ascii="宋体" w:hAnsi="宋体" w:hint="eastAsia"/>
        </w:rPr>
        <w:t>）停电过程中，应立即手动关闭原料的进料阀，停止向反应釜中供应原料；立即启用备用电源，在备用电源启用后，应先将废气送至废气处理装置处理后通过排气筒排放，然后再运行反应装置。</w:t>
      </w:r>
    </w:p>
    <w:p w:rsidR="004E3021" w:rsidRDefault="00606E48">
      <w:pPr>
        <w:ind w:firstLine="480"/>
      </w:pPr>
      <w:r>
        <w:rPr>
          <w:rFonts w:ascii="宋体" w:hAnsi="宋体" w:hint="eastAsia"/>
        </w:rPr>
        <w:t>（</w:t>
      </w:r>
      <w:r>
        <w:rPr>
          <w:rFonts w:hint="eastAsia"/>
        </w:rPr>
        <w:t>6</w:t>
      </w:r>
      <w:r>
        <w:rPr>
          <w:rFonts w:ascii="宋体" w:hAnsi="宋体" w:hint="eastAsia"/>
        </w:rPr>
        <w:t>）加强吸收设施的管理和维修，及时更换喷淋水，确保废气处理装置的正常运行。</w:t>
      </w:r>
    </w:p>
    <w:p w:rsidR="004E3021" w:rsidRDefault="00606E48">
      <w:pPr>
        <w:ind w:firstLine="480"/>
      </w:pPr>
      <w:r>
        <w:rPr>
          <w:rFonts w:ascii="宋体" w:hAnsi="宋体" w:hint="eastAsia"/>
        </w:rPr>
        <w:t>（</w:t>
      </w:r>
      <w:r>
        <w:rPr>
          <w:rFonts w:hint="eastAsia"/>
        </w:rPr>
        <w:t>7</w:t>
      </w:r>
      <w:r>
        <w:rPr>
          <w:rFonts w:ascii="宋体" w:hAnsi="宋体" w:hint="eastAsia"/>
        </w:rPr>
        <w:t>）应考虑设置废气处理装置的备用系统，一旦发生废气的非正常排放情况，可将非正常排放的废气切换至备用系统进行处理，确保废气的有效处理。</w:t>
      </w:r>
    </w:p>
    <w:p w:rsidR="004E3021" w:rsidRDefault="00606E48">
      <w:pPr>
        <w:ind w:firstLine="480"/>
      </w:pPr>
      <w:r>
        <w:rPr>
          <w:rFonts w:ascii="宋体" w:hAnsi="宋体" w:hint="eastAsia"/>
        </w:rPr>
        <w:lastRenderedPageBreak/>
        <w:t>通过以上处理措施处理后，</w:t>
      </w:r>
      <w:r w:rsidR="00947F13">
        <w:rPr>
          <w:rFonts w:hint="eastAsia"/>
        </w:rPr>
        <w:t>本</w:t>
      </w:r>
      <w:r>
        <w:rPr>
          <w:rFonts w:ascii="宋体" w:hAnsi="宋体" w:hint="eastAsia"/>
        </w:rPr>
        <w:t>项目的非正常排放废气可得到有效的控制。</w:t>
      </w:r>
    </w:p>
    <w:p w:rsidR="004E3021" w:rsidRDefault="00606E48">
      <w:pPr>
        <w:pStyle w:val="afffffffffffffffff3"/>
      </w:pPr>
      <w:bookmarkStart w:id="633" w:name="_Toc58511631"/>
      <w:bookmarkStart w:id="634" w:name="_Toc221501067"/>
      <w:bookmarkEnd w:id="633"/>
      <w:r>
        <w:t>6.2</w:t>
      </w:r>
      <w:r>
        <w:t>水污染防治</w:t>
      </w:r>
      <w:r>
        <w:rPr>
          <w:rFonts w:hint="eastAsia"/>
        </w:rPr>
        <w:t>措施评述</w:t>
      </w:r>
      <w:bookmarkEnd w:id="634"/>
    </w:p>
    <w:p w:rsidR="004E3021" w:rsidRDefault="00D52A86">
      <w:pPr>
        <w:ind w:firstLine="480"/>
      </w:pPr>
      <w:r>
        <w:rPr>
          <w:rFonts w:ascii="宋体" w:hAnsi="宋体" w:hint="eastAsia"/>
        </w:rPr>
        <w:t>本项目</w:t>
      </w:r>
      <w:r w:rsidR="00606E48">
        <w:rPr>
          <w:rFonts w:ascii="宋体" w:hAnsi="宋体" w:hint="eastAsia"/>
        </w:rPr>
        <w:t>废水中</w:t>
      </w:r>
      <w:r w:rsidR="005753A2">
        <w:rPr>
          <w:rFonts w:hint="eastAsia"/>
        </w:rPr>
        <w:t>精馏</w:t>
      </w:r>
      <w:r w:rsidR="005753A2">
        <w:t>废水</w:t>
      </w:r>
      <w:r w:rsidR="005753A2">
        <w:rPr>
          <w:rFonts w:hint="eastAsia"/>
        </w:rPr>
        <w:t>、纯水置换废水、乙炔制备废水</w:t>
      </w:r>
      <w:r w:rsidR="00606E48">
        <w:t>、设备冲洗水、地面冲洗水、废气处理设施排水、</w:t>
      </w:r>
      <w:r w:rsidR="00606E48">
        <w:rPr>
          <w:rFonts w:hint="eastAsia"/>
        </w:rPr>
        <w:t>实验室</w:t>
      </w:r>
      <w:r w:rsidR="00606E48">
        <w:t>废水、</w:t>
      </w:r>
      <w:r w:rsidR="00606E48">
        <w:rPr>
          <w:rFonts w:hint="eastAsia"/>
        </w:rPr>
        <w:t>生活污水、</w:t>
      </w:r>
      <w:r w:rsidR="00606E48">
        <w:t>纯水制备再生水和初期雨水经</w:t>
      </w:r>
      <w:r w:rsidR="00606E48">
        <w:rPr>
          <w:rFonts w:hint="eastAsia"/>
        </w:rPr>
        <w:t>污水处理站“调节池</w:t>
      </w:r>
      <w:r w:rsidR="00606E48">
        <w:rPr>
          <w:rFonts w:hint="eastAsia"/>
        </w:rPr>
        <w:t>+</w:t>
      </w:r>
      <w:r w:rsidR="00606E48">
        <w:rPr>
          <w:rFonts w:hint="eastAsia"/>
        </w:rPr>
        <w:t>混凝沉淀</w:t>
      </w:r>
      <w:r w:rsidR="00606E48">
        <w:rPr>
          <w:rFonts w:hint="eastAsia"/>
        </w:rPr>
        <w:t>+</w:t>
      </w:r>
      <w:r w:rsidR="00606E48">
        <w:rPr>
          <w:rFonts w:hint="eastAsia"/>
        </w:rPr>
        <w:t>水解酸化</w:t>
      </w:r>
      <w:r w:rsidR="00361EDD" w:rsidRPr="00361EDD">
        <w:rPr>
          <w:rFonts w:hint="eastAsia"/>
        </w:rPr>
        <w:t>+</w:t>
      </w:r>
      <w:r w:rsidR="00361EDD" w:rsidRPr="00361EDD">
        <w:rPr>
          <w:rFonts w:hint="eastAsia"/>
        </w:rPr>
        <w:t>好氧</w:t>
      </w:r>
      <w:r w:rsidR="00606E48">
        <w:rPr>
          <w:rFonts w:hint="eastAsia"/>
        </w:rPr>
        <w:t>+MBR</w:t>
      </w:r>
      <w:r w:rsidR="00606E48">
        <w:rPr>
          <w:rFonts w:hint="eastAsia"/>
        </w:rPr>
        <w:t>”处理后</w:t>
      </w:r>
      <w:r w:rsidR="00606E48">
        <w:t>接入</w:t>
      </w:r>
      <w:r w:rsidR="00606E48">
        <w:rPr>
          <w:rFonts w:hint="eastAsia"/>
        </w:rPr>
        <w:t>全厂总排口；</w:t>
      </w:r>
      <w:r w:rsidR="00606E48">
        <w:t>纯水制备排水和循环冷却水排水</w:t>
      </w:r>
      <w:r w:rsidR="00606E48">
        <w:rPr>
          <w:rFonts w:hint="eastAsia"/>
        </w:rPr>
        <w:t>直接</w:t>
      </w:r>
      <w:r w:rsidR="00606E48">
        <w:t>接入</w:t>
      </w:r>
      <w:r w:rsidR="00606E48">
        <w:rPr>
          <w:rFonts w:hint="eastAsia"/>
        </w:rPr>
        <w:t>全厂</w:t>
      </w:r>
      <w:r w:rsidR="00606E48">
        <w:t>总排口</w:t>
      </w:r>
      <w:r w:rsidR="00606E48">
        <w:rPr>
          <w:rFonts w:hint="eastAsia"/>
        </w:rPr>
        <w:t>，一并</w:t>
      </w:r>
      <w:r w:rsidR="00606E48">
        <w:t>接管沫河口污水处理厂进一步处理</w:t>
      </w:r>
      <w:r w:rsidR="00606E48">
        <w:rPr>
          <w:rFonts w:ascii="宋体" w:hAnsi="宋体" w:hint="eastAsia"/>
        </w:rPr>
        <w:t>。</w:t>
      </w:r>
      <w:r w:rsidR="00606E48">
        <w:t xml:space="preserve"> </w:t>
      </w:r>
    </w:p>
    <w:p w:rsidR="004E3021" w:rsidRDefault="00606E48">
      <w:pPr>
        <w:ind w:firstLine="480"/>
      </w:pPr>
      <w:r>
        <w:t>污水处理系统工艺流程见图</w:t>
      </w:r>
      <w:r>
        <w:t>6.2-1</w:t>
      </w:r>
      <w:r>
        <w:rPr>
          <w:rFonts w:hint="eastAsia"/>
        </w:rPr>
        <w:t>。</w:t>
      </w:r>
    </w:p>
    <w:p w:rsidR="00973949" w:rsidRPr="00D14DE4" w:rsidRDefault="00973949" w:rsidP="00973949">
      <w:pPr>
        <w:pStyle w:val="afffff4"/>
        <w:ind w:firstLine="480"/>
        <w:rPr>
          <w:color w:val="FF0000"/>
        </w:rPr>
      </w:pPr>
      <w:r w:rsidRPr="00D14DE4">
        <w:rPr>
          <w:rFonts w:hint="eastAsia"/>
          <w:color w:val="FF0000"/>
        </w:rPr>
        <w:t>涉及商业机密，已删除</w:t>
      </w:r>
    </w:p>
    <w:p w:rsidR="004E3021" w:rsidRDefault="00606E48">
      <w:pPr>
        <w:pStyle w:val="afffff4"/>
      </w:pPr>
      <w:r>
        <w:rPr>
          <w:rFonts w:hint="eastAsia"/>
        </w:rPr>
        <w:t>图</w:t>
      </w:r>
      <w:r>
        <w:rPr>
          <w:rFonts w:hint="eastAsia"/>
        </w:rPr>
        <w:t>6.2</w:t>
      </w:r>
      <w:r>
        <w:t xml:space="preserve">-1  </w:t>
      </w:r>
      <w:r w:rsidR="00AD3F24">
        <w:rPr>
          <w:rFonts w:hint="eastAsia"/>
        </w:rPr>
        <w:t>本</w:t>
      </w:r>
      <w:r>
        <w:rPr>
          <w:rFonts w:hint="eastAsia"/>
        </w:rPr>
        <w:t>项目污水处理</w:t>
      </w:r>
      <w:r>
        <w:t>工艺流程</w:t>
      </w:r>
      <w:r>
        <w:rPr>
          <w:rFonts w:hint="eastAsia"/>
        </w:rPr>
        <w:t>图</w:t>
      </w:r>
    </w:p>
    <w:p w:rsidR="004E3021" w:rsidRDefault="004E3021">
      <w:pPr>
        <w:ind w:firstLine="480"/>
      </w:pPr>
    </w:p>
    <w:p w:rsidR="004E3021" w:rsidRDefault="00606E48">
      <w:pPr>
        <w:pStyle w:val="afffffffffffffffff4"/>
      </w:pPr>
      <w:bookmarkStart w:id="635" w:name="_Toc108662698"/>
      <w:bookmarkStart w:id="636" w:name="_Toc101135921"/>
      <w:bookmarkStart w:id="637" w:name="_Toc100784088"/>
      <w:bookmarkStart w:id="638" w:name="_Toc221088853"/>
      <w:bookmarkStart w:id="639" w:name="_Toc221501068"/>
      <w:r>
        <w:rPr>
          <w:rFonts w:hint="eastAsia"/>
        </w:rPr>
        <w:t>6.2.1</w:t>
      </w:r>
      <w:r>
        <w:rPr>
          <w:rFonts w:hint="eastAsia"/>
        </w:rPr>
        <w:t>废水处理措施评述</w:t>
      </w:r>
      <w:bookmarkEnd w:id="635"/>
      <w:bookmarkEnd w:id="636"/>
      <w:bookmarkEnd w:id="637"/>
      <w:bookmarkEnd w:id="638"/>
      <w:bookmarkEnd w:id="639"/>
    </w:p>
    <w:p w:rsidR="004E3021" w:rsidRDefault="00606E48">
      <w:pPr>
        <w:ind w:firstLine="482"/>
        <w:rPr>
          <w:b/>
        </w:rPr>
      </w:pPr>
      <w:r>
        <w:rPr>
          <w:b/>
        </w:rPr>
        <w:t>（</w:t>
      </w:r>
      <w:r>
        <w:rPr>
          <w:b/>
        </w:rPr>
        <w:t>1</w:t>
      </w:r>
      <w:r>
        <w:rPr>
          <w:b/>
        </w:rPr>
        <w:t>）废水来源</w:t>
      </w:r>
    </w:p>
    <w:p w:rsidR="004E3021" w:rsidRDefault="00AD3F24">
      <w:pPr>
        <w:ind w:firstLine="480"/>
      </w:pPr>
      <w:r>
        <w:rPr>
          <w:rFonts w:hint="eastAsia"/>
        </w:rPr>
        <w:t>本</w:t>
      </w:r>
      <w:r w:rsidR="00606E48">
        <w:rPr>
          <w:rFonts w:hint="eastAsia"/>
        </w:rPr>
        <w:t>项目实施后</w:t>
      </w:r>
      <w:r w:rsidR="00606E48">
        <w:t>，</w:t>
      </w:r>
      <w:r w:rsidR="00606E48">
        <w:rPr>
          <w:rFonts w:hint="eastAsia"/>
        </w:rPr>
        <w:t>废水</w:t>
      </w:r>
      <w:r w:rsidR="00606E48">
        <w:t>主要来源</w:t>
      </w:r>
      <w:r w:rsidR="00606E48">
        <w:rPr>
          <w:rFonts w:hint="eastAsia"/>
        </w:rPr>
        <w:t>以下</w:t>
      </w:r>
      <w:r w:rsidR="00606E48">
        <w:t>：</w:t>
      </w:r>
    </w:p>
    <w:p w:rsidR="004E3021" w:rsidRDefault="00606E48">
      <w:pPr>
        <w:ind w:firstLine="480"/>
      </w:pPr>
      <w:r>
        <w:rPr>
          <w:rFonts w:hint="eastAsia"/>
        </w:rPr>
        <w:t>①工艺废水：</w:t>
      </w:r>
      <w:r>
        <w:t>主要包括</w:t>
      </w:r>
      <w:r w:rsidR="005753A2">
        <w:rPr>
          <w:rFonts w:hint="eastAsia"/>
        </w:rPr>
        <w:t>精馏</w:t>
      </w:r>
      <w:r>
        <w:t>废水</w:t>
      </w:r>
      <w:r w:rsidR="005753A2">
        <w:rPr>
          <w:rFonts w:hint="eastAsia"/>
        </w:rPr>
        <w:t>、纯水置换废水、乙炔制备废水</w:t>
      </w:r>
      <w:r>
        <w:rPr>
          <w:rFonts w:hint="eastAsia"/>
        </w:rPr>
        <w:t>；</w:t>
      </w:r>
    </w:p>
    <w:p w:rsidR="004E3021" w:rsidRDefault="00606E48">
      <w:pPr>
        <w:ind w:firstLine="480"/>
      </w:pPr>
      <w:r>
        <w:rPr>
          <w:rFonts w:hint="eastAsia"/>
        </w:rPr>
        <w:t>②初期雨水</w:t>
      </w:r>
      <w:r>
        <w:t>：本项目生产</w:t>
      </w:r>
      <w:r>
        <w:rPr>
          <w:rFonts w:hint="eastAsia"/>
        </w:rPr>
        <w:t>区非屋顶</w:t>
      </w:r>
      <w:r>
        <w:t>区域存在潜在初期雨水污染</w:t>
      </w:r>
      <w:r>
        <w:rPr>
          <w:rFonts w:hint="eastAsia"/>
        </w:rPr>
        <w:t>，</w:t>
      </w:r>
      <w:r>
        <w:t>因此考虑收集初期雨水</w:t>
      </w:r>
      <w:r>
        <w:rPr>
          <w:rFonts w:hint="eastAsia"/>
        </w:rPr>
        <w:t>；</w:t>
      </w:r>
    </w:p>
    <w:p w:rsidR="004E3021" w:rsidRDefault="00606E48">
      <w:pPr>
        <w:ind w:firstLine="480"/>
      </w:pPr>
      <w:r>
        <w:rPr>
          <w:rFonts w:hint="eastAsia"/>
        </w:rPr>
        <w:t>③地面</w:t>
      </w:r>
      <w:r>
        <w:t>冲洗水和设备冲洗水：</w:t>
      </w:r>
      <w:r>
        <w:rPr>
          <w:rFonts w:hint="eastAsia"/>
        </w:rPr>
        <w:t>本项目</w:t>
      </w:r>
      <w:r>
        <w:t>地面</w:t>
      </w:r>
      <w:r>
        <w:rPr>
          <w:rFonts w:hint="eastAsia"/>
        </w:rPr>
        <w:t>和</w:t>
      </w:r>
      <w:r>
        <w:t>设备需定期冲洗</w:t>
      </w:r>
      <w:r>
        <w:rPr>
          <w:rFonts w:hint="eastAsia"/>
        </w:rPr>
        <w:t>，主要</w:t>
      </w:r>
      <w:r>
        <w:t>污染物为</w:t>
      </w:r>
      <w:r>
        <w:t>COD</w:t>
      </w:r>
      <w:r>
        <w:t>、</w:t>
      </w:r>
      <w:r>
        <w:t>SS</w:t>
      </w:r>
      <w:r>
        <w:t>。</w:t>
      </w:r>
    </w:p>
    <w:p w:rsidR="004E3021" w:rsidRDefault="00606E48">
      <w:pPr>
        <w:ind w:firstLine="480"/>
      </w:pPr>
      <w:r>
        <w:rPr>
          <w:rFonts w:hint="eastAsia"/>
        </w:rPr>
        <w:t>④纯水</w:t>
      </w:r>
      <w:r>
        <w:t>制备排水</w:t>
      </w:r>
      <w:r>
        <w:rPr>
          <w:rFonts w:hint="eastAsia"/>
        </w:rPr>
        <w:t>和纯水</w:t>
      </w:r>
      <w:r>
        <w:t>制备再生水：本项目纯水制备</w:t>
      </w:r>
      <w:r>
        <w:rPr>
          <w:rFonts w:hint="eastAsia"/>
        </w:rPr>
        <w:t>产生</w:t>
      </w:r>
      <w:r>
        <w:t>浓水以及</w:t>
      </w:r>
      <w:r>
        <w:rPr>
          <w:rFonts w:hint="eastAsia"/>
        </w:rPr>
        <w:t>纯水</w:t>
      </w:r>
      <w:r>
        <w:t>制备</w:t>
      </w:r>
      <w:r>
        <w:rPr>
          <w:rFonts w:hint="eastAsia"/>
        </w:rPr>
        <w:t>再生水</w:t>
      </w:r>
      <w:r>
        <w:t>（</w:t>
      </w:r>
      <w:r>
        <w:rPr>
          <w:rFonts w:hint="eastAsia"/>
        </w:rPr>
        <w:t>纯水</w:t>
      </w:r>
      <w:r>
        <w:t>设备冲洗</w:t>
      </w:r>
      <w:r>
        <w:rPr>
          <w:rFonts w:hint="eastAsia"/>
        </w:rPr>
        <w:t>废水）；</w:t>
      </w:r>
    </w:p>
    <w:p w:rsidR="004E3021" w:rsidRDefault="00606E48">
      <w:pPr>
        <w:ind w:firstLine="480"/>
      </w:pPr>
      <w:r>
        <w:rPr>
          <w:rFonts w:hint="eastAsia"/>
        </w:rPr>
        <w:t>⑤废气处理设施</w:t>
      </w:r>
      <w:r>
        <w:t>排水</w:t>
      </w:r>
      <w:r>
        <w:rPr>
          <w:rFonts w:hint="eastAsia"/>
        </w:rPr>
        <w:t>：</w:t>
      </w:r>
      <w:r>
        <w:t>本项目废气处理设施包括</w:t>
      </w:r>
      <w:r>
        <w:rPr>
          <w:rFonts w:hint="eastAsia"/>
        </w:rPr>
        <w:t>“水洗塔</w:t>
      </w:r>
      <w:r>
        <w:t>、碱洗塔</w:t>
      </w:r>
      <w:r>
        <w:rPr>
          <w:rFonts w:hint="eastAsia"/>
        </w:rPr>
        <w:t>和</w:t>
      </w:r>
      <w:r>
        <w:t>酸洗塔等</w:t>
      </w:r>
      <w:r>
        <w:rPr>
          <w:rFonts w:hint="eastAsia"/>
        </w:rPr>
        <w:t>”；</w:t>
      </w:r>
    </w:p>
    <w:p w:rsidR="004E3021" w:rsidRDefault="00606E48">
      <w:pPr>
        <w:ind w:firstLine="480"/>
      </w:pPr>
      <w:r>
        <w:rPr>
          <w:rFonts w:hint="eastAsia"/>
        </w:rPr>
        <w:t>⑥循环</w:t>
      </w:r>
      <w:r>
        <w:t>冷却水排水：本项目循环</w:t>
      </w:r>
      <w:r>
        <w:rPr>
          <w:rFonts w:hint="eastAsia"/>
        </w:rPr>
        <w:t>冷却</w:t>
      </w:r>
      <w:r>
        <w:t>水系统排污水；</w:t>
      </w:r>
    </w:p>
    <w:p w:rsidR="004E3021" w:rsidRDefault="00606E48">
      <w:pPr>
        <w:ind w:firstLine="480"/>
      </w:pPr>
      <w:r>
        <w:rPr>
          <w:rFonts w:hint="eastAsia"/>
        </w:rPr>
        <w:t>⑦实验室</w:t>
      </w:r>
      <w:r>
        <w:t>废水</w:t>
      </w:r>
      <w:r>
        <w:rPr>
          <w:rFonts w:hint="eastAsia"/>
        </w:rPr>
        <w:t>：</w:t>
      </w:r>
      <w:r>
        <w:t>本项目实验室产生</w:t>
      </w:r>
      <w:r>
        <w:rPr>
          <w:rFonts w:hint="eastAsia"/>
        </w:rPr>
        <w:t>实验室</w:t>
      </w:r>
      <w:r>
        <w:t>废水</w:t>
      </w:r>
      <w:r>
        <w:rPr>
          <w:rFonts w:hint="eastAsia"/>
        </w:rPr>
        <w:t>；</w:t>
      </w:r>
    </w:p>
    <w:p w:rsidR="004E3021" w:rsidRDefault="00606E48">
      <w:pPr>
        <w:ind w:firstLine="480"/>
      </w:pPr>
      <w:r>
        <w:rPr>
          <w:rFonts w:ascii="宋体" w:hAnsi="宋体" w:cs="宋体" w:hint="eastAsia"/>
        </w:rPr>
        <w:t>⑧生活污水</w:t>
      </w:r>
      <w:r>
        <w:rPr>
          <w:rFonts w:ascii="宋体" w:hAnsi="宋体" w:cs="宋体"/>
        </w:rPr>
        <w:t>：</w:t>
      </w:r>
      <w:r>
        <w:t>包括卫生间、淋浴排水等，主要为有机污染物，易采用生物降解</w:t>
      </w:r>
      <w:r>
        <w:rPr>
          <w:rFonts w:hint="eastAsia"/>
        </w:rPr>
        <w:t>。</w:t>
      </w:r>
    </w:p>
    <w:p w:rsidR="004E3021" w:rsidRDefault="00606E48">
      <w:pPr>
        <w:ind w:firstLine="482"/>
        <w:rPr>
          <w:b/>
        </w:rPr>
      </w:pPr>
      <w:r>
        <w:rPr>
          <w:b/>
        </w:rPr>
        <w:t>（</w:t>
      </w:r>
      <w:r>
        <w:rPr>
          <w:b/>
        </w:rPr>
        <w:t>2</w:t>
      </w:r>
      <w:r>
        <w:rPr>
          <w:b/>
        </w:rPr>
        <w:t>）废水处理工艺选择</w:t>
      </w:r>
    </w:p>
    <w:p w:rsidR="004E3021" w:rsidRDefault="005753A2">
      <w:pPr>
        <w:ind w:firstLine="480"/>
      </w:pPr>
      <w:r>
        <w:rPr>
          <w:rFonts w:hint="eastAsia"/>
        </w:rPr>
        <w:t>本</w:t>
      </w:r>
      <w:r w:rsidR="00606E48">
        <w:t>项目生产废水</w:t>
      </w:r>
      <w:r w:rsidR="00606E48">
        <w:rPr>
          <w:rFonts w:hint="eastAsia"/>
        </w:rPr>
        <w:t>水量变化大，水质复杂，新建的</w:t>
      </w:r>
      <w:r w:rsidR="00606E48">
        <w:t>污水处理系统采取废水分质收集，分类处置的原则，将全厂废水共分为</w:t>
      </w:r>
      <w:r w:rsidR="00606E48">
        <w:t>3</w:t>
      </w:r>
      <w:r w:rsidR="00606E48">
        <w:t>类，分别收集和处理。</w:t>
      </w:r>
    </w:p>
    <w:p w:rsidR="004E3021" w:rsidRDefault="00606E48">
      <w:pPr>
        <w:ind w:firstLine="480"/>
        <w:rPr>
          <w:color w:val="000000" w:themeColor="text1"/>
        </w:rPr>
      </w:pPr>
      <w:r>
        <w:rPr>
          <w:rFonts w:hint="eastAsia"/>
        </w:rPr>
        <w:lastRenderedPageBreak/>
        <w:t>综合</w:t>
      </w:r>
      <w:r w:rsidR="005753A2">
        <w:t>废水：主要包括</w:t>
      </w:r>
      <w:r w:rsidR="005753A2">
        <w:rPr>
          <w:rFonts w:hint="eastAsia"/>
        </w:rPr>
        <w:t>精馏</w:t>
      </w:r>
      <w:r w:rsidR="005753A2">
        <w:t>废水</w:t>
      </w:r>
      <w:r w:rsidR="005753A2">
        <w:rPr>
          <w:rFonts w:hint="eastAsia"/>
        </w:rPr>
        <w:t>、纯水置换废水、乙炔制备废水</w:t>
      </w:r>
      <w:r>
        <w:rPr>
          <w:rFonts w:hint="eastAsia"/>
        </w:rPr>
        <w:t>、</w:t>
      </w:r>
      <w:r>
        <w:t>设备</w:t>
      </w:r>
      <w:r>
        <w:rPr>
          <w:rFonts w:hint="eastAsia"/>
        </w:rPr>
        <w:t>冲洗</w:t>
      </w:r>
      <w:r>
        <w:t>水</w:t>
      </w:r>
      <w:r>
        <w:rPr>
          <w:rFonts w:hint="eastAsia"/>
        </w:rPr>
        <w:t>、</w:t>
      </w:r>
      <w:r>
        <w:t>地面冲洗水</w:t>
      </w:r>
      <w:r>
        <w:rPr>
          <w:rFonts w:hint="eastAsia"/>
        </w:rPr>
        <w:t>、</w:t>
      </w:r>
      <w:r>
        <w:t>废气</w:t>
      </w:r>
      <w:r>
        <w:rPr>
          <w:rFonts w:hint="eastAsia"/>
        </w:rPr>
        <w:t>处理</w:t>
      </w:r>
      <w:r>
        <w:t>设施排水</w:t>
      </w:r>
      <w:r>
        <w:rPr>
          <w:rFonts w:hint="eastAsia"/>
        </w:rPr>
        <w:t>、实验室</w:t>
      </w:r>
      <w:r>
        <w:rPr>
          <w:color w:val="000000" w:themeColor="text1"/>
        </w:rPr>
        <w:t>废水</w:t>
      </w:r>
      <w:r>
        <w:rPr>
          <w:rFonts w:hint="eastAsia"/>
          <w:color w:val="000000" w:themeColor="text1"/>
        </w:rPr>
        <w:t>、</w:t>
      </w:r>
      <w:r>
        <w:rPr>
          <w:color w:val="000000" w:themeColor="text1"/>
        </w:rPr>
        <w:t>再生水</w:t>
      </w:r>
      <w:r>
        <w:rPr>
          <w:rFonts w:hint="eastAsia"/>
          <w:color w:val="000000" w:themeColor="text1"/>
        </w:rPr>
        <w:t>、</w:t>
      </w:r>
      <w:r>
        <w:rPr>
          <w:color w:val="000000" w:themeColor="text1"/>
        </w:rPr>
        <w:t>生活污水和初期雨水，经厂</w:t>
      </w:r>
      <w:r>
        <w:rPr>
          <w:rFonts w:hint="eastAsia"/>
          <w:color w:val="000000" w:themeColor="text1"/>
        </w:rPr>
        <w:t>内</w:t>
      </w:r>
      <w:r>
        <w:rPr>
          <w:color w:val="000000" w:themeColor="text1"/>
        </w:rPr>
        <w:t>污水处理站（</w:t>
      </w:r>
      <w:r>
        <w:rPr>
          <w:rFonts w:hint="eastAsia"/>
        </w:rPr>
        <w:t>调节池</w:t>
      </w:r>
      <w:r>
        <w:rPr>
          <w:rFonts w:hint="eastAsia"/>
        </w:rPr>
        <w:t>+</w:t>
      </w:r>
      <w:r>
        <w:rPr>
          <w:rFonts w:hint="eastAsia"/>
        </w:rPr>
        <w:t>混凝沉淀</w:t>
      </w:r>
      <w:r>
        <w:rPr>
          <w:rFonts w:hint="eastAsia"/>
        </w:rPr>
        <w:t>+</w:t>
      </w:r>
      <w:r>
        <w:rPr>
          <w:rFonts w:hint="eastAsia"/>
        </w:rPr>
        <w:t>水解酸化</w:t>
      </w:r>
      <w:r w:rsidR="00361EDD" w:rsidRPr="00361EDD">
        <w:rPr>
          <w:rFonts w:hint="eastAsia"/>
        </w:rPr>
        <w:t>+</w:t>
      </w:r>
      <w:r w:rsidR="00361EDD" w:rsidRPr="00361EDD">
        <w:rPr>
          <w:rFonts w:hint="eastAsia"/>
        </w:rPr>
        <w:t>好氧</w:t>
      </w:r>
      <w:r>
        <w:rPr>
          <w:rFonts w:hint="eastAsia"/>
        </w:rPr>
        <w:t>+MBR</w:t>
      </w:r>
      <w:r>
        <w:rPr>
          <w:color w:val="000000" w:themeColor="text1"/>
        </w:rPr>
        <w:t>）</w:t>
      </w:r>
      <w:r>
        <w:rPr>
          <w:rFonts w:hint="eastAsia"/>
          <w:color w:val="000000" w:themeColor="text1"/>
        </w:rPr>
        <w:t>。</w:t>
      </w:r>
    </w:p>
    <w:p w:rsidR="004E3021" w:rsidRDefault="00606E48">
      <w:pPr>
        <w:ind w:firstLine="480"/>
      </w:pPr>
      <w:r>
        <w:rPr>
          <w:rFonts w:hint="eastAsia"/>
        </w:rPr>
        <w:t>综合</w:t>
      </w:r>
      <w:r>
        <w:t>废水接入污水处理站的</w:t>
      </w:r>
      <w:r>
        <w:rPr>
          <w:rFonts w:hint="eastAsia"/>
        </w:rPr>
        <w:t>废水量</w:t>
      </w:r>
      <w:r>
        <w:t>为</w:t>
      </w:r>
      <w:r>
        <w:t>237.1</w:t>
      </w:r>
      <w:r w:rsidR="005753A2">
        <w:t>7</w:t>
      </w:r>
      <w:r>
        <w:t>t/d</w:t>
      </w:r>
      <w:r>
        <w:rPr>
          <w:rFonts w:hint="eastAsia"/>
        </w:rPr>
        <w:t>，考虑初期雨水需在</w:t>
      </w:r>
      <w:r>
        <w:rPr>
          <w:rFonts w:hint="eastAsia"/>
        </w:rPr>
        <w:t>5d</w:t>
      </w:r>
      <w:r>
        <w:rPr>
          <w:rFonts w:hint="eastAsia"/>
        </w:rPr>
        <w:t>内处理，即</w:t>
      </w:r>
      <w:r>
        <w:rPr>
          <w:rFonts w:hint="eastAsia"/>
        </w:rPr>
        <w:t>2</w:t>
      </w:r>
      <w:r>
        <w:t>42.488</w:t>
      </w:r>
      <w:r>
        <w:rPr>
          <w:rFonts w:hint="eastAsia"/>
        </w:rPr>
        <w:t>t</w:t>
      </w:r>
      <w:r>
        <w:t>/</w:t>
      </w:r>
      <w:r>
        <w:rPr>
          <w:rFonts w:hint="eastAsia"/>
        </w:rPr>
        <w:t>d</w:t>
      </w:r>
      <w:r>
        <w:rPr>
          <w:rFonts w:hint="eastAsia"/>
        </w:rPr>
        <w:t>，</w:t>
      </w:r>
      <w:r>
        <w:t>因此污水处理站设计能力为</w:t>
      </w:r>
      <w:r>
        <w:t>520 m</w:t>
      </w:r>
      <w:r>
        <w:rPr>
          <w:vertAlign w:val="superscript"/>
        </w:rPr>
        <w:t>3</w:t>
      </w:r>
      <w:r>
        <w:t>/d</w:t>
      </w:r>
      <w:r>
        <w:rPr>
          <w:rFonts w:hint="eastAsia"/>
        </w:rPr>
        <w:t>。</w:t>
      </w:r>
    </w:p>
    <w:p w:rsidR="004E3021" w:rsidRDefault="00606E48">
      <w:pPr>
        <w:ind w:firstLine="482"/>
        <w:rPr>
          <w:b/>
        </w:rPr>
      </w:pPr>
      <w:r>
        <w:rPr>
          <w:rFonts w:hint="eastAsia"/>
          <w:b/>
        </w:rPr>
        <w:t>（</w:t>
      </w:r>
      <w:r>
        <w:rPr>
          <w:b/>
        </w:rPr>
        <w:t>3</w:t>
      </w:r>
      <w:r>
        <w:rPr>
          <w:rFonts w:hint="eastAsia"/>
          <w:b/>
        </w:rPr>
        <w:t>）各</w:t>
      </w:r>
      <w:r>
        <w:rPr>
          <w:b/>
        </w:rPr>
        <w:t>污水处理系统</w:t>
      </w:r>
      <w:r>
        <w:rPr>
          <w:rFonts w:hint="eastAsia"/>
          <w:b/>
        </w:rPr>
        <w:t>去除</w:t>
      </w:r>
      <w:r>
        <w:rPr>
          <w:b/>
        </w:rPr>
        <w:t>效率</w:t>
      </w:r>
    </w:p>
    <w:p w:rsidR="004E3021" w:rsidRDefault="00606E48">
      <w:pPr>
        <w:pStyle w:val="afffff4"/>
      </w:pPr>
      <w:r>
        <w:rPr>
          <w:rFonts w:hint="eastAsia"/>
        </w:rPr>
        <w:t>6.2.1-</w:t>
      </w:r>
      <w:r>
        <w:t xml:space="preserve">3  </w:t>
      </w:r>
      <w:r>
        <w:rPr>
          <w:rFonts w:hint="eastAsia"/>
        </w:rPr>
        <w:t>污水处理站</w:t>
      </w:r>
      <w:r>
        <w:t>处理效率一览表</w:t>
      </w:r>
    </w:p>
    <w:tbl>
      <w:tblPr>
        <w:tblStyle w:val="1ffffffd"/>
        <w:tblW w:w="5000" w:type="pct"/>
        <w:tblLook w:val="04A0" w:firstRow="1" w:lastRow="0" w:firstColumn="1" w:lastColumn="0" w:noHBand="0" w:noVBand="1"/>
      </w:tblPr>
      <w:tblGrid>
        <w:gridCol w:w="1008"/>
        <w:gridCol w:w="1003"/>
        <w:gridCol w:w="1014"/>
        <w:gridCol w:w="1003"/>
        <w:gridCol w:w="1003"/>
        <w:gridCol w:w="1004"/>
        <w:gridCol w:w="1194"/>
        <w:gridCol w:w="801"/>
        <w:gridCol w:w="996"/>
      </w:tblGrid>
      <w:tr w:rsidR="004E3021" w:rsidRPr="005753A2" w:rsidTr="005753A2">
        <w:trPr>
          <w:trHeight w:val="360"/>
        </w:trPr>
        <w:tc>
          <w:tcPr>
            <w:tcW w:w="559" w:type="pct"/>
            <w:vMerge w:val="restart"/>
            <w:vAlign w:val="center"/>
          </w:tcPr>
          <w:p w:rsidR="004E3021" w:rsidRPr="005753A2" w:rsidRDefault="00606E48"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工序</w:t>
            </w:r>
          </w:p>
        </w:tc>
        <w:tc>
          <w:tcPr>
            <w:tcW w:w="556" w:type="pct"/>
            <w:vMerge w:val="restart"/>
            <w:vAlign w:val="center"/>
          </w:tcPr>
          <w:p w:rsidR="004E3021" w:rsidRPr="005753A2" w:rsidRDefault="00606E48"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项目</w:t>
            </w:r>
          </w:p>
        </w:tc>
        <w:tc>
          <w:tcPr>
            <w:tcW w:w="3885" w:type="pct"/>
            <w:gridSpan w:val="7"/>
            <w:vAlign w:val="center"/>
          </w:tcPr>
          <w:p w:rsidR="004E3021" w:rsidRPr="005753A2" w:rsidRDefault="00606E48"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污染物浓度（</w:t>
            </w:r>
            <w:r w:rsidRPr="005753A2">
              <w:rPr>
                <w:rFonts w:ascii="Times New Roman" w:hAnsi="Times New Roman" w:cs="Times New Roman"/>
                <w:kern w:val="0"/>
                <w:sz w:val="21"/>
                <w:szCs w:val="21"/>
              </w:rPr>
              <w:t>mg/L</w:t>
            </w:r>
            <w:r w:rsidRPr="005753A2">
              <w:rPr>
                <w:rFonts w:ascii="Times New Roman" w:hAnsi="Times New Roman" w:cs="Times New Roman"/>
                <w:kern w:val="0"/>
                <w:sz w:val="21"/>
                <w:szCs w:val="21"/>
              </w:rPr>
              <w:t>）</w:t>
            </w:r>
          </w:p>
        </w:tc>
      </w:tr>
      <w:tr w:rsidR="004E3021" w:rsidRPr="005753A2" w:rsidTr="005753A2">
        <w:trPr>
          <w:trHeight w:val="360"/>
        </w:trPr>
        <w:tc>
          <w:tcPr>
            <w:tcW w:w="559" w:type="pct"/>
            <w:vMerge/>
            <w:vAlign w:val="center"/>
          </w:tcPr>
          <w:p w:rsidR="004E3021" w:rsidRPr="005753A2" w:rsidRDefault="004E3021" w:rsidP="005753A2">
            <w:pPr>
              <w:pStyle w:val="afffffff2"/>
              <w:rPr>
                <w:rFonts w:ascii="Times New Roman" w:hAnsi="Times New Roman" w:cs="Times New Roman"/>
                <w:kern w:val="0"/>
                <w:sz w:val="21"/>
                <w:szCs w:val="21"/>
              </w:rPr>
            </w:pPr>
          </w:p>
        </w:tc>
        <w:tc>
          <w:tcPr>
            <w:tcW w:w="556" w:type="pct"/>
            <w:vMerge/>
            <w:vAlign w:val="center"/>
          </w:tcPr>
          <w:p w:rsidR="004E3021" w:rsidRPr="005753A2" w:rsidRDefault="004E3021" w:rsidP="005753A2">
            <w:pPr>
              <w:pStyle w:val="afffffff2"/>
              <w:rPr>
                <w:rFonts w:ascii="Times New Roman" w:hAnsi="Times New Roman" w:cs="Times New Roman"/>
                <w:kern w:val="0"/>
                <w:sz w:val="21"/>
                <w:szCs w:val="21"/>
              </w:rPr>
            </w:pPr>
          </w:p>
        </w:tc>
        <w:tc>
          <w:tcPr>
            <w:tcW w:w="562" w:type="pct"/>
            <w:vAlign w:val="center"/>
          </w:tcPr>
          <w:p w:rsidR="004E3021" w:rsidRPr="005753A2" w:rsidRDefault="00606E48"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COD</w:t>
            </w:r>
          </w:p>
        </w:tc>
        <w:tc>
          <w:tcPr>
            <w:tcW w:w="556" w:type="pct"/>
            <w:vAlign w:val="center"/>
          </w:tcPr>
          <w:p w:rsidR="004E3021" w:rsidRPr="005753A2" w:rsidRDefault="00606E48"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SS</w:t>
            </w:r>
          </w:p>
        </w:tc>
        <w:tc>
          <w:tcPr>
            <w:tcW w:w="556" w:type="pct"/>
            <w:vAlign w:val="center"/>
          </w:tcPr>
          <w:p w:rsidR="004E3021" w:rsidRPr="005753A2" w:rsidRDefault="00606E48"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氨氮</w:t>
            </w:r>
          </w:p>
        </w:tc>
        <w:tc>
          <w:tcPr>
            <w:tcW w:w="553" w:type="pct"/>
            <w:vAlign w:val="center"/>
          </w:tcPr>
          <w:p w:rsidR="004E3021" w:rsidRPr="005753A2" w:rsidRDefault="00606E48"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盐分</w:t>
            </w:r>
          </w:p>
        </w:tc>
        <w:tc>
          <w:tcPr>
            <w:tcW w:w="662" w:type="pct"/>
            <w:vAlign w:val="center"/>
          </w:tcPr>
          <w:p w:rsidR="004E3021" w:rsidRPr="005753A2" w:rsidRDefault="005753A2" w:rsidP="005753A2">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动植物油</w:t>
            </w:r>
          </w:p>
        </w:tc>
        <w:tc>
          <w:tcPr>
            <w:tcW w:w="444" w:type="pct"/>
            <w:vAlign w:val="center"/>
          </w:tcPr>
          <w:p w:rsidR="004E3021" w:rsidRPr="005753A2" w:rsidRDefault="00606E48" w:rsidP="005753A2">
            <w:pPr>
              <w:pStyle w:val="afffffff2"/>
              <w:rPr>
                <w:rFonts w:ascii="Times New Roman" w:hAnsi="Times New Roman" w:cs="Times New Roman"/>
                <w:kern w:val="0"/>
                <w:sz w:val="21"/>
                <w:szCs w:val="21"/>
                <w:vertAlign w:val="subscript"/>
              </w:rPr>
            </w:pPr>
            <w:r w:rsidRPr="005753A2">
              <w:rPr>
                <w:rFonts w:ascii="Times New Roman" w:hAnsi="Times New Roman" w:cs="Times New Roman"/>
                <w:kern w:val="0"/>
                <w:sz w:val="21"/>
                <w:szCs w:val="21"/>
              </w:rPr>
              <w:t>BOD</w:t>
            </w:r>
            <w:r w:rsidRPr="005753A2">
              <w:rPr>
                <w:rFonts w:ascii="Times New Roman" w:hAnsi="Times New Roman" w:cs="Times New Roman"/>
                <w:kern w:val="0"/>
                <w:sz w:val="21"/>
                <w:szCs w:val="21"/>
                <w:vertAlign w:val="subscript"/>
              </w:rPr>
              <w:t>5</w:t>
            </w:r>
          </w:p>
        </w:tc>
        <w:tc>
          <w:tcPr>
            <w:tcW w:w="551" w:type="pct"/>
            <w:vAlign w:val="center"/>
          </w:tcPr>
          <w:p w:rsidR="004E3021" w:rsidRPr="005753A2" w:rsidRDefault="00606E48"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TP</w:t>
            </w:r>
          </w:p>
        </w:tc>
      </w:tr>
      <w:tr w:rsidR="004E3021" w:rsidRPr="005753A2" w:rsidTr="005753A2">
        <w:tc>
          <w:tcPr>
            <w:tcW w:w="559" w:type="pct"/>
            <w:vMerge w:val="restart"/>
            <w:vAlign w:val="center"/>
          </w:tcPr>
          <w:p w:rsidR="004E3021" w:rsidRPr="005753A2" w:rsidRDefault="00606E48"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污水处理站</w:t>
            </w:r>
          </w:p>
        </w:tc>
        <w:tc>
          <w:tcPr>
            <w:tcW w:w="556" w:type="pct"/>
            <w:vAlign w:val="center"/>
          </w:tcPr>
          <w:p w:rsidR="004E3021" w:rsidRPr="005753A2" w:rsidRDefault="00606E48"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进水</w:t>
            </w:r>
          </w:p>
        </w:tc>
        <w:tc>
          <w:tcPr>
            <w:tcW w:w="562" w:type="pct"/>
            <w:vAlign w:val="center"/>
          </w:tcPr>
          <w:p w:rsidR="004E3021" w:rsidRPr="005753A2" w:rsidRDefault="005753A2" w:rsidP="005753A2">
            <w:pPr>
              <w:pStyle w:val="afffffff2"/>
              <w:rPr>
                <w:rFonts w:ascii="Times New Roman" w:hAnsi="Times New Roman" w:cs="Times New Roman"/>
                <w:kern w:val="0"/>
                <w:sz w:val="21"/>
                <w:szCs w:val="21"/>
              </w:rPr>
            </w:pPr>
            <w:r w:rsidRPr="005753A2">
              <w:rPr>
                <w:rFonts w:ascii="Times New Roman" w:hAnsi="Times New Roman" w:cs="Times New Roman"/>
                <w:sz w:val="21"/>
                <w:szCs w:val="21"/>
              </w:rPr>
              <w:t>1397.494</w:t>
            </w:r>
          </w:p>
        </w:tc>
        <w:tc>
          <w:tcPr>
            <w:tcW w:w="556" w:type="pct"/>
            <w:vAlign w:val="center"/>
          </w:tcPr>
          <w:p w:rsidR="004E3021" w:rsidRPr="005753A2" w:rsidRDefault="005753A2" w:rsidP="005753A2">
            <w:pPr>
              <w:pStyle w:val="afffffff2"/>
              <w:rPr>
                <w:rFonts w:ascii="Times New Roman" w:hAnsi="Times New Roman" w:cs="Times New Roman"/>
                <w:kern w:val="0"/>
                <w:sz w:val="21"/>
                <w:szCs w:val="21"/>
              </w:rPr>
            </w:pPr>
            <w:r w:rsidRPr="005753A2">
              <w:rPr>
                <w:rFonts w:ascii="Times New Roman" w:hAnsi="Times New Roman" w:cs="Times New Roman"/>
                <w:sz w:val="21"/>
                <w:szCs w:val="21"/>
              </w:rPr>
              <w:t>224.047</w:t>
            </w:r>
          </w:p>
        </w:tc>
        <w:tc>
          <w:tcPr>
            <w:tcW w:w="556" w:type="pct"/>
            <w:vAlign w:val="center"/>
          </w:tcPr>
          <w:p w:rsidR="004E3021" w:rsidRPr="005753A2" w:rsidRDefault="005753A2" w:rsidP="005753A2">
            <w:pPr>
              <w:pStyle w:val="afffffff2"/>
              <w:rPr>
                <w:rFonts w:ascii="Times New Roman" w:hAnsi="Times New Roman" w:cs="Times New Roman"/>
                <w:kern w:val="0"/>
                <w:sz w:val="21"/>
                <w:szCs w:val="21"/>
              </w:rPr>
            </w:pPr>
            <w:r w:rsidRPr="005753A2">
              <w:rPr>
                <w:rFonts w:ascii="Times New Roman" w:hAnsi="Times New Roman" w:cs="Times New Roman"/>
                <w:sz w:val="21"/>
                <w:szCs w:val="21"/>
              </w:rPr>
              <w:t>10.274</w:t>
            </w:r>
          </w:p>
        </w:tc>
        <w:tc>
          <w:tcPr>
            <w:tcW w:w="553" w:type="pct"/>
            <w:vAlign w:val="center"/>
          </w:tcPr>
          <w:p w:rsidR="004E3021" w:rsidRPr="005753A2" w:rsidRDefault="005753A2" w:rsidP="005753A2">
            <w:pPr>
              <w:pStyle w:val="afffffff2"/>
              <w:rPr>
                <w:rFonts w:ascii="Times New Roman" w:hAnsi="Times New Roman" w:cs="Times New Roman"/>
                <w:kern w:val="0"/>
                <w:sz w:val="21"/>
                <w:szCs w:val="21"/>
              </w:rPr>
            </w:pPr>
            <w:r w:rsidRPr="005753A2">
              <w:rPr>
                <w:rFonts w:ascii="Times New Roman" w:hAnsi="Times New Roman" w:cs="Times New Roman"/>
                <w:sz w:val="21"/>
                <w:szCs w:val="21"/>
              </w:rPr>
              <w:t>402.543</w:t>
            </w:r>
          </w:p>
        </w:tc>
        <w:tc>
          <w:tcPr>
            <w:tcW w:w="662" w:type="pct"/>
            <w:vAlign w:val="center"/>
          </w:tcPr>
          <w:p w:rsidR="004E3021" w:rsidRPr="005753A2" w:rsidRDefault="005753A2" w:rsidP="005753A2">
            <w:pPr>
              <w:pStyle w:val="afffffff2"/>
              <w:rPr>
                <w:rFonts w:ascii="Times New Roman" w:hAnsi="Times New Roman" w:cs="Times New Roman"/>
                <w:kern w:val="0"/>
                <w:sz w:val="21"/>
                <w:szCs w:val="21"/>
              </w:rPr>
            </w:pPr>
            <w:r w:rsidRPr="005753A2">
              <w:rPr>
                <w:rFonts w:ascii="Times New Roman" w:hAnsi="Times New Roman" w:cs="Times New Roman"/>
                <w:sz w:val="21"/>
                <w:szCs w:val="21"/>
              </w:rPr>
              <w:t>2.263</w:t>
            </w:r>
          </w:p>
        </w:tc>
        <w:tc>
          <w:tcPr>
            <w:tcW w:w="444" w:type="pct"/>
            <w:vAlign w:val="center"/>
          </w:tcPr>
          <w:p w:rsidR="004E3021" w:rsidRPr="005753A2" w:rsidRDefault="005753A2" w:rsidP="005753A2">
            <w:pPr>
              <w:pStyle w:val="afffffff2"/>
              <w:rPr>
                <w:rFonts w:ascii="Times New Roman" w:hAnsi="Times New Roman" w:cs="Times New Roman"/>
                <w:kern w:val="0"/>
                <w:sz w:val="21"/>
                <w:szCs w:val="21"/>
              </w:rPr>
            </w:pPr>
            <w:r w:rsidRPr="005753A2">
              <w:rPr>
                <w:rFonts w:ascii="Times New Roman" w:hAnsi="Times New Roman" w:cs="Times New Roman"/>
                <w:sz w:val="21"/>
                <w:szCs w:val="21"/>
              </w:rPr>
              <w:t>55.193</w:t>
            </w:r>
          </w:p>
        </w:tc>
        <w:tc>
          <w:tcPr>
            <w:tcW w:w="551" w:type="pct"/>
            <w:vAlign w:val="center"/>
          </w:tcPr>
          <w:p w:rsidR="004E3021" w:rsidRPr="005753A2" w:rsidRDefault="005753A2" w:rsidP="005753A2">
            <w:pPr>
              <w:pStyle w:val="afffffff2"/>
              <w:rPr>
                <w:rFonts w:ascii="Times New Roman" w:hAnsi="Times New Roman" w:cs="Times New Roman"/>
                <w:kern w:val="0"/>
                <w:sz w:val="21"/>
                <w:szCs w:val="21"/>
              </w:rPr>
            </w:pPr>
            <w:r w:rsidRPr="005753A2">
              <w:rPr>
                <w:rFonts w:ascii="Times New Roman" w:hAnsi="Times New Roman" w:cs="Times New Roman"/>
                <w:sz w:val="21"/>
                <w:szCs w:val="21"/>
              </w:rPr>
              <w:t>0.914</w:t>
            </w:r>
          </w:p>
        </w:tc>
      </w:tr>
      <w:tr w:rsidR="004E3021" w:rsidRPr="005753A2" w:rsidTr="005753A2">
        <w:tc>
          <w:tcPr>
            <w:tcW w:w="559" w:type="pct"/>
            <w:vMerge/>
            <w:vAlign w:val="center"/>
          </w:tcPr>
          <w:p w:rsidR="004E3021" w:rsidRPr="005753A2" w:rsidRDefault="004E3021" w:rsidP="005753A2">
            <w:pPr>
              <w:pStyle w:val="afffffff2"/>
              <w:rPr>
                <w:rFonts w:ascii="Times New Roman" w:hAnsi="Times New Roman" w:cs="Times New Roman"/>
                <w:kern w:val="0"/>
                <w:sz w:val="21"/>
                <w:szCs w:val="21"/>
              </w:rPr>
            </w:pPr>
          </w:p>
        </w:tc>
        <w:tc>
          <w:tcPr>
            <w:tcW w:w="556" w:type="pct"/>
            <w:vAlign w:val="center"/>
          </w:tcPr>
          <w:p w:rsidR="004E3021" w:rsidRPr="005753A2" w:rsidRDefault="00606E48"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处理效率</w:t>
            </w:r>
          </w:p>
        </w:tc>
        <w:tc>
          <w:tcPr>
            <w:tcW w:w="562" w:type="pct"/>
            <w:vAlign w:val="center"/>
          </w:tcPr>
          <w:p w:rsidR="004E3021" w:rsidRPr="005753A2" w:rsidRDefault="00606E48"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95%</w:t>
            </w:r>
          </w:p>
        </w:tc>
        <w:tc>
          <w:tcPr>
            <w:tcW w:w="556" w:type="pct"/>
            <w:vAlign w:val="center"/>
          </w:tcPr>
          <w:p w:rsidR="004E3021" w:rsidRPr="005753A2" w:rsidRDefault="00606E48"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80%</w:t>
            </w:r>
          </w:p>
        </w:tc>
        <w:tc>
          <w:tcPr>
            <w:tcW w:w="556" w:type="pct"/>
            <w:vAlign w:val="center"/>
          </w:tcPr>
          <w:p w:rsidR="004E3021" w:rsidRPr="005753A2" w:rsidRDefault="00606E48"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70%</w:t>
            </w:r>
          </w:p>
        </w:tc>
        <w:tc>
          <w:tcPr>
            <w:tcW w:w="553" w:type="pct"/>
            <w:vAlign w:val="center"/>
          </w:tcPr>
          <w:p w:rsidR="004E3021" w:rsidRPr="005753A2" w:rsidRDefault="00606E48"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50%</w:t>
            </w:r>
          </w:p>
        </w:tc>
        <w:tc>
          <w:tcPr>
            <w:tcW w:w="662" w:type="pct"/>
            <w:vAlign w:val="center"/>
          </w:tcPr>
          <w:p w:rsidR="004E3021" w:rsidRPr="005753A2" w:rsidRDefault="005753A2" w:rsidP="005753A2">
            <w:pPr>
              <w:pStyle w:val="afffffff2"/>
              <w:rPr>
                <w:rFonts w:ascii="Times New Roman" w:hAnsi="Times New Roman" w:cs="Times New Roman"/>
                <w:kern w:val="0"/>
                <w:sz w:val="21"/>
                <w:szCs w:val="21"/>
              </w:rPr>
            </w:pPr>
            <w:r>
              <w:rPr>
                <w:rFonts w:ascii="Times New Roman" w:hAnsi="Times New Roman" w:cs="Times New Roman"/>
                <w:kern w:val="0"/>
                <w:sz w:val="21"/>
                <w:szCs w:val="21"/>
              </w:rPr>
              <w:t>30</w:t>
            </w:r>
            <w:r w:rsidRPr="005753A2">
              <w:rPr>
                <w:rFonts w:ascii="Times New Roman" w:hAnsi="Times New Roman" w:cs="Times New Roman"/>
                <w:kern w:val="0"/>
                <w:sz w:val="21"/>
                <w:szCs w:val="21"/>
              </w:rPr>
              <w:t>%</w:t>
            </w:r>
          </w:p>
        </w:tc>
        <w:tc>
          <w:tcPr>
            <w:tcW w:w="444" w:type="pct"/>
            <w:vAlign w:val="center"/>
          </w:tcPr>
          <w:p w:rsidR="004E3021" w:rsidRPr="005753A2" w:rsidRDefault="00606E48"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90%</w:t>
            </w:r>
          </w:p>
        </w:tc>
        <w:tc>
          <w:tcPr>
            <w:tcW w:w="551" w:type="pct"/>
            <w:vAlign w:val="center"/>
          </w:tcPr>
          <w:p w:rsidR="004E3021" w:rsidRPr="005753A2" w:rsidRDefault="005753A2" w:rsidP="005753A2">
            <w:pPr>
              <w:pStyle w:val="afffffff2"/>
              <w:rPr>
                <w:rFonts w:ascii="Times New Roman" w:hAnsi="Times New Roman" w:cs="Times New Roman"/>
                <w:kern w:val="0"/>
                <w:sz w:val="21"/>
                <w:szCs w:val="21"/>
              </w:rPr>
            </w:pPr>
            <w:r>
              <w:rPr>
                <w:rFonts w:ascii="Times New Roman" w:hAnsi="Times New Roman" w:cs="Times New Roman"/>
                <w:kern w:val="0"/>
                <w:sz w:val="21"/>
                <w:szCs w:val="21"/>
              </w:rPr>
              <w:t>2</w:t>
            </w:r>
            <w:r w:rsidR="00606E48" w:rsidRPr="005753A2">
              <w:rPr>
                <w:rFonts w:ascii="Times New Roman" w:hAnsi="Times New Roman" w:cs="Times New Roman"/>
                <w:kern w:val="0"/>
                <w:sz w:val="21"/>
                <w:szCs w:val="21"/>
              </w:rPr>
              <w:t>0%</w:t>
            </w:r>
          </w:p>
        </w:tc>
      </w:tr>
      <w:tr w:rsidR="005753A2" w:rsidRPr="005753A2" w:rsidTr="005753A2">
        <w:tc>
          <w:tcPr>
            <w:tcW w:w="559" w:type="pct"/>
            <w:vMerge/>
            <w:vAlign w:val="center"/>
          </w:tcPr>
          <w:p w:rsidR="005753A2" w:rsidRPr="005753A2" w:rsidRDefault="005753A2" w:rsidP="005753A2">
            <w:pPr>
              <w:pStyle w:val="afffffff2"/>
              <w:rPr>
                <w:rFonts w:ascii="Times New Roman" w:hAnsi="Times New Roman" w:cs="Times New Roman"/>
                <w:kern w:val="0"/>
                <w:sz w:val="21"/>
                <w:szCs w:val="21"/>
              </w:rPr>
            </w:pPr>
          </w:p>
        </w:tc>
        <w:tc>
          <w:tcPr>
            <w:tcW w:w="556" w:type="pct"/>
            <w:vAlign w:val="center"/>
          </w:tcPr>
          <w:p w:rsidR="005753A2" w:rsidRPr="005753A2" w:rsidRDefault="005753A2" w:rsidP="005753A2">
            <w:pPr>
              <w:pStyle w:val="afffffff2"/>
              <w:rPr>
                <w:rFonts w:ascii="Times New Roman" w:hAnsi="Times New Roman" w:cs="Times New Roman"/>
                <w:kern w:val="0"/>
                <w:sz w:val="21"/>
                <w:szCs w:val="21"/>
              </w:rPr>
            </w:pPr>
            <w:r w:rsidRPr="005753A2">
              <w:rPr>
                <w:rFonts w:ascii="Times New Roman" w:hAnsi="Times New Roman" w:cs="Times New Roman"/>
                <w:kern w:val="0"/>
                <w:sz w:val="21"/>
                <w:szCs w:val="21"/>
              </w:rPr>
              <w:t>出水</w:t>
            </w:r>
          </w:p>
        </w:tc>
        <w:tc>
          <w:tcPr>
            <w:tcW w:w="562" w:type="pct"/>
            <w:vAlign w:val="center"/>
          </w:tcPr>
          <w:p w:rsidR="005753A2" w:rsidRPr="005753A2" w:rsidRDefault="005753A2" w:rsidP="005753A2">
            <w:pPr>
              <w:pStyle w:val="afffffff2"/>
              <w:rPr>
                <w:rFonts w:ascii="Times New Roman" w:hAnsi="Times New Roman" w:cs="Times New Roman"/>
                <w:sz w:val="21"/>
                <w:szCs w:val="21"/>
              </w:rPr>
            </w:pPr>
            <w:r w:rsidRPr="005753A2">
              <w:rPr>
                <w:rFonts w:ascii="Times New Roman" w:hAnsi="Times New Roman" w:cs="Times New Roman" w:hint="eastAsia"/>
                <w:sz w:val="21"/>
                <w:szCs w:val="21"/>
              </w:rPr>
              <w:t>69.8747</w:t>
            </w:r>
          </w:p>
        </w:tc>
        <w:tc>
          <w:tcPr>
            <w:tcW w:w="556" w:type="pct"/>
            <w:vAlign w:val="center"/>
          </w:tcPr>
          <w:p w:rsidR="005753A2" w:rsidRPr="005753A2" w:rsidRDefault="005753A2" w:rsidP="005753A2">
            <w:pPr>
              <w:pStyle w:val="afffffff2"/>
              <w:rPr>
                <w:rFonts w:ascii="Times New Roman" w:hAnsi="Times New Roman" w:cs="Times New Roman"/>
                <w:sz w:val="21"/>
                <w:szCs w:val="21"/>
              </w:rPr>
            </w:pPr>
            <w:r w:rsidRPr="005753A2">
              <w:rPr>
                <w:rFonts w:ascii="Times New Roman" w:hAnsi="Times New Roman" w:cs="Times New Roman" w:hint="eastAsia"/>
                <w:sz w:val="21"/>
                <w:szCs w:val="21"/>
              </w:rPr>
              <w:t>44.8094</w:t>
            </w:r>
          </w:p>
        </w:tc>
        <w:tc>
          <w:tcPr>
            <w:tcW w:w="556" w:type="pct"/>
            <w:vAlign w:val="center"/>
          </w:tcPr>
          <w:p w:rsidR="005753A2" w:rsidRPr="005753A2" w:rsidRDefault="005753A2" w:rsidP="005753A2">
            <w:pPr>
              <w:pStyle w:val="afffffff2"/>
              <w:rPr>
                <w:rFonts w:ascii="Times New Roman" w:hAnsi="Times New Roman" w:cs="Times New Roman"/>
                <w:sz w:val="21"/>
                <w:szCs w:val="21"/>
              </w:rPr>
            </w:pPr>
            <w:r w:rsidRPr="005753A2">
              <w:rPr>
                <w:rFonts w:ascii="Times New Roman" w:hAnsi="Times New Roman" w:cs="Times New Roman" w:hint="eastAsia"/>
                <w:sz w:val="21"/>
                <w:szCs w:val="21"/>
              </w:rPr>
              <w:t>3.0822</w:t>
            </w:r>
          </w:p>
        </w:tc>
        <w:tc>
          <w:tcPr>
            <w:tcW w:w="553" w:type="pct"/>
            <w:vAlign w:val="center"/>
          </w:tcPr>
          <w:p w:rsidR="005753A2" w:rsidRPr="005753A2" w:rsidRDefault="005753A2" w:rsidP="005753A2">
            <w:pPr>
              <w:pStyle w:val="afffffff2"/>
              <w:rPr>
                <w:rFonts w:ascii="Times New Roman" w:hAnsi="Times New Roman" w:cs="Times New Roman"/>
                <w:sz w:val="21"/>
                <w:szCs w:val="21"/>
              </w:rPr>
            </w:pPr>
            <w:r w:rsidRPr="005753A2">
              <w:rPr>
                <w:rFonts w:ascii="Times New Roman" w:hAnsi="Times New Roman" w:cs="Times New Roman" w:hint="eastAsia"/>
                <w:sz w:val="21"/>
                <w:szCs w:val="21"/>
              </w:rPr>
              <w:t>201.2715</w:t>
            </w:r>
          </w:p>
        </w:tc>
        <w:tc>
          <w:tcPr>
            <w:tcW w:w="662" w:type="pct"/>
            <w:vAlign w:val="center"/>
          </w:tcPr>
          <w:p w:rsidR="005753A2" w:rsidRPr="005753A2" w:rsidRDefault="005753A2" w:rsidP="005753A2">
            <w:pPr>
              <w:pStyle w:val="afffffff2"/>
              <w:rPr>
                <w:rFonts w:ascii="Times New Roman" w:hAnsi="Times New Roman" w:cs="Times New Roman"/>
                <w:sz w:val="21"/>
                <w:szCs w:val="21"/>
              </w:rPr>
            </w:pPr>
            <w:r w:rsidRPr="005753A2">
              <w:rPr>
                <w:rFonts w:ascii="Times New Roman" w:hAnsi="Times New Roman" w:cs="Times New Roman" w:hint="eastAsia"/>
                <w:sz w:val="21"/>
                <w:szCs w:val="21"/>
              </w:rPr>
              <w:t>1.5841</w:t>
            </w:r>
          </w:p>
        </w:tc>
        <w:tc>
          <w:tcPr>
            <w:tcW w:w="444" w:type="pct"/>
            <w:vAlign w:val="center"/>
          </w:tcPr>
          <w:p w:rsidR="005753A2" w:rsidRPr="005753A2" w:rsidRDefault="005753A2" w:rsidP="005753A2">
            <w:pPr>
              <w:pStyle w:val="afffffff2"/>
              <w:rPr>
                <w:rFonts w:ascii="Times New Roman" w:hAnsi="Times New Roman" w:cs="Times New Roman"/>
                <w:sz w:val="21"/>
                <w:szCs w:val="21"/>
              </w:rPr>
            </w:pPr>
            <w:r w:rsidRPr="005753A2">
              <w:rPr>
                <w:rFonts w:ascii="Times New Roman" w:hAnsi="Times New Roman" w:cs="Times New Roman" w:hint="eastAsia"/>
                <w:sz w:val="21"/>
                <w:szCs w:val="21"/>
              </w:rPr>
              <w:t>5.5193</w:t>
            </w:r>
          </w:p>
        </w:tc>
        <w:tc>
          <w:tcPr>
            <w:tcW w:w="551" w:type="pct"/>
            <w:vAlign w:val="center"/>
          </w:tcPr>
          <w:p w:rsidR="005753A2" w:rsidRPr="005753A2" w:rsidRDefault="005753A2" w:rsidP="005753A2">
            <w:pPr>
              <w:pStyle w:val="afffffff2"/>
              <w:rPr>
                <w:rFonts w:ascii="Times New Roman" w:hAnsi="Times New Roman" w:cs="Times New Roman"/>
                <w:sz w:val="21"/>
                <w:szCs w:val="21"/>
              </w:rPr>
            </w:pPr>
            <w:r w:rsidRPr="005753A2">
              <w:rPr>
                <w:rFonts w:ascii="Times New Roman" w:hAnsi="Times New Roman" w:cs="Times New Roman" w:hint="eastAsia"/>
                <w:sz w:val="21"/>
                <w:szCs w:val="21"/>
              </w:rPr>
              <w:t>0.7312</w:t>
            </w:r>
          </w:p>
        </w:tc>
      </w:tr>
    </w:tbl>
    <w:p w:rsidR="004E3021" w:rsidRDefault="00606E48">
      <w:pPr>
        <w:pStyle w:val="afffffffffffffffff4"/>
      </w:pPr>
      <w:bookmarkStart w:id="640" w:name="_Toc150757001"/>
      <w:bookmarkStart w:id="641" w:name="_Toc102186521"/>
      <w:bookmarkStart w:id="642" w:name="_Toc468617117"/>
      <w:bookmarkStart w:id="643" w:name="_Toc45618557"/>
      <w:bookmarkStart w:id="644" w:name="_Toc394045992"/>
      <w:bookmarkStart w:id="645" w:name="_Toc150565666"/>
      <w:bookmarkStart w:id="646" w:name="_Toc150757245"/>
      <w:bookmarkStart w:id="647" w:name="_Toc69644168"/>
      <w:bookmarkStart w:id="648" w:name="_Toc58511632"/>
      <w:bookmarkStart w:id="649" w:name="_Toc74328093"/>
      <w:bookmarkStart w:id="650" w:name="_Toc158042707"/>
      <w:bookmarkStart w:id="651" w:name="_Toc57101350"/>
      <w:bookmarkStart w:id="652" w:name="_Toc167159778"/>
      <w:bookmarkStart w:id="653" w:name="_Toc474323750"/>
      <w:bookmarkStart w:id="654" w:name="_Toc108662699"/>
      <w:bookmarkStart w:id="655" w:name="_Toc100784089"/>
      <w:bookmarkStart w:id="656" w:name="_Toc101135922"/>
      <w:bookmarkStart w:id="657" w:name="_Toc221088854"/>
      <w:bookmarkStart w:id="658" w:name="_Toc221501069"/>
      <w:bookmarkStart w:id="659" w:name="_Toc93428415"/>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r>
        <w:t>6.2.2</w:t>
      </w:r>
      <w:r>
        <w:rPr>
          <w:rFonts w:hint="eastAsia"/>
        </w:rPr>
        <w:t>接管沫河口污水处理厂</w:t>
      </w:r>
      <w:r>
        <w:t>可行性</w:t>
      </w:r>
      <w:bookmarkEnd w:id="654"/>
      <w:bookmarkEnd w:id="655"/>
      <w:bookmarkEnd w:id="656"/>
      <w:bookmarkEnd w:id="657"/>
      <w:bookmarkEnd w:id="658"/>
    </w:p>
    <w:p w:rsidR="004E3021" w:rsidRDefault="00606E48">
      <w:pPr>
        <w:pStyle w:val="4a"/>
        <w:rPr>
          <w:lang w:val="zh-CN"/>
        </w:rPr>
      </w:pPr>
      <w:r>
        <w:rPr>
          <w:lang w:val="zh-CN"/>
        </w:rPr>
        <w:t>6</w:t>
      </w:r>
      <w:r>
        <w:rPr>
          <w:rFonts w:hint="eastAsia"/>
          <w:lang w:val="zh-CN"/>
        </w:rPr>
        <w:t>.</w:t>
      </w:r>
      <w:r>
        <w:rPr>
          <w:lang w:val="zh-CN"/>
        </w:rPr>
        <w:t>2</w:t>
      </w:r>
      <w:r>
        <w:rPr>
          <w:rFonts w:hint="eastAsia"/>
          <w:lang w:val="zh-CN"/>
        </w:rPr>
        <w:t>.</w:t>
      </w:r>
      <w:r>
        <w:rPr>
          <w:lang w:val="zh-CN"/>
        </w:rPr>
        <w:t>2</w:t>
      </w:r>
      <w:r>
        <w:rPr>
          <w:rFonts w:hint="eastAsia"/>
          <w:lang w:val="zh-CN"/>
        </w:rPr>
        <w:t>.1</w:t>
      </w:r>
      <w:r>
        <w:rPr>
          <w:rFonts w:hint="eastAsia"/>
        </w:rPr>
        <w:t>沫河口污水处理厂</w:t>
      </w:r>
      <w:r>
        <w:rPr>
          <w:rFonts w:hint="eastAsia"/>
          <w:lang w:val="zh-CN"/>
        </w:rPr>
        <w:t>简介</w:t>
      </w:r>
    </w:p>
    <w:p w:rsidR="004E3021" w:rsidRDefault="00606E48">
      <w:pPr>
        <w:ind w:firstLine="480"/>
      </w:pPr>
      <w:r>
        <w:rPr>
          <w:rFonts w:hint="eastAsia"/>
        </w:rPr>
        <w:t>蚌埠精细化工高新技术产业基地</w:t>
      </w:r>
      <w:r>
        <w:t>已建设</w:t>
      </w:r>
      <w:r>
        <w:t>1</w:t>
      </w:r>
      <w:r>
        <w:t>座污水处理厂，</w:t>
      </w:r>
      <w:r>
        <w:rPr>
          <w:rFonts w:hint="eastAsia"/>
        </w:rPr>
        <w:t>二期</w:t>
      </w:r>
      <w:r>
        <w:t>工程实际污水处理能力为</w:t>
      </w:r>
      <w:r>
        <w:t>20000t/d</w:t>
      </w:r>
      <w:r>
        <w:rPr>
          <w:rFonts w:hint="eastAsia"/>
        </w:rPr>
        <w:t>，三期工程污水处理能力为</w:t>
      </w:r>
      <w:r>
        <w:rPr>
          <w:rFonts w:hint="eastAsia"/>
        </w:rPr>
        <w:t>30000</w:t>
      </w:r>
      <w:r>
        <w:t xml:space="preserve"> t/d</w:t>
      </w:r>
      <w:r>
        <w:rPr>
          <w:rFonts w:hint="eastAsia"/>
        </w:rPr>
        <w:t>，</w:t>
      </w:r>
      <w:r>
        <w:t>采</w:t>
      </w:r>
      <w:r>
        <w:t>“</w:t>
      </w:r>
      <w:r>
        <w:t>曝气沉砂</w:t>
      </w:r>
      <w:r>
        <w:t>+</w:t>
      </w:r>
      <w:r>
        <w:t>调节</w:t>
      </w:r>
      <w:r>
        <w:t>+</w:t>
      </w:r>
      <w:r>
        <w:t>水解酸池</w:t>
      </w:r>
      <w:r>
        <w:t>+</w:t>
      </w:r>
      <w:r>
        <w:t>生物反应</w:t>
      </w:r>
      <w:r>
        <w:t>+</w:t>
      </w:r>
      <w:r>
        <w:t>沉淀</w:t>
      </w:r>
      <w:r>
        <w:t>+</w:t>
      </w:r>
      <w:r>
        <w:t>臭氧接触氧化</w:t>
      </w:r>
      <w:r>
        <w:t>+</w:t>
      </w:r>
      <w:r>
        <w:t>曝气</w:t>
      </w:r>
      <w:r>
        <w:t>+</w:t>
      </w:r>
      <w:r>
        <w:t>滤布过滤</w:t>
      </w:r>
      <w:r>
        <w:t>+</w:t>
      </w:r>
      <w:r>
        <w:t>消毒</w:t>
      </w:r>
      <w:r>
        <w:t>”</w:t>
      </w:r>
      <w:r>
        <w:t>处理工艺。</w:t>
      </w:r>
      <w:r>
        <w:rPr>
          <w:rFonts w:hint="eastAsia"/>
        </w:rPr>
        <w:t>沫河口污水处理厂</w:t>
      </w:r>
      <w:r>
        <w:t>处理工艺流程见</w:t>
      </w:r>
      <w:r>
        <w:rPr>
          <w:rFonts w:hint="eastAsia"/>
        </w:rPr>
        <w:t>图</w:t>
      </w:r>
      <w:r>
        <w:rPr>
          <w:rFonts w:hint="eastAsia"/>
        </w:rPr>
        <w:t>6.2</w:t>
      </w:r>
      <w:r>
        <w:t>.2</w:t>
      </w:r>
      <w:r>
        <w:rPr>
          <w:rFonts w:hint="eastAsia"/>
        </w:rPr>
        <w:t>-1</w:t>
      </w:r>
      <w:r>
        <w:rPr>
          <w:rFonts w:hint="eastAsia"/>
        </w:rPr>
        <w:t>。</w:t>
      </w:r>
    </w:p>
    <w:p w:rsidR="004E3021" w:rsidRDefault="00606E48">
      <w:pPr>
        <w:ind w:firstLineChars="0" w:firstLine="0"/>
        <w:jc w:val="center"/>
        <w:rPr>
          <w:b/>
        </w:rPr>
      </w:pPr>
      <w:r>
        <w:object w:dxaOrig="8760" w:dyaOrig="3240">
          <v:shape id="_x0000_i1047" type="#_x0000_t75" style="width:438pt;height:162pt" o:ole="">
            <v:imagedata r:id="rId143" o:title=""/>
          </v:shape>
          <o:OLEObject Type="Embed" ProgID="PBrush" ShapeID="_x0000_i1047" DrawAspect="Content" ObjectID="_1832392374" r:id="rId144"/>
        </w:object>
      </w:r>
    </w:p>
    <w:p w:rsidR="004E3021" w:rsidRDefault="00606E48">
      <w:pPr>
        <w:spacing w:line="500" w:lineRule="exact"/>
        <w:ind w:firstLineChars="0"/>
        <w:jc w:val="center"/>
        <w:rPr>
          <w:rFonts w:eastAsia="黑体"/>
        </w:rPr>
      </w:pPr>
      <w:r>
        <w:rPr>
          <w:rFonts w:eastAsia="黑体" w:hint="eastAsia"/>
        </w:rPr>
        <w:t>图</w:t>
      </w:r>
      <w:r>
        <w:rPr>
          <w:rFonts w:eastAsia="黑体" w:hint="eastAsia"/>
        </w:rPr>
        <w:t>6.2.2</w:t>
      </w:r>
      <w:r>
        <w:rPr>
          <w:rFonts w:eastAsia="黑体"/>
        </w:rPr>
        <w:t xml:space="preserve">-1  </w:t>
      </w:r>
      <w:r>
        <w:rPr>
          <w:rFonts w:eastAsia="黑体" w:hint="eastAsia"/>
        </w:rPr>
        <w:t>沫河口</w:t>
      </w:r>
      <w:r>
        <w:rPr>
          <w:rFonts w:eastAsia="黑体"/>
        </w:rPr>
        <w:t>污水处理厂工艺流程图</w:t>
      </w:r>
    </w:p>
    <w:p w:rsidR="004E3021" w:rsidRDefault="00606E48">
      <w:pPr>
        <w:ind w:firstLine="480"/>
      </w:pPr>
      <w:r>
        <w:rPr>
          <w:rFonts w:hint="eastAsia"/>
        </w:rPr>
        <w:t>污水处理厂的设计进出水水质及处理效率见表</w:t>
      </w:r>
      <w:r>
        <w:t>6.2.2-1</w:t>
      </w:r>
      <w:r>
        <w:rPr>
          <w:rFonts w:hint="eastAsia"/>
        </w:rPr>
        <w:t>。</w:t>
      </w:r>
    </w:p>
    <w:p w:rsidR="004E3021" w:rsidRDefault="00606E48">
      <w:pPr>
        <w:spacing w:line="500" w:lineRule="exact"/>
        <w:ind w:firstLineChars="0"/>
        <w:jc w:val="center"/>
        <w:rPr>
          <w:rFonts w:eastAsia="黑体"/>
        </w:rPr>
      </w:pPr>
      <w:r>
        <w:rPr>
          <w:rFonts w:eastAsia="黑体" w:hint="eastAsia"/>
        </w:rPr>
        <w:t>表</w:t>
      </w:r>
      <w:r>
        <w:rPr>
          <w:rFonts w:eastAsia="黑体" w:hint="eastAsia"/>
        </w:rPr>
        <w:t>6.2.2</w:t>
      </w:r>
      <w:r>
        <w:rPr>
          <w:rFonts w:eastAsia="黑体"/>
        </w:rPr>
        <w:t xml:space="preserve">-1  </w:t>
      </w:r>
      <w:r>
        <w:rPr>
          <w:rFonts w:eastAsia="黑体" w:hint="eastAsia"/>
        </w:rPr>
        <w:t>设计</w:t>
      </w:r>
      <w:r>
        <w:rPr>
          <w:rFonts w:eastAsia="黑体"/>
        </w:rPr>
        <w:t>进出水水质及处理</w:t>
      </w:r>
      <w:r>
        <w:rPr>
          <w:rFonts w:eastAsia="黑体" w:hint="eastAsia"/>
        </w:rPr>
        <w:t>效果</w:t>
      </w:r>
      <w:r>
        <w:rPr>
          <w:rFonts w:eastAsia="黑体"/>
        </w:rPr>
        <w:t>表</w:t>
      </w:r>
      <w:r>
        <w:rPr>
          <w:rFonts w:eastAsia="黑体" w:hint="eastAsia"/>
        </w:rPr>
        <w:t>（单位</w:t>
      </w:r>
      <w:r>
        <w:rPr>
          <w:rFonts w:eastAsia="黑体"/>
        </w:rPr>
        <w:t>：</w:t>
      </w:r>
      <w:r>
        <w:rPr>
          <w:rFonts w:eastAsia="黑体" w:hint="eastAsia"/>
        </w:rPr>
        <w:t>mg/L</w:t>
      </w:r>
      <w:r>
        <w:rPr>
          <w:rFonts w:eastAsia="黑体" w:hint="eastAsia"/>
        </w:rPr>
        <w:t>）</w:t>
      </w:r>
    </w:p>
    <w:tbl>
      <w:tblPr>
        <w:tblStyle w:val="1ffffffd"/>
        <w:tblW w:w="5000" w:type="pct"/>
        <w:tblLook w:val="04A0" w:firstRow="1" w:lastRow="0" w:firstColumn="1" w:lastColumn="0" w:noHBand="0" w:noVBand="1"/>
      </w:tblPr>
      <w:tblGrid>
        <w:gridCol w:w="1346"/>
        <w:gridCol w:w="1415"/>
        <w:gridCol w:w="1253"/>
        <w:gridCol w:w="1253"/>
        <w:gridCol w:w="1253"/>
        <w:gridCol w:w="1253"/>
        <w:gridCol w:w="1253"/>
      </w:tblGrid>
      <w:tr w:rsidR="004E3021" w:rsidRPr="00D9365E" w:rsidTr="00D9365E">
        <w:trPr>
          <w:trHeight w:val="147"/>
        </w:trPr>
        <w:tc>
          <w:tcPr>
            <w:tcW w:w="746" w:type="pct"/>
          </w:tcPr>
          <w:p w:rsidR="004E3021" w:rsidRPr="00D9365E" w:rsidRDefault="00606E48">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lastRenderedPageBreak/>
              <w:t>污染物</w:t>
            </w:r>
          </w:p>
        </w:tc>
        <w:tc>
          <w:tcPr>
            <w:tcW w:w="784" w:type="pct"/>
          </w:tcPr>
          <w:p w:rsidR="004E3021" w:rsidRPr="00D9365E" w:rsidRDefault="00606E48">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COD</w:t>
            </w:r>
          </w:p>
        </w:tc>
        <w:tc>
          <w:tcPr>
            <w:tcW w:w="694" w:type="pct"/>
          </w:tcPr>
          <w:p w:rsidR="004E3021" w:rsidRPr="00D9365E" w:rsidRDefault="00606E48">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BOD</w:t>
            </w:r>
            <w:r w:rsidRPr="00D9365E">
              <w:rPr>
                <w:rFonts w:ascii="Times New Roman" w:hAnsi="Times New Roman" w:cs="Times New Roman"/>
                <w:b/>
                <w:kern w:val="0"/>
                <w:sz w:val="21"/>
                <w:szCs w:val="21"/>
                <w:vertAlign w:val="subscript"/>
              </w:rPr>
              <w:t>5</w:t>
            </w:r>
          </w:p>
        </w:tc>
        <w:tc>
          <w:tcPr>
            <w:tcW w:w="694" w:type="pct"/>
          </w:tcPr>
          <w:p w:rsidR="004E3021" w:rsidRPr="00D9365E" w:rsidRDefault="00606E48">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SS</w:t>
            </w:r>
          </w:p>
        </w:tc>
        <w:tc>
          <w:tcPr>
            <w:tcW w:w="694" w:type="pct"/>
          </w:tcPr>
          <w:p w:rsidR="004E3021" w:rsidRPr="00D9365E" w:rsidRDefault="00606E48">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NH</w:t>
            </w:r>
            <w:r w:rsidRPr="00D9365E">
              <w:rPr>
                <w:rFonts w:ascii="Times New Roman" w:hAnsi="Times New Roman" w:cs="Times New Roman"/>
                <w:b/>
                <w:kern w:val="0"/>
                <w:sz w:val="21"/>
                <w:szCs w:val="21"/>
                <w:vertAlign w:val="subscript"/>
              </w:rPr>
              <w:t>3</w:t>
            </w:r>
            <w:r w:rsidRPr="00D9365E">
              <w:rPr>
                <w:rFonts w:ascii="Times New Roman" w:hAnsi="Times New Roman" w:cs="Times New Roman"/>
                <w:b/>
                <w:kern w:val="0"/>
                <w:sz w:val="21"/>
                <w:szCs w:val="21"/>
              </w:rPr>
              <w:t>-N</w:t>
            </w:r>
          </w:p>
        </w:tc>
        <w:tc>
          <w:tcPr>
            <w:tcW w:w="694" w:type="pct"/>
          </w:tcPr>
          <w:p w:rsidR="004E3021" w:rsidRPr="00D9365E" w:rsidRDefault="00606E48">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TN</w:t>
            </w:r>
          </w:p>
        </w:tc>
        <w:tc>
          <w:tcPr>
            <w:tcW w:w="694" w:type="pct"/>
          </w:tcPr>
          <w:p w:rsidR="004E3021" w:rsidRPr="00D9365E" w:rsidRDefault="00606E48">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TP</w:t>
            </w:r>
          </w:p>
        </w:tc>
      </w:tr>
      <w:tr w:rsidR="004E3021" w:rsidRPr="00D9365E" w:rsidTr="00D9365E">
        <w:trPr>
          <w:trHeight w:val="147"/>
        </w:trPr>
        <w:tc>
          <w:tcPr>
            <w:tcW w:w="746"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进水水质</w:t>
            </w:r>
          </w:p>
        </w:tc>
        <w:tc>
          <w:tcPr>
            <w:tcW w:w="784"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500</w:t>
            </w:r>
          </w:p>
        </w:tc>
        <w:tc>
          <w:tcPr>
            <w:tcW w:w="694"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120</w:t>
            </w:r>
          </w:p>
        </w:tc>
        <w:tc>
          <w:tcPr>
            <w:tcW w:w="694"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200</w:t>
            </w:r>
          </w:p>
        </w:tc>
        <w:tc>
          <w:tcPr>
            <w:tcW w:w="694"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30</w:t>
            </w:r>
          </w:p>
        </w:tc>
        <w:tc>
          <w:tcPr>
            <w:tcW w:w="694"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w:t>
            </w:r>
          </w:p>
        </w:tc>
        <w:tc>
          <w:tcPr>
            <w:tcW w:w="694"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3.5</w:t>
            </w:r>
          </w:p>
        </w:tc>
      </w:tr>
      <w:tr w:rsidR="004E3021" w:rsidRPr="00D9365E" w:rsidTr="00D9365E">
        <w:trPr>
          <w:trHeight w:val="261"/>
        </w:trPr>
        <w:tc>
          <w:tcPr>
            <w:tcW w:w="746"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出水水质</w:t>
            </w:r>
          </w:p>
        </w:tc>
        <w:tc>
          <w:tcPr>
            <w:tcW w:w="784"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50</w:t>
            </w:r>
          </w:p>
        </w:tc>
        <w:tc>
          <w:tcPr>
            <w:tcW w:w="694"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10</w:t>
            </w:r>
          </w:p>
        </w:tc>
        <w:tc>
          <w:tcPr>
            <w:tcW w:w="694"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10</w:t>
            </w:r>
          </w:p>
        </w:tc>
        <w:tc>
          <w:tcPr>
            <w:tcW w:w="694"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5</w:t>
            </w:r>
          </w:p>
        </w:tc>
        <w:tc>
          <w:tcPr>
            <w:tcW w:w="694"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15</w:t>
            </w:r>
          </w:p>
        </w:tc>
        <w:tc>
          <w:tcPr>
            <w:tcW w:w="694"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0.5</w:t>
            </w:r>
          </w:p>
        </w:tc>
      </w:tr>
    </w:tbl>
    <w:p w:rsidR="004E3021" w:rsidRDefault="00606E48">
      <w:pPr>
        <w:pStyle w:val="4a"/>
      </w:pPr>
      <w:r>
        <w:t>6</w:t>
      </w:r>
      <w:r>
        <w:rPr>
          <w:rFonts w:hint="eastAsia"/>
        </w:rPr>
        <w:t>.</w:t>
      </w:r>
      <w:r>
        <w:t>2</w:t>
      </w:r>
      <w:r>
        <w:rPr>
          <w:rFonts w:hint="eastAsia"/>
        </w:rPr>
        <w:t>.</w:t>
      </w:r>
      <w:r>
        <w:t>2</w:t>
      </w:r>
      <w:r>
        <w:rPr>
          <w:rFonts w:hint="eastAsia"/>
        </w:rPr>
        <w:t>.2</w:t>
      </w:r>
      <w:r>
        <w:rPr>
          <w:rFonts w:hint="eastAsia"/>
        </w:rPr>
        <w:t>接管可行性分析</w:t>
      </w:r>
    </w:p>
    <w:p w:rsidR="004E3021" w:rsidRDefault="00606E48">
      <w:pPr>
        <w:ind w:firstLine="482"/>
        <w:rPr>
          <w:b/>
        </w:rPr>
      </w:pPr>
      <w:r>
        <w:rPr>
          <w:rFonts w:hint="eastAsia"/>
          <w:b/>
        </w:rPr>
        <w:t>（</w:t>
      </w:r>
      <w:r>
        <w:rPr>
          <w:rFonts w:hint="eastAsia"/>
          <w:b/>
        </w:rPr>
        <w:t>1</w:t>
      </w:r>
      <w:r>
        <w:rPr>
          <w:rFonts w:hint="eastAsia"/>
          <w:b/>
        </w:rPr>
        <w:t>）接管</w:t>
      </w:r>
      <w:r>
        <w:rPr>
          <w:b/>
        </w:rPr>
        <w:t>范围</w:t>
      </w:r>
    </w:p>
    <w:p w:rsidR="004E3021" w:rsidRDefault="00606E48">
      <w:pPr>
        <w:ind w:firstLine="480"/>
      </w:pPr>
      <w:r>
        <w:rPr>
          <w:rFonts w:hint="eastAsia"/>
        </w:rPr>
        <w:t>项目位于蚌埠精细化工高新技术产业基地，目前沫河口污水处理厂在园区的污水管网铺设已经完成全覆盖，本项目废水接入沫河口污水处理厂从地理位置和管网铺设方面考虑是可行的。</w:t>
      </w:r>
    </w:p>
    <w:p w:rsidR="004E3021" w:rsidRDefault="00606E48">
      <w:pPr>
        <w:ind w:firstLine="482"/>
        <w:rPr>
          <w:b/>
        </w:rPr>
      </w:pPr>
      <w:r>
        <w:rPr>
          <w:rFonts w:hint="eastAsia"/>
          <w:b/>
        </w:rPr>
        <w:t>（</w:t>
      </w:r>
      <w:r>
        <w:rPr>
          <w:b/>
        </w:rPr>
        <w:t>2</w:t>
      </w:r>
      <w:r>
        <w:rPr>
          <w:rFonts w:hint="eastAsia"/>
          <w:b/>
        </w:rPr>
        <w:t>）水量</w:t>
      </w:r>
    </w:p>
    <w:p w:rsidR="004E3021" w:rsidRDefault="00606E48">
      <w:pPr>
        <w:ind w:firstLine="480"/>
      </w:pPr>
      <w:r>
        <w:t>园区已建设有污水处理厂</w:t>
      </w:r>
      <w:r>
        <w:t>1</w:t>
      </w:r>
      <w:r>
        <w:t>座，</w:t>
      </w:r>
      <w:r>
        <w:rPr>
          <w:rFonts w:hint="eastAsia"/>
        </w:rPr>
        <w:t>位于</w:t>
      </w:r>
      <w:r>
        <w:t>园区南侧，</w:t>
      </w:r>
      <w:r>
        <w:rPr>
          <w:rFonts w:hint="eastAsia"/>
        </w:rPr>
        <w:t>污水处理</w:t>
      </w:r>
      <w:r>
        <w:t>厂</w:t>
      </w:r>
      <w:r>
        <w:rPr>
          <w:rFonts w:hint="eastAsia"/>
        </w:rPr>
        <w:t>（一期）</w:t>
      </w:r>
      <w:r>
        <w:t>处理能力</w:t>
      </w:r>
      <w:r>
        <w:t>3000</w:t>
      </w:r>
      <w:r>
        <w:rPr>
          <w:rFonts w:hint="eastAsia"/>
        </w:rPr>
        <w:t>吨</w:t>
      </w:r>
      <w:r>
        <w:t>/</w:t>
      </w:r>
      <w:r>
        <w:t>天</w:t>
      </w:r>
      <w:r>
        <w:rPr>
          <w:rFonts w:hint="eastAsia"/>
        </w:rPr>
        <w:t>，（</w:t>
      </w:r>
      <w:r>
        <w:t>二期</w:t>
      </w:r>
      <w:r>
        <w:rPr>
          <w:rFonts w:hint="eastAsia"/>
        </w:rPr>
        <w:t>）</w:t>
      </w:r>
      <w:r>
        <w:t>处理能力</w:t>
      </w:r>
      <w:r>
        <w:rPr>
          <w:rFonts w:hint="eastAsia"/>
        </w:rPr>
        <w:t>2</w:t>
      </w:r>
      <w:r>
        <w:rPr>
          <w:rFonts w:hint="eastAsia"/>
        </w:rPr>
        <w:t>万吨</w:t>
      </w:r>
      <w:r>
        <w:rPr>
          <w:rFonts w:hint="eastAsia"/>
        </w:rPr>
        <w:t>/</w:t>
      </w:r>
      <w:r>
        <w:rPr>
          <w:rFonts w:hint="eastAsia"/>
        </w:rPr>
        <w:t>天</w:t>
      </w:r>
      <w:r>
        <w:t>，</w:t>
      </w:r>
      <w:r>
        <w:rPr>
          <w:rFonts w:hint="eastAsia"/>
        </w:rPr>
        <w:t>（三期）处理能力</w:t>
      </w:r>
      <w:r>
        <w:t>3</w:t>
      </w:r>
      <w:r>
        <w:rPr>
          <w:rFonts w:hint="eastAsia"/>
        </w:rPr>
        <w:t>万吨</w:t>
      </w:r>
      <w:r>
        <w:rPr>
          <w:rFonts w:hint="eastAsia"/>
        </w:rPr>
        <w:t>/</w:t>
      </w:r>
      <w:r>
        <w:rPr>
          <w:rFonts w:hint="eastAsia"/>
        </w:rPr>
        <w:t>天</w:t>
      </w:r>
      <w:r>
        <w:t>。</w:t>
      </w:r>
      <w:r>
        <w:rPr>
          <w:rFonts w:hint="eastAsia"/>
        </w:rPr>
        <w:t>污水处理</w:t>
      </w:r>
      <w:r>
        <w:t>厂</w:t>
      </w:r>
      <w:r>
        <w:rPr>
          <w:rFonts w:hint="eastAsia"/>
        </w:rPr>
        <w:t>（一期）</w:t>
      </w:r>
      <w:r>
        <w:t>已经</w:t>
      </w:r>
      <w:r>
        <w:rPr>
          <w:rFonts w:hint="eastAsia"/>
        </w:rPr>
        <w:t>停运</w:t>
      </w:r>
      <w:r>
        <w:t>，目前沫河口污水处理厂</w:t>
      </w:r>
      <w:r>
        <w:rPr>
          <w:rFonts w:hint="eastAsia"/>
        </w:rPr>
        <w:t>总处理</w:t>
      </w:r>
      <w:r>
        <w:t>能力为</w:t>
      </w:r>
      <w:r>
        <w:rPr>
          <w:rFonts w:hint="eastAsia"/>
        </w:rPr>
        <w:t>5</w:t>
      </w:r>
      <w:r>
        <w:rPr>
          <w:rFonts w:hint="eastAsia"/>
        </w:rPr>
        <w:t>万吨</w:t>
      </w:r>
      <w:r>
        <w:rPr>
          <w:rFonts w:hint="eastAsia"/>
        </w:rPr>
        <w:t>/</w:t>
      </w:r>
      <w:r>
        <w:rPr>
          <w:rFonts w:hint="eastAsia"/>
        </w:rPr>
        <w:t>天。</w:t>
      </w:r>
      <w:r>
        <w:t>根据本项目建设进度，本项目</w:t>
      </w:r>
      <w:r>
        <w:rPr>
          <w:rFonts w:hint="eastAsia"/>
        </w:rPr>
        <w:t>预计</w:t>
      </w:r>
      <w:r>
        <w:t>2023</w:t>
      </w:r>
      <w:r>
        <w:t>年</w:t>
      </w:r>
      <w:r>
        <w:rPr>
          <w:rFonts w:hint="eastAsia"/>
        </w:rPr>
        <w:t>建成投产</w:t>
      </w:r>
      <w:r>
        <w:t>，</w:t>
      </w:r>
      <w:r>
        <w:rPr>
          <w:rFonts w:hint="eastAsia"/>
        </w:rPr>
        <w:t>本项目</w:t>
      </w:r>
      <w:r>
        <w:t>废水产生量为</w:t>
      </w:r>
      <w:r w:rsidR="00D9365E">
        <w:t>426.22</w:t>
      </w:r>
      <w:r>
        <w:t>m</w:t>
      </w:r>
      <w:r>
        <w:rPr>
          <w:vertAlign w:val="superscript"/>
        </w:rPr>
        <w:t>3</w:t>
      </w:r>
      <w:r>
        <w:t>/d</w:t>
      </w:r>
      <w:r>
        <w:rPr>
          <w:rFonts w:hint="eastAsia"/>
        </w:rPr>
        <w:t>，本项目</w:t>
      </w:r>
      <w:r w:rsidR="00D9365E">
        <w:rPr>
          <w:rFonts w:hint="eastAsia"/>
        </w:rPr>
        <w:t>原环评</w:t>
      </w:r>
      <w:r>
        <w:rPr>
          <w:rFonts w:hint="eastAsia"/>
        </w:rPr>
        <w:t>已与</w:t>
      </w:r>
      <w:r>
        <w:t>沫河口污水处理厂达成</w:t>
      </w:r>
      <w:r>
        <w:rPr>
          <w:rFonts w:hint="eastAsia"/>
        </w:rPr>
        <w:t>污水</w:t>
      </w:r>
      <w:r>
        <w:t>接管协议</w:t>
      </w:r>
      <w:r>
        <w:rPr>
          <w:rFonts w:hint="eastAsia"/>
        </w:rPr>
        <w:t>，</w:t>
      </w:r>
      <w:r w:rsidR="00D9365E">
        <w:rPr>
          <w:rFonts w:hint="eastAsia"/>
        </w:rPr>
        <w:t>本次技改未突破原环评排水量，</w:t>
      </w:r>
      <w:r>
        <w:rPr>
          <w:rFonts w:hint="eastAsia"/>
        </w:rPr>
        <w:t>具体</w:t>
      </w:r>
      <w:r>
        <w:t>见附件</w:t>
      </w:r>
      <w:r>
        <w:rPr>
          <w:rFonts w:hint="eastAsia"/>
        </w:rPr>
        <w:t>6</w:t>
      </w:r>
      <w:r>
        <w:rPr>
          <w:rFonts w:hint="eastAsia"/>
        </w:rPr>
        <w:t>。</w:t>
      </w:r>
      <w:r>
        <w:t>目前</w:t>
      </w:r>
      <w:r>
        <w:rPr>
          <w:rFonts w:hint="eastAsia"/>
        </w:rPr>
        <w:t>沫河口</w:t>
      </w:r>
      <w:r>
        <w:t>污水处理厂</w:t>
      </w:r>
      <w:r>
        <w:rPr>
          <w:rFonts w:hint="eastAsia"/>
        </w:rPr>
        <w:t>可满足本项目接管需求，</w:t>
      </w:r>
      <w:r>
        <w:t>因此本项目废水进入沫河口污水处理厂是可行的。</w:t>
      </w:r>
    </w:p>
    <w:p w:rsidR="004E3021" w:rsidRDefault="00606E48">
      <w:pPr>
        <w:ind w:firstLine="482"/>
        <w:rPr>
          <w:b/>
        </w:rPr>
      </w:pPr>
      <w:r>
        <w:rPr>
          <w:rFonts w:hint="eastAsia"/>
          <w:b/>
        </w:rPr>
        <w:t>（</w:t>
      </w:r>
      <w:r>
        <w:rPr>
          <w:b/>
        </w:rPr>
        <w:t>3</w:t>
      </w:r>
      <w:r>
        <w:rPr>
          <w:rFonts w:hint="eastAsia"/>
          <w:b/>
        </w:rPr>
        <w:t>）水质</w:t>
      </w:r>
    </w:p>
    <w:p w:rsidR="004E3021" w:rsidRDefault="00606E48">
      <w:pPr>
        <w:ind w:firstLine="480"/>
      </w:pPr>
      <w:r>
        <w:t>厂区综合污水处理</w:t>
      </w:r>
      <w:r>
        <w:rPr>
          <w:rFonts w:hint="eastAsia"/>
        </w:rPr>
        <w:t>区</w:t>
      </w:r>
      <w:r>
        <w:t>能够确保将废水处理达到</w:t>
      </w:r>
      <w:r>
        <w:rPr>
          <w:rFonts w:ascii="宋体" w:hAnsi="宋体"/>
        </w:rPr>
        <w:t>沫河口园区污水处理厂接管标准</w:t>
      </w:r>
      <w:r>
        <w:rPr>
          <w:rFonts w:ascii="宋体" w:hAnsi="宋体" w:hint="eastAsia"/>
        </w:rPr>
        <w:t>、《污水综合排放标准》（</w:t>
      </w:r>
      <w:r>
        <w:rPr>
          <w:rFonts w:hint="eastAsia"/>
        </w:rPr>
        <w:t>G</w:t>
      </w:r>
      <w:r>
        <w:t>B8978-1996</w:t>
      </w:r>
      <w:r>
        <w:rPr>
          <w:rFonts w:ascii="宋体" w:hAnsi="宋体" w:hint="eastAsia"/>
        </w:rPr>
        <w:t>）中表</w:t>
      </w:r>
      <w:r>
        <w:rPr>
          <w:rFonts w:hint="eastAsia"/>
        </w:rPr>
        <w:t>4</w:t>
      </w:r>
      <w:r>
        <w:rPr>
          <w:rFonts w:ascii="宋体" w:hAnsi="宋体" w:hint="eastAsia"/>
        </w:rPr>
        <w:t>的三级标准和</w:t>
      </w:r>
      <w:r>
        <w:rPr>
          <w:rFonts w:hint="eastAsia"/>
        </w:rPr>
        <w:t>《无机化学工业污染物排放标准》（</w:t>
      </w:r>
      <w:r>
        <w:rPr>
          <w:rFonts w:hint="eastAsia"/>
        </w:rPr>
        <w:t>GB31573-2015</w:t>
      </w:r>
      <w:r>
        <w:rPr>
          <w:rFonts w:hint="eastAsia"/>
        </w:rPr>
        <w:t>）水污染物间接排放限值，因此，不会对</w:t>
      </w:r>
      <w:r>
        <w:t>沫河口污水处理厂处理工艺造成冲击。</w:t>
      </w:r>
    </w:p>
    <w:p w:rsidR="004E3021" w:rsidRDefault="00606E48">
      <w:pPr>
        <w:ind w:firstLine="482"/>
        <w:rPr>
          <w:b/>
        </w:rPr>
      </w:pPr>
      <w:r>
        <w:rPr>
          <w:rFonts w:hint="eastAsia"/>
          <w:b/>
        </w:rPr>
        <w:t>（</w:t>
      </w:r>
      <w:r>
        <w:rPr>
          <w:rFonts w:hint="eastAsia"/>
          <w:b/>
        </w:rPr>
        <w:t>4</w:t>
      </w:r>
      <w:r>
        <w:rPr>
          <w:rFonts w:hint="eastAsia"/>
          <w:b/>
        </w:rPr>
        <w:t>）污水接管的衔接性</w:t>
      </w:r>
    </w:p>
    <w:p w:rsidR="004E3021" w:rsidRDefault="00606E48">
      <w:pPr>
        <w:ind w:firstLine="480"/>
      </w:pPr>
      <w:r>
        <w:rPr>
          <w:rFonts w:hint="eastAsia"/>
        </w:rPr>
        <w:t>本项目建成运行后，各类废水经厂区综合污水处理区处理达标</w:t>
      </w:r>
      <w:r>
        <w:t>后接管废水排口</w:t>
      </w:r>
      <w:r>
        <w:rPr>
          <w:rFonts w:hint="eastAsia"/>
        </w:rPr>
        <w:t>，可以满足要求。</w:t>
      </w:r>
    </w:p>
    <w:p w:rsidR="004E3021" w:rsidRDefault="00606E48">
      <w:pPr>
        <w:ind w:firstLine="480"/>
      </w:pPr>
      <w:r>
        <w:t>从</w:t>
      </w:r>
      <w:r>
        <w:rPr>
          <w:rFonts w:hint="eastAsia"/>
        </w:rPr>
        <w:t>建设</w:t>
      </w:r>
      <w:r>
        <w:t>时间</w:t>
      </w:r>
      <w:r>
        <w:rPr>
          <w:rFonts w:hint="eastAsia"/>
        </w:rPr>
        <w:t>、</w:t>
      </w:r>
      <w:r>
        <w:t>剩余处理能力和处理工艺衔接性来看，</w:t>
      </w:r>
      <w:r>
        <w:rPr>
          <w:rFonts w:hint="eastAsia"/>
        </w:rPr>
        <w:t>沫河口污水处理厂</w:t>
      </w:r>
      <w:r>
        <w:t>能够满足本项目废水处理的要求。</w:t>
      </w:r>
    </w:p>
    <w:p w:rsidR="004E3021" w:rsidRDefault="00606E48">
      <w:pPr>
        <w:ind w:firstLine="480"/>
      </w:pPr>
      <w:r>
        <w:rPr>
          <w:rFonts w:hint="eastAsia"/>
        </w:rPr>
        <w:t>综上，</w:t>
      </w:r>
      <w:r w:rsidR="00947F13">
        <w:rPr>
          <w:rFonts w:hint="eastAsia"/>
        </w:rPr>
        <w:t>本</w:t>
      </w:r>
      <w:r>
        <w:rPr>
          <w:rFonts w:hint="eastAsia"/>
        </w:rPr>
        <w:t>项目废水接管</w:t>
      </w:r>
      <w:r w:rsidRPr="00947F13">
        <w:rPr>
          <w:rFonts w:hint="eastAsia"/>
        </w:rPr>
        <w:t>沫河口</w:t>
      </w:r>
      <w:r>
        <w:t>污水处理厂</w:t>
      </w:r>
      <w:r>
        <w:rPr>
          <w:rFonts w:hint="eastAsia"/>
        </w:rPr>
        <w:t>处理是可行的。</w:t>
      </w:r>
    </w:p>
    <w:p w:rsidR="004E3021" w:rsidRDefault="00606E48">
      <w:pPr>
        <w:pStyle w:val="afffffffffffffffff3"/>
      </w:pPr>
      <w:bookmarkStart w:id="660" w:name="_Toc221501070"/>
      <w:r>
        <w:t>6.3</w:t>
      </w:r>
      <w:r>
        <w:t>噪声治理措施</w:t>
      </w:r>
      <w:bookmarkEnd w:id="659"/>
      <w:bookmarkEnd w:id="660"/>
    </w:p>
    <w:p w:rsidR="004E3021" w:rsidRDefault="00606E48">
      <w:pPr>
        <w:ind w:firstLine="480"/>
      </w:pPr>
      <w:bookmarkStart w:id="661" w:name="_Toc45618558"/>
      <w:bookmarkStart w:id="662" w:name="_Toc69644169"/>
      <w:bookmarkStart w:id="663" w:name="_Toc57101351"/>
      <w:bookmarkStart w:id="664" w:name="_Toc74328094"/>
      <w:bookmarkEnd w:id="661"/>
      <w:bookmarkEnd w:id="662"/>
      <w:bookmarkEnd w:id="663"/>
      <w:r>
        <w:rPr>
          <w:rFonts w:ascii="宋体" w:hAnsi="宋体" w:hint="eastAsia"/>
        </w:rPr>
        <w:lastRenderedPageBreak/>
        <w:t>本</w:t>
      </w:r>
      <w:bookmarkEnd w:id="664"/>
      <w:r>
        <w:rPr>
          <w:rFonts w:ascii="宋体" w:hAnsi="宋体"/>
        </w:rPr>
        <w:t>项目</w:t>
      </w:r>
      <w:r>
        <w:rPr>
          <w:rFonts w:ascii="宋体" w:hAnsi="宋体" w:hint="eastAsia"/>
        </w:rPr>
        <w:t>产噪</w:t>
      </w:r>
      <w:r>
        <w:rPr>
          <w:rFonts w:ascii="宋体" w:hAnsi="宋体"/>
        </w:rPr>
        <w:t>设备主要为水泵、</w:t>
      </w:r>
      <w:r>
        <w:rPr>
          <w:rFonts w:ascii="宋体" w:hAnsi="宋体" w:hint="eastAsia"/>
        </w:rPr>
        <w:t>压滤机</w:t>
      </w:r>
      <w:r>
        <w:rPr>
          <w:rFonts w:ascii="宋体" w:hAnsi="宋体"/>
        </w:rPr>
        <w:t>、</w:t>
      </w:r>
      <w:r>
        <w:rPr>
          <w:rFonts w:ascii="宋体" w:hAnsi="宋体" w:hint="eastAsia"/>
        </w:rPr>
        <w:t>干燥机</w:t>
      </w:r>
      <w:r>
        <w:rPr>
          <w:rFonts w:ascii="宋体" w:hAnsi="宋体"/>
        </w:rPr>
        <w:t>等，具体措施如下：</w:t>
      </w:r>
    </w:p>
    <w:p w:rsidR="004E3021" w:rsidRDefault="00606E48">
      <w:pPr>
        <w:ind w:firstLine="480"/>
      </w:pPr>
      <w:r>
        <w:rPr>
          <w:rFonts w:ascii="宋体" w:hAnsi="宋体" w:hint="eastAsia"/>
        </w:rPr>
        <w:t>（</w:t>
      </w:r>
      <w:r>
        <w:rPr>
          <w:rFonts w:hint="eastAsia"/>
        </w:rPr>
        <w:t>1</w:t>
      </w:r>
      <w:r>
        <w:rPr>
          <w:rFonts w:ascii="宋体" w:hAnsi="宋体" w:hint="eastAsia"/>
        </w:rPr>
        <w:t>）重视设备选型，采用减震措施：尽量选用加工精度高，运行噪声低的生产设备，底座安装减振材料等减小振动；</w:t>
      </w:r>
    </w:p>
    <w:p w:rsidR="004E3021" w:rsidRDefault="00606E48">
      <w:pPr>
        <w:ind w:firstLine="480"/>
      </w:pPr>
      <w:r>
        <w:rPr>
          <w:rFonts w:ascii="宋体" w:hAnsi="宋体" w:hint="eastAsia"/>
        </w:rPr>
        <w:t>（</w:t>
      </w:r>
      <w:r>
        <w:rPr>
          <w:rFonts w:hint="eastAsia"/>
        </w:rPr>
        <w:t>2</w:t>
      </w:r>
      <w:r>
        <w:rPr>
          <w:rFonts w:ascii="宋体" w:hAnsi="宋体" w:hint="eastAsia"/>
        </w:rPr>
        <w:t>）装置区合理布置：装置区的布置应尽可能远离居民区，装置区内高噪声设备，应在设置独立的隔声间或封闭式围护结构，形成噪声屏障，阻碍噪声传播；</w:t>
      </w:r>
    </w:p>
    <w:p w:rsidR="004E3021" w:rsidRDefault="00606E48">
      <w:pPr>
        <w:ind w:firstLine="480"/>
      </w:pPr>
      <w:r>
        <w:rPr>
          <w:rFonts w:ascii="宋体" w:hAnsi="宋体" w:hint="eastAsia"/>
        </w:rPr>
        <w:t>（</w:t>
      </w:r>
      <w:r>
        <w:rPr>
          <w:rFonts w:hint="eastAsia"/>
        </w:rPr>
        <w:t>3</w:t>
      </w:r>
      <w:r>
        <w:rPr>
          <w:rFonts w:ascii="宋体" w:hAnsi="宋体" w:hint="eastAsia"/>
        </w:rPr>
        <w:t>）风机防治措施及对策：风机应考虑加装消声器，风机管道之间采取软边接防振等措施，以减少风机振动对周围环境的影响；</w:t>
      </w:r>
    </w:p>
    <w:p w:rsidR="004E3021" w:rsidRDefault="00606E48">
      <w:pPr>
        <w:ind w:firstLine="480"/>
      </w:pPr>
      <w:r>
        <w:rPr>
          <w:rFonts w:ascii="宋体" w:hAnsi="宋体" w:hint="eastAsia"/>
        </w:rPr>
        <w:t>（</w:t>
      </w:r>
      <w:r>
        <w:rPr>
          <w:rFonts w:hint="eastAsia"/>
        </w:rPr>
        <w:t>4</w:t>
      </w:r>
      <w:r>
        <w:rPr>
          <w:rFonts w:ascii="宋体" w:hAnsi="宋体" w:hint="eastAsia"/>
        </w:rPr>
        <w:t>）废气处理风机噪声：对每个风机加装隔声罩；</w:t>
      </w:r>
    </w:p>
    <w:p w:rsidR="004E3021" w:rsidRDefault="00606E48">
      <w:pPr>
        <w:ind w:firstLine="480"/>
      </w:pPr>
      <w:r>
        <w:rPr>
          <w:rFonts w:ascii="宋体" w:hAnsi="宋体" w:hint="eastAsia"/>
        </w:rPr>
        <w:t>（</w:t>
      </w:r>
      <w:r>
        <w:rPr>
          <w:rFonts w:hint="eastAsia"/>
        </w:rPr>
        <w:t>5</w:t>
      </w:r>
      <w:r>
        <w:rPr>
          <w:rFonts w:ascii="宋体" w:hAnsi="宋体" w:hint="eastAsia"/>
        </w:rPr>
        <w:t>）加强管理：加强噪声防治管理，降低人为噪声。</w:t>
      </w:r>
    </w:p>
    <w:p w:rsidR="004E3021" w:rsidRDefault="00606E48">
      <w:pPr>
        <w:ind w:firstLine="480"/>
      </w:pPr>
      <w:r>
        <w:rPr>
          <w:rFonts w:ascii="宋体" w:hAnsi="宋体" w:hint="eastAsia"/>
        </w:rPr>
        <w:t>从管理方面看，应加强以下几个方面工作，以减少对周围声环境的污染：</w:t>
      </w:r>
    </w:p>
    <w:p w:rsidR="004E3021" w:rsidRDefault="00606E48">
      <w:pPr>
        <w:ind w:firstLine="480"/>
      </w:pPr>
      <w:r>
        <w:rPr>
          <w:rFonts w:ascii="宋体" w:hAnsi="宋体" w:hint="eastAsia"/>
        </w:rPr>
        <w:t>①建立设备定期维护、保养的管理制度，以防止设备故障形成的非正常生产噪声，同时确保环保措施发挥最有效的功能。</w:t>
      </w:r>
    </w:p>
    <w:p w:rsidR="004E3021" w:rsidRDefault="00606E48">
      <w:pPr>
        <w:ind w:firstLine="480"/>
      </w:pPr>
      <w:r>
        <w:rPr>
          <w:rFonts w:ascii="宋体" w:hAnsi="宋体" w:hint="eastAsia"/>
        </w:rPr>
        <w:t>②加强职工环保意识教育，提倡文明生产，防止人为噪声。</w:t>
      </w:r>
    </w:p>
    <w:p w:rsidR="004E3021" w:rsidRDefault="00606E48">
      <w:pPr>
        <w:ind w:firstLine="480"/>
      </w:pPr>
      <w:r>
        <w:rPr>
          <w:rFonts w:ascii="宋体" w:hAnsi="宋体" w:hint="eastAsia"/>
        </w:rPr>
        <w:t>经过以上治理措施后，全厂项目各噪声设备均可降噪在</w:t>
      </w:r>
      <w:r>
        <w:rPr>
          <w:rFonts w:hint="eastAsia"/>
        </w:rPr>
        <w:t>20~25dB</w:t>
      </w:r>
      <w:r>
        <w:rPr>
          <w:rFonts w:ascii="宋体" w:hAnsi="宋体" w:hint="eastAsia"/>
        </w:rPr>
        <w:t>以上。噪声环境影响预测结果表明，采取降噪措施后，厂界噪声叠加现状噪声值后，厂界噪声能够达标。</w:t>
      </w:r>
    </w:p>
    <w:p w:rsidR="004E3021" w:rsidRDefault="00606E48">
      <w:pPr>
        <w:pStyle w:val="afffffffffffffffff3"/>
      </w:pPr>
      <w:bookmarkStart w:id="665" w:name="_Toc474323751"/>
      <w:bookmarkStart w:id="666" w:name="_Toc394045993"/>
      <w:bookmarkStart w:id="667" w:name="_Toc468617118"/>
      <w:bookmarkStart w:id="668" w:name="_Toc58511633"/>
      <w:bookmarkStart w:id="669" w:name="_Toc221501071"/>
      <w:bookmarkEnd w:id="665"/>
      <w:bookmarkEnd w:id="666"/>
      <w:bookmarkEnd w:id="667"/>
      <w:r>
        <w:t>6.4</w:t>
      </w:r>
      <w:r>
        <w:t>固体废物防治措施</w:t>
      </w:r>
      <w:bookmarkEnd w:id="668"/>
      <w:bookmarkEnd w:id="669"/>
    </w:p>
    <w:p w:rsidR="004E3021" w:rsidRDefault="00606E48">
      <w:pPr>
        <w:pStyle w:val="afffffffffffffffff4"/>
      </w:pPr>
      <w:bookmarkStart w:id="670" w:name="_Toc474323749"/>
      <w:bookmarkStart w:id="671" w:name="_Toc100784092"/>
      <w:bookmarkStart w:id="672" w:name="_Toc101135925"/>
      <w:bookmarkStart w:id="673" w:name="_Toc108662702"/>
      <w:bookmarkStart w:id="674" w:name="_Toc221088857"/>
      <w:bookmarkStart w:id="675" w:name="_Toc221501072"/>
      <w:bookmarkEnd w:id="670"/>
      <w:r>
        <w:rPr>
          <w:rFonts w:hint="eastAsia"/>
        </w:rPr>
        <w:t>6.4.1</w:t>
      </w:r>
      <w:r>
        <w:rPr>
          <w:rFonts w:hint="eastAsia"/>
        </w:rPr>
        <w:t>固废处置措施</w:t>
      </w:r>
      <w:r>
        <w:t>介绍</w:t>
      </w:r>
      <w:bookmarkEnd w:id="671"/>
      <w:bookmarkEnd w:id="672"/>
      <w:bookmarkEnd w:id="673"/>
      <w:bookmarkEnd w:id="674"/>
      <w:bookmarkEnd w:id="675"/>
    </w:p>
    <w:p w:rsidR="004E3021" w:rsidRDefault="00D9365E">
      <w:pPr>
        <w:ind w:firstLine="480"/>
      </w:pPr>
      <w:r>
        <w:rPr>
          <w:rFonts w:ascii="宋体" w:hAnsi="宋体" w:hint="eastAsia"/>
        </w:rPr>
        <w:t>本项目</w:t>
      </w:r>
      <w:r>
        <w:rPr>
          <w:rFonts w:ascii="宋体" w:hAnsi="宋体"/>
        </w:rPr>
        <w:t>生产过程中</w:t>
      </w:r>
      <w:r>
        <w:rPr>
          <w:rFonts w:ascii="宋体" w:hAnsi="宋体" w:hint="eastAsia"/>
        </w:rPr>
        <w:t>产生</w:t>
      </w:r>
      <w:r>
        <w:rPr>
          <w:rFonts w:ascii="宋体" w:hAnsi="宋体"/>
        </w:rPr>
        <w:t>的</w:t>
      </w:r>
      <w:r>
        <w:rPr>
          <w:rFonts w:ascii="宋体" w:hAnsi="宋体" w:hint="eastAsia"/>
        </w:rPr>
        <w:t>精馏残渣、含铂废活性炭、含铂尾渣、废气处理</w:t>
      </w:r>
      <w:r>
        <w:rPr>
          <w:rFonts w:ascii="宋体" w:hAnsi="宋体"/>
        </w:rPr>
        <w:t>废活性炭、</w:t>
      </w:r>
      <w:r>
        <w:rPr>
          <w:rFonts w:ascii="宋体" w:hAnsi="宋体" w:hint="eastAsia"/>
        </w:rPr>
        <w:t>污泥、实验室</w:t>
      </w:r>
      <w:r>
        <w:rPr>
          <w:rFonts w:ascii="宋体" w:hAnsi="宋体"/>
        </w:rPr>
        <w:t>废物、</w:t>
      </w:r>
      <w:r>
        <w:rPr>
          <w:rFonts w:ascii="宋体" w:hAnsi="宋体" w:hint="eastAsia"/>
        </w:rPr>
        <w:t>废矿物油</w:t>
      </w:r>
      <w:r>
        <w:rPr>
          <w:rFonts w:ascii="宋体" w:hAnsi="宋体"/>
        </w:rPr>
        <w:t>和</w:t>
      </w:r>
      <w:r>
        <w:rPr>
          <w:rFonts w:ascii="宋体" w:hAnsi="宋体" w:hint="eastAsia"/>
        </w:rPr>
        <w:t>硫酸铵属于危险废物，交由有资质单位进行处置，生活垃圾由环卫部门清运处理，废渣、电石渣</w:t>
      </w:r>
      <w:r>
        <w:rPr>
          <w:rFonts w:ascii="宋体" w:hAnsi="宋体"/>
        </w:rPr>
        <w:t>外售</w:t>
      </w:r>
      <w:r>
        <w:rPr>
          <w:rFonts w:ascii="宋体" w:hAnsi="宋体" w:hint="eastAsia"/>
        </w:rPr>
        <w:t>，废</w:t>
      </w:r>
      <w:r>
        <w:rPr>
          <w:rFonts w:ascii="宋体" w:hAnsi="宋体"/>
        </w:rPr>
        <w:t>分子筛</w:t>
      </w:r>
      <w:r>
        <w:rPr>
          <w:rFonts w:ascii="宋体" w:hAnsi="宋体" w:hint="eastAsia"/>
        </w:rPr>
        <w:t>、</w:t>
      </w:r>
      <w:r>
        <w:rPr>
          <w:rFonts w:ascii="宋体" w:hAnsi="宋体"/>
        </w:rPr>
        <w:t>废树脂</w:t>
      </w:r>
      <w:r>
        <w:rPr>
          <w:rFonts w:ascii="宋体" w:hAnsi="宋体" w:hint="eastAsia"/>
        </w:rPr>
        <w:t>和</w:t>
      </w:r>
      <w:r>
        <w:rPr>
          <w:rFonts w:ascii="宋体" w:hAnsi="宋体"/>
        </w:rPr>
        <w:t>废</w:t>
      </w:r>
      <w:r>
        <w:rPr>
          <w:rFonts w:ascii="宋体" w:hAnsi="宋体" w:hint="eastAsia"/>
        </w:rPr>
        <w:t>布袋</w:t>
      </w:r>
      <w:r>
        <w:rPr>
          <w:rFonts w:ascii="宋体" w:hAnsi="宋体"/>
        </w:rPr>
        <w:t>交由厂家回收</w:t>
      </w:r>
      <w:r w:rsidR="00606E48">
        <w:rPr>
          <w:rFonts w:ascii="宋体" w:hAnsi="宋体" w:hint="eastAsia"/>
        </w:rPr>
        <w:t>。</w:t>
      </w:r>
    </w:p>
    <w:p w:rsidR="004E3021" w:rsidRDefault="00606E48">
      <w:pPr>
        <w:pStyle w:val="afffffffffffffffff4"/>
      </w:pPr>
      <w:bookmarkStart w:id="676" w:name="_Toc101135926"/>
      <w:bookmarkStart w:id="677" w:name="_Toc100784093"/>
      <w:bookmarkStart w:id="678" w:name="_Toc108662703"/>
      <w:bookmarkStart w:id="679" w:name="_Toc221088858"/>
      <w:bookmarkStart w:id="680" w:name="_Toc221501073"/>
      <w:r>
        <w:rPr>
          <w:rFonts w:hint="eastAsia"/>
        </w:rPr>
        <w:t>6.4.2</w:t>
      </w:r>
      <w:r>
        <w:rPr>
          <w:rFonts w:hint="eastAsia"/>
        </w:rPr>
        <w:t>危险废物收集</w:t>
      </w:r>
      <w:r>
        <w:t>、运输、贮存污染防治措施</w:t>
      </w:r>
      <w:bookmarkEnd w:id="676"/>
      <w:bookmarkEnd w:id="677"/>
      <w:bookmarkEnd w:id="678"/>
      <w:bookmarkEnd w:id="679"/>
      <w:bookmarkEnd w:id="680"/>
    </w:p>
    <w:p w:rsidR="004E3021" w:rsidRDefault="00606E48">
      <w:pPr>
        <w:pStyle w:val="4a"/>
      </w:pPr>
      <w:r>
        <w:t>6.4.2.1</w:t>
      </w:r>
      <w:r>
        <w:rPr>
          <w:rFonts w:hint="eastAsia"/>
        </w:rPr>
        <w:t>危险废物</w:t>
      </w:r>
      <w:r>
        <w:t>收集污染防治措施</w:t>
      </w:r>
    </w:p>
    <w:p w:rsidR="004E3021" w:rsidRDefault="00606E48">
      <w:pPr>
        <w:ind w:firstLine="480"/>
      </w:pPr>
      <w:r>
        <w:rPr>
          <w:rFonts w:hint="eastAsia"/>
        </w:rPr>
        <w:t>针对本项目各类危险废物的收集应根据危险废物产生的工艺环节特征、排放周期、危险特性、废物管理计划等因素对危险废物进行收集；危险废物在收集的过程中应制定详细的操作规程，内容至少应包括适用范围、操作程序和方法、专用设备和工具、转移</w:t>
      </w:r>
      <w:r>
        <w:rPr>
          <w:rFonts w:hint="eastAsia"/>
        </w:rPr>
        <w:lastRenderedPageBreak/>
        <w:t>和交接、安全保障和应急防护等；危险废物收集和厂内转运作业人员应根据工作需要配备必要的个人防护装备，如手套、防护镜、防护服、防毒面具或口罩等；在危险废物的收集和内部转运过程中，应采取相应的安全防护和污染防治措施，包括防爆、防火、防中毒、防感染、防泄漏、防飞扬、防雨或其它防止污染环境的措施。</w:t>
      </w:r>
    </w:p>
    <w:p w:rsidR="004E3021" w:rsidRDefault="00606E48">
      <w:pPr>
        <w:ind w:firstLine="480"/>
      </w:pPr>
      <w:r>
        <w:rPr>
          <w:rFonts w:hint="eastAsia"/>
        </w:rPr>
        <w:t>危险废物厂内收集时应根据危险废物的种类、数量、危险特性、物理形态要求等因素确定包装形式，具体包装应符合如下要求：</w:t>
      </w:r>
    </w:p>
    <w:p w:rsidR="004E3021" w:rsidRDefault="00606E48">
      <w:pPr>
        <w:ind w:firstLine="480"/>
      </w:pPr>
      <w:r>
        <w:rPr>
          <w:rFonts w:hint="eastAsia"/>
        </w:rPr>
        <w:t>（</w:t>
      </w:r>
      <w:r>
        <w:rPr>
          <w:rFonts w:hint="eastAsia"/>
        </w:rPr>
        <w:t>1</w:t>
      </w:r>
      <w:r>
        <w:rPr>
          <w:rFonts w:hint="eastAsia"/>
        </w:rPr>
        <w:t>）包装材质要与各类危险废物相容，可根据废物特性选择塑料等材质；</w:t>
      </w:r>
    </w:p>
    <w:p w:rsidR="004E3021" w:rsidRDefault="00606E48">
      <w:pPr>
        <w:ind w:firstLine="480"/>
      </w:pPr>
      <w:r>
        <w:rPr>
          <w:rFonts w:hint="eastAsia"/>
        </w:rPr>
        <w:t>（</w:t>
      </w:r>
      <w:r>
        <w:rPr>
          <w:rFonts w:hint="eastAsia"/>
        </w:rPr>
        <w:t>2</w:t>
      </w:r>
      <w:r>
        <w:rPr>
          <w:rFonts w:hint="eastAsia"/>
        </w:rPr>
        <w:t>）性质类似的废物可收集到同一容器中，性质不相容的危险废物不应混合包装；</w:t>
      </w:r>
    </w:p>
    <w:p w:rsidR="004E3021" w:rsidRDefault="00606E48">
      <w:pPr>
        <w:ind w:firstLine="480"/>
      </w:pPr>
      <w:r>
        <w:rPr>
          <w:rFonts w:hint="eastAsia"/>
        </w:rPr>
        <w:t>（</w:t>
      </w:r>
      <w:r>
        <w:rPr>
          <w:rFonts w:hint="eastAsia"/>
        </w:rPr>
        <w:t>3</w:t>
      </w:r>
      <w:r>
        <w:rPr>
          <w:rFonts w:hint="eastAsia"/>
        </w:rPr>
        <w:t>）危险废物包装应能有效隔断危险废物迁移扩散途径，并达到防渗、防漏要求；</w:t>
      </w:r>
    </w:p>
    <w:p w:rsidR="004E3021" w:rsidRDefault="00606E48">
      <w:pPr>
        <w:ind w:firstLine="480"/>
      </w:pPr>
      <w:r>
        <w:rPr>
          <w:rFonts w:hint="eastAsia"/>
        </w:rPr>
        <w:t>（</w:t>
      </w:r>
      <w:r>
        <w:rPr>
          <w:rFonts w:hint="eastAsia"/>
        </w:rPr>
        <w:t>4</w:t>
      </w:r>
      <w:r>
        <w:rPr>
          <w:rFonts w:hint="eastAsia"/>
        </w:rPr>
        <w:t>）包装好的危险废物应设置相应的标签，标签信息应填写完整翔实。</w:t>
      </w:r>
    </w:p>
    <w:p w:rsidR="004E3021" w:rsidRDefault="00606E48">
      <w:pPr>
        <w:pStyle w:val="4a"/>
      </w:pPr>
      <w:r>
        <w:t>6.4.2.2</w:t>
      </w:r>
      <w:r>
        <w:rPr>
          <w:rFonts w:hint="eastAsia"/>
        </w:rPr>
        <w:t>危险废物</w:t>
      </w:r>
      <w:r>
        <w:t>运输污染防治措施</w:t>
      </w:r>
    </w:p>
    <w:p w:rsidR="004E3021" w:rsidRDefault="00606E48">
      <w:pPr>
        <w:ind w:firstLine="480"/>
      </w:pPr>
      <w:r>
        <w:rPr>
          <w:rFonts w:hint="eastAsia"/>
        </w:rPr>
        <w:t>厂内运输</w:t>
      </w:r>
    </w:p>
    <w:p w:rsidR="004E3021" w:rsidRDefault="00606E48">
      <w:pPr>
        <w:ind w:firstLine="480"/>
      </w:pPr>
      <w:r>
        <w:rPr>
          <w:rFonts w:hint="eastAsia"/>
        </w:rPr>
        <w:t>（</w:t>
      </w:r>
      <w:r>
        <w:rPr>
          <w:rFonts w:hint="eastAsia"/>
        </w:rPr>
        <w:t>1</w:t>
      </w:r>
      <w:r>
        <w:rPr>
          <w:rFonts w:hint="eastAsia"/>
        </w:rPr>
        <w:t>）危险废物内部转运应综合考虑厂区的实际情况确定转运路线，尽量避开办公区和生活区；</w:t>
      </w:r>
    </w:p>
    <w:p w:rsidR="004E3021" w:rsidRDefault="00606E48">
      <w:pPr>
        <w:ind w:firstLine="480"/>
      </w:pPr>
      <w:r>
        <w:rPr>
          <w:rFonts w:hint="eastAsia"/>
        </w:rPr>
        <w:t>（</w:t>
      </w:r>
      <w:r>
        <w:rPr>
          <w:rFonts w:hint="eastAsia"/>
        </w:rPr>
        <w:t>2</w:t>
      </w:r>
      <w:r>
        <w:rPr>
          <w:rFonts w:hint="eastAsia"/>
        </w:rPr>
        <w:t>）危险废物内部转运作业应采用专用的工具，危险废物内部转运应参照按照</w:t>
      </w:r>
      <w:r>
        <w:rPr>
          <w:rFonts w:hint="eastAsia"/>
        </w:rPr>
        <w:t>HJ2025-2012</w:t>
      </w:r>
      <w:r>
        <w:rPr>
          <w:rFonts w:hint="eastAsia"/>
        </w:rPr>
        <w:t>填写《危险废物厂内转运记录表》；</w:t>
      </w:r>
    </w:p>
    <w:p w:rsidR="004E3021" w:rsidRDefault="00606E48">
      <w:pPr>
        <w:ind w:firstLine="480"/>
      </w:pPr>
      <w:r>
        <w:rPr>
          <w:rFonts w:hint="eastAsia"/>
        </w:rPr>
        <w:t>（</w:t>
      </w:r>
      <w:r>
        <w:rPr>
          <w:rFonts w:hint="eastAsia"/>
        </w:rPr>
        <w:t>3</w:t>
      </w:r>
      <w:r>
        <w:rPr>
          <w:rFonts w:hint="eastAsia"/>
        </w:rPr>
        <w:t>）危险废物内部转运结束后，应对转运路线进行检查和清理，确保无危险废物遗失在转运路线上，并对转运工具进行清洗。</w:t>
      </w:r>
    </w:p>
    <w:p w:rsidR="004E3021" w:rsidRDefault="00606E48">
      <w:pPr>
        <w:pStyle w:val="4a"/>
      </w:pPr>
      <w:r>
        <w:t>6.4.2.3</w:t>
      </w:r>
      <w:r>
        <w:rPr>
          <w:rFonts w:hint="eastAsia"/>
        </w:rPr>
        <w:t>危险废物</w:t>
      </w:r>
      <w:r>
        <w:t>贮存污染防治措施</w:t>
      </w:r>
    </w:p>
    <w:p w:rsidR="004E3021" w:rsidRDefault="00606E48">
      <w:pPr>
        <w:ind w:firstLine="480"/>
      </w:pPr>
      <w:r>
        <w:rPr>
          <w:rFonts w:hint="eastAsia"/>
        </w:rPr>
        <w:t>本</w:t>
      </w:r>
      <w:r>
        <w:t>项目</w:t>
      </w:r>
      <w:r>
        <w:rPr>
          <w:rFonts w:hint="eastAsia"/>
        </w:rPr>
        <w:t>危险废物暂存依托</w:t>
      </w:r>
      <w:r w:rsidR="00D9365E">
        <w:rPr>
          <w:rFonts w:hint="eastAsia"/>
        </w:rPr>
        <w:t>现有</w:t>
      </w:r>
      <w:r>
        <w:rPr>
          <w:rFonts w:hint="eastAsia"/>
        </w:rPr>
        <w:t>的</w:t>
      </w:r>
      <w:r>
        <w:t>占地面积为</w:t>
      </w:r>
      <w:r w:rsidR="00D9365E">
        <w:t>840.3</w:t>
      </w:r>
      <w:r>
        <w:t>m</w:t>
      </w:r>
      <w:r>
        <w:rPr>
          <w:vertAlign w:val="superscript"/>
        </w:rPr>
        <w:t>2</w:t>
      </w:r>
      <w:r>
        <w:t>的危废暂存</w:t>
      </w:r>
      <w:r>
        <w:rPr>
          <w:rFonts w:hint="eastAsia"/>
        </w:rPr>
        <w:t>间、</w:t>
      </w:r>
      <w:r>
        <w:rPr>
          <w:rFonts w:hint="eastAsia"/>
        </w:rPr>
        <w:t>1</w:t>
      </w:r>
      <w:r w:rsidR="00D9365E">
        <w:t>6</w:t>
      </w:r>
      <w:r>
        <w:t>8.</w:t>
      </w:r>
      <w:r w:rsidR="00D9365E">
        <w:t>6</w:t>
      </w:r>
      <w:r>
        <w:rPr>
          <w:color w:val="000000" w:themeColor="text1"/>
        </w:rPr>
        <w:t>m</w:t>
      </w:r>
      <w:r>
        <w:rPr>
          <w:color w:val="000000" w:themeColor="text1"/>
          <w:vertAlign w:val="superscript"/>
        </w:rPr>
        <w:t>2</w:t>
      </w:r>
      <w:r>
        <w:t>的</w:t>
      </w:r>
      <w:r>
        <w:rPr>
          <w:rFonts w:hint="eastAsia"/>
        </w:rPr>
        <w:t>固废库和</w:t>
      </w:r>
      <w:r w:rsidR="00D9365E">
        <w:rPr>
          <w:color w:val="000000" w:themeColor="text1"/>
        </w:rPr>
        <w:t>332.76</w:t>
      </w:r>
      <w:r>
        <w:rPr>
          <w:color w:val="000000" w:themeColor="text1"/>
        </w:rPr>
        <w:t>m</w:t>
      </w:r>
      <w:r>
        <w:rPr>
          <w:color w:val="000000" w:themeColor="text1"/>
          <w:vertAlign w:val="superscript"/>
        </w:rPr>
        <w:t>2</w:t>
      </w:r>
      <w:r>
        <w:t>的</w:t>
      </w:r>
      <w:r>
        <w:rPr>
          <w:rFonts w:hint="eastAsia"/>
        </w:rPr>
        <w:t>污泥仓库，</w:t>
      </w:r>
    </w:p>
    <w:p w:rsidR="004E3021" w:rsidRDefault="00606E48">
      <w:pPr>
        <w:ind w:firstLine="480"/>
      </w:pPr>
      <w:r>
        <w:rPr>
          <w:rFonts w:hint="eastAsia"/>
        </w:rPr>
        <w:t>配套建设的</w:t>
      </w:r>
      <w:r>
        <w:t>危废暂存场所</w:t>
      </w:r>
      <w:r>
        <w:rPr>
          <w:rFonts w:hint="eastAsia"/>
        </w:rPr>
        <w:t>及</w:t>
      </w:r>
      <w:r>
        <w:t>污泥暂存场所严格落实</w:t>
      </w:r>
      <w:r>
        <w:rPr>
          <w:rFonts w:ascii="宋体" w:hAnsi="宋体"/>
        </w:rPr>
        <w:t>“四防”(防风、防雨、防晒、防渗漏)</w:t>
      </w:r>
      <w:r>
        <w:t>控制措施，并按重点防渗的要求，地下铺设</w:t>
      </w:r>
      <w:r>
        <w:t>HDPE</w:t>
      </w:r>
      <w:r>
        <w:t>防渗膜，地面防腐并建有导流沟及渗滤液收集池，并配套危险废物堆放方式、警示标识等方面内容。</w:t>
      </w:r>
      <w:r>
        <w:rPr>
          <w:rFonts w:hint="eastAsia"/>
        </w:rPr>
        <w:t>项目产生的危险废物</w:t>
      </w:r>
      <w:r>
        <w:t>在厂内暂存后，将交由有资质单位处理。</w:t>
      </w:r>
    </w:p>
    <w:p w:rsidR="004E3021" w:rsidRDefault="00606E48">
      <w:pPr>
        <w:ind w:firstLine="480"/>
      </w:pPr>
      <w:r>
        <w:t>本项目</w:t>
      </w:r>
      <w:r>
        <w:rPr>
          <w:kern w:val="24"/>
        </w:rPr>
        <w:t>危险废物暂存场所按照《危险废物贮存污染控制标准》</w:t>
      </w:r>
      <w:r w:rsidR="0085002C">
        <w:t>（</w:t>
      </w:r>
      <w:r w:rsidR="0085002C">
        <w:t>GB18597-2023</w:t>
      </w:r>
      <w:r w:rsidR="0085002C">
        <w:t>）</w:t>
      </w:r>
      <w:r>
        <w:rPr>
          <w:kern w:val="24"/>
        </w:rPr>
        <w:t>的规定设置，通过规范设置危废暂存场所，可以保障危险废物暂存过程对周边环境不产生影响</w:t>
      </w:r>
      <w:r>
        <w:rPr>
          <w:rFonts w:ascii="宋体" w:hAnsi="宋体" w:hint="eastAsia"/>
        </w:rPr>
        <w:t>。</w:t>
      </w:r>
      <w:r>
        <w:t xml:space="preserve"> </w:t>
      </w:r>
    </w:p>
    <w:p w:rsidR="004E3021" w:rsidRDefault="00606E48">
      <w:pPr>
        <w:pStyle w:val="afffffffffffffffff4"/>
      </w:pPr>
      <w:bookmarkStart w:id="681" w:name="_Toc108662704"/>
      <w:bookmarkStart w:id="682" w:name="_Toc100784094"/>
      <w:bookmarkStart w:id="683" w:name="_Toc101135927"/>
      <w:bookmarkStart w:id="684" w:name="_Toc221088859"/>
      <w:bookmarkStart w:id="685" w:name="_Toc221501074"/>
      <w:r>
        <w:rPr>
          <w:rFonts w:hint="eastAsia"/>
        </w:rPr>
        <w:lastRenderedPageBreak/>
        <w:t>6.4.</w:t>
      </w:r>
      <w:r>
        <w:t>3</w:t>
      </w:r>
      <w:r>
        <w:t>固体废弃物防治建议</w:t>
      </w:r>
      <w:bookmarkEnd w:id="681"/>
      <w:bookmarkEnd w:id="682"/>
      <w:bookmarkEnd w:id="683"/>
      <w:bookmarkEnd w:id="684"/>
      <w:bookmarkEnd w:id="685"/>
    </w:p>
    <w:p w:rsidR="004E3021" w:rsidRDefault="00606E48">
      <w:pPr>
        <w:pStyle w:val="4a"/>
      </w:pPr>
      <w:r>
        <w:t>6.4.3.1</w:t>
      </w:r>
      <w:r>
        <w:t>对依托危险废物暂存场所的要求</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危险废物临时贮存场所应按照《危险废物贮存污染控制标准》</w:t>
      </w:r>
      <w:r w:rsidR="0085002C" w:rsidRPr="0085002C">
        <w:rPr>
          <w:rFonts w:ascii="Times New Roman" w:eastAsiaTheme="minorEastAsia" w:hAnsi="Times New Roman" w:cs="Times New Roman"/>
        </w:rPr>
        <w:t>（</w:t>
      </w:r>
      <w:r w:rsidR="0085002C" w:rsidRPr="0085002C">
        <w:rPr>
          <w:rFonts w:ascii="Times New Roman" w:eastAsiaTheme="minorEastAsia" w:hAnsi="Times New Roman" w:cs="Times New Roman"/>
        </w:rPr>
        <w:t>GB18597-2023</w:t>
      </w:r>
      <w:r w:rsidR="0085002C" w:rsidRPr="0085002C">
        <w:rPr>
          <w:rFonts w:ascii="Times New Roman" w:eastAsiaTheme="minorEastAsia" w:hAnsi="Times New Roman" w:cs="Times New Roman"/>
        </w:rPr>
        <w:t>）</w:t>
      </w:r>
      <w:r>
        <w:rPr>
          <w:rFonts w:ascii="Times New Roman" w:eastAsiaTheme="minorEastAsia" w:hAnsi="Times New Roman" w:cs="Times New Roman"/>
        </w:rPr>
        <w:t>要求进行设计，具体满足下列要求：</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w:t>
      </w:r>
      <w:r>
        <w:rPr>
          <w:rFonts w:ascii="Times New Roman" w:eastAsiaTheme="minorEastAsia" w:hAnsi="Times New Roman" w:cs="Times New Roman"/>
        </w:rPr>
        <w:t>1</w:t>
      </w:r>
      <w:r>
        <w:rPr>
          <w:rFonts w:ascii="Times New Roman" w:eastAsiaTheme="minorEastAsia" w:hAnsi="Times New Roman" w:cs="Times New Roman"/>
        </w:rPr>
        <w:t>）应建有堵截泄漏的裙脚，地面与裙脚要用坚固防渗的材料建造。应有隔离设施、报警装置和防风、防晒、防雨设施；</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w:t>
      </w:r>
      <w:r>
        <w:rPr>
          <w:rFonts w:ascii="Times New Roman" w:eastAsiaTheme="minorEastAsia" w:hAnsi="Times New Roman" w:cs="Times New Roman"/>
        </w:rPr>
        <w:t>2</w:t>
      </w:r>
      <w:r>
        <w:rPr>
          <w:rFonts w:ascii="Times New Roman" w:eastAsiaTheme="minorEastAsia" w:hAnsi="Times New Roman" w:cs="Times New Roman"/>
        </w:rPr>
        <w:t>）用于盛放液态危险废物场所须有泄漏液体的收集装置；</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w:t>
      </w:r>
      <w:r>
        <w:rPr>
          <w:rFonts w:ascii="Times New Roman" w:eastAsiaTheme="minorEastAsia" w:hAnsi="Times New Roman" w:cs="Times New Roman"/>
        </w:rPr>
        <w:t>3</w:t>
      </w:r>
      <w:r>
        <w:rPr>
          <w:rFonts w:ascii="Times New Roman" w:eastAsiaTheme="minorEastAsia" w:hAnsi="Times New Roman" w:cs="Times New Roman"/>
        </w:rPr>
        <w:t>）用于存放液体、半固体危险废物的地方，还须有耐腐蚀的硬化地面，地面无裂隙；</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w:t>
      </w:r>
      <w:r>
        <w:rPr>
          <w:rFonts w:ascii="Times New Roman" w:eastAsiaTheme="minorEastAsia" w:hAnsi="Times New Roman" w:cs="Times New Roman"/>
        </w:rPr>
        <w:t>4</w:t>
      </w:r>
      <w:r>
        <w:rPr>
          <w:rFonts w:ascii="Times New Roman" w:eastAsiaTheme="minorEastAsia" w:hAnsi="Times New Roman" w:cs="Times New Roman"/>
        </w:rPr>
        <w:t>）不相容的危险废物堆放区必须有隔离间隔断；</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w:t>
      </w:r>
      <w:r>
        <w:rPr>
          <w:rFonts w:ascii="Times New Roman" w:eastAsiaTheme="minorEastAsia" w:hAnsi="Times New Roman" w:cs="Times New Roman"/>
        </w:rPr>
        <w:t>5</w:t>
      </w:r>
      <w:r>
        <w:rPr>
          <w:rFonts w:ascii="Times New Roman" w:eastAsiaTheme="minorEastAsia" w:hAnsi="Times New Roman" w:cs="Times New Roman"/>
        </w:rPr>
        <w:t>）贮存易燃易爆的危险废物的场所应配备消防设备；</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w:t>
      </w:r>
      <w:r>
        <w:rPr>
          <w:rFonts w:ascii="Times New Roman" w:eastAsiaTheme="minorEastAsia" w:hAnsi="Times New Roman" w:cs="Times New Roman"/>
        </w:rPr>
        <w:t>6</w:t>
      </w:r>
      <w:r>
        <w:rPr>
          <w:rFonts w:ascii="Times New Roman" w:eastAsiaTheme="minorEastAsia" w:hAnsi="Times New Roman" w:cs="Times New Roman"/>
        </w:rPr>
        <w:t>）危险废物贮存设施必须按</w:t>
      </w:r>
      <w:r>
        <w:rPr>
          <w:rFonts w:ascii="Times New Roman" w:eastAsiaTheme="minorEastAsia" w:hAnsi="Times New Roman" w:cs="Times New Roman"/>
        </w:rPr>
        <w:t>GB15562.2</w:t>
      </w:r>
      <w:r>
        <w:rPr>
          <w:rFonts w:ascii="Times New Roman" w:eastAsiaTheme="minorEastAsia" w:hAnsi="Times New Roman" w:cs="Times New Roman"/>
        </w:rPr>
        <w:t>的规定设置警示标志；危险废物贮存设施周围应设置围墙或其它防护栅栏，危险废物贮存设施内清理出来的泄漏物，一律按危险废物处理；</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w:t>
      </w:r>
      <w:r>
        <w:rPr>
          <w:rFonts w:ascii="Times New Roman" w:eastAsiaTheme="minorEastAsia" w:hAnsi="Times New Roman" w:cs="Times New Roman"/>
        </w:rPr>
        <w:t>7</w:t>
      </w:r>
      <w:r>
        <w:rPr>
          <w:rFonts w:ascii="Times New Roman" w:eastAsiaTheme="minorEastAsia" w:hAnsi="Times New Roman" w:cs="Times New Roman"/>
        </w:rPr>
        <w:t>）危险废物暂存场所的设计、运行与管理、安全防护、环境监测及应急措施等须遵循</w:t>
      </w:r>
      <w:r>
        <w:rPr>
          <w:rFonts w:ascii="Times New Roman" w:eastAsiaTheme="minorEastAsia" w:hAnsi="Times New Roman" w:cs="Times New Roman"/>
        </w:rPr>
        <w:t>(</w:t>
      </w:r>
      <w:r>
        <w:rPr>
          <w:rFonts w:ascii="Times New Roman" w:eastAsiaTheme="minorEastAsia" w:hAnsi="Times New Roman" w:cs="Times New Roman"/>
        </w:rPr>
        <w:t>危险废物贮存污染控制标准</w:t>
      </w:r>
      <w:r>
        <w:rPr>
          <w:rFonts w:ascii="Times New Roman" w:eastAsiaTheme="minorEastAsia" w:hAnsi="Times New Roman" w:cs="Times New Roman"/>
        </w:rPr>
        <w:t>)</w:t>
      </w:r>
      <w:r>
        <w:rPr>
          <w:rFonts w:ascii="Times New Roman" w:eastAsiaTheme="minorEastAsia" w:hAnsi="Times New Roman" w:cs="Times New Roman"/>
        </w:rPr>
        <w:t>有关规定。</w:t>
      </w:r>
    </w:p>
    <w:p w:rsidR="004E3021" w:rsidRDefault="00606E48">
      <w:pPr>
        <w:pStyle w:val="4a"/>
      </w:pPr>
      <w:r>
        <w:t>6.4.3.2</w:t>
      </w:r>
      <w:r>
        <w:t>危险废物的收集、贮存、转移过程环境管理要求</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w:t>
      </w:r>
      <w:r>
        <w:rPr>
          <w:rFonts w:ascii="Times New Roman" w:eastAsiaTheme="minorEastAsia" w:hAnsi="Times New Roman" w:cs="Times New Roman"/>
        </w:rPr>
        <w:t>1</w:t>
      </w:r>
      <w:r>
        <w:rPr>
          <w:rFonts w:ascii="Times New Roman" w:eastAsiaTheme="minorEastAsia" w:hAnsi="Times New Roman" w:cs="Times New Roman"/>
        </w:rPr>
        <w:t>）危险废物收集规范要求</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宋体" w:hAnsi="宋体" w:cs="宋体" w:hint="eastAsia"/>
        </w:rPr>
        <w:t>①</w:t>
      </w:r>
      <w:r>
        <w:rPr>
          <w:rFonts w:ascii="Times New Roman" w:eastAsiaTheme="minorEastAsia" w:hAnsi="Times New Roman" w:cs="Times New Roman"/>
        </w:rPr>
        <w:t>危险废物收集应根据危险废物产生的工艺特性、排放周期、危险废物特性、废物管理计划等因素制定收集计划；收集计划应包括收集任务的概述、收集目标及原则、危险废物特性评估、危险废物收集量估算、收集作业范围和方法、收集设备与包装容器、安全生产与个人防护、工程防护与事故应急、进度安排与组织管理等。</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宋体" w:hAnsi="宋体" w:cs="宋体" w:hint="eastAsia"/>
        </w:rPr>
        <w:t>②</w:t>
      </w:r>
      <w:r>
        <w:rPr>
          <w:rFonts w:ascii="Times New Roman" w:eastAsiaTheme="minorEastAsia" w:hAnsi="Times New Roman" w:cs="Times New Roman"/>
        </w:rPr>
        <w:t>在危险废物收集、转运过程中，应采取相应的安全防护和污染防治措施，包括防爆、防火、防中毒、防感染、防泄漏、防飞扬、防雨或其他防止污染环境的措施；</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宋体" w:hAnsi="宋体" w:cs="宋体" w:hint="eastAsia"/>
        </w:rPr>
        <w:t>③</w:t>
      </w:r>
      <w:r>
        <w:rPr>
          <w:rFonts w:ascii="Times New Roman" w:eastAsiaTheme="minorEastAsia" w:hAnsi="Times New Roman" w:cs="Times New Roman"/>
        </w:rPr>
        <w:t>危险废物收集时应根据危险废物种类、数量、危险特性、物理形态、运输要求等因素确定包装形式，具体包括应符合如下要求：</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a.</w:t>
      </w:r>
      <w:r>
        <w:rPr>
          <w:rFonts w:ascii="Times New Roman" w:eastAsiaTheme="minorEastAsia" w:hAnsi="Times New Roman" w:cs="Times New Roman"/>
        </w:rPr>
        <w:t>包装材质要与危险废物相容，可根据废物特性选择钢、铝、塑料等材质；</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b.</w:t>
      </w:r>
      <w:r>
        <w:rPr>
          <w:rFonts w:ascii="Times New Roman" w:eastAsiaTheme="minorEastAsia" w:hAnsi="Times New Roman" w:cs="Times New Roman"/>
        </w:rPr>
        <w:t>性质类似的废物可收集到同一容器中，性质不相容的危险废物不应混合包装；</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c.</w:t>
      </w:r>
      <w:r>
        <w:rPr>
          <w:rFonts w:ascii="Times New Roman" w:eastAsiaTheme="minorEastAsia" w:hAnsi="Times New Roman" w:cs="Times New Roman"/>
        </w:rPr>
        <w:t>危险废物包装应能有效隔断危险废物迁移扩散途径。并达到防渗、防漏要求；</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lastRenderedPageBreak/>
        <w:t>d.</w:t>
      </w:r>
      <w:r>
        <w:rPr>
          <w:rFonts w:ascii="Times New Roman" w:eastAsiaTheme="minorEastAsia" w:hAnsi="Times New Roman" w:cs="Times New Roman"/>
        </w:rPr>
        <w:t>包装好的危险废物应设置相应的标签，标签信息应填写完整详实；</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e.</w:t>
      </w:r>
      <w:r>
        <w:rPr>
          <w:rFonts w:ascii="Times New Roman" w:eastAsiaTheme="minorEastAsia" w:hAnsi="Times New Roman" w:cs="Times New Roman"/>
        </w:rPr>
        <w:t>盛装过危险废物的包装袋或包装容器破损后应按危险废物进行管理和处置；</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f.</w:t>
      </w:r>
      <w:r>
        <w:rPr>
          <w:rFonts w:ascii="Times New Roman" w:eastAsiaTheme="minorEastAsia" w:hAnsi="Times New Roman" w:cs="Times New Roman"/>
        </w:rPr>
        <w:t>危险废物还应根据</w:t>
      </w:r>
      <w:r>
        <w:rPr>
          <w:rFonts w:ascii="Times New Roman" w:eastAsiaTheme="minorEastAsia" w:hAnsi="Times New Roman" w:cs="Times New Roman"/>
        </w:rPr>
        <w:t>GB12463</w:t>
      </w:r>
      <w:r>
        <w:rPr>
          <w:rFonts w:ascii="Times New Roman" w:eastAsiaTheme="minorEastAsia" w:hAnsi="Times New Roman" w:cs="Times New Roman"/>
        </w:rPr>
        <w:t>的有关进行运输包装。</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w:t>
      </w:r>
      <w:r>
        <w:rPr>
          <w:rFonts w:ascii="Times New Roman" w:eastAsiaTheme="minorEastAsia" w:hAnsi="Times New Roman" w:cs="Times New Roman"/>
        </w:rPr>
        <w:t>2</w:t>
      </w:r>
      <w:r>
        <w:rPr>
          <w:rFonts w:ascii="Times New Roman" w:eastAsiaTheme="minorEastAsia" w:hAnsi="Times New Roman" w:cs="Times New Roman"/>
        </w:rPr>
        <w:t>）危险废物贮存规范要求</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宋体" w:hAnsi="宋体" w:cs="宋体" w:hint="eastAsia"/>
        </w:rPr>
        <w:t>①</w:t>
      </w:r>
      <w:r>
        <w:rPr>
          <w:rFonts w:ascii="Times New Roman" w:eastAsiaTheme="minorEastAsia" w:hAnsi="Times New Roman" w:cs="Times New Roman"/>
        </w:rPr>
        <w:t>危险废物贮存设施应配备通讯设备、照明设施和消防设施；</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宋体" w:hAnsi="宋体" w:cs="宋体" w:hint="eastAsia"/>
        </w:rPr>
        <w:t>②</w:t>
      </w:r>
      <w:r>
        <w:rPr>
          <w:rFonts w:ascii="Times New Roman" w:eastAsiaTheme="minorEastAsia" w:hAnsi="Times New Roman" w:cs="Times New Roman"/>
        </w:rPr>
        <w:t>贮存易燃易爆危险废物应配置火灾报警装置和导出静电的接地装置；</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宋体" w:hAnsi="宋体" w:cs="宋体" w:hint="eastAsia"/>
        </w:rPr>
        <w:t>③</w:t>
      </w:r>
      <w:r>
        <w:rPr>
          <w:rFonts w:ascii="Times New Roman" w:eastAsiaTheme="minorEastAsia" w:hAnsi="Times New Roman" w:cs="Times New Roman"/>
        </w:rPr>
        <w:t>危险废物贮存期限应符合《中华人民共和国固体废物污染环境防治法》的有关规定；</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宋体" w:hAnsi="宋体" w:cs="宋体" w:hint="eastAsia"/>
        </w:rPr>
        <w:t>④</w:t>
      </w:r>
      <w:r>
        <w:rPr>
          <w:rFonts w:ascii="Times New Roman" w:eastAsiaTheme="minorEastAsia" w:hAnsi="Times New Roman" w:cs="Times New Roman"/>
        </w:rPr>
        <w:t>危险废物贮存单位应建立危险废物贮存的台账制度，认真记录危险废物出入库的交接内容。</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宋体" w:hAnsi="宋体" w:cs="宋体" w:hint="eastAsia"/>
        </w:rPr>
        <w:t>⑤</w:t>
      </w:r>
      <w:r>
        <w:rPr>
          <w:rFonts w:ascii="Times New Roman" w:eastAsiaTheme="minorEastAsia" w:hAnsi="Times New Roman" w:cs="Times New Roman"/>
        </w:rPr>
        <w:t>危险废物贮存设施应根据贮存废物的种类和特性按照</w:t>
      </w:r>
      <w:r>
        <w:rPr>
          <w:rFonts w:ascii="Times New Roman" w:eastAsiaTheme="minorEastAsia" w:hAnsi="Times New Roman" w:cs="Times New Roman"/>
        </w:rPr>
        <w:t>GB18597</w:t>
      </w:r>
      <w:r>
        <w:rPr>
          <w:rFonts w:ascii="Times New Roman" w:eastAsiaTheme="minorEastAsia" w:hAnsi="Times New Roman" w:cs="Times New Roman"/>
        </w:rPr>
        <w:t>附录</w:t>
      </w:r>
      <w:r>
        <w:rPr>
          <w:rFonts w:ascii="Times New Roman" w:eastAsiaTheme="minorEastAsia" w:hAnsi="Times New Roman" w:cs="Times New Roman"/>
        </w:rPr>
        <w:t>A</w:t>
      </w:r>
      <w:r>
        <w:rPr>
          <w:rFonts w:ascii="Times New Roman" w:eastAsiaTheme="minorEastAsia" w:hAnsi="Times New Roman" w:cs="Times New Roman"/>
        </w:rPr>
        <w:t>设置标志。</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w:t>
      </w:r>
      <w:r>
        <w:rPr>
          <w:rFonts w:ascii="Times New Roman" w:eastAsiaTheme="minorEastAsia" w:hAnsi="Times New Roman" w:cs="Times New Roman"/>
        </w:rPr>
        <w:t>3</w:t>
      </w:r>
      <w:r>
        <w:rPr>
          <w:rFonts w:ascii="Times New Roman" w:eastAsiaTheme="minorEastAsia" w:hAnsi="Times New Roman" w:cs="Times New Roman"/>
        </w:rPr>
        <w:t>）危险废物运输技术规范要求</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宋体" w:hAnsi="宋体" w:cs="宋体" w:hint="eastAsia"/>
        </w:rPr>
        <w:t>①</w:t>
      </w:r>
      <w:r>
        <w:rPr>
          <w:rFonts w:ascii="Times New Roman" w:eastAsiaTheme="minorEastAsia" w:hAnsi="Times New Roman" w:cs="Times New Roman"/>
        </w:rPr>
        <w:t>危险废物运输应由持有危险废物经营许可证的单位按照其许可证的经营范围组织实施；</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宋体" w:hAnsi="宋体" w:cs="宋体" w:hint="eastAsia"/>
        </w:rPr>
        <w:t>②</w:t>
      </w:r>
      <w:r>
        <w:rPr>
          <w:rFonts w:ascii="Times New Roman" w:eastAsiaTheme="minorEastAsia" w:hAnsi="Times New Roman" w:cs="Times New Roman"/>
        </w:rPr>
        <w:t>废弃的危险化学品的运输应执行《危险化学品安全管理条例》的有关规定执行；</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Times New Roman" w:eastAsiaTheme="minorEastAsia" w:hAnsi="Times New Roman" w:cs="Times New Roman"/>
        </w:rPr>
        <w:t>（</w:t>
      </w:r>
      <w:r>
        <w:rPr>
          <w:rFonts w:ascii="Times New Roman" w:eastAsiaTheme="minorEastAsia" w:hAnsi="Times New Roman" w:cs="Times New Roman"/>
        </w:rPr>
        <w:t>4</w:t>
      </w:r>
      <w:r>
        <w:rPr>
          <w:rFonts w:ascii="Times New Roman" w:eastAsiaTheme="minorEastAsia" w:hAnsi="Times New Roman" w:cs="Times New Roman"/>
        </w:rPr>
        <w:t>）危险废物转运过程二次污染防治措施</w:t>
      </w:r>
    </w:p>
    <w:p w:rsidR="004E3021" w:rsidRDefault="00606E48" w:rsidP="00D9365E">
      <w:pPr>
        <w:pStyle w:val="1fc"/>
        <w:tabs>
          <w:tab w:val="left" w:pos="0"/>
        </w:tabs>
        <w:spacing w:line="360" w:lineRule="auto"/>
        <w:ind w:firstLineChars="209" w:firstLine="502"/>
        <w:rPr>
          <w:rFonts w:ascii="Times New Roman" w:eastAsiaTheme="minorEastAsia" w:hAnsi="Times New Roman" w:cs="Times New Roman"/>
        </w:rPr>
      </w:pPr>
      <w:r>
        <w:rPr>
          <w:rFonts w:ascii="宋体" w:hAnsi="宋体" w:cs="宋体" w:hint="eastAsia"/>
        </w:rPr>
        <w:t>①</w:t>
      </w:r>
      <w:r>
        <w:rPr>
          <w:rFonts w:ascii="Times New Roman" w:eastAsiaTheme="minorEastAsia" w:hAnsi="Times New Roman" w:cs="Times New Roman"/>
        </w:rPr>
        <w:t>危险废物要根据其成分，用专门容器分类收集，装运危险废物的容器应不易破损、变形、老化，能有效地防止渗漏、扩散。</w:t>
      </w:r>
    </w:p>
    <w:p w:rsidR="004E3021" w:rsidRDefault="00606E48" w:rsidP="00D9365E">
      <w:pPr>
        <w:ind w:firstLine="480"/>
      </w:pPr>
      <w:r>
        <w:rPr>
          <w:rFonts w:ascii="宋体" w:hAnsi="宋体" w:cs="宋体" w:hint="eastAsia"/>
        </w:rPr>
        <w:t>②</w:t>
      </w:r>
      <w:r>
        <w:rPr>
          <w:rFonts w:eastAsiaTheme="minorEastAsia"/>
        </w:rPr>
        <w:t>在危险废物贮存和运输过程中应避免泄漏，造成二次污染。装有危险废物的容器必须贴有标签，在标签上详细标明危险废物的名称、重量、成分、特征以及发生泄漏、扩散污染事故时的应急措施和补救方法。运输及接受要填写交接单（</w:t>
      </w:r>
      <w:r>
        <w:rPr>
          <w:rFonts w:eastAsiaTheme="minorEastAsia"/>
        </w:rPr>
        <w:t>5</w:t>
      </w:r>
      <w:r>
        <w:rPr>
          <w:rFonts w:eastAsiaTheme="minorEastAsia"/>
        </w:rPr>
        <w:t>联单），企业环保机构进行监控</w:t>
      </w:r>
      <w:r>
        <w:rPr>
          <w:rFonts w:eastAsiaTheme="minorEastAsia" w:hint="eastAsia"/>
        </w:rPr>
        <w:t>。</w:t>
      </w:r>
    </w:p>
    <w:p w:rsidR="004E3021" w:rsidRDefault="00606E48">
      <w:pPr>
        <w:pStyle w:val="afffffffffffffffff3"/>
      </w:pPr>
      <w:bookmarkStart w:id="686" w:name="_Toc58511634"/>
      <w:bookmarkStart w:id="687" w:name="_Toc221501075"/>
      <w:bookmarkEnd w:id="686"/>
      <w:r>
        <w:t>6.5</w:t>
      </w:r>
      <w:r>
        <w:t>地下水污染防治措施</w:t>
      </w:r>
      <w:r>
        <w:rPr>
          <w:rFonts w:hint="eastAsia"/>
        </w:rPr>
        <w:t>评述</w:t>
      </w:r>
      <w:bookmarkEnd w:id="687"/>
    </w:p>
    <w:p w:rsidR="004E3021" w:rsidRDefault="00606E48">
      <w:pPr>
        <w:pStyle w:val="afffffffffffffffff4"/>
      </w:pPr>
      <w:bookmarkStart w:id="688" w:name="_Toc108662706"/>
      <w:bookmarkStart w:id="689" w:name="_Toc100784096"/>
      <w:bookmarkStart w:id="690" w:name="_Toc101135929"/>
      <w:bookmarkStart w:id="691" w:name="_Toc221088861"/>
      <w:bookmarkStart w:id="692" w:name="_Toc221501076"/>
      <w:r>
        <w:rPr>
          <w:rFonts w:hint="eastAsia"/>
        </w:rPr>
        <w:t>6.5.1</w:t>
      </w:r>
      <w:bookmarkStart w:id="693" w:name="_Toc395792906"/>
      <w:bookmarkEnd w:id="693"/>
      <w:r>
        <w:t>污染防治措施评述</w:t>
      </w:r>
      <w:bookmarkEnd w:id="688"/>
      <w:bookmarkEnd w:id="689"/>
      <w:bookmarkEnd w:id="690"/>
      <w:bookmarkEnd w:id="691"/>
      <w:bookmarkEnd w:id="692"/>
    </w:p>
    <w:p w:rsidR="004E3021" w:rsidRDefault="00606E48">
      <w:pPr>
        <w:ind w:firstLine="480"/>
      </w:pPr>
      <w:r>
        <w:rPr>
          <w:rFonts w:ascii="宋体" w:hAnsi="宋体" w:hint="eastAsia"/>
        </w:rPr>
        <w:t>地下水保护与污染防治按照</w:t>
      </w:r>
      <w:r>
        <w:rPr>
          <w:rFonts w:hint="eastAsia"/>
        </w:rPr>
        <w:t>“源头控制、分区防治、污染监控、应急响应”的原则。本项目运行过程中要建立健全地下水保护与污染防治的措施与方法；必须采取必要监测</w:t>
      </w:r>
      <w:r>
        <w:rPr>
          <w:rFonts w:hint="eastAsia"/>
        </w:rPr>
        <w:lastRenderedPageBreak/>
        <w:t>制度，一旦发现地下水遭受污染，就应及时采取措施，防微杜渐；尽量减少污染物进入地下含水层的机会和数量。</w:t>
      </w:r>
    </w:p>
    <w:p w:rsidR="004E3021" w:rsidRDefault="00606E48">
      <w:pPr>
        <w:pStyle w:val="afffffffffffffffff4"/>
      </w:pPr>
      <w:bookmarkStart w:id="694" w:name="_Toc101135930"/>
      <w:bookmarkStart w:id="695" w:name="_Toc100784097"/>
      <w:bookmarkStart w:id="696" w:name="_Toc108662707"/>
      <w:bookmarkStart w:id="697" w:name="_Toc221088862"/>
      <w:bookmarkStart w:id="698" w:name="_Toc221501077"/>
      <w:r>
        <w:rPr>
          <w:rFonts w:hint="eastAsia"/>
        </w:rPr>
        <w:t>6</w:t>
      </w:r>
      <w:r>
        <w:t>.5.2</w:t>
      </w:r>
      <w:r>
        <w:rPr>
          <w:rFonts w:ascii="黑体" w:hAnsi="黑体" w:hint="eastAsia"/>
        </w:rPr>
        <w:t>源头</w:t>
      </w:r>
      <w:r>
        <w:rPr>
          <w:rFonts w:ascii="黑体" w:hAnsi="黑体"/>
        </w:rPr>
        <w:t>控制</w:t>
      </w:r>
      <w:bookmarkEnd w:id="694"/>
      <w:bookmarkEnd w:id="695"/>
      <w:bookmarkEnd w:id="696"/>
      <w:bookmarkEnd w:id="697"/>
      <w:bookmarkEnd w:id="698"/>
    </w:p>
    <w:p w:rsidR="004E3021" w:rsidRDefault="00606E48">
      <w:pPr>
        <w:ind w:firstLine="480"/>
      </w:pPr>
      <w:r>
        <w:rPr>
          <w:rFonts w:ascii="宋体" w:hAnsi="宋体"/>
          <w:kern w:val="24"/>
        </w:rPr>
        <w:t>项目选择先进、成熟、可靠的工艺技术，并对产生的各类废物进行合理的回用和治理，尽可能从源头上减少污染物的产生和排放。严格按照国家相关规范要求，对工艺、管道、设备、储罐、仓库、污水储存和处理构筑物采取相应措施，防止和降低污染物的跑、冒、滴、漏，将污染物泄漏的环境风险降到最低程度。堆放各种化工原辅料的危险品仓库和储罐区，危险废物临时存放场所要按照国家相关规范要求，采取严格的防泄漏、防溢流、防腐蚀等措施，严格危险化学品和危险废物的管理。对可能泄漏有害介质和污染物的设备和管道铺设尽量采用</w:t>
      </w:r>
      <w:r>
        <w:rPr>
          <w:kern w:val="24"/>
        </w:rPr>
        <w:t>“</w:t>
      </w:r>
      <w:r>
        <w:rPr>
          <w:rFonts w:ascii="宋体" w:hAnsi="宋体"/>
          <w:kern w:val="24"/>
        </w:rPr>
        <w:t>可视化</w:t>
      </w:r>
      <w:r>
        <w:rPr>
          <w:kern w:val="24"/>
        </w:rPr>
        <w:t>”</w:t>
      </w:r>
      <w:r>
        <w:rPr>
          <w:rFonts w:ascii="宋体" w:hAnsi="宋体"/>
          <w:kern w:val="24"/>
        </w:rPr>
        <w:t>原则，即管道尽可能地上铺设，做到污染物</w:t>
      </w:r>
      <w:r>
        <w:rPr>
          <w:kern w:val="24"/>
        </w:rPr>
        <w:t>“</w:t>
      </w:r>
      <w:r>
        <w:rPr>
          <w:rFonts w:ascii="宋体" w:hAnsi="宋体"/>
          <w:kern w:val="24"/>
        </w:rPr>
        <w:t>早发现、早处理</w:t>
      </w:r>
      <w:r>
        <w:rPr>
          <w:kern w:val="24"/>
        </w:rPr>
        <w:t>”</w:t>
      </w:r>
      <w:r>
        <w:rPr>
          <w:rFonts w:ascii="宋体" w:hAnsi="宋体"/>
          <w:kern w:val="24"/>
        </w:rPr>
        <w:t>，以减少由于埋地管道泄漏而可能造成的地下水污染。</w:t>
      </w:r>
      <w:r>
        <w:rPr>
          <w:rFonts w:ascii="宋体" w:hAnsi="宋体"/>
        </w:rPr>
        <w:t>储罐尽量露天设置，罐区四周均设置围堤或围堰防护，严防污染物下渗到地下水中。</w:t>
      </w:r>
    </w:p>
    <w:p w:rsidR="004E3021" w:rsidRDefault="00606E48">
      <w:pPr>
        <w:pStyle w:val="afffffffffffffffff4"/>
      </w:pPr>
      <w:bookmarkStart w:id="699" w:name="_Toc101135931"/>
      <w:bookmarkStart w:id="700" w:name="_Toc108662708"/>
      <w:bookmarkStart w:id="701" w:name="_Toc100784098"/>
      <w:bookmarkStart w:id="702" w:name="_Toc221088863"/>
      <w:bookmarkStart w:id="703" w:name="_Toc221501078"/>
      <w:r>
        <w:rPr>
          <w:rFonts w:hint="eastAsia"/>
        </w:rPr>
        <w:t>6.5.3</w:t>
      </w:r>
      <w:r>
        <w:rPr>
          <w:rFonts w:ascii="黑体" w:hAnsi="黑体" w:hint="eastAsia"/>
        </w:rPr>
        <w:t>分区</w:t>
      </w:r>
      <w:r>
        <w:rPr>
          <w:rFonts w:ascii="黑体" w:hAnsi="黑体"/>
        </w:rPr>
        <w:t>防控措施</w:t>
      </w:r>
      <w:bookmarkEnd w:id="699"/>
      <w:bookmarkEnd w:id="700"/>
      <w:bookmarkEnd w:id="701"/>
      <w:bookmarkEnd w:id="702"/>
      <w:bookmarkEnd w:id="703"/>
    </w:p>
    <w:p w:rsidR="004E3021" w:rsidRDefault="00606E48">
      <w:pPr>
        <w:ind w:firstLine="480"/>
      </w:pPr>
      <w:r>
        <w:rPr>
          <w:rFonts w:hint="eastAsia"/>
        </w:rPr>
        <w:t>（</w:t>
      </w:r>
      <w:r>
        <w:rPr>
          <w:rFonts w:hint="eastAsia"/>
        </w:rPr>
        <w:t>1</w:t>
      </w:r>
      <w:r>
        <w:rPr>
          <w:rFonts w:hint="eastAsia"/>
        </w:rPr>
        <w:t>）</w:t>
      </w:r>
      <w:r>
        <w:t>污染防治分区</w:t>
      </w:r>
    </w:p>
    <w:p w:rsidR="004E3021" w:rsidRDefault="00606E48">
      <w:pPr>
        <w:ind w:firstLine="480"/>
      </w:pPr>
      <w:r>
        <w:rPr>
          <w:rFonts w:hint="eastAsia"/>
        </w:rPr>
        <w:t>根据</w:t>
      </w:r>
      <w:r>
        <w:t>安徽凯盛</w:t>
      </w:r>
      <w:r>
        <w:rPr>
          <w:rFonts w:hint="eastAsia"/>
        </w:rPr>
        <w:t>应用</w:t>
      </w:r>
      <w:r>
        <w:t>材料</w:t>
      </w:r>
      <w:r>
        <w:rPr>
          <w:rFonts w:hint="eastAsia"/>
        </w:rPr>
        <w:t>有限</w:t>
      </w:r>
      <w:r>
        <w:t>公司平面布置及</w:t>
      </w:r>
      <w:r>
        <w:rPr>
          <w:rFonts w:hint="eastAsia"/>
        </w:rPr>
        <w:t>项目各</w:t>
      </w:r>
      <w:r>
        <w:t>污染物</w:t>
      </w:r>
      <w:r>
        <w:rPr>
          <w:rFonts w:hint="eastAsia"/>
        </w:rPr>
        <w:t>产生、暂存</w:t>
      </w:r>
      <w:r>
        <w:t>位置</w:t>
      </w:r>
      <w:r>
        <w:rPr>
          <w:rFonts w:hint="eastAsia"/>
        </w:rPr>
        <w:t>，</w:t>
      </w:r>
      <w:r>
        <w:t>可将</w:t>
      </w:r>
      <w:r>
        <w:rPr>
          <w:rFonts w:hint="eastAsia"/>
        </w:rPr>
        <w:t>厂区</w:t>
      </w:r>
      <w:r>
        <w:t>划分为</w:t>
      </w:r>
      <w:r>
        <w:rPr>
          <w:rFonts w:hint="eastAsia"/>
        </w:rPr>
        <w:t>一般</w:t>
      </w:r>
      <w:r>
        <w:t>污染区和</w:t>
      </w:r>
      <w:r>
        <w:rPr>
          <w:rFonts w:hint="eastAsia"/>
        </w:rPr>
        <w:t>重点</w:t>
      </w:r>
      <w:r>
        <w:t>污染区域，具体见表</w:t>
      </w:r>
      <w:r>
        <w:rPr>
          <w:rFonts w:hint="eastAsia"/>
        </w:rPr>
        <w:t>6.5.3</w:t>
      </w:r>
      <w:r>
        <w:t>-1</w:t>
      </w:r>
      <w:r>
        <w:rPr>
          <w:rFonts w:hint="eastAsia"/>
        </w:rPr>
        <w:t>和</w:t>
      </w:r>
      <w:r>
        <w:t>附图</w:t>
      </w:r>
      <w:r>
        <w:rPr>
          <w:rFonts w:hint="eastAsia"/>
        </w:rPr>
        <w:t>6.5.3-1</w:t>
      </w:r>
      <w:r>
        <w:rPr>
          <w:rFonts w:hint="eastAsia"/>
        </w:rPr>
        <w:t>。</w:t>
      </w:r>
    </w:p>
    <w:p w:rsidR="004E3021" w:rsidRDefault="00606E48">
      <w:pPr>
        <w:pStyle w:val="afffff4"/>
      </w:pPr>
      <w:r>
        <w:rPr>
          <w:rFonts w:hint="eastAsia"/>
        </w:rPr>
        <w:t>表</w:t>
      </w:r>
      <w:r>
        <w:t>6.5.3</w:t>
      </w:r>
      <w:r>
        <w:rPr>
          <w:rFonts w:hint="eastAsia"/>
        </w:rPr>
        <w:t xml:space="preserve">-1  </w:t>
      </w:r>
      <w:r w:rsidR="00D9365E">
        <w:rPr>
          <w:rFonts w:hint="eastAsia"/>
        </w:rPr>
        <w:t>本</w:t>
      </w:r>
      <w:r>
        <w:rPr>
          <w:rFonts w:hint="eastAsia"/>
        </w:rPr>
        <w:t>项目污染区划分及防渗等级一览表</w:t>
      </w:r>
    </w:p>
    <w:tbl>
      <w:tblPr>
        <w:tblStyle w:val="1ffffffd"/>
        <w:tblW w:w="5000" w:type="pct"/>
        <w:tblLook w:val="04A0" w:firstRow="1" w:lastRow="0" w:firstColumn="1" w:lastColumn="0" w:noHBand="0" w:noVBand="1"/>
      </w:tblPr>
      <w:tblGrid>
        <w:gridCol w:w="924"/>
        <w:gridCol w:w="1186"/>
        <w:gridCol w:w="3562"/>
        <w:gridCol w:w="3354"/>
      </w:tblGrid>
      <w:tr w:rsidR="004E3021" w:rsidRPr="00D9365E" w:rsidTr="00D9365E">
        <w:trPr>
          <w:trHeight w:val="20"/>
        </w:trPr>
        <w:tc>
          <w:tcPr>
            <w:tcW w:w="1168" w:type="pct"/>
            <w:gridSpan w:val="2"/>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分区</w:t>
            </w:r>
          </w:p>
        </w:tc>
        <w:tc>
          <w:tcPr>
            <w:tcW w:w="1973" w:type="pc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厂内分区</w:t>
            </w:r>
          </w:p>
        </w:tc>
        <w:tc>
          <w:tcPr>
            <w:tcW w:w="1859" w:type="pc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防渗等级</w:t>
            </w:r>
          </w:p>
        </w:tc>
      </w:tr>
      <w:tr w:rsidR="004E3021" w:rsidRPr="00D9365E" w:rsidTr="00D9365E">
        <w:trPr>
          <w:trHeight w:val="20"/>
        </w:trPr>
        <w:tc>
          <w:tcPr>
            <w:tcW w:w="512" w:type="pct"/>
            <w:vMerge w:val="restar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污染区</w:t>
            </w:r>
          </w:p>
        </w:tc>
        <w:tc>
          <w:tcPr>
            <w:tcW w:w="657" w:type="pct"/>
            <w:vMerge w:val="restar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一般污染防治区</w:t>
            </w:r>
          </w:p>
        </w:tc>
        <w:tc>
          <w:tcPr>
            <w:tcW w:w="1973" w:type="pct"/>
            <w:vAlign w:val="center"/>
          </w:tcPr>
          <w:p w:rsidR="004E3021" w:rsidRPr="00D9365E" w:rsidRDefault="00D9365E" w:rsidP="00D9365E">
            <w:pPr>
              <w:pStyle w:val="afffffff2"/>
              <w:rPr>
                <w:rFonts w:ascii="Times New Roman" w:hAnsi="Times New Roman" w:cs="Times New Roman"/>
                <w:kern w:val="0"/>
                <w:sz w:val="21"/>
                <w:szCs w:val="21"/>
              </w:rPr>
            </w:pPr>
            <w:r w:rsidRPr="00E4647E">
              <w:rPr>
                <w:rFonts w:hint="eastAsia"/>
                <w:sz w:val="21"/>
                <w:szCs w:val="21"/>
              </w:rPr>
              <w:t>硅粉</w:t>
            </w:r>
            <w:r w:rsidRPr="00E4647E">
              <w:rPr>
                <w:sz w:val="21"/>
                <w:szCs w:val="21"/>
              </w:rPr>
              <w:t>车间</w:t>
            </w:r>
            <w:r w:rsidRPr="00E4647E">
              <w:rPr>
                <w:rFonts w:hint="eastAsia"/>
                <w:sz w:val="21"/>
                <w:szCs w:val="21"/>
              </w:rPr>
              <w:t>、</w:t>
            </w:r>
            <w:r>
              <w:rPr>
                <w:rFonts w:hint="eastAsia"/>
                <w:sz w:val="21"/>
                <w:szCs w:val="21"/>
              </w:rPr>
              <w:t>乙炔</w:t>
            </w:r>
            <w:r w:rsidRPr="00E4647E">
              <w:rPr>
                <w:sz w:val="21"/>
                <w:szCs w:val="21"/>
              </w:rPr>
              <w:t>车间</w:t>
            </w:r>
            <w:r>
              <w:rPr>
                <w:rFonts w:hint="eastAsia"/>
                <w:sz w:val="21"/>
                <w:szCs w:val="21"/>
              </w:rPr>
              <w:t>、</w:t>
            </w:r>
            <w:r w:rsidR="00606E48" w:rsidRPr="00D9365E">
              <w:rPr>
                <w:rFonts w:ascii="Times New Roman" w:hAnsi="Times New Roman" w:cs="Times New Roman"/>
                <w:kern w:val="0"/>
                <w:sz w:val="21"/>
                <w:szCs w:val="21"/>
              </w:rPr>
              <w:t>辅助工程区</w:t>
            </w:r>
          </w:p>
        </w:tc>
        <w:tc>
          <w:tcPr>
            <w:tcW w:w="1859" w:type="pct"/>
            <w:vMerge w:val="restart"/>
            <w:vAlign w:val="center"/>
          </w:tcPr>
          <w:p w:rsidR="004E3021" w:rsidRPr="00D9365E" w:rsidRDefault="00D9365E"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等效黏土防渗层</w:t>
            </w:r>
            <w:r w:rsidRPr="00D9365E">
              <w:rPr>
                <w:rFonts w:ascii="Times New Roman" w:hAnsi="Times New Roman" w:cs="Times New Roman"/>
                <w:kern w:val="0"/>
                <w:sz w:val="21"/>
                <w:szCs w:val="21"/>
              </w:rPr>
              <w:t>Mb≥1.5m</w:t>
            </w:r>
            <w:r w:rsidRPr="00D9365E">
              <w:rPr>
                <w:rFonts w:ascii="Times New Roman" w:hAnsi="Times New Roman" w:cs="Times New Roman"/>
                <w:kern w:val="0"/>
                <w:sz w:val="21"/>
                <w:szCs w:val="21"/>
              </w:rPr>
              <w:t>，</w:t>
            </w:r>
            <w:r w:rsidRPr="00D9365E">
              <w:rPr>
                <w:rFonts w:ascii="Times New Roman" w:hAnsi="Times New Roman" w:cs="Times New Roman"/>
                <w:kern w:val="0"/>
                <w:sz w:val="21"/>
                <w:szCs w:val="21"/>
              </w:rPr>
              <w:t>K≤1×10</w:t>
            </w:r>
            <w:r w:rsidRPr="00D9365E">
              <w:rPr>
                <w:rFonts w:ascii="Times New Roman" w:hAnsi="Times New Roman" w:cs="Times New Roman"/>
                <w:kern w:val="0"/>
                <w:sz w:val="21"/>
                <w:szCs w:val="21"/>
                <w:vertAlign w:val="superscript"/>
              </w:rPr>
              <w:t>-7</w:t>
            </w:r>
            <w:r w:rsidRPr="00D9365E">
              <w:rPr>
                <w:rFonts w:ascii="Times New Roman" w:hAnsi="Times New Roman" w:cs="Times New Roman"/>
                <w:kern w:val="0"/>
                <w:sz w:val="21"/>
                <w:szCs w:val="21"/>
              </w:rPr>
              <w:t>cm/s</w:t>
            </w:r>
            <w:r w:rsidRPr="00D9365E">
              <w:rPr>
                <w:rFonts w:ascii="Times New Roman" w:hAnsi="Times New Roman" w:cs="Times New Roman"/>
                <w:kern w:val="0"/>
                <w:sz w:val="21"/>
                <w:szCs w:val="21"/>
              </w:rPr>
              <w:t>；或参照</w:t>
            </w:r>
            <w:r w:rsidRPr="00D9365E">
              <w:rPr>
                <w:rFonts w:ascii="Times New Roman" w:hAnsi="Times New Roman" w:cs="Times New Roman"/>
                <w:kern w:val="0"/>
                <w:sz w:val="21"/>
                <w:szCs w:val="21"/>
              </w:rPr>
              <w:t>GB18598</w:t>
            </w:r>
            <w:r w:rsidRPr="00D9365E">
              <w:rPr>
                <w:rFonts w:ascii="Times New Roman" w:hAnsi="Times New Roman" w:cs="Times New Roman"/>
                <w:kern w:val="0"/>
                <w:sz w:val="21"/>
                <w:szCs w:val="21"/>
              </w:rPr>
              <w:t>执行</w:t>
            </w:r>
          </w:p>
        </w:tc>
      </w:tr>
      <w:tr w:rsidR="004E3021" w:rsidRPr="00D9365E" w:rsidTr="00D9365E">
        <w:trPr>
          <w:trHeight w:val="20"/>
        </w:trPr>
        <w:tc>
          <w:tcPr>
            <w:tcW w:w="512" w:type="pct"/>
            <w:vMerge/>
            <w:vAlign w:val="center"/>
          </w:tcPr>
          <w:p w:rsidR="004E3021" w:rsidRPr="00D9365E" w:rsidRDefault="004E3021" w:rsidP="00D9365E">
            <w:pPr>
              <w:pStyle w:val="afffffff2"/>
              <w:rPr>
                <w:rFonts w:ascii="Times New Roman" w:hAnsi="Times New Roman" w:cs="Times New Roman"/>
                <w:kern w:val="0"/>
                <w:sz w:val="21"/>
                <w:szCs w:val="21"/>
              </w:rPr>
            </w:pPr>
          </w:p>
        </w:tc>
        <w:tc>
          <w:tcPr>
            <w:tcW w:w="657" w:type="pct"/>
            <w:vMerge/>
            <w:vAlign w:val="center"/>
          </w:tcPr>
          <w:p w:rsidR="004E3021" w:rsidRPr="00D9365E" w:rsidRDefault="004E3021" w:rsidP="00D9365E">
            <w:pPr>
              <w:pStyle w:val="afffffff2"/>
              <w:rPr>
                <w:rFonts w:ascii="Times New Roman" w:hAnsi="Times New Roman" w:cs="Times New Roman"/>
                <w:kern w:val="0"/>
                <w:sz w:val="21"/>
                <w:szCs w:val="21"/>
              </w:rPr>
            </w:pPr>
          </w:p>
        </w:tc>
        <w:tc>
          <w:tcPr>
            <w:tcW w:w="1973" w:type="pc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其他一般污染防治区</w:t>
            </w:r>
          </w:p>
        </w:tc>
        <w:tc>
          <w:tcPr>
            <w:tcW w:w="1859" w:type="pct"/>
            <w:vMerge/>
            <w:vAlign w:val="center"/>
          </w:tcPr>
          <w:p w:rsidR="004E3021" w:rsidRPr="00D9365E" w:rsidRDefault="004E3021" w:rsidP="00D9365E">
            <w:pPr>
              <w:pStyle w:val="afffffff2"/>
              <w:rPr>
                <w:rFonts w:ascii="Times New Roman" w:hAnsi="Times New Roman" w:cs="Times New Roman"/>
                <w:kern w:val="0"/>
                <w:sz w:val="21"/>
                <w:szCs w:val="21"/>
              </w:rPr>
            </w:pPr>
          </w:p>
        </w:tc>
      </w:tr>
      <w:tr w:rsidR="004E3021" w:rsidRPr="00D9365E" w:rsidTr="00D9365E">
        <w:trPr>
          <w:trHeight w:val="20"/>
        </w:trPr>
        <w:tc>
          <w:tcPr>
            <w:tcW w:w="512" w:type="pct"/>
            <w:vMerge/>
            <w:vAlign w:val="center"/>
          </w:tcPr>
          <w:p w:rsidR="004E3021" w:rsidRPr="00D9365E" w:rsidRDefault="004E3021" w:rsidP="00D9365E">
            <w:pPr>
              <w:pStyle w:val="afffffff2"/>
              <w:rPr>
                <w:rFonts w:ascii="Times New Roman" w:hAnsi="Times New Roman" w:cs="Times New Roman"/>
                <w:kern w:val="0"/>
                <w:sz w:val="21"/>
                <w:szCs w:val="21"/>
              </w:rPr>
            </w:pPr>
          </w:p>
        </w:tc>
        <w:tc>
          <w:tcPr>
            <w:tcW w:w="657" w:type="pct"/>
            <w:vMerge w:val="restar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重点污染防治区</w:t>
            </w:r>
          </w:p>
        </w:tc>
        <w:tc>
          <w:tcPr>
            <w:tcW w:w="1973" w:type="pc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装置区、合成精馏偶联剂生产车间</w:t>
            </w:r>
          </w:p>
        </w:tc>
        <w:tc>
          <w:tcPr>
            <w:tcW w:w="1859" w:type="pct"/>
            <w:vMerge w:val="restart"/>
            <w:vAlign w:val="center"/>
          </w:tcPr>
          <w:p w:rsidR="004E3021" w:rsidRPr="00D9365E" w:rsidRDefault="00D9365E" w:rsidP="00D9365E">
            <w:pPr>
              <w:pStyle w:val="afffffff2"/>
              <w:rPr>
                <w:rFonts w:ascii="Times New Roman" w:hAnsi="Times New Roman" w:cs="Times New Roman"/>
                <w:kern w:val="0"/>
                <w:sz w:val="21"/>
                <w:szCs w:val="21"/>
              </w:rPr>
            </w:pPr>
            <w:r w:rsidRPr="00D9365E">
              <w:rPr>
                <w:rFonts w:ascii="Times New Roman" w:hAnsi="Times New Roman" w:cs="Times New Roman" w:hint="eastAsia"/>
                <w:kern w:val="0"/>
                <w:sz w:val="21"/>
                <w:szCs w:val="21"/>
              </w:rPr>
              <w:t>防渗层为至少</w:t>
            </w:r>
            <w:r w:rsidRPr="00D9365E">
              <w:rPr>
                <w:rFonts w:ascii="Times New Roman" w:hAnsi="Times New Roman" w:cs="Times New Roman" w:hint="eastAsia"/>
                <w:kern w:val="0"/>
                <w:sz w:val="21"/>
                <w:szCs w:val="21"/>
              </w:rPr>
              <w:t>1m</w:t>
            </w:r>
            <w:r w:rsidRPr="00D9365E">
              <w:rPr>
                <w:rFonts w:ascii="Times New Roman" w:hAnsi="Times New Roman" w:cs="Times New Roman" w:hint="eastAsia"/>
                <w:kern w:val="0"/>
                <w:sz w:val="21"/>
                <w:szCs w:val="21"/>
              </w:rPr>
              <w:t>厚黏土层</w:t>
            </w:r>
            <w:r w:rsidRPr="00D9365E">
              <w:rPr>
                <w:rFonts w:ascii="Times New Roman" w:hAnsi="Times New Roman" w:cs="Times New Roman" w:hint="eastAsia"/>
                <w:kern w:val="0"/>
                <w:sz w:val="21"/>
                <w:szCs w:val="21"/>
              </w:rPr>
              <w:t>(</w:t>
            </w:r>
            <w:r w:rsidRPr="00D9365E">
              <w:rPr>
                <w:rFonts w:ascii="Times New Roman" w:hAnsi="Times New Roman" w:cs="Times New Roman" w:hint="eastAsia"/>
                <w:kern w:val="0"/>
                <w:sz w:val="21"/>
                <w:szCs w:val="21"/>
              </w:rPr>
              <w:t>渗透系数不大于</w:t>
            </w:r>
            <w:r w:rsidRPr="00D9365E">
              <w:rPr>
                <w:rFonts w:ascii="Times New Roman" w:hAnsi="Times New Roman" w:cs="Times New Roman" w:hint="eastAsia"/>
                <w:kern w:val="0"/>
                <w:sz w:val="21"/>
                <w:szCs w:val="21"/>
              </w:rPr>
              <w:t xml:space="preserve"> 10</w:t>
            </w:r>
            <w:r w:rsidRPr="00D9365E">
              <w:rPr>
                <w:rFonts w:ascii="Times New Roman" w:hAnsi="Times New Roman" w:cs="Times New Roman" w:hint="eastAsia"/>
                <w:kern w:val="0"/>
                <w:sz w:val="21"/>
                <w:szCs w:val="21"/>
                <w:vertAlign w:val="superscript"/>
              </w:rPr>
              <w:t>-</w:t>
            </w:r>
            <w:r w:rsidRPr="00D9365E">
              <w:rPr>
                <w:rFonts w:ascii="Times New Roman" w:hAnsi="Times New Roman" w:cs="Times New Roman"/>
                <w:kern w:val="0"/>
                <w:sz w:val="21"/>
                <w:szCs w:val="21"/>
                <w:vertAlign w:val="superscript"/>
              </w:rPr>
              <w:t>7</w:t>
            </w:r>
            <w:r w:rsidRPr="00D9365E">
              <w:rPr>
                <w:rFonts w:ascii="Times New Roman" w:hAnsi="Times New Roman" w:cs="Times New Roman" w:hint="eastAsia"/>
                <w:kern w:val="0"/>
                <w:sz w:val="21"/>
                <w:szCs w:val="21"/>
              </w:rPr>
              <w:t>cm/s)</w:t>
            </w:r>
            <w:r w:rsidRPr="00D9365E">
              <w:rPr>
                <w:rFonts w:ascii="Times New Roman" w:hAnsi="Times New Roman" w:cs="Times New Roman" w:hint="eastAsia"/>
                <w:kern w:val="0"/>
                <w:sz w:val="21"/>
                <w:szCs w:val="21"/>
              </w:rPr>
              <w:t>，或至少</w:t>
            </w:r>
            <w:r w:rsidRPr="00D9365E">
              <w:rPr>
                <w:rFonts w:ascii="Times New Roman" w:hAnsi="Times New Roman" w:cs="Times New Roman" w:hint="eastAsia"/>
                <w:kern w:val="0"/>
                <w:sz w:val="21"/>
                <w:szCs w:val="21"/>
              </w:rPr>
              <w:t xml:space="preserve">2mm </w:t>
            </w:r>
            <w:r w:rsidRPr="00D9365E">
              <w:rPr>
                <w:rFonts w:ascii="Times New Roman" w:hAnsi="Times New Roman" w:cs="Times New Roman" w:hint="eastAsia"/>
                <w:kern w:val="0"/>
                <w:sz w:val="21"/>
                <w:szCs w:val="21"/>
              </w:rPr>
              <w:t>厚高密度聚乙烯膜等人工防渗材料</w:t>
            </w:r>
            <w:r w:rsidRPr="00D9365E">
              <w:rPr>
                <w:rFonts w:ascii="Times New Roman" w:hAnsi="Times New Roman" w:cs="Times New Roman" w:hint="eastAsia"/>
                <w:kern w:val="0"/>
                <w:sz w:val="21"/>
                <w:szCs w:val="21"/>
              </w:rPr>
              <w:t>(</w:t>
            </w:r>
            <w:r w:rsidRPr="00D9365E">
              <w:rPr>
                <w:rFonts w:ascii="Times New Roman" w:hAnsi="Times New Roman" w:cs="Times New Roman" w:hint="eastAsia"/>
                <w:kern w:val="0"/>
                <w:sz w:val="21"/>
                <w:szCs w:val="21"/>
              </w:rPr>
              <w:t>渗透系数不大于</w:t>
            </w:r>
            <w:r w:rsidRPr="00D9365E">
              <w:rPr>
                <w:rFonts w:ascii="Times New Roman" w:hAnsi="Times New Roman" w:cs="Times New Roman" w:hint="eastAsia"/>
                <w:kern w:val="0"/>
                <w:sz w:val="21"/>
                <w:szCs w:val="21"/>
              </w:rPr>
              <w:t xml:space="preserve"> 10</w:t>
            </w:r>
            <w:r w:rsidRPr="00D9365E">
              <w:rPr>
                <w:rFonts w:ascii="Times New Roman" w:hAnsi="Times New Roman" w:cs="Times New Roman" w:hint="eastAsia"/>
                <w:kern w:val="0"/>
                <w:sz w:val="21"/>
                <w:szCs w:val="21"/>
                <w:vertAlign w:val="superscript"/>
              </w:rPr>
              <w:t>-</w:t>
            </w:r>
            <w:r w:rsidRPr="00D9365E">
              <w:rPr>
                <w:rFonts w:ascii="Times New Roman" w:hAnsi="Times New Roman" w:cs="Times New Roman"/>
                <w:kern w:val="0"/>
                <w:sz w:val="21"/>
                <w:szCs w:val="21"/>
                <w:vertAlign w:val="superscript"/>
              </w:rPr>
              <w:t>1</w:t>
            </w:r>
            <w:r w:rsidRPr="00D9365E">
              <w:rPr>
                <w:rFonts w:ascii="Times New Roman" w:hAnsi="Times New Roman" w:cs="Times New Roman" w:hint="eastAsia"/>
                <w:kern w:val="0"/>
                <w:sz w:val="21"/>
                <w:szCs w:val="21"/>
                <w:vertAlign w:val="superscript"/>
              </w:rPr>
              <w:t>0</w:t>
            </w:r>
            <w:r w:rsidRPr="00D9365E">
              <w:rPr>
                <w:rFonts w:ascii="Times New Roman" w:hAnsi="Times New Roman" w:cs="Times New Roman" w:hint="eastAsia"/>
                <w:kern w:val="0"/>
                <w:sz w:val="21"/>
                <w:szCs w:val="21"/>
              </w:rPr>
              <w:t xml:space="preserve"> cm/s)</w:t>
            </w:r>
            <w:r w:rsidRPr="00D9365E">
              <w:rPr>
                <w:rFonts w:ascii="Times New Roman" w:hAnsi="Times New Roman" w:cs="Times New Roman" w:hint="eastAsia"/>
                <w:kern w:val="0"/>
                <w:sz w:val="21"/>
                <w:szCs w:val="21"/>
              </w:rPr>
              <w:t>，或其他防渗性能等效的材料</w:t>
            </w:r>
          </w:p>
        </w:tc>
      </w:tr>
      <w:tr w:rsidR="004E3021" w:rsidRPr="00D9365E" w:rsidTr="00D9365E">
        <w:trPr>
          <w:trHeight w:val="20"/>
        </w:trPr>
        <w:tc>
          <w:tcPr>
            <w:tcW w:w="512" w:type="pct"/>
            <w:vMerge/>
            <w:vAlign w:val="center"/>
          </w:tcPr>
          <w:p w:rsidR="004E3021" w:rsidRPr="00D9365E" w:rsidRDefault="004E3021" w:rsidP="00D9365E">
            <w:pPr>
              <w:pStyle w:val="afffffff2"/>
              <w:rPr>
                <w:rFonts w:ascii="Times New Roman" w:hAnsi="Times New Roman" w:cs="Times New Roman"/>
                <w:kern w:val="0"/>
                <w:sz w:val="21"/>
                <w:szCs w:val="21"/>
              </w:rPr>
            </w:pPr>
          </w:p>
        </w:tc>
        <w:tc>
          <w:tcPr>
            <w:tcW w:w="657" w:type="pct"/>
            <w:vMerge/>
            <w:vAlign w:val="center"/>
          </w:tcPr>
          <w:p w:rsidR="004E3021" w:rsidRPr="00D9365E" w:rsidRDefault="004E3021" w:rsidP="00D9365E">
            <w:pPr>
              <w:pStyle w:val="afffffff2"/>
              <w:rPr>
                <w:rFonts w:ascii="Times New Roman" w:hAnsi="Times New Roman" w:cs="Times New Roman"/>
                <w:kern w:val="0"/>
                <w:sz w:val="21"/>
                <w:szCs w:val="21"/>
              </w:rPr>
            </w:pPr>
          </w:p>
        </w:tc>
        <w:tc>
          <w:tcPr>
            <w:tcW w:w="1973" w:type="pc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原料库、产品库、罐区</w:t>
            </w:r>
          </w:p>
        </w:tc>
        <w:tc>
          <w:tcPr>
            <w:tcW w:w="1859" w:type="pct"/>
            <w:vMerge/>
            <w:vAlign w:val="center"/>
          </w:tcPr>
          <w:p w:rsidR="004E3021" w:rsidRPr="00D9365E" w:rsidRDefault="004E3021" w:rsidP="00D9365E">
            <w:pPr>
              <w:pStyle w:val="afffffff2"/>
              <w:rPr>
                <w:rFonts w:ascii="Times New Roman" w:hAnsi="Times New Roman" w:cs="Times New Roman"/>
                <w:kern w:val="0"/>
                <w:sz w:val="21"/>
                <w:szCs w:val="21"/>
              </w:rPr>
            </w:pPr>
          </w:p>
        </w:tc>
      </w:tr>
      <w:tr w:rsidR="004E3021" w:rsidRPr="00D9365E" w:rsidTr="00D9365E">
        <w:trPr>
          <w:trHeight w:val="20"/>
        </w:trPr>
        <w:tc>
          <w:tcPr>
            <w:tcW w:w="512" w:type="pct"/>
            <w:vMerge/>
            <w:vAlign w:val="center"/>
          </w:tcPr>
          <w:p w:rsidR="004E3021" w:rsidRPr="00D9365E" w:rsidRDefault="004E3021" w:rsidP="00D9365E">
            <w:pPr>
              <w:pStyle w:val="afffffff2"/>
              <w:rPr>
                <w:rFonts w:ascii="Times New Roman" w:hAnsi="Times New Roman" w:cs="Times New Roman"/>
                <w:kern w:val="0"/>
                <w:sz w:val="21"/>
                <w:szCs w:val="21"/>
              </w:rPr>
            </w:pPr>
          </w:p>
        </w:tc>
        <w:tc>
          <w:tcPr>
            <w:tcW w:w="657" w:type="pct"/>
            <w:vMerge/>
            <w:vAlign w:val="center"/>
          </w:tcPr>
          <w:p w:rsidR="004E3021" w:rsidRPr="00D9365E" w:rsidRDefault="004E3021" w:rsidP="00D9365E">
            <w:pPr>
              <w:pStyle w:val="afffffff2"/>
              <w:rPr>
                <w:rFonts w:ascii="Times New Roman" w:hAnsi="Times New Roman" w:cs="Times New Roman"/>
                <w:kern w:val="0"/>
                <w:sz w:val="21"/>
                <w:szCs w:val="21"/>
              </w:rPr>
            </w:pPr>
          </w:p>
        </w:tc>
        <w:tc>
          <w:tcPr>
            <w:tcW w:w="1973" w:type="pc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污水处理站、初期雨水池</w:t>
            </w:r>
          </w:p>
        </w:tc>
        <w:tc>
          <w:tcPr>
            <w:tcW w:w="1859" w:type="pct"/>
            <w:vMerge/>
            <w:vAlign w:val="center"/>
          </w:tcPr>
          <w:p w:rsidR="004E3021" w:rsidRPr="00D9365E" w:rsidRDefault="004E3021" w:rsidP="00D9365E">
            <w:pPr>
              <w:pStyle w:val="afffffff2"/>
              <w:rPr>
                <w:rFonts w:ascii="Times New Roman" w:hAnsi="Times New Roman" w:cs="Times New Roman"/>
                <w:kern w:val="0"/>
                <w:sz w:val="21"/>
                <w:szCs w:val="21"/>
              </w:rPr>
            </w:pPr>
          </w:p>
        </w:tc>
      </w:tr>
      <w:tr w:rsidR="004E3021" w:rsidRPr="00D9365E" w:rsidTr="00D9365E">
        <w:trPr>
          <w:trHeight w:val="20"/>
        </w:trPr>
        <w:tc>
          <w:tcPr>
            <w:tcW w:w="512" w:type="pct"/>
            <w:vMerge/>
            <w:vAlign w:val="center"/>
          </w:tcPr>
          <w:p w:rsidR="004E3021" w:rsidRPr="00D9365E" w:rsidRDefault="004E3021" w:rsidP="00D9365E">
            <w:pPr>
              <w:pStyle w:val="afffffff2"/>
              <w:rPr>
                <w:rFonts w:ascii="Times New Roman" w:hAnsi="Times New Roman" w:cs="Times New Roman"/>
                <w:kern w:val="0"/>
                <w:sz w:val="21"/>
                <w:szCs w:val="21"/>
              </w:rPr>
            </w:pPr>
          </w:p>
        </w:tc>
        <w:tc>
          <w:tcPr>
            <w:tcW w:w="657" w:type="pct"/>
            <w:vMerge/>
            <w:vAlign w:val="center"/>
          </w:tcPr>
          <w:p w:rsidR="004E3021" w:rsidRPr="00D9365E" w:rsidRDefault="004E3021" w:rsidP="00D9365E">
            <w:pPr>
              <w:pStyle w:val="afffffff2"/>
              <w:rPr>
                <w:rFonts w:ascii="Times New Roman" w:hAnsi="Times New Roman" w:cs="Times New Roman"/>
                <w:kern w:val="0"/>
                <w:sz w:val="21"/>
                <w:szCs w:val="21"/>
              </w:rPr>
            </w:pPr>
          </w:p>
        </w:tc>
        <w:tc>
          <w:tcPr>
            <w:tcW w:w="1973" w:type="pc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事故水池、危废库、污泥库</w:t>
            </w:r>
          </w:p>
        </w:tc>
        <w:tc>
          <w:tcPr>
            <w:tcW w:w="1859" w:type="pct"/>
            <w:vMerge/>
            <w:vAlign w:val="center"/>
          </w:tcPr>
          <w:p w:rsidR="004E3021" w:rsidRPr="00D9365E" w:rsidRDefault="004E3021" w:rsidP="00D9365E">
            <w:pPr>
              <w:pStyle w:val="afffffff2"/>
              <w:rPr>
                <w:rFonts w:ascii="Times New Roman" w:hAnsi="Times New Roman" w:cs="Times New Roman"/>
                <w:kern w:val="0"/>
                <w:sz w:val="21"/>
                <w:szCs w:val="21"/>
              </w:rPr>
            </w:pPr>
          </w:p>
        </w:tc>
      </w:tr>
    </w:tbl>
    <w:p w:rsidR="004E3021" w:rsidRDefault="00606E48">
      <w:pPr>
        <w:ind w:firstLine="480"/>
      </w:pPr>
      <w:r>
        <w:rPr>
          <w:rFonts w:hint="eastAsia"/>
        </w:rPr>
        <w:t>（</w:t>
      </w:r>
      <w:r>
        <w:rPr>
          <w:rFonts w:hint="eastAsia"/>
        </w:rPr>
        <w:t>2</w:t>
      </w:r>
      <w:r>
        <w:rPr>
          <w:rFonts w:hint="eastAsia"/>
        </w:rPr>
        <w:t>）</w:t>
      </w:r>
      <w:r>
        <w:t>防渗方案设计参照标准</w:t>
      </w:r>
    </w:p>
    <w:p w:rsidR="004E3021" w:rsidRDefault="00606E48">
      <w:pPr>
        <w:ind w:firstLine="480"/>
      </w:pPr>
      <w:r>
        <w:rPr>
          <w:rFonts w:hint="eastAsia"/>
        </w:rPr>
        <w:t>污染区地面防渗方案设计根据不同分区分别参照下列标准和规范：</w:t>
      </w:r>
    </w:p>
    <w:p w:rsidR="004E3021" w:rsidRDefault="00606E48">
      <w:pPr>
        <w:ind w:firstLine="480"/>
      </w:pPr>
      <w:r>
        <w:rPr>
          <w:rFonts w:hint="eastAsia"/>
        </w:rPr>
        <w:t>①按分区类别，重点污染防治区属于危险废物污染防治区，参照</w:t>
      </w:r>
      <w:r w:rsidR="00D9365E">
        <w:t>《危险废物贮存污</w:t>
      </w:r>
      <w:r w:rsidR="00D9365E">
        <w:lastRenderedPageBreak/>
        <w:t>染控制标准》（</w:t>
      </w:r>
      <w:r w:rsidR="00D9365E">
        <w:t>GB18597-2023</w:t>
      </w:r>
      <w:r w:rsidR="00D9365E">
        <w:t>）</w:t>
      </w:r>
      <w:r>
        <w:rPr>
          <w:rFonts w:hint="eastAsia"/>
        </w:rPr>
        <w:t>；</w:t>
      </w:r>
    </w:p>
    <w:p w:rsidR="004E3021" w:rsidRDefault="00606E48">
      <w:pPr>
        <w:ind w:firstLine="480"/>
      </w:pPr>
      <w:r>
        <w:rPr>
          <w:rFonts w:hint="eastAsia"/>
        </w:rPr>
        <w:t>②按分区类别，一般污染物污染防治区参照《生活垃圾填埋场污染</w:t>
      </w:r>
      <w:r>
        <w:t>控制标准</w:t>
      </w:r>
      <w:r>
        <w:rPr>
          <w:rFonts w:hint="eastAsia"/>
        </w:rPr>
        <w:t>》（</w:t>
      </w:r>
      <w:r>
        <w:rPr>
          <w:rFonts w:hint="eastAsia"/>
        </w:rPr>
        <w:t>GB 1</w:t>
      </w:r>
      <w:r>
        <w:t>6889</w:t>
      </w:r>
      <w:r>
        <w:rPr>
          <w:rFonts w:hint="eastAsia"/>
        </w:rPr>
        <w:t>-2008</w:t>
      </w:r>
      <w:r>
        <w:rPr>
          <w:rFonts w:hint="eastAsia"/>
        </w:rPr>
        <w:t>）；</w:t>
      </w:r>
    </w:p>
    <w:p w:rsidR="004E3021" w:rsidRDefault="00606E48">
      <w:pPr>
        <w:ind w:firstLine="480"/>
      </w:pPr>
      <w:r>
        <w:rPr>
          <w:rFonts w:hint="eastAsia"/>
        </w:rPr>
        <w:t>③全厂污染区参照《石油化工工程防渗技术规范》（</w:t>
      </w:r>
      <w:r>
        <w:rPr>
          <w:rFonts w:hint="eastAsia"/>
        </w:rPr>
        <w:t>GB/T50934-2013</w:t>
      </w:r>
      <w:r>
        <w:rPr>
          <w:rFonts w:hint="eastAsia"/>
        </w:rPr>
        <w:t>）相应标准要求铺设防渗层。</w:t>
      </w:r>
    </w:p>
    <w:p w:rsidR="004E3021" w:rsidRDefault="00606E48">
      <w:pPr>
        <w:ind w:firstLine="480"/>
      </w:pPr>
      <w:r>
        <w:rPr>
          <w:rFonts w:hint="eastAsia"/>
        </w:rPr>
        <w:t>（</w:t>
      </w:r>
      <w:r>
        <w:rPr>
          <w:rFonts w:hint="eastAsia"/>
        </w:rPr>
        <w:t>3</w:t>
      </w:r>
      <w:r>
        <w:rPr>
          <w:rFonts w:hint="eastAsia"/>
        </w:rPr>
        <w:t>）分区</w:t>
      </w:r>
      <w:r>
        <w:t>防渗措施</w:t>
      </w:r>
    </w:p>
    <w:p w:rsidR="00D9365E" w:rsidRDefault="00D9365E" w:rsidP="00D9365E">
      <w:pPr>
        <w:ind w:firstLine="480"/>
      </w:pPr>
      <w:r>
        <w:fldChar w:fldCharType="begin"/>
      </w:r>
      <w:r>
        <w:instrText xml:space="preserve"> = 1 \* GB3 </w:instrText>
      </w:r>
      <w:r>
        <w:fldChar w:fldCharType="separate"/>
      </w:r>
      <w:r>
        <w:rPr>
          <w:rFonts w:ascii="宋体" w:hAnsi="宋体" w:cs="宋体" w:hint="eastAsia"/>
        </w:rPr>
        <w:t>①</w:t>
      </w:r>
      <w:r>
        <w:fldChar w:fldCharType="end"/>
      </w:r>
      <w:r>
        <w:t>地面防渗</w:t>
      </w:r>
    </w:p>
    <w:p w:rsidR="00D9365E" w:rsidRDefault="00D9365E" w:rsidP="00D9365E">
      <w:pPr>
        <w:ind w:firstLine="480"/>
      </w:pPr>
      <w:r>
        <w:rPr>
          <w:rFonts w:hint="eastAsia"/>
        </w:rPr>
        <w:t>地面与裙脚应采取表面防渗措施：表面防渗材料应与所接触的物料或污染物相容，可采用抗渗混凝土、高密度聚乙烯膜、钠基膨润土防水毯或其他防渗性能等效的材料。还应进行基础防渗，防渗层为至少</w:t>
      </w:r>
      <w:r>
        <w:rPr>
          <w:rFonts w:hint="eastAsia"/>
          <w:szCs w:val="21"/>
        </w:rPr>
        <w:t>1m</w:t>
      </w:r>
      <w:r>
        <w:rPr>
          <w:rFonts w:hint="eastAsia"/>
          <w:szCs w:val="21"/>
        </w:rPr>
        <w:t>厚黏土层</w:t>
      </w:r>
      <w:r>
        <w:rPr>
          <w:rFonts w:hint="eastAsia"/>
          <w:szCs w:val="21"/>
        </w:rPr>
        <w:t>(</w:t>
      </w:r>
      <w:r>
        <w:rPr>
          <w:rFonts w:hint="eastAsia"/>
          <w:szCs w:val="21"/>
        </w:rPr>
        <w:t>渗透系数不大于</w:t>
      </w:r>
      <w:r>
        <w:rPr>
          <w:rFonts w:hint="eastAsia"/>
          <w:szCs w:val="21"/>
        </w:rPr>
        <w:t xml:space="preserve"> 10</w:t>
      </w:r>
      <w:r>
        <w:rPr>
          <w:rFonts w:hint="eastAsia"/>
          <w:szCs w:val="21"/>
          <w:vertAlign w:val="superscript"/>
        </w:rPr>
        <w:t>-</w:t>
      </w:r>
      <w:r>
        <w:rPr>
          <w:szCs w:val="21"/>
          <w:vertAlign w:val="superscript"/>
        </w:rPr>
        <w:t>7</w:t>
      </w:r>
      <w:r>
        <w:rPr>
          <w:rFonts w:hint="eastAsia"/>
          <w:szCs w:val="21"/>
        </w:rPr>
        <w:t>cm/s)</w:t>
      </w:r>
      <w:r>
        <w:rPr>
          <w:rFonts w:hint="eastAsia"/>
          <w:szCs w:val="21"/>
        </w:rPr>
        <w:t>，或至少</w:t>
      </w:r>
      <w:r>
        <w:rPr>
          <w:rFonts w:hint="eastAsia"/>
          <w:szCs w:val="21"/>
        </w:rPr>
        <w:t xml:space="preserve">2mm </w:t>
      </w:r>
      <w:r>
        <w:rPr>
          <w:rFonts w:hint="eastAsia"/>
          <w:szCs w:val="21"/>
        </w:rPr>
        <w:t>厚高密度聚乙烯膜等人工防渗材料</w:t>
      </w:r>
      <w:r>
        <w:rPr>
          <w:rFonts w:hint="eastAsia"/>
          <w:szCs w:val="21"/>
        </w:rPr>
        <w:t>(</w:t>
      </w:r>
      <w:r>
        <w:rPr>
          <w:rFonts w:hint="eastAsia"/>
          <w:szCs w:val="21"/>
        </w:rPr>
        <w:t>渗透系数不大于</w:t>
      </w:r>
      <w:r>
        <w:rPr>
          <w:rFonts w:hint="eastAsia"/>
          <w:szCs w:val="21"/>
        </w:rPr>
        <w:t xml:space="preserve"> 10</w:t>
      </w:r>
      <w:r>
        <w:rPr>
          <w:rFonts w:hint="eastAsia"/>
          <w:szCs w:val="21"/>
          <w:vertAlign w:val="superscript"/>
        </w:rPr>
        <w:t>-</w:t>
      </w:r>
      <w:r>
        <w:rPr>
          <w:szCs w:val="21"/>
          <w:vertAlign w:val="superscript"/>
        </w:rPr>
        <w:t>1</w:t>
      </w:r>
      <w:r>
        <w:rPr>
          <w:rFonts w:hint="eastAsia"/>
          <w:szCs w:val="21"/>
          <w:vertAlign w:val="superscript"/>
        </w:rPr>
        <w:t>0</w:t>
      </w:r>
      <w:r>
        <w:rPr>
          <w:rFonts w:hint="eastAsia"/>
          <w:szCs w:val="21"/>
        </w:rPr>
        <w:t xml:space="preserve"> cm/s)</w:t>
      </w:r>
      <w:r>
        <w:rPr>
          <w:rFonts w:hint="eastAsia"/>
          <w:szCs w:val="21"/>
        </w:rPr>
        <w:t>，或其他防渗性能等效的材料</w:t>
      </w:r>
      <w:r>
        <w:t>。</w:t>
      </w:r>
    </w:p>
    <w:p w:rsidR="00D9365E" w:rsidRDefault="00D9365E" w:rsidP="00D9365E">
      <w:pPr>
        <w:ind w:firstLine="480"/>
      </w:pPr>
      <w:r>
        <w:fldChar w:fldCharType="begin"/>
      </w:r>
      <w:r>
        <w:instrText xml:space="preserve"> = 2 \* GB3 </w:instrText>
      </w:r>
      <w:r>
        <w:fldChar w:fldCharType="separate"/>
      </w:r>
      <w:r>
        <w:rPr>
          <w:rFonts w:ascii="宋体" w:hAnsi="宋体" w:cs="宋体" w:hint="eastAsia"/>
        </w:rPr>
        <w:t>②</w:t>
      </w:r>
      <w:r>
        <w:fldChar w:fldCharType="end"/>
      </w:r>
      <w:r>
        <w:t>罐区防渗</w:t>
      </w:r>
    </w:p>
    <w:p w:rsidR="00D9365E" w:rsidRDefault="00D9365E" w:rsidP="00D9365E">
      <w:pPr>
        <w:ind w:firstLine="480"/>
      </w:pPr>
      <w:r>
        <w:t>环墙式罐基础的防渗层要求：长丝无纺土</w:t>
      </w:r>
      <w:r>
        <w:t>I</w:t>
      </w:r>
      <w:r>
        <w:t>布</w:t>
      </w:r>
      <w:r>
        <w:t>(</w:t>
      </w:r>
      <w:r>
        <w:t>规格不宜小于</w:t>
      </w:r>
      <w:r>
        <w:t>600g/m</w:t>
      </w:r>
      <w:r>
        <w:rPr>
          <w:vertAlign w:val="superscript"/>
        </w:rPr>
        <w:t>2</w:t>
      </w:r>
      <w:r>
        <w:t>)+2mm</w:t>
      </w:r>
      <w:r>
        <w:t>厚</w:t>
      </w:r>
      <w:r>
        <w:t>HDPE</w:t>
      </w:r>
      <w:r>
        <w:t>防渗膜</w:t>
      </w:r>
      <w:r>
        <w:t>(</w:t>
      </w:r>
      <w:r>
        <w:t>渗透系数不大于</w:t>
      </w:r>
      <w:r>
        <w:t>1.0×10</w:t>
      </w:r>
      <w:r>
        <w:rPr>
          <w:vertAlign w:val="superscript"/>
        </w:rPr>
        <w:t>-l2</w:t>
      </w:r>
      <w:r>
        <w:t>cm/s)+</w:t>
      </w:r>
      <w:r>
        <w:t>长丝无纺土工布</w:t>
      </w:r>
      <w:r>
        <w:t>(</w:t>
      </w:r>
      <w:r>
        <w:t>规格不宜小于</w:t>
      </w:r>
      <w:r>
        <w:t>600g/m)</w:t>
      </w:r>
      <w:r>
        <w:t>。防渗层应由中心坡向四周，坡度不宜小于</w:t>
      </w:r>
      <w:r>
        <w:t>1.5%</w:t>
      </w:r>
      <w:r>
        <w:t>。</w:t>
      </w:r>
    </w:p>
    <w:p w:rsidR="00D9365E" w:rsidRDefault="00D9365E" w:rsidP="00D9365E">
      <w:pPr>
        <w:ind w:firstLine="480"/>
      </w:pPr>
      <w:r>
        <w:t>承台式罐基础防渗层要求：钢筋混凝</w:t>
      </w:r>
      <w:r>
        <w:rPr>
          <w:rFonts w:hint="eastAsia"/>
        </w:rPr>
        <w:t>土</w:t>
      </w:r>
      <w:r>
        <w:t>承台及承台以上环墙内表面应刷聚合物水泥防水涂料，混凝土抗渗等级不宜小于</w:t>
      </w:r>
      <w:r>
        <w:t>P6</w:t>
      </w:r>
      <w:r>
        <w:t>。防渗层应由中心坡向四周，坡度不宜小于</w:t>
      </w:r>
      <w:r>
        <w:t>1.5%</w:t>
      </w:r>
      <w:r>
        <w:t>。</w:t>
      </w:r>
    </w:p>
    <w:p w:rsidR="00D9365E" w:rsidRDefault="00D9365E" w:rsidP="00D9365E">
      <w:pPr>
        <w:ind w:firstLine="480"/>
      </w:pPr>
      <w:r>
        <w:t>接缝处等细部构造应采取防渗处理。采用严格防渗、防腐和防爆措施，罐区周围须设置具有强防渗性的围堰和集水沟。</w:t>
      </w:r>
    </w:p>
    <w:p w:rsidR="00D9365E" w:rsidRDefault="00D9365E" w:rsidP="00D9365E">
      <w:pPr>
        <w:ind w:firstLine="480"/>
      </w:pPr>
      <w:r>
        <w:fldChar w:fldCharType="begin"/>
      </w:r>
      <w:r>
        <w:instrText xml:space="preserve"> = 3 \* GB3 </w:instrText>
      </w:r>
      <w:r>
        <w:fldChar w:fldCharType="separate"/>
      </w:r>
      <w:r>
        <w:rPr>
          <w:rFonts w:ascii="宋体" w:hAnsi="宋体" w:cs="宋体" w:hint="eastAsia"/>
        </w:rPr>
        <w:t>③</w:t>
      </w:r>
      <w:r>
        <w:fldChar w:fldCharType="end"/>
      </w:r>
      <w:r>
        <w:t>初期雨水池、</w:t>
      </w:r>
      <w:r>
        <w:rPr>
          <w:rFonts w:hint="eastAsia"/>
        </w:rPr>
        <w:t>应急事故</w:t>
      </w:r>
      <w:r>
        <w:t>池</w:t>
      </w:r>
      <w:r>
        <w:rPr>
          <w:rFonts w:hint="eastAsia"/>
        </w:rPr>
        <w:t>、污水处理设施</w:t>
      </w:r>
      <w:r>
        <w:t>防渗</w:t>
      </w:r>
    </w:p>
    <w:p w:rsidR="00D9365E" w:rsidRDefault="00D9365E" w:rsidP="00D9365E">
      <w:pPr>
        <w:ind w:firstLine="480"/>
      </w:pPr>
      <w:r>
        <w:t>钢筋混凝土水池的抗渗等级不应小于</w:t>
      </w:r>
      <w:r>
        <w:t>P6</w:t>
      </w:r>
      <w:r>
        <w:t>，迎水面钢筋的混凝土保护层厚度不应小于</w:t>
      </w:r>
      <w:r>
        <w:t>50mm</w:t>
      </w:r>
      <w:r>
        <w:t>，长边尺寸不大于</w:t>
      </w:r>
      <w:r>
        <w:t>20m</w:t>
      </w:r>
      <w:r>
        <w:t>的水池内表面防渗宜涂刷水泥基渗透结晶型防水涂料</w:t>
      </w:r>
      <w:r>
        <w:t>II</w:t>
      </w:r>
      <w:r>
        <w:t>型产品，其用量不应小于</w:t>
      </w:r>
      <w:r>
        <w:t>1.5kg/m</w:t>
      </w:r>
      <w:r>
        <w:rPr>
          <w:vertAlign w:val="superscript"/>
        </w:rPr>
        <w:t>2</w:t>
      </w:r>
      <w:r>
        <w:t>，且厚度不应小于</w:t>
      </w:r>
      <w:r>
        <w:t>1.0mm</w:t>
      </w:r>
      <w:r>
        <w:t>。长边尺寸大于</w:t>
      </w:r>
      <w:r>
        <w:t>20m</w:t>
      </w:r>
      <w:r>
        <w:t>的水池内表面防渗应喷涂聚脲防水涂料</w:t>
      </w:r>
      <w:r>
        <w:t>II</w:t>
      </w:r>
      <w:r>
        <w:t>型产品，喷涂聚脲涂层的厚度不宜小于</w:t>
      </w:r>
      <w:r>
        <w:t>1.5mm</w:t>
      </w:r>
      <w:r>
        <w:t>，接缝处等细部构造应采取防渗处理。</w:t>
      </w:r>
    </w:p>
    <w:p w:rsidR="00D9365E" w:rsidRDefault="00D9365E" w:rsidP="00D9365E">
      <w:pPr>
        <w:ind w:firstLine="480"/>
      </w:pPr>
      <w:r>
        <w:fldChar w:fldCharType="begin"/>
      </w:r>
      <w:r>
        <w:instrText xml:space="preserve"> = 4 \* GB3 </w:instrText>
      </w:r>
      <w:r>
        <w:fldChar w:fldCharType="separate"/>
      </w:r>
      <w:r>
        <w:rPr>
          <w:rFonts w:ascii="宋体" w:hAnsi="宋体" w:cs="宋体" w:hint="eastAsia"/>
        </w:rPr>
        <w:t>④</w:t>
      </w:r>
      <w:r>
        <w:fldChar w:fldCharType="end"/>
      </w:r>
      <w:r>
        <w:t>地下管道的防渗</w:t>
      </w:r>
    </w:p>
    <w:p w:rsidR="00D9365E" w:rsidRDefault="00D9365E" w:rsidP="00D9365E">
      <w:pPr>
        <w:ind w:firstLine="480"/>
      </w:pPr>
      <w:r>
        <w:t>采用抗渗钢筋混凝土管沟或</w:t>
      </w:r>
      <w:r>
        <w:t>HDPE</w:t>
      </w:r>
      <w:r>
        <w:t>膜防渗层。抗渗钢筋混凝土管沟中应掺加水泥基渗透结晶型防水剂，掺加量宜为</w:t>
      </w:r>
      <w:r>
        <w:t>0.8%-1.5%</w:t>
      </w:r>
      <w:r>
        <w:t>，渗透系数不应大于</w:t>
      </w:r>
      <w:r>
        <w:t>1.0×10</w:t>
      </w:r>
      <w:r>
        <w:rPr>
          <w:vertAlign w:val="superscript"/>
        </w:rPr>
        <w:t>-10</w:t>
      </w:r>
      <w:r>
        <w:t>cm/s</w:t>
      </w:r>
      <w:r>
        <w:t>，</w:t>
      </w:r>
      <w:r>
        <w:t>HDPE</w:t>
      </w:r>
      <w:r>
        <w:t>的渗透系数不应大于</w:t>
      </w:r>
      <w:r>
        <w:t>1.0×10</w:t>
      </w:r>
      <w:r>
        <w:rPr>
          <w:vertAlign w:val="superscript"/>
        </w:rPr>
        <w:t>-l2</w:t>
      </w:r>
      <w:r>
        <w:t>cm/s</w:t>
      </w:r>
      <w:r>
        <w:t>；厚度不应小于</w:t>
      </w:r>
      <w:r>
        <w:t>1.5mm</w:t>
      </w:r>
      <w:r>
        <w:t>。</w:t>
      </w:r>
    </w:p>
    <w:p w:rsidR="00D9365E" w:rsidRDefault="00D9365E" w:rsidP="00D9365E">
      <w:pPr>
        <w:ind w:firstLine="480"/>
      </w:pPr>
      <w:r>
        <w:lastRenderedPageBreak/>
        <w:t>地下直埋的液体</w:t>
      </w:r>
      <w:r>
        <w:t>(</w:t>
      </w:r>
      <w:r>
        <w:t>除给水和循环水</w:t>
      </w:r>
      <w:r>
        <w:t>)</w:t>
      </w:r>
      <w:r>
        <w:t>管线应设置渗漏液收集井，井间隔不宜大于</w:t>
      </w:r>
      <w:r>
        <w:t>70m</w:t>
      </w:r>
      <w:r>
        <w:t>。一旦发现液体的渗漏，应及时采取必要的收集与控制措施。</w:t>
      </w:r>
    </w:p>
    <w:p w:rsidR="00D9365E" w:rsidRDefault="00D9365E" w:rsidP="00D9365E">
      <w:pPr>
        <w:ind w:firstLine="480"/>
      </w:pPr>
      <w:r>
        <w:t>本项目分区防渗措施可满足《环境影响评价技术导则</w:t>
      </w:r>
      <w:r>
        <w:t xml:space="preserve"> </w:t>
      </w:r>
      <w:r>
        <w:t>地下水环境》（</w:t>
      </w:r>
      <w:r>
        <w:t>HJ610</w:t>
      </w:r>
      <w:r>
        <w:t>－</w:t>
      </w:r>
      <w:r>
        <w:t>2016</w:t>
      </w:r>
      <w:r>
        <w:t>）、《危险废物贮存污染控制标准》（</w:t>
      </w:r>
      <w:r>
        <w:t>GB18597-2023</w:t>
      </w:r>
      <w:r>
        <w:t>）等相关标准或规范中防渗技术要求。</w:t>
      </w:r>
    </w:p>
    <w:p w:rsidR="004E3021" w:rsidRDefault="00606E48">
      <w:pPr>
        <w:pStyle w:val="afffffffffffffffff4"/>
      </w:pPr>
      <w:bookmarkStart w:id="704" w:name="_Toc101135932"/>
      <w:bookmarkStart w:id="705" w:name="_Toc108662709"/>
      <w:bookmarkStart w:id="706" w:name="_Toc100784099"/>
      <w:bookmarkStart w:id="707" w:name="_Toc221088864"/>
      <w:bookmarkStart w:id="708" w:name="_Toc221501079"/>
      <w:r>
        <w:rPr>
          <w:rFonts w:hint="eastAsia"/>
        </w:rPr>
        <w:t>6.5.</w:t>
      </w:r>
      <w:r>
        <w:t>4</w:t>
      </w:r>
      <w:r>
        <w:rPr>
          <w:rFonts w:hint="eastAsia"/>
        </w:rPr>
        <w:t>地下水</w:t>
      </w:r>
      <w:r>
        <w:t>环境监测与管理</w:t>
      </w:r>
      <w:bookmarkEnd w:id="704"/>
      <w:bookmarkEnd w:id="705"/>
      <w:bookmarkEnd w:id="706"/>
      <w:bookmarkEnd w:id="707"/>
      <w:bookmarkEnd w:id="708"/>
    </w:p>
    <w:p w:rsidR="004E3021" w:rsidRDefault="00606E48">
      <w:pPr>
        <w:ind w:firstLine="480"/>
        <w:rPr>
          <w:kern w:val="24"/>
        </w:rPr>
      </w:pPr>
      <w:r>
        <w:rPr>
          <w:rFonts w:ascii="宋体" w:hAnsi="宋体" w:hint="eastAsia"/>
        </w:rPr>
        <w:t>（</w:t>
      </w:r>
      <w:r>
        <w:rPr>
          <w:rFonts w:hint="eastAsia"/>
        </w:rPr>
        <w:t>1</w:t>
      </w:r>
      <w:r>
        <w:rPr>
          <w:rFonts w:ascii="宋体" w:hAnsi="宋体" w:hint="eastAsia"/>
        </w:rPr>
        <w:t>）</w:t>
      </w:r>
      <w:r>
        <w:rPr>
          <w:rFonts w:ascii="宋体" w:hAnsi="宋体"/>
          <w:kern w:val="24"/>
        </w:rPr>
        <w:t>地下水环境监测</w:t>
      </w:r>
    </w:p>
    <w:p w:rsidR="004E3021" w:rsidRDefault="00606E48">
      <w:pPr>
        <w:ind w:firstLine="480"/>
        <w:rPr>
          <w:kern w:val="24"/>
        </w:rPr>
      </w:pPr>
      <w:r>
        <w:rPr>
          <w:rFonts w:ascii="宋体" w:hAnsi="宋体"/>
          <w:kern w:val="24"/>
        </w:rPr>
        <w:t>项目应设置环境保护专职机构并配备相应的专职人员，建立地下水环境监控体系，包括科学合理地设置地下水污染监控井、制定监测计划、配备先进的检测仪器和设备，以便及时发现问题，采取措施控制污染。</w:t>
      </w:r>
    </w:p>
    <w:p w:rsidR="004E3021" w:rsidRDefault="00606E48">
      <w:pPr>
        <w:ind w:firstLine="480"/>
      </w:pPr>
      <w:r>
        <w:rPr>
          <w:rFonts w:ascii="宋体" w:hAnsi="宋体"/>
        </w:rPr>
        <w:t>由于地下水污染具有隐蔽性和累积性，因此制定有效的监测计划并定期开展监测，对于及早发现污染并采取有效措施防止污染继续扩散显得十分重要和必要。根据场地条件及地下水环境影响分析预测的结论，在装置区和罐区下游</w:t>
      </w:r>
      <w:r>
        <w:rPr>
          <w:rFonts w:ascii="宋体" w:hAnsi="宋体"/>
          <w:kern w:val="24"/>
        </w:rPr>
        <w:t>以及项目厂区上</w:t>
      </w:r>
      <w:r>
        <w:rPr>
          <w:rFonts w:ascii="宋体" w:hAnsi="宋体"/>
        </w:rPr>
        <w:t>下游方向、环境保护目标等区域设置地下水监测井，通过定期监测及早发现可能出现的地下水污染。</w:t>
      </w:r>
    </w:p>
    <w:p w:rsidR="004E3021" w:rsidRDefault="00606E48">
      <w:pPr>
        <w:ind w:firstLine="480"/>
      </w:pPr>
      <w:r>
        <w:rPr>
          <w:rFonts w:ascii="宋体" w:hAnsi="宋体"/>
          <w:kern w:val="24"/>
        </w:rPr>
        <w:t>项目地下水监控计划可根据下表</w:t>
      </w:r>
      <w:r>
        <w:rPr>
          <w:kern w:val="24"/>
        </w:rPr>
        <w:t>6.5.4-1</w:t>
      </w:r>
      <w:r>
        <w:rPr>
          <w:rFonts w:ascii="宋体" w:hAnsi="宋体"/>
          <w:kern w:val="24"/>
        </w:rPr>
        <w:t>制定。如发现异常或发生事故，应加密监测频次，并分析污染原因，确定泄漏污染源，及时采集应急措施。</w:t>
      </w:r>
      <w:r>
        <w:rPr>
          <w:rFonts w:ascii="宋体" w:hAnsi="宋体" w:hint="eastAsia"/>
          <w:kern w:val="24"/>
        </w:rPr>
        <w:t>结合</w:t>
      </w:r>
      <w:r>
        <w:rPr>
          <w:rFonts w:ascii="宋体" w:hAnsi="宋体"/>
          <w:kern w:val="24"/>
        </w:rPr>
        <w:t>《</w:t>
      </w:r>
      <w:r>
        <w:rPr>
          <w:rFonts w:ascii="宋体" w:hAnsi="宋体" w:hint="eastAsia"/>
          <w:kern w:val="24"/>
        </w:rPr>
        <w:t>工业企业土壤和地下水自行监测 技术指南（试行）</w:t>
      </w:r>
      <w:r>
        <w:rPr>
          <w:rFonts w:ascii="宋体" w:hAnsi="宋体"/>
          <w:kern w:val="24"/>
        </w:rPr>
        <w:t>》</w:t>
      </w:r>
      <w:r>
        <w:rPr>
          <w:kern w:val="24"/>
        </w:rPr>
        <w:t>（</w:t>
      </w:r>
      <w:r>
        <w:rPr>
          <w:kern w:val="24"/>
        </w:rPr>
        <w:t>HJ 1209—2021</w:t>
      </w:r>
      <w:r>
        <w:rPr>
          <w:kern w:val="24"/>
        </w:rPr>
        <w:t>）</w:t>
      </w:r>
      <w:r>
        <w:rPr>
          <w:rFonts w:ascii="宋体" w:hAnsi="宋体" w:hint="eastAsia"/>
          <w:kern w:val="24"/>
        </w:rPr>
        <w:t>中要求，地下水</w:t>
      </w:r>
      <w:r>
        <w:rPr>
          <w:rFonts w:ascii="宋体" w:hAnsi="宋体"/>
          <w:kern w:val="24"/>
        </w:rPr>
        <w:t>跟踪监测点见附图</w:t>
      </w:r>
      <w:r>
        <w:rPr>
          <w:rFonts w:hint="eastAsia"/>
          <w:kern w:val="24"/>
        </w:rPr>
        <w:t>6.5.</w:t>
      </w:r>
      <w:r>
        <w:rPr>
          <w:kern w:val="24"/>
        </w:rPr>
        <w:t>4-1</w:t>
      </w:r>
      <w:r>
        <w:rPr>
          <w:rFonts w:ascii="宋体" w:hAnsi="宋体" w:hint="eastAsia"/>
          <w:kern w:val="24"/>
        </w:rPr>
        <w:t>。</w:t>
      </w:r>
    </w:p>
    <w:p w:rsidR="004E3021" w:rsidRDefault="00606E48">
      <w:pPr>
        <w:pStyle w:val="afffff4"/>
        <w:ind w:firstLine="480"/>
      </w:pPr>
      <w:r>
        <w:rPr>
          <w:rFonts w:ascii="黑体" w:hAnsi="黑体" w:hint="eastAsia"/>
        </w:rPr>
        <w:t>表</w:t>
      </w:r>
      <w:r>
        <w:rPr>
          <w:rFonts w:hint="eastAsia"/>
        </w:rPr>
        <w:t>6.5.</w:t>
      </w:r>
      <w:r>
        <w:t xml:space="preserve">4-1 </w:t>
      </w:r>
      <w:r>
        <w:rPr>
          <w:rFonts w:ascii="黑体" w:hAnsi="黑体" w:hint="eastAsia"/>
        </w:rPr>
        <w:t>地下水</w:t>
      </w:r>
      <w:r>
        <w:rPr>
          <w:rFonts w:ascii="黑体" w:hAnsi="黑体"/>
        </w:rPr>
        <w:t>跟踪监测</w:t>
      </w:r>
      <w:r>
        <w:rPr>
          <w:rFonts w:ascii="黑体" w:hAnsi="黑体" w:hint="eastAsia"/>
        </w:rPr>
        <w:t>计划</w:t>
      </w:r>
    </w:p>
    <w:tbl>
      <w:tblPr>
        <w:tblStyle w:val="1ffffffd"/>
        <w:tblW w:w="5000" w:type="pct"/>
        <w:tblLayout w:type="fixed"/>
        <w:tblLook w:val="04A0" w:firstRow="1" w:lastRow="0" w:firstColumn="1" w:lastColumn="0" w:noHBand="0" w:noVBand="1"/>
      </w:tblPr>
      <w:tblGrid>
        <w:gridCol w:w="732"/>
        <w:gridCol w:w="936"/>
        <w:gridCol w:w="1082"/>
        <w:gridCol w:w="866"/>
        <w:gridCol w:w="1563"/>
        <w:gridCol w:w="2191"/>
        <w:gridCol w:w="762"/>
        <w:gridCol w:w="894"/>
      </w:tblGrid>
      <w:tr w:rsidR="004E3021" w:rsidRPr="00D9365E" w:rsidTr="00D9365E">
        <w:trPr>
          <w:trHeight w:val="513"/>
        </w:trPr>
        <w:tc>
          <w:tcPr>
            <w:tcW w:w="754" w:type="dxa"/>
            <w:vAlign w:val="center"/>
          </w:tcPr>
          <w:p w:rsidR="004E3021" w:rsidRPr="00D9365E" w:rsidRDefault="00606E48" w:rsidP="00D9365E">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编号</w:t>
            </w:r>
          </w:p>
        </w:tc>
        <w:tc>
          <w:tcPr>
            <w:tcW w:w="969" w:type="dxa"/>
            <w:vAlign w:val="center"/>
          </w:tcPr>
          <w:p w:rsidR="004E3021" w:rsidRPr="00D9365E" w:rsidRDefault="00606E48" w:rsidP="00D9365E">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现状监测点编号</w:t>
            </w:r>
          </w:p>
        </w:tc>
        <w:tc>
          <w:tcPr>
            <w:tcW w:w="1122" w:type="dxa"/>
            <w:vAlign w:val="center"/>
          </w:tcPr>
          <w:p w:rsidR="004E3021" w:rsidRPr="00D9365E" w:rsidRDefault="00606E48" w:rsidP="00D9365E">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监测点位置</w:t>
            </w:r>
          </w:p>
        </w:tc>
        <w:tc>
          <w:tcPr>
            <w:tcW w:w="895" w:type="dxa"/>
            <w:vAlign w:val="center"/>
          </w:tcPr>
          <w:p w:rsidR="004E3021" w:rsidRPr="00D9365E" w:rsidRDefault="00606E48" w:rsidP="00D9365E">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监测井类型</w:t>
            </w:r>
          </w:p>
        </w:tc>
        <w:tc>
          <w:tcPr>
            <w:tcW w:w="1625" w:type="dxa"/>
            <w:vAlign w:val="center"/>
          </w:tcPr>
          <w:p w:rsidR="004E3021" w:rsidRPr="00D9365E" w:rsidRDefault="00606E48" w:rsidP="00D9365E">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监测目的</w:t>
            </w:r>
          </w:p>
        </w:tc>
        <w:tc>
          <w:tcPr>
            <w:tcW w:w="2283" w:type="dxa"/>
            <w:vAlign w:val="center"/>
          </w:tcPr>
          <w:p w:rsidR="004E3021" w:rsidRPr="00D9365E" w:rsidRDefault="00606E48" w:rsidP="00D9365E">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监测因子</w:t>
            </w:r>
          </w:p>
        </w:tc>
        <w:tc>
          <w:tcPr>
            <w:tcW w:w="787" w:type="dxa"/>
            <w:vAlign w:val="center"/>
          </w:tcPr>
          <w:p w:rsidR="004E3021" w:rsidRPr="00D9365E" w:rsidRDefault="00606E48" w:rsidP="00D9365E">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监测频率</w:t>
            </w:r>
          </w:p>
        </w:tc>
        <w:tc>
          <w:tcPr>
            <w:tcW w:w="925" w:type="dxa"/>
            <w:vAlign w:val="center"/>
          </w:tcPr>
          <w:p w:rsidR="004E3021" w:rsidRPr="00D9365E" w:rsidRDefault="00606E48" w:rsidP="00D9365E">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监测层位</w:t>
            </w:r>
          </w:p>
        </w:tc>
      </w:tr>
      <w:tr w:rsidR="004E3021" w:rsidRPr="00D9365E" w:rsidTr="00D9365E">
        <w:trPr>
          <w:trHeight w:val="553"/>
        </w:trPr>
        <w:tc>
          <w:tcPr>
            <w:tcW w:w="754" w:type="dxa"/>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1#</w:t>
            </w:r>
          </w:p>
        </w:tc>
        <w:tc>
          <w:tcPr>
            <w:tcW w:w="969" w:type="dxa"/>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MW1#</w:t>
            </w:r>
          </w:p>
        </w:tc>
        <w:tc>
          <w:tcPr>
            <w:tcW w:w="1122" w:type="dxa"/>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厂区上游</w:t>
            </w:r>
          </w:p>
        </w:tc>
        <w:tc>
          <w:tcPr>
            <w:tcW w:w="895" w:type="dxa"/>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背景监测井</w:t>
            </w:r>
          </w:p>
        </w:tc>
        <w:tc>
          <w:tcPr>
            <w:tcW w:w="1625" w:type="dxa"/>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监测可能来自场外污染源的影响以及厂区地下水本底值</w:t>
            </w:r>
          </w:p>
        </w:tc>
        <w:tc>
          <w:tcPr>
            <w:tcW w:w="2283" w:type="dxa"/>
            <w:vMerge w:val="restar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pH</w:t>
            </w:r>
            <w:r w:rsidRPr="00D9365E">
              <w:rPr>
                <w:rFonts w:ascii="Times New Roman" w:hAnsi="Times New Roman" w:cs="Times New Roman"/>
                <w:kern w:val="0"/>
                <w:sz w:val="21"/>
                <w:szCs w:val="21"/>
              </w:rPr>
              <w:t>、总硬度、溶剂性总固体、硫化物、铁、锰、铜、锌、铝、挥发酚、阴离子表面活性、耗氧量、氨氮、硫化物、镍、硝酸盐、氯化物、汞、砷、硒、镉、六价铬、铅、总大肠菌群、菌落总数</w:t>
            </w:r>
          </w:p>
        </w:tc>
        <w:tc>
          <w:tcPr>
            <w:tcW w:w="787" w:type="dxa"/>
            <w:vMerge w:val="restar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每半年监测一次</w:t>
            </w:r>
          </w:p>
        </w:tc>
        <w:tc>
          <w:tcPr>
            <w:tcW w:w="925" w:type="dxa"/>
            <w:vMerge w:val="restar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浅水</w:t>
            </w:r>
          </w:p>
        </w:tc>
      </w:tr>
      <w:tr w:rsidR="004E3021" w:rsidRPr="00D9365E" w:rsidTr="00D9365E">
        <w:trPr>
          <w:trHeight w:val="553"/>
        </w:trPr>
        <w:tc>
          <w:tcPr>
            <w:tcW w:w="754" w:type="dxa"/>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2#</w:t>
            </w:r>
          </w:p>
        </w:tc>
        <w:tc>
          <w:tcPr>
            <w:tcW w:w="969" w:type="dxa"/>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MW2#</w:t>
            </w:r>
          </w:p>
        </w:tc>
        <w:tc>
          <w:tcPr>
            <w:tcW w:w="1122" w:type="dxa"/>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厂区内</w:t>
            </w:r>
          </w:p>
        </w:tc>
        <w:tc>
          <w:tcPr>
            <w:tcW w:w="895" w:type="dxa"/>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污染监测井</w:t>
            </w:r>
          </w:p>
        </w:tc>
        <w:tc>
          <w:tcPr>
            <w:tcW w:w="1625" w:type="dxa"/>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监测项目厂区可能造成的地下水污染</w:t>
            </w:r>
          </w:p>
        </w:tc>
        <w:tc>
          <w:tcPr>
            <w:tcW w:w="2283" w:type="dxa"/>
            <w:vMerge/>
            <w:vAlign w:val="center"/>
          </w:tcPr>
          <w:p w:rsidR="004E3021" w:rsidRPr="00D9365E" w:rsidRDefault="004E3021" w:rsidP="00D9365E">
            <w:pPr>
              <w:pStyle w:val="afffffff2"/>
              <w:rPr>
                <w:rFonts w:ascii="Times New Roman" w:hAnsi="Times New Roman" w:cs="Times New Roman"/>
                <w:kern w:val="0"/>
                <w:sz w:val="21"/>
                <w:szCs w:val="21"/>
              </w:rPr>
            </w:pPr>
          </w:p>
        </w:tc>
        <w:tc>
          <w:tcPr>
            <w:tcW w:w="787" w:type="dxa"/>
            <w:vMerge/>
            <w:vAlign w:val="center"/>
          </w:tcPr>
          <w:p w:rsidR="004E3021" w:rsidRPr="00D9365E" w:rsidRDefault="004E3021" w:rsidP="00D9365E">
            <w:pPr>
              <w:pStyle w:val="afffffff2"/>
              <w:rPr>
                <w:rFonts w:ascii="Times New Roman" w:hAnsi="Times New Roman" w:cs="Times New Roman"/>
                <w:kern w:val="0"/>
                <w:sz w:val="21"/>
                <w:szCs w:val="21"/>
              </w:rPr>
            </w:pPr>
          </w:p>
        </w:tc>
        <w:tc>
          <w:tcPr>
            <w:tcW w:w="925" w:type="dxa"/>
            <w:vMerge/>
            <w:vAlign w:val="center"/>
          </w:tcPr>
          <w:p w:rsidR="004E3021" w:rsidRPr="00D9365E" w:rsidRDefault="004E3021" w:rsidP="00D9365E">
            <w:pPr>
              <w:pStyle w:val="afffffff2"/>
              <w:rPr>
                <w:rFonts w:ascii="Times New Roman" w:hAnsi="Times New Roman" w:cs="Times New Roman"/>
                <w:kern w:val="0"/>
                <w:sz w:val="21"/>
                <w:szCs w:val="21"/>
              </w:rPr>
            </w:pPr>
          </w:p>
        </w:tc>
      </w:tr>
      <w:tr w:rsidR="004E3021" w:rsidRPr="00D9365E" w:rsidTr="00D9365E">
        <w:trPr>
          <w:trHeight w:val="878"/>
        </w:trPr>
        <w:tc>
          <w:tcPr>
            <w:tcW w:w="754" w:type="dxa"/>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3#</w:t>
            </w:r>
          </w:p>
        </w:tc>
        <w:tc>
          <w:tcPr>
            <w:tcW w:w="969" w:type="dxa"/>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MW3#</w:t>
            </w:r>
          </w:p>
        </w:tc>
        <w:tc>
          <w:tcPr>
            <w:tcW w:w="1122" w:type="dxa"/>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厂区下游</w:t>
            </w:r>
          </w:p>
        </w:tc>
        <w:tc>
          <w:tcPr>
            <w:tcW w:w="895" w:type="dxa"/>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污染监测井</w:t>
            </w:r>
          </w:p>
        </w:tc>
        <w:tc>
          <w:tcPr>
            <w:tcW w:w="1625" w:type="dxa"/>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监测项目厂区可能造成的地下水污染</w:t>
            </w:r>
          </w:p>
        </w:tc>
        <w:tc>
          <w:tcPr>
            <w:tcW w:w="2283" w:type="dxa"/>
            <w:vMerge/>
            <w:vAlign w:val="center"/>
          </w:tcPr>
          <w:p w:rsidR="004E3021" w:rsidRPr="00D9365E" w:rsidRDefault="004E3021" w:rsidP="00D9365E">
            <w:pPr>
              <w:pStyle w:val="afffffff2"/>
              <w:rPr>
                <w:rFonts w:ascii="Times New Roman" w:hAnsi="Times New Roman" w:cs="Times New Roman"/>
                <w:kern w:val="0"/>
                <w:sz w:val="21"/>
                <w:szCs w:val="21"/>
              </w:rPr>
            </w:pPr>
          </w:p>
        </w:tc>
        <w:tc>
          <w:tcPr>
            <w:tcW w:w="787" w:type="dxa"/>
            <w:vMerge/>
            <w:vAlign w:val="center"/>
          </w:tcPr>
          <w:p w:rsidR="004E3021" w:rsidRPr="00D9365E" w:rsidRDefault="004E3021" w:rsidP="00D9365E">
            <w:pPr>
              <w:pStyle w:val="afffffff2"/>
              <w:rPr>
                <w:rFonts w:ascii="Times New Roman" w:hAnsi="Times New Roman" w:cs="Times New Roman"/>
                <w:kern w:val="0"/>
                <w:sz w:val="21"/>
                <w:szCs w:val="21"/>
              </w:rPr>
            </w:pPr>
          </w:p>
        </w:tc>
        <w:tc>
          <w:tcPr>
            <w:tcW w:w="925" w:type="dxa"/>
            <w:vMerge/>
            <w:vAlign w:val="center"/>
          </w:tcPr>
          <w:p w:rsidR="004E3021" w:rsidRPr="00D9365E" w:rsidRDefault="004E3021" w:rsidP="00D9365E">
            <w:pPr>
              <w:pStyle w:val="afffffff2"/>
              <w:rPr>
                <w:rFonts w:ascii="Times New Roman" w:hAnsi="Times New Roman" w:cs="Times New Roman"/>
                <w:kern w:val="0"/>
                <w:sz w:val="21"/>
                <w:szCs w:val="21"/>
              </w:rPr>
            </w:pPr>
          </w:p>
        </w:tc>
      </w:tr>
    </w:tbl>
    <w:p w:rsidR="004E3021" w:rsidRDefault="00606E48">
      <w:pPr>
        <w:ind w:firstLine="480"/>
      </w:pPr>
      <w:r>
        <w:rPr>
          <w:rFonts w:ascii="宋体" w:hAnsi="宋体" w:hint="eastAsia"/>
        </w:rPr>
        <w:t>（</w:t>
      </w:r>
      <w:r>
        <w:rPr>
          <w:rFonts w:hint="eastAsia"/>
        </w:rPr>
        <w:t>2</w:t>
      </w:r>
      <w:r>
        <w:rPr>
          <w:rFonts w:ascii="宋体" w:hAnsi="宋体" w:hint="eastAsia"/>
        </w:rPr>
        <w:t>）</w:t>
      </w:r>
      <w:r>
        <w:rPr>
          <w:rFonts w:ascii="宋体" w:hAnsi="宋体"/>
        </w:rPr>
        <w:t>地下水环境跟踪监测与信息公开计划</w:t>
      </w:r>
    </w:p>
    <w:p w:rsidR="004E3021" w:rsidRDefault="00606E48">
      <w:pPr>
        <w:ind w:firstLine="480"/>
        <w:rPr>
          <w:kern w:val="24"/>
        </w:rPr>
      </w:pPr>
      <w:r>
        <w:rPr>
          <w:rFonts w:ascii="宋体" w:hAnsi="宋体" w:hint="eastAsia"/>
          <w:kern w:val="24"/>
        </w:rPr>
        <w:lastRenderedPageBreak/>
        <w:t>①</w:t>
      </w:r>
      <w:r>
        <w:rPr>
          <w:rFonts w:ascii="宋体" w:hAnsi="宋体"/>
          <w:kern w:val="24"/>
        </w:rPr>
        <w:t>地下水环境跟踪监测报告</w:t>
      </w:r>
    </w:p>
    <w:p w:rsidR="004E3021" w:rsidRDefault="00606E48">
      <w:pPr>
        <w:ind w:firstLine="480"/>
        <w:rPr>
          <w:kern w:val="24"/>
        </w:rPr>
      </w:pPr>
      <w:r>
        <w:rPr>
          <w:rFonts w:ascii="宋体" w:hAnsi="宋体"/>
          <w:kern w:val="24"/>
        </w:rPr>
        <w:t>项目环境保护专职机构负责编制项目地下水环境跟踪监测报告，报告内容应包括以下内容：</w:t>
      </w:r>
    </w:p>
    <w:p w:rsidR="004E3021" w:rsidRDefault="00606E48">
      <w:pPr>
        <w:ind w:firstLine="480"/>
        <w:rPr>
          <w:kern w:val="24"/>
        </w:rPr>
      </w:pPr>
      <w:r>
        <w:rPr>
          <w:rFonts w:ascii="宋体" w:hAnsi="宋体"/>
          <w:kern w:val="24"/>
        </w:rPr>
        <w:t>项目厂区及其影响区地下水环境跟踪监测数据，项目排放污染物的种类、数量和浓度等。</w:t>
      </w:r>
    </w:p>
    <w:p w:rsidR="004E3021" w:rsidRDefault="00606E48">
      <w:pPr>
        <w:ind w:firstLine="480"/>
        <w:rPr>
          <w:kern w:val="24"/>
        </w:rPr>
      </w:pPr>
      <w:r>
        <w:rPr>
          <w:rFonts w:ascii="宋体" w:hAnsi="宋体"/>
          <w:kern w:val="24"/>
        </w:rPr>
        <w:t>项目生产设备、管廊或管线、化学品原料和成品的贮存与运输装置、固体废物和危险废物暂存场所、事故应急池及应急装置等设施的运行状况、跑冒滴漏记录和维护记录等。</w:t>
      </w:r>
    </w:p>
    <w:p w:rsidR="004E3021" w:rsidRDefault="00606E48">
      <w:pPr>
        <w:ind w:firstLine="480"/>
        <w:rPr>
          <w:kern w:val="24"/>
        </w:rPr>
      </w:pPr>
      <w:r>
        <w:rPr>
          <w:rFonts w:ascii="宋体" w:hAnsi="宋体" w:hint="eastAsia"/>
          <w:kern w:val="24"/>
        </w:rPr>
        <w:t>②</w:t>
      </w:r>
      <w:r>
        <w:rPr>
          <w:rFonts w:ascii="宋体" w:hAnsi="宋体"/>
          <w:kern w:val="24"/>
        </w:rPr>
        <w:t>地下水信息公开计划</w:t>
      </w:r>
    </w:p>
    <w:p w:rsidR="004E3021" w:rsidRDefault="00606E48">
      <w:pPr>
        <w:ind w:firstLine="480"/>
        <w:rPr>
          <w:kern w:val="24"/>
        </w:rPr>
      </w:pPr>
      <w:r>
        <w:rPr>
          <w:rFonts w:ascii="宋体" w:hAnsi="宋体"/>
          <w:kern w:val="24"/>
        </w:rPr>
        <w:t>企业应将地下水监测工作开展情况及监测结果向社会公众公开，公开频率以环境保护主管部门要求为准，一般一年公开一次。公开内容应包括：</w:t>
      </w:r>
    </w:p>
    <w:p w:rsidR="004E3021" w:rsidRDefault="00606E48">
      <w:pPr>
        <w:ind w:firstLine="480"/>
        <w:rPr>
          <w:kern w:val="24"/>
        </w:rPr>
      </w:pPr>
      <w:r>
        <w:rPr>
          <w:rFonts w:ascii="宋体" w:hAnsi="宋体"/>
          <w:kern w:val="24"/>
        </w:rPr>
        <w:t>基础信息：企业名称、法人代表、所属行业、地理位置、生产周期、联系方式等；</w:t>
      </w:r>
    </w:p>
    <w:p w:rsidR="004E3021" w:rsidRDefault="00606E48">
      <w:pPr>
        <w:ind w:firstLine="480"/>
        <w:rPr>
          <w:kern w:val="24"/>
        </w:rPr>
      </w:pPr>
      <w:r>
        <w:rPr>
          <w:rFonts w:ascii="宋体" w:hAnsi="宋体"/>
          <w:kern w:val="24"/>
        </w:rPr>
        <w:t>地下水监测方案；</w:t>
      </w:r>
    </w:p>
    <w:p w:rsidR="004E3021" w:rsidRDefault="00606E48">
      <w:pPr>
        <w:ind w:firstLine="480"/>
      </w:pPr>
      <w:r>
        <w:rPr>
          <w:rFonts w:ascii="宋体" w:hAnsi="宋体"/>
          <w:kern w:val="24"/>
        </w:rPr>
        <w:t>地下水监测结果：全部监测点位、监测时间、监测基本因子和项目特征因子的地下水环境监测值、标准限值、达标情况、超标倍数等。</w:t>
      </w:r>
    </w:p>
    <w:p w:rsidR="004E3021" w:rsidRDefault="00606E48">
      <w:pPr>
        <w:pStyle w:val="afffffffffffffffff4"/>
      </w:pPr>
      <w:bookmarkStart w:id="709" w:name="_Toc101135933"/>
      <w:bookmarkStart w:id="710" w:name="_Toc100784100"/>
      <w:bookmarkStart w:id="711" w:name="_Toc108662710"/>
      <w:bookmarkStart w:id="712" w:name="_Toc221088865"/>
      <w:bookmarkStart w:id="713" w:name="_Toc221501080"/>
      <w:r>
        <w:rPr>
          <w:rFonts w:hint="eastAsia"/>
        </w:rPr>
        <w:t>6.5.5</w:t>
      </w:r>
      <w:r>
        <w:rPr>
          <w:rFonts w:hint="eastAsia"/>
        </w:rPr>
        <w:t>地下水污染</w:t>
      </w:r>
      <w:r>
        <w:t>应急措施</w:t>
      </w:r>
      <w:bookmarkEnd w:id="709"/>
      <w:bookmarkEnd w:id="710"/>
      <w:bookmarkEnd w:id="711"/>
      <w:bookmarkEnd w:id="712"/>
      <w:bookmarkEnd w:id="713"/>
    </w:p>
    <w:p w:rsidR="004E3021" w:rsidRDefault="00606E48">
      <w:pPr>
        <w:ind w:firstLine="480"/>
      </w:pPr>
      <w:r>
        <w:rPr>
          <w:rFonts w:hint="eastAsia"/>
        </w:rPr>
        <w:t>（</w:t>
      </w:r>
      <w:r>
        <w:rPr>
          <w:rFonts w:hint="eastAsia"/>
        </w:rPr>
        <w:t>1</w:t>
      </w:r>
      <w:r>
        <w:rPr>
          <w:rFonts w:hint="eastAsia"/>
        </w:rPr>
        <w:t>）</w:t>
      </w:r>
      <w:r>
        <w:rPr>
          <w:rFonts w:ascii="宋体" w:hAnsi="宋体" w:hint="eastAsia"/>
        </w:rPr>
        <w:t>污染应急预案</w:t>
      </w:r>
    </w:p>
    <w:p w:rsidR="004E3021" w:rsidRDefault="00D9365E">
      <w:pPr>
        <w:ind w:firstLine="480"/>
      </w:pPr>
      <w:r>
        <w:rPr>
          <w:rFonts w:ascii="宋体" w:hAnsi="宋体" w:hint="eastAsia"/>
        </w:rPr>
        <w:t>本</w:t>
      </w:r>
      <w:r w:rsidR="00606E48">
        <w:rPr>
          <w:rFonts w:ascii="宋体" w:hAnsi="宋体" w:hint="eastAsia"/>
        </w:rPr>
        <w:t>项目应按国家、地方及行业相关规范要求，制定地下水污染应急预案，并在发现地下水受到污染时立刻启动应急预案，采取应急措施阻止污染扩散，防止周边居民人体健康及生态环境受到影响。地下水污染应急预案应包括下列要点：</w:t>
      </w:r>
    </w:p>
    <w:p w:rsidR="004E3021" w:rsidRDefault="00606E48">
      <w:pPr>
        <w:ind w:firstLine="480"/>
      </w:pPr>
      <w:r>
        <w:t>1</w:t>
      </w:r>
      <w:r>
        <w:rPr>
          <w:rFonts w:hint="eastAsia"/>
        </w:rPr>
        <w:t>）</w:t>
      </w:r>
      <w:r>
        <w:rPr>
          <w:rFonts w:ascii="宋体" w:hAnsi="宋体" w:hint="eastAsia"/>
        </w:rPr>
        <w:t>如发现地下水污染事故，应立即向公司环保部门及行政管理部门报告，调查并确认污染源位置；</w:t>
      </w:r>
    </w:p>
    <w:p w:rsidR="004E3021" w:rsidRDefault="00606E48">
      <w:pPr>
        <w:ind w:firstLine="480"/>
      </w:pPr>
      <w:r>
        <w:t>2</w:t>
      </w:r>
      <w:r>
        <w:rPr>
          <w:rFonts w:hint="eastAsia"/>
        </w:rPr>
        <w:t>）</w:t>
      </w:r>
      <w:r>
        <w:rPr>
          <w:rFonts w:ascii="宋体" w:hAnsi="宋体" w:hint="eastAsia"/>
        </w:rPr>
        <w:t>采取有效措施及时阻断确认的污染源，防止污染物继续渗漏到地下，导致土壤和地下水污染范围扩大；</w:t>
      </w:r>
    </w:p>
    <w:p w:rsidR="004E3021" w:rsidRDefault="00606E48">
      <w:pPr>
        <w:ind w:firstLine="480"/>
      </w:pPr>
      <w:r>
        <w:rPr>
          <w:rFonts w:hint="eastAsia"/>
        </w:rPr>
        <w:t>3</w:t>
      </w:r>
      <w:r>
        <w:rPr>
          <w:rFonts w:hint="eastAsia"/>
        </w:rPr>
        <w:t>）</w:t>
      </w:r>
      <w:r>
        <w:rPr>
          <w:rFonts w:ascii="宋体" w:hAnsi="宋体" w:hint="eastAsia"/>
        </w:rPr>
        <w:t>立即对重污染区域采取有效的修复措施，包括开挖并移走重污染土壤作危险废物处置，对重污染区的地下水抽出并送到事故应急池中，防止污染物在地下继续扩散；</w:t>
      </w:r>
    </w:p>
    <w:p w:rsidR="004E3021" w:rsidRDefault="00606E48">
      <w:pPr>
        <w:ind w:firstLine="480"/>
      </w:pPr>
      <w:r>
        <w:rPr>
          <w:rFonts w:hint="eastAsia"/>
        </w:rPr>
        <w:t>4</w:t>
      </w:r>
      <w:r>
        <w:rPr>
          <w:rFonts w:hint="eastAsia"/>
        </w:rPr>
        <w:t>）</w:t>
      </w:r>
      <w:r>
        <w:rPr>
          <w:rFonts w:ascii="宋体" w:hAnsi="宋体" w:hint="eastAsia"/>
        </w:rPr>
        <w:t>对厂区及周边区域的地下水敏感点和环境保护目标进行取样监测，确定水质是否受到影响。如果水质受到影响，应及时通知相关方并立即停用受影响的地下水。</w:t>
      </w:r>
    </w:p>
    <w:p w:rsidR="004E3021" w:rsidRDefault="00606E48">
      <w:pPr>
        <w:ind w:firstLine="480"/>
      </w:pPr>
      <w:r>
        <w:rPr>
          <w:rFonts w:hint="eastAsia"/>
        </w:rPr>
        <w:t>（</w:t>
      </w:r>
      <w:r>
        <w:rPr>
          <w:rFonts w:hint="eastAsia"/>
        </w:rPr>
        <w:t>2</w:t>
      </w:r>
      <w:r>
        <w:rPr>
          <w:rFonts w:hint="eastAsia"/>
        </w:rPr>
        <w:t>）污染应急措施</w:t>
      </w:r>
    </w:p>
    <w:p w:rsidR="004E3021" w:rsidRDefault="00606E48">
      <w:pPr>
        <w:ind w:firstLine="480"/>
      </w:pPr>
      <w:r>
        <w:rPr>
          <w:rFonts w:hint="eastAsia"/>
        </w:rPr>
        <w:lastRenderedPageBreak/>
        <w:t>1</w:t>
      </w:r>
      <w:r>
        <w:rPr>
          <w:rFonts w:hint="eastAsia"/>
        </w:rPr>
        <w:t>）</w:t>
      </w:r>
      <w:r>
        <w:rPr>
          <w:rFonts w:ascii="宋体" w:hAnsi="宋体" w:hint="eastAsia"/>
        </w:rPr>
        <w:t>污水收集储存装置等：发生事故应立即将废污水转移到事故应急池，待污水收集装置正常后才能继续使用。</w:t>
      </w:r>
    </w:p>
    <w:p w:rsidR="004E3021" w:rsidRDefault="00606E48">
      <w:pPr>
        <w:ind w:firstLine="480"/>
      </w:pPr>
      <w:r>
        <w:t>2</w:t>
      </w:r>
      <w:r>
        <w:rPr>
          <w:rFonts w:hint="eastAsia"/>
        </w:rPr>
        <w:t>）</w:t>
      </w:r>
      <w:r>
        <w:rPr>
          <w:rFonts w:ascii="宋体" w:hAnsi="宋体" w:hint="eastAsia"/>
        </w:rPr>
        <w:t>化学品罐区、危险废物暂存场所等：发生泄漏时，应首先堵住泄漏源，利用围堰或收液槽收容，然后收集、转移到事故池进行处理。如果污染物已经渗入地下水，应将污染区地下水抽出并送事故应急池，防止污染物在地下继续扩散。发生爆炸等事故时，应将消防用水引入消防废水收集池进行处理。</w:t>
      </w:r>
    </w:p>
    <w:p w:rsidR="004E3021" w:rsidRDefault="00606E48">
      <w:pPr>
        <w:ind w:firstLine="480"/>
      </w:pPr>
      <w:r>
        <w:rPr>
          <w:rFonts w:hint="eastAsia"/>
        </w:rPr>
        <w:t>3</w:t>
      </w:r>
      <w:r>
        <w:rPr>
          <w:rFonts w:hint="eastAsia"/>
        </w:rPr>
        <w:t>）</w:t>
      </w:r>
      <w:r>
        <w:rPr>
          <w:rFonts w:ascii="宋体" w:hAnsi="宋体" w:hint="eastAsia"/>
        </w:rPr>
        <w:t>项目厂区周围应设置地坎以隔断与外界水体的联系，在发生事故后保证事故废水、消防废水能够进入事故应急池进行处理，不得进入周围水体。</w:t>
      </w:r>
    </w:p>
    <w:p w:rsidR="004E3021" w:rsidRDefault="00606E48">
      <w:pPr>
        <w:pStyle w:val="afffffffffffffffff3"/>
      </w:pPr>
      <w:bookmarkStart w:id="714" w:name="_Toc15707"/>
      <w:bookmarkStart w:id="715" w:name="_Toc58511635"/>
      <w:bookmarkStart w:id="716" w:name="_Toc221501081"/>
      <w:bookmarkEnd w:id="714"/>
      <w:bookmarkEnd w:id="715"/>
      <w:r>
        <w:rPr>
          <w:rFonts w:hint="eastAsia"/>
        </w:rPr>
        <w:t>6.6</w:t>
      </w:r>
      <w:r>
        <w:rPr>
          <w:rFonts w:hint="eastAsia"/>
        </w:rPr>
        <w:t>土壤</w:t>
      </w:r>
      <w:r>
        <w:t>污染防治措施</w:t>
      </w:r>
      <w:bookmarkEnd w:id="716"/>
    </w:p>
    <w:p w:rsidR="004E3021" w:rsidRDefault="00606E48">
      <w:pPr>
        <w:pStyle w:val="afffffffffffffffff4"/>
      </w:pPr>
      <w:bookmarkStart w:id="717" w:name="_Toc101135935"/>
      <w:bookmarkStart w:id="718" w:name="_Toc100784102"/>
      <w:bookmarkStart w:id="719" w:name="_Toc108662712"/>
      <w:bookmarkStart w:id="720" w:name="_Toc221088867"/>
      <w:bookmarkStart w:id="721" w:name="_Toc221501082"/>
      <w:r>
        <w:rPr>
          <w:rFonts w:hint="eastAsia"/>
        </w:rPr>
        <w:t>6.6.1</w:t>
      </w:r>
      <w:r>
        <w:rPr>
          <w:rFonts w:ascii="黑体" w:hAnsi="黑体" w:hint="eastAsia"/>
        </w:rPr>
        <w:t>源头控制</w:t>
      </w:r>
      <w:r>
        <w:rPr>
          <w:rFonts w:ascii="黑体" w:hAnsi="黑体"/>
        </w:rPr>
        <w:t>措施</w:t>
      </w:r>
      <w:bookmarkEnd w:id="717"/>
      <w:bookmarkEnd w:id="718"/>
      <w:bookmarkEnd w:id="719"/>
      <w:bookmarkEnd w:id="720"/>
      <w:bookmarkEnd w:id="721"/>
    </w:p>
    <w:p w:rsidR="004E3021" w:rsidRDefault="00606E48">
      <w:pPr>
        <w:ind w:firstLine="480"/>
        <w:rPr>
          <w:rFonts w:ascii="宋体" w:hAnsi="宋体"/>
          <w:kern w:val="24"/>
        </w:rPr>
      </w:pPr>
      <w:r>
        <w:rPr>
          <w:rFonts w:ascii="宋体" w:hAnsi="宋体"/>
          <w:kern w:val="24"/>
        </w:rPr>
        <w:t>项目应选择先进、成熟、可靠的工艺技术和较清洁的原辅材料，并对产生的各类废物进行合理的回用和治理，尽可能从源头上减少污染物的产生和排放。严格按照国家相关规范要求，对工艺、管道、设备、储罐、仓库、污水储存和处理构筑物采取相应措施，防止和降低污染物的跑、冒、滴、漏，将污染物泄漏的环境风险降到最低程度。堆放各种化工原辅料的危险品仓库和储罐区，危险废物临时存放场所要按照国家相关规范要求，采取严格的防泄漏、防溢流、防腐蚀等措施，严格危险化学品和危险废物的管理。</w:t>
      </w:r>
    </w:p>
    <w:p w:rsidR="004E3021" w:rsidRDefault="00606E48">
      <w:pPr>
        <w:pStyle w:val="afffffffffffffffff4"/>
      </w:pPr>
      <w:bookmarkStart w:id="722" w:name="_Toc108662713"/>
      <w:bookmarkStart w:id="723" w:name="_Toc52175603"/>
      <w:bookmarkStart w:id="724" w:name="_Toc221088868"/>
      <w:bookmarkStart w:id="725" w:name="_Toc221501083"/>
      <w:r>
        <w:rPr>
          <w:rFonts w:hint="eastAsia"/>
        </w:rPr>
        <w:t>6.6.2</w:t>
      </w:r>
      <w:r>
        <w:rPr>
          <w:rFonts w:hint="eastAsia"/>
        </w:rPr>
        <w:t>过程</w:t>
      </w:r>
      <w:r>
        <w:t>防控措施</w:t>
      </w:r>
      <w:bookmarkEnd w:id="722"/>
      <w:bookmarkEnd w:id="723"/>
      <w:bookmarkEnd w:id="724"/>
      <w:bookmarkEnd w:id="725"/>
    </w:p>
    <w:p w:rsidR="004E3021" w:rsidRDefault="00606E48">
      <w:pPr>
        <w:ind w:firstLine="480"/>
      </w:pPr>
      <w:r>
        <w:rPr>
          <w:rFonts w:hint="eastAsia"/>
        </w:rPr>
        <w:t>本项目对土壤的环境影响途径主要垂直入渗和大气沉降，因此，本项目针对土壤防治主要采取以下措施：</w:t>
      </w:r>
    </w:p>
    <w:p w:rsidR="004E3021" w:rsidRDefault="00606E48">
      <w:pPr>
        <w:ind w:firstLine="480"/>
      </w:pPr>
      <w:r>
        <w:rPr>
          <w:rFonts w:hint="eastAsia"/>
        </w:rPr>
        <w:t>（</w:t>
      </w:r>
      <w:r>
        <w:rPr>
          <w:rFonts w:hint="eastAsia"/>
        </w:rPr>
        <w:t>1</w:t>
      </w:r>
      <w:r>
        <w:rPr>
          <w:rFonts w:hint="eastAsia"/>
        </w:rPr>
        <w:t>）垂直入渗防治措施：生产车间、仓库、废水处理站等易产生事故泄漏区域全部按照《危险废物贮存污染控制标准》</w:t>
      </w:r>
      <w:r w:rsidR="0085002C">
        <w:t>（</w:t>
      </w:r>
      <w:r w:rsidR="0085002C">
        <w:t>GB18597-2023</w:t>
      </w:r>
      <w:r w:rsidR="0085002C">
        <w:t>）</w:t>
      </w:r>
      <w:r>
        <w:rPr>
          <w:rFonts w:hint="eastAsia"/>
        </w:rPr>
        <w:t>的要求落实防渗。厂区其他各区域均按照分区防渗要求，进行防渗，从而切断污染土壤的垂直入渗途径，厂区各分区防渗要求详见第</w:t>
      </w:r>
      <w:r>
        <w:t>6.5</w:t>
      </w:r>
      <w:r>
        <w:rPr>
          <w:rFonts w:hint="eastAsia"/>
        </w:rPr>
        <w:t xml:space="preserve"> </w:t>
      </w:r>
      <w:r>
        <w:rPr>
          <w:rFonts w:hint="eastAsia"/>
        </w:rPr>
        <w:t>地下水污染防治措施章节内容。</w:t>
      </w:r>
    </w:p>
    <w:p w:rsidR="004E3021" w:rsidRDefault="00606E48">
      <w:pPr>
        <w:ind w:firstLine="480"/>
      </w:pPr>
      <w:r>
        <w:rPr>
          <w:rFonts w:hint="eastAsia"/>
        </w:rPr>
        <w:t>（</w:t>
      </w:r>
      <w:r>
        <w:rPr>
          <w:rFonts w:hint="eastAsia"/>
        </w:rPr>
        <w:t>2</w:t>
      </w:r>
      <w:r>
        <w:rPr>
          <w:rFonts w:hint="eastAsia"/>
        </w:rPr>
        <w:t>）大气沉降影响防治措施：本项目大气沉降对土壤影响是持续性，长期性的，通过大气污染控制措施，确保各污染物达标排放，杜绝事故排放的措施减轻大气沉降影响。落实</w:t>
      </w:r>
      <w:r>
        <w:rPr>
          <w:rFonts w:ascii="宋体" w:hAnsi="宋体" w:hint="eastAsia"/>
        </w:rPr>
        <w:t>《环境影响评价技术导则</w:t>
      </w:r>
      <w:r>
        <w:t xml:space="preserve"> </w:t>
      </w:r>
      <w:r>
        <w:rPr>
          <w:rFonts w:ascii="宋体" w:hAnsi="宋体" w:hint="eastAsia"/>
        </w:rPr>
        <w:t>土壤环境（试行）》（</w:t>
      </w:r>
      <w:r>
        <w:t>HJ964-2018</w:t>
      </w:r>
      <w:r>
        <w:rPr>
          <w:rFonts w:ascii="宋体" w:hAnsi="宋体" w:hint="eastAsia"/>
        </w:rPr>
        <w:t>）中绿化</w:t>
      </w:r>
      <w:r>
        <w:rPr>
          <w:rFonts w:ascii="宋体" w:hAnsi="宋体"/>
        </w:rPr>
        <w:t>措施，种</w:t>
      </w:r>
      <w:r>
        <w:rPr>
          <w:rFonts w:ascii="宋体" w:hAnsi="宋体"/>
        </w:rPr>
        <w:lastRenderedPageBreak/>
        <w:t>植具有较强吸附能力的植物</w:t>
      </w:r>
      <w:r>
        <w:rPr>
          <w:rFonts w:ascii="宋体" w:hAnsi="宋体" w:hint="eastAsia"/>
        </w:rPr>
        <w:t>，</w:t>
      </w:r>
      <w:r>
        <w:rPr>
          <w:rFonts w:hint="eastAsia"/>
        </w:rPr>
        <w:t>本项目通过大气沉降途径对周边土壤环境的影响较小。</w:t>
      </w:r>
    </w:p>
    <w:p w:rsidR="004E3021" w:rsidRDefault="00606E48">
      <w:pPr>
        <w:ind w:firstLine="480"/>
      </w:pPr>
      <w:r>
        <w:rPr>
          <w:rFonts w:hint="eastAsia"/>
        </w:rPr>
        <w:t>综上，本项目通过采取以上措施，可有效防止对土壤环境造成明显不良影响，土壤污染防治措施可行。</w:t>
      </w:r>
    </w:p>
    <w:p w:rsidR="004E3021" w:rsidRDefault="00606E48">
      <w:pPr>
        <w:pStyle w:val="afffffffffffffffff4"/>
      </w:pPr>
      <w:bookmarkStart w:id="726" w:name="_Toc101135936"/>
      <w:bookmarkStart w:id="727" w:name="_Toc108662714"/>
      <w:bookmarkStart w:id="728" w:name="_Toc100784103"/>
      <w:bookmarkStart w:id="729" w:name="_Toc221088869"/>
      <w:bookmarkStart w:id="730" w:name="_Toc221501084"/>
      <w:r>
        <w:rPr>
          <w:rFonts w:hint="eastAsia"/>
        </w:rPr>
        <w:t>6.6.</w:t>
      </w:r>
      <w:r>
        <w:t>3</w:t>
      </w:r>
      <w:r>
        <w:rPr>
          <w:rFonts w:hint="eastAsia"/>
        </w:rPr>
        <w:t>土壤</w:t>
      </w:r>
      <w:r>
        <w:t>跟踪监测计划</w:t>
      </w:r>
      <w:bookmarkEnd w:id="726"/>
      <w:bookmarkEnd w:id="727"/>
      <w:bookmarkEnd w:id="728"/>
      <w:bookmarkEnd w:id="729"/>
      <w:bookmarkEnd w:id="730"/>
    </w:p>
    <w:p w:rsidR="004E3021" w:rsidRDefault="00606E48">
      <w:pPr>
        <w:ind w:firstLine="480"/>
      </w:pPr>
      <w:r>
        <w:rPr>
          <w:rFonts w:ascii="宋体" w:hAnsi="宋体" w:hint="eastAsia"/>
        </w:rPr>
        <w:t>（</w:t>
      </w:r>
      <w:r>
        <w:rPr>
          <w:rFonts w:hint="eastAsia"/>
        </w:rPr>
        <w:t>1</w:t>
      </w:r>
      <w:r>
        <w:rPr>
          <w:rFonts w:ascii="宋体" w:hAnsi="宋体" w:hint="eastAsia"/>
        </w:rPr>
        <w:t>）土壤跟踪</w:t>
      </w:r>
      <w:r>
        <w:rPr>
          <w:rFonts w:ascii="宋体" w:hAnsi="宋体"/>
        </w:rPr>
        <w:t>监测计划</w:t>
      </w:r>
    </w:p>
    <w:p w:rsidR="004E3021" w:rsidRDefault="00606E48">
      <w:pPr>
        <w:ind w:firstLine="480"/>
        <w:rPr>
          <w:rFonts w:ascii="宋体" w:hAnsi="宋体"/>
        </w:rPr>
      </w:pPr>
      <w:r>
        <w:rPr>
          <w:rFonts w:ascii="宋体" w:hAnsi="宋体" w:hint="eastAsia"/>
        </w:rPr>
        <w:t>结合本项目</w:t>
      </w:r>
      <w:r>
        <w:rPr>
          <w:rFonts w:ascii="宋体" w:hAnsi="宋体"/>
        </w:rPr>
        <w:t>的平面布置情况及周边环境</w:t>
      </w:r>
      <w:r>
        <w:rPr>
          <w:rFonts w:ascii="宋体" w:hAnsi="宋体" w:hint="eastAsia"/>
        </w:rPr>
        <w:t>概况，</w:t>
      </w:r>
      <w:r>
        <w:rPr>
          <w:rFonts w:ascii="宋体" w:hAnsi="宋体" w:hint="eastAsia"/>
          <w:kern w:val="24"/>
        </w:rPr>
        <w:t>结合</w:t>
      </w:r>
      <w:r>
        <w:rPr>
          <w:rFonts w:ascii="宋体" w:hAnsi="宋体"/>
          <w:kern w:val="24"/>
        </w:rPr>
        <w:t>《</w:t>
      </w:r>
      <w:r>
        <w:rPr>
          <w:rFonts w:ascii="宋体" w:hAnsi="宋体" w:hint="eastAsia"/>
          <w:kern w:val="24"/>
        </w:rPr>
        <w:t>工业企业土壤和地下水自行监测 技术指南（试行）</w:t>
      </w:r>
      <w:r>
        <w:rPr>
          <w:rFonts w:ascii="宋体" w:hAnsi="宋体"/>
          <w:kern w:val="24"/>
        </w:rPr>
        <w:t>》</w:t>
      </w:r>
      <w:r>
        <w:rPr>
          <w:kern w:val="24"/>
        </w:rPr>
        <w:t>（</w:t>
      </w:r>
      <w:r>
        <w:rPr>
          <w:kern w:val="24"/>
        </w:rPr>
        <w:t>HJ 1209—2021</w:t>
      </w:r>
      <w:r>
        <w:rPr>
          <w:kern w:val="24"/>
        </w:rPr>
        <w:t>）</w:t>
      </w:r>
      <w:r>
        <w:rPr>
          <w:rFonts w:ascii="宋体" w:hAnsi="宋体" w:hint="eastAsia"/>
          <w:kern w:val="24"/>
        </w:rPr>
        <w:t>中要求</w:t>
      </w:r>
      <w:r>
        <w:rPr>
          <w:rFonts w:ascii="宋体" w:hAnsi="宋体"/>
        </w:rPr>
        <w:t>，确定本次设置</w:t>
      </w:r>
      <w:r>
        <w:t>2</w:t>
      </w:r>
      <w:r>
        <w:rPr>
          <w:rFonts w:ascii="宋体" w:hAnsi="宋体" w:hint="eastAsia"/>
        </w:rPr>
        <w:t>个土壤</w:t>
      </w:r>
      <w:r>
        <w:rPr>
          <w:rFonts w:ascii="宋体" w:hAnsi="宋体"/>
        </w:rPr>
        <w:t>跟踪监测点，</w:t>
      </w:r>
      <w:r>
        <w:rPr>
          <w:rFonts w:ascii="宋体" w:hAnsi="宋体" w:hint="eastAsia"/>
        </w:rPr>
        <w:t>具体</w:t>
      </w:r>
      <w:r>
        <w:rPr>
          <w:rFonts w:ascii="宋体" w:hAnsi="宋体"/>
        </w:rPr>
        <w:t>监测</w:t>
      </w:r>
      <w:r>
        <w:rPr>
          <w:rFonts w:ascii="宋体" w:hAnsi="宋体" w:hint="eastAsia"/>
        </w:rPr>
        <w:t>点位</w:t>
      </w:r>
      <w:r>
        <w:rPr>
          <w:rFonts w:ascii="宋体" w:hAnsi="宋体"/>
        </w:rPr>
        <w:t>、监测</w:t>
      </w:r>
      <w:r>
        <w:rPr>
          <w:rFonts w:ascii="宋体" w:hAnsi="宋体" w:hint="eastAsia"/>
        </w:rPr>
        <w:t>指标</w:t>
      </w:r>
      <w:r>
        <w:rPr>
          <w:rFonts w:ascii="宋体" w:hAnsi="宋体"/>
        </w:rPr>
        <w:t>、监测频次以及执行标准见表</w:t>
      </w:r>
      <w:r>
        <w:rPr>
          <w:rFonts w:hint="eastAsia"/>
        </w:rPr>
        <w:t>6.6.</w:t>
      </w:r>
      <w:r>
        <w:t>3-1</w:t>
      </w:r>
      <w:r>
        <w:rPr>
          <w:rFonts w:ascii="宋体" w:hAnsi="宋体" w:hint="eastAsia"/>
        </w:rPr>
        <w:t>及</w:t>
      </w:r>
      <w:r>
        <w:rPr>
          <w:rFonts w:ascii="宋体" w:hAnsi="宋体"/>
        </w:rPr>
        <w:t>附图</w:t>
      </w:r>
      <w:r>
        <w:rPr>
          <w:rFonts w:hint="eastAsia"/>
        </w:rPr>
        <w:t>6.5.</w:t>
      </w:r>
      <w:r w:rsidR="00A73038">
        <w:t>4</w:t>
      </w:r>
      <w:r>
        <w:t>-1</w:t>
      </w:r>
      <w:r>
        <w:rPr>
          <w:rFonts w:ascii="宋体" w:hAnsi="宋体" w:hint="eastAsia"/>
        </w:rPr>
        <w:t>。</w:t>
      </w:r>
    </w:p>
    <w:p w:rsidR="00D9365E" w:rsidRDefault="00D9365E" w:rsidP="00D9365E">
      <w:pPr>
        <w:pStyle w:val="a0"/>
        <w:ind w:firstLine="480"/>
      </w:pPr>
    </w:p>
    <w:p w:rsidR="00D9365E" w:rsidRDefault="00D9365E" w:rsidP="00D9365E">
      <w:pPr>
        <w:pStyle w:val="a0"/>
        <w:ind w:firstLine="480"/>
      </w:pPr>
    </w:p>
    <w:p w:rsidR="00D9365E" w:rsidRDefault="00D9365E" w:rsidP="00D9365E">
      <w:pPr>
        <w:pStyle w:val="a0"/>
        <w:ind w:firstLine="480"/>
      </w:pPr>
    </w:p>
    <w:p w:rsidR="00D9365E" w:rsidRPr="00D9365E" w:rsidRDefault="00D9365E" w:rsidP="00D9365E">
      <w:pPr>
        <w:pStyle w:val="a0"/>
        <w:ind w:firstLine="480"/>
      </w:pPr>
    </w:p>
    <w:p w:rsidR="004E3021" w:rsidRDefault="00606E48">
      <w:pPr>
        <w:pStyle w:val="afffff4"/>
        <w:ind w:firstLine="480"/>
      </w:pPr>
      <w:r>
        <w:rPr>
          <w:rFonts w:ascii="黑体" w:hAnsi="黑体" w:hint="eastAsia"/>
        </w:rPr>
        <w:t>表</w:t>
      </w:r>
      <w:r>
        <w:rPr>
          <w:rFonts w:hint="eastAsia"/>
        </w:rPr>
        <w:t>6.6.</w:t>
      </w:r>
      <w:r>
        <w:t xml:space="preserve">3-1  </w:t>
      </w:r>
      <w:r>
        <w:rPr>
          <w:rFonts w:ascii="黑体" w:hAnsi="黑体" w:hint="eastAsia"/>
        </w:rPr>
        <w:t>土壤</w:t>
      </w:r>
      <w:r>
        <w:rPr>
          <w:rFonts w:ascii="黑体" w:hAnsi="黑体"/>
        </w:rPr>
        <w:t>跟踪</w:t>
      </w:r>
      <w:r>
        <w:rPr>
          <w:rFonts w:ascii="黑体" w:hAnsi="黑体" w:hint="eastAsia"/>
        </w:rPr>
        <w:t>监测</w:t>
      </w:r>
      <w:r>
        <w:rPr>
          <w:rFonts w:ascii="黑体" w:hAnsi="黑体"/>
        </w:rPr>
        <w:t>计划一览表</w:t>
      </w:r>
    </w:p>
    <w:tbl>
      <w:tblPr>
        <w:tblStyle w:val="1ffffffd"/>
        <w:tblW w:w="5000" w:type="pct"/>
        <w:tblLook w:val="04A0" w:firstRow="1" w:lastRow="0" w:firstColumn="1" w:lastColumn="0" w:noHBand="0" w:noVBand="1"/>
      </w:tblPr>
      <w:tblGrid>
        <w:gridCol w:w="741"/>
        <w:gridCol w:w="1281"/>
        <w:gridCol w:w="1524"/>
        <w:gridCol w:w="1525"/>
        <w:gridCol w:w="1054"/>
        <w:gridCol w:w="2901"/>
      </w:tblGrid>
      <w:tr w:rsidR="004E3021" w:rsidRPr="00D9365E" w:rsidTr="00D9365E">
        <w:tc>
          <w:tcPr>
            <w:tcW w:w="409" w:type="pct"/>
            <w:vAlign w:val="center"/>
          </w:tcPr>
          <w:p w:rsidR="004E3021" w:rsidRPr="00D9365E" w:rsidRDefault="00606E48" w:rsidP="00D9365E">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编号</w:t>
            </w:r>
          </w:p>
        </w:tc>
        <w:tc>
          <w:tcPr>
            <w:tcW w:w="710" w:type="pct"/>
            <w:vAlign w:val="center"/>
          </w:tcPr>
          <w:p w:rsidR="004E3021" w:rsidRPr="00D9365E" w:rsidRDefault="00606E48" w:rsidP="00D9365E">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监测点位名称</w:t>
            </w:r>
          </w:p>
        </w:tc>
        <w:tc>
          <w:tcPr>
            <w:tcW w:w="845" w:type="pct"/>
            <w:vAlign w:val="center"/>
          </w:tcPr>
          <w:p w:rsidR="004E3021" w:rsidRPr="00D9365E" w:rsidRDefault="00606E48" w:rsidP="00D9365E">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采样点</w:t>
            </w:r>
          </w:p>
        </w:tc>
        <w:tc>
          <w:tcPr>
            <w:tcW w:w="845" w:type="pct"/>
            <w:vAlign w:val="center"/>
          </w:tcPr>
          <w:p w:rsidR="004E3021" w:rsidRPr="00D9365E" w:rsidRDefault="00606E48" w:rsidP="00D9365E">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监测指标</w:t>
            </w:r>
          </w:p>
        </w:tc>
        <w:tc>
          <w:tcPr>
            <w:tcW w:w="584" w:type="pct"/>
            <w:vAlign w:val="center"/>
          </w:tcPr>
          <w:p w:rsidR="004E3021" w:rsidRPr="00D9365E" w:rsidRDefault="00606E48" w:rsidP="00D9365E">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监测频次</w:t>
            </w:r>
          </w:p>
        </w:tc>
        <w:tc>
          <w:tcPr>
            <w:tcW w:w="1607" w:type="pct"/>
            <w:vAlign w:val="center"/>
          </w:tcPr>
          <w:p w:rsidR="004E3021" w:rsidRPr="00D9365E" w:rsidRDefault="00606E48" w:rsidP="00D9365E">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执行标准</w:t>
            </w:r>
          </w:p>
        </w:tc>
      </w:tr>
      <w:tr w:rsidR="004E3021" w:rsidRPr="00D9365E" w:rsidTr="00D9365E">
        <w:trPr>
          <w:trHeight w:val="360"/>
        </w:trPr>
        <w:tc>
          <w:tcPr>
            <w:tcW w:w="409" w:type="pct"/>
            <w:vMerge w:val="restar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SW01</w:t>
            </w:r>
          </w:p>
        </w:tc>
        <w:tc>
          <w:tcPr>
            <w:tcW w:w="710" w:type="pct"/>
            <w:vMerge w:val="restar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污水处理站</w:t>
            </w:r>
          </w:p>
        </w:tc>
        <w:tc>
          <w:tcPr>
            <w:tcW w:w="845" w:type="pc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0~0.5m</w:t>
            </w:r>
            <w:r w:rsidRPr="00D9365E">
              <w:rPr>
                <w:rFonts w:ascii="Times New Roman" w:hAnsi="Times New Roman" w:cs="Times New Roman"/>
                <w:kern w:val="0"/>
                <w:sz w:val="21"/>
                <w:szCs w:val="21"/>
              </w:rPr>
              <w:t>表层土壤</w:t>
            </w:r>
          </w:p>
        </w:tc>
        <w:tc>
          <w:tcPr>
            <w:tcW w:w="845" w:type="pct"/>
            <w:vMerge w:val="restar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《土壤环境质量</w:t>
            </w:r>
            <w:r w:rsidRPr="00D9365E">
              <w:rPr>
                <w:rFonts w:ascii="Times New Roman" w:hAnsi="Times New Roman" w:cs="Times New Roman"/>
                <w:kern w:val="0"/>
                <w:sz w:val="21"/>
                <w:szCs w:val="21"/>
              </w:rPr>
              <w:t xml:space="preserve"> </w:t>
            </w:r>
            <w:r w:rsidRPr="00D9365E">
              <w:rPr>
                <w:rFonts w:ascii="Times New Roman" w:hAnsi="Times New Roman" w:cs="Times New Roman"/>
                <w:kern w:val="0"/>
                <w:sz w:val="21"/>
                <w:szCs w:val="21"/>
              </w:rPr>
              <w:t>建设用地土壤污染风险管控标准》（</w:t>
            </w:r>
            <w:r w:rsidRPr="00D9365E">
              <w:rPr>
                <w:rFonts w:ascii="Times New Roman" w:hAnsi="Times New Roman" w:cs="Times New Roman"/>
                <w:kern w:val="0"/>
                <w:sz w:val="21"/>
                <w:szCs w:val="21"/>
              </w:rPr>
              <w:t>GB36600-2018</w:t>
            </w:r>
            <w:r w:rsidRPr="00D9365E">
              <w:rPr>
                <w:rFonts w:ascii="Times New Roman" w:hAnsi="Times New Roman" w:cs="Times New Roman"/>
                <w:kern w:val="0"/>
                <w:sz w:val="21"/>
                <w:szCs w:val="21"/>
              </w:rPr>
              <w:t>）（试行）基础项目</w:t>
            </w:r>
            <w:r w:rsidRPr="00D9365E">
              <w:rPr>
                <w:rFonts w:ascii="Times New Roman" w:hAnsi="Times New Roman" w:cs="Times New Roman"/>
                <w:kern w:val="0"/>
                <w:sz w:val="21"/>
                <w:szCs w:val="21"/>
              </w:rPr>
              <w:t>45</w:t>
            </w:r>
            <w:r w:rsidRPr="00D9365E">
              <w:rPr>
                <w:rFonts w:ascii="Times New Roman" w:hAnsi="Times New Roman" w:cs="Times New Roman"/>
                <w:kern w:val="0"/>
                <w:sz w:val="21"/>
                <w:szCs w:val="21"/>
              </w:rPr>
              <w:t>项</w:t>
            </w:r>
          </w:p>
        </w:tc>
        <w:tc>
          <w:tcPr>
            <w:tcW w:w="584" w:type="pc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1</w:t>
            </w:r>
            <w:r w:rsidRPr="00D9365E">
              <w:rPr>
                <w:rFonts w:ascii="Times New Roman" w:hAnsi="Times New Roman" w:cs="Times New Roman"/>
                <w:kern w:val="0"/>
                <w:sz w:val="21"/>
                <w:szCs w:val="21"/>
              </w:rPr>
              <w:t>年</w:t>
            </w:r>
            <w:r w:rsidRPr="00D9365E">
              <w:rPr>
                <w:rFonts w:ascii="Times New Roman" w:hAnsi="Times New Roman" w:cs="Times New Roman"/>
                <w:kern w:val="0"/>
                <w:sz w:val="21"/>
                <w:szCs w:val="21"/>
              </w:rPr>
              <w:t>1</w:t>
            </w:r>
            <w:r w:rsidRPr="00D9365E">
              <w:rPr>
                <w:rFonts w:ascii="Times New Roman" w:hAnsi="Times New Roman" w:cs="Times New Roman"/>
                <w:kern w:val="0"/>
                <w:sz w:val="21"/>
                <w:szCs w:val="21"/>
              </w:rPr>
              <w:t>次</w:t>
            </w:r>
          </w:p>
        </w:tc>
        <w:tc>
          <w:tcPr>
            <w:tcW w:w="1607" w:type="pct"/>
            <w:vMerge w:val="restar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《土壤环境质量</w:t>
            </w:r>
            <w:r w:rsidRPr="00D9365E">
              <w:rPr>
                <w:rFonts w:ascii="Times New Roman" w:hAnsi="Times New Roman" w:cs="Times New Roman"/>
                <w:kern w:val="0"/>
                <w:sz w:val="21"/>
                <w:szCs w:val="21"/>
              </w:rPr>
              <w:t xml:space="preserve"> </w:t>
            </w:r>
            <w:r w:rsidRPr="00D9365E">
              <w:rPr>
                <w:rFonts w:ascii="Times New Roman" w:hAnsi="Times New Roman" w:cs="Times New Roman"/>
                <w:kern w:val="0"/>
                <w:sz w:val="21"/>
                <w:szCs w:val="21"/>
              </w:rPr>
              <w:t>建设用地土壤污染风险管控标准》（</w:t>
            </w:r>
            <w:r w:rsidRPr="00D9365E">
              <w:rPr>
                <w:rFonts w:ascii="Times New Roman" w:hAnsi="Times New Roman" w:cs="Times New Roman"/>
                <w:kern w:val="0"/>
                <w:sz w:val="21"/>
                <w:szCs w:val="21"/>
              </w:rPr>
              <w:t>GB36600-2018</w:t>
            </w:r>
            <w:r w:rsidRPr="00D9365E">
              <w:rPr>
                <w:rFonts w:ascii="Times New Roman" w:hAnsi="Times New Roman" w:cs="Times New Roman"/>
                <w:kern w:val="0"/>
                <w:sz w:val="21"/>
                <w:szCs w:val="21"/>
              </w:rPr>
              <w:t>）（试行）</w:t>
            </w:r>
          </w:p>
        </w:tc>
      </w:tr>
      <w:tr w:rsidR="004E3021" w:rsidRPr="00D9365E" w:rsidTr="00D9365E">
        <w:trPr>
          <w:trHeight w:val="360"/>
        </w:trPr>
        <w:tc>
          <w:tcPr>
            <w:tcW w:w="409" w:type="pct"/>
            <w:vMerge/>
            <w:vAlign w:val="center"/>
          </w:tcPr>
          <w:p w:rsidR="004E3021" w:rsidRPr="00D9365E" w:rsidRDefault="004E3021" w:rsidP="00D9365E">
            <w:pPr>
              <w:pStyle w:val="afffffff2"/>
              <w:rPr>
                <w:rFonts w:ascii="Times New Roman" w:hAnsi="Times New Roman" w:cs="Times New Roman"/>
                <w:kern w:val="0"/>
                <w:sz w:val="21"/>
                <w:szCs w:val="21"/>
              </w:rPr>
            </w:pPr>
          </w:p>
        </w:tc>
        <w:tc>
          <w:tcPr>
            <w:tcW w:w="710" w:type="pct"/>
            <w:vMerge/>
            <w:vAlign w:val="center"/>
          </w:tcPr>
          <w:p w:rsidR="004E3021" w:rsidRPr="00D9365E" w:rsidRDefault="004E3021" w:rsidP="00D9365E">
            <w:pPr>
              <w:pStyle w:val="afffffff2"/>
              <w:rPr>
                <w:rFonts w:ascii="Times New Roman" w:hAnsi="Times New Roman" w:cs="Times New Roman"/>
                <w:kern w:val="0"/>
                <w:sz w:val="21"/>
                <w:szCs w:val="21"/>
              </w:rPr>
            </w:pPr>
          </w:p>
        </w:tc>
        <w:tc>
          <w:tcPr>
            <w:tcW w:w="845" w:type="pc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4~6m</w:t>
            </w:r>
            <w:r w:rsidRPr="00D9365E">
              <w:rPr>
                <w:rFonts w:ascii="Times New Roman" w:hAnsi="Times New Roman" w:cs="Times New Roman"/>
                <w:kern w:val="0"/>
                <w:sz w:val="21"/>
                <w:szCs w:val="21"/>
              </w:rPr>
              <w:t>深层土壤</w:t>
            </w:r>
          </w:p>
        </w:tc>
        <w:tc>
          <w:tcPr>
            <w:tcW w:w="845" w:type="pct"/>
            <w:vMerge/>
            <w:vAlign w:val="center"/>
          </w:tcPr>
          <w:p w:rsidR="004E3021" w:rsidRPr="00D9365E" w:rsidRDefault="004E3021" w:rsidP="00D9365E">
            <w:pPr>
              <w:pStyle w:val="afffffff2"/>
              <w:rPr>
                <w:rFonts w:ascii="Times New Roman" w:hAnsi="Times New Roman" w:cs="Times New Roman"/>
                <w:kern w:val="0"/>
                <w:sz w:val="21"/>
                <w:szCs w:val="21"/>
              </w:rPr>
            </w:pPr>
          </w:p>
        </w:tc>
        <w:tc>
          <w:tcPr>
            <w:tcW w:w="584" w:type="pc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3</w:t>
            </w:r>
            <w:r w:rsidRPr="00D9365E">
              <w:rPr>
                <w:rFonts w:ascii="Times New Roman" w:hAnsi="Times New Roman" w:cs="Times New Roman"/>
                <w:kern w:val="0"/>
                <w:sz w:val="21"/>
                <w:szCs w:val="21"/>
              </w:rPr>
              <w:t>年</w:t>
            </w:r>
            <w:r w:rsidRPr="00D9365E">
              <w:rPr>
                <w:rFonts w:ascii="Times New Roman" w:hAnsi="Times New Roman" w:cs="Times New Roman"/>
                <w:kern w:val="0"/>
                <w:sz w:val="21"/>
                <w:szCs w:val="21"/>
              </w:rPr>
              <w:t>1</w:t>
            </w:r>
            <w:r w:rsidRPr="00D9365E">
              <w:rPr>
                <w:rFonts w:ascii="Times New Roman" w:hAnsi="Times New Roman" w:cs="Times New Roman"/>
                <w:kern w:val="0"/>
                <w:sz w:val="21"/>
                <w:szCs w:val="21"/>
              </w:rPr>
              <w:t>次</w:t>
            </w:r>
          </w:p>
        </w:tc>
        <w:tc>
          <w:tcPr>
            <w:tcW w:w="1607" w:type="pct"/>
            <w:vMerge/>
            <w:vAlign w:val="center"/>
          </w:tcPr>
          <w:p w:rsidR="004E3021" w:rsidRPr="00D9365E" w:rsidRDefault="004E3021" w:rsidP="00D9365E">
            <w:pPr>
              <w:pStyle w:val="afffffff2"/>
              <w:rPr>
                <w:rFonts w:ascii="Times New Roman" w:hAnsi="Times New Roman" w:cs="Times New Roman"/>
                <w:kern w:val="0"/>
                <w:sz w:val="21"/>
                <w:szCs w:val="21"/>
              </w:rPr>
            </w:pPr>
          </w:p>
        </w:tc>
      </w:tr>
      <w:tr w:rsidR="004E3021" w:rsidRPr="00D9365E" w:rsidTr="00D9365E">
        <w:tc>
          <w:tcPr>
            <w:tcW w:w="409" w:type="pc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SW02</w:t>
            </w:r>
          </w:p>
        </w:tc>
        <w:tc>
          <w:tcPr>
            <w:tcW w:w="710" w:type="pc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厂区下风向</w:t>
            </w:r>
          </w:p>
        </w:tc>
        <w:tc>
          <w:tcPr>
            <w:tcW w:w="845" w:type="pc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0~0.5m</w:t>
            </w:r>
            <w:r w:rsidRPr="00D9365E">
              <w:rPr>
                <w:rFonts w:ascii="Times New Roman" w:hAnsi="Times New Roman" w:cs="Times New Roman"/>
                <w:kern w:val="0"/>
                <w:sz w:val="21"/>
                <w:szCs w:val="21"/>
              </w:rPr>
              <w:t>表层土壤</w:t>
            </w:r>
          </w:p>
        </w:tc>
        <w:tc>
          <w:tcPr>
            <w:tcW w:w="845" w:type="pct"/>
            <w:vMerge/>
            <w:vAlign w:val="center"/>
          </w:tcPr>
          <w:p w:rsidR="004E3021" w:rsidRPr="00D9365E" w:rsidRDefault="004E3021" w:rsidP="00D9365E">
            <w:pPr>
              <w:pStyle w:val="afffffff2"/>
              <w:rPr>
                <w:rFonts w:ascii="Times New Roman" w:hAnsi="Times New Roman" w:cs="Times New Roman"/>
                <w:kern w:val="0"/>
                <w:sz w:val="21"/>
                <w:szCs w:val="21"/>
              </w:rPr>
            </w:pPr>
          </w:p>
        </w:tc>
        <w:tc>
          <w:tcPr>
            <w:tcW w:w="584" w:type="pct"/>
            <w:vAlign w:val="center"/>
          </w:tcPr>
          <w:p w:rsidR="004E3021" w:rsidRPr="00D9365E" w:rsidRDefault="00606E48" w:rsidP="00D9365E">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3</w:t>
            </w:r>
            <w:r w:rsidRPr="00D9365E">
              <w:rPr>
                <w:rFonts w:ascii="Times New Roman" w:hAnsi="Times New Roman" w:cs="Times New Roman"/>
                <w:kern w:val="0"/>
                <w:sz w:val="21"/>
                <w:szCs w:val="21"/>
              </w:rPr>
              <w:t>年</w:t>
            </w:r>
            <w:r w:rsidRPr="00D9365E">
              <w:rPr>
                <w:rFonts w:ascii="Times New Roman" w:hAnsi="Times New Roman" w:cs="Times New Roman"/>
                <w:kern w:val="0"/>
                <w:sz w:val="21"/>
                <w:szCs w:val="21"/>
              </w:rPr>
              <w:t>1</w:t>
            </w:r>
            <w:r w:rsidRPr="00D9365E">
              <w:rPr>
                <w:rFonts w:ascii="Times New Roman" w:hAnsi="Times New Roman" w:cs="Times New Roman"/>
                <w:kern w:val="0"/>
                <w:sz w:val="21"/>
                <w:szCs w:val="21"/>
              </w:rPr>
              <w:t>次</w:t>
            </w:r>
          </w:p>
        </w:tc>
        <w:tc>
          <w:tcPr>
            <w:tcW w:w="1607" w:type="pct"/>
            <w:vMerge/>
            <w:vAlign w:val="center"/>
          </w:tcPr>
          <w:p w:rsidR="004E3021" w:rsidRPr="00D9365E" w:rsidRDefault="004E3021" w:rsidP="00D9365E">
            <w:pPr>
              <w:pStyle w:val="afffffff2"/>
              <w:rPr>
                <w:rFonts w:ascii="Times New Roman" w:hAnsi="Times New Roman" w:cs="Times New Roman"/>
                <w:kern w:val="0"/>
                <w:sz w:val="21"/>
                <w:szCs w:val="21"/>
              </w:rPr>
            </w:pPr>
          </w:p>
        </w:tc>
      </w:tr>
    </w:tbl>
    <w:p w:rsidR="004E3021" w:rsidRDefault="00606E48">
      <w:pPr>
        <w:ind w:firstLine="480"/>
      </w:pPr>
      <w:r>
        <w:rPr>
          <w:rFonts w:ascii="宋体" w:hAnsi="宋体" w:hint="eastAsia"/>
        </w:rPr>
        <w:t>（</w:t>
      </w:r>
      <w:r>
        <w:t>2</w:t>
      </w:r>
      <w:r>
        <w:rPr>
          <w:rFonts w:ascii="宋体" w:hAnsi="宋体" w:hint="eastAsia"/>
        </w:rPr>
        <w:t>）跟踪监测</w:t>
      </w:r>
      <w:r>
        <w:rPr>
          <w:rFonts w:ascii="宋体" w:hAnsi="宋体"/>
        </w:rPr>
        <w:t>制度</w:t>
      </w:r>
    </w:p>
    <w:p w:rsidR="004E3021" w:rsidRDefault="00606E48">
      <w:pPr>
        <w:ind w:firstLine="480"/>
        <w:rPr>
          <w:rFonts w:ascii="宋体" w:hAnsi="宋体"/>
        </w:rPr>
      </w:pPr>
      <w:r>
        <w:rPr>
          <w:rFonts w:ascii="宋体" w:hAnsi="宋体" w:hint="eastAsia"/>
        </w:rPr>
        <w:t>监测数据资料应及时汇总整理，建立长期动态监测档案，并定期向有关部门汇报。对于常规监测数据应该进行公开，如发现异常或者发生事故，应加密监测频次，并分析导致土壤污染的原因及影响来源，及时合理采取应对措施。</w:t>
      </w:r>
    </w:p>
    <w:p w:rsidR="004E3021" w:rsidRDefault="004E3021">
      <w:pPr>
        <w:pStyle w:val="afffffffffffffffff3"/>
        <w:sectPr w:rsidR="004E3021">
          <w:pgSz w:w="11906" w:h="16838"/>
          <w:pgMar w:top="1440" w:right="1440" w:bottom="1440" w:left="1440" w:header="720" w:footer="720" w:gutter="0"/>
          <w:cols w:space="720"/>
          <w:docGrid w:linePitch="326"/>
        </w:sectPr>
      </w:pPr>
      <w:bookmarkStart w:id="731" w:name="_Toc86542530"/>
    </w:p>
    <w:p w:rsidR="004E3021" w:rsidRDefault="00606E48">
      <w:pPr>
        <w:pStyle w:val="afffffffffffffffff3"/>
      </w:pPr>
      <w:bookmarkStart w:id="732" w:name="_Toc221501085"/>
      <w:r>
        <w:rPr>
          <w:rFonts w:hint="eastAsia"/>
        </w:rPr>
        <w:lastRenderedPageBreak/>
        <w:t>6.7</w:t>
      </w:r>
      <w:r>
        <w:t>环境风险防范措施</w:t>
      </w:r>
      <w:bookmarkEnd w:id="731"/>
      <w:bookmarkEnd w:id="732"/>
    </w:p>
    <w:p w:rsidR="004E3021" w:rsidRDefault="00606E48">
      <w:pPr>
        <w:pStyle w:val="afffffffffffffffff4"/>
      </w:pPr>
      <w:bookmarkStart w:id="733" w:name="_Toc100784105"/>
      <w:bookmarkStart w:id="734" w:name="_Toc108662716"/>
      <w:bookmarkStart w:id="735" w:name="_Toc101135938"/>
      <w:bookmarkStart w:id="736" w:name="_Toc221088871"/>
      <w:bookmarkStart w:id="737" w:name="_Toc221501086"/>
      <w:r>
        <w:rPr>
          <w:rFonts w:hint="eastAsia"/>
        </w:rPr>
        <w:t>6.7.</w:t>
      </w:r>
      <w:r>
        <w:t>1</w:t>
      </w:r>
      <w:r>
        <w:t>大气环境风险防范措施</w:t>
      </w:r>
      <w:bookmarkEnd w:id="733"/>
      <w:bookmarkEnd w:id="734"/>
      <w:bookmarkEnd w:id="735"/>
      <w:bookmarkEnd w:id="736"/>
      <w:bookmarkEnd w:id="737"/>
    </w:p>
    <w:p w:rsidR="004E3021" w:rsidRDefault="00606E48">
      <w:pPr>
        <w:ind w:firstLine="482"/>
        <w:rPr>
          <w:b/>
        </w:rPr>
      </w:pPr>
      <w:r>
        <w:rPr>
          <w:rFonts w:hint="eastAsia"/>
          <w:b/>
        </w:rPr>
        <w:t>（</w:t>
      </w:r>
      <w:r>
        <w:rPr>
          <w:rFonts w:hint="eastAsia"/>
          <w:b/>
        </w:rPr>
        <w:t>1</w:t>
      </w:r>
      <w:r>
        <w:rPr>
          <w:rFonts w:hint="eastAsia"/>
          <w:b/>
        </w:rPr>
        <w:t>）生产区</w:t>
      </w:r>
      <w:r>
        <w:rPr>
          <w:b/>
        </w:rPr>
        <w:t>风险防范措施</w:t>
      </w:r>
    </w:p>
    <w:p w:rsidR="004E3021" w:rsidRDefault="00606E48">
      <w:pPr>
        <w:ind w:firstLine="480"/>
      </w:pPr>
      <w:r>
        <w:rPr>
          <w:rFonts w:hint="eastAsia"/>
        </w:rPr>
        <w:t>①</w:t>
      </w:r>
      <w:r>
        <w:t>安徽凯盛</w:t>
      </w:r>
      <w:r>
        <w:rPr>
          <w:rFonts w:hint="eastAsia"/>
        </w:rPr>
        <w:t>应用</w:t>
      </w:r>
      <w:r>
        <w:t>材料</w:t>
      </w:r>
      <w:r>
        <w:rPr>
          <w:rFonts w:hint="eastAsia"/>
        </w:rPr>
        <w:t>有限</w:t>
      </w:r>
      <w:r>
        <w:t>公司需建立生产现场安全管理制度，明确教育培训、设备管理、危化品管理、安全作业等内容。</w:t>
      </w:r>
    </w:p>
    <w:p w:rsidR="004E3021" w:rsidRDefault="00606E48">
      <w:pPr>
        <w:ind w:firstLine="480"/>
      </w:pPr>
      <w:r>
        <w:rPr>
          <w:rFonts w:hint="eastAsia"/>
        </w:rPr>
        <w:t>②</w:t>
      </w:r>
      <w:r>
        <w:t>项目的设备、设施的设计、制造和安装均按国家现行标准、规范和规定的要求进行。生产装置、管道及配件选型、材质选择符合防火、防爆、防腐、适高温等要求。设备、管道投入使用前进行试漏、试压试验，合格后投入使用。对各种设备和仪器要求不得超负荷和带病运行，并要做到正确使用，经常维护，定期检修，不符合安全要求的陈旧设备，有计划地更新和改造。</w:t>
      </w:r>
    </w:p>
    <w:p w:rsidR="004E3021" w:rsidRDefault="00606E48">
      <w:pPr>
        <w:ind w:firstLine="480"/>
      </w:pPr>
      <w:r>
        <w:rPr>
          <w:rFonts w:hint="eastAsia"/>
        </w:rPr>
        <w:t>③</w:t>
      </w:r>
      <w:r>
        <w:t>生产车间配备了</w:t>
      </w:r>
      <w:r>
        <w:t>DCS</w:t>
      </w:r>
      <w:r>
        <w:t>控制系统、视频监控系统和消防报警按钮，反应釜配备了安全阀等。</w:t>
      </w:r>
    </w:p>
    <w:p w:rsidR="004E3021" w:rsidRDefault="00606E48">
      <w:pPr>
        <w:ind w:firstLine="480"/>
      </w:pPr>
      <w:r>
        <w:rPr>
          <w:rFonts w:hint="eastAsia"/>
        </w:rPr>
        <w:t>④</w:t>
      </w:r>
      <w:r>
        <w:t>生产车间均配备了可燃</w:t>
      </w:r>
      <w:r>
        <w:rPr>
          <w:rFonts w:hint="eastAsia"/>
        </w:rPr>
        <w:t>、</w:t>
      </w:r>
      <w:r>
        <w:t>有毒气体报警仪，对</w:t>
      </w:r>
      <w:r>
        <w:rPr>
          <w:rFonts w:hint="eastAsia"/>
        </w:rPr>
        <w:t>甲醇、</w:t>
      </w:r>
      <w:r>
        <w:t>氯化氢</w:t>
      </w:r>
      <w:r>
        <w:rPr>
          <w:rFonts w:hint="eastAsia"/>
        </w:rPr>
        <w:t>和</w:t>
      </w:r>
      <w:r>
        <w:t>氟化氢等可燃、有毒气体等进行检测。</w:t>
      </w:r>
    </w:p>
    <w:p w:rsidR="004E3021" w:rsidRDefault="00606E48">
      <w:pPr>
        <w:ind w:firstLine="480"/>
      </w:pPr>
      <w:r>
        <w:rPr>
          <w:rFonts w:hint="eastAsia"/>
        </w:rPr>
        <w:t>⑤</w:t>
      </w:r>
      <w:r>
        <w:t>生产区防爆场所的电气设备选型及电力照明线路的配置严格按照《爆炸危险环境电力装置设计规范》</w:t>
      </w:r>
      <w:r>
        <w:t>(GB50058)</w:t>
      </w:r>
      <w:r>
        <w:t>的要求执行，防爆区域电气按</w:t>
      </w:r>
      <w:r>
        <w:t>2</w:t>
      </w:r>
      <w:r>
        <w:t>区考虑，防爆区的动力，照明电气设备选用了防爆标志为</w:t>
      </w:r>
      <w:r>
        <w:t>ExdIIBT3</w:t>
      </w:r>
      <w:r>
        <w:t>以上的防爆型电器。</w:t>
      </w:r>
    </w:p>
    <w:p w:rsidR="004E3021" w:rsidRDefault="00606E48">
      <w:pPr>
        <w:ind w:firstLine="480"/>
      </w:pPr>
      <w:r>
        <w:rPr>
          <w:rFonts w:hint="eastAsia"/>
        </w:rPr>
        <w:t>⑥</w:t>
      </w:r>
      <w:r>
        <w:t>生产区所有装置及其管线，均已按要求好防静电接地，生产区入口处设有人体静电导除装置。</w:t>
      </w:r>
    </w:p>
    <w:p w:rsidR="004E3021" w:rsidRDefault="00606E48">
      <w:pPr>
        <w:ind w:firstLine="480"/>
      </w:pPr>
      <w:r>
        <w:rPr>
          <w:rFonts w:hint="eastAsia"/>
        </w:rPr>
        <w:t>⑦</w:t>
      </w:r>
      <w:r>
        <w:t>车间发生事故泄漏时，采用设计的固定水喷淋，由泄漏区域的围堰、排水沟流入事故水池。</w:t>
      </w:r>
    </w:p>
    <w:p w:rsidR="004E3021" w:rsidRDefault="00606E48">
      <w:pPr>
        <w:ind w:firstLine="482"/>
        <w:rPr>
          <w:b/>
        </w:rPr>
      </w:pPr>
      <w:r>
        <w:rPr>
          <w:rFonts w:hint="eastAsia"/>
          <w:b/>
        </w:rPr>
        <w:t>（</w:t>
      </w:r>
      <w:r>
        <w:rPr>
          <w:rFonts w:hint="eastAsia"/>
          <w:b/>
        </w:rPr>
        <w:t>2</w:t>
      </w:r>
      <w:r>
        <w:rPr>
          <w:rFonts w:hint="eastAsia"/>
          <w:b/>
        </w:rPr>
        <w:t>）</w:t>
      </w:r>
      <w:r>
        <w:rPr>
          <w:b/>
        </w:rPr>
        <w:t>危险化学品贮运风险防范措施</w:t>
      </w:r>
    </w:p>
    <w:p w:rsidR="004E3021" w:rsidRDefault="00606E48">
      <w:pPr>
        <w:ind w:firstLine="480"/>
      </w:pPr>
      <w:r>
        <w:t>1</w:t>
      </w:r>
      <w:r>
        <w:rPr>
          <w:rFonts w:hint="eastAsia"/>
        </w:rPr>
        <w:t>）仓库区</w:t>
      </w:r>
    </w:p>
    <w:p w:rsidR="004E3021" w:rsidRDefault="00947F13">
      <w:pPr>
        <w:ind w:firstLine="480"/>
      </w:pPr>
      <w:r>
        <w:rPr>
          <w:rFonts w:hint="eastAsia"/>
        </w:rPr>
        <w:t>本</w:t>
      </w:r>
      <w:r w:rsidR="00606E48">
        <w:t>项目</w:t>
      </w:r>
      <w:r w:rsidR="00606E48">
        <w:rPr>
          <w:rFonts w:hint="eastAsia"/>
        </w:rPr>
        <w:t>新建</w:t>
      </w:r>
      <w:r w:rsidR="00606E48">
        <w:t>原料库</w:t>
      </w:r>
      <w:r w:rsidR="00606E48">
        <w:rPr>
          <w:rFonts w:hint="eastAsia"/>
        </w:rPr>
        <w:t>和成品</w:t>
      </w:r>
      <w:r w:rsidR="00606E48">
        <w:t>库，仓库区需按照以下要求进行设置：</w:t>
      </w:r>
    </w:p>
    <w:p w:rsidR="004E3021" w:rsidRDefault="00606E48">
      <w:pPr>
        <w:ind w:firstLine="480"/>
      </w:pPr>
      <w:r>
        <w:rPr>
          <w:rFonts w:hint="eastAsia"/>
        </w:rPr>
        <w:t>①</w:t>
      </w:r>
      <w:r>
        <w:t>按照相关工艺要求设置原辅材料和成品的贮存量，该贮存量要符合导则附录中规定的相关物质临界量。</w:t>
      </w:r>
    </w:p>
    <w:p w:rsidR="004E3021" w:rsidRDefault="00606E48">
      <w:pPr>
        <w:ind w:firstLine="480"/>
      </w:pPr>
      <w:r>
        <w:rPr>
          <w:rFonts w:hint="eastAsia"/>
        </w:rPr>
        <w:t>②</w:t>
      </w:r>
      <w:r>
        <w:t>各类危险化学品不得与禁忌物料混合存放，不可堆放木材及其他引火物。</w:t>
      </w:r>
    </w:p>
    <w:p w:rsidR="004E3021" w:rsidRDefault="00606E48">
      <w:pPr>
        <w:ind w:firstLine="480"/>
      </w:pPr>
      <w:r>
        <w:rPr>
          <w:rFonts w:hint="eastAsia"/>
        </w:rPr>
        <w:t>③</w:t>
      </w:r>
      <w:r>
        <w:t>设置有毒有害气体在线监测、监控设施，一旦有异常情况可立即做出应急反应。</w:t>
      </w:r>
    </w:p>
    <w:p w:rsidR="004E3021" w:rsidRDefault="00606E48">
      <w:pPr>
        <w:ind w:firstLine="480"/>
      </w:pPr>
      <w:r>
        <w:rPr>
          <w:rFonts w:hint="eastAsia"/>
        </w:rPr>
        <w:lastRenderedPageBreak/>
        <w:t>④原料</w:t>
      </w:r>
      <w:r>
        <w:t>库应设置专职养护员，负责对</w:t>
      </w:r>
      <w:r>
        <w:rPr>
          <w:rFonts w:hint="eastAsia"/>
        </w:rPr>
        <w:t>原料</w:t>
      </w:r>
      <w:r>
        <w:t>危险化学品的技术养护、管理和监测，养护员应进行培训，须考核合格后持证上岗。</w:t>
      </w:r>
    </w:p>
    <w:p w:rsidR="004E3021" w:rsidRDefault="00606E48">
      <w:pPr>
        <w:ind w:firstLine="480"/>
      </w:pPr>
      <w:r>
        <w:rPr>
          <w:rFonts w:hint="eastAsia"/>
        </w:rPr>
        <w:t>⑤原料</w:t>
      </w:r>
      <w:r>
        <w:t>库、区域内严禁吸烟和使用明火。装卸、搬运危险化学品时应按照规定进行，做到轻装轻卸，严禁摔、碰、撞击、倾斜和滚动。</w:t>
      </w:r>
    </w:p>
    <w:p w:rsidR="004E3021" w:rsidRDefault="00606E48">
      <w:pPr>
        <w:ind w:firstLine="480"/>
      </w:pPr>
      <w:r>
        <w:rPr>
          <w:rFonts w:hint="eastAsia"/>
        </w:rPr>
        <w:t>⑥</w:t>
      </w:r>
      <w:r>
        <w:t>装卸易燃液体需穿防静电工作服，禁止穿带钉鞋，大桶不得在水泥地面滚动，不得使用产生火花的机具。</w:t>
      </w:r>
    </w:p>
    <w:p w:rsidR="004E3021" w:rsidRDefault="00606E48">
      <w:pPr>
        <w:ind w:firstLine="482"/>
        <w:rPr>
          <w:b/>
        </w:rPr>
      </w:pPr>
      <w:r>
        <w:rPr>
          <w:b/>
        </w:rPr>
        <w:t>对于易燃、可燃物料，应采取如下措施：</w:t>
      </w:r>
    </w:p>
    <w:p w:rsidR="004E3021" w:rsidRDefault="00606E48">
      <w:pPr>
        <w:ind w:firstLine="480"/>
      </w:pPr>
      <w:r>
        <w:rPr>
          <w:rFonts w:hint="eastAsia"/>
        </w:rPr>
        <w:t>①</w:t>
      </w:r>
      <w:r>
        <w:t>储存于阴凉通风库房内，远离火种、热源、氧化剂及酸类，不可与其他危险化学品混放。</w:t>
      </w:r>
    </w:p>
    <w:p w:rsidR="004E3021" w:rsidRDefault="00606E48">
      <w:pPr>
        <w:ind w:firstLine="480"/>
      </w:pPr>
      <w:r>
        <w:rPr>
          <w:rFonts w:hint="eastAsia"/>
        </w:rPr>
        <w:t>②</w:t>
      </w:r>
      <w:r>
        <w:t>搬运时轻装轻卸，防止拖、拉、摔、撞，保持包装完好。</w:t>
      </w:r>
    </w:p>
    <w:p w:rsidR="004E3021" w:rsidRDefault="00606E48">
      <w:pPr>
        <w:ind w:firstLine="480"/>
      </w:pPr>
      <w:r>
        <w:rPr>
          <w:rFonts w:hint="eastAsia"/>
        </w:rPr>
        <w:t>③</w:t>
      </w:r>
      <w:r>
        <w:t>平时应注意通风散热，防止受潮发霉，并应注意储存期限。储存期较长时</w:t>
      </w:r>
      <w:r>
        <w:rPr>
          <w:rFonts w:ascii="宋体" w:hAnsi="宋体"/>
        </w:rPr>
        <w:t>(</w:t>
      </w:r>
      <w:r>
        <w:t>如一年</w:t>
      </w:r>
      <w:r>
        <w:rPr>
          <w:rFonts w:ascii="宋体" w:hAnsi="宋体"/>
        </w:rPr>
        <w:t>)</w:t>
      </w:r>
      <w:r>
        <w:t>，应拆箱检查有无发热发霉变质现象，如有则应及时处理。</w:t>
      </w:r>
    </w:p>
    <w:p w:rsidR="004E3021" w:rsidRDefault="00606E48">
      <w:pPr>
        <w:ind w:firstLine="480"/>
      </w:pPr>
      <w:r>
        <w:rPr>
          <w:rFonts w:hint="eastAsia"/>
        </w:rPr>
        <w:t>④</w:t>
      </w:r>
      <w:r>
        <w:t>在储存中，对不同品种的事故应区别对待。</w:t>
      </w:r>
    </w:p>
    <w:p w:rsidR="004E3021" w:rsidRDefault="00606E48">
      <w:pPr>
        <w:ind w:firstLine="480"/>
      </w:pPr>
      <w:r>
        <w:rPr>
          <w:rFonts w:hint="eastAsia"/>
        </w:rPr>
        <w:t>⑤</w:t>
      </w:r>
      <w:r>
        <w:t>运输时配装位置应远离电源、火源、热源等部位，通风筒应有防火星的装置。</w:t>
      </w:r>
    </w:p>
    <w:p w:rsidR="004E3021" w:rsidRDefault="00606E48">
      <w:pPr>
        <w:ind w:firstLine="480"/>
        <w:rPr>
          <w:szCs w:val="28"/>
        </w:rPr>
      </w:pPr>
      <w:r>
        <w:t>2</w:t>
      </w:r>
      <w:r>
        <w:rPr>
          <w:rFonts w:hint="eastAsia"/>
        </w:rPr>
        <w:t>）</w:t>
      </w:r>
      <w:r>
        <w:t>运输过程</w:t>
      </w:r>
    </w:p>
    <w:p w:rsidR="004E3021" w:rsidRDefault="00606E48">
      <w:pPr>
        <w:ind w:firstLine="480"/>
        <w:rPr>
          <w:color w:val="000000"/>
        </w:rPr>
      </w:pPr>
      <w:r>
        <w:rPr>
          <w:rFonts w:ascii="宋体" w:hAnsi="宋体" w:cs="宋体" w:hint="eastAsia"/>
          <w:color w:val="000000"/>
          <w:lang w:eastAsia="ja-JP"/>
        </w:rPr>
        <w:t>①</w:t>
      </w:r>
      <w:r>
        <w:rPr>
          <w:color w:val="000000"/>
        </w:rPr>
        <w:t>当原料采用槽罐车进行运输时，因温度、压力的变化，罐体强度下降，阀门变形断裂，静电，运输人员操作不当等原因，均易造成气体扩散、液体滴漏、固体散落，出现不同程度的渗漏，甚至可能引起火灾、爆炸或污染环境等事故。加强对车辆以及罐体质量的检查监管，使其规范化，以保证运输安全。押运人在整个运输过程中定期对车辆和罐体质量进行实时检查，以便及时发现问题。</w:t>
      </w:r>
    </w:p>
    <w:p w:rsidR="004E3021" w:rsidRDefault="00606E48">
      <w:pPr>
        <w:ind w:firstLine="480"/>
        <w:rPr>
          <w:color w:val="000000"/>
        </w:rPr>
      </w:pPr>
      <w:r>
        <w:rPr>
          <w:rFonts w:hint="eastAsia"/>
          <w:color w:val="000000"/>
        </w:rPr>
        <w:t>②</w:t>
      </w:r>
      <w:r>
        <w:rPr>
          <w:color w:val="000000"/>
        </w:rPr>
        <w:t>当原料采用桶装的方式进行运输时，因包装桶破损、桶盖垫圈失落或者未拧紧、包装桶碰撞发生翻倒等原因，会造成原料的泄漏，甚至引起火灾、爆炸或污染环境等事故。加强对车辆以及包装桶质量的检查监管，使其规范化，以保证运输安全。押运人在整个运输过程中定期对车辆和桶体质量进行实时检查，以便及时发现问题。</w:t>
      </w:r>
    </w:p>
    <w:p w:rsidR="004E3021" w:rsidRDefault="00606E48">
      <w:pPr>
        <w:ind w:firstLine="480"/>
        <w:rPr>
          <w:color w:val="000000"/>
        </w:rPr>
      </w:pPr>
      <w:r>
        <w:rPr>
          <w:rFonts w:ascii="宋体" w:hAnsi="宋体" w:cs="宋体" w:hint="eastAsia"/>
          <w:color w:val="000000"/>
          <w:lang w:eastAsia="ja-JP"/>
        </w:rPr>
        <w:t>③</w:t>
      </w:r>
      <w:r>
        <w:rPr>
          <w:color w:val="000000"/>
        </w:rPr>
        <w:t>在运输途中，由于各种意外原因，产生汽车翻车、物料泄漏等，危险货物有可能散落、抛出至大气、水体或陆域，造成重大环境灾害，对于这类风险事故，要求采取应急措施，包括工程应急措施和社会救援应急预案。</w:t>
      </w:r>
    </w:p>
    <w:p w:rsidR="004E3021" w:rsidRDefault="00606E48">
      <w:pPr>
        <w:ind w:firstLine="480"/>
        <w:rPr>
          <w:color w:val="000000"/>
        </w:rPr>
      </w:pPr>
      <w:r>
        <w:rPr>
          <w:rFonts w:ascii="宋体" w:hAnsi="宋体" w:cs="宋体" w:hint="eastAsia"/>
          <w:color w:val="000000"/>
          <w:lang w:eastAsia="ja-JP"/>
        </w:rPr>
        <w:t>④</w:t>
      </w:r>
      <w:r>
        <w:rPr>
          <w:color w:val="000000"/>
        </w:rPr>
        <w:t>运输过程严格执行《危险货物运输包装通用技术条件》（</w:t>
      </w:r>
      <w:r>
        <w:rPr>
          <w:color w:val="000000"/>
        </w:rPr>
        <w:t>GB12463-2009</w:t>
      </w:r>
      <w:r>
        <w:rPr>
          <w:color w:val="000000"/>
        </w:rPr>
        <w:t>）和各种运输方式的《危险货物运输规则》，并配备相应地应急物资和设备；装卸过程要求防震、防撞、防倾斜；断火源、禁火种；通风和降温。</w:t>
      </w:r>
    </w:p>
    <w:p w:rsidR="004E3021" w:rsidRDefault="00606E48">
      <w:pPr>
        <w:ind w:firstLine="480"/>
        <w:rPr>
          <w:color w:val="000000"/>
        </w:rPr>
      </w:pPr>
      <w:r>
        <w:rPr>
          <w:rFonts w:ascii="宋体" w:hAnsi="宋体" w:cs="宋体" w:hint="eastAsia"/>
          <w:color w:val="000000"/>
          <w:lang w:eastAsia="ja-JP"/>
        </w:rPr>
        <w:lastRenderedPageBreak/>
        <w:t>⑤</w:t>
      </w:r>
      <w:r>
        <w:rPr>
          <w:color w:val="000000"/>
        </w:rPr>
        <w:t>危化品运输时需避开交警部门规定的禁行路线，按照交警部门规定的时间和线路行驶，同时车速需遵循交通法所规定的路况限速要求，避免发生交通事故。</w:t>
      </w:r>
    </w:p>
    <w:p w:rsidR="004E3021" w:rsidRDefault="00606E48">
      <w:pPr>
        <w:ind w:firstLine="482"/>
        <w:rPr>
          <w:b/>
        </w:rPr>
      </w:pPr>
      <w:r>
        <w:rPr>
          <w:rFonts w:hint="eastAsia"/>
          <w:b/>
        </w:rPr>
        <w:t>（</w:t>
      </w:r>
      <w:r>
        <w:rPr>
          <w:b/>
        </w:rPr>
        <w:t>3</w:t>
      </w:r>
      <w:r>
        <w:rPr>
          <w:rFonts w:hint="eastAsia"/>
          <w:b/>
        </w:rPr>
        <w:t>）废气</w:t>
      </w:r>
      <w:r>
        <w:rPr>
          <w:b/>
        </w:rPr>
        <w:t>处理设施风险防范措施</w:t>
      </w:r>
    </w:p>
    <w:p w:rsidR="004E3021" w:rsidRDefault="00606E48">
      <w:pPr>
        <w:ind w:firstLine="480"/>
        <w:rPr>
          <w:color w:val="000000"/>
        </w:rPr>
      </w:pPr>
      <w:r>
        <w:rPr>
          <w:rFonts w:ascii="宋体" w:hAnsi="宋体" w:cs="宋体" w:hint="eastAsia"/>
          <w:color w:val="000000"/>
          <w:lang w:eastAsia="ja-JP"/>
        </w:rPr>
        <w:t>①</w:t>
      </w:r>
      <w:r>
        <w:rPr>
          <w:color w:val="000000"/>
        </w:rPr>
        <w:t>对废气处理系统进行定期的监测和检修，如发生腐蚀、设备运行不稳定的情况，需对设备进行更换和修理，确保废气处理装置的正常运行。</w:t>
      </w:r>
    </w:p>
    <w:p w:rsidR="004E3021" w:rsidRDefault="00606E48">
      <w:pPr>
        <w:ind w:firstLine="480"/>
        <w:rPr>
          <w:color w:val="000000"/>
        </w:rPr>
      </w:pPr>
      <w:r>
        <w:rPr>
          <w:rFonts w:ascii="宋体" w:hAnsi="宋体" w:cs="宋体" w:hint="eastAsia"/>
          <w:color w:val="000000"/>
          <w:lang w:eastAsia="ja-JP"/>
        </w:rPr>
        <w:t>②</w:t>
      </w:r>
      <w:r>
        <w:rPr>
          <w:color w:val="000000"/>
        </w:rPr>
        <w:t>如采用了活性炭吸附装置对废气进行处理，则应定期对活性炭进行更换，并设置备用的活性炭吸附装置，以便于废气的有效处理。</w:t>
      </w:r>
    </w:p>
    <w:p w:rsidR="004E3021" w:rsidRDefault="00606E48">
      <w:pPr>
        <w:ind w:firstLine="480"/>
        <w:rPr>
          <w:color w:val="000000"/>
        </w:rPr>
      </w:pPr>
      <w:r>
        <w:rPr>
          <w:rFonts w:ascii="宋体" w:hAnsi="宋体" w:cs="宋体" w:hint="eastAsia"/>
          <w:color w:val="000000"/>
          <w:lang w:eastAsia="ja-JP"/>
        </w:rPr>
        <w:t>③</w:t>
      </w:r>
      <w:r>
        <w:rPr>
          <w:color w:val="000000"/>
        </w:rPr>
        <w:t>对处理可燃性气体的装置和排气筒应设置监控装置和报警系统，并设置阻燃器，防止可燃性气体处理和排放处理系统发生燃爆事故。</w:t>
      </w:r>
    </w:p>
    <w:p w:rsidR="004E3021" w:rsidRDefault="00606E48">
      <w:pPr>
        <w:ind w:firstLine="482"/>
        <w:rPr>
          <w:b/>
        </w:rPr>
      </w:pPr>
      <w:r>
        <w:rPr>
          <w:rFonts w:hint="eastAsia"/>
          <w:b/>
        </w:rPr>
        <w:t>（</w:t>
      </w:r>
      <w:r>
        <w:rPr>
          <w:rFonts w:hint="eastAsia"/>
          <w:b/>
        </w:rPr>
        <w:t>4</w:t>
      </w:r>
      <w:r>
        <w:rPr>
          <w:rFonts w:hint="eastAsia"/>
          <w:b/>
        </w:rPr>
        <w:t>）</w:t>
      </w:r>
      <w:r>
        <w:rPr>
          <w:b/>
        </w:rPr>
        <w:t>总图布置防范</w:t>
      </w:r>
    </w:p>
    <w:p w:rsidR="004E3021" w:rsidRDefault="00606E48">
      <w:pPr>
        <w:ind w:firstLine="480"/>
      </w:pPr>
      <w:r>
        <w:rPr>
          <w:rFonts w:hint="eastAsia"/>
        </w:rPr>
        <w:t>①</w:t>
      </w:r>
      <w:r>
        <w:t>安徽凯盛</w:t>
      </w:r>
      <w:r>
        <w:rPr>
          <w:rFonts w:hint="eastAsia"/>
        </w:rPr>
        <w:t>应用</w:t>
      </w:r>
      <w:r>
        <w:t>材料</w:t>
      </w:r>
      <w:r>
        <w:rPr>
          <w:rFonts w:hint="eastAsia"/>
        </w:rPr>
        <w:t>有限</w:t>
      </w:r>
      <w:r>
        <w:t>公司</w:t>
      </w:r>
      <w:r>
        <w:rPr>
          <w:rFonts w:hint="eastAsia"/>
        </w:rPr>
        <w:t>位于蚌埠精细化工高新技术产业基地，根据大气防护距离及风险防护距离综合判定，本项目环境防护距离为</w:t>
      </w:r>
      <w:r>
        <w:t>5</w:t>
      </w:r>
      <w:r>
        <w:rPr>
          <w:rFonts w:hint="eastAsia"/>
        </w:rPr>
        <w:t>00m</w:t>
      </w:r>
      <w:r>
        <w:rPr>
          <w:rFonts w:hint="eastAsia"/>
        </w:rPr>
        <w:t>范围。目前在此范围内没有居民点以及学校、医院等敏感目标，今后该防护距离范围内也不得新建居民、学校、医院等环境敏感目标。生产区和仓库等距离厂界及厂界外的交通干道均有一定的距离，围墙外与园区大道间为绿化带，均可以起到一定的安全防护和防火作用。</w:t>
      </w:r>
    </w:p>
    <w:p w:rsidR="004E3021" w:rsidRDefault="00606E48">
      <w:pPr>
        <w:ind w:firstLine="480"/>
      </w:pPr>
      <w:r>
        <w:rPr>
          <w:rFonts w:hint="eastAsia"/>
        </w:rPr>
        <w:t>②</w:t>
      </w:r>
      <w:r>
        <w:t>安徽凯盛</w:t>
      </w:r>
      <w:r>
        <w:rPr>
          <w:rFonts w:hint="eastAsia"/>
        </w:rPr>
        <w:t>应用</w:t>
      </w:r>
      <w:r>
        <w:t>材料</w:t>
      </w:r>
      <w:r>
        <w:rPr>
          <w:rFonts w:hint="eastAsia"/>
        </w:rPr>
        <w:t>有限</w:t>
      </w:r>
      <w:r>
        <w:t>公司</w:t>
      </w:r>
      <w:r>
        <w:rPr>
          <w:rFonts w:hint="eastAsia"/>
        </w:rPr>
        <w:t>平面布置设计按《建筑设计防火规范》（</w:t>
      </w:r>
      <w:r>
        <w:rPr>
          <w:rFonts w:hint="eastAsia"/>
        </w:rPr>
        <w:t>GB50016-2006</w:t>
      </w:r>
      <w:r>
        <w:rPr>
          <w:rFonts w:hint="eastAsia"/>
        </w:rPr>
        <w:t>）执行，厂内建筑设施之间间距以及与周边企业的安全间距都能达到《建筑设计防火规范》（</w:t>
      </w:r>
      <w:r>
        <w:rPr>
          <w:rFonts w:hint="eastAsia"/>
        </w:rPr>
        <w:t>GB50016-2006</w:t>
      </w:r>
      <w:r>
        <w:rPr>
          <w:rFonts w:hint="eastAsia"/>
        </w:rPr>
        <w:t>）规定，符合安全要求。</w:t>
      </w:r>
    </w:p>
    <w:p w:rsidR="004E3021" w:rsidRDefault="00606E48">
      <w:pPr>
        <w:ind w:firstLine="480"/>
      </w:pPr>
      <w:r>
        <w:rPr>
          <w:rFonts w:hint="eastAsia"/>
        </w:rPr>
        <w:t>③</w:t>
      </w:r>
      <w:r>
        <w:t>安徽凯盛</w:t>
      </w:r>
      <w:r>
        <w:rPr>
          <w:rFonts w:hint="eastAsia"/>
        </w:rPr>
        <w:t>应用</w:t>
      </w:r>
      <w:r>
        <w:t>材料</w:t>
      </w:r>
      <w:r>
        <w:rPr>
          <w:rFonts w:hint="eastAsia"/>
        </w:rPr>
        <w:t>有限</w:t>
      </w:r>
      <w:r>
        <w:t>公司</w:t>
      </w:r>
      <w:r>
        <w:rPr>
          <w:rFonts w:hint="eastAsia"/>
        </w:rPr>
        <w:t>厂房与周边建筑物、道路等符合按功能合理分区要求。建构筑物的安全防火间距、耐火等级、防火分区面积、泄压、通风、安全疏散等达到国家规范、标准的要求。</w:t>
      </w:r>
    </w:p>
    <w:p w:rsidR="004E3021" w:rsidRDefault="00606E48">
      <w:pPr>
        <w:ind w:firstLine="480"/>
      </w:pPr>
      <w:r>
        <w:rPr>
          <w:rFonts w:hint="eastAsia"/>
        </w:rPr>
        <w:t>④</w:t>
      </w:r>
      <w:r>
        <w:t>安徽凯盛</w:t>
      </w:r>
      <w:r>
        <w:rPr>
          <w:rFonts w:hint="eastAsia"/>
        </w:rPr>
        <w:t>应用</w:t>
      </w:r>
      <w:r>
        <w:t>材料</w:t>
      </w:r>
      <w:r>
        <w:rPr>
          <w:rFonts w:hint="eastAsia"/>
        </w:rPr>
        <w:t>有限</w:t>
      </w:r>
      <w:r>
        <w:t>公司</w:t>
      </w:r>
      <w:r>
        <w:rPr>
          <w:rFonts w:hint="eastAsia"/>
        </w:rPr>
        <w:t>厂区总平面布置需符合防范事故的要求，并设必要的应急救援设施及救援通道。</w:t>
      </w:r>
    </w:p>
    <w:p w:rsidR="004E3021" w:rsidRDefault="00606E48">
      <w:pPr>
        <w:pStyle w:val="afffffffffffffffff4"/>
      </w:pPr>
      <w:bookmarkStart w:id="738" w:name="_Toc108662717"/>
      <w:bookmarkStart w:id="739" w:name="_Toc100784106"/>
      <w:bookmarkStart w:id="740" w:name="_Toc101135939"/>
      <w:bookmarkStart w:id="741" w:name="_Toc221088872"/>
      <w:bookmarkStart w:id="742" w:name="_Toc221501087"/>
      <w:r>
        <w:rPr>
          <w:rFonts w:hint="eastAsia"/>
        </w:rPr>
        <w:t>6.7.</w:t>
      </w:r>
      <w:r>
        <w:t>2</w:t>
      </w:r>
      <w:r>
        <w:t>废水环境风险防范措施</w:t>
      </w:r>
      <w:bookmarkEnd w:id="738"/>
      <w:bookmarkEnd w:id="739"/>
      <w:bookmarkEnd w:id="740"/>
      <w:bookmarkEnd w:id="741"/>
      <w:bookmarkEnd w:id="742"/>
    </w:p>
    <w:p w:rsidR="004E3021" w:rsidRDefault="00606E48">
      <w:pPr>
        <w:ind w:firstLine="480"/>
      </w:pPr>
      <w:r>
        <w:rPr>
          <w:rFonts w:hint="eastAsia"/>
        </w:rPr>
        <w:t>（</w:t>
      </w:r>
      <w:r>
        <w:rPr>
          <w:rFonts w:hint="eastAsia"/>
        </w:rPr>
        <w:t>1</w:t>
      </w:r>
      <w:r>
        <w:rPr>
          <w:rFonts w:hint="eastAsia"/>
        </w:rPr>
        <w:t>）事故池</w:t>
      </w:r>
      <w:r>
        <w:t>设施</w:t>
      </w:r>
    </w:p>
    <w:p w:rsidR="004E3021" w:rsidRDefault="00606E48">
      <w:pPr>
        <w:ind w:firstLine="480"/>
      </w:pPr>
      <w:r>
        <w:rPr>
          <w:rFonts w:hint="eastAsia"/>
        </w:rPr>
        <w:t>根据《事故状态下水体污染的预防与控制技术要求》（</w:t>
      </w:r>
      <w:r>
        <w:rPr>
          <w:rFonts w:hint="eastAsia"/>
        </w:rPr>
        <w:t>Q/SY1190-20</w:t>
      </w:r>
      <w:r>
        <w:t>19</w:t>
      </w:r>
      <w:r>
        <w:rPr>
          <w:rFonts w:hint="eastAsia"/>
        </w:rPr>
        <w:t>）中的相关规定设置。事故池主要用于区内发生事故或火灾时，控制、收集和存放污染事故水（包括污染雨水）及污染消防水。污染事故水及污染消防水通过雨水的管道收集。事故应急水池容量按下式计算：</w:t>
      </w:r>
    </w:p>
    <w:p w:rsidR="004E3021" w:rsidRDefault="00606E48">
      <w:pPr>
        <w:ind w:firstLine="480"/>
        <w:jc w:val="center"/>
        <w:rPr>
          <w:bCs/>
          <w:color w:val="000000"/>
        </w:rPr>
      </w:pPr>
      <w:r>
        <w:rPr>
          <w:bCs/>
          <w:color w:val="000000"/>
        </w:rPr>
        <w:lastRenderedPageBreak/>
        <w:t>V</w:t>
      </w:r>
      <w:r>
        <w:rPr>
          <w:bCs/>
          <w:color w:val="000000"/>
          <w:vertAlign w:val="subscript"/>
        </w:rPr>
        <w:t>总</w:t>
      </w:r>
      <w:r>
        <w:rPr>
          <w:bCs/>
          <w:color w:val="000000"/>
        </w:rPr>
        <w:t>＝（</w:t>
      </w:r>
      <w:r>
        <w:rPr>
          <w:bCs/>
          <w:color w:val="000000"/>
        </w:rPr>
        <w:t>V</w:t>
      </w:r>
      <w:r>
        <w:rPr>
          <w:bCs/>
          <w:color w:val="000000"/>
          <w:vertAlign w:val="subscript"/>
        </w:rPr>
        <w:t>1</w:t>
      </w:r>
      <w:r>
        <w:rPr>
          <w:bCs/>
          <w:color w:val="000000"/>
        </w:rPr>
        <w:t>＋</w:t>
      </w:r>
      <w:r>
        <w:rPr>
          <w:bCs/>
          <w:color w:val="000000"/>
        </w:rPr>
        <w:t>V</w:t>
      </w:r>
      <w:r>
        <w:rPr>
          <w:bCs/>
          <w:color w:val="000000"/>
          <w:vertAlign w:val="subscript"/>
        </w:rPr>
        <w:t>2</w:t>
      </w:r>
      <w:r>
        <w:rPr>
          <w:bCs/>
          <w:color w:val="000000"/>
        </w:rPr>
        <w:t>－</w:t>
      </w:r>
      <w:r>
        <w:rPr>
          <w:bCs/>
          <w:color w:val="000000"/>
        </w:rPr>
        <w:t>V</w:t>
      </w:r>
      <w:r>
        <w:rPr>
          <w:bCs/>
          <w:color w:val="000000"/>
          <w:vertAlign w:val="subscript"/>
        </w:rPr>
        <w:t>3</w:t>
      </w:r>
      <w:r>
        <w:rPr>
          <w:bCs/>
          <w:color w:val="000000"/>
        </w:rPr>
        <w:t>）</w:t>
      </w:r>
      <w:r>
        <w:rPr>
          <w:bCs/>
          <w:color w:val="000000"/>
          <w:vertAlign w:val="subscript"/>
        </w:rPr>
        <w:t>max</w:t>
      </w:r>
      <w:r>
        <w:rPr>
          <w:bCs/>
          <w:color w:val="000000"/>
        </w:rPr>
        <w:t>＋</w:t>
      </w:r>
      <w:r>
        <w:rPr>
          <w:bCs/>
          <w:color w:val="000000"/>
        </w:rPr>
        <w:t>V</w:t>
      </w:r>
      <w:r>
        <w:rPr>
          <w:bCs/>
          <w:color w:val="000000"/>
          <w:vertAlign w:val="subscript"/>
        </w:rPr>
        <w:t>4</w:t>
      </w:r>
      <w:r>
        <w:rPr>
          <w:bCs/>
          <w:color w:val="000000"/>
        </w:rPr>
        <w:t>+V</w:t>
      </w:r>
      <w:r>
        <w:rPr>
          <w:bCs/>
          <w:color w:val="000000"/>
          <w:vertAlign w:val="subscript"/>
        </w:rPr>
        <w:t>5</w:t>
      </w:r>
    </w:p>
    <w:p w:rsidR="004E3021" w:rsidRDefault="00606E48">
      <w:pPr>
        <w:ind w:firstLine="472"/>
        <w:rPr>
          <w:bCs/>
          <w:color w:val="000000"/>
        </w:rPr>
      </w:pPr>
      <w:r>
        <w:rPr>
          <w:spacing w:val="-2"/>
          <w:kern w:val="0"/>
          <w:szCs w:val="20"/>
        </w:rPr>
        <w:t>式中：</w:t>
      </w:r>
      <w:r>
        <w:rPr>
          <w:bCs/>
          <w:color w:val="000000"/>
        </w:rPr>
        <w:t>（</w:t>
      </w:r>
      <w:r>
        <w:rPr>
          <w:bCs/>
          <w:color w:val="000000"/>
        </w:rPr>
        <w:t>V</w:t>
      </w:r>
      <w:r>
        <w:rPr>
          <w:bCs/>
          <w:color w:val="000000"/>
          <w:vertAlign w:val="subscript"/>
        </w:rPr>
        <w:t>1</w:t>
      </w:r>
      <w:r>
        <w:rPr>
          <w:bCs/>
          <w:color w:val="000000"/>
        </w:rPr>
        <w:t>＋</w:t>
      </w:r>
      <w:r>
        <w:rPr>
          <w:bCs/>
          <w:color w:val="000000"/>
        </w:rPr>
        <w:t>V</w:t>
      </w:r>
      <w:r>
        <w:rPr>
          <w:bCs/>
          <w:color w:val="000000"/>
          <w:vertAlign w:val="subscript"/>
        </w:rPr>
        <w:t>2</w:t>
      </w:r>
      <w:r>
        <w:rPr>
          <w:bCs/>
          <w:color w:val="000000"/>
        </w:rPr>
        <w:t>-V</w:t>
      </w:r>
      <w:r>
        <w:rPr>
          <w:bCs/>
          <w:color w:val="000000"/>
          <w:vertAlign w:val="subscript"/>
        </w:rPr>
        <w:t>3</w:t>
      </w:r>
      <w:r>
        <w:rPr>
          <w:bCs/>
          <w:color w:val="000000"/>
        </w:rPr>
        <w:t>）</w:t>
      </w:r>
      <w:r>
        <w:rPr>
          <w:bCs/>
          <w:color w:val="000000"/>
          <w:vertAlign w:val="subscript"/>
        </w:rPr>
        <w:t>max</w:t>
      </w:r>
      <w:r>
        <w:rPr>
          <w:bCs/>
          <w:color w:val="000000"/>
        </w:rPr>
        <w:t>是指对收集系统范围内不同罐组或装置分别计算</w:t>
      </w:r>
      <w:r>
        <w:rPr>
          <w:bCs/>
          <w:color w:val="000000"/>
        </w:rPr>
        <w:t>V</w:t>
      </w:r>
      <w:r>
        <w:rPr>
          <w:bCs/>
          <w:color w:val="000000"/>
          <w:vertAlign w:val="subscript"/>
        </w:rPr>
        <w:t>1</w:t>
      </w:r>
      <w:r>
        <w:rPr>
          <w:bCs/>
          <w:color w:val="000000"/>
        </w:rPr>
        <w:t>＋</w:t>
      </w:r>
      <w:r>
        <w:rPr>
          <w:bCs/>
          <w:color w:val="000000"/>
        </w:rPr>
        <w:t>V</w:t>
      </w:r>
      <w:r>
        <w:rPr>
          <w:bCs/>
          <w:color w:val="000000"/>
          <w:vertAlign w:val="subscript"/>
        </w:rPr>
        <w:t>2</w:t>
      </w:r>
      <w:r>
        <w:rPr>
          <w:bCs/>
          <w:color w:val="000000"/>
        </w:rPr>
        <w:t>－</w:t>
      </w:r>
      <w:r>
        <w:rPr>
          <w:bCs/>
          <w:color w:val="000000"/>
        </w:rPr>
        <w:t>V</w:t>
      </w:r>
      <w:r>
        <w:rPr>
          <w:bCs/>
          <w:color w:val="000000"/>
          <w:vertAlign w:val="subscript"/>
        </w:rPr>
        <w:t>3</w:t>
      </w:r>
      <w:r>
        <w:rPr>
          <w:bCs/>
          <w:color w:val="000000"/>
        </w:rPr>
        <w:t>，取其中最大值。</w:t>
      </w:r>
    </w:p>
    <w:p w:rsidR="004E3021" w:rsidRDefault="00606E48">
      <w:pPr>
        <w:ind w:firstLine="480"/>
        <w:rPr>
          <w:bCs/>
          <w:color w:val="000000"/>
        </w:rPr>
      </w:pPr>
      <w:r>
        <w:rPr>
          <w:bCs/>
          <w:color w:val="000000"/>
        </w:rPr>
        <w:t>V</w:t>
      </w:r>
      <w:r>
        <w:rPr>
          <w:bCs/>
          <w:color w:val="000000"/>
          <w:vertAlign w:val="subscript"/>
        </w:rPr>
        <w:t>1</w:t>
      </w:r>
      <w:r>
        <w:rPr>
          <w:bCs/>
          <w:color w:val="000000"/>
        </w:rPr>
        <w:t>—</w:t>
      </w:r>
      <w:r>
        <w:rPr>
          <w:bCs/>
          <w:color w:val="000000"/>
        </w:rPr>
        <w:t>收集系统范围内发生事故的一个罐组或一套装置的物料量；</w:t>
      </w:r>
    </w:p>
    <w:p w:rsidR="004E3021" w:rsidRDefault="00606E48">
      <w:pPr>
        <w:ind w:firstLine="480"/>
        <w:rPr>
          <w:bCs/>
          <w:color w:val="000000"/>
        </w:rPr>
      </w:pPr>
      <w:r>
        <w:rPr>
          <w:bCs/>
          <w:color w:val="000000"/>
        </w:rPr>
        <w:t>V</w:t>
      </w:r>
      <w:r>
        <w:rPr>
          <w:bCs/>
          <w:color w:val="000000"/>
          <w:vertAlign w:val="subscript"/>
        </w:rPr>
        <w:t>2</w:t>
      </w:r>
      <w:r>
        <w:rPr>
          <w:bCs/>
          <w:color w:val="000000"/>
        </w:rPr>
        <w:t>—</w:t>
      </w:r>
      <w:r>
        <w:rPr>
          <w:bCs/>
          <w:color w:val="000000"/>
        </w:rPr>
        <w:t>发生事故的储罐或装置的消防水量，</w:t>
      </w:r>
      <w:r>
        <w:rPr>
          <w:bCs/>
          <w:color w:val="000000"/>
        </w:rPr>
        <w:t>m</w:t>
      </w:r>
      <w:r>
        <w:rPr>
          <w:bCs/>
          <w:color w:val="000000"/>
          <w:vertAlign w:val="superscript"/>
        </w:rPr>
        <w:t>3</w:t>
      </w:r>
      <w:r>
        <w:rPr>
          <w:bCs/>
          <w:color w:val="000000"/>
        </w:rPr>
        <w:t>。</w:t>
      </w:r>
    </w:p>
    <w:p w:rsidR="004E3021" w:rsidRDefault="00606E48">
      <w:pPr>
        <w:ind w:firstLine="480"/>
        <w:jc w:val="center"/>
        <w:rPr>
          <w:bCs/>
          <w:color w:val="000000"/>
        </w:rPr>
      </w:pPr>
      <w:r>
        <w:rPr>
          <w:bCs/>
          <w:color w:val="000000"/>
        </w:rPr>
        <w:t>V</w:t>
      </w:r>
      <w:r>
        <w:rPr>
          <w:bCs/>
          <w:color w:val="000000"/>
          <w:vertAlign w:val="subscript"/>
        </w:rPr>
        <w:t>2</w:t>
      </w:r>
      <w:r>
        <w:rPr>
          <w:bCs/>
          <w:color w:val="000000"/>
        </w:rPr>
        <w:t>=∑Q</w:t>
      </w:r>
      <w:r>
        <w:rPr>
          <w:bCs/>
          <w:color w:val="000000"/>
          <w:vertAlign w:val="subscript"/>
        </w:rPr>
        <w:t>消</w:t>
      </w:r>
      <w:r>
        <w:rPr>
          <w:bCs/>
          <w:color w:val="000000"/>
        </w:rPr>
        <w:t>t</w:t>
      </w:r>
      <w:r>
        <w:rPr>
          <w:bCs/>
          <w:color w:val="000000"/>
          <w:vertAlign w:val="subscript"/>
        </w:rPr>
        <w:t>消</w:t>
      </w:r>
    </w:p>
    <w:p w:rsidR="004E3021" w:rsidRDefault="00606E48">
      <w:pPr>
        <w:ind w:firstLine="480"/>
        <w:rPr>
          <w:bCs/>
          <w:color w:val="000000"/>
        </w:rPr>
      </w:pPr>
      <w:r>
        <w:rPr>
          <w:bCs/>
          <w:color w:val="000000"/>
        </w:rPr>
        <w:t>Q</w:t>
      </w:r>
      <w:r>
        <w:rPr>
          <w:bCs/>
          <w:color w:val="000000"/>
          <w:vertAlign w:val="subscript"/>
        </w:rPr>
        <w:t>消</w:t>
      </w:r>
      <w:r>
        <w:rPr>
          <w:bCs/>
          <w:color w:val="000000"/>
        </w:rPr>
        <w:t>—</w:t>
      </w:r>
      <w:r>
        <w:rPr>
          <w:bCs/>
          <w:color w:val="000000"/>
        </w:rPr>
        <w:t>发生事故的储罐或装置的同时使用的消防设施给水流量，</w:t>
      </w:r>
      <w:r>
        <w:rPr>
          <w:bCs/>
          <w:color w:val="000000"/>
        </w:rPr>
        <w:t>m</w:t>
      </w:r>
      <w:r>
        <w:rPr>
          <w:bCs/>
          <w:color w:val="000000"/>
          <w:vertAlign w:val="superscript"/>
        </w:rPr>
        <w:t>3</w:t>
      </w:r>
      <w:r>
        <w:rPr>
          <w:bCs/>
          <w:color w:val="000000"/>
        </w:rPr>
        <w:t>/h</w:t>
      </w:r>
      <w:r>
        <w:rPr>
          <w:bCs/>
          <w:color w:val="000000"/>
        </w:rPr>
        <w:t>；</w:t>
      </w:r>
    </w:p>
    <w:p w:rsidR="004E3021" w:rsidRDefault="00606E48">
      <w:pPr>
        <w:ind w:firstLine="480"/>
        <w:rPr>
          <w:spacing w:val="-2"/>
          <w:kern w:val="0"/>
          <w:szCs w:val="20"/>
        </w:rPr>
      </w:pPr>
      <w:r>
        <w:rPr>
          <w:bCs/>
          <w:color w:val="000000"/>
        </w:rPr>
        <w:t>t</w:t>
      </w:r>
      <w:r>
        <w:rPr>
          <w:bCs/>
          <w:color w:val="000000"/>
          <w:vertAlign w:val="subscript"/>
        </w:rPr>
        <w:t>消</w:t>
      </w:r>
      <w:r>
        <w:rPr>
          <w:bCs/>
          <w:color w:val="000000"/>
        </w:rPr>
        <w:t>—</w:t>
      </w:r>
      <w:r>
        <w:rPr>
          <w:bCs/>
          <w:color w:val="000000"/>
        </w:rPr>
        <w:t>消防设施对应的设计消防历时，</w:t>
      </w:r>
      <w:r>
        <w:rPr>
          <w:bCs/>
          <w:color w:val="000000"/>
        </w:rPr>
        <w:t>h</w:t>
      </w:r>
      <w:r>
        <w:rPr>
          <w:spacing w:val="-2"/>
          <w:kern w:val="0"/>
          <w:szCs w:val="20"/>
        </w:rPr>
        <w:t>。</w:t>
      </w:r>
    </w:p>
    <w:p w:rsidR="004E3021" w:rsidRDefault="00606E48">
      <w:pPr>
        <w:ind w:firstLine="480"/>
        <w:rPr>
          <w:bCs/>
          <w:color w:val="000000"/>
        </w:rPr>
      </w:pPr>
      <w:r>
        <w:rPr>
          <w:bCs/>
          <w:color w:val="000000"/>
        </w:rPr>
        <w:t>V</w:t>
      </w:r>
      <w:r>
        <w:rPr>
          <w:bCs/>
          <w:color w:val="000000"/>
          <w:vertAlign w:val="subscript"/>
        </w:rPr>
        <w:t>3</w:t>
      </w:r>
      <w:r>
        <w:rPr>
          <w:bCs/>
          <w:color w:val="000000"/>
        </w:rPr>
        <w:t>—</w:t>
      </w:r>
      <w:r>
        <w:rPr>
          <w:bCs/>
          <w:color w:val="000000"/>
        </w:rPr>
        <w:t>发生事故时可以转输到其他储存或处理设施的物料量，</w:t>
      </w:r>
      <w:r>
        <w:rPr>
          <w:bCs/>
          <w:color w:val="000000"/>
        </w:rPr>
        <w:t>m</w:t>
      </w:r>
      <w:r>
        <w:rPr>
          <w:bCs/>
          <w:color w:val="000000"/>
          <w:vertAlign w:val="superscript"/>
        </w:rPr>
        <w:t>3</w:t>
      </w:r>
      <w:r>
        <w:rPr>
          <w:bCs/>
          <w:color w:val="000000"/>
        </w:rPr>
        <w:t>；</w:t>
      </w:r>
    </w:p>
    <w:p w:rsidR="004E3021" w:rsidRDefault="00606E48">
      <w:pPr>
        <w:ind w:firstLine="480"/>
        <w:rPr>
          <w:bCs/>
          <w:color w:val="000000"/>
        </w:rPr>
      </w:pPr>
      <w:r>
        <w:rPr>
          <w:bCs/>
          <w:color w:val="000000"/>
        </w:rPr>
        <w:t>V</w:t>
      </w:r>
      <w:r>
        <w:rPr>
          <w:bCs/>
          <w:color w:val="000000"/>
          <w:vertAlign w:val="subscript"/>
        </w:rPr>
        <w:t>4</w:t>
      </w:r>
      <w:r>
        <w:rPr>
          <w:bCs/>
          <w:color w:val="000000"/>
        </w:rPr>
        <w:t>—</w:t>
      </w:r>
      <w:r>
        <w:rPr>
          <w:bCs/>
          <w:color w:val="000000"/>
        </w:rPr>
        <w:t>发生事故时仍必须进入该收集系统的生产废水量，</w:t>
      </w:r>
      <w:r>
        <w:rPr>
          <w:bCs/>
          <w:color w:val="000000"/>
        </w:rPr>
        <w:t>m</w:t>
      </w:r>
      <w:r>
        <w:rPr>
          <w:bCs/>
          <w:color w:val="000000"/>
          <w:vertAlign w:val="superscript"/>
        </w:rPr>
        <w:t>3</w:t>
      </w:r>
      <w:r>
        <w:rPr>
          <w:bCs/>
          <w:color w:val="000000"/>
        </w:rPr>
        <w:t>；</w:t>
      </w:r>
    </w:p>
    <w:p w:rsidR="004E3021" w:rsidRDefault="00606E48">
      <w:pPr>
        <w:ind w:firstLine="480"/>
        <w:rPr>
          <w:bCs/>
          <w:color w:val="000000"/>
        </w:rPr>
      </w:pPr>
      <w:r>
        <w:rPr>
          <w:bCs/>
          <w:color w:val="000000"/>
        </w:rPr>
        <w:t>V</w:t>
      </w:r>
      <w:r>
        <w:rPr>
          <w:bCs/>
          <w:color w:val="000000"/>
          <w:vertAlign w:val="subscript"/>
        </w:rPr>
        <w:t>5</w:t>
      </w:r>
      <w:r>
        <w:rPr>
          <w:bCs/>
          <w:color w:val="000000"/>
        </w:rPr>
        <w:t>—</w:t>
      </w:r>
      <w:r>
        <w:rPr>
          <w:bCs/>
          <w:color w:val="000000"/>
        </w:rPr>
        <w:t>发生事故时可能进入该收集系统的降雨量，</w:t>
      </w:r>
      <w:r>
        <w:rPr>
          <w:bCs/>
          <w:color w:val="000000"/>
        </w:rPr>
        <w:t>m</w:t>
      </w:r>
      <w:r>
        <w:rPr>
          <w:bCs/>
          <w:color w:val="000000"/>
          <w:vertAlign w:val="superscript"/>
        </w:rPr>
        <w:t>3</w:t>
      </w:r>
      <w:r>
        <w:rPr>
          <w:bCs/>
          <w:color w:val="000000"/>
        </w:rPr>
        <w:t>。</w:t>
      </w:r>
    </w:p>
    <w:p w:rsidR="004E3021" w:rsidRDefault="00606E48">
      <w:pPr>
        <w:ind w:firstLine="480"/>
        <w:jc w:val="center"/>
        <w:rPr>
          <w:bCs/>
          <w:color w:val="000000"/>
        </w:rPr>
      </w:pPr>
      <w:r>
        <w:rPr>
          <w:bCs/>
          <w:color w:val="000000"/>
        </w:rPr>
        <w:t>V</w:t>
      </w:r>
      <w:r>
        <w:rPr>
          <w:bCs/>
          <w:color w:val="000000"/>
          <w:vertAlign w:val="subscript"/>
        </w:rPr>
        <w:t>5</w:t>
      </w:r>
      <w:r>
        <w:rPr>
          <w:bCs/>
          <w:color w:val="000000"/>
        </w:rPr>
        <w:t>＝</w:t>
      </w:r>
      <w:r>
        <w:rPr>
          <w:bCs/>
          <w:color w:val="000000"/>
        </w:rPr>
        <w:t>10qF</w:t>
      </w:r>
    </w:p>
    <w:p w:rsidR="004E3021" w:rsidRDefault="00606E48">
      <w:pPr>
        <w:ind w:firstLine="480"/>
        <w:rPr>
          <w:bCs/>
          <w:color w:val="000000"/>
        </w:rPr>
      </w:pPr>
      <w:r>
        <w:rPr>
          <w:bCs/>
          <w:color w:val="000000"/>
        </w:rPr>
        <w:t>q—</w:t>
      </w:r>
      <w:r>
        <w:rPr>
          <w:bCs/>
          <w:color w:val="000000"/>
        </w:rPr>
        <w:t>降雨强度，</w:t>
      </w:r>
      <w:r>
        <w:rPr>
          <w:bCs/>
          <w:color w:val="000000"/>
        </w:rPr>
        <w:t>mm</w:t>
      </w:r>
      <w:r>
        <w:rPr>
          <w:bCs/>
          <w:color w:val="000000"/>
        </w:rPr>
        <w:t>；按平均日降雨量；</w:t>
      </w:r>
    </w:p>
    <w:p w:rsidR="004E3021" w:rsidRDefault="00606E48">
      <w:pPr>
        <w:ind w:firstLine="480"/>
        <w:jc w:val="center"/>
        <w:rPr>
          <w:bCs/>
          <w:color w:val="000000"/>
        </w:rPr>
      </w:pPr>
      <w:r>
        <w:rPr>
          <w:bCs/>
          <w:color w:val="000000"/>
        </w:rPr>
        <w:t>q=q</w:t>
      </w:r>
      <w:r>
        <w:rPr>
          <w:bCs/>
          <w:color w:val="000000"/>
          <w:vertAlign w:val="subscript"/>
        </w:rPr>
        <w:t>a</w:t>
      </w:r>
      <w:r>
        <w:rPr>
          <w:bCs/>
          <w:color w:val="000000"/>
        </w:rPr>
        <w:t>/n</w:t>
      </w:r>
    </w:p>
    <w:p w:rsidR="004E3021" w:rsidRDefault="00606E48">
      <w:pPr>
        <w:ind w:firstLine="480"/>
        <w:rPr>
          <w:bCs/>
          <w:color w:val="000000"/>
        </w:rPr>
      </w:pPr>
      <w:r>
        <w:rPr>
          <w:bCs/>
          <w:color w:val="000000"/>
        </w:rPr>
        <w:t>q</w:t>
      </w:r>
      <w:r>
        <w:rPr>
          <w:bCs/>
          <w:color w:val="000000"/>
          <w:vertAlign w:val="subscript"/>
        </w:rPr>
        <w:t>a</w:t>
      </w:r>
      <w:r>
        <w:rPr>
          <w:bCs/>
          <w:color w:val="000000"/>
        </w:rPr>
        <w:t>—</w:t>
      </w:r>
      <w:r>
        <w:rPr>
          <w:bCs/>
          <w:color w:val="000000"/>
        </w:rPr>
        <w:t>年平均降雨量，</w:t>
      </w:r>
      <w:r>
        <w:rPr>
          <w:bCs/>
          <w:color w:val="000000"/>
        </w:rPr>
        <w:t>mm</w:t>
      </w:r>
      <w:r>
        <w:rPr>
          <w:bCs/>
          <w:color w:val="000000"/>
        </w:rPr>
        <w:t>；</w:t>
      </w:r>
    </w:p>
    <w:p w:rsidR="004E3021" w:rsidRDefault="00606E48">
      <w:pPr>
        <w:ind w:firstLine="480"/>
        <w:rPr>
          <w:bCs/>
          <w:color w:val="000000"/>
        </w:rPr>
      </w:pPr>
      <w:r>
        <w:rPr>
          <w:bCs/>
          <w:color w:val="000000"/>
        </w:rPr>
        <w:t>n—</w:t>
      </w:r>
      <w:r>
        <w:rPr>
          <w:bCs/>
          <w:color w:val="000000"/>
        </w:rPr>
        <w:t>年平均降雨日数；</w:t>
      </w:r>
    </w:p>
    <w:p w:rsidR="004E3021" w:rsidRDefault="00606E48">
      <w:pPr>
        <w:ind w:firstLine="480"/>
        <w:rPr>
          <w:bCs/>
          <w:color w:val="000000"/>
        </w:rPr>
      </w:pPr>
      <w:r>
        <w:rPr>
          <w:bCs/>
          <w:color w:val="000000"/>
        </w:rPr>
        <w:t>F—</w:t>
      </w:r>
      <w:r>
        <w:rPr>
          <w:bCs/>
          <w:color w:val="000000"/>
        </w:rPr>
        <w:t>必须进入事故废水收集系统的雨水汇水面积，</w:t>
      </w:r>
      <w:r>
        <w:rPr>
          <w:bCs/>
          <w:color w:val="000000"/>
        </w:rPr>
        <w:t>hm</w:t>
      </w:r>
      <w:r>
        <w:rPr>
          <w:bCs/>
          <w:color w:val="000000"/>
          <w:vertAlign w:val="superscript"/>
        </w:rPr>
        <w:t>2</w:t>
      </w:r>
      <w:r>
        <w:rPr>
          <w:bCs/>
          <w:color w:val="000000"/>
        </w:rPr>
        <w:t>。</w:t>
      </w:r>
    </w:p>
    <w:p w:rsidR="004E3021" w:rsidRDefault="00606E48">
      <w:pPr>
        <w:ind w:firstLine="480"/>
        <w:rPr>
          <w:bCs/>
          <w:color w:val="000000"/>
        </w:rPr>
      </w:pPr>
      <w:r>
        <w:rPr>
          <w:bCs/>
          <w:color w:val="000000"/>
        </w:rPr>
        <w:t>罐区防火堤内容积可作为事故排水储存有效容积。</w:t>
      </w:r>
    </w:p>
    <w:p w:rsidR="004E3021" w:rsidRDefault="00606E48">
      <w:pPr>
        <w:ind w:firstLine="480"/>
      </w:pPr>
      <w:r>
        <w:rPr>
          <w:rFonts w:hint="eastAsia"/>
        </w:rPr>
        <w:t>①事故状态下物料量</w:t>
      </w:r>
      <w:r>
        <w:rPr>
          <w:rFonts w:hint="eastAsia"/>
        </w:rPr>
        <w:t>(V</w:t>
      </w:r>
      <w:r>
        <w:rPr>
          <w:rFonts w:hint="eastAsia"/>
          <w:vertAlign w:val="subscript"/>
        </w:rPr>
        <w:t>1</w:t>
      </w:r>
      <w:r>
        <w:rPr>
          <w:rFonts w:hint="eastAsia"/>
        </w:rPr>
        <w:t>)</w:t>
      </w:r>
      <w:r>
        <w:rPr>
          <w:rFonts w:hint="eastAsia"/>
        </w:rPr>
        <w:t>：设计区域内中有甲醇储罐，以甲醇储罐</w:t>
      </w:r>
      <w:r>
        <w:t>全部泄漏计</w:t>
      </w:r>
      <w:r>
        <w:rPr>
          <w:rFonts w:hint="eastAsia"/>
        </w:rPr>
        <w:t>，则事故状态下的物料量</w:t>
      </w:r>
      <w:r>
        <w:rPr>
          <w:rFonts w:hint="eastAsia"/>
        </w:rPr>
        <w:t>V</w:t>
      </w:r>
      <w:r>
        <w:rPr>
          <w:rFonts w:hint="eastAsia"/>
          <w:vertAlign w:val="subscript"/>
        </w:rPr>
        <w:t>1</w:t>
      </w:r>
      <w:r>
        <w:rPr>
          <w:rFonts w:hint="eastAsia"/>
        </w:rPr>
        <w:t>为</w:t>
      </w:r>
      <w:r>
        <w:t>254</w:t>
      </w:r>
      <w:r>
        <w:rPr>
          <w:rFonts w:hint="eastAsia"/>
        </w:rPr>
        <w:t>m</w:t>
      </w:r>
      <w:r>
        <w:rPr>
          <w:rFonts w:hint="eastAsia"/>
          <w:vertAlign w:val="superscript"/>
        </w:rPr>
        <w:t>3</w:t>
      </w:r>
      <w:r>
        <w:rPr>
          <w:rFonts w:hint="eastAsia"/>
        </w:rPr>
        <w:t>。</w:t>
      </w:r>
    </w:p>
    <w:p w:rsidR="004E3021" w:rsidRDefault="00606E48">
      <w:pPr>
        <w:ind w:firstLine="480"/>
      </w:pPr>
      <w:r>
        <w:rPr>
          <w:rFonts w:hint="eastAsia"/>
        </w:rPr>
        <w:t>②消防用水量</w:t>
      </w:r>
      <w:r>
        <w:rPr>
          <w:rFonts w:hint="eastAsia"/>
        </w:rPr>
        <w:t>(V</w:t>
      </w:r>
      <w:r>
        <w:rPr>
          <w:rFonts w:hint="eastAsia"/>
          <w:vertAlign w:val="subscript"/>
        </w:rPr>
        <w:t>2</w:t>
      </w:r>
      <w:r>
        <w:rPr>
          <w:rFonts w:hint="eastAsia"/>
        </w:rPr>
        <w:t>)</w:t>
      </w:r>
      <w:r>
        <w:rPr>
          <w:rFonts w:hint="eastAsia"/>
        </w:rPr>
        <w:t>：一次灭火消防最大用水量建筑为原料库，消火栓用水量为</w:t>
      </w:r>
      <w:r>
        <w:t>60</w:t>
      </w:r>
      <w:r>
        <w:rPr>
          <w:rFonts w:hint="eastAsia"/>
        </w:rPr>
        <w:t>L/s</w:t>
      </w:r>
      <w:r>
        <w:rPr>
          <w:rFonts w:hint="eastAsia"/>
        </w:rPr>
        <w:t>，火灾延续时间为</w:t>
      </w:r>
      <w:r>
        <w:t>3</w:t>
      </w:r>
      <w:r>
        <w:rPr>
          <w:rFonts w:hint="eastAsia"/>
        </w:rPr>
        <w:t>h</w:t>
      </w:r>
      <w:r>
        <w:rPr>
          <w:rFonts w:hint="eastAsia"/>
        </w:rPr>
        <w:t>。则最大消防用水量</w:t>
      </w:r>
      <w:r>
        <w:rPr>
          <w:rFonts w:hint="eastAsia"/>
        </w:rPr>
        <w:t>V</w:t>
      </w:r>
      <w:r>
        <w:rPr>
          <w:rFonts w:hint="eastAsia"/>
          <w:vertAlign w:val="subscript"/>
        </w:rPr>
        <w:t>2</w:t>
      </w:r>
      <w:r>
        <w:rPr>
          <w:rFonts w:hint="eastAsia"/>
        </w:rPr>
        <w:t>为</w:t>
      </w:r>
      <w:r>
        <w:t>648</w:t>
      </w:r>
      <w:r>
        <w:rPr>
          <w:rFonts w:hint="eastAsia"/>
        </w:rPr>
        <w:t>m</w:t>
      </w:r>
      <w:r>
        <w:rPr>
          <w:rFonts w:hint="eastAsia"/>
          <w:vertAlign w:val="superscript"/>
        </w:rPr>
        <w:t>3</w:t>
      </w:r>
      <w:r>
        <w:rPr>
          <w:rFonts w:hint="eastAsia"/>
        </w:rPr>
        <w:t>。</w:t>
      </w:r>
    </w:p>
    <w:p w:rsidR="004E3021" w:rsidRDefault="00606E48">
      <w:pPr>
        <w:ind w:firstLine="480"/>
        <w:rPr>
          <w:bCs/>
          <w:color w:val="000000"/>
        </w:rPr>
      </w:pPr>
      <w:r>
        <w:rPr>
          <w:rFonts w:hint="eastAsia"/>
        </w:rPr>
        <w:t>③</w:t>
      </w:r>
      <w:r>
        <w:rPr>
          <w:bCs/>
          <w:color w:val="000000"/>
        </w:rPr>
        <w:t>发生事故时可以转输到其他储存或处理设施的物料量</w:t>
      </w:r>
      <w:r>
        <w:rPr>
          <w:rFonts w:hint="eastAsia"/>
        </w:rPr>
        <w:t>(V</w:t>
      </w:r>
      <w:r>
        <w:rPr>
          <w:rFonts w:hint="eastAsia"/>
          <w:vertAlign w:val="subscript"/>
        </w:rPr>
        <w:t>3</w:t>
      </w:r>
      <w:r>
        <w:rPr>
          <w:rFonts w:hint="eastAsia"/>
        </w:rPr>
        <w:t>)</w:t>
      </w:r>
      <w:r>
        <w:rPr>
          <w:rFonts w:hint="eastAsia"/>
        </w:rPr>
        <w:t>：</w:t>
      </w:r>
      <w:r>
        <w:rPr>
          <w:bCs/>
          <w:color w:val="000000"/>
        </w:rPr>
        <w:t>不考虑移走的量</w:t>
      </w:r>
      <w:r>
        <w:rPr>
          <w:rFonts w:hint="eastAsia"/>
          <w:bCs/>
          <w:color w:val="000000"/>
        </w:rPr>
        <w:t>，</w:t>
      </w:r>
      <w:r>
        <w:rPr>
          <w:bCs/>
          <w:color w:val="000000"/>
        </w:rPr>
        <w:t>V</w:t>
      </w:r>
      <w:r>
        <w:rPr>
          <w:bCs/>
          <w:color w:val="000000"/>
          <w:vertAlign w:val="subscript"/>
        </w:rPr>
        <w:t>3</w:t>
      </w:r>
      <w:r>
        <w:rPr>
          <w:bCs/>
          <w:color w:val="000000"/>
        </w:rPr>
        <w:t>=0</w:t>
      </w:r>
      <w:r>
        <w:rPr>
          <w:rFonts w:hint="eastAsia"/>
        </w:rPr>
        <w:t>m</w:t>
      </w:r>
      <w:r>
        <w:rPr>
          <w:rFonts w:hint="eastAsia"/>
          <w:vertAlign w:val="superscript"/>
        </w:rPr>
        <w:t>3</w:t>
      </w:r>
      <w:r>
        <w:rPr>
          <w:bCs/>
          <w:color w:val="000000"/>
        </w:rPr>
        <w:t>。</w:t>
      </w:r>
    </w:p>
    <w:p w:rsidR="004E3021" w:rsidRDefault="00606E48">
      <w:pPr>
        <w:ind w:firstLine="480"/>
      </w:pPr>
      <w:r>
        <w:rPr>
          <w:rFonts w:hint="eastAsia"/>
        </w:rPr>
        <w:t>④发生</w:t>
      </w:r>
      <w:r>
        <w:t>事故时扔必须进入该</w:t>
      </w:r>
      <w:r>
        <w:rPr>
          <w:rFonts w:hint="eastAsia"/>
        </w:rPr>
        <w:t>收集</w:t>
      </w:r>
      <w:r>
        <w:t>系统的生产废水量</w:t>
      </w:r>
      <w:r>
        <w:t>(V</w:t>
      </w:r>
      <w:r>
        <w:rPr>
          <w:vertAlign w:val="subscript"/>
        </w:rPr>
        <w:t>4</w:t>
      </w:r>
      <w:r>
        <w:rPr>
          <w:rFonts w:hint="eastAsia"/>
        </w:rPr>
        <w:t>)</w:t>
      </w:r>
      <w:r>
        <w:rPr>
          <w:rFonts w:hint="eastAsia"/>
        </w:rPr>
        <w:t>：</w:t>
      </w:r>
      <w:r>
        <w:t>V</w:t>
      </w:r>
      <w:r>
        <w:rPr>
          <w:vertAlign w:val="subscript"/>
        </w:rPr>
        <w:t>4</w:t>
      </w:r>
      <w:r>
        <w:t>=0m</w:t>
      </w:r>
      <w:r>
        <w:rPr>
          <w:vertAlign w:val="superscript"/>
        </w:rPr>
        <w:t>3</w:t>
      </w:r>
      <w:r>
        <w:rPr>
          <w:rFonts w:hint="eastAsia"/>
        </w:rPr>
        <w:t>。</w:t>
      </w:r>
    </w:p>
    <w:p w:rsidR="004E3021" w:rsidRDefault="00606E48">
      <w:pPr>
        <w:ind w:firstLine="480"/>
      </w:pPr>
      <w:r>
        <w:rPr>
          <w:rFonts w:hint="eastAsia"/>
        </w:rPr>
        <w:t>⑤年平均降雨量</w:t>
      </w:r>
      <w:r>
        <w:t>1195.7mm</w:t>
      </w:r>
      <w:r>
        <w:rPr>
          <w:rFonts w:hint="eastAsia"/>
        </w:rPr>
        <w:t>，年平均雨日</w:t>
      </w:r>
      <w:r>
        <w:t>105</w:t>
      </w:r>
      <w:r>
        <w:rPr>
          <w:rFonts w:hint="eastAsia"/>
        </w:rPr>
        <w:t>天，汇水面积</w:t>
      </w:r>
      <w:r>
        <w:t>5.73hm</w:t>
      </w:r>
      <w:r>
        <w:rPr>
          <w:vertAlign w:val="superscript"/>
        </w:rPr>
        <w:t>2</w:t>
      </w:r>
      <w:r>
        <w:rPr>
          <w:rFonts w:hint="eastAsia"/>
        </w:rPr>
        <w:t>，</w:t>
      </w:r>
      <w:r>
        <w:t>V</w:t>
      </w:r>
      <w:r>
        <w:rPr>
          <w:vertAlign w:val="subscript"/>
        </w:rPr>
        <w:t>5</w:t>
      </w:r>
      <w:r>
        <w:t>=652m</w:t>
      </w:r>
      <w:r>
        <w:rPr>
          <w:vertAlign w:val="superscript"/>
        </w:rPr>
        <w:t>3</w:t>
      </w:r>
      <w:r>
        <w:rPr>
          <w:rFonts w:hint="eastAsia"/>
        </w:rPr>
        <w:t>。</w:t>
      </w:r>
    </w:p>
    <w:p w:rsidR="004E3021" w:rsidRDefault="00606E48">
      <w:pPr>
        <w:ind w:firstLine="480"/>
        <w:jc w:val="center"/>
        <w:rPr>
          <w:bCs/>
          <w:color w:val="000000"/>
        </w:rPr>
      </w:pPr>
      <w:r>
        <w:rPr>
          <w:bCs/>
          <w:color w:val="000000"/>
        </w:rPr>
        <w:t>V</w:t>
      </w:r>
      <w:r>
        <w:rPr>
          <w:bCs/>
          <w:color w:val="000000"/>
          <w:vertAlign w:val="subscript"/>
        </w:rPr>
        <w:t>事故池</w:t>
      </w:r>
      <w:r>
        <w:rPr>
          <w:bCs/>
          <w:color w:val="000000"/>
        </w:rPr>
        <w:t>=</w:t>
      </w:r>
      <w:r>
        <w:rPr>
          <w:rFonts w:hint="eastAsia"/>
          <w:bCs/>
          <w:color w:val="000000"/>
        </w:rPr>
        <w:t>(</w:t>
      </w:r>
      <w:r>
        <w:rPr>
          <w:bCs/>
          <w:color w:val="000000"/>
        </w:rPr>
        <w:t>254+648-0)+0+652=1554</w:t>
      </w:r>
      <w:r>
        <w:t>m</w:t>
      </w:r>
      <w:r>
        <w:rPr>
          <w:vertAlign w:val="superscript"/>
        </w:rPr>
        <w:t>3</w:t>
      </w:r>
    </w:p>
    <w:p w:rsidR="004E3021" w:rsidRDefault="00606E48">
      <w:pPr>
        <w:ind w:firstLine="480"/>
      </w:pPr>
      <w:r>
        <w:rPr>
          <w:rFonts w:hint="eastAsia"/>
        </w:rPr>
        <w:t>企业设置</w:t>
      </w:r>
      <w:r>
        <w:t>事故池容量为</w:t>
      </w:r>
      <w:r>
        <w:t>18</w:t>
      </w:r>
      <w:r w:rsidR="00D9365E">
        <w:t>5</w:t>
      </w:r>
      <w:r>
        <w:t>0m</w:t>
      </w:r>
      <w:r>
        <w:rPr>
          <w:vertAlign w:val="superscript"/>
        </w:rPr>
        <w:t>3</w:t>
      </w:r>
      <w:r>
        <w:t>，能够容纳事故废水量</w:t>
      </w:r>
      <w:r>
        <w:rPr>
          <w:rFonts w:hint="eastAsia"/>
        </w:rPr>
        <w:t>。</w:t>
      </w:r>
    </w:p>
    <w:p w:rsidR="004E3021" w:rsidRDefault="00606E48">
      <w:pPr>
        <w:ind w:firstLine="480"/>
      </w:pPr>
      <w:r>
        <w:rPr>
          <w:rFonts w:hint="eastAsia"/>
        </w:rPr>
        <w:t>（</w:t>
      </w:r>
      <w:r>
        <w:rPr>
          <w:rFonts w:hint="eastAsia"/>
        </w:rPr>
        <w:t>2</w:t>
      </w:r>
      <w:r>
        <w:rPr>
          <w:rFonts w:hint="eastAsia"/>
        </w:rPr>
        <w:t>）三级防控</w:t>
      </w:r>
      <w:r>
        <w:t>体系</w:t>
      </w:r>
    </w:p>
    <w:p w:rsidR="004E3021" w:rsidRDefault="00606E48">
      <w:pPr>
        <w:ind w:firstLine="480"/>
      </w:pPr>
      <w:r>
        <w:rPr>
          <w:rFonts w:hint="eastAsia"/>
        </w:rPr>
        <w:t>①一级</w:t>
      </w:r>
      <w:r>
        <w:t>防控措施</w:t>
      </w:r>
    </w:p>
    <w:p w:rsidR="004E3021" w:rsidRDefault="00606E48">
      <w:pPr>
        <w:ind w:firstLine="480"/>
      </w:pPr>
      <w:r>
        <w:rPr>
          <w:rFonts w:hint="eastAsia"/>
        </w:rPr>
        <w:lastRenderedPageBreak/>
        <w:t>物料贮存</w:t>
      </w:r>
      <w:r>
        <w:t>区设置围堰和防火堤，对事故情况</w:t>
      </w:r>
      <w:r>
        <w:rPr>
          <w:rFonts w:hint="eastAsia"/>
        </w:rPr>
        <w:t>下</w:t>
      </w:r>
      <w:r>
        <w:t>泄漏的</w:t>
      </w:r>
      <w:r>
        <w:rPr>
          <w:rFonts w:hint="eastAsia"/>
        </w:rPr>
        <w:t>物料及消防废水进行收集控制，防止泄漏物料扩散；围堰及防火堤设污水与雨水下水切换阀门，正常及事故情况下针对不同废水实施分流排放控制。</w:t>
      </w:r>
    </w:p>
    <w:p w:rsidR="004E3021" w:rsidRDefault="00606E48">
      <w:pPr>
        <w:ind w:firstLine="480"/>
      </w:pPr>
      <w:r>
        <w:rPr>
          <w:rFonts w:hint="eastAsia"/>
        </w:rPr>
        <w:t>②二级防控措施</w:t>
      </w:r>
    </w:p>
    <w:p w:rsidR="004E3021" w:rsidRDefault="00606E48">
      <w:pPr>
        <w:ind w:firstLine="480"/>
      </w:pPr>
      <w:r>
        <w:rPr>
          <w:rFonts w:hint="eastAsia"/>
        </w:rPr>
        <w:t>当围堰液位上升过快时打开切换阀门，将污水引入事故水池，根据污染水质情况调送至污水系统进行处理；在车间周围设置地沟，事故一旦发生，将事故废水或者物料通过地沟收集。</w:t>
      </w:r>
    </w:p>
    <w:p w:rsidR="004E3021" w:rsidRDefault="00606E48">
      <w:pPr>
        <w:ind w:firstLine="480"/>
      </w:pPr>
      <w:r>
        <w:rPr>
          <w:rFonts w:hint="eastAsia"/>
        </w:rPr>
        <w:t>③三级防控措施</w:t>
      </w:r>
    </w:p>
    <w:p w:rsidR="004E3021" w:rsidRDefault="00606E48">
      <w:pPr>
        <w:ind w:firstLine="480"/>
      </w:pPr>
      <w:r>
        <w:rPr>
          <w:rFonts w:hint="eastAsia"/>
        </w:rPr>
        <w:t>厂区拦截，在厂区内集、排水系统管网中设置排污闸板。在厂区排水系统总排放口设置排污闸板，防止事故废水未经处理排入园区区污水处理厂而对其造成冲击负荷。在厂区雨水收集系统排放口前端设置雨、污双向阀门，雨水阀门可将排水排入雨水管网，污水阀门可将来水引入事故池。当发生原料泄漏或火灾事故产生消防废水后能及时关闭雨水阀门同时开启污水阀门，保证事故后废水能及时导入事故池，防止有毒物质或消防废水通过雨水管网排入外环境。</w:t>
      </w:r>
    </w:p>
    <w:p w:rsidR="004E3021" w:rsidRDefault="00606E48">
      <w:pPr>
        <w:ind w:firstLine="480"/>
      </w:pPr>
      <w:r>
        <w:t>项目建成后，事故废水防范和处理流程见下图</w:t>
      </w:r>
      <w:r>
        <w:t>6.7.2-1</w:t>
      </w:r>
      <w:r>
        <w:t>。</w:t>
      </w:r>
    </w:p>
    <w:p w:rsidR="004E3021" w:rsidRDefault="00606E48">
      <w:pPr>
        <w:ind w:firstLineChars="0" w:firstLine="0"/>
        <w:jc w:val="center"/>
      </w:pPr>
      <w:r>
        <w:object w:dxaOrig="7800" w:dyaOrig="7200">
          <v:shape id="_x0000_i1048" type="#_x0000_t75" style="width:390pt;height:5in" o:ole="">
            <v:imagedata r:id="rId145" o:title="" croptop="14654f" cropbottom="15972f" cropleft="22117f" cropright="23419f"/>
          </v:shape>
          <o:OLEObject Type="Embed" ProgID="AutoCAD.Drawing.22" ShapeID="_x0000_i1048" DrawAspect="Content" ObjectID="_1832392375" r:id="rId146"/>
        </w:object>
      </w:r>
    </w:p>
    <w:p w:rsidR="004E3021" w:rsidRDefault="00606E48">
      <w:pPr>
        <w:pStyle w:val="afffff4"/>
      </w:pPr>
      <w:r>
        <w:t>图</w:t>
      </w:r>
      <w:r>
        <w:t xml:space="preserve">6.7.2-1  </w:t>
      </w:r>
      <w:r>
        <w:t>事故废水防范和处理流程示意图</w:t>
      </w:r>
    </w:p>
    <w:p w:rsidR="004E3021" w:rsidRDefault="00606E48">
      <w:pPr>
        <w:ind w:firstLine="480"/>
      </w:pPr>
      <w:r>
        <w:t>废水收集流程说明：</w:t>
      </w:r>
    </w:p>
    <w:p w:rsidR="004E3021" w:rsidRDefault="00606E48">
      <w:pPr>
        <w:ind w:firstLine="480"/>
      </w:pPr>
      <w:r>
        <w:t>项目建成后，全厂实施清污分流和雨污分流。雨水系统收集雨水，污水系统收集生产废水。</w:t>
      </w:r>
    </w:p>
    <w:p w:rsidR="004E3021" w:rsidRDefault="00606E48">
      <w:pPr>
        <w:ind w:firstLine="480"/>
      </w:pPr>
      <w:r>
        <w:t>正常生产情况下，阀门</w:t>
      </w:r>
      <w:r>
        <w:t>4</w:t>
      </w:r>
      <w:r>
        <w:t>、</w:t>
      </w:r>
      <w:r>
        <w:t>5</w:t>
      </w:r>
      <w:r>
        <w:t>开启，阀门</w:t>
      </w:r>
      <w:r>
        <w:t>1</w:t>
      </w:r>
      <w:r>
        <w:t>、</w:t>
      </w:r>
      <w:r>
        <w:t>2</w:t>
      </w:r>
      <w:r>
        <w:t>、</w:t>
      </w:r>
      <w:r>
        <w:t>3</w:t>
      </w:r>
      <w:r>
        <w:t>关闭，对于初期雨水的收集可通过关闭阀门</w:t>
      </w:r>
      <w:r>
        <w:t>1</w:t>
      </w:r>
      <w:r>
        <w:t>，开启阀门</w:t>
      </w:r>
      <w:r>
        <w:t>2</w:t>
      </w:r>
      <w:r>
        <w:t>进行收集，并用泵送至污水站进行处理。</w:t>
      </w:r>
    </w:p>
    <w:p w:rsidR="004E3021" w:rsidRDefault="00606E48">
      <w:pPr>
        <w:ind w:firstLine="480"/>
      </w:pPr>
      <w:r>
        <w:t>事故状况下，消防尾水流入雨水系统时通过开启阀门</w:t>
      </w:r>
      <w:r>
        <w:t>2</w:t>
      </w:r>
      <w:r>
        <w:t>，经初期雨水收集池收集，同时通过泵</w:t>
      </w:r>
      <w:r>
        <w:t>1</w:t>
      </w:r>
      <w:r>
        <w:t>送至</w:t>
      </w:r>
      <w:r>
        <w:rPr>
          <w:rFonts w:hint="eastAsia"/>
        </w:rPr>
        <w:t>应急</w:t>
      </w:r>
      <w:r>
        <w:t>事故池；</w:t>
      </w:r>
      <w:r>
        <w:rPr>
          <w:rFonts w:hint="eastAsia"/>
        </w:rPr>
        <w:t>物料</w:t>
      </w:r>
      <w:r>
        <w:t>贮存区泄漏物料、消防尾水经</w:t>
      </w:r>
      <w:r>
        <w:rPr>
          <w:rFonts w:hint="eastAsia"/>
        </w:rPr>
        <w:t>厂区</w:t>
      </w:r>
      <w:r>
        <w:t>收集池收集后通过泵</w:t>
      </w:r>
      <w:r>
        <w:t>2</w:t>
      </w:r>
      <w:r>
        <w:t>送入</w:t>
      </w:r>
      <w:r>
        <w:rPr>
          <w:rFonts w:hint="eastAsia"/>
        </w:rPr>
        <w:t>应急</w:t>
      </w:r>
      <w:r>
        <w:t>事故池；</w:t>
      </w:r>
      <w:r>
        <w:rPr>
          <w:rFonts w:hint="eastAsia"/>
        </w:rPr>
        <w:t>污水处理站</w:t>
      </w:r>
      <w:r>
        <w:t>设施有故障时，则开启阀门</w:t>
      </w:r>
      <w:r>
        <w:t>3</w:t>
      </w:r>
      <w:r>
        <w:t>、关闭阀门</w:t>
      </w:r>
      <w:r>
        <w:t>4</w:t>
      </w:r>
      <w:r>
        <w:t>，送入事故池暂存。事故池收集的事故水通过泵分批分次送厂内污水处理站处理，处理达到接管标准后排入沫河口污水处理厂集中处理。</w:t>
      </w:r>
    </w:p>
    <w:p w:rsidR="004E3021" w:rsidRDefault="00606E48">
      <w:pPr>
        <w:ind w:firstLine="480"/>
      </w:pPr>
      <w:r>
        <w:rPr>
          <w:rFonts w:hint="eastAsia"/>
        </w:rPr>
        <w:t>（</w:t>
      </w:r>
      <w:r>
        <w:t>3</w:t>
      </w:r>
      <w:r>
        <w:rPr>
          <w:rFonts w:hint="eastAsia"/>
        </w:rPr>
        <w:t>）其他注意事项</w:t>
      </w:r>
    </w:p>
    <w:p w:rsidR="004E3021" w:rsidRDefault="00606E48">
      <w:pPr>
        <w:ind w:firstLine="480"/>
      </w:pPr>
      <w:r>
        <w:rPr>
          <w:rFonts w:hint="eastAsia"/>
        </w:rPr>
        <w:t>①项目建成后，消防废水应根据火灾发生的具体物料及消防废水监测浓度，将消防废水逐步引入厂内废水处理站处理，厂内无法处理该废水达标时，委托其他单位处理。</w:t>
      </w:r>
    </w:p>
    <w:p w:rsidR="004E3021" w:rsidRDefault="00606E48">
      <w:pPr>
        <w:ind w:firstLine="480"/>
      </w:pPr>
      <w:r>
        <w:rPr>
          <w:rFonts w:hint="eastAsia"/>
        </w:rPr>
        <w:lastRenderedPageBreak/>
        <w:t>②项目建成后，如厂区污水处理站发生风险事故，可将超标废水引入事故池，待污水处理站风险事故处理后，可将事故废水按照</w:t>
      </w:r>
      <w:r>
        <w:rPr>
          <w:rFonts w:hint="eastAsia"/>
        </w:rPr>
        <w:t>5%</w:t>
      </w:r>
      <w:r>
        <w:rPr>
          <w:rFonts w:hint="eastAsia"/>
        </w:rPr>
        <w:t>左右的比例泵入污水处理系统重新进行处理达标后排放，厂内无法处理该废水达标时，委托其他单位处理。</w:t>
      </w:r>
    </w:p>
    <w:p w:rsidR="004E3021" w:rsidRDefault="00606E48">
      <w:pPr>
        <w:ind w:firstLine="480"/>
      </w:pPr>
      <w:r>
        <w:rPr>
          <w:rFonts w:hint="eastAsia"/>
        </w:rPr>
        <w:t>项目建成</w:t>
      </w:r>
      <w:r>
        <w:t>后全厂雨污水管网</w:t>
      </w:r>
      <w:r>
        <w:rPr>
          <w:rFonts w:hint="eastAsia"/>
        </w:rPr>
        <w:t>走向</w:t>
      </w:r>
      <w:r>
        <w:t>示意图见附图</w:t>
      </w:r>
      <w:r>
        <w:rPr>
          <w:rFonts w:hint="eastAsia"/>
        </w:rPr>
        <w:t>6.7.</w:t>
      </w:r>
      <w:r>
        <w:t>2-2</w:t>
      </w:r>
      <w:r>
        <w:rPr>
          <w:rFonts w:hint="eastAsia"/>
        </w:rPr>
        <w:t>。</w:t>
      </w:r>
    </w:p>
    <w:p w:rsidR="004E3021" w:rsidRDefault="00606E48">
      <w:pPr>
        <w:ind w:firstLine="482"/>
        <w:rPr>
          <w:b/>
          <w:color w:val="000000"/>
        </w:rPr>
      </w:pPr>
      <w:r>
        <w:rPr>
          <w:rFonts w:hint="eastAsia"/>
          <w:b/>
          <w:color w:val="000000"/>
        </w:rPr>
        <w:t>（</w:t>
      </w:r>
      <w:r>
        <w:rPr>
          <w:rFonts w:hint="eastAsia"/>
          <w:b/>
          <w:color w:val="000000"/>
        </w:rPr>
        <w:t>3</w:t>
      </w:r>
      <w:r>
        <w:rPr>
          <w:rFonts w:hint="eastAsia"/>
          <w:b/>
          <w:color w:val="000000"/>
        </w:rPr>
        <w:t>）废水</w:t>
      </w:r>
      <w:r>
        <w:rPr>
          <w:b/>
          <w:color w:val="000000"/>
        </w:rPr>
        <w:t>处理设施</w:t>
      </w:r>
      <w:r>
        <w:rPr>
          <w:rFonts w:hint="eastAsia"/>
          <w:b/>
          <w:color w:val="000000"/>
        </w:rPr>
        <w:t>风险</w:t>
      </w:r>
      <w:r>
        <w:rPr>
          <w:b/>
          <w:color w:val="000000"/>
        </w:rPr>
        <w:t>防范措施</w:t>
      </w:r>
    </w:p>
    <w:p w:rsidR="004E3021" w:rsidRDefault="00606E48">
      <w:pPr>
        <w:ind w:firstLine="480"/>
      </w:pPr>
      <w:r>
        <w:rPr>
          <w:rFonts w:hint="eastAsia"/>
        </w:rPr>
        <w:t>①项目运营期污水管网应明管，按行业要求做防腐防渗措施，自行监测及在线监测需按现行规定执行；</w:t>
      </w:r>
    </w:p>
    <w:p w:rsidR="004E3021" w:rsidRDefault="00606E48">
      <w:pPr>
        <w:ind w:firstLine="480"/>
      </w:pPr>
      <w:r>
        <w:rPr>
          <w:rFonts w:hint="eastAsia"/>
        </w:rPr>
        <w:t>②加强对废水处理站的日常检查，做好记录备查；</w:t>
      </w:r>
    </w:p>
    <w:p w:rsidR="004E3021" w:rsidRDefault="00606E48">
      <w:pPr>
        <w:ind w:firstLine="480"/>
      </w:pPr>
      <w:r>
        <w:rPr>
          <w:rFonts w:hint="eastAsia"/>
        </w:rPr>
        <w:t>③对废水处理站设备进行定期保养，尽可能减少设备事故性停运；</w:t>
      </w:r>
    </w:p>
    <w:p w:rsidR="004E3021" w:rsidRDefault="00606E48">
      <w:pPr>
        <w:ind w:firstLine="480"/>
      </w:pPr>
      <w:r>
        <w:rPr>
          <w:rFonts w:hint="eastAsia"/>
        </w:rPr>
        <w:t>④废水处理站做好每日的进出水水质分析，严格监控接管废水的水质情况；</w:t>
      </w:r>
    </w:p>
    <w:p w:rsidR="004E3021" w:rsidRDefault="00606E48">
      <w:pPr>
        <w:ind w:firstLine="480"/>
      </w:pPr>
      <w:r>
        <w:rPr>
          <w:rFonts w:hint="eastAsia"/>
        </w:rPr>
        <w:t>⑤</w:t>
      </w:r>
      <w:r w:rsidR="00D9365E">
        <w:rPr>
          <w:rFonts w:hint="eastAsia"/>
        </w:rPr>
        <w:t>厂区已建设</w:t>
      </w:r>
      <w:r>
        <w:t>18</w:t>
      </w:r>
      <w:r w:rsidR="00D9365E">
        <w:t>5</w:t>
      </w:r>
      <w:r>
        <w:t>0</w:t>
      </w:r>
      <w:r>
        <w:rPr>
          <w:rFonts w:hint="eastAsia"/>
        </w:rPr>
        <w:t>m</w:t>
      </w:r>
      <w:r>
        <w:rPr>
          <w:rFonts w:hint="eastAsia"/>
          <w:vertAlign w:val="superscript"/>
        </w:rPr>
        <w:t>3</w:t>
      </w:r>
      <w:r>
        <w:rPr>
          <w:rFonts w:hint="eastAsia"/>
        </w:rPr>
        <w:t>事故应急池，雨污水排放口设置切断装置，发生事故时，及时拉开排污口切断装置，将事故废水引入事故池，经处理达标后排放。</w:t>
      </w:r>
    </w:p>
    <w:p w:rsidR="004E3021" w:rsidRDefault="00606E48">
      <w:pPr>
        <w:pStyle w:val="afffffffffffffffff4"/>
      </w:pPr>
      <w:bookmarkStart w:id="743" w:name="_Toc101135940"/>
      <w:bookmarkStart w:id="744" w:name="_Toc108662718"/>
      <w:bookmarkStart w:id="745" w:name="_Toc100784107"/>
      <w:bookmarkStart w:id="746" w:name="_Toc221088873"/>
      <w:bookmarkStart w:id="747" w:name="_Toc221501088"/>
      <w:r>
        <w:rPr>
          <w:rFonts w:hint="eastAsia"/>
        </w:rPr>
        <w:t>6.7.</w:t>
      </w:r>
      <w:r>
        <w:t>3</w:t>
      </w:r>
      <w:r>
        <w:rPr>
          <w:rFonts w:hint="eastAsia"/>
        </w:rPr>
        <w:t>地下水环境风险</w:t>
      </w:r>
      <w:r>
        <w:t>防范</w:t>
      </w:r>
      <w:bookmarkEnd w:id="743"/>
      <w:bookmarkEnd w:id="744"/>
      <w:bookmarkEnd w:id="745"/>
      <w:bookmarkEnd w:id="746"/>
      <w:bookmarkEnd w:id="747"/>
    </w:p>
    <w:p w:rsidR="004E3021" w:rsidRDefault="00606E48">
      <w:pPr>
        <w:ind w:firstLine="482"/>
        <w:rPr>
          <w:b/>
        </w:rPr>
      </w:pPr>
      <w:r>
        <w:rPr>
          <w:rFonts w:hint="eastAsia"/>
          <w:b/>
        </w:rPr>
        <w:t>（</w:t>
      </w:r>
      <w:r>
        <w:rPr>
          <w:rFonts w:hint="eastAsia"/>
          <w:b/>
        </w:rPr>
        <w:t>1</w:t>
      </w:r>
      <w:r>
        <w:rPr>
          <w:rFonts w:hint="eastAsia"/>
          <w:b/>
        </w:rPr>
        <w:t>）危废</w:t>
      </w:r>
      <w:r>
        <w:rPr>
          <w:b/>
        </w:rPr>
        <w:t>暂存</w:t>
      </w:r>
      <w:r>
        <w:rPr>
          <w:rFonts w:hint="eastAsia"/>
          <w:b/>
        </w:rPr>
        <w:t>风险</w:t>
      </w:r>
      <w:r>
        <w:rPr>
          <w:b/>
        </w:rPr>
        <w:t>防范措施</w:t>
      </w:r>
    </w:p>
    <w:p w:rsidR="004E3021" w:rsidRDefault="00606E48">
      <w:pPr>
        <w:ind w:firstLine="480"/>
      </w:pPr>
      <w:r>
        <w:rPr>
          <w:rFonts w:hint="eastAsia"/>
        </w:rPr>
        <w:t>①危险废物暂存场所必须严格按照国家标准和规范进行设置，必须设置防渗、防漏、防腐、防雨等防范措施。</w:t>
      </w:r>
    </w:p>
    <w:p w:rsidR="004E3021" w:rsidRDefault="00606E48">
      <w:pPr>
        <w:ind w:firstLine="480"/>
      </w:pPr>
      <w:r>
        <w:rPr>
          <w:rFonts w:hint="eastAsia"/>
        </w:rPr>
        <w:t>②危险废物暂存场所设置了便于危险废物泄漏的收集处理的设施；</w:t>
      </w:r>
    </w:p>
    <w:p w:rsidR="004E3021" w:rsidRDefault="00606E48">
      <w:pPr>
        <w:ind w:firstLine="480"/>
      </w:pPr>
      <w:r>
        <w:rPr>
          <w:rFonts w:hint="eastAsia"/>
        </w:rPr>
        <w:t>③在暂存场所内，各危险废物种类必须分类储存，并设置相应的标签，标明危废的来源，具体的成分，主要成分的性质和泄漏、火灾等处置方式，不得混合储存，各储存分区之间必须设置相应的防护距离，防止发生连锁反应。</w:t>
      </w:r>
    </w:p>
    <w:p w:rsidR="004E3021" w:rsidRDefault="00606E48">
      <w:pPr>
        <w:ind w:firstLine="480"/>
      </w:pPr>
      <w:r>
        <w:rPr>
          <w:rFonts w:hint="eastAsia"/>
        </w:rPr>
        <w:t>④危险废物暂存场所应安装危废在线监控系统，并在厂区门口安装危废监控视频，严格监控危废的贮存和管理情况，并且与当地环保部门联网。</w:t>
      </w:r>
    </w:p>
    <w:p w:rsidR="004E3021" w:rsidRDefault="00606E48">
      <w:pPr>
        <w:ind w:firstLine="482"/>
        <w:rPr>
          <w:b/>
          <w:color w:val="000000"/>
        </w:rPr>
      </w:pPr>
      <w:r>
        <w:rPr>
          <w:rFonts w:hint="eastAsia"/>
          <w:b/>
        </w:rPr>
        <w:t>（</w:t>
      </w:r>
      <w:r>
        <w:rPr>
          <w:rFonts w:hint="eastAsia"/>
          <w:b/>
        </w:rPr>
        <w:t>2</w:t>
      </w:r>
      <w:r>
        <w:rPr>
          <w:rFonts w:hint="eastAsia"/>
          <w:b/>
        </w:rPr>
        <w:t>）</w:t>
      </w:r>
      <w:r>
        <w:rPr>
          <w:b/>
          <w:color w:val="000000"/>
        </w:rPr>
        <w:t>其他注意事项</w:t>
      </w:r>
    </w:p>
    <w:p w:rsidR="004E3021" w:rsidRDefault="00606E48">
      <w:pPr>
        <w:ind w:firstLine="480"/>
      </w:pPr>
      <w:r>
        <w:rPr>
          <w:rFonts w:hint="eastAsia"/>
        </w:rPr>
        <w:t>地下水</w:t>
      </w:r>
      <w:r>
        <w:t>环境</w:t>
      </w:r>
      <w:r>
        <w:rPr>
          <w:rFonts w:hint="eastAsia"/>
        </w:rPr>
        <w:t>风险</w:t>
      </w:r>
      <w:r>
        <w:t>防范措施</w:t>
      </w:r>
      <w:r>
        <w:rPr>
          <w:rFonts w:hint="eastAsia"/>
        </w:rPr>
        <w:t>主要</w:t>
      </w:r>
      <w:r>
        <w:t>采取</w:t>
      </w:r>
      <w:r>
        <w:rPr>
          <w:rFonts w:hint="eastAsia"/>
        </w:rPr>
        <w:t>源头</w:t>
      </w:r>
      <w:r>
        <w:t>控制和分区防渗，具体见章节</w:t>
      </w:r>
      <w:r>
        <w:t>6</w:t>
      </w:r>
      <w:r>
        <w:rPr>
          <w:rFonts w:hint="eastAsia"/>
        </w:rPr>
        <w:t>.5</w:t>
      </w:r>
      <w:r>
        <w:rPr>
          <w:rFonts w:hint="eastAsia"/>
        </w:rPr>
        <w:t>。</w:t>
      </w:r>
    </w:p>
    <w:p w:rsidR="004E3021" w:rsidRDefault="00606E48">
      <w:pPr>
        <w:pStyle w:val="afffffffffffffffff4"/>
      </w:pPr>
      <w:bookmarkStart w:id="748" w:name="_Toc101135941"/>
      <w:bookmarkStart w:id="749" w:name="_Toc108662719"/>
      <w:bookmarkStart w:id="750" w:name="_Toc100784108"/>
      <w:bookmarkStart w:id="751" w:name="_Toc221088874"/>
      <w:bookmarkStart w:id="752" w:name="_Toc221501089"/>
      <w:r>
        <w:rPr>
          <w:rFonts w:hint="eastAsia"/>
        </w:rPr>
        <w:t>6.7.</w:t>
      </w:r>
      <w:r>
        <w:t>4</w:t>
      </w:r>
      <w:r>
        <w:rPr>
          <w:rFonts w:hint="eastAsia"/>
        </w:rPr>
        <w:t>监控</w:t>
      </w:r>
      <w:r>
        <w:t>系统及</w:t>
      </w:r>
      <w:r>
        <w:rPr>
          <w:rFonts w:hint="eastAsia"/>
        </w:rPr>
        <w:t>应急监测</w:t>
      </w:r>
      <w:r>
        <w:t>管理</w:t>
      </w:r>
      <w:bookmarkEnd w:id="748"/>
      <w:bookmarkEnd w:id="749"/>
      <w:bookmarkEnd w:id="750"/>
      <w:bookmarkEnd w:id="751"/>
      <w:bookmarkEnd w:id="752"/>
    </w:p>
    <w:p w:rsidR="004E3021" w:rsidRDefault="00606E48">
      <w:pPr>
        <w:ind w:firstLine="480"/>
      </w:pPr>
      <w:r>
        <w:rPr>
          <w:rFonts w:hint="eastAsia"/>
        </w:rPr>
        <w:t>针对</w:t>
      </w:r>
      <w:r>
        <w:t>生产车间配备了</w:t>
      </w:r>
      <w:r>
        <w:t>DCS</w:t>
      </w:r>
      <w:r>
        <w:t>控制系统、视频监控系统和消防报警按钮，反应釜配备了安全阀等。</w:t>
      </w:r>
    </w:p>
    <w:p w:rsidR="004E3021" w:rsidRDefault="00606E48">
      <w:pPr>
        <w:ind w:firstLine="480"/>
      </w:pPr>
      <w:r>
        <w:t>生产车间均配备了可燃</w:t>
      </w:r>
      <w:r>
        <w:rPr>
          <w:rFonts w:hint="eastAsia"/>
        </w:rPr>
        <w:t>和</w:t>
      </w:r>
      <w:r>
        <w:t>有毒气体报警仪，对</w:t>
      </w:r>
      <w:r>
        <w:rPr>
          <w:rFonts w:hint="eastAsia"/>
        </w:rPr>
        <w:t>甲醇等</w:t>
      </w:r>
      <w:r>
        <w:t>可燃气体</w:t>
      </w:r>
      <w:r>
        <w:rPr>
          <w:rFonts w:hint="eastAsia"/>
        </w:rPr>
        <w:t>和</w:t>
      </w:r>
      <w:r>
        <w:t>氯化氢</w:t>
      </w:r>
      <w:r>
        <w:rPr>
          <w:rFonts w:hint="eastAsia"/>
        </w:rPr>
        <w:t>等</w:t>
      </w:r>
      <w:r>
        <w:t>有毒气体</w:t>
      </w:r>
      <w:r>
        <w:lastRenderedPageBreak/>
        <w:t>进行检测。</w:t>
      </w:r>
    </w:p>
    <w:p w:rsidR="004E3021" w:rsidRDefault="00606E48">
      <w:pPr>
        <w:pStyle w:val="afffffffffffffffff4"/>
      </w:pPr>
      <w:bookmarkStart w:id="753" w:name="_Toc100784109"/>
      <w:bookmarkStart w:id="754" w:name="_Toc108662720"/>
      <w:bookmarkStart w:id="755" w:name="_Toc52175615"/>
      <w:bookmarkStart w:id="756" w:name="_Toc101135942"/>
      <w:bookmarkStart w:id="757" w:name="_Toc221088875"/>
      <w:bookmarkStart w:id="758" w:name="_Toc221501090"/>
      <w:r>
        <w:rPr>
          <w:rFonts w:hint="eastAsia"/>
        </w:rPr>
        <w:t>6.7.</w:t>
      </w:r>
      <w:r>
        <w:t>5</w:t>
      </w:r>
      <w:r>
        <w:t>建立与园区对接、联动的风险防范体系</w:t>
      </w:r>
      <w:bookmarkEnd w:id="753"/>
      <w:bookmarkEnd w:id="754"/>
      <w:bookmarkEnd w:id="755"/>
      <w:bookmarkEnd w:id="756"/>
      <w:bookmarkEnd w:id="757"/>
      <w:bookmarkEnd w:id="758"/>
    </w:p>
    <w:p w:rsidR="004E3021" w:rsidRDefault="00606E48">
      <w:pPr>
        <w:ind w:firstLine="480"/>
      </w:pPr>
      <w:r>
        <w:t>安徽凯盛</w:t>
      </w:r>
      <w:r>
        <w:rPr>
          <w:rFonts w:hint="eastAsia"/>
        </w:rPr>
        <w:t>应用</w:t>
      </w:r>
      <w:r>
        <w:t>材料</w:t>
      </w:r>
      <w:r>
        <w:rPr>
          <w:rFonts w:hint="eastAsia"/>
        </w:rPr>
        <w:t>有限</w:t>
      </w:r>
      <w:r>
        <w:t>公司</w:t>
      </w:r>
      <w:r>
        <w:rPr>
          <w:rFonts w:hint="eastAsia"/>
        </w:rPr>
        <w:t>环境风险防范应建立与园区对接、联动的风险防范体系。可从以下几个方面进行建设：</w:t>
      </w:r>
    </w:p>
    <w:p w:rsidR="004E3021" w:rsidRDefault="00606E48">
      <w:pPr>
        <w:ind w:firstLine="480"/>
      </w:pPr>
      <w:r>
        <w:rPr>
          <w:rFonts w:hint="eastAsia"/>
        </w:rPr>
        <w:t>（</w:t>
      </w:r>
      <w:r>
        <w:rPr>
          <w:rFonts w:hint="eastAsia"/>
        </w:rPr>
        <w:t>1</w:t>
      </w:r>
      <w:r>
        <w:rPr>
          <w:rFonts w:hint="eastAsia"/>
        </w:rPr>
        <w:t>）</w:t>
      </w:r>
      <w:r>
        <w:t>安徽凯盛</w:t>
      </w:r>
      <w:r>
        <w:rPr>
          <w:rFonts w:hint="eastAsia"/>
        </w:rPr>
        <w:t>应用</w:t>
      </w:r>
      <w:r>
        <w:t>材料</w:t>
      </w:r>
      <w:r>
        <w:rPr>
          <w:rFonts w:hint="eastAsia"/>
        </w:rPr>
        <w:t>有限</w:t>
      </w:r>
      <w:r>
        <w:t>公司</w:t>
      </w:r>
      <w:r>
        <w:rPr>
          <w:rFonts w:hint="eastAsia"/>
        </w:rPr>
        <w:t>应建立厂内各生产车间的联动体系，并在预案中予以体现。一旦某车间发生燃爆等事故，相邻车间乃至全厂可根据事故发生的性质、大小，决定是否需要立即停产，是否需要切断污染源、风险源，防止造成连锁反应，甚至多米诺骨牌效应。</w:t>
      </w:r>
    </w:p>
    <w:p w:rsidR="004E3021" w:rsidRDefault="00606E48">
      <w:pPr>
        <w:ind w:firstLine="480"/>
      </w:pPr>
      <w:r>
        <w:rPr>
          <w:rFonts w:hint="eastAsia"/>
        </w:rPr>
        <w:t>（</w:t>
      </w:r>
      <w:r>
        <w:rPr>
          <w:rFonts w:hint="eastAsia"/>
        </w:rPr>
        <w:t>2</w:t>
      </w:r>
      <w:r>
        <w:rPr>
          <w:rFonts w:hint="eastAsia"/>
        </w:rPr>
        <w:t>）建设畅通的信息通道，使</w:t>
      </w:r>
      <w:r>
        <w:t>安徽凯盛</w:t>
      </w:r>
      <w:r>
        <w:rPr>
          <w:rFonts w:hint="eastAsia"/>
        </w:rPr>
        <w:t>应用</w:t>
      </w:r>
      <w:r>
        <w:t>材料</w:t>
      </w:r>
      <w:r>
        <w:rPr>
          <w:rFonts w:hint="eastAsia"/>
        </w:rPr>
        <w:t>有限</w:t>
      </w:r>
      <w:r>
        <w:t>公司</w:t>
      </w:r>
      <w:r>
        <w:rPr>
          <w:rFonts w:hint="eastAsia"/>
        </w:rPr>
        <w:t>应急指挥部必须与周边企业、园区管委会保持</w:t>
      </w:r>
      <w:r>
        <w:rPr>
          <w:rFonts w:hint="eastAsia"/>
        </w:rPr>
        <w:t>24</w:t>
      </w:r>
      <w:r>
        <w:rPr>
          <w:rFonts w:hint="eastAsia"/>
        </w:rPr>
        <w:t>小时的电话联系。一旦发生风险事故，可在第一时间通知相关单位组织居民疏散、撤离。</w:t>
      </w:r>
    </w:p>
    <w:p w:rsidR="004E3021" w:rsidRDefault="00606E48">
      <w:pPr>
        <w:ind w:firstLine="480"/>
      </w:pPr>
      <w:r>
        <w:rPr>
          <w:rFonts w:hint="eastAsia"/>
        </w:rPr>
        <w:t>（</w:t>
      </w:r>
      <w:r>
        <w:rPr>
          <w:rFonts w:hint="eastAsia"/>
        </w:rPr>
        <w:t>3</w:t>
      </w:r>
      <w:r>
        <w:rPr>
          <w:rFonts w:hint="eastAsia"/>
        </w:rPr>
        <w:t>）</w:t>
      </w:r>
      <w:r>
        <w:t>安徽凯盛</w:t>
      </w:r>
      <w:r>
        <w:rPr>
          <w:rFonts w:hint="eastAsia"/>
        </w:rPr>
        <w:t>应用</w:t>
      </w:r>
      <w:r>
        <w:t>材料</w:t>
      </w:r>
      <w:r>
        <w:rPr>
          <w:rFonts w:hint="eastAsia"/>
        </w:rPr>
        <w:t>有限</w:t>
      </w:r>
      <w:r>
        <w:t>公司</w:t>
      </w:r>
      <w:r>
        <w:rPr>
          <w:rFonts w:hint="eastAsia"/>
        </w:rPr>
        <w:t>所使用的危险化学品种类及数量应及时上报园区救援中心，并将可能发生的事故类型及对应的救援方案纳入园区风险管理体系。</w:t>
      </w:r>
    </w:p>
    <w:p w:rsidR="004E3021" w:rsidRDefault="00606E48">
      <w:pPr>
        <w:ind w:firstLine="480"/>
      </w:pPr>
      <w:r>
        <w:t>（</w:t>
      </w:r>
      <w:r>
        <w:t>4</w:t>
      </w:r>
      <w:r>
        <w:t>）园区救援中心应建立入区企业事故类型、应急物资数据库，一旦区内某一家企业发生风险事故，可立即调配其余企业的同类型救援物资进行救援，构筑</w:t>
      </w:r>
      <w:r>
        <w:rPr>
          <w:rFonts w:asciiTheme="minorEastAsia" w:eastAsiaTheme="minorEastAsia" w:hAnsiTheme="minorEastAsia"/>
        </w:rPr>
        <w:t>“</w:t>
      </w:r>
      <w:r>
        <w:t>一家有难，集体联动</w:t>
      </w:r>
      <w:r>
        <w:rPr>
          <w:rFonts w:asciiTheme="minorEastAsia" w:eastAsiaTheme="minorEastAsia" w:hAnsiTheme="minorEastAsia"/>
        </w:rPr>
        <w:t>”</w:t>
      </w:r>
      <w:r>
        <w:t>的防范体系。</w:t>
      </w:r>
    </w:p>
    <w:p w:rsidR="004E3021" w:rsidRDefault="00606E48">
      <w:pPr>
        <w:pStyle w:val="afffffffffffffffff4"/>
        <w:rPr>
          <w:color w:val="000000" w:themeColor="text1"/>
        </w:rPr>
      </w:pPr>
      <w:bookmarkStart w:id="759" w:name="_Toc101135943"/>
      <w:bookmarkStart w:id="760" w:name="_Toc52175611"/>
      <w:bookmarkStart w:id="761" w:name="_Toc108662721"/>
      <w:bookmarkStart w:id="762" w:name="_Toc100784110"/>
      <w:bookmarkStart w:id="763" w:name="_Toc221088876"/>
      <w:bookmarkStart w:id="764" w:name="_Toc221501091"/>
      <w:r>
        <w:rPr>
          <w:rFonts w:hint="eastAsia"/>
          <w:color w:val="000000" w:themeColor="text1"/>
        </w:rPr>
        <w:t>6.7.</w:t>
      </w:r>
      <w:r>
        <w:rPr>
          <w:color w:val="000000" w:themeColor="text1"/>
        </w:rPr>
        <w:t>6</w:t>
      </w:r>
      <w:r>
        <w:rPr>
          <w:color w:val="000000" w:themeColor="text1"/>
        </w:rPr>
        <w:t>次</w:t>
      </w:r>
      <w:r>
        <w:rPr>
          <w:color w:val="000000" w:themeColor="text1"/>
        </w:rPr>
        <w:t>/</w:t>
      </w:r>
      <w:r>
        <w:rPr>
          <w:color w:val="000000" w:themeColor="text1"/>
        </w:rPr>
        <w:t>伴生污染防治措施</w:t>
      </w:r>
      <w:bookmarkEnd w:id="759"/>
      <w:bookmarkEnd w:id="760"/>
      <w:bookmarkEnd w:id="761"/>
      <w:bookmarkEnd w:id="762"/>
      <w:bookmarkEnd w:id="763"/>
      <w:bookmarkEnd w:id="764"/>
    </w:p>
    <w:p w:rsidR="004E3021" w:rsidRDefault="00606E48">
      <w:pPr>
        <w:ind w:firstLine="480"/>
      </w:pPr>
      <w:r>
        <w:t>发生火灾后，首先，要进行灭火，降低着火时间，采取喷水洗消等措施减少烟尘、</w:t>
      </w:r>
      <w:r>
        <w:t>CO</w:t>
      </w:r>
      <w:r>
        <w:t>等燃烧产物对环境空气造成的影响；</w:t>
      </w:r>
    </w:p>
    <w:p w:rsidR="004E3021" w:rsidRDefault="00606E48">
      <w:pPr>
        <w:ind w:firstLine="480"/>
      </w:pPr>
      <w:r>
        <w:t>事故救援过程中产生的喷淋废水和消防废水应引入厂内事故池暂时收集，分批送入厂内污水处理站处理；</w:t>
      </w:r>
    </w:p>
    <w:p w:rsidR="004E3021" w:rsidRDefault="00606E48">
      <w:pPr>
        <w:ind w:firstLine="480"/>
      </w:pPr>
      <w:r>
        <w:t>其它废灭火剂、拦截、堵漏材料等在事故排放后统一收集送有资质单位进行处理。特别应注意的是，对于可能引起沸溅、发生二次反应物料的泄漏，应使用覆土、砂石等材料覆盖，尽量避免使用消防水抢救，防止产生二次污染</w:t>
      </w:r>
      <w:r>
        <w:rPr>
          <w:rFonts w:hint="eastAsia"/>
        </w:rPr>
        <w:t>。</w:t>
      </w:r>
    </w:p>
    <w:p w:rsidR="004E3021" w:rsidRDefault="00606E48">
      <w:pPr>
        <w:pStyle w:val="afffffffffffffffff4"/>
      </w:pPr>
      <w:bookmarkStart w:id="765" w:name="_Toc52175614"/>
      <w:bookmarkStart w:id="766" w:name="_Toc108662722"/>
      <w:bookmarkStart w:id="767" w:name="_Toc101135944"/>
      <w:bookmarkStart w:id="768" w:name="_Toc100784111"/>
      <w:bookmarkStart w:id="769" w:name="_Toc221088877"/>
      <w:bookmarkStart w:id="770" w:name="_Toc221501092"/>
      <w:r>
        <w:rPr>
          <w:rFonts w:hint="eastAsia"/>
        </w:rPr>
        <w:t>6.7.</w:t>
      </w:r>
      <w:r>
        <w:t>7</w:t>
      </w:r>
      <w:r>
        <w:t>消防及火灾报警系统</w:t>
      </w:r>
      <w:bookmarkEnd w:id="765"/>
      <w:bookmarkEnd w:id="766"/>
      <w:bookmarkEnd w:id="767"/>
      <w:bookmarkEnd w:id="768"/>
      <w:bookmarkEnd w:id="769"/>
      <w:bookmarkEnd w:id="770"/>
    </w:p>
    <w:p w:rsidR="004E3021" w:rsidRDefault="00606E48">
      <w:pPr>
        <w:ind w:firstLine="480"/>
      </w:pPr>
      <w:r>
        <w:rPr>
          <w:rFonts w:hint="eastAsia"/>
        </w:rPr>
        <w:t>消防系统包括水消防和泡沫消防，以及移动式灭火系统。水消防服务于全厂建构筑物火灾事故和主装置的辅助消防任务；全装置设计各类移动灭火器，负责扑救局部小型</w:t>
      </w:r>
      <w:r>
        <w:rPr>
          <w:rFonts w:hint="eastAsia"/>
        </w:rPr>
        <w:lastRenderedPageBreak/>
        <w:t>火灾。</w:t>
      </w:r>
    </w:p>
    <w:p w:rsidR="004E3021" w:rsidRDefault="00606E48">
      <w:pPr>
        <w:ind w:firstLine="480"/>
      </w:pPr>
      <w:r>
        <w:rPr>
          <w:rFonts w:hint="eastAsia"/>
        </w:rPr>
        <w:t>本项目生产装置区设计火灾报警系统、自动水消防和泡沫消防系统；罐区配备水喷淋装置，遇火灾、爆炸可起到灭火、冷却容器等作用。</w:t>
      </w:r>
    </w:p>
    <w:p w:rsidR="004E3021" w:rsidRDefault="00606E48">
      <w:pPr>
        <w:pStyle w:val="afffffffffffffffff4"/>
      </w:pPr>
      <w:bookmarkStart w:id="771" w:name="_Toc100784112"/>
      <w:bookmarkStart w:id="772" w:name="_Toc108662723"/>
      <w:bookmarkStart w:id="773" w:name="_Toc101135945"/>
      <w:bookmarkStart w:id="774" w:name="_Toc221088878"/>
      <w:bookmarkStart w:id="775" w:name="_Toc221501093"/>
      <w:r>
        <w:rPr>
          <w:rFonts w:hint="eastAsia"/>
        </w:rPr>
        <w:t>6.7.</w:t>
      </w:r>
      <w:r>
        <w:t>8</w:t>
      </w:r>
      <w:r>
        <w:t>其它风险事故防范措施</w:t>
      </w:r>
      <w:bookmarkEnd w:id="771"/>
      <w:bookmarkEnd w:id="772"/>
      <w:bookmarkEnd w:id="773"/>
      <w:bookmarkEnd w:id="774"/>
      <w:bookmarkEnd w:id="775"/>
    </w:p>
    <w:p w:rsidR="004E3021" w:rsidRDefault="00606E48">
      <w:pPr>
        <w:ind w:firstLine="480"/>
        <w:rPr>
          <w:color w:val="000000"/>
        </w:rPr>
      </w:pPr>
      <w:r>
        <w:rPr>
          <w:color w:val="000000"/>
        </w:rPr>
        <w:t>（</w:t>
      </w:r>
      <w:r>
        <w:rPr>
          <w:color w:val="000000"/>
        </w:rPr>
        <w:t>1</w:t>
      </w:r>
      <w:r>
        <w:rPr>
          <w:color w:val="000000"/>
        </w:rPr>
        <w:t>）环境安全教育等要纳入企业经营管理范畴，完善环境安全组织结构；成立事故应急救援指挥领导小组，组织专业救援队伍，明确各自职责，并配备相应的应急设施、设备和材料。</w:t>
      </w:r>
    </w:p>
    <w:p w:rsidR="004E3021" w:rsidRDefault="00606E48">
      <w:pPr>
        <w:ind w:firstLine="480"/>
        <w:rPr>
          <w:color w:val="000000"/>
        </w:rPr>
      </w:pPr>
      <w:r>
        <w:rPr>
          <w:color w:val="000000"/>
        </w:rPr>
        <w:t>（</w:t>
      </w:r>
      <w:r>
        <w:rPr>
          <w:color w:val="000000"/>
        </w:rPr>
        <w:t>2</w:t>
      </w:r>
      <w:r>
        <w:rPr>
          <w:color w:val="000000"/>
        </w:rPr>
        <w:t>）企业定期更新周边敏感目标、应急专家库、可请求救援的应急队伍等联系方式。</w:t>
      </w:r>
    </w:p>
    <w:p w:rsidR="004E3021" w:rsidRDefault="00606E48">
      <w:pPr>
        <w:ind w:firstLine="480"/>
        <w:rPr>
          <w:color w:val="000000"/>
        </w:rPr>
      </w:pPr>
      <w:r>
        <w:rPr>
          <w:color w:val="000000"/>
        </w:rPr>
        <w:t>（</w:t>
      </w:r>
      <w:r>
        <w:rPr>
          <w:color w:val="000000"/>
        </w:rPr>
        <w:t>3</w:t>
      </w:r>
      <w:r>
        <w:rPr>
          <w:color w:val="000000"/>
        </w:rPr>
        <w:t>）建、构筑物的防雷等级符合《建筑物防雷设计规范》（</w:t>
      </w:r>
      <w:r>
        <w:rPr>
          <w:color w:val="000000"/>
        </w:rPr>
        <w:t>GB50057-2010</w:t>
      </w:r>
      <w:r>
        <w:rPr>
          <w:color w:val="000000"/>
        </w:rPr>
        <w:t>）的设计规定，防雷接地装置的冲击接地电阻应小于</w:t>
      </w:r>
      <w:r>
        <w:rPr>
          <w:color w:val="000000"/>
        </w:rPr>
        <w:t>10Ω</w:t>
      </w:r>
      <w:r>
        <w:rPr>
          <w:color w:val="000000"/>
        </w:rPr>
        <w:t>。</w:t>
      </w:r>
    </w:p>
    <w:p w:rsidR="004E3021" w:rsidRDefault="00606E48">
      <w:pPr>
        <w:ind w:firstLine="480"/>
        <w:rPr>
          <w:color w:val="000000"/>
        </w:rPr>
      </w:pPr>
      <w:r>
        <w:rPr>
          <w:color w:val="000000"/>
        </w:rPr>
        <w:t>（</w:t>
      </w:r>
      <w:r>
        <w:rPr>
          <w:color w:val="000000"/>
        </w:rPr>
        <w:t>4</w:t>
      </w:r>
      <w:r>
        <w:rPr>
          <w:color w:val="000000"/>
        </w:rPr>
        <w:t>）应定期对厂区周围</w:t>
      </w:r>
      <w:r>
        <w:rPr>
          <w:color w:val="000000"/>
        </w:rPr>
        <w:t>1km</w:t>
      </w:r>
      <w:r>
        <w:rPr>
          <w:color w:val="000000"/>
        </w:rPr>
        <w:t>范围内的职工分发防火、防爆常识的宣传手册。</w:t>
      </w:r>
    </w:p>
    <w:p w:rsidR="004E3021" w:rsidRDefault="00606E48">
      <w:pPr>
        <w:pStyle w:val="afffffffffffffffff4"/>
      </w:pPr>
      <w:bookmarkStart w:id="776" w:name="_Toc101135946"/>
      <w:bookmarkStart w:id="777" w:name="_Toc108662724"/>
      <w:bookmarkStart w:id="778" w:name="_Toc100784113"/>
      <w:bookmarkStart w:id="779" w:name="_Toc221088879"/>
      <w:bookmarkStart w:id="780" w:name="_Toc221501094"/>
      <w:r>
        <w:rPr>
          <w:rFonts w:hint="eastAsia"/>
        </w:rPr>
        <w:t>6.7.</w:t>
      </w:r>
      <w:r>
        <w:t>9</w:t>
      </w:r>
      <w:r>
        <w:t>事故应急预案</w:t>
      </w:r>
      <w:bookmarkEnd w:id="776"/>
      <w:bookmarkEnd w:id="777"/>
      <w:bookmarkEnd w:id="778"/>
      <w:bookmarkEnd w:id="779"/>
      <w:bookmarkEnd w:id="780"/>
    </w:p>
    <w:p w:rsidR="004E3021" w:rsidRDefault="00606E48">
      <w:pPr>
        <w:ind w:firstLine="480"/>
        <w:rPr>
          <w:color w:val="000000"/>
        </w:rPr>
      </w:pPr>
      <w:r>
        <w:rPr>
          <w:color w:val="000000"/>
        </w:rPr>
        <w:t>本项目建成运行后，生产过程中涉及多种有毒有害物质，存在一定的环境风险隐患。</w:t>
      </w:r>
    </w:p>
    <w:p w:rsidR="004E3021" w:rsidRDefault="00606E48">
      <w:pPr>
        <w:ind w:firstLine="480"/>
        <w:rPr>
          <w:color w:val="000000"/>
        </w:rPr>
      </w:pPr>
      <w:r>
        <w:rPr>
          <w:color w:val="000000"/>
        </w:rPr>
        <w:t>针对可能发生的环境污染事件，为迅速、有序地开展环境应急行动，本评价要求，企业应参照《石油化工企业环境应急预案编制指南》</w:t>
      </w:r>
      <w:r>
        <w:rPr>
          <w:color w:val="000000"/>
        </w:rPr>
        <w:t>(</w:t>
      </w:r>
      <w:r>
        <w:rPr>
          <w:color w:val="000000"/>
        </w:rPr>
        <w:t>环办</w:t>
      </w:r>
      <w:r>
        <w:rPr>
          <w:color w:val="000000"/>
        </w:rPr>
        <w:t>[2010]10</w:t>
      </w:r>
      <w:r>
        <w:rPr>
          <w:color w:val="000000"/>
        </w:rPr>
        <w:t>号</w:t>
      </w:r>
      <w:r>
        <w:rPr>
          <w:color w:val="000000"/>
        </w:rPr>
        <w:t>)</w:t>
      </w:r>
      <w:r>
        <w:rPr>
          <w:color w:val="000000"/>
        </w:rPr>
        <w:t>、《关于加强突发环境事件应急预案管理工作的通知》</w:t>
      </w:r>
      <w:r>
        <w:rPr>
          <w:color w:val="000000"/>
        </w:rPr>
        <w:t>(</w:t>
      </w:r>
      <w:r>
        <w:rPr>
          <w:color w:val="000000"/>
        </w:rPr>
        <w:t>环察函</w:t>
      </w:r>
      <w:r>
        <w:rPr>
          <w:color w:val="000000"/>
        </w:rPr>
        <w:t>[2012]699</w:t>
      </w:r>
      <w:r>
        <w:rPr>
          <w:color w:val="000000"/>
        </w:rPr>
        <w:t>号</w:t>
      </w:r>
      <w:r>
        <w:rPr>
          <w:color w:val="000000"/>
        </w:rPr>
        <w:t>)</w:t>
      </w:r>
      <w:r>
        <w:rPr>
          <w:color w:val="000000"/>
        </w:rPr>
        <w:t>要求，编制企业环境风险应急预案。并按《企业事业单位突发环境事件应急预案备案管理办法</w:t>
      </w:r>
      <w:r>
        <w:rPr>
          <w:color w:val="000000"/>
        </w:rPr>
        <w:t>(</w:t>
      </w:r>
      <w:r>
        <w:rPr>
          <w:color w:val="000000"/>
        </w:rPr>
        <w:t>试行</w:t>
      </w:r>
      <w:r>
        <w:rPr>
          <w:color w:val="000000"/>
        </w:rPr>
        <w:t>)</w:t>
      </w:r>
      <w:r>
        <w:rPr>
          <w:color w:val="000000"/>
        </w:rPr>
        <w:t>》要求，向项目所在地环境保护主管部门备案，并与园区及园区企业建立应急联动。</w:t>
      </w:r>
    </w:p>
    <w:p w:rsidR="004E3021" w:rsidRDefault="00606E48">
      <w:pPr>
        <w:ind w:firstLine="480"/>
        <w:rPr>
          <w:color w:val="000000"/>
          <w:kern w:val="0"/>
        </w:rPr>
      </w:pPr>
      <w:r>
        <w:rPr>
          <w:color w:val="000000"/>
          <w:kern w:val="0"/>
        </w:rPr>
        <w:t>本评价参考相关规范要求，列出应急预案编制内容要求汇总见表</w:t>
      </w:r>
      <w:r>
        <w:rPr>
          <w:color w:val="000000"/>
        </w:rPr>
        <w:t>6.7</w:t>
      </w:r>
      <w:r>
        <w:rPr>
          <w:rFonts w:eastAsia="黑体"/>
          <w:color w:val="000000"/>
        </w:rPr>
        <w:t>.9-1</w:t>
      </w:r>
      <w:r>
        <w:rPr>
          <w:color w:val="000000"/>
          <w:kern w:val="0"/>
        </w:rPr>
        <w:t>。</w:t>
      </w:r>
    </w:p>
    <w:p w:rsidR="004E3021" w:rsidRDefault="00606E48">
      <w:pPr>
        <w:spacing w:line="500" w:lineRule="exact"/>
        <w:ind w:firstLine="480"/>
        <w:jc w:val="center"/>
        <w:rPr>
          <w:rFonts w:eastAsia="黑体"/>
          <w:color w:val="000000"/>
        </w:rPr>
      </w:pPr>
      <w:r>
        <w:rPr>
          <w:rFonts w:eastAsia="黑体"/>
          <w:color w:val="000000"/>
        </w:rPr>
        <w:t>表</w:t>
      </w:r>
      <w:r>
        <w:rPr>
          <w:color w:val="000000"/>
        </w:rPr>
        <w:t>6.7</w:t>
      </w:r>
      <w:r>
        <w:rPr>
          <w:rFonts w:eastAsia="黑体"/>
          <w:color w:val="000000"/>
        </w:rPr>
        <w:t xml:space="preserve">.9-1  </w:t>
      </w:r>
      <w:r>
        <w:rPr>
          <w:rFonts w:eastAsia="黑体"/>
          <w:color w:val="000000"/>
        </w:rPr>
        <w:t>企业环境风险应急预案编制内容要求汇总一览表</w:t>
      </w:r>
    </w:p>
    <w:tbl>
      <w:tblPr>
        <w:tblStyle w:val="1ffffffd"/>
        <w:tblW w:w="5000" w:type="pct"/>
        <w:tblLook w:val="04A0" w:firstRow="1" w:lastRow="0" w:firstColumn="1" w:lastColumn="0" w:noHBand="0" w:noVBand="1"/>
      </w:tblPr>
      <w:tblGrid>
        <w:gridCol w:w="681"/>
        <w:gridCol w:w="1574"/>
        <w:gridCol w:w="6771"/>
      </w:tblGrid>
      <w:tr w:rsidR="004E3021" w:rsidRPr="00D9365E" w:rsidTr="00D9365E">
        <w:trPr>
          <w:trHeight w:val="340"/>
        </w:trPr>
        <w:tc>
          <w:tcPr>
            <w:tcW w:w="377" w:type="pct"/>
          </w:tcPr>
          <w:p w:rsidR="004E3021" w:rsidRPr="00D9365E" w:rsidRDefault="00606E48">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序号</w:t>
            </w:r>
          </w:p>
        </w:tc>
        <w:tc>
          <w:tcPr>
            <w:tcW w:w="872" w:type="pct"/>
          </w:tcPr>
          <w:p w:rsidR="004E3021" w:rsidRPr="00D9365E" w:rsidRDefault="00606E48">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章节</w:t>
            </w:r>
          </w:p>
        </w:tc>
        <w:tc>
          <w:tcPr>
            <w:tcW w:w="3751" w:type="pct"/>
          </w:tcPr>
          <w:p w:rsidR="004E3021" w:rsidRPr="00D9365E" w:rsidRDefault="00606E48">
            <w:pPr>
              <w:pStyle w:val="afffffff2"/>
              <w:rPr>
                <w:rFonts w:ascii="Times New Roman" w:hAnsi="Times New Roman" w:cs="Times New Roman"/>
                <w:b/>
                <w:kern w:val="0"/>
                <w:sz w:val="21"/>
                <w:szCs w:val="21"/>
              </w:rPr>
            </w:pPr>
            <w:r w:rsidRPr="00D9365E">
              <w:rPr>
                <w:rFonts w:ascii="Times New Roman" w:hAnsi="Times New Roman" w:cs="Times New Roman"/>
                <w:b/>
                <w:kern w:val="0"/>
                <w:sz w:val="21"/>
                <w:szCs w:val="21"/>
              </w:rPr>
              <w:t>主要内容</w:t>
            </w:r>
          </w:p>
        </w:tc>
      </w:tr>
      <w:tr w:rsidR="004E3021" w:rsidRPr="00D9365E" w:rsidTr="00D9365E">
        <w:trPr>
          <w:trHeight w:val="340"/>
        </w:trPr>
        <w:tc>
          <w:tcPr>
            <w:tcW w:w="377"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1</w:t>
            </w:r>
          </w:p>
        </w:tc>
        <w:tc>
          <w:tcPr>
            <w:tcW w:w="872"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总则</w:t>
            </w:r>
          </w:p>
        </w:tc>
        <w:tc>
          <w:tcPr>
            <w:tcW w:w="3751"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明确预案编制的目的、依据、适用范围、等级划分等</w:t>
            </w:r>
          </w:p>
        </w:tc>
      </w:tr>
      <w:tr w:rsidR="004E3021" w:rsidRPr="00D9365E" w:rsidTr="00D9365E">
        <w:trPr>
          <w:trHeight w:val="340"/>
        </w:trPr>
        <w:tc>
          <w:tcPr>
            <w:tcW w:w="377"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2</w:t>
            </w:r>
          </w:p>
        </w:tc>
        <w:tc>
          <w:tcPr>
            <w:tcW w:w="872"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组织结构和职责</w:t>
            </w:r>
          </w:p>
        </w:tc>
        <w:tc>
          <w:tcPr>
            <w:tcW w:w="3751"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明确应急机构的组成、各机构职责等</w:t>
            </w:r>
          </w:p>
        </w:tc>
      </w:tr>
      <w:tr w:rsidR="004E3021" w:rsidRPr="00D9365E" w:rsidTr="00D9365E">
        <w:trPr>
          <w:trHeight w:val="340"/>
        </w:trPr>
        <w:tc>
          <w:tcPr>
            <w:tcW w:w="377"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3</w:t>
            </w:r>
          </w:p>
        </w:tc>
        <w:tc>
          <w:tcPr>
            <w:tcW w:w="872"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预防与预警</w:t>
            </w:r>
          </w:p>
        </w:tc>
        <w:tc>
          <w:tcPr>
            <w:tcW w:w="3751"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明确区域内的重大危险源分布、各应急机构根据职责开展应急预防和应急准备等</w:t>
            </w:r>
          </w:p>
        </w:tc>
      </w:tr>
      <w:tr w:rsidR="004E3021" w:rsidRPr="00D9365E" w:rsidTr="00D9365E">
        <w:trPr>
          <w:trHeight w:val="340"/>
        </w:trPr>
        <w:tc>
          <w:tcPr>
            <w:tcW w:w="377"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4</w:t>
            </w:r>
          </w:p>
        </w:tc>
        <w:tc>
          <w:tcPr>
            <w:tcW w:w="872"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应急响应</w:t>
            </w:r>
          </w:p>
        </w:tc>
        <w:tc>
          <w:tcPr>
            <w:tcW w:w="3751"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明确预案应急响应的流程、分级响应及启动条件、信息报告与处置及现场处置等</w:t>
            </w:r>
          </w:p>
        </w:tc>
      </w:tr>
      <w:tr w:rsidR="004E3021" w:rsidRPr="00D9365E" w:rsidTr="00D9365E">
        <w:trPr>
          <w:trHeight w:val="340"/>
        </w:trPr>
        <w:tc>
          <w:tcPr>
            <w:tcW w:w="377"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lastRenderedPageBreak/>
              <w:t>5</w:t>
            </w:r>
          </w:p>
        </w:tc>
        <w:tc>
          <w:tcPr>
            <w:tcW w:w="872"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安全防护</w:t>
            </w:r>
          </w:p>
        </w:tc>
        <w:tc>
          <w:tcPr>
            <w:tcW w:w="3751"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明确事件现场保护措施、群众安全转移措施、次生灾害方法治措施等</w:t>
            </w:r>
          </w:p>
        </w:tc>
      </w:tr>
      <w:tr w:rsidR="004E3021" w:rsidRPr="00D9365E" w:rsidTr="00D9365E">
        <w:trPr>
          <w:trHeight w:val="340"/>
        </w:trPr>
        <w:tc>
          <w:tcPr>
            <w:tcW w:w="377"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6</w:t>
            </w:r>
          </w:p>
        </w:tc>
        <w:tc>
          <w:tcPr>
            <w:tcW w:w="872"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应急状态解除</w:t>
            </w:r>
          </w:p>
        </w:tc>
        <w:tc>
          <w:tcPr>
            <w:tcW w:w="3751"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明确应急终止的条件、程序及跟踪监测和评估方案等</w:t>
            </w:r>
          </w:p>
        </w:tc>
      </w:tr>
      <w:tr w:rsidR="004E3021" w:rsidRPr="00D9365E" w:rsidTr="00D9365E">
        <w:trPr>
          <w:trHeight w:val="340"/>
        </w:trPr>
        <w:tc>
          <w:tcPr>
            <w:tcW w:w="377"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7</w:t>
            </w:r>
          </w:p>
        </w:tc>
        <w:tc>
          <w:tcPr>
            <w:tcW w:w="872"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善后处置</w:t>
            </w:r>
          </w:p>
        </w:tc>
        <w:tc>
          <w:tcPr>
            <w:tcW w:w="3751"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明确受灾人员的安置及赔偿方案等</w:t>
            </w:r>
          </w:p>
        </w:tc>
      </w:tr>
      <w:tr w:rsidR="004E3021" w:rsidRPr="00D9365E" w:rsidTr="00D9365E">
        <w:trPr>
          <w:trHeight w:val="340"/>
        </w:trPr>
        <w:tc>
          <w:tcPr>
            <w:tcW w:w="377"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8</w:t>
            </w:r>
          </w:p>
        </w:tc>
        <w:tc>
          <w:tcPr>
            <w:tcW w:w="872"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应急保障</w:t>
            </w:r>
          </w:p>
        </w:tc>
        <w:tc>
          <w:tcPr>
            <w:tcW w:w="3751"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明确应急保障计划、应急物资、装备保障及其他保障措施等</w:t>
            </w:r>
          </w:p>
        </w:tc>
      </w:tr>
      <w:tr w:rsidR="004E3021" w:rsidRPr="00D9365E" w:rsidTr="00D9365E">
        <w:trPr>
          <w:trHeight w:val="340"/>
        </w:trPr>
        <w:tc>
          <w:tcPr>
            <w:tcW w:w="377"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9</w:t>
            </w:r>
          </w:p>
        </w:tc>
        <w:tc>
          <w:tcPr>
            <w:tcW w:w="872"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预案管理</w:t>
            </w:r>
          </w:p>
        </w:tc>
        <w:tc>
          <w:tcPr>
            <w:tcW w:w="3751" w:type="pct"/>
          </w:tcPr>
          <w:p w:rsidR="004E3021" w:rsidRPr="00D9365E" w:rsidRDefault="00606E48">
            <w:pPr>
              <w:pStyle w:val="afffffff2"/>
              <w:rPr>
                <w:rFonts w:ascii="Times New Roman" w:hAnsi="Times New Roman" w:cs="Times New Roman"/>
                <w:kern w:val="0"/>
                <w:sz w:val="21"/>
                <w:szCs w:val="21"/>
              </w:rPr>
            </w:pPr>
            <w:r w:rsidRPr="00D9365E">
              <w:rPr>
                <w:rFonts w:ascii="Times New Roman" w:hAnsi="Times New Roman" w:cs="Times New Roman"/>
                <w:kern w:val="0"/>
                <w:sz w:val="21"/>
                <w:szCs w:val="21"/>
              </w:rPr>
              <w:t>明确预案的演练计划、修订方案及备案程序等</w:t>
            </w:r>
          </w:p>
        </w:tc>
      </w:tr>
    </w:tbl>
    <w:p w:rsidR="004E3021" w:rsidRDefault="004E3021" w:rsidP="00FD6D08">
      <w:pPr>
        <w:ind w:firstLine="480"/>
      </w:pPr>
      <w:bookmarkStart w:id="781" w:name="_Toc58511636"/>
      <w:bookmarkEnd w:id="781"/>
    </w:p>
    <w:p w:rsidR="00FD6D08" w:rsidRDefault="00FD6D08" w:rsidP="00FD6D08">
      <w:pPr>
        <w:pStyle w:val="a0"/>
        <w:ind w:firstLine="480"/>
      </w:pPr>
    </w:p>
    <w:p w:rsidR="004E3021" w:rsidRDefault="00606E48">
      <w:pPr>
        <w:pStyle w:val="afffffffffffffffff3"/>
      </w:pPr>
      <w:bookmarkStart w:id="782" w:name="_Toc221501095"/>
      <w:r>
        <w:t>6.8</w:t>
      </w:r>
      <w:r>
        <w:t>环境保护措施及项目竣工环保验收</w:t>
      </w:r>
      <w:r>
        <w:t>“</w:t>
      </w:r>
      <w:r>
        <w:t>三同时</w:t>
      </w:r>
      <w:r>
        <w:t>”</w:t>
      </w:r>
      <w:r>
        <w:t>一览表</w:t>
      </w:r>
      <w:bookmarkEnd w:id="782"/>
    </w:p>
    <w:p w:rsidR="004E3021" w:rsidRDefault="00606E48">
      <w:pPr>
        <w:ind w:firstLine="480"/>
        <w:rPr>
          <w:rFonts w:ascii="宋体" w:hAnsi="宋体"/>
        </w:rPr>
        <w:sectPr w:rsidR="004E3021">
          <w:pgSz w:w="11906" w:h="16838"/>
          <w:pgMar w:top="1440" w:right="1440" w:bottom="1440" w:left="1440" w:header="720" w:footer="720" w:gutter="0"/>
          <w:cols w:space="720"/>
          <w:docGrid w:linePitch="326"/>
        </w:sectPr>
      </w:pPr>
      <w:r>
        <w:rPr>
          <w:rFonts w:ascii="宋体" w:hAnsi="宋体"/>
        </w:rPr>
        <w:t>本项目总投资</w:t>
      </w:r>
      <w:r w:rsidR="00FD6D08">
        <w:t>2500</w:t>
      </w:r>
      <w:r>
        <w:rPr>
          <w:rFonts w:ascii="宋体" w:hAnsi="宋体"/>
        </w:rPr>
        <w:t>万元，</w:t>
      </w:r>
      <w:r>
        <w:t>其中环保投资</w:t>
      </w:r>
      <w:r w:rsidR="00FD6D08">
        <w:t>233</w:t>
      </w:r>
      <w:r>
        <w:t>万元，占总投资的</w:t>
      </w:r>
      <w:r w:rsidR="00FD6D08">
        <w:t>9.32</w:t>
      </w:r>
      <w:r>
        <w:t>%</w:t>
      </w:r>
      <w:r>
        <w:rPr>
          <w:rFonts w:ascii="宋体" w:hAnsi="宋体"/>
        </w:rPr>
        <w:t>。本项目</w:t>
      </w:r>
      <w:r>
        <w:t>“</w:t>
      </w:r>
      <w:r>
        <w:rPr>
          <w:rFonts w:ascii="宋体" w:hAnsi="宋体"/>
        </w:rPr>
        <w:t>三同时</w:t>
      </w:r>
      <w:r>
        <w:t>”</w:t>
      </w:r>
      <w:r>
        <w:rPr>
          <w:rFonts w:ascii="宋体" w:hAnsi="宋体"/>
        </w:rPr>
        <w:t>验收内容详见表</w:t>
      </w:r>
      <w:r>
        <w:t>6.7-1</w:t>
      </w:r>
      <w:r>
        <w:rPr>
          <w:rFonts w:ascii="宋体" w:hAnsi="宋体"/>
        </w:rPr>
        <w:t>。</w:t>
      </w:r>
    </w:p>
    <w:p w:rsidR="004E3021" w:rsidRDefault="00606E48">
      <w:pPr>
        <w:pStyle w:val="afffff4"/>
        <w:ind w:firstLine="480"/>
        <w:rPr>
          <w:b/>
          <w:kern w:val="0"/>
        </w:rPr>
      </w:pPr>
      <w:r>
        <w:rPr>
          <w:rFonts w:ascii="黑体" w:hAnsi="黑体"/>
        </w:rPr>
        <w:lastRenderedPageBreak/>
        <w:t>表</w:t>
      </w:r>
      <w:r>
        <w:t xml:space="preserve">6.7-1  </w:t>
      </w:r>
      <w:r>
        <w:rPr>
          <w:rFonts w:ascii="黑体" w:hAnsi="黑体"/>
        </w:rPr>
        <w:t>环境保护措施及项目竣工环保验收</w:t>
      </w:r>
      <w:r>
        <w:t>“</w:t>
      </w:r>
      <w:r>
        <w:rPr>
          <w:rFonts w:ascii="黑体" w:hAnsi="黑体"/>
        </w:rPr>
        <w:t>三同时</w:t>
      </w:r>
      <w:r>
        <w:t>”</w:t>
      </w:r>
      <w:r>
        <w:rPr>
          <w:rFonts w:ascii="黑体" w:hAnsi="黑体"/>
        </w:rPr>
        <w:t>一览表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4E3021" w:rsidRDefault="004E3021">
      <w:pPr>
        <w:ind w:firstLineChars="0" w:firstLine="0"/>
      </w:pPr>
    </w:p>
    <w:p w:rsidR="004E3021" w:rsidRDefault="004E3021">
      <w:pPr>
        <w:ind w:firstLineChars="83" w:firstLine="199"/>
        <w:sectPr w:rsidR="004E3021">
          <w:pgSz w:w="16838" w:h="11906" w:orient="landscape"/>
          <w:pgMar w:top="1800" w:right="1440" w:bottom="1800" w:left="1440" w:header="720" w:footer="720" w:gutter="0"/>
          <w:cols w:space="720"/>
          <w:docGrid w:linePitch="326"/>
        </w:sectPr>
      </w:pPr>
    </w:p>
    <w:p w:rsidR="004E3021" w:rsidRDefault="00606E48">
      <w:pPr>
        <w:pStyle w:val="afffffffffffffffff2"/>
      </w:pPr>
      <w:bookmarkStart w:id="783" w:name="_Toc394045987"/>
      <w:bookmarkStart w:id="784" w:name="_Toc474323741"/>
      <w:bookmarkStart w:id="785" w:name="_Toc468617114"/>
      <w:bookmarkStart w:id="786" w:name="_Toc221501096"/>
      <w:bookmarkEnd w:id="783"/>
      <w:bookmarkEnd w:id="784"/>
      <w:bookmarkEnd w:id="785"/>
      <w:r>
        <w:rPr>
          <w:rFonts w:hint="eastAsia"/>
        </w:rPr>
        <w:lastRenderedPageBreak/>
        <w:t>7</w:t>
      </w:r>
      <w:r>
        <w:rPr>
          <w:rFonts w:hint="eastAsia"/>
        </w:rPr>
        <w:t>、</w:t>
      </w:r>
      <w:r>
        <w:t>环境影响经济损益分析</w:t>
      </w:r>
      <w:bookmarkEnd w:id="786"/>
    </w:p>
    <w:p w:rsidR="004E3021" w:rsidRDefault="00606E48">
      <w:pPr>
        <w:pStyle w:val="afffffffffffffffff3"/>
      </w:pPr>
      <w:bookmarkStart w:id="787" w:name="_Toc221501097"/>
      <w:r>
        <w:t>7.1</w:t>
      </w:r>
      <w:r>
        <w:t>经济效益分析</w:t>
      </w:r>
      <w:bookmarkEnd w:id="787"/>
    </w:p>
    <w:p w:rsidR="004E3021" w:rsidRDefault="00DC331A">
      <w:pPr>
        <w:ind w:firstLine="480"/>
      </w:pPr>
      <w:r>
        <w:rPr>
          <w:rFonts w:ascii="宋体" w:hAnsi="宋体" w:hint="eastAsia"/>
        </w:rPr>
        <w:t>本</w:t>
      </w:r>
      <w:r w:rsidR="00606E48">
        <w:rPr>
          <w:rFonts w:ascii="宋体" w:hAnsi="宋体" w:hint="eastAsia"/>
        </w:rPr>
        <w:t>项目</w:t>
      </w:r>
      <w:r w:rsidR="00606E48">
        <w:rPr>
          <w:rFonts w:ascii="宋体" w:hAnsi="宋体"/>
        </w:rPr>
        <w:t>总投资为</w:t>
      </w:r>
      <w:r>
        <w:t>2500</w:t>
      </w:r>
      <w:r w:rsidR="00606E48">
        <w:t>万元，其中环保投资</w:t>
      </w:r>
      <w:r>
        <w:t>233</w:t>
      </w:r>
      <w:r w:rsidR="00606E48">
        <w:t>万元，占总投资的</w:t>
      </w:r>
      <w:r>
        <w:t>9.32</w:t>
      </w:r>
      <w:r w:rsidR="00606E48">
        <w:t>%</w:t>
      </w:r>
      <w:r w:rsidR="00606E48">
        <w:rPr>
          <w:rFonts w:ascii="宋体" w:hAnsi="宋体"/>
        </w:rPr>
        <w:t>万元。项目运行后，可为国家及地方增加相当数量的税收</w:t>
      </w:r>
      <w:r w:rsidR="00606E48">
        <w:rPr>
          <w:rFonts w:ascii="宋体" w:hAnsi="宋体" w:hint="eastAsia"/>
        </w:rPr>
        <w:t>，</w:t>
      </w:r>
      <w:r w:rsidR="00606E48">
        <w:rPr>
          <w:rFonts w:ascii="宋体" w:hAnsi="宋体"/>
        </w:rPr>
        <w:t>进一步推动当地社会经济的发展，提高当地人民群众的生活水平，由此可见项目也具有显著的社会经济效益。</w:t>
      </w:r>
    </w:p>
    <w:p w:rsidR="004E3021" w:rsidRDefault="00606E48">
      <w:pPr>
        <w:pStyle w:val="afffff4"/>
      </w:pPr>
      <w:r>
        <w:rPr>
          <w:rFonts w:ascii="黑体" w:hAnsi="黑体" w:hint="eastAsia"/>
        </w:rPr>
        <w:t>表</w:t>
      </w:r>
      <w:r>
        <w:t>7</w:t>
      </w:r>
      <w:r>
        <w:rPr>
          <w:rFonts w:hint="eastAsia"/>
        </w:rPr>
        <w:t xml:space="preserve">.1-1  </w:t>
      </w:r>
      <w:r w:rsidR="00DC331A">
        <w:rPr>
          <w:rFonts w:hint="eastAsia"/>
        </w:rPr>
        <w:t>本</w:t>
      </w:r>
      <w:r>
        <w:rPr>
          <w:rFonts w:ascii="黑体" w:hAnsi="黑体" w:hint="eastAsia"/>
        </w:rPr>
        <w:t>项目经济指标</w:t>
      </w:r>
    </w:p>
    <w:tbl>
      <w:tblPr>
        <w:tblW w:w="5000" w:type="pct"/>
        <w:jc w:val="center"/>
        <w:tblLook w:val="04A0" w:firstRow="1" w:lastRow="0" w:firstColumn="1" w:lastColumn="0" w:noHBand="0" w:noVBand="1"/>
      </w:tblPr>
      <w:tblGrid>
        <w:gridCol w:w="4409"/>
        <w:gridCol w:w="4618"/>
      </w:tblGrid>
      <w:tr w:rsidR="004E3021">
        <w:trPr>
          <w:jc w:val="center"/>
        </w:trPr>
        <w:tc>
          <w:tcPr>
            <w:tcW w:w="2442" w:type="pct"/>
            <w:tcBorders>
              <w:top w:val="single" w:sz="12" w:space="0" w:color="auto"/>
              <w:left w:val="nil"/>
              <w:bottom w:val="single" w:sz="4" w:space="0" w:color="auto"/>
              <w:right w:val="single" w:sz="4" w:space="0" w:color="auto"/>
            </w:tcBorders>
          </w:tcPr>
          <w:p w:rsidR="004E3021" w:rsidRDefault="00606E48">
            <w:pPr>
              <w:pStyle w:val="afffffff2"/>
              <w:ind w:firstLine="482"/>
              <w:rPr>
                <w:kern w:val="0"/>
                <w:szCs w:val="20"/>
              </w:rPr>
            </w:pPr>
            <w:r>
              <w:rPr>
                <w:rFonts w:ascii="宋体" w:hAnsi="宋体"/>
                <w:kern w:val="0"/>
                <w:szCs w:val="20"/>
              </w:rPr>
              <w:t>指标名称</w:t>
            </w:r>
          </w:p>
        </w:tc>
        <w:tc>
          <w:tcPr>
            <w:tcW w:w="2558" w:type="pct"/>
            <w:tcBorders>
              <w:top w:val="single" w:sz="12" w:space="0" w:color="auto"/>
              <w:left w:val="single" w:sz="4" w:space="0" w:color="auto"/>
              <w:bottom w:val="single" w:sz="4" w:space="0" w:color="auto"/>
              <w:right w:val="nil"/>
            </w:tcBorders>
          </w:tcPr>
          <w:p w:rsidR="004E3021" w:rsidRDefault="00606E48">
            <w:pPr>
              <w:pStyle w:val="afffffff2"/>
              <w:ind w:firstLine="482"/>
              <w:rPr>
                <w:kern w:val="0"/>
                <w:szCs w:val="20"/>
              </w:rPr>
            </w:pPr>
            <w:r>
              <w:rPr>
                <w:kern w:val="0"/>
                <w:szCs w:val="20"/>
              </w:rPr>
              <w:t>RMB(</w:t>
            </w:r>
            <w:r>
              <w:rPr>
                <w:rFonts w:ascii="宋体" w:hAnsi="宋体"/>
                <w:kern w:val="0"/>
                <w:szCs w:val="20"/>
              </w:rPr>
              <w:t>万元</w:t>
            </w:r>
            <w:r>
              <w:rPr>
                <w:kern w:val="0"/>
                <w:szCs w:val="20"/>
              </w:rPr>
              <w:t>)</w:t>
            </w:r>
          </w:p>
        </w:tc>
      </w:tr>
      <w:tr w:rsidR="004E3021">
        <w:trPr>
          <w:jc w:val="center"/>
        </w:trPr>
        <w:tc>
          <w:tcPr>
            <w:tcW w:w="2442" w:type="pct"/>
            <w:tcBorders>
              <w:top w:val="single" w:sz="4" w:space="0" w:color="auto"/>
              <w:left w:val="nil"/>
              <w:bottom w:val="single" w:sz="4" w:space="0" w:color="auto"/>
              <w:right w:val="single" w:sz="4" w:space="0" w:color="auto"/>
            </w:tcBorders>
          </w:tcPr>
          <w:p w:rsidR="004E3021" w:rsidRDefault="00606E48">
            <w:pPr>
              <w:pStyle w:val="afffffff2"/>
              <w:ind w:firstLine="482"/>
              <w:rPr>
                <w:kern w:val="0"/>
                <w:szCs w:val="20"/>
              </w:rPr>
            </w:pPr>
            <w:r>
              <w:rPr>
                <w:rFonts w:ascii="宋体" w:hAnsi="宋体"/>
                <w:kern w:val="0"/>
                <w:szCs w:val="20"/>
              </w:rPr>
              <w:t>总投资</w:t>
            </w:r>
          </w:p>
        </w:tc>
        <w:tc>
          <w:tcPr>
            <w:tcW w:w="2558" w:type="pct"/>
            <w:tcBorders>
              <w:top w:val="single" w:sz="4" w:space="0" w:color="auto"/>
              <w:left w:val="single" w:sz="4" w:space="0" w:color="auto"/>
              <w:bottom w:val="single" w:sz="4" w:space="0" w:color="auto"/>
              <w:right w:val="nil"/>
            </w:tcBorders>
          </w:tcPr>
          <w:p w:rsidR="004E3021" w:rsidRDefault="00DC331A" w:rsidP="00DC331A">
            <w:pPr>
              <w:pStyle w:val="afffffff2"/>
              <w:ind w:firstLine="482"/>
              <w:rPr>
                <w:kern w:val="0"/>
                <w:szCs w:val="20"/>
              </w:rPr>
            </w:pPr>
            <w:r>
              <w:rPr>
                <w:kern w:val="0"/>
                <w:szCs w:val="20"/>
              </w:rPr>
              <w:t>2500</w:t>
            </w:r>
          </w:p>
        </w:tc>
      </w:tr>
      <w:tr w:rsidR="004E3021">
        <w:trPr>
          <w:jc w:val="center"/>
        </w:trPr>
        <w:tc>
          <w:tcPr>
            <w:tcW w:w="2442" w:type="pct"/>
            <w:tcBorders>
              <w:top w:val="single" w:sz="4" w:space="0" w:color="auto"/>
              <w:left w:val="nil"/>
              <w:bottom w:val="single" w:sz="4" w:space="0" w:color="auto"/>
              <w:right w:val="single" w:sz="4" w:space="0" w:color="auto"/>
            </w:tcBorders>
          </w:tcPr>
          <w:p w:rsidR="004E3021" w:rsidRDefault="00606E48">
            <w:pPr>
              <w:pStyle w:val="afffffff2"/>
              <w:ind w:firstLine="482"/>
              <w:rPr>
                <w:kern w:val="0"/>
                <w:szCs w:val="20"/>
              </w:rPr>
            </w:pPr>
            <w:r>
              <w:rPr>
                <w:rFonts w:ascii="宋体" w:hAnsi="宋体"/>
                <w:kern w:val="0"/>
                <w:szCs w:val="20"/>
              </w:rPr>
              <w:t>销售收入</w:t>
            </w:r>
          </w:p>
        </w:tc>
        <w:tc>
          <w:tcPr>
            <w:tcW w:w="2558" w:type="pct"/>
            <w:tcBorders>
              <w:top w:val="single" w:sz="4" w:space="0" w:color="auto"/>
              <w:left w:val="single" w:sz="4" w:space="0" w:color="auto"/>
              <w:bottom w:val="single" w:sz="4" w:space="0" w:color="auto"/>
              <w:right w:val="nil"/>
            </w:tcBorders>
          </w:tcPr>
          <w:p w:rsidR="004E3021" w:rsidRDefault="00606E48">
            <w:pPr>
              <w:pStyle w:val="afffffff2"/>
              <w:ind w:firstLine="482"/>
              <w:rPr>
                <w:kern w:val="0"/>
                <w:szCs w:val="20"/>
              </w:rPr>
            </w:pPr>
            <w:r>
              <w:rPr>
                <w:kern w:val="0"/>
                <w:szCs w:val="20"/>
              </w:rPr>
              <w:t>32871.82</w:t>
            </w:r>
          </w:p>
        </w:tc>
      </w:tr>
      <w:tr w:rsidR="004E3021">
        <w:trPr>
          <w:jc w:val="center"/>
        </w:trPr>
        <w:tc>
          <w:tcPr>
            <w:tcW w:w="2442" w:type="pct"/>
            <w:tcBorders>
              <w:top w:val="single" w:sz="4" w:space="0" w:color="auto"/>
              <w:left w:val="nil"/>
              <w:bottom w:val="single" w:sz="4" w:space="0" w:color="auto"/>
              <w:right w:val="single" w:sz="4" w:space="0" w:color="auto"/>
            </w:tcBorders>
          </w:tcPr>
          <w:p w:rsidR="004E3021" w:rsidRDefault="00606E48">
            <w:pPr>
              <w:pStyle w:val="afffffff2"/>
              <w:ind w:firstLine="482"/>
              <w:rPr>
                <w:kern w:val="0"/>
                <w:szCs w:val="20"/>
              </w:rPr>
            </w:pPr>
            <w:r>
              <w:rPr>
                <w:rFonts w:ascii="宋体" w:hAnsi="宋体" w:hint="eastAsia"/>
                <w:kern w:val="0"/>
                <w:szCs w:val="20"/>
              </w:rPr>
              <w:t>经营成本</w:t>
            </w:r>
          </w:p>
        </w:tc>
        <w:tc>
          <w:tcPr>
            <w:tcW w:w="2558" w:type="pct"/>
            <w:tcBorders>
              <w:top w:val="single" w:sz="4" w:space="0" w:color="auto"/>
              <w:left w:val="single" w:sz="4" w:space="0" w:color="auto"/>
              <w:bottom w:val="single" w:sz="4" w:space="0" w:color="auto"/>
              <w:right w:val="nil"/>
            </w:tcBorders>
          </w:tcPr>
          <w:p w:rsidR="004E3021" w:rsidRDefault="00606E48">
            <w:pPr>
              <w:pStyle w:val="afffffff2"/>
              <w:ind w:firstLine="482"/>
              <w:rPr>
                <w:kern w:val="0"/>
                <w:szCs w:val="20"/>
              </w:rPr>
            </w:pPr>
            <w:r>
              <w:rPr>
                <w:rFonts w:hint="eastAsia"/>
                <w:kern w:val="0"/>
                <w:szCs w:val="20"/>
              </w:rPr>
              <w:t>1</w:t>
            </w:r>
            <w:r>
              <w:rPr>
                <w:kern w:val="0"/>
                <w:szCs w:val="20"/>
              </w:rPr>
              <w:t>8083.75</w:t>
            </w:r>
          </w:p>
        </w:tc>
      </w:tr>
      <w:tr w:rsidR="004E3021">
        <w:trPr>
          <w:jc w:val="center"/>
        </w:trPr>
        <w:tc>
          <w:tcPr>
            <w:tcW w:w="2442" w:type="pct"/>
            <w:tcBorders>
              <w:top w:val="single" w:sz="4" w:space="0" w:color="auto"/>
              <w:left w:val="nil"/>
              <w:bottom w:val="single" w:sz="4" w:space="0" w:color="auto"/>
              <w:right w:val="single" w:sz="4" w:space="0" w:color="auto"/>
            </w:tcBorders>
          </w:tcPr>
          <w:p w:rsidR="004E3021" w:rsidRDefault="00606E48">
            <w:pPr>
              <w:pStyle w:val="afffffff2"/>
              <w:ind w:firstLine="482"/>
              <w:rPr>
                <w:kern w:val="0"/>
                <w:szCs w:val="20"/>
              </w:rPr>
            </w:pPr>
            <w:r>
              <w:rPr>
                <w:rFonts w:ascii="宋体" w:hAnsi="宋体"/>
                <w:kern w:val="0"/>
                <w:szCs w:val="20"/>
              </w:rPr>
              <w:t>年上缴税额</w:t>
            </w:r>
          </w:p>
        </w:tc>
        <w:tc>
          <w:tcPr>
            <w:tcW w:w="2558" w:type="pct"/>
            <w:tcBorders>
              <w:top w:val="single" w:sz="4" w:space="0" w:color="auto"/>
              <w:left w:val="single" w:sz="4" w:space="0" w:color="auto"/>
              <w:bottom w:val="single" w:sz="4" w:space="0" w:color="auto"/>
              <w:right w:val="nil"/>
            </w:tcBorders>
          </w:tcPr>
          <w:p w:rsidR="004E3021" w:rsidRDefault="00606E48">
            <w:pPr>
              <w:pStyle w:val="afffffff2"/>
              <w:ind w:firstLine="482"/>
              <w:rPr>
                <w:kern w:val="0"/>
                <w:szCs w:val="20"/>
              </w:rPr>
            </w:pPr>
            <w:r>
              <w:rPr>
                <w:rFonts w:hint="eastAsia"/>
                <w:kern w:val="0"/>
                <w:szCs w:val="20"/>
              </w:rPr>
              <w:t>3</w:t>
            </w:r>
            <w:r>
              <w:rPr>
                <w:kern w:val="0"/>
                <w:szCs w:val="20"/>
              </w:rPr>
              <w:t>823.28</w:t>
            </w:r>
          </w:p>
        </w:tc>
      </w:tr>
      <w:tr w:rsidR="004E3021">
        <w:trPr>
          <w:jc w:val="center"/>
        </w:trPr>
        <w:tc>
          <w:tcPr>
            <w:tcW w:w="2442" w:type="pct"/>
            <w:tcBorders>
              <w:top w:val="single" w:sz="4" w:space="0" w:color="auto"/>
              <w:left w:val="nil"/>
              <w:bottom w:val="single" w:sz="12" w:space="0" w:color="auto"/>
              <w:right w:val="single" w:sz="4" w:space="0" w:color="auto"/>
            </w:tcBorders>
          </w:tcPr>
          <w:p w:rsidR="004E3021" w:rsidRDefault="00606E48">
            <w:pPr>
              <w:pStyle w:val="afffffff2"/>
              <w:ind w:firstLine="482"/>
              <w:rPr>
                <w:kern w:val="0"/>
                <w:szCs w:val="20"/>
              </w:rPr>
            </w:pPr>
            <w:r>
              <w:rPr>
                <w:rFonts w:ascii="宋体" w:hAnsi="宋体"/>
                <w:kern w:val="0"/>
                <w:szCs w:val="20"/>
              </w:rPr>
              <w:t>税后年净利润</w:t>
            </w:r>
          </w:p>
        </w:tc>
        <w:tc>
          <w:tcPr>
            <w:tcW w:w="2558" w:type="pct"/>
            <w:tcBorders>
              <w:top w:val="single" w:sz="4" w:space="0" w:color="auto"/>
              <w:left w:val="single" w:sz="4" w:space="0" w:color="auto"/>
              <w:bottom w:val="single" w:sz="12" w:space="0" w:color="auto"/>
              <w:right w:val="nil"/>
            </w:tcBorders>
          </w:tcPr>
          <w:p w:rsidR="004E3021" w:rsidRDefault="00606E48">
            <w:pPr>
              <w:pStyle w:val="afffffff2"/>
              <w:ind w:firstLine="482"/>
              <w:rPr>
                <w:kern w:val="0"/>
                <w:szCs w:val="20"/>
              </w:rPr>
            </w:pPr>
            <w:r>
              <w:rPr>
                <w:rFonts w:hint="eastAsia"/>
                <w:kern w:val="0"/>
                <w:szCs w:val="20"/>
              </w:rPr>
              <w:t>1</w:t>
            </w:r>
            <w:r>
              <w:rPr>
                <w:kern w:val="0"/>
                <w:szCs w:val="20"/>
              </w:rPr>
              <w:t>0864.79</w:t>
            </w:r>
          </w:p>
        </w:tc>
      </w:tr>
    </w:tbl>
    <w:p w:rsidR="004E3021" w:rsidRDefault="00606E48">
      <w:pPr>
        <w:pStyle w:val="afffffffffffffffff3"/>
      </w:pPr>
      <w:bookmarkStart w:id="788" w:name="_Toc221501098"/>
      <w:r>
        <w:t>7.2</w:t>
      </w:r>
      <w:r>
        <w:rPr>
          <w:rFonts w:hint="eastAsia"/>
        </w:rPr>
        <w:t>社会效益分析</w:t>
      </w:r>
      <w:bookmarkEnd w:id="788"/>
    </w:p>
    <w:p w:rsidR="004E3021" w:rsidRDefault="00606E48">
      <w:pPr>
        <w:ind w:firstLine="480"/>
      </w:pPr>
      <w:r>
        <w:t>项目社会效益主要体现在对当地社会经济的正面影响，以及对市场和国家经济的贡献。</w:t>
      </w:r>
    </w:p>
    <w:p w:rsidR="004E3021" w:rsidRDefault="00606E48">
      <w:pPr>
        <w:ind w:firstLine="480"/>
      </w:pPr>
      <w:r>
        <w:t>项目建成后的社会效益主要体现在以下几个方面：</w:t>
      </w:r>
    </w:p>
    <w:p w:rsidR="004E3021" w:rsidRDefault="00606E48">
      <w:pPr>
        <w:ind w:firstLine="480"/>
      </w:pPr>
      <w:r>
        <w:t>（</w:t>
      </w:r>
      <w:r>
        <w:t>1</w:t>
      </w:r>
      <w:r>
        <w:t>）</w:t>
      </w:r>
      <w:r w:rsidR="00DC331A">
        <w:rPr>
          <w:rFonts w:hint="eastAsia"/>
        </w:rPr>
        <w:t>本</w:t>
      </w:r>
      <w:r>
        <w:t>项目用地为园区规划</w:t>
      </w:r>
      <w:r>
        <w:rPr>
          <w:rFonts w:hint="eastAsia"/>
        </w:rPr>
        <w:t>工业</w:t>
      </w:r>
      <w:r>
        <w:t>用</w:t>
      </w:r>
      <w:r>
        <w:rPr>
          <w:rFonts w:hint="eastAsia"/>
        </w:rPr>
        <w:t>地</w:t>
      </w:r>
      <w:r>
        <w:t>，项目对完善园区建设，提高园区的土地利用有重大的意义，可提高土地利用率。</w:t>
      </w:r>
    </w:p>
    <w:p w:rsidR="004E3021" w:rsidRDefault="00606E48">
      <w:pPr>
        <w:ind w:firstLine="480"/>
      </w:pPr>
      <w:r>
        <w:t>（</w:t>
      </w:r>
      <w:r>
        <w:t>2</w:t>
      </w:r>
      <w:r>
        <w:t>）项目采用先进工艺与设备，该工艺技术成熟，设备运行稳定，有利于市场竞争。</w:t>
      </w:r>
    </w:p>
    <w:p w:rsidR="004E3021" w:rsidRDefault="00606E48">
      <w:pPr>
        <w:ind w:firstLine="480"/>
      </w:pPr>
      <w:r>
        <w:t>（</w:t>
      </w:r>
      <w:r>
        <w:rPr>
          <w:rFonts w:hint="eastAsia"/>
        </w:rPr>
        <w:t>3</w:t>
      </w:r>
      <w:r>
        <w:t>）项目建成后，可提供一定数量的劳动就业机会，为国家和地方增加相当数量的税收，促进当地工业的发展和增加地方经济实力。</w:t>
      </w:r>
    </w:p>
    <w:p w:rsidR="004E3021" w:rsidRDefault="00606E48">
      <w:pPr>
        <w:pStyle w:val="afffffffffffffffff3"/>
      </w:pPr>
      <w:bookmarkStart w:id="789" w:name="_Toc221501099"/>
      <w:r>
        <w:t>7.3</w:t>
      </w:r>
      <w:r>
        <w:t>环境效益分析</w:t>
      </w:r>
      <w:bookmarkEnd w:id="789"/>
    </w:p>
    <w:p w:rsidR="004E3021" w:rsidRDefault="00606E48">
      <w:pPr>
        <w:pStyle w:val="afffffffffffffffff4"/>
      </w:pPr>
      <w:bookmarkStart w:id="790" w:name="_Toc100784119"/>
      <w:bookmarkStart w:id="791" w:name="_Toc101135952"/>
      <w:bookmarkStart w:id="792" w:name="_Toc108662730"/>
      <w:bookmarkStart w:id="793" w:name="_Toc221088885"/>
      <w:bookmarkStart w:id="794" w:name="_Toc221501100"/>
      <w:r>
        <w:lastRenderedPageBreak/>
        <w:t>7.3.1</w:t>
      </w:r>
      <w:r>
        <w:t>环保投资费用分析</w:t>
      </w:r>
      <w:bookmarkEnd w:id="790"/>
      <w:bookmarkEnd w:id="791"/>
      <w:bookmarkEnd w:id="792"/>
      <w:bookmarkEnd w:id="793"/>
      <w:bookmarkEnd w:id="794"/>
    </w:p>
    <w:p w:rsidR="004E3021" w:rsidRDefault="00DC331A">
      <w:pPr>
        <w:ind w:firstLine="480"/>
        <w:rPr>
          <w:color w:val="000000" w:themeColor="text1"/>
        </w:rPr>
      </w:pPr>
      <w:r>
        <w:rPr>
          <w:rFonts w:hint="eastAsia"/>
        </w:rPr>
        <w:t>本</w:t>
      </w:r>
      <w:r>
        <w:t>项目</w:t>
      </w:r>
      <w:r w:rsidR="00606E48">
        <w:rPr>
          <w:color w:val="000000" w:themeColor="text1"/>
        </w:rPr>
        <w:t>环保工程固定总投资为</w:t>
      </w:r>
      <w:r>
        <w:rPr>
          <w:color w:val="000000" w:themeColor="text1"/>
        </w:rPr>
        <w:t>233</w:t>
      </w:r>
      <w:r w:rsidR="00606E48">
        <w:rPr>
          <w:color w:val="000000" w:themeColor="text1"/>
        </w:rPr>
        <w:t>万元，占项目总投资的</w:t>
      </w:r>
      <w:r>
        <w:rPr>
          <w:color w:val="000000" w:themeColor="text1"/>
        </w:rPr>
        <w:t>9.32</w:t>
      </w:r>
      <w:r w:rsidR="00606E48">
        <w:rPr>
          <w:color w:val="000000" w:themeColor="text1"/>
        </w:rPr>
        <w:t>%</w:t>
      </w:r>
      <w:r w:rsidR="00606E48">
        <w:rPr>
          <w:color w:val="000000" w:themeColor="text1"/>
        </w:rPr>
        <w:t>。环保设施基本能满足有关污染治理方面的需求，投资合理，环保措施可以达到达标排放的要求。</w:t>
      </w:r>
    </w:p>
    <w:p w:rsidR="004E3021" w:rsidRDefault="00DC331A">
      <w:pPr>
        <w:ind w:firstLine="480"/>
      </w:pPr>
      <w:r>
        <w:rPr>
          <w:rFonts w:hint="eastAsia"/>
        </w:rPr>
        <w:t>本</w:t>
      </w:r>
      <w:r>
        <w:t>项目</w:t>
      </w:r>
      <w:r w:rsidR="00606E48">
        <w:rPr>
          <w:color w:val="000000" w:themeColor="text1"/>
        </w:rPr>
        <w:t>在污染治理和控制方面有较大的投入，通过设施建设和日常运行，可保证各类污染物的达标排放。对预防和杜绝可能产生的潜在事故污染影响也能发挥明显的作用。因此，本项目环保投资比较合理，污染物经过各项设施处理后对周围环境影响比较小</w:t>
      </w:r>
    </w:p>
    <w:p w:rsidR="004E3021" w:rsidRDefault="00606E48">
      <w:pPr>
        <w:spacing w:before="240" w:after="120"/>
        <w:ind w:firstLineChars="0" w:firstLine="0"/>
        <w:jc w:val="left"/>
        <w:outlineLvl w:val="2"/>
        <w:rPr>
          <w:rFonts w:eastAsia="黑体"/>
          <w:sz w:val="28"/>
          <w:szCs w:val="28"/>
        </w:rPr>
      </w:pPr>
      <w:bookmarkStart w:id="795" w:name="_Toc108662731"/>
      <w:bookmarkStart w:id="796" w:name="_Toc100784120"/>
      <w:bookmarkStart w:id="797" w:name="_Toc101135953"/>
      <w:bookmarkStart w:id="798" w:name="_Toc221088886"/>
      <w:bookmarkStart w:id="799" w:name="_Toc221501101"/>
      <w:r>
        <w:rPr>
          <w:rFonts w:eastAsia="黑体"/>
          <w:sz w:val="28"/>
          <w:szCs w:val="28"/>
        </w:rPr>
        <w:t>7.3.2</w:t>
      </w:r>
      <w:r>
        <w:rPr>
          <w:rFonts w:ascii="黑体" w:eastAsia="黑体" w:hAnsi="黑体"/>
          <w:sz w:val="28"/>
          <w:szCs w:val="28"/>
        </w:rPr>
        <w:t>环境损益分析</w:t>
      </w:r>
      <w:bookmarkEnd w:id="795"/>
      <w:bookmarkEnd w:id="796"/>
      <w:bookmarkEnd w:id="797"/>
      <w:bookmarkEnd w:id="798"/>
      <w:bookmarkEnd w:id="799"/>
    </w:p>
    <w:p w:rsidR="004E3021" w:rsidRDefault="00606E48">
      <w:pPr>
        <w:ind w:firstLine="480"/>
      </w:pPr>
      <w:r>
        <w:rPr>
          <w:rFonts w:ascii="宋体" w:hAnsi="宋体"/>
        </w:rPr>
        <w:t>项目采用的废水、废气、噪声等污染治理及清洁生产措施，达到了有效控制污染和保护环境的目的。</w:t>
      </w:r>
      <w:r>
        <w:rPr>
          <w:rFonts w:ascii="宋体" w:hAnsi="宋体" w:hint="eastAsia"/>
        </w:rPr>
        <w:t>本项目</w:t>
      </w:r>
      <w:r>
        <w:rPr>
          <w:rFonts w:ascii="宋体" w:hAnsi="宋体"/>
        </w:rPr>
        <w:t>的环境效益表现在以下方面：</w:t>
      </w:r>
    </w:p>
    <w:p w:rsidR="004E3021" w:rsidRDefault="00606E48">
      <w:pPr>
        <w:ind w:firstLine="482"/>
        <w:rPr>
          <w:rFonts w:ascii="宋体" w:hAnsi="宋体"/>
          <w:b/>
        </w:rPr>
      </w:pPr>
      <w:r>
        <w:rPr>
          <w:rFonts w:ascii="宋体" w:hAnsi="宋体" w:hint="eastAsia"/>
          <w:b/>
        </w:rPr>
        <w:t>（</w:t>
      </w:r>
      <w:r>
        <w:rPr>
          <w:rFonts w:hint="eastAsia"/>
          <w:b/>
        </w:rPr>
        <w:t>1</w:t>
      </w:r>
      <w:r>
        <w:rPr>
          <w:rFonts w:ascii="宋体" w:hAnsi="宋体" w:hint="eastAsia"/>
          <w:b/>
        </w:rPr>
        <w:t>）废气治理环境效益：</w:t>
      </w:r>
    </w:p>
    <w:p w:rsidR="005E413B" w:rsidRPr="00D14DE4" w:rsidRDefault="005E413B" w:rsidP="005E413B">
      <w:pPr>
        <w:pStyle w:val="afffff4"/>
        <w:ind w:firstLine="480"/>
        <w:rPr>
          <w:color w:val="FF0000"/>
        </w:rPr>
      </w:pPr>
      <w:r w:rsidRPr="00D14DE4">
        <w:rPr>
          <w:rFonts w:hint="eastAsia"/>
          <w:color w:val="FF0000"/>
        </w:rPr>
        <w:t>涉及商业机密，已删除</w:t>
      </w:r>
    </w:p>
    <w:p w:rsidR="005E413B" w:rsidRPr="005E413B" w:rsidRDefault="005E413B" w:rsidP="005E413B">
      <w:pPr>
        <w:pStyle w:val="a0"/>
        <w:ind w:firstLine="480"/>
        <w:rPr>
          <w:rFonts w:hint="eastAsia"/>
        </w:rPr>
      </w:pPr>
      <w:bookmarkStart w:id="800" w:name="_GoBack"/>
      <w:bookmarkEnd w:id="800"/>
    </w:p>
    <w:p w:rsidR="004E3021" w:rsidRDefault="00606E48">
      <w:pPr>
        <w:ind w:firstLine="482"/>
        <w:rPr>
          <w:color w:val="FF0000"/>
        </w:rPr>
      </w:pPr>
      <w:r>
        <w:rPr>
          <w:rFonts w:ascii="宋体" w:hAnsi="宋体" w:hint="eastAsia"/>
          <w:b/>
        </w:rPr>
        <w:t>（</w:t>
      </w:r>
      <w:r>
        <w:rPr>
          <w:rFonts w:hint="eastAsia"/>
          <w:b/>
        </w:rPr>
        <w:t>2</w:t>
      </w:r>
      <w:r>
        <w:rPr>
          <w:rFonts w:ascii="宋体" w:hAnsi="宋体" w:hint="eastAsia"/>
          <w:b/>
        </w:rPr>
        <w:t>）</w:t>
      </w:r>
      <w:r>
        <w:rPr>
          <w:rFonts w:ascii="宋体" w:hAnsi="宋体"/>
          <w:b/>
        </w:rPr>
        <w:t>废水治理环境效益</w:t>
      </w:r>
      <w:r>
        <w:rPr>
          <w:rFonts w:ascii="宋体" w:hAnsi="宋体" w:hint="eastAsia"/>
          <w:b/>
        </w:rPr>
        <w:t>：</w:t>
      </w:r>
      <w:r>
        <w:t>综合废水进入厂区污水处理站处理，达到</w:t>
      </w:r>
      <w:r>
        <w:rPr>
          <w:rFonts w:ascii="宋体" w:hAnsi="宋体"/>
        </w:rPr>
        <w:t>沫河口园区污水处理厂接管标准</w:t>
      </w:r>
      <w:r>
        <w:rPr>
          <w:rFonts w:ascii="宋体" w:hAnsi="宋体" w:hint="eastAsia"/>
        </w:rPr>
        <w:t>、《污水综合排放标准》（</w:t>
      </w:r>
      <w:r>
        <w:rPr>
          <w:rFonts w:hint="eastAsia"/>
        </w:rPr>
        <w:t>G</w:t>
      </w:r>
      <w:r>
        <w:t>B8978-1996</w:t>
      </w:r>
      <w:r>
        <w:rPr>
          <w:rFonts w:ascii="宋体" w:hAnsi="宋体" w:hint="eastAsia"/>
        </w:rPr>
        <w:t>）中表</w:t>
      </w:r>
      <w:r>
        <w:rPr>
          <w:rFonts w:hint="eastAsia"/>
        </w:rPr>
        <w:t>4</w:t>
      </w:r>
      <w:r>
        <w:rPr>
          <w:rFonts w:ascii="宋体" w:hAnsi="宋体" w:hint="eastAsia"/>
        </w:rPr>
        <w:t>的三级标准和</w:t>
      </w:r>
      <w:r>
        <w:rPr>
          <w:rFonts w:hint="eastAsia"/>
        </w:rPr>
        <w:t>《无机化学工业污染物排放标准》（</w:t>
      </w:r>
      <w:r>
        <w:rPr>
          <w:rFonts w:hint="eastAsia"/>
        </w:rPr>
        <w:t>GB31573-2015</w:t>
      </w:r>
      <w:r>
        <w:rPr>
          <w:rFonts w:hint="eastAsia"/>
        </w:rPr>
        <w:t>）水污染物间接排放限值</w:t>
      </w:r>
      <w:r>
        <w:rPr>
          <w:rFonts w:ascii="宋体" w:hAnsi="宋体"/>
        </w:rPr>
        <w:t>。</w:t>
      </w:r>
      <w:r>
        <w:rPr>
          <w:rFonts w:hint="eastAsia"/>
          <w:kern w:val="0"/>
        </w:rPr>
        <w:t>尾水经沫河口污水处理厂处理后达到《城镇污水处理厂污染物排放标准》</w:t>
      </w:r>
      <w:r>
        <w:rPr>
          <w:rFonts w:hint="eastAsia"/>
          <w:kern w:val="0"/>
        </w:rPr>
        <w:t>(GB18918-2002)</w:t>
      </w:r>
      <w:r>
        <w:rPr>
          <w:rFonts w:hint="eastAsia"/>
          <w:kern w:val="0"/>
        </w:rPr>
        <w:t>中一级</w:t>
      </w:r>
      <w:r>
        <w:rPr>
          <w:rFonts w:hint="eastAsia"/>
          <w:kern w:val="0"/>
        </w:rPr>
        <w:t>A</w:t>
      </w:r>
      <w:r>
        <w:rPr>
          <w:rFonts w:hint="eastAsia"/>
          <w:kern w:val="0"/>
        </w:rPr>
        <w:t>标准后排入沫冲引河并汇入淮河（蚌埠段）。</w:t>
      </w:r>
      <w:r>
        <w:rPr>
          <w:rFonts w:hint="eastAsia"/>
          <w:color w:val="000000" w:themeColor="text1"/>
        </w:rPr>
        <w:t>项目</w:t>
      </w:r>
      <w:r>
        <w:rPr>
          <w:color w:val="000000" w:themeColor="text1"/>
        </w:rPr>
        <w:t>废水污染物可以达标排放。</w:t>
      </w:r>
    </w:p>
    <w:p w:rsidR="004E3021" w:rsidRDefault="00606E48">
      <w:pPr>
        <w:ind w:firstLine="482"/>
        <w:rPr>
          <w:color w:val="000000" w:themeColor="text1"/>
        </w:rPr>
      </w:pPr>
      <w:r>
        <w:rPr>
          <w:rFonts w:ascii="宋体" w:hAnsi="宋体" w:hint="eastAsia"/>
          <w:b/>
        </w:rPr>
        <w:t>（</w:t>
      </w:r>
      <w:r>
        <w:rPr>
          <w:rFonts w:hint="eastAsia"/>
          <w:b/>
        </w:rPr>
        <w:t>3</w:t>
      </w:r>
      <w:r>
        <w:rPr>
          <w:rFonts w:ascii="宋体" w:hAnsi="宋体" w:hint="eastAsia"/>
          <w:b/>
        </w:rPr>
        <w:t>）</w:t>
      </w:r>
      <w:r>
        <w:rPr>
          <w:rFonts w:ascii="宋体" w:hAnsi="宋体"/>
          <w:b/>
        </w:rPr>
        <w:t>噪声治理的环境效益分析</w:t>
      </w:r>
      <w:r>
        <w:rPr>
          <w:rFonts w:ascii="宋体" w:hAnsi="宋体" w:hint="eastAsia"/>
          <w:b/>
        </w:rPr>
        <w:t>：</w:t>
      </w:r>
      <w:r>
        <w:rPr>
          <w:color w:val="000000" w:themeColor="text1"/>
        </w:rPr>
        <w:t>本项目主要噪声源为</w:t>
      </w:r>
      <w:r>
        <w:rPr>
          <w:rFonts w:hint="eastAsia"/>
          <w:color w:val="000000" w:themeColor="text1"/>
        </w:rPr>
        <w:t>泵机、空压机</w:t>
      </w:r>
      <w:r>
        <w:rPr>
          <w:color w:val="000000" w:themeColor="text1"/>
        </w:rPr>
        <w:t>、</w:t>
      </w:r>
      <w:r>
        <w:rPr>
          <w:rFonts w:hint="eastAsia"/>
          <w:color w:val="000000" w:themeColor="text1"/>
        </w:rPr>
        <w:t>风</w:t>
      </w:r>
      <w:r>
        <w:rPr>
          <w:color w:val="000000" w:themeColor="text1"/>
        </w:rPr>
        <w:t>机</w:t>
      </w:r>
      <w:r>
        <w:rPr>
          <w:rFonts w:hint="eastAsia"/>
          <w:color w:val="000000" w:themeColor="text1"/>
        </w:rPr>
        <w:t>等</w:t>
      </w:r>
      <w:r>
        <w:rPr>
          <w:color w:val="000000" w:themeColor="text1"/>
        </w:rPr>
        <w:t>，其源强为</w:t>
      </w:r>
      <w:r>
        <w:rPr>
          <w:color w:val="000000" w:themeColor="text1"/>
        </w:rPr>
        <w:t>80~95dB</w:t>
      </w:r>
      <w:r>
        <w:rPr>
          <w:color w:val="000000" w:themeColor="text1"/>
        </w:rPr>
        <w:t>（</w:t>
      </w:r>
      <w:r>
        <w:rPr>
          <w:color w:val="000000" w:themeColor="text1"/>
        </w:rPr>
        <w:t>A</w:t>
      </w:r>
      <w:r>
        <w:rPr>
          <w:color w:val="000000" w:themeColor="text1"/>
        </w:rPr>
        <w:t>），采用了相应的隔声减振措施，降噪效果较好，对周围环境影响在可接受范围内。</w:t>
      </w:r>
    </w:p>
    <w:p w:rsidR="004E3021" w:rsidRDefault="00606E48">
      <w:pPr>
        <w:ind w:firstLine="482"/>
      </w:pPr>
      <w:r>
        <w:rPr>
          <w:rFonts w:ascii="宋体" w:hAnsi="宋体" w:hint="eastAsia"/>
          <w:b/>
        </w:rPr>
        <w:t>（</w:t>
      </w:r>
      <w:r>
        <w:rPr>
          <w:rFonts w:hint="eastAsia"/>
          <w:b/>
        </w:rPr>
        <w:t>4</w:t>
      </w:r>
      <w:r>
        <w:rPr>
          <w:rFonts w:ascii="宋体" w:hAnsi="宋体" w:hint="eastAsia"/>
          <w:b/>
        </w:rPr>
        <w:t>）</w:t>
      </w:r>
      <w:r>
        <w:rPr>
          <w:rFonts w:ascii="宋体" w:hAnsi="宋体"/>
          <w:b/>
        </w:rPr>
        <w:t>固废治理的环境效益</w:t>
      </w:r>
      <w:r>
        <w:rPr>
          <w:rFonts w:ascii="宋体" w:hAnsi="宋体" w:hint="eastAsia"/>
          <w:b/>
        </w:rPr>
        <w:t>：</w:t>
      </w:r>
      <w:r>
        <w:rPr>
          <w:rFonts w:ascii="宋体" w:hAnsi="宋体" w:hint="eastAsia"/>
        </w:rPr>
        <w:t>根据工程</w:t>
      </w:r>
      <w:r>
        <w:rPr>
          <w:rFonts w:ascii="宋体" w:hAnsi="宋体"/>
        </w:rPr>
        <w:t>分析，</w:t>
      </w:r>
      <w:r w:rsidR="00DC331A">
        <w:rPr>
          <w:rFonts w:ascii="宋体" w:hAnsi="宋体" w:hint="eastAsia"/>
        </w:rPr>
        <w:t>本项目</w:t>
      </w:r>
      <w:r w:rsidR="00DC331A">
        <w:rPr>
          <w:rFonts w:ascii="宋体" w:hAnsi="宋体"/>
        </w:rPr>
        <w:t>生产过程中</w:t>
      </w:r>
      <w:r w:rsidR="00DC331A">
        <w:rPr>
          <w:rFonts w:ascii="宋体" w:hAnsi="宋体" w:hint="eastAsia"/>
        </w:rPr>
        <w:t>产生</w:t>
      </w:r>
      <w:r w:rsidR="00DC331A">
        <w:rPr>
          <w:rFonts w:ascii="宋体" w:hAnsi="宋体"/>
        </w:rPr>
        <w:t>的</w:t>
      </w:r>
      <w:r w:rsidR="00DC331A">
        <w:rPr>
          <w:rFonts w:ascii="宋体" w:hAnsi="宋体" w:hint="eastAsia"/>
        </w:rPr>
        <w:t>精馏残渣、含铂废活性炭、含铂尾渣、废气处理</w:t>
      </w:r>
      <w:r w:rsidR="00DC331A">
        <w:rPr>
          <w:rFonts w:ascii="宋体" w:hAnsi="宋体"/>
        </w:rPr>
        <w:t>废活性炭、</w:t>
      </w:r>
      <w:r w:rsidR="00DC331A">
        <w:rPr>
          <w:rFonts w:ascii="宋体" w:hAnsi="宋体" w:hint="eastAsia"/>
        </w:rPr>
        <w:t>污泥、实验室</w:t>
      </w:r>
      <w:r w:rsidR="00DC331A">
        <w:rPr>
          <w:rFonts w:ascii="宋体" w:hAnsi="宋体"/>
        </w:rPr>
        <w:t>废物、</w:t>
      </w:r>
      <w:r w:rsidR="00DC331A">
        <w:rPr>
          <w:rFonts w:ascii="宋体" w:hAnsi="宋体" w:hint="eastAsia"/>
        </w:rPr>
        <w:t>废矿物油</w:t>
      </w:r>
      <w:r w:rsidR="00DC331A">
        <w:rPr>
          <w:rFonts w:ascii="宋体" w:hAnsi="宋体"/>
        </w:rPr>
        <w:t>和</w:t>
      </w:r>
      <w:r w:rsidR="00DC331A">
        <w:rPr>
          <w:rFonts w:ascii="宋体" w:hAnsi="宋体" w:hint="eastAsia"/>
        </w:rPr>
        <w:t>硫酸铵属于危险废物，交由有资质单位进行处置，生活垃圾由环卫部门清运处理，废渣、电石渣</w:t>
      </w:r>
      <w:r w:rsidR="00DC331A">
        <w:rPr>
          <w:rFonts w:ascii="宋体" w:hAnsi="宋体"/>
        </w:rPr>
        <w:t>外售</w:t>
      </w:r>
      <w:r w:rsidR="00DC331A">
        <w:rPr>
          <w:rFonts w:ascii="宋体" w:hAnsi="宋体" w:hint="eastAsia"/>
        </w:rPr>
        <w:t>，废</w:t>
      </w:r>
      <w:r w:rsidR="00DC331A">
        <w:rPr>
          <w:rFonts w:ascii="宋体" w:hAnsi="宋体"/>
        </w:rPr>
        <w:t>分子筛</w:t>
      </w:r>
      <w:r w:rsidR="00DC331A">
        <w:rPr>
          <w:rFonts w:ascii="宋体" w:hAnsi="宋体" w:hint="eastAsia"/>
        </w:rPr>
        <w:t>、</w:t>
      </w:r>
      <w:r w:rsidR="00DC331A">
        <w:rPr>
          <w:rFonts w:ascii="宋体" w:hAnsi="宋体"/>
        </w:rPr>
        <w:t>废树脂</w:t>
      </w:r>
      <w:r w:rsidR="00DC331A">
        <w:rPr>
          <w:rFonts w:ascii="宋体" w:hAnsi="宋体" w:hint="eastAsia"/>
        </w:rPr>
        <w:t>和</w:t>
      </w:r>
      <w:r w:rsidR="00DC331A">
        <w:rPr>
          <w:rFonts w:ascii="宋体" w:hAnsi="宋体"/>
        </w:rPr>
        <w:t>废</w:t>
      </w:r>
      <w:r w:rsidR="00DC331A">
        <w:rPr>
          <w:rFonts w:ascii="宋体" w:hAnsi="宋体" w:hint="eastAsia"/>
        </w:rPr>
        <w:t>布袋</w:t>
      </w:r>
      <w:r w:rsidR="00DC331A">
        <w:rPr>
          <w:rFonts w:ascii="宋体" w:hAnsi="宋体"/>
        </w:rPr>
        <w:t>交由厂家回收</w:t>
      </w:r>
      <w:r w:rsidR="00DC331A">
        <w:rPr>
          <w:rFonts w:ascii="宋体" w:hAnsi="宋体" w:hint="eastAsia"/>
        </w:rPr>
        <w:t>。</w:t>
      </w:r>
    </w:p>
    <w:p w:rsidR="004E3021" w:rsidRDefault="00606E48">
      <w:pPr>
        <w:ind w:firstLine="480"/>
      </w:pPr>
      <w:r>
        <w:rPr>
          <w:rFonts w:ascii="宋体" w:hAnsi="宋体"/>
        </w:rPr>
        <w:t>由此可见，</w:t>
      </w:r>
      <w:r>
        <w:rPr>
          <w:rFonts w:ascii="宋体" w:hAnsi="宋体" w:hint="eastAsia"/>
        </w:rPr>
        <w:t>本项目</w:t>
      </w:r>
      <w:r>
        <w:rPr>
          <w:rFonts w:ascii="宋体" w:hAnsi="宋体"/>
        </w:rPr>
        <w:t>环境效益较显著</w:t>
      </w:r>
      <w:r>
        <w:rPr>
          <w:rFonts w:ascii="宋体" w:hAnsi="宋体" w:hint="eastAsia"/>
        </w:rPr>
        <w:t>。</w:t>
      </w:r>
    </w:p>
    <w:p w:rsidR="004E3021" w:rsidRDefault="004E3021">
      <w:pPr>
        <w:pStyle w:val="afffffffffffffffff2"/>
        <w:sectPr w:rsidR="004E3021">
          <w:pgSz w:w="11907" w:h="16840"/>
          <w:pgMar w:top="1440" w:right="1440" w:bottom="1440" w:left="1440" w:header="851" w:footer="992" w:gutter="0"/>
          <w:cols w:space="720"/>
          <w:docGrid w:type="lines" w:linePitch="326"/>
        </w:sectPr>
      </w:pPr>
    </w:p>
    <w:p w:rsidR="004E3021" w:rsidRDefault="00606E48">
      <w:pPr>
        <w:pStyle w:val="afffffffffffffffff2"/>
      </w:pPr>
      <w:bookmarkStart w:id="801" w:name="_Toc221501102"/>
      <w:r>
        <w:rPr>
          <w:rFonts w:hint="eastAsia"/>
        </w:rPr>
        <w:lastRenderedPageBreak/>
        <w:t>8</w:t>
      </w:r>
      <w:r>
        <w:rPr>
          <w:rFonts w:hint="eastAsia"/>
        </w:rPr>
        <w:t>、</w:t>
      </w:r>
      <w:r>
        <w:t>环境管理与监测</w:t>
      </w:r>
      <w:r>
        <w:rPr>
          <w:rFonts w:hint="eastAsia"/>
        </w:rPr>
        <w:t>计划</w:t>
      </w:r>
      <w:bookmarkEnd w:id="801"/>
    </w:p>
    <w:p w:rsidR="004E3021" w:rsidRDefault="00606E48">
      <w:pPr>
        <w:pStyle w:val="afffffffffffffffff3"/>
      </w:pPr>
      <w:bookmarkStart w:id="802" w:name="_Toc221501103"/>
      <w:r>
        <w:t>8.1</w:t>
      </w:r>
      <w:r>
        <w:rPr>
          <w:rFonts w:hint="eastAsia"/>
        </w:rPr>
        <w:t>环境管理要求</w:t>
      </w:r>
      <w:bookmarkEnd w:id="802"/>
    </w:p>
    <w:p w:rsidR="004E3021" w:rsidRDefault="00606E48">
      <w:pPr>
        <w:pStyle w:val="afffffffffffffffff4"/>
      </w:pPr>
      <w:bookmarkStart w:id="803" w:name="_Toc108662734"/>
      <w:bookmarkStart w:id="804" w:name="_Toc100784123"/>
      <w:bookmarkStart w:id="805" w:name="_Toc101135956"/>
      <w:bookmarkStart w:id="806" w:name="_Toc221088889"/>
      <w:bookmarkStart w:id="807" w:name="_Toc221501104"/>
      <w:r>
        <w:rPr>
          <w:bCs/>
        </w:rPr>
        <w:t>8</w:t>
      </w:r>
      <w:r>
        <w:rPr>
          <w:rFonts w:hint="eastAsia"/>
          <w:bCs/>
        </w:rPr>
        <w:t>.1</w:t>
      </w:r>
      <w:r>
        <w:rPr>
          <w:bCs/>
        </w:rPr>
        <w:t>.1</w:t>
      </w:r>
      <w:r>
        <w:rPr>
          <w:rFonts w:hint="eastAsia"/>
        </w:rPr>
        <w:t>环境管理组织机构</w:t>
      </w:r>
      <w:bookmarkEnd w:id="803"/>
      <w:bookmarkEnd w:id="804"/>
      <w:bookmarkEnd w:id="805"/>
      <w:bookmarkEnd w:id="806"/>
      <w:bookmarkEnd w:id="807"/>
    </w:p>
    <w:p w:rsidR="004E3021" w:rsidRDefault="00606E48">
      <w:pPr>
        <w:ind w:firstLine="480"/>
      </w:pPr>
      <w:r>
        <w:rPr>
          <w:rFonts w:ascii="宋体" w:hAnsi="宋体"/>
        </w:rPr>
        <w:t>项目建成后，在试运行阶段及正常生产过程中必须设立环境管理机构，配备专业环保管理人员</w:t>
      </w:r>
      <w:r>
        <w:t>2~3</w:t>
      </w:r>
      <w:r>
        <w:rPr>
          <w:rFonts w:ascii="宋体" w:hAnsi="宋体"/>
        </w:rPr>
        <w:t>名，负责环境监督管理工作，同时要加强对管理人员的环保培训。</w:t>
      </w:r>
    </w:p>
    <w:p w:rsidR="004E3021" w:rsidRDefault="00606E48">
      <w:pPr>
        <w:pStyle w:val="afffffffffffffffff4"/>
      </w:pPr>
      <w:bookmarkStart w:id="808" w:name="_Toc100784124"/>
      <w:bookmarkStart w:id="809" w:name="_Toc101135957"/>
      <w:bookmarkStart w:id="810" w:name="_Toc108662735"/>
      <w:bookmarkStart w:id="811" w:name="_Toc221088890"/>
      <w:bookmarkStart w:id="812" w:name="_Toc221501105"/>
      <w:r>
        <w:t>8.1</w:t>
      </w:r>
      <w:r>
        <w:rPr>
          <w:rFonts w:hint="eastAsia"/>
        </w:rPr>
        <w:t>.2</w:t>
      </w:r>
      <w:r>
        <w:t>施工期环境管理</w:t>
      </w:r>
      <w:bookmarkEnd w:id="808"/>
      <w:bookmarkEnd w:id="809"/>
      <w:bookmarkEnd w:id="810"/>
      <w:bookmarkEnd w:id="811"/>
      <w:bookmarkEnd w:id="812"/>
    </w:p>
    <w:p w:rsidR="004E3021" w:rsidRDefault="00606E48">
      <w:pPr>
        <w:ind w:firstLine="480"/>
      </w:pPr>
      <w:r>
        <w:rPr>
          <w:rFonts w:ascii="宋体" w:hAnsi="宋体" w:hint="eastAsia"/>
        </w:rPr>
        <w:t>①</w:t>
      </w:r>
      <w:r>
        <w:rPr>
          <w:rFonts w:ascii="宋体" w:hAnsi="宋体"/>
        </w:rPr>
        <w:t>工程项目的施工承包合同中，应包括环境保护的条款。其中应包括施工中在环境污染预防和治理方面对承包的具体要求，如施工噪声污染，废水、扬尘和废气等排放治理，施工垃圾处理处置等内容。</w:t>
      </w:r>
    </w:p>
    <w:p w:rsidR="004E3021" w:rsidRDefault="00606E48">
      <w:pPr>
        <w:ind w:firstLine="480"/>
      </w:pPr>
      <w:r>
        <w:rPr>
          <w:rFonts w:ascii="宋体" w:hAnsi="宋体" w:hint="eastAsia"/>
        </w:rPr>
        <w:t>②</w:t>
      </w:r>
      <w:r>
        <w:rPr>
          <w:rFonts w:ascii="宋体" w:hAnsi="宋体"/>
        </w:rPr>
        <w:t>建设单位应设置兼职环保员参加施工场地的环境监测和环境管理工作。</w:t>
      </w:r>
    </w:p>
    <w:p w:rsidR="004E3021" w:rsidRDefault="00606E48">
      <w:pPr>
        <w:ind w:firstLine="480"/>
      </w:pPr>
      <w:r>
        <w:rPr>
          <w:rFonts w:ascii="宋体" w:hAnsi="宋体" w:hint="eastAsia"/>
        </w:rPr>
        <w:t>③</w:t>
      </w:r>
      <w:r>
        <w:rPr>
          <w:rFonts w:ascii="宋体" w:hAnsi="宋体"/>
        </w:rPr>
        <w:t>加强对施工人员的环境保护宣传教育，增强施工人员环境保护和劳动安全意识，杜绝人为引发环境污染事件的发生。</w:t>
      </w:r>
    </w:p>
    <w:p w:rsidR="004E3021" w:rsidRDefault="00606E48">
      <w:pPr>
        <w:ind w:firstLine="480"/>
      </w:pPr>
      <w:r>
        <w:rPr>
          <w:rFonts w:ascii="宋体" w:hAnsi="宋体" w:hint="eastAsia"/>
        </w:rPr>
        <w:t>④</w:t>
      </w:r>
      <w:r>
        <w:rPr>
          <w:rFonts w:ascii="宋体" w:hAnsi="宋体"/>
        </w:rPr>
        <w:t>定时监测施工场地和附近地带大气中</w:t>
      </w:r>
      <w:r>
        <w:t>TSP</w:t>
      </w:r>
      <w:r>
        <w:rPr>
          <w:rFonts w:ascii="宋体" w:hAnsi="宋体"/>
        </w:rPr>
        <w:t>和飘尘的浓度，定时检查施工现场污水排放情况和施工机械和噪声水平，以便及时采取措施，减少环境污染。</w:t>
      </w:r>
    </w:p>
    <w:p w:rsidR="004E3021" w:rsidRDefault="00606E48">
      <w:pPr>
        <w:pStyle w:val="afffffffffffffffff4"/>
      </w:pPr>
      <w:bookmarkStart w:id="813" w:name="_Toc108662736"/>
      <w:bookmarkStart w:id="814" w:name="_Toc100784125"/>
      <w:bookmarkStart w:id="815" w:name="_Toc101135958"/>
      <w:bookmarkStart w:id="816" w:name="_Toc221088891"/>
      <w:bookmarkStart w:id="817" w:name="_Toc221501106"/>
      <w:r>
        <w:t>8.</w:t>
      </w:r>
      <w:r>
        <w:rPr>
          <w:rFonts w:hint="eastAsia"/>
        </w:rPr>
        <w:t>1.3</w:t>
      </w:r>
      <w:r>
        <w:t>运行期环境管理</w:t>
      </w:r>
      <w:bookmarkEnd w:id="813"/>
      <w:bookmarkEnd w:id="814"/>
      <w:bookmarkEnd w:id="815"/>
      <w:bookmarkEnd w:id="816"/>
      <w:bookmarkEnd w:id="817"/>
    </w:p>
    <w:p w:rsidR="004E3021" w:rsidRDefault="00606E48">
      <w:pPr>
        <w:ind w:firstLine="480"/>
      </w:pPr>
      <w:r>
        <w:rPr>
          <w:rFonts w:ascii="宋体" w:hAnsi="宋体" w:hint="eastAsia"/>
        </w:rPr>
        <w:t>企业应建立健全环境管理制度体系，将环保纳入考核体系，确保在日常运行中将环保目标落实到实处。</w:t>
      </w:r>
    </w:p>
    <w:p w:rsidR="004E3021" w:rsidRDefault="00606E48">
      <w:pPr>
        <w:ind w:firstLine="480"/>
      </w:pPr>
      <w:r>
        <w:rPr>
          <w:rFonts w:ascii="宋体" w:hAnsi="宋体" w:hint="eastAsia"/>
        </w:rPr>
        <w:t>一</w:t>
      </w:r>
      <w:r>
        <w:rPr>
          <w:rFonts w:ascii="宋体" w:hAnsi="宋体"/>
        </w:rPr>
        <w:t>、</w:t>
      </w:r>
      <w:r>
        <w:rPr>
          <w:rFonts w:ascii="宋体" w:hAnsi="宋体" w:hint="eastAsia"/>
        </w:rPr>
        <w:t>“三同时”制度</w:t>
      </w:r>
    </w:p>
    <w:p w:rsidR="004E3021" w:rsidRDefault="00606E48">
      <w:pPr>
        <w:ind w:firstLine="480"/>
      </w:pPr>
      <w:r>
        <w:rPr>
          <w:rFonts w:ascii="宋体" w:hAnsi="宋体" w:hint="eastAsia"/>
        </w:rPr>
        <w:t>根据《建设项目环境保护管理条例》，建设项目需要配套建设的环境保护设施，必须与主体工程同时设计、同时施工、同时投产使用。项目竣工后，建设单位应当按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验收报告应依法向社会公开。本</w:t>
      </w:r>
      <w:r>
        <w:rPr>
          <w:rFonts w:ascii="宋体" w:hAnsi="宋体" w:hint="eastAsia"/>
        </w:rPr>
        <w:lastRenderedPageBreak/>
        <w:t>项目配套建设的环境保护设施经验收合格，方可投入生产或者使用。</w:t>
      </w:r>
    </w:p>
    <w:p w:rsidR="004E3021" w:rsidRDefault="00606E48">
      <w:pPr>
        <w:ind w:firstLine="480"/>
      </w:pPr>
      <w:r>
        <w:rPr>
          <w:rFonts w:ascii="宋体" w:hAnsi="宋体" w:hint="eastAsia"/>
        </w:rPr>
        <w:t>二、排污许可证制度</w:t>
      </w:r>
    </w:p>
    <w:p w:rsidR="004E3021" w:rsidRDefault="00606E48">
      <w:pPr>
        <w:ind w:firstLine="480"/>
      </w:pPr>
      <w:r>
        <w:rPr>
          <w:rFonts w:ascii="宋体" w:hAnsi="宋体" w:hint="eastAsia"/>
        </w:rPr>
        <w:t>（</w:t>
      </w:r>
      <w:r>
        <w:rPr>
          <w:rFonts w:hint="eastAsia"/>
        </w:rPr>
        <w:t>1</w:t>
      </w:r>
      <w:r>
        <w:rPr>
          <w:rFonts w:ascii="宋体" w:hAnsi="宋体" w:hint="eastAsia"/>
        </w:rPr>
        <w:t>）落实按证</w:t>
      </w:r>
      <w:r>
        <w:rPr>
          <w:rFonts w:ascii="宋体" w:hAnsi="宋体"/>
        </w:rPr>
        <w:t>排污责任</w:t>
      </w:r>
    </w:p>
    <w:p w:rsidR="004E3021" w:rsidRDefault="00606E48">
      <w:pPr>
        <w:ind w:firstLine="480"/>
      </w:pPr>
      <w:r>
        <w:rPr>
          <w:rFonts w:ascii="宋体" w:hAnsi="宋体" w:hint="eastAsia"/>
        </w:rPr>
        <w:t>建设单位必须按期</w:t>
      </w:r>
      <w:r>
        <w:rPr>
          <w:rFonts w:ascii="宋体" w:hAnsi="宋体"/>
        </w:rPr>
        <w:t>持证排污、按证排污，不得无证排污，及时申领排污许可证</w:t>
      </w:r>
      <w:r>
        <w:rPr>
          <w:rFonts w:ascii="宋体" w:hAnsi="宋体" w:hint="eastAsia"/>
        </w:rPr>
        <w:t>，</w:t>
      </w:r>
      <w:r>
        <w:rPr>
          <w:rFonts w:ascii="宋体" w:hAnsi="宋体"/>
        </w:rPr>
        <w:t>对申请材料的真实性、准确性和完整性承担法律责任，承诺按照排污许可证的规定排污并严格执行；落实污染物排放控制措施和其他各项环境管理要求，确保污染物排放种类、浓度和排放量等达到许可要求；明确单位负责人和相关人员环境保护责任，不断提高污染治理和环境管理水平，自觉接受监督检查。</w:t>
      </w:r>
    </w:p>
    <w:p w:rsidR="004E3021" w:rsidRDefault="00606E48">
      <w:pPr>
        <w:ind w:firstLine="480"/>
      </w:pPr>
      <w:r>
        <w:rPr>
          <w:rFonts w:ascii="宋体" w:hAnsi="宋体" w:hint="eastAsia"/>
        </w:rPr>
        <w:t>（</w:t>
      </w:r>
      <w:r>
        <w:rPr>
          <w:rFonts w:hint="eastAsia"/>
        </w:rPr>
        <w:t>2</w:t>
      </w:r>
      <w:r>
        <w:rPr>
          <w:rFonts w:ascii="宋体" w:hAnsi="宋体" w:hint="eastAsia"/>
        </w:rPr>
        <w:t>）实行</w:t>
      </w:r>
      <w:r>
        <w:rPr>
          <w:rFonts w:ascii="宋体" w:hAnsi="宋体"/>
        </w:rPr>
        <w:t>自行监测和定期报告制度</w:t>
      </w:r>
    </w:p>
    <w:p w:rsidR="004E3021" w:rsidRDefault="00606E48">
      <w:pPr>
        <w:ind w:firstLine="480"/>
      </w:pPr>
      <w:r>
        <w:rPr>
          <w:rFonts w:ascii="宋体" w:hAnsi="宋体" w:hint="eastAsia"/>
        </w:rPr>
        <w:t>依法</w:t>
      </w:r>
      <w:r>
        <w:rPr>
          <w:rFonts w:ascii="宋体" w:hAnsi="宋体"/>
        </w:rPr>
        <w:t>开展自行监测，安装或使用监测设备应符合国家有关环境监测</w:t>
      </w:r>
      <w:r>
        <w:rPr>
          <w:rFonts w:ascii="宋体" w:hAnsi="宋体" w:hint="eastAsia"/>
        </w:rPr>
        <w:t>、</w:t>
      </w:r>
      <w:r>
        <w:rPr>
          <w:rFonts w:ascii="宋体" w:hAnsi="宋体"/>
        </w:rPr>
        <w:t>计量认证规定和技术规范，保障数据</w:t>
      </w:r>
      <w:r>
        <w:rPr>
          <w:rFonts w:ascii="宋体" w:hAnsi="宋体" w:hint="eastAsia"/>
        </w:rPr>
        <w:t>合法</w:t>
      </w:r>
      <w:r>
        <w:rPr>
          <w:rFonts w:ascii="宋体" w:hAnsi="宋体"/>
        </w:rPr>
        <w:t>有效，保证设备正常运行，妥善保存原始</w:t>
      </w:r>
      <w:r>
        <w:rPr>
          <w:rFonts w:ascii="宋体" w:hAnsi="宋体" w:hint="eastAsia"/>
        </w:rPr>
        <w:t>记录</w:t>
      </w:r>
      <w:r>
        <w:rPr>
          <w:rFonts w:ascii="宋体" w:hAnsi="宋体"/>
        </w:rPr>
        <w:t>，建立准确完整的环境管理台账，安装在线</w:t>
      </w:r>
      <w:r>
        <w:rPr>
          <w:rFonts w:ascii="宋体" w:hAnsi="宋体" w:hint="eastAsia"/>
        </w:rPr>
        <w:t>监测</w:t>
      </w:r>
      <w:r>
        <w:rPr>
          <w:rFonts w:ascii="宋体" w:hAnsi="宋体"/>
        </w:rPr>
        <w:t>设备的应与环境保护部门联网</w:t>
      </w:r>
      <w:r>
        <w:rPr>
          <w:rFonts w:ascii="宋体" w:hAnsi="宋体" w:hint="eastAsia"/>
        </w:rPr>
        <w:t>。</w:t>
      </w:r>
      <w:r>
        <w:rPr>
          <w:rFonts w:ascii="宋体" w:hAnsi="宋体"/>
        </w:rPr>
        <w:t>如实向生态环境部门</w:t>
      </w:r>
      <w:r>
        <w:rPr>
          <w:rFonts w:ascii="宋体" w:hAnsi="宋体" w:hint="eastAsia"/>
        </w:rPr>
        <w:t>报告</w:t>
      </w:r>
      <w:r>
        <w:rPr>
          <w:rFonts w:ascii="宋体" w:hAnsi="宋体"/>
        </w:rPr>
        <w:t>排污许可证执行情况，依法向社会公开污染物排放数据并对数据真实性负责。排放情况与排污许可证要求不符的，应及时向生态环境部门报告。</w:t>
      </w:r>
    </w:p>
    <w:p w:rsidR="004E3021" w:rsidRDefault="00606E48">
      <w:pPr>
        <w:ind w:firstLine="480"/>
      </w:pPr>
      <w:r>
        <w:rPr>
          <w:rFonts w:ascii="宋体" w:hAnsi="宋体" w:hint="eastAsia"/>
        </w:rPr>
        <w:t>（</w:t>
      </w:r>
      <w:r>
        <w:rPr>
          <w:rFonts w:hint="eastAsia"/>
        </w:rPr>
        <w:t>3</w:t>
      </w:r>
      <w:r>
        <w:rPr>
          <w:rFonts w:ascii="宋体" w:hAnsi="宋体" w:hint="eastAsia"/>
        </w:rPr>
        <w:t>）排污许可</w:t>
      </w:r>
      <w:r>
        <w:rPr>
          <w:rFonts w:ascii="宋体" w:hAnsi="宋体"/>
        </w:rPr>
        <w:t>证管理</w:t>
      </w:r>
    </w:p>
    <w:p w:rsidR="004E3021" w:rsidRDefault="00606E48">
      <w:pPr>
        <w:ind w:firstLine="480"/>
      </w:pPr>
      <w:r>
        <w:rPr>
          <w:rFonts w:hint="eastAsia"/>
        </w:rPr>
        <w:t>1</w:t>
      </w:r>
      <w:r>
        <w:rPr>
          <w:rFonts w:ascii="宋体" w:hAnsi="宋体" w:hint="eastAsia"/>
        </w:rPr>
        <w:t>）</w:t>
      </w:r>
      <w:r>
        <w:rPr>
          <w:rFonts w:ascii="宋体" w:hAnsi="宋体"/>
        </w:rPr>
        <w:t>排污许可证的变更</w:t>
      </w:r>
      <w:r>
        <w:rPr>
          <w:rFonts w:ascii="宋体" w:hAnsi="宋体" w:hint="eastAsia"/>
        </w:rPr>
        <w:t>在</w:t>
      </w:r>
      <w:r>
        <w:rPr>
          <w:rFonts w:ascii="宋体" w:hAnsi="宋体"/>
        </w:rPr>
        <w:t>排污许可证有效期内，建设单位发生以下事项变化的，应当在</w:t>
      </w:r>
      <w:r>
        <w:rPr>
          <w:rFonts w:ascii="宋体" w:hAnsi="宋体" w:hint="eastAsia"/>
        </w:rPr>
        <w:t>规定</w:t>
      </w:r>
      <w:r>
        <w:rPr>
          <w:rFonts w:ascii="宋体" w:hAnsi="宋体"/>
        </w:rPr>
        <w:t>时间内向原核发</w:t>
      </w:r>
      <w:r>
        <w:rPr>
          <w:rFonts w:ascii="宋体" w:hAnsi="宋体" w:hint="eastAsia"/>
        </w:rPr>
        <w:t>机关</w:t>
      </w:r>
      <w:r>
        <w:rPr>
          <w:rFonts w:ascii="宋体" w:hAnsi="宋体"/>
        </w:rPr>
        <w:t>提出变更排污许可证的申请</w:t>
      </w:r>
      <w:r>
        <w:rPr>
          <w:rFonts w:ascii="宋体" w:hAnsi="宋体" w:hint="eastAsia"/>
        </w:rPr>
        <w:t>。</w:t>
      </w:r>
    </w:p>
    <w:p w:rsidR="004E3021" w:rsidRDefault="00606E48">
      <w:pPr>
        <w:ind w:firstLine="480"/>
      </w:pPr>
      <w:r>
        <w:rPr>
          <w:rFonts w:ascii="宋体" w:hAnsi="宋体" w:hint="eastAsia"/>
        </w:rPr>
        <w:t>①排污</w:t>
      </w:r>
      <w:r>
        <w:rPr>
          <w:rFonts w:ascii="宋体" w:hAnsi="宋体"/>
        </w:rPr>
        <w:t>单位名称、注册地址、法定代表人或者实际负责人等正本</w:t>
      </w:r>
      <w:r>
        <w:rPr>
          <w:rFonts w:ascii="宋体" w:hAnsi="宋体" w:hint="eastAsia"/>
        </w:rPr>
        <w:t>中</w:t>
      </w:r>
      <w:r>
        <w:rPr>
          <w:rFonts w:ascii="宋体" w:hAnsi="宋体"/>
        </w:rPr>
        <w:t>载明的基本信息发生</w:t>
      </w:r>
      <w:r>
        <w:rPr>
          <w:rFonts w:ascii="宋体" w:hAnsi="宋体" w:hint="eastAsia"/>
        </w:rPr>
        <w:t>变更</w:t>
      </w:r>
      <w:r>
        <w:rPr>
          <w:rFonts w:ascii="宋体" w:hAnsi="宋体"/>
        </w:rPr>
        <w:t>之日起二十日内。</w:t>
      </w:r>
    </w:p>
    <w:p w:rsidR="004E3021" w:rsidRDefault="00606E48">
      <w:pPr>
        <w:ind w:firstLine="480"/>
      </w:pPr>
      <w:r>
        <w:rPr>
          <w:rFonts w:ascii="宋体" w:hAnsi="宋体" w:hint="eastAsia"/>
        </w:rPr>
        <w:t>②排污单位</w:t>
      </w:r>
      <w:r>
        <w:rPr>
          <w:rFonts w:ascii="宋体" w:hAnsi="宋体"/>
        </w:rPr>
        <w:t>在原场址内实施新建项目应当开展环境影响评价的</w:t>
      </w:r>
      <w:r>
        <w:rPr>
          <w:rFonts w:ascii="宋体" w:hAnsi="宋体" w:hint="eastAsia"/>
        </w:rPr>
        <w:t>，</w:t>
      </w:r>
      <w:r>
        <w:rPr>
          <w:rFonts w:ascii="宋体" w:hAnsi="宋体"/>
        </w:rPr>
        <w:t>在通过环境影响评价审批或者备案后，产生实际排污行为之前二十日内。</w:t>
      </w:r>
    </w:p>
    <w:p w:rsidR="004E3021" w:rsidRDefault="00606E48">
      <w:pPr>
        <w:ind w:firstLine="480"/>
      </w:pPr>
      <w:r>
        <w:rPr>
          <w:rFonts w:ascii="宋体" w:hAnsi="宋体" w:hint="eastAsia"/>
        </w:rPr>
        <w:t>③国家</w:t>
      </w:r>
      <w:r>
        <w:rPr>
          <w:rFonts w:ascii="宋体" w:hAnsi="宋体"/>
        </w:rPr>
        <w:t>或地方实施新污染物排放标准的，</w:t>
      </w:r>
      <w:r>
        <w:rPr>
          <w:rFonts w:ascii="宋体" w:hAnsi="宋体" w:hint="eastAsia"/>
        </w:rPr>
        <w:t>核发</w:t>
      </w:r>
      <w:r>
        <w:rPr>
          <w:rFonts w:ascii="宋体" w:hAnsi="宋体"/>
        </w:rPr>
        <w:t>机关应主动通知排污单位进行变更，排污单位在接到通知后二十日内申请变更。</w:t>
      </w:r>
    </w:p>
    <w:p w:rsidR="004E3021" w:rsidRDefault="00606E48">
      <w:pPr>
        <w:ind w:firstLine="480"/>
      </w:pPr>
      <w:r>
        <w:rPr>
          <w:rFonts w:ascii="宋体" w:hAnsi="宋体" w:hint="eastAsia"/>
        </w:rPr>
        <w:t>④政府</w:t>
      </w:r>
      <w:r>
        <w:rPr>
          <w:rFonts w:ascii="宋体" w:hAnsi="宋体"/>
        </w:rPr>
        <w:t>相关文件</w:t>
      </w:r>
      <w:r>
        <w:rPr>
          <w:rFonts w:ascii="宋体" w:hAnsi="宋体" w:hint="eastAsia"/>
        </w:rPr>
        <w:t>或</w:t>
      </w:r>
      <w:r>
        <w:rPr>
          <w:rFonts w:ascii="宋体" w:hAnsi="宋体"/>
        </w:rPr>
        <w:t>与其他企业达成协议，进行区域替代实现减量排放的，应在文件或协议规定时限内提出变更申请。</w:t>
      </w:r>
    </w:p>
    <w:p w:rsidR="004E3021" w:rsidRDefault="00606E48">
      <w:pPr>
        <w:ind w:firstLine="480"/>
      </w:pPr>
      <w:r>
        <w:rPr>
          <w:rFonts w:ascii="宋体" w:hAnsi="宋体" w:hint="eastAsia"/>
        </w:rPr>
        <w:t>⑤需要进行变更</w:t>
      </w:r>
      <w:r>
        <w:rPr>
          <w:rFonts w:ascii="宋体" w:hAnsi="宋体"/>
        </w:rPr>
        <w:t>的其他情形。</w:t>
      </w:r>
    </w:p>
    <w:p w:rsidR="004E3021" w:rsidRDefault="00606E48">
      <w:pPr>
        <w:ind w:firstLine="480"/>
      </w:pPr>
      <w:r>
        <w:rPr>
          <w:rFonts w:hint="eastAsia"/>
        </w:rPr>
        <w:t>2</w:t>
      </w:r>
      <w:r>
        <w:rPr>
          <w:rFonts w:ascii="宋体" w:hAnsi="宋体" w:hint="eastAsia"/>
        </w:rPr>
        <w:t>）</w:t>
      </w:r>
      <w:r>
        <w:rPr>
          <w:rFonts w:ascii="宋体" w:hAnsi="宋体"/>
        </w:rPr>
        <w:t>排污许可证的补办</w:t>
      </w:r>
    </w:p>
    <w:p w:rsidR="004E3021" w:rsidRDefault="00606E48">
      <w:pPr>
        <w:ind w:firstLine="480"/>
      </w:pPr>
      <w:r>
        <w:rPr>
          <w:rFonts w:ascii="宋体" w:hAnsi="宋体" w:hint="eastAsia"/>
        </w:rPr>
        <w:t>排污许可</w:t>
      </w:r>
      <w:r>
        <w:rPr>
          <w:rFonts w:ascii="宋体" w:hAnsi="宋体"/>
        </w:rPr>
        <w:t>证发生</w:t>
      </w:r>
      <w:r>
        <w:rPr>
          <w:rFonts w:ascii="宋体" w:hAnsi="宋体" w:hint="eastAsia"/>
        </w:rPr>
        <w:t>遗失</w:t>
      </w:r>
      <w:r>
        <w:rPr>
          <w:rFonts w:ascii="宋体" w:hAnsi="宋体"/>
        </w:rPr>
        <w:t>、损毁的，建设</w:t>
      </w:r>
      <w:r>
        <w:rPr>
          <w:rFonts w:ascii="宋体" w:hAnsi="宋体" w:hint="eastAsia"/>
        </w:rPr>
        <w:t>单位</w:t>
      </w:r>
      <w:r>
        <w:rPr>
          <w:rFonts w:ascii="宋体" w:hAnsi="宋体"/>
        </w:rPr>
        <w:t>应当在三十日内向原核发机关申请补领排污</w:t>
      </w:r>
      <w:r>
        <w:rPr>
          <w:rFonts w:ascii="宋体" w:hAnsi="宋体" w:hint="eastAsia"/>
        </w:rPr>
        <w:t>许可证</w:t>
      </w:r>
      <w:r>
        <w:rPr>
          <w:rFonts w:ascii="宋体" w:hAnsi="宋体"/>
        </w:rPr>
        <w:t>，遗失排污许可证的还应</w:t>
      </w:r>
      <w:r>
        <w:rPr>
          <w:rFonts w:ascii="宋体" w:hAnsi="宋体" w:hint="eastAsia"/>
        </w:rPr>
        <w:t>同时</w:t>
      </w:r>
      <w:r>
        <w:rPr>
          <w:rFonts w:ascii="宋体" w:hAnsi="宋体"/>
        </w:rPr>
        <w:t>提交遗失声明，</w:t>
      </w:r>
      <w:r>
        <w:rPr>
          <w:rFonts w:ascii="宋体" w:hAnsi="宋体" w:hint="eastAsia"/>
        </w:rPr>
        <w:t>损毁</w:t>
      </w:r>
      <w:r>
        <w:rPr>
          <w:rFonts w:ascii="宋体" w:hAnsi="宋体"/>
        </w:rPr>
        <w:t>排污</w:t>
      </w:r>
      <w:r>
        <w:rPr>
          <w:rFonts w:ascii="宋体" w:hAnsi="宋体" w:hint="eastAsia"/>
        </w:rPr>
        <w:t>许可</w:t>
      </w:r>
      <w:r>
        <w:rPr>
          <w:rFonts w:ascii="宋体" w:hAnsi="宋体"/>
        </w:rPr>
        <w:t>证的还应同时</w:t>
      </w:r>
      <w:r>
        <w:rPr>
          <w:rFonts w:ascii="宋体" w:hAnsi="宋体" w:hint="eastAsia"/>
        </w:rPr>
        <w:t>交回</w:t>
      </w:r>
      <w:r>
        <w:rPr>
          <w:rFonts w:ascii="宋体" w:hAnsi="宋体"/>
        </w:rPr>
        <w:t>被损毁的许可证。核发机关应当</w:t>
      </w:r>
      <w:r>
        <w:rPr>
          <w:rFonts w:ascii="宋体" w:hAnsi="宋体" w:hint="eastAsia"/>
        </w:rPr>
        <w:t>在</w:t>
      </w:r>
      <w:r>
        <w:rPr>
          <w:rFonts w:ascii="宋体" w:hAnsi="宋体"/>
        </w:rPr>
        <w:t>收到补领申请后</w:t>
      </w:r>
      <w:r>
        <w:rPr>
          <w:rFonts w:ascii="宋体" w:hAnsi="宋体" w:hint="eastAsia"/>
        </w:rPr>
        <w:t>十日内补发排污许可</w:t>
      </w:r>
      <w:r>
        <w:rPr>
          <w:rFonts w:ascii="宋体" w:hAnsi="宋体"/>
        </w:rPr>
        <w:t>证，并及时在</w:t>
      </w:r>
      <w:r>
        <w:rPr>
          <w:rFonts w:ascii="宋体" w:hAnsi="宋体" w:hint="eastAsia"/>
        </w:rPr>
        <w:t>国</w:t>
      </w:r>
      <w:r>
        <w:rPr>
          <w:rFonts w:ascii="宋体" w:hAnsi="宋体" w:hint="eastAsia"/>
        </w:rPr>
        <w:lastRenderedPageBreak/>
        <w:t>家</w:t>
      </w:r>
      <w:r>
        <w:rPr>
          <w:rFonts w:ascii="宋体" w:hAnsi="宋体"/>
        </w:rPr>
        <w:t>排污许可证管理信息平台</w:t>
      </w:r>
      <w:r>
        <w:rPr>
          <w:rFonts w:ascii="宋体" w:hAnsi="宋体" w:hint="eastAsia"/>
        </w:rPr>
        <w:t>上</w:t>
      </w:r>
      <w:r>
        <w:rPr>
          <w:rFonts w:ascii="宋体" w:hAnsi="宋体"/>
        </w:rPr>
        <w:t>进行公告。</w:t>
      </w:r>
    </w:p>
    <w:p w:rsidR="004E3021" w:rsidRDefault="00606E48">
      <w:pPr>
        <w:ind w:firstLine="480"/>
      </w:pPr>
      <w:r>
        <w:rPr>
          <w:rFonts w:hint="eastAsia"/>
        </w:rPr>
        <w:t>3</w:t>
      </w:r>
      <w:r>
        <w:rPr>
          <w:rFonts w:ascii="宋体" w:hAnsi="宋体" w:hint="eastAsia"/>
        </w:rPr>
        <w:t>）</w:t>
      </w:r>
      <w:r>
        <w:rPr>
          <w:rFonts w:ascii="宋体" w:hAnsi="宋体"/>
        </w:rPr>
        <w:t>其他相关要求</w:t>
      </w:r>
    </w:p>
    <w:p w:rsidR="004E3021" w:rsidRDefault="00606E48">
      <w:pPr>
        <w:ind w:firstLine="480"/>
      </w:pPr>
      <w:r>
        <w:rPr>
          <w:rFonts w:ascii="宋体" w:hAnsi="宋体" w:hint="eastAsia"/>
        </w:rPr>
        <w:t>①排污口位置</w:t>
      </w:r>
      <w:r>
        <w:rPr>
          <w:rFonts w:ascii="宋体" w:hAnsi="宋体"/>
        </w:rPr>
        <w:t>和数量、排放方式、排放去向、排放污染物种类、排放浓度和排放量</w:t>
      </w:r>
      <w:r>
        <w:rPr>
          <w:rFonts w:ascii="宋体" w:hAnsi="宋体" w:hint="eastAsia"/>
        </w:rPr>
        <w:t>、</w:t>
      </w:r>
      <w:r>
        <w:rPr>
          <w:rFonts w:ascii="宋体" w:hAnsi="宋体"/>
        </w:rPr>
        <w:t>执行的排放标准等符合排污许可证的规定，不得私设</w:t>
      </w:r>
      <w:r>
        <w:rPr>
          <w:rFonts w:ascii="宋体" w:hAnsi="宋体" w:hint="eastAsia"/>
        </w:rPr>
        <w:t>暗管</w:t>
      </w:r>
      <w:r>
        <w:rPr>
          <w:rFonts w:ascii="宋体" w:hAnsi="宋体"/>
        </w:rPr>
        <w:t>或以其他方式逃避监管。</w:t>
      </w:r>
    </w:p>
    <w:p w:rsidR="004E3021" w:rsidRDefault="00606E48">
      <w:pPr>
        <w:ind w:firstLine="480"/>
      </w:pPr>
      <w:r>
        <w:rPr>
          <w:rFonts w:ascii="宋体" w:hAnsi="宋体" w:hint="eastAsia"/>
        </w:rPr>
        <w:t>②落实</w:t>
      </w:r>
      <w:r>
        <w:rPr>
          <w:rFonts w:ascii="宋体" w:hAnsi="宋体"/>
        </w:rPr>
        <w:t>重污染天气应急管控措施，遵守法律</w:t>
      </w:r>
      <w:r>
        <w:rPr>
          <w:rFonts w:ascii="宋体" w:hAnsi="宋体" w:hint="eastAsia"/>
        </w:rPr>
        <w:t>规定</w:t>
      </w:r>
      <w:r>
        <w:rPr>
          <w:rFonts w:ascii="宋体" w:hAnsi="宋体"/>
        </w:rPr>
        <w:t>的最新环境保护要求等。</w:t>
      </w:r>
    </w:p>
    <w:p w:rsidR="004E3021" w:rsidRDefault="00606E48">
      <w:pPr>
        <w:ind w:firstLine="480"/>
      </w:pPr>
      <w:r>
        <w:rPr>
          <w:rFonts w:ascii="宋体" w:hAnsi="宋体" w:hint="eastAsia"/>
        </w:rPr>
        <w:t>③按</w:t>
      </w:r>
      <w:r>
        <w:rPr>
          <w:rFonts w:ascii="宋体" w:hAnsi="宋体"/>
        </w:rPr>
        <w:t>排污许可证规定的监测点位、监测因子、监测频次和相关监测技术规范开展自行监测并公开。</w:t>
      </w:r>
    </w:p>
    <w:p w:rsidR="004E3021" w:rsidRDefault="00606E48">
      <w:pPr>
        <w:ind w:firstLine="480"/>
      </w:pPr>
      <w:r>
        <w:rPr>
          <w:rFonts w:ascii="宋体" w:hAnsi="宋体" w:hint="eastAsia"/>
        </w:rPr>
        <w:t>④按规范</w:t>
      </w:r>
      <w:r>
        <w:rPr>
          <w:rFonts w:ascii="宋体" w:hAnsi="宋体"/>
        </w:rPr>
        <w:t>进行台账记录，主要内容包括生产信息、燃料、原辅材料使用情况、环境经济损益简析。</w:t>
      </w:r>
    </w:p>
    <w:p w:rsidR="004E3021" w:rsidRDefault="00606E48">
      <w:pPr>
        <w:ind w:firstLine="480"/>
      </w:pPr>
      <w:r>
        <w:rPr>
          <w:rFonts w:ascii="宋体" w:hAnsi="宋体" w:hint="eastAsia"/>
        </w:rPr>
        <w:t>根据</w:t>
      </w:r>
      <w:r>
        <w:rPr>
          <w:rFonts w:ascii="宋体" w:hAnsi="宋体"/>
        </w:rPr>
        <w:t>《</w:t>
      </w:r>
      <w:r>
        <w:rPr>
          <w:rFonts w:ascii="宋体" w:hAnsi="宋体" w:hint="eastAsia"/>
        </w:rPr>
        <w:t>固定</w:t>
      </w:r>
      <w:r>
        <w:rPr>
          <w:rFonts w:ascii="宋体" w:hAnsi="宋体"/>
        </w:rPr>
        <w:t>污染源排污许可分类管理名录（</w:t>
      </w:r>
      <w:r>
        <w:rPr>
          <w:rFonts w:hint="eastAsia"/>
        </w:rPr>
        <w:t>2019</w:t>
      </w:r>
      <w:r>
        <w:rPr>
          <w:rFonts w:ascii="宋体" w:hAnsi="宋体" w:hint="eastAsia"/>
        </w:rPr>
        <w:t>年版</w:t>
      </w:r>
      <w:r>
        <w:rPr>
          <w:rFonts w:ascii="宋体" w:hAnsi="宋体"/>
        </w:rPr>
        <w:t>）》</w:t>
      </w:r>
      <w:r>
        <w:rPr>
          <w:rFonts w:ascii="宋体" w:hAnsi="宋体" w:hint="eastAsia"/>
        </w:rPr>
        <w:t>，</w:t>
      </w:r>
      <w:r>
        <w:rPr>
          <w:rFonts w:ascii="宋体" w:hAnsi="宋体"/>
        </w:rPr>
        <w:t>本项目属于</w:t>
      </w:r>
      <w:r>
        <w:rPr>
          <w:rFonts w:hint="eastAsia"/>
        </w:rPr>
        <w:t>基础化学原料制造</w:t>
      </w:r>
      <w:r>
        <w:rPr>
          <w:rFonts w:ascii="宋体" w:hAnsi="宋体"/>
        </w:rPr>
        <w:t>，</w:t>
      </w:r>
      <w:r>
        <w:rPr>
          <w:rFonts w:ascii="宋体" w:hAnsi="宋体" w:hint="eastAsia"/>
        </w:rPr>
        <w:t>属于“二十一、化学原料和</w:t>
      </w:r>
      <w:r>
        <w:rPr>
          <w:rFonts w:ascii="宋体" w:hAnsi="宋体"/>
        </w:rPr>
        <w:t>化学制品制造业</w:t>
      </w:r>
      <w:r>
        <w:t>26</w:t>
      </w:r>
      <w:r>
        <w:rPr>
          <w:rFonts w:ascii="宋体" w:hAnsi="宋体" w:hint="eastAsia"/>
        </w:rPr>
        <w:t>，实行排污许可重点管理，需申请排污许可证，应当在全国排污许可证管理信息平台填报排污许可申请表，填报基本信息、污染物排放去向、执行污染物排放标准、自行监测方案、</w:t>
      </w:r>
      <w:r>
        <w:rPr>
          <w:rFonts w:ascii="宋体" w:hAnsi="宋体"/>
        </w:rPr>
        <w:t>生态环境部门</w:t>
      </w:r>
      <w:r>
        <w:rPr>
          <w:rFonts w:ascii="宋体" w:hAnsi="宋体" w:hint="eastAsia"/>
        </w:rPr>
        <w:t>要求以及采取的污染防治措施等信息。</w:t>
      </w:r>
    </w:p>
    <w:p w:rsidR="004E3021" w:rsidRDefault="00606E48">
      <w:pPr>
        <w:ind w:firstLine="480"/>
      </w:pPr>
      <w:r>
        <w:rPr>
          <w:rFonts w:ascii="宋体" w:hAnsi="宋体" w:hint="eastAsia"/>
        </w:rPr>
        <w:t>三</w:t>
      </w:r>
      <w:r>
        <w:rPr>
          <w:rFonts w:ascii="宋体" w:hAnsi="宋体"/>
        </w:rPr>
        <w:t>、</w:t>
      </w:r>
      <w:r>
        <w:rPr>
          <w:rFonts w:ascii="宋体" w:hAnsi="宋体" w:hint="eastAsia"/>
        </w:rPr>
        <w:t>完善环境保护管理机构</w:t>
      </w:r>
    </w:p>
    <w:p w:rsidR="004E3021" w:rsidRDefault="00606E48">
      <w:pPr>
        <w:ind w:firstLine="480"/>
      </w:pPr>
      <w:r>
        <w:rPr>
          <w:rFonts w:ascii="宋体" w:hAnsi="宋体" w:hint="eastAsia"/>
        </w:rPr>
        <w:t>为了做好生产全过程的环境保护工作，减轻本项目外排污染物对环境的影响程度，建设单位应高度重视环境保护工作。进一步完善厂区内部环境保护管理机构，安排专人负责环境保护工作，实行定岗定员，岗位责任制，负责各生产环节的环境保护管理，保证环保设施的正常运行。</w:t>
      </w:r>
    </w:p>
    <w:p w:rsidR="004E3021" w:rsidRDefault="00606E48">
      <w:pPr>
        <w:ind w:firstLine="480"/>
      </w:pPr>
      <w:r>
        <w:rPr>
          <w:rFonts w:ascii="宋体" w:hAnsi="宋体" w:hint="eastAsia"/>
        </w:rPr>
        <w:t>环境保护管理机构（或环境保护责任人）应进一步明确如下责任：</w:t>
      </w:r>
    </w:p>
    <w:p w:rsidR="004E3021" w:rsidRDefault="00606E48">
      <w:pPr>
        <w:ind w:firstLine="480"/>
      </w:pPr>
      <w:r>
        <w:rPr>
          <w:rFonts w:hint="eastAsia"/>
        </w:rPr>
        <w:t>1</w:t>
      </w:r>
      <w:r>
        <w:rPr>
          <w:rFonts w:ascii="宋体" w:hAnsi="宋体" w:hint="eastAsia"/>
        </w:rPr>
        <w:t>）保持与环境保护主管机构（沫河口园区管委会、蚌埠市生态环境局、淮上区生态环境分局等）的密切联系，及时了解国家、地方对本项目的有关环境保护的法律、法规和其它要求，及时向环境保护主管机构反映与项目有关污染因素、存在的问题、采取的污染控制对策等环境保护方面的内容，听取环境保护主管机构的批示意见。</w:t>
      </w:r>
    </w:p>
    <w:p w:rsidR="004E3021" w:rsidRDefault="00606E48">
      <w:pPr>
        <w:ind w:firstLine="480"/>
      </w:pPr>
      <w:r>
        <w:rPr>
          <w:rFonts w:hint="eastAsia"/>
        </w:rPr>
        <w:t>2</w:t>
      </w:r>
      <w:r>
        <w:rPr>
          <w:rFonts w:ascii="宋体" w:hAnsi="宋体" w:hint="eastAsia"/>
        </w:rPr>
        <w:t>）及时将国家、地方与本项目环境保护有关的法律、法规和其它要求向单位负责人汇报，及时向本单位有关机构、人员进行通报，组织职工进行环境保护方面的教育、培训，提高环保意识。</w:t>
      </w:r>
    </w:p>
    <w:p w:rsidR="004E3021" w:rsidRDefault="00606E48">
      <w:pPr>
        <w:ind w:firstLine="480"/>
      </w:pPr>
      <w:r>
        <w:rPr>
          <w:rFonts w:hint="eastAsia"/>
        </w:rPr>
        <w:t>3</w:t>
      </w:r>
      <w:r>
        <w:rPr>
          <w:rFonts w:ascii="宋体" w:hAnsi="宋体" w:hint="eastAsia"/>
        </w:rPr>
        <w:t>）及时向单位负责人汇报与本项目有关的污染因素、存在问题、采取的污染控制对策、实施情况等，提出改进建议。</w:t>
      </w:r>
    </w:p>
    <w:p w:rsidR="004E3021" w:rsidRDefault="00606E48">
      <w:pPr>
        <w:ind w:firstLine="480"/>
      </w:pPr>
      <w:r>
        <w:rPr>
          <w:rFonts w:hint="eastAsia"/>
        </w:rPr>
        <w:t>4</w:t>
      </w:r>
      <w:r>
        <w:rPr>
          <w:rFonts w:ascii="宋体" w:hAnsi="宋体" w:hint="eastAsia"/>
        </w:rPr>
        <w:t>）负责制定、监督实施本单位的有关环境保护管理规章制度，负责实施污染控制</w:t>
      </w:r>
      <w:r>
        <w:rPr>
          <w:rFonts w:ascii="宋体" w:hAnsi="宋体" w:hint="eastAsia"/>
        </w:rPr>
        <w:lastRenderedPageBreak/>
        <w:t>措施、管理污染治理设施，并进行详细的记录，以备检查。</w:t>
      </w:r>
    </w:p>
    <w:p w:rsidR="004E3021" w:rsidRDefault="00606E48">
      <w:pPr>
        <w:ind w:firstLine="480"/>
      </w:pPr>
      <w:r>
        <w:rPr>
          <w:rFonts w:hint="eastAsia"/>
        </w:rPr>
        <w:t>5</w:t>
      </w:r>
      <w:r>
        <w:rPr>
          <w:rFonts w:ascii="宋体" w:hAnsi="宋体" w:hint="eastAsia"/>
        </w:rPr>
        <w:t>）按本报告提出的各项环境保护措施，编制详细的环境保护措施落实计划，明确各污染源位置、环境影响、环境保护措施、落实责任机构（人）等，并将该环境保护计划以书面形式发放给相关人员，以便于各项措施的有效落实。</w:t>
      </w:r>
    </w:p>
    <w:p w:rsidR="004E3021" w:rsidRDefault="00606E48">
      <w:pPr>
        <w:ind w:firstLine="480"/>
      </w:pPr>
      <w:r>
        <w:rPr>
          <w:rFonts w:ascii="宋体" w:hAnsi="宋体" w:hint="eastAsia"/>
        </w:rPr>
        <w:t>四、健全环境管理制度</w:t>
      </w:r>
    </w:p>
    <w:p w:rsidR="004E3021" w:rsidRDefault="00606E48">
      <w:pPr>
        <w:ind w:firstLine="480"/>
      </w:pPr>
      <w:r>
        <w:rPr>
          <w:rFonts w:ascii="宋体" w:hAnsi="宋体" w:hint="eastAsia"/>
        </w:rPr>
        <w:t>按照</w:t>
      </w:r>
      <w:r>
        <w:rPr>
          <w:rFonts w:hint="eastAsia"/>
        </w:rPr>
        <w:t xml:space="preserve">ISO14000 </w:t>
      </w:r>
      <w:r>
        <w:rPr>
          <w:rFonts w:ascii="宋体" w:hAnsi="宋体" w:hint="eastAsia"/>
        </w:rPr>
        <w:t>的要求，建立完善的环境管理体系，健全内部环境管理制度，加强日常环境管理工作，对整个生产过程实施行全程环境管理，杜绝生产过程中环境污染事故的发生，保护环境。加强建设项目的环境管理，根据本报告提出的污染防治措施和对策，制定出切实可行的环境污染防治办法和措施；做好环境教育和宣传工作，提高各级管理人员和操作人员的环境保护意识，加强员工对环境污染防治的责任心，自觉遵守和执行各项环境保护的规章制度；定期对环境保护设施进行维护和保养，确保环境保护设施的正常运行，防止污染事故的发生；加强与环境保护管理部门的沟通和联系，主动接受环境主管部门的管理、监督和指导。</w:t>
      </w:r>
    </w:p>
    <w:p w:rsidR="004E3021" w:rsidRDefault="00606E48">
      <w:pPr>
        <w:ind w:firstLine="480"/>
      </w:pPr>
      <w:r>
        <w:rPr>
          <w:rFonts w:hint="eastAsia"/>
        </w:rPr>
        <w:t>1</w:t>
      </w:r>
      <w:r>
        <w:rPr>
          <w:rFonts w:ascii="宋体" w:hAnsi="宋体" w:hint="eastAsia"/>
        </w:rPr>
        <w:t xml:space="preserve">）危险废物接收交接制度 </w:t>
      </w:r>
    </w:p>
    <w:p w:rsidR="004E3021" w:rsidRDefault="00606E48">
      <w:pPr>
        <w:ind w:firstLine="480"/>
      </w:pPr>
      <w:r>
        <w:rPr>
          <w:rFonts w:ascii="宋体" w:hAnsi="宋体" w:hint="eastAsia"/>
        </w:rPr>
        <w:t>严格执行危险废物转移联单制度。危险废物应现场交接，若发现废物包装袋破裂、泄漏或其他事故时，按应急预案程序进行处理；交接双方必须根据交接情况认真填写险废物转移联单并签字确认；同时根据危险废物转移联单制度定期向主管部门报送。</w:t>
      </w:r>
    </w:p>
    <w:p w:rsidR="004E3021" w:rsidRDefault="00606E48">
      <w:pPr>
        <w:ind w:firstLine="480"/>
      </w:pPr>
      <w:r>
        <w:rPr>
          <w:rFonts w:hint="eastAsia"/>
        </w:rPr>
        <w:t>2</w:t>
      </w:r>
      <w:r>
        <w:rPr>
          <w:rFonts w:ascii="宋体" w:hAnsi="宋体" w:hint="eastAsia"/>
        </w:rPr>
        <w:t>）运行记录制度</w:t>
      </w:r>
    </w:p>
    <w:p w:rsidR="004E3021" w:rsidRDefault="00606E48">
      <w:pPr>
        <w:ind w:firstLine="480"/>
      </w:pPr>
      <w:r>
        <w:rPr>
          <w:rFonts w:ascii="宋体" w:hAnsi="宋体" w:hint="eastAsia"/>
        </w:rPr>
        <w:t>本项目应建立生产设施运行状况、设施维护等的登记制度，主要记录内容包括：生产设施维修情况的记录；环境监测数据的记录；生产事故及处置情况的记录；定期检测、评价及评估情况的记录。</w:t>
      </w:r>
    </w:p>
    <w:p w:rsidR="004E3021" w:rsidRDefault="00606E48">
      <w:pPr>
        <w:ind w:firstLine="480"/>
      </w:pPr>
      <w:r>
        <w:rPr>
          <w:rFonts w:hint="eastAsia"/>
        </w:rPr>
        <w:t>3</w:t>
      </w:r>
      <w:r>
        <w:rPr>
          <w:rFonts w:ascii="宋体" w:hAnsi="宋体" w:hint="eastAsia"/>
        </w:rPr>
        <w:t xml:space="preserve">）交接班制度 </w:t>
      </w:r>
    </w:p>
    <w:p w:rsidR="004E3021" w:rsidRDefault="00606E48">
      <w:pPr>
        <w:ind w:firstLine="480"/>
      </w:pPr>
      <w:r>
        <w:rPr>
          <w:rFonts w:ascii="宋体" w:hAnsi="宋体" w:hint="eastAsia"/>
        </w:rPr>
        <w:t>为保证本项目生产活动安全有序进行，必须建立严格的交接班制度，内容包括：生产设施、设备、工具及生产辅助材料的交接；运行记录的交接；上下班交接人员应在现场进行实物交接；运行记录交接前，交接班人员应共同巡视现场；交接班程序未能顺利完成时，应及时向生产管理负责人报告；交接班人员对实物及运行记录核实确定后，应签字确认。</w:t>
      </w:r>
    </w:p>
    <w:p w:rsidR="004E3021" w:rsidRDefault="00606E48">
      <w:pPr>
        <w:ind w:firstLine="480"/>
      </w:pPr>
      <w:r>
        <w:rPr>
          <w:rFonts w:hint="eastAsia"/>
        </w:rPr>
        <w:t>4</w:t>
      </w:r>
      <w:r>
        <w:rPr>
          <w:rFonts w:ascii="宋体" w:hAnsi="宋体" w:hint="eastAsia"/>
        </w:rPr>
        <w:t>）人员培训</w:t>
      </w:r>
    </w:p>
    <w:p w:rsidR="004E3021" w:rsidRDefault="00606E48">
      <w:pPr>
        <w:ind w:firstLine="480"/>
      </w:pPr>
      <w:r>
        <w:rPr>
          <w:rFonts w:ascii="宋体" w:hAnsi="宋体" w:hint="eastAsia"/>
        </w:rPr>
        <w:t>本项目应对操作人员、技术人员及管理人员进行相关法律法规、专业技术、安全防护、紧急处理等理论知识和操作技能的培训，事故或紧急情况下人工操作和事故处理；</w:t>
      </w:r>
      <w:r>
        <w:rPr>
          <w:rFonts w:ascii="宋体" w:hAnsi="宋体" w:hint="eastAsia"/>
        </w:rPr>
        <w:lastRenderedPageBreak/>
        <w:t>设备日常和定期维护；掌握劳动安全防护设施、设备的使用知识和个人卫生措施；设备运行及维护记录，以及泄漏事故和其他事件的记录及报告。</w:t>
      </w:r>
    </w:p>
    <w:p w:rsidR="004E3021" w:rsidRDefault="00606E48">
      <w:pPr>
        <w:ind w:firstLine="480"/>
      </w:pPr>
      <w:r>
        <w:rPr>
          <w:rFonts w:ascii="宋体" w:hAnsi="宋体" w:hint="eastAsia"/>
        </w:rPr>
        <w:t>五、环保台账制度</w:t>
      </w:r>
    </w:p>
    <w:p w:rsidR="004E3021" w:rsidRDefault="00606E48">
      <w:pPr>
        <w:ind w:firstLine="480"/>
      </w:pPr>
      <w:r>
        <w:rPr>
          <w:rFonts w:ascii="宋体" w:hAnsi="宋体" w:hint="eastAsia"/>
        </w:rPr>
        <w:t>厂内需完善记录制度和档案保存制度，有利于环境管理质量的追踪和持续改进；记录和台帐包括设施运行和维护记录、危险废物进出台帐、废水、废气污染物监测台帐、突发性事件的处理、调查记录等，妥善保存所有记录、台帐及污染物排放监测资料、环境管理档案资料等，</w:t>
      </w:r>
      <w:r>
        <w:rPr>
          <w:rFonts w:ascii="宋体" w:hAnsi="宋体"/>
        </w:rPr>
        <w:t>原始监测记录</w:t>
      </w:r>
      <w:r>
        <w:rPr>
          <w:rFonts w:ascii="宋体" w:hAnsi="宋体" w:hint="eastAsia"/>
        </w:rPr>
        <w:t>、电子</w:t>
      </w:r>
      <w:r>
        <w:rPr>
          <w:rFonts w:ascii="宋体" w:hAnsi="宋体"/>
        </w:rPr>
        <w:t>台账和纸质台账保存期限不得少于</w:t>
      </w:r>
      <w:r>
        <w:rPr>
          <w:rFonts w:hint="eastAsia"/>
        </w:rPr>
        <w:t>5</w:t>
      </w:r>
      <w:r>
        <w:rPr>
          <w:rFonts w:ascii="宋体" w:hAnsi="宋体" w:hint="eastAsia"/>
        </w:rPr>
        <w:t>年。</w:t>
      </w:r>
    </w:p>
    <w:p w:rsidR="004E3021" w:rsidRDefault="00606E48">
      <w:pPr>
        <w:ind w:firstLine="480"/>
      </w:pPr>
      <w:r>
        <w:rPr>
          <w:rFonts w:ascii="宋体" w:hAnsi="宋体" w:hint="eastAsia"/>
        </w:rPr>
        <w:t>六、污染治理设施管理制度</w:t>
      </w:r>
    </w:p>
    <w:p w:rsidR="004E3021" w:rsidRDefault="00606E48">
      <w:pPr>
        <w:ind w:firstLine="480"/>
      </w:pPr>
      <w:r>
        <w:rPr>
          <w:rFonts w:ascii="宋体" w:hAnsi="宋体" w:hint="eastAsia"/>
        </w:rPr>
        <w:t>项目建成后，必须确保污染处理设施长期、稳定、有效地运行，不得擅自拆除或者闲置污染处理设施，不得故意不正常使用污染处理设施。污染处理设施的管理必须与生产经营活动一起纳入单位日常管理工作的范畴，落实责任人、操作人员、维修人员、运行经费、设备的备品备件和其他原辅材料。同时要建立岗位责任制、制定操作规程、建立管理台帐。</w:t>
      </w:r>
    </w:p>
    <w:p w:rsidR="004E3021" w:rsidRDefault="00606E48">
      <w:pPr>
        <w:ind w:firstLine="480"/>
      </w:pPr>
      <w:r>
        <w:rPr>
          <w:rFonts w:ascii="宋体" w:hAnsi="宋体" w:hint="eastAsia"/>
        </w:rPr>
        <w:t>七、固体废物环境保护制度</w:t>
      </w:r>
    </w:p>
    <w:p w:rsidR="004E3021" w:rsidRDefault="00606E48">
      <w:pPr>
        <w:ind w:firstLine="480"/>
      </w:pPr>
      <w:r>
        <w:rPr>
          <w:rFonts w:ascii="宋体" w:hAnsi="宋体" w:hint="eastAsia"/>
        </w:rPr>
        <w:t>①建设单位应通过“安徽省危险废物动态管理信息系统”进行危险废物申报登记。将危险废物的实际产生、贮存、利用、处置等情况纳入生产记录，建立危险废物管理台账和企业内部产生和收集、贮存、转移等部门危险废物交接制度。</w:t>
      </w:r>
    </w:p>
    <w:p w:rsidR="004E3021" w:rsidRDefault="00606E48">
      <w:pPr>
        <w:ind w:firstLine="480"/>
      </w:pPr>
      <w:r>
        <w:rPr>
          <w:rFonts w:ascii="宋体" w:hAnsi="宋体" w:hint="eastAsia"/>
        </w:rPr>
        <w:t>②明确建设单位为固体废物污染防治的责任主体，要求企业建立风险管理及应急救援体系，执行环境监测计划、转移联单管理制度及国家和省有关转移管理的相关规定、处置过程安全操作规程、人员培训考核制度、档案管理制度、处置全过程管理制度等。</w:t>
      </w:r>
    </w:p>
    <w:p w:rsidR="004E3021" w:rsidRDefault="00606E48">
      <w:pPr>
        <w:ind w:firstLine="480"/>
      </w:pPr>
      <w:r>
        <w:rPr>
          <w:rFonts w:ascii="宋体" w:hAnsi="宋体" w:hint="eastAsia"/>
        </w:rPr>
        <w:t>③规范建设危险废物贮存场所并按照要求设置警告标志，危废包装、容器和贮存场所应按照《危险废物贮存污染控制标准》</w:t>
      </w:r>
      <w:r w:rsidR="0085002C">
        <w:t>（</w:t>
      </w:r>
      <w:r w:rsidR="0085002C">
        <w:t>GB18597-2023</w:t>
      </w:r>
      <w:r w:rsidR="0085002C">
        <w:t>）</w:t>
      </w:r>
      <w:r>
        <w:rPr>
          <w:rFonts w:ascii="宋体" w:hAnsi="宋体" w:hint="eastAsia"/>
        </w:rPr>
        <w:t>有关要求张贴标识。安装危险废物在线监控系统。</w:t>
      </w:r>
    </w:p>
    <w:p w:rsidR="004E3021" w:rsidRDefault="00606E48">
      <w:pPr>
        <w:ind w:firstLine="480"/>
      </w:pPr>
      <w:r>
        <w:rPr>
          <w:rFonts w:ascii="宋体" w:hAnsi="宋体" w:hint="eastAsia"/>
        </w:rPr>
        <w:t>八、报告制度</w:t>
      </w:r>
    </w:p>
    <w:p w:rsidR="004E3021" w:rsidRDefault="00606E48">
      <w:pPr>
        <w:ind w:firstLine="480"/>
      </w:pPr>
      <w:r>
        <w:rPr>
          <w:rFonts w:ascii="宋体" w:hAnsi="宋体" w:hint="eastAsia"/>
        </w:rPr>
        <w:t>执行月报制度。月报内容主要为污染治理设施的运行情况、污染物排放情况以及污染事故或污染纠纷等。厂内环境保护相关的所有记录、台帐及污染物排放监测资料、环境管理档案资料等应妥善保存并定期上报，发现污染因子超标，要在监测数据出来后以书面形式上报公司管理层，快速果断采取应对措施。</w:t>
      </w:r>
    </w:p>
    <w:p w:rsidR="004E3021" w:rsidRDefault="00606E48">
      <w:pPr>
        <w:ind w:firstLine="480"/>
      </w:pPr>
      <w:r>
        <w:rPr>
          <w:rFonts w:ascii="宋体" w:hAnsi="宋体" w:hint="eastAsia"/>
        </w:rPr>
        <w:t>建设单位应定期向当地政府生态环境部门报告污染治理设施运行情况、污染物排放情况以及污染事故、污染纠纷等情况，便于生态环境部门和企业管理人员及时了解企业</w:t>
      </w:r>
      <w:r>
        <w:rPr>
          <w:rFonts w:ascii="宋体" w:hAnsi="宋体" w:hint="eastAsia"/>
        </w:rPr>
        <w:lastRenderedPageBreak/>
        <w:t>污染动态，利于采取相应的对策措施。本项目的性质、规模、地点、生产工艺和环境保护措施等发生变动的，必须向生态环境部门报告，并履行相关手续，如发生重大变动并且可能导致环境影响显著变化（特别是不利环境影响加重）的，应当重新报批环评。</w:t>
      </w:r>
    </w:p>
    <w:p w:rsidR="004E3021" w:rsidRDefault="00606E48">
      <w:pPr>
        <w:ind w:firstLine="480"/>
      </w:pPr>
      <w:r>
        <w:rPr>
          <w:rFonts w:ascii="宋体" w:hAnsi="宋体" w:hint="eastAsia"/>
        </w:rPr>
        <w:t>九、环保奖惩制度</w:t>
      </w:r>
    </w:p>
    <w:p w:rsidR="004E3021" w:rsidRDefault="00606E48">
      <w:pPr>
        <w:ind w:firstLine="480"/>
      </w:pPr>
      <w:r>
        <w:rPr>
          <w:rFonts w:ascii="宋体" w:hAnsi="宋体" w:hint="eastAsia"/>
        </w:rPr>
        <w:t>企业应加强宣传教育，提高员工的污染隐患意识和环境风险意识；制定员工参与环保技术培训的计划，提高员工技术素质水平；设立岗位实责制，制定严格的奖、罚制度。建议企业设置环境保护奖励条例，纳入人员考核体系。对爱护环保设施、节能降耗、改善环境者实行奖励；对环保观念淡薄、不按环保管理要求，造成环保设施损坏、环境污染及资源和能源浪费者一律处以重罚。</w:t>
      </w:r>
    </w:p>
    <w:p w:rsidR="004E3021" w:rsidRDefault="00606E48">
      <w:pPr>
        <w:ind w:firstLine="480"/>
      </w:pPr>
      <w:r>
        <w:rPr>
          <w:rFonts w:ascii="宋体" w:hAnsi="宋体" w:hint="eastAsia"/>
        </w:rPr>
        <w:t>十、信息公开制度</w:t>
      </w:r>
    </w:p>
    <w:p w:rsidR="004E3021" w:rsidRDefault="00606E48">
      <w:pPr>
        <w:ind w:firstLine="480"/>
      </w:pPr>
      <w:r>
        <w:rPr>
          <w:rFonts w:ascii="宋体" w:hAnsi="宋体" w:hint="eastAsia"/>
        </w:rPr>
        <w:t>建设单位在环评编制、审批、排污许可证申请、竣工环保验收、正常运行等各阶段均应按照有关要求，通过网站或者其他便于公众知悉的方式，依法向社会公开本项目污染物排放清单，明确污染物排放的管理要求。包括工程组成及原辅材料组分要求，建设项目拟采取的环境保护措施及主要运行参数，排放的污染物种类、排放浓度和总量指标，排污口信息，执行的环境标准，环境风险防范措施以及环境监测等相关内容。</w:t>
      </w:r>
    </w:p>
    <w:p w:rsidR="004E3021" w:rsidRDefault="00606E48">
      <w:pPr>
        <w:ind w:firstLine="480"/>
      </w:pPr>
      <w:r>
        <w:rPr>
          <w:rFonts w:ascii="宋体" w:hAnsi="宋体" w:hint="eastAsia"/>
        </w:rPr>
        <w:t>十一、环境</w:t>
      </w:r>
      <w:r>
        <w:rPr>
          <w:rFonts w:ascii="宋体" w:hAnsi="宋体"/>
        </w:rPr>
        <w:t>管理要求</w:t>
      </w:r>
    </w:p>
    <w:p w:rsidR="004E3021" w:rsidRDefault="00606E48">
      <w:pPr>
        <w:ind w:firstLine="480"/>
      </w:pPr>
      <w:r>
        <w:rPr>
          <w:rFonts w:ascii="宋体" w:hAnsi="宋体"/>
        </w:rPr>
        <w:t>运行期环境管理要求如下：</w:t>
      </w:r>
    </w:p>
    <w:p w:rsidR="004E3021" w:rsidRDefault="00606E48">
      <w:pPr>
        <w:ind w:firstLine="480"/>
      </w:pPr>
      <w:r>
        <w:rPr>
          <w:rFonts w:ascii="宋体" w:hAnsi="宋体" w:hint="eastAsia"/>
        </w:rPr>
        <w:t>①</w:t>
      </w:r>
      <w:r>
        <w:rPr>
          <w:rFonts w:ascii="宋体" w:hAnsi="宋体"/>
        </w:rPr>
        <w:t>加强固体废物在厂内堆存期间的环境管理；加强对危险固废的收集、储存、运输等措施的管理。</w:t>
      </w:r>
    </w:p>
    <w:p w:rsidR="004E3021" w:rsidRDefault="00606E48">
      <w:pPr>
        <w:ind w:firstLine="480"/>
      </w:pPr>
      <w:r>
        <w:rPr>
          <w:rFonts w:ascii="宋体" w:hAnsi="宋体" w:hint="eastAsia"/>
        </w:rPr>
        <w:t>②项目运营期污水管网应明管，按行业要求做防腐防渗措施，自行监测及在线监测需按现行规定执行。</w:t>
      </w:r>
    </w:p>
    <w:p w:rsidR="004E3021" w:rsidRDefault="00606E48">
      <w:pPr>
        <w:ind w:firstLine="480"/>
      </w:pPr>
      <w:r>
        <w:rPr>
          <w:rFonts w:ascii="宋体" w:hAnsi="宋体" w:hint="eastAsia"/>
        </w:rPr>
        <w:t>③</w:t>
      </w:r>
      <w:r>
        <w:rPr>
          <w:rFonts w:ascii="宋体" w:hAnsi="宋体"/>
        </w:rPr>
        <w:t>加强管道、设备的保养和维护。安装必要的用水监测仪表，减少跑、冒、滴、漏，最大限度地减少用水量。</w:t>
      </w:r>
    </w:p>
    <w:p w:rsidR="004E3021" w:rsidRDefault="00606E48">
      <w:pPr>
        <w:ind w:firstLine="480"/>
      </w:pPr>
      <w:r>
        <w:rPr>
          <w:rFonts w:ascii="宋体" w:hAnsi="宋体" w:hint="eastAsia"/>
        </w:rPr>
        <w:t>④</w:t>
      </w:r>
      <w:r>
        <w:rPr>
          <w:rFonts w:ascii="宋体" w:hAnsi="宋体"/>
        </w:rPr>
        <w:t>加强</w:t>
      </w:r>
      <w:r>
        <w:rPr>
          <w:rFonts w:ascii="宋体" w:hAnsi="宋体" w:hint="eastAsia"/>
        </w:rPr>
        <w:t>对</w:t>
      </w:r>
      <w:r>
        <w:rPr>
          <w:rFonts w:ascii="宋体" w:hAnsi="宋体"/>
        </w:rPr>
        <w:t>项目的环境管理和环境监测。设专职环境管理人员，按报告书的要求认真落实环境监测计划；各排污口的设置和管理应按有关规定执行。</w:t>
      </w:r>
    </w:p>
    <w:p w:rsidR="004E3021" w:rsidRDefault="00606E48">
      <w:pPr>
        <w:ind w:firstLine="480"/>
        <w:rPr>
          <w:rFonts w:ascii="宋体" w:hAnsi="宋体"/>
        </w:rPr>
      </w:pPr>
      <w:r>
        <w:rPr>
          <w:rFonts w:ascii="宋体" w:hAnsi="宋体" w:hint="eastAsia"/>
        </w:rPr>
        <w:t>⑤</w:t>
      </w:r>
      <w:r>
        <w:rPr>
          <w:rFonts w:ascii="宋体" w:hAnsi="宋体"/>
        </w:rPr>
        <w:t>加强全厂职工的安全生产和环境保护知识的教育。配备必要的环境管理专职人员，落实、检查环保设施的运行状况，配合当地</w:t>
      </w:r>
      <w:r>
        <w:rPr>
          <w:rFonts w:ascii="宋体" w:hAnsi="宋体" w:hint="eastAsia"/>
        </w:rPr>
        <w:t>生态环境</w:t>
      </w:r>
      <w:r>
        <w:rPr>
          <w:rFonts w:ascii="宋体" w:hAnsi="宋体"/>
        </w:rPr>
        <w:t>部门做好本厂的环境管理、验收、监督和检查工作。</w:t>
      </w:r>
    </w:p>
    <w:p w:rsidR="004E3021" w:rsidRDefault="004E3021">
      <w:pPr>
        <w:ind w:firstLine="480"/>
      </w:pPr>
    </w:p>
    <w:p w:rsidR="004E3021" w:rsidRDefault="00606E48">
      <w:pPr>
        <w:pStyle w:val="afffffffffffffffff3"/>
      </w:pPr>
      <w:bookmarkStart w:id="818" w:name="_Toc221501107"/>
      <w:r>
        <w:rPr>
          <w:rFonts w:hint="eastAsia"/>
        </w:rPr>
        <w:lastRenderedPageBreak/>
        <w:t>8.2</w:t>
      </w:r>
      <w:r>
        <w:rPr>
          <w:rFonts w:hint="eastAsia"/>
        </w:rPr>
        <w:t>污染物</w:t>
      </w:r>
      <w:r>
        <w:t>排放</w:t>
      </w:r>
      <w:r>
        <w:rPr>
          <w:rFonts w:hint="eastAsia"/>
        </w:rPr>
        <w:t>基本情况</w:t>
      </w:r>
      <w:bookmarkEnd w:id="818"/>
    </w:p>
    <w:p w:rsidR="004E3021" w:rsidRDefault="00606E48">
      <w:pPr>
        <w:pStyle w:val="afffffffffffffffff4"/>
      </w:pPr>
      <w:bookmarkStart w:id="819" w:name="_Toc108662738"/>
      <w:bookmarkStart w:id="820" w:name="_Toc101135960"/>
      <w:bookmarkStart w:id="821" w:name="_Toc100784127"/>
      <w:bookmarkStart w:id="822" w:name="_Toc221088893"/>
      <w:bookmarkStart w:id="823" w:name="_Toc221501108"/>
      <w:r>
        <w:t>8.2.1</w:t>
      </w:r>
      <w:r>
        <w:t>产排污节点、污染物及污染治理设施</w:t>
      </w:r>
      <w:bookmarkEnd w:id="819"/>
      <w:bookmarkEnd w:id="820"/>
      <w:bookmarkEnd w:id="821"/>
      <w:bookmarkEnd w:id="822"/>
      <w:bookmarkEnd w:id="823"/>
    </w:p>
    <w:p w:rsidR="004E3021" w:rsidRDefault="00947F13">
      <w:pPr>
        <w:ind w:firstLine="480"/>
        <w:sectPr w:rsidR="004E3021">
          <w:pgSz w:w="11907" w:h="16840"/>
          <w:pgMar w:top="1440" w:right="1440" w:bottom="1440" w:left="1440" w:header="851" w:footer="992" w:gutter="0"/>
          <w:cols w:space="720"/>
          <w:docGrid w:type="lines" w:linePitch="326"/>
        </w:sectPr>
      </w:pPr>
      <w:r>
        <w:rPr>
          <w:rFonts w:hint="eastAsia"/>
        </w:rPr>
        <w:t>本</w:t>
      </w:r>
      <w:r w:rsidR="00606E48">
        <w:rPr>
          <w:rFonts w:ascii="宋体" w:hAnsi="宋体"/>
        </w:rPr>
        <w:t>项目废气产排污节点、污染物及污染治理设施信息及见废水产排污节点、污染物及污染治理设施信息下表</w:t>
      </w:r>
      <w:r w:rsidR="00606E48">
        <w:t>8.2.1-1</w:t>
      </w:r>
      <w:r w:rsidR="00606E48">
        <w:rPr>
          <w:rFonts w:ascii="宋体" w:hAnsi="宋体"/>
        </w:rPr>
        <w:t>及表</w:t>
      </w:r>
      <w:r w:rsidR="00606E48">
        <w:t>8.2.1-2</w:t>
      </w:r>
      <w:r w:rsidR="00606E48">
        <w:rPr>
          <w:rFonts w:ascii="宋体" w:hAnsi="宋体"/>
        </w:rPr>
        <w:t>。</w:t>
      </w:r>
    </w:p>
    <w:p w:rsidR="004E3021" w:rsidRDefault="00606E48">
      <w:pPr>
        <w:pStyle w:val="afffff4"/>
      </w:pPr>
      <w:bookmarkStart w:id="824" w:name="_Toc100784128"/>
      <w:bookmarkStart w:id="825" w:name="_Toc101135961"/>
      <w:r>
        <w:rPr>
          <w:rFonts w:hint="eastAsia"/>
        </w:rPr>
        <w:lastRenderedPageBreak/>
        <w:t>表</w:t>
      </w:r>
      <w:r>
        <w:rPr>
          <w:rFonts w:hint="eastAsia"/>
        </w:rPr>
        <w:t>8.2.1</w:t>
      </w:r>
      <w:r>
        <w:t xml:space="preserve">-1  </w:t>
      </w:r>
      <w:r>
        <w:rPr>
          <w:rFonts w:hint="eastAsia"/>
        </w:rPr>
        <w:t>废气</w:t>
      </w:r>
      <w:r>
        <w:t>产排污节点</w:t>
      </w:r>
      <w:r>
        <w:rPr>
          <w:rFonts w:hint="eastAsia"/>
        </w:rPr>
        <w:t>、污染物</w:t>
      </w:r>
      <w:r>
        <w:t>及污染物治理设施信息表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973949" w:rsidRPr="00973949" w:rsidRDefault="00973949">
      <w:pPr>
        <w:pStyle w:val="afffff4"/>
      </w:pPr>
    </w:p>
    <w:p w:rsidR="004E3021" w:rsidRDefault="00606E48">
      <w:pPr>
        <w:spacing w:line="500" w:lineRule="exact"/>
        <w:ind w:firstLineChars="0" w:firstLine="0"/>
        <w:jc w:val="center"/>
        <w:rPr>
          <w:rFonts w:eastAsia="黑体"/>
        </w:rPr>
      </w:pPr>
      <w:r>
        <w:rPr>
          <w:rFonts w:eastAsia="黑体" w:hint="eastAsia"/>
        </w:rPr>
        <w:t>表</w:t>
      </w:r>
      <w:r>
        <w:rPr>
          <w:rFonts w:eastAsia="黑体" w:hint="eastAsia"/>
        </w:rPr>
        <w:t>8.2.1</w:t>
      </w:r>
      <w:r>
        <w:rPr>
          <w:rFonts w:eastAsia="黑体"/>
        </w:rPr>
        <w:t xml:space="preserve">-2  </w:t>
      </w:r>
      <w:r>
        <w:rPr>
          <w:rFonts w:eastAsia="黑体" w:hint="eastAsia"/>
        </w:rPr>
        <w:t>废水</w:t>
      </w:r>
      <w:r>
        <w:rPr>
          <w:rFonts w:eastAsia="黑体"/>
        </w:rPr>
        <w:t>产排污节点</w:t>
      </w:r>
      <w:r>
        <w:rPr>
          <w:rFonts w:eastAsia="黑体" w:hint="eastAsia"/>
        </w:rPr>
        <w:t>、</w:t>
      </w:r>
      <w:r>
        <w:rPr>
          <w:rFonts w:eastAsia="黑体"/>
        </w:rPr>
        <w:t>污染物及污染治理设施信息表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973949" w:rsidRPr="00973949" w:rsidRDefault="00973949" w:rsidP="00973949">
      <w:pPr>
        <w:pStyle w:val="a0"/>
        <w:ind w:firstLine="480"/>
      </w:pPr>
    </w:p>
    <w:p w:rsidR="004E3021" w:rsidRDefault="004E3021">
      <w:pPr>
        <w:spacing w:before="240" w:after="120"/>
        <w:ind w:firstLineChars="0" w:firstLine="0"/>
        <w:jc w:val="left"/>
        <w:outlineLvl w:val="2"/>
        <w:rPr>
          <w:rFonts w:eastAsia="黑体"/>
          <w:sz w:val="28"/>
          <w:szCs w:val="28"/>
        </w:rPr>
        <w:sectPr w:rsidR="004E3021">
          <w:pgSz w:w="23811" w:h="16838" w:orient="landscape"/>
          <w:pgMar w:top="1440" w:right="1440" w:bottom="1440" w:left="1440" w:header="851" w:footer="992" w:gutter="0"/>
          <w:cols w:space="720"/>
          <w:docGrid w:type="lines" w:linePitch="326"/>
        </w:sectPr>
      </w:pPr>
    </w:p>
    <w:p w:rsidR="004E3021" w:rsidRDefault="00606E48">
      <w:pPr>
        <w:spacing w:before="240" w:after="120"/>
        <w:ind w:firstLineChars="0" w:firstLine="0"/>
        <w:jc w:val="left"/>
        <w:outlineLvl w:val="2"/>
        <w:rPr>
          <w:rFonts w:eastAsia="黑体"/>
          <w:sz w:val="28"/>
          <w:szCs w:val="28"/>
        </w:rPr>
      </w:pPr>
      <w:bookmarkStart w:id="826" w:name="_Toc108662739"/>
      <w:bookmarkStart w:id="827" w:name="_Toc221088894"/>
      <w:bookmarkStart w:id="828" w:name="_Toc221501109"/>
      <w:r>
        <w:rPr>
          <w:rFonts w:eastAsia="黑体"/>
          <w:sz w:val="28"/>
          <w:szCs w:val="28"/>
        </w:rPr>
        <w:lastRenderedPageBreak/>
        <w:t>8.2.2</w:t>
      </w:r>
      <w:r>
        <w:rPr>
          <w:rFonts w:ascii="黑体" w:eastAsia="黑体" w:hAnsi="黑体"/>
          <w:sz w:val="28"/>
          <w:szCs w:val="28"/>
        </w:rPr>
        <w:t>污染物排放清单</w:t>
      </w:r>
      <w:bookmarkEnd w:id="824"/>
      <w:bookmarkEnd w:id="825"/>
      <w:bookmarkEnd w:id="826"/>
      <w:bookmarkEnd w:id="827"/>
      <w:bookmarkEnd w:id="828"/>
    </w:p>
    <w:p w:rsidR="004E3021" w:rsidRDefault="00606E48">
      <w:pPr>
        <w:ind w:firstLine="480"/>
      </w:pPr>
      <w:r>
        <w:rPr>
          <w:rFonts w:ascii="宋体" w:hAnsi="宋体" w:hint="eastAsia"/>
        </w:rPr>
        <w:t>（</w:t>
      </w:r>
      <w:r>
        <w:rPr>
          <w:rFonts w:hint="eastAsia"/>
        </w:rPr>
        <w:t>1</w:t>
      </w:r>
      <w:r>
        <w:rPr>
          <w:rFonts w:ascii="宋体" w:hAnsi="宋体" w:hint="eastAsia"/>
        </w:rPr>
        <w:t>）大气污染物</w:t>
      </w:r>
    </w:p>
    <w:p w:rsidR="004E3021" w:rsidRDefault="00606E48">
      <w:pPr>
        <w:ind w:firstLine="480"/>
      </w:pPr>
      <w:r>
        <w:rPr>
          <w:rFonts w:ascii="宋体" w:hAnsi="宋体" w:hint="eastAsia"/>
        </w:rPr>
        <w:t>本项目</w:t>
      </w:r>
      <w:r>
        <w:rPr>
          <w:rFonts w:ascii="宋体" w:hAnsi="宋体"/>
        </w:rPr>
        <w:t>大气污染物</w:t>
      </w:r>
      <w:r>
        <w:rPr>
          <w:rFonts w:ascii="宋体" w:hAnsi="宋体" w:hint="eastAsia"/>
        </w:rPr>
        <w:t>有组织</w:t>
      </w:r>
      <w:r>
        <w:rPr>
          <w:rFonts w:ascii="宋体" w:hAnsi="宋体"/>
        </w:rPr>
        <w:t>排</w:t>
      </w:r>
      <w:r>
        <w:rPr>
          <w:rFonts w:ascii="宋体" w:hAnsi="宋体" w:hint="eastAsia"/>
        </w:rPr>
        <w:t>放</w:t>
      </w:r>
      <w:r>
        <w:rPr>
          <w:rFonts w:ascii="宋体" w:hAnsi="宋体"/>
        </w:rPr>
        <w:t>基本信息见表</w:t>
      </w:r>
      <w:r>
        <w:rPr>
          <w:rFonts w:hint="eastAsia"/>
        </w:rPr>
        <w:t>8.2.2</w:t>
      </w:r>
      <w:r>
        <w:t>-1</w:t>
      </w:r>
      <w:r>
        <w:rPr>
          <w:rFonts w:ascii="宋体" w:hAnsi="宋体" w:hint="eastAsia"/>
        </w:rPr>
        <w:t>，</w:t>
      </w:r>
      <w:r>
        <w:rPr>
          <w:rFonts w:ascii="宋体" w:hAnsi="宋体"/>
        </w:rPr>
        <w:t>无组织排放</w:t>
      </w:r>
      <w:r>
        <w:rPr>
          <w:rFonts w:ascii="宋体" w:hAnsi="宋体" w:hint="eastAsia"/>
        </w:rPr>
        <w:t>基本</w:t>
      </w:r>
      <w:r>
        <w:rPr>
          <w:rFonts w:ascii="宋体" w:hAnsi="宋体"/>
        </w:rPr>
        <w:t>信息见表</w:t>
      </w:r>
      <w:r>
        <w:rPr>
          <w:rFonts w:hint="eastAsia"/>
        </w:rPr>
        <w:t>8.2.2</w:t>
      </w:r>
      <w:r>
        <w:t>-2</w:t>
      </w:r>
      <w:r>
        <w:rPr>
          <w:rFonts w:ascii="宋体" w:hAnsi="宋体" w:hint="eastAsia"/>
        </w:rPr>
        <w:t>。</w:t>
      </w:r>
    </w:p>
    <w:p w:rsidR="004E3021" w:rsidRDefault="00606E48">
      <w:pPr>
        <w:spacing w:line="500" w:lineRule="exact"/>
        <w:ind w:firstLineChars="0" w:firstLine="0"/>
        <w:jc w:val="center"/>
        <w:rPr>
          <w:rFonts w:ascii="黑体" w:eastAsia="黑体" w:hAnsi="黑体"/>
        </w:rPr>
      </w:pPr>
      <w:r>
        <w:rPr>
          <w:rFonts w:ascii="黑体" w:eastAsia="黑体" w:hAnsi="黑体" w:hint="eastAsia"/>
        </w:rPr>
        <w:t>表</w:t>
      </w:r>
      <w:r>
        <w:rPr>
          <w:rFonts w:eastAsia="黑体" w:hint="eastAsia"/>
        </w:rPr>
        <w:t>8.2.</w:t>
      </w:r>
      <w:r>
        <w:rPr>
          <w:rFonts w:eastAsia="黑体"/>
        </w:rPr>
        <w:t xml:space="preserve">2-1  </w:t>
      </w:r>
      <w:r>
        <w:rPr>
          <w:rFonts w:ascii="黑体" w:eastAsia="黑体" w:hAnsi="黑体" w:hint="eastAsia"/>
        </w:rPr>
        <w:t>项目大气</w:t>
      </w:r>
      <w:r>
        <w:rPr>
          <w:rFonts w:ascii="黑体" w:eastAsia="黑体" w:hAnsi="黑体"/>
        </w:rPr>
        <w:t>污染物有组织排放</w:t>
      </w:r>
      <w:r>
        <w:rPr>
          <w:rFonts w:ascii="黑体" w:eastAsia="黑体" w:hAnsi="黑体" w:hint="eastAsia"/>
        </w:rPr>
        <w:t>基本</w:t>
      </w:r>
      <w:r>
        <w:rPr>
          <w:rFonts w:ascii="黑体" w:eastAsia="黑体" w:hAnsi="黑体"/>
        </w:rPr>
        <w:t>情况表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973949" w:rsidRPr="00973949" w:rsidRDefault="00973949" w:rsidP="00973949">
      <w:pPr>
        <w:pStyle w:val="a0"/>
        <w:ind w:firstLine="480"/>
      </w:pPr>
    </w:p>
    <w:p w:rsidR="004E3021" w:rsidRDefault="00606E48">
      <w:pPr>
        <w:pStyle w:val="afffff4"/>
      </w:pPr>
      <w:r>
        <w:rPr>
          <w:rFonts w:hint="eastAsia"/>
        </w:rPr>
        <w:t>表</w:t>
      </w:r>
      <w:r>
        <w:rPr>
          <w:rFonts w:hint="eastAsia"/>
        </w:rPr>
        <w:t>8.2.</w:t>
      </w:r>
      <w:r>
        <w:t xml:space="preserve">2-2  </w:t>
      </w:r>
      <w:r>
        <w:rPr>
          <w:rFonts w:hint="eastAsia"/>
        </w:rPr>
        <w:t>项目大气</w:t>
      </w:r>
      <w:r>
        <w:t>污染物</w:t>
      </w:r>
      <w:r>
        <w:rPr>
          <w:rFonts w:hint="eastAsia"/>
        </w:rPr>
        <w:t>无</w:t>
      </w:r>
      <w:r>
        <w:t>组织排放情况表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4E3021" w:rsidRDefault="00606E48">
      <w:pPr>
        <w:ind w:firstLine="480"/>
      </w:pPr>
      <w:r>
        <w:rPr>
          <w:rFonts w:ascii="宋体" w:hAnsi="宋体" w:hint="eastAsia"/>
        </w:rPr>
        <w:t>（</w:t>
      </w:r>
      <w:r>
        <w:rPr>
          <w:rFonts w:hint="eastAsia"/>
        </w:rPr>
        <w:t>2</w:t>
      </w:r>
      <w:r>
        <w:rPr>
          <w:rFonts w:ascii="宋体" w:hAnsi="宋体" w:hint="eastAsia"/>
        </w:rPr>
        <w:t>）废水</w:t>
      </w:r>
      <w:r>
        <w:rPr>
          <w:rFonts w:ascii="宋体" w:hAnsi="宋体"/>
        </w:rPr>
        <w:t>污染物</w:t>
      </w:r>
    </w:p>
    <w:p w:rsidR="004E3021" w:rsidRDefault="00606E48">
      <w:pPr>
        <w:ind w:firstLine="480"/>
      </w:pPr>
      <w:r>
        <w:rPr>
          <w:rFonts w:ascii="宋体" w:hAnsi="宋体" w:hint="eastAsia"/>
        </w:rPr>
        <w:t>本项目</w:t>
      </w:r>
      <w:r>
        <w:rPr>
          <w:rFonts w:ascii="宋体" w:hAnsi="宋体"/>
        </w:rPr>
        <w:t>废水</w:t>
      </w:r>
      <w:r>
        <w:rPr>
          <w:rFonts w:ascii="宋体" w:hAnsi="宋体" w:hint="eastAsia"/>
        </w:rPr>
        <w:t>间接</w:t>
      </w:r>
      <w:r>
        <w:rPr>
          <w:rFonts w:ascii="宋体" w:hAnsi="宋体"/>
        </w:rPr>
        <w:t>排放口基本信息见表</w:t>
      </w:r>
      <w:r>
        <w:rPr>
          <w:rFonts w:hint="eastAsia"/>
        </w:rPr>
        <w:t>8.2.2-3</w:t>
      </w:r>
      <w:r>
        <w:rPr>
          <w:rFonts w:ascii="宋体" w:hAnsi="宋体" w:hint="eastAsia"/>
        </w:rPr>
        <w:t>，</w:t>
      </w:r>
      <w:r>
        <w:rPr>
          <w:rFonts w:ascii="宋体" w:hAnsi="宋体"/>
        </w:rPr>
        <w:t>雨水</w:t>
      </w:r>
      <w:r>
        <w:rPr>
          <w:rFonts w:ascii="宋体" w:hAnsi="宋体" w:hint="eastAsia"/>
        </w:rPr>
        <w:t>排放口</w:t>
      </w:r>
      <w:r>
        <w:rPr>
          <w:rFonts w:ascii="宋体" w:hAnsi="宋体"/>
        </w:rPr>
        <w:t>基本情况表见</w:t>
      </w:r>
      <w:r>
        <w:rPr>
          <w:rFonts w:ascii="宋体" w:hAnsi="宋体" w:hint="eastAsia"/>
        </w:rPr>
        <w:t>表</w:t>
      </w:r>
      <w:r>
        <w:rPr>
          <w:rFonts w:hint="eastAsia"/>
        </w:rPr>
        <w:t>8.2.2-4</w:t>
      </w:r>
      <w:r>
        <w:rPr>
          <w:rFonts w:ascii="宋体" w:hAnsi="宋体" w:hint="eastAsia"/>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hint="eastAsia"/>
        </w:rPr>
        <w:t>8.2.2-3</w:t>
      </w:r>
      <w:r>
        <w:rPr>
          <w:rFonts w:eastAsia="黑体"/>
        </w:rPr>
        <w:t xml:space="preserve">  </w:t>
      </w:r>
      <w:r>
        <w:rPr>
          <w:rFonts w:ascii="黑体" w:eastAsia="黑体" w:hAnsi="黑体" w:hint="eastAsia"/>
        </w:rPr>
        <w:t>项目</w:t>
      </w:r>
      <w:r>
        <w:rPr>
          <w:rFonts w:ascii="黑体" w:eastAsia="黑体" w:hAnsi="黑体"/>
        </w:rPr>
        <w:t>废水</w:t>
      </w:r>
      <w:r>
        <w:rPr>
          <w:rFonts w:ascii="黑体" w:eastAsia="黑体" w:hAnsi="黑体" w:hint="eastAsia"/>
        </w:rPr>
        <w:t>间接排放口基本情况</w:t>
      </w:r>
      <w:r>
        <w:rPr>
          <w:rFonts w:ascii="黑体" w:eastAsia="黑体" w:hAnsi="黑体"/>
        </w:rPr>
        <w:t>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4E3021" w:rsidRDefault="00606E48">
      <w:pPr>
        <w:spacing w:line="500" w:lineRule="exact"/>
        <w:ind w:firstLineChars="0" w:firstLine="0"/>
        <w:jc w:val="center"/>
        <w:rPr>
          <w:rFonts w:ascii="黑体" w:eastAsia="黑体" w:hAnsi="黑体"/>
        </w:rPr>
      </w:pPr>
      <w:r>
        <w:rPr>
          <w:rFonts w:ascii="黑体" w:eastAsia="黑体" w:hAnsi="黑体" w:hint="eastAsia"/>
        </w:rPr>
        <w:t>表</w:t>
      </w:r>
      <w:r>
        <w:rPr>
          <w:rFonts w:eastAsia="黑体" w:hint="eastAsia"/>
        </w:rPr>
        <w:t>8.2.2-4</w:t>
      </w:r>
      <w:r>
        <w:rPr>
          <w:rFonts w:eastAsia="黑体"/>
        </w:rPr>
        <w:t xml:space="preserve">  </w:t>
      </w:r>
      <w:r>
        <w:rPr>
          <w:rFonts w:ascii="黑体" w:eastAsia="黑体" w:hAnsi="黑体" w:hint="eastAsia"/>
        </w:rPr>
        <w:t>项目</w:t>
      </w:r>
      <w:r>
        <w:rPr>
          <w:rFonts w:ascii="黑体" w:eastAsia="黑体" w:hAnsi="黑体"/>
        </w:rPr>
        <w:t>雨水</w:t>
      </w:r>
      <w:r>
        <w:rPr>
          <w:rFonts w:ascii="黑体" w:eastAsia="黑体" w:hAnsi="黑体" w:hint="eastAsia"/>
        </w:rPr>
        <w:t>排放口</w:t>
      </w:r>
      <w:r>
        <w:rPr>
          <w:rFonts w:ascii="黑体" w:eastAsia="黑体" w:hAnsi="黑体"/>
        </w:rPr>
        <w:t>基本情况表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973949" w:rsidRPr="00973949" w:rsidRDefault="00973949" w:rsidP="00973949">
      <w:pPr>
        <w:pStyle w:val="a0"/>
        <w:ind w:firstLine="480"/>
      </w:pPr>
    </w:p>
    <w:p w:rsidR="004E3021" w:rsidRDefault="004E3021">
      <w:pPr>
        <w:widowControl/>
        <w:ind w:firstLineChars="0" w:firstLine="0"/>
        <w:jc w:val="left"/>
        <w:sectPr w:rsidR="004E3021">
          <w:pgSz w:w="16840" w:h="11907" w:orient="landscape"/>
          <w:pgMar w:top="1440" w:right="1440" w:bottom="1440" w:left="1440" w:header="851" w:footer="992" w:gutter="0"/>
          <w:cols w:space="720"/>
          <w:docGrid w:type="lines" w:linePitch="326"/>
        </w:sectPr>
      </w:pPr>
    </w:p>
    <w:p w:rsidR="004E3021" w:rsidRDefault="00606E48">
      <w:pPr>
        <w:ind w:firstLine="480"/>
      </w:pPr>
      <w:r>
        <w:rPr>
          <w:rFonts w:ascii="宋体" w:hAnsi="宋体" w:hint="eastAsia"/>
        </w:rPr>
        <w:lastRenderedPageBreak/>
        <w:t>（</w:t>
      </w:r>
      <w:r>
        <w:rPr>
          <w:rFonts w:hint="eastAsia"/>
        </w:rPr>
        <w:t>3</w:t>
      </w:r>
      <w:r>
        <w:rPr>
          <w:rFonts w:ascii="宋体" w:hAnsi="宋体" w:hint="eastAsia"/>
        </w:rPr>
        <w:t>）噪声</w:t>
      </w:r>
    </w:p>
    <w:p w:rsidR="004E3021" w:rsidRDefault="00606E48">
      <w:pPr>
        <w:ind w:firstLine="480"/>
      </w:pPr>
      <w:r>
        <w:rPr>
          <w:rFonts w:ascii="宋体" w:hAnsi="宋体" w:hint="eastAsia"/>
        </w:rPr>
        <w:t>本项目</w:t>
      </w:r>
      <w:r>
        <w:rPr>
          <w:rFonts w:ascii="宋体" w:hAnsi="宋体"/>
        </w:rPr>
        <w:t>噪声排放</w:t>
      </w:r>
      <w:r>
        <w:rPr>
          <w:rFonts w:ascii="宋体" w:hAnsi="宋体" w:hint="eastAsia"/>
        </w:rPr>
        <w:t>信息</w:t>
      </w:r>
      <w:r>
        <w:rPr>
          <w:rFonts w:ascii="宋体" w:hAnsi="宋体"/>
        </w:rPr>
        <w:t>见表</w:t>
      </w:r>
      <w:r>
        <w:rPr>
          <w:rFonts w:hint="eastAsia"/>
        </w:rPr>
        <w:t>8.2.2</w:t>
      </w:r>
      <w:r>
        <w:t>-5</w:t>
      </w:r>
      <w:r>
        <w:rPr>
          <w:rFonts w:ascii="宋体" w:hAnsi="宋体" w:hint="eastAsia"/>
        </w:rPr>
        <w:t>。</w:t>
      </w:r>
    </w:p>
    <w:p w:rsidR="004E3021" w:rsidRDefault="00606E48">
      <w:pPr>
        <w:spacing w:line="500" w:lineRule="exact"/>
        <w:ind w:firstLineChars="0" w:firstLine="0"/>
        <w:jc w:val="center"/>
        <w:rPr>
          <w:rFonts w:eastAsia="黑体"/>
        </w:rPr>
      </w:pPr>
      <w:r>
        <w:rPr>
          <w:rFonts w:ascii="黑体" w:eastAsia="黑体" w:hAnsi="黑体" w:hint="eastAsia"/>
        </w:rPr>
        <w:t>表</w:t>
      </w:r>
      <w:r>
        <w:rPr>
          <w:rFonts w:eastAsia="黑体" w:hint="eastAsia"/>
        </w:rPr>
        <w:t>8.2.2</w:t>
      </w:r>
      <w:r>
        <w:rPr>
          <w:rFonts w:eastAsia="黑体"/>
        </w:rPr>
        <w:t xml:space="preserve">-5  </w:t>
      </w:r>
      <w:r>
        <w:rPr>
          <w:rFonts w:ascii="黑体" w:eastAsia="黑体" w:hAnsi="黑体" w:hint="eastAsia"/>
        </w:rPr>
        <w:t>噪声</w:t>
      </w:r>
      <w:r>
        <w:rPr>
          <w:rFonts w:ascii="黑体" w:eastAsia="黑体" w:hAnsi="黑体"/>
        </w:rPr>
        <w:t>排放信息表</w:t>
      </w:r>
    </w:p>
    <w:tbl>
      <w:tblPr>
        <w:tblW w:w="5000" w:type="pct"/>
        <w:jc w:val="center"/>
        <w:tblLook w:val="04A0" w:firstRow="1" w:lastRow="0" w:firstColumn="1" w:lastColumn="0" w:noHBand="0" w:noVBand="1"/>
      </w:tblPr>
      <w:tblGrid>
        <w:gridCol w:w="1136"/>
        <w:gridCol w:w="993"/>
        <w:gridCol w:w="993"/>
        <w:gridCol w:w="2551"/>
        <w:gridCol w:w="1276"/>
        <w:gridCol w:w="1276"/>
        <w:gridCol w:w="802"/>
      </w:tblGrid>
      <w:tr w:rsidR="004E3021" w:rsidRPr="00FD1CBB">
        <w:trPr>
          <w:trHeight w:val="123"/>
          <w:jc w:val="center"/>
        </w:trPr>
        <w:tc>
          <w:tcPr>
            <w:tcW w:w="629" w:type="pct"/>
            <w:vMerge w:val="restart"/>
            <w:tcBorders>
              <w:top w:val="single" w:sz="12" w:space="0" w:color="auto"/>
              <w:left w:val="nil"/>
              <w:bottom w:val="single" w:sz="4" w:space="0" w:color="auto"/>
              <w:right w:val="single" w:sz="4" w:space="0" w:color="auto"/>
            </w:tcBorders>
            <w:vAlign w:val="center"/>
          </w:tcPr>
          <w:p w:rsidR="004E3021" w:rsidRPr="00FD1CBB" w:rsidRDefault="00606E48">
            <w:pPr>
              <w:pStyle w:val="afffffff2"/>
              <w:rPr>
                <w:rFonts w:cs="Times New Roman"/>
                <w:b/>
                <w:kern w:val="0"/>
                <w:sz w:val="21"/>
                <w:szCs w:val="21"/>
              </w:rPr>
            </w:pPr>
            <w:r w:rsidRPr="00FD1CBB">
              <w:rPr>
                <w:rFonts w:cs="Times New Roman"/>
                <w:b/>
                <w:kern w:val="0"/>
                <w:sz w:val="21"/>
                <w:szCs w:val="21"/>
              </w:rPr>
              <w:t>噪声类别</w:t>
            </w:r>
          </w:p>
        </w:tc>
        <w:tc>
          <w:tcPr>
            <w:tcW w:w="1100" w:type="pct"/>
            <w:gridSpan w:val="2"/>
            <w:tcBorders>
              <w:top w:val="single" w:sz="12" w:space="0" w:color="auto"/>
              <w:left w:val="single" w:sz="4" w:space="0" w:color="auto"/>
              <w:bottom w:val="single" w:sz="4" w:space="0" w:color="auto"/>
              <w:right w:val="single" w:sz="4" w:space="0" w:color="auto"/>
            </w:tcBorders>
            <w:vAlign w:val="center"/>
          </w:tcPr>
          <w:p w:rsidR="004E3021" w:rsidRPr="00FD1CBB" w:rsidRDefault="00606E48">
            <w:pPr>
              <w:pStyle w:val="afffffff2"/>
              <w:rPr>
                <w:rFonts w:cs="Times New Roman"/>
                <w:b/>
                <w:kern w:val="0"/>
                <w:sz w:val="21"/>
                <w:szCs w:val="21"/>
              </w:rPr>
            </w:pPr>
            <w:r w:rsidRPr="00FD1CBB">
              <w:rPr>
                <w:rFonts w:cs="Times New Roman"/>
                <w:b/>
                <w:kern w:val="0"/>
                <w:sz w:val="21"/>
                <w:szCs w:val="21"/>
              </w:rPr>
              <w:t>生产时段</w:t>
            </w:r>
          </w:p>
        </w:tc>
        <w:tc>
          <w:tcPr>
            <w:tcW w:w="1413" w:type="pct"/>
            <w:vMerge w:val="restart"/>
            <w:tcBorders>
              <w:top w:val="single" w:sz="12" w:space="0" w:color="auto"/>
              <w:left w:val="single" w:sz="4" w:space="0" w:color="auto"/>
              <w:bottom w:val="single" w:sz="4" w:space="0" w:color="auto"/>
              <w:right w:val="single" w:sz="4" w:space="0" w:color="auto"/>
            </w:tcBorders>
            <w:vAlign w:val="center"/>
          </w:tcPr>
          <w:p w:rsidR="004E3021" w:rsidRPr="00FD1CBB" w:rsidRDefault="00606E48">
            <w:pPr>
              <w:pStyle w:val="afffffff2"/>
              <w:rPr>
                <w:rFonts w:cs="Times New Roman"/>
                <w:b/>
                <w:kern w:val="0"/>
                <w:sz w:val="21"/>
                <w:szCs w:val="21"/>
              </w:rPr>
            </w:pPr>
            <w:r w:rsidRPr="00FD1CBB">
              <w:rPr>
                <w:rFonts w:cs="Times New Roman"/>
                <w:b/>
                <w:kern w:val="0"/>
                <w:sz w:val="21"/>
                <w:szCs w:val="21"/>
              </w:rPr>
              <w:t>执行排放标准名称</w:t>
            </w:r>
          </w:p>
        </w:tc>
        <w:tc>
          <w:tcPr>
            <w:tcW w:w="1414" w:type="pct"/>
            <w:gridSpan w:val="2"/>
            <w:tcBorders>
              <w:top w:val="single" w:sz="12" w:space="0" w:color="auto"/>
              <w:left w:val="single" w:sz="4" w:space="0" w:color="auto"/>
              <w:bottom w:val="nil"/>
              <w:right w:val="single" w:sz="4" w:space="0" w:color="auto"/>
            </w:tcBorders>
            <w:vAlign w:val="center"/>
          </w:tcPr>
          <w:p w:rsidR="004E3021" w:rsidRPr="00FD1CBB" w:rsidRDefault="00606E48">
            <w:pPr>
              <w:pStyle w:val="afffffff2"/>
              <w:rPr>
                <w:rFonts w:cs="Times New Roman"/>
                <w:b/>
                <w:kern w:val="0"/>
                <w:sz w:val="21"/>
                <w:szCs w:val="21"/>
              </w:rPr>
            </w:pPr>
            <w:r w:rsidRPr="00FD1CBB">
              <w:rPr>
                <w:rFonts w:cs="Times New Roman"/>
                <w:b/>
                <w:kern w:val="0"/>
                <w:sz w:val="21"/>
                <w:szCs w:val="21"/>
              </w:rPr>
              <w:t>厂界噪声排放限值</w:t>
            </w:r>
          </w:p>
        </w:tc>
        <w:tc>
          <w:tcPr>
            <w:tcW w:w="444" w:type="pct"/>
            <w:vMerge w:val="restart"/>
            <w:tcBorders>
              <w:top w:val="single" w:sz="12" w:space="0" w:color="auto"/>
              <w:left w:val="single" w:sz="4" w:space="0" w:color="auto"/>
              <w:bottom w:val="single" w:sz="4" w:space="0" w:color="auto"/>
              <w:right w:val="nil"/>
            </w:tcBorders>
            <w:vAlign w:val="center"/>
          </w:tcPr>
          <w:p w:rsidR="004E3021" w:rsidRPr="00FD1CBB" w:rsidRDefault="00606E48">
            <w:pPr>
              <w:pStyle w:val="afffffff2"/>
              <w:rPr>
                <w:rFonts w:cs="Times New Roman"/>
                <w:b/>
                <w:kern w:val="0"/>
                <w:sz w:val="21"/>
                <w:szCs w:val="21"/>
              </w:rPr>
            </w:pPr>
            <w:r w:rsidRPr="00FD1CBB">
              <w:rPr>
                <w:rFonts w:cs="Times New Roman"/>
                <w:b/>
                <w:kern w:val="0"/>
                <w:sz w:val="21"/>
                <w:szCs w:val="21"/>
              </w:rPr>
              <w:t>备注</w:t>
            </w:r>
          </w:p>
        </w:tc>
      </w:tr>
      <w:tr w:rsidR="004E3021" w:rsidRPr="00FD1CBB">
        <w:trPr>
          <w:trHeight w:val="122"/>
          <w:jc w:val="center"/>
        </w:trPr>
        <w:tc>
          <w:tcPr>
            <w:tcW w:w="0" w:type="auto"/>
            <w:vMerge/>
            <w:tcBorders>
              <w:top w:val="single" w:sz="12" w:space="0" w:color="auto"/>
              <w:left w:val="nil"/>
              <w:bottom w:val="single" w:sz="4" w:space="0" w:color="auto"/>
              <w:right w:val="single" w:sz="4" w:space="0" w:color="auto"/>
            </w:tcBorders>
            <w:vAlign w:val="center"/>
          </w:tcPr>
          <w:p w:rsidR="004E3021" w:rsidRPr="00FD1CBB" w:rsidRDefault="004E3021">
            <w:pPr>
              <w:pStyle w:val="afffffff2"/>
              <w:rPr>
                <w:rFonts w:cs="Times New Roman"/>
                <w:b/>
                <w:kern w:val="0"/>
                <w:sz w:val="21"/>
                <w:szCs w:val="21"/>
              </w:rPr>
            </w:pPr>
          </w:p>
        </w:tc>
        <w:tc>
          <w:tcPr>
            <w:tcW w:w="550" w:type="pct"/>
            <w:tcBorders>
              <w:top w:val="single" w:sz="4" w:space="0" w:color="auto"/>
              <w:left w:val="single" w:sz="4" w:space="0" w:color="auto"/>
              <w:bottom w:val="single" w:sz="4" w:space="0" w:color="auto"/>
              <w:right w:val="single" w:sz="4" w:space="0" w:color="auto"/>
            </w:tcBorders>
            <w:vAlign w:val="center"/>
          </w:tcPr>
          <w:p w:rsidR="004E3021" w:rsidRPr="00FD1CBB" w:rsidRDefault="00606E48">
            <w:pPr>
              <w:pStyle w:val="afffffff2"/>
              <w:rPr>
                <w:rFonts w:cs="Times New Roman"/>
                <w:b/>
                <w:kern w:val="0"/>
                <w:sz w:val="21"/>
                <w:szCs w:val="21"/>
              </w:rPr>
            </w:pPr>
            <w:r w:rsidRPr="00FD1CBB">
              <w:rPr>
                <w:rFonts w:cs="Times New Roman"/>
                <w:b/>
                <w:kern w:val="0"/>
                <w:sz w:val="21"/>
                <w:szCs w:val="21"/>
              </w:rPr>
              <w:t>昼间</w:t>
            </w:r>
          </w:p>
        </w:tc>
        <w:tc>
          <w:tcPr>
            <w:tcW w:w="550" w:type="pct"/>
            <w:tcBorders>
              <w:top w:val="single" w:sz="4" w:space="0" w:color="auto"/>
              <w:left w:val="single" w:sz="4" w:space="0" w:color="auto"/>
              <w:bottom w:val="single" w:sz="4" w:space="0" w:color="auto"/>
              <w:right w:val="single" w:sz="4" w:space="0" w:color="auto"/>
            </w:tcBorders>
            <w:vAlign w:val="center"/>
          </w:tcPr>
          <w:p w:rsidR="004E3021" w:rsidRPr="00FD1CBB" w:rsidRDefault="00606E48">
            <w:pPr>
              <w:pStyle w:val="afffffff2"/>
              <w:rPr>
                <w:rFonts w:cs="Times New Roman"/>
                <w:b/>
                <w:kern w:val="0"/>
                <w:sz w:val="21"/>
                <w:szCs w:val="21"/>
              </w:rPr>
            </w:pPr>
            <w:r w:rsidRPr="00FD1CBB">
              <w:rPr>
                <w:rFonts w:cs="Times New Roman"/>
                <w:b/>
                <w:kern w:val="0"/>
                <w:sz w:val="21"/>
                <w:szCs w:val="21"/>
              </w:rPr>
              <w:t>夜间</w:t>
            </w:r>
          </w:p>
        </w:tc>
        <w:tc>
          <w:tcPr>
            <w:tcW w:w="0" w:type="auto"/>
            <w:vMerge/>
            <w:tcBorders>
              <w:top w:val="single" w:sz="12" w:space="0" w:color="auto"/>
              <w:left w:val="single" w:sz="4" w:space="0" w:color="auto"/>
              <w:bottom w:val="single" w:sz="4" w:space="0" w:color="auto"/>
              <w:right w:val="single" w:sz="4" w:space="0" w:color="auto"/>
            </w:tcBorders>
            <w:vAlign w:val="center"/>
          </w:tcPr>
          <w:p w:rsidR="004E3021" w:rsidRPr="00FD1CBB" w:rsidRDefault="004E3021">
            <w:pPr>
              <w:pStyle w:val="afffffff2"/>
              <w:rPr>
                <w:rFonts w:cs="Times New Roman"/>
                <w:b/>
                <w:kern w:val="0"/>
                <w:sz w:val="21"/>
                <w:szCs w:val="21"/>
              </w:rPr>
            </w:pPr>
          </w:p>
        </w:tc>
        <w:tc>
          <w:tcPr>
            <w:tcW w:w="707" w:type="pct"/>
            <w:tcBorders>
              <w:top w:val="single" w:sz="4" w:space="0" w:color="auto"/>
              <w:left w:val="single" w:sz="4" w:space="0" w:color="auto"/>
              <w:bottom w:val="single" w:sz="4" w:space="0" w:color="auto"/>
              <w:right w:val="single" w:sz="4" w:space="0" w:color="auto"/>
            </w:tcBorders>
            <w:vAlign w:val="center"/>
          </w:tcPr>
          <w:p w:rsidR="004E3021" w:rsidRPr="00FD1CBB" w:rsidRDefault="00606E48">
            <w:pPr>
              <w:pStyle w:val="afffffff2"/>
              <w:rPr>
                <w:rFonts w:cs="Times New Roman"/>
                <w:b/>
                <w:kern w:val="0"/>
                <w:sz w:val="21"/>
                <w:szCs w:val="21"/>
              </w:rPr>
            </w:pPr>
            <w:r w:rsidRPr="00FD1CBB">
              <w:rPr>
                <w:rFonts w:cs="Times New Roman"/>
                <w:b/>
                <w:kern w:val="0"/>
                <w:sz w:val="21"/>
                <w:szCs w:val="21"/>
              </w:rPr>
              <w:t>昼间</w:t>
            </w:r>
            <w:r w:rsidRPr="00FD1CBB">
              <w:rPr>
                <w:rFonts w:cs="Times New Roman"/>
                <w:b/>
                <w:kern w:val="0"/>
                <w:sz w:val="21"/>
                <w:szCs w:val="21"/>
              </w:rPr>
              <w:t>dB(A)</w:t>
            </w:r>
          </w:p>
        </w:tc>
        <w:tc>
          <w:tcPr>
            <w:tcW w:w="707" w:type="pct"/>
            <w:tcBorders>
              <w:top w:val="single" w:sz="4" w:space="0" w:color="auto"/>
              <w:left w:val="single" w:sz="4" w:space="0" w:color="auto"/>
              <w:bottom w:val="single" w:sz="4" w:space="0" w:color="auto"/>
              <w:right w:val="single" w:sz="4" w:space="0" w:color="auto"/>
            </w:tcBorders>
            <w:vAlign w:val="center"/>
          </w:tcPr>
          <w:p w:rsidR="004E3021" w:rsidRPr="00FD1CBB" w:rsidRDefault="00606E48">
            <w:pPr>
              <w:pStyle w:val="afffffff2"/>
              <w:rPr>
                <w:rFonts w:cs="Times New Roman"/>
                <w:b/>
                <w:kern w:val="0"/>
                <w:sz w:val="21"/>
                <w:szCs w:val="21"/>
              </w:rPr>
            </w:pPr>
            <w:r w:rsidRPr="00FD1CBB">
              <w:rPr>
                <w:rFonts w:cs="Times New Roman"/>
                <w:b/>
                <w:kern w:val="0"/>
                <w:sz w:val="21"/>
                <w:szCs w:val="21"/>
              </w:rPr>
              <w:t>夜间</w:t>
            </w:r>
            <w:r w:rsidRPr="00FD1CBB">
              <w:rPr>
                <w:rFonts w:cs="Times New Roman"/>
                <w:b/>
                <w:kern w:val="0"/>
                <w:sz w:val="21"/>
                <w:szCs w:val="21"/>
              </w:rPr>
              <w:t>dB(A)</w:t>
            </w:r>
          </w:p>
        </w:tc>
        <w:tc>
          <w:tcPr>
            <w:tcW w:w="0" w:type="auto"/>
            <w:vMerge/>
            <w:tcBorders>
              <w:top w:val="single" w:sz="12" w:space="0" w:color="auto"/>
              <w:left w:val="single" w:sz="4" w:space="0" w:color="auto"/>
              <w:bottom w:val="single" w:sz="4" w:space="0" w:color="auto"/>
              <w:right w:val="nil"/>
            </w:tcBorders>
            <w:vAlign w:val="center"/>
          </w:tcPr>
          <w:p w:rsidR="004E3021" w:rsidRPr="00FD1CBB" w:rsidRDefault="004E3021">
            <w:pPr>
              <w:pStyle w:val="afffffff2"/>
              <w:rPr>
                <w:rFonts w:cs="Times New Roman"/>
                <w:b/>
                <w:kern w:val="0"/>
                <w:sz w:val="21"/>
                <w:szCs w:val="21"/>
              </w:rPr>
            </w:pPr>
          </w:p>
        </w:tc>
      </w:tr>
      <w:tr w:rsidR="004E3021" w:rsidRPr="00FD1CBB">
        <w:trPr>
          <w:jc w:val="center"/>
        </w:trPr>
        <w:tc>
          <w:tcPr>
            <w:tcW w:w="629" w:type="pct"/>
            <w:tcBorders>
              <w:top w:val="single" w:sz="4" w:space="0" w:color="auto"/>
              <w:left w:val="nil"/>
              <w:bottom w:val="single" w:sz="4"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稳态噪声</w:t>
            </w:r>
          </w:p>
        </w:tc>
        <w:tc>
          <w:tcPr>
            <w:tcW w:w="550" w:type="pct"/>
            <w:tcBorders>
              <w:top w:val="single" w:sz="4" w:space="0" w:color="auto"/>
              <w:left w:val="single" w:sz="4" w:space="0" w:color="auto"/>
              <w:bottom w:val="single" w:sz="4"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06</w:t>
            </w:r>
            <w:r w:rsidRPr="00FD1CBB">
              <w:rPr>
                <w:rFonts w:cs="Times New Roman"/>
                <w:kern w:val="0"/>
                <w:sz w:val="21"/>
                <w:szCs w:val="21"/>
              </w:rPr>
              <w:t>至</w:t>
            </w:r>
            <w:r w:rsidRPr="00FD1CBB">
              <w:rPr>
                <w:rFonts w:cs="Times New Roman"/>
                <w:kern w:val="0"/>
                <w:sz w:val="21"/>
                <w:szCs w:val="21"/>
              </w:rPr>
              <w:t>22</w:t>
            </w:r>
          </w:p>
        </w:tc>
        <w:tc>
          <w:tcPr>
            <w:tcW w:w="550" w:type="pct"/>
            <w:tcBorders>
              <w:top w:val="single" w:sz="4" w:space="0" w:color="auto"/>
              <w:left w:val="single" w:sz="4" w:space="0" w:color="auto"/>
              <w:bottom w:val="single" w:sz="4"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22</w:t>
            </w:r>
            <w:r w:rsidRPr="00FD1CBB">
              <w:rPr>
                <w:rFonts w:cs="Times New Roman"/>
                <w:kern w:val="0"/>
                <w:sz w:val="21"/>
                <w:szCs w:val="21"/>
              </w:rPr>
              <w:t>至</w:t>
            </w:r>
            <w:r w:rsidRPr="00FD1CBB">
              <w:rPr>
                <w:rFonts w:cs="Times New Roman"/>
                <w:kern w:val="0"/>
                <w:sz w:val="21"/>
                <w:szCs w:val="21"/>
              </w:rPr>
              <w:t>06</w:t>
            </w:r>
          </w:p>
        </w:tc>
        <w:tc>
          <w:tcPr>
            <w:tcW w:w="1413" w:type="pct"/>
            <w:tcBorders>
              <w:top w:val="single" w:sz="4" w:space="0" w:color="auto"/>
              <w:left w:val="single" w:sz="4" w:space="0" w:color="auto"/>
              <w:bottom w:val="single" w:sz="4"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《工业企业厂界环境噪声排放标准》（</w:t>
            </w:r>
            <w:r w:rsidRPr="00FD1CBB">
              <w:rPr>
                <w:rFonts w:cs="Times New Roman"/>
                <w:kern w:val="0"/>
                <w:sz w:val="21"/>
                <w:szCs w:val="21"/>
              </w:rPr>
              <w:t>GB12348-2008</w:t>
            </w:r>
            <w:r w:rsidRPr="00FD1CBB">
              <w:rPr>
                <w:rFonts w:cs="Times New Roman"/>
                <w:kern w:val="0"/>
                <w:sz w:val="21"/>
                <w:szCs w:val="21"/>
              </w:rPr>
              <w:t>）</w:t>
            </w:r>
          </w:p>
        </w:tc>
        <w:tc>
          <w:tcPr>
            <w:tcW w:w="707" w:type="pct"/>
            <w:tcBorders>
              <w:top w:val="single" w:sz="4" w:space="0" w:color="auto"/>
              <w:left w:val="single" w:sz="4" w:space="0" w:color="auto"/>
              <w:bottom w:val="single" w:sz="4"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65</w:t>
            </w:r>
          </w:p>
        </w:tc>
        <w:tc>
          <w:tcPr>
            <w:tcW w:w="707" w:type="pct"/>
            <w:tcBorders>
              <w:top w:val="single" w:sz="4" w:space="0" w:color="auto"/>
              <w:left w:val="single" w:sz="4" w:space="0" w:color="auto"/>
              <w:bottom w:val="single" w:sz="4"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55</w:t>
            </w:r>
          </w:p>
        </w:tc>
        <w:tc>
          <w:tcPr>
            <w:tcW w:w="444" w:type="pct"/>
            <w:tcBorders>
              <w:top w:val="single" w:sz="4" w:space="0" w:color="auto"/>
              <w:left w:val="single" w:sz="4" w:space="0" w:color="auto"/>
              <w:bottom w:val="single" w:sz="4" w:space="0" w:color="auto"/>
              <w:right w:val="nil"/>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3</w:t>
            </w:r>
            <w:r w:rsidRPr="00FD1CBB">
              <w:rPr>
                <w:rFonts w:cs="Times New Roman"/>
                <w:kern w:val="0"/>
                <w:sz w:val="21"/>
                <w:szCs w:val="21"/>
              </w:rPr>
              <w:t>类标准</w:t>
            </w:r>
          </w:p>
        </w:tc>
      </w:tr>
      <w:tr w:rsidR="004E3021" w:rsidRPr="00FD1CBB">
        <w:trPr>
          <w:jc w:val="center"/>
        </w:trPr>
        <w:tc>
          <w:tcPr>
            <w:tcW w:w="629" w:type="pct"/>
            <w:tcBorders>
              <w:top w:val="single" w:sz="4" w:space="0" w:color="auto"/>
              <w:left w:val="nil"/>
              <w:bottom w:val="single" w:sz="4"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频发噪声</w:t>
            </w:r>
          </w:p>
        </w:tc>
        <w:tc>
          <w:tcPr>
            <w:tcW w:w="550" w:type="pct"/>
            <w:tcBorders>
              <w:top w:val="single" w:sz="4" w:space="0" w:color="auto"/>
              <w:left w:val="single" w:sz="4" w:space="0" w:color="auto"/>
              <w:bottom w:val="single" w:sz="4"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否</w:t>
            </w:r>
          </w:p>
        </w:tc>
        <w:tc>
          <w:tcPr>
            <w:tcW w:w="550" w:type="pct"/>
            <w:tcBorders>
              <w:top w:val="single" w:sz="4" w:space="0" w:color="auto"/>
              <w:left w:val="single" w:sz="4" w:space="0" w:color="auto"/>
              <w:bottom w:val="single" w:sz="4"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否</w:t>
            </w:r>
          </w:p>
        </w:tc>
        <w:tc>
          <w:tcPr>
            <w:tcW w:w="1413" w:type="pct"/>
            <w:tcBorders>
              <w:top w:val="single" w:sz="4" w:space="0" w:color="auto"/>
              <w:left w:val="single" w:sz="4" w:space="0" w:color="auto"/>
              <w:bottom w:val="single" w:sz="4"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w:t>
            </w:r>
          </w:p>
        </w:tc>
        <w:tc>
          <w:tcPr>
            <w:tcW w:w="707" w:type="pct"/>
            <w:tcBorders>
              <w:top w:val="single" w:sz="4" w:space="0" w:color="auto"/>
              <w:left w:val="single" w:sz="4" w:space="0" w:color="auto"/>
              <w:bottom w:val="single" w:sz="4"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w:t>
            </w:r>
          </w:p>
        </w:tc>
        <w:tc>
          <w:tcPr>
            <w:tcW w:w="707" w:type="pct"/>
            <w:tcBorders>
              <w:top w:val="single" w:sz="4" w:space="0" w:color="auto"/>
              <w:left w:val="single" w:sz="4" w:space="0" w:color="auto"/>
              <w:bottom w:val="single" w:sz="4"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w:t>
            </w:r>
          </w:p>
        </w:tc>
        <w:tc>
          <w:tcPr>
            <w:tcW w:w="444" w:type="pct"/>
            <w:tcBorders>
              <w:top w:val="single" w:sz="4" w:space="0" w:color="auto"/>
              <w:left w:val="single" w:sz="4" w:space="0" w:color="auto"/>
              <w:bottom w:val="single" w:sz="4" w:space="0" w:color="auto"/>
              <w:right w:val="nil"/>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w:t>
            </w:r>
          </w:p>
        </w:tc>
      </w:tr>
      <w:tr w:rsidR="004E3021" w:rsidRPr="00FD1CBB">
        <w:trPr>
          <w:jc w:val="center"/>
        </w:trPr>
        <w:tc>
          <w:tcPr>
            <w:tcW w:w="629" w:type="pct"/>
            <w:tcBorders>
              <w:top w:val="single" w:sz="4" w:space="0" w:color="auto"/>
              <w:left w:val="nil"/>
              <w:bottom w:val="single" w:sz="12"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偶发噪声</w:t>
            </w:r>
          </w:p>
        </w:tc>
        <w:tc>
          <w:tcPr>
            <w:tcW w:w="550" w:type="pct"/>
            <w:tcBorders>
              <w:top w:val="single" w:sz="4" w:space="0" w:color="auto"/>
              <w:left w:val="single" w:sz="4" w:space="0" w:color="auto"/>
              <w:bottom w:val="single" w:sz="12"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否</w:t>
            </w:r>
          </w:p>
        </w:tc>
        <w:tc>
          <w:tcPr>
            <w:tcW w:w="550" w:type="pct"/>
            <w:tcBorders>
              <w:top w:val="single" w:sz="4" w:space="0" w:color="auto"/>
              <w:left w:val="single" w:sz="4" w:space="0" w:color="auto"/>
              <w:bottom w:val="single" w:sz="12"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否</w:t>
            </w:r>
          </w:p>
        </w:tc>
        <w:tc>
          <w:tcPr>
            <w:tcW w:w="1413" w:type="pct"/>
            <w:tcBorders>
              <w:top w:val="single" w:sz="4" w:space="0" w:color="auto"/>
              <w:left w:val="single" w:sz="4" w:space="0" w:color="auto"/>
              <w:bottom w:val="single" w:sz="12"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w:t>
            </w:r>
          </w:p>
        </w:tc>
        <w:tc>
          <w:tcPr>
            <w:tcW w:w="707" w:type="pct"/>
            <w:tcBorders>
              <w:top w:val="single" w:sz="4" w:space="0" w:color="auto"/>
              <w:left w:val="single" w:sz="4" w:space="0" w:color="auto"/>
              <w:bottom w:val="single" w:sz="12"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w:t>
            </w:r>
          </w:p>
        </w:tc>
        <w:tc>
          <w:tcPr>
            <w:tcW w:w="707" w:type="pct"/>
            <w:tcBorders>
              <w:top w:val="single" w:sz="4" w:space="0" w:color="auto"/>
              <w:left w:val="single" w:sz="4" w:space="0" w:color="auto"/>
              <w:bottom w:val="single" w:sz="12" w:space="0" w:color="auto"/>
              <w:right w:val="single" w:sz="4" w:space="0" w:color="auto"/>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w:t>
            </w:r>
          </w:p>
        </w:tc>
        <w:tc>
          <w:tcPr>
            <w:tcW w:w="444" w:type="pct"/>
            <w:tcBorders>
              <w:top w:val="single" w:sz="4" w:space="0" w:color="auto"/>
              <w:left w:val="single" w:sz="4" w:space="0" w:color="auto"/>
              <w:bottom w:val="single" w:sz="12" w:space="0" w:color="auto"/>
              <w:right w:val="nil"/>
            </w:tcBorders>
            <w:vAlign w:val="center"/>
          </w:tcPr>
          <w:p w:rsidR="004E3021" w:rsidRPr="00FD1CBB" w:rsidRDefault="00606E48">
            <w:pPr>
              <w:pStyle w:val="afffffff2"/>
              <w:rPr>
                <w:rFonts w:cs="Times New Roman"/>
                <w:kern w:val="0"/>
                <w:sz w:val="21"/>
                <w:szCs w:val="21"/>
              </w:rPr>
            </w:pPr>
            <w:r w:rsidRPr="00FD1CBB">
              <w:rPr>
                <w:rFonts w:cs="Times New Roman"/>
                <w:kern w:val="0"/>
                <w:sz w:val="21"/>
                <w:szCs w:val="21"/>
              </w:rPr>
              <w:t>/</w:t>
            </w:r>
          </w:p>
        </w:tc>
      </w:tr>
    </w:tbl>
    <w:p w:rsidR="004E3021" w:rsidRDefault="00606E48">
      <w:pPr>
        <w:ind w:firstLine="480"/>
      </w:pPr>
      <w:r>
        <w:rPr>
          <w:rFonts w:ascii="宋体" w:hAnsi="宋体" w:hint="eastAsia"/>
        </w:rPr>
        <w:t>（</w:t>
      </w:r>
      <w:r>
        <w:rPr>
          <w:rFonts w:hint="eastAsia"/>
        </w:rPr>
        <w:t>4</w:t>
      </w:r>
      <w:r>
        <w:rPr>
          <w:rFonts w:ascii="宋体" w:hAnsi="宋体" w:hint="eastAsia"/>
        </w:rPr>
        <w:t>）固体废物</w:t>
      </w:r>
    </w:p>
    <w:p w:rsidR="004E3021" w:rsidRDefault="00606E48">
      <w:pPr>
        <w:ind w:firstLine="480"/>
      </w:pPr>
      <w:r>
        <w:rPr>
          <w:rFonts w:ascii="宋体" w:hAnsi="宋体" w:hint="eastAsia"/>
        </w:rPr>
        <w:t>本项目</w:t>
      </w:r>
      <w:r>
        <w:rPr>
          <w:rFonts w:ascii="宋体" w:hAnsi="宋体"/>
        </w:rPr>
        <w:t>固体废物排放信息见表</w:t>
      </w:r>
      <w:r>
        <w:rPr>
          <w:rFonts w:hint="eastAsia"/>
        </w:rPr>
        <w:t>8.2.2</w:t>
      </w:r>
      <w:r>
        <w:t>-6</w:t>
      </w:r>
      <w:r>
        <w:rPr>
          <w:rFonts w:ascii="宋体" w:hAnsi="宋体" w:hint="eastAsia"/>
        </w:rPr>
        <w:t>。</w:t>
      </w:r>
    </w:p>
    <w:p w:rsidR="004E3021" w:rsidRDefault="004E3021">
      <w:pPr>
        <w:widowControl/>
        <w:ind w:firstLineChars="0" w:firstLine="0"/>
        <w:jc w:val="left"/>
        <w:rPr>
          <w:rFonts w:eastAsia="黑体"/>
        </w:rPr>
        <w:sectPr w:rsidR="004E3021">
          <w:pgSz w:w="11907" w:h="16840"/>
          <w:pgMar w:top="1440" w:right="1440" w:bottom="1440" w:left="1440" w:header="851" w:footer="992" w:gutter="0"/>
          <w:cols w:space="720"/>
          <w:docGrid w:type="lines" w:linePitch="326"/>
        </w:sectPr>
      </w:pPr>
    </w:p>
    <w:p w:rsidR="004E3021" w:rsidRDefault="00606E48">
      <w:pPr>
        <w:spacing w:line="500" w:lineRule="exact"/>
        <w:ind w:firstLineChars="0" w:firstLine="0"/>
        <w:jc w:val="center"/>
        <w:rPr>
          <w:rFonts w:ascii="黑体" w:eastAsia="黑体" w:hAnsi="黑体"/>
        </w:rPr>
      </w:pPr>
      <w:r>
        <w:rPr>
          <w:rFonts w:ascii="黑体" w:eastAsia="黑体" w:hAnsi="黑体" w:hint="eastAsia"/>
        </w:rPr>
        <w:lastRenderedPageBreak/>
        <w:t>表</w:t>
      </w:r>
      <w:r>
        <w:rPr>
          <w:rFonts w:eastAsia="黑体" w:hint="eastAsia"/>
        </w:rPr>
        <w:t>8.2.2</w:t>
      </w:r>
      <w:r>
        <w:rPr>
          <w:rFonts w:eastAsia="黑体"/>
        </w:rPr>
        <w:t xml:space="preserve">-6  </w:t>
      </w:r>
      <w:r>
        <w:rPr>
          <w:rFonts w:ascii="黑体" w:eastAsia="黑体" w:hAnsi="黑体" w:hint="eastAsia"/>
        </w:rPr>
        <w:t>固体废物</w:t>
      </w:r>
      <w:r>
        <w:rPr>
          <w:rFonts w:ascii="黑体" w:eastAsia="黑体" w:hAnsi="黑体"/>
        </w:rPr>
        <w:t>排放信息表</w:t>
      </w:r>
    </w:p>
    <w:p w:rsidR="00973949" w:rsidRPr="00D14DE4" w:rsidRDefault="00973949" w:rsidP="00973949">
      <w:pPr>
        <w:pStyle w:val="afffff4"/>
        <w:ind w:firstLine="480"/>
        <w:rPr>
          <w:color w:val="FF0000"/>
        </w:rPr>
      </w:pPr>
      <w:r w:rsidRPr="00D14DE4">
        <w:rPr>
          <w:rFonts w:hint="eastAsia"/>
          <w:color w:val="FF0000"/>
        </w:rPr>
        <w:t>涉及商业机密，已删除</w:t>
      </w:r>
    </w:p>
    <w:p w:rsidR="00FD1CBB" w:rsidRPr="00973949" w:rsidRDefault="00FD1CBB" w:rsidP="00FD1CBB">
      <w:pPr>
        <w:pStyle w:val="a0"/>
        <w:ind w:firstLine="480"/>
      </w:pPr>
    </w:p>
    <w:p w:rsidR="004E3021" w:rsidRDefault="004E3021">
      <w:pPr>
        <w:widowControl/>
        <w:ind w:firstLineChars="0" w:firstLine="0"/>
        <w:jc w:val="left"/>
        <w:sectPr w:rsidR="004E3021">
          <w:pgSz w:w="16838" w:h="11906" w:orient="landscape"/>
          <w:pgMar w:top="1800" w:right="1440" w:bottom="1800" w:left="1440" w:header="851" w:footer="992" w:gutter="0"/>
          <w:cols w:space="720"/>
          <w:docGrid w:type="lines" w:linePitch="326"/>
        </w:sectPr>
      </w:pPr>
    </w:p>
    <w:p w:rsidR="004E3021" w:rsidRDefault="00606E48">
      <w:pPr>
        <w:pStyle w:val="afffffffffffffffff3"/>
      </w:pPr>
      <w:bookmarkStart w:id="829" w:name="_Toc221501110"/>
      <w:r>
        <w:rPr>
          <w:rFonts w:hint="eastAsia"/>
        </w:rPr>
        <w:lastRenderedPageBreak/>
        <w:t>8.3</w:t>
      </w:r>
      <w:r>
        <w:rPr>
          <w:rFonts w:ascii="黑体" w:hAnsi="黑体" w:hint="eastAsia"/>
        </w:rPr>
        <w:t>总量</w:t>
      </w:r>
      <w:r>
        <w:rPr>
          <w:rFonts w:ascii="黑体" w:hAnsi="黑体"/>
        </w:rPr>
        <w:t>控制</w:t>
      </w:r>
      <w:bookmarkEnd w:id="829"/>
    </w:p>
    <w:p w:rsidR="004E3021" w:rsidRDefault="00606E48">
      <w:pPr>
        <w:pStyle w:val="afffffffffffffffff4"/>
      </w:pPr>
      <w:bookmarkStart w:id="830" w:name="_Toc100784131"/>
      <w:bookmarkStart w:id="831" w:name="_Toc101135964"/>
      <w:bookmarkStart w:id="832" w:name="_Toc108662741"/>
      <w:bookmarkStart w:id="833" w:name="_Toc221088896"/>
      <w:bookmarkStart w:id="834" w:name="_Toc221501111"/>
      <w:r>
        <w:rPr>
          <w:rFonts w:hint="eastAsia"/>
        </w:rPr>
        <w:t>8.3.1</w:t>
      </w:r>
      <w:r>
        <w:rPr>
          <w:rFonts w:ascii="黑体" w:hAnsi="黑体" w:hint="eastAsia"/>
        </w:rPr>
        <w:t>总量</w:t>
      </w:r>
      <w:r>
        <w:rPr>
          <w:rFonts w:ascii="黑体" w:hAnsi="黑体"/>
        </w:rPr>
        <w:t>控制区域</w:t>
      </w:r>
      <w:bookmarkEnd w:id="830"/>
      <w:bookmarkEnd w:id="831"/>
      <w:bookmarkEnd w:id="832"/>
      <w:bookmarkEnd w:id="833"/>
      <w:bookmarkEnd w:id="834"/>
    </w:p>
    <w:p w:rsidR="004E3021" w:rsidRDefault="00606E48">
      <w:pPr>
        <w:ind w:firstLine="480"/>
      </w:pPr>
      <w:r>
        <w:rPr>
          <w:rFonts w:ascii="宋体" w:hAnsi="宋体"/>
        </w:rPr>
        <w:t>根据项目所在位置、当地社会经济现状及发展趋势，</w:t>
      </w:r>
      <w:r w:rsidR="00E7238D">
        <w:rPr>
          <w:rFonts w:ascii="宋体" w:hAnsi="宋体" w:hint="eastAsia"/>
        </w:rPr>
        <w:t>本</w:t>
      </w:r>
      <w:r>
        <w:rPr>
          <w:rFonts w:ascii="宋体" w:hAnsi="宋体"/>
        </w:rPr>
        <w:t>项目的排污总量将立足于</w:t>
      </w:r>
      <w:r>
        <w:rPr>
          <w:rFonts w:ascii="宋体" w:hAnsi="宋体" w:hint="eastAsia"/>
        </w:rPr>
        <w:t>蚌埠</w:t>
      </w:r>
      <w:r>
        <w:rPr>
          <w:rFonts w:ascii="宋体" w:hAnsi="宋体"/>
        </w:rPr>
        <w:t>市，不足部分进行区域平衡。</w:t>
      </w:r>
    </w:p>
    <w:p w:rsidR="004E3021" w:rsidRDefault="00606E48">
      <w:pPr>
        <w:pStyle w:val="afffffffffffffffff4"/>
      </w:pPr>
      <w:bookmarkStart w:id="835" w:name="_Toc108662742"/>
      <w:bookmarkStart w:id="836" w:name="_Toc100784132"/>
      <w:bookmarkStart w:id="837" w:name="_Toc101135965"/>
      <w:bookmarkStart w:id="838" w:name="_Toc221088897"/>
      <w:bookmarkStart w:id="839" w:name="_Toc221501112"/>
      <w:r>
        <w:t>8.3.2</w:t>
      </w:r>
      <w:r>
        <w:rPr>
          <w:rFonts w:ascii="黑体" w:hAnsi="黑体" w:hint="eastAsia"/>
        </w:rPr>
        <w:t>总量控制因子</w:t>
      </w:r>
      <w:bookmarkEnd w:id="835"/>
      <w:bookmarkEnd w:id="836"/>
      <w:bookmarkEnd w:id="837"/>
      <w:bookmarkEnd w:id="838"/>
      <w:bookmarkEnd w:id="839"/>
    </w:p>
    <w:p w:rsidR="004E3021" w:rsidRDefault="00606E48">
      <w:pPr>
        <w:ind w:firstLine="480"/>
      </w:pPr>
      <w:r>
        <w:rPr>
          <w:rFonts w:ascii="宋体" w:hAnsi="宋体"/>
        </w:rPr>
        <w:t>根据</w:t>
      </w:r>
      <w:r w:rsidR="00947F13">
        <w:rPr>
          <w:rFonts w:hint="eastAsia"/>
        </w:rPr>
        <w:t>本</w:t>
      </w:r>
      <w:r>
        <w:rPr>
          <w:rFonts w:ascii="宋体" w:hAnsi="宋体"/>
        </w:rPr>
        <w:t>项目特征和评价区域实际情况，确定总量控制因子为：</w:t>
      </w:r>
    </w:p>
    <w:p w:rsidR="004E3021" w:rsidRDefault="00606E48">
      <w:pPr>
        <w:ind w:firstLine="480"/>
      </w:pPr>
      <w:r>
        <w:rPr>
          <w:rFonts w:ascii="宋体" w:hAnsi="宋体"/>
        </w:rPr>
        <w:t>气：</w:t>
      </w:r>
      <w:r>
        <w:rPr>
          <w:rFonts w:ascii="宋体" w:hAnsi="宋体" w:hint="eastAsia"/>
          <w:kern w:val="50"/>
        </w:rPr>
        <w:t>烟</w:t>
      </w:r>
      <w:r>
        <w:rPr>
          <w:rFonts w:ascii="宋体" w:hAnsi="宋体"/>
          <w:kern w:val="50"/>
        </w:rPr>
        <w:t>（</w:t>
      </w:r>
      <w:r>
        <w:rPr>
          <w:rFonts w:ascii="宋体" w:hAnsi="宋体"/>
        </w:rPr>
        <w:t>粉</w:t>
      </w:r>
      <w:r>
        <w:rPr>
          <w:rFonts w:ascii="宋体" w:hAnsi="宋体"/>
          <w:kern w:val="50"/>
        </w:rPr>
        <w:t>）</w:t>
      </w:r>
      <w:r>
        <w:rPr>
          <w:rFonts w:ascii="宋体" w:hAnsi="宋体"/>
        </w:rPr>
        <w:t>尘、</w:t>
      </w:r>
      <w:r>
        <w:rPr>
          <w:rFonts w:hint="eastAsia"/>
        </w:rPr>
        <w:t>VOCs</w:t>
      </w:r>
      <w:r>
        <w:rPr>
          <w:rFonts w:ascii="宋体" w:hAnsi="宋体"/>
        </w:rPr>
        <w:t>；</w:t>
      </w:r>
    </w:p>
    <w:p w:rsidR="004E3021" w:rsidRDefault="00606E48">
      <w:pPr>
        <w:ind w:firstLine="480"/>
      </w:pPr>
      <w:r>
        <w:rPr>
          <w:rFonts w:ascii="宋体" w:hAnsi="宋体"/>
        </w:rPr>
        <w:t>水：</w:t>
      </w:r>
      <w:r>
        <w:t>COD</w:t>
      </w:r>
      <w:r>
        <w:rPr>
          <w:rFonts w:ascii="宋体" w:hAnsi="宋体"/>
        </w:rPr>
        <w:t>、氨氮</w:t>
      </w:r>
      <w:r>
        <w:rPr>
          <w:rFonts w:ascii="宋体" w:hAnsi="宋体" w:hint="eastAsia"/>
        </w:rPr>
        <w:t>。</w:t>
      </w:r>
    </w:p>
    <w:p w:rsidR="004E3021" w:rsidRDefault="00606E48">
      <w:pPr>
        <w:pStyle w:val="afffffffffffffffff4"/>
        <w:ind w:firstLine="480"/>
      </w:pPr>
      <w:bookmarkStart w:id="840" w:name="_Toc101135966"/>
      <w:bookmarkStart w:id="841" w:name="_Toc108662743"/>
      <w:bookmarkStart w:id="842" w:name="_Toc100784133"/>
      <w:bookmarkStart w:id="843" w:name="_Toc221088898"/>
      <w:bookmarkStart w:id="844" w:name="_Toc221501113"/>
      <w:r>
        <w:rPr>
          <w:rFonts w:hint="eastAsia"/>
        </w:rPr>
        <w:t>8</w:t>
      </w:r>
      <w:r>
        <w:t>.3.3</w:t>
      </w:r>
      <w:r>
        <w:rPr>
          <w:rFonts w:ascii="黑体" w:hAnsi="黑体" w:hint="eastAsia"/>
        </w:rPr>
        <w:t>总量控制</w:t>
      </w:r>
      <w:r>
        <w:rPr>
          <w:rFonts w:ascii="黑体" w:hAnsi="黑体"/>
        </w:rPr>
        <w:t>指标</w:t>
      </w:r>
      <w:bookmarkEnd w:id="840"/>
      <w:bookmarkEnd w:id="841"/>
      <w:bookmarkEnd w:id="842"/>
      <w:bookmarkEnd w:id="843"/>
      <w:bookmarkEnd w:id="844"/>
    </w:p>
    <w:p w:rsidR="006B2786" w:rsidRDefault="006B2786" w:rsidP="006B2786">
      <w:pPr>
        <w:pStyle w:val="a0"/>
        <w:spacing w:line="360" w:lineRule="auto"/>
        <w:ind w:firstLine="480"/>
        <w:rPr>
          <w:rFonts w:ascii="Times New Roman" w:hAnsi="Times New Roman"/>
        </w:rPr>
      </w:pPr>
      <w:r w:rsidRPr="006B2786">
        <w:rPr>
          <w:rFonts w:ascii="Times New Roman" w:hAnsi="Times New Roman"/>
        </w:rPr>
        <w:t>本项目针对年产</w:t>
      </w:r>
      <w:r w:rsidRPr="006B2786">
        <w:rPr>
          <w:rFonts w:ascii="Times New Roman" w:hAnsi="Times New Roman"/>
        </w:rPr>
        <w:t>5000</w:t>
      </w:r>
      <w:r w:rsidRPr="006B2786">
        <w:rPr>
          <w:rFonts w:ascii="Times New Roman" w:hAnsi="Times New Roman"/>
        </w:rPr>
        <w:t>吨超纯二氧化硅（副产</w:t>
      </w:r>
      <w:r w:rsidRPr="006B2786">
        <w:rPr>
          <w:rFonts w:ascii="Times New Roman" w:hAnsi="Times New Roman"/>
        </w:rPr>
        <w:t>4000</w:t>
      </w:r>
      <w:r w:rsidRPr="006B2786">
        <w:rPr>
          <w:rFonts w:ascii="Times New Roman" w:hAnsi="Times New Roman"/>
        </w:rPr>
        <w:t>吨硅烷新材料）项目进行技改扩建，</w:t>
      </w:r>
      <w:r>
        <w:rPr>
          <w:rFonts w:ascii="Times New Roman" w:hAnsi="Times New Roman" w:hint="eastAsia"/>
        </w:rPr>
        <w:t>原环评已申请污染物总量，本项目仅补充申请超出原环评申请量的部分。</w:t>
      </w:r>
    </w:p>
    <w:p w:rsidR="006B2786" w:rsidRDefault="006B2786" w:rsidP="006B2786">
      <w:pPr>
        <w:ind w:firstLine="480"/>
        <w:rPr>
          <w:rFonts w:ascii="宋体" w:hAnsi="宋体"/>
        </w:rPr>
      </w:pPr>
      <w:r>
        <w:rPr>
          <w:rFonts w:hint="eastAsia"/>
        </w:rPr>
        <w:t>本</w:t>
      </w:r>
      <w:r>
        <w:rPr>
          <w:rFonts w:ascii="宋体" w:hAnsi="宋体" w:hint="eastAsia"/>
        </w:rPr>
        <w:t>项目</w:t>
      </w:r>
      <w:r>
        <w:rPr>
          <w:rFonts w:ascii="宋体" w:hAnsi="宋体"/>
        </w:rPr>
        <w:t>实施后</w:t>
      </w:r>
      <w:r>
        <w:rPr>
          <w:rFonts w:ascii="宋体" w:hAnsi="宋体" w:hint="eastAsia"/>
        </w:rPr>
        <w:t>污染物总量</w:t>
      </w:r>
      <w:r>
        <w:rPr>
          <w:rFonts w:ascii="宋体" w:hAnsi="宋体"/>
        </w:rPr>
        <w:t>情况</w:t>
      </w:r>
      <w:r>
        <w:rPr>
          <w:rFonts w:ascii="宋体" w:hAnsi="宋体" w:hint="eastAsia"/>
        </w:rPr>
        <w:t>见表</w:t>
      </w:r>
      <w:r>
        <w:rPr>
          <w:rFonts w:hint="eastAsia"/>
        </w:rPr>
        <w:t>8.3.3</w:t>
      </w:r>
      <w:r>
        <w:t>-1</w:t>
      </w:r>
      <w:r>
        <w:rPr>
          <w:rFonts w:ascii="宋体" w:hAnsi="宋体" w:hint="eastAsia"/>
        </w:rPr>
        <w:t>。</w:t>
      </w:r>
    </w:p>
    <w:p w:rsidR="004E3021" w:rsidRDefault="00606E48">
      <w:pPr>
        <w:pStyle w:val="afffff4"/>
        <w:ind w:firstLine="480"/>
      </w:pPr>
      <w:r>
        <w:rPr>
          <w:rFonts w:ascii="黑体" w:hAnsi="黑体" w:hint="eastAsia"/>
        </w:rPr>
        <w:t>表</w:t>
      </w:r>
      <w:r>
        <w:rPr>
          <w:rFonts w:hint="eastAsia"/>
        </w:rPr>
        <w:t>8.3.3</w:t>
      </w:r>
      <w:r>
        <w:t xml:space="preserve">-1 </w:t>
      </w:r>
      <w:r w:rsidR="00947F13">
        <w:rPr>
          <w:rFonts w:hint="eastAsia"/>
        </w:rPr>
        <w:t>本</w:t>
      </w:r>
      <w:r>
        <w:rPr>
          <w:rFonts w:ascii="黑体" w:hAnsi="黑体" w:hint="eastAsia"/>
        </w:rPr>
        <w:t>项目</w:t>
      </w:r>
      <w:r>
        <w:rPr>
          <w:rFonts w:ascii="黑体" w:hAnsi="黑体"/>
        </w:rPr>
        <w:t>实施后污染物</w:t>
      </w:r>
      <w:r>
        <w:rPr>
          <w:rFonts w:ascii="黑体" w:hAnsi="黑体" w:hint="eastAsia"/>
        </w:rPr>
        <w:t>总量情况</w:t>
      </w:r>
      <w:r>
        <w:rPr>
          <w:rFonts w:ascii="黑体" w:hAnsi="黑体"/>
        </w:rPr>
        <w:t>表</w:t>
      </w:r>
      <w:r>
        <w:rPr>
          <w:rFonts w:hint="eastAsia"/>
        </w:rPr>
        <w:t xml:space="preserve">  </w:t>
      </w:r>
      <w:r>
        <w:rPr>
          <w:rFonts w:ascii="黑体" w:hAnsi="黑体" w:hint="eastAsia"/>
        </w:rPr>
        <w:t>单位</w:t>
      </w:r>
      <w:r>
        <w:rPr>
          <w:rFonts w:ascii="黑体" w:hAnsi="黑体"/>
        </w:rPr>
        <w:t>：</w:t>
      </w:r>
      <w:r>
        <w:t>t/a</w:t>
      </w:r>
    </w:p>
    <w:p w:rsidR="00973949" w:rsidRPr="00D14DE4" w:rsidRDefault="00973949" w:rsidP="00973949">
      <w:pPr>
        <w:pStyle w:val="afffff4"/>
        <w:ind w:firstLine="480"/>
        <w:rPr>
          <w:color w:val="FF0000"/>
        </w:rPr>
      </w:pPr>
      <w:r w:rsidRPr="00D14DE4">
        <w:rPr>
          <w:rFonts w:hint="eastAsia"/>
          <w:color w:val="FF0000"/>
        </w:rPr>
        <w:t>涉及商业机密，已删除</w:t>
      </w:r>
    </w:p>
    <w:p w:rsidR="00973949" w:rsidRPr="00973949" w:rsidRDefault="00973949">
      <w:pPr>
        <w:pStyle w:val="afffff4"/>
        <w:ind w:firstLine="480"/>
      </w:pPr>
    </w:p>
    <w:p w:rsidR="0006470D" w:rsidRDefault="0006470D" w:rsidP="0006470D">
      <w:pPr>
        <w:pStyle w:val="affffffffa"/>
        <w:ind w:firstLine="480"/>
        <w:rPr>
          <w:rFonts w:cs="Times New Roman"/>
        </w:rPr>
      </w:pPr>
      <w:bookmarkStart w:id="845" w:name="_Toc101135967"/>
      <w:bookmarkStart w:id="846" w:name="_Toc100784134"/>
      <w:bookmarkStart w:id="847" w:name="_Toc108662744"/>
      <w:r>
        <w:rPr>
          <w:rFonts w:hint="eastAsia"/>
        </w:rPr>
        <w:t>本项目属于基础化学原料制造</w:t>
      </w:r>
      <w:r>
        <w:rPr>
          <w:rFonts w:hint="eastAsia"/>
        </w:rPr>
        <w:t>[C261]</w:t>
      </w:r>
      <w:r>
        <w:rPr>
          <w:rFonts w:hint="eastAsia"/>
        </w:rPr>
        <w:t>，</w:t>
      </w:r>
      <w:r>
        <w:t>根据《建设项目环境影响评价分类管理名录》（</w:t>
      </w:r>
      <w:r>
        <w:t>2021</w:t>
      </w:r>
      <w:r>
        <w:t>年版），本项目属于</w:t>
      </w:r>
      <w:r w:rsidRPr="0006470D">
        <w:rPr>
          <w:rFonts w:ascii="宋体" w:hAnsi="宋体"/>
        </w:rPr>
        <w:t>“</w:t>
      </w:r>
      <w:r>
        <w:rPr>
          <w:rFonts w:hint="eastAsia"/>
        </w:rPr>
        <w:t>二十三</w:t>
      </w:r>
      <w:r>
        <w:t>、</w:t>
      </w:r>
      <w:r>
        <w:rPr>
          <w:rFonts w:hint="eastAsia"/>
        </w:rPr>
        <w:t>化学原料和化学制品制造业</w:t>
      </w:r>
      <w:r>
        <w:rPr>
          <w:rFonts w:hint="eastAsia"/>
        </w:rPr>
        <w:t>2</w:t>
      </w:r>
      <w:r>
        <w:t>6</w:t>
      </w:r>
      <w:r>
        <w:t>：</w:t>
      </w:r>
      <w:r>
        <w:t>44.</w:t>
      </w:r>
      <w:r w:rsidRPr="0006470D">
        <w:rPr>
          <w:rFonts w:hint="eastAsia"/>
        </w:rPr>
        <w:t>全部</w:t>
      </w:r>
      <w:r w:rsidRPr="0006470D">
        <w:rPr>
          <w:rFonts w:hint="eastAsia"/>
        </w:rPr>
        <w:t>(</w:t>
      </w:r>
      <w:r w:rsidRPr="0006470D">
        <w:rPr>
          <w:rFonts w:hint="eastAsia"/>
        </w:rPr>
        <w:t>含研发中试</w:t>
      </w:r>
      <w:r>
        <w:rPr>
          <w:rFonts w:hint="eastAsia"/>
        </w:rPr>
        <w:t>；</w:t>
      </w:r>
      <w:r w:rsidRPr="0006470D">
        <w:rPr>
          <w:rFonts w:hint="eastAsia"/>
        </w:rPr>
        <w:t>不含单纯物理分离、物理提纯、混合、分装的</w:t>
      </w:r>
      <w:r w:rsidRPr="0006470D">
        <w:rPr>
          <w:rFonts w:hint="eastAsia"/>
        </w:rPr>
        <w:t>)</w:t>
      </w:r>
      <w:r w:rsidRPr="0006470D">
        <w:rPr>
          <w:rFonts w:ascii="宋体" w:hAnsi="宋体"/>
        </w:rPr>
        <w:t>”</w:t>
      </w:r>
      <w:r>
        <w:t>，需编制环境影响报告书。</w:t>
      </w:r>
      <w:r>
        <w:rPr>
          <w:rFonts w:hint="eastAsia"/>
        </w:rPr>
        <w:t>对照《固定污染源排污许可分类管理名录</w:t>
      </w:r>
      <w:r>
        <w:rPr>
          <w:rFonts w:hint="eastAsia"/>
        </w:rPr>
        <w:t>(2019</w:t>
      </w:r>
      <w:r>
        <w:rPr>
          <w:rFonts w:hint="eastAsia"/>
        </w:rPr>
        <w:t>年版</w:t>
      </w:r>
      <w:r>
        <w:rPr>
          <w:rFonts w:hint="eastAsia"/>
        </w:rPr>
        <w:t>)</w:t>
      </w:r>
      <w:r>
        <w:rPr>
          <w:rFonts w:hint="eastAsia"/>
        </w:rPr>
        <w:t>》，本项目属于其中“二十一、化学原料和化学制品制造业</w:t>
      </w:r>
      <w:r>
        <w:rPr>
          <w:rFonts w:hint="eastAsia"/>
        </w:rPr>
        <w:t xml:space="preserve"> </w:t>
      </w:r>
      <w:r>
        <w:t>4</w:t>
      </w:r>
      <w:r w:rsidR="001D73F4">
        <w:t>4</w:t>
      </w:r>
      <w:r>
        <w:rPr>
          <w:rFonts w:hint="eastAsia"/>
        </w:rPr>
        <w:t xml:space="preserve"> </w:t>
      </w:r>
      <w:r>
        <w:rPr>
          <w:rFonts w:hint="eastAsia"/>
        </w:rPr>
        <w:t>基础化学原料制造</w:t>
      </w:r>
      <w:r>
        <w:t>261</w:t>
      </w:r>
      <w:r>
        <w:rPr>
          <w:rFonts w:hint="eastAsia"/>
        </w:rPr>
        <w:t>，</w:t>
      </w:r>
      <w:r w:rsidRPr="0006470D">
        <w:rPr>
          <w:rFonts w:hint="eastAsia"/>
        </w:rPr>
        <w:t>无机酸制造</w:t>
      </w:r>
      <w:r w:rsidRPr="0006470D">
        <w:rPr>
          <w:rFonts w:hint="eastAsia"/>
        </w:rPr>
        <w:t>2611</w:t>
      </w:r>
      <w:r w:rsidRPr="0006470D">
        <w:rPr>
          <w:rFonts w:hint="eastAsia"/>
        </w:rPr>
        <w:t>，无机碱制造</w:t>
      </w:r>
      <w:r w:rsidRPr="0006470D">
        <w:rPr>
          <w:rFonts w:hint="eastAsia"/>
        </w:rPr>
        <w:t>2612,</w:t>
      </w:r>
      <w:r w:rsidRPr="0006470D">
        <w:rPr>
          <w:rFonts w:hint="eastAsia"/>
        </w:rPr>
        <w:t>无机盐制造</w:t>
      </w:r>
      <w:r w:rsidRPr="0006470D">
        <w:rPr>
          <w:rFonts w:hint="eastAsia"/>
        </w:rPr>
        <w:t xml:space="preserve"> 2613</w:t>
      </w:r>
      <w:r w:rsidRPr="0006470D">
        <w:rPr>
          <w:rFonts w:hint="eastAsia"/>
        </w:rPr>
        <w:t>，有机化学原料制造</w:t>
      </w:r>
      <w:r w:rsidRPr="0006470D">
        <w:rPr>
          <w:rFonts w:hint="eastAsia"/>
        </w:rPr>
        <w:t>2614</w:t>
      </w:r>
      <w:r w:rsidRPr="0006470D">
        <w:rPr>
          <w:rFonts w:hint="eastAsia"/>
        </w:rPr>
        <w:t>，其他基础化学原料制造</w:t>
      </w:r>
      <w:r w:rsidRPr="0006470D">
        <w:rPr>
          <w:rFonts w:hint="eastAsia"/>
        </w:rPr>
        <w:t>2619(</w:t>
      </w:r>
      <w:r w:rsidRPr="0006470D">
        <w:rPr>
          <w:rFonts w:hint="eastAsia"/>
        </w:rPr>
        <w:t>非金属无机氧化物、金属氧化物金属过氧化物、金属超氧化物、硫磺、磷、硅、精硅、硒、砷、硼、确</w:t>
      </w:r>
      <w:r w:rsidRPr="0006470D">
        <w:rPr>
          <w:rFonts w:hint="eastAsia"/>
        </w:rPr>
        <w:t>)</w:t>
      </w:r>
      <w:r w:rsidRPr="0006470D">
        <w:rPr>
          <w:rFonts w:hint="eastAsia"/>
        </w:rPr>
        <w:t>，以上均不含单纯混合或者分装的</w:t>
      </w:r>
      <w:r>
        <w:rPr>
          <w:rFonts w:hint="eastAsia"/>
        </w:rPr>
        <w:t>，属于排污许可重点管理</w:t>
      </w:r>
      <w:r>
        <w:rPr>
          <w:rFonts w:cs="Times New Roman"/>
        </w:rPr>
        <w:t>。</w:t>
      </w:r>
    </w:p>
    <w:p w:rsidR="0006470D" w:rsidRPr="0006470D" w:rsidRDefault="0006470D" w:rsidP="0006470D">
      <w:pPr>
        <w:pStyle w:val="affffffffa"/>
        <w:ind w:firstLine="480"/>
      </w:pPr>
      <w:r>
        <w:t>根据安徽省生态环境厅等</w:t>
      </w:r>
      <w:r>
        <w:t>4</w:t>
      </w:r>
      <w:r>
        <w:t>部门印发的《安徽省排污权有偿使用和交易管理办法</w:t>
      </w:r>
      <w:r>
        <w:t>(</w:t>
      </w:r>
      <w:r>
        <w:t>试行</w:t>
      </w:r>
      <w:r>
        <w:t>)</w:t>
      </w:r>
      <w:r>
        <w:t>》</w:t>
      </w:r>
      <w:r>
        <w:t>(</w:t>
      </w:r>
      <w:r>
        <w:t>皖环发</w:t>
      </w:r>
      <w:r>
        <w:t>(2023)72</w:t>
      </w:r>
      <w:r>
        <w:t>号</w:t>
      </w:r>
      <w:r>
        <w:t>)</w:t>
      </w:r>
      <w:r>
        <w:t>等政策要求，现阶段实施排污权交易的排污单位为全省列</w:t>
      </w:r>
      <w:r>
        <w:lastRenderedPageBreak/>
        <w:t>入排污许可重点和简化管理范围内有污染物许可排放量要求的排污单位，</w:t>
      </w:r>
      <w:r>
        <w:rPr>
          <w:rFonts w:hint="eastAsia"/>
        </w:rPr>
        <w:t>本项目新增总量为硅粉生产烟粉尘，该生产线排气筒为一般排放口，无</w:t>
      </w:r>
      <w:r>
        <w:t>污染物许可排放量要求</w:t>
      </w:r>
      <w:r>
        <w:rPr>
          <w:rFonts w:hint="eastAsia"/>
        </w:rPr>
        <w:t>，</w:t>
      </w:r>
      <w:r>
        <w:t>故本项目</w:t>
      </w:r>
      <w:r>
        <w:rPr>
          <w:rFonts w:hint="eastAsia"/>
          <w:color w:val="000000" w:themeColor="text1"/>
        </w:rPr>
        <w:t>无需</w:t>
      </w:r>
      <w:r>
        <w:t>实行排污权交易</w:t>
      </w:r>
      <w:r>
        <w:rPr>
          <w:rFonts w:hint="eastAsia"/>
        </w:rPr>
        <w:t>。</w:t>
      </w:r>
    </w:p>
    <w:p w:rsidR="004E3021" w:rsidRDefault="00606E48">
      <w:pPr>
        <w:pStyle w:val="afffffffffffffffff4"/>
        <w:ind w:firstLineChars="100" w:firstLine="280"/>
      </w:pPr>
      <w:bookmarkStart w:id="848" w:name="_Toc221088899"/>
      <w:bookmarkStart w:id="849" w:name="_Toc221501114"/>
      <w:r>
        <w:rPr>
          <w:rFonts w:hint="eastAsia"/>
        </w:rPr>
        <w:t>8.3.4</w:t>
      </w:r>
      <w:r>
        <w:rPr>
          <w:rFonts w:ascii="黑体" w:hAnsi="黑体" w:hint="eastAsia"/>
        </w:rPr>
        <w:t>总量</w:t>
      </w:r>
      <w:r>
        <w:rPr>
          <w:rFonts w:ascii="黑体" w:hAnsi="黑体"/>
        </w:rPr>
        <w:t>平衡途径</w:t>
      </w:r>
      <w:bookmarkEnd w:id="845"/>
      <w:bookmarkEnd w:id="846"/>
      <w:bookmarkEnd w:id="847"/>
      <w:bookmarkEnd w:id="848"/>
      <w:bookmarkEnd w:id="849"/>
    </w:p>
    <w:p w:rsidR="004E3021" w:rsidRDefault="00606E48">
      <w:pPr>
        <w:ind w:firstLine="480"/>
      </w:pPr>
      <w:r>
        <w:rPr>
          <w:rFonts w:ascii="宋体" w:hAnsi="宋体"/>
        </w:rPr>
        <w:t>（</w:t>
      </w:r>
      <w:r>
        <w:t>1</w:t>
      </w:r>
      <w:r>
        <w:rPr>
          <w:rFonts w:ascii="宋体" w:hAnsi="宋体"/>
        </w:rPr>
        <w:t>）废水</w:t>
      </w:r>
    </w:p>
    <w:p w:rsidR="004E3021" w:rsidRDefault="00606E48">
      <w:pPr>
        <w:ind w:firstLine="480"/>
      </w:pPr>
      <w:r>
        <w:rPr>
          <w:rFonts w:ascii="宋体" w:hAnsi="宋体" w:hint="eastAsia"/>
        </w:rPr>
        <w:t>项目各类废水经厂区污水处理区处理达到</w:t>
      </w:r>
      <w:r>
        <w:rPr>
          <w:rFonts w:ascii="宋体" w:hAnsi="宋体"/>
        </w:rPr>
        <w:t>沫河口园区污水处理厂接管标准</w:t>
      </w:r>
      <w:r>
        <w:rPr>
          <w:rFonts w:ascii="宋体" w:hAnsi="宋体" w:hint="eastAsia"/>
        </w:rPr>
        <w:t>、《污水综合排放标准》（</w:t>
      </w:r>
      <w:r>
        <w:rPr>
          <w:rFonts w:hint="eastAsia"/>
        </w:rPr>
        <w:t>G</w:t>
      </w:r>
      <w:r>
        <w:t>B8978-1996</w:t>
      </w:r>
      <w:r>
        <w:rPr>
          <w:rFonts w:ascii="宋体" w:hAnsi="宋体" w:hint="eastAsia"/>
        </w:rPr>
        <w:t>）中表</w:t>
      </w:r>
      <w:r>
        <w:rPr>
          <w:rFonts w:hint="eastAsia"/>
        </w:rPr>
        <w:t>4</w:t>
      </w:r>
      <w:r>
        <w:rPr>
          <w:rFonts w:ascii="宋体" w:hAnsi="宋体" w:hint="eastAsia"/>
        </w:rPr>
        <w:t>的三级标准和</w:t>
      </w:r>
      <w:r>
        <w:rPr>
          <w:rFonts w:hint="eastAsia"/>
        </w:rPr>
        <w:t>《无机化学工业污染物排放标准》（</w:t>
      </w:r>
      <w:r>
        <w:rPr>
          <w:rFonts w:hint="eastAsia"/>
        </w:rPr>
        <w:t>GB31573-2015</w:t>
      </w:r>
      <w:r>
        <w:rPr>
          <w:rFonts w:hint="eastAsia"/>
        </w:rPr>
        <w:t>）水污染物间接排放限值</w:t>
      </w:r>
      <w:r>
        <w:rPr>
          <w:rFonts w:ascii="宋体" w:hAnsi="宋体" w:hint="eastAsia"/>
        </w:rPr>
        <w:t>接管沫河口</w:t>
      </w:r>
      <w:r>
        <w:rPr>
          <w:rFonts w:ascii="宋体" w:hAnsi="宋体"/>
        </w:rPr>
        <w:t>污水处理厂</w:t>
      </w:r>
      <w:r>
        <w:rPr>
          <w:rFonts w:ascii="宋体" w:hAnsi="宋体" w:hint="eastAsia"/>
        </w:rPr>
        <w:t>；经沫河口</w:t>
      </w:r>
      <w:r>
        <w:rPr>
          <w:rFonts w:ascii="宋体" w:hAnsi="宋体"/>
        </w:rPr>
        <w:t>污水处理厂</w:t>
      </w:r>
      <w:r>
        <w:rPr>
          <w:rFonts w:ascii="宋体" w:hAnsi="宋体" w:hint="eastAsia"/>
        </w:rPr>
        <w:t>处理达到</w:t>
      </w:r>
      <w:r>
        <w:rPr>
          <w:rFonts w:ascii="宋体" w:hAnsi="宋体"/>
        </w:rPr>
        <w:t>《城镇污水处理厂污染物排放标准》（</w:t>
      </w:r>
      <w:r>
        <w:t>GB18918-2002</w:t>
      </w:r>
      <w:r>
        <w:rPr>
          <w:rFonts w:ascii="宋体" w:hAnsi="宋体"/>
        </w:rPr>
        <w:t>）中一级</w:t>
      </w:r>
      <w:r>
        <w:t>A</w:t>
      </w:r>
      <w:r>
        <w:rPr>
          <w:rFonts w:ascii="宋体" w:hAnsi="宋体"/>
        </w:rPr>
        <w:t>标准，尾水最终</w:t>
      </w:r>
      <w:r>
        <w:rPr>
          <w:rFonts w:ascii="宋体" w:hAnsi="宋体" w:hint="eastAsia"/>
        </w:rPr>
        <w:t>汇入</w:t>
      </w:r>
      <w:r>
        <w:rPr>
          <w:rFonts w:ascii="宋体" w:hAnsi="宋体"/>
        </w:rPr>
        <w:t>淮河</w:t>
      </w:r>
      <w:r>
        <w:rPr>
          <w:rFonts w:ascii="宋体" w:hAnsi="宋体" w:hint="eastAsia"/>
        </w:rPr>
        <w:t>。</w:t>
      </w:r>
    </w:p>
    <w:p w:rsidR="004E3021" w:rsidRDefault="00606E48">
      <w:pPr>
        <w:ind w:firstLine="480"/>
      </w:pPr>
      <w:r>
        <w:rPr>
          <w:rFonts w:ascii="宋体" w:hAnsi="宋体"/>
        </w:rPr>
        <w:t>（</w:t>
      </w:r>
      <w:r>
        <w:t>2</w:t>
      </w:r>
      <w:r>
        <w:rPr>
          <w:rFonts w:ascii="宋体" w:hAnsi="宋体"/>
        </w:rPr>
        <w:t>）废气</w:t>
      </w:r>
    </w:p>
    <w:p w:rsidR="004E3021" w:rsidRDefault="00E7238D">
      <w:pPr>
        <w:ind w:firstLine="480"/>
      </w:pPr>
      <w:r>
        <w:rPr>
          <w:rFonts w:hint="eastAsia"/>
        </w:rPr>
        <w:t>本</w:t>
      </w:r>
      <w:r w:rsidR="00606E48">
        <w:t>项目废气污染物为</w:t>
      </w:r>
      <w:r w:rsidR="00606E48">
        <w:rPr>
          <w:rFonts w:hint="eastAsia"/>
        </w:rPr>
        <w:t>烟（</w:t>
      </w:r>
      <w:r w:rsidR="00606E48">
        <w:t>粉</w:t>
      </w:r>
      <w:r w:rsidR="00606E48">
        <w:rPr>
          <w:rFonts w:hint="eastAsia"/>
        </w:rPr>
        <w:t>）尘</w:t>
      </w:r>
      <w:r w:rsidR="00606E48">
        <w:t>、</w:t>
      </w:r>
      <w:r w:rsidR="00606E48">
        <w:t>VOC</w:t>
      </w:r>
      <w:r w:rsidR="00606E48">
        <w:t>。</w:t>
      </w:r>
      <w:r w:rsidR="00947F13">
        <w:rPr>
          <w:rFonts w:hint="eastAsia"/>
        </w:rPr>
        <w:t>本</w:t>
      </w:r>
      <w:r w:rsidR="00606E48">
        <w:t>项目新增的</w:t>
      </w:r>
      <w:r w:rsidR="00606E48">
        <w:rPr>
          <w:rFonts w:hint="eastAsia"/>
        </w:rPr>
        <w:t>烟（</w:t>
      </w:r>
      <w:r w:rsidR="00606E48">
        <w:t>粉</w:t>
      </w:r>
      <w:r w:rsidR="00606E48">
        <w:rPr>
          <w:rFonts w:hint="eastAsia"/>
        </w:rPr>
        <w:t>）尘</w:t>
      </w:r>
      <w:r w:rsidR="00606E48">
        <w:t>排放总量实行区域内等量或倍量削减量替代</w:t>
      </w:r>
      <w:r w:rsidR="00606E48">
        <w:rPr>
          <w:rFonts w:ascii="宋体" w:hAnsi="宋体"/>
        </w:rPr>
        <w:t>。</w:t>
      </w:r>
    </w:p>
    <w:p w:rsidR="004E3021" w:rsidRDefault="00606E48">
      <w:pPr>
        <w:ind w:firstLine="480"/>
      </w:pPr>
      <w:r>
        <w:rPr>
          <w:rFonts w:ascii="宋体" w:hAnsi="宋体"/>
        </w:rPr>
        <w:t>（</w:t>
      </w:r>
      <w:r>
        <w:t>3</w:t>
      </w:r>
      <w:r>
        <w:rPr>
          <w:rFonts w:ascii="宋体" w:hAnsi="宋体"/>
        </w:rPr>
        <w:t>）固废</w:t>
      </w:r>
    </w:p>
    <w:p w:rsidR="004E3021" w:rsidRDefault="00606E48">
      <w:pPr>
        <w:ind w:firstLine="480"/>
        <w:rPr>
          <w:rFonts w:ascii="宋体" w:hAnsi="宋体"/>
        </w:rPr>
      </w:pPr>
      <w:r>
        <w:rPr>
          <w:rFonts w:ascii="宋体" w:hAnsi="宋体"/>
        </w:rPr>
        <w:t>所有固废均可得到妥善的处理处置。</w:t>
      </w:r>
    </w:p>
    <w:p w:rsidR="004E3021" w:rsidRDefault="00606E48">
      <w:pPr>
        <w:pStyle w:val="afffffffffffffffff3"/>
      </w:pPr>
      <w:bookmarkStart w:id="850" w:name="_Toc221501115"/>
      <w:r>
        <w:rPr>
          <w:rFonts w:hint="eastAsia"/>
        </w:rPr>
        <w:t>8.4</w:t>
      </w:r>
      <w:r>
        <w:rPr>
          <w:rFonts w:hint="eastAsia"/>
        </w:rPr>
        <w:t>环境</w:t>
      </w:r>
      <w:r>
        <w:t>监测计划</w:t>
      </w:r>
      <w:bookmarkEnd w:id="850"/>
    </w:p>
    <w:p w:rsidR="004E3021" w:rsidRDefault="00606E48">
      <w:pPr>
        <w:pStyle w:val="afffffffffffffffff4"/>
      </w:pPr>
      <w:bookmarkStart w:id="851" w:name="_Toc101135969"/>
      <w:bookmarkStart w:id="852" w:name="_Toc100784136"/>
      <w:bookmarkStart w:id="853" w:name="_Toc108662746"/>
      <w:bookmarkStart w:id="854" w:name="_Toc221088901"/>
      <w:bookmarkStart w:id="855" w:name="_Toc221501116"/>
      <w:r>
        <w:rPr>
          <w:rFonts w:hint="eastAsia"/>
        </w:rPr>
        <w:t>8.4.1</w:t>
      </w:r>
      <w:r>
        <w:rPr>
          <w:rFonts w:ascii="黑体" w:hAnsi="黑体" w:hint="eastAsia"/>
        </w:rPr>
        <w:t>环境</w:t>
      </w:r>
      <w:r>
        <w:rPr>
          <w:rFonts w:ascii="黑体" w:hAnsi="黑体"/>
        </w:rPr>
        <w:t>监测机构</w:t>
      </w:r>
      <w:bookmarkEnd w:id="851"/>
      <w:bookmarkEnd w:id="852"/>
      <w:bookmarkEnd w:id="853"/>
      <w:bookmarkEnd w:id="854"/>
      <w:bookmarkEnd w:id="855"/>
    </w:p>
    <w:p w:rsidR="004E3021" w:rsidRDefault="00606E48">
      <w:pPr>
        <w:ind w:firstLine="480"/>
      </w:pPr>
      <w:r>
        <w:rPr>
          <w:rFonts w:ascii="宋体" w:hAnsi="宋体" w:hint="eastAsia"/>
        </w:rPr>
        <w:t>环境监测机构应是国家明文规定的有资质监测机构，按就近、方便的原则，应首选蚌埠市和周边地区环境监测机构，若个别监测项目实施有困难，可另行委托得到环境管理部门认可的具有监测资质的其他环境监测机构实施。对于该项目，环境监测的职责主要有：</w:t>
      </w:r>
    </w:p>
    <w:p w:rsidR="004E3021" w:rsidRDefault="00606E48">
      <w:pPr>
        <w:ind w:firstLine="480"/>
      </w:pPr>
      <w:r>
        <w:rPr>
          <w:rFonts w:ascii="宋体" w:hAnsi="宋体" w:hint="eastAsia"/>
        </w:rPr>
        <w:t>（</w:t>
      </w:r>
      <w:r>
        <w:t>1</w:t>
      </w:r>
      <w:r>
        <w:rPr>
          <w:rFonts w:ascii="宋体" w:hAnsi="宋体" w:hint="eastAsia"/>
        </w:rPr>
        <w:t>）测试、收集环境状况基本资料；</w:t>
      </w:r>
    </w:p>
    <w:p w:rsidR="004E3021" w:rsidRDefault="00606E48">
      <w:pPr>
        <w:ind w:firstLine="480"/>
      </w:pPr>
      <w:r>
        <w:rPr>
          <w:rFonts w:ascii="宋体" w:hAnsi="宋体" w:hint="eastAsia"/>
        </w:rPr>
        <w:t>（</w:t>
      </w:r>
      <w:r>
        <w:t>2</w:t>
      </w:r>
      <w:r>
        <w:rPr>
          <w:rFonts w:ascii="宋体" w:hAnsi="宋体" w:hint="eastAsia"/>
        </w:rPr>
        <w:t>）对环保设施运行状况进行监测；</w:t>
      </w:r>
    </w:p>
    <w:p w:rsidR="004E3021" w:rsidRDefault="00606E48">
      <w:pPr>
        <w:ind w:firstLine="480"/>
      </w:pPr>
      <w:r>
        <w:rPr>
          <w:rFonts w:ascii="宋体" w:hAnsi="宋体" w:hint="eastAsia"/>
        </w:rPr>
        <w:t>（</w:t>
      </w:r>
      <w:r>
        <w:t>3</w:t>
      </w:r>
      <w:r>
        <w:rPr>
          <w:rFonts w:ascii="宋体" w:hAnsi="宋体" w:hint="eastAsia"/>
        </w:rPr>
        <w:t>）整理、统计分析监测结果，上报当地生态环境部门，归档管理。</w:t>
      </w:r>
    </w:p>
    <w:p w:rsidR="004E3021" w:rsidRDefault="00606E48">
      <w:pPr>
        <w:ind w:firstLine="480"/>
      </w:pPr>
      <w:r>
        <w:rPr>
          <w:rFonts w:ascii="宋体" w:hAnsi="宋体" w:hint="eastAsia"/>
        </w:rPr>
        <w:t>根据《排污单位自行监测技术指南</w:t>
      </w:r>
      <w:r>
        <w:rPr>
          <w:rFonts w:hint="eastAsia"/>
        </w:rPr>
        <w:t>-</w:t>
      </w:r>
      <w:r>
        <w:rPr>
          <w:rFonts w:ascii="宋体" w:hAnsi="宋体" w:hint="eastAsia"/>
        </w:rPr>
        <w:t>无机化学</w:t>
      </w:r>
      <w:r>
        <w:rPr>
          <w:rFonts w:ascii="宋体" w:hAnsi="宋体"/>
        </w:rPr>
        <w:t>工业</w:t>
      </w:r>
      <w:r>
        <w:rPr>
          <w:rFonts w:ascii="宋体" w:hAnsi="宋体" w:hint="eastAsia"/>
        </w:rPr>
        <w:t>》（</w:t>
      </w:r>
      <w:r>
        <w:rPr>
          <w:rFonts w:hint="eastAsia"/>
        </w:rPr>
        <w:t>HJ1138-2020</w:t>
      </w:r>
      <w:r>
        <w:rPr>
          <w:rFonts w:ascii="宋体" w:hAnsi="宋体" w:hint="eastAsia"/>
        </w:rPr>
        <w:t>）、《排污单位自行监测技术指南</w:t>
      </w:r>
      <w:r>
        <w:rPr>
          <w:rFonts w:hint="eastAsia"/>
        </w:rPr>
        <w:t>-</w:t>
      </w:r>
      <w:r>
        <w:rPr>
          <w:rFonts w:ascii="宋体" w:hAnsi="宋体" w:hint="eastAsia"/>
        </w:rPr>
        <w:t>总则》（</w:t>
      </w:r>
      <w:r>
        <w:rPr>
          <w:rFonts w:hint="eastAsia"/>
        </w:rPr>
        <w:t>HJ819-2017</w:t>
      </w:r>
      <w:r>
        <w:rPr>
          <w:rFonts w:ascii="宋体" w:hAnsi="宋体" w:hint="eastAsia"/>
        </w:rPr>
        <w:t>）等相关要求，本项目环境监测计划具体如下：</w:t>
      </w:r>
    </w:p>
    <w:p w:rsidR="004E3021" w:rsidRDefault="00606E48">
      <w:pPr>
        <w:pStyle w:val="afffffffffffffffff4"/>
      </w:pPr>
      <w:bookmarkStart w:id="856" w:name="_Toc100784137"/>
      <w:bookmarkStart w:id="857" w:name="_Toc108662747"/>
      <w:bookmarkStart w:id="858" w:name="_Toc101135970"/>
      <w:bookmarkStart w:id="859" w:name="_Toc221088902"/>
      <w:bookmarkStart w:id="860" w:name="_Toc221501117"/>
      <w:r>
        <w:rPr>
          <w:rFonts w:hint="eastAsia"/>
        </w:rPr>
        <w:lastRenderedPageBreak/>
        <w:t>8.4.2</w:t>
      </w:r>
      <w:r>
        <w:rPr>
          <w:rFonts w:ascii="黑体" w:hAnsi="黑体" w:hint="eastAsia"/>
        </w:rPr>
        <w:t>污染源监测</w:t>
      </w:r>
      <w:bookmarkEnd w:id="856"/>
      <w:bookmarkEnd w:id="857"/>
      <w:bookmarkEnd w:id="858"/>
      <w:bookmarkEnd w:id="859"/>
      <w:bookmarkEnd w:id="860"/>
    </w:p>
    <w:p w:rsidR="004E3021" w:rsidRDefault="00606E48">
      <w:pPr>
        <w:ind w:firstLine="480"/>
        <w:rPr>
          <w:rFonts w:eastAsia="黑体"/>
        </w:rPr>
      </w:pPr>
      <w:r>
        <w:rPr>
          <w:rFonts w:ascii="宋体" w:hAnsi="宋体" w:hint="eastAsia"/>
        </w:rPr>
        <w:t>本项目废气</w:t>
      </w:r>
      <w:r>
        <w:rPr>
          <w:rFonts w:ascii="宋体" w:hAnsi="宋体"/>
        </w:rPr>
        <w:t>、废水</w:t>
      </w:r>
      <w:r>
        <w:rPr>
          <w:rFonts w:ascii="宋体" w:hAnsi="宋体" w:hint="eastAsia"/>
        </w:rPr>
        <w:t>和</w:t>
      </w:r>
      <w:r>
        <w:rPr>
          <w:rFonts w:ascii="宋体" w:hAnsi="宋体"/>
        </w:rPr>
        <w:t>雨水自行监测</w:t>
      </w:r>
      <w:r>
        <w:rPr>
          <w:rFonts w:ascii="宋体" w:hAnsi="宋体" w:hint="eastAsia"/>
        </w:rPr>
        <w:t>及记录</w:t>
      </w:r>
      <w:r>
        <w:rPr>
          <w:rFonts w:ascii="宋体" w:hAnsi="宋体"/>
        </w:rPr>
        <w:t>信息表见</w:t>
      </w:r>
      <w:r>
        <w:rPr>
          <w:rFonts w:ascii="宋体" w:hAnsi="宋体" w:hint="eastAsia"/>
        </w:rPr>
        <w:t>表</w:t>
      </w:r>
      <w:r>
        <w:rPr>
          <w:rFonts w:hint="eastAsia"/>
        </w:rPr>
        <w:t>8.4.2-1</w:t>
      </w:r>
      <w:r>
        <w:rPr>
          <w:rFonts w:ascii="宋体" w:hAnsi="宋体" w:hint="eastAsia"/>
        </w:rPr>
        <w:t>，本项目噪声</w:t>
      </w:r>
      <w:r>
        <w:rPr>
          <w:rFonts w:ascii="宋体" w:hAnsi="宋体"/>
        </w:rPr>
        <w:t>自行监测</w:t>
      </w:r>
      <w:r>
        <w:rPr>
          <w:rFonts w:ascii="宋体" w:hAnsi="宋体" w:hint="eastAsia"/>
        </w:rPr>
        <w:t>及</w:t>
      </w:r>
      <w:r>
        <w:rPr>
          <w:rFonts w:ascii="宋体" w:hAnsi="宋体"/>
        </w:rPr>
        <w:t>记录信息表见</w:t>
      </w:r>
      <w:r>
        <w:rPr>
          <w:rFonts w:ascii="宋体" w:hAnsi="宋体" w:hint="eastAsia"/>
        </w:rPr>
        <w:t>表</w:t>
      </w:r>
      <w:r>
        <w:rPr>
          <w:rFonts w:hint="eastAsia"/>
        </w:rPr>
        <w:t>8.4.2-2</w:t>
      </w:r>
      <w:r>
        <w:rPr>
          <w:rFonts w:ascii="宋体" w:hAnsi="宋体" w:hint="eastAsia"/>
        </w:rPr>
        <w:t>。</w:t>
      </w:r>
    </w:p>
    <w:p w:rsidR="004E3021" w:rsidRDefault="00606E48">
      <w:pPr>
        <w:ind w:firstLine="480"/>
      </w:pPr>
      <w:r>
        <w:t xml:space="preserve"> </w:t>
      </w:r>
    </w:p>
    <w:p w:rsidR="004E3021" w:rsidRDefault="00606E48">
      <w:pPr>
        <w:ind w:firstLine="480"/>
      </w:pPr>
      <w:r>
        <w:t xml:space="preserve"> </w:t>
      </w:r>
    </w:p>
    <w:p w:rsidR="004E3021" w:rsidRDefault="004E3021">
      <w:pPr>
        <w:widowControl/>
        <w:ind w:firstLineChars="0" w:firstLine="0"/>
        <w:jc w:val="left"/>
        <w:rPr>
          <w:rFonts w:eastAsia="黑体"/>
        </w:rPr>
        <w:sectPr w:rsidR="004E3021">
          <w:pgSz w:w="11907" w:h="16840"/>
          <w:pgMar w:top="1440" w:right="1440" w:bottom="1440" w:left="1440" w:header="851" w:footer="992" w:gutter="0"/>
          <w:cols w:space="720"/>
          <w:docGrid w:type="lines" w:linePitch="326"/>
        </w:sectPr>
      </w:pPr>
    </w:p>
    <w:p w:rsidR="004E3021" w:rsidRDefault="00606E48">
      <w:pPr>
        <w:pStyle w:val="afffff4"/>
        <w:ind w:firstLine="480"/>
      </w:pPr>
      <w:r>
        <w:rPr>
          <w:rFonts w:ascii="黑体" w:hAnsi="黑体" w:hint="eastAsia"/>
        </w:rPr>
        <w:lastRenderedPageBreak/>
        <w:t>表</w:t>
      </w:r>
      <w:r>
        <w:rPr>
          <w:rFonts w:hint="eastAsia"/>
        </w:rPr>
        <w:t>8.4.2-1</w:t>
      </w:r>
      <w:r>
        <w:t xml:space="preserve">  </w:t>
      </w:r>
      <w:r>
        <w:rPr>
          <w:rFonts w:ascii="黑体" w:hAnsi="黑体" w:hint="eastAsia"/>
        </w:rPr>
        <w:t>项目废气</w:t>
      </w:r>
      <w:r>
        <w:rPr>
          <w:rFonts w:ascii="黑体" w:hAnsi="黑体"/>
        </w:rPr>
        <w:t>、废水</w:t>
      </w:r>
      <w:r>
        <w:rPr>
          <w:rFonts w:ascii="黑体" w:hAnsi="黑体" w:hint="eastAsia"/>
        </w:rPr>
        <w:t>和</w:t>
      </w:r>
      <w:r>
        <w:rPr>
          <w:rFonts w:ascii="黑体" w:hAnsi="黑体"/>
        </w:rPr>
        <w:t>雨水自行监测</w:t>
      </w:r>
      <w:r>
        <w:rPr>
          <w:rFonts w:ascii="黑体" w:hAnsi="黑体" w:hint="eastAsia"/>
        </w:rPr>
        <w:t>及记录</w:t>
      </w:r>
      <w:r>
        <w:rPr>
          <w:rFonts w:ascii="黑体" w:hAnsi="黑体"/>
        </w:rPr>
        <w:t>信息表</w:t>
      </w:r>
    </w:p>
    <w:tbl>
      <w:tblPr>
        <w:tblStyle w:val="1ffffffd"/>
        <w:tblW w:w="5000" w:type="pct"/>
        <w:tblLook w:val="04A0" w:firstRow="1" w:lastRow="0" w:firstColumn="1" w:lastColumn="0" w:noHBand="0" w:noVBand="1"/>
      </w:tblPr>
      <w:tblGrid>
        <w:gridCol w:w="427"/>
        <w:gridCol w:w="623"/>
        <w:gridCol w:w="958"/>
        <w:gridCol w:w="681"/>
        <w:gridCol w:w="988"/>
        <w:gridCol w:w="2047"/>
        <w:gridCol w:w="480"/>
        <w:gridCol w:w="589"/>
        <w:gridCol w:w="709"/>
        <w:gridCol w:w="648"/>
        <w:gridCol w:w="1159"/>
        <w:gridCol w:w="687"/>
        <w:gridCol w:w="673"/>
        <w:gridCol w:w="2814"/>
        <w:gridCol w:w="477"/>
      </w:tblGrid>
      <w:tr w:rsidR="004E3021" w:rsidRPr="00E7238D" w:rsidTr="002C01DC">
        <w:trPr>
          <w:trHeight w:val="648"/>
        </w:trPr>
        <w:tc>
          <w:tcPr>
            <w:tcW w:w="153" w:type="pct"/>
            <w:vAlign w:val="center"/>
          </w:tcPr>
          <w:p w:rsidR="004E3021" w:rsidRPr="00E7238D" w:rsidRDefault="00606E48" w:rsidP="00E7238D">
            <w:pPr>
              <w:pStyle w:val="afffffff2"/>
              <w:rPr>
                <w:rFonts w:ascii="Times New Roman" w:hAnsi="Times New Roman" w:cs="Times New Roman"/>
                <w:b/>
                <w:kern w:val="0"/>
                <w:sz w:val="21"/>
                <w:szCs w:val="21"/>
              </w:rPr>
            </w:pPr>
            <w:r w:rsidRPr="00E7238D">
              <w:rPr>
                <w:rFonts w:ascii="Times New Roman" w:hAnsi="Times New Roman" w:cs="Times New Roman"/>
                <w:b/>
                <w:kern w:val="0"/>
                <w:sz w:val="21"/>
                <w:szCs w:val="21"/>
              </w:rPr>
              <w:t>序号</w:t>
            </w:r>
          </w:p>
        </w:tc>
        <w:tc>
          <w:tcPr>
            <w:tcW w:w="223" w:type="pct"/>
            <w:vAlign w:val="center"/>
          </w:tcPr>
          <w:p w:rsidR="004E3021" w:rsidRPr="00E7238D" w:rsidRDefault="00606E48" w:rsidP="00E7238D">
            <w:pPr>
              <w:pStyle w:val="afffffff2"/>
              <w:rPr>
                <w:rFonts w:ascii="Times New Roman" w:hAnsi="Times New Roman" w:cs="Times New Roman"/>
                <w:b/>
                <w:kern w:val="0"/>
                <w:sz w:val="21"/>
                <w:szCs w:val="21"/>
              </w:rPr>
            </w:pPr>
            <w:r w:rsidRPr="00E7238D">
              <w:rPr>
                <w:rFonts w:ascii="Times New Roman" w:hAnsi="Times New Roman" w:cs="Times New Roman"/>
                <w:b/>
                <w:kern w:val="0"/>
                <w:sz w:val="21"/>
                <w:szCs w:val="21"/>
              </w:rPr>
              <w:t>污染源类别</w:t>
            </w:r>
            <w:r w:rsidRPr="00E7238D">
              <w:rPr>
                <w:rFonts w:ascii="Times New Roman" w:hAnsi="Times New Roman" w:cs="Times New Roman"/>
                <w:b/>
                <w:kern w:val="0"/>
                <w:sz w:val="21"/>
                <w:szCs w:val="21"/>
              </w:rPr>
              <w:t>/</w:t>
            </w:r>
            <w:r w:rsidRPr="00E7238D">
              <w:rPr>
                <w:rFonts w:ascii="Times New Roman" w:hAnsi="Times New Roman" w:cs="Times New Roman"/>
                <w:b/>
                <w:kern w:val="0"/>
                <w:sz w:val="21"/>
                <w:szCs w:val="21"/>
              </w:rPr>
              <w:t>监测类别</w:t>
            </w:r>
          </w:p>
        </w:tc>
        <w:tc>
          <w:tcPr>
            <w:tcW w:w="343" w:type="pct"/>
            <w:vAlign w:val="center"/>
          </w:tcPr>
          <w:p w:rsidR="004E3021" w:rsidRPr="00E7238D" w:rsidRDefault="00606E48" w:rsidP="00E7238D">
            <w:pPr>
              <w:pStyle w:val="afffffff2"/>
              <w:rPr>
                <w:rFonts w:ascii="Times New Roman" w:hAnsi="Times New Roman" w:cs="Times New Roman"/>
                <w:b/>
                <w:kern w:val="0"/>
                <w:sz w:val="21"/>
                <w:szCs w:val="21"/>
              </w:rPr>
            </w:pPr>
            <w:r w:rsidRPr="00E7238D">
              <w:rPr>
                <w:rFonts w:ascii="Times New Roman" w:hAnsi="Times New Roman" w:cs="Times New Roman"/>
                <w:b/>
                <w:kern w:val="0"/>
                <w:sz w:val="21"/>
                <w:szCs w:val="21"/>
              </w:rPr>
              <w:t>排放口编号</w:t>
            </w:r>
            <w:r w:rsidRPr="00E7238D">
              <w:rPr>
                <w:rFonts w:ascii="Times New Roman" w:hAnsi="Times New Roman" w:cs="Times New Roman"/>
                <w:b/>
                <w:kern w:val="0"/>
                <w:sz w:val="21"/>
                <w:szCs w:val="21"/>
              </w:rPr>
              <w:t>/</w:t>
            </w:r>
            <w:r w:rsidRPr="00E7238D">
              <w:rPr>
                <w:rFonts w:ascii="Times New Roman" w:hAnsi="Times New Roman" w:cs="Times New Roman"/>
                <w:b/>
                <w:kern w:val="0"/>
                <w:sz w:val="21"/>
                <w:szCs w:val="21"/>
              </w:rPr>
              <w:t>监测点位</w:t>
            </w:r>
          </w:p>
        </w:tc>
        <w:tc>
          <w:tcPr>
            <w:tcW w:w="244" w:type="pct"/>
            <w:vAlign w:val="center"/>
          </w:tcPr>
          <w:p w:rsidR="004E3021" w:rsidRPr="00E7238D" w:rsidRDefault="00606E48" w:rsidP="00E7238D">
            <w:pPr>
              <w:pStyle w:val="afffffff2"/>
              <w:rPr>
                <w:rFonts w:ascii="Times New Roman" w:hAnsi="Times New Roman" w:cs="Times New Roman"/>
                <w:b/>
                <w:kern w:val="0"/>
                <w:sz w:val="21"/>
                <w:szCs w:val="21"/>
              </w:rPr>
            </w:pPr>
            <w:r w:rsidRPr="00E7238D">
              <w:rPr>
                <w:rFonts w:ascii="Times New Roman" w:hAnsi="Times New Roman" w:cs="Times New Roman"/>
                <w:b/>
                <w:kern w:val="0"/>
                <w:sz w:val="21"/>
                <w:szCs w:val="21"/>
              </w:rPr>
              <w:t>排放口名称</w:t>
            </w:r>
            <w:r w:rsidRPr="00E7238D">
              <w:rPr>
                <w:rFonts w:ascii="Times New Roman" w:hAnsi="Times New Roman" w:cs="Times New Roman"/>
                <w:b/>
                <w:kern w:val="0"/>
                <w:sz w:val="21"/>
                <w:szCs w:val="21"/>
              </w:rPr>
              <w:t>/</w:t>
            </w:r>
            <w:r w:rsidRPr="00E7238D">
              <w:rPr>
                <w:rFonts w:ascii="Times New Roman" w:hAnsi="Times New Roman" w:cs="Times New Roman"/>
                <w:b/>
                <w:kern w:val="0"/>
                <w:sz w:val="21"/>
                <w:szCs w:val="21"/>
              </w:rPr>
              <w:t>监测点位名称</w:t>
            </w:r>
          </w:p>
        </w:tc>
        <w:tc>
          <w:tcPr>
            <w:tcW w:w="354" w:type="pct"/>
            <w:vAlign w:val="center"/>
          </w:tcPr>
          <w:p w:rsidR="004E3021" w:rsidRPr="00E7238D" w:rsidRDefault="00606E48" w:rsidP="00E7238D">
            <w:pPr>
              <w:pStyle w:val="afffffff2"/>
              <w:rPr>
                <w:rFonts w:ascii="Times New Roman" w:hAnsi="Times New Roman" w:cs="Times New Roman"/>
                <w:b/>
                <w:kern w:val="0"/>
                <w:sz w:val="21"/>
                <w:szCs w:val="21"/>
              </w:rPr>
            </w:pPr>
            <w:r w:rsidRPr="00E7238D">
              <w:rPr>
                <w:rFonts w:ascii="Times New Roman" w:hAnsi="Times New Roman" w:cs="Times New Roman"/>
                <w:b/>
                <w:kern w:val="0"/>
                <w:sz w:val="21"/>
                <w:szCs w:val="21"/>
              </w:rPr>
              <w:t>监测内容</w:t>
            </w:r>
          </w:p>
        </w:tc>
        <w:tc>
          <w:tcPr>
            <w:tcW w:w="733" w:type="pct"/>
            <w:vAlign w:val="center"/>
          </w:tcPr>
          <w:p w:rsidR="004E3021" w:rsidRPr="00E7238D" w:rsidRDefault="00606E48" w:rsidP="00E7238D">
            <w:pPr>
              <w:pStyle w:val="afffffff2"/>
              <w:rPr>
                <w:rFonts w:ascii="Times New Roman" w:hAnsi="Times New Roman" w:cs="Times New Roman"/>
                <w:b/>
                <w:kern w:val="0"/>
                <w:sz w:val="21"/>
                <w:szCs w:val="21"/>
              </w:rPr>
            </w:pPr>
            <w:r w:rsidRPr="00E7238D">
              <w:rPr>
                <w:rFonts w:ascii="Times New Roman" w:hAnsi="Times New Roman" w:cs="Times New Roman"/>
                <w:b/>
                <w:kern w:val="0"/>
                <w:sz w:val="21"/>
                <w:szCs w:val="21"/>
              </w:rPr>
              <w:t>污染物名称</w:t>
            </w:r>
          </w:p>
        </w:tc>
        <w:tc>
          <w:tcPr>
            <w:tcW w:w="172" w:type="pct"/>
            <w:vAlign w:val="center"/>
          </w:tcPr>
          <w:p w:rsidR="004E3021" w:rsidRPr="00E7238D" w:rsidRDefault="00606E48" w:rsidP="00E7238D">
            <w:pPr>
              <w:pStyle w:val="afffffff2"/>
              <w:rPr>
                <w:rFonts w:ascii="Times New Roman" w:hAnsi="Times New Roman" w:cs="Times New Roman"/>
                <w:b/>
                <w:kern w:val="0"/>
                <w:sz w:val="21"/>
                <w:szCs w:val="21"/>
              </w:rPr>
            </w:pPr>
            <w:r w:rsidRPr="00E7238D">
              <w:rPr>
                <w:rFonts w:ascii="Times New Roman" w:hAnsi="Times New Roman" w:cs="Times New Roman"/>
                <w:b/>
                <w:kern w:val="0"/>
                <w:sz w:val="21"/>
                <w:szCs w:val="21"/>
              </w:rPr>
              <w:t>监测设施</w:t>
            </w:r>
          </w:p>
        </w:tc>
        <w:tc>
          <w:tcPr>
            <w:tcW w:w="211" w:type="pct"/>
            <w:vAlign w:val="center"/>
          </w:tcPr>
          <w:p w:rsidR="004E3021" w:rsidRPr="00E7238D" w:rsidRDefault="00606E48" w:rsidP="00E7238D">
            <w:pPr>
              <w:pStyle w:val="afffffff2"/>
              <w:rPr>
                <w:rFonts w:ascii="Times New Roman" w:hAnsi="Times New Roman" w:cs="Times New Roman"/>
                <w:b/>
                <w:kern w:val="0"/>
                <w:sz w:val="21"/>
                <w:szCs w:val="21"/>
              </w:rPr>
            </w:pPr>
            <w:r w:rsidRPr="00E7238D">
              <w:rPr>
                <w:rFonts w:ascii="Times New Roman" w:hAnsi="Times New Roman" w:cs="Times New Roman"/>
                <w:b/>
                <w:kern w:val="0"/>
                <w:sz w:val="21"/>
                <w:szCs w:val="21"/>
              </w:rPr>
              <w:t>自动监测是否联网</w:t>
            </w:r>
          </w:p>
        </w:tc>
        <w:tc>
          <w:tcPr>
            <w:tcW w:w="254" w:type="pct"/>
            <w:vAlign w:val="center"/>
          </w:tcPr>
          <w:p w:rsidR="004E3021" w:rsidRPr="00E7238D" w:rsidRDefault="00606E48" w:rsidP="00E7238D">
            <w:pPr>
              <w:pStyle w:val="afffffff2"/>
              <w:rPr>
                <w:rFonts w:ascii="Times New Roman" w:hAnsi="Times New Roman" w:cs="Times New Roman"/>
                <w:b/>
                <w:kern w:val="0"/>
                <w:sz w:val="21"/>
                <w:szCs w:val="21"/>
              </w:rPr>
            </w:pPr>
            <w:r w:rsidRPr="00E7238D">
              <w:rPr>
                <w:rFonts w:ascii="Times New Roman" w:hAnsi="Times New Roman" w:cs="Times New Roman"/>
                <w:b/>
                <w:kern w:val="0"/>
                <w:sz w:val="21"/>
                <w:szCs w:val="21"/>
              </w:rPr>
              <w:t>自动监测仪器名称</w:t>
            </w:r>
          </w:p>
        </w:tc>
        <w:tc>
          <w:tcPr>
            <w:tcW w:w="232" w:type="pct"/>
            <w:vAlign w:val="center"/>
          </w:tcPr>
          <w:p w:rsidR="004E3021" w:rsidRPr="00E7238D" w:rsidRDefault="00606E48" w:rsidP="00E7238D">
            <w:pPr>
              <w:pStyle w:val="afffffff2"/>
              <w:rPr>
                <w:rFonts w:ascii="Times New Roman" w:hAnsi="Times New Roman" w:cs="Times New Roman"/>
                <w:b/>
                <w:kern w:val="0"/>
                <w:sz w:val="21"/>
                <w:szCs w:val="21"/>
              </w:rPr>
            </w:pPr>
            <w:r w:rsidRPr="00E7238D">
              <w:rPr>
                <w:rFonts w:ascii="Times New Roman" w:hAnsi="Times New Roman" w:cs="Times New Roman"/>
                <w:b/>
                <w:kern w:val="0"/>
                <w:sz w:val="21"/>
                <w:szCs w:val="21"/>
              </w:rPr>
              <w:t>自动监测设施安装位置</w:t>
            </w:r>
          </w:p>
        </w:tc>
        <w:tc>
          <w:tcPr>
            <w:tcW w:w="415" w:type="pct"/>
            <w:vAlign w:val="center"/>
          </w:tcPr>
          <w:p w:rsidR="004E3021" w:rsidRPr="00E7238D" w:rsidRDefault="00606E48" w:rsidP="00E7238D">
            <w:pPr>
              <w:pStyle w:val="afffffff2"/>
              <w:rPr>
                <w:rFonts w:ascii="Times New Roman" w:hAnsi="Times New Roman" w:cs="Times New Roman"/>
                <w:b/>
                <w:kern w:val="0"/>
                <w:sz w:val="21"/>
                <w:szCs w:val="21"/>
              </w:rPr>
            </w:pPr>
            <w:r w:rsidRPr="00E7238D">
              <w:rPr>
                <w:rFonts w:ascii="Times New Roman" w:hAnsi="Times New Roman" w:cs="Times New Roman"/>
                <w:b/>
                <w:kern w:val="0"/>
                <w:sz w:val="21"/>
                <w:szCs w:val="21"/>
              </w:rPr>
              <w:t>自动监测设施是否符合安装、运行、维护等管理要求</w:t>
            </w:r>
          </w:p>
        </w:tc>
        <w:tc>
          <w:tcPr>
            <w:tcW w:w="246" w:type="pct"/>
            <w:vAlign w:val="center"/>
          </w:tcPr>
          <w:p w:rsidR="004E3021" w:rsidRPr="00E7238D" w:rsidRDefault="00606E48" w:rsidP="00E7238D">
            <w:pPr>
              <w:pStyle w:val="afffffff2"/>
              <w:rPr>
                <w:rFonts w:ascii="Times New Roman" w:hAnsi="Times New Roman" w:cs="Times New Roman"/>
                <w:b/>
                <w:kern w:val="0"/>
                <w:sz w:val="21"/>
                <w:szCs w:val="21"/>
                <w:highlight w:val="yellow"/>
              </w:rPr>
            </w:pPr>
            <w:r w:rsidRPr="00E7238D">
              <w:rPr>
                <w:rFonts w:ascii="Times New Roman" w:hAnsi="Times New Roman" w:cs="Times New Roman"/>
                <w:b/>
                <w:kern w:val="0"/>
                <w:sz w:val="21"/>
                <w:szCs w:val="21"/>
              </w:rPr>
              <w:t>手工监测采样方法及个数</w:t>
            </w:r>
          </w:p>
        </w:tc>
        <w:tc>
          <w:tcPr>
            <w:tcW w:w="241" w:type="pct"/>
            <w:vAlign w:val="center"/>
          </w:tcPr>
          <w:p w:rsidR="004E3021" w:rsidRPr="00E7238D" w:rsidRDefault="00606E48" w:rsidP="00E7238D">
            <w:pPr>
              <w:pStyle w:val="afffffff2"/>
              <w:rPr>
                <w:rFonts w:ascii="Times New Roman" w:hAnsi="Times New Roman" w:cs="Times New Roman"/>
                <w:b/>
                <w:kern w:val="0"/>
                <w:sz w:val="21"/>
                <w:szCs w:val="21"/>
              </w:rPr>
            </w:pPr>
            <w:r w:rsidRPr="00E7238D">
              <w:rPr>
                <w:rFonts w:ascii="Times New Roman" w:hAnsi="Times New Roman" w:cs="Times New Roman"/>
                <w:b/>
                <w:kern w:val="0"/>
                <w:sz w:val="21"/>
                <w:szCs w:val="21"/>
              </w:rPr>
              <w:t>手工监测频次</w:t>
            </w:r>
          </w:p>
        </w:tc>
        <w:tc>
          <w:tcPr>
            <w:tcW w:w="1008" w:type="pct"/>
            <w:vAlign w:val="center"/>
          </w:tcPr>
          <w:p w:rsidR="004E3021" w:rsidRPr="00E7238D" w:rsidRDefault="00606E48" w:rsidP="00E7238D">
            <w:pPr>
              <w:pStyle w:val="afffffff2"/>
              <w:rPr>
                <w:rFonts w:ascii="Times New Roman" w:hAnsi="Times New Roman" w:cs="Times New Roman"/>
                <w:b/>
                <w:kern w:val="0"/>
                <w:sz w:val="21"/>
                <w:szCs w:val="21"/>
              </w:rPr>
            </w:pPr>
            <w:r w:rsidRPr="00E7238D">
              <w:rPr>
                <w:rFonts w:ascii="Times New Roman" w:hAnsi="Times New Roman" w:cs="Times New Roman"/>
                <w:b/>
                <w:kern w:val="0"/>
                <w:sz w:val="21"/>
                <w:szCs w:val="21"/>
              </w:rPr>
              <w:t>手工测定方法</w:t>
            </w:r>
          </w:p>
        </w:tc>
        <w:tc>
          <w:tcPr>
            <w:tcW w:w="171" w:type="pct"/>
            <w:vAlign w:val="center"/>
          </w:tcPr>
          <w:p w:rsidR="004E3021" w:rsidRPr="00E7238D" w:rsidRDefault="00606E48" w:rsidP="00E7238D">
            <w:pPr>
              <w:pStyle w:val="afffffff2"/>
              <w:rPr>
                <w:rFonts w:ascii="Times New Roman" w:hAnsi="Times New Roman" w:cs="Times New Roman"/>
                <w:b/>
                <w:kern w:val="0"/>
                <w:sz w:val="21"/>
                <w:szCs w:val="21"/>
              </w:rPr>
            </w:pPr>
            <w:r w:rsidRPr="00E7238D">
              <w:rPr>
                <w:rFonts w:ascii="Times New Roman" w:hAnsi="Times New Roman" w:cs="Times New Roman"/>
                <w:b/>
                <w:kern w:val="0"/>
                <w:sz w:val="21"/>
                <w:szCs w:val="21"/>
              </w:rPr>
              <w:t>其他信息</w:t>
            </w:r>
          </w:p>
        </w:tc>
      </w:tr>
      <w:tr w:rsidR="004E3021" w:rsidRPr="00E7238D" w:rsidTr="002C01DC">
        <w:trPr>
          <w:trHeight w:val="648"/>
        </w:trPr>
        <w:tc>
          <w:tcPr>
            <w:tcW w:w="15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1</w:t>
            </w:r>
          </w:p>
        </w:tc>
        <w:tc>
          <w:tcPr>
            <w:tcW w:w="223"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废气</w:t>
            </w:r>
          </w:p>
        </w:tc>
        <w:tc>
          <w:tcPr>
            <w:tcW w:w="34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DA018</w:t>
            </w:r>
          </w:p>
        </w:tc>
        <w:tc>
          <w:tcPr>
            <w:tcW w:w="244"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18</w:t>
            </w:r>
          </w:p>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r w:rsidRPr="00E7238D">
              <w:rPr>
                <w:rFonts w:ascii="Times New Roman" w:hAnsi="Times New Roman" w:cs="Times New Roman"/>
                <w:kern w:val="0"/>
                <w:sz w:val="21"/>
                <w:szCs w:val="21"/>
              </w:rPr>
              <w:t>排放口</w:t>
            </w:r>
          </w:p>
        </w:tc>
        <w:tc>
          <w:tcPr>
            <w:tcW w:w="354"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烟气流速、烟气温度、烟道截面积</w:t>
            </w: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颗粒物</w:t>
            </w:r>
          </w:p>
        </w:tc>
        <w:tc>
          <w:tcPr>
            <w:tcW w:w="17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手工</w:t>
            </w:r>
          </w:p>
        </w:tc>
        <w:tc>
          <w:tcPr>
            <w:tcW w:w="21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54"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3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415"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46"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非连续采样至少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w:t>
            </w:r>
          </w:p>
        </w:tc>
        <w:tc>
          <w:tcPr>
            <w:tcW w:w="24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1</w:t>
            </w:r>
            <w:r w:rsidRPr="00E7238D">
              <w:rPr>
                <w:rFonts w:ascii="Times New Roman" w:hAnsi="Times New Roman" w:cs="Times New Roman"/>
                <w:kern w:val="0"/>
                <w:sz w:val="21"/>
                <w:szCs w:val="21"/>
              </w:rPr>
              <w:t>次</w:t>
            </w:r>
            <w:r w:rsidRPr="00E7238D">
              <w:rPr>
                <w:rFonts w:ascii="Times New Roman" w:hAnsi="Times New Roman" w:cs="Times New Roman"/>
                <w:kern w:val="0"/>
                <w:sz w:val="21"/>
                <w:szCs w:val="21"/>
              </w:rPr>
              <w:t>/</w:t>
            </w:r>
            <w:r w:rsidRPr="00E7238D">
              <w:rPr>
                <w:rFonts w:ascii="Times New Roman" w:hAnsi="Times New Roman" w:cs="Times New Roman"/>
                <w:kern w:val="0"/>
                <w:sz w:val="21"/>
                <w:szCs w:val="21"/>
              </w:rPr>
              <w:t>半年</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固定污染源排气中颗粒物测定与气态污染物采样方法</w:t>
            </w:r>
            <w:r w:rsidRPr="00E7238D">
              <w:rPr>
                <w:rFonts w:ascii="Times New Roman" w:hAnsi="Times New Roman" w:cs="Times New Roman"/>
                <w:kern w:val="0"/>
                <w:sz w:val="21"/>
                <w:szCs w:val="21"/>
              </w:rPr>
              <w:t>GB/T 16157</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2</w:t>
            </w: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restart"/>
            <w:vAlign w:val="center"/>
          </w:tcPr>
          <w:p w:rsidR="004E3021" w:rsidRPr="00E7238D" w:rsidRDefault="00606E48" w:rsidP="002C01DC">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DA0</w:t>
            </w:r>
            <w:r w:rsidR="002C01DC">
              <w:rPr>
                <w:rFonts w:ascii="Times New Roman" w:hAnsi="Times New Roman" w:cs="Times New Roman"/>
                <w:kern w:val="0"/>
                <w:sz w:val="21"/>
                <w:szCs w:val="21"/>
              </w:rPr>
              <w:t>21</w:t>
            </w:r>
          </w:p>
        </w:tc>
        <w:tc>
          <w:tcPr>
            <w:tcW w:w="244" w:type="pct"/>
            <w:vMerge w:val="restart"/>
            <w:vAlign w:val="center"/>
          </w:tcPr>
          <w:p w:rsidR="004E3021" w:rsidRPr="00E7238D" w:rsidRDefault="002C01DC" w:rsidP="00E7238D">
            <w:pPr>
              <w:pStyle w:val="afffffff2"/>
              <w:rPr>
                <w:rFonts w:ascii="Times New Roman" w:hAnsi="Times New Roman" w:cs="Times New Roman"/>
                <w:kern w:val="0"/>
                <w:sz w:val="21"/>
                <w:szCs w:val="21"/>
              </w:rPr>
            </w:pPr>
            <w:r>
              <w:rPr>
                <w:rFonts w:ascii="Times New Roman" w:hAnsi="Times New Roman" w:cs="Times New Roman"/>
                <w:kern w:val="0"/>
                <w:sz w:val="21"/>
                <w:szCs w:val="21"/>
              </w:rPr>
              <w:t>21</w:t>
            </w:r>
            <w:r w:rsidR="00606E48" w:rsidRPr="00E7238D">
              <w:rPr>
                <w:rFonts w:ascii="Times New Roman" w:hAnsi="Times New Roman" w:cs="Times New Roman"/>
                <w:kern w:val="0"/>
                <w:sz w:val="21"/>
                <w:szCs w:val="21"/>
              </w:rPr>
              <w:t>#</w:t>
            </w:r>
            <w:r w:rsidR="00606E48" w:rsidRPr="00E7238D">
              <w:rPr>
                <w:rFonts w:ascii="Times New Roman" w:hAnsi="Times New Roman" w:cs="Times New Roman"/>
                <w:kern w:val="0"/>
                <w:sz w:val="21"/>
                <w:szCs w:val="21"/>
              </w:rPr>
              <w:t>排放口</w:t>
            </w:r>
          </w:p>
        </w:tc>
        <w:tc>
          <w:tcPr>
            <w:tcW w:w="354"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烟气流速、烟气温度、烟道截面积</w:t>
            </w: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颗粒物</w:t>
            </w:r>
          </w:p>
        </w:tc>
        <w:tc>
          <w:tcPr>
            <w:tcW w:w="17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手工</w:t>
            </w:r>
          </w:p>
        </w:tc>
        <w:tc>
          <w:tcPr>
            <w:tcW w:w="21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54"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3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415"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46"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非连续采样至少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w:t>
            </w:r>
          </w:p>
        </w:tc>
        <w:tc>
          <w:tcPr>
            <w:tcW w:w="24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1</w:t>
            </w:r>
            <w:r w:rsidRPr="00E7238D">
              <w:rPr>
                <w:rFonts w:ascii="Times New Roman" w:hAnsi="Times New Roman" w:cs="Times New Roman"/>
                <w:kern w:val="0"/>
                <w:sz w:val="21"/>
                <w:szCs w:val="21"/>
              </w:rPr>
              <w:t>次</w:t>
            </w:r>
            <w:r w:rsidRPr="00E7238D">
              <w:rPr>
                <w:rFonts w:ascii="Times New Roman" w:hAnsi="Times New Roman" w:cs="Times New Roman"/>
                <w:kern w:val="0"/>
                <w:sz w:val="21"/>
                <w:szCs w:val="21"/>
              </w:rPr>
              <w:t>/</w:t>
            </w:r>
            <w:r w:rsidRPr="00E7238D">
              <w:rPr>
                <w:rFonts w:ascii="Times New Roman" w:hAnsi="Times New Roman" w:cs="Times New Roman"/>
                <w:kern w:val="0"/>
                <w:sz w:val="21"/>
                <w:szCs w:val="21"/>
              </w:rPr>
              <w:t>半年</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固定污染源排气中颗粒物测定与气态污染物采样方法</w:t>
            </w:r>
            <w:r w:rsidRPr="00E7238D">
              <w:rPr>
                <w:rFonts w:ascii="Times New Roman" w:hAnsi="Times New Roman" w:cs="Times New Roman"/>
                <w:kern w:val="0"/>
                <w:sz w:val="21"/>
                <w:szCs w:val="21"/>
              </w:rPr>
              <w:t>GB/T 16157</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甲醇</w:t>
            </w:r>
          </w:p>
        </w:tc>
        <w:tc>
          <w:tcPr>
            <w:tcW w:w="17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手工</w:t>
            </w:r>
          </w:p>
        </w:tc>
        <w:tc>
          <w:tcPr>
            <w:tcW w:w="21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54"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3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415"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46"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非连续采样至</w:t>
            </w:r>
            <w:r w:rsidRPr="00E7238D">
              <w:rPr>
                <w:rFonts w:ascii="Times New Roman" w:hAnsi="Times New Roman" w:cs="Times New Roman"/>
                <w:kern w:val="0"/>
                <w:sz w:val="21"/>
                <w:szCs w:val="21"/>
              </w:rPr>
              <w:lastRenderedPageBreak/>
              <w:t>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w:t>
            </w:r>
          </w:p>
        </w:tc>
        <w:tc>
          <w:tcPr>
            <w:tcW w:w="24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lastRenderedPageBreak/>
              <w:t>1</w:t>
            </w:r>
            <w:r w:rsidRPr="00E7238D">
              <w:rPr>
                <w:rFonts w:ascii="Times New Roman" w:hAnsi="Times New Roman" w:cs="Times New Roman"/>
                <w:kern w:val="0"/>
                <w:sz w:val="21"/>
                <w:szCs w:val="21"/>
              </w:rPr>
              <w:t>次</w:t>
            </w:r>
            <w:r w:rsidRPr="00E7238D">
              <w:rPr>
                <w:rFonts w:ascii="Times New Roman" w:hAnsi="Times New Roman" w:cs="Times New Roman"/>
                <w:kern w:val="0"/>
                <w:sz w:val="21"/>
                <w:szCs w:val="21"/>
              </w:rPr>
              <w:t>/</w:t>
            </w:r>
            <w:r w:rsidRPr="00E7238D">
              <w:rPr>
                <w:rFonts w:ascii="Times New Roman" w:hAnsi="Times New Roman" w:cs="Times New Roman"/>
                <w:kern w:val="0"/>
                <w:sz w:val="21"/>
                <w:szCs w:val="21"/>
              </w:rPr>
              <w:t>半年</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2C01DC" w:rsidRPr="00E7238D" w:rsidTr="002C01DC">
        <w:trPr>
          <w:trHeight w:val="648"/>
        </w:trPr>
        <w:tc>
          <w:tcPr>
            <w:tcW w:w="153" w:type="pct"/>
            <w:vMerge/>
            <w:vAlign w:val="center"/>
          </w:tcPr>
          <w:p w:rsidR="002C01DC" w:rsidRPr="00E7238D" w:rsidRDefault="002C01DC" w:rsidP="002C01DC">
            <w:pPr>
              <w:pStyle w:val="afffffff2"/>
              <w:rPr>
                <w:rFonts w:cs="Times New Roman"/>
                <w:kern w:val="0"/>
                <w:sz w:val="21"/>
                <w:szCs w:val="21"/>
              </w:rPr>
            </w:pPr>
          </w:p>
        </w:tc>
        <w:tc>
          <w:tcPr>
            <w:tcW w:w="223" w:type="pct"/>
            <w:vMerge/>
            <w:vAlign w:val="center"/>
          </w:tcPr>
          <w:p w:rsidR="002C01DC" w:rsidRPr="00E7238D" w:rsidRDefault="002C01DC" w:rsidP="002C01DC">
            <w:pPr>
              <w:pStyle w:val="afffffff2"/>
              <w:rPr>
                <w:rFonts w:cs="Times New Roman"/>
                <w:kern w:val="0"/>
                <w:sz w:val="21"/>
                <w:szCs w:val="21"/>
              </w:rPr>
            </w:pPr>
          </w:p>
        </w:tc>
        <w:tc>
          <w:tcPr>
            <w:tcW w:w="343" w:type="pct"/>
            <w:vMerge/>
            <w:vAlign w:val="center"/>
          </w:tcPr>
          <w:p w:rsidR="002C01DC" w:rsidRPr="00E7238D" w:rsidRDefault="002C01DC" w:rsidP="002C01DC">
            <w:pPr>
              <w:pStyle w:val="afffffff2"/>
              <w:rPr>
                <w:rFonts w:cs="Times New Roman"/>
                <w:kern w:val="0"/>
                <w:sz w:val="21"/>
                <w:szCs w:val="21"/>
              </w:rPr>
            </w:pPr>
          </w:p>
        </w:tc>
        <w:tc>
          <w:tcPr>
            <w:tcW w:w="244" w:type="pct"/>
            <w:vMerge/>
            <w:vAlign w:val="center"/>
          </w:tcPr>
          <w:p w:rsidR="002C01DC" w:rsidRPr="00E7238D" w:rsidRDefault="002C01DC" w:rsidP="002C01DC">
            <w:pPr>
              <w:pStyle w:val="afffffff2"/>
              <w:rPr>
                <w:rFonts w:cs="Times New Roman"/>
                <w:kern w:val="0"/>
                <w:sz w:val="21"/>
                <w:szCs w:val="21"/>
              </w:rPr>
            </w:pPr>
          </w:p>
        </w:tc>
        <w:tc>
          <w:tcPr>
            <w:tcW w:w="354" w:type="pct"/>
            <w:vMerge/>
            <w:vAlign w:val="center"/>
          </w:tcPr>
          <w:p w:rsidR="002C01DC" w:rsidRPr="00E7238D" w:rsidRDefault="002C01DC" w:rsidP="002C01DC">
            <w:pPr>
              <w:pStyle w:val="afffffff2"/>
              <w:rPr>
                <w:rFonts w:cs="Times New Roman"/>
                <w:kern w:val="0"/>
                <w:sz w:val="21"/>
                <w:szCs w:val="21"/>
              </w:rPr>
            </w:pPr>
          </w:p>
        </w:tc>
        <w:tc>
          <w:tcPr>
            <w:tcW w:w="733" w:type="pct"/>
            <w:vAlign w:val="center"/>
          </w:tcPr>
          <w:p w:rsidR="002C01DC" w:rsidRPr="00E7238D" w:rsidRDefault="002C01DC" w:rsidP="002C01DC">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氨</w:t>
            </w:r>
          </w:p>
        </w:tc>
        <w:tc>
          <w:tcPr>
            <w:tcW w:w="172" w:type="pct"/>
            <w:vAlign w:val="center"/>
          </w:tcPr>
          <w:p w:rsidR="002C01DC" w:rsidRPr="00E7238D" w:rsidRDefault="002C01DC" w:rsidP="002C01DC">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手工</w:t>
            </w:r>
          </w:p>
        </w:tc>
        <w:tc>
          <w:tcPr>
            <w:tcW w:w="211" w:type="pct"/>
            <w:vAlign w:val="center"/>
          </w:tcPr>
          <w:p w:rsidR="002C01DC" w:rsidRPr="00E7238D" w:rsidRDefault="002C01DC" w:rsidP="002C01DC">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54" w:type="pct"/>
            <w:vAlign w:val="center"/>
          </w:tcPr>
          <w:p w:rsidR="002C01DC" w:rsidRPr="00E7238D" w:rsidRDefault="002C01DC" w:rsidP="002C01DC">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32" w:type="pct"/>
            <w:vAlign w:val="center"/>
          </w:tcPr>
          <w:p w:rsidR="002C01DC" w:rsidRPr="00E7238D" w:rsidRDefault="002C01DC" w:rsidP="002C01DC">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415" w:type="pct"/>
            <w:vAlign w:val="center"/>
          </w:tcPr>
          <w:p w:rsidR="002C01DC" w:rsidRPr="00E7238D" w:rsidRDefault="002C01DC" w:rsidP="002C01DC">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46" w:type="pct"/>
            <w:vAlign w:val="center"/>
          </w:tcPr>
          <w:p w:rsidR="002C01DC" w:rsidRPr="00E7238D" w:rsidRDefault="002C01DC" w:rsidP="002C01DC">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非连续采样至少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w:t>
            </w:r>
          </w:p>
        </w:tc>
        <w:tc>
          <w:tcPr>
            <w:tcW w:w="241" w:type="pct"/>
            <w:vAlign w:val="center"/>
          </w:tcPr>
          <w:p w:rsidR="002C01DC" w:rsidRPr="00E7238D" w:rsidRDefault="002C01DC" w:rsidP="002C01DC">
            <w:pPr>
              <w:pStyle w:val="afffffff2"/>
              <w:rPr>
                <w:rFonts w:ascii="Times New Roman" w:hAnsi="Times New Roman" w:cs="Times New Roman"/>
                <w:color w:val="000000" w:themeColor="text1"/>
                <w:kern w:val="0"/>
                <w:sz w:val="21"/>
                <w:szCs w:val="21"/>
              </w:rPr>
            </w:pPr>
            <w:r w:rsidRPr="00E7238D">
              <w:rPr>
                <w:rFonts w:ascii="Times New Roman" w:hAnsi="Times New Roman" w:cs="Times New Roman"/>
                <w:color w:val="000000" w:themeColor="text1"/>
                <w:kern w:val="0"/>
                <w:sz w:val="21"/>
                <w:szCs w:val="21"/>
              </w:rPr>
              <w:t>1</w:t>
            </w:r>
            <w:r w:rsidRPr="00E7238D">
              <w:rPr>
                <w:rFonts w:ascii="Times New Roman" w:hAnsi="Times New Roman" w:cs="Times New Roman"/>
                <w:color w:val="000000" w:themeColor="text1"/>
                <w:kern w:val="0"/>
                <w:sz w:val="21"/>
                <w:szCs w:val="21"/>
              </w:rPr>
              <w:t>次</w:t>
            </w:r>
            <w:r w:rsidRPr="00E7238D">
              <w:rPr>
                <w:rFonts w:ascii="Times New Roman" w:hAnsi="Times New Roman" w:cs="Times New Roman"/>
                <w:color w:val="000000" w:themeColor="text1"/>
                <w:kern w:val="0"/>
                <w:sz w:val="21"/>
                <w:szCs w:val="21"/>
              </w:rPr>
              <w:t>/</w:t>
            </w:r>
            <w:r w:rsidRPr="00E7238D">
              <w:rPr>
                <w:rFonts w:ascii="Times New Roman" w:hAnsi="Times New Roman" w:cs="Times New Roman"/>
                <w:color w:val="000000" w:themeColor="text1"/>
                <w:kern w:val="0"/>
                <w:sz w:val="21"/>
                <w:szCs w:val="21"/>
              </w:rPr>
              <w:t>半年</w:t>
            </w:r>
          </w:p>
        </w:tc>
        <w:tc>
          <w:tcPr>
            <w:tcW w:w="1008" w:type="pct"/>
            <w:vAlign w:val="center"/>
          </w:tcPr>
          <w:p w:rsidR="002C01DC" w:rsidRPr="00E7238D" w:rsidRDefault="002C01DC" w:rsidP="002C01DC">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空气和废气</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氨的测定</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纳氏试剂分光光度法</w:t>
            </w:r>
            <w:r w:rsidRPr="00E7238D">
              <w:rPr>
                <w:rFonts w:ascii="Times New Roman" w:hAnsi="Times New Roman" w:cs="Times New Roman"/>
                <w:kern w:val="0"/>
                <w:sz w:val="21"/>
                <w:szCs w:val="21"/>
              </w:rPr>
              <w:t xml:space="preserve"> HJ 533-2009</w:t>
            </w:r>
          </w:p>
        </w:tc>
        <w:tc>
          <w:tcPr>
            <w:tcW w:w="171" w:type="pct"/>
            <w:vAlign w:val="center"/>
          </w:tcPr>
          <w:p w:rsidR="002C01DC" w:rsidRPr="00E7238D" w:rsidRDefault="002C01DC" w:rsidP="002C01DC">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非甲烷总烃</w:t>
            </w:r>
          </w:p>
        </w:tc>
        <w:tc>
          <w:tcPr>
            <w:tcW w:w="17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手工</w:t>
            </w:r>
          </w:p>
        </w:tc>
        <w:tc>
          <w:tcPr>
            <w:tcW w:w="21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54"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3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415"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46"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非连续采样至少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w:t>
            </w:r>
          </w:p>
        </w:tc>
        <w:tc>
          <w:tcPr>
            <w:tcW w:w="241" w:type="pct"/>
            <w:vAlign w:val="center"/>
          </w:tcPr>
          <w:p w:rsidR="004E3021" w:rsidRPr="00E7238D" w:rsidRDefault="00606E48" w:rsidP="00E7238D">
            <w:pPr>
              <w:pStyle w:val="afffffff2"/>
              <w:rPr>
                <w:rFonts w:ascii="Times New Roman" w:hAnsi="Times New Roman" w:cs="Times New Roman"/>
                <w:color w:val="000000" w:themeColor="text1"/>
                <w:kern w:val="0"/>
                <w:sz w:val="21"/>
                <w:szCs w:val="21"/>
              </w:rPr>
            </w:pPr>
            <w:r w:rsidRPr="00E7238D">
              <w:rPr>
                <w:rFonts w:ascii="Times New Roman" w:hAnsi="Times New Roman" w:cs="Times New Roman"/>
                <w:color w:val="000000" w:themeColor="text1"/>
                <w:kern w:val="0"/>
                <w:sz w:val="21"/>
                <w:szCs w:val="21"/>
              </w:rPr>
              <w:t>1</w:t>
            </w:r>
            <w:r w:rsidRPr="00E7238D">
              <w:rPr>
                <w:rFonts w:ascii="Times New Roman" w:hAnsi="Times New Roman" w:cs="Times New Roman"/>
                <w:color w:val="000000" w:themeColor="text1"/>
                <w:kern w:val="0"/>
                <w:sz w:val="21"/>
                <w:szCs w:val="21"/>
              </w:rPr>
              <w:t>次</w:t>
            </w:r>
            <w:r w:rsidRPr="00E7238D">
              <w:rPr>
                <w:rFonts w:ascii="Times New Roman" w:hAnsi="Times New Roman" w:cs="Times New Roman"/>
                <w:color w:val="000000" w:themeColor="text1"/>
                <w:kern w:val="0"/>
                <w:sz w:val="21"/>
                <w:szCs w:val="21"/>
              </w:rPr>
              <w:t>/</w:t>
            </w:r>
            <w:r w:rsidRPr="00E7238D">
              <w:rPr>
                <w:rFonts w:ascii="Times New Roman" w:hAnsi="Times New Roman" w:cs="Times New Roman"/>
                <w:color w:val="000000" w:themeColor="text1"/>
                <w:kern w:val="0"/>
                <w:sz w:val="21"/>
                <w:szCs w:val="21"/>
              </w:rPr>
              <w:t>半年</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《固定污染源废气总烃、甲烷和非甲烷总烃的测定气象色谱法》（</w:t>
            </w:r>
            <w:r w:rsidRPr="00E7238D">
              <w:rPr>
                <w:rFonts w:ascii="Times New Roman" w:hAnsi="Times New Roman" w:cs="Times New Roman"/>
                <w:kern w:val="0"/>
                <w:sz w:val="21"/>
                <w:szCs w:val="21"/>
              </w:rPr>
              <w:t>HJ/T38-2017</w:t>
            </w:r>
            <w:r w:rsidRPr="00E7238D">
              <w:rPr>
                <w:rFonts w:ascii="Times New Roman" w:hAnsi="Times New Roman" w:cs="Times New Roman"/>
                <w:kern w:val="0"/>
                <w:sz w:val="21"/>
                <w:szCs w:val="21"/>
              </w:rPr>
              <w:t>）</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3</w:t>
            </w: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DA020</w:t>
            </w:r>
          </w:p>
        </w:tc>
        <w:tc>
          <w:tcPr>
            <w:tcW w:w="244"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20#</w:t>
            </w:r>
            <w:r w:rsidRPr="00E7238D">
              <w:rPr>
                <w:rFonts w:ascii="Times New Roman" w:hAnsi="Times New Roman" w:cs="Times New Roman"/>
                <w:kern w:val="0"/>
                <w:sz w:val="21"/>
                <w:szCs w:val="21"/>
              </w:rPr>
              <w:t>排放口</w:t>
            </w:r>
          </w:p>
        </w:tc>
        <w:tc>
          <w:tcPr>
            <w:tcW w:w="354"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烟气流速、烟气温度、烟道截面积</w:t>
            </w: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甲醇</w:t>
            </w:r>
          </w:p>
        </w:tc>
        <w:tc>
          <w:tcPr>
            <w:tcW w:w="17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手工</w:t>
            </w:r>
          </w:p>
        </w:tc>
        <w:tc>
          <w:tcPr>
            <w:tcW w:w="21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54"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3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415"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46"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非连续采样至少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w:t>
            </w:r>
          </w:p>
        </w:tc>
        <w:tc>
          <w:tcPr>
            <w:tcW w:w="241" w:type="pct"/>
            <w:vAlign w:val="center"/>
          </w:tcPr>
          <w:p w:rsidR="004E3021" w:rsidRPr="00E7238D" w:rsidRDefault="00606E48" w:rsidP="00E7238D">
            <w:pPr>
              <w:pStyle w:val="afffffff2"/>
              <w:rPr>
                <w:rFonts w:ascii="Times New Roman" w:hAnsi="Times New Roman" w:cs="Times New Roman"/>
                <w:color w:val="000000" w:themeColor="text1"/>
                <w:kern w:val="0"/>
                <w:sz w:val="21"/>
                <w:szCs w:val="21"/>
              </w:rPr>
            </w:pPr>
            <w:r w:rsidRPr="00E7238D">
              <w:rPr>
                <w:rFonts w:ascii="Times New Roman" w:hAnsi="Times New Roman" w:cs="Times New Roman"/>
                <w:color w:val="000000" w:themeColor="text1"/>
                <w:kern w:val="0"/>
                <w:sz w:val="21"/>
                <w:szCs w:val="21"/>
              </w:rPr>
              <w:t>1</w:t>
            </w:r>
            <w:r w:rsidRPr="00E7238D">
              <w:rPr>
                <w:rFonts w:ascii="Times New Roman" w:hAnsi="Times New Roman" w:cs="Times New Roman"/>
                <w:color w:val="000000" w:themeColor="text1"/>
                <w:kern w:val="0"/>
                <w:sz w:val="21"/>
                <w:szCs w:val="21"/>
              </w:rPr>
              <w:t>次</w:t>
            </w:r>
            <w:r w:rsidRPr="00E7238D">
              <w:rPr>
                <w:rFonts w:ascii="Times New Roman" w:hAnsi="Times New Roman" w:cs="Times New Roman"/>
                <w:color w:val="000000" w:themeColor="text1"/>
                <w:kern w:val="0"/>
                <w:sz w:val="21"/>
                <w:szCs w:val="21"/>
              </w:rPr>
              <w:t>/</w:t>
            </w:r>
            <w:r w:rsidRPr="00E7238D">
              <w:rPr>
                <w:rFonts w:ascii="Times New Roman" w:hAnsi="Times New Roman" w:cs="Times New Roman"/>
                <w:color w:val="000000" w:themeColor="text1"/>
                <w:kern w:val="0"/>
                <w:sz w:val="21"/>
                <w:szCs w:val="21"/>
              </w:rPr>
              <w:t>半年</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非甲烷总烃</w:t>
            </w:r>
          </w:p>
        </w:tc>
        <w:tc>
          <w:tcPr>
            <w:tcW w:w="17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手工</w:t>
            </w:r>
          </w:p>
        </w:tc>
        <w:tc>
          <w:tcPr>
            <w:tcW w:w="21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54"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3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415"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46"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非连续采样至少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w:t>
            </w:r>
          </w:p>
        </w:tc>
        <w:tc>
          <w:tcPr>
            <w:tcW w:w="241" w:type="pct"/>
            <w:vAlign w:val="center"/>
          </w:tcPr>
          <w:p w:rsidR="004E3021" w:rsidRPr="00E7238D" w:rsidRDefault="00606E48" w:rsidP="00E7238D">
            <w:pPr>
              <w:pStyle w:val="afffffff2"/>
              <w:rPr>
                <w:rFonts w:ascii="Times New Roman" w:hAnsi="Times New Roman" w:cs="Times New Roman"/>
                <w:color w:val="000000" w:themeColor="text1"/>
                <w:kern w:val="0"/>
                <w:sz w:val="21"/>
                <w:szCs w:val="21"/>
              </w:rPr>
            </w:pPr>
            <w:r w:rsidRPr="00E7238D">
              <w:rPr>
                <w:rFonts w:ascii="Times New Roman" w:hAnsi="Times New Roman" w:cs="Times New Roman"/>
                <w:color w:val="000000" w:themeColor="text1"/>
                <w:kern w:val="0"/>
                <w:sz w:val="21"/>
                <w:szCs w:val="21"/>
              </w:rPr>
              <w:t>1</w:t>
            </w:r>
            <w:r w:rsidRPr="00E7238D">
              <w:rPr>
                <w:rFonts w:ascii="Times New Roman" w:hAnsi="Times New Roman" w:cs="Times New Roman"/>
                <w:color w:val="000000" w:themeColor="text1"/>
                <w:kern w:val="0"/>
                <w:sz w:val="21"/>
                <w:szCs w:val="21"/>
              </w:rPr>
              <w:t>次</w:t>
            </w:r>
            <w:r w:rsidRPr="00E7238D">
              <w:rPr>
                <w:rFonts w:ascii="Times New Roman" w:hAnsi="Times New Roman" w:cs="Times New Roman"/>
                <w:color w:val="000000" w:themeColor="text1"/>
                <w:kern w:val="0"/>
                <w:sz w:val="21"/>
                <w:szCs w:val="21"/>
              </w:rPr>
              <w:t>/</w:t>
            </w:r>
            <w:r w:rsidRPr="00E7238D">
              <w:rPr>
                <w:rFonts w:ascii="Times New Roman" w:hAnsi="Times New Roman" w:cs="Times New Roman"/>
                <w:color w:val="000000" w:themeColor="text1"/>
                <w:kern w:val="0"/>
                <w:sz w:val="21"/>
                <w:szCs w:val="21"/>
              </w:rPr>
              <w:t>半年</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《固定污染源废气总烃、甲烷和非甲烷总烃的测定气象色谱法》（</w:t>
            </w:r>
            <w:r w:rsidRPr="00E7238D">
              <w:rPr>
                <w:rFonts w:ascii="Times New Roman" w:hAnsi="Times New Roman" w:cs="Times New Roman"/>
                <w:kern w:val="0"/>
                <w:sz w:val="21"/>
                <w:szCs w:val="21"/>
              </w:rPr>
              <w:t>HJ/T38-2017</w:t>
            </w:r>
            <w:r w:rsidRPr="00E7238D">
              <w:rPr>
                <w:rFonts w:ascii="Times New Roman" w:hAnsi="Times New Roman" w:cs="Times New Roman"/>
                <w:kern w:val="0"/>
                <w:sz w:val="21"/>
                <w:szCs w:val="21"/>
              </w:rPr>
              <w:t>）</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4</w:t>
            </w: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restart"/>
            <w:vAlign w:val="center"/>
          </w:tcPr>
          <w:p w:rsidR="004E3021" w:rsidRPr="00E7238D" w:rsidRDefault="00606E48" w:rsidP="001462D2">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DA0</w:t>
            </w:r>
            <w:r w:rsidR="001462D2">
              <w:rPr>
                <w:rFonts w:ascii="Times New Roman" w:hAnsi="Times New Roman" w:cs="Times New Roman"/>
                <w:kern w:val="0"/>
                <w:sz w:val="21"/>
                <w:szCs w:val="21"/>
              </w:rPr>
              <w:t>34</w:t>
            </w:r>
          </w:p>
        </w:tc>
        <w:tc>
          <w:tcPr>
            <w:tcW w:w="244" w:type="pct"/>
            <w:vMerge w:val="restart"/>
            <w:vAlign w:val="center"/>
          </w:tcPr>
          <w:p w:rsidR="004E3021" w:rsidRPr="00E7238D" w:rsidRDefault="001462D2" w:rsidP="00E7238D">
            <w:pPr>
              <w:pStyle w:val="afffffff2"/>
              <w:rPr>
                <w:rFonts w:ascii="Times New Roman" w:hAnsi="Times New Roman" w:cs="Times New Roman"/>
                <w:kern w:val="0"/>
                <w:sz w:val="21"/>
                <w:szCs w:val="21"/>
              </w:rPr>
            </w:pPr>
            <w:r>
              <w:rPr>
                <w:rFonts w:ascii="Times New Roman" w:hAnsi="Times New Roman" w:cs="Times New Roman"/>
                <w:kern w:val="0"/>
                <w:sz w:val="21"/>
                <w:szCs w:val="21"/>
              </w:rPr>
              <w:t>34</w:t>
            </w:r>
            <w:r w:rsidR="00606E48" w:rsidRPr="00E7238D">
              <w:rPr>
                <w:rFonts w:ascii="Times New Roman" w:hAnsi="Times New Roman" w:cs="Times New Roman"/>
                <w:kern w:val="0"/>
                <w:sz w:val="21"/>
                <w:szCs w:val="21"/>
              </w:rPr>
              <w:t>#</w:t>
            </w:r>
            <w:r w:rsidR="00606E48" w:rsidRPr="00E7238D">
              <w:rPr>
                <w:rFonts w:ascii="Times New Roman" w:hAnsi="Times New Roman" w:cs="Times New Roman"/>
                <w:kern w:val="0"/>
                <w:sz w:val="21"/>
                <w:szCs w:val="21"/>
              </w:rPr>
              <w:t>排放口</w:t>
            </w:r>
          </w:p>
        </w:tc>
        <w:tc>
          <w:tcPr>
            <w:tcW w:w="354"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烟气流速、烟</w:t>
            </w:r>
            <w:r w:rsidRPr="00E7238D">
              <w:rPr>
                <w:rFonts w:ascii="Times New Roman" w:hAnsi="Times New Roman" w:cs="Times New Roman"/>
                <w:kern w:val="0"/>
                <w:sz w:val="21"/>
                <w:szCs w:val="21"/>
              </w:rPr>
              <w:lastRenderedPageBreak/>
              <w:t>气温度、烟道截面积</w:t>
            </w: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lastRenderedPageBreak/>
              <w:t>甲醇</w:t>
            </w:r>
          </w:p>
        </w:tc>
        <w:tc>
          <w:tcPr>
            <w:tcW w:w="17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手工</w:t>
            </w:r>
          </w:p>
        </w:tc>
        <w:tc>
          <w:tcPr>
            <w:tcW w:w="21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54"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3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415"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46"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非连续采</w:t>
            </w:r>
            <w:r w:rsidRPr="00E7238D">
              <w:rPr>
                <w:rFonts w:ascii="Times New Roman" w:hAnsi="Times New Roman" w:cs="Times New Roman"/>
                <w:kern w:val="0"/>
                <w:sz w:val="21"/>
                <w:szCs w:val="21"/>
              </w:rPr>
              <w:lastRenderedPageBreak/>
              <w:t>样至少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w:t>
            </w:r>
          </w:p>
        </w:tc>
        <w:tc>
          <w:tcPr>
            <w:tcW w:w="241" w:type="pct"/>
            <w:vAlign w:val="center"/>
          </w:tcPr>
          <w:p w:rsidR="004E3021" w:rsidRPr="00E7238D" w:rsidRDefault="00606E48" w:rsidP="00E7238D">
            <w:pPr>
              <w:pStyle w:val="afffffff2"/>
              <w:rPr>
                <w:rFonts w:ascii="Times New Roman" w:hAnsi="Times New Roman" w:cs="Times New Roman"/>
                <w:color w:val="000000" w:themeColor="text1"/>
                <w:kern w:val="0"/>
                <w:sz w:val="21"/>
                <w:szCs w:val="21"/>
              </w:rPr>
            </w:pPr>
            <w:r w:rsidRPr="00E7238D">
              <w:rPr>
                <w:rFonts w:ascii="Times New Roman" w:hAnsi="Times New Roman" w:cs="Times New Roman"/>
                <w:color w:val="000000" w:themeColor="text1"/>
                <w:kern w:val="0"/>
                <w:sz w:val="21"/>
                <w:szCs w:val="21"/>
              </w:rPr>
              <w:lastRenderedPageBreak/>
              <w:t>1</w:t>
            </w:r>
            <w:r w:rsidRPr="00E7238D">
              <w:rPr>
                <w:rFonts w:ascii="Times New Roman" w:hAnsi="Times New Roman" w:cs="Times New Roman"/>
                <w:color w:val="000000" w:themeColor="text1"/>
                <w:kern w:val="0"/>
                <w:sz w:val="21"/>
                <w:szCs w:val="21"/>
              </w:rPr>
              <w:t>次</w:t>
            </w:r>
            <w:r w:rsidRPr="00E7238D">
              <w:rPr>
                <w:rFonts w:ascii="Times New Roman" w:hAnsi="Times New Roman" w:cs="Times New Roman"/>
                <w:color w:val="000000" w:themeColor="text1"/>
                <w:kern w:val="0"/>
                <w:sz w:val="21"/>
                <w:szCs w:val="21"/>
              </w:rPr>
              <w:t>/</w:t>
            </w:r>
            <w:r w:rsidRPr="00E7238D">
              <w:rPr>
                <w:rFonts w:ascii="Times New Roman" w:hAnsi="Times New Roman" w:cs="Times New Roman"/>
                <w:color w:val="000000" w:themeColor="text1"/>
                <w:kern w:val="0"/>
                <w:sz w:val="21"/>
                <w:szCs w:val="21"/>
              </w:rPr>
              <w:t>半年</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非甲烷总烃</w:t>
            </w:r>
          </w:p>
        </w:tc>
        <w:tc>
          <w:tcPr>
            <w:tcW w:w="17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手工</w:t>
            </w:r>
          </w:p>
        </w:tc>
        <w:tc>
          <w:tcPr>
            <w:tcW w:w="21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54"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3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415"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46"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非连续采样至少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w:t>
            </w:r>
          </w:p>
        </w:tc>
        <w:tc>
          <w:tcPr>
            <w:tcW w:w="241" w:type="pct"/>
            <w:vAlign w:val="center"/>
          </w:tcPr>
          <w:p w:rsidR="004E3021" w:rsidRPr="00E7238D" w:rsidRDefault="00606E48" w:rsidP="00E7238D">
            <w:pPr>
              <w:pStyle w:val="afffffff2"/>
              <w:rPr>
                <w:rFonts w:ascii="Times New Roman" w:hAnsi="Times New Roman" w:cs="Times New Roman"/>
                <w:color w:val="000000" w:themeColor="text1"/>
                <w:kern w:val="0"/>
                <w:sz w:val="21"/>
                <w:szCs w:val="21"/>
              </w:rPr>
            </w:pPr>
            <w:r w:rsidRPr="00E7238D">
              <w:rPr>
                <w:rFonts w:ascii="Times New Roman" w:hAnsi="Times New Roman" w:cs="Times New Roman"/>
                <w:color w:val="000000" w:themeColor="text1"/>
                <w:kern w:val="0"/>
                <w:sz w:val="21"/>
                <w:szCs w:val="21"/>
              </w:rPr>
              <w:t>1</w:t>
            </w:r>
            <w:r w:rsidRPr="00E7238D">
              <w:rPr>
                <w:rFonts w:ascii="Times New Roman" w:hAnsi="Times New Roman" w:cs="Times New Roman"/>
                <w:color w:val="000000" w:themeColor="text1"/>
                <w:kern w:val="0"/>
                <w:sz w:val="21"/>
                <w:szCs w:val="21"/>
              </w:rPr>
              <w:t>次</w:t>
            </w:r>
            <w:r w:rsidRPr="00E7238D">
              <w:rPr>
                <w:rFonts w:ascii="Times New Roman" w:hAnsi="Times New Roman" w:cs="Times New Roman"/>
                <w:color w:val="000000" w:themeColor="text1"/>
                <w:kern w:val="0"/>
                <w:sz w:val="21"/>
                <w:szCs w:val="21"/>
              </w:rPr>
              <w:t>/</w:t>
            </w:r>
            <w:r w:rsidRPr="00E7238D">
              <w:rPr>
                <w:rFonts w:ascii="Times New Roman" w:hAnsi="Times New Roman" w:cs="Times New Roman"/>
                <w:color w:val="000000" w:themeColor="text1"/>
                <w:kern w:val="0"/>
                <w:sz w:val="21"/>
                <w:szCs w:val="21"/>
              </w:rPr>
              <w:t>半年</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《固定污染源废气总烃、甲烷和非甲烷总烃的测定气象色谱法》（</w:t>
            </w:r>
            <w:r w:rsidRPr="00E7238D">
              <w:rPr>
                <w:rFonts w:ascii="Times New Roman" w:hAnsi="Times New Roman" w:cs="Times New Roman"/>
                <w:kern w:val="0"/>
                <w:sz w:val="21"/>
                <w:szCs w:val="21"/>
              </w:rPr>
              <w:t>HJ/T38-2017</w:t>
            </w:r>
            <w:r w:rsidRPr="00E7238D">
              <w:rPr>
                <w:rFonts w:ascii="Times New Roman" w:hAnsi="Times New Roman" w:cs="Times New Roman"/>
                <w:kern w:val="0"/>
                <w:sz w:val="21"/>
                <w:szCs w:val="21"/>
              </w:rPr>
              <w:t>）</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5</w:t>
            </w: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restart"/>
            <w:vAlign w:val="center"/>
          </w:tcPr>
          <w:p w:rsidR="004E3021" w:rsidRPr="00E7238D" w:rsidRDefault="00606E48" w:rsidP="001462D2">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DA0</w:t>
            </w:r>
            <w:r w:rsidR="001462D2">
              <w:rPr>
                <w:rFonts w:ascii="Times New Roman" w:hAnsi="Times New Roman" w:cs="Times New Roman"/>
                <w:kern w:val="0"/>
                <w:sz w:val="21"/>
                <w:szCs w:val="21"/>
              </w:rPr>
              <w:t>35</w:t>
            </w:r>
          </w:p>
        </w:tc>
        <w:tc>
          <w:tcPr>
            <w:tcW w:w="244" w:type="pct"/>
            <w:vMerge w:val="restart"/>
            <w:vAlign w:val="center"/>
          </w:tcPr>
          <w:p w:rsidR="004E3021" w:rsidRPr="00E7238D" w:rsidRDefault="001462D2" w:rsidP="00E7238D">
            <w:pPr>
              <w:pStyle w:val="afffffff2"/>
              <w:rPr>
                <w:rFonts w:ascii="Times New Roman" w:hAnsi="Times New Roman" w:cs="Times New Roman"/>
                <w:kern w:val="0"/>
                <w:sz w:val="21"/>
                <w:szCs w:val="21"/>
              </w:rPr>
            </w:pPr>
            <w:r>
              <w:rPr>
                <w:rFonts w:ascii="Times New Roman" w:hAnsi="Times New Roman" w:cs="Times New Roman"/>
                <w:kern w:val="0"/>
                <w:sz w:val="21"/>
                <w:szCs w:val="21"/>
              </w:rPr>
              <w:t>35</w:t>
            </w:r>
            <w:r w:rsidR="00606E48" w:rsidRPr="00E7238D">
              <w:rPr>
                <w:rFonts w:ascii="Times New Roman" w:hAnsi="Times New Roman" w:cs="Times New Roman"/>
                <w:kern w:val="0"/>
                <w:sz w:val="21"/>
                <w:szCs w:val="21"/>
              </w:rPr>
              <w:t>#</w:t>
            </w:r>
            <w:r w:rsidR="00606E48" w:rsidRPr="00E7238D">
              <w:rPr>
                <w:rFonts w:ascii="Times New Roman" w:hAnsi="Times New Roman" w:cs="Times New Roman"/>
                <w:kern w:val="0"/>
                <w:sz w:val="21"/>
                <w:szCs w:val="21"/>
              </w:rPr>
              <w:t>排放口</w:t>
            </w:r>
          </w:p>
        </w:tc>
        <w:tc>
          <w:tcPr>
            <w:tcW w:w="354"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烟气流速、烟气温度、烟道截面积</w:t>
            </w: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甲醇</w:t>
            </w:r>
          </w:p>
        </w:tc>
        <w:tc>
          <w:tcPr>
            <w:tcW w:w="17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手工</w:t>
            </w:r>
          </w:p>
        </w:tc>
        <w:tc>
          <w:tcPr>
            <w:tcW w:w="21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54"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3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415"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46"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非连续采样至少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w:t>
            </w:r>
          </w:p>
        </w:tc>
        <w:tc>
          <w:tcPr>
            <w:tcW w:w="241" w:type="pct"/>
            <w:vAlign w:val="center"/>
          </w:tcPr>
          <w:p w:rsidR="004E3021" w:rsidRPr="00E7238D" w:rsidRDefault="00606E48" w:rsidP="00E7238D">
            <w:pPr>
              <w:pStyle w:val="afffffff2"/>
              <w:rPr>
                <w:rFonts w:ascii="Times New Roman" w:hAnsi="Times New Roman" w:cs="Times New Roman"/>
                <w:color w:val="000000" w:themeColor="text1"/>
                <w:kern w:val="0"/>
                <w:sz w:val="21"/>
                <w:szCs w:val="21"/>
              </w:rPr>
            </w:pPr>
            <w:r w:rsidRPr="00E7238D">
              <w:rPr>
                <w:rFonts w:ascii="Times New Roman" w:hAnsi="Times New Roman" w:cs="Times New Roman"/>
                <w:color w:val="000000" w:themeColor="text1"/>
                <w:kern w:val="0"/>
                <w:sz w:val="21"/>
                <w:szCs w:val="21"/>
              </w:rPr>
              <w:t>1</w:t>
            </w:r>
            <w:r w:rsidRPr="00E7238D">
              <w:rPr>
                <w:rFonts w:ascii="Times New Roman" w:hAnsi="Times New Roman" w:cs="Times New Roman"/>
                <w:color w:val="000000" w:themeColor="text1"/>
                <w:kern w:val="0"/>
                <w:sz w:val="21"/>
                <w:szCs w:val="21"/>
              </w:rPr>
              <w:t>次</w:t>
            </w:r>
            <w:r w:rsidRPr="00E7238D">
              <w:rPr>
                <w:rFonts w:ascii="Times New Roman" w:hAnsi="Times New Roman" w:cs="Times New Roman"/>
                <w:color w:val="000000" w:themeColor="text1"/>
                <w:kern w:val="0"/>
                <w:sz w:val="21"/>
                <w:szCs w:val="21"/>
              </w:rPr>
              <w:t>/</w:t>
            </w:r>
            <w:r w:rsidRPr="00E7238D">
              <w:rPr>
                <w:rFonts w:ascii="Times New Roman" w:hAnsi="Times New Roman" w:cs="Times New Roman"/>
                <w:color w:val="000000" w:themeColor="text1"/>
                <w:kern w:val="0"/>
                <w:sz w:val="21"/>
                <w:szCs w:val="21"/>
              </w:rPr>
              <w:t>半年</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非甲烷总烃</w:t>
            </w:r>
          </w:p>
        </w:tc>
        <w:tc>
          <w:tcPr>
            <w:tcW w:w="17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手工</w:t>
            </w:r>
          </w:p>
        </w:tc>
        <w:tc>
          <w:tcPr>
            <w:tcW w:w="21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54"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3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415"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46"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非连续采样至少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w:t>
            </w:r>
          </w:p>
        </w:tc>
        <w:tc>
          <w:tcPr>
            <w:tcW w:w="241" w:type="pct"/>
            <w:vAlign w:val="center"/>
          </w:tcPr>
          <w:p w:rsidR="004E3021" w:rsidRPr="00E7238D" w:rsidRDefault="00606E48" w:rsidP="00E7238D">
            <w:pPr>
              <w:pStyle w:val="afffffff2"/>
              <w:rPr>
                <w:rFonts w:ascii="Times New Roman" w:hAnsi="Times New Roman" w:cs="Times New Roman"/>
                <w:color w:val="000000" w:themeColor="text1"/>
                <w:kern w:val="0"/>
                <w:sz w:val="21"/>
                <w:szCs w:val="21"/>
              </w:rPr>
            </w:pPr>
            <w:r w:rsidRPr="00E7238D">
              <w:rPr>
                <w:rFonts w:ascii="Times New Roman" w:hAnsi="Times New Roman" w:cs="Times New Roman"/>
                <w:color w:val="000000" w:themeColor="text1"/>
                <w:kern w:val="0"/>
                <w:sz w:val="21"/>
                <w:szCs w:val="21"/>
              </w:rPr>
              <w:t>1</w:t>
            </w:r>
            <w:r w:rsidRPr="00E7238D">
              <w:rPr>
                <w:rFonts w:ascii="Times New Roman" w:hAnsi="Times New Roman" w:cs="Times New Roman"/>
                <w:color w:val="000000" w:themeColor="text1"/>
                <w:kern w:val="0"/>
                <w:sz w:val="21"/>
                <w:szCs w:val="21"/>
              </w:rPr>
              <w:t>次</w:t>
            </w:r>
            <w:r w:rsidRPr="00E7238D">
              <w:rPr>
                <w:rFonts w:ascii="Times New Roman" w:hAnsi="Times New Roman" w:cs="Times New Roman"/>
                <w:color w:val="000000" w:themeColor="text1"/>
                <w:kern w:val="0"/>
                <w:sz w:val="21"/>
                <w:szCs w:val="21"/>
              </w:rPr>
              <w:t>/</w:t>
            </w:r>
            <w:r w:rsidRPr="00E7238D">
              <w:rPr>
                <w:rFonts w:ascii="Times New Roman" w:hAnsi="Times New Roman" w:cs="Times New Roman"/>
                <w:color w:val="000000" w:themeColor="text1"/>
                <w:kern w:val="0"/>
                <w:sz w:val="21"/>
                <w:szCs w:val="21"/>
              </w:rPr>
              <w:t>半年</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《固定污染源废气总烃、甲烷和非甲烷总烃的测定气象色谱法》（</w:t>
            </w:r>
            <w:r w:rsidRPr="00E7238D">
              <w:rPr>
                <w:rFonts w:ascii="Times New Roman" w:hAnsi="Times New Roman" w:cs="Times New Roman"/>
                <w:kern w:val="0"/>
                <w:sz w:val="21"/>
                <w:szCs w:val="21"/>
              </w:rPr>
              <w:t>HJ/T38-2017</w:t>
            </w:r>
            <w:r w:rsidRPr="00E7238D">
              <w:rPr>
                <w:rFonts w:ascii="Times New Roman" w:hAnsi="Times New Roman" w:cs="Times New Roman"/>
                <w:kern w:val="0"/>
                <w:sz w:val="21"/>
                <w:szCs w:val="21"/>
              </w:rPr>
              <w:t>）</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1462D2" w:rsidRPr="00E7238D" w:rsidTr="002C01DC">
        <w:trPr>
          <w:trHeight w:val="648"/>
        </w:trPr>
        <w:tc>
          <w:tcPr>
            <w:tcW w:w="153" w:type="pct"/>
            <w:vAlign w:val="center"/>
          </w:tcPr>
          <w:p w:rsidR="001462D2" w:rsidRPr="00E7238D" w:rsidRDefault="001462D2" w:rsidP="001462D2">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6</w:t>
            </w:r>
          </w:p>
        </w:tc>
        <w:tc>
          <w:tcPr>
            <w:tcW w:w="223" w:type="pct"/>
            <w:vMerge/>
            <w:vAlign w:val="center"/>
          </w:tcPr>
          <w:p w:rsidR="001462D2" w:rsidRPr="00E7238D" w:rsidRDefault="001462D2" w:rsidP="001462D2">
            <w:pPr>
              <w:pStyle w:val="afffffff2"/>
              <w:rPr>
                <w:rFonts w:ascii="Times New Roman" w:hAnsi="Times New Roman" w:cs="Times New Roman"/>
                <w:kern w:val="0"/>
                <w:sz w:val="21"/>
                <w:szCs w:val="21"/>
              </w:rPr>
            </w:pPr>
          </w:p>
        </w:tc>
        <w:tc>
          <w:tcPr>
            <w:tcW w:w="343" w:type="pct"/>
            <w:vAlign w:val="center"/>
          </w:tcPr>
          <w:p w:rsidR="001462D2" w:rsidRPr="00E7238D" w:rsidRDefault="001462D2" w:rsidP="001462D2">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DA0</w:t>
            </w:r>
            <w:r>
              <w:rPr>
                <w:rFonts w:ascii="Times New Roman" w:hAnsi="Times New Roman" w:cs="Times New Roman"/>
                <w:kern w:val="0"/>
                <w:sz w:val="21"/>
                <w:szCs w:val="21"/>
              </w:rPr>
              <w:t>36</w:t>
            </w:r>
          </w:p>
        </w:tc>
        <w:tc>
          <w:tcPr>
            <w:tcW w:w="244" w:type="pct"/>
            <w:vAlign w:val="center"/>
          </w:tcPr>
          <w:p w:rsidR="001462D2" w:rsidRPr="00E7238D" w:rsidRDefault="001462D2" w:rsidP="001462D2">
            <w:pPr>
              <w:pStyle w:val="afffffff2"/>
              <w:rPr>
                <w:rFonts w:ascii="Times New Roman" w:hAnsi="Times New Roman" w:cs="Times New Roman"/>
                <w:kern w:val="0"/>
                <w:sz w:val="21"/>
                <w:szCs w:val="21"/>
              </w:rPr>
            </w:pPr>
            <w:r>
              <w:rPr>
                <w:rFonts w:ascii="Times New Roman" w:hAnsi="Times New Roman" w:cs="Times New Roman"/>
                <w:kern w:val="0"/>
                <w:sz w:val="21"/>
                <w:szCs w:val="21"/>
              </w:rPr>
              <w:t>36</w:t>
            </w:r>
            <w:r w:rsidRPr="00E7238D">
              <w:rPr>
                <w:rFonts w:ascii="Times New Roman" w:hAnsi="Times New Roman" w:cs="Times New Roman"/>
                <w:kern w:val="0"/>
                <w:sz w:val="21"/>
                <w:szCs w:val="21"/>
              </w:rPr>
              <w:t>#</w:t>
            </w:r>
            <w:r w:rsidRPr="00E7238D">
              <w:rPr>
                <w:rFonts w:ascii="Times New Roman" w:hAnsi="Times New Roman" w:cs="Times New Roman"/>
                <w:kern w:val="0"/>
                <w:sz w:val="21"/>
                <w:szCs w:val="21"/>
              </w:rPr>
              <w:t>排放口</w:t>
            </w:r>
          </w:p>
        </w:tc>
        <w:tc>
          <w:tcPr>
            <w:tcW w:w="354" w:type="pct"/>
            <w:vAlign w:val="center"/>
          </w:tcPr>
          <w:p w:rsidR="001462D2" w:rsidRPr="00E7238D" w:rsidRDefault="001462D2" w:rsidP="001462D2">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烟气流速、烟气温度、烟道截面积</w:t>
            </w:r>
          </w:p>
        </w:tc>
        <w:tc>
          <w:tcPr>
            <w:tcW w:w="733" w:type="pct"/>
            <w:vAlign w:val="center"/>
          </w:tcPr>
          <w:p w:rsidR="001462D2" w:rsidRPr="00E7238D" w:rsidRDefault="001462D2" w:rsidP="001462D2">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非甲烷总烃</w:t>
            </w:r>
          </w:p>
        </w:tc>
        <w:tc>
          <w:tcPr>
            <w:tcW w:w="172" w:type="pct"/>
            <w:vAlign w:val="center"/>
          </w:tcPr>
          <w:p w:rsidR="001462D2" w:rsidRPr="00E7238D" w:rsidRDefault="001462D2" w:rsidP="001462D2">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手工</w:t>
            </w:r>
          </w:p>
        </w:tc>
        <w:tc>
          <w:tcPr>
            <w:tcW w:w="211" w:type="pct"/>
            <w:vAlign w:val="center"/>
          </w:tcPr>
          <w:p w:rsidR="001462D2" w:rsidRPr="00E7238D" w:rsidRDefault="001462D2" w:rsidP="001462D2">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54" w:type="pct"/>
            <w:vAlign w:val="center"/>
          </w:tcPr>
          <w:p w:rsidR="001462D2" w:rsidRPr="00E7238D" w:rsidRDefault="001462D2" w:rsidP="001462D2">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32" w:type="pct"/>
            <w:vAlign w:val="center"/>
          </w:tcPr>
          <w:p w:rsidR="001462D2" w:rsidRPr="00E7238D" w:rsidRDefault="001462D2" w:rsidP="001462D2">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415" w:type="pct"/>
            <w:vAlign w:val="center"/>
          </w:tcPr>
          <w:p w:rsidR="001462D2" w:rsidRPr="00E7238D" w:rsidRDefault="001462D2" w:rsidP="001462D2">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46" w:type="pct"/>
            <w:vAlign w:val="center"/>
          </w:tcPr>
          <w:p w:rsidR="001462D2" w:rsidRPr="00E7238D" w:rsidRDefault="001462D2" w:rsidP="001462D2">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非连续采样至少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w:t>
            </w:r>
          </w:p>
        </w:tc>
        <w:tc>
          <w:tcPr>
            <w:tcW w:w="241" w:type="pct"/>
            <w:vAlign w:val="center"/>
          </w:tcPr>
          <w:p w:rsidR="001462D2" w:rsidRPr="00E7238D" w:rsidRDefault="001462D2" w:rsidP="001462D2">
            <w:pPr>
              <w:pStyle w:val="afffffff2"/>
              <w:rPr>
                <w:rFonts w:ascii="Times New Roman" w:hAnsi="Times New Roman" w:cs="Times New Roman"/>
                <w:color w:val="000000" w:themeColor="text1"/>
                <w:kern w:val="0"/>
                <w:sz w:val="21"/>
                <w:szCs w:val="21"/>
              </w:rPr>
            </w:pPr>
            <w:r w:rsidRPr="00E7238D">
              <w:rPr>
                <w:rFonts w:ascii="Times New Roman" w:hAnsi="Times New Roman" w:cs="Times New Roman"/>
                <w:color w:val="000000" w:themeColor="text1"/>
                <w:kern w:val="0"/>
                <w:sz w:val="21"/>
                <w:szCs w:val="21"/>
              </w:rPr>
              <w:t>1</w:t>
            </w:r>
            <w:r w:rsidRPr="00E7238D">
              <w:rPr>
                <w:rFonts w:ascii="Times New Roman" w:hAnsi="Times New Roman" w:cs="Times New Roman"/>
                <w:color w:val="000000" w:themeColor="text1"/>
                <w:kern w:val="0"/>
                <w:sz w:val="21"/>
                <w:szCs w:val="21"/>
              </w:rPr>
              <w:t>次</w:t>
            </w:r>
            <w:r w:rsidRPr="00E7238D">
              <w:rPr>
                <w:rFonts w:ascii="Times New Roman" w:hAnsi="Times New Roman" w:cs="Times New Roman"/>
                <w:color w:val="000000" w:themeColor="text1"/>
                <w:kern w:val="0"/>
                <w:sz w:val="21"/>
                <w:szCs w:val="21"/>
              </w:rPr>
              <w:t>/</w:t>
            </w:r>
            <w:r w:rsidRPr="00E7238D">
              <w:rPr>
                <w:rFonts w:ascii="Times New Roman" w:hAnsi="Times New Roman" w:cs="Times New Roman"/>
                <w:color w:val="000000" w:themeColor="text1"/>
                <w:kern w:val="0"/>
                <w:sz w:val="21"/>
                <w:szCs w:val="21"/>
              </w:rPr>
              <w:t>半年</w:t>
            </w:r>
          </w:p>
        </w:tc>
        <w:tc>
          <w:tcPr>
            <w:tcW w:w="1008" w:type="pct"/>
            <w:vAlign w:val="center"/>
          </w:tcPr>
          <w:p w:rsidR="001462D2" w:rsidRPr="00E7238D" w:rsidRDefault="001462D2" w:rsidP="001462D2">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《固定污染源废气总烃、甲烷和非甲烷总烃的测定气象色谱法》（</w:t>
            </w:r>
            <w:r w:rsidRPr="00E7238D">
              <w:rPr>
                <w:rFonts w:ascii="Times New Roman" w:hAnsi="Times New Roman" w:cs="Times New Roman"/>
                <w:kern w:val="0"/>
                <w:sz w:val="21"/>
                <w:szCs w:val="21"/>
              </w:rPr>
              <w:t>HJ/T38-2017</w:t>
            </w:r>
            <w:r w:rsidRPr="00E7238D">
              <w:rPr>
                <w:rFonts w:ascii="Times New Roman" w:hAnsi="Times New Roman" w:cs="Times New Roman"/>
                <w:kern w:val="0"/>
                <w:sz w:val="21"/>
                <w:szCs w:val="21"/>
              </w:rPr>
              <w:t>）</w:t>
            </w:r>
          </w:p>
        </w:tc>
        <w:tc>
          <w:tcPr>
            <w:tcW w:w="171" w:type="pct"/>
            <w:vAlign w:val="center"/>
          </w:tcPr>
          <w:p w:rsidR="001462D2" w:rsidRPr="00E7238D" w:rsidRDefault="001462D2" w:rsidP="001462D2">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lastRenderedPageBreak/>
              <w:t>9</w:t>
            </w: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厂界</w:t>
            </w:r>
          </w:p>
        </w:tc>
        <w:tc>
          <w:tcPr>
            <w:tcW w:w="244"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354"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温度、气压、风速、风向</w:t>
            </w: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粉尘</w:t>
            </w:r>
          </w:p>
        </w:tc>
        <w:tc>
          <w:tcPr>
            <w:tcW w:w="172"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手工</w:t>
            </w:r>
          </w:p>
        </w:tc>
        <w:tc>
          <w:tcPr>
            <w:tcW w:w="211"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54"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32"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415"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46"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非连续采样至少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w:t>
            </w:r>
          </w:p>
        </w:tc>
        <w:tc>
          <w:tcPr>
            <w:tcW w:w="241" w:type="pct"/>
            <w:vMerge w:val="restart"/>
            <w:vAlign w:val="center"/>
          </w:tcPr>
          <w:p w:rsidR="004E3021" w:rsidRPr="00E7238D" w:rsidRDefault="00606E48" w:rsidP="00E7238D">
            <w:pPr>
              <w:pStyle w:val="afffffff2"/>
              <w:rPr>
                <w:rFonts w:ascii="Times New Roman" w:hAnsi="Times New Roman" w:cs="Times New Roman"/>
                <w:color w:val="000000" w:themeColor="text1"/>
                <w:kern w:val="0"/>
                <w:sz w:val="21"/>
                <w:szCs w:val="21"/>
              </w:rPr>
            </w:pPr>
            <w:r w:rsidRPr="00E7238D">
              <w:rPr>
                <w:rFonts w:ascii="Times New Roman" w:hAnsi="Times New Roman" w:cs="Times New Roman"/>
                <w:color w:val="000000" w:themeColor="text1"/>
                <w:kern w:val="0"/>
                <w:sz w:val="21"/>
                <w:szCs w:val="21"/>
              </w:rPr>
              <w:t>1</w:t>
            </w:r>
            <w:r w:rsidRPr="00E7238D">
              <w:rPr>
                <w:rFonts w:ascii="Times New Roman" w:hAnsi="Times New Roman" w:cs="Times New Roman"/>
                <w:color w:val="000000" w:themeColor="text1"/>
                <w:kern w:val="0"/>
                <w:sz w:val="21"/>
                <w:szCs w:val="21"/>
              </w:rPr>
              <w:t>次</w:t>
            </w:r>
            <w:r w:rsidRPr="00E7238D">
              <w:rPr>
                <w:rFonts w:ascii="Times New Roman" w:hAnsi="Times New Roman" w:cs="Times New Roman"/>
                <w:color w:val="000000" w:themeColor="text1"/>
                <w:kern w:val="0"/>
                <w:sz w:val="21"/>
                <w:szCs w:val="21"/>
              </w:rPr>
              <w:t>/</w:t>
            </w:r>
            <w:r w:rsidRPr="00E7238D">
              <w:rPr>
                <w:rFonts w:ascii="Times New Roman" w:hAnsi="Times New Roman" w:cs="Times New Roman"/>
                <w:color w:val="000000" w:themeColor="text1"/>
                <w:kern w:val="0"/>
                <w:sz w:val="21"/>
                <w:szCs w:val="21"/>
              </w:rPr>
              <w:t>季度</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固定污染源排气中颗粒物测定与气态污染物采样方法</w:t>
            </w:r>
            <w:r w:rsidRPr="00E7238D">
              <w:rPr>
                <w:rFonts w:ascii="Times New Roman" w:hAnsi="Times New Roman" w:cs="Times New Roman"/>
                <w:kern w:val="0"/>
                <w:sz w:val="21"/>
                <w:szCs w:val="21"/>
              </w:rPr>
              <w:t xml:space="preserve"> GB/T 16157-1996</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非甲烷总烃</w:t>
            </w:r>
          </w:p>
        </w:tc>
        <w:tc>
          <w:tcPr>
            <w:tcW w:w="17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11"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3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415"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6"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1" w:type="pct"/>
            <w:vMerge/>
            <w:vAlign w:val="center"/>
          </w:tcPr>
          <w:p w:rsidR="004E3021" w:rsidRPr="00E7238D" w:rsidRDefault="004E3021" w:rsidP="00E7238D">
            <w:pPr>
              <w:pStyle w:val="afffffff2"/>
              <w:rPr>
                <w:rFonts w:ascii="Times New Roman" w:hAnsi="Times New Roman" w:cs="Times New Roman"/>
                <w:color w:val="000000" w:themeColor="text1"/>
                <w:kern w:val="0"/>
                <w:sz w:val="21"/>
                <w:szCs w:val="21"/>
              </w:rPr>
            </w:pP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《固定污染源废气总烃、甲烷和非甲烷总烃的测定气象色谱法》（</w:t>
            </w:r>
            <w:r w:rsidRPr="00E7238D">
              <w:rPr>
                <w:rFonts w:ascii="Times New Roman" w:hAnsi="Times New Roman" w:cs="Times New Roman"/>
                <w:kern w:val="0"/>
                <w:sz w:val="21"/>
                <w:szCs w:val="21"/>
              </w:rPr>
              <w:t>HJ/T38-2017</w:t>
            </w:r>
            <w:r w:rsidRPr="00E7238D">
              <w:rPr>
                <w:rFonts w:ascii="Times New Roman" w:hAnsi="Times New Roman" w:cs="Times New Roman"/>
                <w:kern w:val="0"/>
                <w:sz w:val="21"/>
                <w:szCs w:val="21"/>
              </w:rPr>
              <w:t>）</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1462D2" w:rsidP="00E7238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硫</w:t>
            </w:r>
            <w:r w:rsidRPr="00E7238D">
              <w:rPr>
                <w:rFonts w:ascii="Times New Roman" w:hAnsi="Times New Roman" w:cs="Times New Roman"/>
                <w:kern w:val="0"/>
                <w:sz w:val="21"/>
                <w:szCs w:val="21"/>
              </w:rPr>
              <w:t>化氢</w:t>
            </w:r>
          </w:p>
        </w:tc>
        <w:tc>
          <w:tcPr>
            <w:tcW w:w="17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11"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3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415"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6"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非连续采样至少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w:t>
            </w:r>
          </w:p>
        </w:tc>
        <w:tc>
          <w:tcPr>
            <w:tcW w:w="241" w:type="pct"/>
            <w:vMerge w:val="restart"/>
            <w:vAlign w:val="center"/>
          </w:tcPr>
          <w:p w:rsidR="004E3021" w:rsidRPr="00E7238D" w:rsidRDefault="00606E48" w:rsidP="00E7238D">
            <w:pPr>
              <w:pStyle w:val="afffffff2"/>
              <w:rPr>
                <w:rFonts w:ascii="Times New Roman" w:hAnsi="Times New Roman" w:cs="Times New Roman"/>
                <w:color w:val="000000" w:themeColor="text1"/>
                <w:kern w:val="0"/>
                <w:sz w:val="21"/>
                <w:szCs w:val="21"/>
              </w:rPr>
            </w:pPr>
            <w:r w:rsidRPr="00E7238D">
              <w:rPr>
                <w:rFonts w:ascii="Times New Roman" w:hAnsi="Times New Roman" w:cs="Times New Roman"/>
                <w:color w:val="000000" w:themeColor="text1"/>
                <w:kern w:val="0"/>
                <w:sz w:val="21"/>
                <w:szCs w:val="21"/>
              </w:rPr>
              <w:t>1</w:t>
            </w:r>
            <w:r w:rsidRPr="00E7238D">
              <w:rPr>
                <w:rFonts w:ascii="Times New Roman" w:hAnsi="Times New Roman" w:cs="Times New Roman"/>
                <w:color w:val="000000" w:themeColor="text1"/>
                <w:kern w:val="0"/>
                <w:sz w:val="21"/>
                <w:szCs w:val="21"/>
              </w:rPr>
              <w:t>次</w:t>
            </w:r>
            <w:r w:rsidRPr="00E7238D">
              <w:rPr>
                <w:rFonts w:ascii="Times New Roman" w:hAnsi="Times New Roman" w:cs="Times New Roman"/>
                <w:color w:val="000000" w:themeColor="text1"/>
                <w:kern w:val="0"/>
                <w:sz w:val="21"/>
                <w:szCs w:val="21"/>
              </w:rPr>
              <w:t>/</w:t>
            </w:r>
            <w:r w:rsidRPr="00E7238D">
              <w:rPr>
                <w:rFonts w:ascii="Times New Roman" w:hAnsi="Times New Roman" w:cs="Times New Roman"/>
                <w:color w:val="000000" w:themeColor="text1"/>
                <w:kern w:val="0"/>
                <w:sz w:val="21"/>
                <w:szCs w:val="21"/>
              </w:rPr>
              <w:t>半年</w:t>
            </w:r>
          </w:p>
        </w:tc>
        <w:tc>
          <w:tcPr>
            <w:tcW w:w="1008" w:type="pct"/>
            <w:vAlign w:val="center"/>
          </w:tcPr>
          <w:p w:rsidR="004E3021" w:rsidRPr="00E7238D" w:rsidRDefault="001462D2" w:rsidP="001462D2">
            <w:pPr>
              <w:pStyle w:val="afffffff2"/>
              <w:rPr>
                <w:rFonts w:ascii="Times New Roman" w:hAnsi="Times New Roman" w:cs="Times New Roman"/>
                <w:kern w:val="0"/>
                <w:sz w:val="21"/>
                <w:szCs w:val="21"/>
              </w:rPr>
            </w:pPr>
            <w:r w:rsidRPr="001462D2">
              <w:rPr>
                <w:rFonts w:ascii="Times New Roman" w:hAnsi="Times New Roman" w:cs="Times New Roman" w:hint="eastAsia"/>
                <w:kern w:val="0"/>
                <w:sz w:val="21"/>
                <w:szCs w:val="21"/>
              </w:rPr>
              <w:t>固定污染源废气　硫化氢的测定</w:t>
            </w:r>
            <w:r w:rsidRPr="001462D2">
              <w:rPr>
                <w:rFonts w:ascii="Times New Roman" w:hAnsi="Times New Roman" w:cs="Times New Roman" w:hint="eastAsia"/>
                <w:kern w:val="0"/>
                <w:sz w:val="21"/>
                <w:szCs w:val="21"/>
              </w:rPr>
              <w:t xml:space="preserve"> </w:t>
            </w:r>
            <w:r w:rsidRPr="001462D2">
              <w:rPr>
                <w:rFonts w:ascii="Times New Roman" w:hAnsi="Times New Roman" w:cs="Times New Roman" w:hint="eastAsia"/>
                <w:kern w:val="0"/>
                <w:sz w:val="21"/>
                <w:szCs w:val="21"/>
              </w:rPr>
              <w:t>亚甲基蓝分光光度法</w:t>
            </w:r>
            <w:r w:rsidRPr="00E7238D">
              <w:rPr>
                <w:rFonts w:ascii="Times New Roman" w:hAnsi="Times New Roman" w:cs="Times New Roman"/>
                <w:kern w:val="0"/>
                <w:sz w:val="21"/>
                <w:szCs w:val="21"/>
              </w:rPr>
              <w:t xml:space="preserve">HJ </w:t>
            </w:r>
            <w:r>
              <w:rPr>
                <w:rFonts w:ascii="Times New Roman" w:hAnsi="Times New Roman" w:cs="Times New Roman"/>
                <w:kern w:val="0"/>
                <w:sz w:val="21"/>
                <w:szCs w:val="21"/>
              </w:rPr>
              <w:t>1388</w:t>
            </w:r>
            <w:r w:rsidRPr="00E7238D">
              <w:rPr>
                <w:rFonts w:ascii="Times New Roman" w:hAnsi="Times New Roman" w:cs="Times New Roman"/>
                <w:kern w:val="0"/>
                <w:sz w:val="21"/>
                <w:szCs w:val="21"/>
              </w:rPr>
              <w:t>-20</w:t>
            </w:r>
            <w:r>
              <w:rPr>
                <w:rFonts w:ascii="Times New Roman" w:hAnsi="Times New Roman" w:cs="Times New Roman"/>
                <w:kern w:val="0"/>
                <w:sz w:val="21"/>
                <w:szCs w:val="21"/>
              </w:rPr>
              <w:t>24</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氨</w:t>
            </w:r>
          </w:p>
        </w:tc>
        <w:tc>
          <w:tcPr>
            <w:tcW w:w="17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11"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3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415"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6"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1"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空气和废气</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氨的测定</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纳氏试剂分光光度法</w:t>
            </w:r>
            <w:r w:rsidRPr="00E7238D">
              <w:rPr>
                <w:rFonts w:ascii="Times New Roman" w:hAnsi="Times New Roman" w:cs="Times New Roman"/>
                <w:kern w:val="0"/>
                <w:sz w:val="21"/>
                <w:szCs w:val="21"/>
              </w:rPr>
              <w:t xml:space="preserve"> HJ 533-2009</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10</w:t>
            </w:r>
          </w:p>
        </w:tc>
        <w:tc>
          <w:tcPr>
            <w:tcW w:w="223"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废水</w:t>
            </w:r>
          </w:p>
        </w:tc>
        <w:tc>
          <w:tcPr>
            <w:tcW w:w="343"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DW001</w:t>
            </w:r>
          </w:p>
        </w:tc>
        <w:tc>
          <w:tcPr>
            <w:tcW w:w="244"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废水总排口</w:t>
            </w:r>
          </w:p>
        </w:tc>
        <w:tc>
          <w:tcPr>
            <w:tcW w:w="354"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水温、水流、流速、流量</w:t>
            </w: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pH</w:t>
            </w:r>
          </w:p>
        </w:tc>
        <w:tc>
          <w:tcPr>
            <w:tcW w:w="17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自动</w:t>
            </w:r>
          </w:p>
        </w:tc>
        <w:tc>
          <w:tcPr>
            <w:tcW w:w="21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是</w:t>
            </w:r>
          </w:p>
        </w:tc>
        <w:tc>
          <w:tcPr>
            <w:tcW w:w="254"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pH</w:t>
            </w:r>
            <w:r w:rsidRPr="00E7238D">
              <w:rPr>
                <w:rFonts w:ascii="Times New Roman" w:hAnsi="Times New Roman" w:cs="Times New Roman"/>
                <w:kern w:val="0"/>
                <w:sz w:val="21"/>
                <w:szCs w:val="21"/>
              </w:rPr>
              <w:t>在线监测设备</w:t>
            </w:r>
          </w:p>
        </w:tc>
        <w:tc>
          <w:tcPr>
            <w:tcW w:w="23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污水总排口</w:t>
            </w:r>
          </w:p>
        </w:tc>
        <w:tc>
          <w:tcPr>
            <w:tcW w:w="415"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是</w:t>
            </w:r>
          </w:p>
        </w:tc>
        <w:tc>
          <w:tcPr>
            <w:tcW w:w="246"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混合采样</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个混合样</w:t>
            </w:r>
          </w:p>
        </w:tc>
        <w:tc>
          <w:tcPr>
            <w:tcW w:w="24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在线监测设备发生故障时，每天不少于</w:t>
            </w:r>
            <w:r w:rsidRPr="00E7238D">
              <w:rPr>
                <w:rFonts w:ascii="Times New Roman" w:hAnsi="Times New Roman" w:cs="Times New Roman"/>
                <w:kern w:val="0"/>
                <w:sz w:val="21"/>
                <w:szCs w:val="21"/>
              </w:rPr>
              <w:t>4</w:t>
            </w:r>
            <w:r w:rsidRPr="00E7238D">
              <w:rPr>
                <w:rFonts w:ascii="Times New Roman" w:hAnsi="Times New Roman" w:cs="Times New Roman"/>
                <w:kern w:val="0"/>
                <w:sz w:val="21"/>
                <w:szCs w:val="21"/>
              </w:rPr>
              <w:t>次，间隔不超</w:t>
            </w:r>
            <w:r w:rsidRPr="00E7238D">
              <w:rPr>
                <w:rFonts w:ascii="Times New Roman" w:hAnsi="Times New Roman" w:cs="Times New Roman"/>
                <w:kern w:val="0"/>
                <w:sz w:val="21"/>
                <w:szCs w:val="21"/>
              </w:rPr>
              <w:lastRenderedPageBreak/>
              <w:t>过</w:t>
            </w:r>
            <w:r w:rsidRPr="00E7238D">
              <w:rPr>
                <w:rFonts w:ascii="Times New Roman" w:hAnsi="Times New Roman" w:cs="Times New Roman"/>
                <w:kern w:val="0"/>
                <w:sz w:val="21"/>
                <w:szCs w:val="21"/>
              </w:rPr>
              <w:t>6</w:t>
            </w:r>
            <w:r w:rsidRPr="00E7238D">
              <w:rPr>
                <w:rFonts w:ascii="Times New Roman" w:hAnsi="Times New Roman" w:cs="Times New Roman"/>
                <w:kern w:val="0"/>
                <w:sz w:val="21"/>
                <w:szCs w:val="21"/>
              </w:rPr>
              <w:t>小时</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lastRenderedPageBreak/>
              <w:t>水质</w:t>
            </w:r>
            <w:r w:rsidRPr="00E7238D">
              <w:rPr>
                <w:rFonts w:ascii="Times New Roman" w:hAnsi="Times New Roman" w:cs="Times New Roman"/>
                <w:kern w:val="0"/>
                <w:sz w:val="21"/>
                <w:szCs w:val="21"/>
              </w:rPr>
              <w:t xml:space="preserve"> pH</w:t>
            </w:r>
            <w:r w:rsidRPr="00E7238D">
              <w:rPr>
                <w:rFonts w:ascii="Times New Roman" w:hAnsi="Times New Roman" w:cs="Times New Roman"/>
                <w:kern w:val="0"/>
                <w:sz w:val="21"/>
                <w:szCs w:val="21"/>
              </w:rPr>
              <w:t>值的测定</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玻璃电极法</w:t>
            </w:r>
            <w:r w:rsidRPr="00E7238D">
              <w:rPr>
                <w:rFonts w:ascii="Times New Roman" w:hAnsi="Times New Roman" w:cs="Times New Roman"/>
                <w:kern w:val="0"/>
                <w:sz w:val="21"/>
                <w:szCs w:val="21"/>
              </w:rPr>
              <w:t xml:space="preserve"> GB 6920-1986</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流量</w:t>
            </w:r>
          </w:p>
        </w:tc>
        <w:tc>
          <w:tcPr>
            <w:tcW w:w="17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自动</w:t>
            </w:r>
          </w:p>
        </w:tc>
        <w:tc>
          <w:tcPr>
            <w:tcW w:w="21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是</w:t>
            </w:r>
          </w:p>
        </w:tc>
        <w:tc>
          <w:tcPr>
            <w:tcW w:w="254"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流量在线监测设备</w:t>
            </w:r>
          </w:p>
        </w:tc>
        <w:tc>
          <w:tcPr>
            <w:tcW w:w="23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污水总排口</w:t>
            </w:r>
          </w:p>
        </w:tc>
        <w:tc>
          <w:tcPr>
            <w:tcW w:w="415"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是</w:t>
            </w:r>
          </w:p>
        </w:tc>
        <w:tc>
          <w:tcPr>
            <w:tcW w:w="246"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混合采样</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个混合样</w:t>
            </w:r>
          </w:p>
        </w:tc>
        <w:tc>
          <w:tcPr>
            <w:tcW w:w="24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在线监测设备发生故障时，每天不少于</w:t>
            </w:r>
            <w:r w:rsidRPr="00E7238D">
              <w:rPr>
                <w:rFonts w:ascii="Times New Roman" w:hAnsi="Times New Roman" w:cs="Times New Roman"/>
                <w:kern w:val="0"/>
                <w:sz w:val="21"/>
                <w:szCs w:val="21"/>
              </w:rPr>
              <w:t>4</w:t>
            </w:r>
            <w:r w:rsidRPr="00E7238D">
              <w:rPr>
                <w:rFonts w:ascii="Times New Roman" w:hAnsi="Times New Roman" w:cs="Times New Roman"/>
                <w:kern w:val="0"/>
                <w:sz w:val="21"/>
                <w:szCs w:val="21"/>
              </w:rPr>
              <w:t>次，间隔不超过</w:t>
            </w:r>
            <w:r w:rsidRPr="00E7238D">
              <w:rPr>
                <w:rFonts w:ascii="Times New Roman" w:hAnsi="Times New Roman" w:cs="Times New Roman"/>
                <w:kern w:val="0"/>
                <w:sz w:val="21"/>
                <w:szCs w:val="21"/>
              </w:rPr>
              <w:t>6</w:t>
            </w:r>
            <w:r w:rsidRPr="00E7238D">
              <w:rPr>
                <w:rFonts w:ascii="Times New Roman" w:hAnsi="Times New Roman" w:cs="Times New Roman"/>
                <w:kern w:val="0"/>
                <w:sz w:val="21"/>
                <w:szCs w:val="21"/>
              </w:rPr>
              <w:t>小时</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COD</w:t>
            </w:r>
          </w:p>
        </w:tc>
        <w:tc>
          <w:tcPr>
            <w:tcW w:w="17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自动</w:t>
            </w:r>
          </w:p>
        </w:tc>
        <w:tc>
          <w:tcPr>
            <w:tcW w:w="21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是</w:t>
            </w:r>
          </w:p>
        </w:tc>
        <w:tc>
          <w:tcPr>
            <w:tcW w:w="254"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COD</w:t>
            </w:r>
            <w:r w:rsidRPr="00E7238D">
              <w:rPr>
                <w:rFonts w:ascii="Times New Roman" w:hAnsi="Times New Roman" w:cs="Times New Roman"/>
                <w:kern w:val="0"/>
                <w:sz w:val="21"/>
                <w:szCs w:val="21"/>
              </w:rPr>
              <w:t>在线监测设备</w:t>
            </w:r>
          </w:p>
        </w:tc>
        <w:tc>
          <w:tcPr>
            <w:tcW w:w="23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污水总排口</w:t>
            </w:r>
          </w:p>
        </w:tc>
        <w:tc>
          <w:tcPr>
            <w:tcW w:w="415"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是</w:t>
            </w:r>
          </w:p>
        </w:tc>
        <w:tc>
          <w:tcPr>
            <w:tcW w:w="246"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混合采样</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个混合样</w:t>
            </w:r>
          </w:p>
        </w:tc>
        <w:tc>
          <w:tcPr>
            <w:tcW w:w="24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在线监测设备发生故障时，每天不少</w:t>
            </w:r>
            <w:r w:rsidRPr="00E7238D">
              <w:rPr>
                <w:rFonts w:ascii="Times New Roman" w:hAnsi="Times New Roman" w:cs="Times New Roman"/>
                <w:kern w:val="0"/>
                <w:sz w:val="21"/>
                <w:szCs w:val="21"/>
              </w:rPr>
              <w:lastRenderedPageBreak/>
              <w:t>于</w:t>
            </w:r>
            <w:r w:rsidRPr="00E7238D">
              <w:rPr>
                <w:rFonts w:ascii="Times New Roman" w:hAnsi="Times New Roman" w:cs="Times New Roman"/>
                <w:kern w:val="0"/>
                <w:sz w:val="21"/>
                <w:szCs w:val="21"/>
              </w:rPr>
              <w:t>4</w:t>
            </w:r>
            <w:r w:rsidRPr="00E7238D">
              <w:rPr>
                <w:rFonts w:ascii="Times New Roman" w:hAnsi="Times New Roman" w:cs="Times New Roman"/>
                <w:kern w:val="0"/>
                <w:sz w:val="21"/>
                <w:szCs w:val="21"/>
              </w:rPr>
              <w:t>次，间隔不超过</w:t>
            </w:r>
            <w:r w:rsidRPr="00E7238D">
              <w:rPr>
                <w:rFonts w:ascii="Times New Roman" w:hAnsi="Times New Roman" w:cs="Times New Roman"/>
                <w:kern w:val="0"/>
                <w:sz w:val="21"/>
                <w:szCs w:val="21"/>
              </w:rPr>
              <w:t>6</w:t>
            </w:r>
            <w:r w:rsidRPr="00E7238D">
              <w:rPr>
                <w:rFonts w:ascii="Times New Roman" w:hAnsi="Times New Roman" w:cs="Times New Roman"/>
                <w:kern w:val="0"/>
                <w:sz w:val="21"/>
                <w:szCs w:val="21"/>
              </w:rPr>
              <w:t>小时</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lastRenderedPageBreak/>
              <w:t>水质</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化学需氧量的测定</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重铬酸盐法</w:t>
            </w:r>
            <w:r w:rsidRPr="00E7238D">
              <w:rPr>
                <w:rFonts w:ascii="Times New Roman" w:hAnsi="Times New Roman" w:cs="Times New Roman"/>
                <w:kern w:val="0"/>
                <w:sz w:val="21"/>
                <w:szCs w:val="21"/>
              </w:rPr>
              <w:t xml:space="preserve"> HJ 828-2017</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氨氮</w:t>
            </w:r>
          </w:p>
        </w:tc>
        <w:tc>
          <w:tcPr>
            <w:tcW w:w="17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自动</w:t>
            </w:r>
          </w:p>
        </w:tc>
        <w:tc>
          <w:tcPr>
            <w:tcW w:w="21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是</w:t>
            </w:r>
          </w:p>
        </w:tc>
        <w:tc>
          <w:tcPr>
            <w:tcW w:w="254"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氨氮在线监测设备</w:t>
            </w:r>
          </w:p>
        </w:tc>
        <w:tc>
          <w:tcPr>
            <w:tcW w:w="232"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污水总排口</w:t>
            </w:r>
          </w:p>
        </w:tc>
        <w:tc>
          <w:tcPr>
            <w:tcW w:w="415"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是</w:t>
            </w:r>
          </w:p>
        </w:tc>
        <w:tc>
          <w:tcPr>
            <w:tcW w:w="246"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混合采样</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个混合样</w:t>
            </w:r>
          </w:p>
        </w:tc>
        <w:tc>
          <w:tcPr>
            <w:tcW w:w="241"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在线监测设备发生故障时，每天不少于</w:t>
            </w:r>
            <w:r w:rsidRPr="00E7238D">
              <w:rPr>
                <w:rFonts w:ascii="Times New Roman" w:hAnsi="Times New Roman" w:cs="Times New Roman"/>
                <w:kern w:val="0"/>
                <w:sz w:val="21"/>
                <w:szCs w:val="21"/>
              </w:rPr>
              <w:t>4</w:t>
            </w:r>
            <w:r w:rsidRPr="00E7238D">
              <w:rPr>
                <w:rFonts w:ascii="Times New Roman" w:hAnsi="Times New Roman" w:cs="Times New Roman"/>
                <w:kern w:val="0"/>
                <w:sz w:val="21"/>
                <w:szCs w:val="21"/>
              </w:rPr>
              <w:t>次，间隔不超过</w:t>
            </w:r>
            <w:r w:rsidRPr="00E7238D">
              <w:rPr>
                <w:rFonts w:ascii="Times New Roman" w:hAnsi="Times New Roman" w:cs="Times New Roman"/>
                <w:kern w:val="0"/>
                <w:sz w:val="21"/>
                <w:szCs w:val="21"/>
              </w:rPr>
              <w:t>6</w:t>
            </w:r>
            <w:r w:rsidRPr="00E7238D">
              <w:rPr>
                <w:rFonts w:ascii="Times New Roman" w:hAnsi="Times New Roman" w:cs="Times New Roman"/>
                <w:kern w:val="0"/>
                <w:sz w:val="21"/>
                <w:szCs w:val="21"/>
              </w:rPr>
              <w:t>小时</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水质</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氨氮的测定</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纳氏试剂分光光度法</w:t>
            </w:r>
            <w:r w:rsidRPr="00E7238D">
              <w:rPr>
                <w:rFonts w:ascii="Times New Roman" w:hAnsi="Times New Roman" w:cs="Times New Roman"/>
                <w:kern w:val="0"/>
                <w:sz w:val="21"/>
                <w:szCs w:val="21"/>
              </w:rPr>
              <w:t xml:space="preserve"> HJ 535-2009</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eastAsia="等线" w:hAnsi="Times New Roman" w:cs="Times New Roman"/>
                <w:kern w:val="0"/>
                <w:sz w:val="21"/>
                <w:szCs w:val="21"/>
              </w:rPr>
            </w:pPr>
            <w:r w:rsidRPr="00E7238D">
              <w:rPr>
                <w:rFonts w:ascii="Times New Roman" w:hAnsi="Times New Roman" w:cs="Times New Roman"/>
                <w:kern w:val="0"/>
                <w:sz w:val="21"/>
                <w:szCs w:val="21"/>
              </w:rPr>
              <w:t>SS</w:t>
            </w:r>
          </w:p>
        </w:tc>
        <w:tc>
          <w:tcPr>
            <w:tcW w:w="172"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手工</w:t>
            </w:r>
          </w:p>
        </w:tc>
        <w:tc>
          <w:tcPr>
            <w:tcW w:w="211"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54"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32"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415"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46"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混合采样</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至少</w:t>
            </w:r>
            <w:r w:rsidRPr="00E7238D">
              <w:rPr>
                <w:rFonts w:ascii="Times New Roman" w:hAnsi="Times New Roman" w:cs="Times New Roman"/>
                <w:kern w:val="0"/>
                <w:sz w:val="21"/>
                <w:szCs w:val="21"/>
              </w:rPr>
              <w:lastRenderedPageBreak/>
              <w:t>3</w:t>
            </w:r>
            <w:r w:rsidRPr="00E7238D">
              <w:rPr>
                <w:rFonts w:ascii="Times New Roman" w:hAnsi="Times New Roman" w:cs="Times New Roman"/>
                <w:kern w:val="0"/>
                <w:sz w:val="21"/>
                <w:szCs w:val="21"/>
              </w:rPr>
              <w:t>个混合样</w:t>
            </w:r>
          </w:p>
        </w:tc>
        <w:tc>
          <w:tcPr>
            <w:tcW w:w="241" w:type="pct"/>
            <w:vMerge w:val="restart"/>
            <w:vAlign w:val="center"/>
          </w:tcPr>
          <w:p w:rsidR="004E3021" w:rsidRPr="00E7238D" w:rsidRDefault="00606E48" w:rsidP="00E7238D">
            <w:pPr>
              <w:pStyle w:val="afffffff2"/>
              <w:rPr>
                <w:rFonts w:ascii="Times New Roman" w:hAnsi="Times New Roman" w:cs="Times New Roman"/>
                <w:color w:val="000000" w:themeColor="text1"/>
                <w:kern w:val="0"/>
                <w:sz w:val="21"/>
                <w:szCs w:val="21"/>
              </w:rPr>
            </w:pPr>
            <w:r w:rsidRPr="00E7238D">
              <w:rPr>
                <w:rFonts w:ascii="Times New Roman" w:hAnsi="Times New Roman" w:cs="Times New Roman"/>
                <w:color w:val="000000" w:themeColor="text1"/>
                <w:kern w:val="0"/>
                <w:sz w:val="21"/>
                <w:szCs w:val="21"/>
              </w:rPr>
              <w:lastRenderedPageBreak/>
              <w:t>1</w:t>
            </w:r>
            <w:r w:rsidRPr="00E7238D">
              <w:rPr>
                <w:rFonts w:ascii="Times New Roman" w:hAnsi="Times New Roman" w:cs="Times New Roman"/>
                <w:color w:val="000000" w:themeColor="text1"/>
                <w:kern w:val="0"/>
                <w:sz w:val="21"/>
                <w:szCs w:val="21"/>
              </w:rPr>
              <w:t>次</w:t>
            </w:r>
            <w:r w:rsidRPr="00E7238D">
              <w:rPr>
                <w:rFonts w:ascii="Times New Roman" w:hAnsi="Times New Roman" w:cs="Times New Roman"/>
                <w:color w:val="000000" w:themeColor="text1"/>
                <w:kern w:val="0"/>
                <w:sz w:val="21"/>
                <w:szCs w:val="21"/>
              </w:rPr>
              <w:t>/</w:t>
            </w:r>
            <w:r w:rsidRPr="00E7238D">
              <w:rPr>
                <w:rFonts w:ascii="Times New Roman" w:hAnsi="Times New Roman" w:cs="Times New Roman"/>
                <w:color w:val="000000" w:themeColor="text1"/>
                <w:kern w:val="0"/>
                <w:sz w:val="21"/>
                <w:szCs w:val="21"/>
              </w:rPr>
              <w:t>季度</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水质</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五日生化需氧量（</w:t>
            </w:r>
            <w:r w:rsidRPr="00E7238D">
              <w:rPr>
                <w:rFonts w:ascii="Times New Roman" w:hAnsi="Times New Roman" w:cs="Times New Roman"/>
                <w:kern w:val="0"/>
                <w:sz w:val="21"/>
                <w:szCs w:val="21"/>
              </w:rPr>
              <w:t>BOD5</w:t>
            </w:r>
            <w:r w:rsidRPr="00E7238D">
              <w:rPr>
                <w:rFonts w:ascii="Times New Roman" w:hAnsi="Times New Roman" w:cs="Times New Roman"/>
                <w:kern w:val="0"/>
                <w:sz w:val="21"/>
                <w:szCs w:val="21"/>
              </w:rPr>
              <w:t>）的测定</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稀释与接种法</w:t>
            </w:r>
            <w:r w:rsidRPr="00E7238D">
              <w:rPr>
                <w:rFonts w:ascii="Times New Roman" w:hAnsi="Times New Roman" w:cs="Times New Roman"/>
                <w:kern w:val="0"/>
                <w:sz w:val="21"/>
                <w:szCs w:val="21"/>
              </w:rPr>
              <w:t xml:space="preserve"> HJ505-2009</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总磷</w:t>
            </w:r>
          </w:p>
        </w:tc>
        <w:tc>
          <w:tcPr>
            <w:tcW w:w="17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11"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3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415"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6"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1" w:type="pct"/>
            <w:vMerge/>
            <w:vAlign w:val="center"/>
          </w:tcPr>
          <w:p w:rsidR="004E3021" w:rsidRPr="00E7238D" w:rsidRDefault="004E3021" w:rsidP="00E7238D">
            <w:pPr>
              <w:pStyle w:val="afffffff2"/>
              <w:rPr>
                <w:rFonts w:ascii="Times New Roman" w:hAnsi="Times New Roman" w:cs="Times New Roman"/>
                <w:color w:val="000000" w:themeColor="text1"/>
                <w:kern w:val="0"/>
                <w:sz w:val="21"/>
                <w:szCs w:val="21"/>
              </w:rPr>
            </w:pP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水质</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悬浮物的测定</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重量法</w:t>
            </w:r>
            <w:r w:rsidRPr="00E7238D">
              <w:rPr>
                <w:rFonts w:ascii="Times New Roman" w:hAnsi="Times New Roman" w:cs="Times New Roman"/>
                <w:kern w:val="0"/>
                <w:sz w:val="21"/>
                <w:szCs w:val="21"/>
              </w:rPr>
              <w:t xml:space="preserve"> GB 11901-1989</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hAnsi="Times New Roman" w:cs="Times New Roman"/>
                <w:kern w:val="0"/>
                <w:sz w:val="21"/>
                <w:szCs w:val="21"/>
                <w:vertAlign w:val="subscript"/>
              </w:rPr>
            </w:pPr>
            <w:r w:rsidRPr="00E7238D">
              <w:rPr>
                <w:rFonts w:ascii="Times New Roman" w:hAnsi="Times New Roman" w:cs="Times New Roman"/>
                <w:kern w:val="0"/>
                <w:sz w:val="21"/>
                <w:szCs w:val="21"/>
              </w:rPr>
              <w:t>BOD</w:t>
            </w:r>
            <w:r w:rsidRPr="00E7238D">
              <w:rPr>
                <w:rFonts w:ascii="Times New Roman" w:hAnsi="Times New Roman" w:cs="Times New Roman"/>
                <w:kern w:val="0"/>
                <w:sz w:val="21"/>
                <w:szCs w:val="21"/>
                <w:vertAlign w:val="subscript"/>
              </w:rPr>
              <w:t>5</w:t>
            </w:r>
          </w:p>
        </w:tc>
        <w:tc>
          <w:tcPr>
            <w:tcW w:w="17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11"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3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415"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6"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1" w:type="pct"/>
            <w:vMerge/>
            <w:vAlign w:val="center"/>
          </w:tcPr>
          <w:p w:rsidR="004E3021" w:rsidRPr="00E7238D" w:rsidRDefault="004E3021" w:rsidP="00E7238D">
            <w:pPr>
              <w:pStyle w:val="afffffff2"/>
              <w:rPr>
                <w:rFonts w:ascii="Times New Roman" w:hAnsi="Times New Roman" w:cs="Times New Roman"/>
                <w:color w:val="000000" w:themeColor="text1"/>
                <w:kern w:val="0"/>
                <w:sz w:val="21"/>
                <w:szCs w:val="21"/>
              </w:rPr>
            </w:pP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水质</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总磷的测定</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钼酸铵分光光度法</w:t>
            </w:r>
            <w:r w:rsidRPr="00E7238D">
              <w:rPr>
                <w:rFonts w:ascii="Times New Roman" w:hAnsi="Times New Roman" w:cs="Times New Roman"/>
                <w:kern w:val="0"/>
                <w:sz w:val="21"/>
                <w:szCs w:val="21"/>
              </w:rPr>
              <w:t>GB11893</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1462D2" w:rsidP="00E7238D">
            <w:pPr>
              <w:pStyle w:val="afffffff2"/>
              <w:rPr>
                <w:rFonts w:ascii="Times New Roman" w:hAnsi="Times New Roman" w:cs="Times New Roman"/>
                <w:kern w:val="0"/>
                <w:sz w:val="21"/>
                <w:szCs w:val="21"/>
              </w:rPr>
            </w:pPr>
            <w:r>
              <w:rPr>
                <w:rFonts w:ascii="Times New Roman" w:hAnsi="Times New Roman" w:cs="Times New Roman" w:hint="eastAsia"/>
                <w:kern w:val="0"/>
                <w:sz w:val="21"/>
                <w:szCs w:val="21"/>
              </w:rPr>
              <w:t>动植物油</w:t>
            </w:r>
          </w:p>
        </w:tc>
        <w:tc>
          <w:tcPr>
            <w:tcW w:w="17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11"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3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415"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6"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1" w:type="pct"/>
            <w:vMerge/>
            <w:vAlign w:val="center"/>
          </w:tcPr>
          <w:p w:rsidR="004E3021" w:rsidRPr="00E7238D" w:rsidRDefault="004E3021" w:rsidP="00E7238D">
            <w:pPr>
              <w:pStyle w:val="afffffff2"/>
              <w:rPr>
                <w:rFonts w:ascii="Times New Roman" w:hAnsi="Times New Roman" w:cs="Times New Roman"/>
                <w:color w:val="000000" w:themeColor="text1"/>
                <w:kern w:val="0"/>
                <w:sz w:val="21"/>
                <w:szCs w:val="21"/>
              </w:rPr>
            </w:pPr>
          </w:p>
        </w:tc>
        <w:tc>
          <w:tcPr>
            <w:tcW w:w="1008" w:type="pct"/>
            <w:vAlign w:val="center"/>
          </w:tcPr>
          <w:p w:rsidR="004E3021" w:rsidRPr="001462D2" w:rsidRDefault="001462D2" w:rsidP="00E7238D">
            <w:pPr>
              <w:pStyle w:val="afffffff2"/>
              <w:rPr>
                <w:rFonts w:ascii="Times New Roman" w:hAnsi="Times New Roman" w:cs="Times New Roman"/>
                <w:kern w:val="0"/>
                <w:sz w:val="21"/>
                <w:szCs w:val="21"/>
              </w:rPr>
            </w:pPr>
            <w:r w:rsidRPr="001462D2">
              <w:rPr>
                <w:rFonts w:ascii="Times New Roman" w:hAnsi="Times New Roman" w:cs="Times New Roman" w:hint="eastAsia"/>
                <w:kern w:val="0"/>
                <w:sz w:val="21"/>
                <w:szCs w:val="21"/>
              </w:rPr>
              <w:t>水质石油类和动植物油类的测定红外分光光度法</w:t>
            </w:r>
            <w:r w:rsidRPr="001462D2">
              <w:rPr>
                <w:rFonts w:ascii="Times New Roman" w:hAnsi="Times New Roman" w:cs="Times New Roman" w:hint="eastAsia"/>
                <w:kern w:val="0"/>
                <w:sz w:val="21"/>
                <w:szCs w:val="21"/>
              </w:rPr>
              <w:t>(HJ637-2018</w:t>
            </w:r>
            <w:r>
              <w:rPr>
                <w:rFonts w:ascii="Times New Roman" w:hAnsi="Times New Roman" w:cs="Times New Roman" w:hint="eastAsia"/>
                <w:kern w:val="0"/>
                <w:sz w:val="21"/>
                <w:szCs w:val="21"/>
              </w:rPr>
              <w:t>)</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盐分</w:t>
            </w:r>
          </w:p>
        </w:tc>
        <w:tc>
          <w:tcPr>
            <w:tcW w:w="17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11"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3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415"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6"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1" w:type="pct"/>
            <w:vMerge/>
            <w:vAlign w:val="center"/>
          </w:tcPr>
          <w:p w:rsidR="004E3021" w:rsidRPr="00E7238D" w:rsidRDefault="004E3021" w:rsidP="00E7238D">
            <w:pPr>
              <w:pStyle w:val="afffffff2"/>
              <w:rPr>
                <w:rFonts w:ascii="Times New Roman" w:hAnsi="Times New Roman" w:cs="Times New Roman"/>
                <w:color w:val="000000" w:themeColor="text1"/>
                <w:kern w:val="0"/>
                <w:sz w:val="21"/>
                <w:szCs w:val="21"/>
              </w:rPr>
            </w:pP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11</w:t>
            </w:r>
          </w:p>
        </w:tc>
        <w:tc>
          <w:tcPr>
            <w:tcW w:w="223"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雨水</w:t>
            </w:r>
          </w:p>
        </w:tc>
        <w:tc>
          <w:tcPr>
            <w:tcW w:w="343"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YS001</w:t>
            </w:r>
          </w:p>
        </w:tc>
        <w:tc>
          <w:tcPr>
            <w:tcW w:w="244"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雨水排放口</w:t>
            </w:r>
          </w:p>
        </w:tc>
        <w:tc>
          <w:tcPr>
            <w:tcW w:w="354"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水温、水流、流速、流量</w:t>
            </w: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氨氮</w:t>
            </w:r>
          </w:p>
        </w:tc>
        <w:tc>
          <w:tcPr>
            <w:tcW w:w="172"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手工</w:t>
            </w:r>
          </w:p>
        </w:tc>
        <w:tc>
          <w:tcPr>
            <w:tcW w:w="211"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54"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32"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415"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246" w:type="pct"/>
            <w:vMerge w:val="restar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混合采样</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至少</w:t>
            </w:r>
            <w:r w:rsidRPr="00E7238D">
              <w:rPr>
                <w:rFonts w:ascii="Times New Roman" w:hAnsi="Times New Roman" w:cs="Times New Roman"/>
                <w:kern w:val="0"/>
                <w:sz w:val="21"/>
                <w:szCs w:val="21"/>
              </w:rPr>
              <w:t>3</w:t>
            </w:r>
            <w:r w:rsidRPr="00E7238D">
              <w:rPr>
                <w:rFonts w:ascii="Times New Roman" w:hAnsi="Times New Roman" w:cs="Times New Roman"/>
                <w:kern w:val="0"/>
                <w:sz w:val="21"/>
                <w:szCs w:val="21"/>
              </w:rPr>
              <w:t>个混合样</w:t>
            </w:r>
          </w:p>
        </w:tc>
        <w:tc>
          <w:tcPr>
            <w:tcW w:w="241" w:type="pct"/>
            <w:vMerge w:val="restart"/>
            <w:vAlign w:val="center"/>
          </w:tcPr>
          <w:p w:rsidR="004E3021" w:rsidRPr="00E7238D" w:rsidRDefault="00606E48" w:rsidP="00E7238D">
            <w:pPr>
              <w:pStyle w:val="afffffff2"/>
              <w:rPr>
                <w:rFonts w:ascii="Times New Roman" w:hAnsi="Times New Roman" w:cs="Times New Roman"/>
                <w:color w:val="000000" w:themeColor="text1"/>
                <w:kern w:val="0"/>
                <w:sz w:val="21"/>
                <w:szCs w:val="21"/>
              </w:rPr>
            </w:pPr>
            <w:r w:rsidRPr="00E7238D">
              <w:rPr>
                <w:rFonts w:ascii="Times New Roman" w:hAnsi="Times New Roman" w:cs="Times New Roman"/>
                <w:color w:val="000000" w:themeColor="text1"/>
                <w:kern w:val="0"/>
                <w:sz w:val="21"/>
                <w:szCs w:val="21"/>
              </w:rPr>
              <w:t>1</w:t>
            </w:r>
            <w:r w:rsidRPr="00E7238D">
              <w:rPr>
                <w:rFonts w:ascii="Times New Roman" w:hAnsi="Times New Roman" w:cs="Times New Roman"/>
                <w:color w:val="000000" w:themeColor="text1"/>
                <w:kern w:val="0"/>
                <w:sz w:val="21"/>
                <w:szCs w:val="21"/>
              </w:rPr>
              <w:t>次</w:t>
            </w:r>
            <w:r w:rsidRPr="00E7238D">
              <w:rPr>
                <w:rFonts w:ascii="Times New Roman" w:hAnsi="Times New Roman" w:cs="Times New Roman"/>
                <w:color w:val="000000" w:themeColor="text1"/>
                <w:kern w:val="0"/>
                <w:sz w:val="21"/>
                <w:szCs w:val="21"/>
              </w:rPr>
              <w:t>/</w:t>
            </w:r>
            <w:r w:rsidRPr="00E7238D">
              <w:rPr>
                <w:rFonts w:ascii="Times New Roman" w:hAnsi="Times New Roman" w:cs="Times New Roman"/>
                <w:color w:val="000000" w:themeColor="text1"/>
                <w:kern w:val="0"/>
                <w:sz w:val="21"/>
                <w:szCs w:val="21"/>
              </w:rPr>
              <w:t>月</w:t>
            </w: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水质</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氨氮的测定</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纳氏试剂分光光度法</w:t>
            </w:r>
            <w:r w:rsidRPr="00E7238D">
              <w:rPr>
                <w:rFonts w:ascii="Times New Roman" w:hAnsi="Times New Roman" w:cs="Times New Roman"/>
                <w:kern w:val="0"/>
                <w:sz w:val="21"/>
                <w:szCs w:val="21"/>
              </w:rPr>
              <w:t xml:space="preserve"> HJ 535-2009</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pH</w:t>
            </w:r>
          </w:p>
        </w:tc>
        <w:tc>
          <w:tcPr>
            <w:tcW w:w="17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11"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3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415"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6"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1" w:type="pct"/>
            <w:vMerge/>
            <w:vAlign w:val="center"/>
          </w:tcPr>
          <w:p w:rsidR="004E3021" w:rsidRPr="00E7238D" w:rsidRDefault="004E3021" w:rsidP="00E7238D">
            <w:pPr>
              <w:pStyle w:val="afffffff2"/>
              <w:rPr>
                <w:rFonts w:ascii="Times New Roman" w:hAnsi="Times New Roman" w:cs="Times New Roman"/>
                <w:color w:val="000000" w:themeColor="text1"/>
                <w:kern w:val="0"/>
                <w:sz w:val="21"/>
                <w:szCs w:val="21"/>
              </w:rPr>
            </w:pP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COD</w:t>
            </w:r>
          </w:p>
        </w:tc>
        <w:tc>
          <w:tcPr>
            <w:tcW w:w="17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11"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3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415"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6"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1" w:type="pct"/>
            <w:vMerge/>
            <w:vAlign w:val="center"/>
          </w:tcPr>
          <w:p w:rsidR="004E3021" w:rsidRPr="00E7238D" w:rsidRDefault="004E3021" w:rsidP="00E7238D">
            <w:pPr>
              <w:pStyle w:val="afffffff2"/>
              <w:rPr>
                <w:rFonts w:ascii="Times New Roman" w:hAnsi="Times New Roman" w:cs="Times New Roman"/>
                <w:color w:val="000000" w:themeColor="text1"/>
                <w:kern w:val="0"/>
                <w:sz w:val="21"/>
                <w:szCs w:val="21"/>
              </w:rPr>
            </w:pP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水质</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化学需氧量的测定</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重铬酸盐法</w:t>
            </w:r>
            <w:r w:rsidRPr="00E7238D">
              <w:rPr>
                <w:rFonts w:ascii="Times New Roman" w:hAnsi="Times New Roman" w:cs="Times New Roman"/>
                <w:kern w:val="0"/>
                <w:sz w:val="21"/>
                <w:szCs w:val="21"/>
              </w:rPr>
              <w:t xml:space="preserve"> HJ 828-2017</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2C01DC">
        <w:trPr>
          <w:trHeight w:val="648"/>
        </w:trPr>
        <w:tc>
          <w:tcPr>
            <w:tcW w:w="15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2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43"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3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733"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SS</w:t>
            </w:r>
          </w:p>
        </w:tc>
        <w:tc>
          <w:tcPr>
            <w:tcW w:w="17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11"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54"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32"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415"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6" w:type="pct"/>
            <w:vMerge/>
            <w:vAlign w:val="center"/>
          </w:tcPr>
          <w:p w:rsidR="004E3021" w:rsidRPr="00E7238D" w:rsidRDefault="004E3021" w:rsidP="00E7238D">
            <w:pPr>
              <w:pStyle w:val="afffffff2"/>
              <w:rPr>
                <w:rFonts w:ascii="Times New Roman" w:hAnsi="Times New Roman" w:cs="Times New Roman"/>
                <w:kern w:val="0"/>
                <w:sz w:val="21"/>
                <w:szCs w:val="21"/>
              </w:rPr>
            </w:pPr>
          </w:p>
        </w:tc>
        <w:tc>
          <w:tcPr>
            <w:tcW w:w="241" w:type="pct"/>
            <w:vMerge/>
            <w:vAlign w:val="center"/>
          </w:tcPr>
          <w:p w:rsidR="004E3021" w:rsidRPr="00E7238D" w:rsidRDefault="004E3021" w:rsidP="00E7238D">
            <w:pPr>
              <w:pStyle w:val="afffffff2"/>
              <w:rPr>
                <w:rFonts w:ascii="Times New Roman" w:hAnsi="Times New Roman" w:cs="Times New Roman"/>
                <w:color w:val="000000" w:themeColor="text1"/>
                <w:kern w:val="0"/>
                <w:sz w:val="21"/>
                <w:szCs w:val="21"/>
              </w:rPr>
            </w:pPr>
          </w:p>
        </w:tc>
        <w:tc>
          <w:tcPr>
            <w:tcW w:w="1008" w:type="pct"/>
            <w:vAlign w:val="center"/>
          </w:tcPr>
          <w:p w:rsidR="004E3021" w:rsidRPr="00E7238D" w:rsidRDefault="00606E48" w:rsidP="00E7238D">
            <w:pPr>
              <w:pStyle w:val="afffffff2"/>
              <w:rPr>
                <w:rFonts w:ascii="Times New Roman" w:hAnsi="Times New Roman" w:cs="Times New Roman"/>
                <w:kern w:val="0"/>
                <w:sz w:val="21"/>
                <w:szCs w:val="21"/>
              </w:rPr>
            </w:pPr>
            <w:r w:rsidRPr="00E7238D">
              <w:rPr>
                <w:rFonts w:ascii="Times New Roman" w:hAnsi="Times New Roman" w:cs="Times New Roman"/>
                <w:kern w:val="0"/>
                <w:sz w:val="21"/>
                <w:szCs w:val="21"/>
              </w:rPr>
              <w:t>水质</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悬浮物的测定</w:t>
            </w:r>
            <w:r w:rsidRPr="00E7238D">
              <w:rPr>
                <w:rFonts w:ascii="Times New Roman" w:hAnsi="Times New Roman" w:cs="Times New Roman"/>
                <w:kern w:val="0"/>
                <w:sz w:val="21"/>
                <w:szCs w:val="21"/>
              </w:rPr>
              <w:t xml:space="preserve"> </w:t>
            </w:r>
            <w:r w:rsidRPr="00E7238D">
              <w:rPr>
                <w:rFonts w:ascii="Times New Roman" w:hAnsi="Times New Roman" w:cs="Times New Roman"/>
                <w:kern w:val="0"/>
                <w:sz w:val="21"/>
                <w:szCs w:val="21"/>
              </w:rPr>
              <w:t>重量法</w:t>
            </w:r>
            <w:r w:rsidRPr="00E7238D">
              <w:rPr>
                <w:rFonts w:ascii="Times New Roman" w:hAnsi="Times New Roman" w:cs="Times New Roman"/>
                <w:kern w:val="0"/>
                <w:sz w:val="21"/>
                <w:szCs w:val="21"/>
              </w:rPr>
              <w:t xml:space="preserve"> GB 11901-1989</w:t>
            </w:r>
          </w:p>
        </w:tc>
        <w:tc>
          <w:tcPr>
            <w:tcW w:w="171" w:type="pct"/>
            <w:vAlign w:val="center"/>
          </w:tcPr>
          <w:p w:rsidR="004E3021" w:rsidRPr="00E7238D" w:rsidRDefault="004E3021" w:rsidP="00E7238D">
            <w:pPr>
              <w:pStyle w:val="afffffff2"/>
              <w:rPr>
                <w:rFonts w:ascii="Times New Roman" w:hAnsi="Times New Roman" w:cs="Times New Roman"/>
                <w:kern w:val="0"/>
                <w:sz w:val="21"/>
                <w:szCs w:val="21"/>
              </w:rPr>
            </w:pPr>
          </w:p>
        </w:tc>
      </w:tr>
      <w:tr w:rsidR="004E3021" w:rsidRPr="00E7238D" w:rsidTr="00E7238D">
        <w:trPr>
          <w:trHeight w:val="648"/>
        </w:trPr>
        <w:tc>
          <w:tcPr>
            <w:tcW w:w="5000" w:type="pct"/>
            <w:gridSpan w:val="15"/>
            <w:vAlign w:val="center"/>
          </w:tcPr>
          <w:p w:rsidR="004E3021" w:rsidRPr="00E7238D" w:rsidRDefault="00606E48" w:rsidP="00E7238D">
            <w:pPr>
              <w:pStyle w:val="afffffff2"/>
              <w:rPr>
                <w:rFonts w:ascii="Times New Roman" w:hAnsi="Times New Roman" w:cs="Times New Roman"/>
                <w:color w:val="000000" w:themeColor="text1"/>
                <w:kern w:val="0"/>
                <w:sz w:val="21"/>
                <w:szCs w:val="21"/>
              </w:rPr>
            </w:pPr>
            <w:r w:rsidRPr="00E7238D">
              <w:rPr>
                <w:rFonts w:ascii="Times New Roman" w:hAnsi="Times New Roman" w:cs="Times New Roman"/>
                <w:color w:val="000000" w:themeColor="text1"/>
                <w:kern w:val="0"/>
                <w:sz w:val="21"/>
                <w:szCs w:val="21"/>
              </w:rPr>
              <w:t>注：雨水排放口有流动水排放时开展监测，排放期间按月监测，如监测一年无异常情况，可放宽至每季度开展一次监测。</w:t>
            </w:r>
          </w:p>
          <w:p w:rsidR="004E3021" w:rsidRPr="00E7238D" w:rsidRDefault="00606E48" w:rsidP="00E7238D">
            <w:pPr>
              <w:pStyle w:val="afffffff2"/>
              <w:rPr>
                <w:rFonts w:ascii="Times New Roman" w:hAnsi="Times New Roman" w:cs="Times New Roman"/>
                <w:color w:val="000000" w:themeColor="text1"/>
                <w:kern w:val="0"/>
                <w:sz w:val="21"/>
                <w:szCs w:val="21"/>
              </w:rPr>
            </w:pPr>
            <w:r w:rsidRPr="00E7238D">
              <w:rPr>
                <w:rFonts w:ascii="Times New Roman" w:hAnsi="Times New Roman" w:cs="Times New Roman"/>
                <w:color w:val="000000" w:themeColor="text1"/>
                <w:kern w:val="0"/>
                <w:sz w:val="21"/>
                <w:szCs w:val="21"/>
              </w:rPr>
              <w:t>VOCs</w:t>
            </w:r>
            <w:r w:rsidRPr="00E7238D">
              <w:rPr>
                <w:rFonts w:ascii="Times New Roman" w:hAnsi="Times New Roman" w:cs="Times New Roman"/>
                <w:color w:val="000000" w:themeColor="text1"/>
                <w:kern w:val="0"/>
                <w:sz w:val="21"/>
                <w:szCs w:val="21"/>
              </w:rPr>
              <w:t>用非甲烷总烃计。</w:t>
            </w:r>
          </w:p>
        </w:tc>
      </w:tr>
    </w:tbl>
    <w:p w:rsidR="004E3021" w:rsidRDefault="00606E48">
      <w:pPr>
        <w:pStyle w:val="afffff4"/>
        <w:ind w:firstLine="480"/>
        <w:rPr>
          <w:rFonts w:cs="Times New Roman"/>
        </w:rPr>
      </w:pPr>
      <w:r>
        <w:rPr>
          <w:rFonts w:ascii="黑体" w:hAnsi="黑体" w:hint="eastAsia"/>
        </w:rPr>
        <w:t>表</w:t>
      </w:r>
      <w:r>
        <w:rPr>
          <w:rFonts w:hint="eastAsia"/>
        </w:rPr>
        <w:t>8.4.2-2</w:t>
      </w:r>
      <w:r>
        <w:t xml:space="preserve">  </w:t>
      </w:r>
      <w:r>
        <w:rPr>
          <w:rFonts w:ascii="黑体" w:hAnsi="黑体" w:hint="eastAsia"/>
        </w:rPr>
        <w:t>噪声及</w:t>
      </w:r>
      <w:r>
        <w:rPr>
          <w:rFonts w:ascii="黑体" w:hAnsi="黑体"/>
        </w:rPr>
        <w:t>自行监测</w:t>
      </w:r>
      <w:r>
        <w:rPr>
          <w:rFonts w:ascii="黑体" w:hAnsi="黑体" w:hint="eastAsia"/>
        </w:rPr>
        <w:t>及</w:t>
      </w:r>
      <w:r>
        <w:rPr>
          <w:rFonts w:ascii="黑体" w:hAnsi="黑体"/>
        </w:rPr>
        <w:t>记录信息表</w:t>
      </w:r>
    </w:p>
    <w:tbl>
      <w:tblPr>
        <w:tblW w:w="5000" w:type="pct"/>
        <w:jc w:val="center"/>
        <w:tblLook w:val="04A0" w:firstRow="1" w:lastRow="0" w:firstColumn="1" w:lastColumn="0" w:noHBand="0" w:noVBand="1"/>
      </w:tblPr>
      <w:tblGrid>
        <w:gridCol w:w="1095"/>
        <w:gridCol w:w="1907"/>
        <w:gridCol w:w="1094"/>
        <w:gridCol w:w="3708"/>
        <w:gridCol w:w="1530"/>
        <w:gridCol w:w="4626"/>
      </w:tblGrid>
      <w:tr w:rsidR="004E3021">
        <w:trPr>
          <w:jc w:val="center"/>
        </w:trPr>
        <w:tc>
          <w:tcPr>
            <w:tcW w:w="392" w:type="pct"/>
            <w:tcBorders>
              <w:top w:val="single" w:sz="12" w:space="0" w:color="auto"/>
              <w:left w:val="nil"/>
              <w:bottom w:val="single" w:sz="4" w:space="0" w:color="auto"/>
              <w:right w:val="single" w:sz="4" w:space="0" w:color="auto"/>
            </w:tcBorders>
          </w:tcPr>
          <w:p w:rsidR="004E3021" w:rsidRDefault="00606E48">
            <w:pPr>
              <w:pStyle w:val="afffffff2"/>
              <w:rPr>
                <w:kern w:val="0"/>
                <w:szCs w:val="20"/>
              </w:rPr>
            </w:pPr>
            <w:r>
              <w:rPr>
                <w:kern w:val="0"/>
                <w:szCs w:val="20"/>
              </w:rPr>
              <w:t>监测点位</w:t>
            </w:r>
          </w:p>
        </w:tc>
        <w:tc>
          <w:tcPr>
            <w:tcW w:w="683" w:type="pct"/>
            <w:tcBorders>
              <w:top w:val="single" w:sz="12" w:space="0" w:color="auto"/>
              <w:left w:val="single" w:sz="4" w:space="0" w:color="auto"/>
              <w:bottom w:val="single" w:sz="4" w:space="0" w:color="auto"/>
              <w:right w:val="single" w:sz="4" w:space="0" w:color="auto"/>
            </w:tcBorders>
          </w:tcPr>
          <w:p w:rsidR="004E3021" w:rsidRDefault="00606E48">
            <w:pPr>
              <w:pStyle w:val="afffffff2"/>
              <w:rPr>
                <w:kern w:val="0"/>
                <w:szCs w:val="20"/>
              </w:rPr>
            </w:pPr>
            <w:r>
              <w:rPr>
                <w:kern w:val="0"/>
                <w:szCs w:val="20"/>
              </w:rPr>
              <w:t>监测项目</w:t>
            </w:r>
          </w:p>
        </w:tc>
        <w:tc>
          <w:tcPr>
            <w:tcW w:w="392" w:type="pct"/>
            <w:tcBorders>
              <w:top w:val="single" w:sz="12" w:space="0" w:color="auto"/>
              <w:left w:val="single" w:sz="4" w:space="0" w:color="auto"/>
              <w:bottom w:val="single" w:sz="4" w:space="0" w:color="auto"/>
              <w:right w:val="single" w:sz="4" w:space="0" w:color="auto"/>
            </w:tcBorders>
          </w:tcPr>
          <w:p w:rsidR="004E3021" w:rsidRDefault="00606E48">
            <w:pPr>
              <w:pStyle w:val="afffffff2"/>
              <w:rPr>
                <w:kern w:val="0"/>
                <w:szCs w:val="20"/>
              </w:rPr>
            </w:pPr>
            <w:r>
              <w:rPr>
                <w:kern w:val="0"/>
                <w:szCs w:val="20"/>
              </w:rPr>
              <w:t>监测设施</w:t>
            </w:r>
          </w:p>
        </w:tc>
        <w:tc>
          <w:tcPr>
            <w:tcW w:w="1328" w:type="pct"/>
            <w:tcBorders>
              <w:top w:val="single" w:sz="12" w:space="0" w:color="auto"/>
              <w:left w:val="single" w:sz="4" w:space="0" w:color="auto"/>
              <w:bottom w:val="single" w:sz="4" w:space="0" w:color="auto"/>
              <w:right w:val="single" w:sz="4" w:space="0" w:color="auto"/>
            </w:tcBorders>
          </w:tcPr>
          <w:p w:rsidR="004E3021" w:rsidRDefault="00606E48">
            <w:pPr>
              <w:pStyle w:val="afffffff2"/>
              <w:rPr>
                <w:kern w:val="0"/>
                <w:szCs w:val="20"/>
              </w:rPr>
            </w:pPr>
            <w:r>
              <w:rPr>
                <w:kern w:val="0"/>
                <w:szCs w:val="20"/>
              </w:rPr>
              <w:t>手工监测采样方法及个数</w:t>
            </w:r>
          </w:p>
        </w:tc>
        <w:tc>
          <w:tcPr>
            <w:tcW w:w="548" w:type="pct"/>
            <w:tcBorders>
              <w:top w:val="single" w:sz="12" w:space="0" w:color="auto"/>
              <w:left w:val="single" w:sz="4" w:space="0" w:color="auto"/>
              <w:bottom w:val="single" w:sz="4" w:space="0" w:color="auto"/>
              <w:right w:val="single" w:sz="4" w:space="0" w:color="auto"/>
            </w:tcBorders>
          </w:tcPr>
          <w:p w:rsidR="004E3021" w:rsidRDefault="00606E48">
            <w:pPr>
              <w:pStyle w:val="afffffff2"/>
              <w:rPr>
                <w:kern w:val="0"/>
                <w:szCs w:val="20"/>
              </w:rPr>
            </w:pPr>
            <w:r>
              <w:rPr>
                <w:kern w:val="0"/>
                <w:szCs w:val="20"/>
              </w:rPr>
              <w:t>手工监测频次</w:t>
            </w:r>
          </w:p>
        </w:tc>
        <w:tc>
          <w:tcPr>
            <w:tcW w:w="1657" w:type="pct"/>
            <w:tcBorders>
              <w:top w:val="single" w:sz="12" w:space="0" w:color="auto"/>
              <w:left w:val="single" w:sz="4" w:space="0" w:color="auto"/>
              <w:bottom w:val="single" w:sz="4" w:space="0" w:color="auto"/>
              <w:right w:val="nil"/>
            </w:tcBorders>
          </w:tcPr>
          <w:p w:rsidR="004E3021" w:rsidRDefault="00606E48">
            <w:pPr>
              <w:pStyle w:val="afffffff2"/>
              <w:rPr>
                <w:kern w:val="0"/>
                <w:szCs w:val="20"/>
              </w:rPr>
            </w:pPr>
            <w:r>
              <w:rPr>
                <w:kern w:val="0"/>
                <w:szCs w:val="20"/>
              </w:rPr>
              <w:t>手工测定方法</w:t>
            </w:r>
          </w:p>
        </w:tc>
      </w:tr>
      <w:tr w:rsidR="004E3021">
        <w:trPr>
          <w:jc w:val="center"/>
        </w:trPr>
        <w:tc>
          <w:tcPr>
            <w:tcW w:w="392" w:type="pct"/>
            <w:tcBorders>
              <w:top w:val="single" w:sz="4" w:space="0" w:color="auto"/>
              <w:left w:val="nil"/>
              <w:bottom w:val="single" w:sz="12" w:space="0" w:color="auto"/>
              <w:right w:val="single" w:sz="4" w:space="0" w:color="auto"/>
            </w:tcBorders>
          </w:tcPr>
          <w:p w:rsidR="004E3021" w:rsidRDefault="00606E48">
            <w:pPr>
              <w:pStyle w:val="afffffff2"/>
              <w:rPr>
                <w:kern w:val="0"/>
                <w:szCs w:val="20"/>
              </w:rPr>
            </w:pPr>
            <w:r>
              <w:rPr>
                <w:kern w:val="0"/>
                <w:szCs w:val="20"/>
              </w:rPr>
              <w:t>厂界四周</w:t>
            </w:r>
          </w:p>
        </w:tc>
        <w:tc>
          <w:tcPr>
            <w:tcW w:w="683" w:type="pct"/>
            <w:tcBorders>
              <w:top w:val="single" w:sz="4" w:space="0" w:color="auto"/>
              <w:left w:val="single" w:sz="4" w:space="0" w:color="auto"/>
              <w:bottom w:val="single" w:sz="12" w:space="0" w:color="auto"/>
              <w:right w:val="single" w:sz="4" w:space="0" w:color="auto"/>
            </w:tcBorders>
          </w:tcPr>
          <w:p w:rsidR="004E3021" w:rsidRDefault="00606E48">
            <w:pPr>
              <w:pStyle w:val="afffffff2"/>
              <w:rPr>
                <w:kern w:val="0"/>
                <w:szCs w:val="20"/>
              </w:rPr>
            </w:pPr>
            <w:r>
              <w:rPr>
                <w:kern w:val="0"/>
                <w:szCs w:val="20"/>
              </w:rPr>
              <w:t>等效连续</w:t>
            </w:r>
            <w:r>
              <w:rPr>
                <w:kern w:val="0"/>
                <w:szCs w:val="20"/>
              </w:rPr>
              <w:t xml:space="preserve"> A </w:t>
            </w:r>
            <w:r>
              <w:rPr>
                <w:kern w:val="0"/>
                <w:szCs w:val="20"/>
              </w:rPr>
              <w:t>声级</w:t>
            </w:r>
          </w:p>
        </w:tc>
        <w:tc>
          <w:tcPr>
            <w:tcW w:w="392" w:type="pct"/>
            <w:tcBorders>
              <w:top w:val="single" w:sz="4" w:space="0" w:color="auto"/>
              <w:left w:val="single" w:sz="4" w:space="0" w:color="auto"/>
              <w:bottom w:val="single" w:sz="12" w:space="0" w:color="auto"/>
              <w:right w:val="single" w:sz="4" w:space="0" w:color="auto"/>
            </w:tcBorders>
          </w:tcPr>
          <w:p w:rsidR="004E3021" w:rsidRDefault="00606E48">
            <w:pPr>
              <w:pStyle w:val="afffffff2"/>
              <w:rPr>
                <w:kern w:val="0"/>
                <w:szCs w:val="20"/>
              </w:rPr>
            </w:pPr>
            <w:r>
              <w:rPr>
                <w:kern w:val="0"/>
                <w:szCs w:val="20"/>
              </w:rPr>
              <w:t>手工</w:t>
            </w:r>
          </w:p>
        </w:tc>
        <w:tc>
          <w:tcPr>
            <w:tcW w:w="1328" w:type="pct"/>
            <w:tcBorders>
              <w:top w:val="single" w:sz="4" w:space="0" w:color="auto"/>
              <w:left w:val="single" w:sz="4" w:space="0" w:color="auto"/>
              <w:bottom w:val="single" w:sz="12" w:space="0" w:color="auto"/>
              <w:right w:val="single" w:sz="4" w:space="0" w:color="auto"/>
            </w:tcBorders>
          </w:tcPr>
          <w:p w:rsidR="004E3021" w:rsidRDefault="00606E48">
            <w:pPr>
              <w:pStyle w:val="afffffff2"/>
              <w:rPr>
                <w:kern w:val="0"/>
                <w:szCs w:val="20"/>
              </w:rPr>
            </w:pPr>
            <w:r>
              <w:rPr>
                <w:rFonts w:hint="eastAsia"/>
                <w:kern w:val="0"/>
                <w:szCs w:val="20"/>
              </w:rPr>
              <w:t>厂界</w:t>
            </w:r>
            <w:r>
              <w:rPr>
                <w:kern w:val="0"/>
                <w:szCs w:val="20"/>
              </w:rPr>
              <w:t>四周布设</w:t>
            </w:r>
            <w:r>
              <w:rPr>
                <w:kern w:val="0"/>
                <w:szCs w:val="20"/>
              </w:rPr>
              <w:t>4</w:t>
            </w:r>
            <w:r>
              <w:rPr>
                <w:kern w:val="0"/>
                <w:szCs w:val="20"/>
              </w:rPr>
              <w:t>个点位，昼夜各一次</w:t>
            </w:r>
          </w:p>
        </w:tc>
        <w:tc>
          <w:tcPr>
            <w:tcW w:w="548" w:type="pct"/>
            <w:tcBorders>
              <w:top w:val="single" w:sz="4" w:space="0" w:color="auto"/>
              <w:left w:val="single" w:sz="4" w:space="0" w:color="auto"/>
              <w:bottom w:val="single" w:sz="12" w:space="0" w:color="auto"/>
              <w:right w:val="single" w:sz="4" w:space="0" w:color="auto"/>
            </w:tcBorders>
          </w:tcPr>
          <w:p w:rsidR="004E3021" w:rsidRDefault="00606E48">
            <w:pPr>
              <w:pStyle w:val="afffffff2"/>
              <w:rPr>
                <w:kern w:val="0"/>
                <w:szCs w:val="20"/>
              </w:rPr>
            </w:pPr>
            <w:r>
              <w:rPr>
                <w:kern w:val="0"/>
                <w:szCs w:val="20"/>
              </w:rPr>
              <w:t>1</w:t>
            </w:r>
            <w:r>
              <w:rPr>
                <w:kern w:val="0"/>
                <w:szCs w:val="20"/>
              </w:rPr>
              <w:t>次</w:t>
            </w:r>
            <w:r>
              <w:rPr>
                <w:kern w:val="0"/>
                <w:szCs w:val="20"/>
              </w:rPr>
              <w:t>/</w:t>
            </w:r>
            <w:r>
              <w:rPr>
                <w:rFonts w:hint="eastAsia"/>
                <w:kern w:val="0"/>
                <w:szCs w:val="20"/>
              </w:rPr>
              <w:t>季</w:t>
            </w:r>
          </w:p>
        </w:tc>
        <w:tc>
          <w:tcPr>
            <w:tcW w:w="1657" w:type="pct"/>
            <w:tcBorders>
              <w:top w:val="single" w:sz="4" w:space="0" w:color="auto"/>
              <w:left w:val="single" w:sz="4" w:space="0" w:color="auto"/>
              <w:bottom w:val="single" w:sz="12" w:space="0" w:color="auto"/>
              <w:right w:val="nil"/>
            </w:tcBorders>
          </w:tcPr>
          <w:p w:rsidR="004E3021" w:rsidRDefault="00606E48">
            <w:pPr>
              <w:pStyle w:val="afffffff2"/>
              <w:rPr>
                <w:kern w:val="0"/>
                <w:szCs w:val="20"/>
              </w:rPr>
            </w:pPr>
            <w:r>
              <w:rPr>
                <w:kern w:val="0"/>
                <w:szCs w:val="20"/>
              </w:rPr>
              <w:t>工业企业厂界噪声排放标准（</w:t>
            </w:r>
            <w:r>
              <w:rPr>
                <w:kern w:val="0"/>
                <w:szCs w:val="20"/>
              </w:rPr>
              <w:t>GB12348-2008</w:t>
            </w:r>
            <w:r>
              <w:rPr>
                <w:kern w:val="0"/>
                <w:szCs w:val="20"/>
              </w:rPr>
              <w:t>）</w:t>
            </w:r>
          </w:p>
        </w:tc>
      </w:tr>
    </w:tbl>
    <w:p w:rsidR="004E3021" w:rsidRDefault="004E3021">
      <w:pPr>
        <w:widowControl/>
        <w:ind w:firstLineChars="0" w:firstLine="0"/>
        <w:jc w:val="left"/>
        <w:rPr>
          <w:rFonts w:eastAsia="黑体"/>
          <w:sz w:val="28"/>
          <w:szCs w:val="28"/>
        </w:rPr>
        <w:sectPr w:rsidR="004E3021">
          <w:pgSz w:w="16840" w:h="11907" w:orient="landscape"/>
          <w:pgMar w:top="1440" w:right="1440" w:bottom="1440" w:left="1440" w:header="851" w:footer="992" w:gutter="0"/>
          <w:cols w:space="720"/>
          <w:docGrid w:type="lines" w:linePitch="326"/>
        </w:sectPr>
      </w:pPr>
    </w:p>
    <w:p w:rsidR="004E3021" w:rsidRDefault="00606E48">
      <w:pPr>
        <w:pStyle w:val="afffffffffffffffff4"/>
      </w:pPr>
      <w:bookmarkStart w:id="861" w:name="_Toc108662748"/>
      <w:bookmarkStart w:id="862" w:name="_Toc101135971"/>
      <w:bookmarkStart w:id="863" w:name="_Toc100784138"/>
      <w:bookmarkStart w:id="864" w:name="_Toc221088903"/>
      <w:bookmarkStart w:id="865" w:name="_Toc221501118"/>
      <w:r>
        <w:rPr>
          <w:rFonts w:hint="eastAsia"/>
        </w:rPr>
        <w:lastRenderedPageBreak/>
        <w:t>8.4.3</w:t>
      </w:r>
      <w:r>
        <w:rPr>
          <w:rFonts w:ascii="黑体" w:hAnsi="黑体" w:hint="eastAsia"/>
        </w:rPr>
        <w:t>环境</w:t>
      </w:r>
      <w:r>
        <w:rPr>
          <w:rFonts w:ascii="黑体" w:hAnsi="黑体"/>
        </w:rPr>
        <w:t>质量监测</w:t>
      </w:r>
      <w:bookmarkEnd w:id="861"/>
      <w:bookmarkEnd w:id="862"/>
      <w:bookmarkEnd w:id="863"/>
      <w:bookmarkEnd w:id="864"/>
      <w:bookmarkEnd w:id="865"/>
    </w:p>
    <w:p w:rsidR="004E3021" w:rsidRDefault="00606E48">
      <w:pPr>
        <w:ind w:firstLine="480"/>
      </w:pPr>
      <w:r>
        <w:rPr>
          <w:rFonts w:ascii="宋体" w:hAnsi="宋体" w:hint="eastAsia"/>
        </w:rPr>
        <w:t>（</w:t>
      </w:r>
      <w:r>
        <w:rPr>
          <w:rFonts w:hint="eastAsia"/>
        </w:rPr>
        <w:t>1</w:t>
      </w:r>
      <w:r>
        <w:rPr>
          <w:rFonts w:ascii="宋体" w:hAnsi="宋体" w:hint="eastAsia"/>
        </w:rPr>
        <w:t>）大气</w:t>
      </w:r>
      <w:r>
        <w:rPr>
          <w:rFonts w:ascii="宋体" w:hAnsi="宋体"/>
        </w:rPr>
        <w:t>环境</w:t>
      </w:r>
    </w:p>
    <w:p w:rsidR="004E3021" w:rsidRDefault="00606E48">
      <w:pPr>
        <w:ind w:firstLine="480"/>
        <w:rPr>
          <w:kern w:val="0"/>
        </w:rPr>
      </w:pPr>
      <w:r>
        <w:rPr>
          <w:rFonts w:ascii="宋体" w:hAnsi="宋体" w:hint="eastAsia"/>
        </w:rPr>
        <w:t>在</w:t>
      </w:r>
      <w:r>
        <w:rPr>
          <w:rFonts w:ascii="宋体" w:hAnsi="宋体"/>
        </w:rPr>
        <w:t>厂区下风向</w:t>
      </w:r>
      <w:r>
        <w:rPr>
          <w:rFonts w:ascii="宋体" w:hAnsi="宋体" w:hint="eastAsia"/>
        </w:rPr>
        <w:t>丽豪家园</w:t>
      </w:r>
      <w:r>
        <w:rPr>
          <w:rFonts w:ascii="宋体" w:hAnsi="宋体"/>
        </w:rPr>
        <w:t>布设一个监测点，</w:t>
      </w:r>
      <w:r>
        <w:rPr>
          <w:rFonts w:ascii="宋体" w:hAnsi="宋体" w:hint="eastAsia"/>
        </w:rPr>
        <w:t>每年</w:t>
      </w:r>
      <w:r>
        <w:rPr>
          <w:rFonts w:ascii="宋体" w:hAnsi="宋体"/>
        </w:rPr>
        <w:t>监测</w:t>
      </w:r>
      <w:r>
        <w:rPr>
          <w:rFonts w:hint="eastAsia"/>
        </w:rPr>
        <w:t>1</w:t>
      </w:r>
      <w:r>
        <w:rPr>
          <w:rFonts w:ascii="宋体" w:hAnsi="宋体" w:hint="eastAsia"/>
        </w:rPr>
        <w:t>次</w:t>
      </w:r>
      <w:r>
        <w:rPr>
          <w:rFonts w:ascii="宋体" w:hAnsi="宋体"/>
        </w:rPr>
        <w:t>，</w:t>
      </w:r>
      <w:r>
        <w:rPr>
          <w:rFonts w:ascii="宋体" w:hAnsi="宋体" w:hint="eastAsia"/>
        </w:rPr>
        <w:t>监测</w:t>
      </w:r>
      <w:r>
        <w:rPr>
          <w:rFonts w:ascii="宋体" w:hAnsi="宋体"/>
        </w:rPr>
        <w:t>因子</w:t>
      </w:r>
      <w:r>
        <w:rPr>
          <w:rFonts w:ascii="宋体" w:hAnsi="宋体" w:hint="eastAsia"/>
        </w:rPr>
        <w:t>为</w:t>
      </w:r>
      <w:r w:rsidR="00F21E54">
        <w:rPr>
          <w:rFonts w:ascii="宋体" w:hAnsi="宋体" w:hint="eastAsia"/>
        </w:rPr>
        <w:t>颗粒物、</w:t>
      </w:r>
      <w:r>
        <w:rPr>
          <w:rFonts w:hint="eastAsia"/>
          <w:kern w:val="0"/>
        </w:rPr>
        <w:t>H</w:t>
      </w:r>
      <w:r w:rsidR="00F21E54" w:rsidRPr="00F21E54">
        <w:rPr>
          <w:kern w:val="0"/>
          <w:vertAlign w:val="subscript"/>
        </w:rPr>
        <w:t>2</w:t>
      </w:r>
      <w:r w:rsidR="00F21E54">
        <w:rPr>
          <w:rFonts w:hint="eastAsia"/>
          <w:kern w:val="0"/>
        </w:rPr>
        <w:t>S</w:t>
      </w:r>
      <w:r>
        <w:rPr>
          <w:rFonts w:ascii="宋体" w:hAnsi="宋体" w:hint="eastAsia"/>
          <w:kern w:val="0"/>
        </w:rPr>
        <w:t>、</w:t>
      </w:r>
      <w:r>
        <w:t>NH</w:t>
      </w:r>
      <w:r>
        <w:rPr>
          <w:vertAlign w:val="subscript"/>
        </w:rPr>
        <w:t>3</w:t>
      </w:r>
      <w:r>
        <w:rPr>
          <w:rFonts w:ascii="宋体" w:hAnsi="宋体"/>
        </w:rPr>
        <w:t>、</w:t>
      </w:r>
      <w:r>
        <w:rPr>
          <w:rFonts w:hint="eastAsia"/>
          <w:kern w:val="0"/>
        </w:rPr>
        <w:t>非甲烷总</w:t>
      </w:r>
      <w:r>
        <w:rPr>
          <w:kern w:val="0"/>
        </w:rPr>
        <w:t>烃</w:t>
      </w:r>
      <w:r>
        <w:rPr>
          <w:rFonts w:hint="eastAsia"/>
          <w:kern w:val="0"/>
        </w:rPr>
        <w:t>、</w:t>
      </w:r>
      <w:r>
        <w:rPr>
          <w:kern w:val="0"/>
        </w:rPr>
        <w:t>甲醇</w:t>
      </w:r>
      <w:r>
        <w:rPr>
          <w:rFonts w:ascii="宋体" w:hAnsi="宋体"/>
          <w:kern w:val="0"/>
        </w:rPr>
        <w:t>。</w:t>
      </w:r>
    </w:p>
    <w:p w:rsidR="004E3021" w:rsidRDefault="00606E48">
      <w:pPr>
        <w:ind w:firstLine="480"/>
      </w:pPr>
      <w:r>
        <w:rPr>
          <w:rFonts w:ascii="宋体" w:hAnsi="宋体" w:hint="eastAsia"/>
        </w:rPr>
        <w:t>（</w:t>
      </w:r>
      <w:r>
        <w:t>2</w:t>
      </w:r>
      <w:r>
        <w:rPr>
          <w:rFonts w:ascii="宋体" w:hAnsi="宋体" w:hint="eastAsia"/>
        </w:rPr>
        <w:t>）土壤环境</w:t>
      </w:r>
    </w:p>
    <w:p w:rsidR="004E3021" w:rsidRDefault="00606E48">
      <w:pPr>
        <w:ind w:firstLine="480"/>
      </w:pPr>
      <w:r>
        <w:rPr>
          <w:rFonts w:ascii="宋体" w:hAnsi="宋体" w:cs="宋体" w:hint="eastAsia"/>
          <w:kern w:val="0"/>
        </w:rPr>
        <w:t>①</w:t>
      </w:r>
      <w:r>
        <w:rPr>
          <w:kern w:val="0"/>
        </w:rPr>
        <w:t>在厂内污水处理</w:t>
      </w:r>
      <w:r>
        <w:t>区</w:t>
      </w:r>
      <w:r>
        <w:rPr>
          <w:kern w:val="0"/>
        </w:rPr>
        <w:t>采样，</w:t>
      </w:r>
      <w:r>
        <w:rPr>
          <w:rFonts w:hint="eastAsia"/>
          <w:kern w:val="0"/>
        </w:rPr>
        <w:t>0~0.5m</w:t>
      </w:r>
      <w:r>
        <w:rPr>
          <w:rFonts w:hint="eastAsia"/>
          <w:kern w:val="0"/>
        </w:rPr>
        <w:t>表层土壤，</w:t>
      </w:r>
      <w:r>
        <w:rPr>
          <w:kern w:val="0"/>
        </w:rPr>
        <w:t>每</w:t>
      </w:r>
      <w:r>
        <w:rPr>
          <w:rFonts w:hint="eastAsia"/>
          <w:kern w:val="0"/>
        </w:rPr>
        <w:t>一</w:t>
      </w:r>
      <w:r>
        <w:rPr>
          <w:kern w:val="0"/>
        </w:rPr>
        <w:t>年测一次，监测项目为</w:t>
      </w:r>
      <w:r>
        <w:t>《土壤环境质量</w:t>
      </w:r>
      <w:r>
        <w:t xml:space="preserve"> </w:t>
      </w:r>
      <w:r>
        <w:rPr>
          <w:rFonts w:hint="eastAsia"/>
        </w:rPr>
        <w:t>建设</w:t>
      </w:r>
      <w:r>
        <w:t>用地土壤污染风险管控标准》（</w:t>
      </w:r>
      <w:r>
        <w:t>GB36600-2018</w:t>
      </w:r>
      <w:r>
        <w:t>）</w:t>
      </w:r>
      <w:r>
        <w:rPr>
          <w:rFonts w:hint="eastAsia"/>
        </w:rPr>
        <w:t>（试行）基础项目</w:t>
      </w:r>
      <w:r>
        <w:rPr>
          <w:rFonts w:hint="eastAsia"/>
        </w:rPr>
        <w:t>45</w:t>
      </w:r>
      <w:r>
        <w:rPr>
          <w:rFonts w:hint="eastAsia"/>
        </w:rPr>
        <w:t>项</w:t>
      </w:r>
      <w:r>
        <w:t>；</w:t>
      </w:r>
      <w:r>
        <w:t>4~</w:t>
      </w:r>
      <w:r>
        <w:rPr>
          <w:rFonts w:hint="eastAsia"/>
        </w:rPr>
        <w:t>6</w:t>
      </w:r>
      <w:r>
        <w:t>m</w:t>
      </w:r>
      <w:r>
        <w:rPr>
          <w:rFonts w:hint="eastAsia"/>
        </w:rPr>
        <w:t>深层</w:t>
      </w:r>
      <w:r>
        <w:t>土壤</w:t>
      </w:r>
      <w:r>
        <w:rPr>
          <w:rFonts w:hint="eastAsia"/>
          <w:kern w:val="0"/>
        </w:rPr>
        <w:t>，</w:t>
      </w:r>
      <w:r>
        <w:rPr>
          <w:kern w:val="0"/>
        </w:rPr>
        <w:t>每</w:t>
      </w:r>
      <w:r>
        <w:rPr>
          <w:rFonts w:hint="eastAsia"/>
          <w:kern w:val="0"/>
        </w:rPr>
        <w:t>三</w:t>
      </w:r>
      <w:r>
        <w:rPr>
          <w:kern w:val="0"/>
        </w:rPr>
        <w:t>年测一次，监测项目为</w:t>
      </w:r>
      <w:r>
        <w:t>《土壤环境质量</w:t>
      </w:r>
      <w:r>
        <w:t xml:space="preserve"> </w:t>
      </w:r>
      <w:r>
        <w:rPr>
          <w:rFonts w:hint="eastAsia"/>
        </w:rPr>
        <w:t>建设</w:t>
      </w:r>
      <w:r>
        <w:t>用地土壤污染风险管控标准》（</w:t>
      </w:r>
      <w:r>
        <w:t>GB36600-2018</w:t>
      </w:r>
      <w:r>
        <w:t>）</w:t>
      </w:r>
      <w:r>
        <w:rPr>
          <w:rFonts w:hint="eastAsia"/>
        </w:rPr>
        <w:t>（试行）基础项目</w:t>
      </w:r>
      <w:r>
        <w:rPr>
          <w:rFonts w:hint="eastAsia"/>
        </w:rPr>
        <w:t>45</w:t>
      </w:r>
      <w:r>
        <w:rPr>
          <w:rFonts w:hint="eastAsia"/>
        </w:rPr>
        <w:t>项</w:t>
      </w:r>
    </w:p>
    <w:p w:rsidR="004E3021" w:rsidRDefault="00606E48">
      <w:pPr>
        <w:ind w:firstLine="480"/>
        <w:rPr>
          <w:kern w:val="0"/>
        </w:rPr>
      </w:pPr>
      <w:r>
        <w:rPr>
          <w:rFonts w:ascii="宋体" w:hAnsi="宋体" w:cs="宋体" w:hint="eastAsia"/>
        </w:rPr>
        <w:t>②</w:t>
      </w:r>
      <w:r>
        <w:t>在厂区</w:t>
      </w:r>
      <w:r>
        <w:rPr>
          <w:rFonts w:hint="eastAsia"/>
        </w:rPr>
        <w:t>下风向</w:t>
      </w:r>
      <w:r>
        <w:t>采样，每三年测一次，监测项目为《土壤环境质量</w:t>
      </w:r>
      <w:r>
        <w:t xml:space="preserve"> </w:t>
      </w:r>
      <w:r>
        <w:rPr>
          <w:rFonts w:hint="eastAsia"/>
        </w:rPr>
        <w:t>建设</w:t>
      </w:r>
      <w:r>
        <w:t>用地土壤污染风险管控标准》（</w:t>
      </w:r>
      <w:r>
        <w:t>GB36600-2018</w:t>
      </w:r>
      <w:r>
        <w:t>）</w:t>
      </w:r>
      <w:r>
        <w:rPr>
          <w:rFonts w:hint="eastAsia"/>
        </w:rPr>
        <w:t>（试行）基础项目</w:t>
      </w:r>
      <w:r>
        <w:rPr>
          <w:rFonts w:hint="eastAsia"/>
        </w:rPr>
        <w:t>45</w:t>
      </w:r>
      <w:r>
        <w:rPr>
          <w:rFonts w:hint="eastAsia"/>
        </w:rPr>
        <w:t>项</w:t>
      </w:r>
      <w:r>
        <w:rPr>
          <w:kern w:val="0"/>
        </w:rPr>
        <w:t>。</w:t>
      </w:r>
    </w:p>
    <w:p w:rsidR="004E3021" w:rsidRDefault="00606E48">
      <w:pPr>
        <w:ind w:firstLine="480"/>
        <w:rPr>
          <w:kern w:val="0"/>
        </w:rPr>
      </w:pPr>
      <w:r>
        <w:rPr>
          <w:rFonts w:ascii="宋体" w:hAnsi="宋体" w:hint="eastAsia"/>
          <w:kern w:val="0"/>
        </w:rPr>
        <w:t>（</w:t>
      </w:r>
      <w:r>
        <w:rPr>
          <w:kern w:val="0"/>
        </w:rPr>
        <w:t>3</w:t>
      </w:r>
      <w:r>
        <w:rPr>
          <w:rFonts w:ascii="宋体" w:hAnsi="宋体" w:hint="eastAsia"/>
          <w:kern w:val="0"/>
        </w:rPr>
        <w:t>）地下水</w:t>
      </w:r>
      <w:r>
        <w:rPr>
          <w:rFonts w:ascii="宋体" w:hAnsi="宋体"/>
          <w:kern w:val="0"/>
        </w:rPr>
        <w:t>环境</w:t>
      </w:r>
    </w:p>
    <w:p w:rsidR="004E3021" w:rsidRDefault="00606E48">
      <w:pPr>
        <w:ind w:firstLine="480"/>
        <w:rPr>
          <w:kern w:val="0"/>
        </w:rPr>
      </w:pPr>
      <w:r>
        <w:rPr>
          <w:rFonts w:ascii="宋体" w:hAnsi="宋体"/>
        </w:rPr>
        <w:t>按照场地所在水文地质单元的地下水流向，在</w:t>
      </w:r>
      <w:r>
        <w:rPr>
          <w:rFonts w:ascii="宋体" w:hAnsi="宋体" w:hint="eastAsia"/>
        </w:rPr>
        <w:t>污水处理区</w:t>
      </w:r>
      <w:r>
        <w:rPr>
          <w:rFonts w:ascii="宋体" w:hAnsi="宋体"/>
        </w:rPr>
        <w:t>（地下水环境影响跟踪监测点），场地上游（背景值监测点）、下游（污染扩散监测点）各布设</w:t>
      </w:r>
      <w:r>
        <w:t>1</w:t>
      </w:r>
      <w:r>
        <w:rPr>
          <w:rFonts w:ascii="宋体" w:hAnsi="宋体"/>
        </w:rPr>
        <w:t>个地下水水质监测点，每</w:t>
      </w:r>
      <w:r>
        <w:rPr>
          <w:rFonts w:ascii="宋体" w:hAnsi="宋体" w:hint="eastAsia"/>
        </w:rPr>
        <w:t>半年</w:t>
      </w:r>
      <w:r>
        <w:rPr>
          <w:rFonts w:ascii="宋体" w:hAnsi="宋体"/>
        </w:rPr>
        <w:t>监测一次，监测因子为</w:t>
      </w:r>
      <w:r>
        <w:rPr>
          <w:rFonts w:hint="eastAsia"/>
        </w:rPr>
        <w:t>pH</w:t>
      </w:r>
      <w:r>
        <w:rPr>
          <w:rFonts w:hint="eastAsia"/>
        </w:rPr>
        <w:t>、总硬度、溶剂性总固体、硫化物、铁、锰、铜、锌、铝、挥发酚、阴离子表面活性、耗氧量、氨氮、镍、硝酸盐、氟化物、氯化物、汞、砷、硒、镉、六价铬、铅、总大肠菌群、菌落总数</w:t>
      </w:r>
      <w:r>
        <w:rPr>
          <w:rFonts w:ascii="宋体" w:hAnsi="宋体" w:hint="eastAsia"/>
        </w:rPr>
        <w:t>。</w:t>
      </w:r>
    </w:p>
    <w:p w:rsidR="004E3021" w:rsidRDefault="00606E48">
      <w:pPr>
        <w:ind w:firstLine="480"/>
      </w:pPr>
      <w:r>
        <w:rPr>
          <w:rFonts w:ascii="宋体" w:hAnsi="宋体" w:hint="eastAsia"/>
        </w:rPr>
        <w:t>（</w:t>
      </w:r>
      <w:r>
        <w:rPr>
          <w:rFonts w:hint="eastAsia"/>
        </w:rPr>
        <w:t>4</w:t>
      </w:r>
      <w:r>
        <w:rPr>
          <w:rFonts w:ascii="宋体" w:hAnsi="宋体" w:hint="eastAsia"/>
        </w:rPr>
        <w:t>）声</w:t>
      </w:r>
      <w:r>
        <w:rPr>
          <w:rFonts w:ascii="宋体" w:hAnsi="宋体"/>
        </w:rPr>
        <w:t>环境</w:t>
      </w:r>
    </w:p>
    <w:p w:rsidR="004E3021" w:rsidRDefault="00606E48">
      <w:pPr>
        <w:ind w:firstLine="480"/>
      </w:pPr>
      <w:r>
        <w:rPr>
          <w:rFonts w:ascii="宋体" w:hAnsi="宋体"/>
        </w:rPr>
        <w:t>在厂界外布设</w:t>
      </w:r>
      <w:r>
        <w:t>4</w:t>
      </w:r>
      <w:r>
        <w:rPr>
          <w:rFonts w:ascii="宋体" w:hAnsi="宋体"/>
        </w:rPr>
        <w:t>个点，每年监测一天，每天昼夜各监测一次。</w:t>
      </w:r>
    </w:p>
    <w:p w:rsidR="004E3021" w:rsidRDefault="00947F13">
      <w:pPr>
        <w:ind w:firstLine="480"/>
      </w:pPr>
      <w:r>
        <w:rPr>
          <w:rFonts w:hint="eastAsia"/>
        </w:rPr>
        <w:t>本</w:t>
      </w:r>
      <w:r w:rsidR="00606E48">
        <w:rPr>
          <w:rFonts w:ascii="宋体" w:hAnsi="宋体"/>
        </w:rPr>
        <w:t>项目环境质量监测</w:t>
      </w:r>
      <w:r w:rsidR="00606E48">
        <w:rPr>
          <w:rFonts w:ascii="宋体" w:hAnsi="宋体" w:hint="eastAsia"/>
        </w:rPr>
        <w:t>情况具体</w:t>
      </w:r>
      <w:r w:rsidR="00606E48">
        <w:rPr>
          <w:rFonts w:ascii="宋体" w:hAnsi="宋体"/>
        </w:rPr>
        <w:t>见</w:t>
      </w:r>
      <w:r w:rsidR="00606E48">
        <w:rPr>
          <w:rFonts w:ascii="宋体" w:hAnsi="宋体" w:hint="eastAsia"/>
        </w:rPr>
        <w:t>表</w:t>
      </w:r>
      <w:r w:rsidR="00606E48">
        <w:rPr>
          <w:rFonts w:hint="eastAsia"/>
        </w:rPr>
        <w:t>8.4.3-1</w:t>
      </w:r>
      <w:r w:rsidR="00606E48">
        <w:rPr>
          <w:rFonts w:ascii="宋体" w:hAnsi="宋体" w:hint="eastAsia"/>
        </w:rPr>
        <w:t>。</w:t>
      </w:r>
    </w:p>
    <w:p w:rsidR="004E3021" w:rsidRDefault="00606E48">
      <w:pPr>
        <w:pStyle w:val="afffff4"/>
        <w:ind w:firstLine="480"/>
      </w:pPr>
      <w:r>
        <w:rPr>
          <w:rFonts w:ascii="黑体" w:hAnsi="黑体" w:hint="eastAsia"/>
        </w:rPr>
        <w:t>表</w:t>
      </w:r>
      <w:r>
        <w:rPr>
          <w:rFonts w:hint="eastAsia"/>
        </w:rPr>
        <w:t>8.4.3-1</w:t>
      </w:r>
      <w:r>
        <w:t xml:space="preserve">  </w:t>
      </w:r>
      <w:r w:rsidR="00947F13">
        <w:rPr>
          <w:rFonts w:hint="eastAsia"/>
        </w:rPr>
        <w:t>本</w:t>
      </w:r>
      <w:r>
        <w:rPr>
          <w:rFonts w:ascii="黑体" w:hAnsi="黑体" w:hint="eastAsia"/>
        </w:rPr>
        <w:t>项目</w:t>
      </w:r>
      <w:r>
        <w:rPr>
          <w:rFonts w:ascii="黑体" w:hAnsi="黑体"/>
        </w:rPr>
        <w:t>环境质量监测</w:t>
      </w:r>
    </w:p>
    <w:tbl>
      <w:tblPr>
        <w:tblW w:w="5000" w:type="pct"/>
        <w:jc w:val="center"/>
        <w:tblLook w:val="04A0" w:firstRow="1" w:lastRow="0" w:firstColumn="1" w:lastColumn="0" w:noHBand="0" w:noVBand="1"/>
      </w:tblPr>
      <w:tblGrid>
        <w:gridCol w:w="709"/>
        <w:gridCol w:w="1134"/>
        <w:gridCol w:w="1134"/>
        <w:gridCol w:w="5245"/>
        <w:gridCol w:w="805"/>
      </w:tblGrid>
      <w:tr w:rsidR="004E3021" w:rsidRPr="00F21E54">
        <w:trPr>
          <w:jc w:val="center"/>
        </w:trPr>
        <w:tc>
          <w:tcPr>
            <w:tcW w:w="393" w:type="pct"/>
            <w:tcBorders>
              <w:top w:val="single" w:sz="12" w:space="0" w:color="auto"/>
              <w:left w:val="nil"/>
              <w:bottom w:val="single" w:sz="4" w:space="0" w:color="auto"/>
              <w:right w:val="single" w:sz="4" w:space="0" w:color="auto"/>
            </w:tcBorders>
            <w:vAlign w:val="center"/>
          </w:tcPr>
          <w:p w:rsidR="004E3021" w:rsidRPr="00F21E54" w:rsidRDefault="00606E48">
            <w:pPr>
              <w:pStyle w:val="afffffff2"/>
              <w:rPr>
                <w:b/>
                <w:kern w:val="0"/>
                <w:sz w:val="21"/>
                <w:szCs w:val="21"/>
              </w:rPr>
            </w:pPr>
            <w:r w:rsidRPr="00F21E54">
              <w:rPr>
                <w:rFonts w:hint="eastAsia"/>
                <w:b/>
                <w:kern w:val="0"/>
                <w:sz w:val="21"/>
                <w:szCs w:val="21"/>
              </w:rPr>
              <w:t>环境</w:t>
            </w:r>
            <w:r w:rsidRPr="00F21E54">
              <w:rPr>
                <w:b/>
                <w:kern w:val="0"/>
                <w:sz w:val="21"/>
                <w:szCs w:val="21"/>
              </w:rPr>
              <w:t>要素</w:t>
            </w:r>
          </w:p>
        </w:tc>
        <w:tc>
          <w:tcPr>
            <w:tcW w:w="1256" w:type="pct"/>
            <w:gridSpan w:val="2"/>
            <w:tcBorders>
              <w:top w:val="single" w:sz="12" w:space="0" w:color="auto"/>
              <w:left w:val="single" w:sz="4" w:space="0" w:color="auto"/>
              <w:bottom w:val="single" w:sz="4" w:space="0" w:color="auto"/>
              <w:right w:val="single" w:sz="4" w:space="0" w:color="auto"/>
            </w:tcBorders>
            <w:vAlign w:val="center"/>
          </w:tcPr>
          <w:p w:rsidR="004E3021" w:rsidRPr="00F21E54" w:rsidRDefault="00606E48">
            <w:pPr>
              <w:pStyle w:val="afffffff2"/>
              <w:rPr>
                <w:b/>
                <w:kern w:val="0"/>
                <w:sz w:val="21"/>
                <w:szCs w:val="21"/>
              </w:rPr>
            </w:pPr>
            <w:r w:rsidRPr="00F21E54">
              <w:rPr>
                <w:rFonts w:hint="eastAsia"/>
                <w:b/>
                <w:kern w:val="0"/>
                <w:sz w:val="21"/>
                <w:szCs w:val="21"/>
              </w:rPr>
              <w:t>监测</w:t>
            </w:r>
            <w:r w:rsidRPr="00F21E54">
              <w:rPr>
                <w:b/>
                <w:kern w:val="0"/>
                <w:sz w:val="21"/>
                <w:szCs w:val="21"/>
              </w:rPr>
              <w:t>点位</w:t>
            </w:r>
          </w:p>
        </w:tc>
        <w:tc>
          <w:tcPr>
            <w:tcW w:w="2905" w:type="pct"/>
            <w:tcBorders>
              <w:top w:val="single" w:sz="12" w:space="0" w:color="auto"/>
              <w:left w:val="single" w:sz="4" w:space="0" w:color="auto"/>
              <w:bottom w:val="single" w:sz="4" w:space="0" w:color="auto"/>
              <w:right w:val="single" w:sz="4" w:space="0" w:color="auto"/>
            </w:tcBorders>
            <w:vAlign w:val="center"/>
          </w:tcPr>
          <w:p w:rsidR="004E3021" w:rsidRPr="00F21E54" w:rsidRDefault="00606E48">
            <w:pPr>
              <w:pStyle w:val="afffffff2"/>
              <w:rPr>
                <w:b/>
                <w:kern w:val="0"/>
                <w:sz w:val="21"/>
                <w:szCs w:val="21"/>
              </w:rPr>
            </w:pPr>
            <w:r w:rsidRPr="00F21E54">
              <w:rPr>
                <w:rFonts w:hint="eastAsia"/>
                <w:b/>
                <w:kern w:val="0"/>
                <w:sz w:val="21"/>
                <w:szCs w:val="21"/>
              </w:rPr>
              <w:t>监测</w:t>
            </w:r>
            <w:r w:rsidRPr="00F21E54">
              <w:rPr>
                <w:b/>
                <w:kern w:val="0"/>
                <w:sz w:val="21"/>
                <w:szCs w:val="21"/>
              </w:rPr>
              <w:t>项目</w:t>
            </w:r>
          </w:p>
        </w:tc>
        <w:tc>
          <w:tcPr>
            <w:tcW w:w="446" w:type="pct"/>
            <w:tcBorders>
              <w:top w:val="single" w:sz="12" w:space="0" w:color="auto"/>
              <w:left w:val="single" w:sz="4" w:space="0" w:color="auto"/>
              <w:bottom w:val="single" w:sz="4" w:space="0" w:color="auto"/>
              <w:right w:val="nil"/>
            </w:tcBorders>
            <w:vAlign w:val="center"/>
          </w:tcPr>
          <w:p w:rsidR="004E3021" w:rsidRPr="00F21E54" w:rsidRDefault="00606E48">
            <w:pPr>
              <w:pStyle w:val="afffffff2"/>
              <w:rPr>
                <w:b/>
                <w:kern w:val="0"/>
                <w:sz w:val="21"/>
                <w:szCs w:val="21"/>
              </w:rPr>
            </w:pPr>
            <w:r w:rsidRPr="00F21E54">
              <w:rPr>
                <w:rFonts w:hint="eastAsia"/>
                <w:b/>
                <w:kern w:val="0"/>
                <w:sz w:val="21"/>
                <w:szCs w:val="21"/>
              </w:rPr>
              <w:t>监测频次</w:t>
            </w:r>
          </w:p>
        </w:tc>
      </w:tr>
      <w:tr w:rsidR="004E3021" w:rsidRPr="00F21E54">
        <w:trPr>
          <w:jc w:val="center"/>
        </w:trPr>
        <w:tc>
          <w:tcPr>
            <w:tcW w:w="393" w:type="pct"/>
            <w:tcBorders>
              <w:top w:val="single" w:sz="4" w:space="0" w:color="auto"/>
              <w:left w:val="nil"/>
              <w:bottom w:val="single" w:sz="4" w:space="0" w:color="auto"/>
              <w:right w:val="single" w:sz="4" w:space="0" w:color="auto"/>
            </w:tcBorders>
            <w:vAlign w:val="center"/>
          </w:tcPr>
          <w:p w:rsidR="004E3021" w:rsidRPr="00F21E54" w:rsidRDefault="00606E48">
            <w:pPr>
              <w:pStyle w:val="afffffff2"/>
              <w:rPr>
                <w:kern w:val="0"/>
                <w:sz w:val="21"/>
                <w:szCs w:val="21"/>
              </w:rPr>
            </w:pPr>
            <w:r w:rsidRPr="00F21E54">
              <w:rPr>
                <w:rFonts w:hint="eastAsia"/>
                <w:kern w:val="0"/>
                <w:sz w:val="21"/>
                <w:szCs w:val="21"/>
              </w:rPr>
              <w:t>大气</w:t>
            </w:r>
          </w:p>
        </w:tc>
        <w:tc>
          <w:tcPr>
            <w:tcW w:w="1256" w:type="pct"/>
            <w:gridSpan w:val="2"/>
            <w:tcBorders>
              <w:top w:val="single" w:sz="4" w:space="0" w:color="auto"/>
              <w:left w:val="single" w:sz="4" w:space="0" w:color="auto"/>
              <w:bottom w:val="single" w:sz="4" w:space="0" w:color="auto"/>
              <w:right w:val="single" w:sz="4" w:space="0" w:color="auto"/>
            </w:tcBorders>
            <w:vAlign w:val="center"/>
          </w:tcPr>
          <w:p w:rsidR="004E3021" w:rsidRPr="00F21E54" w:rsidRDefault="00606E48">
            <w:pPr>
              <w:pStyle w:val="afffffff2"/>
              <w:rPr>
                <w:kern w:val="0"/>
                <w:sz w:val="21"/>
                <w:szCs w:val="21"/>
              </w:rPr>
            </w:pPr>
            <w:r w:rsidRPr="00F21E54">
              <w:rPr>
                <w:rFonts w:hint="eastAsia"/>
                <w:kern w:val="0"/>
                <w:sz w:val="21"/>
                <w:szCs w:val="21"/>
              </w:rPr>
              <w:t>丽豪家园</w:t>
            </w:r>
          </w:p>
        </w:tc>
        <w:tc>
          <w:tcPr>
            <w:tcW w:w="2905" w:type="pct"/>
            <w:tcBorders>
              <w:top w:val="single" w:sz="4" w:space="0" w:color="auto"/>
              <w:left w:val="single" w:sz="4" w:space="0" w:color="auto"/>
              <w:bottom w:val="single" w:sz="4" w:space="0" w:color="auto"/>
              <w:right w:val="single" w:sz="4" w:space="0" w:color="auto"/>
            </w:tcBorders>
            <w:vAlign w:val="center"/>
          </w:tcPr>
          <w:p w:rsidR="004E3021" w:rsidRPr="00F21E54" w:rsidRDefault="00F21E54">
            <w:pPr>
              <w:pStyle w:val="afffffff2"/>
              <w:rPr>
                <w:kern w:val="0"/>
                <w:sz w:val="21"/>
                <w:szCs w:val="21"/>
              </w:rPr>
            </w:pPr>
            <w:r w:rsidRPr="00F21E54">
              <w:rPr>
                <w:rFonts w:hint="eastAsia"/>
                <w:kern w:val="0"/>
                <w:sz w:val="21"/>
                <w:szCs w:val="21"/>
              </w:rPr>
              <w:t>颗粒物、</w:t>
            </w:r>
            <w:r w:rsidRPr="00F21E54">
              <w:rPr>
                <w:rFonts w:hint="eastAsia"/>
                <w:kern w:val="0"/>
                <w:sz w:val="21"/>
                <w:szCs w:val="21"/>
              </w:rPr>
              <w:t>H</w:t>
            </w:r>
            <w:r w:rsidRPr="00F21E54">
              <w:rPr>
                <w:kern w:val="0"/>
                <w:sz w:val="21"/>
                <w:szCs w:val="21"/>
                <w:vertAlign w:val="subscript"/>
              </w:rPr>
              <w:t>2</w:t>
            </w:r>
            <w:r w:rsidRPr="00F21E54">
              <w:rPr>
                <w:rFonts w:hint="eastAsia"/>
                <w:kern w:val="0"/>
                <w:sz w:val="21"/>
                <w:szCs w:val="21"/>
              </w:rPr>
              <w:t>S</w:t>
            </w:r>
            <w:r w:rsidRPr="00F21E54">
              <w:rPr>
                <w:rFonts w:hint="eastAsia"/>
                <w:kern w:val="0"/>
                <w:sz w:val="21"/>
                <w:szCs w:val="21"/>
              </w:rPr>
              <w:t>、</w:t>
            </w:r>
            <w:r w:rsidRPr="00F21E54">
              <w:rPr>
                <w:kern w:val="0"/>
                <w:sz w:val="21"/>
                <w:szCs w:val="21"/>
              </w:rPr>
              <w:t>NH</w:t>
            </w:r>
            <w:r w:rsidRPr="00F21E54">
              <w:rPr>
                <w:kern w:val="0"/>
                <w:sz w:val="21"/>
                <w:szCs w:val="21"/>
                <w:vertAlign w:val="subscript"/>
              </w:rPr>
              <w:t>3</w:t>
            </w:r>
            <w:r w:rsidRPr="00F21E54">
              <w:rPr>
                <w:kern w:val="0"/>
                <w:sz w:val="21"/>
                <w:szCs w:val="21"/>
              </w:rPr>
              <w:t>、</w:t>
            </w:r>
            <w:r w:rsidRPr="00F21E54">
              <w:rPr>
                <w:rFonts w:hint="eastAsia"/>
                <w:kern w:val="0"/>
                <w:sz w:val="21"/>
                <w:szCs w:val="21"/>
              </w:rPr>
              <w:t>非甲烷总</w:t>
            </w:r>
            <w:r w:rsidRPr="00F21E54">
              <w:rPr>
                <w:kern w:val="0"/>
                <w:sz w:val="21"/>
                <w:szCs w:val="21"/>
              </w:rPr>
              <w:t>烃</w:t>
            </w:r>
            <w:r w:rsidRPr="00F21E54">
              <w:rPr>
                <w:rFonts w:hint="eastAsia"/>
                <w:kern w:val="0"/>
                <w:sz w:val="21"/>
                <w:szCs w:val="21"/>
              </w:rPr>
              <w:t>、</w:t>
            </w:r>
            <w:r w:rsidRPr="00F21E54">
              <w:rPr>
                <w:kern w:val="0"/>
                <w:sz w:val="21"/>
                <w:szCs w:val="21"/>
              </w:rPr>
              <w:t>甲醇</w:t>
            </w:r>
          </w:p>
        </w:tc>
        <w:tc>
          <w:tcPr>
            <w:tcW w:w="446" w:type="pct"/>
            <w:tcBorders>
              <w:top w:val="single" w:sz="4" w:space="0" w:color="auto"/>
              <w:left w:val="single" w:sz="4" w:space="0" w:color="auto"/>
              <w:bottom w:val="single" w:sz="4" w:space="0" w:color="auto"/>
              <w:right w:val="nil"/>
            </w:tcBorders>
            <w:vAlign w:val="center"/>
          </w:tcPr>
          <w:p w:rsidR="004E3021" w:rsidRPr="00F21E54" w:rsidRDefault="00606E48">
            <w:pPr>
              <w:pStyle w:val="afffffff2"/>
              <w:rPr>
                <w:kern w:val="0"/>
                <w:sz w:val="21"/>
                <w:szCs w:val="21"/>
              </w:rPr>
            </w:pPr>
            <w:r w:rsidRPr="00F21E54">
              <w:rPr>
                <w:rFonts w:hint="eastAsia"/>
                <w:kern w:val="0"/>
                <w:sz w:val="21"/>
                <w:szCs w:val="21"/>
              </w:rPr>
              <w:t>1</w:t>
            </w:r>
            <w:r w:rsidRPr="00F21E54">
              <w:rPr>
                <w:rFonts w:hint="eastAsia"/>
                <w:kern w:val="0"/>
                <w:sz w:val="21"/>
                <w:szCs w:val="21"/>
              </w:rPr>
              <w:t>次</w:t>
            </w:r>
            <w:r w:rsidRPr="00F21E54">
              <w:rPr>
                <w:rFonts w:hint="eastAsia"/>
                <w:kern w:val="0"/>
                <w:sz w:val="21"/>
                <w:szCs w:val="21"/>
              </w:rPr>
              <w:t>/</w:t>
            </w:r>
            <w:r w:rsidRPr="00F21E54">
              <w:rPr>
                <w:rFonts w:hint="eastAsia"/>
                <w:kern w:val="0"/>
                <w:sz w:val="21"/>
                <w:szCs w:val="21"/>
              </w:rPr>
              <w:t>年</w:t>
            </w:r>
          </w:p>
        </w:tc>
      </w:tr>
      <w:tr w:rsidR="004E3021" w:rsidRPr="00F21E54">
        <w:trPr>
          <w:trHeight w:val="360"/>
          <w:jc w:val="center"/>
        </w:trPr>
        <w:tc>
          <w:tcPr>
            <w:tcW w:w="393" w:type="pct"/>
            <w:vMerge w:val="restart"/>
            <w:tcBorders>
              <w:top w:val="single" w:sz="4" w:space="0" w:color="auto"/>
              <w:left w:val="nil"/>
              <w:right w:val="single" w:sz="4" w:space="0" w:color="auto"/>
            </w:tcBorders>
            <w:vAlign w:val="center"/>
          </w:tcPr>
          <w:p w:rsidR="004E3021" w:rsidRPr="00F21E54" w:rsidRDefault="00606E48">
            <w:pPr>
              <w:pStyle w:val="afffffff2"/>
              <w:rPr>
                <w:kern w:val="0"/>
                <w:sz w:val="21"/>
                <w:szCs w:val="21"/>
              </w:rPr>
            </w:pPr>
            <w:r w:rsidRPr="00F21E54">
              <w:rPr>
                <w:rFonts w:hint="eastAsia"/>
                <w:kern w:val="0"/>
                <w:sz w:val="21"/>
                <w:szCs w:val="21"/>
              </w:rPr>
              <w:t>土壤</w:t>
            </w:r>
          </w:p>
        </w:tc>
        <w:tc>
          <w:tcPr>
            <w:tcW w:w="628" w:type="pct"/>
            <w:vMerge w:val="restart"/>
            <w:tcBorders>
              <w:top w:val="single" w:sz="4" w:space="0" w:color="auto"/>
              <w:left w:val="single" w:sz="4" w:space="0" w:color="auto"/>
              <w:right w:val="single" w:sz="4" w:space="0" w:color="auto"/>
            </w:tcBorders>
            <w:vAlign w:val="center"/>
          </w:tcPr>
          <w:p w:rsidR="004E3021" w:rsidRPr="00F21E54" w:rsidRDefault="00606E48">
            <w:pPr>
              <w:pStyle w:val="afffffff2"/>
              <w:rPr>
                <w:kern w:val="0"/>
                <w:sz w:val="21"/>
                <w:szCs w:val="21"/>
              </w:rPr>
            </w:pPr>
            <w:r w:rsidRPr="00F21E54">
              <w:rPr>
                <w:rFonts w:hint="eastAsia"/>
                <w:kern w:val="0"/>
                <w:sz w:val="21"/>
                <w:szCs w:val="21"/>
              </w:rPr>
              <w:t>厂内污水处理站</w:t>
            </w:r>
          </w:p>
        </w:tc>
        <w:tc>
          <w:tcPr>
            <w:tcW w:w="628" w:type="pct"/>
            <w:tcBorders>
              <w:top w:val="single" w:sz="4" w:space="0" w:color="auto"/>
              <w:left w:val="single" w:sz="4" w:space="0" w:color="auto"/>
              <w:bottom w:val="single" w:sz="4" w:space="0" w:color="auto"/>
              <w:right w:val="single" w:sz="4" w:space="0" w:color="auto"/>
            </w:tcBorders>
            <w:vAlign w:val="center"/>
          </w:tcPr>
          <w:p w:rsidR="004E3021" w:rsidRPr="00F21E54" w:rsidRDefault="00606E48">
            <w:pPr>
              <w:pStyle w:val="afffffff2"/>
              <w:rPr>
                <w:kern w:val="0"/>
                <w:sz w:val="21"/>
                <w:szCs w:val="21"/>
              </w:rPr>
            </w:pPr>
            <w:r w:rsidRPr="00F21E54">
              <w:rPr>
                <w:rFonts w:hint="eastAsia"/>
                <w:kern w:val="0"/>
                <w:sz w:val="21"/>
                <w:szCs w:val="21"/>
              </w:rPr>
              <w:t>0</w:t>
            </w:r>
            <w:r w:rsidRPr="00F21E54">
              <w:rPr>
                <w:kern w:val="0"/>
                <w:sz w:val="21"/>
                <w:szCs w:val="21"/>
              </w:rPr>
              <w:t>~0.5m</w:t>
            </w:r>
            <w:r w:rsidRPr="00F21E54">
              <w:rPr>
                <w:rFonts w:hint="eastAsia"/>
                <w:kern w:val="0"/>
                <w:sz w:val="21"/>
                <w:szCs w:val="21"/>
              </w:rPr>
              <w:t>表层土壤</w:t>
            </w:r>
          </w:p>
        </w:tc>
        <w:tc>
          <w:tcPr>
            <w:tcW w:w="2905" w:type="pct"/>
            <w:vMerge w:val="restart"/>
            <w:tcBorders>
              <w:top w:val="single" w:sz="4" w:space="0" w:color="auto"/>
              <w:left w:val="single" w:sz="4" w:space="0" w:color="auto"/>
              <w:right w:val="single" w:sz="4" w:space="0" w:color="auto"/>
            </w:tcBorders>
            <w:vAlign w:val="center"/>
          </w:tcPr>
          <w:p w:rsidR="004E3021" w:rsidRPr="00F21E54" w:rsidRDefault="00606E48">
            <w:pPr>
              <w:pStyle w:val="afffffff2"/>
              <w:rPr>
                <w:kern w:val="0"/>
                <w:sz w:val="21"/>
                <w:szCs w:val="21"/>
              </w:rPr>
            </w:pPr>
            <w:r w:rsidRPr="00F21E54">
              <w:rPr>
                <w:kern w:val="0"/>
                <w:sz w:val="21"/>
                <w:szCs w:val="21"/>
              </w:rPr>
              <w:t>《土壤环境质量</w:t>
            </w:r>
            <w:r w:rsidRPr="00F21E54">
              <w:rPr>
                <w:kern w:val="0"/>
                <w:sz w:val="21"/>
                <w:szCs w:val="21"/>
              </w:rPr>
              <w:t xml:space="preserve"> </w:t>
            </w:r>
            <w:r w:rsidRPr="00F21E54">
              <w:rPr>
                <w:rFonts w:hint="eastAsia"/>
                <w:kern w:val="0"/>
                <w:sz w:val="21"/>
                <w:szCs w:val="21"/>
              </w:rPr>
              <w:t>建设</w:t>
            </w:r>
            <w:r w:rsidRPr="00F21E54">
              <w:rPr>
                <w:kern w:val="0"/>
                <w:sz w:val="21"/>
                <w:szCs w:val="21"/>
              </w:rPr>
              <w:t>用地土壤污染风险管控标准》（</w:t>
            </w:r>
            <w:r w:rsidRPr="00F21E54">
              <w:rPr>
                <w:kern w:val="0"/>
                <w:sz w:val="21"/>
                <w:szCs w:val="21"/>
              </w:rPr>
              <w:t>GB36600-2018</w:t>
            </w:r>
            <w:r w:rsidRPr="00F21E54">
              <w:rPr>
                <w:kern w:val="0"/>
                <w:sz w:val="21"/>
                <w:szCs w:val="21"/>
              </w:rPr>
              <w:t>）</w:t>
            </w:r>
            <w:r w:rsidRPr="00F21E54">
              <w:rPr>
                <w:rFonts w:hint="eastAsia"/>
                <w:kern w:val="0"/>
                <w:sz w:val="21"/>
                <w:szCs w:val="21"/>
              </w:rPr>
              <w:t>（试行）基础项目</w:t>
            </w:r>
            <w:r w:rsidRPr="00F21E54">
              <w:rPr>
                <w:rFonts w:hint="eastAsia"/>
                <w:kern w:val="0"/>
                <w:sz w:val="21"/>
                <w:szCs w:val="21"/>
              </w:rPr>
              <w:t>45</w:t>
            </w:r>
            <w:r w:rsidRPr="00F21E54">
              <w:rPr>
                <w:rFonts w:hint="eastAsia"/>
                <w:kern w:val="0"/>
                <w:sz w:val="21"/>
                <w:szCs w:val="21"/>
              </w:rPr>
              <w:t>项</w:t>
            </w:r>
          </w:p>
        </w:tc>
        <w:tc>
          <w:tcPr>
            <w:tcW w:w="446" w:type="pct"/>
            <w:tcBorders>
              <w:top w:val="single" w:sz="4" w:space="0" w:color="auto"/>
              <w:left w:val="single" w:sz="4" w:space="0" w:color="auto"/>
              <w:right w:val="nil"/>
            </w:tcBorders>
            <w:vAlign w:val="center"/>
          </w:tcPr>
          <w:p w:rsidR="004E3021" w:rsidRPr="00F21E54" w:rsidRDefault="00606E48">
            <w:pPr>
              <w:pStyle w:val="afffffff2"/>
              <w:rPr>
                <w:kern w:val="0"/>
                <w:sz w:val="21"/>
                <w:szCs w:val="21"/>
              </w:rPr>
            </w:pPr>
            <w:r w:rsidRPr="00F21E54">
              <w:rPr>
                <w:rFonts w:hint="eastAsia"/>
                <w:kern w:val="0"/>
                <w:sz w:val="21"/>
                <w:szCs w:val="21"/>
              </w:rPr>
              <w:t>1</w:t>
            </w:r>
            <w:r w:rsidRPr="00F21E54">
              <w:rPr>
                <w:rFonts w:hint="eastAsia"/>
                <w:kern w:val="0"/>
                <w:sz w:val="21"/>
                <w:szCs w:val="21"/>
              </w:rPr>
              <w:t>次</w:t>
            </w:r>
            <w:r w:rsidRPr="00F21E54">
              <w:rPr>
                <w:rFonts w:hint="eastAsia"/>
                <w:kern w:val="0"/>
                <w:sz w:val="21"/>
                <w:szCs w:val="21"/>
              </w:rPr>
              <w:t>/</w:t>
            </w:r>
            <w:r w:rsidRPr="00F21E54">
              <w:rPr>
                <w:rFonts w:hint="eastAsia"/>
                <w:kern w:val="0"/>
                <w:sz w:val="21"/>
                <w:szCs w:val="21"/>
              </w:rPr>
              <w:t>年</w:t>
            </w:r>
          </w:p>
        </w:tc>
      </w:tr>
      <w:tr w:rsidR="004E3021" w:rsidRPr="00F21E54">
        <w:trPr>
          <w:trHeight w:val="360"/>
          <w:jc w:val="center"/>
        </w:trPr>
        <w:tc>
          <w:tcPr>
            <w:tcW w:w="393" w:type="pct"/>
            <w:vMerge/>
            <w:tcBorders>
              <w:top w:val="single" w:sz="4" w:space="0" w:color="auto"/>
              <w:left w:val="nil"/>
              <w:right w:val="single" w:sz="4" w:space="0" w:color="auto"/>
            </w:tcBorders>
            <w:vAlign w:val="center"/>
          </w:tcPr>
          <w:p w:rsidR="004E3021" w:rsidRPr="00F21E54" w:rsidRDefault="004E3021">
            <w:pPr>
              <w:pStyle w:val="afffffff2"/>
              <w:rPr>
                <w:kern w:val="0"/>
                <w:sz w:val="21"/>
                <w:szCs w:val="21"/>
              </w:rPr>
            </w:pPr>
          </w:p>
        </w:tc>
        <w:tc>
          <w:tcPr>
            <w:tcW w:w="628" w:type="pct"/>
            <w:vMerge/>
            <w:tcBorders>
              <w:left w:val="single" w:sz="4" w:space="0" w:color="auto"/>
              <w:bottom w:val="single" w:sz="4" w:space="0" w:color="auto"/>
              <w:right w:val="single" w:sz="4" w:space="0" w:color="auto"/>
            </w:tcBorders>
            <w:vAlign w:val="center"/>
          </w:tcPr>
          <w:p w:rsidR="004E3021" w:rsidRPr="00F21E54" w:rsidRDefault="004E3021">
            <w:pPr>
              <w:pStyle w:val="afffffff2"/>
              <w:rPr>
                <w:kern w:val="0"/>
                <w:sz w:val="21"/>
                <w:szCs w:val="21"/>
              </w:rPr>
            </w:pPr>
          </w:p>
        </w:tc>
        <w:tc>
          <w:tcPr>
            <w:tcW w:w="628" w:type="pct"/>
            <w:tcBorders>
              <w:top w:val="single" w:sz="4" w:space="0" w:color="auto"/>
              <w:left w:val="single" w:sz="4" w:space="0" w:color="auto"/>
              <w:bottom w:val="single" w:sz="4" w:space="0" w:color="auto"/>
              <w:right w:val="single" w:sz="4" w:space="0" w:color="auto"/>
            </w:tcBorders>
            <w:vAlign w:val="center"/>
          </w:tcPr>
          <w:p w:rsidR="004E3021" w:rsidRPr="00F21E54" w:rsidRDefault="00606E48">
            <w:pPr>
              <w:pStyle w:val="afffffff2"/>
              <w:rPr>
                <w:kern w:val="0"/>
                <w:sz w:val="21"/>
                <w:szCs w:val="21"/>
              </w:rPr>
            </w:pPr>
            <w:r w:rsidRPr="00F21E54">
              <w:rPr>
                <w:kern w:val="0"/>
                <w:sz w:val="21"/>
                <w:szCs w:val="21"/>
              </w:rPr>
              <w:t>4~</w:t>
            </w:r>
            <w:r w:rsidRPr="00F21E54">
              <w:rPr>
                <w:rFonts w:hint="eastAsia"/>
                <w:kern w:val="0"/>
                <w:sz w:val="21"/>
                <w:szCs w:val="21"/>
              </w:rPr>
              <w:t>6</w:t>
            </w:r>
            <w:r w:rsidRPr="00F21E54">
              <w:rPr>
                <w:kern w:val="0"/>
                <w:sz w:val="21"/>
                <w:szCs w:val="21"/>
              </w:rPr>
              <w:t>m</w:t>
            </w:r>
            <w:r w:rsidRPr="00F21E54">
              <w:rPr>
                <w:rFonts w:hint="eastAsia"/>
                <w:kern w:val="0"/>
                <w:sz w:val="21"/>
                <w:szCs w:val="21"/>
              </w:rPr>
              <w:t>深层</w:t>
            </w:r>
            <w:r w:rsidRPr="00F21E54">
              <w:rPr>
                <w:kern w:val="0"/>
                <w:sz w:val="21"/>
                <w:szCs w:val="21"/>
              </w:rPr>
              <w:t>土壤</w:t>
            </w:r>
          </w:p>
        </w:tc>
        <w:tc>
          <w:tcPr>
            <w:tcW w:w="2905" w:type="pct"/>
            <w:vMerge/>
            <w:tcBorders>
              <w:top w:val="single" w:sz="4" w:space="0" w:color="auto"/>
              <w:left w:val="single" w:sz="4" w:space="0" w:color="auto"/>
              <w:right w:val="single" w:sz="4" w:space="0" w:color="auto"/>
            </w:tcBorders>
            <w:vAlign w:val="center"/>
          </w:tcPr>
          <w:p w:rsidR="004E3021" w:rsidRPr="00F21E54" w:rsidRDefault="004E3021">
            <w:pPr>
              <w:pStyle w:val="afffffff2"/>
              <w:rPr>
                <w:kern w:val="0"/>
                <w:sz w:val="21"/>
                <w:szCs w:val="21"/>
              </w:rPr>
            </w:pPr>
          </w:p>
        </w:tc>
        <w:tc>
          <w:tcPr>
            <w:tcW w:w="446" w:type="pct"/>
            <w:vMerge w:val="restart"/>
            <w:tcBorders>
              <w:top w:val="single" w:sz="4" w:space="0" w:color="auto"/>
              <w:left w:val="single" w:sz="4" w:space="0" w:color="auto"/>
              <w:right w:val="nil"/>
            </w:tcBorders>
            <w:vAlign w:val="center"/>
          </w:tcPr>
          <w:p w:rsidR="004E3021" w:rsidRPr="00F21E54" w:rsidRDefault="00606E48">
            <w:pPr>
              <w:pStyle w:val="afffffff2"/>
              <w:rPr>
                <w:kern w:val="0"/>
                <w:sz w:val="21"/>
                <w:szCs w:val="21"/>
              </w:rPr>
            </w:pPr>
            <w:r w:rsidRPr="00F21E54">
              <w:rPr>
                <w:kern w:val="0"/>
                <w:sz w:val="21"/>
                <w:szCs w:val="21"/>
              </w:rPr>
              <w:t>1</w:t>
            </w:r>
            <w:r w:rsidRPr="00F21E54">
              <w:rPr>
                <w:rFonts w:hint="eastAsia"/>
                <w:kern w:val="0"/>
                <w:sz w:val="21"/>
                <w:szCs w:val="21"/>
              </w:rPr>
              <w:t>次</w:t>
            </w:r>
            <w:r w:rsidRPr="00F21E54">
              <w:rPr>
                <w:rFonts w:hint="eastAsia"/>
                <w:kern w:val="0"/>
                <w:sz w:val="21"/>
                <w:szCs w:val="21"/>
              </w:rPr>
              <w:t>/</w:t>
            </w:r>
            <w:r w:rsidRPr="00F21E54">
              <w:rPr>
                <w:kern w:val="0"/>
                <w:sz w:val="21"/>
                <w:szCs w:val="21"/>
              </w:rPr>
              <w:t>3</w:t>
            </w:r>
            <w:r w:rsidRPr="00F21E54">
              <w:rPr>
                <w:rFonts w:hint="eastAsia"/>
                <w:kern w:val="0"/>
                <w:sz w:val="21"/>
                <w:szCs w:val="21"/>
              </w:rPr>
              <w:t>年</w:t>
            </w:r>
          </w:p>
        </w:tc>
      </w:tr>
      <w:tr w:rsidR="004E3021" w:rsidRPr="00F21E54">
        <w:trPr>
          <w:trHeight w:val="360"/>
          <w:jc w:val="center"/>
        </w:trPr>
        <w:tc>
          <w:tcPr>
            <w:tcW w:w="393" w:type="pct"/>
            <w:vMerge/>
            <w:tcBorders>
              <w:left w:val="nil"/>
              <w:bottom w:val="single" w:sz="4" w:space="0" w:color="auto"/>
              <w:right w:val="single" w:sz="4" w:space="0" w:color="auto"/>
            </w:tcBorders>
            <w:vAlign w:val="center"/>
          </w:tcPr>
          <w:p w:rsidR="004E3021" w:rsidRPr="00F21E54" w:rsidRDefault="004E3021">
            <w:pPr>
              <w:pStyle w:val="afffffff2"/>
              <w:rPr>
                <w:kern w:val="0"/>
                <w:sz w:val="21"/>
                <w:szCs w:val="21"/>
              </w:rPr>
            </w:pPr>
          </w:p>
        </w:tc>
        <w:tc>
          <w:tcPr>
            <w:tcW w:w="1256" w:type="pct"/>
            <w:gridSpan w:val="2"/>
            <w:tcBorders>
              <w:top w:val="single" w:sz="4" w:space="0" w:color="auto"/>
              <w:left w:val="single" w:sz="4" w:space="0" w:color="auto"/>
              <w:bottom w:val="single" w:sz="4" w:space="0" w:color="auto"/>
              <w:right w:val="single" w:sz="4" w:space="0" w:color="auto"/>
            </w:tcBorders>
            <w:vAlign w:val="center"/>
          </w:tcPr>
          <w:p w:rsidR="004E3021" w:rsidRPr="00F21E54" w:rsidRDefault="00606E48">
            <w:pPr>
              <w:pStyle w:val="afffffff2"/>
              <w:rPr>
                <w:kern w:val="0"/>
                <w:sz w:val="21"/>
                <w:szCs w:val="21"/>
              </w:rPr>
            </w:pPr>
            <w:r w:rsidRPr="00F21E54">
              <w:rPr>
                <w:rFonts w:hint="eastAsia"/>
                <w:kern w:val="0"/>
                <w:sz w:val="21"/>
                <w:szCs w:val="21"/>
              </w:rPr>
              <w:t>厂区</w:t>
            </w:r>
            <w:r w:rsidRPr="00F21E54">
              <w:rPr>
                <w:kern w:val="0"/>
                <w:sz w:val="21"/>
                <w:szCs w:val="21"/>
              </w:rPr>
              <w:t>下风向</w:t>
            </w:r>
          </w:p>
        </w:tc>
        <w:tc>
          <w:tcPr>
            <w:tcW w:w="2905" w:type="pct"/>
            <w:vMerge/>
            <w:tcBorders>
              <w:left w:val="single" w:sz="4" w:space="0" w:color="auto"/>
              <w:bottom w:val="single" w:sz="4" w:space="0" w:color="auto"/>
              <w:right w:val="single" w:sz="4" w:space="0" w:color="auto"/>
            </w:tcBorders>
            <w:vAlign w:val="center"/>
          </w:tcPr>
          <w:p w:rsidR="004E3021" w:rsidRPr="00F21E54" w:rsidRDefault="004E3021">
            <w:pPr>
              <w:pStyle w:val="afffffff2"/>
              <w:rPr>
                <w:kern w:val="0"/>
                <w:sz w:val="21"/>
                <w:szCs w:val="21"/>
              </w:rPr>
            </w:pPr>
          </w:p>
        </w:tc>
        <w:tc>
          <w:tcPr>
            <w:tcW w:w="446" w:type="pct"/>
            <w:vMerge/>
            <w:tcBorders>
              <w:left w:val="single" w:sz="4" w:space="0" w:color="auto"/>
              <w:bottom w:val="single" w:sz="4" w:space="0" w:color="auto"/>
              <w:right w:val="nil"/>
            </w:tcBorders>
            <w:vAlign w:val="center"/>
          </w:tcPr>
          <w:p w:rsidR="004E3021" w:rsidRPr="00F21E54" w:rsidRDefault="004E3021">
            <w:pPr>
              <w:pStyle w:val="afffffff2"/>
              <w:rPr>
                <w:kern w:val="0"/>
                <w:sz w:val="21"/>
                <w:szCs w:val="21"/>
              </w:rPr>
            </w:pPr>
          </w:p>
        </w:tc>
      </w:tr>
      <w:tr w:rsidR="004E3021" w:rsidRPr="00F21E54">
        <w:trPr>
          <w:jc w:val="center"/>
        </w:trPr>
        <w:tc>
          <w:tcPr>
            <w:tcW w:w="393" w:type="pct"/>
            <w:tcBorders>
              <w:top w:val="single" w:sz="4" w:space="0" w:color="auto"/>
              <w:left w:val="nil"/>
              <w:bottom w:val="single" w:sz="4" w:space="0" w:color="auto"/>
              <w:right w:val="single" w:sz="4" w:space="0" w:color="auto"/>
            </w:tcBorders>
            <w:vAlign w:val="center"/>
          </w:tcPr>
          <w:p w:rsidR="004E3021" w:rsidRPr="00F21E54" w:rsidRDefault="00606E48">
            <w:pPr>
              <w:pStyle w:val="afffffff2"/>
              <w:rPr>
                <w:kern w:val="0"/>
                <w:sz w:val="21"/>
                <w:szCs w:val="21"/>
              </w:rPr>
            </w:pPr>
            <w:r w:rsidRPr="00F21E54">
              <w:rPr>
                <w:rFonts w:hint="eastAsia"/>
                <w:kern w:val="0"/>
                <w:sz w:val="21"/>
                <w:szCs w:val="21"/>
              </w:rPr>
              <w:lastRenderedPageBreak/>
              <w:t>地下水</w:t>
            </w:r>
          </w:p>
        </w:tc>
        <w:tc>
          <w:tcPr>
            <w:tcW w:w="1256" w:type="pct"/>
            <w:gridSpan w:val="2"/>
            <w:tcBorders>
              <w:top w:val="single" w:sz="4" w:space="0" w:color="auto"/>
              <w:left w:val="single" w:sz="4" w:space="0" w:color="auto"/>
              <w:bottom w:val="single" w:sz="4" w:space="0" w:color="auto"/>
              <w:right w:val="single" w:sz="4" w:space="0" w:color="auto"/>
            </w:tcBorders>
            <w:vAlign w:val="center"/>
          </w:tcPr>
          <w:p w:rsidR="004E3021" w:rsidRPr="00F21E54" w:rsidRDefault="00606E48">
            <w:pPr>
              <w:pStyle w:val="afffffff2"/>
              <w:rPr>
                <w:kern w:val="0"/>
                <w:sz w:val="21"/>
                <w:szCs w:val="21"/>
              </w:rPr>
            </w:pPr>
            <w:r w:rsidRPr="00F21E54">
              <w:rPr>
                <w:rFonts w:hint="eastAsia"/>
                <w:kern w:val="0"/>
                <w:sz w:val="21"/>
                <w:szCs w:val="21"/>
              </w:rPr>
              <w:t>在污水处理区，场地上游（背景值监测点）、下游（污染扩散监测点）各布设</w:t>
            </w:r>
            <w:r w:rsidRPr="00F21E54">
              <w:rPr>
                <w:rFonts w:hint="eastAsia"/>
                <w:kern w:val="0"/>
                <w:sz w:val="21"/>
                <w:szCs w:val="21"/>
              </w:rPr>
              <w:t>1</w:t>
            </w:r>
            <w:r w:rsidRPr="00F21E54">
              <w:rPr>
                <w:rFonts w:hint="eastAsia"/>
                <w:kern w:val="0"/>
                <w:sz w:val="21"/>
                <w:szCs w:val="21"/>
              </w:rPr>
              <w:t>个地下水水质监测点</w:t>
            </w:r>
          </w:p>
        </w:tc>
        <w:tc>
          <w:tcPr>
            <w:tcW w:w="2905" w:type="pct"/>
            <w:tcBorders>
              <w:top w:val="single" w:sz="4" w:space="0" w:color="auto"/>
              <w:left w:val="single" w:sz="4" w:space="0" w:color="auto"/>
              <w:bottom w:val="single" w:sz="4" w:space="0" w:color="auto"/>
              <w:right w:val="single" w:sz="4" w:space="0" w:color="auto"/>
            </w:tcBorders>
            <w:vAlign w:val="center"/>
          </w:tcPr>
          <w:p w:rsidR="004E3021" w:rsidRPr="00F21E54" w:rsidRDefault="00606E48">
            <w:pPr>
              <w:pStyle w:val="afffffff2"/>
              <w:rPr>
                <w:kern w:val="0"/>
                <w:sz w:val="21"/>
                <w:szCs w:val="21"/>
              </w:rPr>
            </w:pPr>
            <w:r w:rsidRPr="00F21E54">
              <w:rPr>
                <w:rFonts w:hint="eastAsia"/>
                <w:kern w:val="0"/>
                <w:sz w:val="21"/>
                <w:szCs w:val="21"/>
              </w:rPr>
              <w:t>pH</w:t>
            </w:r>
            <w:r w:rsidRPr="00F21E54">
              <w:rPr>
                <w:rFonts w:hint="eastAsia"/>
                <w:kern w:val="0"/>
                <w:sz w:val="21"/>
                <w:szCs w:val="21"/>
              </w:rPr>
              <w:t>、总硬度、溶剂性总固体、硫化物、铁、锰、铜、锌、铝、挥发酚、阴离子表面活性、耗氧量、氨氮、硫化物、镍、硝酸盐、氟化物、氯化物、汞、砷、硒、镉、六价铬、铅、总大肠菌群、菌落总数</w:t>
            </w:r>
          </w:p>
        </w:tc>
        <w:tc>
          <w:tcPr>
            <w:tcW w:w="446" w:type="pct"/>
            <w:tcBorders>
              <w:top w:val="single" w:sz="4" w:space="0" w:color="auto"/>
              <w:left w:val="single" w:sz="4" w:space="0" w:color="auto"/>
              <w:bottom w:val="single" w:sz="4" w:space="0" w:color="auto"/>
              <w:right w:val="nil"/>
            </w:tcBorders>
            <w:vAlign w:val="center"/>
          </w:tcPr>
          <w:p w:rsidR="004E3021" w:rsidRPr="00F21E54" w:rsidRDefault="00606E48">
            <w:pPr>
              <w:pStyle w:val="afffffff2"/>
              <w:rPr>
                <w:kern w:val="0"/>
                <w:sz w:val="21"/>
                <w:szCs w:val="21"/>
              </w:rPr>
            </w:pPr>
            <w:r w:rsidRPr="00F21E54">
              <w:rPr>
                <w:rFonts w:hint="eastAsia"/>
                <w:kern w:val="0"/>
                <w:sz w:val="21"/>
                <w:szCs w:val="21"/>
              </w:rPr>
              <w:t>1</w:t>
            </w:r>
            <w:r w:rsidRPr="00F21E54">
              <w:rPr>
                <w:rFonts w:hint="eastAsia"/>
                <w:kern w:val="0"/>
                <w:sz w:val="21"/>
                <w:szCs w:val="21"/>
              </w:rPr>
              <w:t>次</w:t>
            </w:r>
            <w:r w:rsidRPr="00F21E54">
              <w:rPr>
                <w:rFonts w:hint="eastAsia"/>
                <w:kern w:val="0"/>
                <w:sz w:val="21"/>
                <w:szCs w:val="21"/>
              </w:rPr>
              <w:t>/</w:t>
            </w:r>
            <w:r w:rsidRPr="00F21E54">
              <w:rPr>
                <w:rFonts w:hint="eastAsia"/>
                <w:kern w:val="0"/>
                <w:sz w:val="21"/>
                <w:szCs w:val="21"/>
              </w:rPr>
              <w:t>半年</w:t>
            </w:r>
          </w:p>
        </w:tc>
      </w:tr>
      <w:tr w:rsidR="004E3021" w:rsidRPr="00F21E54">
        <w:trPr>
          <w:jc w:val="center"/>
        </w:trPr>
        <w:tc>
          <w:tcPr>
            <w:tcW w:w="393" w:type="pct"/>
            <w:tcBorders>
              <w:top w:val="single" w:sz="4" w:space="0" w:color="auto"/>
              <w:left w:val="nil"/>
              <w:bottom w:val="single" w:sz="12" w:space="0" w:color="auto"/>
              <w:right w:val="single" w:sz="4" w:space="0" w:color="auto"/>
            </w:tcBorders>
            <w:vAlign w:val="center"/>
          </w:tcPr>
          <w:p w:rsidR="004E3021" w:rsidRPr="00F21E54" w:rsidRDefault="00606E48">
            <w:pPr>
              <w:pStyle w:val="afffffff2"/>
              <w:rPr>
                <w:kern w:val="0"/>
                <w:sz w:val="21"/>
                <w:szCs w:val="21"/>
              </w:rPr>
            </w:pPr>
            <w:r w:rsidRPr="00F21E54">
              <w:rPr>
                <w:rFonts w:hint="eastAsia"/>
                <w:kern w:val="0"/>
                <w:sz w:val="21"/>
                <w:szCs w:val="21"/>
              </w:rPr>
              <w:t>噪声</w:t>
            </w:r>
          </w:p>
        </w:tc>
        <w:tc>
          <w:tcPr>
            <w:tcW w:w="1256" w:type="pct"/>
            <w:gridSpan w:val="2"/>
            <w:tcBorders>
              <w:top w:val="single" w:sz="4" w:space="0" w:color="auto"/>
              <w:left w:val="single" w:sz="4" w:space="0" w:color="auto"/>
              <w:bottom w:val="single" w:sz="12" w:space="0" w:color="auto"/>
              <w:right w:val="single" w:sz="4" w:space="0" w:color="auto"/>
            </w:tcBorders>
            <w:vAlign w:val="center"/>
          </w:tcPr>
          <w:p w:rsidR="004E3021" w:rsidRPr="00F21E54" w:rsidRDefault="00606E48">
            <w:pPr>
              <w:pStyle w:val="afffffff2"/>
              <w:rPr>
                <w:kern w:val="0"/>
                <w:sz w:val="21"/>
                <w:szCs w:val="21"/>
              </w:rPr>
            </w:pPr>
            <w:r w:rsidRPr="00F21E54">
              <w:rPr>
                <w:rFonts w:hint="eastAsia"/>
                <w:kern w:val="0"/>
                <w:sz w:val="21"/>
                <w:szCs w:val="21"/>
              </w:rPr>
              <w:t>厂界四周</w:t>
            </w:r>
          </w:p>
        </w:tc>
        <w:tc>
          <w:tcPr>
            <w:tcW w:w="2905" w:type="pct"/>
            <w:tcBorders>
              <w:top w:val="single" w:sz="4" w:space="0" w:color="auto"/>
              <w:left w:val="single" w:sz="4" w:space="0" w:color="auto"/>
              <w:bottom w:val="single" w:sz="12" w:space="0" w:color="auto"/>
              <w:right w:val="single" w:sz="4" w:space="0" w:color="auto"/>
            </w:tcBorders>
            <w:vAlign w:val="center"/>
          </w:tcPr>
          <w:p w:rsidR="004E3021" w:rsidRPr="00F21E54" w:rsidRDefault="00606E48">
            <w:pPr>
              <w:pStyle w:val="afffffff2"/>
              <w:rPr>
                <w:kern w:val="0"/>
                <w:sz w:val="21"/>
                <w:szCs w:val="21"/>
              </w:rPr>
            </w:pPr>
            <w:r w:rsidRPr="00F21E54">
              <w:rPr>
                <w:kern w:val="0"/>
                <w:sz w:val="21"/>
                <w:szCs w:val="21"/>
              </w:rPr>
              <w:t>连续等效</w:t>
            </w:r>
            <w:r w:rsidRPr="00F21E54">
              <w:rPr>
                <w:kern w:val="0"/>
                <w:sz w:val="21"/>
                <w:szCs w:val="21"/>
              </w:rPr>
              <w:t>A</w:t>
            </w:r>
            <w:r w:rsidRPr="00F21E54">
              <w:rPr>
                <w:kern w:val="0"/>
                <w:sz w:val="21"/>
                <w:szCs w:val="21"/>
              </w:rPr>
              <w:t>声级</w:t>
            </w:r>
          </w:p>
        </w:tc>
        <w:tc>
          <w:tcPr>
            <w:tcW w:w="446" w:type="pct"/>
            <w:tcBorders>
              <w:top w:val="single" w:sz="4" w:space="0" w:color="auto"/>
              <w:left w:val="single" w:sz="4" w:space="0" w:color="auto"/>
              <w:bottom w:val="single" w:sz="12" w:space="0" w:color="auto"/>
              <w:right w:val="nil"/>
            </w:tcBorders>
            <w:vAlign w:val="center"/>
          </w:tcPr>
          <w:p w:rsidR="004E3021" w:rsidRPr="00F21E54" w:rsidRDefault="00606E48">
            <w:pPr>
              <w:pStyle w:val="afffffff2"/>
              <w:rPr>
                <w:kern w:val="0"/>
                <w:sz w:val="21"/>
                <w:szCs w:val="21"/>
              </w:rPr>
            </w:pPr>
            <w:r w:rsidRPr="00F21E54">
              <w:rPr>
                <w:rFonts w:hint="eastAsia"/>
                <w:kern w:val="0"/>
                <w:sz w:val="21"/>
                <w:szCs w:val="21"/>
              </w:rPr>
              <w:t>1</w:t>
            </w:r>
            <w:r w:rsidRPr="00F21E54">
              <w:rPr>
                <w:rFonts w:hint="eastAsia"/>
                <w:kern w:val="0"/>
                <w:sz w:val="21"/>
                <w:szCs w:val="21"/>
              </w:rPr>
              <w:t>次</w:t>
            </w:r>
            <w:r w:rsidRPr="00F21E54">
              <w:rPr>
                <w:rFonts w:hint="eastAsia"/>
                <w:kern w:val="0"/>
                <w:sz w:val="21"/>
                <w:szCs w:val="21"/>
              </w:rPr>
              <w:t>/</w:t>
            </w:r>
            <w:r w:rsidRPr="00F21E54">
              <w:rPr>
                <w:rFonts w:hint="eastAsia"/>
                <w:kern w:val="0"/>
                <w:sz w:val="21"/>
                <w:szCs w:val="21"/>
              </w:rPr>
              <w:t>年</w:t>
            </w:r>
          </w:p>
        </w:tc>
      </w:tr>
    </w:tbl>
    <w:p w:rsidR="004E3021" w:rsidRDefault="00606E48">
      <w:pPr>
        <w:pStyle w:val="afffffffffffffffff3"/>
      </w:pPr>
      <w:bookmarkStart w:id="866" w:name="_Toc221501119"/>
      <w:r>
        <w:rPr>
          <w:rFonts w:hint="eastAsia"/>
        </w:rPr>
        <w:t>8.5</w:t>
      </w:r>
      <w:r>
        <w:rPr>
          <w:rFonts w:hint="eastAsia"/>
        </w:rPr>
        <w:t>排污口规范</w:t>
      </w:r>
      <w:r>
        <w:rPr>
          <w:rFonts w:hint="eastAsia"/>
          <w:kern w:val="0"/>
        </w:rPr>
        <w:t>化</w:t>
      </w:r>
      <w:r>
        <w:rPr>
          <w:kern w:val="0"/>
        </w:rPr>
        <w:t>设置</w:t>
      </w:r>
      <w:bookmarkEnd w:id="866"/>
    </w:p>
    <w:p w:rsidR="004E3021" w:rsidRDefault="00606E48">
      <w:pPr>
        <w:ind w:firstLine="472"/>
        <w:rPr>
          <w:spacing w:val="2"/>
          <w:kern w:val="0"/>
        </w:rPr>
      </w:pPr>
      <w:r>
        <w:rPr>
          <w:rFonts w:ascii="宋体" w:hAnsi="宋体"/>
          <w:spacing w:val="-2"/>
          <w:kern w:val="0"/>
        </w:rPr>
        <w:t>为了公众监督管理，按照国家环境保护总局制定的《〈环境保护图形标志〉实施细则</w:t>
      </w:r>
      <w:r>
        <w:rPr>
          <w:spacing w:val="-2"/>
          <w:kern w:val="0"/>
        </w:rPr>
        <w:t>(</w:t>
      </w:r>
      <w:r>
        <w:rPr>
          <w:rFonts w:ascii="宋体" w:hAnsi="宋体"/>
          <w:spacing w:val="-2"/>
          <w:kern w:val="0"/>
        </w:rPr>
        <w:t>试行</w:t>
      </w:r>
      <w:r>
        <w:rPr>
          <w:spacing w:val="-2"/>
          <w:kern w:val="0"/>
        </w:rPr>
        <w:t>)</w:t>
      </w:r>
      <w:r>
        <w:rPr>
          <w:rFonts w:ascii="宋体" w:hAnsi="宋体"/>
          <w:spacing w:val="-2"/>
          <w:kern w:val="0"/>
        </w:rPr>
        <w:t>》</w:t>
      </w:r>
      <w:r>
        <w:rPr>
          <w:rFonts w:ascii="宋体" w:hAnsi="宋体" w:hint="eastAsia"/>
          <w:spacing w:val="-2"/>
          <w:kern w:val="0"/>
        </w:rPr>
        <w:t>（</w:t>
      </w:r>
      <w:r>
        <w:rPr>
          <w:rFonts w:ascii="宋体" w:hAnsi="宋体"/>
          <w:spacing w:val="-2"/>
          <w:kern w:val="0"/>
        </w:rPr>
        <w:t>环监</w:t>
      </w:r>
      <w:r>
        <w:rPr>
          <w:spacing w:val="-2"/>
          <w:kern w:val="0"/>
        </w:rPr>
        <w:t>[1996]463</w:t>
      </w:r>
      <w:r>
        <w:rPr>
          <w:rFonts w:ascii="宋体" w:hAnsi="宋体"/>
          <w:spacing w:val="-2"/>
          <w:kern w:val="0"/>
        </w:rPr>
        <w:t>号</w:t>
      </w:r>
      <w:r>
        <w:rPr>
          <w:rFonts w:ascii="宋体" w:hAnsi="宋体" w:hint="eastAsia"/>
          <w:spacing w:val="-2"/>
          <w:kern w:val="0"/>
        </w:rPr>
        <w:t>）</w:t>
      </w:r>
      <w:r>
        <w:rPr>
          <w:rFonts w:ascii="宋体" w:hAnsi="宋体"/>
          <w:spacing w:val="-2"/>
          <w:kern w:val="0"/>
        </w:rPr>
        <w:t>的规定，在各排污口设立相应的环境保护图形标志牌。</w:t>
      </w:r>
    </w:p>
    <w:p w:rsidR="004E3021" w:rsidRDefault="00606E48">
      <w:pPr>
        <w:ind w:firstLine="488"/>
        <w:rPr>
          <w:spacing w:val="2"/>
          <w:kern w:val="0"/>
        </w:rPr>
      </w:pPr>
      <w:r>
        <w:rPr>
          <w:rFonts w:ascii="宋体" w:hAnsi="宋体"/>
          <w:spacing w:val="2"/>
          <w:kern w:val="0"/>
        </w:rPr>
        <w:t>（</w:t>
      </w:r>
      <w:r>
        <w:rPr>
          <w:spacing w:val="2"/>
          <w:kern w:val="0"/>
        </w:rPr>
        <w:t>1</w:t>
      </w:r>
      <w:r>
        <w:rPr>
          <w:rFonts w:ascii="宋体" w:hAnsi="宋体"/>
          <w:spacing w:val="2"/>
          <w:kern w:val="0"/>
        </w:rPr>
        <w:t>）废水排放口</w:t>
      </w:r>
    </w:p>
    <w:p w:rsidR="004E3021" w:rsidRDefault="00606E48">
      <w:pPr>
        <w:ind w:firstLine="488"/>
        <w:rPr>
          <w:spacing w:val="2"/>
          <w:kern w:val="0"/>
        </w:rPr>
      </w:pPr>
      <w:r>
        <w:rPr>
          <w:rFonts w:ascii="宋体" w:hAnsi="宋体"/>
          <w:spacing w:val="2"/>
          <w:kern w:val="0"/>
        </w:rPr>
        <w:t>废水排放口必须设置便于采样的采样井，并在附近树立废水排口图形标志牌。</w:t>
      </w:r>
    </w:p>
    <w:p w:rsidR="004E3021" w:rsidRDefault="00606E48">
      <w:pPr>
        <w:ind w:firstLine="488"/>
        <w:rPr>
          <w:spacing w:val="2"/>
          <w:kern w:val="0"/>
        </w:rPr>
      </w:pPr>
      <w:r>
        <w:rPr>
          <w:rFonts w:ascii="宋体" w:hAnsi="宋体"/>
          <w:spacing w:val="2"/>
          <w:kern w:val="0"/>
        </w:rPr>
        <w:t>（</w:t>
      </w:r>
      <w:r>
        <w:rPr>
          <w:spacing w:val="2"/>
          <w:kern w:val="0"/>
        </w:rPr>
        <w:t>2</w:t>
      </w:r>
      <w:r>
        <w:rPr>
          <w:rFonts w:ascii="宋体" w:hAnsi="宋体"/>
          <w:spacing w:val="2"/>
          <w:kern w:val="0"/>
        </w:rPr>
        <w:t>）废气排气筒</w:t>
      </w:r>
    </w:p>
    <w:p w:rsidR="004E3021" w:rsidRDefault="00606E48">
      <w:pPr>
        <w:ind w:firstLine="488"/>
        <w:rPr>
          <w:spacing w:val="2"/>
          <w:kern w:val="0"/>
        </w:rPr>
      </w:pPr>
      <w:r>
        <w:rPr>
          <w:rFonts w:ascii="宋体" w:hAnsi="宋体"/>
          <w:spacing w:val="2"/>
          <w:kern w:val="0"/>
        </w:rPr>
        <w:t>厂区的废气排口应安装废气排放标志牌。</w:t>
      </w:r>
    </w:p>
    <w:p w:rsidR="004E3021" w:rsidRDefault="00606E48">
      <w:pPr>
        <w:ind w:firstLine="488"/>
        <w:rPr>
          <w:spacing w:val="2"/>
          <w:kern w:val="0"/>
        </w:rPr>
      </w:pPr>
      <w:r>
        <w:rPr>
          <w:rFonts w:ascii="宋体" w:hAnsi="宋体"/>
          <w:spacing w:val="2"/>
          <w:kern w:val="0"/>
        </w:rPr>
        <w:t>废气排放口必须符合规定的高度和按照《污染源监测技术规范》便于采样、监测的要求，设置直径不大于</w:t>
      </w:r>
      <w:r>
        <w:rPr>
          <w:spacing w:val="2"/>
          <w:kern w:val="0"/>
        </w:rPr>
        <w:t>75mm</w:t>
      </w:r>
      <w:r>
        <w:rPr>
          <w:rFonts w:ascii="宋体" w:hAnsi="宋体"/>
          <w:spacing w:val="2"/>
          <w:kern w:val="0"/>
        </w:rPr>
        <w:t>的采样口。如无法满足要求的，其采样口与环境监测部门共同确认。</w:t>
      </w:r>
    </w:p>
    <w:p w:rsidR="004E3021" w:rsidRDefault="00606E48">
      <w:pPr>
        <w:ind w:firstLine="488"/>
        <w:rPr>
          <w:spacing w:val="2"/>
          <w:kern w:val="0"/>
        </w:rPr>
      </w:pPr>
      <w:r>
        <w:rPr>
          <w:rFonts w:ascii="宋体" w:hAnsi="宋体"/>
          <w:spacing w:val="2"/>
          <w:kern w:val="0"/>
        </w:rPr>
        <w:t>（</w:t>
      </w:r>
      <w:r>
        <w:rPr>
          <w:spacing w:val="2"/>
          <w:kern w:val="0"/>
        </w:rPr>
        <w:t>3</w:t>
      </w:r>
      <w:r>
        <w:rPr>
          <w:rFonts w:ascii="宋体" w:hAnsi="宋体"/>
          <w:spacing w:val="2"/>
          <w:kern w:val="0"/>
        </w:rPr>
        <w:t>）固体废物贮存（处置）场所</w:t>
      </w:r>
    </w:p>
    <w:p w:rsidR="004E3021" w:rsidRDefault="00606E48">
      <w:pPr>
        <w:ind w:firstLine="488"/>
        <w:rPr>
          <w:spacing w:val="2"/>
          <w:kern w:val="0"/>
        </w:rPr>
      </w:pPr>
      <w:r>
        <w:rPr>
          <w:rFonts w:ascii="宋体" w:hAnsi="宋体" w:hint="eastAsia"/>
          <w:spacing w:val="2"/>
          <w:kern w:val="0"/>
        </w:rPr>
        <w:t>①</w:t>
      </w:r>
      <w:r>
        <w:rPr>
          <w:rFonts w:ascii="宋体" w:hAnsi="宋体"/>
          <w:spacing w:val="2"/>
          <w:kern w:val="0"/>
        </w:rPr>
        <w:t>固体废物贮存（处置）场所应在醒目处设置标志牌，固废环境保护图形标志牌按照《环境保护图形标志》（</w:t>
      </w:r>
      <w:r>
        <w:rPr>
          <w:spacing w:val="2"/>
          <w:kern w:val="0"/>
        </w:rPr>
        <w:t>GB15562.1-1995</w:t>
      </w:r>
      <w:r>
        <w:rPr>
          <w:rFonts w:ascii="宋体" w:hAnsi="宋体"/>
          <w:spacing w:val="2"/>
          <w:kern w:val="0"/>
        </w:rPr>
        <w:t>）规定制定。</w:t>
      </w:r>
    </w:p>
    <w:p w:rsidR="004E3021" w:rsidRDefault="00606E48">
      <w:pPr>
        <w:ind w:firstLine="488"/>
        <w:rPr>
          <w:spacing w:val="2"/>
          <w:kern w:val="0"/>
        </w:rPr>
      </w:pPr>
      <w:r>
        <w:rPr>
          <w:rFonts w:ascii="宋体" w:hAnsi="宋体" w:hint="eastAsia"/>
          <w:spacing w:val="2"/>
          <w:kern w:val="0"/>
        </w:rPr>
        <w:t>②</w:t>
      </w:r>
      <w:r>
        <w:rPr>
          <w:rFonts w:ascii="宋体" w:hAnsi="宋体" w:hint="eastAsia"/>
        </w:rPr>
        <w:t>一般固体废渣（如</w:t>
      </w:r>
      <w:r>
        <w:rPr>
          <w:rFonts w:ascii="宋体" w:hAnsi="宋体"/>
        </w:rPr>
        <w:t>生活垃圾</w:t>
      </w:r>
      <w:r>
        <w:rPr>
          <w:rFonts w:ascii="宋体" w:hAnsi="宋体" w:hint="eastAsia"/>
        </w:rPr>
        <w:t>、</w:t>
      </w:r>
      <w:r>
        <w:rPr>
          <w:rFonts w:ascii="宋体" w:hAnsi="宋体"/>
        </w:rPr>
        <w:t>硅粉等</w:t>
      </w:r>
      <w:r>
        <w:rPr>
          <w:rFonts w:ascii="宋体" w:hAnsi="宋体" w:hint="eastAsia"/>
        </w:rPr>
        <w:t>）应设置专用堆放场地，并采取二次扬尘措施，有毒有害固体废物必须设置专用堆放场地，有防扬散、防流失、防渗漏等措施。有毒有害固体废物等危险废物，应设置专用堆放场地，并必须有防扬散，防流失，防渗漏等防治措施</w:t>
      </w:r>
      <w:r>
        <w:rPr>
          <w:rFonts w:ascii="宋体" w:hAnsi="宋体"/>
          <w:spacing w:val="2"/>
          <w:kern w:val="0"/>
        </w:rPr>
        <w:t>。</w:t>
      </w:r>
    </w:p>
    <w:p w:rsidR="004E3021" w:rsidRDefault="00606E48">
      <w:pPr>
        <w:ind w:firstLine="488"/>
        <w:rPr>
          <w:spacing w:val="2"/>
          <w:kern w:val="0"/>
        </w:rPr>
      </w:pPr>
      <w:r>
        <w:rPr>
          <w:rFonts w:ascii="宋体" w:hAnsi="宋体"/>
          <w:spacing w:val="2"/>
          <w:kern w:val="0"/>
        </w:rPr>
        <w:t>（</w:t>
      </w:r>
      <w:r>
        <w:rPr>
          <w:spacing w:val="2"/>
          <w:kern w:val="0"/>
        </w:rPr>
        <w:t>3</w:t>
      </w:r>
      <w:r>
        <w:rPr>
          <w:rFonts w:ascii="宋体" w:hAnsi="宋体"/>
          <w:spacing w:val="2"/>
          <w:kern w:val="0"/>
        </w:rPr>
        <w:t>）设置标志牌要求</w:t>
      </w:r>
    </w:p>
    <w:p w:rsidR="004E3021" w:rsidRDefault="00606E48">
      <w:pPr>
        <w:ind w:firstLine="488"/>
        <w:rPr>
          <w:spacing w:val="2"/>
          <w:kern w:val="0"/>
        </w:rPr>
      </w:pPr>
      <w:r>
        <w:rPr>
          <w:rFonts w:ascii="宋体" w:hAnsi="宋体"/>
          <w:spacing w:val="2"/>
          <w:kern w:val="0"/>
        </w:rPr>
        <w:t>排放一般污染物口（源），设置提示式标志牌，排放有毒有害等污染物的排污口设置警告标志牌。</w:t>
      </w:r>
    </w:p>
    <w:p w:rsidR="004E3021" w:rsidRDefault="00606E48">
      <w:pPr>
        <w:ind w:firstLine="488"/>
        <w:rPr>
          <w:spacing w:val="2"/>
          <w:kern w:val="0"/>
        </w:rPr>
      </w:pPr>
      <w:r>
        <w:rPr>
          <w:rFonts w:ascii="宋体" w:hAnsi="宋体"/>
          <w:spacing w:val="2"/>
          <w:kern w:val="0"/>
        </w:rPr>
        <w:t>标志牌设置位置在排污口</w:t>
      </w:r>
      <w:r>
        <w:rPr>
          <w:rFonts w:ascii="宋体" w:hAnsi="宋体" w:hint="eastAsia"/>
          <w:spacing w:val="2"/>
          <w:kern w:val="0"/>
        </w:rPr>
        <w:t>（采样口）</w:t>
      </w:r>
      <w:r>
        <w:rPr>
          <w:rFonts w:ascii="宋体" w:hAnsi="宋体"/>
          <w:spacing w:val="2"/>
          <w:kern w:val="0"/>
        </w:rPr>
        <w:t>附近且醒目处，高度为标志牌上端离地面</w:t>
      </w:r>
      <w:r>
        <w:rPr>
          <w:spacing w:val="2"/>
          <w:kern w:val="0"/>
        </w:rPr>
        <w:t xml:space="preserve">2 </w:t>
      </w:r>
      <w:r>
        <w:rPr>
          <w:rFonts w:ascii="宋体" w:hAnsi="宋体"/>
          <w:spacing w:val="2"/>
          <w:kern w:val="0"/>
        </w:rPr>
        <w:t>米。排污口附近</w:t>
      </w:r>
      <w:r>
        <w:rPr>
          <w:spacing w:val="2"/>
          <w:kern w:val="0"/>
        </w:rPr>
        <w:t>1</w:t>
      </w:r>
      <w:r>
        <w:rPr>
          <w:rFonts w:ascii="宋体" w:hAnsi="宋体"/>
          <w:spacing w:val="2"/>
          <w:kern w:val="0"/>
        </w:rPr>
        <w:t>米范围内有建筑物的，设平面式标志牌，无建筑物设立式标志牌。</w:t>
      </w:r>
      <w:r>
        <w:rPr>
          <w:rFonts w:ascii="宋体" w:hAnsi="宋体"/>
          <w:spacing w:val="2"/>
          <w:kern w:val="0"/>
        </w:rPr>
        <w:lastRenderedPageBreak/>
        <w:t>规范化排污口的有关设置（如图形标志牌、计量装置、监控装置等）属环保设施，排污单位必须负责日常的维护保养，任何单位和个人不得擅自拆除。</w:t>
      </w:r>
    </w:p>
    <w:p w:rsidR="004E3021" w:rsidRDefault="00606E48">
      <w:pPr>
        <w:ind w:firstLine="472"/>
        <w:rPr>
          <w:spacing w:val="-2"/>
          <w:kern w:val="0"/>
        </w:rPr>
      </w:pPr>
      <w:r>
        <w:rPr>
          <w:rFonts w:ascii="宋体" w:hAnsi="宋体"/>
          <w:spacing w:val="-2"/>
          <w:kern w:val="0"/>
        </w:rPr>
        <w:t>具体要求见表</w:t>
      </w:r>
      <w:r>
        <w:rPr>
          <w:spacing w:val="-2"/>
          <w:kern w:val="0"/>
        </w:rPr>
        <w:t>8.5-1</w:t>
      </w:r>
      <w:r>
        <w:rPr>
          <w:rFonts w:ascii="宋体" w:hAnsi="宋体"/>
          <w:spacing w:val="-2"/>
          <w:kern w:val="0"/>
        </w:rPr>
        <w:t>。</w:t>
      </w:r>
    </w:p>
    <w:p w:rsidR="004E3021" w:rsidRDefault="00606E48">
      <w:pPr>
        <w:pStyle w:val="afffff4"/>
        <w:ind w:firstLine="480"/>
      </w:pPr>
      <w:r>
        <w:rPr>
          <w:rFonts w:ascii="黑体" w:hAnsi="黑体"/>
        </w:rPr>
        <w:t>表</w:t>
      </w:r>
      <w:r>
        <w:t xml:space="preserve">8.5-1  </w:t>
      </w:r>
      <w:r>
        <w:rPr>
          <w:rFonts w:ascii="黑体" w:hAnsi="黑体"/>
        </w:rPr>
        <w:t>各排污口环境保护图形标志</w:t>
      </w:r>
    </w:p>
    <w:tbl>
      <w:tblPr>
        <w:tblStyle w:val="afff"/>
        <w:tblW w:w="5000" w:type="pct"/>
        <w:tblLook w:val="04A0" w:firstRow="1" w:lastRow="0" w:firstColumn="1" w:lastColumn="0" w:noHBand="0" w:noVBand="1"/>
      </w:tblPr>
      <w:tblGrid>
        <w:gridCol w:w="725"/>
        <w:gridCol w:w="1685"/>
        <w:gridCol w:w="1806"/>
        <w:gridCol w:w="1677"/>
        <w:gridCol w:w="3134"/>
      </w:tblGrid>
      <w:tr w:rsidR="00F21E54" w:rsidRPr="00F21E54" w:rsidTr="009F10D4">
        <w:trPr>
          <w:trHeight w:val="340"/>
        </w:trPr>
        <w:tc>
          <w:tcPr>
            <w:tcW w:w="401" w:type="pct"/>
            <w:vAlign w:val="center"/>
          </w:tcPr>
          <w:p w:rsidR="00F21E54" w:rsidRPr="00F21E54" w:rsidRDefault="00F21E54" w:rsidP="00F21E54">
            <w:pPr>
              <w:pStyle w:val="afffffff2"/>
              <w:rPr>
                <w:b/>
                <w:kern w:val="0"/>
                <w:sz w:val="21"/>
                <w:szCs w:val="21"/>
              </w:rPr>
            </w:pPr>
            <w:r w:rsidRPr="00F21E54">
              <w:rPr>
                <w:rFonts w:hint="eastAsia"/>
                <w:b/>
                <w:kern w:val="0"/>
                <w:sz w:val="21"/>
                <w:szCs w:val="21"/>
              </w:rPr>
              <w:t>序号</w:t>
            </w:r>
          </w:p>
        </w:tc>
        <w:tc>
          <w:tcPr>
            <w:tcW w:w="933" w:type="pct"/>
            <w:vAlign w:val="center"/>
          </w:tcPr>
          <w:p w:rsidR="00F21E54" w:rsidRPr="00F21E54" w:rsidRDefault="00F21E54" w:rsidP="00F21E54">
            <w:pPr>
              <w:pStyle w:val="afffffff2"/>
              <w:rPr>
                <w:b/>
                <w:kern w:val="0"/>
                <w:sz w:val="21"/>
                <w:szCs w:val="21"/>
              </w:rPr>
            </w:pPr>
            <w:r w:rsidRPr="00F21E54">
              <w:rPr>
                <w:rFonts w:hint="eastAsia"/>
                <w:b/>
                <w:kern w:val="0"/>
                <w:sz w:val="21"/>
                <w:szCs w:val="21"/>
              </w:rPr>
              <w:t>提示图形符号</w:t>
            </w:r>
          </w:p>
        </w:tc>
        <w:tc>
          <w:tcPr>
            <w:tcW w:w="1000" w:type="pct"/>
            <w:vAlign w:val="center"/>
          </w:tcPr>
          <w:p w:rsidR="00F21E54" w:rsidRPr="00F21E54" w:rsidRDefault="00F21E54" w:rsidP="00F21E54">
            <w:pPr>
              <w:pStyle w:val="afffffff2"/>
              <w:rPr>
                <w:b/>
                <w:kern w:val="0"/>
                <w:sz w:val="21"/>
                <w:szCs w:val="21"/>
              </w:rPr>
            </w:pPr>
            <w:r w:rsidRPr="00F21E54">
              <w:rPr>
                <w:rFonts w:hint="eastAsia"/>
                <w:b/>
                <w:kern w:val="0"/>
                <w:sz w:val="21"/>
                <w:szCs w:val="21"/>
              </w:rPr>
              <w:t>警告图形符号</w:t>
            </w:r>
          </w:p>
        </w:tc>
        <w:tc>
          <w:tcPr>
            <w:tcW w:w="929" w:type="pct"/>
            <w:vAlign w:val="center"/>
          </w:tcPr>
          <w:p w:rsidR="00F21E54" w:rsidRPr="00F21E54" w:rsidRDefault="00F21E54" w:rsidP="00F21E54">
            <w:pPr>
              <w:pStyle w:val="afffffff2"/>
              <w:rPr>
                <w:b/>
                <w:kern w:val="0"/>
                <w:sz w:val="21"/>
                <w:szCs w:val="21"/>
              </w:rPr>
            </w:pPr>
            <w:r w:rsidRPr="00F21E54">
              <w:rPr>
                <w:rFonts w:hint="eastAsia"/>
                <w:b/>
                <w:kern w:val="0"/>
                <w:sz w:val="21"/>
                <w:szCs w:val="21"/>
              </w:rPr>
              <w:t>名称</w:t>
            </w:r>
          </w:p>
        </w:tc>
        <w:tc>
          <w:tcPr>
            <w:tcW w:w="1736" w:type="pct"/>
            <w:vAlign w:val="center"/>
          </w:tcPr>
          <w:p w:rsidR="00F21E54" w:rsidRPr="00F21E54" w:rsidRDefault="00F21E54" w:rsidP="00F21E54">
            <w:pPr>
              <w:pStyle w:val="afffffff2"/>
              <w:rPr>
                <w:b/>
                <w:kern w:val="0"/>
                <w:sz w:val="21"/>
                <w:szCs w:val="21"/>
              </w:rPr>
            </w:pPr>
            <w:r w:rsidRPr="00F21E54">
              <w:rPr>
                <w:rFonts w:hint="eastAsia"/>
                <w:b/>
                <w:kern w:val="0"/>
                <w:sz w:val="21"/>
                <w:szCs w:val="21"/>
              </w:rPr>
              <w:t>功能</w:t>
            </w:r>
          </w:p>
        </w:tc>
      </w:tr>
      <w:tr w:rsidR="00F21E54" w:rsidRPr="00F21E54" w:rsidTr="009F10D4">
        <w:trPr>
          <w:trHeight w:val="340"/>
        </w:trPr>
        <w:tc>
          <w:tcPr>
            <w:tcW w:w="401" w:type="pct"/>
            <w:vAlign w:val="center"/>
          </w:tcPr>
          <w:p w:rsidR="00F21E54" w:rsidRPr="00F21E54" w:rsidRDefault="00F21E54" w:rsidP="00F21E54">
            <w:pPr>
              <w:pStyle w:val="afffffff2"/>
              <w:rPr>
                <w:kern w:val="0"/>
                <w:sz w:val="21"/>
                <w:szCs w:val="21"/>
              </w:rPr>
            </w:pPr>
            <w:r w:rsidRPr="00F21E54">
              <w:rPr>
                <w:kern w:val="0"/>
                <w:sz w:val="21"/>
                <w:szCs w:val="21"/>
              </w:rPr>
              <w:t>1</w:t>
            </w:r>
          </w:p>
        </w:tc>
        <w:tc>
          <w:tcPr>
            <w:tcW w:w="933" w:type="pct"/>
            <w:vAlign w:val="center"/>
          </w:tcPr>
          <w:p w:rsidR="00F21E54" w:rsidRPr="00F21E54" w:rsidRDefault="00F21E54" w:rsidP="00F21E54">
            <w:pPr>
              <w:spacing w:line="240" w:lineRule="auto"/>
              <w:ind w:firstLineChars="0" w:firstLine="0"/>
              <w:jc w:val="center"/>
              <w:rPr>
                <w:kern w:val="18"/>
                <w:sz w:val="21"/>
                <w:szCs w:val="21"/>
              </w:rPr>
            </w:pPr>
            <w:r w:rsidRPr="00F21E54">
              <w:rPr>
                <w:noProof/>
                <w:kern w:val="18"/>
                <w:sz w:val="21"/>
                <w:szCs w:val="21"/>
              </w:rPr>
              <w:drawing>
                <wp:inline distT="0" distB="0" distL="0" distR="0" wp14:anchorId="1458494B" wp14:editId="1A007008">
                  <wp:extent cx="742950" cy="752475"/>
                  <wp:effectExtent l="19050" t="0" r="0" b="0"/>
                  <wp:docPr id="10" name="图片 50" descr="说明: 1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0" descr="说明: 13001"/>
                          <pic:cNvPicPr>
                            <a:picLocks noChangeAspect="1" noChangeArrowheads="1"/>
                          </pic:cNvPicPr>
                        </pic:nvPicPr>
                        <pic:blipFill>
                          <a:blip r:embed="rId147" cstate="print"/>
                          <a:srcRect/>
                          <a:stretch>
                            <a:fillRect/>
                          </a:stretch>
                        </pic:blipFill>
                        <pic:spPr>
                          <a:xfrm>
                            <a:off x="0" y="0"/>
                            <a:ext cx="742950" cy="752475"/>
                          </a:xfrm>
                          <a:prstGeom prst="rect">
                            <a:avLst/>
                          </a:prstGeom>
                          <a:noFill/>
                          <a:ln w="9525">
                            <a:noFill/>
                            <a:miter lim="800000"/>
                            <a:headEnd/>
                            <a:tailEnd/>
                          </a:ln>
                        </pic:spPr>
                      </pic:pic>
                    </a:graphicData>
                  </a:graphic>
                </wp:inline>
              </w:drawing>
            </w:r>
          </w:p>
        </w:tc>
        <w:tc>
          <w:tcPr>
            <w:tcW w:w="1000" w:type="pct"/>
            <w:vAlign w:val="center"/>
          </w:tcPr>
          <w:p w:rsidR="00F21E54" w:rsidRPr="00F21E54" w:rsidRDefault="00F21E54" w:rsidP="00F21E54">
            <w:pPr>
              <w:spacing w:line="240" w:lineRule="auto"/>
              <w:ind w:firstLineChars="0" w:firstLine="0"/>
              <w:jc w:val="center"/>
              <w:rPr>
                <w:kern w:val="18"/>
                <w:sz w:val="21"/>
                <w:szCs w:val="21"/>
              </w:rPr>
            </w:pPr>
            <w:r w:rsidRPr="00F21E54">
              <w:rPr>
                <w:noProof/>
                <w:kern w:val="18"/>
                <w:sz w:val="21"/>
                <w:szCs w:val="21"/>
              </w:rPr>
              <w:drawing>
                <wp:inline distT="0" distB="0" distL="0" distR="0" wp14:anchorId="1DD695B6" wp14:editId="4C3A2070">
                  <wp:extent cx="790575" cy="800100"/>
                  <wp:effectExtent l="19050" t="0" r="9525" b="0"/>
                  <wp:docPr id="11" name="图片 51" descr="说明: 1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1" descr="说明: 13002"/>
                          <pic:cNvPicPr>
                            <a:picLocks noChangeAspect="1" noChangeArrowheads="1"/>
                          </pic:cNvPicPr>
                        </pic:nvPicPr>
                        <pic:blipFill>
                          <a:blip r:embed="rId148" cstate="print"/>
                          <a:srcRect/>
                          <a:stretch>
                            <a:fillRect/>
                          </a:stretch>
                        </pic:blipFill>
                        <pic:spPr>
                          <a:xfrm>
                            <a:off x="0" y="0"/>
                            <a:ext cx="790575" cy="800100"/>
                          </a:xfrm>
                          <a:prstGeom prst="rect">
                            <a:avLst/>
                          </a:prstGeom>
                          <a:noFill/>
                          <a:ln w="9525">
                            <a:noFill/>
                            <a:miter lim="800000"/>
                            <a:headEnd/>
                            <a:tailEnd/>
                          </a:ln>
                        </pic:spPr>
                      </pic:pic>
                    </a:graphicData>
                  </a:graphic>
                </wp:inline>
              </w:drawing>
            </w:r>
          </w:p>
        </w:tc>
        <w:tc>
          <w:tcPr>
            <w:tcW w:w="929" w:type="pct"/>
            <w:vAlign w:val="center"/>
          </w:tcPr>
          <w:p w:rsidR="00F21E54" w:rsidRPr="00F21E54" w:rsidRDefault="00F21E54" w:rsidP="00F21E54">
            <w:pPr>
              <w:pStyle w:val="afffffff2"/>
              <w:rPr>
                <w:kern w:val="0"/>
                <w:sz w:val="21"/>
                <w:szCs w:val="21"/>
              </w:rPr>
            </w:pPr>
            <w:r w:rsidRPr="00F21E54">
              <w:rPr>
                <w:rFonts w:hint="eastAsia"/>
                <w:kern w:val="0"/>
                <w:sz w:val="21"/>
                <w:szCs w:val="21"/>
              </w:rPr>
              <w:t>废水排放口</w:t>
            </w:r>
          </w:p>
        </w:tc>
        <w:tc>
          <w:tcPr>
            <w:tcW w:w="1736" w:type="pct"/>
            <w:vAlign w:val="center"/>
          </w:tcPr>
          <w:p w:rsidR="00F21E54" w:rsidRPr="00F21E54" w:rsidRDefault="00F21E54" w:rsidP="00F21E54">
            <w:pPr>
              <w:pStyle w:val="afffffff2"/>
              <w:rPr>
                <w:kern w:val="0"/>
                <w:sz w:val="21"/>
                <w:szCs w:val="21"/>
              </w:rPr>
            </w:pPr>
            <w:r w:rsidRPr="00F21E54">
              <w:rPr>
                <w:rFonts w:hint="eastAsia"/>
                <w:kern w:val="0"/>
                <w:sz w:val="21"/>
                <w:szCs w:val="21"/>
              </w:rPr>
              <w:t>表示废水排放</w:t>
            </w:r>
          </w:p>
        </w:tc>
      </w:tr>
      <w:tr w:rsidR="00F21E54" w:rsidRPr="00F21E54" w:rsidTr="009F10D4">
        <w:trPr>
          <w:trHeight w:val="340"/>
        </w:trPr>
        <w:tc>
          <w:tcPr>
            <w:tcW w:w="401" w:type="pct"/>
            <w:vAlign w:val="center"/>
          </w:tcPr>
          <w:p w:rsidR="00F21E54" w:rsidRPr="00F21E54" w:rsidRDefault="00F21E54" w:rsidP="00F21E54">
            <w:pPr>
              <w:pStyle w:val="afffffff2"/>
              <w:rPr>
                <w:kern w:val="0"/>
                <w:sz w:val="21"/>
                <w:szCs w:val="21"/>
              </w:rPr>
            </w:pPr>
            <w:r w:rsidRPr="00F21E54">
              <w:rPr>
                <w:kern w:val="0"/>
                <w:sz w:val="21"/>
                <w:szCs w:val="21"/>
              </w:rPr>
              <w:t>2</w:t>
            </w:r>
          </w:p>
        </w:tc>
        <w:tc>
          <w:tcPr>
            <w:tcW w:w="933" w:type="pct"/>
            <w:vAlign w:val="center"/>
          </w:tcPr>
          <w:p w:rsidR="00F21E54" w:rsidRPr="00F21E54" w:rsidRDefault="00F21E54" w:rsidP="00F21E54">
            <w:pPr>
              <w:spacing w:line="240" w:lineRule="auto"/>
              <w:ind w:firstLineChars="0" w:firstLine="0"/>
              <w:jc w:val="center"/>
              <w:rPr>
                <w:kern w:val="18"/>
                <w:sz w:val="21"/>
                <w:szCs w:val="21"/>
              </w:rPr>
            </w:pPr>
            <w:r w:rsidRPr="00F21E54">
              <w:rPr>
                <w:noProof/>
                <w:kern w:val="0"/>
                <w:sz w:val="21"/>
                <w:szCs w:val="21"/>
              </w:rPr>
              <w:drawing>
                <wp:inline distT="0" distB="0" distL="0" distR="0" wp14:anchorId="6CFB40CD" wp14:editId="7DF1E9B0">
                  <wp:extent cx="737870" cy="869950"/>
                  <wp:effectExtent l="0" t="0" r="5080" b="6350"/>
                  <wp:docPr id="3165" name="图片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5" name="图片 3165"/>
                          <pic:cNvPicPr>
                            <a:picLocks noChangeAspect="1"/>
                          </pic:cNvPicPr>
                        </pic:nvPicPr>
                        <pic:blipFill>
                          <a:blip r:embed="rId149"/>
                          <a:stretch>
                            <a:fillRect/>
                          </a:stretch>
                        </pic:blipFill>
                        <pic:spPr>
                          <a:xfrm>
                            <a:off x="0" y="0"/>
                            <a:ext cx="757357" cy="893269"/>
                          </a:xfrm>
                          <a:prstGeom prst="rect">
                            <a:avLst/>
                          </a:prstGeom>
                        </pic:spPr>
                      </pic:pic>
                    </a:graphicData>
                  </a:graphic>
                </wp:inline>
              </w:drawing>
            </w:r>
          </w:p>
        </w:tc>
        <w:tc>
          <w:tcPr>
            <w:tcW w:w="1000" w:type="pct"/>
            <w:vAlign w:val="center"/>
          </w:tcPr>
          <w:p w:rsidR="00F21E54" w:rsidRPr="00F21E54" w:rsidRDefault="00F21E54" w:rsidP="00F21E54">
            <w:pPr>
              <w:spacing w:line="240" w:lineRule="auto"/>
              <w:ind w:firstLineChars="0" w:firstLine="0"/>
              <w:jc w:val="center"/>
              <w:rPr>
                <w:kern w:val="18"/>
                <w:sz w:val="21"/>
                <w:szCs w:val="21"/>
              </w:rPr>
            </w:pPr>
            <w:r w:rsidRPr="00F21E54">
              <w:rPr>
                <w:noProof/>
                <w:kern w:val="0"/>
                <w:sz w:val="21"/>
                <w:szCs w:val="21"/>
              </w:rPr>
              <w:drawing>
                <wp:inline distT="0" distB="0" distL="0" distR="0" wp14:anchorId="449EF076" wp14:editId="207BAB85">
                  <wp:extent cx="1009650" cy="998855"/>
                  <wp:effectExtent l="0" t="0" r="0" b="0"/>
                  <wp:docPr id="3164" name="图片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 name="图片 3164"/>
                          <pic:cNvPicPr>
                            <a:picLocks noChangeAspect="1"/>
                          </pic:cNvPicPr>
                        </pic:nvPicPr>
                        <pic:blipFill>
                          <a:blip r:embed="rId150"/>
                          <a:stretch>
                            <a:fillRect/>
                          </a:stretch>
                        </pic:blipFill>
                        <pic:spPr>
                          <a:xfrm>
                            <a:off x="0" y="0"/>
                            <a:ext cx="1009650" cy="998855"/>
                          </a:xfrm>
                          <a:prstGeom prst="rect">
                            <a:avLst/>
                          </a:prstGeom>
                        </pic:spPr>
                      </pic:pic>
                    </a:graphicData>
                  </a:graphic>
                </wp:inline>
              </w:drawing>
            </w:r>
          </w:p>
        </w:tc>
        <w:tc>
          <w:tcPr>
            <w:tcW w:w="929" w:type="pct"/>
            <w:vAlign w:val="center"/>
          </w:tcPr>
          <w:p w:rsidR="00F21E54" w:rsidRPr="00F21E54" w:rsidRDefault="00F21E54" w:rsidP="00F21E54">
            <w:pPr>
              <w:pStyle w:val="afffffff2"/>
              <w:rPr>
                <w:kern w:val="0"/>
                <w:sz w:val="21"/>
                <w:szCs w:val="21"/>
              </w:rPr>
            </w:pPr>
            <w:r w:rsidRPr="00F21E54">
              <w:rPr>
                <w:rFonts w:hint="eastAsia"/>
                <w:kern w:val="0"/>
                <w:sz w:val="21"/>
                <w:szCs w:val="21"/>
              </w:rPr>
              <w:t>雨水排放口</w:t>
            </w:r>
          </w:p>
        </w:tc>
        <w:tc>
          <w:tcPr>
            <w:tcW w:w="1736" w:type="pct"/>
            <w:vAlign w:val="center"/>
          </w:tcPr>
          <w:p w:rsidR="00F21E54" w:rsidRPr="00F21E54" w:rsidRDefault="00F21E54" w:rsidP="00F21E54">
            <w:pPr>
              <w:pStyle w:val="afffffff2"/>
              <w:rPr>
                <w:kern w:val="0"/>
                <w:sz w:val="21"/>
                <w:szCs w:val="21"/>
              </w:rPr>
            </w:pPr>
            <w:r w:rsidRPr="00F21E54">
              <w:rPr>
                <w:rFonts w:hint="eastAsia"/>
                <w:kern w:val="0"/>
                <w:sz w:val="21"/>
                <w:szCs w:val="21"/>
              </w:rPr>
              <w:t>表示</w:t>
            </w:r>
            <w:r w:rsidRPr="00F21E54">
              <w:rPr>
                <w:kern w:val="0"/>
                <w:sz w:val="21"/>
                <w:szCs w:val="21"/>
              </w:rPr>
              <w:t>雨水排放</w:t>
            </w:r>
          </w:p>
        </w:tc>
      </w:tr>
      <w:tr w:rsidR="00F21E54" w:rsidRPr="00F21E54" w:rsidTr="009F10D4">
        <w:trPr>
          <w:trHeight w:val="340"/>
        </w:trPr>
        <w:tc>
          <w:tcPr>
            <w:tcW w:w="401" w:type="pct"/>
            <w:vAlign w:val="center"/>
          </w:tcPr>
          <w:p w:rsidR="00F21E54" w:rsidRPr="00F21E54" w:rsidRDefault="00F21E54" w:rsidP="00F21E54">
            <w:pPr>
              <w:pStyle w:val="afffffff2"/>
              <w:rPr>
                <w:kern w:val="0"/>
                <w:sz w:val="21"/>
                <w:szCs w:val="21"/>
              </w:rPr>
            </w:pPr>
            <w:r w:rsidRPr="00F21E54">
              <w:rPr>
                <w:kern w:val="0"/>
                <w:sz w:val="21"/>
                <w:szCs w:val="21"/>
              </w:rPr>
              <w:t>3</w:t>
            </w:r>
          </w:p>
        </w:tc>
        <w:tc>
          <w:tcPr>
            <w:tcW w:w="933" w:type="pct"/>
            <w:vAlign w:val="center"/>
          </w:tcPr>
          <w:p w:rsidR="00F21E54" w:rsidRPr="00F21E54" w:rsidRDefault="00F21E54" w:rsidP="00F21E54">
            <w:pPr>
              <w:spacing w:line="240" w:lineRule="auto"/>
              <w:ind w:firstLineChars="0" w:firstLine="0"/>
              <w:jc w:val="center"/>
              <w:rPr>
                <w:kern w:val="18"/>
                <w:sz w:val="21"/>
                <w:szCs w:val="21"/>
              </w:rPr>
            </w:pPr>
            <w:r w:rsidRPr="00F21E54">
              <w:rPr>
                <w:noProof/>
                <w:kern w:val="18"/>
                <w:sz w:val="21"/>
                <w:szCs w:val="21"/>
              </w:rPr>
              <w:drawing>
                <wp:inline distT="0" distB="0" distL="0" distR="0" wp14:anchorId="436FE030" wp14:editId="35F8673B">
                  <wp:extent cx="742950" cy="752475"/>
                  <wp:effectExtent l="19050" t="0" r="0" b="0"/>
                  <wp:docPr id="14" name="图片 52" descr="说明: 1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2" descr="说明: 13003"/>
                          <pic:cNvPicPr>
                            <a:picLocks noChangeAspect="1" noChangeArrowheads="1"/>
                          </pic:cNvPicPr>
                        </pic:nvPicPr>
                        <pic:blipFill>
                          <a:blip r:embed="rId151" cstate="print"/>
                          <a:srcRect/>
                          <a:stretch>
                            <a:fillRect/>
                          </a:stretch>
                        </pic:blipFill>
                        <pic:spPr>
                          <a:xfrm>
                            <a:off x="0" y="0"/>
                            <a:ext cx="742950" cy="752475"/>
                          </a:xfrm>
                          <a:prstGeom prst="rect">
                            <a:avLst/>
                          </a:prstGeom>
                          <a:noFill/>
                          <a:ln w="9525">
                            <a:noFill/>
                            <a:miter lim="800000"/>
                            <a:headEnd/>
                            <a:tailEnd/>
                          </a:ln>
                        </pic:spPr>
                      </pic:pic>
                    </a:graphicData>
                  </a:graphic>
                </wp:inline>
              </w:drawing>
            </w:r>
          </w:p>
        </w:tc>
        <w:tc>
          <w:tcPr>
            <w:tcW w:w="1000" w:type="pct"/>
            <w:vAlign w:val="center"/>
          </w:tcPr>
          <w:p w:rsidR="00F21E54" w:rsidRPr="00F21E54" w:rsidRDefault="00F21E54" w:rsidP="00F21E54">
            <w:pPr>
              <w:spacing w:line="240" w:lineRule="auto"/>
              <w:ind w:firstLineChars="0" w:firstLine="0"/>
              <w:jc w:val="center"/>
              <w:rPr>
                <w:kern w:val="18"/>
                <w:sz w:val="21"/>
                <w:szCs w:val="21"/>
              </w:rPr>
            </w:pPr>
            <w:r w:rsidRPr="00F21E54">
              <w:rPr>
                <w:noProof/>
                <w:kern w:val="18"/>
                <w:sz w:val="21"/>
                <w:szCs w:val="21"/>
              </w:rPr>
              <w:drawing>
                <wp:inline distT="0" distB="0" distL="0" distR="0" wp14:anchorId="159D1B74" wp14:editId="4732DC86">
                  <wp:extent cx="781050" cy="781050"/>
                  <wp:effectExtent l="19050" t="0" r="0" b="0"/>
                  <wp:docPr id="15" name="图片 53" descr="说明: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3" descr="说明: 4"/>
                          <pic:cNvPicPr>
                            <a:picLocks noChangeAspect="1" noChangeArrowheads="1"/>
                          </pic:cNvPicPr>
                        </pic:nvPicPr>
                        <pic:blipFill>
                          <a:blip r:embed="rId152" cstate="print"/>
                          <a:srcRect/>
                          <a:stretch>
                            <a:fillRect/>
                          </a:stretch>
                        </pic:blipFill>
                        <pic:spPr>
                          <a:xfrm>
                            <a:off x="0" y="0"/>
                            <a:ext cx="781050" cy="781050"/>
                          </a:xfrm>
                          <a:prstGeom prst="rect">
                            <a:avLst/>
                          </a:prstGeom>
                          <a:noFill/>
                          <a:ln w="9525">
                            <a:noFill/>
                            <a:miter lim="800000"/>
                            <a:headEnd/>
                            <a:tailEnd/>
                          </a:ln>
                        </pic:spPr>
                      </pic:pic>
                    </a:graphicData>
                  </a:graphic>
                </wp:inline>
              </w:drawing>
            </w:r>
          </w:p>
        </w:tc>
        <w:tc>
          <w:tcPr>
            <w:tcW w:w="929" w:type="pct"/>
            <w:vAlign w:val="center"/>
          </w:tcPr>
          <w:p w:rsidR="00F21E54" w:rsidRPr="00F21E54" w:rsidRDefault="00F21E54" w:rsidP="00F21E54">
            <w:pPr>
              <w:pStyle w:val="afffffff2"/>
              <w:rPr>
                <w:kern w:val="0"/>
                <w:sz w:val="21"/>
                <w:szCs w:val="21"/>
              </w:rPr>
            </w:pPr>
            <w:r w:rsidRPr="00F21E54">
              <w:rPr>
                <w:rFonts w:hint="eastAsia"/>
                <w:kern w:val="0"/>
                <w:sz w:val="21"/>
                <w:szCs w:val="21"/>
              </w:rPr>
              <w:t>废气排放口</w:t>
            </w:r>
          </w:p>
        </w:tc>
        <w:tc>
          <w:tcPr>
            <w:tcW w:w="1736" w:type="pct"/>
            <w:vAlign w:val="center"/>
          </w:tcPr>
          <w:p w:rsidR="00F21E54" w:rsidRPr="00F21E54" w:rsidRDefault="00F21E54" w:rsidP="00F21E54">
            <w:pPr>
              <w:pStyle w:val="afffffff2"/>
              <w:rPr>
                <w:kern w:val="0"/>
                <w:sz w:val="21"/>
                <w:szCs w:val="21"/>
              </w:rPr>
            </w:pPr>
            <w:r w:rsidRPr="00F21E54">
              <w:rPr>
                <w:rFonts w:hint="eastAsia"/>
                <w:kern w:val="0"/>
                <w:sz w:val="21"/>
                <w:szCs w:val="21"/>
              </w:rPr>
              <w:t>表示废气向大气环境排放</w:t>
            </w:r>
          </w:p>
        </w:tc>
      </w:tr>
      <w:tr w:rsidR="00F21E54" w:rsidRPr="00F21E54" w:rsidTr="009F10D4">
        <w:trPr>
          <w:trHeight w:val="340"/>
        </w:trPr>
        <w:tc>
          <w:tcPr>
            <w:tcW w:w="401" w:type="pct"/>
            <w:vAlign w:val="center"/>
          </w:tcPr>
          <w:p w:rsidR="00F21E54" w:rsidRPr="00F21E54" w:rsidRDefault="00F21E54" w:rsidP="00F21E54">
            <w:pPr>
              <w:pStyle w:val="afffffff2"/>
              <w:rPr>
                <w:kern w:val="0"/>
                <w:sz w:val="21"/>
                <w:szCs w:val="21"/>
              </w:rPr>
            </w:pPr>
            <w:r w:rsidRPr="00F21E54">
              <w:rPr>
                <w:kern w:val="0"/>
                <w:sz w:val="21"/>
                <w:szCs w:val="21"/>
              </w:rPr>
              <w:t>4</w:t>
            </w:r>
          </w:p>
        </w:tc>
        <w:tc>
          <w:tcPr>
            <w:tcW w:w="933" w:type="pct"/>
            <w:vAlign w:val="center"/>
          </w:tcPr>
          <w:p w:rsidR="00F21E54" w:rsidRPr="00F21E54" w:rsidRDefault="00F21E54" w:rsidP="00F21E54">
            <w:pPr>
              <w:spacing w:line="240" w:lineRule="auto"/>
              <w:ind w:firstLineChars="0" w:firstLine="0"/>
              <w:jc w:val="center"/>
              <w:rPr>
                <w:kern w:val="18"/>
                <w:sz w:val="21"/>
                <w:szCs w:val="21"/>
              </w:rPr>
            </w:pPr>
            <w:r w:rsidRPr="00F21E54">
              <w:rPr>
                <w:noProof/>
                <w:kern w:val="18"/>
                <w:sz w:val="21"/>
                <w:szCs w:val="21"/>
              </w:rPr>
              <w:drawing>
                <wp:inline distT="0" distB="0" distL="0" distR="0" wp14:anchorId="0542E10B" wp14:editId="71C006BC">
                  <wp:extent cx="781050" cy="790575"/>
                  <wp:effectExtent l="19050" t="0" r="0" b="0"/>
                  <wp:docPr id="16" name="图片 54" descr="说明: 1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descr="说明: 14001"/>
                          <pic:cNvPicPr>
                            <a:picLocks noChangeAspect="1" noChangeArrowheads="1"/>
                          </pic:cNvPicPr>
                        </pic:nvPicPr>
                        <pic:blipFill>
                          <a:blip r:embed="rId153" cstate="print"/>
                          <a:srcRect/>
                          <a:stretch>
                            <a:fillRect/>
                          </a:stretch>
                        </pic:blipFill>
                        <pic:spPr>
                          <a:xfrm>
                            <a:off x="0" y="0"/>
                            <a:ext cx="781050" cy="790575"/>
                          </a:xfrm>
                          <a:prstGeom prst="rect">
                            <a:avLst/>
                          </a:prstGeom>
                          <a:noFill/>
                          <a:ln w="9525">
                            <a:noFill/>
                            <a:miter lim="800000"/>
                            <a:headEnd/>
                            <a:tailEnd/>
                          </a:ln>
                        </pic:spPr>
                      </pic:pic>
                    </a:graphicData>
                  </a:graphic>
                </wp:inline>
              </w:drawing>
            </w:r>
          </w:p>
        </w:tc>
        <w:tc>
          <w:tcPr>
            <w:tcW w:w="1000" w:type="pct"/>
            <w:vAlign w:val="center"/>
          </w:tcPr>
          <w:p w:rsidR="00F21E54" w:rsidRPr="00F21E54" w:rsidRDefault="00F21E54" w:rsidP="00F21E54">
            <w:pPr>
              <w:spacing w:line="240" w:lineRule="auto"/>
              <w:ind w:firstLineChars="0" w:firstLine="0"/>
              <w:jc w:val="center"/>
              <w:rPr>
                <w:kern w:val="18"/>
                <w:sz w:val="21"/>
                <w:szCs w:val="21"/>
              </w:rPr>
            </w:pPr>
            <w:r w:rsidRPr="00F21E54">
              <w:rPr>
                <w:noProof/>
                <w:kern w:val="18"/>
                <w:sz w:val="21"/>
                <w:szCs w:val="21"/>
              </w:rPr>
              <w:drawing>
                <wp:inline distT="0" distB="0" distL="0" distR="0" wp14:anchorId="6ECF4CC9" wp14:editId="21C1A9D7">
                  <wp:extent cx="771525" cy="723900"/>
                  <wp:effectExtent l="19050" t="0" r="9525" b="0"/>
                  <wp:docPr id="17" name="图片 55" descr="说明: 1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5" descr="说明: 14002"/>
                          <pic:cNvPicPr>
                            <a:picLocks noChangeAspect="1" noChangeArrowheads="1"/>
                          </pic:cNvPicPr>
                        </pic:nvPicPr>
                        <pic:blipFill>
                          <a:blip r:embed="rId154" cstate="print"/>
                          <a:srcRect/>
                          <a:stretch>
                            <a:fillRect/>
                          </a:stretch>
                        </pic:blipFill>
                        <pic:spPr>
                          <a:xfrm>
                            <a:off x="0" y="0"/>
                            <a:ext cx="771525" cy="723900"/>
                          </a:xfrm>
                          <a:prstGeom prst="rect">
                            <a:avLst/>
                          </a:prstGeom>
                          <a:noFill/>
                          <a:ln w="9525">
                            <a:noFill/>
                            <a:miter lim="800000"/>
                            <a:headEnd/>
                            <a:tailEnd/>
                          </a:ln>
                        </pic:spPr>
                      </pic:pic>
                    </a:graphicData>
                  </a:graphic>
                </wp:inline>
              </w:drawing>
            </w:r>
          </w:p>
        </w:tc>
        <w:tc>
          <w:tcPr>
            <w:tcW w:w="929" w:type="pct"/>
            <w:vAlign w:val="center"/>
          </w:tcPr>
          <w:p w:rsidR="00F21E54" w:rsidRPr="00F21E54" w:rsidRDefault="00F21E54" w:rsidP="00F21E54">
            <w:pPr>
              <w:pStyle w:val="afffffff2"/>
              <w:rPr>
                <w:kern w:val="0"/>
                <w:sz w:val="21"/>
                <w:szCs w:val="21"/>
              </w:rPr>
            </w:pPr>
            <w:r w:rsidRPr="00F21E54">
              <w:rPr>
                <w:rFonts w:hint="eastAsia"/>
                <w:kern w:val="0"/>
                <w:sz w:val="21"/>
                <w:szCs w:val="21"/>
              </w:rPr>
              <w:t>一般固体废物</w:t>
            </w:r>
          </w:p>
        </w:tc>
        <w:tc>
          <w:tcPr>
            <w:tcW w:w="1736" w:type="pct"/>
            <w:vAlign w:val="center"/>
          </w:tcPr>
          <w:p w:rsidR="00F21E54" w:rsidRPr="00F21E54" w:rsidRDefault="00F21E54" w:rsidP="00F21E54">
            <w:pPr>
              <w:pStyle w:val="afffffff2"/>
              <w:rPr>
                <w:kern w:val="0"/>
                <w:sz w:val="21"/>
                <w:szCs w:val="21"/>
              </w:rPr>
            </w:pPr>
            <w:r w:rsidRPr="00F21E54">
              <w:rPr>
                <w:rFonts w:hint="eastAsia"/>
                <w:kern w:val="0"/>
                <w:sz w:val="21"/>
                <w:szCs w:val="21"/>
              </w:rPr>
              <w:t>表示一般固体废物贮存、处置场</w:t>
            </w:r>
          </w:p>
        </w:tc>
      </w:tr>
      <w:tr w:rsidR="00F21E54" w:rsidRPr="00F21E54" w:rsidTr="009F10D4">
        <w:trPr>
          <w:trHeight w:val="340"/>
        </w:trPr>
        <w:tc>
          <w:tcPr>
            <w:tcW w:w="401" w:type="pct"/>
            <w:vAlign w:val="center"/>
          </w:tcPr>
          <w:p w:rsidR="00F21E54" w:rsidRPr="00F21E54" w:rsidRDefault="00F21E54" w:rsidP="00F21E54">
            <w:pPr>
              <w:pStyle w:val="afffffff2"/>
              <w:rPr>
                <w:kern w:val="0"/>
                <w:sz w:val="21"/>
                <w:szCs w:val="21"/>
              </w:rPr>
            </w:pPr>
            <w:r w:rsidRPr="00F21E54">
              <w:rPr>
                <w:kern w:val="0"/>
                <w:sz w:val="21"/>
                <w:szCs w:val="21"/>
              </w:rPr>
              <w:t>5</w:t>
            </w:r>
          </w:p>
        </w:tc>
        <w:tc>
          <w:tcPr>
            <w:tcW w:w="933" w:type="pct"/>
            <w:vAlign w:val="center"/>
          </w:tcPr>
          <w:p w:rsidR="00F21E54" w:rsidRPr="00F21E54" w:rsidRDefault="00F21E54" w:rsidP="00F21E54">
            <w:pPr>
              <w:spacing w:line="240" w:lineRule="auto"/>
              <w:ind w:firstLineChars="0" w:firstLine="0"/>
              <w:jc w:val="center"/>
              <w:rPr>
                <w:kern w:val="18"/>
                <w:sz w:val="21"/>
                <w:szCs w:val="21"/>
              </w:rPr>
            </w:pPr>
            <w:r w:rsidRPr="00F21E54">
              <w:rPr>
                <w:noProof/>
                <w:kern w:val="18"/>
                <w:sz w:val="21"/>
                <w:szCs w:val="21"/>
              </w:rPr>
              <w:drawing>
                <wp:inline distT="0" distB="0" distL="0" distR="0" wp14:anchorId="1D9D6976" wp14:editId="3AE38ADD">
                  <wp:extent cx="790575" cy="790575"/>
                  <wp:effectExtent l="19050" t="0" r="9525" b="0"/>
                  <wp:docPr id="50" name="图片 56" descr="说明: 200602201518049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6" descr="说明: 200602201518049853"/>
                          <pic:cNvPicPr>
                            <a:picLocks noChangeAspect="1" noChangeArrowheads="1"/>
                          </pic:cNvPicPr>
                        </pic:nvPicPr>
                        <pic:blipFill>
                          <a:blip r:embed="rId155" cstate="print"/>
                          <a:srcRect/>
                          <a:stretch>
                            <a:fillRect/>
                          </a:stretch>
                        </pic:blipFill>
                        <pic:spPr>
                          <a:xfrm>
                            <a:off x="0" y="0"/>
                            <a:ext cx="790575" cy="790575"/>
                          </a:xfrm>
                          <a:prstGeom prst="rect">
                            <a:avLst/>
                          </a:prstGeom>
                          <a:noFill/>
                          <a:ln w="9525">
                            <a:noFill/>
                            <a:miter lim="800000"/>
                            <a:headEnd/>
                            <a:tailEnd/>
                          </a:ln>
                        </pic:spPr>
                      </pic:pic>
                    </a:graphicData>
                  </a:graphic>
                </wp:inline>
              </w:drawing>
            </w:r>
          </w:p>
        </w:tc>
        <w:tc>
          <w:tcPr>
            <w:tcW w:w="1000" w:type="pct"/>
            <w:vAlign w:val="center"/>
          </w:tcPr>
          <w:p w:rsidR="00F21E54" w:rsidRPr="00F21E54" w:rsidRDefault="00F21E54" w:rsidP="00F21E54">
            <w:pPr>
              <w:spacing w:line="240" w:lineRule="auto"/>
              <w:ind w:firstLineChars="0" w:firstLine="0"/>
              <w:jc w:val="center"/>
              <w:rPr>
                <w:kern w:val="18"/>
                <w:sz w:val="21"/>
                <w:szCs w:val="21"/>
              </w:rPr>
            </w:pPr>
            <w:r w:rsidRPr="00F21E54">
              <w:rPr>
                <w:noProof/>
                <w:kern w:val="18"/>
                <w:sz w:val="21"/>
                <w:szCs w:val="21"/>
              </w:rPr>
              <w:drawing>
                <wp:inline distT="0" distB="0" distL="0" distR="0" wp14:anchorId="46532690" wp14:editId="7EFB39D3">
                  <wp:extent cx="866775" cy="771525"/>
                  <wp:effectExtent l="19050" t="0" r="9525" b="0"/>
                  <wp:docPr id="46" name="图片 57" descr="说明: 200602201519018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7" descr="说明: 200602201519018631"/>
                          <pic:cNvPicPr>
                            <a:picLocks noChangeAspect="1" noChangeArrowheads="1"/>
                          </pic:cNvPicPr>
                        </pic:nvPicPr>
                        <pic:blipFill>
                          <a:blip r:embed="rId156" cstate="print"/>
                          <a:srcRect/>
                          <a:stretch>
                            <a:fillRect/>
                          </a:stretch>
                        </pic:blipFill>
                        <pic:spPr>
                          <a:xfrm>
                            <a:off x="0" y="0"/>
                            <a:ext cx="866775" cy="771525"/>
                          </a:xfrm>
                          <a:prstGeom prst="rect">
                            <a:avLst/>
                          </a:prstGeom>
                          <a:noFill/>
                          <a:ln w="9525">
                            <a:noFill/>
                            <a:miter lim="800000"/>
                            <a:headEnd/>
                            <a:tailEnd/>
                          </a:ln>
                        </pic:spPr>
                      </pic:pic>
                    </a:graphicData>
                  </a:graphic>
                </wp:inline>
              </w:drawing>
            </w:r>
          </w:p>
        </w:tc>
        <w:tc>
          <w:tcPr>
            <w:tcW w:w="929" w:type="pct"/>
            <w:vAlign w:val="center"/>
          </w:tcPr>
          <w:p w:rsidR="00F21E54" w:rsidRPr="00F21E54" w:rsidRDefault="00F21E54" w:rsidP="00F21E54">
            <w:pPr>
              <w:pStyle w:val="afffffff2"/>
              <w:rPr>
                <w:kern w:val="0"/>
                <w:sz w:val="21"/>
                <w:szCs w:val="21"/>
              </w:rPr>
            </w:pPr>
            <w:r w:rsidRPr="00F21E54">
              <w:rPr>
                <w:rFonts w:hint="eastAsia"/>
                <w:kern w:val="0"/>
                <w:sz w:val="21"/>
                <w:szCs w:val="21"/>
              </w:rPr>
              <w:t>噪声排放源</w:t>
            </w:r>
          </w:p>
        </w:tc>
        <w:tc>
          <w:tcPr>
            <w:tcW w:w="1736" w:type="pct"/>
            <w:vAlign w:val="center"/>
          </w:tcPr>
          <w:p w:rsidR="00F21E54" w:rsidRPr="00F21E54" w:rsidRDefault="00F21E54" w:rsidP="00F21E54">
            <w:pPr>
              <w:pStyle w:val="afffffff2"/>
              <w:rPr>
                <w:kern w:val="0"/>
                <w:sz w:val="21"/>
                <w:szCs w:val="21"/>
              </w:rPr>
            </w:pPr>
            <w:r w:rsidRPr="00F21E54">
              <w:rPr>
                <w:rFonts w:hint="eastAsia"/>
                <w:kern w:val="0"/>
                <w:sz w:val="21"/>
                <w:szCs w:val="21"/>
              </w:rPr>
              <w:t>表示噪声向外环境排放</w:t>
            </w:r>
          </w:p>
        </w:tc>
      </w:tr>
      <w:tr w:rsidR="00F21E54" w:rsidRPr="00F21E54" w:rsidTr="009F10D4">
        <w:trPr>
          <w:trHeight w:val="340"/>
        </w:trPr>
        <w:tc>
          <w:tcPr>
            <w:tcW w:w="401" w:type="pct"/>
            <w:vAlign w:val="center"/>
          </w:tcPr>
          <w:p w:rsidR="00F21E54" w:rsidRPr="00F21E54" w:rsidRDefault="00F21E54" w:rsidP="00F21E54">
            <w:pPr>
              <w:pStyle w:val="afffffff2"/>
              <w:rPr>
                <w:kern w:val="0"/>
                <w:sz w:val="21"/>
                <w:szCs w:val="21"/>
              </w:rPr>
            </w:pPr>
            <w:r w:rsidRPr="00F21E54">
              <w:rPr>
                <w:rFonts w:hint="eastAsia"/>
                <w:kern w:val="0"/>
                <w:sz w:val="21"/>
                <w:szCs w:val="21"/>
              </w:rPr>
              <w:t>6</w:t>
            </w:r>
          </w:p>
        </w:tc>
        <w:tc>
          <w:tcPr>
            <w:tcW w:w="933" w:type="pct"/>
            <w:vAlign w:val="center"/>
          </w:tcPr>
          <w:p w:rsidR="00F21E54" w:rsidRPr="00F21E54" w:rsidRDefault="00F21E54" w:rsidP="00F21E54">
            <w:pPr>
              <w:spacing w:line="240" w:lineRule="auto"/>
              <w:ind w:firstLineChars="0" w:firstLine="0"/>
              <w:jc w:val="center"/>
              <w:rPr>
                <w:kern w:val="18"/>
                <w:sz w:val="21"/>
                <w:szCs w:val="21"/>
              </w:rPr>
            </w:pPr>
            <w:r w:rsidRPr="00F21E54">
              <w:rPr>
                <w:noProof/>
                <w:kern w:val="0"/>
                <w:sz w:val="21"/>
                <w:szCs w:val="21"/>
              </w:rPr>
              <w:drawing>
                <wp:inline distT="0" distB="0" distL="0" distR="0" wp14:anchorId="06E659DA" wp14:editId="4E11BFF5">
                  <wp:extent cx="789305" cy="5715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57"/>
                          <a:stretch>
                            <a:fillRect/>
                          </a:stretch>
                        </pic:blipFill>
                        <pic:spPr>
                          <a:xfrm>
                            <a:off x="0" y="0"/>
                            <a:ext cx="803757" cy="581799"/>
                          </a:xfrm>
                          <a:prstGeom prst="rect">
                            <a:avLst/>
                          </a:prstGeom>
                        </pic:spPr>
                      </pic:pic>
                    </a:graphicData>
                  </a:graphic>
                </wp:inline>
              </w:drawing>
            </w:r>
          </w:p>
        </w:tc>
        <w:tc>
          <w:tcPr>
            <w:tcW w:w="1000" w:type="pct"/>
            <w:vAlign w:val="center"/>
          </w:tcPr>
          <w:p w:rsidR="00F21E54" w:rsidRPr="00F21E54" w:rsidRDefault="00F21E54" w:rsidP="00F21E54">
            <w:pPr>
              <w:spacing w:line="240" w:lineRule="auto"/>
              <w:ind w:firstLineChars="0" w:firstLine="0"/>
              <w:jc w:val="center"/>
              <w:rPr>
                <w:kern w:val="18"/>
                <w:sz w:val="21"/>
                <w:szCs w:val="21"/>
              </w:rPr>
            </w:pPr>
            <w:r w:rsidRPr="00F21E54">
              <w:rPr>
                <w:noProof/>
                <w:kern w:val="0"/>
                <w:sz w:val="21"/>
                <w:szCs w:val="21"/>
              </w:rPr>
              <w:drawing>
                <wp:inline distT="0" distB="0" distL="0" distR="0" wp14:anchorId="19FE09F3" wp14:editId="41D070FD">
                  <wp:extent cx="619125" cy="619125"/>
                  <wp:effectExtent l="0" t="0" r="9525"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58"/>
                          <a:stretch>
                            <a:fillRect/>
                          </a:stretch>
                        </pic:blipFill>
                        <pic:spPr>
                          <a:xfrm>
                            <a:off x="0" y="0"/>
                            <a:ext cx="619125" cy="619125"/>
                          </a:xfrm>
                          <a:prstGeom prst="rect">
                            <a:avLst/>
                          </a:prstGeom>
                        </pic:spPr>
                      </pic:pic>
                    </a:graphicData>
                  </a:graphic>
                </wp:inline>
              </w:drawing>
            </w:r>
          </w:p>
        </w:tc>
        <w:tc>
          <w:tcPr>
            <w:tcW w:w="929" w:type="pct"/>
            <w:vAlign w:val="center"/>
          </w:tcPr>
          <w:p w:rsidR="00F21E54" w:rsidRPr="00F21E54" w:rsidRDefault="00F21E54" w:rsidP="00F21E54">
            <w:pPr>
              <w:pStyle w:val="afffffff2"/>
              <w:rPr>
                <w:kern w:val="0"/>
                <w:sz w:val="21"/>
                <w:szCs w:val="21"/>
              </w:rPr>
            </w:pPr>
            <w:r w:rsidRPr="00F21E54">
              <w:rPr>
                <w:rFonts w:hint="eastAsia"/>
                <w:kern w:val="0"/>
                <w:sz w:val="21"/>
                <w:szCs w:val="21"/>
              </w:rPr>
              <w:t>危险废物</w:t>
            </w:r>
          </w:p>
        </w:tc>
        <w:tc>
          <w:tcPr>
            <w:tcW w:w="1736" w:type="pct"/>
            <w:vAlign w:val="center"/>
          </w:tcPr>
          <w:p w:rsidR="00F21E54" w:rsidRPr="00F21E54" w:rsidRDefault="00F21E54" w:rsidP="00F21E54">
            <w:pPr>
              <w:pStyle w:val="afffffff2"/>
              <w:rPr>
                <w:kern w:val="0"/>
                <w:sz w:val="21"/>
                <w:szCs w:val="21"/>
              </w:rPr>
            </w:pPr>
            <w:r w:rsidRPr="00F21E54">
              <w:rPr>
                <w:kern w:val="0"/>
                <w:sz w:val="21"/>
                <w:szCs w:val="21"/>
              </w:rPr>
              <w:t>危险废物贮存识别标签及标志</w:t>
            </w:r>
          </w:p>
        </w:tc>
      </w:tr>
    </w:tbl>
    <w:p w:rsidR="004E3021" w:rsidRPr="00F21E54" w:rsidRDefault="004E3021">
      <w:pPr>
        <w:ind w:firstLine="480"/>
        <w:rPr>
          <w:rFonts w:ascii="宋体" w:hAnsi="宋体"/>
        </w:rPr>
      </w:pPr>
    </w:p>
    <w:p w:rsidR="004E3021" w:rsidRDefault="004E3021">
      <w:pPr>
        <w:pStyle w:val="afffffffffffffffff2"/>
        <w:sectPr w:rsidR="004E3021">
          <w:pgSz w:w="11907" w:h="16840"/>
          <w:pgMar w:top="1440" w:right="1440" w:bottom="1440" w:left="1440" w:header="851" w:footer="992" w:gutter="0"/>
          <w:cols w:space="720"/>
          <w:docGrid w:type="lines" w:linePitch="326"/>
        </w:sectPr>
      </w:pPr>
      <w:bookmarkStart w:id="867" w:name="_Toc87977877"/>
      <w:bookmarkEnd w:id="867"/>
    </w:p>
    <w:p w:rsidR="004E3021" w:rsidRDefault="00606E48">
      <w:pPr>
        <w:pStyle w:val="afffffffffffffffff2"/>
      </w:pPr>
      <w:bookmarkStart w:id="868" w:name="_Toc221501120"/>
      <w:r>
        <w:rPr>
          <w:rFonts w:hint="eastAsia"/>
        </w:rPr>
        <w:lastRenderedPageBreak/>
        <w:t>9</w:t>
      </w:r>
      <w:r>
        <w:rPr>
          <w:rFonts w:hint="eastAsia"/>
        </w:rPr>
        <w:t>、结论与建议</w:t>
      </w:r>
      <w:bookmarkEnd w:id="868"/>
    </w:p>
    <w:p w:rsidR="004E3021" w:rsidRDefault="00606E48">
      <w:pPr>
        <w:pStyle w:val="afffffffffffffffff3"/>
      </w:pPr>
      <w:bookmarkStart w:id="869" w:name="_Toc87977878"/>
      <w:bookmarkStart w:id="870" w:name="_Toc221501121"/>
      <w:bookmarkEnd w:id="869"/>
      <w:r>
        <w:rPr>
          <w:rFonts w:hint="eastAsia"/>
        </w:rPr>
        <w:t>9.1</w:t>
      </w:r>
      <w:r>
        <w:rPr>
          <w:rFonts w:hint="eastAsia"/>
        </w:rPr>
        <w:t>建设项目</w:t>
      </w:r>
      <w:r>
        <w:t>概况</w:t>
      </w:r>
      <w:bookmarkEnd w:id="870"/>
    </w:p>
    <w:p w:rsidR="00DC005A" w:rsidRDefault="00DC005A" w:rsidP="00DC005A">
      <w:pPr>
        <w:ind w:firstLine="480"/>
      </w:pPr>
      <w:bookmarkStart w:id="871" w:name="_Toc87977879"/>
      <w:bookmarkEnd w:id="871"/>
      <w:r>
        <w:t>项目名称：</w:t>
      </w:r>
      <w:r>
        <w:rPr>
          <w:rFonts w:hint="eastAsia"/>
        </w:rPr>
        <w:t>年产</w:t>
      </w:r>
      <w:r>
        <w:rPr>
          <w:rFonts w:hint="eastAsia"/>
        </w:rPr>
        <w:t>7000</w:t>
      </w:r>
      <w:r>
        <w:rPr>
          <w:rFonts w:hint="eastAsia"/>
        </w:rPr>
        <w:t>吨硅基新材料技改</w:t>
      </w:r>
      <w:r>
        <w:rPr>
          <w:rFonts w:hint="eastAsia"/>
        </w:rPr>
        <w:t>/</w:t>
      </w:r>
      <w:r>
        <w:rPr>
          <w:rFonts w:hint="eastAsia"/>
        </w:rPr>
        <w:t>扩建项目</w:t>
      </w:r>
      <w:r>
        <w:t>；</w:t>
      </w:r>
    </w:p>
    <w:p w:rsidR="00DC005A" w:rsidRDefault="00DC005A" w:rsidP="00DC005A">
      <w:pPr>
        <w:ind w:firstLine="480"/>
      </w:pPr>
      <w:r>
        <w:rPr>
          <w:rFonts w:hint="eastAsia"/>
        </w:rPr>
        <w:t>建设单位：</w:t>
      </w:r>
      <w:r>
        <w:t>安徽凯盛</w:t>
      </w:r>
      <w:r>
        <w:rPr>
          <w:rFonts w:hint="eastAsia"/>
        </w:rPr>
        <w:t>应用</w:t>
      </w:r>
      <w:r>
        <w:t>材料</w:t>
      </w:r>
      <w:r>
        <w:rPr>
          <w:rFonts w:hint="eastAsia"/>
        </w:rPr>
        <w:t>有限</w:t>
      </w:r>
      <w:r>
        <w:t>公司</w:t>
      </w:r>
      <w:r>
        <w:rPr>
          <w:rFonts w:hint="eastAsia"/>
        </w:rPr>
        <w:t>；</w:t>
      </w:r>
    </w:p>
    <w:p w:rsidR="00DC005A" w:rsidRDefault="00DC005A" w:rsidP="00DC005A">
      <w:pPr>
        <w:ind w:firstLine="480"/>
      </w:pPr>
      <w:r>
        <w:rPr>
          <w:rFonts w:hint="eastAsia"/>
        </w:rPr>
        <w:t>建设</w:t>
      </w:r>
      <w:r>
        <w:t>性质：</w:t>
      </w:r>
      <w:r>
        <w:rPr>
          <w:rFonts w:hint="eastAsia"/>
        </w:rPr>
        <w:t>技改</w:t>
      </w:r>
      <w:r>
        <w:rPr>
          <w:rFonts w:hint="eastAsia"/>
        </w:rPr>
        <w:t>/</w:t>
      </w:r>
      <w:r>
        <w:rPr>
          <w:rFonts w:hint="eastAsia"/>
        </w:rPr>
        <w:t>扩建</w:t>
      </w:r>
      <w:r>
        <w:t>；</w:t>
      </w:r>
    </w:p>
    <w:p w:rsidR="00DC005A" w:rsidRDefault="00DC005A" w:rsidP="00DC005A">
      <w:pPr>
        <w:ind w:firstLine="480"/>
      </w:pPr>
      <w:r>
        <w:rPr>
          <w:rFonts w:hint="eastAsia"/>
        </w:rPr>
        <w:t>行业类别</w:t>
      </w:r>
      <w:r>
        <w:t>：</w:t>
      </w:r>
      <w:r>
        <w:rPr>
          <w:rFonts w:hint="eastAsia"/>
        </w:rPr>
        <w:t>基础化学原料制造</w:t>
      </w:r>
      <w:r>
        <w:rPr>
          <w:rFonts w:hint="eastAsia"/>
        </w:rPr>
        <w:t>[C261]</w:t>
      </w:r>
      <w:r>
        <w:rPr>
          <w:rFonts w:hint="eastAsia"/>
        </w:rPr>
        <w:t>（硅：其他基础</w:t>
      </w:r>
      <w:r>
        <w:t>化学原料制造</w:t>
      </w:r>
      <w:r>
        <w:rPr>
          <w:rFonts w:hint="eastAsia"/>
        </w:rPr>
        <w:t>[C2619]</w:t>
      </w:r>
      <w:r>
        <w:rPr>
          <w:rFonts w:hint="eastAsia"/>
        </w:rPr>
        <w:t>；</w:t>
      </w:r>
      <w:r>
        <w:rPr>
          <w:rFonts w:hint="eastAsia"/>
        </w:rPr>
        <w:t>KH-560</w:t>
      </w:r>
      <w:r>
        <w:rPr>
          <w:rFonts w:hint="eastAsia"/>
        </w:rPr>
        <w:t>及</w:t>
      </w:r>
      <w:r>
        <w:rPr>
          <w:rFonts w:hint="eastAsia"/>
        </w:rPr>
        <w:t>A-</w:t>
      </w:r>
      <w:r>
        <w:t>171</w:t>
      </w:r>
      <w:r>
        <w:rPr>
          <w:rFonts w:hint="eastAsia"/>
        </w:rPr>
        <w:t>：有机化学原料制造</w:t>
      </w:r>
      <w:r>
        <w:rPr>
          <w:rFonts w:hint="eastAsia"/>
        </w:rPr>
        <w:t>[</w:t>
      </w:r>
      <w:r>
        <w:t>C2614]</w:t>
      </w:r>
      <w:r>
        <w:rPr>
          <w:rFonts w:hint="eastAsia"/>
        </w:rPr>
        <w:t>）；</w:t>
      </w:r>
    </w:p>
    <w:p w:rsidR="00DC005A" w:rsidRDefault="00DC005A" w:rsidP="00DC005A">
      <w:pPr>
        <w:ind w:firstLine="480"/>
      </w:pPr>
      <w:r>
        <w:t>建设地点：</w:t>
      </w:r>
      <w:r>
        <w:rPr>
          <w:rFonts w:hint="eastAsia"/>
        </w:rPr>
        <w:t>蚌埠精细化工高新技术产业基地开源大道</w:t>
      </w:r>
      <w:r>
        <w:rPr>
          <w:rFonts w:hint="eastAsia"/>
        </w:rPr>
        <w:t>28</w:t>
      </w:r>
      <w:r>
        <w:rPr>
          <w:rFonts w:hint="eastAsia"/>
        </w:rPr>
        <w:t>号</w:t>
      </w:r>
      <w:r>
        <w:t>；</w:t>
      </w:r>
    </w:p>
    <w:p w:rsidR="00DC005A" w:rsidRDefault="00DC005A" w:rsidP="00DC005A">
      <w:pPr>
        <w:ind w:firstLine="480"/>
      </w:pPr>
      <w:r>
        <w:t>建设</w:t>
      </w:r>
      <w:r>
        <w:rPr>
          <w:rFonts w:hint="eastAsia"/>
        </w:rPr>
        <w:t>内容</w:t>
      </w:r>
      <w:r>
        <w:t>及规模：</w:t>
      </w:r>
      <w:r>
        <w:rPr>
          <w:rFonts w:hint="eastAsia"/>
        </w:rPr>
        <w:t>项目分两期建设。项目（一期）年生产电子级硅溶胶</w:t>
      </w:r>
      <w:r>
        <w:rPr>
          <w:rFonts w:hint="eastAsia"/>
        </w:rPr>
        <w:t>1500</w:t>
      </w:r>
      <w:r>
        <w:rPr>
          <w:rFonts w:hint="eastAsia"/>
        </w:rPr>
        <w:t>吨</w:t>
      </w:r>
      <w:r>
        <w:rPr>
          <w:rFonts w:hint="eastAsia"/>
        </w:rPr>
        <w:t>(</w:t>
      </w:r>
      <w:r>
        <w:rPr>
          <w:rFonts w:hint="eastAsia"/>
        </w:rPr>
        <w:t>固含量</w:t>
      </w:r>
      <w:r>
        <w:rPr>
          <w:rFonts w:hint="eastAsia"/>
        </w:rPr>
        <w:t>20%)</w:t>
      </w:r>
      <w:r>
        <w:rPr>
          <w:rFonts w:hint="eastAsia"/>
        </w:rPr>
        <w:t>全部销售，中间产品硅粉</w:t>
      </w:r>
      <w:r>
        <w:rPr>
          <w:rFonts w:hint="eastAsia"/>
        </w:rPr>
        <w:t>2880</w:t>
      </w:r>
      <w:r>
        <w:rPr>
          <w:rFonts w:hint="eastAsia"/>
        </w:rPr>
        <w:t>吨，四甲氧基硅烷</w:t>
      </w:r>
      <w:r>
        <w:rPr>
          <w:rFonts w:hint="eastAsia"/>
        </w:rPr>
        <w:t>1037</w:t>
      </w:r>
      <w:r>
        <w:rPr>
          <w:rFonts w:hint="eastAsia"/>
        </w:rPr>
        <w:t>吨（</w:t>
      </w:r>
      <w:r>
        <w:rPr>
          <w:rFonts w:hint="eastAsia"/>
        </w:rPr>
        <w:t>99.9%</w:t>
      </w:r>
      <w:r>
        <w:rPr>
          <w:rFonts w:hint="eastAsia"/>
        </w:rPr>
        <w:t>的</w:t>
      </w:r>
      <w:r>
        <w:rPr>
          <w:rFonts w:hint="eastAsia"/>
        </w:rPr>
        <w:t>998</w:t>
      </w:r>
      <w:r>
        <w:rPr>
          <w:rFonts w:hint="eastAsia"/>
        </w:rPr>
        <w:t>吨，</w:t>
      </w:r>
      <w:r>
        <w:rPr>
          <w:rFonts w:hint="eastAsia"/>
        </w:rPr>
        <w:t>90%</w:t>
      </w:r>
      <w:r>
        <w:rPr>
          <w:rFonts w:hint="eastAsia"/>
        </w:rPr>
        <w:t>的</w:t>
      </w:r>
      <w:r>
        <w:rPr>
          <w:rFonts w:hint="eastAsia"/>
        </w:rPr>
        <w:t>39</w:t>
      </w:r>
      <w:r>
        <w:rPr>
          <w:rFonts w:hint="eastAsia"/>
        </w:rPr>
        <w:t>吨），三甲氧基硅烷</w:t>
      </w:r>
      <w:r>
        <w:rPr>
          <w:rFonts w:hint="eastAsia"/>
        </w:rPr>
        <w:t>4500</w:t>
      </w:r>
      <w:r>
        <w:rPr>
          <w:rFonts w:hint="eastAsia"/>
        </w:rPr>
        <w:t>吨。产品年生产能力硅烷偶联剂</w:t>
      </w:r>
      <w:r>
        <w:rPr>
          <w:rFonts w:hint="eastAsia"/>
        </w:rPr>
        <w:t>(KH560)3000</w:t>
      </w:r>
      <w:r>
        <w:rPr>
          <w:rFonts w:hint="eastAsia"/>
        </w:rPr>
        <w:t>吨，硅烷偶联剂</w:t>
      </w:r>
      <w:r>
        <w:rPr>
          <w:rFonts w:hint="eastAsia"/>
        </w:rPr>
        <w:t>(A-171)2500</w:t>
      </w:r>
      <w:r>
        <w:rPr>
          <w:rFonts w:hint="eastAsia"/>
        </w:rPr>
        <w:t>吨。副产品甲醇</w:t>
      </w:r>
      <w:r>
        <w:rPr>
          <w:rFonts w:hint="eastAsia"/>
        </w:rPr>
        <w:t>645</w:t>
      </w:r>
      <w:r>
        <w:rPr>
          <w:rFonts w:hint="eastAsia"/>
        </w:rPr>
        <w:t>吨</w:t>
      </w:r>
      <w:r>
        <w:rPr>
          <w:rFonts w:hint="eastAsia"/>
        </w:rPr>
        <w:t>/</w:t>
      </w:r>
      <w:r>
        <w:rPr>
          <w:rFonts w:hint="eastAsia"/>
        </w:rPr>
        <w:t>年，甲基三甲氧基硅烷</w:t>
      </w:r>
      <w:r>
        <w:rPr>
          <w:rFonts w:hint="eastAsia"/>
        </w:rPr>
        <w:t>135</w:t>
      </w:r>
      <w:r>
        <w:rPr>
          <w:rFonts w:hint="eastAsia"/>
        </w:rPr>
        <w:t>吨</w:t>
      </w:r>
      <w:r>
        <w:rPr>
          <w:rFonts w:hint="eastAsia"/>
        </w:rPr>
        <w:t>/</w:t>
      </w:r>
      <w:r>
        <w:rPr>
          <w:rFonts w:hint="eastAsia"/>
        </w:rPr>
        <w:t>年，烯丙基缩水甘油醚</w:t>
      </w:r>
      <w:r>
        <w:rPr>
          <w:rFonts w:hint="eastAsia"/>
        </w:rPr>
        <w:t>335</w:t>
      </w:r>
      <w:r>
        <w:rPr>
          <w:rFonts w:hint="eastAsia"/>
        </w:rPr>
        <w:t>吨</w:t>
      </w:r>
      <w:r>
        <w:rPr>
          <w:rFonts w:hint="eastAsia"/>
        </w:rPr>
        <w:t>/</w:t>
      </w:r>
      <w:r>
        <w:rPr>
          <w:rFonts w:hint="eastAsia"/>
        </w:rPr>
        <w:t>年，细硅粉</w:t>
      </w:r>
      <w:r>
        <w:rPr>
          <w:rFonts w:hint="eastAsia"/>
        </w:rPr>
        <w:t>70</w:t>
      </w:r>
      <w:r>
        <w:rPr>
          <w:rFonts w:hint="eastAsia"/>
        </w:rPr>
        <w:t>吨</w:t>
      </w:r>
      <w:r>
        <w:rPr>
          <w:rFonts w:hint="eastAsia"/>
        </w:rPr>
        <w:t>/</w:t>
      </w:r>
      <w:r>
        <w:rPr>
          <w:rFonts w:hint="eastAsia"/>
        </w:rPr>
        <w:t>年，</w:t>
      </w:r>
      <w:r w:rsidRPr="00CF2402">
        <w:rPr>
          <w:rFonts w:hint="eastAsia"/>
        </w:rPr>
        <w:t>聚硅氧烷</w:t>
      </w:r>
      <w:r w:rsidRPr="00CF2402">
        <w:rPr>
          <w:rFonts w:hint="eastAsia"/>
        </w:rPr>
        <w:t>1</w:t>
      </w:r>
      <w:r w:rsidRPr="00CF2402">
        <w:t>50</w:t>
      </w:r>
      <w:r w:rsidRPr="00CF2402">
        <w:rPr>
          <w:rFonts w:hint="eastAsia"/>
        </w:rPr>
        <w:t>吨</w:t>
      </w:r>
      <w:r w:rsidRPr="00CF2402">
        <w:rPr>
          <w:rFonts w:hint="eastAsia"/>
        </w:rPr>
        <w:t>/</w:t>
      </w:r>
      <w:r w:rsidRPr="00CF2402">
        <w:rPr>
          <w:rFonts w:hint="eastAsia"/>
        </w:rPr>
        <w:t>年，溶剂</w:t>
      </w:r>
      <w:r w:rsidRPr="00CF2402">
        <w:rPr>
          <w:rFonts w:hint="eastAsia"/>
        </w:rPr>
        <w:t>1</w:t>
      </w:r>
      <w:r w:rsidRPr="00CF2402">
        <w:t>58</w:t>
      </w:r>
      <w:r w:rsidRPr="00CF2402">
        <w:rPr>
          <w:rFonts w:hint="eastAsia"/>
        </w:rPr>
        <w:t>吨</w:t>
      </w:r>
      <w:r w:rsidRPr="00CF2402">
        <w:rPr>
          <w:rFonts w:hint="eastAsia"/>
        </w:rPr>
        <w:t>/</w:t>
      </w:r>
      <w:r w:rsidRPr="00CF2402">
        <w:rPr>
          <w:rFonts w:hint="eastAsia"/>
        </w:rPr>
        <w:t>年</w:t>
      </w:r>
      <w:r>
        <w:rPr>
          <w:rFonts w:hint="eastAsia"/>
        </w:rPr>
        <w:t>。回收套用甲醇</w:t>
      </w:r>
      <w:r>
        <w:rPr>
          <w:rFonts w:hint="eastAsia"/>
        </w:rPr>
        <w:t>795</w:t>
      </w:r>
      <w:r>
        <w:rPr>
          <w:rFonts w:hint="eastAsia"/>
        </w:rPr>
        <w:t>吨</w:t>
      </w:r>
      <w:r>
        <w:rPr>
          <w:rFonts w:hint="eastAsia"/>
        </w:rPr>
        <w:t>/</w:t>
      </w:r>
      <w:r>
        <w:rPr>
          <w:rFonts w:hint="eastAsia"/>
        </w:rPr>
        <w:t>年，氨水（</w:t>
      </w:r>
      <w:r>
        <w:rPr>
          <w:rFonts w:hint="eastAsia"/>
        </w:rPr>
        <w:t>10%</w:t>
      </w:r>
      <w:r>
        <w:rPr>
          <w:rFonts w:hint="eastAsia"/>
        </w:rPr>
        <w:t>）</w:t>
      </w:r>
      <w:r>
        <w:rPr>
          <w:rFonts w:hint="eastAsia"/>
        </w:rPr>
        <w:t>435</w:t>
      </w:r>
      <w:r>
        <w:rPr>
          <w:rFonts w:hint="eastAsia"/>
        </w:rPr>
        <w:t>吨</w:t>
      </w:r>
      <w:r>
        <w:rPr>
          <w:rFonts w:hint="eastAsia"/>
        </w:rPr>
        <w:t>/</w:t>
      </w:r>
      <w:r>
        <w:rPr>
          <w:rFonts w:hint="eastAsia"/>
        </w:rPr>
        <w:t>年。项目（二期）年生产乙炔</w:t>
      </w:r>
      <w:r>
        <w:rPr>
          <w:rFonts w:hint="eastAsia"/>
        </w:rPr>
        <w:t>450</w:t>
      </w:r>
      <w:r>
        <w:rPr>
          <w:rFonts w:hint="eastAsia"/>
        </w:rPr>
        <w:t>吨，用于硅烷偶联剂</w:t>
      </w:r>
      <w:r>
        <w:rPr>
          <w:rFonts w:hint="eastAsia"/>
        </w:rPr>
        <w:t>A-171</w:t>
      </w:r>
      <w:r>
        <w:rPr>
          <w:rFonts w:hint="eastAsia"/>
        </w:rPr>
        <w:t>使用。</w:t>
      </w:r>
    </w:p>
    <w:p w:rsidR="00DC005A" w:rsidRDefault="00DC005A" w:rsidP="00DC005A">
      <w:pPr>
        <w:ind w:firstLine="480"/>
      </w:pPr>
      <w:r>
        <w:rPr>
          <w:rFonts w:hint="eastAsia"/>
        </w:rPr>
        <w:t>建设投资</w:t>
      </w:r>
      <w:r>
        <w:t>：</w:t>
      </w:r>
      <w:r>
        <w:t>2500</w:t>
      </w:r>
      <w:r>
        <w:t>万元，其中环保投资</w:t>
      </w:r>
      <w:r w:rsidRPr="00FD6D08">
        <w:rPr>
          <w:color w:val="000000" w:themeColor="text1"/>
        </w:rPr>
        <w:t>233</w:t>
      </w:r>
      <w:r w:rsidRPr="00FD6D08">
        <w:rPr>
          <w:color w:val="000000" w:themeColor="text1"/>
        </w:rPr>
        <w:t>万元，占总投资的</w:t>
      </w:r>
      <w:r w:rsidRPr="00FD6D08">
        <w:rPr>
          <w:color w:val="000000" w:themeColor="text1"/>
        </w:rPr>
        <w:t>9.32%</w:t>
      </w:r>
      <w:r>
        <w:t>；</w:t>
      </w:r>
    </w:p>
    <w:p w:rsidR="00DC005A" w:rsidRDefault="00DC005A" w:rsidP="00DC005A">
      <w:pPr>
        <w:ind w:firstLine="480"/>
      </w:pPr>
      <w:r>
        <w:rPr>
          <w:rFonts w:hint="eastAsia"/>
        </w:rPr>
        <w:t>占地</w:t>
      </w:r>
      <w:r>
        <w:t>面积</w:t>
      </w:r>
      <w:r>
        <w:rPr>
          <w:rFonts w:hint="eastAsia"/>
        </w:rPr>
        <w:t>：</w:t>
      </w:r>
      <w:r w:rsidR="009F420B">
        <w:rPr>
          <w:rFonts w:hint="eastAsia"/>
        </w:rPr>
        <w:t>未新增占地面积</w:t>
      </w:r>
      <w:r>
        <w:rPr>
          <w:rFonts w:hint="eastAsia"/>
        </w:rPr>
        <w:t>；</w:t>
      </w:r>
    </w:p>
    <w:p w:rsidR="00DC005A" w:rsidRDefault="00DC005A" w:rsidP="00DC005A">
      <w:pPr>
        <w:ind w:firstLine="480"/>
      </w:pPr>
      <w:r>
        <w:rPr>
          <w:rFonts w:hint="eastAsia"/>
        </w:rPr>
        <w:t>劳动</w:t>
      </w:r>
      <w:r>
        <w:t>定员及工作制度：</w:t>
      </w:r>
      <w:r>
        <w:rPr>
          <w:rFonts w:hint="eastAsia"/>
        </w:rPr>
        <w:t>新增</w:t>
      </w:r>
      <w:r>
        <w:t>职工</w:t>
      </w:r>
      <w:r>
        <w:t>60</w:t>
      </w:r>
      <w:r>
        <w:rPr>
          <w:rFonts w:hint="eastAsia"/>
        </w:rPr>
        <w:t>人</w:t>
      </w:r>
      <w:r>
        <w:t>，</w:t>
      </w:r>
      <w:r>
        <w:rPr>
          <w:rFonts w:hint="eastAsia"/>
        </w:rPr>
        <w:t>年生产</w:t>
      </w:r>
      <w:r>
        <w:rPr>
          <w:rFonts w:hint="eastAsia"/>
        </w:rPr>
        <w:t>300</w:t>
      </w:r>
      <w:r>
        <w:rPr>
          <w:rFonts w:hint="eastAsia"/>
        </w:rPr>
        <w:t>天</w:t>
      </w:r>
      <w:r>
        <w:t>，实行每天四班三运行，每班</w:t>
      </w:r>
      <w:r>
        <w:t>8</w:t>
      </w:r>
      <w:r>
        <w:t>小时</w:t>
      </w:r>
      <w:r>
        <w:rPr>
          <w:rFonts w:hint="eastAsia"/>
        </w:rPr>
        <w:t>，</w:t>
      </w:r>
      <w:r>
        <w:t>年运行时数</w:t>
      </w:r>
      <w:r>
        <w:t>7200</w:t>
      </w:r>
      <w:r>
        <w:t>小时；</w:t>
      </w:r>
    </w:p>
    <w:p w:rsidR="00DC005A" w:rsidRDefault="00DC005A" w:rsidP="00DC005A">
      <w:pPr>
        <w:ind w:firstLine="480"/>
      </w:pPr>
      <w:r>
        <w:rPr>
          <w:rFonts w:hint="eastAsia"/>
        </w:rPr>
        <w:t>投产日期</w:t>
      </w:r>
      <w:r>
        <w:t>：</w:t>
      </w:r>
      <w:r>
        <w:t>2026</w:t>
      </w:r>
      <w:r>
        <w:rPr>
          <w:rFonts w:hint="eastAsia"/>
        </w:rPr>
        <w:t>年。</w:t>
      </w:r>
    </w:p>
    <w:p w:rsidR="004E3021" w:rsidRDefault="00606E48">
      <w:pPr>
        <w:pStyle w:val="afffffffffffffffff3"/>
      </w:pPr>
      <w:bookmarkStart w:id="872" w:name="_Toc221501122"/>
      <w:r>
        <w:rPr>
          <w:rFonts w:hint="eastAsia"/>
        </w:rPr>
        <w:t>9</w:t>
      </w:r>
      <w:r>
        <w:t>.2</w:t>
      </w:r>
      <w:r>
        <w:rPr>
          <w:rFonts w:hint="eastAsia"/>
        </w:rPr>
        <w:t>区域环境</w:t>
      </w:r>
      <w:r>
        <w:t>质量</w:t>
      </w:r>
      <w:r>
        <w:rPr>
          <w:rFonts w:hint="eastAsia"/>
        </w:rPr>
        <w:t>现状</w:t>
      </w:r>
      <w:bookmarkEnd w:id="872"/>
    </w:p>
    <w:p w:rsidR="004E3021" w:rsidRDefault="00606E48">
      <w:pPr>
        <w:pStyle w:val="afffffffffffffffff4"/>
      </w:pPr>
      <w:bookmarkStart w:id="873" w:name="_Toc100784143"/>
      <w:bookmarkStart w:id="874" w:name="_Toc101135976"/>
      <w:bookmarkStart w:id="875" w:name="_Toc108662753"/>
      <w:bookmarkStart w:id="876" w:name="_Toc221088908"/>
      <w:bookmarkStart w:id="877" w:name="_Toc221501123"/>
      <w:r>
        <w:rPr>
          <w:rFonts w:hint="eastAsia"/>
        </w:rPr>
        <w:t>9.2.1</w:t>
      </w:r>
      <w:r>
        <w:rPr>
          <w:rFonts w:ascii="黑体" w:hAnsi="黑体" w:hint="eastAsia"/>
        </w:rPr>
        <w:t>大气环境</w:t>
      </w:r>
      <w:bookmarkEnd w:id="873"/>
      <w:bookmarkEnd w:id="874"/>
      <w:bookmarkEnd w:id="875"/>
      <w:bookmarkEnd w:id="876"/>
      <w:bookmarkEnd w:id="877"/>
    </w:p>
    <w:p w:rsidR="004E3021" w:rsidRDefault="00606E48">
      <w:pPr>
        <w:ind w:firstLine="480"/>
      </w:pPr>
      <w:r>
        <w:rPr>
          <w:rFonts w:ascii="宋体" w:hAnsi="宋体" w:hint="eastAsia"/>
        </w:rPr>
        <w:t>根据“</w:t>
      </w:r>
      <w:r>
        <w:rPr>
          <w:rFonts w:hint="eastAsia"/>
        </w:rPr>
        <w:t>202</w:t>
      </w:r>
      <w:r>
        <w:t>4</w:t>
      </w:r>
      <w:r>
        <w:rPr>
          <w:rFonts w:hint="eastAsia"/>
        </w:rPr>
        <w:t>年度蚌埠市环境质量状况公报</w:t>
      </w:r>
      <w:r>
        <w:rPr>
          <w:rFonts w:ascii="宋体" w:hAnsi="宋体" w:hint="eastAsia"/>
        </w:rPr>
        <w:t>”</w:t>
      </w:r>
      <w:r>
        <w:rPr>
          <w:rFonts w:ascii="宋体" w:hAnsi="宋体"/>
        </w:rPr>
        <w:t>，</w:t>
      </w:r>
      <w:r>
        <w:rPr>
          <w:rFonts w:ascii="宋体" w:hAnsi="宋体" w:hint="eastAsia"/>
        </w:rPr>
        <w:t>蚌埠市</w:t>
      </w:r>
      <w:r>
        <w:rPr>
          <w:rFonts w:ascii="宋体" w:hAnsi="宋体"/>
        </w:rPr>
        <w:t>为</w:t>
      </w:r>
      <w:r>
        <w:rPr>
          <w:rFonts w:ascii="宋体" w:hAnsi="宋体" w:hint="eastAsia"/>
        </w:rPr>
        <w:t>不达标区</w:t>
      </w:r>
      <w:r>
        <w:rPr>
          <w:rFonts w:ascii="宋体" w:hAnsi="宋体"/>
        </w:rPr>
        <w:t>，不达标因子为</w:t>
      </w:r>
      <w:r>
        <w:rPr>
          <w:kern w:val="0"/>
          <w:lang w:val="zh-CN" w:bidi="zh-CN"/>
        </w:rPr>
        <w:t>细</w:t>
      </w:r>
      <w:r>
        <w:rPr>
          <w:kern w:val="0"/>
          <w:lang w:val="zh-CN" w:bidi="zh-CN"/>
        </w:rPr>
        <w:lastRenderedPageBreak/>
        <w:t>颗粒物（</w:t>
      </w:r>
      <w:r>
        <w:rPr>
          <w:kern w:val="0"/>
          <w:lang w:val="zh-CN" w:bidi="zh-CN"/>
        </w:rPr>
        <w:t>PM</w:t>
      </w:r>
      <w:r>
        <w:rPr>
          <w:kern w:val="0"/>
          <w:vertAlign w:val="subscript"/>
          <w:lang w:val="zh-CN" w:bidi="zh-CN"/>
        </w:rPr>
        <w:t>2.5</w:t>
      </w:r>
      <w:r>
        <w:rPr>
          <w:kern w:val="0"/>
          <w:lang w:val="zh-CN" w:bidi="zh-CN"/>
        </w:rPr>
        <w:t>）</w:t>
      </w:r>
      <w:r>
        <w:rPr>
          <w:rFonts w:hint="eastAsia"/>
          <w:kern w:val="0"/>
          <w:lang w:val="zh-CN" w:bidi="zh-CN"/>
        </w:rPr>
        <w:t>及</w:t>
      </w:r>
      <w:r>
        <w:rPr>
          <w:kern w:val="0"/>
          <w:lang w:bidi="ar"/>
        </w:rPr>
        <w:t>O</w:t>
      </w:r>
      <w:r>
        <w:rPr>
          <w:kern w:val="0"/>
          <w:sz w:val="15"/>
          <w:szCs w:val="15"/>
          <w:lang w:bidi="ar"/>
        </w:rPr>
        <w:t>3</w:t>
      </w:r>
      <w:r>
        <w:rPr>
          <w:rFonts w:ascii="宋体" w:hAnsi="宋体" w:hint="eastAsia"/>
        </w:rPr>
        <w:t>，在落实达标规划</w:t>
      </w:r>
      <w:r>
        <w:rPr>
          <w:rFonts w:ascii="宋体" w:hAnsi="宋体"/>
        </w:rPr>
        <w:t>后，</w:t>
      </w:r>
      <w:r>
        <w:rPr>
          <w:rFonts w:ascii="宋体" w:hAnsi="宋体" w:hint="eastAsia"/>
        </w:rPr>
        <w:t>现状</w:t>
      </w:r>
      <w:r>
        <w:rPr>
          <w:rFonts w:ascii="宋体" w:hAnsi="宋体"/>
        </w:rPr>
        <w:t>超标的污染物</w:t>
      </w:r>
      <w:r>
        <w:rPr>
          <w:rFonts w:hint="eastAsia"/>
        </w:rPr>
        <w:t>PM</w:t>
      </w:r>
      <w:r>
        <w:rPr>
          <w:rFonts w:hint="eastAsia"/>
          <w:vertAlign w:val="subscript"/>
        </w:rPr>
        <w:t>2.5</w:t>
      </w:r>
      <w:r>
        <w:rPr>
          <w:rFonts w:ascii="宋体" w:hAnsi="宋体" w:hint="eastAsia"/>
        </w:rPr>
        <w:t>预测范围</w:t>
      </w:r>
      <w:r>
        <w:rPr>
          <w:rFonts w:ascii="宋体" w:hAnsi="宋体"/>
        </w:rPr>
        <w:t>内</w:t>
      </w:r>
      <w:r>
        <w:rPr>
          <w:rFonts w:ascii="宋体" w:hAnsi="宋体" w:hint="eastAsia"/>
        </w:rPr>
        <w:t>年</w:t>
      </w:r>
      <w:r>
        <w:rPr>
          <w:rFonts w:ascii="宋体" w:hAnsi="宋体"/>
        </w:rPr>
        <w:t>平均质量</w:t>
      </w:r>
      <w:r>
        <w:rPr>
          <w:rFonts w:ascii="宋体" w:hAnsi="宋体" w:hint="eastAsia"/>
        </w:rPr>
        <w:t>浓度</w:t>
      </w:r>
      <w:r>
        <w:rPr>
          <w:rFonts w:ascii="宋体" w:hAnsi="宋体"/>
        </w:rPr>
        <w:t>变化率</w:t>
      </w:r>
      <w:r>
        <w:t>≤-20%</w:t>
      </w:r>
      <w:r>
        <w:rPr>
          <w:rFonts w:ascii="宋体" w:hAnsi="宋体" w:hint="eastAsia"/>
        </w:rPr>
        <w:t>，</w:t>
      </w:r>
      <w:r>
        <w:rPr>
          <w:rFonts w:ascii="宋体" w:hAnsi="宋体"/>
        </w:rPr>
        <w:t>本项目大气环境影响可以接受</w:t>
      </w:r>
      <w:r>
        <w:rPr>
          <w:rFonts w:ascii="宋体" w:hAnsi="宋体" w:hint="eastAsia"/>
        </w:rPr>
        <w:t>；补充监测因子</w:t>
      </w:r>
      <w:r>
        <w:rPr>
          <w:rFonts w:ascii="宋体" w:hAnsi="宋体"/>
        </w:rPr>
        <w:t>满足《环境空气质量标准》（</w:t>
      </w:r>
      <w:r>
        <w:t>GB3095-2012</w:t>
      </w:r>
      <w:r>
        <w:rPr>
          <w:rFonts w:ascii="宋体" w:hAnsi="宋体"/>
        </w:rPr>
        <w:t>）二级标准</w:t>
      </w:r>
      <w:r>
        <w:rPr>
          <w:rFonts w:ascii="宋体" w:hAnsi="宋体" w:hint="eastAsia"/>
        </w:rPr>
        <w:t>及修改单和</w:t>
      </w:r>
      <w:r>
        <w:rPr>
          <w:rFonts w:ascii="宋体" w:hAnsi="宋体"/>
        </w:rPr>
        <w:t>其他相关标准要求</w:t>
      </w:r>
      <w:r>
        <w:rPr>
          <w:rFonts w:ascii="宋体" w:hAnsi="宋体" w:hint="eastAsia"/>
        </w:rPr>
        <w:t>。</w:t>
      </w:r>
    </w:p>
    <w:p w:rsidR="004E3021" w:rsidRDefault="00606E48">
      <w:pPr>
        <w:pStyle w:val="afffffffffffffffff4"/>
      </w:pPr>
      <w:bookmarkStart w:id="878" w:name="_Toc100784144"/>
      <w:bookmarkStart w:id="879" w:name="_Toc108662754"/>
      <w:bookmarkStart w:id="880" w:name="_Toc101135977"/>
      <w:bookmarkStart w:id="881" w:name="_Toc221088909"/>
      <w:bookmarkStart w:id="882" w:name="_Toc221501124"/>
      <w:r>
        <w:rPr>
          <w:rFonts w:hint="eastAsia"/>
        </w:rPr>
        <w:t>9.2.2</w:t>
      </w:r>
      <w:r>
        <w:rPr>
          <w:rFonts w:ascii="黑体" w:hAnsi="黑体" w:hint="eastAsia"/>
        </w:rPr>
        <w:t>地表水</w:t>
      </w:r>
      <w:bookmarkEnd w:id="878"/>
      <w:bookmarkEnd w:id="879"/>
      <w:bookmarkEnd w:id="880"/>
      <w:bookmarkEnd w:id="881"/>
      <w:bookmarkEnd w:id="882"/>
    </w:p>
    <w:p w:rsidR="004E3021" w:rsidRDefault="00606E48">
      <w:pPr>
        <w:ind w:firstLine="480"/>
      </w:pPr>
      <w:r>
        <w:rPr>
          <w:rFonts w:ascii="宋体" w:hAnsi="宋体" w:hint="eastAsia"/>
        </w:rPr>
        <w:t>淮河（蚌埠段）</w:t>
      </w:r>
      <w:r>
        <w:rPr>
          <w:rFonts w:ascii="宋体" w:hAnsi="宋体"/>
        </w:rPr>
        <w:t>各监测断面</w:t>
      </w:r>
      <w:r>
        <w:rPr>
          <w:rFonts w:ascii="宋体" w:hAnsi="宋体" w:hint="eastAsia"/>
        </w:rPr>
        <w:t>水质</w:t>
      </w:r>
      <w:r>
        <w:rPr>
          <w:rFonts w:ascii="宋体" w:hAnsi="宋体"/>
        </w:rPr>
        <w:t>监测因子均可满足《地表水环境质量标准》（</w:t>
      </w:r>
      <w:r>
        <w:t>GB3838-2002</w:t>
      </w:r>
      <w:r>
        <w:rPr>
          <w:rFonts w:ascii="宋体" w:hAnsi="宋体"/>
        </w:rPr>
        <w:t>）</w:t>
      </w:r>
      <w:r>
        <w:t>III</w:t>
      </w:r>
      <w:r>
        <w:rPr>
          <w:rFonts w:ascii="宋体" w:hAnsi="宋体"/>
        </w:rPr>
        <w:t>类标准</w:t>
      </w:r>
      <w:r>
        <w:rPr>
          <w:rFonts w:ascii="宋体" w:hAnsi="宋体" w:hint="eastAsia"/>
        </w:rPr>
        <w:t>，</w:t>
      </w:r>
      <w:r>
        <w:rPr>
          <w:rFonts w:hint="eastAsia"/>
        </w:rPr>
        <w:t>沫冲引河</w:t>
      </w:r>
      <w:r>
        <w:t>和三铺大沟</w:t>
      </w:r>
      <w:r>
        <w:rPr>
          <w:rFonts w:hint="eastAsia"/>
        </w:rPr>
        <w:t>各</w:t>
      </w:r>
      <w:r>
        <w:rPr>
          <w:rFonts w:ascii="宋体" w:hAnsi="宋体"/>
        </w:rPr>
        <w:t>监测断面</w:t>
      </w:r>
      <w:r>
        <w:rPr>
          <w:rFonts w:ascii="宋体" w:hAnsi="宋体" w:hint="eastAsia"/>
        </w:rPr>
        <w:t>水质</w:t>
      </w:r>
      <w:r>
        <w:rPr>
          <w:rFonts w:ascii="宋体" w:hAnsi="宋体"/>
        </w:rPr>
        <w:t>监测因子均可满足《地表水环境质量标准》（</w:t>
      </w:r>
      <w:r>
        <w:t>GB3838-2002</w:t>
      </w:r>
      <w:r>
        <w:rPr>
          <w:rFonts w:ascii="宋体" w:hAnsi="宋体"/>
        </w:rPr>
        <w:t>）</w:t>
      </w:r>
      <w:r>
        <w:rPr>
          <w:rFonts w:hint="eastAsia"/>
        </w:rPr>
        <w:t>Ⅳ</w:t>
      </w:r>
      <w:r>
        <w:t>类</w:t>
      </w:r>
      <w:r>
        <w:rPr>
          <w:rFonts w:hint="eastAsia"/>
        </w:rPr>
        <w:t>标准。</w:t>
      </w:r>
    </w:p>
    <w:p w:rsidR="004E3021" w:rsidRDefault="00606E48">
      <w:pPr>
        <w:pStyle w:val="afffffffffffffffff4"/>
      </w:pPr>
      <w:bookmarkStart w:id="883" w:name="_Toc101135978"/>
      <w:bookmarkStart w:id="884" w:name="_Toc100784145"/>
      <w:bookmarkStart w:id="885" w:name="_Toc108662755"/>
      <w:bookmarkStart w:id="886" w:name="_Toc221088910"/>
      <w:bookmarkStart w:id="887" w:name="_Toc221501125"/>
      <w:r>
        <w:rPr>
          <w:rFonts w:hint="eastAsia"/>
        </w:rPr>
        <w:t>9.2.3</w:t>
      </w:r>
      <w:r>
        <w:rPr>
          <w:rFonts w:ascii="黑体" w:hAnsi="黑体" w:hint="eastAsia"/>
        </w:rPr>
        <w:t>声环境</w:t>
      </w:r>
      <w:bookmarkEnd w:id="883"/>
      <w:bookmarkEnd w:id="884"/>
      <w:bookmarkEnd w:id="885"/>
      <w:bookmarkEnd w:id="886"/>
      <w:bookmarkEnd w:id="887"/>
    </w:p>
    <w:p w:rsidR="004E3021" w:rsidRDefault="00606E48">
      <w:pPr>
        <w:ind w:firstLine="480"/>
      </w:pPr>
      <w:r>
        <w:rPr>
          <w:rFonts w:ascii="宋体" w:hAnsi="宋体"/>
        </w:rPr>
        <w:t>根据声环境现状监测结果，项目所在地声环境质量能够达到《声环境质量标准》（</w:t>
      </w:r>
      <w:r>
        <w:t>GB3096-2008</w:t>
      </w:r>
      <w:r>
        <w:rPr>
          <w:rFonts w:ascii="宋体" w:hAnsi="宋体"/>
        </w:rPr>
        <w:t>）</w:t>
      </w:r>
      <w:r>
        <w:t>3</w:t>
      </w:r>
      <w:r>
        <w:rPr>
          <w:rFonts w:ascii="宋体" w:hAnsi="宋体"/>
        </w:rPr>
        <w:t>类标准要求。</w:t>
      </w:r>
    </w:p>
    <w:p w:rsidR="004E3021" w:rsidRDefault="00606E48">
      <w:pPr>
        <w:pStyle w:val="afffffffffffffffff4"/>
      </w:pPr>
      <w:bookmarkStart w:id="888" w:name="_Toc108662756"/>
      <w:bookmarkStart w:id="889" w:name="_Toc101135979"/>
      <w:bookmarkStart w:id="890" w:name="_Toc100784146"/>
      <w:bookmarkStart w:id="891" w:name="_Toc221088911"/>
      <w:bookmarkStart w:id="892" w:name="_Toc221501126"/>
      <w:r>
        <w:rPr>
          <w:rFonts w:hint="eastAsia"/>
        </w:rPr>
        <w:t>9.2.4</w:t>
      </w:r>
      <w:r>
        <w:rPr>
          <w:rFonts w:ascii="黑体" w:hAnsi="黑体" w:hint="eastAsia"/>
        </w:rPr>
        <w:t>地下水</w:t>
      </w:r>
      <w:bookmarkEnd w:id="888"/>
      <w:bookmarkEnd w:id="889"/>
      <w:bookmarkEnd w:id="890"/>
      <w:bookmarkEnd w:id="891"/>
      <w:bookmarkEnd w:id="892"/>
    </w:p>
    <w:p w:rsidR="004E3021" w:rsidRDefault="00606E48">
      <w:pPr>
        <w:ind w:firstLine="480"/>
      </w:pPr>
      <w:r>
        <w:rPr>
          <w:rFonts w:ascii="宋体" w:hAnsi="宋体"/>
        </w:rPr>
        <w:t>根据地下水质量现状监测结果，</w:t>
      </w:r>
      <w:r>
        <w:rPr>
          <w:rFonts w:ascii="宋体" w:hAnsi="宋体" w:hint="eastAsia"/>
        </w:rPr>
        <w:t>各监测点</w:t>
      </w:r>
      <w:r>
        <w:rPr>
          <w:rFonts w:ascii="宋体" w:hAnsi="宋体"/>
        </w:rPr>
        <w:t>地下水</w:t>
      </w:r>
      <w:r>
        <w:rPr>
          <w:rFonts w:ascii="宋体" w:hAnsi="宋体" w:hint="eastAsia"/>
        </w:rPr>
        <w:t>水质</w:t>
      </w:r>
      <w:r>
        <w:rPr>
          <w:rFonts w:ascii="宋体" w:hAnsi="宋体"/>
        </w:rPr>
        <w:t>均可满足《地下水质量标准》（</w:t>
      </w:r>
      <w:r>
        <w:t>GB/T14848-2017</w:t>
      </w:r>
      <w:r>
        <w:rPr>
          <w:rFonts w:ascii="宋体" w:hAnsi="宋体"/>
        </w:rPr>
        <w:t>）</w:t>
      </w:r>
      <w:r w:rsidRPr="00DC005A">
        <w:t>Ⅲ</w:t>
      </w:r>
      <w:r>
        <w:rPr>
          <w:rFonts w:ascii="宋体" w:hAnsi="宋体"/>
        </w:rPr>
        <w:t>类标准</w:t>
      </w:r>
      <w:r>
        <w:rPr>
          <w:rFonts w:ascii="宋体" w:hAnsi="宋体" w:hint="eastAsia"/>
        </w:rPr>
        <w:t>。</w:t>
      </w:r>
    </w:p>
    <w:p w:rsidR="004E3021" w:rsidRDefault="00606E48">
      <w:pPr>
        <w:pStyle w:val="afffffffffffffffff4"/>
      </w:pPr>
      <w:bookmarkStart w:id="893" w:name="_Toc100784147"/>
      <w:bookmarkStart w:id="894" w:name="_Toc108662757"/>
      <w:bookmarkStart w:id="895" w:name="_Toc101135980"/>
      <w:bookmarkStart w:id="896" w:name="_Toc221088912"/>
      <w:bookmarkStart w:id="897" w:name="_Toc221501127"/>
      <w:r>
        <w:rPr>
          <w:rFonts w:hint="eastAsia"/>
        </w:rPr>
        <w:t>9.2.5</w:t>
      </w:r>
      <w:r>
        <w:rPr>
          <w:rFonts w:ascii="黑体" w:hAnsi="黑体" w:hint="eastAsia"/>
        </w:rPr>
        <w:t>土壤</w:t>
      </w:r>
      <w:bookmarkEnd w:id="893"/>
      <w:bookmarkEnd w:id="894"/>
      <w:bookmarkEnd w:id="895"/>
      <w:bookmarkEnd w:id="896"/>
      <w:bookmarkEnd w:id="897"/>
    </w:p>
    <w:p w:rsidR="004E3021" w:rsidRDefault="00DC005A">
      <w:pPr>
        <w:ind w:firstLine="480"/>
      </w:pPr>
      <w:r>
        <w:rPr>
          <w:rFonts w:hint="eastAsia"/>
        </w:rPr>
        <w:t>本</w:t>
      </w:r>
      <w:r w:rsidR="00606E48">
        <w:rPr>
          <w:rFonts w:hint="eastAsia"/>
        </w:rPr>
        <w:t>项目所在区域建设用地</w:t>
      </w:r>
      <w:r w:rsidR="00606E48">
        <w:t>土壤</w:t>
      </w:r>
      <w:r w:rsidR="00606E48">
        <w:rPr>
          <w:rFonts w:hint="eastAsia"/>
        </w:rPr>
        <w:t>各</w:t>
      </w:r>
      <w:r w:rsidR="00606E48">
        <w:t>监测点位均可满足《土壤环境质量</w:t>
      </w:r>
      <w:r w:rsidR="00606E48">
        <w:t xml:space="preserve"> </w:t>
      </w:r>
      <w:r w:rsidR="00606E48">
        <w:t>建设用地土壤污染风险管控标准》（试行）（</w:t>
      </w:r>
      <w:r w:rsidR="00606E48">
        <w:t>GB36600-2018</w:t>
      </w:r>
      <w:r w:rsidR="00606E48">
        <w:t>）中</w:t>
      </w:r>
      <w:r w:rsidR="00606E48">
        <w:rPr>
          <w:rFonts w:hint="eastAsia"/>
        </w:rPr>
        <w:t>第二类用地风险</w:t>
      </w:r>
      <w:r w:rsidR="00606E48">
        <w:t>筛选值标准</w:t>
      </w:r>
      <w:r w:rsidR="00606E48">
        <w:rPr>
          <w:rFonts w:hint="eastAsia"/>
        </w:rPr>
        <w:t>，</w:t>
      </w:r>
      <w:r w:rsidR="00606E48">
        <w:rPr>
          <w:rFonts w:ascii="宋体" w:hAnsi="宋体"/>
        </w:rPr>
        <w:t>农用</w:t>
      </w:r>
      <w:r w:rsidR="00606E48">
        <w:rPr>
          <w:rFonts w:ascii="宋体" w:hAnsi="宋体" w:hint="eastAsia"/>
        </w:rPr>
        <w:t>地</w:t>
      </w:r>
      <w:r w:rsidR="00606E48">
        <w:rPr>
          <w:rFonts w:ascii="宋体" w:hAnsi="宋体"/>
        </w:rPr>
        <w:t>满足</w:t>
      </w:r>
      <w:r w:rsidR="00606E48">
        <w:rPr>
          <w:rFonts w:ascii="宋体" w:hAnsi="宋体" w:hint="eastAsia"/>
        </w:rPr>
        <w:t>《土壤环境质量</w:t>
      </w:r>
      <w:r w:rsidR="00606E48">
        <w:t xml:space="preserve"> </w:t>
      </w:r>
      <w:r w:rsidR="00606E48">
        <w:rPr>
          <w:rFonts w:ascii="宋体" w:hAnsi="宋体"/>
        </w:rPr>
        <w:t>农用地土壤污染风险管控标准（试行）》（</w:t>
      </w:r>
      <w:r w:rsidR="00606E48">
        <w:t>GB15618-2018</w:t>
      </w:r>
      <w:r w:rsidR="00606E48">
        <w:rPr>
          <w:rFonts w:ascii="宋体" w:hAnsi="宋体" w:hint="eastAsia"/>
        </w:rPr>
        <w:t>）表</w:t>
      </w:r>
      <w:r w:rsidR="00606E48">
        <w:t>1</w:t>
      </w:r>
      <w:r w:rsidR="00606E48">
        <w:rPr>
          <w:rFonts w:ascii="宋体" w:hAnsi="宋体" w:hint="eastAsia"/>
        </w:rPr>
        <w:t>中风险筛选值要求</w:t>
      </w:r>
      <w:r w:rsidR="00606E48">
        <w:rPr>
          <w:rFonts w:ascii="宋体" w:hAnsi="宋体"/>
        </w:rPr>
        <w:t>。</w:t>
      </w:r>
    </w:p>
    <w:p w:rsidR="004E3021" w:rsidRDefault="00606E48">
      <w:pPr>
        <w:pStyle w:val="afffffffffffffffff3"/>
      </w:pPr>
      <w:bookmarkStart w:id="898" w:name="_Toc87977880"/>
      <w:bookmarkStart w:id="899" w:name="_Toc221501128"/>
      <w:bookmarkEnd w:id="898"/>
      <w:r>
        <w:rPr>
          <w:rFonts w:hint="eastAsia"/>
        </w:rPr>
        <w:t>9.</w:t>
      </w:r>
      <w:r>
        <w:t>3</w:t>
      </w:r>
      <w:r>
        <w:rPr>
          <w:rFonts w:hint="eastAsia"/>
        </w:rPr>
        <w:t>主要环境影响</w:t>
      </w:r>
      <w:bookmarkEnd w:id="899"/>
    </w:p>
    <w:p w:rsidR="004E3021" w:rsidRDefault="00606E48">
      <w:pPr>
        <w:pStyle w:val="afffffffffffffffff4"/>
      </w:pPr>
      <w:bookmarkStart w:id="900" w:name="_Toc108662759"/>
      <w:bookmarkStart w:id="901" w:name="_Toc100784149"/>
      <w:bookmarkStart w:id="902" w:name="_Toc101135982"/>
      <w:bookmarkStart w:id="903" w:name="_Toc221088914"/>
      <w:bookmarkStart w:id="904" w:name="_Toc221501129"/>
      <w:r>
        <w:rPr>
          <w:rFonts w:hint="eastAsia"/>
        </w:rPr>
        <w:t>9.</w:t>
      </w:r>
      <w:r>
        <w:t>3</w:t>
      </w:r>
      <w:r>
        <w:rPr>
          <w:rFonts w:hint="eastAsia"/>
        </w:rPr>
        <w:t>.1</w:t>
      </w:r>
      <w:r>
        <w:rPr>
          <w:rFonts w:ascii="黑体" w:hAnsi="黑体" w:hint="eastAsia"/>
        </w:rPr>
        <w:t>环境</w:t>
      </w:r>
      <w:r>
        <w:rPr>
          <w:rFonts w:ascii="黑体" w:hAnsi="黑体"/>
        </w:rPr>
        <w:t>空气</w:t>
      </w:r>
      <w:r>
        <w:rPr>
          <w:rFonts w:ascii="黑体" w:hAnsi="黑体" w:hint="eastAsia"/>
        </w:rPr>
        <w:t>影响</w:t>
      </w:r>
      <w:bookmarkEnd w:id="900"/>
      <w:bookmarkEnd w:id="901"/>
      <w:bookmarkEnd w:id="902"/>
      <w:bookmarkEnd w:id="903"/>
      <w:bookmarkEnd w:id="904"/>
    </w:p>
    <w:p w:rsidR="00DC005A" w:rsidRDefault="00606E48" w:rsidP="00DC005A">
      <w:pPr>
        <w:ind w:firstLine="480"/>
      </w:pPr>
      <w:r>
        <w:rPr>
          <w:rFonts w:ascii="宋体" w:hAnsi="宋体" w:hint="eastAsia"/>
        </w:rPr>
        <w:t>（</w:t>
      </w:r>
      <w:r>
        <w:t>1</w:t>
      </w:r>
      <w:r>
        <w:rPr>
          <w:rFonts w:ascii="宋体" w:hAnsi="宋体"/>
        </w:rPr>
        <w:t>）</w:t>
      </w:r>
      <w:r w:rsidR="00DC005A">
        <w:rPr>
          <w:rFonts w:ascii="宋体" w:hAnsi="宋体" w:hint="eastAsia"/>
        </w:rPr>
        <w:t>采用</w:t>
      </w:r>
      <w:r w:rsidR="00DC005A">
        <w:t>2023</w:t>
      </w:r>
      <w:r w:rsidR="00DC005A">
        <w:rPr>
          <w:rFonts w:ascii="宋体" w:hAnsi="宋体"/>
        </w:rPr>
        <w:t>年全年气象资料逐时、逐日计算项目排放的污染物在评价区域及保护目标贡献值。评价范围及保护目标最大贡献浓度预测及分析情况见表</w:t>
      </w:r>
      <w:r w:rsidR="00DC005A">
        <w:t>5.1.5-1</w:t>
      </w:r>
      <w:r w:rsidR="00DC005A">
        <w:rPr>
          <w:rFonts w:ascii="宋体" w:hAnsi="宋体"/>
        </w:rPr>
        <w:t>。现状质量达标污染物（</w:t>
      </w:r>
      <w:r w:rsidR="00DC005A">
        <w:t>PM</w:t>
      </w:r>
      <w:r w:rsidR="00DC005A">
        <w:rPr>
          <w:vertAlign w:val="subscript"/>
        </w:rPr>
        <w:t>10</w:t>
      </w:r>
      <w:r w:rsidR="00DC005A">
        <w:rPr>
          <w:rFonts w:ascii="宋体" w:hAnsi="宋体"/>
        </w:rPr>
        <w:t>、</w:t>
      </w:r>
      <w:r w:rsidR="00DC005A">
        <w:t>PM</w:t>
      </w:r>
      <w:r w:rsidR="00DC005A">
        <w:rPr>
          <w:vertAlign w:val="subscript"/>
        </w:rPr>
        <w:t>2.5</w:t>
      </w:r>
      <w:r w:rsidR="00DC005A">
        <w:rPr>
          <w:rFonts w:ascii="宋体" w:hAnsi="宋体"/>
        </w:rPr>
        <w:t>、</w:t>
      </w:r>
      <w:r w:rsidR="00DC005A">
        <w:rPr>
          <w:rFonts w:hint="eastAsia"/>
        </w:rPr>
        <w:t>甲醇</w:t>
      </w:r>
      <w:r w:rsidR="00DC005A">
        <w:rPr>
          <w:rFonts w:ascii="宋体" w:hAnsi="宋体" w:hint="eastAsia"/>
        </w:rPr>
        <w:t>、</w:t>
      </w:r>
      <w:r w:rsidR="00DC005A">
        <w:t>NH</w:t>
      </w:r>
      <w:r w:rsidR="00DC005A">
        <w:rPr>
          <w:vertAlign w:val="subscript"/>
        </w:rPr>
        <w:t>3</w:t>
      </w:r>
      <w:r w:rsidR="00DC005A">
        <w:rPr>
          <w:rFonts w:ascii="宋体" w:hAnsi="宋体"/>
        </w:rPr>
        <w:t>、</w:t>
      </w:r>
      <w:r w:rsidR="00DC005A">
        <w:rPr>
          <w:rFonts w:hint="eastAsia"/>
        </w:rPr>
        <w:t>非甲烷总烃</w:t>
      </w:r>
      <w:r w:rsidR="00DC005A">
        <w:rPr>
          <w:rFonts w:ascii="宋体" w:hAnsi="宋体"/>
        </w:rPr>
        <w:t>）叠加现状浓度后达标情况预测见表</w:t>
      </w:r>
      <w:r w:rsidR="00DC005A">
        <w:t>5.1.5-2</w:t>
      </w:r>
      <w:r w:rsidR="00DC005A">
        <w:rPr>
          <w:rFonts w:ascii="宋体" w:hAnsi="宋体"/>
        </w:rPr>
        <w:t>，浓度分布</w:t>
      </w:r>
      <w:r w:rsidR="00DC005A">
        <w:rPr>
          <w:rFonts w:ascii="宋体" w:hAnsi="宋体" w:hint="eastAsia"/>
        </w:rPr>
        <w:t>情况</w:t>
      </w:r>
      <w:r w:rsidR="00DC005A">
        <w:rPr>
          <w:rFonts w:ascii="宋体" w:hAnsi="宋体"/>
        </w:rPr>
        <w:t>见图</w:t>
      </w:r>
      <w:r w:rsidR="00DC005A">
        <w:t>5.1.5-1~21</w:t>
      </w:r>
      <w:r w:rsidR="00DC005A">
        <w:rPr>
          <w:rFonts w:ascii="宋体" w:hAnsi="宋体"/>
        </w:rPr>
        <w:t>。浓度现状质量超标污染物（</w:t>
      </w:r>
      <w:r w:rsidR="00DC005A">
        <w:rPr>
          <w:rFonts w:hint="eastAsia"/>
        </w:rPr>
        <w:t>P</w:t>
      </w:r>
      <w:r w:rsidR="00DC005A">
        <w:t>M</w:t>
      </w:r>
      <w:r w:rsidR="00DC005A">
        <w:rPr>
          <w:vertAlign w:val="subscript"/>
        </w:rPr>
        <w:t>2.5</w:t>
      </w:r>
      <w:r w:rsidR="00DC005A">
        <w:rPr>
          <w:rFonts w:ascii="宋体" w:hAnsi="宋体"/>
        </w:rPr>
        <w:t>）</w:t>
      </w:r>
      <w:r w:rsidR="00DC005A">
        <w:rPr>
          <w:rFonts w:ascii="宋体" w:hAnsi="宋体" w:hint="eastAsia"/>
        </w:rPr>
        <w:t>落实达</w:t>
      </w:r>
      <w:r w:rsidR="00DC005A">
        <w:rPr>
          <w:rFonts w:ascii="宋体" w:hAnsi="宋体" w:hint="eastAsia"/>
        </w:rPr>
        <w:lastRenderedPageBreak/>
        <w:t>标</w:t>
      </w:r>
      <w:r w:rsidR="00DC005A">
        <w:rPr>
          <w:rFonts w:ascii="宋体" w:hAnsi="宋体"/>
        </w:rPr>
        <w:t>规划后预测范围的年平均质量浓度变化情况见表</w:t>
      </w:r>
      <w:r w:rsidR="00DC005A">
        <w:t>5.1.5-3</w:t>
      </w:r>
      <w:r w:rsidR="00DC005A">
        <w:rPr>
          <w:rFonts w:ascii="宋体" w:hAnsi="宋体"/>
        </w:rPr>
        <w:t>。</w:t>
      </w:r>
    </w:p>
    <w:p w:rsidR="004E3021" w:rsidRPr="00DC005A" w:rsidRDefault="00DC005A" w:rsidP="00DC005A">
      <w:pPr>
        <w:ind w:firstLine="480"/>
        <w:rPr>
          <w:color w:val="000000" w:themeColor="text1"/>
        </w:rPr>
      </w:pPr>
      <w:r>
        <w:rPr>
          <w:rFonts w:ascii="宋体" w:hAnsi="宋体" w:hint="eastAsia"/>
        </w:rPr>
        <w:t>由表</w:t>
      </w:r>
      <w:r>
        <w:t>5.1.5-1</w:t>
      </w:r>
      <w:r>
        <w:rPr>
          <w:rFonts w:ascii="宋体" w:hAnsi="宋体"/>
        </w:rPr>
        <w:t>可见，评价范围内</w:t>
      </w:r>
      <w:r>
        <w:rPr>
          <w:rFonts w:hint="eastAsia"/>
        </w:rPr>
        <w:t>甲醇</w:t>
      </w:r>
      <w:r>
        <w:rPr>
          <w:rFonts w:ascii="宋体" w:hAnsi="宋体" w:hint="eastAsia"/>
        </w:rPr>
        <w:t>、</w:t>
      </w:r>
      <w:r>
        <w:rPr>
          <w:rFonts w:hint="eastAsia"/>
        </w:rPr>
        <w:t>PM</w:t>
      </w:r>
      <w:r>
        <w:rPr>
          <w:rFonts w:hint="eastAsia"/>
          <w:vertAlign w:val="subscript"/>
        </w:rPr>
        <w:t>10</w:t>
      </w:r>
      <w:r>
        <w:rPr>
          <w:rFonts w:ascii="宋体" w:hAnsi="宋体" w:hint="eastAsia"/>
        </w:rPr>
        <w:t>、</w:t>
      </w:r>
      <w:r>
        <w:t>PM</w:t>
      </w:r>
      <w:r>
        <w:rPr>
          <w:vertAlign w:val="subscript"/>
        </w:rPr>
        <w:t>2.5</w:t>
      </w:r>
      <w:r>
        <w:rPr>
          <w:rFonts w:ascii="宋体" w:hAnsi="宋体"/>
        </w:rPr>
        <w:t>、</w:t>
      </w:r>
      <w:r>
        <w:t>NH</w:t>
      </w:r>
      <w:r>
        <w:rPr>
          <w:vertAlign w:val="subscript"/>
        </w:rPr>
        <w:t>3</w:t>
      </w:r>
      <w:r>
        <w:rPr>
          <w:rFonts w:ascii="宋体" w:hAnsi="宋体"/>
        </w:rPr>
        <w:t>、</w:t>
      </w:r>
      <w:r>
        <w:rPr>
          <w:rFonts w:hint="eastAsia"/>
        </w:rPr>
        <w:t>非甲烷总烃</w:t>
      </w:r>
      <w:r>
        <w:rPr>
          <w:rFonts w:ascii="宋体" w:hAnsi="宋体" w:hint="eastAsia"/>
        </w:rPr>
        <w:t>短期浓度（</w:t>
      </w:r>
      <w:r>
        <w:rPr>
          <w:rFonts w:ascii="宋体" w:hAnsi="宋体"/>
        </w:rPr>
        <w:t>小时平均、日平均</w:t>
      </w:r>
      <w:r>
        <w:rPr>
          <w:rFonts w:ascii="宋体" w:hAnsi="宋体" w:hint="eastAsia"/>
        </w:rPr>
        <w:t>）贡献值</w:t>
      </w:r>
      <w:r>
        <w:rPr>
          <w:rFonts w:ascii="宋体" w:hAnsi="宋体"/>
        </w:rPr>
        <w:t>保护目标和网格点最大占标率为</w:t>
      </w:r>
      <w:r>
        <w:t>PM</w:t>
      </w:r>
      <w:r>
        <w:rPr>
          <w:vertAlign w:val="subscript"/>
        </w:rPr>
        <w:t>10</w:t>
      </w:r>
      <w:r>
        <w:rPr>
          <w:rFonts w:ascii="宋体" w:hAnsi="宋体"/>
        </w:rPr>
        <w:t>、</w:t>
      </w:r>
      <w:r>
        <w:t>PM</w:t>
      </w:r>
      <w:r>
        <w:rPr>
          <w:vertAlign w:val="subscript"/>
        </w:rPr>
        <w:t>2.5</w:t>
      </w:r>
      <w:r>
        <w:t xml:space="preserve"> 0.827%</w:t>
      </w:r>
      <w:r>
        <w:t>＜</w:t>
      </w:r>
      <w:r>
        <w:t>100%</w:t>
      </w:r>
      <w:r>
        <w:rPr>
          <w:color w:val="000000" w:themeColor="text1"/>
        </w:rPr>
        <w:t>，</w:t>
      </w:r>
      <w:r>
        <w:rPr>
          <w:rFonts w:ascii="宋体" w:hAnsi="宋体"/>
          <w:color w:val="000000" w:themeColor="text1"/>
        </w:rPr>
        <w:t>年平均贡献值保护目标和网格点最大占标率为</w:t>
      </w:r>
      <w:r>
        <w:rPr>
          <w:color w:val="000000" w:themeColor="text1"/>
        </w:rPr>
        <w:t>PM</w:t>
      </w:r>
      <w:r>
        <w:rPr>
          <w:color w:val="000000" w:themeColor="text1"/>
          <w:vertAlign w:val="subscript"/>
        </w:rPr>
        <w:t>10</w:t>
      </w:r>
      <w:r>
        <w:rPr>
          <w:rFonts w:ascii="宋体" w:hAnsi="宋体"/>
          <w:color w:val="000000" w:themeColor="text1"/>
        </w:rPr>
        <w:t>、</w:t>
      </w:r>
      <w:r>
        <w:rPr>
          <w:color w:val="000000" w:themeColor="text1"/>
        </w:rPr>
        <w:t>PM</w:t>
      </w:r>
      <w:r>
        <w:rPr>
          <w:color w:val="000000" w:themeColor="text1"/>
          <w:vertAlign w:val="subscript"/>
        </w:rPr>
        <w:t>2.5</w:t>
      </w:r>
      <w:r>
        <w:rPr>
          <w:color w:val="000000" w:themeColor="text1"/>
        </w:rPr>
        <w:t xml:space="preserve"> 0.201%</w:t>
      </w:r>
      <w:r>
        <w:rPr>
          <w:rFonts w:ascii="宋体" w:hAnsi="宋体"/>
          <w:color w:val="000000" w:themeColor="text1"/>
        </w:rPr>
        <w:t>＜</w:t>
      </w:r>
      <w:r>
        <w:rPr>
          <w:color w:val="000000" w:themeColor="text1"/>
        </w:rPr>
        <w:t>30%</w:t>
      </w:r>
      <w:r>
        <w:rPr>
          <w:rFonts w:ascii="宋体" w:hAnsi="宋体"/>
        </w:rPr>
        <w:t>。叠加现状浓度、本项目污染源、</w:t>
      </w:r>
      <w:r>
        <w:rPr>
          <w:rFonts w:ascii="宋体" w:hAnsi="宋体" w:hint="eastAsia"/>
        </w:rPr>
        <w:t>区域同期</w:t>
      </w:r>
      <w:r>
        <w:rPr>
          <w:rFonts w:ascii="宋体" w:hAnsi="宋体"/>
        </w:rPr>
        <w:t>拟建、在建</w:t>
      </w:r>
      <w:r>
        <w:rPr>
          <w:rFonts w:ascii="宋体" w:hAnsi="宋体" w:hint="eastAsia"/>
        </w:rPr>
        <w:t>项目污染源</w:t>
      </w:r>
      <w:r>
        <w:rPr>
          <w:rFonts w:ascii="宋体" w:hAnsi="宋体"/>
        </w:rPr>
        <w:t>的环境影响后，现状达标的污染物</w:t>
      </w:r>
      <w:r>
        <w:t>NH</w:t>
      </w:r>
      <w:r>
        <w:rPr>
          <w:vertAlign w:val="subscript"/>
        </w:rPr>
        <w:t>3</w:t>
      </w:r>
      <w:r>
        <w:rPr>
          <w:rFonts w:hint="eastAsia"/>
        </w:rPr>
        <w:t>、</w:t>
      </w:r>
      <w:r>
        <w:t>甲醇</w:t>
      </w:r>
      <w:r>
        <w:rPr>
          <w:rFonts w:ascii="宋体" w:hAnsi="宋体"/>
        </w:rPr>
        <w:t>和</w:t>
      </w:r>
      <w:r>
        <w:rPr>
          <w:rFonts w:hint="eastAsia"/>
        </w:rPr>
        <w:t>非甲烷总烃</w:t>
      </w:r>
      <w:r>
        <w:rPr>
          <w:rFonts w:ascii="宋体" w:hAnsi="宋体"/>
        </w:rPr>
        <w:t>保护目标和网格点的短期浓度符合环境质量标准。在</w:t>
      </w:r>
      <w:r>
        <w:rPr>
          <w:rFonts w:ascii="宋体" w:hAnsi="宋体" w:hint="eastAsia"/>
        </w:rPr>
        <w:t>落实达标</w:t>
      </w:r>
      <w:r>
        <w:rPr>
          <w:rFonts w:ascii="宋体" w:hAnsi="宋体"/>
        </w:rPr>
        <w:t>规划后，现状超标的污染物</w:t>
      </w:r>
      <w:r>
        <w:t>PM</w:t>
      </w:r>
      <w:r>
        <w:rPr>
          <w:vertAlign w:val="subscript"/>
        </w:rPr>
        <w:t>2.5</w:t>
      </w:r>
      <w:r>
        <w:rPr>
          <w:rFonts w:ascii="宋体" w:hAnsi="宋体"/>
        </w:rPr>
        <w:t>预测范围内年平均质量浓度变化率</w:t>
      </w:r>
      <w:r>
        <w:t>k</w:t>
      </w:r>
      <w:r>
        <w:rPr>
          <w:rFonts w:ascii="宋体" w:hAnsi="宋体"/>
        </w:rPr>
        <w:t>为</w:t>
      </w:r>
      <w:r>
        <w:t>-94.34%≤-20%</w:t>
      </w:r>
      <w:r>
        <w:rPr>
          <w:rFonts w:ascii="宋体" w:hAnsi="宋体"/>
        </w:rPr>
        <w:t>。</w:t>
      </w:r>
    </w:p>
    <w:p w:rsidR="004E3021" w:rsidRDefault="00606E48">
      <w:pPr>
        <w:ind w:firstLine="480"/>
      </w:pPr>
      <w:r>
        <w:rPr>
          <w:rFonts w:ascii="宋体" w:hAnsi="宋体" w:hint="eastAsia"/>
        </w:rPr>
        <w:t>（</w:t>
      </w:r>
      <w:r>
        <w:rPr>
          <w:rFonts w:hint="eastAsia"/>
        </w:rPr>
        <w:t>2</w:t>
      </w:r>
      <w:r>
        <w:rPr>
          <w:rFonts w:ascii="宋体" w:hAnsi="宋体" w:hint="eastAsia"/>
        </w:rPr>
        <w:t>）</w:t>
      </w:r>
      <w:r w:rsidR="00DC005A">
        <w:rPr>
          <w:rFonts w:ascii="宋体" w:hAnsi="宋体"/>
        </w:rPr>
        <w:t>在非正常情况下，各污染物对外环境影响贡献值较正常工况明显增加</w:t>
      </w:r>
      <w:r>
        <w:rPr>
          <w:rFonts w:ascii="宋体" w:hAnsi="宋体"/>
        </w:rPr>
        <w:t>。需要避免事故发生，加强预警，同时加强废气处理设施的维护和管理，及时更换易损部件，确保废气治理措施的正常运转，杜绝废气处理设施故障发生。</w:t>
      </w:r>
    </w:p>
    <w:p w:rsidR="004E3021" w:rsidRDefault="00606E48">
      <w:pPr>
        <w:ind w:firstLine="480"/>
      </w:pPr>
      <w:r>
        <w:rPr>
          <w:rFonts w:ascii="宋体" w:hAnsi="宋体" w:hint="eastAsia"/>
        </w:rPr>
        <w:t>（</w:t>
      </w:r>
      <w:r>
        <w:rPr>
          <w:rFonts w:hint="eastAsia"/>
        </w:rPr>
        <w:t>3</w:t>
      </w:r>
      <w:r>
        <w:rPr>
          <w:rFonts w:ascii="宋体" w:hAnsi="宋体" w:hint="eastAsia"/>
        </w:rPr>
        <w:t>）本项目</w:t>
      </w:r>
      <w:r>
        <w:rPr>
          <w:rFonts w:hint="eastAsia"/>
        </w:rPr>
        <w:t>非甲烷总烃</w:t>
      </w:r>
      <w:r>
        <w:rPr>
          <w:rFonts w:ascii="宋体" w:hAnsi="宋体"/>
        </w:rPr>
        <w:t>、</w:t>
      </w:r>
      <w:r w:rsidR="00DC005A" w:rsidRPr="00DC005A">
        <w:t>H</w:t>
      </w:r>
      <w:r w:rsidR="00DC005A" w:rsidRPr="00DC005A">
        <w:rPr>
          <w:vertAlign w:val="subscript"/>
        </w:rPr>
        <w:t>2</w:t>
      </w:r>
      <w:r w:rsidR="00DC005A" w:rsidRPr="00DC005A">
        <w:t>S</w:t>
      </w:r>
      <w:r w:rsidR="00DC005A">
        <w:rPr>
          <w:rFonts w:ascii="宋体" w:hAnsi="宋体" w:hint="eastAsia"/>
        </w:rPr>
        <w:t>、</w:t>
      </w:r>
      <w:r>
        <w:rPr>
          <w:rFonts w:hint="eastAsia"/>
        </w:rPr>
        <w:t>甲醇</w:t>
      </w:r>
      <w:r>
        <w:rPr>
          <w:rFonts w:ascii="宋体" w:hAnsi="宋体" w:hint="eastAsia"/>
        </w:rPr>
        <w:t>厂界浓度满足大气污染物厂界浓度限值。</w:t>
      </w:r>
    </w:p>
    <w:p w:rsidR="004E3021" w:rsidRDefault="00606E48">
      <w:pPr>
        <w:ind w:firstLine="480"/>
      </w:pPr>
      <w:r>
        <w:rPr>
          <w:rFonts w:ascii="宋体" w:hAnsi="宋体" w:hint="eastAsia"/>
        </w:rPr>
        <w:t>（</w:t>
      </w:r>
      <w:r>
        <w:rPr>
          <w:rFonts w:hint="eastAsia"/>
        </w:rPr>
        <w:t>4</w:t>
      </w:r>
      <w:r>
        <w:rPr>
          <w:rFonts w:ascii="宋体" w:hAnsi="宋体" w:hint="eastAsia"/>
        </w:rPr>
        <w:t>）厂界外大气污染物短期贡献浓度未超过环境质量浓度限值，因此本项目无需设置大气环境防护距离。</w:t>
      </w:r>
    </w:p>
    <w:p w:rsidR="004E3021" w:rsidRDefault="00606E48">
      <w:pPr>
        <w:ind w:firstLine="480"/>
      </w:pPr>
      <w:r>
        <w:rPr>
          <w:rFonts w:ascii="宋体" w:hAnsi="宋体" w:hint="eastAsia"/>
        </w:rPr>
        <w:t>（</w:t>
      </w:r>
      <w:r>
        <w:rPr>
          <w:rFonts w:hint="eastAsia"/>
        </w:rPr>
        <w:t>5</w:t>
      </w:r>
      <w:r>
        <w:rPr>
          <w:rFonts w:ascii="宋体" w:hAnsi="宋体" w:hint="eastAsia"/>
        </w:rPr>
        <w:t>）</w:t>
      </w:r>
      <w:r>
        <w:rPr>
          <w:rFonts w:ascii="宋体" w:hAnsi="宋体"/>
        </w:rPr>
        <w:t>本项目设置</w:t>
      </w:r>
      <w:r>
        <w:t>500</w:t>
      </w:r>
      <w:r>
        <w:rPr>
          <w:rFonts w:hint="eastAsia"/>
        </w:rPr>
        <w:t>m</w:t>
      </w:r>
      <w:r>
        <w:rPr>
          <w:rFonts w:ascii="宋体" w:hAnsi="宋体" w:hint="eastAsia"/>
        </w:rPr>
        <w:t>环境防护距离，目前在此范围内没有居民点以及学校、医院等敏感目标，今后该防护距离范围内也不得新建居民、学校、医院等环境敏感目标。</w:t>
      </w:r>
    </w:p>
    <w:p w:rsidR="004E3021" w:rsidRDefault="00606E48">
      <w:pPr>
        <w:pStyle w:val="afffffffffffffffff4"/>
      </w:pPr>
      <w:bookmarkStart w:id="905" w:name="_Toc101135983"/>
      <w:bookmarkStart w:id="906" w:name="_Toc100784150"/>
      <w:bookmarkStart w:id="907" w:name="_Toc108662760"/>
      <w:bookmarkStart w:id="908" w:name="_Toc221088915"/>
      <w:bookmarkStart w:id="909" w:name="_Toc221501130"/>
      <w:r>
        <w:rPr>
          <w:rFonts w:hint="eastAsia"/>
        </w:rPr>
        <w:t>9.</w:t>
      </w:r>
      <w:r>
        <w:t>3</w:t>
      </w:r>
      <w:r>
        <w:rPr>
          <w:rFonts w:hint="eastAsia"/>
        </w:rPr>
        <w:t>.2</w:t>
      </w:r>
      <w:r>
        <w:rPr>
          <w:rFonts w:hint="eastAsia"/>
        </w:rPr>
        <w:t>地表水</w:t>
      </w:r>
      <w:r>
        <w:t>环境影响</w:t>
      </w:r>
      <w:bookmarkEnd w:id="905"/>
      <w:bookmarkEnd w:id="906"/>
      <w:bookmarkEnd w:id="907"/>
      <w:bookmarkEnd w:id="908"/>
      <w:bookmarkEnd w:id="909"/>
    </w:p>
    <w:p w:rsidR="004E3021" w:rsidRDefault="00606E48">
      <w:pPr>
        <w:ind w:firstLine="480"/>
      </w:pPr>
      <w:r>
        <w:rPr>
          <w:rFonts w:ascii="宋体" w:hAnsi="宋体" w:hint="eastAsia"/>
        </w:rPr>
        <w:t>厂内实行</w:t>
      </w:r>
      <w:r>
        <w:rPr>
          <w:rFonts w:ascii="宋体" w:hAnsi="宋体"/>
        </w:rPr>
        <w:t>雨污分流，</w:t>
      </w:r>
      <w:r w:rsidR="00DC005A">
        <w:rPr>
          <w:rFonts w:hint="eastAsia"/>
        </w:rPr>
        <w:t>精馏</w:t>
      </w:r>
      <w:r w:rsidR="00DC005A">
        <w:t>废水</w:t>
      </w:r>
      <w:r w:rsidR="00DC005A">
        <w:rPr>
          <w:rFonts w:hint="eastAsia"/>
        </w:rPr>
        <w:t>、纯水置换废水、乙炔制备废水</w:t>
      </w:r>
      <w:r>
        <w:t>、设备冲洗水、地面冲洗水、废气处理设施排水、</w:t>
      </w:r>
      <w:r>
        <w:rPr>
          <w:rFonts w:hint="eastAsia"/>
        </w:rPr>
        <w:t>实验室</w:t>
      </w:r>
      <w:r>
        <w:t>废水、</w:t>
      </w:r>
      <w:r>
        <w:rPr>
          <w:rFonts w:hint="eastAsia"/>
        </w:rPr>
        <w:t>生活污水、</w:t>
      </w:r>
      <w:r>
        <w:t>纯水制备再生水和初期雨水经</w:t>
      </w:r>
      <w:r>
        <w:rPr>
          <w:rFonts w:hint="eastAsia"/>
        </w:rPr>
        <w:t>污水处理站“调节池</w:t>
      </w:r>
      <w:r>
        <w:rPr>
          <w:rFonts w:hint="eastAsia"/>
        </w:rPr>
        <w:t>+</w:t>
      </w:r>
      <w:r>
        <w:rPr>
          <w:rFonts w:hint="eastAsia"/>
        </w:rPr>
        <w:t>混凝沉淀</w:t>
      </w:r>
      <w:r>
        <w:rPr>
          <w:rFonts w:hint="eastAsia"/>
        </w:rPr>
        <w:t>+</w:t>
      </w:r>
      <w:r>
        <w:rPr>
          <w:rFonts w:hint="eastAsia"/>
        </w:rPr>
        <w:t>水解酸化</w:t>
      </w:r>
      <w:r w:rsidR="00361EDD" w:rsidRPr="00361EDD">
        <w:rPr>
          <w:rFonts w:hint="eastAsia"/>
        </w:rPr>
        <w:t>+</w:t>
      </w:r>
      <w:r w:rsidR="00361EDD" w:rsidRPr="00361EDD">
        <w:rPr>
          <w:rFonts w:hint="eastAsia"/>
        </w:rPr>
        <w:t>好氧</w:t>
      </w:r>
      <w:r>
        <w:rPr>
          <w:rFonts w:hint="eastAsia"/>
        </w:rPr>
        <w:t>+MBR</w:t>
      </w:r>
      <w:r>
        <w:rPr>
          <w:rFonts w:hint="eastAsia"/>
        </w:rPr>
        <w:t>”处理后</w:t>
      </w:r>
      <w:r>
        <w:t>接入</w:t>
      </w:r>
      <w:r>
        <w:rPr>
          <w:rFonts w:hint="eastAsia"/>
        </w:rPr>
        <w:t>全厂总排口；</w:t>
      </w:r>
      <w:r>
        <w:t>纯水制备排水和循环冷却水排水</w:t>
      </w:r>
      <w:r>
        <w:rPr>
          <w:rFonts w:hint="eastAsia"/>
        </w:rPr>
        <w:t>直接</w:t>
      </w:r>
      <w:r>
        <w:t>接入</w:t>
      </w:r>
      <w:r>
        <w:rPr>
          <w:rFonts w:hint="eastAsia"/>
        </w:rPr>
        <w:t>全厂</w:t>
      </w:r>
      <w:r>
        <w:t>总排口</w:t>
      </w:r>
      <w:r>
        <w:rPr>
          <w:rFonts w:hint="eastAsia"/>
        </w:rPr>
        <w:t>，一并</w:t>
      </w:r>
      <w:r>
        <w:t>接管沫河口污水处理厂进一步处理</w:t>
      </w:r>
      <w:r>
        <w:rPr>
          <w:rFonts w:ascii="宋体" w:hAnsi="宋体" w:hint="eastAsia"/>
        </w:rPr>
        <w:t>，</w:t>
      </w:r>
      <w:r>
        <w:rPr>
          <w:rFonts w:ascii="宋体" w:hAnsi="宋体"/>
        </w:rPr>
        <w:t>经</w:t>
      </w:r>
      <w:r>
        <w:rPr>
          <w:rFonts w:ascii="宋体" w:hAnsi="宋体" w:hint="eastAsia"/>
        </w:rPr>
        <w:t>污水厂处理</w:t>
      </w:r>
      <w:r>
        <w:rPr>
          <w:rFonts w:ascii="宋体" w:hAnsi="宋体"/>
        </w:rPr>
        <w:t>达到《城镇污水处理厂污染物排放标准》（</w:t>
      </w:r>
      <w:r>
        <w:t>GB18918-2002</w:t>
      </w:r>
      <w:r>
        <w:rPr>
          <w:rFonts w:ascii="宋体" w:hAnsi="宋体"/>
        </w:rPr>
        <w:t>）中一级</w:t>
      </w:r>
      <w:r>
        <w:t>A</w:t>
      </w:r>
      <w:r>
        <w:rPr>
          <w:rFonts w:ascii="宋体" w:hAnsi="宋体"/>
        </w:rPr>
        <w:t>标准，尾水最终</w:t>
      </w:r>
      <w:r>
        <w:rPr>
          <w:rFonts w:ascii="宋体" w:hAnsi="宋体" w:hint="eastAsia"/>
        </w:rPr>
        <w:t>汇入</w:t>
      </w:r>
      <w:r>
        <w:rPr>
          <w:rFonts w:ascii="宋体" w:hAnsi="宋体"/>
        </w:rPr>
        <w:t>淮河</w:t>
      </w:r>
      <w:r>
        <w:rPr>
          <w:rFonts w:ascii="宋体" w:hAnsi="宋体" w:hint="eastAsia"/>
        </w:rPr>
        <w:t>。</w:t>
      </w:r>
    </w:p>
    <w:p w:rsidR="004E3021" w:rsidRDefault="00606E48">
      <w:pPr>
        <w:pStyle w:val="afffffffffffffffff4"/>
      </w:pPr>
      <w:bookmarkStart w:id="910" w:name="_Toc101135984"/>
      <w:bookmarkStart w:id="911" w:name="_Toc108662761"/>
      <w:bookmarkStart w:id="912" w:name="_Toc100784151"/>
      <w:bookmarkStart w:id="913" w:name="_Toc221088916"/>
      <w:bookmarkStart w:id="914" w:name="_Toc221501131"/>
      <w:r>
        <w:t>9.3.3</w:t>
      </w:r>
      <w:r>
        <w:rPr>
          <w:rFonts w:ascii="黑体" w:hAnsi="黑体" w:hint="eastAsia"/>
        </w:rPr>
        <w:t>声环境影响</w:t>
      </w:r>
      <w:bookmarkEnd w:id="910"/>
      <w:bookmarkEnd w:id="911"/>
      <w:bookmarkEnd w:id="912"/>
      <w:bookmarkEnd w:id="913"/>
      <w:bookmarkEnd w:id="914"/>
    </w:p>
    <w:p w:rsidR="004E3021" w:rsidRDefault="00606E48">
      <w:pPr>
        <w:ind w:firstLine="480"/>
      </w:pPr>
      <w:r>
        <w:rPr>
          <w:rFonts w:ascii="宋体" w:hAnsi="宋体"/>
        </w:rPr>
        <w:t>由噪声影响预测结果可知，本项目运营期对厂界的噪声贡献值</w:t>
      </w:r>
      <w:r w:rsidR="00DC005A">
        <w:rPr>
          <w:rFonts w:ascii="宋体" w:hAnsi="宋体" w:hint="eastAsia"/>
        </w:rPr>
        <w:t>及现状叠加值</w:t>
      </w:r>
      <w:r>
        <w:rPr>
          <w:rFonts w:ascii="宋体" w:hAnsi="宋体"/>
        </w:rPr>
        <w:t>均可满足《工业企业厂界环境噪声排放标准》（</w:t>
      </w:r>
      <w:r>
        <w:t>GB12348-2008</w:t>
      </w:r>
      <w:r>
        <w:rPr>
          <w:rFonts w:ascii="宋体" w:hAnsi="宋体"/>
        </w:rPr>
        <w:t>）中</w:t>
      </w:r>
      <w:r>
        <w:t>3</w:t>
      </w:r>
      <w:r>
        <w:rPr>
          <w:rFonts w:ascii="宋体" w:hAnsi="宋体"/>
        </w:rPr>
        <w:t>类标准限值要求，厂界噪声预测值满足《声环境质量标准》（</w:t>
      </w:r>
      <w:r>
        <w:t>GB3096-2008</w:t>
      </w:r>
      <w:r>
        <w:rPr>
          <w:rFonts w:ascii="宋体" w:hAnsi="宋体"/>
        </w:rPr>
        <w:t>）</w:t>
      </w:r>
      <w:r>
        <w:t>3</w:t>
      </w:r>
      <w:r>
        <w:rPr>
          <w:rFonts w:ascii="宋体" w:hAnsi="宋体"/>
        </w:rPr>
        <w:t>类标准。</w:t>
      </w:r>
    </w:p>
    <w:p w:rsidR="004E3021" w:rsidRDefault="00606E48">
      <w:pPr>
        <w:pStyle w:val="afffffffffffffffff4"/>
      </w:pPr>
      <w:bookmarkStart w:id="915" w:name="_Toc108662762"/>
      <w:bookmarkStart w:id="916" w:name="_Toc101135985"/>
      <w:bookmarkStart w:id="917" w:name="_Toc100784152"/>
      <w:bookmarkStart w:id="918" w:name="_Toc221088917"/>
      <w:bookmarkStart w:id="919" w:name="_Toc221501132"/>
      <w:r>
        <w:rPr>
          <w:rFonts w:hint="eastAsia"/>
        </w:rPr>
        <w:t>9.</w:t>
      </w:r>
      <w:r>
        <w:t>3</w:t>
      </w:r>
      <w:r>
        <w:rPr>
          <w:rFonts w:hint="eastAsia"/>
        </w:rPr>
        <w:t>.4</w:t>
      </w:r>
      <w:r>
        <w:rPr>
          <w:rFonts w:hint="eastAsia"/>
        </w:rPr>
        <w:t>地下水环境影响</w:t>
      </w:r>
      <w:bookmarkEnd w:id="915"/>
      <w:bookmarkEnd w:id="916"/>
      <w:bookmarkEnd w:id="917"/>
      <w:bookmarkEnd w:id="918"/>
      <w:bookmarkEnd w:id="919"/>
    </w:p>
    <w:p w:rsidR="004E3021" w:rsidRDefault="00606E48">
      <w:pPr>
        <w:widowControl/>
        <w:wordWrap w:val="0"/>
        <w:ind w:firstLine="480"/>
        <w:rPr>
          <w:b/>
          <w:bCs/>
        </w:rPr>
      </w:pPr>
      <w:r>
        <w:rPr>
          <w:rFonts w:ascii="宋体" w:hAnsi="宋体"/>
          <w:bCs/>
        </w:rPr>
        <w:lastRenderedPageBreak/>
        <w:t>根据地下水环评导则要求，预测采用数值模拟模型。通过资料收集和野外勘查获取评价区含水层空间分布特征，根据评价区水文地质条件，确定以潜水含水层为本次的地下水对象，重点模拟了非正常工况下</w:t>
      </w:r>
      <w:r>
        <w:rPr>
          <w:rFonts w:ascii="宋体" w:hAnsi="宋体" w:hint="eastAsia"/>
          <w:bCs/>
        </w:rPr>
        <w:t>污水处理</w:t>
      </w:r>
      <w:r>
        <w:rPr>
          <w:rFonts w:ascii="宋体" w:hAnsi="宋体" w:hint="eastAsia"/>
        </w:rPr>
        <w:t>区</w:t>
      </w:r>
      <w:r>
        <w:rPr>
          <w:bCs/>
        </w:rPr>
        <w:t>7300d</w:t>
      </w:r>
      <w:r>
        <w:rPr>
          <w:rFonts w:ascii="宋体" w:hAnsi="宋体"/>
          <w:bCs/>
        </w:rPr>
        <w:t>内污染物的运移扩散过程。评价结论如下：</w:t>
      </w:r>
    </w:p>
    <w:p w:rsidR="004E3021" w:rsidRDefault="00606E48">
      <w:pPr>
        <w:ind w:firstLine="480"/>
        <w:rPr>
          <w:b/>
        </w:rPr>
      </w:pPr>
      <w:r>
        <w:rPr>
          <w:rFonts w:ascii="宋体" w:hAnsi="宋体" w:hint="eastAsia"/>
        </w:rPr>
        <w:t>（</w:t>
      </w:r>
      <w:r>
        <w:rPr>
          <w:rFonts w:hint="eastAsia"/>
        </w:rPr>
        <w:t>1</w:t>
      </w:r>
      <w:r>
        <w:rPr>
          <w:rFonts w:ascii="宋体" w:hAnsi="宋体"/>
        </w:rPr>
        <w:t>）正常工况</w:t>
      </w:r>
      <w:r>
        <w:rPr>
          <w:rFonts w:ascii="宋体" w:hAnsi="宋体" w:hint="eastAsia"/>
        </w:rPr>
        <w:t>下，污染防渗措施有效，不会发生泄漏</w:t>
      </w:r>
      <w:r>
        <w:rPr>
          <w:rFonts w:ascii="宋体" w:hAnsi="宋体"/>
        </w:rPr>
        <w:t>或</w:t>
      </w:r>
      <w:r>
        <w:rPr>
          <w:rFonts w:ascii="宋体" w:hAnsi="宋体" w:hint="eastAsia"/>
        </w:rPr>
        <w:t>污水渗入地下水的情景发生，对区域地下水质不产生影响。而非正常工况下，污染物泄漏会在厂区及周边一定范围内污染地下水，泄漏</w:t>
      </w:r>
      <w:r>
        <w:rPr>
          <w:rFonts w:hint="eastAsia"/>
        </w:rPr>
        <w:t>1</w:t>
      </w:r>
      <w:r>
        <w:rPr>
          <w:rFonts w:ascii="宋体" w:hAnsi="宋体" w:hint="eastAsia"/>
        </w:rPr>
        <w:t>年停止后，污染物随着运移稀释，浓度逐渐降低，但扩散范围逐渐增大，污染物未扩散到厂区界外。</w:t>
      </w:r>
    </w:p>
    <w:p w:rsidR="004E3021" w:rsidRDefault="00606E48">
      <w:pPr>
        <w:ind w:firstLine="480"/>
        <w:rPr>
          <w:b/>
        </w:rPr>
      </w:pPr>
      <w:r>
        <w:rPr>
          <w:rFonts w:ascii="宋体" w:hAnsi="宋体" w:hint="eastAsia"/>
        </w:rPr>
        <w:t>（</w:t>
      </w:r>
      <w:r>
        <w:rPr>
          <w:rFonts w:hint="eastAsia"/>
        </w:rPr>
        <w:t>2</w:t>
      </w:r>
      <w:r>
        <w:rPr>
          <w:rFonts w:ascii="宋体" w:hAnsi="宋体"/>
        </w:rPr>
        <w:t>）</w:t>
      </w:r>
      <w:r>
        <w:rPr>
          <w:rFonts w:ascii="宋体" w:hAnsi="宋体" w:hint="eastAsia"/>
        </w:rPr>
        <w:t>非正常工况下，污染物泄漏后主要水平迁移方向为东南侧，和水流方向基本一致，调节池</w:t>
      </w:r>
      <w:r>
        <w:rPr>
          <w:rFonts w:ascii="宋体" w:hAnsi="宋体"/>
        </w:rPr>
        <w:t>和废水池</w:t>
      </w:r>
      <w:r>
        <w:rPr>
          <w:rFonts w:ascii="宋体" w:hAnsi="宋体" w:hint="eastAsia"/>
        </w:rPr>
        <w:t>的污染物泄漏对厂区周围地下水环境会造成一定不利影响，不过仅影响到周边较小范围地下水水质而不会影响到区域大范围地下水水质。</w:t>
      </w:r>
    </w:p>
    <w:p w:rsidR="004E3021" w:rsidRDefault="00606E48">
      <w:pPr>
        <w:ind w:firstLine="480"/>
        <w:rPr>
          <w:b/>
        </w:rPr>
      </w:pPr>
      <w:r>
        <w:rPr>
          <w:rFonts w:ascii="宋体" w:hAnsi="宋体" w:hint="eastAsia"/>
        </w:rPr>
        <w:t>（</w:t>
      </w:r>
      <w:r>
        <w:rPr>
          <w:rFonts w:hint="eastAsia"/>
        </w:rPr>
        <w:t>3</w:t>
      </w:r>
      <w:r>
        <w:rPr>
          <w:rFonts w:ascii="宋体" w:hAnsi="宋体"/>
        </w:rPr>
        <w:t>）</w:t>
      </w:r>
      <w:r w:rsidR="00DC005A">
        <w:rPr>
          <w:rFonts w:ascii="宋体" w:hAnsi="宋体" w:hint="eastAsia"/>
        </w:rPr>
        <w:t>非正常工况下，污染物泄漏</w:t>
      </w:r>
      <w:r w:rsidR="00DC005A">
        <w:rPr>
          <w:rFonts w:hint="eastAsia"/>
        </w:rPr>
        <w:t>1</w:t>
      </w:r>
      <w:r w:rsidR="00DC005A">
        <w:rPr>
          <w:rFonts w:ascii="宋体" w:hAnsi="宋体" w:hint="eastAsia"/>
        </w:rPr>
        <w:t>年被发现，导致地下水中出现污染物超标。在本次模拟事故源强和预测时段条件下，调节池的</w:t>
      </w:r>
      <w:r w:rsidR="00DC005A">
        <w:rPr>
          <w:rFonts w:hint="eastAsia"/>
        </w:rPr>
        <w:t>COD</w:t>
      </w:r>
      <w:r w:rsidR="00DC005A">
        <w:rPr>
          <w:rFonts w:ascii="宋体" w:hAnsi="宋体"/>
        </w:rPr>
        <w:t>不会</w:t>
      </w:r>
      <w:r w:rsidR="00DC005A">
        <w:rPr>
          <w:rFonts w:ascii="宋体" w:hAnsi="宋体" w:hint="eastAsia"/>
        </w:rPr>
        <w:t>导致厂区边界地下水超标。调节池</w:t>
      </w:r>
      <w:r w:rsidR="00DC005A">
        <w:rPr>
          <w:rFonts w:hint="eastAsia"/>
        </w:rPr>
        <w:t>COD</w:t>
      </w:r>
      <w:r w:rsidR="00DC005A">
        <w:rPr>
          <w:rFonts w:hint="eastAsia"/>
          <w:bCs/>
        </w:rPr>
        <w:t>超标污染羽最大迁移距离</w:t>
      </w:r>
      <w:r w:rsidR="00DC005A">
        <w:rPr>
          <w:rFonts w:hint="eastAsia"/>
          <w:spacing w:val="10"/>
        </w:rPr>
        <w:t>为</w:t>
      </w:r>
      <w:r w:rsidR="00DC005A">
        <w:rPr>
          <w:bCs/>
        </w:rPr>
        <w:t>87.5</w:t>
      </w:r>
      <w:r w:rsidR="00DC005A">
        <w:rPr>
          <w:spacing w:val="10"/>
        </w:rPr>
        <w:t>m</w:t>
      </w:r>
      <w:r w:rsidR="00DC005A">
        <w:rPr>
          <w:rFonts w:hint="eastAsia"/>
          <w:spacing w:val="10"/>
        </w:rPr>
        <w:t>，</w:t>
      </w:r>
      <w:r w:rsidR="00DC005A">
        <w:rPr>
          <w:rFonts w:hint="eastAsia"/>
          <w:bCs/>
        </w:rPr>
        <w:t>超标污染羽超出厂界距离</w:t>
      </w:r>
      <w:r w:rsidR="00DC005A">
        <w:rPr>
          <w:rFonts w:hint="eastAsia"/>
          <w:bCs/>
        </w:rPr>
        <w:t>0</w:t>
      </w:r>
      <w:r w:rsidR="00DC005A">
        <w:rPr>
          <w:spacing w:val="10"/>
        </w:rPr>
        <w:t>m</w:t>
      </w:r>
      <w:r w:rsidR="00DC005A">
        <w:rPr>
          <w:rFonts w:hint="eastAsia"/>
          <w:spacing w:val="10"/>
        </w:rPr>
        <w:t>。</w:t>
      </w:r>
      <w:r w:rsidR="00DC005A">
        <w:rPr>
          <w:rFonts w:ascii="宋体" w:hAnsi="宋体" w:hint="eastAsia"/>
        </w:rPr>
        <w:t>企业应做好污水处理区的防渗工作，及时发现并做好防渗措施能较好控制污染物迁移</w:t>
      </w:r>
      <w:r>
        <w:rPr>
          <w:rFonts w:ascii="宋体" w:hAnsi="宋体" w:hint="eastAsia"/>
        </w:rPr>
        <w:t>。</w:t>
      </w:r>
    </w:p>
    <w:p w:rsidR="004E3021" w:rsidRDefault="00606E48">
      <w:pPr>
        <w:ind w:firstLine="480"/>
        <w:rPr>
          <w:b/>
        </w:rPr>
      </w:pPr>
      <w:r>
        <w:rPr>
          <w:rFonts w:ascii="宋体" w:hAnsi="宋体" w:hint="eastAsia"/>
        </w:rPr>
        <w:t>（</w:t>
      </w:r>
      <w:r>
        <w:rPr>
          <w:rFonts w:hint="eastAsia"/>
        </w:rPr>
        <w:t>4</w:t>
      </w:r>
      <w:r>
        <w:rPr>
          <w:rFonts w:ascii="宋体" w:hAnsi="宋体"/>
        </w:rPr>
        <w:t>）</w:t>
      </w:r>
      <w:r>
        <w:rPr>
          <w:rFonts w:ascii="宋体" w:hAnsi="宋体" w:hint="eastAsia"/>
        </w:rPr>
        <w:t>污染物浓度随时间变化过程显示，非正常工况下污染物运移速度总体较慢，污染物运移范围不大，且污染物运移过程中不断稀释。污染物运移范围主要是场地水文地质条件决定，模拟区为独立水文地质单位，项目所在地含水层水力坡度相对较小，地下水径流较缓慢，污染物运移扩散范围有限。</w:t>
      </w:r>
    </w:p>
    <w:p w:rsidR="004E3021" w:rsidRDefault="00606E48">
      <w:pPr>
        <w:ind w:firstLine="480"/>
        <w:rPr>
          <w:rFonts w:eastAsia="黑体"/>
          <w:sz w:val="32"/>
          <w:szCs w:val="32"/>
        </w:rPr>
        <w:sectPr w:rsidR="004E3021">
          <w:pgSz w:w="11907" w:h="16840"/>
          <w:pgMar w:top="1440" w:right="1440" w:bottom="1440" w:left="1440" w:header="851" w:footer="992" w:gutter="0"/>
          <w:cols w:space="720"/>
          <w:docGrid w:type="lines" w:linePitch="326"/>
        </w:sectPr>
      </w:pPr>
      <w:r>
        <w:rPr>
          <w:rFonts w:hint="eastAsia"/>
        </w:rPr>
        <w:t>（</w:t>
      </w:r>
      <w:r>
        <w:rPr>
          <w:rFonts w:hint="eastAsia"/>
        </w:rPr>
        <w:t>5</w:t>
      </w:r>
      <w:r>
        <w:t>）</w:t>
      </w:r>
      <w:r>
        <w:rPr>
          <w:rFonts w:hint="eastAsia"/>
        </w:rPr>
        <w:t>为防止非正常工况的发生，必须严格实施各项地下水防渗措施，提高防渗标准，减小事故发生的概率以及污染物入渗强度；同时结合地下水环境监测措施，一旦事故发生，能及时发现；启动应急响应，分析事故发展趋势，及时切断污染源，并将监测井转化为抽水井，实施水力截获，将污染物控制在较小范围，在采取上述措施后，</w:t>
      </w:r>
      <w:r w:rsidR="00947F13">
        <w:rPr>
          <w:rFonts w:hint="eastAsia"/>
        </w:rPr>
        <w:t>本</w:t>
      </w:r>
      <w:r>
        <w:rPr>
          <w:rFonts w:hint="eastAsia"/>
        </w:rPr>
        <w:t>项目对地下水环境影响可控。</w:t>
      </w:r>
    </w:p>
    <w:p w:rsidR="004E3021" w:rsidRDefault="00606E48">
      <w:pPr>
        <w:pStyle w:val="afffffffffffffffff4"/>
      </w:pPr>
      <w:bookmarkStart w:id="920" w:name="_Toc100784153"/>
      <w:bookmarkStart w:id="921" w:name="_Toc108662763"/>
      <w:bookmarkStart w:id="922" w:name="_Toc101135986"/>
      <w:bookmarkStart w:id="923" w:name="_Toc221088918"/>
      <w:bookmarkStart w:id="924" w:name="_Toc221501133"/>
      <w:r>
        <w:rPr>
          <w:rFonts w:hint="eastAsia"/>
        </w:rPr>
        <w:lastRenderedPageBreak/>
        <w:t>9.3.</w:t>
      </w:r>
      <w:r>
        <w:t>5</w:t>
      </w:r>
      <w:r>
        <w:rPr>
          <w:rFonts w:ascii="黑体" w:hAnsi="黑体" w:hint="eastAsia"/>
        </w:rPr>
        <w:t>环境</w:t>
      </w:r>
      <w:r>
        <w:rPr>
          <w:rFonts w:ascii="黑体" w:hAnsi="黑体"/>
        </w:rPr>
        <w:t>风险影响</w:t>
      </w:r>
      <w:bookmarkEnd w:id="920"/>
      <w:bookmarkEnd w:id="921"/>
      <w:bookmarkEnd w:id="922"/>
      <w:bookmarkEnd w:id="923"/>
      <w:bookmarkEnd w:id="924"/>
    </w:p>
    <w:p w:rsidR="004E3021" w:rsidRDefault="00606E48">
      <w:pPr>
        <w:ind w:firstLine="480"/>
      </w:pPr>
      <w:r>
        <w:rPr>
          <w:rFonts w:ascii="宋体" w:hAnsi="宋体"/>
        </w:rPr>
        <w:t>（</w:t>
      </w:r>
      <w:r>
        <w:t>1</w:t>
      </w:r>
      <w:r>
        <w:rPr>
          <w:rFonts w:ascii="宋体" w:hAnsi="宋体"/>
        </w:rPr>
        <w:t>）项目建成后危险物质包括</w:t>
      </w:r>
      <w:r>
        <w:rPr>
          <w:rFonts w:ascii="宋体" w:hAnsi="宋体" w:hint="eastAsia"/>
        </w:rPr>
        <w:t>甲醇、</w:t>
      </w:r>
      <w:r>
        <w:rPr>
          <w:rFonts w:ascii="宋体" w:hAnsi="宋体"/>
        </w:rPr>
        <w:t>氨水等。</w:t>
      </w:r>
      <w:r>
        <w:rPr>
          <w:rFonts w:ascii="宋体" w:hAnsi="宋体" w:hint="eastAsia"/>
        </w:rPr>
        <w:t>构成危险单元</w:t>
      </w:r>
      <w:r>
        <w:rPr>
          <w:rFonts w:ascii="宋体" w:hAnsi="宋体"/>
        </w:rPr>
        <w:t>的</w:t>
      </w:r>
      <w:r>
        <w:rPr>
          <w:rFonts w:ascii="宋体" w:hAnsi="宋体" w:hint="eastAsia"/>
        </w:rPr>
        <w:t>生产设施</w:t>
      </w:r>
      <w:r>
        <w:rPr>
          <w:rFonts w:ascii="宋体" w:hAnsi="宋体"/>
        </w:rPr>
        <w:t>包括尾气处理装置</w:t>
      </w:r>
      <w:r>
        <w:rPr>
          <w:rFonts w:ascii="宋体" w:hAnsi="宋体" w:hint="eastAsia"/>
        </w:rPr>
        <w:t>及</w:t>
      </w:r>
      <w:r>
        <w:rPr>
          <w:rFonts w:ascii="宋体" w:hAnsi="宋体"/>
        </w:rPr>
        <w:t>废水处理设施等。</w:t>
      </w:r>
    </w:p>
    <w:p w:rsidR="004E3021" w:rsidRDefault="00606E48">
      <w:pPr>
        <w:ind w:firstLine="480"/>
      </w:pPr>
      <w:r>
        <w:rPr>
          <w:rFonts w:ascii="宋体" w:hAnsi="宋体"/>
        </w:rPr>
        <w:t>（</w:t>
      </w:r>
      <w:r>
        <w:t>2</w:t>
      </w:r>
      <w:r>
        <w:rPr>
          <w:rFonts w:ascii="宋体" w:hAnsi="宋体"/>
        </w:rPr>
        <w:t>）本次评价风险事故类型</w:t>
      </w:r>
      <w:r>
        <w:rPr>
          <w:rFonts w:ascii="宋体" w:hAnsi="宋体" w:hint="eastAsia"/>
        </w:rPr>
        <w:t>为</w:t>
      </w:r>
      <w:r w:rsidR="00DC005A">
        <w:rPr>
          <w:rFonts w:hint="eastAsia"/>
        </w:rPr>
        <w:t>①</w:t>
      </w:r>
      <w:r w:rsidR="00DC005A">
        <w:rPr>
          <w:rFonts w:hint="eastAsia"/>
          <w:color w:val="000000"/>
        </w:rPr>
        <w:t>甲醇储罐</w:t>
      </w:r>
      <w:r w:rsidR="00DC005A">
        <w:rPr>
          <w:rFonts w:hint="eastAsia"/>
        </w:rPr>
        <w:t>泄漏火灾次生事故；②乙炔气柜泄漏事故；③氨水储罐泄漏事故</w:t>
      </w:r>
      <w:r w:rsidR="00DC005A">
        <w:rPr>
          <w:rFonts w:ascii="宋体" w:hAnsi="宋体" w:cs="宋体" w:hint="eastAsia"/>
          <w:lang w:val="zh-CN"/>
        </w:rPr>
        <w:t>④</w:t>
      </w:r>
      <w:r w:rsidR="00DC005A">
        <w:rPr>
          <w:lang w:val="zh-CN"/>
        </w:rPr>
        <w:t>污水处理调节池破损</w:t>
      </w:r>
      <w:r w:rsidR="00DC005A">
        <w:rPr>
          <w:rFonts w:hint="eastAsia"/>
          <w:lang w:val="zh-CN"/>
        </w:rPr>
        <w:t>污染</w:t>
      </w:r>
      <w:r w:rsidR="00DC005A">
        <w:rPr>
          <w:rFonts w:hint="eastAsia"/>
        </w:rPr>
        <w:t>地下水事故</w:t>
      </w:r>
      <w:r>
        <w:rPr>
          <w:rFonts w:hint="eastAsia"/>
        </w:rPr>
        <w:t>。</w:t>
      </w:r>
    </w:p>
    <w:p w:rsidR="004E3021" w:rsidRDefault="00606E48">
      <w:pPr>
        <w:ind w:firstLine="480"/>
      </w:pPr>
      <w:r>
        <w:rPr>
          <w:rFonts w:ascii="宋体" w:hAnsi="宋体"/>
        </w:rPr>
        <w:t>（</w:t>
      </w:r>
      <w:r>
        <w:t>3</w:t>
      </w:r>
      <w:r>
        <w:rPr>
          <w:rFonts w:ascii="宋体" w:hAnsi="宋体"/>
        </w:rPr>
        <w:t>）</w:t>
      </w:r>
      <w:r>
        <w:t>预测结果表明</w:t>
      </w:r>
      <w:r>
        <w:rPr>
          <w:rFonts w:hint="eastAsia"/>
        </w:rPr>
        <w:t>：</w:t>
      </w:r>
    </w:p>
    <w:p w:rsidR="00DC005A" w:rsidRDefault="00DC005A" w:rsidP="00DC005A">
      <w:pPr>
        <w:ind w:firstLine="480"/>
      </w:pPr>
      <w:r>
        <w:rPr>
          <w:rFonts w:hint="eastAsia"/>
        </w:rPr>
        <w:t>在</w:t>
      </w:r>
      <w:r>
        <w:t>D</w:t>
      </w:r>
      <w:r>
        <w:t>稳定度下，</w:t>
      </w:r>
      <w:r>
        <w:rPr>
          <w:rFonts w:hint="eastAsia"/>
        </w:rPr>
        <w:t>甲醇储罐</w:t>
      </w:r>
      <w:r>
        <w:t>泄漏火灾</w:t>
      </w:r>
      <w:r>
        <w:rPr>
          <w:rFonts w:hint="eastAsia"/>
        </w:rPr>
        <w:t>次生</w:t>
      </w:r>
      <w:r>
        <w:t>事故</w:t>
      </w:r>
      <w:r>
        <w:rPr>
          <w:rFonts w:hint="eastAsia"/>
        </w:rPr>
        <w:t>产生</w:t>
      </w:r>
      <w:r>
        <w:t>的</w:t>
      </w:r>
      <w:r>
        <w:rPr>
          <w:rFonts w:hint="eastAsia"/>
        </w:rPr>
        <w:t>一氧化碳</w:t>
      </w:r>
      <w:r>
        <w:t>30min</w:t>
      </w:r>
      <w:r>
        <w:rPr>
          <w:rFonts w:hint="eastAsia"/>
        </w:rPr>
        <w:t>达到</w:t>
      </w:r>
      <w:r>
        <w:t>毒性终点浓度</w:t>
      </w:r>
      <w:r>
        <w:rPr>
          <w:rFonts w:hint="eastAsia"/>
        </w:rPr>
        <w:t>-</w:t>
      </w:r>
      <w:r>
        <w:t>2</w:t>
      </w:r>
      <w:r>
        <w:rPr>
          <w:rFonts w:hint="eastAsia"/>
        </w:rPr>
        <w:t>最大出现距离为甲醇储罐</w:t>
      </w:r>
      <w:r>
        <w:t>下风向</w:t>
      </w:r>
      <w:r>
        <w:t>80m</w:t>
      </w:r>
      <w:r>
        <w:rPr>
          <w:rFonts w:hint="eastAsia"/>
        </w:rPr>
        <w:t>（超</w:t>
      </w:r>
      <w:r>
        <w:t>厂界</w:t>
      </w:r>
      <w:r>
        <w:rPr>
          <w:rFonts w:hint="eastAsia"/>
        </w:rPr>
        <w:t>外</w:t>
      </w:r>
      <w:r>
        <w:t>6</w:t>
      </w:r>
      <w:r>
        <w:rPr>
          <w:rFonts w:hint="eastAsia"/>
        </w:rPr>
        <w:t>0</w:t>
      </w:r>
      <w:r>
        <w:t>m</w:t>
      </w:r>
      <w:r>
        <w:rPr>
          <w:rFonts w:hint="eastAsia"/>
        </w:rPr>
        <w:t>）；最大浓度</w:t>
      </w:r>
      <w:r>
        <w:t>未超过</w:t>
      </w:r>
      <w:r>
        <w:rPr>
          <w:rFonts w:hint="eastAsia"/>
        </w:rPr>
        <w:t>毒性终点</w:t>
      </w:r>
      <w:r>
        <w:t>浓度</w:t>
      </w:r>
      <w:r>
        <w:t>-1</w:t>
      </w:r>
      <w:r>
        <w:rPr>
          <w:rFonts w:hint="eastAsia"/>
        </w:rPr>
        <w:t>，</w:t>
      </w:r>
      <w:r>
        <w:t>无对应位置</w:t>
      </w:r>
      <w:r>
        <w:rPr>
          <w:rFonts w:hint="eastAsia"/>
        </w:rPr>
        <w:t>。</w:t>
      </w:r>
    </w:p>
    <w:p w:rsidR="00DC005A" w:rsidRDefault="00DC005A" w:rsidP="00DC005A">
      <w:pPr>
        <w:ind w:firstLine="480"/>
      </w:pPr>
      <w:r>
        <w:rPr>
          <w:rFonts w:hint="eastAsia"/>
        </w:rPr>
        <w:t>在</w:t>
      </w:r>
      <w:r>
        <w:t>F</w:t>
      </w:r>
      <w:r>
        <w:t>稳定度下，</w:t>
      </w:r>
      <w:r>
        <w:rPr>
          <w:rFonts w:hint="eastAsia"/>
        </w:rPr>
        <w:t>甲醇储罐</w:t>
      </w:r>
      <w:r>
        <w:t>泄漏火灾</w:t>
      </w:r>
      <w:r>
        <w:rPr>
          <w:rFonts w:hint="eastAsia"/>
        </w:rPr>
        <w:t>次生</w:t>
      </w:r>
      <w:r>
        <w:t>事故</w:t>
      </w:r>
      <w:r>
        <w:rPr>
          <w:rFonts w:hint="eastAsia"/>
        </w:rPr>
        <w:t>产生</w:t>
      </w:r>
      <w:r>
        <w:t>的</w:t>
      </w:r>
      <w:r>
        <w:rPr>
          <w:rFonts w:hint="eastAsia"/>
        </w:rPr>
        <w:t>一氧化碳</w:t>
      </w:r>
      <w:r>
        <w:t>30min</w:t>
      </w:r>
      <w:r>
        <w:rPr>
          <w:rFonts w:hint="eastAsia"/>
        </w:rPr>
        <w:t>达到</w:t>
      </w:r>
      <w:r>
        <w:t>毒性终点浓度</w:t>
      </w:r>
      <w:r>
        <w:rPr>
          <w:rFonts w:hint="eastAsia"/>
        </w:rPr>
        <w:t>-</w:t>
      </w:r>
      <w:r>
        <w:t>2</w:t>
      </w:r>
      <w:r>
        <w:rPr>
          <w:rFonts w:hint="eastAsia"/>
        </w:rPr>
        <w:t>最大出现距离为甲醇储罐</w:t>
      </w:r>
      <w:r>
        <w:t>下风向</w:t>
      </w:r>
      <w:r>
        <w:t>190m</w:t>
      </w:r>
      <w:r>
        <w:rPr>
          <w:rFonts w:hint="eastAsia"/>
        </w:rPr>
        <w:t>（超</w:t>
      </w:r>
      <w:r>
        <w:t>厂界</w:t>
      </w:r>
      <w:r>
        <w:rPr>
          <w:rFonts w:hint="eastAsia"/>
        </w:rPr>
        <w:t>外</w:t>
      </w:r>
      <w:r>
        <w:t>17</w:t>
      </w:r>
      <w:r>
        <w:rPr>
          <w:rFonts w:hint="eastAsia"/>
        </w:rPr>
        <w:t>0</w:t>
      </w:r>
      <w:r>
        <w:t>m</w:t>
      </w:r>
      <w:r>
        <w:rPr>
          <w:rFonts w:hint="eastAsia"/>
        </w:rPr>
        <w:t>）；达到</w:t>
      </w:r>
      <w:r>
        <w:t>毒性终点浓度</w:t>
      </w:r>
      <w:r>
        <w:rPr>
          <w:rFonts w:hint="eastAsia"/>
        </w:rPr>
        <w:t>-</w:t>
      </w:r>
      <w:r>
        <w:t>1</w:t>
      </w:r>
      <w:r>
        <w:rPr>
          <w:rFonts w:hint="eastAsia"/>
        </w:rPr>
        <w:t>最大出现距离为甲醇储罐</w:t>
      </w:r>
      <w:r>
        <w:t>下风向</w:t>
      </w:r>
      <w:r>
        <w:t>60m</w:t>
      </w:r>
      <w:r>
        <w:t>（</w:t>
      </w:r>
      <w:r>
        <w:rPr>
          <w:rFonts w:hint="eastAsia"/>
        </w:rPr>
        <w:t>超厂界外</w:t>
      </w:r>
      <w:r>
        <w:t>4</w:t>
      </w:r>
      <w:r>
        <w:rPr>
          <w:rFonts w:hint="eastAsia"/>
        </w:rPr>
        <w:t>0</w:t>
      </w:r>
      <w:r>
        <w:t>m</w:t>
      </w:r>
      <w:r>
        <w:t>）</w:t>
      </w:r>
      <w:r>
        <w:rPr>
          <w:rFonts w:hint="eastAsia"/>
        </w:rPr>
        <w:t>。</w:t>
      </w:r>
    </w:p>
    <w:p w:rsidR="00DC005A" w:rsidRDefault="00DC005A" w:rsidP="00DC005A">
      <w:pPr>
        <w:ind w:firstLine="480"/>
      </w:pPr>
      <w:r>
        <w:rPr>
          <w:rFonts w:hint="eastAsia"/>
        </w:rPr>
        <w:t>在</w:t>
      </w:r>
      <w:r>
        <w:t>D</w:t>
      </w:r>
      <w:r>
        <w:t>稳定度下，</w:t>
      </w:r>
      <w:r>
        <w:rPr>
          <w:rFonts w:hint="eastAsia"/>
        </w:rPr>
        <w:t>乙炔气柜</w:t>
      </w:r>
      <w:r>
        <w:t>泄漏事故</w:t>
      </w:r>
      <w:r>
        <w:rPr>
          <w:rFonts w:hint="eastAsia"/>
        </w:rPr>
        <w:t>产生</w:t>
      </w:r>
      <w:r>
        <w:t>的</w:t>
      </w:r>
      <w:r>
        <w:rPr>
          <w:rFonts w:hint="eastAsia"/>
        </w:rPr>
        <w:t>乙炔</w:t>
      </w:r>
      <w:r>
        <w:t>30min</w:t>
      </w:r>
      <w:r>
        <w:rPr>
          <w:rFonts w:hint="eastAsia"/>
        </w:rPr>
        <w:t>未达到</w:t>
      </w:r>
      <w:r>
        <w:t>毒性终点浓度</w:t>
      </w:r>
      <w:r>
        <w:rPr>
          <w:rFonts w:hint="eastAsia"/>
        </w:rPr>
        <w:t>-</w:t>
      </w:r>
      <w:r>
        <w:t>2</w:t>
      </w:r>
      <w:r>
        <w:rPr>
          <w:rFonts w:hint="eastAsia"/>
        </w:rPr>
        <w:t>；未达到</w:t>
      </w:r>
      <w:r>
        <w:t>毒性终点浓度</w:t>
      </w:r>
      <w:r>
        <w:rPr>
          <w:rFonts w:hint="eastAsia"/>
        </w:rPr>
        <w:t>-</w:t>
      </w:r>
      <w:r>
        <w:t>1</w:t>
      </w:r>
      <w:r>
        <w:rPr>
          <w:rFonts w:hint="eastAsia"/>
        </w:rPr>
        <w:t>。</w:t>
      </w:r>
    </w:p>
    <w:p w:rsidR="00DC005A" w:rsidRDefault="00DC005A" w:rsidP="00DC005A">
      <w:pPr>
        <w:ind w:firstLine="480"/>
      </w:pPr>
      <w:r>
        <w:rPr>
          <w:rFonts w:hint="eastAsia"/>
        </w:rPr>
        <w:t>在</w:t>
      </w:r>
      <w:r>
        <w:t>F</w:t>
      </w:r>
      <w:r>
        <w:t>稳定度下，</w:t>
      </w:r>
      <w:r>
        <w:rPr>
          <w:rFonts w:hint="eastAsia"/>
        </w:rPr>
        <w:t>乙炔气柜</w:t>
      </w:r>
      <w:r>
        <w:t>泄漏事故</w:t>
      </w:r>
      <w:r>
        <w:rPr>
          <w:rFonts w:hint="eastAsia"/>
        </w:rPr>
        <w:t>产生</w:t>
      </w:r>
      <w:r>
        <w:t>的</w:t>
      </w:r>
      <w:r>
        <w:rPr>
          <w:rFonts w:hint="eastAsia"/>
        </w:rPr>
        <w:t>乙炔</w:t>
      </w:r>
      <w:r>
        <w:t>30min</w:t>
      </w:r>
      <w:r>
        <w:rPr>
          <w:rFonts w:hint="eastAsia"/>
        </w:rPr>
        <w:t>未达到</w:t>
      </w:r>
      <w:r>
        <w:t>毒性终点浓度</w:t>
      </w:r>
      <w:r>
        <w:rPr>
          <w:rFonts w:hint="eastAsia"/>
        </w:rPr>
        <w:t>-</w:t>
      </w:r>
      <w:r>
        <w:t>2</w:t>
      </w:r>
      <w:r>
        <w:rPr>
          <w:rFonts w:hint="eastAsia"/>
        </w:rPr>
        <w:t>；未达到</w:t>
      </w:r>
      <w:r>
        <w:t>毒性终点浓度</w:t>
      </w:r>
      <w:r>
        <w:rPr>
          <w:rFonts w:hint="eastAsia"/>
        </w:rPr>
        <w:t>-</w:t>
      </w:r>
      <w:r>
        <w:t>1</w:t>
      </w:r>
      <w:r>
        <w:rPr>
          <w:rFonts w:hint="eastAsia"/>
        </w:rPr>
        <w:t>。</w:t>
      </w:r>
    </w:p>
    <w:p w:rsidR="00DC005A" w:rsidRDefault="00DC005A" w:rsidP="00DC005A">
      <w:pPr>
        <w:ind w:firstLine="480"/>
        <w:rPr>
          <w:color w:val="000000" w:themeColor="text1"/>
        </w:rPr>
      </w:pPr>
      <w:r>
        <w:rPr>
          <w:color w:val="000000" w:themeColor="text1"/>
        </w:rPr>
        <w:t>在</w:t>
      </w:r>
      <w:r>
        <w:rPr>
          <w:rFonts w:hint="eastAsia"/>
          <w:color w:val="000000" w:themeColor="text1"/>
        </w:rPr>
        <w:t>D</w:t>
      </w:r>
      <w:r>
        <w:rPr>
          <w:color w:val="000000" w:themeColor="text1"/>
        </w:rPr>
        <w:t>气象条件下，</w:t>
      </w:r>
      <w:r>
        <w:rPr>
          <w:rFonts w:hint="eastAsia"/>
          <w:color w:val="000000" w:themeColor="text1"/>
        </w:rPr>
        <w:t>氨水储罐与管线连接处</w:t>
      </w:r>
      <w:r>
        <w:rPr>
          <w:color w:val="000000" w:themeColor="text1"/>
        </w:rPr>
        <w:t>泄漏事故产生的</w:t>
      </w:r>
      <w:r>
        <w:rPr>
          <w:color w:val="000000" w:themeColor="text1"/>
        </w:rPr>
        <w:t>NH</w:t>
      </w:r>
      <w:r w:rsidRPr="00BF33CA">
        <w:rPr>
          <w:color w:val="000000" w:themeColor="text1"/>
          <w:vertAlign w:val="subscript"/>
        </w:rPr>
        <w:t>3</w:t>
      </w:r>
      <w:r w:rsidRPr="00470A35">
        <w:rPr>
          <w:rFonts w:hint="eastAsia"/>
          <w:color w:val="000000" w:themeColor="text1"/>
        </w:rPr>
        <w:t>未</w:t>
      </w:r>
      <w:r>
        <w:rPr>
          <w:color w:val="000000" w:themeColor="text1"/>
        </w:rPr>
        <w:t>达到毒性终点浓度</w:t>
      </w:r>
      <w:r>
        <w:rPr>
          <w:color w:val="000000" w:themeColor="text1"/>
        </w:rPr>
        <w:t>-2</w:t>
      </w:r>
      <w:r>
        <w:rPr>
          <w:color w:val="000000" w:themeColor="text1"/>
        </w:rPr>
        <w:t>；</w:t>
      </w:r>
      <w:r>
        <w:rPr>
          <w:rFonts w:hint="eastAsia"/>
          <w:color w:val="000000" w:themeColor="text1"/>
        </w:rPr>
        <w:t>未</w:t>
      </w:r>
      <w:r>
        <w:rPr>
          <w:color w:val="000000" w:themeColor="text1"/>
        </w:rPr>
        <w:t>达到毒性终点浓度</w:t>
      </w:r>
      <w:r>
        <w:rPr>
          <w:color w:val="000000" w:themeColor="text1"/>
        </w:rPr>
        <w:t>-1</w:t>
      </w:r>
      <w:r>
        <w:rPr>
          <w:color w:val="000000" w:themeColor="text1"/>
        </w:rPr>
        <w:t>。</w:t>
      </w:r>
    </w:p>
    <w:p w:rsidR="00DC005A" w:rsidRDefault="00DC005A" w:rsidP="00DC005A">
      <w:pPr>
        <w:ind w:firstLine="480"/>
      </w:pPr>
      <w:r>
        <w:rPr>
          <w:color w:val="000000" w:themeColor="text1"/>
        </w:rPr>
        <w:t>在</w:t>
      </w:r>
      <w:r>
        <w:rPr>
          <w:rFonts w:hint="eastAsia"/>
          <w:color w:val="000000" w:themeColor="text1"/>
        </w:rPr>
        <w:t>F</w:t>
      </w:r>
      <w:r>
        <w:rPr>
          <w:color w:val="000000" w:themeColor="text1"/>
        </w:rPr>
        <w:t>气象条件下，</w:t>
      </w:r>
      <w:r>
        <w:rPr>
          <w:rFonts w:hint="eastAsia"/>
          <w:color w:val="000000" w:themeColor="text1"/>
        </w:rPr>
        <w:t>氨水储罐与管线连接处</w:t>
      </w:r>
      <w:r>
        <w:rPr>
          <w:color w:val="000000" w:themeColor="text1"/>
        </w:rPr>
        <w:t>泄漏事故产生的</w:t>
      </w:r>
      <w:r>
        <w:rPr>
          <w:color w:val="000000" w:themeColor="text1"/>
        </w:rPr>
        <w:t>NH</w:t>
      </w:r>
      <w:r w:rsidRPr="00BF33CA">
        <w:rPr>
          <w:color w:val="000000" w:themeColor="text1"/>
          <w:vertAlign w:val="subscript"/>
        </w:rPr>
        <w:t>3</w:t>
      </w:r>
      <w:r>
        <w:rPr>
          <w:color w:val="000000" w:themeColor="text1"/>
        </w:rPr>
        <w:t>达到毒性终点浓度</w:t>
      </w:r>
      <w:r>
        <w:rPr>
          <w:color w:val="000000" w:themeColor="text1"/>
        </w:rPr>
        <w:t>-2</w:t>
      </w:r>
      <w:r>
        <w:rPr>
          <w:color w:val="000000" w:themeColor="text1"/>
        </w:rPr>
        <w:t>最大出现距离为</w:t>
      </w:r>
      <w:r>
        <w:rPr>
          <w:rFonts w:hint="eastAsia"/>
          <w:color w:val="000000" w:themeColor="text1"/>
        </w:rPr>
        <w:t>液氨</w:t>
      </w:r>
      <w:r>
        <w:rPr>
          <w:color w:val="000000" w:themeColor="text1"/>
        </w:rPr>
        <w:t>储罐下风向</w:t>
      </w:r>
      <w:r>
        <w:rPr>
          <w:color w:val="000000" w:themeColor="text1"/>
        </w:rPr>
        <w:t>395m</w:t>
      </w:r>
      <w:r>
        <w:rPr>
          <w:color w:val="000000" w:themeColor="text1"/>
        </w:rPr>
        <w:t>（超厂界外</w:t>
      </w:r>
      <w:r>
        <w:rPr>
          <w:color w:val="000000" w:themeColor="text1"/>
        </w:rPr>
        <w:t>375m</w:t>
      </w:r>
      <w:r>
        <w:rPr>
          <w:color w:val="000000" w:themeColor="text1"/>
        </w:rPr>
        <w:t>）；</w:t>
      </w:r>
      <w:r>
        <w:rPr>
          <w:rFonts w:hint="eastAsia"/>
          <w:color w:val="000000" w:themeColor="text1"/>
        </w:rPr>
        <w:t>未</w:t>
      </w:r>
      <w:r>
        <w:rPr>
          <w:color w:val="000000" w:themeColor="text1"/>
        </w:rPr>
        <w:t>达到毒性终点浓度</w:t>
      </w:r>
      <w:r>
        <w:rPr>
          <w:color w:val="000000" w:themeColor="text1"/>
        </w:rPr>
        <w:t>-1</w:t>
      </w:r>
      <w:r>
        <w:rPr>
          <w:color w:val="000000" w:themeColor="text1"/>
        </w:rPr>
        <w:t>。</w:t>
      </w:r>
    </w:p>
    <w:p w:rsidR="004E3021" w:rsidRDefault="00606E48">
      <w:pPr>
        <w:ind w:firstLine="480"/>
      </w:pPr>
      <w:r>
        <w:rPr>
          <w:rFonts w:ascii="宋体" w:hAnsi="宋体"/>
        </w:rPr>
        <w:t>评价要求建设单位根据事故当天风向，确定可能受影响的环境敏感点，一旦发生事故应及时通知影响范围内保护对象，确保</w:t>
      </w:r>
      <w:r>
        <w:t>1h</w:t>
      </w:r>
      <w:r>
        <w:rPr>
          <w:rFonts w:ascii="宋体" w:hAnsi="宋体"/>
        </w:rPr>
        <w:t>内将受影响对象疏散撤离至上风向安全区域。制定应急预案，并与园区</w:t>
      </w:r>
      <w:r>
        <w:t>/</w:t>
      </w:r>
      <w:r>
        <w:rPr>
          <w:rFonts w:ascii="宋体" w:hAnsi="宋体"/>
        </w:rPr>
        <w:t>区域应急预案联动，事故状态启动应急监测等工作。</w:t>
      </w:r>
    </w:p>
    <w:p w:rsidR="004E3021" w:rsidRDefault="00606E48">
      <w:pPr>
        <w:ind w:firstLine="480"/>
      </w:pPr>
      <w:r>
        <w:rPr>
          <w:rFonts w:ascii="宋体" w:hAnsi="宋体"/>
        </w:rPr>
        <w:t>（</w:t>
      </w:r>
      <w:r>
        <w:t>4</w:t>
      </w:r>
      <w:r>
        <w:rPr>
          <w:rFonts w:ascii="宋体" w:hAnsi="宋体"/>
        </w:rPr>
        <w:t>）</w:t>
      </w:r>
      <w:r>
        <w:rPr>
          <w:rFonts w:ascii="宋体" w:hAnsi="宋体" w:hint="eastAsia"/>
        </w:rPr>
        <w:t>在企业采取有效的截流、控制措施后，事故废水排入沫冲引河的可能性很小。但如有事故废水及消防尾水进入沫冲引河，企业同时会采取有效的防护措施，及时控制事故，因此，进入沫冲引河的事故废水量很小且短暂，对沫冲引河及下游三铺大沟、淮河的影响在可接受范围内</w:t>
      </w:r>
      <w:r>
        <w:rPr>
          <w:rFonts w:ascii="宋体" w:hAnsi="宋体"/>
        </w:rPr>
        <w:t>。</w:t>
      </w:r>
    </w:p>
    <w:p w:rsidR="004E3021" w:rsidRDefault="00606E48">
      <w:pPr>
        <w:ind w:firstLine="480"/>
      </w:pPr>
      <w:r>
        <w:rPr>
          <w:rFonts w:ascii="宋体" w:hAnsi="宋体"/>
        </w:rPr>
        <w:t>（</w:t>
      </w:r>
      <w:r>
        <w:t>5</w:t>
      </w:r>
      <w:r>
        <w:rPr>
          <w:rFonts w:ascii="宋体" w:hAnsi="宋体"/>
        </w:rPr>
        <w:t>）建设单位从源头控制、分区防渗、跟踪监测和应急响应方面采取了地下水污染控制措施，可最大程度降低地下水环境风险。</w:t>
      </w:r>
    </w:p>
    <w:p w:rsidR="004E3021" w:rsidRDefault="00606E48">
      <w:pPr>
        <w:ind w:firstLine="480"/>
      </w:pPr>
      <w:r>
        <w:rPr>
          <w:rFonts w:ascii="宋体" w:hAnsi="宋体"/>
        </w:rPr>
        <w:lastRenderedPageBreak/>
        <w:t>（</w:t>
      </w:r>
      <w:r>
        <w:t>6</w:t>
      </w:r>
      <w:r>
        <w:rPr>
          <w:rFonts w:ascii="宋体" w:hAnsi="宋体"/>
        </w:rPr>
        <w:t>）由于事故触发因素不确定性，本项目事故情形设定并不能包含全部环境风险，事故情形设定建立在风险识别基础上，通过对代表性事故分析力求为风险管理提供科学依据。</w:t>
      </w:r>
    </w:p>
    <w:p w:rsidR="004E3021" w:rsidRDefault="00606E48">
      <w:pPr>
        <w:ind w:firstLine="480"/>
      </w:pPr>
      <w:r>
        <w:rPr>
          <w:rFonts w:ascii="宋体" w:hAnsi="宋体"/>
        </w:rPr>
        <w:t>综上所述，本评价认为，在有效落实风险防范措施和事故应急预案的前提下，项目环境风险可以防控。</w:t>
      </w:r>
    </w:p>
    <w:p w:rsidR="004E3021" w:rsidRDefault="00606E48">
      <w:pPr>
        <w:pStyle w:val="afffffffffffffffff3"/>
      </w:pPr>
      <w:bookmarkStart w:id="925" w:name="_Toc87977881"/>
      <w:bookmarkStart w:id="926" w:name="_Toc221501134"/>
      <w:bookmarkEnd w:id="925"/>
      <w:r>
        <w:rPr>
          <w:rFonts w:hint="eastAsia"/>
        </w:rPr>
        <w:t>9.</w:t>
      </w:r>
      <w:r>
        <w:t>4</w:t>
      </w:r>
      <w:r>
        <w:rPr>
          <w:rFonts w:hint="eastAsia"/>
        </w:rPr>
        <w:t>环境保护措施</w:t>
      </w:r>
      <w:bookmarkEnd w:id="926"/>
    </w:p>
    <w:p w:rsidR="004E3021" w:rsidRDefault="00606E48">
      <w:pPr>
        <w:pStyle w:val="afffffffffffffffff4"/>
      </w:pPr>
      <w:bookmarkStart w:id="927" w:name="_Toc101135988"/>
      <w:bookmarkStart w:id="928" w:name="_Toc100784155"/>
      <w:bookmarkStart w:id="929" w:name="_Toc108662765"/>
      <w:bookmarkStart w:id="930" w:name="_Toc221088920"/>
      <w:bookmarkStart w:id="931" w:name="_Toc221501135"/>
      <w:r>
        <w:rPr>
          <w:rFonts w:hint="eastAsia"/>
        </w:rPr>
        <w:t>9</w:t>
      </w:r>
      <w:r>
        <w:t>.4.1</w:t>
      </w:r>
      <w:r>
        <w:rPr>
          <w:rFonts w:ascii="黑体" w:hAnsi="黑体" w:hint="eastAsia"/>
        </w:rPr>
        <w:t>废水</w:t>
      </w:r>
      <w:bookmarkEnd w:id="927"/>
      <w:bookmarkEnd w:id="928"/>
      <w:bookmarkEnd w:id="929"/>
      <w:bookmarkEnd w:id="930"/>
      <w:bookmarkEnd w:id="931"/>
    </w:p>
    <w:p w:rsidR="00973949" w:rsidRPr="00D14DE4" w:rsidRDefault="00973949" w:rsidP="00973949">
      <w:pPr>
        <w:pStyle w:val="afffff4"/>
        <w:ind w:firstLine="480"/>
        <w:rPr>
          <w:color w:val="FF0000"/>
        </w:rPr>
      </w:pPr>
      <w:r w:rsidRPr="00D14DE4">
        <w:rPr>
          <w:rFonts w:hint="eastAsia"/>
          <w:color w:val="FF0000"/>
        </w:rPr>
        <w:t>涉及商业机密，已删除</w:t>
      </w:r>
    </w:p>
    <w:p w:rsidR="004E3021" w:rsidRPr="00973949" w:rsidRDefault="004E3021">
      <w:pPr>
        <w:ind w:firstLine="480"/>
        <w:rPr>
          <w:rFonts w:ascii="宋体" w:hAnsi="宋体"/>
        </w:rPr>
      </w:pPr>
    </w:p>
    <w:p w:rsidR="004E3021" w:rsidRDefault="00606E48">
      <w:pPr>
        <w:pStyle w:val="afffffffffffffffff4"/>
      </w:pPr>
      <w:bookmarkStart w:id="932" w:name="_Toc101135989"/>
      <w:bookmarkStart w:id="933" w:name="_Toc108662766"/>
      <w:bookmarkStart w:id="934" w:name="_Toc100784156"/>
      <w:bookmarkStart w:id="935" w:name="_Toc221088921"/>
      <w:bookmarkStart w:id="936" w:name="_Toc221501136"/>
      <w:r>
        <w:rPr>
          <w:rFonts w:hint="eastAsia"/>
        </w:rPr>
        <w:t>9</w:t>
      </w:r>
      <w:r>
        <w:t>.4.2</w:t>
      </w:r>
      <w:r>
        <w:rPr>
          <w:rFonts w:ascii="黑体" w:hAnsi="黑体" w:hint="eastAsia"/>
        </w:rPr>
        <w:t>废气</w:t>
      </w:r>
      <w:bookmarkEnd w:id="932"/>
      <w:bookmarkEnd w:id="933"/>
      <w:bookmarkEnd w:id="934"/>
      <w:bookmarkEnd w:id="935"/>
      <w:bookmarkEnd w:id="936"/>
    </w:p>
    <w:p w:rsidR="00973949" w:rsidRPr="00D14DE4" w:rsidRDefault="00973949" w:rsidP="00973949">
      <w:pPr>
        <w:pStyle w:val="afffff4"/>
        <w:ind w:firstLine="480"/>
        <w:rPr>
          <w:color w:val="FF0000"/>
        </w:rPr>
      </w:pPr>
      <w:bookmarkStart w:id="937" w:name="_Toc100784157"/>
      <w:bookmarkStart w:id="938" w:name="_Toc101135990"/>
      <w:bookmarkStart w:id="939" w:name="_Toc108662767"/>
      <w:r w:rsidRPr="00D14DE4">
        <w:rPr>
          <w:rFonts w:hint="eastAsia"/>
          <w:color w:val="FF0000"/>
        </w:rPr>
        <w:t>涉及商业机密，已删除</w:t>
      </w:r>
    </w:p>
    <w:p w:rsidR="004E3021" w:rsidRPr="00973949" w:rsidRDefault="004E3021">
      <w:pPr>
        <w:ind w:firstLine="480"/>
      </w:pPr>
    </w:p>
    <w:p w:rsidR="004E3021" w:rsidRDefault="00606E48">
      <w:pPr>
        <w:pStyle w:val="afffffffffffffffff4"/>
      </w:pPr>
      <w:bookmarkStart w:id="940" w:name="_Toc221088922"/>
      <w:bookmarkStart w:id="941" w:name="_Toc221501137"/>
      <w:r>
        <w:rPr>
          <w:rFonts w:hint="eastAsia"/>
        </w:rPr>
        <w:t>9</w:t>
      </w:r>
      <w:r>
        <w:t>.4.3</w:t>
      </w:r>
      <w:r>
        <w:rPr>
          <w:rFonts w:ascii="黑体" w:hAnsi="黑体" w:hint="eastAsia"/>
        </w:rPr>
        <w:t>噪声</w:t>
      </w:r>
      <w:bookmarkEnd w:id="937"/>
      <w:bookmarkEnd w:id="938"/>
      <w:bookmarkEnd w:id="939"/>
      <w:bookmarkEnd w:id="940"/>
      <w:bookmarkEnd w:id="941"/>
    </w:p>
    <w:p w:rsidR="004E3021" w:rsidRDefault="000D456E">
      <w:pPr>
        <w:ind w:firstLine="480"/>
      </w:pPr>
      <w:r>
        <w:rPr>
          <w:rFonts w:ascii="宋体" w:hAnsi="宋体" w:hint="eastAsia"/>
        </w:rPr>
        <w:t>本</w:t>
      </w:r>
      <w:r w:rsidR="00606E48">
        <w:rPr>
          <w:rFonts w:ascii="宋体" w:hAnsi="宋体"/>
        </w:rPr>
        <w:t>项目主要噪声源为</w:t>
      </w:r>
      <w:r w:rsidR="00606E48">
        <w:rPr>
          <w:rFonts w:hint="eastAsia"/>
          <w:color w:val="000000" w:themeColor="text1"/>
        </w:rPr>
        <w:t>泵机、空压机</w:t>
      </w:r>
      <w:r w:rsidR="00606E48">
        <w:rPr>
          <w:color w:val="000000" w:themeColor="text1"/>
        </w:rPr>
        <w:t>、</w:t>
      </w:r>
      <w:r w:rsidR="00606E48">
        <w:rPr>
          <w:rFonts w:hint="eastAsia"/>
          <w:color w:val="000000" w:themeColor="text1"/>
        </w:rPr>
        <w:t>风</w:t>
      </w:r>
      <w:r w:rsidR="00606E48">
        <w:rPr>
          <w:color w:val="000000" w:themeColor="text1"/>
        </w:rPr>
        <w:t>机</w:t>
      </w:r>
      <w:r w:rsidR="00606E48">
        <w:rPr>
          <w:rFonts w:ascii="宋体" w:hAnsi="宋体"/>
        </w:rPr>
        <w:t>等，其源强为</w:t>
      </w:r>
      <w:r w:rsidR="00606E48">
        <w:rPr>
          <w:color w:val="000000" w:themeColor="text1"/>
        </w:rPr>
        <w:t>80~95</w:t>
      </w:r>
      <w:r w:rsidR="00606E48">
        <w:t>dB</w:t>
      </w:r>
      <w:r w:rsidR="00606E48">
        <w:rPr>
          <w:rFonts w:ascii="宋体" w:hAnsi="宋体"/>
        </w:rPr>
        <w:t>（</w:t>
      </w:r>
      <w:r w:rsidR="00606E48">
        <w:t>A</w:t>
      </w:r>
      <w:r w:rsidR="00606E48">
        <w:rPr>
          <w:rFonts w:ascii="宋体" w:hAnsi="宋体"/>
        </w:rPr>
        <w:t>），采用了相应的隔声减振措施，降噪效果较好，对周围环境影响在可接受范围内。</w:t>
      </w:r>
    </w:p>
    <w:p w:rsidR="004E3021" w:rsidRDefault="00606E48">
      <w:pPr>
        <w:pStyle w:val="afffffffffffffffff4"/>
      </w:pPr>
      <w:bookmarkStart w:id="942" w:name="_Toc108662768"/>
      <w:bookmarkStart w:id="943" w:name="_Toc101135991"/>
      <w:bookmarkStart w:id="944" w:name="_Toc100784158"/>
      <w:bookmarkStart w:id="945" w:name="_Toc221088923"/>
      <w:bookmarkStart w:id="946" w:name="_Toc221501138"/>
      <w:r>
        <w:rPr>
          <w:rFonts w:hint="eastAsia"/>
        </w:rPr>
        <w:t>9</w:t>
      </w:r>
      <w:r>
        <w:t>.4.4</w:t>
      </w:r>
      <w:r>
        <w:rPr>
          <w:rFonts w:ascii="黑体" w:hAnsi="黑体" w:hint="eastAsia"/>
        </w:rPr>
        <w:t>固体废物</w:t>
      </w:r>
      <w:bookmarkEnd w:id="942"/>
      <w:bookmarkEnd w:id="943"/>
      <w:bookmarkEnd w:id="944"/>
      <w:bookmarkEnd w:id="945"/>
      <w:bookmarkEnd w:id="946"/>
    </w:p>
    <w:p w:rsidR="008F1E20" w:rsidRPr="00D14DE4" w:rsidRDefault="008F1E20" w:rsidP="008F1E20">
      <w:pPr>
        <w:pStyle w:val="afffff4"/>
        <w:ind w:firstLine="480"/>
        <w:rPr>
          <w:color w:val="FF0000"/>
        </w:rPr>
      </w:pPr>
      <w:r w:rsidRPr="00D14DE4">
        <w:rPr>
          <w:rFonts w:hint="eastAsia"/>
          <w:color w:val="FF0000"/>
        </w:rPr>
        <w:t>涉及商业机密，已删除</w:t>
      </w:r>
    </w:p>
    <w:p w:rsidR="004E3021" w:rsidRPr="008F1E20" w:rsidRDefault="004E3021">
      <w:pPr>
        <w:ind w:firstLine="480"/>
      </w:pPr>
    </w:p>
    <w:p w:rsidR="004E3021" w:rsidRDefault="00606E48">
      <w:pPr>
        <w:pStyle w:val="afffffffffffffffff4"/>
      </w:pPr>
      <w:bookmarkStart w:id="947" w:name="_Toc101135992"/>
      <w:bookmarkStart w:id="948" w:name="_Toc100784159"/>
      <w:bookmarkStart w:id="949" w:name="_Toc108662769"/>
      <w:bookmarkStart w:id="950" w:name="_Toc221088924"/>
      <w:bookmarkStart w:id="951" w:name="_Toc221501139"/>
      <w:r>
        <w:rPr>
          <w:rFonts w:hint="eastAsia"/>
        </w:rPr>
        <w:t>9</w:t>
      </w:r>
      <w:r>
        <w:t>.4.5</w:t>
      </w:r>
      <w:r>
        <w:rPr>
          <w:rFonts w:ascii="黑体" w:hAnsi="黑体" w:hint="eastAsia"/>
        </w:rPr>
        <w:t>地下水</w:t>
      </w:r>
      <w:r>
        <w:rPr>
          <w:rFonts w:ascii="黑体" w:hAnsi="黑体"/>
        </w:rPr>
        <w:t>及土壤</w:t>
      </w:r>
      <w:bookmarkEnd w:id="947"/>
      <w:bookmarkEnd w:id="948"/>
      <w:bookmarkEnd w:id="949"/>
      <w:bookmarkEnd w:id="950"/>
      <w:bookmarkEnd w:id="951"/>
    </w:p>
    <w:p w:rsidR="004E3021" w:rsidRDefault="00606E48">
      <w:pPr>
        <w:ind w:firstLine="480"/>
      </w:pPr>
      <w:r>
        <w:rPr>
          <w:rFonts w:ascii="宋体" w:hAnsi="宋体" w:hint="eastAsia"/>
        </w:rPr>
        <w:t>厂区实行</w:t>
      </w:r>
      <w:r>
        <w:rPr>
          <w:rFonts w:ascii="宋体" w:hAnsi="宋体"/>
        </w:rPr>
        <w:t>分区防渗，</w:t>
      </w:r>
      <w:r>
        <w:rPr>
          <w:rFonts w:ascii="宋体" w:hAnsi="宋体" w:hint="eastAsia"/>
        </w:rPr>
        <w:t>项目将装置区</w:t>
      </w:r>
      <w:r>
        <w:rPr>
          <w:rFonts w:ascii="宋体" w:hAnsi="宋体"/>
        </w:rPr>
        <w:t>、</w:t>
      </w:r>
      <w:r w:rsidR="000D456E" w:rsidRPr="000D456E">
        <w:rPr>
          <w:rFonts w:ascii="宋体" w:hAnsi="宋体"/>
        </w:rPr>
        <w:t>合成精馏偶联剂</w:t>
      </w:r>
      <w:r>
        <w:rPr>
          <w:rFonts w:ascii="宋体" w:hAnsi="宋体"/>
        </w:rPr>
        <w:t>生产车间、污水处理</w:t>
      </w:r>
      <w:r>
        <w:rPr>
          <w:rFonts w:ascii="宋体" w:hAnsi="宋体" w:hint="eastAsia"/>
        </w:rPr>
        <w:t>站</w:t>
      </w:r>
      <w:r>
        <w:rPr>
          <w:rFonts w:ascii="宋体" w:hAnsi="宋体"/>
        </w:rPr>
        <w:t>、事故水池、初期雨水池</w:t>
      </w:r>
      <w:r>
        <w:rPr>
          <w:rFonts w:ascii="宋体" w:hAnsi="宋体" w:hint="eastAsia"/>
        </w:rPr>
        <w:t>、危废库</w:t>
      </w:r>
      <w:r>
        <w:rPr>
          <w:rFonts w:ascii="宋体" w:hAnsi="宋体"/>
        </w:rPr>
        <w:t>、</w:t>
      </w:r>
      <w:r>
        <w:rPr>
          <w:rFonts w:ascii="宋体" w:hAnsi="宋体" w:hint="eastAsia"/>
        </w:rPr>
        <w:t>原料</w:t>
      </w:r>
      <w:r>
        <w:rPr>
          <w:rFonts w:ascii="宋体" w:hAnsi="宋体"/>
        </w:rPr>
        <w:t>库</w:t>
      </w:r>
      <w:r>
        <w:rPr>
          <w:rFonts w:ascii="宋体" w:hAnsi="宋体" w:hint="eastAsia"/>
        </w:rPr>
        <w:t>、</w:t>
      </w:r>
      <w:r>
        <w:rPr>
          <w:rFonts w:ascii="宋体" w:hAnsi="宋体"/>
        </w:rPr>
        <w:t>成品库、污泥库</w:t>
      </w:r>
      <w:r>
        <w:rPr>
          <w:rFonts w:ascii="宋体" w:hAnsi="宋体" w:hint="eastAsia"/>
        </w:rPr>
        <w:t>和</w:t>
      </w:r>
      <w:r>
        <w:rPr>
          <w:rFonts w:ascii="宋体" w:hAnsi="宋体"/>
        </w:rPr>
        <w:t>罐区</w:t>
      </w:r>
      <w:r>
        <w:rPr>
          <w:rFonts w:ascii="宋体" w:hAnsi="宋体" w:hint="eastAsia"/>
        </w:rPr>
        <w:t>等</w:t>
      </w:r>
      <w:r>
        <w:rPr>
          <w:rFonts w:ascii="宋体" w:hAnsi="宋体"/>
        </w:rPr>
        <w:t>划</w:t>
      </w:r>
      <w:r>
        <w:rPr>
          <w:rFonts w:ascii="宋体" w:hAnsi="宋体" w:hint="eastAsia"/>
        </w:rPr>
        <w:t>为重点防渗区</w:t>
      </w:r>
      <w:r w:rsidRPr="000D456E">
        <w:t>，</w:t>
      </w:r>
      <w:r w:rsidR="000D456E" w:rsidRPr="000D456E">
        <w:t>防渗层为至少</w:t>
      </w:r>
      <w:r w:rsidR="000D456E" w:rsidRPr="000D456E">
        <w:t>1m</w:t>
      </w:r>
      <w:r w:rsidR="000D456E" w:rsidRPr="000D456E">
        <w:t>厚黏土层</w:t>
      </w:r>
      <w:r w:rsidR="000D456E" w:rsidRPr="000D456E">
        <w:t>(</w:t>
      </w:r>
      <w:r w:rsidR="000D456E" w:rsidRPr="000D456E">
        <w:t>渗透系数不大于</w:t>
      </w:r>
      <w:r w:rsidR="000D456E" w:rsidRPr="000D456E">
        <w:t xml:space="preserve"> 10</w:t>
      </w:r>
      <w:r w:rsidR="000D456E" w:rsidRPr="000D456E">
        <w:rPr>
          <w:vertAlign w:val="superscript"/>
        </w:rPr>
        <w:t>-7</w:t>
      </w:r>
      <w:r w:rsidR="000D456E" w:rsidRPr="000D456E">
        <w:t>cm/s)</w:t>
      </w:r>
      <w:r w:rsidR="000D456E" w:rsidRPr="000D456E">
        <w:t>，或至少</w:t>
      </w:r>
      <w:r w:rsidR="000D456E" w:rsidRPr="000D456E">
        <w:t xml:space="preserve">2mm </w:t>
      </w:r>
      <w:r w:rsidR="000D456E" w:rsidRPr="000D456E">
        <w:t>厚高密度聚乙烯膜等人工防渗材料</w:t>
      </w:r>
      <w:r w:rsidR="000D456E" w:rsidRPr="000D456E">
        <w:t>(</w:t>
      </w:r>
      <w:r w:rsidR="000D456E" w:rsidRPr="000D456E">
        <w:t>渗透系数不大于</w:t>
      </w:r>
      <w:r w:rsidR="000D456E" w:rsidRPr="000D456E">
        <w:t xml:space="preserve"> 10</w:t>
      </w:r>
      <w:r w:rsidR="000D456E" w:rsidRPr="000D456E">
        <w:rPr>
          <w:vertAlign w:val="superscript"/>
        </w:rPr>
        <w:t>-10</w:t>
      </w:r>
      <w:r w:rsidR="000D456E" w:rsidRPr="000D456E">
        <w:t xml:space="preserve"> cm/s)</w:t>
      </w:r>
      <w:r w:rsidR="000D456E" w:rsidRPr="000D456E">
        <w:t>，或其他防渗性能等效的材料</w:t>
      </w:r>
      <w:r>
        <w:rPr>
          <w:rFonts w:ascii="宋体" w:hAnsi="宋体" w:hint="eastAsia"/>
        </w:rPr>
        <w:t>；将</w:t>
      </w:r>
      <w:r w:rsidR="000D456E" w:rsidRPr="000D456E">
        <w:rPr>
          <w:rFonts w:ascii="宋体" w:hAnsi="宋体" w:hint="eastAsia"/>
        </w:rPr>
        <w:t>硅粉</w:t>
      </w:r>
      <w:r w:rsidR="000D456E" w:rsidRPr="000D456E">
        <w:rPr>
          <w:rFonts w:ascii="宋体" w:hAnsi="宋体"/>
        </w:rPr>
        <w:t>车间</w:t>
      </w:r>
      <w:r w:rsidR="000D456E" w:rsidRPr="000D456E">
        <w:rPr>
          <w:rFonts w:ascii="宋体" w:hAnsi="宋体" w:hint="eastAsia"/>
        </w:rPr>
        <w:t>、乙炔</w:t>
      </w:r>
      <w:r w:rsidR="000D456E" w:rsidRPr="000D456E">
        <w:rPr>
          <w:rFonts w:ascii="宋体" w:hAnsi="宋体"/>
        </w:rPr>
        <w:t>车间</w:t>
      </w:r>
      <w:r w:rsidR="000D456E" w:rsidRPr="000D456E">
        <w:rPr>
          <w:rFonts w:ascii="宋体" w:hAnsi="宋体" w:hint="eastAsia"/>
        </w:rPr>
        <w:t>、</w:t>
      </w:r>
      <w:r>
        <w:rPr>
          <w:rFonts w:ascii="宋体" w:hAnsi="宋体" w:hint="eastAsia"/>
        </w:rPr>
        <w:t>辅助</w:t>
      </w:r>
      <w:r>
        <w:rPr>
          <w:rFonts w:ascii="宋体" w:hAnsi="宋体"/>
        </w:rPr>
        <w:t>工程区等</w:t>
      </w:r>
      <w:r>
        <w:rPr>
          <w:rFonts w:ascii="宋体" w:hAnsi="宋体" w:hint="eastAsia"/>
        </w:rPr>
        <w:t>划为一般防渗区，</w:t>
      </w:r>
      <w:r w:rsidR="000D456E" w:rsidRPr="000D456E">
        <w:rPr>
          <w:kern w:val="0"/>
        </w:rPr>
        <w:t>等效黏土防渗层</w:t>
      </w:r>
      <w:r w:rsidR="000D456E" w:rsidRPr="000D456E">
        <w:rPr>
          <w:kern w:val="0"/>
        </w:rPr>
        <w:t>Mb≥1.5m</w:t>
      </w:r>
      <w:r w:rsidR="000D456E" w:rsidRPr="000D456E">
        <w:rPr>
          <w:kern w:val="0"/>
        </w:rPr>
        <w:t>，</w:t>
      </w:r>
      <w:r w:rsidR="000D456E" w:rsidRPr="000D456E">
        <w:rPr>
          <w:kern w:val="0"/>
        </w:rPr>
        <w:t>K≤1×10</w:t>
      </w:r>
      <w:r w:rsidR="000D456E" w:rsidRPr="000D456E">
        <w:rPr>
          <w:kern w:val="0"/>
          <w:vertAlign w:val="superscript"/>
        </w:rPr>
        <w:t>-7</w:t>
      </w:r>
      <w:r w:rsidR="000D456E" w:rsidRPr="000D456E">
        <w:rPr>
          <w:kern w:val="0"/>
        </w:rPr>
        <w:t>cm/s</w:t>
      </w:r>
      <w:r w:rsidR="000D456E" w:rsidRPr="000D456E">
        <w:rPr>
          <w:kern w:val="0"/>
        </w:rPr>
        <w:t>；</w:t>
      </w:r>
      <w:r w:rsidR="000D456E" w:rsidRPr="000D456E">
        <w:rPr>
          <w:kern w:val="0"/>
        </w:rPr>
        <w:lastRenderedPageBreak/>
        <w:t>或参照</w:t>
      </w:r>
      <w:r w:rsidR="000D456E" w:rsidRPr="000D456E">
        <w:rPr>
          <w:kern w:val="0"/>
        </w:rPr>
        <w:t>GB18598</w:t>
      </w:r>
      <w:r w:rsidR="000D456E" w:rsidRPr="000D456E">
        <w:rPr>
          <w:kern w:val="0"/>
        </w:rPr>
        <w:t>执行</w:t>
      </w:r>
      <w:r>
        <w:rPr>
          <w:rFonts w:ascii="宋体" w:hAnsi="宋体" w:hint="eastAsia"/>
        </w:rPr>
        <w:t>。</w:t>
      </w:r>
    </w:p>
    <w:p w:rsidR="004E3021" w:rsidRDefault="00606E48">
      <w:pPr>
        <w:pStyle w:val="afffffffffffffffff3"/>
      </w:pPr>
      <w:bookmarkStart w:id="952" w:name="_Toc221501140"/>
      <w:r>
        <w:rPr>
          <w:rFonts w:hint="eastAsia"/>
        </w:rPr>
        <w:t>9.</w:t>
      </w:r>
      <w:r>
        <w:t>5</w:t>
      </w:r>
      <w:r>
        <w:rPr>
          <w:rFonts w:hint="eastAsia"/>
        </w:rPr>
        <w:t>公众意见</w:t>
      </w:r>
      <w:r>
        <w:t>采纳情况</w:t>
      </w:r>
      <w:bookmarkEnd w:id="952"/>
    </w:p>
    <w:p w:rsidR="000D456E" w:rsidRDefault="000D456E" w:rsidP="000D456E">
      <w:pPr>
        <w:ind w:firstLine="480"/>
      </w:pPr>
      <w:r>
        <w:rPr>
          <w:rFonts w:hint="eastAsia"/>
        </w:rPr>
        <w:t>根据《</w:t>
      </w:r>
      <w:r>
        <w:t>安徽凯盛</w:t>
      </w:r>
      <w:r>
        <w:rPr>
          <w:rFonts w:hint="eastAsia"/>
        </w:rPr>
        <w:t>应用</w:t>
      </w:r>
      <w:r>
        <w:t>材料</w:t>
      </w:r>
      <w:r>
        <w:rPr>
          <w:rFonts w:hint="eastAsia"/>
        </w:rPr>
        <w:t>有限</w:t>
      </w:r>
      <w:r>
        <w:t>公司</w:t>
      </w:r>
      <w:r>
        <w:rPr>
          <w:rFonts w:hint="eastAsia"/>
        </w:rPr>
        <w:t>年产</w:t>
      </w:r>
      <w:r>
        <w:rPr>
          <w:rFonts w:hint="eastAsia"/>
        </w:rPr>
        <w:t>7000</w:t>
      </w:r>
      <w:r>
        <w:rPr>
          <w:rFonts w:hint="eastAsia"/>
        </w:rPr>
        <w:t>吨硅基新材料技改</w:t>
      </w:r>
      <w:r>
        <w:rPr>
          <w:rFonts w:hint="eastAsia"/>
        </w:rPr>
        <w:t>/</w:t>
      </w:r>
      <w:r>
        <w:rPr>
          <w:rFonts w:hint="eastAsia"/>
        </w:rPr>
        <w:t>扩建项目公众参与说明》，建设单位以网络公示、现场公示、登报公示相结合的方式，广泛征求意见。在</w:t>
      </w:r>
      <w:r>
        <w:t>项目环境影响评价一次公示、环境影响报告书征求意见稿全文网络公示</w:t>
      </w:r>
      <w:r>
        <w:rPr>
          <w:rFonts w:hint="eastAsia"/>
        </w:rPr>
        <w:t>、</w:t>
      </w:r>
      <w:r>
        <w:t>现场公示、登报公示</w:t>
      </w:r>
      <w:r>
        <w:rPr>
          <w:rFonts w:hint="eastAsia"/>
        </w:rPr>
        <w:t>及全文本公示</w:t>
      </w:r>
      <w:r>
        <w:t>期间均未收到群众的</w:t>
      </w:r>
      <w:r>
        <w:rPr>
          <w:rFonts w:hint="eastAsia"/>
        </w:rPr>
        <w:t>反馈</w:t>
      </w:r>
      <w:r>
        <w:t>意见。</w:t>
      </w:r>
    </w:p>
    <w:p w:rsidR="004E3021" w:rsidRDefault="00606E48">
      <w:pPr>
        <w:pStyle w:val="afffffffffffffffff3"/>
        <w:rPr>
          <w:color w:val="000000" w:themeColor="text1"/>
        </w:rPr>
      </w:pPr>
      <w:bookmarkStart w:id="953" w:name="_Toc87977883"/>
      <w:bookmarkStart w:id="954" w:name="_Toc87977882"/>
      <w:bookmarkStart w:id="955" w:name="_Toc221501141"/>
      <w:bookmarkEnd w:id="953"/>
      <w:bookmarkEnd w:id="954"/>
      <w:r>
        <w:t>9.6</w:t>
      </w:r>
      <w:r>
        <w:rPr>
          <w:rFonts w:ascii="黑体" w:hAnsi="黑体" w:hint="eastAsia"/>
        </w:rPr>
        <w:t>总量控制</w:t>
      </w:r>
      <w:bookmarkEnd w:id="955"/>
    </w:p>
    <w:p w:rsidR="008F1E20" w:rsidRPr="00D14DE4" w:rsidRDefault="008F1E20" w:rsidP="008F1E20">
      <w:pPr>
        <w:pStyle w:val="afffff4"/>
        <w:ind w:firstLine="480"/>
        <w:rPr>
          <w:color w:val="FF0000"/>
        </w:rPr>
      </w:pPr>
      <w:r w:rsidRPr="00D14DE4">
        <w:rPr>
          <w:rFonts w:hint="eastAsia"/>
          <w:color w:val="FF0000"/>
        </w:rPr>
        <w:t>涉及商业机密，已删除</w:t>
      </w:r>
    </w:p>
    <w:p w:rsidR="00506171" w:rsidRPr="008F1E20" w:rsidRDefault="00506171" w:rsidP="00506171">
      <w:pPr>
        <w:pStyle w:val="a0"/>
        <w:ind w:firstLine="480"/>
      </w:pPr>
    </w:p>
    <w:p w:rsidR="004E3021" w:rsidRDefault="00606E48">
      <w:pPr>
        <w:pStyle w:val="afffffffffffffffff3"/>
      </w:pPr>
      <w:bookmarkStart w:id="956" w:name="_Toc87977884"/>
      <w:bookmarkStart w:id="957" w:name="_Toc221501142"/>
      <w:bookmarkEnd w:id="956"/>
      <w:r>
        <w:rPr>
          <w:rFonts w:hint="eastAsia"/>
        </w:rPr>
        <w:t>9.</w:t>
      </w:r>
      <w:r>
        <w:t>7</w:t>
      </w:r>
      <w:r>
        <w:rPr>
          <w:rFonts w:hint="eastAsia"/>
        </w:rPr>
        <w:t>评价总结论</w:t>
      </w:r>
      <w:bookmarkEnd w:id="957"/>
    </w:p>
    <w:p w:rsidR="004E3021" w:rsidRDefault="000D456E">
      <w:pPr>
        <w:ind w:firstLine="500"/>
      </w:pPr>
      <w:r>
        <w:rPr>
          <w:spacing w:val="5"/>
        </w:rPr>
        <w:t>通过调查、分析和综合评价后认为：</w:t>
      </w:r>
      <w:r>
        <w:rPr>
          <w:rFonts w:hint="eastAsia"/>
          <w:spacing w:val="5"/>
        </w:rPr>
        <w:t>本</w:t>
      </w:r>
      <w:r>
        <w:rPr>
          <w:spacing w:val="5"/>
        </w:rPr>
        <w:t>项目符合国家和地方有关环境保护法律法规、标准、政策、规范及相关规划要求；生产过程中遵循清洁生产理念，所采用的各项污染防治措施技术可行、经济合理，能保证各类污染物长期稳定达标排放；预测结果表明项目所排放的污染物对周围环境和环境保护目标影响较小，对区域环境影响可接受；通过采取有针对性的风险防范措施并落实应急预案，项目的环境风险可控。建设单位按照《环境影响评价公众参与办法》开展了公众参与调查，公示期间未收到反馈意见。综上所述，在落实本报告书中的各项环保措施以及各级生态环境主管部门管理要求的前提下，从环保角度分析，</w:t>
      </w:r>
      <w:r w:rsidR="00506171">
        <w:rPr>
          <w:rFonts w:hint="eastAsia"/>
          <w:spacing w:val="5"/>
        </w:rPr>
        <w:t>本</w:t>
      </w:r>
      <w:r>
        <w:rPr>
          <w:spacing w:val="5"/>
        </w:rPr>
        <w:t>项目的建设具有环境可行性</w:t>
      </w:r>
      <w:r>
        <w:rPr>
          <w:rFonts w:hint="eastAsia"/>
          <w:spacing w:val="5"/>
        </w:rPr>
        <w:t>。</w:t>
      </w:r>
    </w:p>
    <w:sectPr w:rsidR="004E3021">
      <w:pgSz w:w="11907" w:h="16839"/>
      <w:pgMar w:top="1440" w:right="1440" w:bottom="1440" w:left="144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8730B" w:rsidRDefault="00E8730B">
      <w:pPr>
        <w:spacing w:line="240" w:lineRule="auto"/>
        <w:ind w:firstLine="480"/>
      </w:pPr>
      <w:r>
        <w:separator/>
      </w:r>
    </w:p>
  </w:endnote>
  <w:endnote w:type="continuationSeparator" w:id="0">
    <w:p w:rsidR="00E8730B" w:rsidRDefault="00E8730B">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仿宋_GB2312">
    <w:altName w:val="仿宋"/>
    <w:charset w:val="86"/>
    <w:family w:val="modern"/>
    <w:pitch w:val="default"/>
    <w:sig w:usb0="00000000" w:usb1="00000000" w:usb2="00000010" w:usb3="00000000" w:csb0="00040000"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华文楷体">
    <w:panose1 w:val="02010600040101010101"/>
    <w:charset w:val="86"/>
    <w:family w:val="auto"/>
    <w:pitch w:val="variable"/>
    <w:sig w:usb0="00000287" w:usb1="080F0000" w:usb2="00000010" w:usb3="00000000" w:csb0="0004009F" w:csb1="00000000"/>
  </w:font>
  <w:font w:name="Swis721 BlkCn BT">
    <w:panose1 w:val="020B0806030502040204"/>
    <w:charset w:val="00"/>
    <w:family w:val="swiss"/>
    <w:pitch w:val="variable"/>
    <w:sig w:usb0="00000087" w:usb1="00000000" w:usb2="00000000" w:usb3="00000000" w:csb0="0000001B" w:csb1="00000000"/>
  </w:font>
  <w:font w:name="方正大黑简体">
    <w:altName w:val="黑体"/>
    <w:charset w:val="86"/>
    <w:family w:val="script"/>
    <w:pitch w:val="default"/>
    <w:sig w:usb0="00000001" w:usb1="080E0000" w:usb2="00000010" w:usb3="00000000" w:csb0="00040000" w:csb1="00000000"/>
  </w:font>
  <w:font w:name="Arial Black">
    <w:panose1 w:val="020B0A04020102020204"/>
    <w:charset w:val="00"/>
    <w:family w:val="swiss"/>
    <w:pitch w:val="variable"/>
    <w:sig w:usb0="A00002AF" w:usb1="400078FB" w:usb2="00000000" w:usb3="00000000" w:csb0="0000009F" w:csb1="00000000"/>
  </w:font>
  <w:font w:name="楷体_GB2312">
    <w:altName w:val="楷体"/>
    <w:charset w:val="86"/>
    <w:family w:val="swiss"/>
    <w:pitch w:val="default"/>
    <w:sig w:usb0="00000000" w:usb1="080E0000" w:usb2="00000000" w:usb3="00000000" w:csb0="00040000" w:csb1="00000000"/>
  </w:font>
  <w:font w:name="Courier New">
    <w:panose1 w:val="02070309020205020404"/>
    <w:charset w:val="00"/>
    <w:family w:val="modern"/>
    <w:pitch w:val="fixed"/>
    <w:sig w:usb0="E0002EFF" w:usb1="C0007843" w:usb2="00000009" w:usb3="00000000" w:csb0="000001FF" w:csb1="00000000"/>
  </w:font>
  <w:font w:name="DFKai-SB">
    <w:altName w:val="Microsoft JhengHei Light"/>
    <w:charset w:val="88"/>
    <w:family w:val="script"/>
    <w:pitch w:val="fixed"/>
    <w:sig w:usb0="00000003" w:usb1="080E0000" w:usb2="00000016" w:usb3="00000000" w:csb0="00100001" w:csb1="00000000"/>
  </w:font>
  <w:font w:name="Cambria">
    <w:panose1 w:val="02040503050406030204"/>
    <w:charset w:val="00"/>
    <w:family w:val="roman"/>
    <w:pitch w:val="variable"/>
    <w:sig w:usb0="E00006FF" w:usb1="420024FF" w:usb2="02000000" w:usb3="00000000" w:csb0="0000019F" w:csb1="00000000"/>
  </w:font>
  <w:font w:name="楷体">
    <w:panose1 w:val="02010609060101010101"/>
    <w:charset w:val="86"/>
    <w:family w:val="modern"/>
    <w:pitch w:val="fixed"/>
    <w:sig w:usb0="800002BF" w:usb1="38CF7CFA" w:usb2="00000016" w:usb3="00000000" w:csb0="00040001" w:csb1="00000000"/>
  </w:font>
  <w:font w:name="仿宋体">
    <w:altName w:val="宋体"/>
    <w:charset w:val="86"/>
    <w:family w:val="roman"/>
    <w:pitch w:val="default"/>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幼圆">
    <w:panose1 w:val="02010509060101010101"/>
    <w:charset w:val="86"/>
    <w:family w:val="modern"/>
    <w:pitch w:val="fixed"/>
    <w:sig w:usb0="00000001" w:usb1="080E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方正小标宋_GBK">
    <w:altName w:val="微软雅黑"/>
    <w:panose1 w:val="00000000000000000000"/>
    <w:charset w:val="86"/>
    <w:family w:val="roman"/>
    <w:notTrueType/>
    <w:pitch w:val="default"/>
  </w:font>
  <w:font w:name="华文细黑">
    <w:panose1 w:val="02010600040101010101"/>
    <w:charset w:val="86"/>
    <w:family w:val="auto"/>
    <w:pitch w:val="variable"/>
    <w:sig w:usb0="00000287" w:usb1="080F0000" w:usb2="00000010" w:usb3="00000000" w:csb0="0004009F" w:csb1="00000000"/>
  </w:font>
  <w:font w:name="PMingLiU">
    <w:altName w:val="新細明體"/>
    <w:panose1 w:val="02010601000101010101"/>
    <w:charset w:val="88"/>
    <w:family w:val="roman"/>
    <w:pitch w:val="variable"/>
    <w:sig w:usb0="A00002FF" w:usb1="28CFFCFA" w:usb2="00000016" w:usb3="00000000" w:csb0="00100001" w:csb1="00000000"/>
  </w:font>
  <w:font w:name="MingLiU">
    <w:altName w:val="細明體"/>
    <w:panose1 w:val="02010609000101010101"/>
    <w:charset w:val="88"/>
    <w:family w:val="modern"/>
    <w:pitch w:val="fixed"/>
    <w:sig w:usb0="A00002FF" w:usb1="28CFFCFA" w:usb2="00000016" w:usb3="00000000" w:csb0="00100001" w:csb1="00000000"/>
  </w:font>
  <w:font w:name="华文仿宋">
    <w:panose1 w:val="02010600040101010101"/>
    <w:charset w:val="86"/>
    <w:family w:val="auto"/>
    <w:pitch w:val="variable"/>
    <w:sig w:usb0="00000287" w:usb1="080F0000" w:usb2="00000010" w:usb3="00000000" w:csb0="0004009F" w:csb1="00000000"/>
  </w:font>
  <w:font w:name="..">
    <w:altName w:val="黑体"/>
    <w:charset w:val="86"/>
    <w:family w:val="auto"/>
    <w:pitch w:val="default"/>
    <w:sig w:usb0="00000000" w:usb1="00000000" w:usb2="00000010" w:usb3="00000000" w:csb0="00040000" w:csb1="00000000"/>
  </w:font>
  <w:font w:name="Arial Unicode MS">
    <w:altName w:val="Malgun Gothic Semilight"/>
    <w:panose1 w:val="020B0604020202020204"/>
    <w:charset w:val="86"/>
    <w:family w:val="swiss"/>
    <w:pitch w:val="variable"/>
    <w:sig w:usb0="00000000" w:usb1="E9DFFFFF" w:usb2="0000003F" w:usb3="00000000" w:csb0="001F00FF" w:csb1="00000000"/>
  </w:font>
  <w:font w:name="Verdana">
    <w:panose1 w:val="020B0604030504040204"/>
    <w:charset w:val="00"/>
    <w:family w:val="swiss"/>
    <w:pitch w:val="variable"/>
    <w:sig w:usb0="A00006FF" w:usb1="4000205B" w:usb2="00000010" w:usb3="00000000" w:csb0="0000019F" w:csb1="00000000"/>
  </w:font>
  <w:font w:name="仿宋">
    <w:panose1 w:val="02010609060101010101"/>
    <w:charset w:val="86"/>
    <w:family w:val="modern"/>
    <w:pitch w:val="fixed"/>
    <w:sig w:usb0="800002BF" w:usb1="38CF7CFA" w:usb2="00000016" w:usb3="00000000" w:csb0="00040001" w:csb1="00000000"/>
  </w:font>
  <w:font w:name="ˎ̥">
    <w:altName w:val="Times New Roman"/>
    <w:panose1 w:val="00000000000000000000"/>
    <w:charset w:val="00"/>
    <w:family w:val="roman"/>
    <w:notTrueType/>
    <w:pitch w:val="default"/>
  </w:font>
  <w:font w:name="华文宋体">
    <w:panose1 w:val="02010600040101010101"/>
    <w:charset w:val="86"/>
    <w:family w:val="auto"/>
    <w:pitch w:val="variable"/>
    <w:sig w:usb0="00000287" w:usb1="080F0000" w:usb2="00000010" w:usb3="00000000" w:csb0="0004009F" w:csb1="00000000"/>
  </w:font>
  <w:font w:name="方正仿宋_GBK">
    <w:altName w:val="微软雅黑"/>
    <w:panose1 w:val="00000000000000000000"/>
    <w:charset w:val="86"/>
    <w:family w:val="roman"/>
    <w:notTrueType/>
    <w:pitch w:val="default"/>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新宋体">
    <w:panose1 w:val="02010609030101010101"/>
    <w:charset w:val="86"/>
    <w:family w:val="modern"/>
    <w:pitch w:val="fixed"/>
    <w:sig w:usb0="00000203" w:usb1="288F0000" w:usb2="00000016" w:usb3="00000000" w:csb0="00040001" w:csb1="00000000"/>
  </w:font>
  <w:font w:name="Times New Roman;Symbol;Arial;婼">
    <w:altName w:val="黑体"/>
    <w:charset w:val="86"/>
    <w:family w:val="auto"/>
    <w:pitch w:val="default"/>
    <w:sig w:usb0="00000000" w:usb1="00000000" w:usb2="00000010" w:usb3="00000000" w:csb0="00040000" w:csb1="00000000"/>
  </w:font>
  <w:font w:name="Batang">
    <w:altName w:val="바탕"/>
    <w:panose1 w:val="02030600000101010101"/>
    <w:charset w:val="81"/>
    <w:family w:val="roman"/>
    <w:pitch w:val="variable"/>
    <w:sig w:usb0="B00002AF" w:usb1="69D77CFB" w:usb2="00000030" w:usb3="00000000" w:csb0="0008009F" w:csb1="00000000"/>
  </w:font>
  <w:font w:name="Tms Rmn">
    <w:panose1 w:val="02020603040505020304"/>
    <w:charset w:val="00"/>
    <w:family w:val="roman"/>
    <w:notTrueType/>
    <w:pitch w:val="variable"/>
    <w:sig w:usb0="00000003" w:usb1="00000000" w:usb2="00000000" w:usb3="00000000" w:csb0="00000001" w:csb1="00000000"/>
  </w:font>
  <w:font w:name="汉鼎简书宋">
    <w:altName w:val="宋体"/>
    <w:charset w:val="86"/>
    <w:family w:val="modern"/>
    <w:pitch w:val="default"/>
    <w:sig w:usb0="00000000" w:usb1="00000000" w:usb2="00000010" w:usb3="00000000" w:csb0="00040000" w:csb1="00000000"/>
  </w:font>
  <w:font w:name="华文行楷">
    <w:panose1 w:val="02010800040101010101"/>
    <w:charset w:val="86"/>
    <w:family w:val="auto"/>
    <w:pitch w:val="variable"/>
    <w:sig w:usb0="00000001" w:usb1="080F0000" w:usb2="00000010" w:usb3="00000000" w:csb0="00040000" w:csb1="00000000"/>
  </w:font>
  <w:font w:name="Symusic">
    <w:panose1 w:val="00000400000000000000"/>
    <w:charset w:val="00"/>
    <w:family w:val="auto"/>
    <w:pitch w:val="variable"/>
    <w:sig w:usb0="20002A87" w:usb1="00000000" w:usb2="00000000" w:usb3="00000000" w:csb0="000001FF" w:csb1="00000000"/>
  </w:font>
  <w:font w:name="”“Times New Roman”“">
    <w:altName w:val="宋体"/>
    <w:panose1 w:val="00000000000000000000"/>
    <w:charset w:val="86"/>
    <w:family w:val="roman"/>
    <w:notTrueType/>
    <w:pitch w:val="default"/>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TimesNewRomanPSMT">
    <w:altName w:val="等线"/>
    <w:charset w:val="00"/>
    <w:family w:val="auto"/>
    <w:pitch w:val="default"/>
    <w:sig w:usb0="00000000" w:usb1="00000000" w:usb2="00000010" w:usb3="00000000" w:csb0="00040001"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9FB" w:rsidRDefault="00B179FB">
    <w:pPr>
      <w:pStyle w:val="aff"/>
      <w:ind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965754"/>
    </w:sdtPr>
    <w:sdtEndPr>
      <w:rPr>
        <w:rFonts w:ascii="Times New Roman" w:hAnsi="Times New Roman"/>
      </w:rPr>
    </w:sdtEndPr>
    <w:sdtContent>
      <w:p w:rsidR="00B179FB" w:rsidRDefault="00B179FB">
        <w:pPr>
          <w:pStyle w:val="aff"/>
          <w:ind w:firstLine="360"/>
          <w:jc w:val="center"/>
          <w:rPr>
            <w:rFonts w:ascii="Times New Roman" w:hAnsi="Times New Roman"/>
          </w:rPr>
        </w:pPr>
        <w:r>
          <w:rPr>
            <w:rFonts w:ascii="Times New Roman" w:hAnsi="Times New Roman"/>
          </w:rPr>
          <w:fldChar w:fldCharType="begin"/>
        </w:r>
        <w:r>
          <w:rPr>
            <w:rFonts w:ascii="Times New Roman" w:hAnsi="Times New Roman"/>
          </w:rPr>
          <w:instrText>PAGE   \* MERGEFORMAT</w:instrText>
        </w:r>
        <w:r>
          <w:rPr>
            <w:rFonts w:ascii="Times New Roman" w:hAnsi="Times New Roman"/>
          </w:rPr>
          <w:fldChar w:fldCharType="separate"/>
        </w:r>
        <w:r w:rsidR="005E413B" w:rsidRPr="005E413B">
          <w:rPr>
            <w:rFonts w:ascii="Times New Roman" w:hAnsi="Times New Roman"/>
            <w:noProof/>
            <w:lang w:val="zh-CN"/>
          </w:rPr>
          <w:t>278</w:t>
        </w:r>
        <w:r>
          <w:rPr>
            <w:rFonts w:ascii="Times New Roman" w:hAnsi="Times New Roman"/>
          </w:rPr>
          <w:fldChar w:fldCharType="end"/>
        </w:r>
      </w:p>
    </w:sdtContent>
  </w:sdt>
  <w:p w:rsidR="00B179FB" w:rsidRDefault="00B179FB">
    <w:pPr>
      <w:pStyle w:val="aff"/>
      <w:ind w:firstLine="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9FB" w:rsidRDefault="00B179FB">
    <w:pPr>
      <w:pStyle w:val="aff"/>
      <w:ind w:firstLine="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9FB" w:rsidRDefault="00B179FB">
    <w:pPr>
      <w:ind w:firstLine="48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9FB" w:rsidRDefault="00B179FB">
    <w:pPr>
      <w:ind w:firstLine="48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8730B" w:rsidRDefault="00E8730B">
      <w:pPr>
        <w:ind w:firstLine="480"/>
      </w:pPr>
      <w:r>
        <w:separator/>
      </w:r>
    </w:p>
  </w:footnote>
  <w:footnote w:type="continuationSeparator" w:id="0">
    <w:p w:rsidR="00E8730B" w:rsidRDefault="00E8730B">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9FB" w:rsidRDefault="00B179FB">
    <w:pPr>
      <w:pStyle w:val="aff1"/>
      <w:ind w:firstLine="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9FB" w:rsidRPr="00A813A8" w:rsidRDefault="00B179FB">
    <w:pPr>
      <w:pStyle w:val="aff1"/>
      <w:ind w:firstLineChars="0" w:firstLine="0"/>
      <w:rPr>
        <w:rFonts w:ascii="Times New Roman" w:hAnsi="Times New Roman"/>
      </w:rPr>
    </w:pPr>
    <w:r w:rsidRPr="00A813A8">
      <w:rPr>
        <w:rFonts w:ascii="Times New Roman" w:hAnsi="Times New Roman"/>
      </w:rPr>
      <w:t>安徽凯盛应用材料有限公司年产</w:t>
    </w:r>
    <w:r w:rsidRPr="00A813A8">
      <w:rPr>
        <w:rFonts w:ascii="Times New Roman" w:hAnsi="Times New Roman"/>
      </w:rPr>
      <w:t>7000</w:t>
    </w:r>
    <w:r w:rsidRPr="00A813A8">
      <w:rPr>
        <w:rFonts w:ascii="Times New Roman" w:hAnsi="Times New Roman"/>
      </w:rPr>
      <w:t>吨硅基新材料技改</w:t>
    </w:r>
    <w:r w:rsidRPr="00A813A8">
      <w:rPr>
        <w:rFonts w:ascii="Times New Roman" w:hAnsi="Times New Roman"/>
      </w:rPr>
      <w:t>/</w:t>
    </w:r>
    <w:r w:rsidRPr="00A813A8">
      <w:rPr>
        <w:rFonts w:ascii="Times New Roman" w:hAnsi="Times New Roman"/>
      </w:rPr>
      <w:t>扩建项目环境影响报告书</w:t>
    </w:r>
  </w:p>
  <w:p w:rsidR="00B179FB" w:rsidRDefault="00B179FB">
    <w:pPr>
      <w:pStyle w:val="aff1"/>
      <w:pBdr>
        <w:bottom w:val="none" w:sz="0" w:space="0" w:color="auto"/>
      </w:pBdr>
      <w:ind w:firstLine="36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9FB" w:rsidRDefault="00B179FB">
    <w:pPr>
      <w:pStyle w:val="aff1"/>
      <w:pBdr>
        <w:bottom w:val="none" w:sz="0" w:space="0" w:color="auto"/>
      </w:pBdr>
      <w:ind w:firstLine="360"/>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9FB" w:rsidRDefault="00B179FB">
    <w:pPr>
      <w:ind w:firstLine="480"/>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9FB" w:rsidRDefault="00B179FB">
    <w:pPr>
      <w:ind w:firstLine="48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1763B2"/>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1277"/>
        </w:tabs>
        <w:ind w:left="1277"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 w15:restartNumberingAfterBreak="0">
    <w:nsid w:val="3AC83754"/>
    <w:multiLevelType w:val="multilevel"/>
    <w:tmpl w:val="3AC83754"/>
    <w:lvl w:ilvl="0">
      <w:start w:val="1"/>
      <w:numFmt w:val="decimal"/>
      <w:pStyle w:val="1"/>
      <w:lvlText w:val="%1."/>
      <w:lvlJc w:val="left"/>
      <w:pPr>
        <w:tabs>
          <w:tab w:val="left" w:pos="921"/>
        </w:tabs>
        <w:ind w:left="921" w:hanging="360"/>
      </w:pPr>
      <w:rPr>
        <w:rFonts w:hint="default"/>
      </w:rPr>
    </w:lvl>
    <w:lvl w:ilvl="1">
      <w:start w:val="1"/>
      <w:numFmt w:val="lowerLetter"/>
      <w:pStyle w:val="2"/>
      <w:lvlText w:val="%2)"/>
      <w:lvlJc w:val="left"/>
      <w:pPr>
        <w:tabs>
          <w:tab w:val="left" w:pos="1401"/>
        </w:tabs>
        <w:ind w:left="1401" w:hanging="420"/>
      </w:pPr>
    </w:lvl>
    <w:lvl w:ilvl="2">
      <w:start w:val="1"/>
      <w:numFmt w:val="lowerRoman"/>
      <w:pStyle w:val="3"/>
      <w:lvlText w:val="%3."/>
      <w:lvlJc w:val="right"/>
      <w:pPr>
        <w:tabs>
          <w:tab w:val="left" w:pos="1860"/>
        </w:tabs>
        <w:ind w:left="1860" w:hanging="420"/>
      </w:pPr>
    </w:lvl>
    <w:lvl w:ilvl="3">
      <w:start w:val="1"/>
      <w:numFmt w:val="decimal"/>
      <w:pStyle w:val="4"/>
      <w:lvlText w:val="%4."/>
      <w:lvlJc w:val="left"/>
      <w:pPr>
        <w:tabs>
          <w:tab w:val="left" w:pos="2241"/>
        </w:tabs>
        <w:ind w:left="2241" w:hanging="420"/>
      </w:pPr>
    </w:lvl>
    <w:lvl w:ilvl="4">
      <w:start w:val="1"/>
      <w:numFmt w:val="lowerLetter"/>
      <w:pStyle w:val="5"/>
      <w:lvlText w:val="%5)"/>
      <w:lvlJc w:val="left"/>
      <w:pPr>
        <w:tabs>
          <w:tab w:val="left" w:pos="2661"/>
        </w:tabs>
        <w:ind w:left="2661" w:hanging="420"/>
      </w:pPr>
    </w:lvl>
    <w:lvl w:ilvl="5">
      <w:start w:val="1"/>
      <w:numFmt w:val="lowerRoman"/>
      <w:pStyle w:val="6"/>
      <w:lvlText w:val="%6."/>
      <w:lvlJc w:val="right"/>
      <w:pPr>
        <w:tabs>
          <w:tab w:val="left" w:pos="3081"/>
        </w:tabs>
        <w:ind w:left="3081" w:hanging="420"/>
      </w:pPr>
    </w:lvl>
    <w:lvl w:ilvl="6">
      <w:start w:val="1"/>
      <w:numFmt w:val="decimal"/>
      <w:pStyle w:val="7"/>
      <w:lvlText w:val="%7."/>
      <w:lvlJc w:val="left"/>
      <w:pPr>
        <w:tabs>
          <w:tab w:val="left" w:pos="3501"/>
        </w:tabs>
        <w:ind w:left="3501" w:hanging="420"/>
      </w:pPr>
    </w:lvl>
    <w:lvl w:ilvl="7">
      <w:start w:val="1"/>
      <w:numFmt w:val="lowerLetter"/>
      <w:pStyle w:val="8"/>
      <w:lvlText w:val="%8)"/>
      <w:lvlJc w:val="left"/>
      <w:pPr>
        <w:tabs>
          <w:tab w:val="left" w:pos="3921"/>
        </w:tabs>
        <w:ind w:left="3921" w:hanging="420"/>
      </w:pPr>
    </w:lvl>
    <w:lvl w:ilvl="8">
      <w:start w:val="1"/>
      <w:numFmt w:val="lowerRoman"/>
      <w:pStyle w:val="9"/>
      <w:lvlText w:val="%9."/>
      <w:lvlJc w:val="right"/>
      <w:pPr>
        <w:tabs>
          <w:tab w:val="left" w:pos="4341"/>
        </w:tabs>
        <w:ind w:left="4341" w:hanging="420"/>
      </w:pPr>
    </w:lvl>
  </w:abstractNum>
  <w:abstractNum w:abstractNumId="2" w15:restartNumberingAfterBreak="0">
    <w:nsid w:val="3D8E37FC"/>
    <w:multiLevelType w:val="multilevel"/>
    <w:tmpl w:val="3D8E37FC"/>
    <w:lvl w:ilvl="0">
      <w:start w:val="1"/>
      <w:numFmt w:val="decimal"/>
      <w:lvlText w:val="%1"/>
      <w:lvlJc w:val="left"/>
      <w:pPr>
        <w:tabs>
          <w:tab w:val="left" w:pos="432"/>
        </w:tabs>
        <w:ind w:left="432" w:hanging="432"/>
      </w:pPr>
      <w:rPr>
        <w:rFonts w:hint="eastAsia"/>
      </w:rPr>
    </w:lvl>
    <w:lvl w:ilvl="1">
      <w:start w:val="1"/>
      <w:numFmt w:val="decimal"/>
      <w:pStyle w:val="20"/>
      <w:lvlText w:val="%1.%2"/>
      <w:lvlJc w:val="left"/>
      <w:pPr>
        <w:tabs>
          <w:tab w:val="left" w:pos="576"/>
        </w:tabs>
        <w:ind w:left="576" w:hanging="576"/>
      </w:pPr>
      <w:rPr>
        <w:rFonts w:hint="eastAsia"/>
      </w:rPr>
    </w:lvl>
    <w:lvl w:ilvl="2">
      <w:start w:val="1"/>
      <w:numFmt w:val="decimal"/>
      <w:pStyle w:val="30"/>
      <w:lvlText w:val="%1.%2.%3"/>
      <w:lvlJc w:val="left"/>
      <w:pPr>
        <w:tabs>
          <w:tab w:val="left" w:pos="720"/>
        </w:tabs>
        <w:ind w:left="720" w:hanging="720"/>
      </w:pPr>
      <w:rPr>
        <w:rFonts w:hint="eastAsia"/>
      </w:rPr>
    </w:lvl>
    <w:lvl w:ilvl="3">
      <w:start w:val="1"/>
      <w:numFmt w:val="decimal"/>
      <w:lvlText w:val="%1.%2.%3.%4"/>
      <w:lvlJc w:val="left"/>
      <w:pPr>
        <w:tabs>
          <w:tab w:val="left" w:pos="864"/>
        </w:tabs>
        <w:ind w:left="864" w:hanging="864"/>
      </w:pPr>
      <w:rPr>
        <w:rFonts w:hint="eastAsia"/>
      </w:rPr>
    </w:lvl>
    <w:lvl w:ilvl="4">
      <w:start w:val="1"/>
      <w:numFmt w:val="decimal"/>
      <w:lvlText w:val="%1.%2.%3.%4.%5"/>
      <w:lvlJc w:val="left"/>
      <w:pPr>
        <w:tabs>
          <w:tab w:val="left" w:pos="1008"/>
        </w:tabs>
        <w:ind w:left="1008" w:hanging="1008"/>
      </w:pPr>
      <w:rPr>
        <w:rFonts w:hint="eastAsia"/>
      </w:rPr>
    </w:lvl>
    <w:lvl w:ilvl="5">
      <w:start w:val="1"/>
      <w:numFmt w:val="none"/>
      <w:lvlText w:val="A)"/>
      <w:lvlJc w:val="left"/>
      <w:pPr>
        <w:tabs>
          <w:tab w:val="left" w:pos="454"/>
        </w:tabs>
        <w:ind w:left="680" w:hanging="680"/>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3" w15:restartNumberingAfterBreak="0">
    <w:nsid w:val="58F61F62"/>
    <w:multiLevelType w:val="multilevel"/>
    <w:tmpl w:val="58F61F62"/>
    <w:lvl w:ilvl="0">
      <w:start w:val="1"/>
      <w:numFmt w:val="decimal"/>
      <w:pStyle w:val="10"/>
      <w:lvlText w:val="%1"/>
      <w:lvlJc w:val="left"/>
      <w:pPr>
        <w:tabs>
          <w:tab w:val="left" w:pos="432"/>
        </w:tabs>
        <w:ind w:left="432" w:hanging="432"/>
      </w:pPr>
      <w:rPr>
        <w:rFonts w:hint="eastAsia"/>
      </w:rPr>
    </w:lvl>
    <w:lvl w:ilvl="1">
      <w:start w:val="1"/>
      <w:numFmt w:val="decimal"/>
      <w:pStyle w:val="21"/>
      <w:lvlText w:val="%1.%2"/>
      <w:lvlJc w:val="left"/>
      <w:pPr>
        <w:tabs>
          <w:tab w:val="left" w:pos="576"/>
        </w:tabs>
        <w:ind w:left="576" w:hanging="576"/>
      </w:pPr>
      <w:rPr>
        <w:rFonts w:hint="eastAsia"/>
      </w:rPr>
    </w:lvl>
    <w:lvl w:ilvl="2">
      <w:start w:val="1"/>
      <w:numFmt w:val="decimal"/>
      <w:pStyle w:val="30505"/>
      <w:lvlText w:val="%1.%2.%3"/>
      <w:lvlJc w:val="left"/>
      <w:pPr>
        <w:tabs>
          <w:tab w:val="left" w:pos="720"/>
        </w:tabs>
        <w:ind w:left="720" w:hanging="720"/>
      </w:pPr>
      <w:rPr>
        <w:rFonts w:hint="eastAsia"/>
        <w:b/>
        <w:i w:val="0"/>
        <w:sz w:val="24"/>
      </w:rPr>
    </w:lvl>
    <w:lvl w:ilvl="3">
      <w:start w:val="1"/>
      <w:numFmt w:val="decimal"/>
      <w:pStyle w:val="40"/>
      <w:lvlText w:val="%1.%2.%3.%4"/>
      <w:lvlJc w:val="left"/>
      <w:pPr>
        <w:tabs>
          <w:tab w:val="left" w:pos="864"/>
        </w:tabs>
        <w:ind w:left="864" w:hanging="864"/>
      </w:pPr>
      <w:rPr>
        <w:rFonts w:hint="eastAsia"/>
      </w:rPr>
    </w:lvl>
    <w:lvl w:ilvl="4">
      <w:start w:val="1"/>
      <w:numFmt w:val="decimal"/>
      <w:lvlText w:val="%1.%2.%3.%4.%5"/>
      <w:lvlJc w:val="left"/>
      <w:pPr>
        <w:tabs>
          <w:tab w:val="left" w:pos="1008"/>
        </w:tabs>
        <w:ind w:left="1008" w:hanging="1008"/>
      </w:pPr>
      <w:rPr>
        <w:rFonts w:hint="eastAsia"/>
      </w:rPr>
    </w:lvl>
    <w:lvl w:ilvl="5">
      <w:start w:val="1"/>
      <w:numFmt w:val="none"/>
      <w:lvlText w:val="A)"/>
      <w:lvlJc w:val="left"/>
      <w:pPr>
        <w:tabs>
          <w:tab w:val="left" w:pos="454"/>
        </w:tabs>
        <w:ind w:left="680" w:hanging="680"/>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num w:numId="1">
    <w:abstractNumId w:val="1"/>
    <w:lvlOverride w:ilvl="0">
      <w:lvl w:ilvl="0" w:tentative="1">
        <w:start w:val="1"/>
        <w:numFmt w:val="decimal"/>
        <w:pStyle w:val="1"/>
        <w:lvlText w:val="%1."/>
        <w:lvlJc w:val="left"/>
        <w:pPr>
          <w:tabs>
            <w:tab w:val="left" w:pos="921"/>
          </w:tabs>
          <w:ind w:left="921" w:hanging="360"/>
        </w:pPr>
        <w:rPr>
          <w:rFonts w:hint="default"/>
        </w:rPr>
      </w:lvl>
    </w:lvlOverride>
    <w:lvlOverride w:ilvl="1">
      <w:lvl w:ilvl="1" w:tentative="1">
        <w:start w:val="1"/>
        <w:numFmt w:val="lowerLetter"/>
        <w:pStyle w:val="2"/>
        <w:lvlText w:val="%2)"/>
        <w:lvlJc w:val="left"/>
        <w:pPr>
          <w:tabs>
            <w:tab w:val="left" w:pos="1401"/>
          </w:tabs>
          <w:ind w:left="1401" w:hanging="420"/>
        </w:pPr>
      </w:lvl>
    </w:lvlOverride>
    <w:lvlOverride w:ilvl="2">
      <w:lvl w:ilvl="2">
        <w:start w:val="1"/>
        <w:numFmt w:val="lowerRoman"/>
        <w:pStyle w:val="3"/>
        <w:lvlText w:val="%3."/>
        <w:lvlJc w:val="right"/>
        <w:pPr>
          <w:tabs>
            <w:tab w:val="left" w:pos="1860"/>
          </w:tabs>
          <w:ind w:left="1860" w:hanging="420"/>
        </w:pPr>
      </w:lvl>
    </w:lvlOverride>
    <w:lvlOverride w:ilvl="3">
      <w:lvl w:ilvl="3" w:tentative="1">
        <w:start w:val="1"/>
        <w:numFmt w:val="decimal"/>
        <w:pStyle w:val="4"/>
        <w:lvlText w:val="%4."/>
        <w:lvlJc w:val="left"/>
        <w:pPr>
          <w:tabs>
            <w:tab w:val="left" w:pos="2241"/>
          </w:tabs>
          <w:ind w:left="2241" w:hanging="420"/>
        </w:pPr>
      </w:lvl>
    </w:lvlOverride>
    <w:lvlOverride w:ilvl="4">
      <w:lvl w:ilvl="4" w:tentative="1">
        <w:start w:val="1"/>
        <w:numFmt w:val="lowerLetter"/>
        <w:pStyle w:val="5"/>
        <w:lvlText w:val="%5)"/>
        <w:lvlJc w:val="left"/>
        <w:pPr>
          <w:tabs>
            <w:tab w:val="left" w:pos="2661"/>
          </w:tabs>
          <w:ind w:left="2661" w:hanging="420"/>
        </w:pPr>
      </w:lvl>
    </w:lvlOverride>
    <w:lvlOverride w:ilvl="5">
      <w:lvl w:ilvl="5" w:tentative="1">
        <w:start w:val="1"/>
        <w:numFmt w:val="lowerRoman"/>
        <w:pStyle w:val="6"/>
        <w:lvlText w:val="%6."/>
        <w:lvlJc w:val="right"/>
        <w:pPr>
          <w:tabs>
            <w:tab w:val="left" w:pos="3081"/>
          </w:tabs>
          <w:ind w:left="3081" w:hanging="420"/>
        </w:pPr>
      </w:lvl>
    </w:lvlOverride>
    <w:lvlOverride w:ilvl="6">
      <w:lvl w:ilvl="6" w:tentative="1">
        <w:start w:val="1"/>
        <w:numFmt w:val="decimal"/>
        <w:pStyle w:val="7"/>
        <w:lvlText w:val="%7."/>
        <w:lvlJc w:val="left"/>
        <w:pPr>
          <w:tabs>
            <w:tab w:val="left" w:pos="3501"/>
          </w:tabs>
          <w:ind w:left="3501" w:hanging="420"/>
        </w:pPr>
      </w:lvl>
    </w:lvlOverride>
    <w:lvlOverride w:ilvl="7">
      <w:lvl w:ilvl="7" w:tentative="1">
        <w:start w:val="1"/>
        <w:numFmt w:val="lowerLetter"/>
        <w:pStyle w:val="8"/>
        <w:lvlText w:val="%8)"/>
        <w:lvlJc w:val="left"/>
        <w:pPr>
          <w:tabs>
            <w:tab w:val="left" w:pos="3921"/>
          </w:tabs>
          <w:ind w:left="3921" w:hanging="420"/>
        </w:pPr>
      </w:lvl>
    </w:lvlOverride>
    <w:lvlOverride w:ilvl="8">
      <w:lvl w:ilvl="8" w:tentative="1">
        <w:start w:val="1"/>
        <w:numFmt w:val="lowerRoman"/>
        <w:pStyle w:val="9"/>
        <w:lvlText w:val="%9."/>
        <w:lvlJc w:val="right"/>
        <w:pPr>
          <w:tabs>
            <w:tab w:val="left" w:pos="4341"/>
          </w:tabs>
          <w:ind w:left="4341" w:hanging="420"/>
        </w:pPr>
      </w:lvl>
    </w:lvlOverride>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bordersDoNotSurroundHeader/>
  <w:bordersDoNotSurroundFooter/>
  <w:hideSpelling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420"/>
  <w:drawingGridHorizontalSpacing w:val="120"/>
  <w:drawingGridVerticalSpacing w:val="163"/>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551D"/>
    <w:rsid w:val="00000AD8"/>
    <w:rsid w:val="000017C0"/>
    <w:rsid w:val="000018C3"/>
    <w:rsid w:val="000019A1"/>
    <w:rsid w:val="00001C08"/>
    <w:rsid w:val="00001D4D"/>
    <w:rsid w:val="00001E41"/>
    <w:rsid w:val="0000206E"/>
    <w:rsid w:val="00002130"/>
    <w:rsid w:val="00002203"/>
    <w:rsid w:val="000038DA"/>
    <w:rsid w:val="00003BFF"/>
    <w:rsid w:val="00003D1F"/>
    <w:rsid w:val="00003E1B"/>
    <w:rsid w:val="00004678"/>
    <w:rsid w:val="000052AF"/>
    <w:rsid w:val="0000598F"/>
    <w:rsid w:val="00005F2C"/>
    <w:rsid w:val="000070D0"/>
    <w:rsid w:val="0000751E"/>
    <w:rsid w:val="00007556"/>
    <w:rsid w:val="000077DD"/>
    <w:rsid w:val="00007A99"/>
    <w:rsid w:val="000101D0"/>
    <w:rsid w:val="000101FE"/>
    <w:rsid w:val="000105C6"/>
    <w:rsid w:val="00010984"/>
    <w:rsid w:val="00010A54"/>
    <w:rsid w:val="00010B13"/>
    <w:rsid w:val="00011076"/>
    <w:rsid w:val="00011333"/>
    <w:rsid w:val="00011583"/>
    <w:rsid w:val="00011F8C"/>
    <w:rsid w:val="00013165"/>
    <w:rsid w:val="00013A93"/>
    <w:rsid w:val="00013DED"/>
    <w:rsid w:val="00014382"/>
    <w:rsid w:val="0001440B"/>
    <w:rsid w:val="0001485D"/>
    <w:rsid w:val="0001492C"/>
    <w:rsid w:val="000155FD"/>
    <w:rsid w:val="00016038"/>
    <w:rsid w:val="00016284"/>
    <w:rsid w:val="000162C4"/>
    <w:rsid w:val="0001666A"/>
    <w:rsid w:val="0001679F"/>
    <w:rsid w:val="000167FD"/>
    <w:rsid w:val="00016822"/>
    <w:rsid w:val="00016DB7"/>
    <w:rsid w:val="00017055"/>
    <w:rsid w:val="000172BA"/>
    <w:rsid w:val="00017C7A"/>
    <w:rsid w:val="00017C86"/>
    <w:rsid w:val="00017CA2"/>
    <w:rsid w:val="00017D59"/>
    <w:rsid w:val="00017DF6"/>
    <w:rsid w:val="00020E1B"/>
    <w:rsid w:val="0002140B"/>
    <w:rsid w:val="000227BB"/>
    <w:rsid w:val="00022865"/>
    <w:rsid w:val="00022A58"/>
    <w:rsid w:val="00022C32"/>
    <w:rsid w:val="00022D23"/>
    <w:rsid w:val="00023453"/>
    <w:rsid w:val="00023F33"/>
    <w:rsid w:val="0002442A"/>
    <w:rsid w:val="00024635"/>
    <w:rsid w:val="000246E7"/>
    <w:rsid w:val="0002496A"/>
    <w:rsid w:val="00024EF0"/>
    <w:rsid w:val="0002510C"/>
    <w:rsid w:val="000256D2"/>
    <w:rsid w:val="000258DF"/>
    <w:rsid w:val="00025902"/>
    <w:rsid w:val="0002599A"/>
    <w:rsid w:val="00025BB2"/>
    <w:rsid w:val="0002776B"/>
    <w:rsid w:val="00027B25"/>
    <w:rsid w:val="000303AB"/>
    <w:rsid w:val="0003045F"/>
    <w:rsid w:val="00031CE3"/>
    <w:rsid w:val="000326C3"/>
    <w:rsid w:val="00032914"/>
    <w:rsid w:val="00032B99"/>
    <w:rsid w:val="000330D8"/>
    <w:rsid w:val="000332FD"/>
    <w:rsid w:val="000333FE"/>
    <w:rsid w:val="00033590"/>
    <w:rsid w:val="00033B5D"/>
    <w:rsid w:val="00034B1B"/>
    <w:rsid w:val="00034C88"/>
    <w:rsid w:val="00035100"/>
    <w:rsid w:val="00036134"/>
    <w:rsid w:val="000363FC"/>
    <w:rsid w:val="00036418"/>
    <w:rsid w:val="000366E9"/>
    <w:rsid w:val="0003754A"/>
    <w:rsid w:val="0003763D"/>
    <w:rsid w:val="00037677"/>
    <w:rsid w:val="00040126"/>
    <w:rsid w:val="000404B8"/>
    <w:rsid w:val="00040581"/>
    <w:rsid w:val="000405E8"/>
    <w:rsid w:val="000420A3"/>
    <w:rsid w:val="000423AE"/>
    <w:rsid w:val="00042575"/>
    <w:rsid w:val="00042C0B"/>
    <w:rsid w:val="00043B0C"/>
    <w:rsid w:val="00043FF4"/>
    <w:rsid w:val="0004404B"/>
    <w:rsid w:val="0004438D"/>
    <w:rsid w:val="00044754"/>
    <w:rsid w:val="0004477D"/>
    <w:rsid w:val="00044880"/>
    <w:rsid w:val="000449BD"/>
    <w:rsid w:val="00044A9B"/>
    <w:rsid w:val="00044AC8"/>
    <w:rsid w:val="0004549B"/>
    <w:rsid w:val="00045671"/>
    <w:rsid w:val="00045675"/>
    <w:rsid w:val="00045723"/>
    <w:rsid w:val="000458E5"/>
    <w:rsid w:val="00045BE1"/>
    <w:rsid w:val="0004600B"/>
    <w:rsid w:val="000460FC"/>
    <w:rsid w:val="0004649D"/>
    <w:rsid w:val="000464B2"/>
    <w:rsid w:val="00046ED6"/>
    <w:rsid w:val="00047316"/>
    <w:rsid w:val="000474B3"/>
    <w:rsid w:val="00047848"/>
    <w:rsid w:val="00047900"/>
    <w:rsid w:val="000500FB"/>
    <w:rsid w:val="00050E1A"/>
    <w:rsid w:val="00051263"/>
    <w:rsid w:val="0005157B"/>
    <w:rsid w:val="00051B2F"/>
    <w:rsid w:val="00051BBA"/>
    <w:rsid w:val="00051C79"/>
    <w:rsid w:val="000520A5"/>
    <w:rsid w:val="00052563"/>
    <w:rsid w:val="00052613"/>
    <w:rsid w:val="000526FF"/>
    <w:rsid w:val="00052C81"/>
    <w:rsid w:val="000549AB"/>
    <w:rsid w:val="00054A28"/>
    <w:rsid w:val="00055269"/>
    <w:rsid w:val="00055365"/>
    <w:rsid w:val="00055628"/>
    <w:rsid w:val="00055F6B"/>
    <w:rsid w:val="000564FA"/>
    <w:rsid w:val="0005663C"/>
    <w:rsid w:val="000566E3"/>
    <w:rsid w:val="00056784"/>
    <w:rsid w:val="00056ADA"/>
    <w:rsid w:val="00056B61"/>
    <w:rsid w:val="0005760B"/>
    <w:rsid w:val="000577D5"/>
    <w:rsid w:val="00057905"/>
    <w:rsid w:val="00057BEC"/>
    <w:rsid w:val="00057F34"/>
    <w:rsid w:val="00057F45"/>
    <w:rsid w:val="00060376"/>
    <w:rsid w:val="0006073E"/>
    <w:rsid w:val="00060908"/>
    <w:rsid w:val="00060EF9"/>
    <w:rsid w:val="0006142B"/>
    <w:rsid w:val="000616A2"/>
    <w:rsid w:val="00061E11"/>
    <w:rsid w:val="00062315"/>
    <w:rsid w:val="000628F7"/>
    <w:rsid w:val="000635F3"/>
    <w:rsid w:val="00063A9C"/>
    <w:rsid w:val="0006431D"/>
    <w:rsid w:val="0006470D"/>
    <w:rsid w:val="00064A06"/>
    <w:rsid w:val="0006557A"/>
    <w:rsid w:val="0006571A"/>
    <w:rsid w:val="00065F2F"/>
    <w:rsid w:val="00066726"/>
    <w:rsid w:val="000667F1"/>
    <w:rsid w:val="00066AA3"/>
    <w:rsid w:val="00066CAA"/>
    <w:rsid w:val="000672C1"/>
    <w:rsid w:val="000701C1"/>
    <w:rsid w:val="00070707"/>
    <w:rsid w:val="0007082A"/>
    <w:rsid w:val="00070AD8"/>
    <w:rsid w:val="000714EF"/>
    <w:rsid w:val="00071750"/>
    <w:rsid w:val="000719F2"/>
    <w:rsid w:val="00072672"/>
    <w:rsid w:val="00072D89"/>
    <w:rsid w:val="00073581"/>
    <w:rsid w:val="000736C4"/>
    <w:rsid w:val="00073B96"/>
    <w:rsid w:val="00073FFE"/>
    <w:rsid w:val="000740B2"/>
    <w:rsid w:val="00074272"/>
    <w:rsid w:val="00074559"/>
    <w:rsid w:val="00074C51"/>
    <w:rsid w:val="00074D05"/>
    <w:rsid w:val="00075028"/>
    <w:rsid w:val="00075643"/>
    <w:rsid w:val="00075785"/>
    <w:rsid w:val="00075B82"/>
    <w:rsid w:val="00075F94"/>
    <w:rsid w:val="000760B8"/>
    <w:rsid w:val="00076536"/>
    <w:rsid w:val="0007681C"/>
    <w:rsid w:val="00076C46"/>
    <w:rsid w:val="0007757A"/>
    <w:rsid w:val="00077949"/>
    <w:rsid w:val="00077AFB"/>
    <w:rsid w:val="00077EAD"/>
    <w:rsid w:val="00077EDC"/>
    <w:rsid w:val="00080443"/>
    <w:rsid w:val="000806FB"/>
    <w:rsid w:val="0008076F"/>
    <w:rsid w:val="0008087C"/>
    <w:rsid w:val="00081209"/>
    <w:rsid w:val="0008196B"/>
    <w:rsid w:val="000822A3"/>
    <w:rsid w:val="000825FD"/>
    <w:rsid w:val="00082759"/>
    <w:rsid w:val="00082967"/>
    <w:rsid w:val="00083141"/>
    <w:rsid w:val="00083E84"/>
    <w:rsid w:val="000845F4"/>
    <w:rsid w:val="00085487"/>
    <w:rsid w:val="00086598"/>
    <w:rsid w:val="00086B53"/>
    <w:rsid w:val="00086E6D"/>
    <w:rsid w:val="0008708B"/>
    <w:rsid w:val="0008786B"/>
    <w:rsid w:val="00087AB2"/>
    <w:rsid w:val="00090028"/>
    <w:rsid w:val="00090C79"/>
    <w:rsid w:val="000913E4"/>
    <w:rsid w:val="00091933"/>
    <w:rsid w:val="00091937"/>
    <w:rsid w:val="00091DB1"/>
    <w:rsid w:val="00092C74"/>
    <w:rsid w:val="00092F57"/>
    <w:rsid w:val="0009302B"/>
    <w:rsid w:val="00094120"/>
    <w:rsid w:val="0009464B"/>
    <w:rsid w:val="00094B4E"/>
    <w:rsid w:val="0009572D"/>
    <w:rsid w:val="00095BE9"/>
    <w:rsid w:val="00095F2E"/>
    <w:rsid w:val="00096120"/>
    <w:rsid w:val="00096584"/>
    <w:rsid w:val="00096861"/>
    <w:rsid w:val="00096CB3"/>
    <w:rsid w:val="00096FA5"/>
    <w:rsid w:val="0009708E"/>
    <w:rsid w:val="00097289"/>
    <w:rsid w:val="00097343"/>
    <w:rsid w:val="00097BBB"/>
    <w:rsid w:val="00097C3B"/>
    <w:rsid w:val="000A04DD"/>
    <w:rsid w:val="000A0832"/>
    <w:rsid w:val="000A0B87"/>
    <w:rsid w:val="000A0C39"/>
    <w:rsid w:val="000A16D9"/>
    <w:rsid w:val="000A19C9"/>
    <w:rsid w:val="000A1C1A"/>
    <w:rsid w:val="000A207B"/>
    <w:rsid w:val="000A217C"/>
    <w:rsid w:val="000A3013"/>
    <w:rsid w:val="000A3642"/>
    <w:rsid w:val="000A3F37"/>
    <w:rsid w:val="000A4147"/>
    <w:rsid w:val="000A4257"/>
    <w:rsid w:val="000A54A5"/>
    <w:rsid w:val="000A5C3F"/>
    <w:rsid w:val="000A5CE4"/>
    <w:rsid w:val="000A5E99"/>
    <w:rsid w:val="000A6061"/>
    <w:rsid w:val="000A64CF"/>
    <w:rsid w:val="000A68DB"/>
    <w:rsid w:val="000A7AE6"/>
    <w:rsid w:val="000A7AFB"/>
    <w:rsid w:val="000A7E82"/>
    <w:rsid w:val="000A7F2B"/>
    <w:rsid w:val="000B00A7"/>
    <w:rsid w:val="000B02BC"/>
    <w:rsid w:val="000B08B1"/>
    <w:rsid w:val="000B0D31"/>
    <w:rsid w:val="000B1343"/>
    <w:rsid w:val="000B1520"/>
    <w:rsid w:val="000B1B9A"/>
    <w:rsid w:val="000B1DD5"/>
    <w:rsid w:val="000B2CBB"/>
    <w:rsid w:val="000B3357"/>
    <w:rsid w:val="000B3CE5"/>
    <w:rsid w:val="000B3D51"/>
    <w:rsid w:val="000B3DB8"/>
    <w:rsid w:val="000B47AD"/>
    <w:rsid w:val="000B55B1"/>
    <w:rsid w:val="000B5CF6"/>
    <w:rsid w:val="000B64CD"/>
    <w:rsid w:val="000B6807"/>
    <w:rsid w:val="000B6AF3"/>
    <w:rsid w:val="000B6EDA"/>
    <w:rsid w:val="000B7E8D"/>
    <w:rsid w:val="000C0253"/>
    <w:rsid w:val="000C1140"/>
    <w:rsid w:val="000C14F7"/>
    <w:rsid w:val="000C1E66"/>
    <w:rsid w:val="000C1F2D"/>
    <w:rsid w:val="000C27C9"/>
    <w:rsid w:val="000C28EB"/>
    <w:rsid w:val="000C2E53"/>
    <w:rsid w:val="000C3231"/>
    <w:rsid w:val="000C34B2"/>
    <w:rsid w:val="000C358E"/>
    <w:rsid w:val="000C3670"/>
    <w:rsid w:val="000C3678"/>
    <w:rsid w:val="000C377A"/>
    <w:rsid w:val="000C3DCB"/>
    <w:rsid w:val="000C46CC"/>
    <w:rsid w:val="000C4AFF"/>
    <w:rsid w:val="000C4E0F"/>
    <w:rsid w:val="000C4ECF"/>
    <w:rsid w:val="000C557A"/>
    <w:rsid w:val="000C5A39"/>
    <w:rsid w:val="000C5C80"/>
    <w:rsid w:val="000C5D77"/>
    <w:rsid w:val="000C5D92"/>
    <w:rsid w:val="000C5F25"/>
    <w:rsid w:val="000C60D7"/>
    <w:rsid w:val="000C619D"/>
    <w:rsid w:val="000C6325"/>
    <w:rsid w:val="000C6860"/>
    <w:rsid w:val="000C6F00"/>
    <w:rsid w:val="000C7151"/>
    <w:rsid w:val="000C74FA"/>
    <w:rsid w:val="000C7A39"/>
    <w:rsid w:val="000D0744"/>
    <w:rsid w:val="000D07C1"/>
    <w:rsid w:val="000D0907"/>
    <w:rsid w:val="000D0DEF"/>
    <w:rsid w:val="000D0E29"/>
    <w:rsid w:val="000D1104"/>
    <w:rsid w:val="000D13F7"/>
    <w:rsid w:val="000D16FD"/>
    <w:rsid w:val="000D175E"/>
    <w:rsid w:val="000D1BE1"/>
    <w:rsid w:val="000D1F8E"/>
    <w:rsid w:val="000D26A1"/>
    <w:rsid w:val="000D274A"/>
    <w:rsid w:val="000D2A09"/>
    <w:rsid w:val="000D2A0D"/>
    <w:rsid w:val="000D2F1A"/>
    <w:rsid w:val="000D34DD"/>
    <w:rsid w:val="000D3B63"/>
    <w:rsid w:val="000D3F73"/>
    <w:rsid w:val="000D3FE5"/>
    <w:rsid w:val="000D456E"/>
    <w:rsid w:val="000D47F8"/>
    <w:rsid w:val="000D527D"/>
    <w:rsid w:val="000D553F"/>
    <w:rsid w:val="000D5656"/>
    <w:rsid w:val="000D5724"/>
    <w:rsid w:val="000D5EE0"/>
    <w:rsid w:val="000D62D1"/>
    <w:rsid w:val="000D6336"/>
    <w:rsid w:val="000D6397"/>
    <w:rsid w:val="000D63DB"/>
    <w:rsid w:val="000D6AB3"/>
    <w:rsid w:val="000D7249"/>
    <w:rsid w:val="000D72A1"/>
    <w:rsid w:val="000D75BB"/>
    <w:rsid w:val="000D7F9A"/>
    <w:rsid w:val="000E00C0"/>
    <w:rsid w:val="000E00C7"/>
    <w:rsid w:val="000E0599"/>
    <w:rsid w:val="000E05AE"/>
    <w:rsid w:val="000E074E"/>
    <w:rsid w:val="000E08FB"/>
    <w:rsid w:val="000E0C94"/>
    <w:rsid w:val="000E1667"/>
    <w:rsid w:val="000E1CF7"/>
    <w:rsid w:val="000E1FD6"/>
    <w:rsid w:val="000E2140"/>
    <w:rsid w:val="000E221F"/>
    <w:rsid w:val="000E22F5"/>
    <w:rsid w:val="000E243B"/>
    <w:rsid w:val="000E34AE"/>
    <w:rsid w:val="000E4FA1"/>
    <w:rsid w:val="000E524D"/>
    <w:rsid w:val="000E5467"/>
    <w:rsid w:val="000E5BAC"/>
    <w:rsid w:val="000E5F19"/>
    <w:rsid w:val="000E61F1"/>
    <w:rsid w:val="000E673B"/>
    <w:rsid w:val="000E6B87"/>
    <w:rsid w:val="000E74AD"/>
    <w:rsid w:val="000E776E"/>
    <w:rsid w:val="000E77EB"/>
    <w:rsid w:val="000E7AF9"/>
    <w:rsid w:val="000E7BE6"/>
    <w:rsid w:val="000F0032"/>
    <w:rsid w:val="000F02D8"/>
    <w:rsid w:val="000F09DB"/>
    <w:rsid w:val="000F0CF0"/>
    <w:rsid w:val="000F154D"/>
    <w:rsid w:val="000F1D2C"/>
    <w:rsid w:val="000F23AA"/>
    <w:rsid w:val="000F24C5"/>
    <w:rsid w:val="000F2CF6"/>
    <w:rsid w:val="000F36AF"/>
    <w:rsid w:val="000F3CA2"/>
    <w:rsid w:val="000F3E94"/>
    <w:rsid w:val="000F413D"/>
    <w:rsid w:val="000F423D"/>
    <w:rsid w:val="000F427F"/>
    <w:rsid w:val="000F4367"/>
    <w:rsid w:val="000F497E"/>
    <w:rsid w:val="000F507B"/>
    <w:rsid w:val="000F50EE"/>
    <w:rsid w:val="000F51BA"/>
    <w:rsid w:val="000F520A"/>
    <w:rsid w:val="000F52CB"/>
    <w:rsid w:val="000F5351"/>
    <w:rsid w:val="000F7471"/>
    <w:rsid w:val="0010037E"/>
    <w:rsid w:val="001006E3"/>
    <w:rsid w:val="00100B30"/>
    <w:rsid w:val="00102286"/>
    <w:rsid w:val="00103F44"/>
    <w:rsid w:val="001044E7"/>
    <w:rsid w:val="00104736"/>
    <w:rsid w:val="00104762"/>
    <w:rsid w:val="00104852"/>
    <w:rsid w:val="00104A14"/>
    <w:rsid w:val="00104D71"/>
    <w:rsid w:val="00104FB3"/>
    <w:rsid w:val="00105055"/>
    <w:rsid w:val="001052DE"/>
    <w:rsid w:val="0010530D"/>
    <w:rsid w:val="00105512"/>
    <w:rsid w:val="00105A01"/>
    <w:rsid w:val="00105E4C"/>
    <w:rsid w:val="001063BB"/>
    <w:rsid w:val="0010642B"/>
    <w:rsid w:val="00106454"/>
    <w:rsid w:val="001067D7"/>
    <w:rsid w:val="001069A5"/>
    <w:rsid w:val="00107088"/>
    <w:rsid w:val="001073B9"/>
    <w:rsid w:val="001073D7"/>
    <w:rsid w:val="00107A0A"/>
    <w:rsid w:val="00107D97"/>
    <w:rsid w:val="00110EDD"/>
    <w:rsid w:val="00111421"/>
    <w:rsid w:val="001115DB"/>
    <w:rsid w:val="0011255A"/>
    <w:rsid w:val="0011263B"/>
    <w:rsid w:val="0011288A"/>
    <w:rsid w:val="00112F33"/>
    <w:rsid w:val="00112FD7"/>
    <w:rsid w:val="001134CA"/>
    <w:rsid w:val="00113A3A"/>
    <w:rsid w:val="00113E05"/>
    <w:rsid w:val="00114142"/>
    <w:rsid w:val="001148F9"/>
    <w:rsid w:val="00114D21"/>
    <w:rsid w:val="0011523D"/>
    <w:rsid w:val="00115309"/>
    <w:rsid w:val="001156FF"/>
    <w:rsid w:val="00115B3D"/>
    <w:rsid w:val="00115EEF"/>
    <w:rsid w:val="00116D1C"/>
    <w:rsid w:val="00117531"/>
    <w:rsid w:val="00117FB1"/>
    <w:rsid w:val="0012027B"/>
    <w:rsid w:val="0012149A"/>
    <w:rsid w:val="00121AAC"/>
    <w:rsid w:val="00121E4A"/>
    <w:rsid w:val="00122270"/>
    <w:rsid w:val="00122724"/>
    <w:rsid w:val="00122A6A"/>
    <w:rsid w:val="00123315"/>
    <w:rsid w:val="001233B9"/>
    <w:rsid w:val="00123D72"/>
    <w:rsid w:val="001241BD"/>
    <w:rsid w:val="001248F5"/>
    <w:rsid w:val="001254FC"/>
    <w:rsid w:val="001255B6"/>
    <w:rsid w:val="001256AF"/>
    <w:rsid w:val="00126210"/>
    <w:rsid w:val="00126398"/>
    <w:rsid w:val="0012664E"/>
    <w:rsid w:val="00126677"/>
    <w:rsid w:val="001267DA"/>
    <w:rsid w:val="00126ACF"/>
    <w:rsid w:val="00126DED"/>
    <w:rsid w:val="00126E89"/>
    <w:rsid w:val="0012719F"/>
    <w:rsid w:val="00127459"/>
    <w:rsid w:val="00127B65"/>
    <w:rsid w:val="00130176"/>
    <w:rsid w:val="00130850"/>
    <w:rsid w:val="00130B80"/>
    <w:rsid w:val="00131097"/>
    <w:rsid w:val="0013170B"/>
    <w:rsid w:val="00131AD7"/>
    <w:rsid w:val="00131C42"/>
    <w:rsid w:val="0013200A"/>
    <w:rsid w:val="00132050"/>
    <w:rsid w:val="001320C0"/>
    <w:rsid w:val="001325E0"/>
    <w:rsid w:val="00132EB5"/>
    <w:rsid w:val="00132EE5"/>
    <w:rsid w:val="00133A9B"/>
    <w:rsid w:val="00133AD8"/>
    <w:rsid w:val="00134118"/>
    <w:rsid w:val="00134206"/>
    <w:rsid w:val="00134373"/>
    <w:rsid w:val="001348CE"/>
    <w:rsid w:val="00134EEB"/>
    <w:rsid w:val="00134FBE"/>
    <w:rsid w:val="0013559B"/>
    <w:rsid w:val="001355DA"/>
    <w:rsid w:val="001356B1"/>
    <w:rsid w:val="00135C23"/>
    <w:rsid w:val="0013684C"/>
    <w:rsid w:val="00136B43"/>
    <w:rsid w:val="00136BA7"/>
    <w:rsid w:val="00136EE6"/>
    <w:rsid w:val="00136F35"/>
    <w:rsid w:val="00136F39"/>
    <w:rsid w:val="00137442"/>
    <w:rsid w:val="00137632"/>
    <w:rsid w:val="00137866"/>
    <w:rsid w:val="00137B7C"/>
    <w:rsid w:val="001406F3"/>
    <w:rsid w:val="001407CA"/>
    <w:rsid w:val="00140891"/>
    <w:rsid w:val="001409DD"/>
    <w:rsid w:val="00140F05"/>
    <w:rsid w:val="00141089"/>
    <w:rsid w:val="00141315"/>
    <w:rsid w:val="0014179B"/>
    <w:rsid w:val="00141D2A"/>
    <w:rsid w:val="00142564"/>
    <w:rsid w:val="00142668"/>
    <w:rsid w:val="001429BE"/>
    <w:rsid w:val="00143129"/>
    <w:rsid w:val="00143162"/>
    <w:rsid w:val="0014320E"/>
    <w:rsid w:val="001435E6"/>
    <w:rsid w:val="00143887"/>
    <w:rsid w:val="0014399E"/>
    <w:rsid w:val="00144209"/>
    <w:rsid w:val="001443CF"/>
    <w:rsid w:val="00144B34"/>
    <w:rsid w:val="001451D8"/>
    <w:rsid w:val="00145897"/>
    <w:rsid w:val="00145CC9"/>
    <w:rsid w:val="001462D2"/>
    <w:rsid w:val="001500FA"/>
    <w:rsid w:val="00150776"/>
    <w:rsid w:val="00150856"/>
    <w:rsid w:val="00151441"/>
    <w:rsid w:val="001515E7"/>
    <w:rsid w:val="00151837"/>
    <w:rsid w:val="00152649"/>
    <w:rsid w:val="001532A5"/>
    <w:rsid w:val="00153AFB"/>
    <w:rsid w:val="001540F2"/>
    <w:rsid w:val="00154B5B"/>
    <w:rsid w:val="001551B5"/>
    <w:rsid w:val="00155317"/>
    <w:rsid w:val="001560B7"/>
    <w:rsid w:val="00156112"/>
    <w:rsid w:val="001563A3"/>
    <w:rsid w:val="0015675E"/>
    <w:rsid w:val="001567A8"/>
    <w:rsid w:val="00157224"/>
    <w:rsid w:val="00157495"/>
    <w:rsid w:val="0015798A"/>
    <w:rsid w:val="001601D6"/>
    <w:rsid w:val="0016033B"/>
    <w:rsid w:val="001605A7"/>
    <w:rsid w:val="00160D55"/>
    <w:rsid w:val="0016127F"/>
    <w:rsid w:val="00161886"/>
    <w:rsid w:val="001618D2"/>
    <w:rsid w:val="0016285C"/>
    <w:rsid w:val="00162884"/>
    <w:rsid w:val="0016406C"/>
    <w:rsid w:val="001648E7"/>
    <w:rsid w:val="00164ACB"/>
    <w:rsid w:val="00164AE1"/>
    <w:rsid w:val="0016547A"/>
    <w:rsid w:val="0016598A"/>
    <w:rsid w:val="00165F7A"/>
    <w:rsid w:val="0016601F"/>
    <w:rsid w:val="001668C0"/>
    <w:rsid w:val="00166F02"/>
    <w:rsid w:val="00167215"/>
    <w:rsid w:val="001677F9"/>
    <w:rsid w:val="001701B6"/>
    <w:rsid w:val="001705EF"/>
    <w:rsid w:val="00170759"/>
    <w:rsid w:val="00170FE8"/>
    <w:rsid w:val="0017110A"/>
    <w:rsid w:val="001716B2"/>
    <w:rsid w:val="00172069"/>
    <w:rsid w:val="00172DD8"/>
    <w:rsid w:val="00173617"/>
    <w:rsid w:val="0017396E"/>
    <w:rsid w:val="00173CF8"/>
    <w:rsid w:val="00173F2B"/>
    <w:rsid w:val="00174728"/>
    <w:rsid w:val="00174C9C"/>
    <w:rsid w:val="00175352"/>
    <w:rsid w:val="001756AF"/>
    <w:rsid w:val="001758EE"/>
    <w:rsid w:val="00175A65"/>
    <w:rsid w:val="00175DDB"/>
    <w:rsid w:val="00176764"/>
    <w:rsid w:val="00176902"/>
    <w:rsid w:val="001769E3"/>
    <w:rsid w:val="00176B85"/>
    <w:rsid w:val="00176FEB"/>
    <w:rsid w:val="00177106"/>
    <w:rsid w:val="001773CF"/>
    <w:rsid w:val="00177575"/>
    <w:rsid w:val="0017757E"/>
    <w:rsid w:val="00177A70"/>
    <w:rsid w:val="00180DC0"/>
    <w:rsid w:val="00180F3C"/>
    <w:rsid w:val="00180F65"/>
    <w:rsid w:val="00181375"/>
    <w:rsid w:val="0018162A"/>
    <w:rsid w:val="001817E8"/>
    <w:rsid w:val="00181D95"/>
    <w:rsid w:val="00181FDA"/>
    <w:rsid w:val="001827B7"/>
    <w:rsid w:val="00182C05"/>
    <w:rsid w:val="00182E65"/>
    <w:rsid w:val="00182EB4"/>
    <w:rsid w:val="0018373C"/>
    <w:rsid w:val="00183F40"/>
    <w:rsid w:val="00184280"/>
    <w:rsid w:val="00184366"/>
    <w:rsid w:val="001846AC"/>
    <w:rsid w:val="00184CF5"/>
    <w:rsid w:val="00185BBB"/>
    <w:rsid w:val="00186D56"/>
    <w:rsid w:val="00186DA0"/>
    <w:rsid w:val="0018754D"/>
    <w:rsid w:val="00190395"/>
    <w:rsid w:val="00190694"/>
    <w:rsid w:val="00190CAE"/>
    <w:rsid w:val="001910B6"/>
    <w:rsid w:val="00191A04"/>
    <w:rsid w:val="00191C5B"/>
    <w:rsid w:val="00191D1D"/>
    <w:rsid w:val="00192820"/>
    <w:rsid w:val="00193187"/>
    <w:rsid w:val="001934AA"/>
    <w:rsid w:val="001934E1"/>
    <w:rsid w:val="00194347"/>
    <w:rsid w:val="0019437A"/>
    <w:rsid w:val="001943BB"/>
    <w:rsid w:val="00194598"/>
    <w:rsid w:val="00194936"/>
    <w:rsid w:val="001949BF"/>
    <w:rsid w:val="00194BA4"/>
    <w:rsid w:val="00194FB1"/>
    <w:rsid w:val="00195307"/>
    <w:rsid w:val="001954E7"/>
    <w:rsid w:val="001955AA"/>
    <w:rsid w:val="00195FD6"/>
    <w:rsid w:val="001964C2"/>
    <w:rsid w:val="001964E8"/>
    <w:rsid w:val="001964FB"/>
    <w:rsid w:val="00196B3E"/>
    <w:rsid w:val="001970C1"/>
    <w:rsid w:val="001978DF"/>
    <w:rsid w:val="00197B26"/>
    <w:rsid w:val="00197EAD"/>
    <w:rsid w:val="001A0663"/>
    <w:rsid w:val="001A0A94"/>
    <w:rsid w:val="001A137B"/>
    <w:rsid w:val="001A1D77"/>
    <w:rsid w:val="001A20F1"/>
    <w:rsid w:val="001A2BE7"/>
    <w:rsid w:val="001A3557"/>
    <w:rsid w:val="001A374A"/>
    <w:rsid w:val="001A3ACD"/>
    <w:rsid w:val="001A4021"/>
    <w:rsid w:val="001A4688"/>
    <w:rsid w:val="001A51E8"/>
    <w:rsid w:val="001A5F28"/>
    <w:rsid w:val="001A5F55"/>
    <w:rsid w:val="001A69D3"/>
    <w:rsid w:val="001A6A33"/>
    <w:rsid w:val="001A6E98"/>
    <w:rsid w:val="001A6F1A"/>
    <w:rsid w:val="001A6F9E"/>
    <w:rsid w:val="001A7816"/>
    <w:rsid w:val="001A7E2F"/>
    <w:rsid w:val="001B0191"/>
    <w:rsid w:val="001B0801"/>
    <w:rsid w:val="001B0DEE"/>
    <w:rsid w:val="001B11FC"/>
    <w:rsid w:val="001B160C"/>
    <w:rsid w:val="001B2BF3"/>
    <w:rsid w:val="001B2E0C"/>
    <w:rsid w:val="001B2FEA"/>
    <w:rsid w:val="001B3608"/>
    <w:rsid w:val="001B3CE1"/>
    <w:rsid w:val="001B3DA8"/>
    <w:rsid w:val="001B3F0E"/>
    <w:rsid w:val="001B3F79"/>
    <w:rsid w:val="001B4395"/>
    <w:rsid w:val="001B44D8"/>
    <w:rsid w:val="001B44E1"/>
    <w:rsid w:val="001B4725"/>
    <w:rsid w:val="001B4966"/>
    <w:rsid w:val="001B4DC9"/>
    <w:rsid w:val="001B53D1"/>
    <w:rsid w:val="001B596E"/>
    <w:rsid w:val="001B5BE8"/>
    <w:rsid w:val="001B5E46"/>
    <w:rsid w:val="001B6318"/>
    <w:rsid w:val="001B6C05"/>
    <w:rsid w:val="001B723C"/>
    <w:rsid w:val="001B7457"/>
    <w:rsid w:val="001B75B7"/>
    <w:rsid w:val="001B7B69"/>
    <w:rsid w:val="001B7FBD"/>
    <w:rsid w:val="001C0223"/>
    <w:rsid w:val="001C12ED"/>
    <w:rsid w:val="001C17C0"/>
    <w:rsid w:val="001C23E9"/>
    <w:rsid w:val="001C330E"/>
    <w:rsid w:val="001C33EB"/>
    <w:rsid w:val="001C3405"/>
    <w:rsid w:val="001C39FF"/>
    <w:rsid w:val="001C46D8"/>
    <w:rsid w:val="001C5470"/>
    <w:rsid w:val="001C5498"/>
    <w:rsid w:val="001C5566"/>
    <w:rsid w:val="001C58C9"/>
    <w:rsid w:val="001C6F37"/>
    <w:rsid w:val="001C78D3"/>
    <w:rsid w:val="001C7BA2"/>
    <w:rsid w:val="001C7F83"/>
    <w:rsid w:val="001D020B"/>
    <w:rsid w:val="001D06DE"/>
    <w:rsid w:val="001D0868"/>
    <w:rsid w:val="001D0884"/>
    <w:rsid w:val="001D0A30"/>
    <w:rsid w:val="001D0B7C"/>
    <w:rsid w:val="001D0D06"/>
    <w:rsid w:val="001D0D39"/>
    <w:rsid w:val="001D1326"/>
    <w:rsid w:val="001D1387"/>
    <w:rsid w:val="001D147F"/>
    <w:rsid w:val="001D149B"/>
    <w:rsid w:val="001D156D"/>
    <w:rsid w:val="001D194F"/>
    <w:rsid w:val="001D1C2D"/>
    <w:rsid w:val="001D1F6D"/>
    <w:rsid w:val="001D2609"/>
    <w:rsid w:val="001D27EF"/>
    <w:rsid w:val="001D3329"/>
    <w:rsid w:val="001D34F7"/>
    <w:rsid w:val="001D36DD"/>
    <w:rsid w:val="001D4678"/>
    <w:rsid w:val="001D4C8B"/>
    <w:rsid w:val="001D5055"/>
    <w:rsid w:val="001D50C2"/>
    <w:rsid w:val="001D5129"/>
    <w:rsid w:val="001D5619"/>
    <w:rsid w:val="001D58CD"/>
    <w:rsid w:val="001D5A07"/>
    <w:rsid w:val="001D6EAB"/>
    <w:rsid w:val="001D704B"/>
    <w:rsid w:val="001D73F4"/>
    <w:rsid w:val="001E0440"/>
    <w:rsid w:val="001E0808"/>
    <w:rsid w:val="001E088D"/>
    <w:rsid w:val="001E0A8A"/>
    <w:rsid w:val="001E0C2F"/>
    <w:rsid w:val="001E197D"/>
    <w:rsid w:val="001E1987"/>
    <w:rsid w:val="001E1B5D"/>
    <w:rsid w:val="001E1F52"/>
    <w:rsid w:val="001E20B0"/>
    <w:rsid w:val="001E21A1"/>
    <w:rsid w:val="001E22C4"/>
    <w:rsid w:val="001E262C"/>
    <w:rsid w:val="001E2E24"/>
    <w:rsid w:val="001E301A"/>
    <w:rsid w:val="001E3471"/>
    <w:rsid w:val="001E37A3"/>
    <w:rsid w:val="001E382E"/>
    <w:rsid w:val="001E3F8C"/>
    <w:rsid w:val="001E40C4"/>
    <w:rsid w:val="001E4E43"/>
    <w:rsid w:val="001E4FF7"/>
    <w:rsid w:val="001E5497"/>
    <w:rsid w:val="001E59FC"/>
    <w:rsid w:val="001E5C5B"/>
    <w:rsid w:val="001E75F1"/>
    <w:rsid w:val="001E777D"/>
    <w:rsid w:val="001E7BB3"/>
    <w:rsid w:val="001E7C40"/>
    <w:rsid w:val="001F057B"/>
    <w:rsid w:val="001F08D8"/>
    <w:rsid w:val="001F0996"/>
    <w:rsid w:val="001F1253"/>
    <w:rsid w:val="001F1396"/>
    <w:rsid w:val="001F18F0"/>
    <w:rsid w:val="001F1EAE"/>
    <w:rsid w:val="001F2165"/>
    <w:rsid w:val="001F2964"/>
    <w:rsid w:val="001F2B91"/>
    <w:rsid w:val="001F2F97"/>
    <w:rsid w:val="001F3F76"/>
    <w:rsid w:val="001F472A"/>
    <w:rsid w:val="001F497A"/>
    <w:rsid w:val="001F4A60"/>
    <w:rsid w:val="001F50E9"/>
    <w:rsid w:val="001F58D1"/>
    <w:rsid w:val="001F5BE3"/>
    <w:rsid w:val="001F5D2F"/>
    <w:rsid w:val="001F5F80"/>
    <w:rsid w:val="001F60C6"/>
    <w:rsid w:val="001F6FCF"/>
    <w:rsid w:val="001F77BE"/>
    <w:rsid w:val="001F77EC"/>
    <w:rsid w:val="001F79EB"/>
    <w:rsid w:val="001F7C23"/>
    <w:rsid w:val="00200CF1"/>
    <w:rsid w:val="00200E25"/>
    <w:rsid w:val="002018F9"/>
    <w:rsid w:val="00201C71"/>
    <w:rsid w:val="00202985"/>
    <w:rsid w:val="002036E2"/>
    <w:rsid w:val="00203811"/>
    <w:rsid w:val="00203A09"/>
    <w:rsid w:val="00203A23"/>
    <w:rsid w:val="00203C82"/>
    <w:rsid w:val="00203CF3"/>
    <w:rsid w:val="00204688"/>
    <w:rsid w:val="00204955"/>
    <w:rsid w:val="00204B3D"/>
    <w:rsid w:val="00204E30"/>
    <w:rsid w:val="0020553D"/>
    <w:rsid w:val="00205809"/>
    <w:rsid w:val="0020592C"/>
    <w:rsid w:val="00205B8D"/>
    <w:rsid w:val="00205F79"/>
    <w:rsid w:val="00205FD9"/>
    <w:rsid w:val="00206CCC"/>
    <w:rsid w:val="00206D55"/>
    <w:rsid w:val="002070BA"/>
    <w:rsid w:val="00207135"/>
    <w:rsid w:val="002071A5"/>
    <w:rsid w:val="0020795B"/>
    <w:rsid w:val="00210BF7"/>
    <w:rsid w:val="00210E65"/>
    <w:rsid w:val="00210EF2"/>
    <w:rsid w:val="002114DA"/>
    <w:rsid w:val="002119E9"/>
    <w:rsid w:val="00211BFB"/>
    <w:rsid w:val="00211F45"/>
    <w:rsid w:val="00211FB9"/>
    <w:rsid w:val="00212449"/>
    <w:rsid w:val="00212824"/>
    <w:rsid w:val="002129E1"/>
    <w:rsid w:val="00212AA3"/>
    <w:rsid w:val="00212EB7"/>
    <w:rsid w:val="00214036"/>
    <w:rsid w:val="002147B9"/>
    <w:rsid w:val="00214A4B"/>
    <w:rsid w:val="00214B0E"/>
    <w:rsid w:val="0021512B"/>
    <w:rsid w:val="002151FF"/>
    <w:rsid w:val="002152AD"/>
    <w:rsid w:val="002155CF"/>
    <w:rsid w:val="002157E7"/>
    <w:rsid w:val="00215AF7"/>
    <w:rsid w:val="00215EE8"/>
    <w:rsid w:val="00216704"/>
    <w:rsid w:val="002170F1"/>
    <w:rsid w:val="002175DC"/>
    <w:rsid w:val="002175E8"/>
    <w:rsid w:val="002176F5"/>
    <w:rsid w:val="00217D69"/>
    <w:rsid w:val="00220F1A"/>
    <w:rsid w:val="00220F4B"/>
    <w:rsid w:val="0022131A"/>
    <w:rsid w:val="002213B8"/>
    <w:rsid w:val="00221C81"/>
    <w:rsid w:val="00221F5D"/>
    <w:rsid w:val="0022204B"/>
    <w:rsid w:val="00222635"/>
    <w:rsid w:val="002227F2"/>
    <w:rsid w:val="00222C9B"/>
    <w:rsid w:val="0022341E"/>
    <w:rsid w:val="00223689"/>
    <w:rsid w:val="002256CF"/>
    <w:rsid w:val="0022615C"/>
    <w:rsid w:val="002264D5"/>
    <w:rsid w:val="002267F0"/>
    <w:rsid w:val="00226A18"/>
    <w:rsid w:val="00227305"/>
    <w:rsid w:val="002273E3"/>
    <w:rsid w:val="00227D2E"/>
    <w:rsid w:val="00230676"/>
    <w:rsid w:val="00230FD2"/>
    <w:rsid w:val="002310F3"/>
    <w:rsid w:val="0023147E"/>
    <w:rsid w:val="00231CA2"/>
    <w:rsid w:val="00231D35"/>
    <w:rsid w:val="00231E02"/>
    <w:rsid w:val="00231E43"/>
    <w:rsid w:val="00231EF3"/>
    <w:rsid w:val="00232273"/>
    <w:rsid w:val="00232A28"/>
    <w:rsid w:val="00232C4B"/>
    <w:rsid w:val="00232CF9"/>
    <w:rsid w:val="00233481"/>
    <w:rsid w:val="00233898"/>
    <w:rsid w:val="00233D78"/>
    <w:rsid w:val="00234994"/>
    <w:rsid w:val="00234ABC"/>
    <w:rsid w:val="00235038"/>
    <w:rsid w:val="0023505F"/>
    <w:rsid w:val="00235ABA"/>
    <w:rsid w:val="00235AC8"/>
    <w:rsid w:val="00235BDE"/>
    <w:rsid w:val="00235E9C"/>
    <w:rsid w:val="00236EB0"/>
    <w:rsid w:val="002373C7"/>
    <w:rsid w:val="00237414"/>
    <w:rsid w:val="002376C8"/>
    <w:rsid w:val="00237B04"/>
    <w:rsid w:val="00237C4F"/>
    <w:rsid w:val="0024037E"/>
    <w:rsid w:val="00240A73"/>
    <w:rsid w:val="00240B63"/>
    <w:rsid w:val="00240E9D"/>
    <w:rsid w:val="0024130D"/>
    <w:rsid w:val="002418A4"/>
    <w:rsid w:val="00241CE3"/>
    <w:rsid w:val="00241F29"/>
    <w:rsid w:val="002422C8"/>
    <w:rsid w:val="00242453"/>
    <w:rsid w:val="0024275E"/>
    <w:rsid w:val="00242AB9"/>
    <w:rsid w:val="002440A6"/>
    <w:rsid w:val="00244FA1"/>
    <w:rsid w:val="00245150"/>
    <w:rsid w:val="00245835"/>
    <w:rsid w:val="00245901"/>
    <w:rsid w:val="00246B62"/>
    <w:rsid w:val="00246E6C"/>
    <w:rsid w:val="00247498"/>
    <w:rsid w:val="002474D7"/>
    <w:rsid w:val="0024785C"/>
    <w:rsid w:val="002504F6"/>
    <w:rsid w:val="002506EA"/>
    <w:rsid w:val="00251609"/>
    <w:rsid w:val="00251AF7"/>
    <w:rsid w:val="00251EBA"/>
    <w:rsid w:val="0025224B"/>
    <w:rsid w:val="00252417"/>
    <w:rsid w:val="00253629"/>
    <w:rsid w:val="002539E5"/>
    <w:rsid w:val="00253EE2"/>
    <w:rsid w:val="00253EEA"/>
    <w:rsid w:val="002546BD"/>
    <w:rsid w:val="0025527F"/>
    <w:rsid w:val="00255326"/>
    <w:rsid w:val="00255399"/>
    <w:rsid w:val="002554A7"/>
    <w:rsid w:val="00256582"/>
    <w:rsid w:val="002565D3"/>
    <w:rsid w:val="00256912"/>
    <w:rsid w:val="00256BDA"/>
    <w:rsid w:val="002578D3"/>
    <w:rsid w:val="002606C9"/>
    <w:rsid w:val="00260BB5"/>
    <w:rsid w:val="00261536"/>
    <w:rsid w:val="00261952"/>
    <w:rsid w:val="00261B77"/>
    <w:rsid w:val="00261D56"/>
    <w:rsid w:val="00261F26"/>
    <w:rsid w:val="00261F8B"/>
    <w:rsid w:val="00262138"/>
    <w:rsid w:val="00262264"/>
    <w:rsid w:val="002622FE"/>
    <w:rsid w:val="00262793"/>
    <w:rsid w:val="00262B3D"/>
    <w:rsid w:val="00263872"/>
    <w:rsid w:val="0026430E"/>
    <w:rsid w:val="002648F1"/>
    <w:rsid w:val="00264918"/>
    <w:rsid w:val="00265441"/>
    <w:rsid w:val="00265C82"/>
    <w:rsid w:val="00266235"/>
    <w:rsid w:val="00266A9F"/>
    <w:rsid w:val="00267156"/>
    <w:rsid w:val="0027044F"/>
    <w:rsid w:val="002705FC"/>
    <w:rsid w:val="0027218A"/>
    <w:rsid w:val="00272506"/>
    <w:rsid w:val="00272577"/>
    <w:rsid w:val="00272D84"/>
    <w:rsid w:val="00272E22"/>
    <w:rsid w:val="00272F52"/>
    <w:rsid w:val="00273C60"/>
    <w:rsid w:val="00273E24"/>
    <w:rsid w:val="00273EDB"/>
    <w:rsid w:val="0027434B"/>
    <w:rsid w:val="002750A4"/>
    <w:rsid w:val="00275A68"/>
    <w:rsid w:val="00275E5E"/>
    <w:rsid w:val="00276274"/>
    <w:rsid w:val="002762E2"/>
    <w:rsid w:val="002763E3"/>
    <w:rsid w:val="00276504"/>
    <w:rsid w:val="00276749"/>
    <w:rsid w:val="002767F1"/>
    <w:rsid w:val="00276A90"/>
    <w:rsid w:val="00276F20"/>
    <w:rsid w:val="00277992"/>
    <w:rsid w:val="00277BFF"/>
    <w:rsid w:val="00277FD1"/>
    <w:rsid w:val="002800F2"/>
    <w:rsid w:val="002801BA"/>
    <w:rsid w:val="0028030E"/>
    <w:rsid w:val="00280AA7"/>
    <w:rsid w:val="00280B25"/>
    <w:rsid w:val="00280CD4"/>
    <w:rsid w:val="00280E49"/>
    <w:rsid w:val="002814E0"/>
    <w:rsid w:val="00281590"/>
    <w:rsid w:val="00281854"/>
    <w:rsid w:val="0028198E"/>
    <w:rsid w:val="00282A09"/>
    <w:rsid w:val="00282BCA"/>
    <w:rsid w:val="0028320E"/>
    <w:rsid w:val="0028381B"/>
    <w:rsid w:val="00283F1A"/>
    <w:rsid w:val="002859C4"/>
    <w:rsid w:val="00285B60"/>
    <w:rsid w:val="00285D97"/>
    <w:rsid w:val="00286CBE"/>
    <w:rsid w:val="00286EC3"/>
    <w:rsid w:val="00286ED7"/>
    <w:rsid w:val="00287137"/>
    <w:rsid w:val="00287789"/>
    <w:rsid w:val="002878E8"/>
    <w:rsid w:val="00287A47"/>
    <w:rsid w:val="00287FF7"/>
    <w:rsid w:val="00290E2B"/>
    <w:rsid w:val="00291C86"/>
    <w:rsid w:val="00291CBD"/>
    <w:rsid w:val="00292357"/>
    <w:rsid w:val="002926A0"/>
    <w:rsid w:val="00292D1F"/>
    <w:rsid w:val="00292D49"/>
    <w:rsid w:val="002934EE"/>
    <w:rsid w:val="00293550"/>
    <w:rsid w:val="00293A9B"/>
    <w:rsid w:val="0029417B"/>
    <w:rsid w:val="002942C7"/>
    <w:rsid w:val="0029457C"/>
    <w:rsid w:val="002950A1"/>
    <w:rsid w:val="00296C9A"/>
    <w:rsid w:val="00296D39"/>
    <w:rsid w:val="00296D68"/>
    <w:rsid w:val="00296EF4"/>
    <w:rsid w:val="002A0272"/>
    <w:rsid w:val="002A037D"/>
    <w:rsid w:val="002A0510"/>
    <w:rsid w:val="002A117A"/>
    <w:rsid w:val="002A1B0D"/>
    <w:rsid w:val="002A1BF9"/>
    <w:rsid w:val="002A1EAC"/>
    <w:rsid w:val="002A1F28"/>
    <w:rsid w:val="002A2A45"/>
    <w:rsid w:val="002A385B"/>
    <w:rsid w:val="002A3A62"/>
    <w:rsid w:val="002A3BFD"/>
    <w:rsid w:val="002A3C6F"/>
    <w:rsid w:val="002A4A65"/>
    <w:rsid w:val="002A5251"/>
    <w:rsid w:val="002A536D"/>
    <w:rsid w:val="002A5CF0"/>
    <w:rsid w:val="002A604F"/>
    <w:rsid w:val="002A73D2"/>
    <w:rsid w:val="002A7627"/>
    <w:rsid w:val="002A7642"/>
    <w:rsid w:val="002B016A"/>
    <w:rsid w:val="002B0624"/>
    <w:rsid w:val="002B0770"/>
    <w:rsid w:val="002B115F"/>
    <w:rsid w:val="002B19FC"/>
    <w:rsid w:val="002B1BC4"/>
    <w:rsid w:val="002B1C43"/>
    <w:rsid w:val="002B1E4F"/>
    <w:rsid w:val="002B2684"/>
    <w:rsid w:val="002B2877"/>
    <w:rsid w:val="002B34B0"/>
    <w:rsid w:val="002B34D7"/>
    <w:rsid w:val="002B3E9C"/>
    <w:rsid w:val="002B41CB"/>
    <w:rsid w:val="002B44AB"/>
    <w:rsid w:val="002B4998"/>
    <w:rsid w:val="002B4AD9"/>
    <w:rsid w:val="002B4C10"/>
    <w:rsid w:val="002B500F"/>
    <w:rsid w:val="002B5467"/>
    <w:rsid w:val="002B54FF"/>
    <w:rsid w:val="002B57C4"/>
    <w:rsid w:val="002B5CF1"/>
    <w:rsid w:val="002B5DAC"/>
    <w:rsid w:val="002B5F02"/>
    <w:rsid w:val="002B6590"/>
    <w:rsid w:val="002B72FB"/>
    <w:rsid w:val="002B7811"/>
    <w:rsid w:val="002B7C19"/>
    <w:rsid w:val="002C01DC"/>
    <w:rsid w:val="002C02FF"/>
    <w:rsid w:val="002C04DB"/>
    <w:rsid w:val="002C0643"/>
    <w:rsid w:val="002C11B7"/>
    <w:rsid w:val="002C139D"/>
    <w:rsid w:val="002C1FAD"/>
    <w:rsid w:val="002C25B3"/>
    <w:rsid w:val="002C25B7"/>
    <w:rsid w:val="002C2AE5"/>
    <w:rsid w:val="002C320F"/>
    <w:rsid w:val="002C3751"/>
    <w:rsid w:val="002C399B"/>
    <w:rsid w:val="002C3D86"/>
    <w:rsid w:val="002C3FE4"/>
    <w:rsid w:val="002C468F"/>
    <w:rsid w:val="002C4A97"/>
    <w:rsid w:val="002C4B9E"/>
    <w:rsid w:val="002C5082"/>
    <w:rsid w:val="002C573E"/>
    <w:rsid w:val="002C59FC"/>
    <w:rsid w:val="002C5C8C"/>
    <w:rsid w:val="002C61E4"/>
    <w:rsid w:val="002C67C1"/>
    <w:rsid w:val="002C6BD0"/>
    <w:rsid w:val="002C6C8C"/>
    <w:rsid w:val="002C6D3C"/>
    <w:rsid w:val="002C73BF"/>
    <w:rsid w:val="002C7EF0"/>
    <w:rsid w:val="002C7F07"/>
    <w:rsid w:val="002D0230"/>
    <w:rsid w:val="002D0693"/>
    <w:rsid w:val="002D0897"/>
    <w:rsid w:val="002D09A3"/>
    <w:rsid w:val="002D0A98"/>
    <w:rsid w:val="002D0B49"/>
    <w:rsid w:val="002D0C33"/>
    <w:rsid w:val="002D0DBF"/>
    <w:rsid w:val="002D0DC6"/>
    <w:rsid w:val="002D1148"/>
    <w:rsid w:val="002D12F2"/>
    <w:rsid w:val="002D1697"/>
    <w:rsid w:val="002D18B8"/>
    <w:rsid w:val="002D1BE9"/>
    <w:rsid w:val="002D1E41"/>
    <w:rsid w:val="002D2175"/>
    <w:rsid w:val="002D23F4"/>
    <w:rsid w:val="002D3466"/>
    <w:rsid w:val="002D37A7"/>
    <w:rsid w:val="002D3E74"/>
    <w:rsid w:val="002D429B"/>
    <w:rsid w:val="002D43B2"/>
    <w:rsid w:val="002D48B6"/>
    <w:rsid w:val="002D5357"/>
    <w:rsid w:val="002D538C"/>
    <w:rsid w:val="002D53D7"/>
    <w:rsid w:val="002D599F"/>
    <w:rsid w:val="002D644B"/>
    <w:rsid w:val="002D6B75"/>
    <w:rsid w:val="002D6DB1"/>
    <w:rsid w:val="002D7237"/>
    <w:rsid w:val="002D723B"/>
    <w:rsid w:val="002D740D"/>
    <w:rsid w:val="002D7547"/>
    <w:rsid w:val="002D7654"/>
    <w:rsid w:val="002D7678"/>
    <w:rsid w:val="002D7796"/>
    <w:rsid w:val="002D7987"/>
    <w:rsid w:val="002D79BD"/>
    <w:rsid w:val="002E0468"/>
    <w:rsid w:val="002E065C"/>
    <w:rsid w:val="002E0B10"/>
    <w:rsid w:val="002E0B1E"/>
    <w:rsid w:val="002E0B20"/>
    <w:rsid w:val="002E12B0"/>
    <w:rsid w:val="002E13DF"/>
    <w:rsid w:val="002E166F"/>
    <w:rsid w:val="002E19F7"/>
    <w:rsid w:val="002E1C65"/>
    <w:rsid w:val="002E20EB"/>
    <w:rsid w:val="002E25B4"/>
    <w:rsid w:val="002E26B7"/>
    <w:rsid w:val="002E2B5B"/>
    <w:rsid w:val="002E30E5"/>
    <w:rsid w:val="002E3313"/>
    <w:rsid w:val="002E3317"/>
    <w:rsid w:val="002E3C6F"/>
    <w:rsid w:val="002E45F1"/>
    <w:rsid w:val="002E474F"/>
    <w:rsid w:val="002E4E07"/>
    <w:rsid w:val="002E4F78"/>
    <w:rsid w:val="002E56DC"/>
    <w:rsid w:val="002E5EDA"/>
    <w:rsid w:val="002E6028"/>
    <w:rsid w:val="002E62B3"/>
    <w:rsid w:val="002E6314"/>
    <w:rsid w:val="002E6D49"/>
    <w:rsid w:val="002E6E0B"/>
    <w:rsid w:val="002E6FE3"/>
    <w:rsid w:val="002E7238"/>
    <w:rsid w:val="002E75D1"/>
    <w:rsid w:val="002E7779"/>
    <w:rsid w:val="002F0279"/>
    <w:rsid w:val="002F079A"/>
    <w:rsid w:val="002F09FE"/>
    <w:rsid w:val="002F0A28"/>
    <w:rsid w:val="002F0B2F"/>
    <w:rsid w:val="002F0C5E"/>
    <w:rsid w:val="002F232D"/>
    <w:rsid w:val="002F2CEF"/>
    <w:rsid w:val="002F2D70"/>
    <w:rsid w:val="002F32D2"/>
    <w:rsid w:val="002F3F16"/>
    <w:rsid w:val="002F4552"/>
    <w:rsid w:val="002F4A35"/>
    <w:rsid w:val="002F5FBE"/>
    <w:rsid w:val="002F60F2"/>
    <w:rsid w:val="002F6284"/>
    <w:rsid w:val="002F6BCC"/>
    <w:rsid w:val="002F6DC6"/>
    <w:rsid w:val="002F713B"/>
    <w:rsid w:val="002F71C0"/>
    <w:rsid w:val="002F71D7"/>
    <w:rsid w:val="002F7277"/>
    <w:rsid w:val="002F746F"/>
    <w:rsid w:val="002F7DB6"/>
    <w:rsid w:val="002F7E98"/>
    <w:rsid w:val="002F7F03"/>
    <w:rsid w:val="003000E1"/>
    <w:rsid w:val="003007F3"/>
    <w:rsid w:val="003008E5"/>
    <w:rsid w:val="00301235"/>
    <w:rsid w:val="00301900"/>
    <w:rsid w:val="00301CD9"/>
    <w:rsid w:val="00301FAF"/>
    <w:rsid w:val="0030293D"/>
    <w:rsid w:val="00302A45"/>
    <w:rsid w:val="00302B58"/>
    <w:rsid w:val="00302B6D"/>
    <w:rsid w:val="003037C5"/>
    <w:rsid w:val="003037C9"/>
    <w:rsid w:val="00303C36"/>
    <w:rsid w:val="00303D34"/>
    <w:rsid w:val="00303D47"/>
    <w:rsid w:val="00303D64"/>
    <w:rsid w:val="003040F8"/>
    <w:rsid w:val="003041C5"/>
    <w:rsid w:val="003043B1"/>
    <w:rsid w:val="0030464F"/>
    <w:rsid w:val="003046EA"/>
    <w:rsid w:val="00304904"/>
    <w:rsid w:val="00304A0D"/>
    <w:rsid w:val="00304DD3"/>
    <w:rsid w:val="003059C7"/>
    <w:rsid w:val="00305ED7"/>
    <w:rsid w:val="0030615E"/>
    <w:rsid w:val="00306306"/>
    <w:rsid w:val="00306334"/>
    <w:rsid w:val="0030650D"/>
    <w:rsid w:val="0030689D"/>
    <w:rsid w:val="00307060"/>
    <w:rsid w:val="0030731E"/>
    <w:rsid w:val="00307923"/>
    <w:rsid w:val="00307D90"/>
    <w:rsid w:val="00310428"/>
    <w:rsid w:val="0031098C"/>
    <w:rsid w:val="00310B5F"/>
    <w:rsid w:val="00310B7B"/>
    <w:rsid w:val="00310BFF"/>
    <w:rsid w:val="00310DE3"/>
    <w:rsid w:val="00310DEC"/>
    <w:rsid w:val="00310E58"/>
    <w:rsid w:val="003113F2"/>
    <w:rsid w:val="00311955"/>
    <w:rsid w:val="00311EF5"/>
    <w:rsid w:val="00312121"/>
    <w:rsid w:val="003125FE"/>
    <w:rsid w:val="00312A69"/>
    <w:rsid w:val="00312ADB"/>
    <w:rsid w:val="003130F5"/>
    <w:rsid w:val="003131F3"/>
    <w:rsid w:val="00313B22"/>
    <w:rsid w:val="00313F5B"/>
    <w:rsid w:val="0031420D"/>
    <w:rsid w:val="003149A6"/>
    <w:rsid w:val="00314CB5"/>
    <w:rsid w:val="003152F5"/>
    <w:rsid w:val="003159D2"/>
    <w:rsid w:val="00315A31"/>
    <w:rsid w:val="00315DE5"/>
    <w:rsid w:val="00316215"/>
    <w:rsid w:val="003168E6"/>
    <w:rsid w:val="003178D8"/>
    <w:rsid w:val="003179D8"/>
    <w:rsid w:val="00317CE1"/>
    <w:rsid w:val="00317E18"/>
    <w:rsid w:val="00320BD3"/>
    <w:rsid w:val="003210A3"/>
    <w:rsid w:val="003212F4"/>
    <w:rsid w:val="00321F55"/>
    <w:rsid w:val="003229E6"/>
    <w:rsid w:val="00322D9D"/>
    <w:rsid w:val="003234F4"/>
    <w:rsid w:val="00323547"/>
    <w:rsid w:val="00323844"/>
    <w:rsid w:val="0032462A"/>
    <w:rsid w:val="00325163"/>
    <w:rsid w:val="00325482"/>
    <w:rsid w:val="00325C24"/>
    <w:rsid w:val="00325CF9"/>
    <w:rsid w:val="00325F8F"/>
    <w:rsid w:val="0032629B"/>
    <w:rsid w:val="0032636B"/>
    <w:rsid w:val="0032654F"/>
    <w:rsid w:val="003268DC"/>
    <w:rsid w:val="003268E0"/>
    <w:rsid w:val="00326F7D"/>
    <w:rsid w:val="00327DA4"/>
    <w:rsid w:val="00327E8E"/>
    <w:rsid w:val="003304ED"/>
    <w:rsid w:val="003307E2"/>
    <w:rsid w:val="0033096B"/>
    <w:rsid w:val="00330F07"/>
    <w:rsid w:val="00331153"/>
    <w:rsid w:val="003312F1"/>
    <w:rsid w:val="003312FD"/>
    <w:rsid w:val="00331547"/>
    <w:rsid w:val="00332032"/>
    <w:rsid w:val="00332335"/>
    <w:rsid w:val="00332502"/>
    <w:rsid w:val="00332D7B"/>
    <w:rsid w:val="00333041"/>
    <w:rsid w:val="003331C0"/>
    <w:rsid w:val="00333993"/>
    <w:rsid w:val="00333BBB"/>
    <w:rsid w:val="003345C0"/>
    <w:rsid w:val="00334F87"/>
    <w:rsid w:val="0033583A"/>
    <w:rsid w:val="0033656F"/>
    <w:rsid w:val="00336C87"/>
    <w:rsid w:val="00336D53"/>
    <w:rsid w:val="003372DD"/>
    <w:rsid w:val="00337B72"/>
    <w:rsid w:val="00337DF4"/>
    <w:rsid w:val="00337E71"/>
    <w:rsid w:val="0034029D"/>
    <w:rsid w:val="003404F6"/>
    <w:rsid w:val="00340782"/>
    <w:rsid w:val="00340A8E"/>
    <w:rsid w:val="00340E1F"/>
    <w:rsid w:val="0034141C"/>
    <w:rsid w:val="00341E34"/>
    <w:rsid w:val="003424D3"/>
    <w:rsid w:val="0034255C"/>
    <w:rsid w:val="00342664"/>
    <w:rsid w:val="0034319E"/>
    <w:rsid w:val="0034334B"/>
    <w:rsid w:val="0034396E"/>
    <w:rsid w:val="00343ABA"/>
    <w:rsid w:val="00343BE0"/>
    <w:rsid w:val="00344944"/>
    <w:rsid w:val="00344D77"/>
    <w:rsid w:val="0034505C"/>
    <w:rsid w:val="00345101"/>
    <w:rsid w:val="003451E1"/>
    <w:rsid w:val="003455D8"/>
    <w:rsid w:val="0034560B"/>
    <w:rsid w:val="0034579C"/>
    <w:rsid w:val="00346802"/>
    <w:rsid w:val="00346870"/>
    <w:rsid w:val="003505C0"/>
    <w:rsid w:val="003507B2"/>
    <w:rsid w:val="00350A0B"/>
    <w:rsid w:val="00351C8A"/>
    <w:rsid w:val="00351CA6"/>
    <w:rsid w:val="00352169"/>
    <w:rsid w:val="003528F2"/>
    <w:rsid w:val="0035290E"/>
    <w:rsid w:val="0035297A"/>
    <w:rsid w:val="00352AD2"/>
    <w:rsid w:val="00353499"/>
    <w:rsid w:val="00353694"/>
    <w:rsid w:val="00353FEC"/>
    <w:rsid w:val="003547C8"/>
    <w:rsid w:val="00354E87"/>
    <w:rsid w:val="003550BB"/>
    <w:rsid w:val="00355344"/>
    <w:rsid w:val="00356509"/>
    <w:rsid w:val="00357141"/>
    <w:rsid w:val="00357875"/>
    <w:rsid w:val="00357EFF"/>
    <w:rsid w:val="00357F8A"/>
    <w:rsid w:val="003611DC"/>
    <w:rsid w:val="00361743"/>
    <w:rsid w:val="00361837"/>
    <w:rsid w:val="00361EDD"/>
    <w:rsid w:val="003620E5"/>
    <w:rsid w:val="00362652"/>
    <w:rsid w:val="00362800"/>
    <w:rsid w:val="00362FA3"/>
    <w:rsid w:val="0036385E"/>
    <w:rsid w:val="00363B34"/>
    <w:rsid w:val="00363E8A"/>
    <w:rsid w:val="0036419B"/>
    <w:rsid w:val="003644EF"/>
    <w:rsid w:val="0036452A"/>
    <w:rsid w:val="0036547D"/>
    <w:rsid w:val="0036587A"/>
    <w:rsid w:val="00365B9A"/>
    <w:rsid w:val="00365BC6"/>
    <w:rsid w:val="00365FDC"/>
    <w:rsid w:val="0036643E"/>
    <w:rsid w:val="00366F95"/>
    <w:rsid w:val="00367141"/>
    <w:rsid w:val="00367224"/>
    <w:rsid w:val="003674D2"/>
    <w:rsid w:val="00367896"/>
    <w:rsid w:val="003704E9"/>
    <w:rsid w:val="00370529"/>
    <w:rsid w:val="00370AA2"/>
    <w:rsid w:val="00370E0A"/>
    <w:rsid w:val="003711A2"/>
    <w:rsid w:val="003714E5"/>
    <w:rsid w:val="00371635"/>
    <w:rsid w:val="00371D60"/>
    <w:rsid w:val="00371D98"/>
    <w:rsid w:val="00371DE8"/>
    <w:rsid w:val="00372573"/>
    <w:rsid w:val="00372930"/>
    <w:rsid w:val="00372B2E"/>
    <w:rsid w:val="00373347"/>
    <w:rsid w:val="003736DA"/>
    <w:rsid w:val="003744F1"/>
    <w:rsid w:val="00374787"/>
    <w:rsid w:val="00374AD1"/>
    <w:rsid w:val="00375648"/>
    <w:rsid w:val="00375652"/>
    <w:rsid w:val="0037599B"/>
    <w:rsid w:val="00375BC7"/>
    <w:rsid w:val="0037612C"/>
    <w:rsid w:val="00376DA5"/>
    <w:rsid w:val="003779AF"/>
    <w:rsid w:val="003801DE"/>
    <w:rsid w:val="003803D1"/>
    <w:rsid w:val="0038076E"/>
    <w:rsid w:val="00380D2C"/>
    <w:rsid w:val="00380E89"/>
    <w:rsid w:val="00381061"/>
    <w:rsid w:val="00381097"/>
    <w:rsid w:val="00381228"/>
    <w:rsid w:val="0038261E"/>
    <w:rsid w:val="0038275F"/>
    <w:rsid w:val="003828E8"/>
    <w:rsid w:val="00382918"/>
    <w:rsid w:val="00382D3F"/>
    <w:rsid w:val="0038317F"/>
    <w:rsid w:val="00383EB4"/>
    <w:rsid w:val="00384512"/>
    <w:rsid w:val="003857F7"/>
    <w:rsid w:val="00385D72"/>
    <w:rsid w:val="003865DA"/>
    <w:rsid w:val="00386C87"/>
    <w:rsid w:val="0038740F"/>
    <w:rsid w:val="00387677"/>
    <w:rsid w:val="00387AF2"/>
    <w:rsid w:val="00390BA9"/>
    <w:rsid w:val="00390F3C"/>
    <w:rsid w:val="00391DAA"/>
    <w:rsid w:val="00391E6F"/>
    <w:rsid w:val="0039236D"/>
    <w:rsid w:val="003924D6"/>
    <w:rsid w:val="003929A4"/>
    <w:rsid w:val="00393963"/>
    <w:rsid w:val="00393EBB"/>
    <w:rsid w:val="00393FCF"/>
    <w:rsid w:val="00394390"/>
    <w:rsid w:val="003948A2"/>
    <w:rsid w:val="00394965"/>
    <w:rsid w:val="00394AB0"/>
    <w:rsid w:val="00394C18"/>
    <w:rsid w:val="0039583E"/>
    <w:rsid w:val="00395965"/>
    <w:rsid w:val="00395C11"/>
    <w:rsid w:val="00396636"/>
    <w:rsid w:val="003966FF"/>
    <w:rsid w:val="00396E75"/>
    <w:rsid w:val="00397B60"/>
    <w:rsid w:val="003A014A"/>
    <w:rsid w:val="003A0C75"/>
    <w:rsid w:val="003A103E"/>
    <w:rsid w:val="003A10AC"/>
    <w:rsid w:val="003A19FD"/>
    <w:rsid w:val="003A26B9"/>
    <w:rsid w:val="003A2EB2"/>
    <w:rsid w:val="003A3706"/>
    <w:rsid w:val="003A3F4E"/>
    <w:rsid w:val="003A5515"/>
    <w:rsid w:val="003A595D"/>
    <w:rsid w:val="003A5A68"/>
    <w:rsid w:val="003A5A72"/>
    <w:rsid w:val="003A6710"/>
    <w:rsid w:val="003A6F59"/>
    <w:rsid w:val="003A71C6"/>
    <w:rsid w:val="003A7501"/>
    <w:rsid w:val="003B017F"/>
    <w:rsid w:val="003B0698"/>
    <w:rsid w:val="003B0BC8"/>
    <w:rsid w:val="003B117F"/>
    <w:rsid w:val="003B169A"/>
    <w:rsid w:val="003B1A27"/>
    <w:rsid w:val="003B21A4"/>
    <w:rsid w:val="003B2882"/>
    <w:rsid w:val="003B2CBF"/>
    <w:rsid w:val="003B2DCF"/>
    <w:rsid w:val="003B309F"/>
    <w:rsid w:val="003B31D0"/>
    <w:rsid w:val="003B34B5"/>
    <w:rsid w:val="003B3B46"/>
    <w:rsid w:val="003B3CBA"/>
    <w:rsid w:val="003B3EED"/>
    <w:rsid w:val="003B437E"/>
    <w:rsid w:val="003B4A15"/>
    <w:rsid w:val="003B4AC2"/>
    <w:rsid w:val="003B5BC0"/>
    <w:rsid w:val="003B60CE"/>
    <w:rsid w:val="003B61A0"/>
    <w:rsid w:val="003B6258"/>
    <w:rsid w:val="003B724E"/>
    <w:rsid w:val="003B72F2"/>
    <w:rsid w:val="003B73D6"/>
    <w:rsid w:val="003B7964"/>
    <w:rsid w:val="003B7E97"/>
    <w:rsid w:val="003C06D6"/>
    <w:rsid w:val="003C08B7"/>
    <w:rsid w:val="003C0CC5"/>
    <w:rsid w:val="003C0E64"/>
    <w:rsid w:val="003C0E83"/>
    <w:rsid w:val="003C115B"/>
    <w:rsid w:val="003C16D1"/>
    <w:rsid w:val="003C1CD2"/>
    <w:rsid w:val="003C1D55"/>
    <w:rsid w:val="003C24A1"/>
    <w:rsid w:val="003C2CEB"/>
    <w:rsid w:val="003C348F"/>
    <w:rsid w:val="003C3706"/>
    <w:rsid w:val="003C3995"/>
    <w:rsid w:val="003C3CAA"/>
    <w:rsid w:val="003C3DD1"/>
    <w:rsid w:val="003C3F48"/>
    <w:rsid w:val="003C3F9A"/>
    <w:rsid w:val="003C409C"/>
    <w:rsid w:val="003C4750"/>
    <w:rsid w:val="003C5418"/>
    <w:rsid w:val="003C582A"/>
    <w:rsid w:val="003C5C69"/>
    <w:rsid w:val="003C62EE"/>
    <w:rsid w:val="003C6B57"/>
    <w:rsid w:val="003C71C1"/>
    <w:rsid w:val="003C779B"/>
    <w:rsid w:val="003C7996"/>
    <w:rsid w:val="003C7B75"/>
    <w:rsid w:val="003D0BDF"/>
    <w:rsid w:val="003D0EAE"/>
    <w:rsid w:val="003D137E"/>
    <w:rsid w:val="003D13CE"/>
    <w:rsid w:val="003D14A8"/>
    <w:rsid w:val="003D14AB"/>
    <w:rsid w:val="003D19ED"/>
    <w:rsid w:val="003D2998"/>
    <w:rsid w:val="003D2BCB"/>
    <w:rsid w:val="003D2E3A"/>
    <w:rsid w:val="003D3594"/>
    <w:rsid w:val="003D36ED"/>
    <w:rsid w:val="003D3886"/>
    <w:rsid w:val="003D3992"/>
    <w:rsid w:val="003D3EAD"/>
    <w:rsid w:val="003D41B5"/>
    <w:rsid w:val="003D44CB"/>
    <w:rsid w:val="003D44CD"/>
    <w:rsid w:val="003D4563"/>
    <w:rsid w:val="003D45D0"/>
    <w:rsid w:val="003D5040"/>
    <w:rsid w:val="003D53FE"/>
    <w:rsid w:val="003D5B35"/>
    <w:rsid w:val="003D5FE9"/>
    <w:rsid w:val="003D6919"/>
    <w:rsid w:val="003D6A2E"/>
    <w:rsid w:val="003D72B2"/>
    <w:rsid w:val="003D72E8"/>
    <w:rsid w:val="003D76EB"/>
    <w:rsid w:val="003D76F7"/>
    <w:rsid w:val="003E02CD"/>
    <w:rsid w:val="003E0A51"/>
    <w:rsid w:val="003E0C39"/>
    <w:rsid w:val="003E11CB"/>
    <w:rsid w:val="003E2247"/>
    <w:rsid w:val="003E283F"/>
    <w:rsid w:val="003E2C87"/>
    <w:rsid w:val="003E3159"/>
    <w:rsid w:val="003E34E4"/>
    <w:rsid w:val="003E3662"/>
    <w:rsid w:val="003E4859"/>
    <w:rsid w:val="003E4C89"/>
    <w:rsid w:val="003E4E67"/>
    <w:rsid w:val="003E50F3"/>
    <w:rsid w:val="003E5806"/>
    <w:rsid w:val="003E597E"/>
    <w:rsid w:val="003E5E6F"/>
    <w:rsid w:val="003E5FFA"/>
    <w:rsid w:val="003E6075"/>
    <w:rsid w:val="003E647D"/>
    <w:rsid w:val="003E6BFE"/>
    <w:rsid w:val="003E739A"/>
    <w:rsid w:val="003E74DA"/>
    <w:rsid w:val="003E758A"/>
    <w:rsid w:val="003F056C"/>
    <w:rsid w:val="003F11BF"/>
    <w:rsid w:val="003F17FB"/>
    <w:rsid w:val="003F1BED"/>
    <w:rsid w:val="003F1C90"/>
    <w:rsid w:val="003F2082"/>
    <w:rsid w:val="003F2453"/>
    <w:rsid w:val="003F2879"/>
    <w:rsid w:val="003F2C8D"/>
    <w:rsid w:val="003F2CE4"/>
    <w:rsid w:val="003F2DD5"/>
    <w:rsid w:val="003F3147"/>
    <w:rsid w:val="003F3181"/>
    <w:rsid w:val="003F4117"/>
    <w:rsid w:val="003F4B67"/>
    <w:rsid w:val="003F4C6F"/>
    <w:rsid w:val="003F5BA9"/>
    <w:rsid w:val="003F6094"/>
    <w:rsid w:val="003F6174"/>
    <w:rsid w:val="003F629B"/>
    <w:rsid w:val="003F66FC"/>
    <w:rsid w:val="003F6BE1"/>
    <w:rsid w:val="003F6FC7"/>
    <w:rsid w:val="003F7A88"/>
    <w:rsid w:val="003F7B52"/>
    <w:rsid w:val="004008C7"/>
    <w:rsid w:val="00400C10"/>
    <w:rsid w:val="00400CD5"/>
    <w:rsid w:val="00400E3B"/>
    <w:rsid w:val="004011A2"/>
    <w:rsid w:val="004018F3"/>
    <w:rsid w:val="004020F8"/>
    <w:rsid w:val="00402F6B"/>
    <w:rsid w:val="00403266"/>
    <w:rsid w:val="00403772"/>
    <w:rsid w:val="00403D27"/>
    <w:rsid w:val="00404687"/>
    <w:rsid w:val="00404F1A"/>
    <w:rsid w:val="00405315"/>
    <w:rsid w:val="00405455"/>
    <w:rsid w:val="0040579F"/>
    <w:rsid w:val="004059FE"/>
    <w:rsid w:val="00405C49"/>
    <w:rsid w:val="00405C8D"/>
    <w:rsid w:val="00406B33"/>
    <w:rsid w:val="00406E03"/>
    <w:rsid w:val="00406E1B"/>
    <w:rsid w:val="0040720F"/>
    <w:rsid w:val="004073AD"/>
    <w:rsid w:val="00407423"/>
    <w:rsid w:val="004078BA"/>
    <w:rsid w:val="004079A5"/>
    <w:rsid w:val="004079DB"/>
    <w:rsid w:val="00407A13"/>
    <w:rsid w:val="00407CE7"/>
    <w:rsid w:val="00407E09"/>
    <w:rsid w:val="0041046C"/>
    <w:rsid w:val="00411573"/>
    <w:rsid w:val="00411E85"/>
    <w:rsid w:val="00411EE9"/>
    <w:rsid w:val="004121A8"/>
    <w:rsid w:val="00412379"/>
    <w:rsid w:val="00412F2A"/>
    <w:rsid w:val="0041336D"/>
    <w:rsid w:val="00414072"/>
    <w:rsid w:val="0041483E"/>
    <w:rsid w:val="004148BA"/>
    <w:rsid w:val="00414CCC"/>
    <w:rsid w:val="00414DAA"/>
    <w:rsid w:val="00415A96"/>
    <w:rsid w:val="004162A1"/>
    <w:rsid w:val="00417245"/>
    <w:rsid w:val="00417880"/>
    <w:rsid w:val="0042086B"/>
    <w:rsid w:val="004209AA"/>
    <w:rsid w:val="00420A54"/>
    <w:rsid w:val="00420AED"/>
    <w:rsid w:val="00420D00"/>
    <w:rsid w:val="00420F61"/>
    <w:rsid w:val="004212AD"/>
    <w:rsid w:val="00421D3C"/>
    <w:rsid w:val="00422295"/>
    <w:rsid w:val="0042249A"/>
    <w:rsid w:val="0042267A"/>
    <w:rsid w:val="00422E9C"/>
    <w:rsid w:val="00423122"/>
    <w:rsid w:val="0042355D"/>
    <w:rsid w:val="004237C3"/>
    <w:rsid w:val="00423DE2"/>
    <w:rsid w:val="0042543A"/>
    <w:rsid w:val="004254DB"/>
    <w:rsid w:val="00425874"/>
    <w:rsid w:val="00425CF2"/>
    <w:rsid w:val="00425DBB"/>
    <w:rsid w:val="00425E7D"/>
    <w:rsid w:val="00425F57"/>
    <w:rsid w:val="004264BB"/>
    <w:rsid w:val="004267AB"/>
    <w:rsid w:val="0042722E"/>
    <w:rsid w:val="00427268"/>
    <w:rsid w:val="004278BF"/>
    <w:rsid w:val="004301E7"/>
    <w:rsid w:val="00430240"/>
    <w:rsid w:val="0043047E"/>
    <w:rsid w:val="00430D3F"/>
    <w:rsid w:val="00430DFC"/>
    <w:rsid w:val="004326A3"/>
    <w:rsid w:val="004327DD"/>
    <w:rsid w:val="00432B4A"/>
    <w:rsid w:val="00432FCA"/>
    <w:rsid w:val="00433052"/>
    <w:rsid w:val="0043321A"/>
    <w:rsid w:val="004332B6"/>
    <w:rsid w:val="004333F5"/>
    <w:rsid w:val="0043414B"/>
    <w:rsid w:val="00434280"/>
    <w:rsid w:val="004342D5"/>
    <w:rsid w:val="00435B3D"/>
    <w:rsid w:val="00435BF1"/>
    <w:rsid w:val="0043620D"/>
    <w:rsid w:val="004364AD"/>
    <w:rsid w:val="00436E2D"/>
    <w:rsid w:val="00437795"/>
    <w:rsid w:val="00437F57"/>
    <w:rsid w:val="0044005B"/>
    <w:rsid w:val="00440486"/>
    <w:rsid w:val="004405F7"/>
    <w:rsid w:val="004408CC"/>
    <w:rsid w:val="004409DB"/>
    <w:rsid w:val="004411F8"/>
    <w:rsid w:val="00441C09"/>
    <w:rsid w:val="00441CDC"/>
    <w:rsid w:val="0044208B"/>
    <w:rsid w:val="004421ED"/>
    <w:rsid w:val="0044228C"/>
    <w:rsid w:val="004425E2"/>
    <w:rsid w:val="004429F1"/>
    <w:rsid w:val="00442A54"/>
    <w:rsid w:val="00442A5B"/>
    <w:rsid w:val="00442EF9"/>
    <w:rsid w:val="0044317C"/>
    <w:rsid w:val="00443D24"/>
    <w:rsid w:val="00443DA2"/>
    <w:rsid w:val="004442FE"/>
    <w:rsid w:val="00444753"/>
    <w:rsid w:val="0044492D"/>
    <w:rsid w:val="00444BF9"/>
    <w:rsid w:val="00444D1F"/>
    <w:rsid w:val="00445422"/>
    <w:rsid w:val="004457E5"/>
    <w:rsid w:val="004458E8"/>
    <w:rsid w:val="00445C87"/>
    <w:rsid w:val="0044603D"/>
    <w:rsid w:val="00446373"/>
    <w:rsid w:val="00446390"/>
    <w:rsid w:val="00446A0D"/>
    <w:rsid w:val="00446B31"/>
    <w:rsid w:val="00446CAD"/>
    <w:rsid w:val="004470A2"/>
    <w:rsid w:val="00447C35"/>
    <w:rsid w:val="00447DB6"/>
    <w:rsid w:val="004500C3"/>
    <w:rsid w:val="00450201"/>
    <w:rsid w:val="00450BA3"/>
    <w:rsid w:val="0045182E"/>
    <w:rsid w:val="004518D6"/>
    <w:rsid w:val="00451BF5"/>
    <w:rsid w:val="00451F71"/>
    <w:rsid w:val="00451F72"/>
    <w:rsid w:val="0045242B"/>
    <w:rsid w:val="00453300"/>
    <w:rsid w:val="004533EC"/>
    <w:rsid w:val="00453607"/>
    <w:rsid w:val="00453A78"/>
    <w:rsid w:val="00454CFB"/>
    <w:rsid w:val="0045542B"/>
    <w:rsid w:val="004557F6"/>
    <w:rsid w:val="004558F9"/>
    <w:rsid w:val="004558FF"/>
    <w:rsid w:val="00455AB0"/>
    <w:rsid w:val="004575F6"/>
    <w:rsid w:val="00457C1E"/>
    <w:rsid w:val="00457C9D"/>
    <w:rsid w:val="00457F08"/>
    <w:rsid w:val="00457F71"/>
    <w:rsid w:val="00460E17"/>
    <w:rsid w:val="00461B0D"/>
    <w:rsid w:val="00461C8C"/>
    <w:rsid w:val="004623E3"/>
    <w:rsid w:val="004626AF"/>
    <w:rsid w:val="00462727"/>
    <w:rsid w:val="00462730"/>
    <w:rsid w:val="004631E0"/>
    <w:rsid w:val="004637E9"/>
    <w:rsid w:val="00463BDE"/>
    <w:rsid w:val="00463E44"/>
    <w:rsid w:val="0046442B"/>
    <w:rsid w:val="00464618"/>
    <w:rsid w:val="00464960"/>
    <w:rsid w:val="00464BD7"/>
    <w:rsid w:val="00464EA9"/>
    <w:rsid w:val="00464EF6"/>
    <w:rsid w:val="004654D4"/>
    <w:rsid w:val="00465D26"/>
    <w:rsid w:val="00465DF1"/>
    <w:rsid w:val="0046645D"/>
    <w:rsid w:val="004664E1"/>
    <w:rsid w:val="00466928"/>
    <w:rsid w:val="00467023"/>
    <w:rsid w:val="00467161"/>
    <w:rsid w:val="0046723A"/>
    <w:rsid w:val="004675A1"/>
    <w:rsid w:val="004700F5"/>
    <w:rsid w:val="004703E6"/>
    <w:rsid w:val="0047048C"/>
    <w:rsid w:val="00470A35"/>
    <w:rsid w:val="00470C91"/>
    <w:rsid w:val="004715B8"/>
    <w:rsid w:val="00471929"/>
    <w:rsid w:val="00471B9C"/>
    <w:rsid w:val="00471DE8"/>
    <w:rsid w:val="00471E8F"/>
    <w:rsid w:val="004723BB"/>
    <w:rsid w:val="004727E0"/>
    <w:rsid w:val="00472DFF"/>
    <w:rsid w:val="00473535"/>
    <w:rsid w:val="00473AB5"/>
    <w:rsid w:val="0047409F"/>
    <w:rsid w:val="004741C0"/>
    <w:rsid w:val="004741D0"/>
    <w:rsid w:val="004750AE"/>
    <w:rsid w:val="00475300"/>
    <w:rsid w:val="00475EFE"/>
    <w:rsid w:val="004766AC"/>
    <w:rsid w:val="0047670C"/>
    <w:rsid w:val="00476BF6"/>
    <w:rsid w:val="00476C15"/>
    <w:rsid w:val="00476DE7"/>
    <w:rsid w:val="004771E1"/>
    <w:rsid w:val="004779D3"/>
    <w:rsid w:val="00477F77"/>
    <w:rsid w:val="00480024"/>
    <w:rsid w:val="004808C0"/>
    <w:rsid w:val="00480B5B"/>
    <w:rsid w:val="004811F1"/>
    <w:rsid w:val="00481580"/>
    <w:rsid w:val="00482DB7"/>
    <w:rsid w:val="00482EA9"/>
    <w:rsid w:val="00482F22"/>
    <w:rsid w:val="00483517"/>
    <w:rsid w:val="004836A8"/>
    <w:rsid w:val="0048380F"/>
    <w:rsid w:val="00483AFB"/>
    <w:rsid w:val="00483CC3"/>
    <w:rsid w:val="004853A7"/>
    <w:rsid w:val="00485584"/>
    <w:rsid w:val="0048638C"/>
    <w:rsid w:val="004865FE"/>
    <w:rsid w:val="0048662C"/>
    <w:rsid w:val="00486827"/>
    <w:rsid w:val="004868EB"/>
    <w:rsid w:val="0048734A"/>
    <w:rsid w:val="00487359"/>
    <w:rsid w:val="004873EB"/>
    <w:rsid w:val="00487730"/>
    <w:rsid w:val="0049070F"/>
    <w:rsid w:val="00490ABA"/>
    <w:rsid w:val="00490CD3"/>
    <w:rsid w:val="0049178D"/>
    <w:rsid w:val="00491BB4"/>
    <w:rsid w:val="00491BBF"/>
    <w:rsid w:val="0049270A"/>
    <w:rsid w:val="004927A2"/>
    <w:rsid w:val="00492806"/>
    <w:rsid w:val="004936F0"/>
    <w:rsid w:val="00493785"/>
    <w:rsid w:val="00493E38"/>
    <w:rsid w:val="00493EA6"/>
    <w:rsid w:val="00493ED6"/>
    <w:rsid w:val="004941C0"/>
    <w:rsid w:val="00494399"/>
    <w:rsid w:val="004948EF"/>
    <w:rsid w:val="00494C50"/>
    <w:rsid w:val="00494E21"/>
    <w:rsid w:val="0049551D"/>
    <w:rsid w:val="004955D5"/>
    <w:rsid w:val="00495B6E"/>
    <w:rsid w:val="00496387"/>
    <w:rsid w:val="00496882"/>
    <w:rsid w:val="00496BF9"/>
    <w:rsid w:val="00496D96"/>
    <w:rsid w:val="00497746"/>
    <w:rsid w:val="004977B6"/>
    <w:rsid w:val="00497A82"/>
    <w:rsid w:val="00497EAB"/>
    <w:rsid w:val="004A0742"/>
    <w:rsid w:val="004A09A7"/>
    <w:rsid w:val="004A0E9E"/>
    <w:rsid w:val="004A0FB4"/>
    <w:rsid w:val="004A10BA"/>
    <w:rsid w:val="004A10FE"/>
    <w:rsid w:val="004A1381"/>
    <w:rsid w:val="004A1A77"/>
    <w:rsid w:val="004A1E49"/>
    <w:rsid w:val="004A2B91"/>
    <w:rsid w:val="004A2BDE"/>
    <w:rsid w:val="004A31DD"/>
    <w:rsid w:val="004A346D"/>
    <w:rsid w:val="004A36E8"/>
    <w:rsid w:val="004A3723"/>
    <w:rsid w:val="004A3C05"/>
    <w:rsid w:val="004A3F77"/>
    <w:rsid w:val="004A5157"/>
    <w:rsid w:val="004A5BA1"/>
    <w:rsid w:val="004A5C11"/>
    <w:rsid w:val="004A683D"/>
    <w:rsid w:val="004A6D4A"/>
    <w:rsid w:val="004A6EA5"/>
    <w:rsid w:val="004A7474"/>
    <w:rsid w:val="004A7DBF"/>
    <w:rsid w:val="004A7FE3"/>
    <w:rsid w:val="004B025B"/>
    <w:rsid w:val="004B09B5"/>
    <w:rsid w:val="004B14F1"/>
    <w:rsid w:val="004B171A"/>
    <w:rsid w:val="004B1970"/>
    <w:rsid w:val="004B1BDE"/>
    <w:rsid w:val="004B1C13"/>
    <w:rsid w:val="004B1E78"/>
    <w:rsid w:val="004B1E8E"/>
    <w:rsid w:val="004B2E94"/>
    <w:rsid w:val="004B32AC"/>
    <w:rsid w:val="004B547D"/>
    <w:rsid w:val="004B571B"/>
    <w:rsid w:val="004B5C05"/>
    <w:rsid w:val="004B6455"/>
    <w:rsid w:val="004B65CD"/>
    <w:rsid w:val="004B6600"/>
    <w:rsid w:val="004B7410"/>
    <w:rsid w:val="004B7A1F"/>
    <w:rsid w:val="004B7B74"/>
    <w:rsid w:val="004B7DD9"/>
    <w:rsid w:val="004C0713"/>
    <w:rsid w:val="004C0C12"/>
    <w:rsid w:val="004C13C6"/>
    <w:rsid w:val="004C1541"/>
    <w:rsid w:val="004C15B2"/>
    <w:rsid w:val="004C166C"/>
    <w:rsid w:val="004C1DD9"/>
    <w:rsid w:val="004C20EA"/>
    <w:rsid w:val="004C21F0"/>
    <w:rsid w:val="004C2E84"/>
    <w:rsid w:val="004C2F89"/>
    <w:rsid w:val="004C314F"/>
    <w:rsid w:val="004C33B1"/>
    <w:rsid w:val="004C39D8"/>
    <w:rsid w:val="004C425F"/>
    <w:rsid w:val="004C4664"/>
    <w:rsid w:val="004C4A64"/>
    <w:rsid w:val="004C4CEA"/>
    <w:rsid w:val="004C51DE"/>
    <w:rsid w:val="004C5BA7"/>
    <w:rsid w:val="004C5DE3"/>
    <w:rsid w:val="004C5F04"/>
    <w:rsid w:val="004C6551"/>
    <w:rsid w:val="004C6609"/>
    <w:rsid w:val="004C6B8D"/>
    <w:rsid w:val="004C6C3F"/>
    <w:rsid w:val="004C6CF7"/>
    <w:rsid w:val="004C75B8"/>
    <w:rsid w:val="004C7904"/>
    <w:rsid w:val="004C79F6"/>
    <w:rsid w:val="004C7DBC"/>
    <w:rsid w:val="004D0366"/>
    <w:rsid w:val="004D0589"/>
    <w:rsid w:val="004D0601"/>
    <w:rsid w:val="004D0858"/>
    <w:rsid w:val="004D0A9C"/>
    <w:rsid w:val="004D16C6"/>
    <w:rsid w:val="004D1843"/>
    <w:rsid w:val="004D19FD"/>
    <w:rsid w:val="004D1E54"/>
    <w:rsid w:val="004D237F"/>
    <w:rsid w:val="004D24AB"/>
    <w:rsid w:val="004D292E"/>
    <w:rsid w:val="004D2939"/>
    <w:rsid w:val="004D29D9"/>
    <w:rsid w:val="004D2D45"/>
    <w:rsid w:val="004D2EB0"/>
    <w:rsid w:val="004D3B9F"/>
    <w:rsid w:val="004D4022"/>
    <w:rsid w:val="004D5408"/>
    <w:rsid w:val="004D5598"/>
    <w:rsid w:val="004D60E3"/>
    <w:rsid w:val="004D618C"/>
    <w:rsid w:val="004D6456"/>
    <w:rsid w:val="004D6B7E"/>
    <w:rsid w:val="004D6E76"/>
    <w:rsid w:val="004D7196"/>
    <w:rsid w:val="004D7C80"/>
    <w:rsid w:val="004E0095"/>
    <w:rsid w:val="004E02EF"/>
    <w:rsid w:val="004E0301"/>
    <w:rsid w:val="004E139A"/>
    <w:rsid w:val="004E15A8"/>
    <w:rsid w:val="004E2160"/>
    <w:rsid w:val="004E2E05"/>
    <w:rsid w:val="004E3021"/>
    <w:rsid w:val="004E312A"/>
    <w:rsid w:val="004E3ABB"/>
    <w:rsid w:val="004E3BCA"/>
    <w:rsid w:val="004E3C61"/>
    <w:rsid w:val="004E44B5"/>
    <w:rsid w:val="004E4613"/>
    <w:rsid w:val="004E476E"/>
    <w:rsid w:val="004E4C3F"/>
    <w:rsid w:val="004E5043"/>
    <w:rsid w:val="004E5C0A"/>
    <w:rsid w:val="004E6971"/>
    <w:rsid w:val="004E6985"/>
    <w:rsid w:val="004E6A00"/>
    <w:rsid w:val="004E6C54"/>
    <w:rsid w:val="004E6DA0"/>
    <w:rsid w:val="004F05A4"/>
    <w:rsid w:val="004F1568"/>
    <w:rsid w:val="004F1C6E"/>
    <w:rsid w:val="004F28C6"/>
    <w:rsid w:val="004F30E9"/>
    <w:rsid w:val="004F37DB"/>
    <w:rsid w:val="004F5061"/>
    <w:rsid w:val="004F6020"/>
    <w:rsid w:val="004F6F0E"/>
    <w:rsid w:val="004F6F9F"/>
    <w:rsid w:val="004F76AD"/>
    <w:rsid w:val="004F7BCA"/>
    <w:rsid w:val="004F7CD6"/>
    <w:rsid w:val="004F7DED"/>
    <w:rsid w:val="004F7E00"/>
    <w:rsid w:val="004F7F94"/>
    <w:rsid w:val="00500707"/>
    <w:rsid w:val="005008DB"/>
    <w:rsid w:val="00500E9F"/>
    <w:rsid w:val="0050168C"/>
    <w:rsid w:val="0050195A"/>
    <w:rsid w:val="00501CC3"/>
    <w:rsid w:val="00501DA7"/>
    <w:rsid w:val="00502128"/>
    <w:rsid w:val="005021A8"/>
    <w:rsid w:val="00502329"/>
    <w:rsid w:val="00502C17"/>
    <w:rsid w:val="00502CCD"/>
    <w:rsid w:val="00502CF1"/>
    <w:rsid w:val="0050325A"/>
    <w:rsid w:val="005038D1"/>
    <w:rsid w:val="00503F79"/>
    <w:rsid w:val="005045DC"/>
    <w:rsid w:val="0050519C"/>
    <w:rsid w:val="00505726"/>
    <w:rsid w:val="005058C1"/>
    <w:rsid w:val="005058E8"/>
    <w:rsid w:val="00505B6D"/>
    <w:rsid w:val="0050607D"/>
    <w:rsid w:val="00506171"/>
    <w:rsid w:val="005061D2"/>
    <w:rsid w:val="005064AC"/>
    <w:rsid w:val="00507048"/>
    <w:rsid w:val="00507064"/>
    <w:rsid w:val="005074C7"/>
    <w:rsid w:val="00507998"/>
    <w:rsid w:val="00510789"/>
    <w:rsid w:val="00510B93"/>
    <w:rsid w:val="0051194F"/>
    <w:rsid w:val="00512F70"/>
    <w:rsid w:val="00513200"/>
    <w:rsid w:val="00513B01"/>
    <w:rsid w:val="005142CF"/>
    <w:rsid w:val="005143D8"/>
    <w:rsid w:val="00514AFA"/>
    <w:rsid w:val="005151EC"/>
    <w:rsid w:val="005153DA"/>
    <w:rsid w:val="0051550A"/>
    <w:rsid w:val="00515856"/>
    <w:rsid w:val="0051656E"/>
    <w:rsid w:val="005165D9"/>
    <w:rsid w:val="00517358"/>
    <w:rsid w:val="00517523"/>
    <w:rsid w:val="0051778A"/>
    <w:rsid w:val="005179D5"/>
    <w:rsid w:val="00517F88"/>
    <w:rsid w:val="005205E0"/>
    <w:rsid w:val="00521791"/>
    <w:rsid w:val="0052180B"/>
    <w:rsid w:val="005224DA"/>
    <w:rsid w:val="0052257B"/>
    <w:rsid w:val="005228F7"/>
    <w:rsid w:val="00522972"/>
    <w:rsid w:val="00522DAF"/>
    <w:rsid w:val="005240D9"/>
    <w:rsid w:val="005243DC"/>
    <w:rsid w:val="005243F6"/>
    <w:rsid w:val="00524687"/>
    <w:rsid w:val="00524AE1"/>
    <w:rsid w:val="00524BC1"/>
    <w:rsid w:val="00525284"/>
    <w:rsid w:val="0052593D"/>
    <w:rsid w:val="00525977"/>
    <w:rsid w:val="00525FDF"/>
    <w:rsid w:val="00526690"/>
    <w:rsid w:val="00526997"/>
    <w:rsid w:val="00526B2B"/>
    <w:rsid w:val="00526B66"/>
    <w:rsid w:val="00526CD0"/>
    <w:rsid w:val="00526F46"/>
    <w:rsid w:val="00527AEE"/>
    <w:rsid w:val="00527D5D"/>
    <w:rsid w:val="00530063"/>
    <w:rsid w:val="005302B8"/>
    <w:rsid w:val="005306E9"/>
    <w:rsid w:val="005313B6"/>
    <w:rsid w:val="0053142A"/>
    <w:rsid w:val="00531C44"/>
    <w:rsid w:val="00531C6C"/>
    <w:rsid w:val="00531C93"/>
    <w:rsid w:val="00531D23"/>
    <w:rsid w:val="00531F9A"/>
    <w:rsid w:val="00532E6C"/>
    <w:rsid w:val="00532FE8"/>
    <w:rsid w:val="0053300D"/>
    <w:rsid w:val="005338E0"/>
    <w:rsid w:val="00533DAA"/>
    <w:rsid w:val="0053416E"/>
    <w:rsid w:val="00534679"/>
    <w:rsid w:val="005348EF"/>
    <w:rsid w:val="005352A6"/>
    <w:rsid w:val="00535D04"/>
    <w:rsid w:val="00536986"/>
    <w:rsid w:val="00536B53"/>
    <w:rsid w:val="00536C37"/>
    <w:rsid w:val="005371A5"/>
    <w:rsid w:val="005371F6"/>
    <w:rsid w:val="00537F07"/>
    <w:rsid w:val="00540CC8"/>
    <w:rsid w:val="00540DA4"/>
    <w:rsid w:val="00541CF5"/>
    <w:rsid w:val="00541D9D"/>
    <w:rsid w:val="0054200C"/>
    <w:rsid w:val="00542036"/>
    <w:rsid w:val="0054205A"/>
    <w:rsid w:val="00542469"/>
    <w:rsid w:val="0054280A"/>
    <w:rsid w:val="00542940"/>
    <w:rsid w:val="00542AB9"/>
    <w:rsid w:val="00542BCC"/>
    <w:rsid w:val="00542D50"/>
    <w:rsid w:val="005431DA"/>
    <w:rsid w:val="00543349"/>
    <w:rsid w:val="005434D0"/>
    <w:rsid w:val="005435FA"/>
    <w:rsid w:val="00543A42"/>
    <w:rsid w:val="00543FAF"/>
    <w:rsid w:val="00544798"/>
    <w:rsid w:val="00544BE3"/>
    <w:rsid w:val="00544DBC"/>
    <w:rsid w:val="005455BF"/>
    <w:rsid w:val="00545A9C"/>
    <w:rsid w:val="0054627B"/>
    <w:rsid w:val="005462B3"/>
    <w:rsid w:val="005462D2"/>
    <w:rsid w:val="0054755D"/>
    <w:rsid w:val="00547BAC"/>
    <w:rsid w:val="00547EF4"/>
    <w:rsid w:val="005509D8"/>
    <w:rsid w:val="00551D05"/>
    <w:rsid w:val="00551DE1"/>
    <w:rsid w:val="00551E46"/>
    <w:rsid w:val="00551FE8"/>
    <w:rsid w:val="00552695"/>
    <w:rsid w:val="005526A7"/>
    <w:rsid w:val="005526C1"/>
    <w:rsid w:val="005526E4"/>
    <w:rsid w:val="00553285"/>
    <w:rsid w:val="00553568"/>
    <w:rsid w:val="00553897"/>
    <w:rsid w:val="00554993"/>
    <w:rsid w:val="00554FF6"/>
    <w:rsid w:val="0055551E"/>
    <w:rsid w:val="00555C38"/>
    <w:rsid w:val="00556237"/>
    <w:rsid w:val="005563A1"/>
    <w:rsid w:val="005566C2"/>
    <w:rsid w:val="00556A23"/>
    <w:rsid w:val="00557019"/>
    <w:rsid w:val="0055739F"/>
    <w:rsid w:val="00557BAF"/>
    <w:rsid w:val="005603CA"/>
    <w:rsid w:val="00560639"/>
    <w:rsid w:val="00560DBC"/>
    <w:rsid w:val="00561587"/>
    <w:rsid w:val="00561B92"/>
    <w:rsid w:val="00561D93"/>
    <w:rsid w:val="00561DAB"/>
    <w:rsid w:val="005629CA"/>
    <w:rsid w:val="005631D7"/>
    <w:rsid w:val="0056355A"/>
    <w:rsid w:val="005638D7"/>
    <w:rsid w:val="00563A59"/>
    <w:rsid w:val="005645DD"/>
    <w:rsid w:val="00564E7E"/>
    <w:rsid w:val="00564F7B"/>
    <w:rsid w:val="0056540B"/>
    <w:rsid w:val="0056595F"/>
    <w:rsid w:val="00565CDA"/>
    <w:rsid w:val="00566454"/>
    <w:rsid w:val="00566882"/>
    <w:rsid w:val="00566A8C"/>
    <w:rsid w:val="00566C8D"/>
    <w:rsid w:val="00567504"/>
    <w:rsid w:val="005708E6"/>
    <w:rsid w:val="005716FE"/>
    <w:rsid w:val="005717B3"/>
    <w:rsid w:val="00571C21"/>
    <w:rsid w:val="005727B8"/>
    <w:rsid w:val="005727D2"/>
    <w:rsid w:val="00572C18"/>
    <w:rsid w:val="00572E55"/>
    <w:rsid w:val="00573862"/>
    <w:rsid w:val="0057429F"/>
    <w:rsid w:val="005748DE"/>
    <w:rsid w:val="00574F59"/>
    <w:rsid w:val="005753A2"/>
    <w:rsid w:val="00575EDC"/>
    <w:rsid w:val="0057655C"/>
    <w:rsid w:val="00577117"/>
    <w:rsid w:val="005771D0"/>
    <w:rsid w:val="00577541"/>
    <w:rsid w:val="005778C5"/>
    <w:rsid w:val="00580465"/>
    <w:rsid w:val="005804F0"/>
    <w:rsid w:val="00580C3C"/>
    <w:rsid w:val="00581590"/>
    <w:rsid w:val="0058160D"/>
    <w:rsid w:val="005819E0"/>
    <w:rsid w:val="00581E60"/>
    <w:rsid w:val="005825CA"/>
    <w:rsid w:val="0058287E"/>
    <w:rsid w:val="005828D7"/>
    <w:rsid w:val="00582D5E"/>
    <w:rsid w:val="00583113"/>
    <w:rsid w:val="00583331"/>
    <w:rsid w:val="00584321"/>
    <w:rsid w:val="00584CC0"/>
    <w:rsid w:val="00584D42"/>
    <w:rsid w:val="005852E4"/>
    <w:rsid w:val="00585741"/>
    <w:rsid w:val="005858D3"/>
    <w:rsid w:val="00585C84"/>
    <w:rsid w:val="00585E06"/>
    <w:rsid w:val="00586706"/>
    <w:rsid w:val="005867BF"/>
    <w:rsid w:val="005868D3"/>
    <w:rsid w:val="00586B69"/>
    <w:rsid w:val="00587371"/>
    <w:rsid w:val="005874B2"/>
    <w:rsid w:val="0058753C"/>
    <w:rsid w:val="005902C5"/>
    <w:rsid w:val="005909D0"/>
    <w:rsid w:val="005911E1"/>
    <w:rsid w:val="005915BB"/>
    <w:rsid w:val="00591863"/>
    <w:rsid w:val="00591899"/>
    <w:rsid w:val="00591BC6"/>
    <w:rsid w:val="005922DB"/>
    <w:rsid w:val="00592400"/>
    <w:rsid w:val="00592825"/>
    <w:rsid w:val="0059297A"/>
    <w:rsid w:val="0059305F"/>
    <w:rsid w:val="00593393"/>
    <w:rsid w:val="0059350E"/>
    <w:rsid w:val="00593722"/>
    <w:rsid w:val="00593B92"/>
    <w:rsid w:val="00593BD2"/>
    <w:rsid w:val="00593CAF"/>
    <w:rsid w:val="00594112"/>
    <w:rsid w:val="0059414A"/>
    <w:rsid w:val="00594154"/>
    <w:rsid w:val="0059441A"/>
    <w:rsid w:val="00594AD7"/>
    <w:rsid w:val="00594B1A"/>
    <w:rsid w:val="00594D5E"/>
    <w:rsid w:val="00594DA5"/>
    <w:rsid w:val="00595044"/>
    <w:rsid w:val="00595141"/>
    <w:rsid w:val="005955D3"/>
    <w:rsid w:val="00595EC7"/>
    <w:rsid w:val="00595EFB"/>
    <w:rsid w:val="00595FA4"/>
    <w:rsid w:val="00596D48"/>
    <w:rsid w:val="00596FF4"/>
    <w:rsid w:val="005970FD"/>
    <w:rsid w:val="00597600"/>
    <w:rsid w:val="00597FE2"/>
    <w:rsid w:val="005A05CD"/>
    <w:rsid w:val="005A0636"/>
    <w:rsid w:val="005A0A13"/>
    <w:rsid w:val="005A0F5F"/>
    <w:rsid w:val="005A123E"/>
    <w:rsid w:val="005A1353"/>
    <w:rsid w:val="005A135E"/>
    <w:rsid w:val="005A1CB4"/>
    <w:rsid w:val="005A221F"/>
    <w:rsid w:val="005A24A3"/>
    <w:rsid w:val="005A2636"/>
    <w:rsid w:val="005A2877"/>
    <w:rsid w:val="005A2BBD"/>
    <w:rsid w:val="005A2C51"/>
    <w:rsid w:val="005A33FA"/>
    <w:rsid w:val="005A3B04"/>
    <w:rsid w:val="005A3CDD"/>
    <w:rsid w:val="005A3F4E"/>
    <w:rsid w:val="005A43A5"/>
    <w:rsid w:val="005A43A8"/>
    <w:rsid w:val="005A47AC"/>
    <w:rsid w:val="005A49DE"/>
    <w:rsid w:val="005A4D1E"/>
    <w:rsid w:val="005A4E26"/>
    <w:rsid w:val="005A5B68"/>
    <w:rsid w:val="005A5E26"/>
    <w:rsid w:val="005A6116"/>
    <w:rsid w:val="005A66E3"/>
    <w:rsid w:val="005A73F7"/>
    <w:rsid w:val="005A7643"/>
    <w:rsid w:val="005A7884"/>
    <w:rsid w:val="005B0BA1"/>
    <w:rsid w:val="005B0D06"/>
    <w:rsid w:val="005B0FED"/>
    <w:rsid w:val="005B108E"/>
    <w:rsid w:val="005B12AC"/>
    <w:rsid w:val="005B2053"/>
    <w:rsid w:val="005B29F2"/>
    <w:rsid w:val="005B2FA3"/>
    <w:rsid w:val="005B3AC8"/>
    <w:rsid w:val="005B3D0A"/>
    <w:rsid w:val="005B42E3"/>
    <w:rsid w:val="005B4867"/>
    <w:rsid w:val="005B4D51"/>
    <w:rsid w:val="005B4D72"/>
    <w:rsid w:val="005B503C"/>
    <w:rsid w:val="005B57A7"/>
    <w:rsid w:val="005B5C52"/>
    <w:rsid w:val="005B5F6D"/>
    <w:rsid w:val="005B61C4"/>
    <w:rsid w:val="005B6571"/>
    <w:rsid w:val="005B6E06"/>
    <w:rsid w:val="005B73EF"/>
    <w:rsid w:val="005B7EDC"/>
    <w:rsid w:val="005C05FE"/>
    <w:rsid w:val="005C0AD6"/>
    <w:rsid w:val="005C138C"/>
    <w:rsid w:val="005C1390"/>
    <w:rsid w:val="005C1DE8"/>
    <w:rsid w:val="005C1EFE"/>
    <w:rsid w:val="005C27E8"/>
    <w:rsid w:val="005C2877"/>
    <w:rsid w:val="005C306C"/>
    <w:rsid w:val="005C350B"/>
    <w:rsid w:val="005C35CE"/>
    <w:rsid w:val="005C40C6"/>
    <w:rsid w:val="005C4B47"/>
    <w:rsid w:val="005C4C7E"/>
    <w:rsid w:val="005C4CB8"/>
    <w:rsid w:val="005C5965"/>
    <w:rsid w:val="005C5E0B"/>
    <w:rsid w:val="005C62EE"/>
    <w:rsid w:val="005C6A15"/>
    <w:rsid w:val="005C6C94"/>
    <w:rsid w:val="005C7431"/>
    <w:rsid w:val="005C7823"/>
    <w:rsid w:val="005C7A62"/>
    <w:rsid w:val="005C7C59"/>
    <w:rsid w:val="005C7CCD"/>
    <w:rsid w:val="005D0088"/>
    <w:rsid w:val="005D0492"/>
    <w:rsid w:val="005D0818"/>
    <w:rsid w:val="005D0A24"/>
    <w:rsid w:val="005D1323"/>
    <w:rsid w:val="005D13D4"/>
    <w:rsid w:val="005D1B99"/>
    <w:rsid w:val="005D292F"/>
    <w:rsid w:val="005D323C"/>
    <w:rsid w:val="005D349B"/>
    <w:rsid w:val="005D37DB"/>
    <w:rsid w:val="005D39B8"/>
    <w:rsid w:val="005D3D68"/>
    <w:rsid w:val="005D3E31"/>
    <w:rsid w:val="005D452D"/>
    <w:rsid w:val="005D618D"/>
    <w:rsid w:val="005D64B9"/>
    <w:rsid w:val="005D690E"/>
    <w:rsid w:val="005D6DEE"/>
    <w:rsid w:val="005D7783"/>
    <w:rsid w:val="005D78DF"/>
    <w:rsid w:val="005E06D1"/>
    <w:rsid w:val="005E0FDF"/>
    <w:rsid w:val="005E1BCB"/>
    <w:rsid w:val="005E21E6"/>
    <w:rsid w:val="005E2523"/>
    <w:rsid w:val="005E2D0B"/>
    <w:rsid w:val="005E3716"/>
    <w:rsid w:val="005E3B05"/>
    <w:rsid w:val="005E3E56"/>
    <w:rsid w:val="005E413B"/>
    <w:rsid w:val="005E541F"/>
    <w:rsid w:val="005E549A"/>
    <w:rsid w:val="005E59CA"/>
    <w:rsid w:val="005E5F06"/>
    <w:rsid w:val="005E727B"/>
    <w:rsid w:val="005E74C7"/>
    <w:rsid w:val="005E7C67"/>
    <w:rsid w:val="005F0512"/>
    <w:rsid w:val="005F06D8"/>
    <w:rsid w:val="005F0D96"/>
    <w:rsid w:val="005F0DFB"/>
    <w:rsid w:val="005F1903"/>
    <w:rsid w:val="005F1EA1"/>
    <w:rsid w:val="005F2467"/>
    <w:rsid w:val="005F38C4"/>
    <w:rsid w:val="005F38DF"/>
    <w:rsid w:val="005F3C1C"/>
    <w:rsid w:val="005F3C4F"/>
    <w:rsid w:val="005F3E25"/>
    <w:rsid w:val="005F4171"/>
    <w:rsid w:val="005F480E"/>
    <w:rsid w:val="005F4E59"/>
    <w:rsid w:val="005F51AE"/>
    <w:rsid w:val="005F5991"/>
    <w:rsid w:val="005F5AF4"/>
    <w:rsid w:val="005F5E87"/>
    <w:rsid w:val="005F5F82"/>
    <w:rsid w:val="005F736F"/>
    <w:rsid w:val="005F7372"/>
    <w:rsid w:val="005F7933"/>
    <w:rsid w:val="006004FD"/>
    <w:rsid w:val="00600652"/>
    <w:rsid w:val="00600715"/>
    <w:rsid w:val="00600B48"/>
    <w:rsid w:val="00600CA0"/>
    <w:rsid w:val="00601B32"/>
    <w:rsid w:val="00601CEB"/>
    <w:rsid w:val="00602834"/>
    <w:rsid w:val="006029AB"/>
    <w:rsid w:val="0060312D"/>
    <w:rsid w:val="006037FC"/>
    <w:rsid w:val="0060386B"/>
    <w:rsid w:val="006045BB"/>
    <w:rsid w:val="00604A66"/>
    <w:rsid w:val="00604D7C"/>
    <w:rsid w:val="006051C1"/>
    <w:rsid w:val="00605E01"/>
    <w:rsid w:val="006061F9"/>
    <w:rsid w:val="00606E48"/>
    <w:rsid w:val="00607091"/>
    <w:rsid w:val="0060746F"/>
    <w:rsid w:val="0060755D"/>
    <w:rsid w:val="00607A80"/>
    <w:rsid w:val="00607C09"/>
    <w:rsid w:val="00607EF6"/>
    <w:rsid w:val="006100A6"/>
    <w:rsid w:val="00610207"/>
    <w:rsid w:val="00610650"/>
    <w:rsid w:val="00610809"/>
    <w:rsid w:val="00610D4C"/>
    <w:rsid w:val="00610ED3"/>
    <w:rsid w:val="00612611"/>
    <w:rsid w:val="00612664"/>
    <w:rsid w:val="00612687"/>
    <w:rsid w:val="0061272E"/>
    <w:rsid w:val="00612BE7"/>
    <w:rsid w:val="00612D47"/>
    <w:rsid w:val="00612FEC"/>
    <w:rsid w:val="00613741"/>
    <w:rsid w:val="00614303"/>
    <w:rsid w:val="006145C2"/>
    <w:rsid w:val="00614DF4"/>
    <w:rsid w:val="00615B75"/>
    <w:rsid w:val="00615BCA"/>
    <w:rsid w:val="0061631C"/>
    <w:rsid w:val="00616B17"/>
    <w:rsid w:val="00616D97"/>
    <w:rsid w:val="00616F92"/>
    <w:rsid w:val="006170DA"/>
    <w:rsid w:val="00617254"/>
    <w:rsid w:val="00617525"/>
    <w:rsid w:val="0061781A"/>
    <w:rsid w:val="0061785F"/>
    <w:rsid w:val="00617968"/>
    <w:rsid w:val="00617E4E"/>
    <w:rsid w:val="00617EA3"/>
    <w:rsid w:val="00620A6B"/>
    <w:rsid w:val="0062124A"/>
    <w:rsid w:val="006217C0"/>
    <w:rsid w:val="00621823"/>
    <w:rsid w:val="006218D5"/>
    <w:rsid w:val="00622012"/>
    <w:rsid w:val="00623859"/>
    <w:rsid w:val="00623A24"/>
    <w:rsid w:val="00623B0E"/>
    <w:rsid w:val="00624196"/>
    <w:rsid w:val="006246F4"/>
    <w:rsid w:val="00624753"/>
    <w:rsid w:val="00624B92"/>
    <w:rsid w:val="00625506"/>
    <w:rsid w:val="00625733"/>
    <w:rsid w:val="0062587C"/>
    <w:rsid w:val="00625E8C"/>
    <w:rsid w:val="0062606E"/>
    <w:rsid w:val="006260F4"/>
    <w:rsid w:val="00626F93"/>
    <w:rsid w:val="006271DF"/>
    <w:rsid w:val="00627A20"/>
    <w:rsid w:val="00627DD3"/>
    <w:rsid w:val="0063002D"/>
    <w:rsid w:val="006302B0"/>
    <w:rsid w:val="006308EA"/>
    <w:rsid w:val="006314A1"/>
    <w:rsid w:val="00631850"/>
    <w:rsid w:val="00631FB1"/>
    <w:rsid w:val="00632097"/>
    <w:rsid w:val="0063262E"/>
    <w:rsid w:val="0063268B"/>
    <w:rsid w:val="006326EC"/>
    <w:rsid w:val="00632A2E"/>
    <w:rsid w:val="00632E3C"/>
    <w:rsid w:val="00633F7E"/>
    <w:rsid w:val="00634239"/>
    <w:rsid w:val="00634986"/>
    <w:rsid w:val="00634B87"/>
    <w:rsid w:val="00636817"/>
    <w:rsid w:val="00636EAC"/>
    <w:rsid w:val="006379BF"/>
    <w:rsid w:val="00637F1B"/>
    <w:rsid w:val="00640256"/>
    <w:rsid w:val="00640964"/>
    <w:rsid w:val="00640A5C"/>
    <w:rsid w:val="00640EBD"/>
    <w:rsid w:val="0064177E"/>
    <w:rsid w:val="006417A6"/>
    <w:rsid w:val="006423F4"/>
    <w:rsid w:val="00642EE1"/>
    <w:rsid w:val="00643599"/>
    <w:rsid w:val="006435D0"/>
    <w:rsid w:val="00643888"/>
    <w:rsid w:val="00644113"/>
    <w:rsid w:val="006441E1"/>
    <w:rsid w:val="00645123"/>
    <w:rsid w:val="00645541"/>
    <w:rsid w:val="0064596F"/>
    <w:rsid w:val="00645DE3"/>
    <w:rsid w:val="00645F4F"/>
    <w:rsid w:val="00646086"/>
    <w:rsid w:val="00646876"/>
    <w:rsid w:val="00646921"/>
    <w:rsid w:val="00650225"/>
    <w:rsid w:val="006505A0"/>
    <w:rsid w:val="0065081D"/>
    <w:rsid w:val="00650DBB"/>
    <w:rsid w:val="00650DBE"/>
    <w:rsid w:val="00651339"/>
    <w:rsid w:val="00651530"/>
    <w:rsid w:val="00651703"/>
    <w:rsid w:val="00651B5E"/>
    <w:rsid w:val="0065207C"/>
    <w:rsid w:val="00652144"/>
    <w:rsid w:val="00652872"/>
    <w:rsid w:val="0065344B"/>
    <w:rsid w:val="00653C57"/>
    <w:rsid w:val="00653D33"/>
    <w:rsid w:val="00653F85"/>
    <w:rsid w:val="00653FCD"/>
    <w:rsid w:val="00654D3A"/>
    <w:rsid w:val="00655290"/>
    <w:rsid w:val="00655572"/>
    <w:rsid w:val="006568DE"/>
    <w:rsid w:val="0065695B"/>
    <w:rsid w:val="0065795D"/>
    <w:rsid w:val="00657A90"/>
    <w:rsid w:val="00660450"/>
    <w:rsid w:val="00660705"/>
    <w:rsid w:val="00660E00"/>
    <w:rsid w:val="0066113B"/>
    <w:rsid w:val="00661252"/>
    <w:rsid w:val="00661582"/>
    <w:rsid w:val="006616CD"/>
    <w:rsid w:val="00661891"/>
    <w:rsid w:val="006619E3"/>
    <w:rsid w:val="00661B52"/>
    <w:rsid w:val="00662DF8"/>
    <w:rsid w:val="0066376E"/>
    <w:rsid w:val="00663A93"/>
    <w:rsid w:val="00665088"/>
    <w:rsid w:val="00665E0F"/>
    <w:rsid w:val="00666017"/>
    <w:rsid w:val="00666C5D"/>
    <w:rsid w:val="00667359"/>
    <w:rsid w:val="006675C9"/>
    <w:rsid w:val="00667921"/>
    <w:rsid w:val="00667D9A"/>
    <w:rsid w:val="006702F8"/>
    <w:rsid w:val="00670379"/>
    <w:rsid w:val="006704CC"/>
    <w:rsid w:val="00670609"/>
    <w:rsid w:val="006707F8"/>
    <w:rsid w:val="00670AB4"/>
    <w:rsid w:val="00670E63"/>
    <w:rsid w:val="00670F10"/>
    <w:rsid w:val="00671281"/>
    <w:rsid w:val="00671C09"/>
    <w:rsid w:val="006724DE"/>
    <w:rsid w:val="00672AAC"/>
    <w:rsid w:val="00672D02"/>
    <w:rsid w:val="00672EF1"/>
    <w:rsid w:val="0067309C"/>
    <w:rsid w:val="00673943"/>
    <w:rsid w:val="00673C43"/>
    <w:rsid w:val="0067410B"/>
    <w:rsid w:val="0067414B"/>
    <w:rsid w:val="00674443"/>
    <w:rsid w:val="006746AD"/>
    <w:rsid w:val="00675032"/>
    <w:rsid w:val="00675D72"/>
    <w:rsid w:val="00676F99"/>
    <w:rsid w:val="006771A7"/>
    <w:rsid w:val="00677365"/>
    <w:rsid w:val="006775E2"/>
    <w:rsid w:val="0068009C"/>
    <w:rsid w:val="0068076E"/>
    <w:rsid w:val="006808F5"/>
    <w:rsid w:val="00681597"/>
    <w:rsid w:val="00681BC3"/>
    <w:rsid w:val="00681ECE"/>
    <w:rsid w:val="00682069"/>
    <w:rsid w:val="006820CA"/>
    <w:rsid w:val="0068236C"/>
    <w:rsid w:val="00682515"/>
    <w:rsid w:val="00682D5B"/>
    <w:rsid w:val="00682F27"/>
    <w:rsid w:val="006832EE"/>
    <w:rsid w:val="00684AA5"/>
    <w:rsid w:val="0068505A"/>
    <w:rsid w:val="00685ACC"/>
    <w:rsid w:val="00685C99"/>
    <w:rsid w:val="00685D8A"/>
    <w:rsid w:val="006862A8"/>
    <w:rsid w:val="00686989"/>
    <w:rsid w:val="00686C84"/>
    <w:rsid w:val="00686D66"/>
    <w:rsid w:val="00687090"/>
    <w:rsid w:val="00687BD0"/>
    <w:rsid w:val="006900FE"/>
    <w:rsid w:val="00690362"/>
    <w:rsid w:val="00690D6A"/>
    <w:rsid w:val="00690E08"/>
    <w:rsid w:val="00691132"/>
    <w:rsid w:val="00691D23"/>
    <w:rsid w:val="00692226"/>
    <w:rsid w:val="006924D9"/>
    <w:rsid w:val="00692802"/>
    <w:rsid w:val="00692FC7"/>
    <w:rsid w:val="00693255"/>
    <w:rsid w:val="00693E4D"/>
    <w:rsid w:val="00694070"/>
    <w:rsid w:val="006940DD"/>
    <w:rsid w:val="006941B1"/>
    <w:rsid w:val="006946D0"/>
    <w:rsid w:val="006946EE"/>
    <w:rsid w:val="0069479C"/>
    <w:rsid w:val="0069524C"/>
    <w:rsid w:val="006952BF"/>
    <w:rsid w:val="00695643"/>
    <w:rsid w:val="0069574B"/>
    <w:rsid w:val="00696131"/>
    <w:rsid w:val="0069636B"/>
    <w:rsid w:val="00696F94"/>
    <w:rsid w:val="006972EF"/>
    <w:rsid w:val="0069786E"/>
    <w:rsid w:val="006978DD"/>
    <w:rsid w:val="006A0115"/>
    <w:rsid w:val="006A015A"/>
    <w:rsid w:val="006A04FC"/>
    <w:rsid w:val="006A0578"/>
    <w:rsid w:val="006A0FD2"/>
    <w:rsid w:val="006A0FEA"/>
    <w:rsid w:val="006A1024"/>
    <w:rsid w:val="006A1315"/>
    <w:rsid w:val="006A1AFF"/>
    <w:rsid w:val="006A2448"/>
    <w:rsid w:val="006A24D5"/>
    <w:rsid w:val="006A2515"/>
    <w:rsid w:val="006A2E5F"/>
    <w:rsid w:val="006A32D2"/>
    <w:rsid w:val="006A34EE"/>
    <w:rsid w:val="006A3AE6"/>
    <w:rsid w:val="006A3D60"/>
    <w:rsid w:val="006A4281"/>
    <w:rsid w:val="006A463F"/>
    <w:rsid w:val="006A4812"/>
    <w:rsid w:val="006A510C"/>
    <w:rsid w:val="006A514C"/>
    <w:rsid w:val="006A541F"/>
    <w:rsid w:val="006A5A9F"/>
    <w:rsid w:val="006A618C"/>
    <w:rsid w:val="006A61B7"/>
    <w:rsid w:val="006A6429"/>
    <w:rsid w:val="006A6687"/>
    <w:rsid w:val="006A67B4"/>
    <w:rsid w:val="006A6BE5"/>
    <w:rsid w:val="006A7512"/>
    <w:rsid w:val="006A7E7A"/>
    <w:rsid w:val="006B02A2"/>
    <w:rsid w:val="006B05C4"/>
    <w:rsid w:val="006B088C"/>
    <w:rsid w:val="006B0C00"/>
    <w:rsid w:val="006B1AB2"/>
    <w:rsid w:val="006B1AEF"/>
    <w:rsid w:val="006B1C9C"/>
    <w:rsid w:val="006B1CA4"/>
    <w:rsid w:val="006B1DDE"/>
    <w:rsid w:val="006B2786"/>
    <w:rsid w:val="006B2AD9"/>
    <w:rsid w:val="006B33FE"/>
    <w:rsid w:val="006B40C2"/>
    <w:rsid w:val="006B4A29"/>
    <w:rsid w:val="006B4B07"/>
    <w:rsid w:val="006B4CD0"/>
    <w:rsid w:val="006B4E82"/>
    <w:rsid w:val="006B566F"/>
    <w:rsid w:val="006B5C39"/>
    <w:rsid w:val="006B6C60"/>
    <w:rsid w:val="006B6E5D"/>
    <w:rsid w:val="006B7377"/>
    <w:rsid w:val="006B7810"/>
    <w:rsid w:val="006B7835"/>
    <w:rsid w:val="006B7970"/>
    <w:rsid w:val="006C0478"/>
    <w:rsid w:val="006C072B"/>
    <w:rsid w:val="006C0882"/>
    <w:rsid w:val="006C103A"/>
    <w:rsid w:val="006C16DD"/>
    <w:rsid w:val="006C17B6"/>
    <w:rsid w:val="006C19E1"/>
    <w:rsid w:val="006C1A39"/>
    <w:rsid w:val="006C1A7E"/>
    <w:rsid w:val="006C1C7E"/>
    <w:rsid w:val="006C29B1"/>
    <w:rsid w:val="006C2B6C"/>
    <w:rsid w:val="006C2BF3"/>
    <w:rsid w:val="006C2E68"/>
    <w:rsid w:val="006C38CA"/>
    <w:rsid w:val="006C480D"/>
    <w:rsid w:val="006C486A"/>
    <w:rsid w:val="006C4ED1"/>
    <w:rsid w:val="006C56B1"/>
    <w:rsid w:val="006C58F9"/>
    <w:rsid w:val="006C598F"/>
    <w:rsid w:val="006C5F49"/>
    <w:rsid w:val="006C60B7"/>
    <w:rsid w:val="006C6673"/>
    <w:rsid w:val="006C6A99"/>
    <w:rsid w:val="006C6B58"/>
    <w:rsid w:val="006C74F9"/>
    <w:rsid w:val="006C7728"/>
    <w:rsid w:val="006D00CF"/>
    <w:rsid w:val="006D08AA"/>
    <w:rsid w:val="006D0A03"/>
    <w:rsid w:val="006D101F"/>
    <w:rsid w:val="006D1203"/>
    <w:rsid w:val="006D17BB"/>
    <w:rsid w:val="006D187F"/>
    <w:rsid w:val="006D1FB7"/>
    <w:rsid w:val="006D23ED"/>
    <w:rsid w:val="006D24E4"/>
    <w:rsid w:val="006D2641"/>
    <w:rsid w:val="006D2D56"/>
    <w:rsid w:val="006D3616"/>
    <w:rsid w:val="006D3B67"/>
    <w:rsid w:val="006D3BF5"/>
    <w:rsid w:val="006D3DF1"/>
    <w:rsid w:val="006D3EDD"/>
    <w:rsid w:val="006D3F4C"/>
    <w:rsid w:val="006D40D6"/>
    <w:rsid w:val="006D4599"/>
    <w:rsid w:val="006D4979"/>
    <w:rsid w:val="006D4A7E"/>
    <w:rsid w:val="006D4E8C"/>
    <w:rsid w:val="006D55F1"/>
    <w:rsid w:val="006D5DB1"/>
    <w:rsid w:val="006D6420"/>
    <w:rsid w:val="006D68B2"/>
    <w:rsid w:val="006D6D43"/>
    <w:rsid w:val="006D723F"/>
    <w:rsid w:val="006D7598"/>
    <w:rsid w:val="006D798D"/>
    <w:rsid w:val="006E0721"/>
    <w:rsid w:val="006E0793"/>
    <w:rsid w:val="006E080E"/>
    <w:rsid w:val="006E0B2B"/>
    <w:rsid w:val="006E13A3"/>
    <w:rsid w:val="006E1439"/>
    <w:rsid w:val="006E15B9"/>
    <w:rsid w:val="006E1860"/>
    <w:rsid w:val="006E193B"/>
    <w:rsid w:val="006E1B6C"/>
    <w:rsid w:val="006E1E9D"/>
    <w:rsid w:val="006E2597"/>
    <w:rsid w:val="006E2C6E"/>
    <w:rsid w:val="006E2D87"/>
    <w:rsid w:val="006E3169"/>
    <w:rsid w:val="006E31F5"/>
    <w:rsid w:val="006E31FF"/>
    <w:rsid w:val="006E4994"/>
    <w:rsid w:val="006E4DF2"/>
    <w:rsid w:val="006E4E10"/>
    <w:rsid w:val="006E598A"/>
    <w:rsid w:val="006E6353"/>
    <w:rsid w:val="006E66FB"/>
    <w:rsid w:val="006E68E1"/>
    <w:rsid w:val="006E6DA9"/>
    <w:rsid w:val="006E6DDF"/>
    <w:rsid w:val="006E7139"/>
    <w:rsid w:val="006E76A6"/>
    <w:rsid w:val="006E77B5"/>
    <w:rsid w:val="006E7A63"/>
    <w:rsid w:val="006E7A8B"/>
    <w:rsid w:val="006F00B8"/>
    <w:rsid w:val="006F0983"/>
    <w:rsid w:val="006F0B39"/>
    <w:rsid w:val="006F1053"/>
    <w:rsid w:val="006F1162"/>
    <w:rsid w:val="006F1573"/>
    <w:rsid w:val="006F1C6F"/>
    <w:rsid w:val="006F2133"/>
    <w:rsid w:val="006F229C"/>
    <w:rsid w:val="006F2550"/>
    <w:rsid w:val="006F26EC"/>
    <w:rsid w:val="006F2EEC"/>
    <w:rsid w:val="006F2F3B"/>
    <w:rsid w:val="006F308E"/>
    <w:rsid w:val="006F3394"/>
    <w:rsid w:val="006F3F9A"/>
    <w:rsid w:val="006F4278"/>
    <w:rsid w:val="006F4C41"/>
    <w:rsid w:val="006F5048"/>
    <w:rsid w:val="006F53D4"/>
    <w:rsid w:val="006F5E35"/>
    <w:rsid w:val="006F5EA9"/>
    <w:rsid w:val="006F640F"/>
    <w:rsid w:val="006F64F1"/>
    <w:rsid w:val="006F6A51"/>
    <w:rsid w:val="006F7553"/>
    <w:rsid w:val="007001EC"/>
    <w:rsid w:val="00700391"/>
    <w:rsid w:val="00702124"/>
    <w:rsid w:val="00702269"/>
    <w:rsid w:val="00702822"/>
    <w:rsid w:val="00702E99"/>
    <w:rsid w:val="007033E6"/>
    <w:rsid w:val="0070341F"/>
    <w:rsid w:val="007037F2"/>
    <w:rsid w:val="00704153"/>
    <w:rsid w:val="007046D1"/>
    <w:rsid w:val="00704B63"/>
    <w:rsid w:val="007051F4"/>
    <w:rsid w:val="0070523E"/>
    <w:rsid w:val="00705637"/>
    <w:rsid w:val="00705B99"/>
    <w:rsid w:val="007065A0"/>
    <w:rsid w:val="0070660D"/>
    <w:rsid w:val="0070663C"/>
    <w:rsid w:val="00706A88"/>
    <w:rsid w:val="00707243"/>
    <w:rsid w:val="007072E8"/>
    <w:rsid w:val="007073A4"/>
    <w:rsid w:val="007075EA"/>
    <w:rsid w:val="00707B33"/>
    <w:rsid w:val="0071017F"/>
    <w:rsid w:val="007101E3"/>
    <w:rsid w:val="00710322"/>
    <w:rsid w:val="00710550"/>
    <w:rsid w:val="00710696"/>
    <w:rsid w:val="007108D4"/>
    <w:rsid w:val="00710D42"/>
    <w:rsid w:val="00711A5C"/>
    <w:rsid w:val="007121B7"/>
    <w:rsid w:val="00712235"/>
    <w:rsid w:val="007123DE"/>
    <w:rsid w:val="007126C1"/>
    <w:rsid w:val="00712A42"/>
    <w:rsid w:val="00712FCB"/>
    <w:rsid w:val="00713771"/>
    <w:rsid w:val="00714158"/>
    <w:rsid w:val="00714558"/>
    <w:rsid w:val="007146CC"/>
    <w:rsid w:val="00715098"/>
    <w:rsid w:val="007157DD"/>
    <w:rsid w:val="00715D48"/>
    <w:rsid w:val="00715D84"/>
    <w:rsid w:val="007161DD"/>
    <w:rsid w:val="00716232"/>
    <w:rsid w:val="0071644F"/>
    <w:rsid w:val="007164A8"/>
    <w:rsid w:val="00716663"/>
    <w:rsid w:val="00716AA3"/>
    <w:rsid w:val="007171B4"/>
    <w:rsid w:val="00717854"/>
    <w:rsid w:val="007178EC"/>
    <w:rsid w:val="00717E50"/>
    <w:rsid w:val="00720074"/>
    <w:rsid w:val="00720209"/>
    <w:rsid w:val="0072029D"/>
    <w:rsid w:val="00720364"/>
    <w:rsid w:val="00720913"/>
    <w:rsid w:val="00721557"/>
    <w:rsid w:val="007218A4"/>
    <w:rsid w:val="007218DE"/>
    <w:rsid w:val="0072203F"/>
    <w:rsid w:val="00722572"/>
    <w:rsid w:val="00723164"/>
    <w:rsid w:val="0072317B"/>
    <w:rsid w:val="007232D6"/>
    <w:rsid w:val="00723A57"/>
    <w:rsid w:val="00723AFF"/>
    <w:rsid w:val="00723D7A"/>
    <w:rsid w:val="007245C7"/>
    <w:rsid w:val="007245E8"/>
    <w:rsid w:val="0072477D"/>
    <w:rsid w:val="00724951"/>
    <w:rsid w:val="00724A06"/>
    <w:rsid w:val="00724E7B"/>
    <w:rsid w:val="00725032"/>
    <w:rsid w:val="007252E3"/>
    <w:rsid w:val="0072642D"/>
    <w:rsid w:val="00726B03"/>
    <w:rsid w:val="00726E86"/>
    <w:rsid w:val="0072723D"/>
    <w:rsid w:val="00727491"/>
    <w:rsid w:val="00727D3E"/>
    <w:rsid w:val="00727EAC"/>
    <w:rsid w:val="007307D8"/>
    <w:rsid w:val="007313BE"/>
    <w:rsid w:val="00731849"/>
    <w:rsid w:val="00731B21"/>
    <w:rsid w:val="00731C69"/>
    <w:rsid w:val="007320EC"/>
    <w:rsid w:val="00732113"/>
    <w:rsid w:val="00732620"/>
    <w:rsid w:val="007332CB"/>
    <w:rsid w:val="00733D41"/>
    <w:rsid w:val="00733E08"/>
    <w:rsid w:val="00734675"/>
    <w:rsid w:val="00734907"/>
    <w:rsid w:val="00734A49"/>
    <w:rsid w:val="007354D1"/>
    <w:rsid w:val="00735C1F"/>
    <w:rsid w:val="00735F78"/>
    <w:rsid w:val="007366D3"/>
    <w:rsid w:val="00736CB5"/>
    <w:rsid w:val="00736DD2"/>
    <w:rsid w:val="00736F9D"/>
    <w:rsid w:val="007377AE"/>
    <w:rsid w:val="00737BD0"/>
    <w:rsid w:val="00737E84"/>
    <w:rsid w:val="00740133"/>
    <w:rsid w:val="007407E3"/>
    <w:rsid w:val="00740E72"/>
    <w:rsid w:val="00741C0A"/>
    <w:rsid w:val="0074266A"/>
    <w:rsid w:val="007429C7"/>
    <w:rsid w:val="00742AEB"/>
    <w:rsid w:val="00742E1C"/>
    <w:rsid w:val="0074310C"/>
    <w:rsid w:val="007431AE"/>
    <w:rsid w:val="007435D7"/>
    <w:rsid w:val="00743B2D"/>
    <w:rsid w:val="00743BDB"/>
    <w:rsid w:val="00743E8A"/>
    <w:rsid w:val="00744049"/>
    <w:rsid w:val="007446CF"/>
    <w:rsid w:val="007448B5"/>
    <w:rsid w:val="00744A7C"/>
    <w:rsid w:val="00744EBF"/>
    <w:rsid w:val="00744F49"/>
    <w:rsid w:val="00744F76"/>
    <w:rsid w:val="00745C80"/>
    <w:rsid w:val="007464E4"/>
    <w:rsid w:val="00746688"/>
    <w:rsid w:val="007466F0"/>
    <w:rsid w:val="00746AA1"/>
    <w:rsid w:val="0074715C"/>
    <w:rsid w:val="007472BB"/>
    <w:rsid w:val="0074797E"/>
    <w:rsid w:val="00747FE4"/>
    <w:rsid w:val="0075001B"/>
    <w:rsid w:val="007503B1"/>
    <w:rsid w:val="0075095D"/>
    <w:rsid w:val="00751602"/>
    <w:rsid w:val="00751631"/>
    <w:rsid w:val="00751EF4"/>
    <w:rsid w:val="0075233C"/>
    <w:rsid w:val="00752652"/>
    <w:rsid w:val="00753054"/>
    <w:rsid w:val="0075350E"/>
    <w:rsid w:val="00753A00"/>
    <w:rsid w:val="00753B11"/>
    <w:rsid w:val="00753D4E"/>
    <w:rsid w:val="00753F8A"/>
    <w:rsid w:val="00754608"/>
    <w:rsid w:val="00754AC2"/>
    <w:rsid w:val="00754CA9"/>
    <w:rsid w:val="00754DFE"/>
    <w:rsid w:val="007551DC"/>
    <w:rsid w:val="00755A3E"/>
    <w:rsid w:val="00755BAD"/>
    <w:rsid w:val="00755D29"/>
    <w:rsid w:val="0075619E"/>
    <w:rsid w:val="007566DC"/>
    <w:rsid w:val="00756DAA"/>
    <w:rsid w:val="00756DC1"/>
    <w:rsid w:val="00757438"/>
    <w:rsid w:val="00760238"/>
    <w:rsid w:val="007605AF"/>
    <w:rsid w:val="00760876"/>
    <w:rsid w:val="00760939"/>
    <w:rsid w:val="00760E80"/>
    <w:rsid w:val="00762495"/>
    <w:rsid w:val="0076294A"/>
    <w:rsid w:val="00763189"/>
    <w:rsid w:val="0076331F"/>
    <w:rsid w:val="0076341A"/>
    <w:rsid w:val="00763ED9"/>
    <w:rsid w:val="00764D10"/>
    <w:rsid w:val="00764E46"/>
    <w:rsid w:val="00764E68"/>
    <w:rsid w:val="0076545D"/>
    <w:rsid w:val="007657A4"/>
    <w:rsid w:val="00765DE5"/>
    <w:rsid w:val="00766A23"/>
    <w:rsid w:val="00767730"/>
    <w:rsid w:val="00767A65"/>
    <w:rsid w:val="0077023C"/>
    <w:rsid w:val="0077043E"/>
    <w:rsid w:val="00770C4E"/>
    <w:rsid w:val="007712F7"/>
    <w:rsid w:val="00771A63"/>
    <w:rsid w:val="00772286"/>
    <w:rsid w:val="00772402"/>
    <w:rsid w:val="00772484"/>
    <w:rsid w:val="0077265B"/>
    <w:rsid w:val="007733A6"/>
    <w:rsid w:val="0077385E"/>
    <w:rsid w:val="007738B4"/>
    <w:rsid w:val="00773D96"/>
    <w:rsid w:val="00773DDC"/>
    <w:rsid w:val="00774669"/>
    <w:rsid w:val="00774E66"/>
    <w:rsid w:val="007752B2"/>
    <w:rsid w:val="007756B8"/>
    <w:rsid w:val="00775E45"/>
    <w:rsid w:val="00775EFA"/>
    <w:rsid w:val="00775F78"/>
    <w:rsid w:val="0077600E"/>
    <w:rsid w:val="00776D68"/>
    <w:rsid w:val="00777488"/>
    <w:rsid w:val="00777817"/>
    <w:rsid w:val="00777A1B"/>
    <w:rsid w:val="00777E0E"/>
    <w:rsid w:val="007806B5"/>
    <w:rsid w:val="00780C09"/>
    <w:rsid w:val="007810B4"/>
    <w:rsid w:val="00781309"/>
    <w:rsid w:val="007825A9"/>
    <w:rsid w:val="00782CA2"/>
    <w:rsid w:val="0078300B"/>
    <w:rsid w:val="0078314A"/>
    <w:rsid w:val="00783162"/>
    <w:rsid w:val="00783431"/>
    <w:rsid w:val="00783BE7"/>
    <w:rsid w:val="00783CBD"/>
    <w:rsid w:val="00785076"/>
    <w:rsid w:val="007850FE"/>
    <w:rsid w:val="007859BB"/>
    <w:rsid w:val="00785BCD"/>
    <w:rsid w:val="00785C3E"/>
    <w:rsid w:val="00785DAE"/>
    <w:rsid w:val="00786124"/>
    <w:rsid w:val="00786B0F"/>
    <w:rsid w:val="00786BA8"/>
    <w:rsid w:val="00787188"/>
    <w:rsid w:val="0078722B"/>
    <w:rsid w:val="00787392"/>
    <w:rsid w:val="00787497"/>
    <w:rsid w:val="00787F41"/>
    <w:rsid w:val="007900CB"/>
    <w:rsid w:val="0079016E"/>
    <w:rsid w:val="00790569"/>
    <w:rsid w:val="00790725"/>
    <w:rsid w:val="00790930"/>
    <w:rsid w:val="00790B0C"/>
    <w:rsid w:val="00790ED7"/>
    <w:rsid w:val="00791040"/>
    <w:rsid w:val="007910E0"/>
    <w:rsid w:val="0079140D"/>
    <w:rsid w:val="00791557"/>
    <w:rsid w:val="0079173F"/>
    <w:rsid w:val="00791864"/>
    <w:rsid w:val="007918D7"/>
    <w:rsid w:val="0079201E"/>
    <w:rsid w:val="007920B2"/>
    <w:rsid w:val="007928FF"/>
    <w:rsid w:val="00792E78"/>
    <w:rsid w:val="00793369"/>
    <w:rsid w:val="007936E9"/>
    <w:rsid w:val="007944C0"/>
    <w:rsid w:val="00794608"/>
    <w:rsid w:val="00794758"/>
    <w:rsid w:val="00794772"/>
    <w:rsid w:val="0079591E"/>
    <w:rsid w:val="00795D28"/>
    <w:rsid w:val="00795DA2"/>
    <w:rsid w:val="00796025"/>
    <w:rsid w:val="0079699B"/>
    <w:rsid w:val="007969F2"/>
    <w:rsid w:val="00796CC4"/>
    <w:rsid w:val="0079727C"/>
    <w:rsid w:val="00797C68"/>
    <w:rsid w:val="007A031B"/>
    <w:rsid w:val="007A0CD9"/>
    <w:rsid w:val="007A135B"/>
    <w:rsid w:val="007A18C0"/>
    <w:rsid w:val="007A2357"/>
    <w:rsid w:val="007A26D4"/>
    <w:rsid w:val="007A2862"/>
    <w:rsid w:val="007A2D17"/>
    <w:rsid w:val="007A2E66"/>
    <w:rsid w:val="007A2E87"/>
    <w:rsid w:val="007A305D"/>
    <w:rsid w:val="007A349E"/>
    <w:rsid w:val="007A364E"/>
    <w:rsid w:val="007A3D67"/>
    <w:rsid w:val="007A3EFB"/>
    <w:rsid w:val="007A4393"/>
    <w:rsid w:val="007A45BA"/>
    <w:rsid w:val="007A4E25"/>
    <w:rsid w:val="007A5F90"/>
    <w:rsid w:val="007A5FC0"/>
    <w:rsid w:val="007A63D9"/>
    <w:rsid w:val="007A6D28"/>
    <w:rsid w:val="007A7B95"/>
    <w:rsid w:val="007B1FC8"/>
    <w:rsid w:val="007B2260"/>
    <w:rsid w:val="007B2587"/>
    <w:rsid w:val="007B26B6"/>
    <w:rsid w:val="007B420E"/>
    <w:rsid w:val="007B448F"/>
    <w:rsid w:val="007B5234"/>
    <w:rsid w:val="007B680E"/>
    <w:rsid w:val="007B6859"/>
    <w:rsid w:val="007B6E7E"/>
    <w:rsid w:val="007B6F4B"/>
    <w:rsid w:val="007B6FB7"/>
    <w:rsid w:val="007B76D9"/>
    <w:rsid w:val="007B76EA"/>
    <w:rsid w:val="007B7882"/>
    <w:rsid w:val="007B7967"/>
    <w:rsid w:val="007C0361"/>
    <w:rsid w:val="007C0636"/>
    <w:rsid w:val="007C0667"/>
    <w:rsid w:val="007C0880"/>
    <w:rsid w:val="007C11CB"/>
    <w:rsid w:val="007C2092"/>
    <w:rsid w:val="007C2750"/>
    <w:rsid w:val="007C2DD7"/>
    <w:rsid w:val="007C41B9"/>
    <w:rsid w:val="007C43D2"/>
    <w:rsid w:val="007C4901"/>
    <w:rsid w:val="007C4A9C"/>
    <w:rsid w:val="007C4B59"/>
    <w:rsid w:val="007C5B7E"/>
    <w:rsid w:val="007C61C0"/>
    <w:rsid w:val="007C702E"/>
    <w:rsid w:val="007C7A27"/>
    <w:rsid w:val="007C7D43"/>
    <w:rsid w:val="007D005E"/>
    <w:rsid w:val="007D0402"/>
    <w:rsid w:val="007D0A16"/>
    <w:rsid w:val="007D0C38"/>
    <w:rsid w:val="007D0CEF"/>
    <w:rsid w:val="007D0DB2"/>
    <w:rsid w:val="007D0F21"/>
    <w:rsid w:val="007D1445"/>
    <w:rsid w:val="007D14E5"/>
    <w:rsid w:val="007D1DD4"/>
    <w:rsid w:val="007D23BE"/>
    <w:rsid w:val="007D2A8C"/>
    <w:rsid w:val="007D2F08"/>
    <w:rsid w:val="007D3259"/>
    <w:rsid w:val="007D3347"/>
    <w:rsid w:val="007D33FF"/>
    <w:rsid w:val="007D412B"/>
    <w:rsid w:val="007D5390"/>
    <w:rsid w:val="007D5575"/>
    <w:rsid w:val="007D60E2"/>
    <w:rsid w:val="007D642B"/>
    <w:rsid w:val="007D6CB0"/>
    <w:rsid w:val="007D76D4"/>
    <w:rsid w:val="007D7F46"/>
    <w:rsid w:val="007E0053"/>
    <w:rsid w:val="007E0346"/>
    <w:rsid w:val="007E05B4"/>
    <w:rsid w:val="007E0A2F"/>
    <w:rsid w:val="007E0C71"/>
    <w:rsid w:val="007E0E3E"/>
    <w:rsid w:val="007E1121"/>
    <w:rsid w:val="007E137C"/>
    <w:rsid w:val="007E17F4"/>
    <w:rsid w:val="007E2486"/>
    <w:rsid w:val="007E2E56"/>
    <w:rsid w:val="007E36C7"/>
    <w:rsid w:val="007E430B"/>
    <w:rsid w:val="007E43FB"/>
    <w:rsid w:val="007E4B6D"/>
    <w:rsid w:val="007E4E88"/>
    <w:rsid w:val="007E50F8"/>
    <w:rsid w:val="007E5353"/>
    <w:rsid w:val="007E557A"/>
    <w:rsid w:val="007E5B5E"/>
    <w:rsid w:val="007E5D67"/>
    <w:rsid w:val="007E6FC7"/>
    <w:rsid w:val="007E79B5"/>
    <w:rsid w:val="007E7C92"/>
    <w:rsid w:val="007F0035"/>
    <w:rsid w:val="007F0A22"/>
    <w:rsid w:val="007F0E90"/>
    <w:rsid w:val="007F0F1F"/>
    <w:rsid w:val="007F1B48"/>
    <w:rsid w:val="007F1EF4"/>
    <w:rsid w:val="007F228A"/>
    <w:rsid w:val="007F2A37"/>
    <w:rsid w:val="007F3945"/>
    <w:rsid w:val="007F3ED7"/>
    <w:rsid w:val="007F3F17"/>
    <w:rsid w:val="007F3FE8"/>
    <w:rsid w:val="007F4588"/>
    <w:rsid w:val="007F471D"/>
    <w:rsid w:val="007F5305"/>
    <w:rsid w:val="007F53D9"/>
    <w:rsid w:val="007F5CF1"/>
    <w:rsid w:val="007F5DC0"/>
    <w:rsid w:val="007F5EC1"/>
    <w:rsid w:val="007F6011"/>
    <w:rsid w:val="007F684F"/>
    <w:rsid w:val="007F7292"/>
    <w:rsid w:val="007F72D8"/>
    <w:rsid w:val="007F7E06"/>
    <w:rsid w:val="007F7EBD"/>
    <w:rsid w:val="00800071"/>
    <w:rsid w:val="00800345"/>
    <w:rsid w:val="0080036C"/>
    <w:rsid w:val="008005B3"/>
    <w:rsid w:val="00800A5B"/>
    <w:rsid w:val="00800E6F"/>
    <w:rsid w:val="008011AE"/>
    <w:rsid w:val="008018F6"/>
    <w:rsid w:val="008020F3"/>
    <w:rsid w:val="008023A8"/>
    <w:rsid w:val="008027C6"/>
    <w:rsid w:val="008028D2"/>
    <w:rsid w:val="008036AB"/>
    <w:rsid w:val="008036E3"/>
    <w:rsid w:val="00803761"/>
    <w:rsid w:val="008038B3"/>
    <w:rsid w:val="00803CA8"/>
    <w:rsid w:val="00804609"/>
    <w:rsid w:val="00804774"/>
    <w:rsid w:val="00804CCC"/>
    <w:rsid w:val="00804EED"/>
    <w:rsid w:val="00804F20"/>
    <w:rsid w:val="00805413"/>
    <w:rsid w:val="00805EBE"/>
    <w:rsid w:val="00805FE9"/>
    <w:rsid w:val="008063E4"/>
    <w:rsid w:val="00806705"/>
    <w:rsid w:val="00806A81"/>
    <w:rsid w:val="00806EBB"/>
    <w:rsid w:val="0080721D"/>
    <w:rsid w:val="0080740F"/>
    <w:rsid w:val="008078EE"/>
    <w:rsid w:val="00807E81"/>
    <w:rsid w:val="008100E3"/>
    <w:rsid w:val="00810B22"/>
    <w:rsid w:val="00810CE2"/>
    <w:rsid w:val="00810FE6"/>
    <w:rsid w:val="008110C9"/>
    <w:rsid w:val="0081137E"/>
    <w:rsid w:val="00811802"/>
    <w:rsid w:val="00811B24"/>
    <w:rsid w:val="00811BE2"/>
    <w:rsid w:val="008121F1"/>
    <w:rsid w:val="008122AC"/>
    <w:rsid w:val="008126C4"/>
    <w:rsid w:val="00812ACE"/>
    <w:rsid w:val="00812D63"/>
    <w:rsid w:val="00812F9A"/>
    <w:rsid w:val="00813B54"/>
    <w:rsid w:val="00813DF3"/>
    <w:rsid w:val="00815421"/>
    <w:rsid w:val="00815638"/>
    <w:rsid w:val="00816105"/>
    <w:rsid w:val="00816834"/>
    <w:rsid w:val="00816BB1"/>
    <w:rsid w:val="00816CFE"/>
    <w:rsid w:val="00817A07"/>
    <w:rsid w:val="00817D74"/>
    <w:rsid w:val="00817E80"/>
    <w:rsid w:val="00820586"/>
    <w:rsid w:val="00820B41"/>
    <w:rsid w:val="00822230"/>
    <w:rsid w:val="008225EA"/>
    <w:rsid w:val="00822A70"/>
    <w:rsid w:val="00822F0D"/>
    <w:rsid w:val="00822F5D"/>
    <w:rsid w:val="00823ACE"/>
    <w:rsid w:val="00823BFD"/>
    <w:rsid w:val="00823DBE"/>
    <w:rsid w:val="00823E3D"/>
    <w:rsid w:val="00824C9A"/>
    <w:rsid w:val="0082566C"/>
    <w:rsid w:val="00825705"/>
    <w:rsid w:val="00825785"/>
    <w:rsid w:val="00825F7A"/>
    <w:rsid w:val="00826085"/>
    <w:rsid w:val="008262B5"/>
    <w:rsid w:val="00826424"/>
    <w:rsid w:val="00826BC6"/>
    <w:rsid w:val="00826D7A"/>
    <w:rsid w:val="00827424"/>
    <w:rsid w:val="00827606"/>
    <w:rsid w:val="008276FB"/>
    <w:rsid w:val="00827EAA"/>
    <w:rsid w:val="00830D6A"/>
    <w:rsid w:val="0083186A"/>
    <w:rsid w:val="00831D38"/>
    <w:rsid w:val="00831D90"/>
    <w:rsid w:val="00831F20"/>
    <w:rsid w:val="008320A8"/>
    <w:rsid w:val="0083294F"/>
    <w:rsid w:val="00832DD8"/>
    <w:rsid w:val="008333E8"/>
    <w:rsid w:val="008337A9"/>
    <w:rsid w:val="008337B4"/>
    <w:rsid w:val="008341C1"/>
    <w:rsid w:val="008342C2"/>
    <w:rsid w:val="008342DA"/>
    <w:rsid w:val="0083468B"/>
    <w:rsid w:val="0083468E"/>
    <w:rsid w:val="00834704"/>
    <w:rsid w:val="0083498B"/>
    <w:rsid w:val="00834A82"/>
    <w:rsid w:val="00834BCD"/>
    <w:rsid w:val="00834F61"/>
    <w:rsid w:val="008350B1"/>
    <w:rsid w:val="00835204"/>
    <w:rsid w:val="00835506"/>
    <w:rsid w:val="00835592"/>
    <w:rsid w:val="00835B0D"/>
    <w:rsid w:val="00835CF1"/>
    <w:rsid w:val="008361B2"/>
    <w:rsid w:val="00836377"/>
    <w:rsid w:val="0083668F"/>
    <w:rsid w:val="00836C35"/>
    <w:rsid w:val="00836CAB"/>
    <w:rsid w:val="008377A7"/>
    <w:rsid w:val="0084004E"/>
    <w:rsid w:val="0084065C"/>
    <w:rsid w:val="0084070F"/>
    <w:rsid w:val="0084137F"/>
    <w:rsid w:val="008416AB"/>
    <w:rsid w:val="00841ED7"/>
    <w:rsid w:val="008426C4"/>
    <w:rsid w:val="00842B8D"/>
    <w:rsid w:val="0084339B"/>
    <w:rsid w:val="00843637"/>
    <w:rsid w:val="00843769"/>
    <w:rsid w:val="00843913"/>
    <w:rsid w:val="00844B5E"/>
    <w:rsid w:val="00844B7F"/>
    <w:rsid w:val="00845121"/>
    <w:rsid w:val="00845A77"/>
    <w:rsid w:val="00845CF6"/>
    <w:rsid w:val="00845EF0"/>
    <w:rsid w:val="00846505"/>
    <w:rsid w:val="008467FA"/>
    <w:rsid w:val="00846DE8"/>
    <w:rsid w:val="00846FDA"/>
    <w:rsid w:val="008473B2"/>
    <w:rsid w:val="00847BD7"/>
    <w:rsid w:val="00847D3F"/>
    <w:rsid w:val="00847FE0"/>
    <w:rsid w:val="0085002C"/>
    <w:rsid w:val="00850E30"/>
    <w:rsid w:val="00851C95"/>
    <w:rsid w:val="00852449"/>
    <w:rsid w:val="008530AC"/>
    <w:rsid w:val="008541D7"/>
    <w:rsid w:val="008543A7"/>
    <w:rsid w:val="008550C7"/>
    <w:rsid w:val="008554B4"/>
    <w:rsid w:val="00855703"/>
    <w:rsid w:val="0085593E"/>
    <w:rsid w:val="00855D08"/>
    <w:rsid w:val="008569EB"/>
    <w:rsid w:val="00856A58"/>
    <w:rsid w:val="00856FED"/>
    <w:rsid w:val="008570A5"/>
    <w:rsid w:val="008572BD"/>
    <w:rsid w:val="00857665"/>
    <w:rsid w:val="00857715"/>
    <w:rsid w:val="0085783D"/>
    <w:rsid w:val="00857901"/>
    <w:rsid w:val="00857998"/>
    <w:rsid w:val="0086065A"/>
    <w:rsid w:val="00860D39"/>
    <w:rsid w:val="008610B9"/>
    <w:rsid w:val="00861309"/>
    <w:rsid w:val="008614A8"/>
    <w:rsid w:val="008619AD"/>
    <w:rsid w:val="00861B97"/>
    <w:rsid w:val="00861CB2"/>
    <w:rsid w:val="008620E2"/>
    <w:rsid w:val="00862197"/>
    <w:rsid w:val="00862449"/>
    <w:rsid w:val="008624E0"/>
    <w:rsid w:val="00862905"/>
    <w:rsid w:val="008631C8"/>
    <w:rsid w:val="008637AC"/>
    <w:rsid w:val="00863B41"/>
    <w:rsid w:val="00863FE6"/>
    <w:rsid w:val="008642E4"/>
    <w:rsid w:val="00864B47"/>
    <w:rsid w:val="00864DC8"/>
    <w:rsid w:val="00864E4A"/>
    <w:rsid w:val="00864E60"/>
    <w:rsid w:val="008655E8"/>
    <w:rsid w:val="0086561F"/>
    <w:rsid w:val="0086579C"/>
    <w:rsid w:val="008658C1"/>
    <w:rsid w:val="0086602B"/>
    <w:rsid w:val="0086625B"/>
    <w:rsid w:val="0086635E"/>
    <w:rsid w:val="008666DF"/>
    <w:rsid w:val="00867577"/>
    <w:rsid w:val="0086760C"/>
    <w:rsid w:val="0086765E"/>
    <w:rsid w:val="00870027"/>
    <w:rsid w:val="008703B5"/>
    <w:rsid w:val="00870432"/>
    <w:rsid w:val="00870B62"/>
    <w:rsid w:val="008715CE"/>
    <w:rsid w:val="00871FDA"/>
    <w:rsid w:val="008723E2"/>
    <w:rsid w:val="008727FD"/>
    <w:rsid w:val="00872955"/>
    <w:rsid w:val="00872C12"/>
    <w:rsid w:val="00872C59"/>
    <w:rsid w:val="00872DA4"/>
    <w:rsid w:val="00873021"/>
    <w:rsid w:val="008733C2"/>
    <w:rsid w:val="008736DF"/>
    <w:rsid w:val="00873742"/>
    <w:rsid w:val="00873C5F"/>
    <w:rsid w:val="008742B5"/>
    <w:rsid w:val="00874A90"/>
    <w:rsid w:val="00875007"/>
    <w:rsid w:val="00875272"/>
    <w:rsid w:val="008758C7"/>
    <w:rsid w:val="00875D34"/>
    <w:rsid w:val="00875E2F"/>
    <w:rsid w:val="00875F14"/>
    <w:rsid w:val="008760F0"/>
    <w:rsid w:val="008776D6"/>
    <w:rsid w:val="0087793B"/>
    <w:rsid w:val="00877A75"/>
    <w:rsid w:val="0088003C"/>
    <w:rsid w:val="00880889"/>
    <w:rsid w:val="00880FEC"/>
    <w:rsid w:val="008811CF"/>
    <w:rsid w:val="00881B11"/>
    <w:rsid w:val="00881EEF"/>
    <w:rsid w:val="00882126"/>
    <w:rsid w:val="0088278A"/>
    <w:rsid w:val="00882F0A"/>
    <w:rsid w:val="00883029"/>
    <w:rsid w:val="0088303C"/>
    <w:rsid w:val="0088330D"/>
    <w:rsid w:val="00883892"/>
    <w:rsid w:val="008841C3"/>
    <w:rsid w:val="0088421B"/>
    <w:rsid w:val="0088462B"/>
    <w:rsid w:val="008849F5"/>
    <w:rsid w:val="00884A6D"/>
    <w:rsid w:val="00884CC5"/>
    <w:rsid w:val="008851CC"/>
    <w:rsid w:val="008855B1"/>
    <w:rsid w:val="00885815"/>
    <w:rsid w:val="00885D2C"/>
    <w:rsid w:val="00886188"/>
    <w:rsid w:val="0088624A"/>
    <w:rsid w:val="0088633F"/>
    <w:rsid w:val="008867B3"/>
    <w:rsid w:val="00886BC7"/>
    <w:rsid w:val="00887100"/>
    <w:rsid w:val="00887106"/>
    <w:rsid w:val="0088796C"/>
    <w:rsid w:val="00887E67"/>
    <w:rsid w:val="0089019D"/>
    <w:rsid w:val="008904D7"/>
    <w:rsid w:val="00890DFC"/>
    <w:rsid w:val="008916F7"/>
    <w:rsid w:val="00891A31"/>
    <w:rsid w:val="00891EF6"/>
    <w:rsid w:val="00891F13"/>
    <w:rsid w:val="00891FF2"/>
    <w:rsid w:val="00892480"/>
    <w:rsid w:val="008926B0"/>
    <w:rsid w:val="00892C41"/>
    <w:rsid w:val="00892EAD"/>
    <w:rsid w:val="00893207"/>
    <w:rsid w:val="00893403"/>
    <w:rsid w:val="00893788"/>
    <w:rsid w:val="00893E5C"/>
    <w:rsid w:val="00893FD9"/>
    <w:rsid w:val="00894126"/>
    <w:rsid w:val="00894331"/>
    <w:rsid w:val="008944BF"/>
    <w:rsid w:val="00894BA0"/>
    <w:rsid w:val="00894E3E"/>
    <w:rsid w:val="00894F02"/>
    <w:rsid w:val="00895348"/>
    <w:rsid w:val="00895D69"/>
    <w:rsid w:val="00895F45"/>
    <w:rsid w:val="008963CC"/>
    <w:rsid w:val="00896405"/>
    <w:rsid w:val="00896DEE"/>
    <w:rsid w:val="008A0379"/>
    <w:rsid w:val="008A1846"/>
    <w:rsid w:val="008A2033"/>
    <w:rsid w:val="008A20AD"/>
    <w:rsid w:val="008A22B7"/>
    <w:rsid w:val="008A24B4"/>
    <w:rsid w:val="008A270D"/>
    <w:rsid w:val="008A2C75"/>
    <w:rsid w:val="008A2DCF"/>
    <w:rsid w:val="008A2E0C"/>
    <w:rsid w:val="008A2FBA"/>
    <w:rsid w:val="008A33F0"/>
    <w:rsid w:val="008A37B2"/>
    <w:rsid w:val="008A398F"/>
    <w:rsid w:val="008A39CE"/>
    <w:rsid w:val="008A3ADA"/>
    <w:rsid w:val="008A3DCA"/>
    <w:rsid w:val="008A40C1"/>
    <w:rsid w:val="008A439C"/>
    <w:rsid w:val="008A44C2"/>
    <w:rsid w:val="008A48B7"/>
    <w:rsid w:val="008A48F4"/>
    <w:rsid w:val="008A4AAD"/>
    <w:rsid w:val="008A4C60"/>
    <w:rsid w:val="008A5047"/>
    <w:rsid w:val="008A59E2"/>
    <w:rsid w:val="008A5A27"/>
    <w:rsid w:val="008A604C"/>
    <w:rsid w:val="008A676E"/>
    <w:rsid w:val="008A6778"/>
    <w:rsid w:val="008A69FD"/>
    <w:rsid w:val="008A7592"/>
    <w:rsid w:val="008A7CE8"/>
    <w:rsid w:val="008B048C"/>
    <w:rsid w:val="008B0863"/>
    <w:rsid w:val="008B0DAA"/>
    <w:rsid w:val="008B0F54"/>
    <w:rsid w:val="008B1261"/>
    <w:rsid w:val="008B1792"/>
    <w:rsid w:val="008B1BAA"/>
    <w:rsid w:val="008B1F87"/>
    <w:rsid w:val="008B221C"/>
    <w:rsid w:val="008B234D"/>
    <w:rsid w:val="008B2916"/>
    <w:rsid w:val="008B2BBA"/>
    <w:rsid w:val="008B2E50"/>
    <w:rsid w:val="008B2EB3"/>
    <w:rsid w:val="008B3011"/>
    <w:rsid w:val="008B3374"/>
    <w:rsid w:val="008B3442"/>
    <w:rsid w:val="008B4017"/>
    <w:rsid w:val="008B47E0"/>
    <w:rsid w:val="008B49EE"/>
    <w:rsid w:val="008B4D61"/>
    <w:rsid w:val="008B50D7"/>
    <w:rsid w:val="008B57BD"/>
    <w:rsid w:val="008B5E26"/>
    <w:rsid w:val="008B62A3"/>
    <w:rsid w:val="008B6A72"/>
    <w:rsid w:val="008B75FB"/>
    <w:rsid w:val="008B7E6D"/>
    <w:rsid w:val="008B7F16"/>
    <w:rsid w:val="008C01C2"/>
    <w:rsid w:val="008C0C59"/>
    <w:rsid w:val="008C1539"/>
    <w:rsid w:val="008C1B9B"/>
    <w:rsid w:val="008C2B8E"/>
    <w:rsid w:val="008C34C6"/>
    <w:rsid w:val="008C36D6"/>
    <w:rsid w:val="008C3833"/>
    <w:rsid w:val="008C3942"/>
    <w:rsid w:val="008C39C0"/>
    <w:rsid w:val="008C4495"/>
    <w:rsid w:val="008C463A"/>
    <w:rsid w:val="008C4A4B"/>
    <w:rsid w:val="008C4BF0"/>
    <w:rsid w:val="008C4FBB"/>
    <w:rsid w:val="008C5397"/>
    <w:rsid w:val="008C546C"/>
    <w:rsid w:val="008C5622"/>
    <w:rsid w:val="008C598F"/>
    <w:rsid w:val="008C60C0"/>
    <w:rsid w:val="008C66F5"/>
    <w:rsid w:val="008C6E84"/>
    <w:rsid w:val="008C7337"/>
    <w:rsid w:val="008C7C65"/>
    <w:rsid w:val="008D081E"/>
    <w:rsid w:val="008D170B"/>
    <w:rsid w:val="008D1A9F"/>
    <w:rsid w:val="008D2255"/>
    <w:rsid w:val="008D32C2"/>
    <w:rsid w:val="008D34AC"/>
    <w:rsid w:val="008D551F"/>
    <w:rsid w:val="008D5712"/>
    <w:rsid w:val="008D59FA"/>
    <w:rsid w:val="008D631E"/>
    <w:rsid w:val="008D68B3"/>
    <w:rsid w:val="008D72ED"/>
    <w:rsid w:val="008D766C"/>
    <w:rsid w:val="008D76D1"/>
    <w:rsid w:val="008E029C"/>
    <w:rsid w:val="008E075D"/>
    <w:rsid w:val="008E083B"/>
    <w:rsid w:val="008E08EB"/>
    <w:rsid w:val="008E0F66"/>
    <w:rsid w:val="008E1C83"/>
    <w:rsid w:val="008E2053"/>
    <w:rsid w:val="008E2667"/>
    <w:rsid w:val="008E2AEC"/>
    <w:rsid w:val="008E31E1"/>
    <w:rsid w:val="008E3363"/>
    <w:rsid w:val="008E3535"/>
    <w:rsid w:val="008E36E9"/>
    <w:rsid w:val="008E42FF"/>
    <w:rsid w:val="008E438A"/>
    <w:rsid w:val="008E4450"/>
    <w:rsid w:val="008E4CEC"/>
    <w:rsid w:val="008E5257"/>
    <w:rsid w:val="008E5596"/>
    <w:rsid w:val="008E65DF"/>
    <w:rsid w:val="008E66F7"/>
    <w:rsid w:val="008E7F7B"/>
    <w:rsid w:val="008F03A3"/>
    <w:rsid w:val="008F060C"/>
    <w:rsid w:val="008F0768"/>
    <w:rsid w:val="008F111C"/>
    <w:rsid w:val="008F1406"/>
    <w:rsid w:val="008F1738"/>
    <w:rsid w:val="008F19FB"/>
    <w:rsid w:val="008F1D57"/>
    <w:rsid w:val="008F1DAF"/>
    <w:rsid w:val="008F1E20"/>
    <w:rsid w:val="008F292B"/>
    <w:rsid w:val="008F2BBB"/>
    <w:rsid w:val="008F39E1"/>
    <w:rsid w:val="008F3AF1"/>
    <w:rsid w:val="008F4857"/>
    <w:rsid w:val="008F4B83"/>
    <w:rsid w:val="008F5465"/>
    <w:rsid w:val="008F5AD0"/>
    <w:rsid w:val="008F5D53"/>
    <w:rsid w:val="008F6267"/>
    <w:rsid w:val="008F68FA"/>
    <w:rsid w:val="008F6CC8"/>
    <w:rsid w:val="008F7184"/>
    <w:rsid w:val="008F721F"/>
    <w:rsid w:val="008F747E"/>
    <w:rsid w:val="008F79BA"/>
    <w:rsid w:val="008F7C7C"/>
    <w:rsid w:val="008F7D57"/>
    <w:rsid w:val="00900E05"/>
    <w:rsid w:val="009013B6"/>
    <w:rsid w:val="0090178E"/>
    <w:rsid w:val="00901EA6"/>
    <w:rsid w:val="00902502"/>
    <w:rsid w:val="00902673"/>
    <w:rsid w:val="00902E00"/>
    <w:rsid w:val="00903A37"/>
    <w:rsid w:val="00903D78"/>
    <w:rsid w:val="00903DBC"/>
    <w:rsid w:val="009040BA"/>
    <w:rsid w:val="0090495F"/>
    <w:rsid w:val="00904AE8"/>
    <w:rsid w:val="00904DCD"/>
    <w:rsid w:val="00904FC4"/>
    <w:rsid w:val="00905280"/>
    <w:rsid w:val="00905E49"/>
    <w:rsid w:val="00906E07"/>
    <w:rsid w:val="00906F0E"/>
    <w:rsid w:val="009079BC"/>
    <w:rsid w:val="009107A9"/>
    <w:rsid w:val="009107B5"/>
    <w:rsid w:val="00910857"/>
    <w:rsid w:val="00910B13"/>
    <w:rsid w:val="009110D3"/>
    <w:rsid w:val="00911623"/>
    <w:rsid w:val="00911870"/>
    <w:rsid w:val="00911C7A"/>
    <w:rsid w:val="00911F2E"/>
    <w:rsid w:val="0091212E"/>
    <w:rsid w:val="00912472"/>
    <w:rsid w:val="00912A93"/>
    <w:rsid w:val="00913597"/>
    <w:rsid w:val="009137A8"/>
    <w:rsid w:val="0091389B"/>
    <w:rsid w:val="00914C11"/>
    <w:rsid w:val="00915FEA"/>
    <w:rsid w:val="00916133"/>
    <w:rsid w:val="009163FC"/>
    <w:rsid w:val="009166C0"/>
    <w:rsid w:val="009169FB"/>
    <w:rsid w:val="00916A7E"/>
    <w:rsid w:val="0091766F"/>
    <w:rsid w:val="00917F42"/>
    <w:rsid w:val="00920FB9"/>
    <w:rsid w:val="00921751"/>
    <w:rsid w:val="00921D16"/>
    <w:rsid w:val="00921EDD"/>
    <w:rsid w:val="0092293D"/>
    <w:rsid w:val="009231AD"/>
    <w:rsid w:val="00923292"/>
    <w:rsid w:val="00923BEB"/>
    <w:rsid w:val="00924122"/>
    <w:rsid w:val="00925121"/>
    <w:rsid w:val="00926EBD"/>
    <w:rsid w:val="0092739B"/>
    <w:rsid w:val="009277B8"/>
    <w:rsid w:val="00930029"/>
    <w:rsid w:val="009303E4"/>
    <w:rsid w:val="00930AF8"/>
    <w:rsid w:val="00930BFB"/>
    <w:rsid w:val="00931260"/>
    <w:rsid w:val="00931628"/>
    <w:rsid w:val="00931ACA"/>
    <w:rsid w:val="00931D2D"/>
    <w:rsid w:val="0093215E"/>
    <w:rsid w:val="009322E2"/>
    <w:rsid w:val="009323A6"/>
    <w:rsid w:val="009323C5"/>
    <w:rsid w:val="0093270A"/>
    <w:rsid w:val="00932B1B"/>
    <w:rsid w:val="00932BAD"/>
    <w:rsid w:val="00932D7C"/>
    <w:rsid w:val="00933582"/>
    <w:rsid w:val="00933A2F"/>
    <w:rsid w:val="00933BC1"/>
    <w:rsid w:val="00933C64"/>
    <w:rsid w:val="00934A8C"/>
    <w:rsid w:val="00934EDF"/>
    <w:rsid w:val="009350A2"/>
    <w:rsid w:val="00935515"/>
    <w:rsid w:val="00936A30"/>
    <w:rsid w:val="00936F21"/>
    <w:rsid w:val="0093718A"/>
    <w:rsid w:val="0093770D"/>
    <w:rsid w:val="0094018C"/>
    <w:rsid w:val="00940B89"/>
    <w:rsid w:val="009410E9"/>
    <w:rsid w:val="00941194"/>
    <w:rsid w:val="00941290"/>
    <w:rsid w:val="00941A4D"/>
    <w:rsid w:val="00941CD4"/>
    <w:rsid w:val="00943624"/>
    <w:rsid w:val="00943794"/>
    <w:rsid w:val="00944103"/>
    <w:rsid w:val="00944381"/>
    <w:rsid w:val="00944512"/>
    <w:rsid w:val="0094474C"/>
    <w:rsid w:val="00944A97"/>
    <w:rsid w:val="00944DBD"/>
    <w:rsid w:val="0094517E"/>
    <w:rsid w:val="0094522C"/>
    <w:rsid w:val="00945280"/>
    <w:rsid w:val="00945551"/>
    <w:rsid w:val="00945703"/>
    <w:rsid w:val="0094582E"/>
    <w:rsid w:val="00946209"/>
    <w:rsid w:val="00946633"/>
    <w:rsid w:val="0094665A"/>
    <w:rsid w:val="00946ABE"/>
    <w:rsid w:val="00946D21"/>
    <w:rsid w:val="009471F9"/>
    <w:rsid w:val="009475B0"/>
    <w:rsid w:val="00947803"/>
    <w:rsid w:val="00947DCF"/>
    <w:rsid w:val="00947F13"/>
    <w:rsid w:val="00950196"/>
    <w:rsid w:val="00950300"/>
    <w:rsid w:val="00950794"/>
    <w:rsid w:val="00950E37"/>
    <w:rsid w:val="00951305"/>
    <w:rsid w:val="009517D8"/>
    <w:rsid w:val="00951D02"/>
    <w:rsid w:val="00951FE3"/>
    <w:rsid w:val="00952BA1"/>
    <w:rsid w:val="009536A5"/>
    <w:rsid w:val="00953722"/>
    <w:rsid w:val="00953A73"/>
    <w:rsid w:val="00953DF8"/>
    <w:rsid w:val="00953F1C"/>
    <w:rsid w:val="00954A9E"/>
    <w:rsid w:val="00955E1C"/>
    <w:rsid w:val="0095619D"/>
    <w:rsid w:val="0095620A"/>
    <w:rsid w:val="0095632B"/>
    <w:rsid w:val="009564C3"/>
    <w:rsid w:val="00956933"/>
    <w:rsid w:val="00957230"/>
    <w:rsid w:val="00957A8E"/>
    <w:rsid w:val="00957F2C"/>
    <w:rsid w:val="00960C9A"/>
    <w:rsid w:val="00961280"/>
    <w:rsid w:val="00961328"/>
    <w:rsid w:val="009614F1"/>
    <w:rsid w:val="0096164C"/>
    <w:rsid w:val="009617B7"/>
    <w:rsid w:val="00961C86"/>
    <w:rsid w:val="0096326C"/>
    <w:rsid w:val="0096367F"/>
    <w:rsid w:val="009639D7"/>
    <w:rsid w:val="009644AE"/>
    <w:rsid w:val="009649BE"/>
    <w:rsid w:val="00964B34"/>
    <w:rsid w:val="009650F1"/>
    <w:rsid w:val="00965116"/>
    <w:rsid w:val="00965589"/>
    <w:rsid w:val="00965D8E"/>
    <w:rsid w:val="00965F5C"/>
    <w:rsid w:val="009664CD"/>
    <w:rsid w:val="009666F9"/>
    <w:rsid w:val="00966A1B"/>
    <w:rsid w:val="00966C2A"/>
    <w:rsid w:val="00966F78"/>
    <w:rsid w:val="00966FA3"/>
    <w:rsid w:val="00967191"/>
    <w:rsid w:val="00967381"/>
    <w:rsid w:val="00967751"/>
    <w:rsid w:val="009707B3"/>
    <w:rsid w:val="00970D70"/>
    <w:rsid w:val="00971655"/>
    <w:rsid w:val="009716FA"/>
    <w:rsid w:val="00971858"/>
    <w:rsid w:val="0097245D"/>
    <w:rsid w:val="00972C47"/>
    <w:rsid w:val="009732F1"/>
    <w:rsid w:val="00973949"/>
    <w:rsid w:val="00974040"/>
    <w:rsid w:val="009742E5"/>
    <w:rsid w:val="009744E0"/>
    <w:rsid w:val="00974BA4"/>
    <w:rsid w:val="00974F6D"/>
    <w:rsid w:val="00974FB3"/>
    <w:rsid w:val="00975DF3"/>
    <w:rsid w:val="00975F53"/>
    <w:rsid w:val="009767A3"/>
    <w:rsid w:val="009769EB"/>
    <w:rsid w:val="00976D91"/>
    <w:rsid w:val="009773C5"/>
    <w:rsid w:val="0097756F"/>
    <w:rsid w:val="00977718"/>
    <w:rsid w:val="0097797B"/>
    <w:rsid w:val="00977EC3"/>
    <w:rsid w:val="0098052D"/>
    <w:rsid w:val="00980678"/>
    <w:rsid w:val="00980708"/>
    <w:rsid w:val="00980A2B"/>
    <w:rsid w:val="0098103E"/>
    <w:rsid w:val="009810A1"/>
    <w:rsid w:val="00981214"/>
    <w:rsid w:val="00982186"/>
    <w:rsid w:val="00982352"/>
    <w:rsid w:val="00982360"/>
    <w:rsid w:val="00982658"/>
    <w:rsid w:val="00982D5B"/>
    <w:rsid w:val="009830BA"/>
    <w:rsid w:val="00983411"/>
    <w:rsid w:val="00983F99"/>
    <w:rsid w:val="009840D0"/>
    <w:rsid w:val="00984156"/>
    <w:rsid w:val="00984192"/>
    <w:rsid w:val="009841A3"/>
    <w:rsid w:val="0098507A"/>
    <w:rsid w:val="0098622F"/>
    <w:rsid w:val="009863C7"/>
    <w:rsid w:val="009867BF"/>
    <w:rsid w:val="00986811"/>
    <w:rsid w:val="009869CC"/>
    <w:rsid w:val="00987317"/>
    <w:rsid w:val="009876A6"/>
    <w:rsid w:val="00987B2E"/>
    <w:rsid w:val="009901EF"/>
    <w:rsid w:val="00990202"/>
    <w:rsid w:val="00990280"/>
    <w:rsid w:val="00990EB0"/>
    <w:rsid w:val="0099115F"/>
    <w:rsid w:val="009913DA"/>
    <w:rsid w:val="00991652"/>
    <w:rsid w:val="00991B29"/>
    <w:rsid w:val="009922A2"/>
    <w:rsid w:val="009925D7"/>
    <w:rsid w:val="00992802"/>
    <w:rsid w:val="00993079"/>
    <w:rsid w:val="00993487"/>
    <w:rsid w:val="00993517"/>
    <w:rsid w:val="00993E75"/>
    <w:rsid w:val="00994223"/>
    <w:rsid w:val="009944B7"/>
    <w:rsid w:val="00994761"/>
    <w:rsid w:val="009947FC"/>
    <w:rsid w:val="00994C3C"/>
    <w:rsid w:val="00994CEA"/>
    <w:rsid w:val="00995411"/>
    <w:rsid w:val="0099568B"/>
    <w:rsid w:val="009957F9"/>
    <w:rsid w:val="00995BB6"/>
    <w:rsid w:val="00995D2E"/>
    <w:rsid w:val="00995D54"/>
    <w:rsid w:val="00995F59"/>
    <w:rsid w:val="009967C4"/>
    <w:rsid w:val="0099741D"/>
    <w:rsid w:val="00997593"/>
    <w:rsid w:val="009978D3"/>
    <w:rsid w:val="00997B59"/>
    <w:rsid w:val="009A018A"/>
    <w:rsid w:val="009A0828"/>
    <w:rsid w:val="009A093A"/>
    <w:rsid w:val="009A0A14"/>
    <w:rsid w:val="009A187E"/>
    <w:rsid w:val="009A1BFF"/>
    <w:rsid w:val="009A1E8B"/>
    <w:rsid w:val="009A1F33"/>
    <w:rsid w:val="009A2DF4"/>
    <w:rsid w:val="009A324E"/>
    <w:rsid w:val="009A3445"/>
    <w:rsid w:val="009A3A10"/>
    <w:rsid w:val="009A3B43"/>
    <w:rsid w:val="009A44B6"/>
    <w:rsid w:val="009A4CBD"/>
    <w:rsid w:val="009A4EFF"/>
    <w:rsid w:val="009A553B"/>
    <w:rsid w:val="009A5573"/>
    <w:rsid w:val="009A55BB"/>
    <w:rsid w:val="009A76A2"/>
    <w:rsid w:val="009A79F8"/>
    <w:rsid w:val="009A7BF5"/>
    <w:rsid w:val="009A7CB4"/>
    <w:rsid w:val="009A7ECB"/>
    <w:rsid w:val="009B0C48"/>
    <w:rsid w:val="009B0E11"/>
    <w:rsid w:val="009B16CC"/>
    <w:rsid w:val="009B1A53"/>
    <w:rsid w:val="009B209E"/>
    <w:rsid w:val="009B2376"/>
    <w:rsid w:val="009B24DB"/>
    <w:rsid w:val="009B29B9"/>
    <w:rsid w:val="009B2C2C"/>
    <w:rsid w:val="009B36E0"/>
    <w:rsid w:val="009B37F7"/>
    <w:rsid w:val="009B3965"/>
    <w:rsid w:val="009B41D6"/>
    <w:rsid w:val="009B5347"/>
    <w:rsid w:val="009B5D58"/>
    <w:rsid w:val="009B629B"/>
    <w:rsid w:val="009B6CA8"/>
    <w:rsid w:val="009C0DA2"/>
    <w:rsid w:val="009C19C0"/>
    <w:rsid w:val="009C1B60"/>
    <w:rsid w:val="009C1FDF"/>
    <w:rsid w:val="009C22C5"/>
    <w:rsid w:val="009C25F8"/>
    <w:rsid w:val="009C27E5"/>
    <w:rsid w:val="009C2D6F"/>
    <w:rsid w:val="009C2DE7"/>
    <w:rsid w:val="009C306B"/>
    <w:rsid w:val="009C481A"/>
    <w:rsid w:val="009C4BC8"/>
    <w:rsid w:val="009C5664"/>
    <w:rsid w:val="009C625F"/>
    <w:rsid w:val="009C7134"/>
    <w:rsid w:val="009C71AA"/>
    <w:rsid w:val="009C773D"/>
    <w:rsid w:val="009D0097"/>
    <w:rsid w:val="009D0A53"/>
    <w:rsid w:val="009D0E4E"/>
    <w:rsid w:val="009D14EE"/>
    <w:rsid w:val="009D1621"/>
    <w:rsid w:val="009D1AB4"/>
    <w:rsid w:val="009D1D69"/>
    <w:rsid w:val="009D1D9C"/>
    <w:rsid w:val="009D1EFB"/>
    <w:rsid w:val="009D201B"/>
    <w:rsid w:val="009D214D"/>
    <w:rsid w:val="009D24D7"/>
    <w:rsid w:val="009D2E23"/>
    <w:rsid w:val="009D3174"/>
    <w:rsid w:val="009D3613"/>
    <w:rsid w:val="009D3731"/>
    <w:rsid w:val="009D42D7"/>
    <w:rsid w:val="009D4345"/>
    <w:rsid w:val="009D4612"/>
    <w:rsid w:val="009D470E"/>
    <w:rsid w:val="009D4760"/>
    <w:rsid w:val="009D48B7"/>
    <w:rsid w:val="009D4E53"/>
    <w:rsid w:val="009D5078"/>
    <w:rsid w:val="009D50F7"/>
    <w:rsid w:val="009D515D"/>
    <w:rsid w:val="009D522E"/>
    <w:rsid w:val="009D5548"/>
    <w:rsid w:val="009D5685"/>
    <w:rsid w:val="009D5EC2"/>
    <w:rsid w:val="009D65E6"/>
    <w:rsid w:val="009D6C39"/>
    <w:rsid w:val="009D6F6B"/>
    <w:rsid w:val="009D7433"/>
    <w:rsid w:val="009D79FA"/>
    <w:rsid w:val="009E051D"/>
    <w:rsid w:val="009E0791"/>
    <w:rsid w:val="009E0A94"/>
    <w:rsid w:val="009E1141"/>
    <w:rsid w:val="009E115B"/>
    <w:rsid w:val="009E18F2"/>
    <w:rsid w:val="009E1E15"/>
    <w:rsid w:val="009E1FF1"/>
    <w:rsid w:val="009E2663"/>
    <w:rsid w:val="009E29E0"/>
    <w:rsid w:val="009E2A45"/>
    <w:rsid w:val="009E2F75"/>
    <w:rsid w:val="009E308D"/>
    <w:rsid w:val="009E3138"/>
    <w:rsid w:val="009E5973"/>
    <w:rsid w:val="009E6921"/>
    <w:rsid w:val="009E6C9F"/>
    <w:rsid w:val="009E719B"/>
    <w:rsid w:val="009E7508"/>
    <w:rsid w:val="009E7BE6"/>
    <w:rsid w:val="009E7F9D"/>
    <w:rsid w:val="009F0201"/>
    <w:rsid w:val="009F0485"/>
    <w:rsid w:val="009F06CC"/>
    <w:rsid w:val="009F0B0A"/>
    <w:rsid w:val="009F0DA4"/>
    <w:rsid w:val="009F0E4B"/>
    <w:rsid w:val="009F0E6D"/>
    <w:rsid w:val="009F10D4"/>
    <w:rsid w:val="009F11A2"/>
    <w:rsid w:val="009F18FC"/>
    <w:rsid w:val="009F1962"/>
    <w:rsid w:val="009F1A47"/>
    <w:rsid w:val="009F1E64"/>
    <w:rsid w:val="009F21E8"/>
    <w:rsid w:val="009F2CDA"/>
    <w:rsid w:val="009F3721"/>
    <w:rsid w:val="009F376C"/>
    <w:rsid w:val="009F39BD"/>
    <w:rsid w:val="009F420B"/>
    <w:rsid w:val="009F425A"/>
    <w:rsid w:val="009F45D6"/>
    <w:rsid w:val="009F4C1F"/>
    <w:rsid w:val="009F4FA8"/>
    <w:rsid w:val="009F577B"/>
    <w:rsid w:val="009F6813"/>
    <w:rsid w:val="009F726F"/>
    <w:rsid w:val="009F74B9"/>
    <w:rsid w:val="009F7616"/>
    <w:rsid w:val="009F767D"/>
    <w:rsid w:val="00A002A1"/>
    <w:rsid w:val="00A005B4"/>
    <w:rsid w:val="00A00983"/>
    <w:rsid w:val="00A020C3"/>
    <w:rsid w:val="00A0228C"/>
    <w:rsid w:val="00A0229B"/>
    <w:rsid w:val="00A02BAD"/>
    <w:rsid w:val="00A02D4C"/>
    <w:rsid w:val="00A0356F"/>
    <w:rsid w:val="00A04339"/>
    <w:rsid w:val="00A04975"/>
    <w:rsid w:val="00A04A0B"/>
    <w:rsid w:val="00A04ABD"/>
    <w:rsid w:val="00A0519A"/>
    <w:rsid w:val="00A05ED0"/>
    <w:rsid w:val="00A0642F"/>
    <w:rsid w:val="00A0659B"/>
    <w:rsid w:val="00A06B27"/>
    <w:rsid w:val="00A06D1C"/>
    <w:rsid w:val="00A07179"/>
    <w:rsid w:val="00A07BEB"/>
    <w:rsid w:val="00A07EDE"/>
    <w:rsid w:val="00A10275"/>
    <w:rsid w:val="00A10D0E"/>
    <w:rsid w:val="00A10E25"/>
    <w:rsid w:val="00A10F1D"/>
    <w:rsid w:val="00A114EE"/>
    <w:rsid w:val="00A11517"/>
    <w:rsid w:val="00A115FA"/>
    <w:rsid w:val="00A11D86"/>
    <w:rsid w:val="00A11FC5"/>
    <w:rsid w:val="00A1246B"/>
    <w:rsid w:val="00A127FC"/>
    <w:rsid w:val="00A13203"/>
    <w:rsid w:val="00A13B0B"/>
    <w:rsid w:val="00A13DB5"/>
    <w:rsid w:val="00A14124"/>
    <w:rsid w:val="00A14326"/>
    <w:rsid w:val="00A152CB"/>
    <w:rsid w:val="00A15320"/>
    <w:rsid w:val="00A153F1"/>
    <w:rsid w:val="00A156EC"/>
    <w:rsid w:val="00A159FF"/>
    <w:rsid w:val="00A15FC6"/>
    <w:rsid w:val="00A16583"/>
    <w:rsid w:val="00A169FC"/>
    <w:rsid w:val="00A16D4B"/>
    <w:rsid w:val="00A17033"/>
    <w:rsid w:val="00A1737C"/>
    <w:rsid w:val="00A1761E"/>
    <w:rsid w:val="00A1771F"/>
    <w:rsid w:val="00A1791E"/>
    <w:rsid w:val="00A17F00"/>
    <w:rsid w:val="00A20A33"/>
    <w:rsid w:val="00A20C82"/>
    <w:rsid w:val="00A20E38"/>
    <w:rsid w:val="00A2136A"/>
    <w:rsid w:val="00A21F47"/>
    <w:rsid w:val="00A2202B"/>
    <w:rsid w:val="00A22074"/>
    <w:rsid w:val="00A22273"/>
    <w:rsid w:val="00A22569"/>
    <w:rsid w:val="00A22B76"/>
    <w:rsid w:val="00A22D2C"/>
    <w:rsid w:val="00A22FB9"/>
    <w:rsid w:val="00A231E4"/>
    <w:rsid w:val="00A2327F"/>
    <w:rsid w:val="00A234CE"/>
    <w:rsid w:val="00A23642"/>
    <w:rsid w:val="00A23D11"/>
    <w:rsid w:val="00A2403E"/>
    <w:rsid w:val="00A2448B"/>
    <w:rsid w:val="00A245FC"/>
    <w:rsid w:val="00A249E3"/>
    <w:rsid w:val="00A24BF3"/>
    <w:rsid w:val="00A24D90"/>
    <w:rsid w:val="00A24DBE"/>
    <w:rsid w:val="00A24E5A"/>
    <w:rsid w:val="00A2551D"/>
    <w:rsid w:val="00A2586C"/>
    <w:rsid w:val="00A26569"/>
    <w:rsid w:val="00A2660F"/>
    <w:rsid w:val="00A269FC"/>
    <w:rsid w:val="00A26A43"/>
    <w:rsid w:val="00A26CCB"/>
    <w:rsid w:val="00A270E9"/>
    <w:rsid w:val="00A27353"/>
    <w:rsid w:val="00A30411"/>
    <w:rsid w:val="00A30472"/>
    <w:rsid w:val="00A30BCA"/>
    <w:rsid w:val="00A30D5B"/>
    <w:rsid w:val="00A31445"/>
    <w:rsid w:val="00A31736"/>
    <w:rsid w:val="00A31DCB"/>
    <w:rsid w:val="00A32062"/>
    <w:rsid w:val="00A32645"/>
    <w:rsid w:val="00A3287D"/>
    <w:rsid w:val="00A32A79"/>
    <w:rsid w:val="00A32FB4"/>
    <w:rsid w:val="00A33351"/>
    <w:rsid w:val="00A33592"/>
    <w:rsid w:val="00A33926"/>
    <w:rsid w:val="00A33F06"/>
    <w:rsid w:val="00A33F93"/>
    <w:rsid w:val="00A3507F"/>
    <w:rsid w:val="00A35685"/>
    <w:rsid w:val="00A35BB8"/>
    <w:rsid w:val="00A35BFD"/>
    <w:rsid w:val="00A36A8B"/>
    <w:rsid w:val="00A36E2F"/>
    <w:rsid w:val="00A36F20"/>
    <w:rsid w:val="00A37A56"/>
    <w:rsid w:val="00A40AEE"/>
    <w:rsid w:val="00A41086"/>
    <w:rsid w:val="00A4293B"/>
    <w:rsid w:val="00A429AC"/>
    <w:rsid w:val="00A42A49"/>
    <w:rsid w:val="00A431E0"/>
    <w:rsid w:val="00A432F0"/>
    <w:rsid w:val="00A4350C"/>
    <w:rsid w:val="00A4365A"/>
    <w:rsid w:val="00A436CD"/>
    <w:rsid w:val="00A43A04"/>
    <w:rsid w:val="00A43B30"/>
    <w:rsid w:val="00A4478C"/>
    <w:rsid w:val="00A449B4"/>
    <w:rsid w:val="00A449E0"/>
    <w:rsid w:val="00A44AC9"/>
    <w:rsid w:val="00A44B03"/>
    <w:rsid w:val="00A44F5E"/>
    <w:rsid w:val="00A4533E"/>
    <w:rsid w:val="00A45675"/>
    <w:rsid w:val="00A45710"/>
    <w:rsid w:val="00A45BE5"/>
    <w:rsid w:val="00A46360"/>
    <w:rsid w:val="00A465AD"/>
    <w:rsid w:val="00A46A27"/>
    <w:rsid w:val="00A47124"/>
    <w:rsid w:val="00A473B5"/>
    <w:rsid w:val="00A47472"/>
    <w:rsid w:val="00A47B43"/>
    <w:rsid w:val="00A47F44"/>
    <w:rsid w:val="00A500BE"/>
    <w:rsid w:val="00A50705"/>
    <w:rsid w:val="00A50900"/>
    <w:rsid w:val="00A50A0A"/>
    <w:rsid w:val="00A51509"/>
    <w:rsid w:val="00A515DB"/>
    <w:rsid w:val="00A51860"/>
    <w:rsid w:val="00A51CA2"/>
    <w:rsid w:val="00A52BE1"/>
    <w:rsid w:val="00A534B2"/>
    <w:rsid w:val="00A54003"/>
    <w:rsid w:val="00A542BA"/>
    <w:rsid w:val="00A542C2"/>
    <w:rsid w:val="00A5489E"/>
    <w:rsid w:val="00A54EAA"/>
    <w:rsid w:val="00A5564B"/>
    <w:rsid w:val="00A5598F"/>
    <w:rsid w:val="00A55F8C"/>
    <w:rsid w:val="00A56467"/>
    <w:rsid w:val="00A564B8"/>
    <w:rsid w:val="00A565F5"/>
    <w:rsid w:val="00A56E70"/>
    <w:rsid w:val="00A576BD"/>
    <w:rsid w:val="00A57775"/>
    <w:rsid w:val="00A60278"/>
    <w:rsid w:val="00A60672"/>
    <w:rsid w:val="00A60922"/>
    <w:rsid w:val="00A615E7"/>
    <w:rsid w:val="00A61829"/>
    <w:rsid w:val="00A61D1E"/>
    <w:rsid w:val="00A61E5E"/>
    <w:rsid w:val="00A61F58"/>
    <w:rsid w:val="00A62336"/>
    <w:rsid w:val="00A625AF"/>
    <w:rsid w:val="00A660AC"/>
    <w:rsid w:val="00A668D8"/>
    <w:rsid w:val="00A66A68"/>
    <w:rsid w:val="00A66EFE"/>
    <w:rsid w:val="00A67194"/>
    <w:rsid w:val="00A67858"/>
    <w:rsid w:val="00A67A75"/>
    <w:rsid w:val="00A712DA"/>
    <w:rsid w:val="00A714C4"/>
    <w:rsid w:val="00A7183C"/>
    <w:rsid w:val="00A71B21"/>
    <w:rsid w:val="00A71BD0"/>
    <w:rsid w:val="00A721E3"/>
    <w:rsid w:val="00A7270D"/>
    <w:rsid w:val="00A7272E"/>
    <w:rsid w:val="00A72D76"/>
    <w:rsid w:val="00A72F2F"/>
    <w:rsid w:val="00A73038"/>
    <w:rsid w:val="00A730AB"/>
    <w:rsid w:val="00A7339B"/>
    <w:rsid w:val="00A7398C"/>
    <w:rsid w:val="00A74D26"/>
    <w:rsid w:val="00A75398"/>
    <w:rsid w:val="00A76001"/>
    <w:rsid w:val="00A76195"/>
    <w:rsid w:val="00A76B98"/>
    <w:rsid w:val="00A76D2E"/>
    <w:rsid w:val="00A76ECD"/>
    <w:rsid w:val="00A77427"/>
    <w:rsid w:val="00A77585"/>
    <w:rsid w:val="00A775A5"/>
    <w:rsid w:val="00A777B1"/>
    <w:rsid w:val="00A800C4"/>
    <w:rsid w:val="00A80437"/>
    <w:rsid w:val="00A806BE"/>
    <w:rsid w:val="00A80B16"/>
    <w:rsid w:val="00A80D44"/>
    <w:rsid w:val="00A810C3"/>
    <w:rsid w:val="00A81395"/>
    <w:rsid w:val="00A813A8"/>
    <w:rsid w:val="00A816EC"/>
    <w:rsid w:val="00A819C1"/>
    <w:rsid w:val="00A82682"/>
    <w:rsid w:val="00A828BD"/>
    <w:rsid w:val="00A82A7C"/>
    <w:rsid w:val="00A82F2F"/>
    <w:rsid w:val="00A83759"/>
    <w:rsid w:val="00A845AF"/>
    <w:rsid w:val="00A84699"/>
    <w:rsid w:val="00A84782"/>
    <w:rsid w:val="00A84A74"/>
    <w:rsid w:val="00A84ADA"/>
    <w:rsid w:val="00A85397"/>
    <w:rsid w:val="00A85E14"/>
    <w:rsid w:val="00A8678A"/>
    <w:rsid w:val="00A86C77"/>
    <w:rsid w:val="00A876D4"/>
    <w:rsid w:val="00A87753"/>
    <w:rsid w:val="00A87C75"/>
    <w:rsid w:val="00A87F08"/>
    <w:rsid w:val="00A87F37"/>
    <w:rsid w:val="00A87F3E"/>
    <w:rsid w:val="00A9016A"/>
    <w:rsid w:val="00A91697"/>
    <w:rsid w:val="00A919E3"/>
    <w:rsid w:val="00A91B0D"/>
    <w:rsid w:val="00A91B69"/>
    <w:rsid w:val="00A91BB8"/>
    <w:rsid w:val="00A92AB0"/>
    <w:rsid w:val="00A92EC5"/>
    <w:rsid w:val="00A93CFC"/>
    <w:rsid w:val="00A93F5B"/>
    <w:rsid w:val="00A9408E"/>
    <w:rsid w:val="00A94422"/>
    <w:rsid w:val="00A952AD"/>
    <w:rsid w:val="00A95573"/>
    <w:rsid w:val="00A955BE"/>
    <w:rsid w:val="00A95768"/>
    <w:rsid w:val="00A95B20"/>
    <w:rsid w:val="00A9614F"/>
    <w:rsid w:val="00A963AE"/>
    <w:rsid w:val="00A964ED"/>
    <w:rsid w:val="00A9655F"/>
    <w:rsid w:val="00A966CF"/>
    <w:rsid w:val="00A969C3"/>
    <w:rsid w:val="00A96B1A"/>
    <w:rsid w:val="00A97168"/>
    <w:rsid w:val="00A9769E"/>
    <w:rsid w:val="00A97C14"/>
    <w:rsid w:val="00A97C55"/>
    <w:rsid w:val="00A97FE3"/>
    <w:rsid w:val="00AA027E"/>
    <w:rsid w:val="00AA0624"/>
    <w:rsid w:val="00AA0993"/>
    <w:rsid w:val="00AA0D88"/>
    <w:rsid w:val="00AA19A0"/>
    <w:rsid w:val="00AA1BA8"/>
    <w:rsid w:val="00AA1BDE"/>
    <w:rsid w:val="00AA1F2F"/>
    <w:rsid w:val="00AA2D2B"/>
    <w:rsid w:val="00AA34D0"/>
    <w:rsid w:val="00AA3EAB"/>
    <w:rsid w:val="00AA4503"/>
    <w:rsid w:val="00AA495D"/>
    <w:rsid w:val="00AA4EE2"/>
    <w:rsid w:val="00AA5F88"/>
    <w:rsid w:val="00AA65EA"/>
    <w:rsid w:val="00AA68D8"/>
    <w:rsid w:val="00AA771B"/>
    <w:rsid w:val="00AA7756"/>
    <w:rsid w:val="00AA79BD"/>
    <w:rsid w:val="00AA7E05"/>
    <w:rsid w:val="00AB0369"/>
    <w:rsid w:val="00AB0499"/>
    <w:rsid w:val="00AB0E4D"/>
    <w:rsid w:val="00AB10F2"/>
    <w:rsid w:val="00AB1B73"/>
    <w:rsid w:val="00AB1CA7"/>
    <w:rsid w:val="00AB1FEF"/>
    <w:rsid w:val="00AB2B75"/>
    <w:rsid w:val="00AB3486"/>
    <w:rsid w:val="00AB34CD"/>
    <w:rsid w:val="00AB3C60"/>
    <w:rsid w:val="00AB3EA0"/>
    <w:rsid w:val="00AB4123"/>
    <w:rsid w:val="00AB41E0"/>
    <w:rsid w:val="00AB450E"/>
    <w:rsid w:val="00AB477E"/>
    <w:rsid w:val="00AB5B18"/>
    <w:rsid w:val="00AB625D"/>
    <w:rsid w:val="00AB62F5"/>
    <w:rsid w:val="00AB6847"/>
    <w:rsid w:val="00AB6CAE"/>
    <w:rsid w:val="00AB6EC7"/>
    <w:rsid w:val="00AB6F06"/>
    <w:rsid w:val="00AB78CA"/>
    <w:rsid w:val="00AB7D28"/>
    <w:rsid w:val="00AB7FC5"/>
    <w:rsid w:val="00AC02E7"/>
    <w:rsid w:val="00AC0AC5"/>
    <w:rsid w:val="00AC0C44"/>
    <w:rsid w:val="00AC0E65"/>
    <w:rsid w:val="00AC0E7B"/>
    <w:rsid w:val="00AC161F"/>
    <w:rsid w:val="00AC1C0D"/>
    <w:rsid w:val="00AC24E3"/>
    <w:rsid w:val="00AC252B"/>
    <w:rsid w:val="00AC25D8"/>
    <w:rsid w:val="00AC350A"/>
    <w:rsid w:val="00AC36DC"/>
    <w:rsid w:val="00AC3B65"/>
    <w:rsid w:val="00AC410B"/>
    <w:rsid w:val="00AC439F"/>
    <w:rsid w:val="00AC4573"/>
    <w:rsid w:val="00AC4BD4"/>
    <w:rsid w:val="00AC4BFC"/>
    <w:rsid w:val="00AC4FD0"/>
    <w:rsid w:val="00AC5527"/>
    <w:rsid w:val="00AC57C4"/>
    <w:rsid w:val="00AC5FFD"/>
    <w:rsid w:val="00AC771E"/>
    <w:rsid w:val="00AC7892"/>
    <w:rsid w:val="00AC7D8B"/>
    <w:rsid w:val="00AD0137"/>
    <w:rsid w:val="00AD03EE"/>
    <w:rsid w:val="00AD0443"/>
    <w:rsid w:val="00AD05BA"/>
    <w:rsid w:val="00AD0A0D"/>
    <w:rsid w:val="00AD0AD7"/>
    <w:rsid w:val="00AD0C37"/>
    <w:rsid w:val="00AD19E6"/>
    <w:rsid w:val="00AD1A9A"/>
    <w:rsid w:val="00AD1C61"/>
    <w:rsid w:val="00AD1D6F"/>
    <w:rsid w:val="00AD1DCD"/>
    <w:rsid w:val="00AD2268"/>
    <w:rsid w:val="00AD3173"/>
    <w:rsid w:val="00AD36EA"/>
    <w:rsid w:val="00AD3B0F"/>
    <w:rsid w:val="00AD3EDF"/>
    <w:rsid w:val="00AD3F24"/>
    <w:rsid w:val="00AD4865"/>
    <w:rsid w:val="00AD4F75"/>
    <w:rsid w:val="00AD5CF8"/>
    <w:rsid w:val="00AD60AB"/>
    <w:rsid w:val="00AD6435"/>
    <w:rsid w:val="00AD65A6"/>
    <w:rsid w:val="00AD6E00"/>
    <w:rsid w:val="00AD7439"/>
    <w:rsid w:val="00AD74EF"/>
    <w:rsid w:val="00AD77CC"/>
    <w:rsid w:val="00AD7B53"/>
    <w:rsid w:val="00AD7CF3"/>
    <w:rsid w:val="00AE0205"/>
    <w:rsid w:val="00AE028A"/>
    <w:rsid w:val="00AE0316"/>
    <w:rsid w:val="00AE03D6"/>
    <w:rsid w:val="00AE083A"/>
    <w:rsid w:val="00AE12C7"/>
    <w:rsid w:val="00AE1A01"/>
    <w:rsid w:val="00AE1C71"/>
    <w:rsid w:val="00AE1ECD"/>
    <w:rsid w:val="00AE2F49"/>
    <w:rsid w:val="00AE429A"/>
    <w:rsid w:val="00AE45D4"/>
    <w:rsid w:val="00AE47F4"/>
    <w:rsid w:val="00AE4898"/>
    <w:rsid w:val="00AE58EA"/>
    <w:rsid w:val="00AE5A20"/>
    <w:rsid w:val="00AE5F3A"/>
    <w:rsid w:val="00AE5F3F"/>
    <w:rsid w:val="00AE6061"/>
    <w:rsid w:val="00AE60AE"/>
    <w:rsid w:val="00AE698F"/>
    <w:rsid w:val="00AE7329"/>
    <w:rsid w:val="00AE7A0F"/>
    <w:rsid w:val="00AE7C41"/>
    <w:rsid w:val="00AF0036"/>
    <w:rsid w:val="00AF003E"/>
    <w:rsid w:val="00AF01BB"/>
    <w:rsid w:val="00AF01BE"/>
    <w:rsid w:val="00AF0287"/>
    <w:rsid w:val="00AF11F1"/>
    <w:rsid w:val="00AF14B1"/>
    <w:rsid w:val="00AF1F20"/>
    <w:rsid w:val="00AF2628"/>
    <w:rsid w:val="00AF27BD"/>
    <w:rsid w:val="00AF2A56"/>
    <w:rsid w:val="00AF2C92"/>
    <w:rsid w:val="00AF2DEE"/>
    <w:rsid w:val="00AF3BC1"/>
    <w:rsid w:val="00AF43DA"/>
    <w:rsid w:val="00AF468B"/>
    <w:rsid w:val="00AF49D7"/>
    <w:rsid w:val="00AF4C6B"/>
    <w:rsid w:val="00AF504B"/>
    <w:rsid w:val="00AF580F"/>
    <w:rsid w:val="00AF5919"/>
    <w:rsid w:val="00AF6B83"/>
    <w:rsid w:val="00AF6E05"/>
    <w:rsid w:val="00AF7124"/>
    <w:rsid w:val="00AF72FA"/>
    <w:rsid w:val="00AF754E"/>
    <w:rsid w:val="00AF7911"/>
    <w:rsid w:val="00B000B3"/>
    <w:rsid w:val="00B0095D"/>
    <w:rsid w:val="00B01386"/>
    <w:rsid w:val="00B014CB"/>
    <w:rsid w:val="00B01BC7"/>
    <w:rsid w:val="00B01BE8"/>
    <w:rsid w:val="00B01E41"/>
    <w:rsid w:val="00B03680"/>
    <w:rsid w:val="00B036A4"/>
    <w:rsid w:val="00B036FB"/>
    <w:rsid w:val="00B03838"/>
    <w:rsid w:val="00B03EFF"/>
    <w:rsid w:val="00B04223"/>
    <w:rsid w:val="00B04419"/>
    <w:rsid w:val="00B04602"/>
    <w:rsid w:val="00B04783"/>
    <w:rsid w:val="00B05764"/>
    <w:rsid w:val="00B05CB2"/>
    <w:rsid w:val="00B05D6A"/>
    <w:rsid w:val="00B06A7A"/>
    <w:rsid w:val="00B06DBA"/>
    <w:rsid w:val="00B070DD"/>
    <w:rsid w:val="00B074D6"/>
    <w:rsid w:val="00B07746"/>
    <w:rsid w:val="00B107D5"/>
    <w:rsid w:val="00B10E5C"/>
    <w:rsid w:val="00B10F26"/>
    <w:rsid w:val="00B11607"/>
    <w:rsid w:val="00B118CC"/>
    <w:rsid w:val="00B12134"/>
    <w:rsid w:val="00B124EF"/>
    <w:rsid w:val="00B12DF1"/>
    <w:rsid w:val="00B131C2"/>
    <w:rsid w:val="00B13AAD"/>
    <w:rsid w:val="00B13FBD"/>
    <w:rsid w:val="00B1455D"/>
    <w:rsid w:val="00B14617"/>
    <w:rsid w:val="00B14838"/>
    <w:rsid w:val="00B152B4"/>
    <w:rsid w:val="00B15393"/>
    <w:rsid w:val="00B156A4"/>
    <w:rsid w:val="00B163FD"/>
    <w:rsid w:val="00B16A3D"/>
    <w:rsid w:val="00B175FD"/>
    <w:rsid w:val="00B17910"/>
    <w:rsid w:val="00B179FB"/>
    <w:rsid w:val="00B201EF"/>
    <w:rsid w:val="00B20299"/>
    <w:rsid w:val="00B202C6"/>
    <w:rsid w:val="00B204C0"/>
    <w:rsid w:val="00B2057F"/>
    <w:rsid w:val="00B20F71"/>
    <w:rsid w:val="00B21339"/>
    <w:rsid w:val="00B223E2"/>
    <w:rsid w:val="00B22DA8"/>
    <w:rsid w:val="00B230A3"/>
    <w:rsid w:val="00B23631"/>
    <w:rsid w:val="00B24742"/>
    <w:rsid w:val="00B24A64"/>
    <w:rsid w:val="00B24D3A"/>
    <w:rsid w:val="00B25144"/>
    <w:rsid w:val="00B2593B"/>
    <w:rsid w:val="00B259D1"/>
    <w:rsid w:val="00B25C3A"/>
    <w:rsid w:val="00B25F67"/>
    <w:rsid w:val="00B2614D"/>
    <w:rsid w:val="00B26EEC"/>
    <w:rsid w:val="00B2757B"/>
    <w:rsid w:val="00B27634"/>
    <w:rsid w:val="00B30109"/>
    <w:rsid w:val="00B30151"/>
    <w:rsid w:val="00B30165"/>
    <w:rsid w:val="00B30167"/>
    <w:rsid w:val="00B31361"/>
    <w:rsid w:val="00B31B03"/>
    <w:rsid w:val="00B31B28"/>
    <w:rsid w:val="00B31E27"/>
    <w:rsid w:val="00B31F38"/>
    <w:rsid w:val="00B32691"/>
    <w:rsid w:val="00B327AB"/>
    <w:rsid w:val="00B332AE"/>
    <w:rsid w:val="00B333D3"/>
    <w:rsid w:val="00B33529"/>
    <w:rsid w:val="00B3393A"/>
    <w:rsid w:val="00B33FF9"/>
    <w:rsid w:val="00B349F2"/>
    <w:rsid w:val="00B351B9"/>
    <w:rsid w:val="00B35553"/>
    <w:rsid w:val="00B358CB"/>
    <w:rsid w:val="00B35D4E"/>
    <w:rsid w:val="00B36817"/>
    <w:rsid w:val="00B3695C"/>
    <w:rsid w:val="00B36C75"/>
    <w:rsid w:val="00B36E7A"/>
    <w:rsid w:val="00B37395"/>
    <w:rsid w:val="00B374F6"/>
    <w:rsid w:val="00B37536"/>
    <w:rsid w:val="00B3772C"/>
    <w:rsid w:val="00B37C7A"/>
    <w:rsid w:val="00B37FA8"/>
    <w:rsid w:val="00B41596"/>
    <w:rsid w:val="00B41686"/>
    <w:rsid w:val="00B419A8"/>
    <w:rsid w:val="00B420B6"/>
    <w:rsid w:val="00B431ED"/>
    <w:rsid w:val="00B43270"/>
    <w:rsid w:val="00B4364B"/>
    <w:rsid w:val="00B436F3"/>
    <w:rsid w:val="00B440D1"/>
    <w:rsid w:val="00B444A4"/>
    <w:rsid w:val="00B44C9F"/>
    <w:rsid w:val="00B44E67"/>
    <w:rsid w:val="00B45CA1"/>
    <w:rsid w:val="00B45ED4"/>
    <w:rsid w:val="00B45FB6"/>
    <w:rsid w:val="00B4631F"/>
    <w:rsid w:val="00B466FB"/>
    <w:rsid w:val="00B475F4"/>
    <w:rsid w:val="00B5023F"/>
    <w:rsid w:val="00B50441"/>
    <w:rsid w:val="00B504FC"/>
    <w:rsid w:val="00B50601"/>
    <w:rsid w:val="00B508BB"/>
    <w:rsid w:val="00B50A55"/>
    <w:rsid w:val="00B50E60"/>
    <w:rsid w:val="00B51741"/>
    <w:rsid w:val="00B5212C"/>
    <w:rsid w:val="00B522E2"/>
    <w:rsid w:val="00B53280"/>
    <w:rsid w:val="00B53936"/>
    <w:rsid w:val="00B53965"/>
    <w:rsid w:val="00B54671"/>
    <w:rsid w:val="00B54F90"/>
    <w:rsid w:val="00B54F9A"/>
    <w:rsid w:val="00B55B0A"/>
    <w:rsid w:val="00B55DAE"/>
    <w:rsid w:val="00B55E09"/>
    <w:rsid w:val="00B5631C"/>
    <w:rsid w:val="00B56C59"/>
    <w:rsid w:val="00B572C5"/>
    <w:rsid w:val="00B57765"/>
    <w:rsid w:val="00B606AD"/>
    <w:rsid w:val="00B60BA7"/>
    <w:rsid w:val="00B60C50"/>
    <w:rsid w:val="00B6114C"/>
    <w:rsid w:val="00B611A1"/>
    <w:rsid w:val="00B61546"/>
    <w:rsid w:val="00B61A86"/>
    <w:rsid w:val="00B61E83"/>
    <w:rsid w:val="00B61F2A"/>
    <w:rsid w:val="00B6273D"/>
    <w:rsid w:val="00B62B06"/>
    <w:rsid w:val="00B62EBB"/>
    <w:rsid w:val="00B63012"/>
    <w:rsid w:val="00B6364D"/>
    <w:rsid w:val="00B63D83"/>
    <w:rsid w:val="00B6455B"/>
    <w:rsid w:val="00B64791"/>
    <w:rsid w:val="00B64DC6"/>
    <w:rsid w:val="00B651BD"/>
    <w:rsid w:val="00B652A9"/>
    <w:rsid w:val="00B6547A"/>
    <w:rsid w:val="00B654ED"/>
    <w:rsid w:val="00B6554A"/>
    <w:rsid w:val="00B6568E"/>
    <w:rsid w:val="00B65AD3"/>
    <w:rsid w:val="00B66648"/>
    <w:rsid w:val="00B66768"/>
    <w:rsid w:val="00B66A17"/>
    <w:rsid w:val="00B66EEC"/>
    <w:rsid w:val="00B6737A"/>
    <w:rsid w:val="00B675EB"/>
    <w:rsid w:val="00B67915"/>
    <w:rsid w:val="00B6798D"/>
    <w:rsid w:val="00B679E5"/>
    <w:rsid w:val="00B67A80"/>
    <w:rsid w:val="00B67CF9"/>
    <w:rsid w:val="00B70213"/>
    <w:rsid w:val="00B70D9F"/>
    <w:rsid w:val="00B70FB8"/>
    <w:rsid w:val="00B719F3"/>
    <w:rsid w:val="00B71A0F"/>
    <w:rsid w:val="00B72262"/>
    <w:rsid w:val="00B72274"/>
    <w:rsid w:val="00B72561"/>
    <w:rsid w:val="00B72726"/>
    <w:rsid w:val="00B72B3C"/>
    <w:rsid w:val="00B72C22"/>
    <w:rsid w:val="00B731FF"/>
    <w:rsid w:val="00B7368C"/>
    <w:rsid w:val="00B73975"/>
    <w:rsid w:val="00B74205"/>
    <w:rsid w:val="00B7495B"/>
    <w:rsid w:val="00B7503F"/>
    <w:rsid w:val="00B756EB"/>
    <w:rsid w:val="00B759AB"/>
    <w:rsid w:val="00B75A2B"/>
    <w:rsid w:val="00B75CDD"/>
    <w:rsid w:val="00B7622D"/>
    <w:rsid w:val="00B76A62"/>
    <w:rsid w:val="00B76D53"/>
    <w:rsid w:val="00B770E9"/>
    <w:rsid w:val="00B77524"/>
    <w:rsid w:val="00B77712"/>
    <w:rsid w:val="00B777AE"/>
    <w:rsid w:val="00B7782A"/>
    <w:rsid w:val="00B77862"/>
    <w:rsid w:val="00B778E0"/>
    <w:rsid w:val="00B77ADC"/>
    <w:rsid w:val="00B8045D"/>
    <w:rsid w:val="00B807EB"/>
    <w:rsid w:val="00B80B10"/>
    <w:rsid w:val="00B80DDB"/>
    <w:rsid w:val="00B812F2"/>
    <w:rsid w:val="00B82F6B"/>
    <w:rsid w:val="00B83199"/>
    <w:rsid w:val="00B833EE"/>
    <w:rsid w:val="00B83D1A"/>
    <w:rsid w:val="00B83F63"/>
    <w:rsid w:val="00B8446B"/>
    <w:rsid w:val="00B846E2"/>
    <w:rsid w:val="00B84E3D"/>
    <w:rsid w:val="00B85279"/>
    <w:rsid w:val="00B852C9"/>
    <w:rsid w:val="00B85A3F"/>
    <w:rsid w:val="00B85AD3"/>
    <w:rsid w:val="00B86250"/>
    <w:rsid w:val="00B86CCC"/>
    <w:rsid w:val="00B86EB7"/>
    <w:rsid w:val="00B874B0"/>
    <w:rsid w:val="00B87D91"/>
    <w:rsid w:val="00B901F5"/>
    <w:rsid w:val="00B90433"/>
    <w:rsid w:val="00B9078D"/>
    <w:rsid w:val="00B90C22"/>
    <w:rsid w:val="00B90F58"/>
    <w:rsid w:val="00B91331"/>
    <w:rsid w:val="00B91710"/>
    <w:rsid w:val="00B92601"/>
    <w:rsid w:val="00B92799"/>
    <w:rsid w:val="00B92A05"/>
    <w:rsid w:val="00B92DFC"/>
    <w:rsid w:val="00B93593"/>
    <w:rsid w:val="00B937FD"/>
    <w:rsid w:val="00B93968"/>
    <w:rsid w:val="00B93BC1"/>
    <w:rsid w:val="00B93EBE"/>
    <w:rsid w:val="00B948F7"/>
    <w:rsid w:val="00B94B94"/>
    <w:rsid w:val="00B95210"/>
    <w:rsid w:val="00B958C3"/>
    <w:rsid w:val="00B9618E"/>
    <w:rsid w:val="00B961E1"/>
    <w:rsid w:val="00B963F4"/>
    <w:rsid w:val="00B964A0"/>
    <w:rsid w:val="00B96AFF"/>
    <w:rsid w:val="00B973C2"/>
    <w:rsid w:val="00B9741D"/>
    <w:rsid w:val="00B97C87"/>
    <w:rsid w:val="00BA08D0"/>
    <w:rsid w:val="00BA1459"/>
    <w:rsid w:val="00BA1CF7"/>
    <w:rsid w:val="00BA23A2"/>
    <w:rsid w:val="00BA2EEF"/>
    <w:rsid w:val="00BA3710"/>
    <w:rsid w:val="00BA380C"/>
    <w:rsid w:val="00BA3F40"/>
    <w:rsid w:val="00BA3FDE"/>
    <w:rsid w:val="00BA49E8"/>
    <w:rsid w:val="00BA4AAC"/>
    <w:rsid w:val="00BA5D5F"/>
    <w:rsid w:val="00BA5F2B"/>
    <w:rsid w:val="00BA6017"/>
    <w:rsid w:val="00BA69E3"/>
    <w:rsid w:val="00BA6AE0"/>
    <w:rsid w:val="00BA6CB5"/>
    <w:rsid w:val="00BA6D6E"/>
    <w:rsid w:val="00BA7052"/>
    <w:rsid w:val="00BA7173"/>
    <w:rsid w:val="00BA7550"/>
    <w:rsid w:val="00BA76BD"/>
    <w:rsid w:val="00BA7E82"/>
    <w:rsid w:val="00BB0132"/>
    <w:rsid w:val="00BB0414"/>
    <w:rsid w:val="00BB05BE"/>
    <w:rsid w:val="00BB0CD1"/>
    <w:rsid w:val="00BB12BA"/>
    <w:rsid w:val="00BB15E4"/>
    <w:rsid w:val="00BB2334"/>
    <w:rsid w:val="00BB2343"/>
    <w:rsid w:val="00BB2748"/>
    <w:rsid w:val="00BB2CC6"/>
    <w:rsid w:val="00BB393D"/>
    <w:rsid w:val="00BB3C99"/>
    <w:rsid w:val="00BB48D9"/>
    <w:rsid w:val="00BB530C"/>
    <w:rsid w:val="00BB5349"/>
    <w:rsid w:val="00BB554E"/>
    <w:rsid w:val="00BB5A13"/>
    <w:rsid w:val="00BB60B1"/>
    <w:rsid w:val="00BB6232"/>
    <w:rsid w:val="00BB62D2"/>
    <w:rsid w:val="00BB695F"/>
    <w:rsid w:val="00BB6979"/>
    <w:rsid w:val="00BB750F"/>
    <w:rsid w:val="00BB76D5"/>
    <w:rsid w:val="00BC03A8"/>
    <w:rsid w:val="00BC0937"/>
    <w:rsid w:val="00BC0E1C"/>
    <w:rsid w:val="00BC1368"/>
    <w:rsid w:val="00BC19F1"/>
    <w:rsid w:val="00BC1A7C"/>
    <w:rsid w:val="00BC1CDA"/>
    <w:rsid w:val="00BC20F8"/>
    <w:rsid w:val="00BC24FC"/>
    <w:rsid w:val="00BC2681"/>
    <w:rsid w:val="00BC2814"/>
    <w:rsid w:val="00BC2D0C"/>
    <w:rsid w:val="00BC3049"/>
    <w:rsid w:val="00BC3434"/>
    <w:rsid w:val="00BC3697"/>
    <w:rsid w:val="00BC4026"/>
    <w:rsid w:val="00BC46E2"/>
    <w:rsid w:val="00BC55D0"/>
    <w:rsid w:val="00BC57D1"/>
    <w:rsid w:val="00BC5D46"/>
    <w:rsid w:val="00BC5E24"/>
    <w:rsid w:val="00BC6161"/>
    <w:rsid w:val="00BC6825"/>
    <w:rsid w:val="00BC6A0A"/>
    <w:rsid w:val="00BC6D5B"/>
    <w:rsid w:val="00BC71F2"/>
    <w:rsid w:val="00BC76DF"/>
    <w:rsid w:val="00BD0038"/>
    <w:rsid w:val="00BD042F"/>
    <w:rsid w:val="00BD068A"/>
    <w:rsid w:val="00BD0CA6"/>
    <w:rsid w:val="00BD15C6"/>
    <w:rsid w:val="00BD17A4"/>
    <w:rsid w:val="00BD1B58"/>
    <w:rsid w:val="00BD1F78"/>
    <w:rsid w:val="00BD2401"/>
    <w:rsid w:val="00BD315D"/>
    <w:rsid w:val="00BD43E2"/>
    <w:rsid w:val="00BD4598"/>
    <w:rsid w:val="00BD4A8F"/>
    <w:rsid w:val="00BD4B2B"/>
    <w:rsid w:val="00BD4B64"/>
    <w:rsid w:val="00BD5275"/>
    <w:rsid w:val="00BD53B1"/>
    <w:rsid w:val="00BD551D"/>
    <w:rsid w:val="00BD5877"/>
    <w:rsid w:val="00BD59FA"/>
    <w:rsid w:val="00BD5AC8"/>
    <w:rsid w:val="00BD6C40"/>
    <w:rsid w:val="00BD6D19"/>
    <w:rsid w:val="00BD71AC"/>
    <w:rsid w:val="00BD72F7"/>
    <w:rsid w:val="00BD7337"/>
    <w:rsid w:val="00BD7DB5"/>
    <w:rsid w:val="00BE0C62"/>
    <w:rsid w:val="00BE10BA"/>
    <w:rsid w:val="00BE1DEB"/>
    <w:rsid w:val="00BE2228"/>
    <w:rsid w:val="00BE239F"/>
    <w:rsid w:val="00BE2856"/>
    <w:rsid w:val="00BE28E0"/>
    <w:rsid w:val="00BE2AF5"/>
    <w:rsid w:val="00BE319A"/>
    <w:rsid w:val="00BE31F9"/>
    <w:rsid w:val="00BE33D3"/>
    <w:rsid w:val="00BE382B"/>
    <w:rsid w:val="00BE433F"/>
    <w:rsid w:val="00BE48C6"/>
    <w:rsid w:val="00BE4909"/>
    <w:rsid w:val="00BE4926"/>
    <w:rsid w:val="00BE4F73"/>
    <w:rsid w:val="00BE51FC"/>
    <w:rsid w:val="00BE67E4"/>
    <w:rsid w:val="00BE6AD0"/>
    <w:rsid w:val="00BE756B"/>
    <w:rsid w:val="00BE7AC9"/>
    <w:rsid w:val="00BF1A95"/>
    <w:rsid w:val="00BF2079"/>
    <w:rsid w:val="00BF239D"/>
    <w:rsid w:val="00BF2431"/>
    <w:rsid w:val="00BF2558"/>
    <w:rsid w:val="00BF2EC2"/>
    <w:rsid w:val="00BF3773"/>
    <w:rsid w:val="00BF3CDA"/>
    <w:rsid w:val="00BF3D56"/>
    <w:rsid w:val="00BF40DB"/>
    <w:rsid w:val="00BF42AE"/>
    <w:rsid w:val="00BF4359"/>
    <w:rsid w:val="00BF4D9E"/>
    <w:rsid w:val="00BF52B2"/>
    <w:rsid w:val="00BF5526"/>
    <w:rsid w:val="00BF59B4"/>
    <w:rsid w:val="00BF5B55"/>
    <w:rsid w:val="00BF6663"/>
    <w:rsid w:val="00BF6903"/>
    <w:rsid w:val="00BF774E"/>
    <w:rsid w:val="00BF7D4F"/>
    <w:rsid w:val="00C0027E"/>
    <w:rsid w:val="00C00375"/>
    <w:rsid w:val="00C012AE"/>
    <w:rsid w:val="00C01502"/>
    <w:rsid w:val="00C01C96"/>
    <w:rsid w:val="00C01DA0"/>
    <w:rsid w:val="00C021B1"/>
    <w:rsid w:val="00C0311E"/>
    <w:rsid w:val="00C03CB2"/>
    <w:rsid w:val="00C04145"/>
    <w:rsid w:val="00C041D9"/>
    <w:rsid w:val="00C04353"/>
    <w:rsid w:val="00C04C31"/>
    <w:rsid w:val="00C051B4"/>
    <w:rsid w:val="00C05208"/>
    <w:rsid w:val="00C05313"/>
    <w:rsid w:val="00C05755"/>
    <w:rsid w:val="00C05A60"/>
    <w:rsid w:val="00C05D02"/>
    <w:rsid w:val="00C064A2"/>
    <w:rsid w:val="00C074E8"/>
    <w:rsid w:val="00C07C6F"/>
    <w:rsid w:val="00C07CF1"/>
    <w:rsid w:val="00C106D0"/>
    <w:rsid w:val="00C1072C"/>
    <w:rsid w:val="00C107C4"/>
    <w:rsid w:val="00C115C1"/>
    <w:rsid w:val="00C11792"/>
    <w:rsid w:val="00C125C0"/>
    <w:rsid w:val="00C12955"/>
    <w:rsid w:val="00C13382"/>
    <w:rsid w:val="00C13AC9"/>
    <w:rsid w:val="00C140DA"/>
    <w:rsid w:val="00C142EB"/>
    <w:rsid w:val="00C14C1A"/>
    <w:rsid w:val="00C15314"/>
    <w:rsid w:val="00C15434"/>
    <w:rsid w:val="00C15A84"/>
    <w:rsid w:val="00C15E55"/>
    <w:rsid w:val="00C1610F"/>
    <w:rsid w:val="00C16835"/>
    <w:rsid w:val="00C1771E"/>
    <w:rsid w:val="00C17BDC"/>
    <w:rsid w:val="00C2052B"/>
    <w:rsid w:val="00C20A09"/>
    <w:rsid w:val="00C210C7"/>
    <w:rsid w:val="00C2186F"/>
    <w:rsid w:val="00C21CDE"/>
    <w:rsid w:val="00C21F5E"/>
    <w:rsid w:val="00C22789"/>
    <w:rsid w:val="00C23988"/>
    <w:rsid w:val="00C23B66"/>
    <w:rsid w:val="00C23EB8"/>
    <w:rsid w:val="00C23F24"/>
    <w:rsid w:val="00C247B5"/>
    <w:rsid w:val="00C24B25"/>
    <w:rsid w:val="00C24B6A"/>
    <w:rsid w:val="00C2531D"/>
    <w:rsid w:val="00C254F3"/>
    <w:rsid w:val="00C25887"/>
    <w:rsid w:val="00C25B7D"/>
    <w:rsid w:val="00C262CB"/>
    <w:rsid w:val="00C26311"/>
    <w:rsid w:val="00C2676D"/>
    <w:rsid w:val="00C26A5C"/>
    <w:rsid w:val="00C26BB8"/>
    <w:rsid w:val="00C27291"/>
    <w:rsid w:val="00C27562"/>
    <w:rsid w:val="00C3035B"/>
    <w:rsid w:val="00C306D2"/>
    <w:rsid w:val="00C31443"/>
    <w:rsid w:val="00C31861"/>
    <w:rsid w:val="00C32413"/>
    <w:rsid w:val="00C33444"/>
    <w:rsid w:val="00C33533"/>
    <w:rsid w:val="00C33827"/>
    <w:rsid w:val="00C33AE3"/>
    <w:rsid w:val="00C33F3F"/>
    <w:rsid w:val="00C34112"/>
    <w:rsid w:val="00C342D3"/>
    <w:rsid w:val="00C349BC"/>
    <w:rsid w:val="00C34AED"/>
    <w:rsid w:val="00C35203"/>
    <w:rsid w:val="00C35835"/>
    <w:rsid w:val="00C35FFA"/>
    <w:rsid w:val="00C36650"/>
    <w:rsid w:val="00C36BCC"/>
    <w:rsid w:val="00C36C57"/>
    <w:rsid w:val="00C37245"/>
    <w:rsid w:val="00C37542"/>
    <w:rsid w:val="00C3764A"/>
    <w:rsid w:val="00C40468"/>
    <w:rsid w:val="00C404D0"/>
    <w:rsid w:val="00C408A1"/>
    <w:rsid w:val="00C4092D"/>
    <w:rsid w:val="00C40B82"/>
    <w:rsid w:val="00C40D0B"/>
    <w:rsid w:val="00C40EB5"/>
    <w:rsid w:val="00C414A0"/>
    <w:rsid w:val="00C423AB"/>
    <w:rsid w:val="00C42674"/>
    <w:rsid w:val="00C43073"/>
    <w:rsid w:val="00C432A6"/>
    <w:rsid w:val="00C43303"/>
    <w:rsid w:val="00C436B1"/>
    <w:rsid w:val="00C43AF0"/>
    <w:rsid w:val="00C43B96"/>
    <w:rsid w:val="00C44504"/>
    <w:rsid w:val="00C44B12"/>
    <w:rsid w:val="00C44C46"/>
    <w:rsid w:val="00C457E7"/>
    <w:rsid w:val="00C45AE8"/>
    <w:rsid w:val="00C45E57"/>
    <w:rsid w:val="00C46570"/>
    <w:rsid w:val="00C468BC"/>
    <w:rsid w:val="00C46D47"/>
    <w:rsid w:val="00C472A8"/>
    <w:rsid w:val="00C47348"/>
    <w:rsid w:val="00C47A50"/>
    <w:rsid w:val="00C47B9F"/>
    <w:rsid w:val="00C47E77"/>
    <w:rsid w:val="00C50247"/>
    <w:rsid w:val="00C50B3B"/>
    <w:rsid w:val="00C50B8B"/>
    <w:rsid w:val="00C51889"/>
    <w:rsid w:val="00C51F30"/>
    <w:rsid w:val="00C52437"/>
    <w:rsid w:val="00C526DB"/>
    <w:rsid w:val="00C53221"/>
    <w:rsid w:val="00C538B1"/>
    <w:rsid w:val="00C53987"/>
    <w:rsid w:val="00C53A90"/>
    <w:rsid w:val="00C54013"/>
    <w:rsid w:val="00C5405E"/>
    <w:rsid w:val="00C5406F"/>
    <w:rsid w:val="00C5431E"/>
    <w:rsid w:val="00C54EC5"/>
    <w:rsid w:val="00C55BCC"/>
    <w:rsid w:val="00C56046"/>
    <w:rsid w:val="00C566CD"/>
    <w:rsid w:val="00C56B15"/>
    <w:rsid w:val="00C57A7F"/>
    <w:rsid w:val="00C60846"/>
    <w:rsid w:val="00C611E3"/>
    <w:rsid w:val="00C615A0"/>
    <w:rsid w:val="00C630EB"/>
    <w:rsid w:val="00C63201"/>
    <w:rsid w:val="00C63B17"/>
    <w:rsid w:val="00C65A60"/>
    <w:rsid w:val="00C65EB5"/>
    <w:rsid w:val="00C66227"/>
    <w:rsid w:val="00C6630C"/>
    <w:rsid w:val="00C66C41"/>
    <w:rsid w:val="00C66E84"/>
    <w:rsid w:val="00C673DF"/>
    <w:rsid w:val="00C67B72"/>
    <w:rsid w:val="00C67FE0"/>
    <w:rsid w:val="00C7003A"/>
    <w:rsid w:val="00C705CB"/>
    <w:rsid w:val="00C7090C"/>
    <w:rsid w:val="00C70A37"/>
    <w:rsid w:val="00C70ADA"/>
    <w:rsid w:val="00C70FAD"/>
    <w:rsid w:val="00C713DB"/>
    <w:rsid w:val="00C71582"/>
    <w:rsid w:val="00C72067"/>
    <w:rsid w:val="00C73195"/>
    <w:rsid w:val="00C73D10"/>
    <w:rsid w:val="00C7467A"/>
    <w:rsid w:val="00C748F7"/>
    <w:rsid w:val="00C74933"/>
    <w:rsid w:val="00C749A5"/>
    <w:rsid w:val="00C75156"/>
    <w:rsid w:val="00C75386"/>
    <w:rsid w:val="00C754CC"/>
    <w:rsid w:val="00C75FA6"/>
    <w:rsid w:val="00C763B1"/>
    <w:rsid w:val="00C765F7"/>
    <w:rsid w:val="00C76FBA"/>
    <w:rsid w:val="00C774E8"/>
    <w:rsid w:val="00C776FA"/>
    <w:rsid w:val="00C77AD6"/>
    <w:rsid w:val="00C80733"/>
    <w:rsid w:val="00C816F8"/>
    <w:rsid w:val="00C81F57"/>
    <w:rsid w:val="00C82330"/>
    <w:rsid w:val="00C82771"/>
    <w:rsid w:val="00C82BE6"/>
    <w:rsid w:val="00C82F28"/>
    <w:rsid w:val="00C8337D"/>
    <w:rsid w:val="00C836F0"/>
    <w:rsid w:val="00C83AEE"/>
    <w:rsid w:val="00C83D61"/>
    <w:rsid w:val="00C84031"/>
    <w:rsid w:val="00C84D83"/>
    <w:rsid w:val="00C84FE7"/>
    <w:rsid w:val="00C8506E"/>
    <w:rsid w:val="00C85150"/>
    <w:rsid w:val="00C85586"/>
    <w:rsid w:val="00C859B8"/>
    <w:rsid w:val="00C86430"/>
    <w:rsid w:val="00C86517"/>
    <w:rsid w:val="00C86519"/>
    <w:rsid w:val="00C8690F"/>
    <w:rsid w:val="00C86F3B"/>
    <w:rsid w:val="00C8726B"/>
    <w:rsid w:val="00C8782D"/>
    <w:rsid w:val="00C90068"/>
    <w:rsid w:val="00C900F7"/>
    <w:rsid w:val="00C906E2"/>
    <w:rsid w:val="00C90C66"/>
    <w:rsid w:val="00C9109C"/>
    <w:rsid w:val="00C911D2"/>
    <w:rsid w:val="00C91530"/>
    <w:rsid w:val="00C919F9"/>
    <w:rsid w:val="00C92117"/>
    <w:rsid w:val="00C92405"/>
    <w:rsid w:val="00C93387"/>
    <w:rsid w:val="00C93AB1"/>
    <w:rsid w:val="00C9418E"/>
    <w:rsid w:val="00C94196"/>
    <w:rsid w:val="00C945EF"/>
    <w:rsid w:val="00C948F8"/>
    <w:rsid w:val="00C95228"/>
    <w:rsid w:val="00C95598"/>
    <w:rsid w:val="00C956F7"/>
    <w:rsid w:val="00C957E4"/>
    <w:rsid w:val="00C96448"/>
    <w:rsid w:val="00C96641"/>
    <w:rsid w:val="00C96B5D"/>
    <w:rsid w:val="00C971F8"/>
    <w:rsid w:val="00C97999"/>
    <w:rsid w:val="00CA0279"/>
    <w:rsid w:val="00CA06E4"/>
    <w:rsid w:val="00CA0903"/>
    <w:rsid w:val="00CA0AF2"/>
    <w:rsid w:val="00CA0DB3"/>
    <w:rsid w:val="00CA0F47"/>
    <w:rsid w:val="00CA0F8D"/>
    <w:rsid w:val="00CA11C9"/>
    <w:rsid w:val="00CA1274"/>
    <w:rsid w:val="00CA15B7"/>
    <w:rsid w:val="00CA1644"/>
    <w:rsid w:val="00CA16DA"/>
    <w:rsid w:val="00CA1F43"/>
    <w:rsid w:val="00CA22B2"/>
    <w:rsid w:val="00CA27C9"/>
    <w:rsid w:val="00CA29D2"/>
    <w:rsid w:val="00CA2E45"/>
    <w:rsid w:val="00CA3192"/>
    <w:rsid w:val="00CA3886"/>
    <w:rsid w:val="00CA46A6"/>
    <w:rsid w:val="00CA4ACB"/>
    <w:rsid w:val="00CA575C"/>
    <w:rsid w:val="00CA5895"/>
    <w:rsid w:val="00CA5B16"/>
    <w:rsid w:val="00CA5F97"/>
    <w:rsid w:val="00CA6D08"/>
    <w:rsid w:val="00CA7869"/>
    <w:rsid w:val="00CB0326"/>
    <w:rsid w:val="00CB03C9"/>
    <w:rsid w:val="00CB0BE2"/>
    <w:rsid w:val="00CB0C7F"/>
    <w:rsid w:val="00CB0CC7"/>
    <w:rsid w:val="00CB18CB"/>
    <w:rsid w:val="00CB1D40"/>
    <w:rsid w:val="00CB1E87"/>
    <w:rsid w:val="00CB2658"/>
    <w:rsid w:val="00CB35CA"/>
    <w:rsid w:val="00CB3922"/>
    <w:rsid w:val="00CB39D3"/>
    <w:rsid w:val="00CB4014"/>
    <w:rsid w:val="00CB4090"/>
    <w:rsid w:val="00CB4B2A"/>
    <w:rsid w:val="00CB503B"/>
    <w:rsid w:val="00CB5125"/>
    <w:rsid w:val="00CB5132"/>
    <w:rsid w:val="00CB51C6"/>
    <w:rsid w:val="00CB51EA"/>
    <w:rsid w:val="00CB5374"/>
    <w:rsid w:val="00CB5439"/>
    <w:rsid w:val="00CB55CB"/>
    <w:rsid w:val="00CB5D1E"/>
    <w:rsid w:val="00CB5F01"/>
    <w:rsid w:val="00CB684F"/>
    <w:rsid w:val="00CB6BDE"/>
    <w:rsid w:val="00CB7064"/>
    <w:rsid w:val="00CB737E"/>
    <w:rsid w:val="00CB7589"/>
    <w:rsid w:val="00CB78B8"/>
    <w:rsid w:val="00CB7D1B"/>
    <w:rsid w:val="00CC01D7"/>
    <w:rsid w:val="00CC06E5"/>
    <w:rsid w:val="00CC0FD1"/>
    <w:rsid w:val="00CC15F2"/>
    <w:rsid w:val="00CC1A49"/>
    <w:rsid w:val="00CC1D82"/>
    <w:rsid w:val="00CC1DE6"/>
    <w:rsid w:val="00CC297B"/>
    <w:rsid w:val="00CC3116"/>
    <w:rsid w:val="00CC3AEF"/>
    <w:rsid w:val="00CC3BEF"/>
    <w:rsid w:val="00CC5263"/>
    <w:rsid w:val="00CC5DFB"/>
    <w:rsid w:val="00CC5EDB"/>
    <w:rsid w:val="00CC64EF"/>
    <w:rsid w:val="00CC6834"/>
    <w:rsid w:val="00CC6D3B"/>
    <w:rsid w:val="00CC6F49"/>
    <w:rsid w:val="00CC7131"/>
    <w:rsid w:val="00CC7A8D"/>
    <w:rsid w:val="00CC7A92"/>
    <w:rsid w:val="00CC7E6D"/>
    <w:rsid w:val="00CD011F"/>
    <w:rsid w:val="00CD06D7"/>
    <w:rsid w:val="00CD0AE7"/>
    <w:rsid w:val="00CD0C9A"/>
    <w:rsid w:val="00CD0CCE"/>
    <w:rsid w:val="00CD283E"/>
    <w:rsid w:val="00CD2B95"/>
    <w:rsid w:val="00CD2C2C"/>
    <w:rsid w:val="00CD2E83"/>
    <w:rsid w:val="00CD330E"/>
    <w:rsid w:val="00CD3A9F"/>
    <w:rsid w:val="00CD45AD"/>
    <w:rsid w:val="00CD4739"/>
    <w:rsid w:val="00CD4CD2"/>
    <w:rsid w:val="00CD4DA4"/>
    <w:rsid w:val="00CD50EC"/>
    <w:rsid w:val="00CD5180"/>
    <w:rsid w:val="00CD5462"/>
    <w:rsid w:val="00CD550B"/>
    <w:rsid w:val="00CD55BF"/>
    <w:rsid w:val="00CD5821"/>
    <w:rsid w:val="00CD5A24"/>
    <w:rsid w:val="00CD6484"/>
    <w:rsid w:val="00CD6F70"/>
    <w:rsid w:val="00CD7A97"/>
    <w:rsid w:val="00CE0EAC"/>
    <w:rsid w:val="00CE1284"/>
    <w:rsid w:val="00CE1C2A"/>
    <w:rsid w:val="00CE2382"/>
    <w:rsid w:val="00CE26AD"/>
    <w:rsid w:val="00CE26E7"/>
    <w:rsid w:val="00CE270D"/>
    <w:rsid w:val="00CE2D90"/>
    <w:rsid w:val="00CE2F93"/>
    <w:rsid w:val="00CE3923"/>
    <w:rsid w:val="00CE46B6"/>
    <w:rsid w:val="00CE4EB8"/>
    <w:rsid w:val="00CE583A"/>
    <w:rsid w:val="00CE5866"/>
    <w:rsid w:val="00CE5ECD"/>
    <w:rsid w:val="00CE61B1"/>
    <w:rsid w:val="00CE6D98"/>
    <w:rsid w:val="00CE6DA5"/>
    <w:rsid w:val="00CE6ED8"/>
    <w:rsid w:val="00CE7078"/>
    <w:rsid w:val="00CE7114"/>
    <w:rsid w:val="00CE76B9"/>
    <w:rsid w:val="00CE77D2"/>
    <w:rsid w:val="00CE78A8"/>
    <w:rsid w:val="00CE78C2"/>
    <w:rsid w:val="00CE78EB"/>
    <w:rsid w:val="00CF0522"/>
    <w:rsid w:val="00CF05B5"/>
    <w:rsid w:val="00CF1708"/>
    <w:rsid w:val="00CF1C7A"/>
    <w:rsid w:val="00CF1CE2"/>
    <w:rsid w:val="00CF2089"/>
    <w:rsid w:val="00CF222C"/>
    <w:rsid w:val="00CF2386"/>
    <w:rsid w:val="00CF2A97"/>
    <w:rsid w:val="00CF2CE7"/>
    <w:rsid w:val="00CF35BD"/>
    <w:rsid w:val="00CF3D13"/>
    <w:rsid w:val="00CF3E63"/>
    <w:rsid w:val="00CF3F54"/>
    <w:rsid w:val="00CF3F72"/>
    <w:rsid w:val="00CF40C7"/>
    <w:rsid w:val="00CF416B"/>
    <w:rsid w:val="00CF47D9"/>
    <w:rsid w:val="00CF5D03"/>
    <w:rsid w:val="00CF6598"/>
    <w:rsid w:val="00CF6D31"/>
    <w:rsid w:val="00CF703B"/>
    <w:rsid w:val="00CF72C3"/>
    <w:rsid w:val="00CF78AB"/>
    <w:rsid w:val="00CF795C"/>
    <w:rsid w:val="00D00415"/>
    <w:rsid w:val="00D00A97"/>
    <w:rsid w:val="00D0157F"/>
    <w:rsid w:val="00D01C83"/>
    <w:rsid w:val="00D01CA1"/>
    <w:rsid w:val="00D026F2"/>
    <w:rsid w:val="00D03375"/>
    <w:rsid w:val="00D035B9"/>
    <w:rsid w:val="00D04337"/>
    <w:rsid w:val="00D044CC"/>
    <w:rsid w:val="00D048E6"/>
    <w:rsid w:val="00D04D26"/>
    <w:rsid w:val="00D054BE"/>
    <w:rsid w:val="00D055FF"/>
    <w:rsid w:val="00D05600"/>
    <w:rsid w:val="00D059EC"/>
    <w:rsid w:val="00D06B38"/>
    <w:rsid w:val="00D06C37"/>
    <w:rsid w:val="00D06CB9"/>
    <w:rsid w:val="00D06D5F"/>
    <w:rsid w:val="00D0728C"/>
    <w:rsid w:val="00D078D6"/>
    <w:rsid w:val="00D07DBB"/>
    <w:rsid w:val="00D07EB3"/>
    <w:rsid w:val="00D1012E"/>
    <w:rsid w:val="00D1025B"/>
    <w:rsid w:val="00D108C0"/>
    <w:rsid w:val="00D1093E"/>
    <w:rsid w:val="00D10E3F"/>
    <w:rsid w:val="00D1157A"/>
    <w:rsid w:val="00D11A12"/>
    <w:rsid w:val="00D14598"/>
    <w:rsid w:val="00D149B4"/>
    <w:rsid w:val="00D149F4"/>
    <w:rsid w:val="00D15AF1"/>
    <w:rsid w:val="00D162EF"/>
    <w:rsid w:val="00D1647C"/>
    <w:rsid w:val="00D16832"/>
    <w:rsid w:val="00D16A07"/>
    <w:rsid w:val="00D16BA0"/>
    <w:rsid w:val="00D17066"/>
    <w:rsid w:val="00D17243"/>
    <w:rsid w:val="00D172DB"/>
    <w:rsid w:val="00D17613"/>
    <w:rsid w:val="00D203AA"/>
    <w:rsid w:val="00D205F9"/>
    <w:rsid w:val="00D20CB1"/>
    <w:rsid w:val="00D21063"/>
    <w:rsid w:val="00D21755"/>
    <w:rsid w:val="00D21C79"/>
    <w:rsid w:val="00D21EE4"/>
    <w:rsid w:val="00D22806"/>
    <w:rsid w:val="00D22A8D"/>
    <w:rsid w:val="00D22D0F"/>
    <w:rsid w:val="00D22FA7"/>
    <w:rsid w:val="00D232F9"/>
    <w:rsid w:val="00D23791"/>
    <w:rsid w:val="00D2402A"/>
    <w:rsid w:val="00D242E6"/>
    <w:rsid w:val="00D25685"/>
    <w:rsid w:val="00D25877"/>
    <w:rsid w:val="00D25B68"/>
    <w:rsid w:val="00D260F9"/>
    <w:rsid w:val="00D26488"/>
    <w:rsid w:val="00D26C76"/>
    <w:rsid w:val="00D275C3"/>
    <w:rsid w:val="00D275C7"/>
    <w:rsid w:val="00D27D7D"/>
    <w:rsid w:val="00D27EB9"/>
    <w:rsid w:val="00D27F74"/>
    <w:rsid w:val="00D30137"/>
    <w:rsid w:val="00D30450"/>
    <w:rsid w:val="00D305E4"/>
    <w:rsid w:val="00D30CDA"/>
    <w:rsid w:val="00D31DF2"/>
    <w:rsid w:val="00D31F2F"/>
    <w:rsid w:val="00D31F6C"/>
    <w:rsid w:val="00D32C24"/>
    <w:rsid w:val="00D32D25"/>
    <w:rsid w:val="00D33040"/>
    <w:rsid w:val="00D33506"/>
    <w:rsid w:val="00D3423F"/>
    <w:rsid w:val="00D34544"/>
    <w:rsid w:val="00D34707"/>
    <w:rsid w:val="00D34C31"/>
    <w:rsid w:val="00D35172"/>
    <w:rsid w:val="00D3519E"/>
    <w:rsid w:val="00D35B57"/>
    <w:rsid w:val="00D35CA4"/>
    <w:rsid w:val="00D35F12"/>
    <w:rsid w:val="00D36072"/>
    <w:rsid w:val="00D36688"/>
    <w:rsid w:val="00D37032"/>
    <w:rsid w:val="00D37226"/>
    <w:rsid w:val="00D372CD"/>
    <w:rsid w:val="00D3763E"/>
    <w:rsid w:val="00D37E99"/>
    <w:rsid w:val="00D4019D"/>
    <w:rsid w:val="00D401D9"/>
    <w:rsid w:val="00D4034A"/>
    <w:rsid w:val="00D405F7"/>
    <w:rsid w:val="00D40935"/>
    <w:rsid w:val="00D40B1A"/>
    <w:rsid w:val="00D40B35"/>
    <w:rsid w:val="00D410C3"/>
    <w:rsid w:val="00D41105"/>
    <w:rsid w:val="00D4353C"/>
    <w:rsid w:val="00D43BA8"/>
    <w:rsid w:val="00D43FC8"/>
    <w:rsid w:val="00D43FEF"/>
    <w:rsid w:val="00D44A57"/>
    <w:rsid w:val="00D44D54"/>
    <w:rsid w:val="00D4599C"/>
    <w:rsid w:val="00D45AAE"/>
    <w:rsid w:val="00D45B45"/>
    <w:rsid w:val="00D45B87"/>
    <w:rsid w:val="00D4638F"/>
    <w:rsid w:val="00D46518"/>
    <w:rsid w:val="00D4670F"/>
    <w:rsid w:val="00D46717"/>
    <w:rsid w:val="00D4719B"/>
    <w:rsid w:val="00D47431"/>
    <w:rsid w:val="00D47803"/>
    <w:rsid w:val="00D50B19"/>
    <w:rsid w:val="00D50F7A"/>
    <w:rsid w:val="00D511CB"/>
    <w:rsid w:val="00D515B2"/>
    <w:rsid w:val="00D519E4"/>
    <w:rsid w:val="00D52364"/>
    <w:rsid w:val="00D52952"/>
    <w:rsid w:val="00D52A86"/>
    <w:rsid w:val="00D52DB6"/>
    <w:rsid w:val="00D530F0"/>
    <w:rsid w:val="00D53F41"/>
    <w:rsid w:val="00D53FFB"/>
    <w:rsid w:val="00D54FC0"/>
    <w:rsid w:val="00D554D0"/>
    <w:rsid w:val="00D5559F"/>
    <w:rsid w:val="00D55A9D"/>
    <w:rsid w:val="00D56261"/>
    <w:rsid w:val="00D565C5"/>
    <w:rsid w:val="00D56998"/>
    <w:rsid w:val="00D56A01"/>
    <w:rsid w:val="00D56A66"/>
    <w:rsid w:val="00D56E97"/>
    <w:rsid w:val="00D5799A"/>
    <w:rsid w:val="00D60292"/>
    <w:rsid w:val="00D60602"/>
    <w:rsid w:val="00D60A39"/>
    <w:rsid w:val="00D60FFD"/>
    <w:rsid w:val="00D6146C"/>
    <w:rsid w:val="00D619AF"/>
    <w:rsid w:val="00D61BB6"/>
    <w:rsid w:val="00D61FF8"/>
    <w:rsid w:val="00D621CA"/>
    <w:rsid w:val="00D628AD"/>
    <w:rsid w:val="00D62B21"/>
    <w:rsid w:val="00D62EC9"/>
    <w:rsid w:val="00D63D2F"/>
    <w:rsid w:val="00D63FD0"/>
    <w:rsid w:val="00D64119"/>
    <w:rsid w:val="00D645FB"/>
    <w:rsid w:val="00D64A03"/>
    <w:rsid w:val="00D64A38"/>
    <w:rsid w:val="00D64C0A"/>
    <w:rsid w:val="00D64D0E"/>
    <w:rsid w:val="00D64E53"/>
    <w:rsid w:val="00D650F1"/>
    <w:rsid w:val="00D65414"/>
    <w:rsid w:val="00D66195"/>
    <w:rsid w:val="00D6620F"/>
    <w:rsid w:val="00D66217"/>
    <w:rsid w:val="00D66CA7"/>
    <w:rsid w:val="00D674DB"/>
    <w:rsid w:val="00D67682"/>
    <w:rsid w:val="00D70FC0"/>
    <w:rsid w:val="00D71056"/>
    <w:rsid w:val="00D7148C"/>
    <w:rsid w:val="00D71862"/>
    <w:rsid w:val="00D71CC7"/>
    <w:rsid w:val="00D71DCA"/>
    <w:rsid w:val="00D723EB"/>
    <w:rsid w:val="00D7241C"/>
    <w:rsid w:val="00D72924"/>
    <w:rsid w:val="00D72A69"/>
    <w:rsid w:val="00D72BD1"/>
    <w:rsid w:val="00D72E41"/>
    <w:rsid w:val="00D73944"/>
    <w:rsid w:val="00D73CC2"/>
    <w:rsid w:val="00D742FB"/>
    <w:rsid w:val="00D74362"/>
    <w:rsid w:val="00D7473D"/>
    <w:rsid w:val="00D74E65"/>
    <w:rsid w:val="00D75351"/>
    <w:rsid w:val="00D75FD4"/>
    <w:rsid w:val="00D763FB"/>
    <w:rsid w:val="00D770BC"/>
    <w:rsid w:val="00D772E9"/>
    <w:rsid w:val="00D772FB"/>
    <w:rsid w:val="00D77339"/>
    <w:rsid w:val="00D77438"/>
    <w:rsid w:val="00D77613"/>
    <w:rsid w:val="00D77DDC"/>
    <w:rsid w:val="00D802F6"/>
    <w:rsid w:val="00D80884"/>
    <w:rsid w:val="00D809B7"/>
    <w:rsid w:val="00D819D0"/>
    <w:rsid w:val="00D81B8A"/>
    <w:rsid w:val="00D827AC"/>
    <w:rsid w:val="00D830A2"/>
    <w:rsid w:val="00D83306"/>
    <w:rsid w:val="00D834B1"/>
    <w:rsid w:val="00D83571"/>
    <w:rsid w:val="00D83E28"/>
    <w:rsid w:val="00D8415D"/>
    <w:rsid w:val="00D84A6F"/>
    <w:rsid w:val="00D84BFA"/>
    <w:rsid w:val="00D84E66"/>
    <w:rsid w:val="00D84F65"/>
    <w:rsid w:val="00D8525B"/>
    <w:rsid w:val="00D852AF"/>
    <w:rsid w:val="00D85373"/>
    <w:rsid w:val="00D85A56"/>
    <w:rsid w:val="00D85DB4"/>
    <w:rsid w:val="00D864CE"/>
    <w:rsid w:val="00D86677"/>
    <w:rsid w:val="00D86AAD"/>
    <w:rsid w:val="00D86AB1"/>
    <w:rsid w:val="00D87D90"/>
    <w:rsid w:val="00D87EFB"/>
    <w:rsid w:val="00D900CC"/>
    <w:rsid w:val="00D9010D"/>
    <w:rsid w:val="00D90827"/>
    <w:rsid w:val="00D9142A"/>
    <w:rsid w:val="00D91902"/>
    <w:rsid w:val="00D919E2"/>
    <w:rsid w:val="00D91DB1"/>
    <w:rsid w:val="00D92349"/>
    <w:rsid w:val="00D9234D"/>
    <w:rsid w:val="00D93224"/>
    <w:rsid w:val="00D9351C"/>
    <w:rsid w:val="00D9365E"/>
    <w:rsid w:val="00D93962"/>
    <w:rsid w:val="00D93B43"/>
    <w:rsid w:val="00D93BAB"/>
    <w:rsid w:val="00D94ABD"/>
    <w:rsid w:val="00D94FCD"/>
    <w:rsid w:val="00D953F6"/>
    <w:rsid w:val="00D9555D"/>
    <w:rsid w:val="00D95C4A"/>
    <w:rsid w:val="00D95D1B"/>
    <w:rsid w:val="00D960AD"/>
    <w:rsid w:val="00D9612D"/>
    <w:rsid w:val="00D969A1"/>
    <w:rsid w:val="00D96B30"/>
    <w:rsid w:val="00D96E5C"/>
    <w:rsid w:val="00D97D14"/>
    <w:rsid w:val="00DA0283"/>
    <w:rsid w:val="00DA0D70"/>
    <w:rsid w:val="00DA126C"/>
    <w:rsid w:val="00DA1431"/>
    <w:rsid w:val="00DA14B2"/>
    <w:rsid w:val="00DA14B7"/>
    <w:rsid w:val="00DA1632"/>
    <w:rsid w:val="00DA16A6"/>
    <w:rsid w:val="00DA1977"/>
    <w:rsid w:val="00DA21E0"/>
    <w:rsid w:val="00DA2501"/>
    <w:rsid w:val="00DA299D"/>
    <w:rsid w:val="00DA2D6C"/>
    <w:rsid w:val="00DA311A"/>
    <w:rsid w:val="00DA314D"/>
    <w:rsid w:val="00DA3486"/>
    <w:rsid w:val="00DA38AB"/>
    <w:rsid w:val="00DA39E2"/>
    <w:rsid w:val="00DA3FF2"/>
    <w:rsid w:val="00DA40A4"/>
    <w:rsid w:val="00DA44B3"/>
    <w:rsid w:val="00DA4576"/>
    <w:rsid w:val="00DA46A4"/>
    <w:rsid w:val="00DA508E"/>
    <w:rsid w:val="00DA520E"/>
    <w:rsid w:val="00DA53EA"/>
    <w:rsid w:val="00DA6081"/>
    <w:rsid w:val="00DA66F9"/>
    <w:rsid w:val="00DA6DC2"/>
    <w:rsid w:val="00DA6FF0"/>
    <w:rsid w:val="00DA7691"/>
    <w:rsid w:val="00DA7AD0"/>
    <w:rsid w:val="00DB00E2"/>
    <w:rsid w:val="00DB1033"/>
    <w:rsid w:val="00DB11D9"/>
    <w:rsid w:val="00DB19D5"/>
    <w:rsid w:val="00DB1E90"/>
    <w:rsid w:val="00DB2133"/>
    <w:rsid w:val="00DB248A"/>
    <w:rsid w:val="00DB26DA"/>
    <w:rsid w:val="00DB298A"/>
    <w:rsid w:val="00DB2A3B"/>
    <w:rsid w:val="00DB2D77"/>
    <w:rsid w:val="00DB2E0B"/>
    <w:rsid w:val="00DB37C5"/>
    <w:rsid w:val="00DB433F"/>
    <w:rsid w:val="00DB43E6"/>
    <w:rsid w:val="00DB45CC"/>
    <w:rsid w:val="00DB471D"/>
    <w:rsid w:val="00DB5224"/>
    <w:rsid w:val="00DB5686"/>
    <w:rsid w:val="00DB5772"/>
    <w:rsid w:val="00DB588A"/>
    <w:rsid w:val="00DB5953"/>
    <w:rsid w:val="00DB59B6"/>
    <w:rsid w:val="00DB5A09"/>
    <w:rsid w:val="00DB5A53"/>
    <w:rsid w:val="00DB5AD5"/>
    <w:rsid w:val="00DB63FC"/>
    <w:rsid w:val="00DB6900"/>
    <w:rsid w:val="00DB69E0"/>
    <w:rsid w:val="00DB6B43"/>
    <w:rsid w:val="00DB7297"/>
    <w:rsid w:val="00DB7306"/>
    <w:rsid w:val="00DC005A"/>
    <w:rsid w:val="00DC0E92"/>
    <w:rsid w:val="00DC0F3B"/>
    <w:rsid w:val="00DC1B52"/>
    <w:rsid w:val="00DC1C2F"/>
    <w:rsid w:val="00DC20D6"/>
    <w:rsid w:val="00DC214A"/>
    <w:rsid w:val="00DC2767"/>
    <w:rsid w:val="00DC2AFF"/>
    <w:rsid w:val="00DC31F3"/>
    <w:rsid w:val="00DC331A"/>
    <w:rsid w:val="00DC4288"/>
    <w:rsid w:val="00DC430A"/>
    <w:rsid w:val="00DC43B6"/>
    <w:rsid w:val="00DC4876"/>
    <w:rsid w:val="00DC48E4"/>
    <w:rsid w:val="00DC4B7A"/>
    <w:rsid w:val="00DC4F2F"/>
    <w:rsid w:val="00DC50D4"/>
    <w:rsid w:val="00DC6469"/>
    <w:rsid w:val="00DC65DF"/>
    <w:rsid w:val="00DC70F2"/>
    <w:rsid w:val="00DC7779"/>
    <w:rsid w:val="00DC7F75"/>
    <w:rsid w:val="00DD0CDA"/>
    <w:rsid w:val="00DD1295"/>
    <w:rsid w:val="00DD1446"/>
    <w:rsid w:val="00DD1818"/>
    <w:rsid w:val="00DD1833"/>
    <w:rsid w:val="00DD190D"/>
    <w:rsid w:val="00DD19B4"/>
    <w:rsid w:val="00DD1D62"/>
    <w:rsid w:val="00DD1E28"/>
    <w:rsid w:val="00DD2035"/>
    <w:rsid w:val="00DD2113"/>
    <w:rsid w:val="00DD2184"/>
    <w:rsid w:val="00DD2326"/>
    <w:rsid w:val="00DD2550"/>
    <w:rsid w:val="00DD27E9"/>
    <w:rsid w:val="00DD2D28"/>
    <w:rsid w:val="00DD2D60"/>
    <w:rsid w:val="00DD31DF"/>
    <w:rsid w:val="00DD39E7"/>
    <w:rsid w:val="00DD3BD4"/>
    <w:rsid w:val="00DD45AE"/>
    <w:rsid w:val="00DD49F4"/>
    <w:rsid w:val="00DD598C"/>
    <w:rsid w:val="00DD5D5E"/>
    <w:rsid w:val="00DD5D7C"/>
    <w:rsid w:val="00DD5E7E"/>
    <w:rsid w:val="00DD5ED3"/>
    <w:rsid w:val="00DD61D6"/>
    <w:rsid w:val="00DD62CA"/>
    <w:rsid w:val="00DD644F"/>
    <w:rsid w:val="00DD65E5"/>
    <w:rsid w:val="00DE06ED"/>
    <w:rsid w:val="00DE0A82"/>
    <w:rsid w:val="00DE0C05"/>
    <w:rsid w:val="00DE11EE"/>
    <w:rsid w:val="00DE13F0"/>
    <w:rsid w:val="00DE14C2"/>
    <w:rsid w:val="00DE1927"/>
    <w:rsid w:val="00DE1E1A"/>
    <w:rsid w:val="00DE25DD"/>
    <w:rsid w:val="00DE2AAF"/>
    <w:rsid w:val="00DE2F8A"/>
    <w:rsid w:val="00DE3628"/>
    <w:rsid w:val="00DE3AF9"/>
    <w:rsid w:val="00DE4021"/>
    <w:rsid w:val="00DE54A8"/>
    <w:rsid w:val="00DE627A"/>
    <w:rsid w:val="00DE6452"/>
    <w:rsid w:val="00DE65AC"/>
    <w:rsid w:val="00DE686B"/>
    <w:rsid w:val="00DE68CA"/>
    <w:rsid w:val="00DE6A96"/>
    <w:rsid w:val="00DE75A3"/>
    <w:rsid w:val="00DE7725"/>
    <w:rsid w:val="00DE79D3"/>
    <w:rsid w:val="00DE7E71"/>
    <w:rsid w:val="00DF0E0C"/>
    <w:rsid w:val="00DF1087"/>
    <w:rsid w:val="00DF17CF"/>
    <w:rsid w:val="00DF196E"/>
    <w:rsid w:val="00DF1CC0"/>
    <w:rsid w:val="00DF229B"/>
    <w:rsid w:val="00DF2594"/>
    <w:rsid w:val="00DF2722"/>
    <w:rsid w:val="00DF291A"/>
    <w:rsid w:val="00DF2A9A"/>
    <w:rsid w:val="00DF2B02"/>
    <w:rsid w:val="00DF32F4"/>
    <w:rsid w:val="00DF3316"/>
    <w:rsid w:val="00DF3715"/>
    <w:rsid w:val="00DF389E"/>
    <w:rsid w:val="00DF3C8B"/>
    <w:rsid w:val="00DF42E0"/>
    <w:rsid w:val="00DF4851"/>
    <w:rsid w:val="00DF4E56"/>
    <w:rsid w:val="00DF55B0"/>
    <w:rsid w:val="00DF63F3"/>
    <w:rsid w:val="00DF653B"/>
    <w:rsid w:val="00DF65EE"/>
    <w:rsid w:val="00DF6A30"/>
    <w:rsid w:val="00DF7159"/>
    <w:rsid w:val="00DF7237"/>
    <w:rsid w:val="00DF73CB"/>
    <w:rsid w:val="00DF7823"/>
    <w:rsid w:val="00DF79DB"/>
    <w:rsid w:val="00DF7EA4"/>
    <w:rsid w:val="00E0022E"/>
    <w:rsid w:val="00E00573"/>
    <w:rsid w:val="00E00740"/>
    <w:rsid w:val="00E00F05"/>
    <w:rsid w:val="00E012D2"/>
    <w:rsid w:val="00E0165F"/>
    <w:rsid w:val="00E0198C"/>
    <w:rsid w:val="00E019D8"/>
    <w:rsid w:val="00E01ECD"/>
    <w:rsid w:val="00E01F70"/>
    <w:rsid w:val="00E02A2D"/>
    <w:rsid w:val="00E02A41"/>
    <w:rsid w:val="00E0375D"/>
    <w:rsid w:val="00E0468D"/>
    <w:rsid w:val="00E04B96"/>
    <w:rsid w:val="00E04F3D"/>
    <w:rsid w:val="00E05295"/>
    <w:rsid w:val="00E05649"/>
    <w:rsid w:val="00E058A4"/>
    <w:rsid w:val="00E058A9"/>
    <w:rsid w:val="00E05A7B"/>
    <w:rsid w:val="00E05EFE"/>
    <w:rsid w:val="00E06A06"/>
    <w:rsid w:val="00E06E94"/>
    <w:rsid w:val="00E07522"/>
    <w:rsid w:val="00E07B91"/>
    <w:rsid w:val="00E1047B"/>
    <w:rsid w:val="00E10CDA"/>
    <w:rsid w:val="00E11623"/>
    <w:rsid w:val="00E11AD2"/>
    <w:rsid w:val="00E11BDD"/>
    <w:rsid w:val="00E127E6"/>
    <w:rsid w:val="00E1293B"/>
    <w:rsid w:val="00E1295F"/>
    <w:rsid w:val="00E13009"/>
    <w:rsid w:val="00E13308"/>
    <w:rsid w:val="00E1352F"/>
    <w:rsid w:val="00E136CF"/>
    <w:rsid w:val="00E13CD1"/>
    <w:rsid w:val="00E13FF9"/>
    <w:rsid w:val="00E149F0"/>
    <w:rsid w:val="00E14B92"/>
    <w:rsid w:val="00E15DA3"/>
    <w:rsid w:val="00E16078"/>
    <w:rsid w:val="00E16670"/>
    <w:rsid w:val="00E17190"/>
    <w:rsid w:val="00E1784F"/>
    <w:rsid w:val="00E178E4"/>
    <w:rsid w:val="00E17AF9"/>
    <w:rsid w:val="00E2114A"/>
    <w:rsid w:val="00E216E8"/>
    <w:rsid w:val="00E21CF3"/>
    <w:rsid w:val="00E22026"/>
    <w:rsid w:val="00E2205F"/>
    <w:rsid w:val="00E222A5"/>
    <w:rsid w:val="00E22329"/>
    <w:rsid w:val="00E225E9"/>
    <w:rsid w:val="00E22687"/>
    <w:rsid w:val="00E22CC2"/>
    <w:rsid w:val="00E22F00"/>
    <w:rsid w:val="00E23885"/>
    <w:rsid w:val="00E2424D"/>
    <w:rsid w:val="00E244ED"/>
    <w:rsid w:val="00E244F8"/>
    <w:rsid w:val="00E24E65"/>
    <w:rsid w:val="00E2500C"/>
    <w:rsid w:val="00E25AC8"/>
    <w:rsid w:val="00E25E5A"/>
    <w:rsid w:val="00E2606B"/>
    <w:rsid w:val="00E26A75"/>
    <w:rsid w:val="00E26D5C"/>
    <w:rsid w:val="00E26F5B"/>
    <w:rsid w:val="00E274D0"/>
    <w:rsid w:val="00E27DF7"/>
    <w:rsid w:val="00E27FE7"/>
    <w:rsid w:val="00E30149"/>
    <w:rsid w:val="00E301F6"/>
    <w:rsid w:val="00E30578"/>
    <w:rsid w:val="00E30694"/>
    <w:rsid w:val="00E309B5"/>
    <w:rsid w:val="00E30B10"/>
    <w:rsid w:val="00E30D77"/>
    <w:rsid w:val="00E31066"/>
    <w:rsid w:val="00E31123"/>
    <w:rsid w:val="00E31334"/>
    <w:rsid w:val="00E31995"/>
    <w:rsid w:val="00E31FAC"/>
    <w:rsid w:val="00E3237E"/>
    <w:rsid w:val="00E3265B"/>
    <w:rsid w:val="00E3270D"/>
    <w:rsid w:val="00E32817"/>
    <w:rsid w:val="00E32BE2"/>
    <w:rsid w:val="00E33C0B"/>
    <w:rsid w:val="00E33D7E"/>
    <w:rsid w:val="00E33F8E"/>
    <w:rsid w:val="00E3487F"/>
    <w:rsid w:val="00E34B93"/>
    <w:rsid w:val="00E353EB"/>
    <w:rsid w:val="00E35B7C"/>
    <w:rsid w:val="00E369B6"/>
    <w:rsid w:val="00E36A76"/>
    <w:rsid w:val="00E36DCF"/>
    <w:rsid w:val="00E37093"/>
    <w:rsid w:val="00E3772C"/>
    <w:rsid w:val="00E37B83"/>
    <w:rsid w:val="00E40247"/>
    <w:rsid w:val="00E40C6C"/>
    <w:rsid w:val="00E4143C"/>
    <w:rsid w:val="00E416BF"/>
    <w:rsid w:val="00E416C8"/>
    <w:rsid w:val="00E41F1F"/>
    <w:rsid w:val="00E41F8E"/>
    <w:rsid w:val="00E42088"/>
    <w:rsid w:val="00E4210D"/>
    <w:rsid w:val="00E4227A"/>
    <w:rsid w:val="00E43BA5"/>
    <w:rsid w:val="00E43E56"/>
    <w:rsid w:val="00E4424C"/>
    <w:rsid w:val="00E4435B"/>
    <w:rsid w:val="00E448DC"/>
    <w:rsid w:val="00E44A4E"/>
    <w:rsid w:val="00E44AB4"/>
    <w:rsid w:val="00E451EE"/>
    <w:rsid w:val="00E4588F"/>
    <w:rsid w:val="00E45F4B"/>
    <w:rsid w:val="00E4647E"/>
    <w:rsid w:val="00E46511"/>
    <w:rsid w:val="00E465E2"/>
    <w:rsid w:val="00E46763"/>
    <w:rsid w:val="00E46FC1"/>
    <w:rsid w:val="00E47427"/>
    <w:rsid w:val="00E47C33"/>
    <w:rsid w:val="00E50151"/>
    <w:rsid w:val="00E506CE"/>
    <w:rsid w:val="00E50B8E"/>
    <w:rsid w:val="00E51334"/>
    <w:rsid w:val="00E5149D"/>
    <w:rsid w:val="00E519BF"/>
    <w:rsid w:val="00E51A47"/>
    <w:rsid w:val="00E51FA4"/>
    <w:rsid w:val="00E523B2"/>
    <w:rsid w:val="00E52C09"/>
    <w:rsid w:val="00E532F4"/>
    <w:rsid w:val="00E5345C"/>
    <w:rsid w:val="00E53562"/>
    <w:rsid w:val="00E53627"/>
    <w:rsid w:val="00E53F9C"/>
    <w:rsid w:val="00E54170"/>
    <w:rsid w:val="00E55111"/>
    <w:rsid w:val="00E565E1"/>
    <w:rsid w:val="00E56946"/>
    <w:rsid w:val="00E56A7A"/>
    <w:rsid w:val="00E56B38"/>
    <w:rsid w:val="00E576B8"/>
    <w:rsid w:val="00E57DC2"/>
    <w:rsid w:val="00E57FF2"/>
    <w:rsid w:val="00E6015E"/>
    <w:rsid w:val="00E608D8"/>
    <w:rsid w:val="00E60C59"/>
    <w:rsid w:val="00E60F0C"/>
    <w:rsid w:val="00E62612"/>
    <w:rsid w:val="00E626F8"/>
    <w:rsid w:val="00E62B8A"/>
    <w:rsid w:val="00E62D9C"/>
    <w:rsid w:val="00E62DDB"/>
    <w:rsid w:val="00E63B45"/>
    <w:rsid w:val="00E6482E"/>
    <w:rsid w:val="00E64BEC"/>
    <w:rsid w:val="00E6506A"/>
    <w:rsid w:val="00E6568D"/>
    <w:rsid w:val="00E65DD5"/>
    <w:rsid w:val="00E6616F"/>
    <w:rsid w:val="00E6652B"/>
    <w:rsid w:val="00E6692F"/>
    <w:rsid w:val="00E66F36"/>
    <w:rsid w:val="00E67223"/>
    <w:rsid w:val="00E674EC"/>
    <w:rsid w:val="00E6775A"/>
    <w:rsid w:val="00E67809"/>
    <w:rsid w:val="00E67A03"/>
    <w:rsid w:val="00E67ECB"/>
    <w:rsid w:val="00E70040"/>
    <w:rsid w:val="00E70A2B"/>
    <w:rsid w:val="00E70E26"/>
    <w:rsid w:val="00E70E89"/>
    <w:rsid w:val="00E71893"/>
    <w:rsid w:val="00E719F4"/>
    <w:rsid w:val="00E71AC0"/>
    <w:rsid w:val="00E7238D"/>
    <w:rsid w:val="00E72509"/>
    <w:rsid w:val="00E72651"/>
    <w:rsid w:val="00E733D7"/>
    <w:rsid w:val="00E73445"/>
    <w:rsid w:val="00E74A34"/>
    <w:rsid w:val="00E74C9F"/>
    <w:rsid w:val="00E75229"/>
    <w:rsid w:val="00E75359"/>
    <w:rsid w:val="00E75522"/>
    <w:rsid w:val="00E75717"/>
    <w:rsid w:val="00E75AA0"/>
    <w:rsid w:val="00E767E5"/>
    <w:rsid w:val="00E76A5E"/>
    <w:rsid w:val="00E77695"/>
    <w:rsid w:val="00E77AA6"/>
    <w:rsid w:val="00E77C74"/>
    <w:rsid w:val="00E77F25"/>
    <w:rsid w:val="00E80320"/>
    <w:rsid w:val="00E80591"/>
    <w:rsid w:val="00E805AB"/>
    <w:rsid w:val="00E809D8"/>
    <w:rsid w:val="00E80BA0"/>
    <w:rsid w:val="00E81184"/>
    <w:rsid w:val="00E81513"/>
    <w:rsid w:val="00E81C75"/>
    <w:rsid w:val="00E8230B"/>
    <w:rsid w:val="00E823C4"/>
    <w:rsid w:val="00E82812"/>
    <w:rsid w:val="00E828D9"/>
    <w:rsid w:val="00E82C7E"/>
    <w:rsid w:val="00E82D17"/>
    <w:rsid w:val="00E82E62"/>
    <w:rsid w:val="00E83E82"/>
    <w:rsid w:val="00E844F9"/>
    <w:rsid w:val="00E84CE4"/>
    <w:rsid w:val="00E84DD8"/>
    <w:rsid w:val="00E850B1"/>
    <w:rsid w:val="00E85BEC"/>
    <w:rsid w:val="00E85D61"/>
    <w:rsid w:val="00E85D63"/>
    <w:rsid w:val="00E86937"/>
    <w:rsid w:val="00E87197"/>
    <w:rsid w:val="00E8730B"/>
    <w:rsid w:val="00E873B1"/>
    <w:rsid w:val="00E87576"/>
    <w:rsid w:val="00E876EE"/>
    <w:rsid w:val="00E87B76"/>
    <w:rsid w:val="00E87C73"/>
    <w:rsid w:val="00E9010B"/>
    <w:rsid w:val="00E90727"/>
    <w:rsid w:val="00E9086F"/>
    <w:rsid w:val="00E90B59"/>
    <w:rsid w:val="00E90BBF"/>
    <w:rsid w:val="00E90E6C"/>
    <w:rsid w:val="00E914C3"/>
    <w:rsid w:val="00E91E49"/>
    <w:rsid w:val="00E92264"/>
    <w:rsid w:val="00E931C8"/>
    <w:rsid w:val="00E940A7"/>
    <w:rsid w:val="00E94641"/>
    <w:rsid w:val="00E9517B"/>
    <w:rsid w:val="00E955B7"/>
    <w:rsid w:val="00E95C5E"/>
    <w:rsid w:val="00E969B4"/>
    <w:rsid w:val="00E96A68"/>
    <w:rsid w:val="00E9709B"/>
    <w:rsid w:val="00E970EE"/>
    <w:rsid w:val="00E97172"/>
    <w:rsid w:val="00E97791"/>
    <w:rsid w:val="00E979A1"/>
    <w:rsid w:val="00E979A7"/>
    <w:rsid w:val="00EA0012"/>
    <w:rsid w:val="00EA015F"/>
    <w:rsid w:val="00EA033D"/>
    <w:rsid w:val="00EA058E"/>
    <w:rsid w:val="00EA0DBB"/>
    <w:rsid w:val="00EA19FB"/>
    <w:rsid w:val="00EA2E26"/>
    <w:rsid w:val="00EA3239"/>
    <w:rsid w:val="00EA33A0"/>
    <w:rsid w:val="00EA35A9"/>
    <w:rsid w:val="00EA3686"/>
    <w:rsid w:val="00EA3AE2"/>
    <w:rsid w:val="00EA3C8E"/>
    <w:rsid w:val="00EA49BA"/>
    <w:rsid w:val="00EA4D6C"/>
    <w:rsid w:val="00EA5873"/>
    <w:rsid w:val="00EA5987"/>
    <w:rsid w:val="00EA5B43"/>
    <w:rsid w:val="00EA5B57"/>
    <w:rsid w:val="00EA665D"/>
    <w:rsid w:val="00EA6925"/>
    <w:rsid w:val="00EA76A4"/>
    <w:rsid w:val="00EB02C4"/>
    <w:rsid w:val="00EB044E"/>
    <w:rsid w:val="00EB10B3"/>
    <w:rsid w:val="00EB13F1"/>
    <w:rsid w:val="00EB2185"/>
    <w:rsid w:val="00EB21AA"/>
    <w:rsid w:val="00EB2790"/>
    <w:rsid w:val="00EB2893"/>
    <w:rsid w:val="00EB3644"/>
    <w:rsid w:val="00EB3690"/>
    <w:rsid w:val="00EB3A9D"/>
    <w:rsid w:val="00EB3E84"/>
    <w:rsid w:val="00EB4A3F"/>
    <w:rsid w:val="00EB4C9A"/>
    <w:rsid w:val="00EB4D84"/>
    <w:rsid w:val="00EB4EDA"/>
    <w:rsid w:val="00EB5000"/>
    <w:rsid w:val="00EB52C5"/>
    <w:rsid w:val="00EB5365"/>
    <w:rsid w:val="00EB546B"/>
    <w:rsid w:val="00EB54DA"/>
    <w:rsid w:val="00EB5C00"/>
    <w:rsid w:val="00EB6194"/>
    <w:rsid w:val="00EB6650"/>
    <w:rsid w:val="00EB6A7D"/>
    <w:rsid w:val="00EB7B5B"/>
    <w:rsid w:val="00EC057A"/>
    <w:rsid w:val="00EC0647"/>
    <w:rsid w:val="00EC0793"/>
    <w:rsid w:val="00EC08A7"/>
    <w:rsid w:val="00EC08C2"/>
    <w:rsid w:val="00EC0BA2"/>
    <w:rsid w:val="00EC0E2A"/>
    <w:rsid w:val="00EC1C2D"/>
    <w:rsid w:val="00EC22E6"/>
    <w:rsid w:val="00EC2532"/>
    <w:rsid w:val="00EC26CC"/>
    <w:rsid w:val="00EC274F"/>
    <w:rsid w:val="00EC2D98"/>
    <w:rsid w:val="00EC2DFF"/>
    <w:rsid w:val="00EC2FD9"/>
    <w:rsid w:val="00EC3542"/>
    <w:rsid w:val="00EC3EA5"/>
    <w:rsid w:val="00EC3FE5"/>
    <w:rsid w:val="00EC4370"/>
    <w:rsid w:val="00EC47B4"/>
    <w:rsid w:val="00EC493B"/>
    <w:rsid w:val="00EC49FA"/>
    <w:rsid w:val="00EC5072"/>
    <w:rsid w:val="00EC534D"/>
    <w:rsid w:val="00EC5693"/>
    <w:rsid w:val="00EC5761"/>
    <w:rsid w:val="00EC58F5"/>
    <w:rsid w:val="00EC5AF8"/>
    <w:rsid w:val="00EC5BD1"/>
    <w:rsid w:val="00EC5E7D"/>
    <w:rsid w:val="00EC618F"/>
    <w:rsid w:val="00EC6E43"/>
    <w:rsid w:val="00EC7993"/>
    <w:rsid w:val="00EC7C6D"/>
    <w:rsid w:val="00EC7D39"/>
    <w:rsid w:val="00ED009B"/>
    <w:rsid w:val="00ED0B78"/>
    <w:rsid w:val="00ED0CD6"/>
    <w:rsid w:val="00ED0EDE"/>
    <w:rsid w:val="00ED13E4"/>
    <w:rsid w:val="00ED15DF"/>
    <w:rsid w:val="00ED1705"/>
    <w:rsid w:val="00ED17AA"/>
    <w:rsid w:val="00ED18F1"/>
    <w:rsid w:val="00ED1DF0"/>
    <w:rsid w:val="00ED1ECD"/>
    <w:rsid w:val="00ED259B"/>
    <w:rsid w:val="00ED264F"/>
    <w:rsid w:val="00ED32D8"/>
    <w:rsid w:val="00ED34B2"/>
    <w:rsid w:val="00ED3505"/>
    <w:rsid w:val="00ED3ADD"/>
    <w:rsid w:val="00ED3C83"/>
    <w:rsid w:val="00ED4080"/>
    <w:rsid w:val="00ED47C0"/>
    <w:rsid w:val="00ED48DF"/>
    <w:rsid w:val="00ED4C7A"/>
    <w:rsid w:val="00ED4EB0"/>
    <w:rsid w:val="00ED56AD"/>
    <w:rsid w:val="00ED585E"/>
    <w:rsid w:val="00ED66B0"/>
    <w:rsid w:val="00ED69C7"/>
    <w:rsid w:val="00ED6D1E"/>
    <w:rsid w:val="00ED7990"/>
    <w:rsid w:val="00ED7FBD"/>
    <w:rsid w:val="00EE0135"/>
    <w:rsid w:val="00EE03B4"/>
    <w:rsid w:val="00EE0690"/>
    <w:rsid w:val="00EE1063"/>
    <w:rsid w:val="00EE1145"/>
    <w:rsid w:val="00EE1CF2"/>
    <w:rsid w:val="00EE2022"/>
    <w:rsid w:val="00EE20BF"/>
    <w:rsid w:val="00EE23FF"/>
    <w:rsid w:val="00EE2FB1"/>
    <w:rsid w:val="00EE316A"/>
    <w:rsid w:val="00EE347A"/>
    <w:rsid w:val="00EE3542"/>
    <w:rsid w:val="00EE3AC8"/>
    <w:rsid w:val="00EE3CB6"/>
    <w:rsid w:val="00EE41A8"/>
    <w:rsid w:val="00EE47BE"/>
    <w:rsid w:val="00EE48E1"/>
    <w:rsid w:val="00EE4B00"/>
    <w:rsid w:val="00EE58DA"/>
    <w:rsid w:val="00EE593F"/>
    <w:rsid w:val="00EE5A00"/>
    <w:rsid w:val="00EE637A"/>
    <w:rsid w:val="00EE6CEB"/>
    <w:rsid w:val="00EE6E9E"/>
    <w:rsid w:val="00EE79D5"/>
    <w:rsid w:val="00EF02EC"/>
    <w:rsid w:val="00EF0308"/>
    <w:rsid w:val="00EF0900"/>
    <w:rsid w:val="00EF0B80"/>
    <w:rsid w:val="00EF0BB9"/>
    <w:rsid w:val="00EF1930"/>
    <w:rsid w:val="00EF1A25"/>
    <w:rsid w:val="00EF1AD4"/>
    <w:rsid w:val="00EF1B2D"/>
    <w:rsid w:val="00EF1BAD"/>
    <w:rsid w:val="00EF1EBC"/>
    <w:rsid w:val="00EF2A6A"/>
    <w:rsid w:val="00EF2B66"/>
    <w:rsid w:val="00EF2C0E"/>
    <w:rsid w:val="00EF2DDD"/>
    <w:rsid w:val="00EF36CF"/>
    <w:rsid w:val="00EF3BF2"/>
    <w:rsid w:val="00EF3CAA"/>
    <w:rsid w:val="00EF45F8"/>
    <w:rsid w:val="00EF4B6B"/>
    <w:rsid w:val="00EF5151"/>
    <w:rsid w:val="00EF568A"/>
    <w:rsid w:val="00EF7E8D"/>
    <w:rsid w:val="00F020FE"/>
    <w:rsid w:val="00F023FF"/>
    <w:rsid w:val="00F0274B"/>
    <w:rsid w:val="00F02900"/>
    <w:rsid w:val="00F02BF4"/>
    <w:rsid w:val="00F02EE5"/>
    <w:rsid w:val="00F033A6"/>
    <w:rsid w:val="00F038DA"/>
    <w:rsid w:val="00F044D1"/>
    <w:rsid w:val="00F04A32"/>
    <w:rsid w:val="00F04AEA"/>
    <w:rsid w:val="00F04FAF"/>
    <w:rsid w:val="00F05012"/>
    <w:rsid w:val="00F054BE"/>
    <w:rsid w:val="00F0597F"/>
    <w:rsid w:val="00F05BD2"/>
    <w:rsid w:val="00F05BF8"/>
    <w:rsid w:val="00F05D1B"/>
    <w:rsid w:val="00F05F59"/>
    <w:rsid w:val="00F06045"/>
    <w:rsid w:val="00F062C2"/>
    <w:rsid w:val="00F062F6"/>
    <w:rsid w:val="00F07120"/>
    <w:rsid w:val="00F0734C"/>
    <w:rsid w:val="00F07A5A"/>
    <w:rsid w:val="00F100A7"/>
    <w:rsid w:val="00F10651"/>
    <w:rsid w:val="00F10F22"/>
    <w:rsid w:val="00F1123D"/>
    <w:rsid w:val="00F11BA2"/>
    <w:rsid w:val="00F11E3D"/>
    <w:rsid w:val="00F11E98"/>
    <w:rsid w:val="00F1215E"/>
    <w:rsid w:val="00F1268A"/>
    <w:rsid w:val="00F12D06"/>
    <w:rsid w:val="00F13241"/>
    <w:rsid w:val="00F13498"/>
    <w:rsid w:val="00F13AD9"/>
    <w:rsid w:val="00F13FFF"/>
    <w:rsid w:val="00F1417B"/>
    <w:rsid w:val="00F144E5"/>
    <w:rsid w:val="00F14537"/>
    <w:rsid w:val="00F14559"/>
    <w:rsid w:val="00F1462D"/>
    <w:rsid w:val="00F14AFF"/>
    <w:rsid w:val="00F154D4"/>
    <w:rsid w:val="00F15681"/>
    <w:rsid w:val="00F15DC6"/>
    <w:rsid w:val="00F15F8D"/>
    <w:rsid w:val="00F160E0"/>
    <w:rsid w:val="00F16A68"/>
    <w:rsid w:val="00F16D47"/>
    <w:rsid w:val="00F171D3"/>
    <w:rsid w:val="00F175E0"/>
    <w:rsid w:val="00F176EE"/>
    <w:rsid w:val="00F17977"/>
    <w:rsid w:val="00F17EC5"/>
    <w:rsid w:val="00F2035D"/>
    <w:rsid w:val="00F20CBD"/>
    <w:rsid w:val="00F21973"/>
    <w:rsid w:val="00F21C5B"/>
    <w:rsid w:val="00F21CA5"/>
    <w:rsid w:val="00F21E54"/>
    <w:rsid w:val="00F22A75"/>
    <w:rsid w:val="00F22EA1"/>
    <w:rsid w:val="00F23123"/>
    <w:rsid w:val="00F234E6"/>
    <w:rsid w:val="00F237CC"/>
    <w:rsid w:val="00F23959"/>
    <w:rsid w:val="00F23D62"/>
    <w:rsid w:val="00F23EAB"/>
    <w:rsid w:val="00F24164"/>
    <w:rsid w:val="00F242F9"/>
    <w:rsid w:val="00F24565"/>
    <w:rsid w:val="00F247E1"/>
    <w:rsid w:val="00F25A18"/>
    <w:rsid w:val="00F25B43"/>
    <w:rsid w:val="00F25CB5"/>
    <w:rsid w:val="00F25D96"/>
    <w:rsid w:val="00F26740"/>
    <w:rsid w:val="00F2675B"/>
    <w:rsid w:val="00F26897"/>
    <w:rsid w:val="00F26936"/>
    <w:rsid w:val="00F26C3F"/>
    <w:rsid w:val="00F26D33"/>
    <w:rsid w:val="00F27C81"/>
    <w:rsid w:val="00F27D25"/>
    <w:rsid w:val="00F30431"/>
    <w:rsid w:val="00F30ABB"/>
    <w:rsid w:val="00F30BA0"/>
    <w:rsid w:val="00F3153D"/>
    <w:rsid w:val="00F317A2"/>
    <w:rsid w:val="00F3183E"/>
    <w:rsid w:val="00F320C6"/>
    <w:rsid w:val="00F32138"/>
    <w:rsid w:val="00F3268E"/>
    <w:rsid w:val="00F327FB"/>
    <w:rsid w:val="00F33416"/>
    <w:rsid w:val="00F33953"/>
    <w:rsid w:val="00F33ACB"/>
    <w:rsid w:val="00F33C11"/>
    <w:rsid w:val="00F33E50"/>
    <w:rsid w:val="00F34252"/>
    <w:rsid w:val="00F34429"/>
    <w:rsid w:val="00F344EA"/>
    <w:rsid w:val="00F35482"/>
    <w:rsid w:val="00F35C0C"/>
    <w:rsid w:val="00F363BD"/>
    <w:rsid w:val="00F36A8A"/>
    <w:rsid w:val="00F37409"/>
    <w:rsid w:val="00F377A7"/>
    <w:rsid w:val="00F37B22"/>
    <w:rsid w:val="00F37B4E"/>
    <w:rsid w:val="00F37EE2"/>
    <w:rsid w:val="00F37F34"/>
    <w:rsid w:val="00F403D4"/>
    <w:rsid w:val="00F40E84"/>
    <w:rsid w:val="00F418BE"/>
    <w:rsid w:val="00F420D0"/>
    <w:rsid w:val="00F42131"/>
    <w:rsid w:val="00F4238E"/>
    <w:rsid w:val="00F42C11"/>
    <w:rsid w:val="00F439F3"/>
    <w:rsid w:val="00F43C64"/>
    <w:rsid w:val="00F43DD5"/>
    <w:rsid w:val="00F43F19"/>
    <w:rsid w:val="00F43FA8"/>
    <w:rsid w:val="00F44021"/>
    <w:rsid w:val="00F44302"/>
    <w:rsid w:val="00F44BAA"/>
    <w:rsid w:val="00F4558F"/>
    <w:rsid w:val="00F4597B"/>
    <w:rsid w:val="00F45AAA"/>
    <w:rsid w:val="00F46011"/>
    <w:rsid w:val="00F46849"/>
    <w:rsid w:val="00F46E80"/>
    <w:rsid w:val="00F46EAB"/>
    <w:rsid w:val="00F46FA8"/>
    <w:rsid w:val="00F4747C"/>
    <w:rsid w:val="00F47ACE"/>
    <w:rsid w:val="00F505A1"/>
    <w:rsid w:val="00F50D74"/>
    <w:rsid w:val="00F50D9B"/>
    <w:rsid w:val="00F51126"/>
    <w:rsid w:val="00F516C7"/>
    <w:rsid w:val="00F522C1"/>
    <w:rsid w:val="00F52E3C"/>
    <w:rsid w:val="00F53386"/>
    <w:rsid w:val="00F533DA"/>
    <w:rsid w:val="00F53C79"/>
    <w:rsid w:val="00F547FB"/>
    <w:rsid w:val="00F54B69"/>
    <w:rsid w:val="00F54B9A"/>
    <w:rsid w:val="00F54E61"/>
    <w:rsid w:val="00F55196"/>
    <w:rsid w:val="00F55548"/>
    <w:rsid w:val="00F55664"/>
    <w:rsid w:val="00F557BC"/>
    <w:rsid w:val="00F55B8C"/>
    <w:rsid w:val="00F55D81"/>
    <w:rsid w:val="00F563A5"/>
    <w:rsid w:val="00F56F8A"/>
    <w:rsid w:val="00F5711C"/>
    <w:rsid w:val="00F5721F"/>
    <w:rsid w:val="00F57A51"/>
    <w:rsid w:val="00F57C87"/>
    <w:rsid w:val="00F57F64"/>
    <w:rsid w:val="00F60252"/>
    <w:rsid w:val="00F60323"/>
    <w:rsid w:val="00F6089C"/>
    <w:rsid w:val="00F60A31"/>
    <w:rsid w:val="00F61698"/>
    <w:rsid w:val="00F61883"/>
    <w:rsid w:val="00F619BC"/>
    <w:rsid w:val="00F6205D"/>
    <w:rsid w:val="00F62248"/>
    <w:rsid w:val="00F62C5B"/>
    <w:rsid w:val="00F632E3"/>
    <w:rsid w:val="00F6380C"/>
    <w:rsid w:val="00F63ACE"/>
    <w:rsid w:val="00F63D99"/>
    <w:rsid w:val="00F64003"/>
    <w:rsid w:val="00F640EC"/>
    <w:rsid w:val="00F646C9"/>
    <w:rsid w:val="00F6472E"/>
    <w:rsid w:val="00F64756"/>
    <w:rsid w:val="00F65443"/>
    <w:rsid w:val="00F6548C"/>
    <w:rsid w:val="00F6563C"/>
    <w:rsid w:val="00F65A84"/>
    <w:rsid w:val="00F65D25"/>
    <w:rsid w:val="00F662DC"/>
    <w:rsid w:val="00F66DD5"/>
    <w:rsid w:val="00F67148"/>
    <w:rsid w:val="00F67D22"/>
    <w:rsid w:val="00F701CE"/>
    <w:rsid w:val="00F70248"/>
    <w:rsid w:val="00F72126"/>
    <w:rsid w:val="00F7221F"/>
    <w:rsid w:val="00F72A3B"/>
    <w:rsid w:val="00F72D91"/>
    <w:rsid w:val="00F73C78"/>
    <w:rsid w:val="00F73E1B"/>
    <w:rsid w:val="00F74256"/>
    <w:rsid w:val="00F743BF"/>
    <w:rsid w:val="00F74FBC"/>
    <w:rsid w:val="00F75B46"/>
    <w:rsid w:val="00F75CF5"/>
    <w:rsid w:val="00F75EBB"/>
    <w:rsid w:val="00F75F7E"/>
    <w:rsid w:val="00F761D4"/>
    <w:rsid w:val="00F76996"/>
    <w:rsid w:val="00F76A20"/>
    <w:rsid w:val="00F76F49"/>
    <w:rsid w:val="00F76FCA"/>
    <w:rsid w:val="00F7728A"/>
    <w:rsid w:val="00F777DB"/>
    <w:rsid w:val="00F77A68"/>
    <w:rsid w:val="00F77B64"/>
    <w:rsid w:val="00F80A61"/>
    <w:rsid w:val="00F80CDA"/>
    <w:rsid w:val="00F8176F"/>
    <w:rsid w:val="00F8211A"/>
    <w:rsid w:val="00F82BC4"/>
    <w:rsid w:val="00F82D61"/>
    <w:rsid w:val="00F82EE9"/>
    <w:rsid w:val="00F8313E"/>
    <w:rsid w:val="00F83226"/>
    <w:rsid w:val="00F83750"/>
    <w:rsid w:val="00F83C12"/>
    <w:rsid w:val="00F83F79"/>
    <w:rsid w:val="00F843FA"/>
    <w:rsid w:val="00F84656"/>
    <w:rsid w:val="00F84857"/>
    <w:rsid w:val="00F84F26"/>
    <w:rsid w:val="00F85503"/>
    <w:rsid w:val="00F8567E"/>
    <w:rsid w:val="00F8581F"/>
    <w:rsid w:val="00F87596"/>
    <w:rsid w:val="00F87719"/>
    <w:rsid w:val="00F877EF"/>
    <w:rsid w:val="00F87AFF"/>
    <w:rsid w:val="00F87B9B"/>
    <w:rsid w:val="00F87E81"/>
    <w:rsid w:val="00F87FE7"/>
    <w:rsid w:val="00F902D0"/>
    <w:rsid w:val="00F903CF"/>
    <w:rsid w:val="00F905B2"/>
    <w:rsid w:val="00F90A50"/>
    <w:rsid w:val="00F91886"/>
    <w:rsid w:val="00F92415"/>
    <w:rsid w:val="00F933BD"/>
    <w:rsid w:val="00F938CD"/>
    <w:rsid w:val="00F93AFC"/>
    <w:rsid w:val="00F9424C"/>
    <w:rsid w:val="00F94CE1"/>
    <w:rsid w:val="00F951C2"/>
    <w:rsid w:val="00F95550"/>
    <w:rsid w:val="00F95CCA"/>
    <w:rsid w:val="00F95DA5"/>
    <w:rsid w:val="00F9614A"/>
    <w:rsid w:val="00F96B09"/>
    <w:rsid w:val="00F97343"/>
    <w:rsid w:val="00F97827"/>
    <w:rsid w:val="00F97C1D"/>
    <w:rsid w:val="00F97CD4"/>
    <w:rsid w:val="00F97E3F"/>
    <w:rsid w:val="00FA0036"/>
    <w:rsid w:val="00FA089D"/>
    <w:rsid w:val="00FA0972"/>
    <w:rsid w:val="00FA0F53"/>
    <w:rsid w:val="00FA144E"/>
    <w:rsid w:val="00FA1A46"/>
    <w:rsid w:val="00FA2004"/>
    <w:rsid w:val="00FA21FA"/>
    <w:rsid w:val="00FA24DD"/>
    <w:rsid w:val="00FA2B61"/>
    <w:rsid w:val="00FA3C2A"/>
    <w:rsid w:val="00FA3F4D"/>
    <w:rsid w:val="00FA609E"/>
    <w:rsid w:val="00FA6FD1"/>
    <w:rsid w:val="00FA70D4"/>
    <w:rsid w:val="00FA75AC"/>
    <w:rsid w:val="00FA77BD"/>
    <w:rsid w:val="00FA7942"/>
    <w:rsid w:val="00FA79D2"/>
    <w:rsid w:val="00FA7C5A"/>
    <w:rsid w:val="00FA7DD3"/>
    <w:rsid w:val="00FB0098"/>
    <w:rsid w:val="00FB01F9"/>
    <w:rsid w:val="00FB0647"/>
    <w:rsid w:val="00FB095C"/>
    <w:rsid w:val="00FB097D"/>
    <w:rsid w:val="00FB0A18"/>
    <w:rsid w:val="00FB0A8D"/>
    <w:rsid w:val="00FB0F46"/>
    <w:rsid w:val="00FB12C1"/>
    <w:rsid w:val="00FB155E"/>
    <w:rsid w:val="00FB18CC"/>
    <w:rsid w:val="00FB1C55"/>
    <w:rsid w:val="00FB22F4"/>
    <w:rsid w:val="00FB24DC"/>
    <w:rsid w:val="00FB2DD1"/>
    <w:rsid w:val="00FB32E3"/>
    <w:rsid w:val="00FB33A3"/>
    <w:rsid w:val="00FB3B19"/>
    <w:rsid w:val="00FB406C"/>
    <w:rsid w:val="00FB48B3"/>
    <w:rsid w:val="00FB4BC8"/>
    <w:rsid w:val="00FB4CB8"/>
    <w:rsid w:val="00FB4FB0"/>
    <w:rsid w:val="00FB50BF"/>
    <w:rsid w:val="00FB5266"/>
    <w:rsid w:val="00FB544E"/>
    <w:rsid w:val="00FB5FC7"/>
    <w:rsid w:val="00FB6423"/>
    <w:rsid w:val="00FB6C3C"/>
    <w:rsid w:val="00FB6C76"/>
    <w:rsid w:val="00FB6CEB"/>
    <w:rsid w:val="00FB6F41"/>
    <w:rsid w:val="00FB7BBE"/>
    <w:rsid w:val="00FC0633"/>
    <w:rsid w:val="00FC0C25"/>
    <w:rsid w:val="00FC0D39"/>
    <w:rsid w:val="00FC1843"/>
    <w:rsid w:val="00FC1C18"/>
    <w:rsid w:val="00FC1EE5"/>
    <w:rsid w:val="00FC1F83"/>
    <w:rsid w:val="00FC2085"/>
    <w:rsid w:val="00FC2094"/>
    <w:rsid w:val="00FC2382"/>
    <w:rsid w:val="00FC2926"/>
    <w:rsid w:val="00FC292D"/>
    <w:rsid w:val="00FC301F"/>
    <w:rsid w:val="00FC30EF"/>
    <w:rsid w:val="00FC31E9"/>
    <w:rsid w:val="00FC33E9"/>
    <w:rsid w:val="00FC35A4"/>
    <w:rsid w:val="00FC3A43"/>
    <w:rsid w:val="00FC3CEA"/>
    <w:rsid w:val="00FC4272"/>
    <w:rsid w:val="00FC4B9C"/>
    <w:rsid w:val="00FC5731"/>
    <w:rsid w:val="00FC63CC"/>
    <w:rsid w:val="00FC64F0"/>
    <w:rsid w:val="00FC68B4"/>
    <w:rsid w:val="00FC737D"/>
    <w:rsid w:val="00FC74B0"/>
    <w:rsid w:val="00FC75EB"/>
    <w:rsid w:val="00FC7F36"/>
    <w:rsid w:val="00FD067B"/>
    <w:rsid w:val="00FD0774"/>
    <w:rsid w:val="00FD0A72"/>
    <w:rsid w:val="00FD132B"/>
    <w:rsid w:val="00FD135B"/>
    <w:rsid w:val="00FD1C43"/>
    <w:rsid w:val="00FD1CBB"/>
    <w:rsid w:val="00FD2068"/>
    <w:rsid w:val="00FD2145"/>
    <w:rsid w:val="00FD2FB8"/>
    <w:rsid w:val="00FD3AF1"/>
    <w:rsid w:val="00FD4E35"/>
    <w:rsid w:val="00FD4EE0"/>
    <w:rsid w:val="00FD4F36"/>
    <w:rsid w:val="00FD5206"/>
    <w:rsid w:val="00FD5403"/>
    <w:rsid w:val="00FD5639"/>
    <w:rsid w:val="00FD6D08"/>
    <w:rsid w:val="00FE04A0"/>
    <w:rsid w:val="00FE0A56"/>
    <w:rsid w:val="00FE142A"/>
    <w:rsid w:val="00FE1B19"/>
    <w:rsid w:val="00FE1EE5"/>
    <w:rsid w:val="00FE293A"/>
    <w:rsid w:val="00FE2E1D"/>
    <w:rsid w:val="00FE2E36"/>
    <w:rsid w:val="00FE2EF8"/>
    <w:rsid w:val="00FE332B"/>
    <w:rsid w:val="00FE373F"/>
    <w:rsid w:val="00FE4094"/>
    <w:rsid w:val="00FE49B3"/>
    <w:rsid w:val="00FE4FA9"/>
    <w:rsid w:val="00FE5134"/>
    <w:rsid w:val="00FE5409"/>
    <w:rsid w:val="00FE588E"/>
    <w:rsid w:val="00FE5F07"/>
    <w:rsid w:val="00FE6187"/>
    <w:rsid w:val="00FE65EF"/>
    <w:rsid w:val="00FE67CE"/>
    <w:rsid w:val="00FE7457"/>
    <w:rsid w:val="00FE75ED"/>
    <w:rsid w:val="00FE76CE"/>
    <w:rsid w:val="00FE78F2"/>
    <w:rsid w:val="00FE7AFA"/>
    <w:rsid w:val="00FF0276"/>
    <w:rsid w:val="00FF0828"/>
    <w:rsid w:val="00FF0A0D"/>
    <w:rsid w:val="00FF0D02"/>
    <w:rsid w:val="00FF118D"/>
    <w:rsid w:val="00FF2027"/>
    <w:rsid w:val="00FF23F6"/>
    <w:rsid w:val="00FF2AD6"/>
    <w:rsid w:val="00FF2DEB"/>
    <w:rsid w:val="00FF2FED"/>
    <w:rsid w:val="00FF3721"/>
    <w:rsid w:val="00FF39A0"/>
    <w:rsid w:val="00FF3A89"/>
    <w:rsid w:val="00FF3E03"/>
    <w:rsid w:val="00FF436A"/>
    <w:rsid w:val="00FF4597"/>
    <w:rsid w:val="00FF47F1"/>
    <w:rsid w:val="00FF4C62"/>
    <w:rsid w:val="00FF5002"/>
    <w:rsid w:val="00FF5310"/>
    <w:rsid w:val="00FF536B"/>
    <w:rsid w:val="00FF548E"/>
    <w:rsid w:val="00FF5608"/>
    <w:rsid w:val="00FF566C"/>
    <w:rsid w:val="00FF584E"/>
    <w:rsid w:val="00FF5AEA"/>
    <w:rsid w:val="00FF615E"/>
    <w:rsid w:val="00FF6989"/>
    <w:rsid w:val="00FF6EC5"/>
    <w:rsid w:val="00FF7036"/>
    <w:rsid w:val="00FF7635"/>
    <w:rsid w:val="00FF765F"/>
    <w:rsid w:val="01271480"/>
    <w:rsid w:val="035E0093"/>
    <w:rsid w:val="04254FE3"/>
    <w:rsid w:val="06333B8D"/>
    <w:rsid w:val="07E631F4"/>
    <w:rsid w:val="08FB7F67"/>
    <w:rsid w:val="0D323828"/>
    <w:rsid w:val="107033F1"/>
    <w:rsid w:val="11CC1E63"/>
    <w:rsid w:val="159B2740"/>
    <w:rsid w:val="164C1D67"/>
    <w:rsid w:val="19E53328"/>
    <w:rsid w:val="1F7212E3"/>
    <w:rsid w:val="23BC1C8E"/>
    <w:rsid w:val="26C75410"/>
    <w:rsid w:val="283221BC"/>
    <w:rsid w:val="2B44637F"/>
    <w:rsid w:val="30C81861"/>
    <w:rsid w:val="31254523"/>
    <w:rsid w:val="39AF1CED"/>
    <w:rsid w:val="3B737838"/>
    <w:rsid w:val="3D0D48BA"/>
    <w:rsid w:val="3D2661F2"/>
    <w:rsid w:val="40416B7A"/>
    <w:rsid w:val="40AF6D07"/>
    <w:rsid w:val="442B1321"/>
    <w:rsid w:val="4662784A"/>
    <w:rsid w:val="4B001151"/>
    <w:rsid w:val="4B494F96"/>
    <w:rsid w:val="4B6F6C84"/>
    <w:rsid w:val="4C13731F"/>
    <w:rsid w:val="4D016696"/>
    <w:rsid w:val="4DF44089"/>
    <w:rsid w:val="4E9304E1"/>
    <w:rsid w:val="4EC84FF1"/>
    <w:rsid w:val="525D0DCB"/>
    <w:rsid w:val="5A8279CD"/>
    <w:rsid w:val="5D964551"/>
    <w:rsid w:val="5F8E2DD8"/>
    <w:rsid w:val="5F9A3828"/>
    <w:rsid w:val="62CE7228"/>
    <w:rsid w:val="64A130EA"/>
    <w:rsid w:val="6A3071BC"/>
    <w:rsid w:val="6BCD3A81"/>
    <w:rsid w:val="6F9C3125"/>
    <w:rsid w:val="6FEF6859"/>
    <w:rsid w:val="744A111A"/>
    <w:rsid w:val="7883022F"/>
    <w:rsid w:val="7BBF4DFA"/>
    <w:rsid w:val="7CE87DA1"/>
    <w:rsid w:val="7D216665"/>
    <w:rsid w:val="7D6D34C3"/>
    <w:rsid w:val="7FD206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4D3A433"/>
  <w15:docId w15:val="{C58407FD-259F-471D-8A67-D06FF96407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unhideWhenUsed="1"/>
    <w:lsdException w:name="heading 3" w:unhideWhenUsed="1" w:qFormat="1"/>
    <w:lsdException w:name="heading 4" w:uiPriority="9" w:unhideWhenUsed="1" w:qFormat="1"/>
    <w:lsdException w:name="heading 5" w:unhideWhenUsed="1"/>
    <w:lsdException w:name="heading 6" w:qFormat="1"/>
    <w:lsdException w:name="heading 7" w:qFormat="1"/>
    <w:lsdException w:name="heading 8" w:qFormat="1"/>
    <w:lsdException w:name="heading 9" w:qFormat="1"/>
    <w:lsdException w:name="index 1" w:qFormat="1"/>
    <w:lsdException w:name="index 2" w:semiHidden="1" w:uiPriority="99" w:unhideWhenUsed="1"/>
    <w:lsdException w:name="index 3" w:unhideWhenUsed="1" w:qFormat="1"/>
    <w:lsdException w:name="index 4" w:unhideWhenUsed="1" w:qFormat="1"/>
    <w:lsdException w:name="index 5" w:unhideWhenUsed="1" w:qFormat="1"/>
    <w:lsdException w:name="index 6" w:semiHidden="1" w:uiPriority="99" w:unhideWhenUsed="1"/>
    <w:lsdException w:name="index 7" w:unhideWhenUsed="1" w:qFormat="1"/>
    <w:lsdException w:name="index 8" w:unhideWhenUsed="1" w:qFormat="1"/>
    <w:lsdException w:name="index 9" w:unhideWhenUsed="1" w:qFormat="1"/>
    <w:lsdException w:name="toc 1" w:uiPriority="39" w:unhideWhenUsed="1" w:qFormat="1"/>
    <w:lsdException w:name="toc 2" w:uiPriority="39" w:unhideWhenUsed="1" w:qFormat="1"/>
    <w:lsdException w:name="toc 3" w:uiPriority="39" w:unhideWhenUsed="1"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99" w:qFormat="1"/>
    <w:lsdException w:name="footnote text" w:qFormat="1"/>
    <w:lsdException w:name="annotation text" w:qFormat="1"/>
    <w:lsdException w:name="header" w:uiPriority="99" w:unhideWhenUsed="1" w:qFormat="1"/>
    <w:lsdException w:name="footer" w:uiPriority="99" w:unhideWhenUsed="1" w:qFormat="1"/>
    <w:lsdException w:name="index heading" w:semiHidden="1" w:uiPriority="99" w:unhideWhenUsed="1"/>
    <w:lsdException w:name="caption"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qFormat="1"/>
    <w:lsdException w:name="annotation reference" w:qFormat="1"/>
    <w:lsdException w:name="line number" w:semiHidden="1" w:uiPriority="99" w:unhideWhenUsed="1"/>
    <w:lsdException w:name="page number" w:qFormat="1"/>
    <w:lsdException w:name="endnote reference" w:qFormat="1"/>
    <w:lsdException w:name="endnote text" w:qFormat="1"/>
    <w:lsdException w:name="table of authorities" w:semiHidden="1" w:uiPriority="99" w:unhideWhenUsed="1"/>
    <w:lsdException w:name="macro" w:semiHidden="1" w:uiPriority="99" w:unhideWhenUsed="1"/>
    <w:lsdException w:name="toa heading" w:qFormat="1"/>
    <w:lsdException w:name="List" w:qFormat="1"/>
    <w:lsdException w:name="List Bullet" w:qFormat="1"/>
    <w:lsdException w:name="List Number" w:qFormat="1"/>
    <w:lsdException w:name="List 2" w:unhideWhenUsed="1" w:qFormat="1"/>
    <w:lsdException w:name="List 3" w:semiHidden="1" w:uiPriority="99" w:unhideWhenUsed="1"/>
    <w:lsdException w:name="List 4" w:semiHidden="1" w:uiPriority="99" w:unhideWhenUsed="1"/>
    <w:lsdException w:name="List 5" w:semiHidden="1" w:uiPriority="99" w:unhideWhenUsed="1"/>
    <w:lsdException w:name="List Bullet 2" w:qFormat="1"/>
    <w:lsdException w:name="List Bullet 3" w:qFormat="1"/>
    <w:lsdException w:name="List Bullet 4" w:qFormat="1"/>
    <w:lsdException w:name="List Bullet 5" w:qFormat="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qFormat="1"/>
    <w:lsdException w:name="Closing" w:semiHidden="1" w:uiPriority="99" w:unhideWhenUsed="1"/>
    <w:lsdException w:name="Signature" w:semiHidden="1" w:uiPriority="99" w:unhideWhenUsed="1"/>
    <w:lsdException w:name="Default Paragraph Font" w:uiPriority="1" w:unhideWhenUsed="1" w:qFormat="1"/>
    <w:lsdException w:name="Body Text" w:uiPriority="99" w:qFormat="1"/>
    <w:lsdException w:name="Body Text Indent" w:uiPriority="99" w:qFormat="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qFormat="1"/>
    <w:lsdException w:name="Salutation" w:semiHidden="1" w:uiPriority="99" w:unhideWhenUsed="1"/>
    <w:lsdException w:name="Date" w:unhideWhenUsed="1" w:qFormat="1"/>
    <w:lsdException w:name="Body Text First Indent" w:unhideWhenUsed="1" w:qFormat="1"/>
    <w:lsdException w:name="Body Text First Indent 2" w:uiPriority="99" w:qFormat="1"/>
    <w:lsdException w:name="Note Heading" w:qFormat="1"/>
    <w:lsdException w:name="Body Text 2" w:qFormat="1"/>
    <w:lsdException w:name="Body Text 3" w:qFormat="1"/>
    <w:lsdException w:name="Body Text Indent 2" w:uiPriority="99" w:qFormat="1"/>
    <w:lsdException w:name="Body Text Indent 3" w:qFormat="1"/>
    <w:lsdException w:name="Block Text" w:qFormat="1"/>
    <w:lsdException w:name="Hyperlink" w:uiPriority="99" w:qFormat="1"/>
    <w:lsdException w:name="FollowedHyperlink" w:uiPriority="99" w:unhideWhenUsed="1" w:qFormat="1"/>
    <w:lsdException w:name="Strong" w:qFormat="1"/>
    <w:lsdException w:name="Emphasis" w:qFormat="1"/>
    <w:lsdException w:name="Document Map" w:qFormat="1"/>
    <w:lsdException w:name="Plain Text" w:qFormat="1"/>
    <w:lsdException w:name="E-mail Signature" w:semiHidden="1" w:uiPriority="99"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qFormat="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nhideWhenUsed="1"/>
    <w:lsdException w:name="Outline List 3" w:semiHidden="1" w:uiPriority="99" w:unhideWhenUsed="1"/>
    <w:lsdException w:name="Table Simple 1" w:semiHidden="1" w:unhideWhenUsed="1" w:qFormat="1"/>
    <w:lsdException w:name="Table Simple 2" w:semiHidden="1" w:unhideWhenUsed="1" w:qFormat="1"/>
    <w:lsdException w:name="Table Simple 3" w:semiHidden="1" w:unhideWhenUsed="1" w:qFormat="1"/>
    <w:lsdException w:name="Table Classic 1" w:semiHidden="1" w:unhideWhenUsed="1" w:qFormat="1"/>
    <w:lsdException w:name="Table Classic 2" w:semiHidden="1" w:unhideWhenUsed="1" w:qFormat="1"/>
    <w:lsdException w:name="Table Classic 3" w:semiHidden="1" w:unhideWhenUsed="1" w:qFormat="1"/>
    <w:lsdException w:name="Table Classic 4" w:semiHidden="1" w:unhideWhenUsed="1" w:qFormat="1"/>
    <w:lsdException w:name="Table Colorful 1" w:semiHidden="1" w:unhideWhenUsed="1" w:qFormat="1"/>
    <w:lsdException w:name="Table Colorful 2" w:semiHidden="1" w:unhideWhenUsed="1" w:qFormat="1"/>
    <w:lsdException w:name="Table Colorful 3" w:semiHidden="1" w:unhideWhenUsed="1" w:qFormat="1"/>
    <w:lsdException w:name="Table Columns 1" w:semiHidden="1" w:unhideWhenUsed="1" w:qFormat="1"/>
    <w:lsdException w:name="Table Columns 2" w:semiHidden="1" w:unhideWhenUsed="1" w:qFormat="1"/>
    <w:lsdException w:name="Table Columns 3" w:semiHidden="1" w:unhideWhenUsed="1" w:qFormat="1"/>
    <w:lsdException w:name="Table Columns 4" w:semiHidden="1" w:unhideWhenUsed="1" w:qFormat="1"/>
    <w:lsdException w:name="Table Columns 5" w:semiHidden="1" w:unhideWhenUsed="1" w:qFormat="1"/>
    <w:lsdException w:name="Table Grid 1" w:semiHidden="1" w:unhideWhenUsed="1" w:qFormat="1"/>
    <w:lsdException w:name="Table Grid 2" w:semiHidden="1" w:unhideWhenUsed="1" w:qFormat="1"/>
    <w:lsdException w:name="Table Grid 3" w:semiHidden="1" w:unhideWhenUsed="1" w:qFormat="1"/>
    <w:lsdException w:name="Table Grid 4" w:semiHidden="1" w:unhideWhenUsed="1" w:qFormat="1"/>
    <w:lsdException w:name="Table Grid 5" w:semiHidden="1" w:unhideWhenUsed="1" w:qFormat="1"/>
    <w:lsdException w:name="Table Grid 6" w:semiHidden="1" w:unhideWhenUsed="1" w:qFormat="1"/>
    <w:lsdException w:name="Table Grid 7" w:semiHidden="1" w:unhideWhenUsed="1" w:qFormat="1"/>
    <w:lsdException w:name="Table Grid 8" w:semiHidden="1" w:unhideWhenUsed="1" w:qFormat="1"/>
    <w:lsdException w:name="Table List 1" w:semiHidden="1" w:unhideWhenUsed="1" w:qFormat="1"/>
    <w:lsdException w:name="Table List 2" w:semiHidden="1" w:unhideWhenUsed="1" w:qFormat="1"/>
    <w:lsdException w:name="Table List 3" w:semiHidden="1" w:unhideWhenUsed="1" w:qFormat="1"/>
    <w:lsdException w:name="Table List 4" w:semiHidden="1" w:unhideWhenUsed="1" w:qFormat="1"/>
    <w:lsdException w:name="Table List 5" w:semiHidden="1" w:unhideWhenUsed="1" w:qFormat="1"/>
    <w:lsdException w:name="Table List 6" w:semiHidden="1" w:unhideWhenUsed="1" w:qFormat="1"/>
    <w:lsdException w:name="Table List 7" w:semiHidden="1" w:unhideWhenUsed="1" w:qFormat="1"/>
    <w:lsdException w:name="Table List 8" w:semiHidden="1" w:unhideWhenUsed="1" w:qFormat="1"/>
    <w:lsdException w:name="Table 3D effects 1" w:semiHidden="1" w:unhideWhenUsed="1" w:qFormat="1"/>
    <w:lsdException w:name="Table 3D effects 2" w:semiHidden="1" w:unhideWhenUsed="1" w:qFormat="1"/>
    <w:lsdException w:name="Table 3D effects 3" w:semiHidden="1" w:unhideWhenUsed="1" w:qFormat="1"/>
    <w:lsdException w:name="Table Contemporary" w:semiHidden="1" w:unhideWhenUsed="1" w:qFormat="1"/>
    <w:lsdException w:name="Table Elegant" w:semiHidden="1" w:unhideWhenUsed="1" w:qFormat="1"/>
    <w:lsdException w:name="Table Professional" w:semiHidden="1" w:unhideWhenUsed="1" w:qFormat="1"/>
    <w:lsdException w:name="Table Subtle 1" w:semiHidden="1" w:unhideWhenUsed="1" w:qFormat="1"/>
    <w:lsdException w:name="Table Subtle 2" w:semiHidden="1" w:unhideWhenUsed="1" w:qFormat="1"/>
    <w:lsdException w:name="Table Web 1" w:semiHidden="1" w:unhideWhenUsed="1" w:qFormat="1"/>
    <w:lsdException w:name="Table Web 2" w:semiHidden="1" w:unhideWhenUsed="1" w:qFormat="1"/>
    <w:lsdException w:name="Table Web 3" w:semiHidden="1" w:unhideWhenUsed="1" w:qFormat="1"/>
    <w:lsdException w:name="Balloon Text" w:unhideWhenUsed="1" w:qFormat="1"/>
    <w:lsdException w:name="Table Grid" w:uiPriority="59" w:qFormat="1"/>
    <w:lsdException w:name="Table Theme" w:semiHidden="1" w:unhideWhenUsed="1" w:qFormat="1"/>
    <w:lsdException w:name="Placeholder Text"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a0"/>
    <w:qFormat/>
    <w:rsid w:val="002155CF"/>
    <w:pPr>
      <w:widowControl w:val="0"/>
      <w:adjustRightInd w:val="0"/>
      <w:snapToGrid w:val="0"/>
      <w:spacing w:line="360" w:lineRule="auto"/>
      <w:ind w:firstLineChars="200" w:firstLine="200"/>
      <w:jc w:val="both"/>
    </w:pPr>
    <w:rPr>
      <w:kern w:val="2"/>
      <w:sz w:val="24"/>
      <w:szCs w:val="24"/>
    </w:rPr>
  </w:style>
  <w:style w:type="paragraph" w:styleId="1">
    <w:name w:val="heading 1"/>
    <w:basedOn w:val="a"/>
    <w:next w:val="a"/>
    <w:link w:val="11"/>
    <w:qFormat/>
    <w:pPr>
      <w:keepNext/>
      <w:keepLines/>
      <w:widowControl/>
      <w:numPr>
        <w:numId w:val="1"/>
      </w:numPr>
      <w:ind w:firstLine="200"/>
      <w:outlineLvl w:val="0"/>
    </w:pPr>
    <w:rPr>
      <w:rFonts w:ascii="Calibri" w:hAnsi="Calibri"/>
      <w:b/>
      <w:bCs/>
      <w:kern w:val="44"/>
      <w:szCs w:val="44"/>
    </w:rPr>
  </w:style>
  <w:style w:type="paragraph" w:styleId="2">
    <w:name w:val="heading 2"/>
    <w:basedOn w:val="a"/>
    <w:next w:val="a"/>
    <w:link w:val="22"/>
    <w:unhideWhenUsed/>
    <w:pPr>
      <w:keepNext/>
      <w:keepLines/>
      <w:widowControl/>
      <w:numPr>
        <w:ilvl w:val="1"/>
        <w:numId w:val="1"/>
      </w:numPr>
      <w:spacing w:before="156" w:after="156"/>
      <w:ind w:firstLine="0"/>
      <w:jc w:val="left"/>
      <w:outlineLvl w:val="1"/>
    </w:pPr>
    <w:rPr>
      <w:rFonts w:ascii="Calibri" w:hAnsi="Calibri" w:cstheme="majorBidi"/>
      <w:b/>
      <w:bCs/>
      <w:kern w:val="0"/>
      <w:szCs w:val="32"/>
    </w:rPr>
  </w:style>
  <w:style w:type="paragraph" w:styleId="3">
    <w:name w:val="heading 3"/>
    <w:basedOn w:val="a"/>
    <w:next w:val="a"/>
    <w:link w:val="31"/>
    <w:unhideWhenUsed/>
    <w:qFormat/>
    <w:pPr>
      <w:keepNext/>
      <w:keepLines/>
      <w:numPr>
        <w:ilvl w:val="2"/>
        <w:numId w:val="1"/>
      </w:numPr>
      <w:tabs>
        <w:tab w:val="clear" w:pos="1860"/>
      </w:tabs>
      <w:ind w:left="0" w:firstLine="0"/>
      <w:jc w:val="left"/>
      <w:outlineLvl w:val="2"/>
    </w:pPr>
    <w:rPr>
      <w:rFonts w:ascii="Calibri" w:hAnsi="Calibri"/>
      <w:b/>
      <w:bCs/>
      <w:szCs w:val="32"/>
    </w:rPr>
  </w:style>
  <w:style w:type="paragraph" w:styleId="4">
    <w:name w:val="heading 4"/>
    <w:basedOn w:val="a1"/>
    <w:next w:val="a"/>
    <w:link w:val="41"/>
    <w:uiPriority w:val="9"/>
    <w:unhideWhenUsed/>
    <w:qFormat/>
    <w:pPr>
      <w:keepNext/>
      <w:keepLines/>
      <w:numPr>
        <w:ilvl w:val="3"/>
        <w:numId w:val="1"/>
      </w:numPr>
      <w:spacing w:after="50" w:line="500" w:lineRule="exact"/>
      <w:ind w:left="0" w:firstLineChars="0" w:firstLine="0"/>
      <w:outlineLvl w:val="3"/>
    </w:pPr>
    <w:rPr>
      <w:rFonts w:ascii="Calibri" w:eastAsia="仿宋_GB2312" w:hAnsi="Calibri" w:cstheme="majorBidi"/>
      <w:b/>
      <w:bCs/>
      <w:kern w:val="0"/>
      <w:sz w:val="32"/>
      <w:szCs w:val="28"/>
    </w:rPr>
  </w:style>
  <w:style w:type="paragraph" w:styleId="5">
    <w:name w:val="heading 5"/>
    <w:basedOn w:val="a"/>
    <w:next w:val="a"/>
    <w:link w:val="50"/>
    <w:unhideWhenUsed/>
    <w:pPr>
      <w:keepNext/>
      <w:keepLines/>
      <w:numPr>
        <w:ilvl w:val="4"/>
        <w:numId w:val="1"/>
      </w:numPr>
      <w:tabs>
        <w:tab w:val="clear" w:pos="2661"/>
      </w:tabs>
      <w:ind w:left="1008" w:hanging="432"/>
      <w:outlineLvl w:val="4"/>
    </w:pPr>
    <w:rPr>
      <w:rFonts w:ascii="Calibri" w:hAnsi="Calibri"/>
      <w:b/>
      <w:bCs/>
      <w:szCs w:val="28"/>
    </w:rPr>
  </w:style>
  <w:style w:type="paragraph" w:styleId="6">
    <w:name w:val="heading 6"/>
    <w:basedOn w:val="a"/>
    <w:next w:val="a"/>
    <w:link w:val="60"/>
    <w:qFormat/>
    <w:pPr>
      <w:keepNext/>
      <w:keepLines/>
      <w:numPr>
        <w:ilvl w:val="5"/>
        <w:numId w:val="1"/>
      </w:numPr>
      <w:tabs>
        <w:tab w:val="clear" w:pos="3081"/>
      </w:tabs>
      <w:spacing w:before="240" w:after="64" w:line="320" w:lineRule="auto"/>
      <w:ind w:left="1152" w:hanging="432"/>
      <w:outlineLvl w:val="5"/>
    </w:pPr>
    <w:rPr>
      <w:rFonts w:ascii="Arial" w:eastAsia="黑体" w:hAnsi="Arial"/>
      <w:b/>
      <w:szCs w:val="22"/>
    </w:rPr>
  </w:style>
  <w:style w:type="paragraph" w:styleId="7">
    <w:name w:val="heading 7"/>
    <w:basedOn w:val="a"/>
    <w:next w:val="a"/>
    <w:link w:val="70"/>
    <w:qFormat/>
    <w:pPr>
      <w:keepNext/>
      <w:keepLines/>
      <w:numPr>
        <w:ilvl w:val="6"/>
        <w:numId w:val="1"/>
      </w:numPr>
      <w:tabs>
        <w:tab w:val="clear" w:pos="3501"/>
      </w:tabs>
      <w:spacing w:before="240" w:after="64" w:line="320" w:lineRule="atLeast"/>
      <w:ind w:left="1296" w:hanging="288"/>
      <w:textAlignment w:val="baseline"/>
      <w:outlineLvl w:val="6"/>
    </w:pPr>
    <w:rPr>
      <w:rFonts w:ascii="宋体" w:hAnsi="华文楷体"/>
      <w:b/>
      <w:szCs w:val="22"/>
    </w:rPr>
  </w:style>
  <w:style w:type="paragraph" w:styleId="8">
    <w:name w:val="heading 8"/>
    <w:basedOn w:val="a"/>
    <w:next w:val="a"/>
    <w:link w:val="80"/>
    <w:qFormat/>
    <w:pPr>
      <w:keepNext/>
      <w:keepLines/>
      <w:numPr>
        <w:ilvl w:val="7"/>
        <w:numId w:val="1"/>
      </w:numPr>
      <w:tabs>
        <w:tab w:val="clear" w:pos="3921"/>
      </w:tabs>
      <w:spacing w:before="240" w:after="64" w:line="320" w:lineRule="atLeast"/>
      <w:ind w:left="1440" w:hanging="432"/>
      <w:textAlignment w:val="baseline"/>
      <w:outlineLvl w:val="7"/>
    </w:pPr>
    <w:rPr>
      <w:rFonts w:ascii="Arial" w:eastAsia="黑体" w:hAnsi="Arial"/>
      <w:szCs w:val="22"/>
    </w:rPr>
  </w:style>
  <w:style w:type="paragraph" w:styleId="9">
    <w:name w:val="heading 9"/>
    <w:basedOn w:val="a"/>
    <w:next w:val="a"/>
    <w:link w:val="90"/>
    <w:qFormat/>
    <w:pPr>
      <w:keepNext/>
      <w:keepLines/>
      <w:numPr>
        <w:ilvl w:val="8"/>
        <w:numId w:val="1"/>
      </w:numPr>
      <w:tabs>
        <w:tab w:val="clear" w:pos="4341"/>
      </w:tabs>
      <w:spacing w:before="240" w:after="64" w:line="320" w:lineRule="atLeast"/>
      <w:ind w:left="1584" w:hanging="144"/>
      <w:textAlignment w:val="baseline"/>
      <w:outlineLvl w:val="8"/>
    </w:pPr>
    <w:rPr>
      <w:rFonts w:ascii="Arial" w:eastAsia="黑体" w:hAnsi="Arial"/>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Body Text"/>
    <w:basedOn w:val="a"/>
    <w:link w:val="a5"/>
    <w:uiPriority w:val="99"/>
    <w:qFormat/>
    <w:pPr>
      <w:spacing w:line="300" w:lineRule="auto"/>
    </w:pPr>
    <w:rPr>
      <w:rFonts w:ascii="Calibri" w:hAnsi="Calibri"/>
      <w:szCs w:val="22"/>
    </w:rPr>
  </w:style>
  <w:style w:type="character" w:customStyle="1" w:styleId="a5">
    <w:name w:val="正文文本 字符"/>
    <w:basedOn w:val="a2"/>
    <w:link w:val="a0"/>
    <w:uiPriority w:val="99"/>
    <w:qFormat/>
    <w:rPr>
      <w:rFonts w:ascii="Calibri" w:eastAsia="仿宋_GB2312" w:hAnsi="Calibri" w:cs="Times New Roman"/>
      <w:sz w:val="24"/>
    </w:rPr>
  </w:style>
  <w:style w:type="character" w:customStyle="1" w:styleId="11">
    <w:name w:val="标题 1 字符"/>
    <w:basedOn w:val="a2"/>
    <w:link w:val="1"/>
    <w:qFormat/>
    <w:rPr>
      <w:rFonts w:ascii="Calibri" w:eastAsia="宋体" w:hAnsi="Calibri" w:cs="Times New Roman"/>
      <w:b/>
      <w:bCs/>
      <w:kern w:val="44"/>
      <w:sz w:val="24"/>
      <w:szCs w:val="44"/>
    </w:rPr>
  </w:style>
  <w:style w:type="character" w:customStyle="1" w:styleId="22">
    <w:name w:val="标题 2 字符"/>
    <w:basedOn w:val="a2"/>
    <w:link w:val="2"/>
    <w:qFormat/>
    <w:rPr>
      <w:rFonts w:ascii="Calibri" w:eastAsia="宋体" w:hAnsi="Calibri" w:cstheme="majorBidi"/>
      <w:b/>
      <w:bCs/>
      <w:kern w:val="0"/>
      <w:sz w:val="24"/>
      <w:szCs w:val="32"/>
    </w:rPr>
  </w:style>
  <w:style w:type="character" w:customStyle="1" w:styleId="31">
    <w:name w:val="标题 3 字符"/>
    <w:basedOn w:val="a2"/>
    <w:link w:val="3"/>
    <w:qFormat/>
    <w:rPr>
      <w:rFonts w:ascii="Calibri" w:eastAsia="宋体" w:hAnsi="Calibri" w:cs="Times New Roman"/>
      <w:b/>
      <w:bCs/>
      <w:sz w:val="24"/>
      <w:szCs w:val="32"/>
    </w:rPr>
  </w:style>
  <w:style w:type="paragraph" w:customStyle="1" w:styleId="a1">
    <w:name w:val="一级标题"/>
    <w:basedOn w:val="23"/>
    <w:link w:val="CharChar"/>
    <w:qFormat/>
    <w:pPr>
      <w:ind w:left="0" w:right="0"/>
    </w:pPr>
    <w:rPr>
      <w:rFonts w:ascii="Swis721 BlkCn BT" w:eastAsia="方正大黑简体" w:hAnsi="Swis721 BlkCn BT" w:cstheme="minorBidi"/>
      <w:color w:val="000000"/>
      <w:kern w:val="2"/>
      <w:szCs w:val="22"/>
    </w:rPr>
  </w:style>
  <w:style w:type="paragraph" w:customStyle="1" w:styleId="23">
    <w:name w:val="文本块2"/>
    <w:basedOn w:val="a"/>
    <w:qFormat/>
    <w:pPr>
      <w:widowControl/>
      <w:spacing w:after="120"/>
      <w:ind w:left="1440" w:right="1440"/>
      <w:jc w:val="left"/>
    </w:pPr>
    <w:rPr>
      <w:rFonts w:ascii="宋体" w:hAnsi="Arial Black" w:cs="宋体"/>
      <w:kern w:val="44"/>
    </w:rPr>
  </w:style>
  <w:style w:type="character" w:customStyle="1" w:styleId="CharChar">
    <w:name w:val="一级标题 Char Char"/>
    <w:link w:val="a1"/>
    <w:qFormat/>
    <w:rPr>
      <w:rFonts w:ascii="Swis721 BlkCn BT" w:eastAsia="方正大黑简体" w:hAnsi="Swis721 BlkCn BT"/>
      <w:color w:val="000000"/>
      <w:sz w:val="24"/>
    </w:rPr>
  </w:style>
  <w:style w:type="character" w:customStyle="1" w:styleId="41">
    <w:name w:val="标题 4 字符"/>
    <w:basedOn w:val="a2"/>
    <w:link w:val="4"/>
    <w:uiPriority w:val="9"/>
    <w:qFormat/>
    <w:rPr>
      <w:rFonts w:ascii="Calibri" w:eastAsia="仿宋_GB2312" w:hAnsi="Calibri" w:cstheme="majorBidi"/>
      <w:b/>
      <w:bCs/>
      <w:color w:val="000000"/>
      <w:kern w:val="0"/>
      <w:sz w:val="32"/>
      <w:szCs w:val="28"/>
    </w:rPr>
  </w:style>
  <w:style w:type="character" w:customStyle="1" w:styleId="50">
    <w:name w:val="标题 5 字符"/>
    <w:basedOn w:val="a2"/>
    <w:link w:val="5"/>
    <w:qFormat/>
    <w:rPr>
      <w:rFonts w:ascii="Calibri" w:eastAsia="宋体" w:hAnsi="Calibri" w:cs="Times New Roman"/>
      <w:b/>
      <w:bCs/>
      <w:sz w:val="24"/>
      <w:szCs w:val="28"/>
    </w:rPr>
  </w:style>
  <w:style w:type="character" w:customStyle="1" w:styleId="60">
    <w:name w:val="标题 6 字符"/>
    <w:basedOn w:val="a2"/>
    <w:link w:val="6"/>
    <w:qFormat/>
    <w:rPr>
      <w:rFonts w:ascii="Arial" w:eastAsia="黑体" w:hAnsi="Arial" w:cs="Times New Roman"/>
      <w:b/>
      <w:sz w:val="24"/>
    </w:rPr>
  </w:style>
  <w:style w:type="character" w:customStyle="1" w:styleId="70">
    <w:name w:val="标题 7 字符"/>
    <w:basedOn w:val="a2"/>
    <w:link w:val="7"/>
    <w:qFormat/>
    <w:rPr>
      <w:rFonts w:ascii="宋体" w:eastAsia="宋体" w:hAnsi="华文楷体" w:cs="Times New Roman"/>
      <w:b/>
      <w:sz w:val="24"/>
    </w:rPr>
  </w:style>
  <w:style w:type="character" w:customStyle="1" w:styleId="80">
    <w:name w:val="标题 8 字符"/>
    <w:basedOn w:val="a2"/>
    <w:link w:val="8"/>
    <w:qFormat/>
    <w:rPr>
      <w:rFonts w:ascii="Arial" w:eastAsia="黑体" w:hAnsi="Arial" w:cs="Times New Roman"/>
      <w:sz w:val="24"/>
    </w:rPr>
  </w:style>
  <w:style w:type="character" w:customStyle="1" w:styleId="90">
    <w:name w:val="标题 9 字符"/>
    <w:basedOn w:val="a2"/>
    <w:link w:val="9"/>
    <w:qFormat/>
    <w:rPr>
      <w:rFonts w:ascii="Arial" w:eastAsia="黑体" w:hAnsi="Arial" w:cs="Times New Roman"/>
      <w:sz w:val="24"/>
    </w:rPr>
  </w:style>
  <w:style w:type="paragraph" w:styleId="71">
    <w:name w:val="toc 7"/>
    <w:basedOn w:val="a"/>
    <w:next w:val="a"/>
    <w:autoRedefine/>
    <w:uiPriority w:val="39"/>
    <w:qFormat/>
    <w:pPr>
      <w:ind w:leftChars="1200" w:left="2520"/>
    </w:pPr>
  </w:style>
  <w:style w:type="paragraph" w:styleId="a6">
    <w:name w:val="Note Heading"/>
    <w:basedOn w:val="a"/>
    <w:next w:val="a"/>
    <w:link w:val="a7"/>
    <w:qFormat/>
    <w:pPr>
      <w:jc w:val="center"/>
    </w:pPr>
    <w:rPr>
      <w:szCs w:val="20"/>
    </w:rPr>
  </w:style>
  <w:style w:type="character" w:customStyle="1" w:styleId="a7">
    <w:name w:val="注释标题 字符"/>
    <w:basedOn w:val="a2"/>
    <w:link w:val="a6"/>
    <w:qFormat/>
    <w:rPr>
      <w:rFonts w:ascii="Times New Roman" w:eastAsia="宋体" w:hAnsi="Times New Roman" w:cs="Times New Roman"/>
      <w:szCs w:val="20"/>
    </w:rPr>
  </w:style>
  <w:style w:type="paragraph" w:styleId="42">
    <w:name w:val="List Bullet 4"/>
    <w:basedOn w:val="a"/>
    <w:qFormat/>
    <w:pPr>
      <w:widowControl/>
      <w:tabs>
        <w:tab w:val="left" w:pos="1620"/>
      </w:tabs>
      <w:ind w:left="1620" w:hanging="360"/>
      <w:jc w:val="left"/>
    </w:pPr>
    <w:rPr>
      <w:rFonts w:ascii="宋体" w:hAnsi="宋体" w:cs="宋体"/>
      <w:kern w:val="0"/>
    </w:rPr>
  </w:style>
  <w:style w:type="paragraph" w:styleId="81">
    <w:name w:val="index 8"/>
    <w:basedOn w:val="a"/>
    <w:next w:val="a"/>
    <w:autoRedefine/>
    <w:unhideWhenUsed/>
    <w:qFormat/>
    <w:pPr>
      <w:ind w:leftChars="1400" w:left="1400"/>
    </w:pPr>
  </w:style>
  <w:style w:type="paragraph" w:styleId="a8">
    <w:name w:val="List Number"/>
    <w:basedOn w:val="a"/>
    <w:qFormat/>
    <w:pPr>
      <w:widowControl/>
      <w:tabs>
        <w:tab w:val="left" w:pos="360"/>
      </w:tabs>
      <w:ind w:left="360" w:hanging="360"/>
      <w:jc w:val="left"/>
    </w:pPr>
    <w:rPr>
      <w:rFonts w:ascii="楷体_GB2312" w:eastAsia="楷体_GB2312" w:hAnsi="宋体" w:cs="宋体"/>
      <w:kern w:val="0"/>
    </w:rPr>
  </w:style>
  <w:style w:type="paragraph" w:styleId="a9">
    <w:name w:val="Normal Indent"/>
    <w:basedOn w:val="a"/>
    <w:link w:val="aa"/>
    <w:uiPriority w:val="99"/>
    <w:qFormat/>
    <w:pPr>
      <w:ind w:firstLine="420"/>
    </w:pPr>
    <w:rPr>
      <w:rFonts w:cstheme="minorBidi"/>
      <w:szCs w:val="22"/>
    </w:rPr>
  </w:style>
  <w:style w:type="character" w:customStyle="1" w:styleId="aa">
    <w:name w:val="正文缩进 字符"/>
    <w:link w:val="a9"/>
    <w:qFormat/>
    <w:rPr>
      <w:rFonts w:eastAsia="仿宋_GB2312"/>
      <w:sz w:val="28"/>
    </w:rPr>
  </w:style>
  <w:style w:type="paragraph" w:styleId="ab">
    <w:name w:val="caption"/>
    <w:basedOn w:val="a"/>
    <w:next w:val="a"/>
    <w:link w:val="ac"/>
    <w:qFormat/>
    <w:rPr>
      <w:rFonts w:ascii="Arial" w:eastAsia="黑体" w:hAnsi="Arial"/>
      <w:szCs w:val="22"/>
    </w:rPr>
  </w:style>
  <w:style w:type="character" w:customStyle="1" w:styleId="ac">
    <w:name w:val="题注 字符"/>
    <w:link w:val="ab"/>
    <w:qFormat/>
    <w:rPr>
      <w:rFonts w:ascii="Arial" w:eastAsia="黑体" w:hAnsi="Arial" w:cs="Times New Roman"/>
      <w:sz w:val="28"/>
    </w:rPr>
  </w:style>
  <w:style w:type="paragraph" w:styleId="51">
    <w:name w:val="index 5"/>
    <w:basedOn w:val="a"/>
    <w:next w:val="a"/>
    <w:autoRedefine/>
    <w:unhideWhenUsed/>
    <w:qFormat/>
    <w:pPr>
      <w:ind w:leftChars="800" w:left="800"/>
    </w:pPr>
  </w:style>
  <w:style w:type="paragraph" w:styleId="ad">
    <w:name w:val="List Bullet"/>
    <w:basedOn w:val="a"/>
    <w:link w:val="ae"/>
    <w:qFormat/>
    <w:pPr>
      <w:tabs>
        <w:tab w:val="left" w:pos="360"/>
      </w:tabs>
      <w:ind w:left="360"/>
    </w:pPr>
    <w:rPr>
      <w:rFonts w:cstheme="minorBidi"/>
      <w:szCs w:val="22"/>
    </w:rPr>
  </w:style>
  <w:style w:type="character" w:customStyle="1" w:styleId="ae">
    <w:name w:val="列表项目符号 字符"/>
    <w:link w:val="ad"/>
    <w:qFormat/>
    <w:rPr>
      <w:sz w:val="24"/>
    </w:rPr>
  </w:style>
  <w:style w:type="paragraph" w:styleId="af">
    <w:name w:val="Document Map"/>
    <w:basedOn w:val="a"/>
    <w:link w:val="af0"/>
    <w:qFormat/>
    <w:pPr>
      <w:shd w:val="clear" w:color="auto" w:fill="000080"/>
    </w:pPr>
    <w:rPr>
      <w:rFonts w:ascii="Calibri" w:hAnsi="Calibri"/>
      <w:szCs w:val="22"/>
    </w:rPr>
  </w:style>
  <w:style w:type="character" w:customStyle="1" w:styleId="af0">
    <w:name w:val="文档结构图 字符"/>
    <w:basedOn w:val="a2"/>
    <w:link w:val="af"/>
    <w:qFormat/>
    <w:rPr>
      <w:rFonts w:ascii="Calibri" w:eastAsia="仿宋_GB2312" w:hAnsi="Calibri" w:cs="Times New Roman"/>
      <w:sz w:val="28"/>
      <w:shd w:val="clear" w:color="auto" w:fill="000080"/>
    </w:rPr>
  </w:style>
  <w:style w:type="paragraph" w:styleId="af1">
    <w:name w:val="toa heading"/>
    <w:basedOn w:val="a"/>
    <w:next w:val="a"/>
    <w:qFormat/>
    <w:pPr>
      <w:spacing w:before="120"/>
    </w:pPr>
    <w:rPr>
      <w:rFonts w:ascii="Arial" w:hAnsi="Arial" w:cs="Arial"/>
    </w:rPr>
  </w:style>
  <w:style w:type="paragraph" w:styleId="af2">
    <w:name w:val="annotation text"/>
    <w:basedOn w:val="a"/>
    <w:link w:val="af3"/>
    <w:qFormat/>
    <w:pPr>
      <w:jc w:val="left"/>
    </w:pPr>
    <w:rPr>
      <w:rFonts w:ascii="Calibri" w:hAnsi="Calibri"/>
      <w:sz w:val="22"/>
      <w:szCs w:val="22"/>
    </w:rPr>
  </w:style>
  <w:style w:type="character" w:customStyle="1" w:styleId="af3">
    <w:name w:val="批注文字 字符"/>
    <w:link w:val="af2"/>
    <w:qFormat/>
    <w:rPr>
      <w:rFonts w:ascii="Calibri" w:eastAsia="仿宋_GB2312" w:hAnsi="Calibri" w:cs="Times New Roman"/>
      <w:sz w:val="22"/>
    </w:rPr>
  </w:style>
  <w:style w:type="paragraph" w:styleId="32">
    <w:name w:val="Body Text 3"/>
    <w:basedOn w:val="a"/>
    <w:link w:val="33"/>
    <w:qFormat/>
    <w:pPr>
      <w:widowControl/>
      <w:spacing w:line="300" w:lineRule="auto"/>
      <w:jc w:val="left"/>
    </w:pPr>
    <w:rPr>
      <w:rFonts w:ascii="宋体" w:eastAsia="华文楷体" w:hAnsi="宋体" w:cs="宋体"/>
      <w:kern w:val="0"/>
    </w:rPr>
  </w:style>
  <w:style w:type="character" w:customStyle="1" w:styleId="33">
    <w:name w:val="正文文本 3 字符"/>
    <w:basedOn w:val="a2"/>
    <w:link w:val="32"/>
    <w:qFormat/>
    <w:rPr>
      <w:rFonts w:ascii="宋体" w:eastAsia="华文楷体" w:hAnsi="宋体" w:cs="宋体"/>
      <w:kern w:val="0"/>
      <w:sz w:val="28"/>
      <w:szCs w:val="24"/>
    </w:rPr>
  </w:style>
  <w:style w:type="paragraph" w:styleId="34">
    <w:name w:val="List Bullet 3"/>
    <w:basedOn w:val="a"/>
    <w:qFormat/>
    <w:pPr>
      <w:widowControl/>
      <w:tabs>
        <w:tab w:val="left" w:pos="720"/>
      </w:tabs>
      <w:ind w:left="720" w:hanging="570"/>
      <w:jc w:val="left"/>
    </w:pPr>
    <w:rPr>
      <w:rFonts w:ascii="宋体" w:hAnsi="宋体" w:cs="宋体"/>
      <w:spacing w:val="20"/>
      <w:kern w:val="0"/>
      <w:szCs w:val="20"/>
    </w:rPr>
  </w:style>
  <w:style w:type="paragraph" w:styleId="af4">
    <w:name w:val="Body Text Indent"/>
    <w:basedOn w:val="a"/>
    <w:link w:val="af5"/>
    <w:uiPriority w:val="99"/>
    <w:qFormat/>
    <w:pPr>
      <w:spacing w:after="120"/>
      <w:ind w:leftChars="200" w:left="420"/>
    </w:pPr>
    <w:rPr>
      <w:rFonts w:ascii="Calibri" w:hAnsi="Calibri"/>
      <w:szCs w:val="22"/>
    </w:rPr>
  </w:style>
  <w:style w:type="character" w:customStyle="1" w:styleId="af5">
    <w:name w:val="正文文本缩进 字符"/>
    <w:basedOn w:val="a2"/>
    <w:link w:val="af4"/>
    <w:uiPriority w:val="99"/>
    <w:qFormat/>
    <w:rPr>
      <w:rFonts w:ascii="Calibri" w:eastAsia="仿宋_GB2312" w:hAnsi="Calibri" w:cs="Times New Roman"/>
      <w:sz w:val="28"/>
    </w:rPr>
  </w:style>
  <w:style w:type="paragraph" w:styleId="24">
    <w:name w:val="List 2"/>
    <w:basedOn w:val="a"/>
    <w:unhideWhenUsed/>
    <w:qFormat/>
    <w:pPr>
      <w:ind w:leftChars="200" w:left="100" w:hangingChars="200" w:hanging="200"/>
      <w:contextualSpacing/>
    </w:pPr>
    <w:rPr>
      <w:rFonts w:ascii="Calibri" w:hAnsi="Calibri"/>
      <w:szCs w:val="22"/>
    </w:rPr>
  </w:style>
  <w:style w:type="paragraph" w:styleId="af6">
    <w:name w:val="Block Text"/>
    <w:basedOn w:val="a"/>
    <w:qFormat/>
    <w:pPr>
      <w:spacing w:after="120"/>
      <w:ind w:right="1440"/>
      <w:jc w:val="center"/>
    </w:pPr>
    <w:rPr>
      <w:position w:val="-27"/>
      <w:szCs w:val="20"/>
    </w:rPr>
  </w:style>
  <w:style w:type="paragraph" w:styleId="25">
    <w:name w:val="List Bullet 2"/>
    <w:basedOn w:val="a"/>
    <w:qFormat/>
    <w:pPr>
      <w:tabs>
        <w:tab w:val="left" w:pos="780"/>
      </w:tabs>
      <w:ind w:left="780"/>
    </w:pPr>
  </w:style>
  <w:style w:type="paragraph" w:styleId="43">
    <w:name w:val="index 4"/>
    <w:basedOn w:val="a"/>
    <w:next w:val="a"/>
    <w:autoRedefine/>
    <w:unhideWhenUsed/>
    <w:qFormat/>
    <w:pPr>
      <w:ind w:leftChars="600" w:left="600"/>
    </w:pPr>
  </w:style>
  <w:style w:type="paragraph" w:styleId="52">
    <w:name w:val="toc 5"/>
    <w:basedOn w:val="a"/>
    <w:next w:val="a"/>
    <w:uiPriority w:val="39"/>
    <w:qFormat/>
    <w:pPr>
      <w:ind w:leftChars="800" w:left="1680"/>
    </w:pPr>
    <w:rPr>
      <w:rFonts w:ascii="Calibri" w:hAnsi="Calibri"/>
      <w:szCs w:val="22"/>
    </w:rPr>
  </w:style>
  <w:style w:type="paragraph" w:styleId="35">
    <w:name w:val="toc 3"/>
    <w:basedOn w:val="a"/>
    <w:next w:val="a"/>
    <w:autoRedefine/>
    <w:uiPriority w:val="39"/>
    <w:unhideWhenUsed/>
    <w:qFormat/>
    <w:pPr>
      <w:spacing w:line="400" w:lineRule="exact"/>
      <w:ind w:leftChars="400" w:left="400"/>
    </w:pPr>
    <w:rPr>
      <w:rFonts w:ascii="Calibri" w:hAnsi="Calibri"/>
      <w:szCs w:val="22"/>
    </w:rPr>
  </w:style>
  <w:style w:type="paragraph" w:styleId="af7">
    <w:name w:val="Plain Text"/>
    <w:basedOn w:val="a"/>
    <w:link w:val="af8"/>
    <w:qFormat/>
    <w:rPr>
      <w:rFonts w:ascii="宋体" w:hAnsi="Courier New"/>
      <w:szCs w:val="20"/>
    </w:rPr>
  </w:style>
  <w:style w:type="character" w:customStyle="1" w:styleId="af8">
    <w:name w:val="纯文本 字符"/>
    <w:basedOn w:val="a2"/>
    <w:link w:val="af7"/>
    <w:qFormat/>
    <w:rPr>
      <w:rFonts w:ascii="宋体" w:eastAsia="宋体" w:hAnsi="Courier New" w:cs="Times New Roman"/>
      <w:szCs w:val="20"/>
    </w:rPr>
  </w:style>
  <w:style w:type="paragraph" w:styleId="53">
    <w:name w:val="List Bullet 5"/>
    <w:basedOn w:val="a"/>
    <w:qFormat/>
    <w:pPr>
      <w:widowControl/>
      <w:tabs>
        <w:tab w:val="left" w:pos="2040"/>
      </w:tabs>
      <w:ind w:left="2040" w:hanging="360"/>
      <w:jc w:val="left"/>
    </w:pPr>
    <w:rPr>
      <w:rFonts w:ascii="宋体" w:hAnsi="宋体" w:cs="宋体"/>
      <w:kern w:val="0"/>
    </w:rPr>
  </w:style>
  <w:style w:type="paragraph" w:styleId="82">
    <w:name w:val="toc 8"/>
    <w:basedOn w:val="a"/>
    <w:next w:val="a"/>
    <w:autoRedefine/>
    <w:uiPriority w:val="39"/>
    <w:qFormat/>
    <w:pPr>
      <w:ind w:leftChars="1400" w:left="2940"/>
    </w:pPr>
  </w:style>
  <w:style w:type="paragraph" w:styleId="36">
    <w:name w:val="index 3"/>
    <w:basedOn w:val="a"/>
    <w:next w:val="a"/>
    <w:autoRedefine/>
    <w:unhideWhenUsed/>
    <w:qFormat/>
    <w:pPr>
      <w:ind w:leftChars="400" w:left="400"/>
    </w:pPr>
  </w:style>
  <w:style w:type="paragraph" w:styleId="af9">
    <w:name w:val="Date"/>
    <w:basedOn w:val="a"/>
    <w:next w:val="a"/>
    <w:link w:val="afa"/>
    <w:unhideWhenUsed/>
    <w:qFormat/>
    <w:pPr>
      <w:ind w:leftChars="2500" w:left="100"/>
    </w:pPr>
    <w:rPr>
      <w:rFonts w:cstheme="minorBidi"/>
      <w:szCs w:val="22"/>
    </w:rPr>
  </w:style>
  <w:style w:type="character" w:customStyle="1" w:styleId="afa">
    <w:name w:val="日期 字符"/>
    <w:link w:val="af9"/>
    <w:qFormat/>
    <w:rPr>
      <w:rFonts w:eastAsia="仿宋_GB2312"/>
      <w:sz w:val="28"/>
    </w:rPr>
  </w:style>
  <w:style w:type="paragraph" w:styleId="26">
    <w:name w:val="Body Text Indent 2"/>
    <w:basedOn w:val="a"/>
    <w:link w:val="27"/>
    <w:uiPriority w:val="99"/>
    <w:qFormat/>
    <w:pPr>
      <w:spacing w:before="156" w:line="400" w:lineRule="exact"/>
    </w:pPr>
    <w:rPr>
      <w:rFonts w:ascii="宋体"/>
      <w:szCs w:val="20"/>
    </w:rPr>
  </w:style>
  <w:style w:type="character" w:customStyle="1" w:styleId="27">
    <w:name w:val="正文文本缩进 2 字符"/>
    <w:basedOn w:val="a2"/>
    <w:link w:val="26"/>
    <w:uiPriority w:val="99"/>
    <w:qFormat/>
    <w:rPr>
      <w:rFonts w:ascii="宋体" w:eastAsia="宋体" w:hAnsi="Times New Roman" w:cs="Times New Roman"/>
      <w:sz w:val="24"/>
      <w:szCs w:val="20"/>
    </w:rPr>
  </w:style>
  <w:style w:type="paragraph" w:styleId="afb">
    <w:name w:val="endnote text"/>
    <w:basedOn w:val="a"/>
    <w:link w:val="afc"/>
    <w:qFormat/>
    <w:pPr>
      <w:jc w:val="left"/>
    </w:pPr>
    <w:rPr>
      <w:rFonts w:cstheme="minorBidi"/>
      <w:szCs w:val="22"/>
    </w:rPr>
  </w:style>
  <w:style w:type="character" w:customStyle="1" w:styleId="afc">
    <w:name w:val="尾注文本 字符"/>
    <w:link w:val="afb"/>
    <w:qFormat/>
    <w:rPr>
      <w:sz w:val="24"/>
    </w:rPr>
  </w:style>
  <w:style w:type="paragraph" w:styleId="afd">
    <w:name w:val="Balloon Text"/>
    <w:basedOn w:val="a"/>
    <w:link w:val="afe"/>
    <w:unhideWhenUsed/>
    <w:qFormat/>
    <w:rPr>
      <w:rFonts w:ascii="Calibri" w:hAnsi="Calibri"/>
      <w:sz w:val="18"/>
      <w:szCs w:val="18"/>
    </w:rPr>
  </w:style>
  <w:style w:type="character" w:customStyle="1" w:styleId="afe">
    <w:name w:val="批注框文本 字符"/>
    <w:basedOn w:val="a2"/>
    <w:link w:val="afd"/>
    <w:qFormat/>
    <w:rPr>
      <w:rFonts w:ascii="Calibri" w:eastAsia="仿宋_GB2312" w:hAnsi="Calibri" w:cs="Times New Roman"/>
      <w:sz w:val="18"/>
      <w:szCs w:val="18"/>
    </w:rPr>
  </w:style>
  <w:style w:type="paragraph" w:styleId="aff">
    <w:name w:val="footer"/>
    <w:basedOn w:val="a"/>
    <w:link w:val="aff0"/>
    <w:uiPriority w:val="99"/>
    <w:unhideWhenUsed/>
    <w:qFormat/>
    <w:pPr>
      <w:tabs>
        <w:tab w:val="center" w:pos="4153"/>
        <w:tab w:val="right" w:pos="8306"/>
      </w:tabs>
      <w:spacing w:line="240" w:lineRule="atLeast"/>
      <w:jc w:val="left"/>
    </w:pPr>
    <w:rPr>
      <w:rFonts w:ascii="Calibri" w:hAnsi="Calibri"/>
      <w:sz w:val="18"/>
      <w:szCs w:val="18"/>
    </w:rPr>
  </w:style>
  <w:style w:type="character" w:customStyle="1" w:styleId="aff0">
    <w:name w:val="页脚 字符"/>
    <w:basedOn w:val="a2"/>
    <w:link w:val="aff"/>
    <w:uiPriority w:val="99"/>
    <w:qFormat/>
    <w:rPr>
      <w:rFonts w:ascii="Calibri" w:eastAsia="仿宋_GB2312" w:hAnsi="Calibri" w:cs="Times New Roman"/>
      <w:sz w:val="18"/>
      <w:szCs w:val="18"/>
    </w:rPr>
  </w:style>
  <w:style w:type="paragraph" w:styleId="aff1">
    <w:name w:val="header"/>
    <w:basedOn w:val="a"/>
    <w:link w:val="aff2"/>
    <w:uiPriority w:val="99"/>
    <w:unhideWhenUsed/>
    <w:qFormat/>
    <w:pPr>
      <w:pBdr>
        <w:bottom w:val="single" w:sz="6" w:space="1" w:color="auto"/>
      </w:pBdr>
      <w:tabs>
        <w:tab w:val="center" w:pos="4153"/>
        <w:tab w:val="right" w:pos="8306"/>
      </w:tabs>
      <w:spacing w:line="240" w:lineRule="atLeast"/>
      <w:jc w:val="center"/>
    </w:pPr>
    <w:rPr>
      <w:rFonts w:ascii="Calibri" w:hAnsi="Calibri"/>
      <w:sz w:val="18"/>
      <w:szCs w:val="18"/>
    </w:rPr>
  </w:style>
  <w:style w:type="character" w:customStyle="1" w:styleId="aff2">
    <w:name w:val="页眉 字符"/>
    <w:basedOn w:val="a2"/>
    <w:link w:val="aff1"/>
    <w:uiPriority w:val="99"/>
    <w:qFormat/>
    <w:rPr>
      <w:rFonts w:ascii="Calibri" w:eastAsia="仿宋_GB2312" w:hAnsi="Calibri" w:cs="Times New Roman"/>
      <w:sz w:val="18"/>
      <w:szCs w:val="18"/>
    </w:rPr>
  </w:style>
  <w:style w:type="paragraph" w:styleId="12">
    <w:name w:val="toc 1"/>
    <w:basedOn w:val="a"/>
    <w:next w:val="a"/>
    <w:link w:val="13"/>
    <w:autoRedefine/>
    <w:uiPriority w:val="39"/>
    <w:unhideWhenUsed/>
    <w:qFormat/>
    <w:pPr>
      <w:spacing w:line="400" w:lineRule="exact"/>
    </w:pPr>
    <w:rPr>
      <w:rFonts w:ascii="Calibri" w:hAnsi="Calibri"/>
      <w:b/>
      <w:szCs w:val="22"/>
    </w:rPr>
  </w:style>
  <w:style w:type="character" w:customStyle="1" w:styleId="13">
    <w:name w:val="目录 1 字符"/>
    <w:link w:val="12"/>
    <w:uiPriority w:val="39"/>
    <w:qFormat/>
    <w:rPr>
      <w:rFonts w:ascii="Calibri" w:eastAsia="仿宋_GB2312" w:hAnsi="Calibri" w:cs="Times New Roman"/>
      <w:b/>
      <w:sz w:val="24"/>
    </w:rPr>
  </w:style>
  <w:style w:type="paragraph" w:styleId="44">
    <w:name w:val="toc 4"/>
    <w:basedOn w:val="a"/>
    <w:next w:val="a"/>
    <w:autoRedefine/>
    <w:uiPriority w:val="39"/>
    <w:qFormat/>
    <w:pPr>
      <w:ind w:leftChars="600" w:left="1260"/>
    </w:pPr>
  </w:style>
  <w:style w:type="paragraph" w:styleId="aff3">
    <w:name w:val="Subtitle"/>
    <w:basedOn w:val="a"/>
    <w:link w:val="aff4"/>
    <w:qFormat/>
    <w:pPr>
      <w:spacing w:before="240" w:after="60" w:line="312" w:lineRule="auto"/>
      <w:jc w:val="center"/>
      <w:outlineLvl w:val="1"/>
    </w:pPr>
    <w:rPr>
      <w:rFonts w:ascii="Arial" w:hAnsi="Arial"/>
      <w:b/>
      <w:kern w:val="28"/>
      <w:sz w:val="32"/>
      <w:szCs w:val="22"/>
    </w:rPr>
  </w:style>
  <w:style w:type="character" w:customStyle="1" w:styleId="aff4">
    <w:name w:val="副标题 字符"/>
    <w:basedOn w:val="a2"/>
    <w:link w:val="aff3"/>
    <w:qFormat/>
    <w:rPr>
      <w:rFonts w:ascii="Arial" w:eastAsia="仿宋_GB2312" w:hAnsi="Arial" w:cs="Times New Roman"/>
      <w:b/>
      <w:kern w:val="28"/>
      <w:sz w:val="32"/>
    </w:rPr>
  </w:style>
  <w:style w:type="paragraph" w:styleId="aff5">
    <w:name w:val="List"/>
    <w:basedOn w:val="a"/>
    <w:qFormat/>
    <w:pPr>
      <w:spacing w:line="360" w:lineRule="exact"/>
      <w:jc w:val="center"/>
    </w:pPr>
    <w:rPr>
      <w:rFonts w:ascii="仿宋_GB2312"/>
      <w:szCs w:val="20"/>
    </w:rPr>
  </w:style>
  <w:style w:type="paragraph" w:styleId="aff6">
    <w:name w:val="footnote text"/>
    <w:basedOn w:val="a"/>
    <w:link w:val="aff7"/>
    <w:qFormat/>
    <w:pPr>
      <w:jc w:val="left"/>
    </w:pPr>
    <w:rPr>
      <w:rFonts w:ascii="宋体" w:cstheme="minorBidi"/>
      <w:sz w:val="18"/>
      <w:szCs w:val="22"/>
    </w:rPr>
  </w:style>
  <w:style w:type="character" w:customStyle="1" w:styleId="aff7">
    <w:name w:val="脚注文本 字符"/>
    <w:link w:val="aff6"/>
    <w:qFormat/>
    <w:rPr>
      <w:rFonts w:ascii="宋体"/>
      <w:sz w:val="18"/>
    </w:rPr>
  </w:style>
  <w:style w:type="paragraph" w:styleId="61">
    <w:name w:val="toc 6"/>
    <w:basedOn w:val="a"/>
    <w:next w:val="a"/>
    <w:autoRedefine/>
    <w:uiPriority w:val="39"/>
    <w:qFormat/>
    <w:pPr>
      <w:ind w:leftChars="1000" w:left="2100"/>
    </w:pPr>
  </w:style>
  <w:style w:type="paragraph" w:styleId="37">
    <w:name w:val="Body Text Indent 3"/>
    <w:basedOn w:val="a"/>
    <w:link w:val="38"/>
    <w:qFormat/>
    <w:pPr>
      <w:spacing w:line="400" w:lineRule="exact"/>
      <w:ind w:leftChars="-137" w:left="1981" w:hangingChars="825" w:hanging="2310"/>
      <w:jc w:val="left"/>
    </w:pPr>
    <w:rPr>
      <w:rFonts w:ascii="DFKai-SB" w:eastAsia="DFKai-SB"/>
      <w:lang w:eastAsia="zh-TW"/>
    </w:rPr>
  </w:style>
  <w:style w:type="character" w:customStyle="1" w:styleId="38">
    <w:name w:val="正文文本缩进 3 字符"/>
    <w:basedOn w:val="a2"/>
    <w:link w:val="37"/>
    <w:qFormat/>
    <w:rPr>
      <w:rFonts w:ascii="DFKai-SB" w:eastAsia="DFKai-SB" w:hAnsi="Times New Roman" w:cs="Times New Roman"/>
      <w:sz w:val="28"/>
      <w:szCs w:val="24"/>
      <w:lang w:eastAsia="zh-TW"/>
    </w:rPr>
  </w:style>
  <w:style w:type="paragraph" w:styleId="72">
    <w:name w:val="index 7"/>
    <w:basedOn w:val="a"/>
    <w:next w:val="a"/>
    <w:autoRedefine/>
    <w:unhideWhenUsed/>
    <w:qFormat/>
    <w:pPr>
      <w:ind w:leftChars="1200" w:left="1200"/>
    </w:pPr>
  </w:style>
  <w:style w:type="paragraph" w:styleId="91">
    <w:name w:val="index 9"/>
    <w:basedOn w:val="a"/>
    <w:next w:val="a"/>
    <w:autoRedefine/>
    <w:unhideWhenUsed/>
    <w:qFormat/>
    <w:pPr>
      <w:ind w:leftChars="1600" w:left="1600"/>
    </w:pPr>
  </w:style>
  <w:style w:type="paragraph" w:styleId="28">
    <w:name w:val="toc 2"/>
    <w:basedOn w:val="a"/>
    <w:next w:val="a"/>
    <w:autoRedefine/>
    <w:uiPriority w:val="39"/>
    <w:unhideWhenUsed/>
    <w:qFormat/>
    <w:pPr>
      <w:tabs>
        <w:tab w:val="right" w:leader="dot" w:pos="9004"/>
      </w:tabs>
      <w:spacing w:line="400" w:lineRule="exact"/>
      <w:ind w:firstLine="567"/>
      <w:jc w:val="center"/>
    </w:pPr>
    <w:rPr>
      <w:b/>
      <w:bCs/>
      <w:szCs w:val="22"/>
    </w:rPr>
  </w:style>
  <w:style w:type="paragraph" w:styleId="92">
    <w:name w:val="toc 9"/>
    <w:basedOn w:val="a"/>
    <w:next w:val="a"/>
    <w:autoRedefine/>
    <w:uiPriority w:val="39"/>
    <w:qFormat/>
    <w:pPr>
      <w:ind w:leftChars="1600" w:left="3360"/>
    </w:pPr>
  </w:style>
  <w:style w:type="paragraph" w:styleId="29">
    <w:name w:val="Body Text 2"/>
    <w:basedOn w:val="a"/>
    <w:link w:val="2a"/>
    <w:qFormat/>
    <w:pPr>
      <w:widowControl/>
      <w:spacing w:line="100" w:lineRule="atLeast"/>
      <w:jc w:val="center"/>
    </w:pPr>
    <w:rPr>
      <w:rFonts w:ascii="宋体" w:eastAsia="华文楷体" w:hAnsi="宋体" w:cs="宋体"/>
      <w:kern w:val="0"/>
      <w:sz w:val="18"/>
    </w:rPr>
  </w:style>
  <w:style w:type="character" w:customStyle="1" w:styleId="2a">
    <w:name w:val="正文文本 2 字符"/>
    <w:basedOn w:val="a2"/>
    <w:link w:val="29"/>
    <w:qFormat/>
    <w:rPr>
      <w:rFonts w:ascii="宋体" w:eastAsia="华文楷体" w:hAnsi="宋体" w:cs="宋体"/>
      <w:kern w:val="0"/>
      <w:sz w:val="18"/>
      <w:szCs w:val="24"/>
    </w:rPr>
  </w:style>
  <w:style w:type="paragraph" w:styleId="HTML">
    <w:name w:val="HTML Preformatted"/>
    <w:basedOn w:val="a"/>
    <w:link w:val="HTML0"/>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color w:val="000000"/>
      <w:kern w:val="0"/>
      <w:szCs w:val="21"/>
    </w:rPr>
  </w:style>
  <w:style w:type="character" w:customStyle="1" w:styleId="HTML0">
    <w:name w:val="HTML 预设格式 字符"/>
    <w:basedOn w:val="a2"/>
    <w:link w:val="HTML"/>
    <w:qFormat/>
    <w:rPr>
      <w:rFonts w:ascii="宋体" w:eastAsia="宋体" w:hAnsi="宋体" w:cs="宋体"/>
      <w:color w:val="000000"/>
      <w:kern w:val="0"/>
      <w:szCs w:val="21"/>
    </w:rPr>
  </w:style>
  <w:style w:type="paragraph" w:styleId="aff8">
    <w:name w:val="Normal (Web)"/>
    <w:basedOn w:val="a"/>
    <w:uiPriority w:val="99"/>
    <w:unhideWhenUsed/>
    <w:qFormat/>
    <w:pPr>
      <w:widowControl/>
      <w:spacing w:before="100" w:beforeAutospacing="1" w:after="100" w:afterAutospacing="1"/>
      <w:jc w:val="left"/>
    </w:pPr>
    <w:rPr>
      <w:rFonts w:ascii="宋体" w:hAnsi="宋体" w:cs="宋体"/>
      <w:kern w:val="0"/>
    </w:rPr>
  </w:style>
  <w:style w:type="paragraph" w:styleId="14">
    <w:name w:val="index 1"/>
    <w:basedOn w:val="a"/>
    <w:next w:val="a"/>
    <w:autoRedefine/>
    <w:qFormat/>
    <w:pPr>
      <w:widowControl/>
      <w:jc w:val="left"/>
    </w:pPr>
    <w:rPr>
      <w:rFonts w:ascii="宋体" w:hAnsi="宋体" w:cs="宋体"/>
    </w:rPr>
  </w:style>
  <w:style w:type="paragraph" w:styleId="aff9">
    <w:name w:val="Title"/>
    <w:basedOn w:val="a"/>
    <w:next w:val="a"/>
    <w:link w:val="affa"/>
    <w:qFormat/>
    <w:pPr>
      <w:widowControl/>
      <w:jc w:val="center"/>
    </w:pPr>
    <w:rPr>
      <w:b/>
      <w:szCs w:val="22"/>
    </w:rPr>
  </w:style>
  <w:style w:type="character" w:customStyle="1" w:styleId="affa">
    <w:name w:val="标题 字符"/>
    <w:basedOn w:val="a2"/>
    <w:link w:val="aff9"/>
    <w:qFormat/>
    <w:rPr>
      <w:rFonts w:ascii="Times New Roman" w:eastAsia="仿宋_GB2312" w:hAnsi="Times New Roman" w:cs="Times New Roman"/>
      <w:b/>
      <w:sz w:val="24"/>
    </w:rPr>
  </w:style>
  <w:style w:type="paragraph" w:styleId="affb">
    <w:name w:val="annotation subject"/>
    <w:basedOn w:val="af2"/>
    <w:next w:val="af2"/>
    <w:link w:val="affc"/>
    <w:qFormat/>
    <w:rPr>
      <w:b/>
      <w:bCs/>
      <w:sz w:val="28"/>
    </w:rPr>
  </w:style>
  <w:style w:type="character" w:customStyle="1" w:styleId="affc">
    <w:name w:val="批注主题 字符"/>
    <w:basedOn w:val="Char"/>
    <w:link w:val="affb"/>
    <w:qFormat/>
    <w:rPr>
      <w:rFonts w:ascii="Calibri" w:eastAsia="仿宋_GB2312" w:hAnsi="Calibri" w:cs="Times New Roman"/>
      <w:b/>
      <w:bCs/>
      <w:sz w:val="28"/>
    </w:rPr>
  </w:style>
  <w:style w:type="character" w:customStyle="1" w:styleId="Char">
    <w:name w:val="批注文字 Char"/>
    <w:basedOn w:val="a2"/>
    <w:qFormat/>
  </w:style>
  <w:style w:type="paragraph" w:styleId="affd">
    <w:name w:val="Body Text First Indent"/>
    <w:basedOn w:val="a0"/>
    <w:link w:val="affe"/>
    <w:unhideWhenUsed/>
    <w:qFormat/>
    <w:pPr>
      <w:spacing w:after="120" w:line="500" w:lineRule="exact"/>
      <w:ind w:firstLineChars="100" w:firstLine="420"/>
    </w:pPr>
    <w:rPr>
      <w:sz w:val="28"/>
    </w:rPr>
  </w:style>
  <w:style w:type="character" w:customStyle="1" w:styleId="affe">
    <w:name w:val="正文首行缩进 字符"/>
    <w:basedOn w:val="a5"/>
    <w:link w:val="affd"/>
    <w:qFormat/>
    <w:rPr>
      <w:rFonts w:ascii="Calibri" w:eastAsia="仿宋_GB2312" w:hAnsi="Calibri" w:cs="Times New Roman"/>
      <w:sz w:val="28"/>
    </w:rPr>
  </w:style>
  <w:style w:type="paragraph" w:styleId="2b">
    <w:name w:val="Body Text First Indent 2"/>
    <w:basedOn w:val="af4"/>
    <w:link w:val="2c"/>
    <w:uiPriority w:val="99"/>
    <w:qFormat/>
    <w:pPr>
      <w:widowControl/>
      <w:spacing w:line="240" w:lineRule="auto"/>
      <w:ind w:firstLine="420"/>
      <w:jc w:val="left"/>
    </w:pPr>
    <w:rPr>
      <w:rFonts w:ascii="Arial" w:hAnsi="Arial"/>
      <w:snapToGrid w:val="0"/>
      <w:szCs w:val="32"/>
    </w:rPr>
  </w:style>
  <w:style w:type="character" w:customStyle="1" w:styleId="2c">
    <w:name w:val="正文首行缩进 2 字符"/>
    <w:basedOn w:val="af5"/>
    <w:link w:val="2b"/>
    <w:uiPriority w:val="99"/>
    <w:qFormat/>
    <w:rPr>
      <w:rFonts w:ascii="Arial" w:eastAsia="宋体" w:hAnsi="Arial" w:cs="Times New Roman"/>
      <w:snapToGrid w:val="0"/>
      <w:sz w:val="28"/>
      <w:szCs w:val="32"/>
    </w:rPr>
  </w:style>
  <w:style w:type="table" w:styleId="afff">
    <w:name w:val="Table Grid"/>
    <w:aliases w:val="网格型c,网格型-中对齐,三线表,网格型88,黄桥表,灰度表格,灰度表格1,灰度表格2,灰度表格11,灰度表格3,灰度表格12,灰度表格4,灰度表格13,灰度表格21,灰度表格111,灰度表格31,灰度表格121,灰度表格5,灰度表格14,灰度表格22,灰度表格112,灰度表格32,灰度表格122,网格型表格,正文+宋体,网格型刘,Table 1,网格型-常用,表格类型,专业网格,网格型模版,网格型!,网格型123,张杰网格型,A_GZ网格型,表格样式,表格虚线,lily 表格,网格型杨,杨"/>
    <w:basedOn w:val="a3"/>
    <w:uiPriority w:val="59"/>
    <w:qFormat/>
    <w:rPr>
      <w:rFonts w:ascii="Calibri" w:hAnsi="Calibri"/>
    </w:rPr>
    <w:tblPr>
      <w:tblBorders>
        <w:top w:val="single" w:sz="12" w:space="0" w:color="auto"/>
        <w:bottom w:val="single" w:sz="12" w:space="0" w:color="auto"/>
        <w:insideH w:val="single" w:sz="4" w:space="0" w:color="auto"/>
        <w:insideV w:val="single" w:sz="4" w:space="0" w:color="auto"/>
      </w:tblBorders>
    </w:tblPr>
  </w:style>
  <w:style w:type="table" w:styleId="afff0">
    <w:name w:val="Table Theme"/>
    <w:basedOn w:val="a3"/>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5">
    <w:name w:val="Table Colorful 1"/>
    <w:basedOn w:val="a3"/>
    <w:semiHidden/>
    <w:qFormat/>
    <w:pPr>
      <w:widowControl w:val="0"/>
      <w:spacing w:line="500" w:lineRule="exact"/>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2d">
    <w:name w:val="Table Colorful 2"/>
    <w:basedOn w:val="a3"/>
    <w:semiHidden/>
    <w:qFormat/>
    <w:pPr>
      <w:widowControl w:val="0"/>
      <w:spacing w:line="500" w:lineRule="exact"/>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39">
    <w:name w:val="Table Colorful 3"/>
    <w:basedOn w:val="a3"/>
    <w:semiHidden/>
    <w:qFormat/>
    <w:pPr>
      <w:widowControl w:val="0"/>
      <w:spacing w:line="500" w:lineRule="exact"/>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il"/>
          <w:tr2bl w:val="nil"/>
        </w:tcBorders>
        <w:shd w:val="solid" w:color="008080" w:fill="FFFFFF"/>
      </w:tcPr>
    </w:tblStylePr>
    <w:tblStylePr w:type="firstCol">
      <w:tblPr/>
      <w:tcPr>
        <w:tcBorders>
          <w:left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afff1">
    <w:name w:val="Table Elegant"/>
    <w:basedOn w:val="a3"/>
    <w:semiHidden/>
    <w:qFormat/>
    <w:pPr>
      <w:widowControl w:val="0"/>
      <w:spacing w:line="500" w:lineRule="exact"/>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styleId="16">
    <w:name w:val="Table Classic 1"/>
    <w:basedOn w:val="a3"/>
    <w:qFormat/>
    <w:pPr>
      <w:widowControl w:val="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2e">
    <w:name w:val="Table Classic 2"/>
    <w:basedOn w:val="a3"/>
    <w:semiHidden/>
    <w:qFormat/>
    <w:pPr>
      <w:widowControl w:val="0"/>
      <w:spacing w:line="500" w:lineRule="exact"/>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3a">
    <w:name w:val="Table Classic 3"/>
    <w:basedOn w:val="a3"/>
    <w:semiHidden/>
    <w:qFormat/>
    <w:pPr>
      <w:widowControl w:val="0"/>
      <w:spacing w:line="500" w:lineRule="exact"/>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45">
    <w:name w:val="Table Classic 4"/>
    <w:basedOn w:val="a3"/>
    <w:semiHidden/>
    <w:qFormat/>
    <w:pPr>
      <w:widowControl w:val="0"/>
      <w:spacing w:line="500" w:lineRule="exact"/>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il"/>
          <w:tr2bl w:val="nil"/>
        </w:tcBorders>
        <w:shd w:val="pct50" w:color="000080" w:fill="FFFFFF"/>
      </w:tcPr>
    </w:tblStylePr>
    <w:tblStylePr w:type="lastRow">
      <w:rPr>
        <w:color w:val="000080"/>
      </w:rPr>
      <w:tblPr/>
      <w:tcPr>
        <w:tcBorders>
          <w:bottom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17">
    <w:name w:val="Table Simple 1"/>
    <w:basedOn w:val="a3"/>
    <w:semiHidden/>
    <w:qFormat/>
    <w:pPr>
      <w:widowControl w:val="0"/>
      <w:spacing w:line="500" w:lineRule="exact"/>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2f">
    <w:name w:val="Table Simple 2"/>
    <w:basedOn w:val="a3"/>
    <w:semiHidden/>
    <w:qFormat/>
    <w:pPr>
      <w:widowControl w:val="0"/>
      <w:spacing w:line="500" w:lineRule="exact"/>
      <w:jc w:val="both"/>
    </w:pPr>
    <w:tblPr/>
    <w:tblStylePr w:type="firstRow">
      <w:rPr>
        <w:b/>
        <w:bCs/>
      </w:rPr>
      <w:tblPr/>
      <w:tcPr>
        <w:tcBorders>
          <w:bottom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left w:val="single" w:sz="6" w:space="0" w:color="00000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3b">
    <w:name w:val="Table Simple 3"/>
    <w:basedOn w:val="a3"/>
    <w:semiHidden/>
    <w:qFormat/>
    <w:pPr>
      <w:widowControl w:val="0"/>
      <w:spacing w:line="500" w:lineRule="exact"/>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18">
    <w:name w:val="Table Subtle 1"/>
    <w:basedOn w:val="a3"/>
    <w:semiHidden/>
    <w:qFormat/>
    <w:pPr>
      <w:widowControl w:val="0"/>
      <w:spacing w:line="500" w:lineRule="exact"/>
      <w:jc w:val="both"/>
    </w:pPr>
    <w:tblPr>
      <w:tblStyleRowBandSize w:val="1"/>
    </w:tblPr>
    <w:tblStylePr w:type="firstRow">
      <w:tblPr/>
      <w:tcPr>
        <w:tcBorders>
          <w:top w:val="single" w:sz="6" w:space="0" w:color="000000"/>
          <w:bottom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left w:val="single" w:sz="12" w:space="0" w:color="000000"/>
          <w:tl2br w:val="nil"/>
          <w:tr2bl w:val="nil"/>
        </w:tcBorders>
      </w:tcPr>
    </w:tblStylePr>
    <w:tblStylePr w:type="band1Horz">
      <w:tblPr/>
      <w:tcPr>
        <w:tcBorders>
          <w:bottom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2f0">
    <w:name w:val="Table Subtle 2"/>
    <w:basedOn w:val="a3"/>
    <w:semiHidden/>
    <w:qFormat/>
    <w:pPr>
      <w:widowControl w:val="0"/>
      <w:spacing w:line="500" w:lineRule="exact"/>
      <w:jc w:val="both"/>
    </w:pPr>
    <w:tblPr>
      <w:tblBorders>
        <w:left w:val="single" w:sz="6" w:space="0" w:color="000000"/>
        <w:right w:val="single" w:sz="6" w:space="0" w:color="000000"/>
      </w:tblBorders>
    </w:tblPr>
    <w:tblStylePr w:type="firstRow">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left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9">
    <w:name w:val="Table 3D effects 1"/>
    <w:basedOn w:val="a3"/>
    <w:semiHidden/>
    <w:qFormat/>
    <w:pPr>
      <w:widowControl w:val="0"/>
      <w:spacing w:line="500" w:lineRule="exact"/>
      <w:jc w:val="both"/>
    </w:pPr>
    <w:tblPr/>
    <w:tcPr>
      <w:shd w:val="solid" w:color="C0C0C0" w:fill="FFFFFF"/>
    </w:tcPr>
    <w:tblStylePr w:type="firstRow">
      <w:rPr>
        <w:b/>
        <w:bCs/>
        <w:color w:val="800080"/>
      </w:rPr>
      <w:tblPr/>
      <w:tcPr>
        <w:tcBorders>
          <w:bottom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left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2f1">
    <w:name w:val="Table 3D effects 2"/>
    <w:basedOn w:val="a3"/>
    <w:semiHidden/>
    <w:qFormat/>
    <w:pPr>
      <w:widowControl w:val="0"/>
      <w:spacing w:line="500" w:lineRule="exact"/>
      <w:jc w:val="both"/>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3c">
    <w:name w:val="Table 3D effects 3"/>
    <w:basedOn w:val="a3"/>
    <w:semiHidden/>
    <w:qFormat/>
    <w:pPr>
      <w:widowControl w:val="0"/>
      <w:spacing w:line="500" w:lineRule="exact"/>
      <w:jc w:val="both"/>
    </w:p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1a">
    <w:name w:val="Table List 1"/>
    <w:basedOn w:val="a3"/>
    <w:semiHidden/>
    <w:qFormat/>
    <w:pPr>
      <w:widowControl w:val="0"/>
      <w:spacing w:line="500" w:lineRule="exact"/>
      <w:jc w:val="both"/>
    </w:p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2f2">
    <w:name w:val="Table List 2"/>
    <w:basedOn w:val="a3"/>
    <w:semiHidden/>
    <w:qFormat/>
    <w:pPr>
      <w:widowControl w:val="0"/>
      <w:spacing w:line="500" w:lineRule="exact"/>
      <w:jc w:val="both"/>
    </w:pPr>
    <w:tblPr>
      <w:tblBorders>
        <w:bottom w:val="single" w:sz="12" w:space="0" w:color="808080"/>
      </w:tblBorders>
    </w:tblPr>
    <w:tblStylePr w:type="firstRow">
      <w:rPr>
        <w:b/>
        <w:bCs/>
        <w:color w:val="FFFFFF"/>
      </w:rPr>
      <w:tblPr/>
      <w:tcPr>
        <w:tcBorders>
          <w:bottom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3d">
    <w:name w:val="Table List 3"/>
    <w:basedOn w:val="a3"/>
    <w:semiHidden/>
    <w:qFormat/>
    <w:pPr>
      <w:widowControl w:val="0"/>
      <w:spacing w:line="500" w:lineRule="exact"/>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46">
    <w:name w:val="Table List 4"/>
    <w:basedOn w:val="a3"/>
    <w:semiHidden/>
    <w:qFormat/>
    <w:pPr>
      <w:widowControl w:val="0"/>
      <w:spacing w:line="500" w:lineRule="exact"/>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il"/>
          <w:tr2bl w:val="nil"/>
        </w:tcBorders>
        <w:shd w:val="solid" w:color="808080" w:fill="FFFFFF"/>
      </w:tcPr>
    </w:tblStylePr>
  </w:style>
  <w:style w:type="table" w:styleId="54">
    <w:name w:val="Table List 5"/>
    <w:basedOn w:val="a3"/>
    <w:semiHidden/>
    <w:qFormat/>
    <w:pPr>
      <w:widowControl w:val="0"/>
      <w:spacing w:line="500" w:lineRule="exact"/>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il"/>
          <w:tr2bl w:val="nil"/>
        </w:tcBorders>
      </w:tcPr>
    </w:tblStylePr>
    <w:tblStylePr w:type="firstCol">
      <w:rPr>
        <w:b/>
        <w:bCs/>
      </w:rPr>
      <w:tblPr/>
      <w:tcPr>
        <w:tcBorders>
          <w:tl2br w:val="nil"/>
          <w:tr2bl w:val="nil"/>
        </w:tcBorders>
      </w:tcPr>
    </w:tblStylePr>
  </w:style>
  <w:style w:type="table" w:styleId="62">
    <w:name w:val="Table List 6"/>
    <w:basedOn w:val="a3"/>
    <w:semiHidden/>
    <w:qFormat/>
    <w:pPr>
      <w:widowControl w:val="0"/>
      <w:spacing w:line="500" w:lineRule="exact"/>
      <w:jc w:val="both"/>
    </w:p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tblStylePr w:type="nwCell">
      <w:tblPr/>
      <w:tcPr>
        <w:tcBorders>
          <w:tl2br w:val="single" w:sz="6" w:space="0" w:color="000000"/>
          <w:tr2bl w:val="nil"/>
        </w:tcBorders>
      </w:tcPr>
    </w:tblStylePr>
  </w:style>
  <w:style w:type="table" w:styleId="73">
    <w:name w:val="Table List 7"/>
    <w:basedOn w:val="a3"/>
    <w:semiHidden/>
    <w:qFormat/>
    <w:pPr>
      <w:widowControl w:val="0"/>
      <w:spacing w:line="500" w:lineRule="exact"/>
      <w:jc w:val="both"/>
    </w:p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83">
    <w:name w:val="Table List 8"/>
    <w:basedOn w:val="a3"/>
    <w:semiHidden/>
    <w:qFormat/>
    <w:pPr>
      <w:widowControl w:val="0"/>
      <w:spacing w:line="500" w:lineRule="exact"/>
      <w:jc w:val="both"/>
    </w:p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sz="6" w:space="0" w:color="auto"/>
          <w:tr2bl w:val="nil"/>
        </w:tcBorders>
      </w:tcPr>
    </w:tblStylePr>
  </w:style>
  <w:style w:type="table" w:styleId="afff2">
    <w:name w:val="Table Contemporary"/>
    <w:basedOn w:val="a3"/>
    <w:semiHidden/>
    <w:qFormat/>
    <w:pPr>
      <w:widowControl w:val="0"/>
      <w:spacing w:line="500" w:lineRule="exact"/>
      <w:jc w:val="both"/>
    </w:pPr>
    <w:tblPr>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b">
    <w:name w:val="Table Columns 1"/>
    <w:basedOn w:val="a3"/>
    <w:semiHidden/>
    <w:qFormat/>
    <w:pPr>
      <w:widowControl w:val="0"/>
      <w:spacing w:line="500" w:lineRule="exact"/>
      <w:jc w:val="both"/>
    </w:pPr>
    <w:rPr>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2f3">
    <w:name w:val="Table Columns 2"/>
    <w:basedOn w:val="a3"/>
    <w:semiHidden/>
    <w:qFormat/>
    <w:pPr>
      <w:widowControl w:val="0"/>
      <w:spacing w:line="500" w:lineRule="exact"/>
      <w:jc w:val="both"/>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3e">
    <w:name w:val="Table Columns 3"/>
    <w:basedOn w:val="a3"/>
    <w:semiHidden/>
    <w:qFormat/>
    <w:pPr>
      <w:widowControl w:val="0"/>
      <w:spacing w:line="500" w:lineRule="exact"/>
      <w:jc w:val="both"/>
    </w:pPr>
    <w:rPr>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47">
    <w:name w:val="Table Columns 4"/>
    <w:basedOn w:val="a3"/>
    <w:semiHidden/>
    <w:qFormat/>
    <w:pPr>
      <w:widowControl w:val="0"/>
      <w:spacing w:line="500" w:lineRule="exact"/>
      <w:jc w:val="both"/>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5">
    <w:name w:val="Table Columns 5"/>
    <w:basedOn w:val="a3"/>
    <w:semiHidden/>
    <w:qFormat/>
    <w:pPr>
      <w:widowControl w:val="0"/>
      <w:spacing w:line="500" w:lineRule="exact"/>
      <w:jc w:val="both"/>
    </w:p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c">
    <w:name w:val="Table Grid 1"/>
    <w:basedOn w:val="a3"/>
    <w:semiHidden/>
    <w:qFormat/>
    <w:pPr>
      <w:widowControl w:val="0"/>
      <w:spacing w:line="500" w:lineRule="exact"/>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2f4">
    <w:name w:val="Table Grid 2"/>
    <w:basedOn w:val="a3"/>
    <w:semiHidden/>
    <w:qFormat/>
    <w:pPr>
      <w:widowControl w:val="0"/>
      <w:spacing w:line="500" w:lineRule="exact"/>
      <w:jc w:val="both"/>
    </w:pPr>
    <w:tblPr>
      <w:tblBorders>
        <w:insideH w:val="single" w:sz="6" w:space="0" w:color="000000"/>
        <w:insideV w:val="single" w:sz="6" w:space="0" w:color="00000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3f">
    <w:name w:val="Table Grid 3"/>
    <w:basedOn w:val="a3"/>
    <w:semiHidden/>
    <w:qFormat/>
    <w:pPr>
      <w:widowControl w:val="0"/>
      <w:spacing w:line="500" w:lineRule="exact"/>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48">
    <w:name w:val="Table Grid 4"/>
    <w:basedOn w:val="a3"/>
    <w:semiHidden/>
    <w:qFormat/>
    <w:pPr>
      <w:widowControl w:val="0"/>
      <w:spacing w:line="500" w:lineRule="exact"/>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56">
    <w:name w:val="Table Grid 5"/>
    <w:basedOn w:val="a3"/>
    <w:qFormat/>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63">
    <w:name w:val="Table Grid 6"/>
    <w:basedOn w:val="a3"/>
    <w:semiHidden/>
    <w:qFormat/>
    <w:pPr>
      <w:widowControl w:val="0"/>
      <w:spacing w:line="500" w:lineRule="exact"/>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styleId="74">
    <w:name w:val="Table Grid 7"/>
    <w:basedOn w:val="a3"/>
    <w:qFormat/>
    <w:pPr>
      <w:widowControl w:val="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84">
    <w:name w:val="Table Grid 8"/>
    <w:basedOn w:val="a3"/>
    <w:semiHidden/>
    <w:qFormat/>
    <w:pPr>
      <w:widowControl w:val="0"/>
      <w:spacing w:line="500" w:lineRule="exact"/>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d">
    <w:name w:val="Table Web 1"/>
    <w:basedOn w:val="a3"/>
    <w:semiHidden/>
    <w:qFormat/>
    <w:pPr>
      <w:widowControl w:val="0"/>
      <w:spacing w:line="500" w:lineRule="exact"/>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2f5">
    <w:name w:val="Table Web 2"/>
    <w:basedOn w:val="a3"/>
    <w:semiHidden/>
    <w:qFormat/>
    <w:pPr>
      <w:widowControl w:val="0"/>
      <w:spacing w:line="500" w:lineRule="exact"/>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3f0">
    <w:name w:val="Table Web 3"/>
    <w:basedOn w:val="a3"/>
    <w:semiHidden/>
    <w:qFormat/>
    <w:pPr>
      <w:widowControl w:val="0"/>
      <w:spacing w:line="500" w:lineRule="exact"/>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afff3">
    <w:name w:val="Table Professional"/>
    <w:basedOn w:val="a3"/>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il"/>
          <w:tr2bl w:val="nil"/>
        </w:tcBorders>
        <w:shd w:val="solid" w:color="000000" w:fill="FFFFFF"/>
      </w:tcPr>
    </w:tblStylePr>
  </w:style>
  <w:style w:type="character" w:styleId="afff4">
    <w:name w:val="Strong"/>
    <w:qFormat/>
    <w:rPr>
      <w:b/>
      <w:bCs/>
    </w:rPr>
  </w:style>
  <w:style w:type="character" w:styleId="afff5">
    <w:name w:val="endnote reference"/>
    <w:qFormat/>
    <w:rPr>
      <w:vertAlign w:val="superscript"/>
    </w:rPr>
  </w:style>
  <w:style w:type="character" w:styleId="afff6">
    <w:name w:val="page number"/>
    <w:qFormat/>
  </w:style>
  <w:style w:type="character" w:styleId="afff7">
    <w:name w:val="FollowedHyperlink"/>
    <w:uiPriority w:val="99"/>
    <w:unhideWhenUsed/>
    <w:qFormat/>
    <w:rPr>
      <w:color w:val="800080"/>
      <w:u w:val="single"/>
    </w:rPr>
  </w:style>
  <w:style w:type="character" w:styleId="afff8">
    <w:name w:val="Emphasis"/>
    <w:qFormat/>
    <w:rPr>
      <w:i/>
    </w:rPr>
  </w:style>
  <w:style w:type="character" w:styleId="afff9">
    <w:name w:val="Hyperlink"/>
    <w:uiPriority w:val="99"/>
    <w:qFormat/>
    <w:rPr>
      <w:color w:val="0000FF"/>
      <w:u w:val="single"/>
    </w:rPr>
  </w:style>
  <w:style w:type="character" w:styleId="afffa">
    <w:name w:val="annotation reference"/>
    <w:qFormat/>
    <w:rPr>
      <w:sz w:val="21"/>
      <w:szCs w:val="21"/>
    </w:rPr>
  </w:style>
  <w:style w:type="character" w:styleId="afffb">
    <w:name w:val="footnote reference"/>
    <w:qFormat/>
    <w:rPr>
      <w:rFonts w:ascii="宋体" w:eastAsia="宋体" w:hAnsi="宋体" w:cs="Courier New"/>
      <w:kern w:val="2"/>
      <w:sz w:val="32"/>
      <w:szCs w:val="32"/>
      <w:vertAlign w:val="superscript"/>
      <w:lang w:val="en-US" w:eastAsia="zh-CN"/>
    </w:rPr>
  </w:style>
  <w:style w:type="character" w:customStyle="1" w:styleId="KY-CharChar">
    <w:name w:val="KY-表格 Char Char"/>
    <w:link w:val="KY-"/>
    <w:qFormat/>
  </w:style>
  <w:style w:type="paragraph" w:customStyle="1" w:styleId="KY-">
    <w:name w:val="KY-表格"/>
    <w:basedOn w:val="a"/>
    <w:link w:val="KY-CharChar"/>
    <w:qFormat/>
    <w:pPr>
      <w:spacing w:beforeLines="20" w:before="62" w:afterLines="20" w:after="62"/>
      <w:jc w:val="center"/>
    </w:pPr>
    <w:rPr>
      <w:rFonts w:cstheme="minorBidi"/>
      <w:szCs w:val="22"/>
    </w:rPr>
  </w:style>
  <w:style w:type="character" w:customStyle="1" w:styleId="Char1">
    <w:name w:val="日期 Char1"/>
    <w:basedOn w:val="a2"/>
    <w:qFormat/>
  </w:style>
  <w:style w:type="character" w:customStyle="1" w:styleId="CharChar0">
    <w:name w:val="正文 公式 Char Char"/>
    <w:link w:val="afffc"/>
    <w:qFormat/>
    <w:rPr>
      <w:rFonts w:eastAsia="仿宋_GB2312"/>
      <w:sz w:val="24"/>
    </w:rPr>
  </w:style>
  <w:style w:type="paragraph" w:customStyle="1" w:styleId="afffc">
    <w:name w:val="正文 公式"/>
    <w:basedOn w:val="a"/>
    <w:link w:val="CharChar0"/>
    <w:qFormat/>
    <w:pPr>
      <w:spacing w:beforeLines="100" w:before="312" w:after="156"/>
      <w:jc w:val="center"/>
    </w:pPr>
    <w:rPr>
      <w:rFonts w:cstheme="minorBidi"/>
      <w:szCs w:val="22"/>
    </w:rPr>
  </w:style>
  <w:style w:type="character" w:customStyle="1" w:styleId="Char0">
    <w:name w:val="文本块 Char"/>
    <w:link w:val="BlockText1"/>
    <w:qFormat/>
    <w:rPr>
      <w:rFonts w:ascii="仿宋_GB2312" w:eastAsia="仿宋_GB2312"/>
      <w:sz w:val="24"/>
    </w:rPr>
  </w:style>
  <w:style w:type="paragraph" w:customStyle="1" w:styleId="BlockText1">
    <w:name w:val="Block Text1"/>
    <w:basedOn w:val="a"/>
    <w:link w:val="Char0"/>
    <w:qFormat/>
    <w:pPr>
      <w:spacing w:after="120" w:line="312" w:lineRule="auto"/>
      <w:ind w:leftChars="700" w:left="1440" w:rightChars="700" w:right="1440"/>
    </w:pPr>
    <w:rPr>
      <w:rFonts w:ascii="仿宋_GB2312" w:cstheme="minorBidi"/>
      <w:szCs w:val="22"/>
    </w:rPr>
  </w:style>
  <w:style w:type="character" w:customStyle="1" w:styleId="Char2">
    <w:name w:val="称呼 Char"/>
    <w:link w:val="1e"/>
    <w:qFormat/>
    <w:rPr>
      <w:sz w:val="24"/>
    </w:rPr>
  </w:style>
  <w:style w:type="paragraph" w:customStyle="1" w:styleId="1e">
    <w:name w:val="称呼1"/>
    <w:basedOn w:val="a"/>
    <w:next w:val="a"/>
    <w:link w:val="Char2"/>
    <w:qFormat/>
    <w:pPr>
      <w:widowControl/>
      <w:jc w:val="left"/>
    </w:pPr>
    <w:rPr>
      <w:rFonts w:cstheme="minorBidi"/>
      <w:szCs w:val="22"/>
    </w:rPr>
  </w:style>
  <w:style w:type="character" w:customStyle="1" w:styleId="Char3">
    <w:name w:val="批注主题 Char"/>
    <w:link w:val="1f"/>
    <w:qFormat/>
    <w:rPr>
      <w:b/>
      <w:sz w:val="24"/>
    </w:rPr>
  </w:style>
  <w:style w:type="paragraph" w:customStyle="1" w:styleId="1f">
    <w:name w:val="批注主题1"/>
    <w:basedOn w:val="af2"/>
    <w:next w:val="af2"/>
    <w:link w:val="Char3"/>
    <w:qFormat/>
    <w:pPr>
      <w:widowControl/>
      <w:spacing w:line="240" w:lineRule="auto"/>
      <w:ind w:firstLineChars="0" w:firstLine="0"/>
    </w:pPr>
    <w:rPr>
      <w:rFonts w:asciiTheme="minorHAnsi" w:eastAsiaTheme="minorEastAsia" w:hAnsiTheme="minorHAnsi" w:cstheme="minorBidi"/>
      <w:b/>
      <w:sz w:val="24"/>
    </w:rPr>
  </w:style>
  <w:style w:type="character" w:customStyle="1" w:styleId="Char4">
    <w:name w:val="宏文本 Char"/>
    <w:link w:val="1f0"/>
    <w:qFormat/>
    <w:rPr>
      <w:rFonts w:ascii="Courier New" w:hAnsi="Courier New"/>
      <w:sz w:val="24"/>
    </w:rPr>
  </w:style>
  <w:style w:type="paragraph" w:customStyle="1" w:styleId="1f0">
    <w:name w:val="宏文本1"/>
    <w:link w:val="Char4"/>
    <w:qFormat/>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pPr>
    <w:rPr>
      <w:rFonts w:ascii="Courier New" w:eastAsiaTheme="minorEastAsia" w:hAnsi="Courier New" w:cstheme="minorBidi"/>
      <w:kern w:val="2"/>
      <w:sz w:val="24"/>
      <w:szCs w:val="22"/>
    </w:rPr>
  </w:style>
  <w:style w:type="character" w:customStyle="1" w:styleId="Char5">
    <w:name w:val="签名 Char"/>
    <w:link w:val="1f1"/>
    <w:qFormat/>
    <w:rPr>
      <w:sz w:val="24"/>
    </w:rPr>
  </w:style>
  <w:style w:type="paragraph" w:customStyle="1" w:styleId="1f1">
    <w:name w:val="签名1"/>
    <w:basedOn w:val="a"/>
    <w:link w:val="Char5"/>
    <w:qFormat/>
    <w:pPr>
      <w:widowControl/>
      <w:ind w:leftChars="2100" w:left="100"/>
      <w:jc w:val="left"/>
    </w:pPr>
    <w:rPr>
      <w:rFonts w:cstheme="minorBidi"/>
      <w:szCs w:val="22"/>
    </w:rPr>
  </w:style>
  <w:style w:type="character" w:customStyle="1" w:styleId="Char6">
    <w:name w:val="电子邮件签名 Char"/>
    <w:link w:val="1f2"/>
    <w:qFormat/>
    <w:rPr>
      <w:sz w:val="24"/>
    </w:rPr>
  </w:style>
  <w:style w:type="paragraph" w:customStyle="1" w:styleId="1f2">
    <w:name w:val="电子邮件签名1"/>
    <w:basedOn w:val="a"/>
    <w:link w:val="Char6"/>
    <w:qFormat/>
    <w:pPr>
      <w:widowControl/>
      <w:spacing w:before="60"/>
      <w:ind w:firstLine="482"/>
      <w:jc w:val="left"/>
    </w:pPr>
    <w:rPr>
      <w:rFonts w:cstheme="minorBidi"/>
      <w:szCs w:val="22"/>
    </w:rPr>
  </w:style>
  <w:style w:type="character" w:customStyle="1" w:styleId="HTMLChar">
    <w:name w:val="HTML 预设格式 Char"/>
    <w:link w:val="HTML1"/>
    <w:qFormat/>
    <w:rPr>
      <w:rFonts w:ascii="Courier New" w:hAnsi="Courier New"/>
    </w:rPr>
  </w:style>
  <w:style w:type="paragraph" w:customStyle="1" w:styleId="HTML1">
    <w:name w:val="HTML 预设格式1"/>
    <w:basedOn w:val="a"/>
    <w:link w:val="HTMLChar"/>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Courier New" w:hAnsi="Courier New" w:cstheme="minorBidi"/>
      <w:szCs w:val="22"/>
    </w:rPr>
  </w:style>
  <w:style w:type="character" w:customStyle="1" w:styleId="Char7">
    <w:name w:val="正文首行缩进 Char"/>
    <w:link w:val="1f3"/>
    <w:qFormat/>
    <w:rPr>
      <w:sz w:val="24"/>
    </w:rPr>
  </w:style>
  <w:style w:type="paragraph" w:customStyle="1" w:styleId="1f3">
    <w:name w:val="正文首行缩进1"/>
    <w:basedOn w:val="BodyText1"/>
    <w:link w:val="Char7"/>
    <w:qFormat/>
    <w:pPr>
      <w:widowControl/>
      <w:spacing w:after="120" w:line="240" w:lineRule="auto"/>
      <w:ind w:firstLineChars="100" w:firstLine="420"/>
    </w:pPr>
    <w:rPr>
      <w:rFonts w:asciiTheme="minorHAnsi" w:eastAsiaTheme="minorEastAsia" w:hAnsiTheme="minorHAnsi" w:cstheme="minorBidi"/>
      <w:kern w:val="2"/>
      <w:szCs w:val="22"/>
    </w:rPr>
  </w:style>
  <w:style w:type="paragraph" w:customStyle="1" w:styleId="BodyText1">
    <w:name w:val="Body Text1"/>
    <w:basedOn w:val="a"/>
    <w:qFormat/>
    <w:pPr>
      <w:spacing w:line="300" w:lineRule="auto"/>
    </w:pPr>
    <w:rPr>
      <w:kern w:val="0"/>
    </w:rPr>
  </w:style>
  <w:style w:type="character" w:customStyle="1" w:styleId="2Char">
    <w:name w:val="正文首行缩进 2 Char"/>
    <w:link w:val="BodyTextFirstIndent21"/>
    <w:qFormat/>
    <w:rPr>
      <w:rFonts w:ascii="Arial" w:hAnsi="Arial"/>
      <w:sz w:val="32"/>
    </w:rPr>
  </w:style>
  <w:style w:type="paragraph" w:customStyle="1" w:styleId="BodyTextFirstIndent21">
    <w:name w:val="Body Text First Indent 21"/>
    <w:basedOn w:val="BodyTextIndent1"/>
    <w:link w:val="2Char"/>
    <w:qFormat/>
    <w:pPr>
      <w:spacing w:after="120" w:line="240" w:lineRule="auto"/>
      <w:ind w:leftChars="200" w:left="420" w:firstLine="420"/>
    </w:pPr>
    <w:rPr>
      <w:rFonts w:ascii="Arial" w:eastAsiaTheme="minorEastAsia" w:hAnsi="Arial" w:cstheme="minorBidi"/>
      <w:sz w:val="32"/>
    </w:rPr>
  </w:style>
  <w:style w:type="paragraph" w:customStyle="1" w:styleId="BodyTextIndent1">
    <w:name w:val="Body Text Indent1"/>
    <w:basedOn w:val="a"/>
    <w:link w:val="Char10"/>
    <w:qFormat/>
    <w:pPr>
      <w:ind w:firstLine="560"/>
    </w:pPr>
    <w:rPr>
      <w:rFonts w:ascii="仿宋_GB2312" w:hAnsi="宋体"/>
      <w:szCs w:val="22"/>
    </w:rPr>
  </w:style>
  <w:style w:type="character" w:customStyle="1" w:styleId="Char10">
    <w:name w:val="正文文本缩进 Char1"/>
    <w:link w:val="BodyTextIndent1"/>
    <w:qFormat/>
    <w:rPr>
      <w:rFonts w:ascii="仿宋_GB2312" w:eastAsia="仿宋_GB2312" w:hAnsi="宋体" w:cs="Times New Roman"/>
      <w:sz w:val="24"/>
    </w:rPr>
  </w:style>
  <w:style w:type="paragraph" w:customStyle="1" w:styleId="1f4">
    <w:name w:val="日期1"/>
    <w:basedOn w:val="a"/>
    <w:next w:val="a"/>
    <w:qFormat/>
    <w:pPr>
      <w:jc w:val="left"/>
      <w:textAlignment w:val="baseline"/>
    </w:pPr>
    <w:rPr>
      <w:rFonts w:ascii="宋体" w:hAnsi="Calibri"/>
      <w:szCs w:val="22"/>
    </w:rPr>
  </w:style>
  <w:style w:type="character" w:customStyle="1" w:styleId="Char8">
    <w:name w:val="结束语 Char"/>
    <w:link w:val="1f5"/>
    <w:qFormat/>
    <w:rPr>
      <w:sz w:val="24"/>
    </w:rPr>
  </w:style>
  <w:style w:type="paragraph" w:customStyle="1" w:styleId="1f5">
    <w:name w:val="结束语1"/>
    <w:basedOn w:val="a"/>
    <w:link w:val="Char8"/>
    <w:qFormat/>
    <w:pPr>
      <w:widowControl/>
      <w:ind w:leftChars="2100" w:left="100"/>
      <w:jc w:val="left"/>
    </w:pPr>
    <w:rPr>
      <w:rFonts w:cstheme="minorBidi"/>
      <w:szCs w:val="22"/>
    </w:rPr>
  </w:style>
  <w:style w:type="character" w:customStyle="1" w:styleId="Char9">
    <w:name w:val="信息标题 Char"/>
    <w:link w:val="1f6"/>
    <w:qFormat/>
    <w:rPr>
      <w:rFonts w:ascii="Arial" w:hAnsi="Arial"/>
      <w:sz w:val="24"/>
      <w:shd w:val="pct20" w:color="auto" w:fill="auto"/>
    </w:rPr>
  </w:style>
  <w:style w:type="paragraph" w:customStyle="1" w:styleId="1f6">
    <w:name w:val="信息标题1"/>
    <w:basedOn w:val="a"/>
    <w:link w:val="Char9"/>
    <w:qFormat/>
    <w:pPr>
      <w:widowControl/>
      <w:pBdr>
        <w:top w:val="single" w:sz="6" w:space="1" w:color="auto"/>
        <w:left w:val="single" w:sz="6" w:space="1" w:color="auto"/>
        <w:bottom w:val="single" w:sz="6" w:space="1" w:color="auto"/>
        <w:right w:val="single" w:sz="6" w:space="1" w:color="auto"/>
      </w:pBdr>
      <w:shd w:val="pct20" w:color="auto" w:fill="auto"/>
      <w:ind w:leftChars="500" w:left="1080" w:hangingChars="500" w:hanging="1080"/>
      <w:jc w:val="left"/>
    </w:pPr>
    <w:rPr>
      <w:rFonts w:ascii="Arial" w:hAnsi="Arial" w:cstheme="minorBidi"/>
      <w:szCs w:val="22"/>
      <w:shd w:val="pct20" w:color="auto" w:fill="auto"/>
    </w:rPr>
  </w:style>
  <w:style w:type="character" w:customStyle="1" w:styleId="3Char">
    <w:name w:val="正文文本缩进 3 Char"/>
    <w:link w:val="310"/>
    <w:qFormat/>
    <w:rPr>
      <w:sz w:val="16"/>
    </w:rPr>
  </w:style>
  <w:style w:type="paragraph" w:customStyle="1" w:styleId="310">
    <w:name w:val="正文文本缩进 31"/>
    <w:basedOn w:val="a"/>
    <w:link w:val="3Char"/>
    <w:qFormat/>
    <w:pPr>
      <w:widowControl/>
      <w:spacing w:after="120"/>
      <w:ind w:leftChars="200" w:left="420"/>
      <w:jc w:val="left"/>
    </w:pPr>
    <w:rPr>
      <w:rFonts w:cstheme="minorBidi"/>
      <w:sz w:val="16"/>
      <w:szCs w:val="22"/>
    </w:rPr>
  </w:style>
  <w:style w:type="character" w:customStyle="1" w:styleId="HTMLChar0">
    <w:name w:val="HTML 地址 Char"/>
    <w:link w:val="HTML10"/>
    <w:qFormat/>
    <w:rPr>
      <w:i/>
      <w:sz w:val="24"/>
    </w:rPr>
  </w:style>
  <w:style w:type="paragraph" w:customStyle="1" w:styleId="HTML10">
    <w:name w:val="HTML 地址1"/>
    <w:basedOn w:val="a"/>
    <w:link w:val="HTMLChar0"/>
    <w:qFormat/>
    <w:pPr>
      <w:widowControl/>
      <w:spacing w:before="60"/>
      <w:ind w:firstLine="482"/>
      <w:jc w:val="left"/>
    </w:pPr>
    <w:rPr>
      <w:rFonts w:cstheme="minorBidi"/>
      <w:i/>
      <w:szCs w:val="22"/>
    </w:rPr>
  </w:style>
  <w:style w:type="character" w:customStyle="1" w:styleId="3Char0">
    <w:name w:val="正文文本 3 Char"/>
    <w:link w:val="BodyText31"/>
    <w:qFormat/>
    <w:rPr>
      <w:rFonts w:eastAsia="仿宋_GB2312"/>
      <w:sz w:val="24"/>
    </w:rPr>
  </w:style>
  <w:style w:type="paragraph" w:customStyle="1" w:styleId="BodyText31">
    <w:name w:val="Body Text 31"/>
    <w:basedOn w:val="a"/>
    <w:link w:val="3Char0"/>
    <w:qFormat/>
    <w:rPr>
      <w:rFonts w:cstheme="minorBidi"/>
      <w:szCs w:val="22"/>
    </w:rPr>
  </w:style>
  <w:style w:type="character" w:customStyle="1" w:styleId="CharChar1">
    <w:name w:val="表格编号 Char Char"/>
    <w:link w:val="afffd"/>
    <w:qFormat/>
    <w:rPr>
      <w:sz w:val="24"/>
    </w:rPr>
  </w:style>
  <w:style w:type="paragraph" w:customStyle="1" w:styleId="afffd">
    <w:name w:val="表格编号"/>
    <w:basedOn w:val="a"/>
    <w:next w:val="afffe"/>
    <w:link w:val="CharChar1"/>
    <w:qFormat/>
    <w:pPr>
      <w:widowControl/>
      <w:spacing w:line="20" w:lineRule="atLeast"/>
      <w:jc w:val="left"/>
    </w:pPr>
    <w:rPr>
      <w:rFonts w:cstheme="minorBidi"/>
      <w:szCs w:val="22"/>
    </w:rPr>
  </w:style>
  <w:style w:type="paragraph" w:customStyle="1" w:styleId="afffe">
    <w:name w:val="表格文字"/>
    <w:basedOn w:val="a"/>
    <w:link w:val="CharChar2"/>
    <w:qFormat/>
    <w:pPr>
      <w:widowControl/>
      <w:jc w:val="center"/>
    </w:pPr>
    <w:rPr>
      <w:rFonts w:ascii="仿宋_GB2312" w:hAnsi="Arial Black"/>
      <w:kern w:val="44"/>
      <w:szCs w:val="22"/>
    </w:rPr>
  </w:style>
  <w:style w:type="character" w:customStyle="1" w:styleId="CharChar2">
    <w:name w:val="表格文字 Char Char"/>
    <w:link w:val="afffe"/>
    <w:qFormat/>
    <w:rPr>
      <w:rFonts w:ascii="仿宋_GB2312" w:eastAsia="仿宋_GB2312" w:hAnsi="Arial Black" w:cs="Times New Roman"/>
      <w:kern w:val="44"/>
      <w:sz w:val="24"/>
    </w:rPr>
  </w:style>
  <w:style w:type="character" w:customStyle="1" w:styleId="Char11">
    <w:name w:val="脚注文本 Char1"/>
    <w:basedOn w:val="a2"/>
    <w:qFormat/>
    <w:rPr>
      <w:sz w:val="18"/>
      <w:szCs w:val="18"/>
    </w:rPr>
  </w:style>
  <w:style w:type="character" w:customStyle="1" w:styleId="CharChar3">
    <w:name w:val="报告书表格 Char Char"/>
    <w:link w:val="affff"/>
    <w:qFormat/>
    <w:rPr>
      <w:rFonts w:eastAsia="仿宋_GB2312"/>
      <w:sz w:val="24"/>
    </w:rPr>
  </w:style>
  <w:style w:type="paragraph" w:customStyle="1" w:styleId="affff">
    <w:name w:val="报告书表格"/>
    <w:basedOn w:val="a"/>
    <w:link w:val="CharChar3"/>
    <w:qFormat/>
    <w:pPr>
      <w:spacing w:line="400" w:lineRule="exact"/>
      <w:jc w:val="center"/>
      <w:textAlignment w:val="baseline"/>
    </w:pPr>
    <w:rPr>
      <w:rFonts w:cstheme="minorBidi"/>
      <w:szCs w:val="22"/>
    </w:rPr>
  </w:style>
  <w:style w:type="character" w:customStyle="1" w:styleId="hhcwt3CharChar">
    <w:name w:val="hhcwt标题3 Char Char"/>
    <w:link w:val="hhcwt3"/>
    <w:qFormat/>
    <w:rPr>
      <w:rFonts w:eastAsia="楷体_GB2312"/>
      <w:sz w:val="28"/>
    </w:rPr>
  </w:style>
  <w:style w:type="paragraph" w:customStyle="1" w:styleId="hhcwt3">
    <w:name w:val="hhcwt标题3"/>
    <w:basedOn w:val="a"/>
    <w:link w:val="hhcwt3CharChar"/>
    <w:qFormat/>
    <w:pPr>
      <w:keepNext/>
      <w:keepLines/>
      <w:spacing w:line="336" w:lineRule="auto"/>
      <w:outlineLvl w:val="2"/>
    </w:pPr>
    <w:rPr>
      <w:rFonts w:eastAsia="楷体_GB2312" w:cstheme="minorBidi"/>
      <w:szCs w:val="22"/>
    </w:rPr>
  </w:style>
  <w:style w:type="character" w:customStyle="1" w:styleId="142CharChar">
    <w:name w:val="样式 样式 宋体 小四 行距: 多倍行距 1.4 字行2 + 黑色 Char Char"/>
    <w:link w:val="142"/>
    <w:qFormat/>
    <w:rPr>
      <w:rFonts w:ascii="宋体"/>
      <w:color w:val="000000"/>
      <w:sz w:val="24"/>
    </w:rPr>
  </w:style>
  <w:style w:type="paragraph" w:customStyle="1" w:styleId="142">
    <w:name w:val="样式 样式 宋体 小四 行距: 多倍行距 1.4 字行2 + 黑色"/>
    <w:basedOn w:val="a"/>
    <w:link w:val="142CharChar"/>
    <w:qFormat/>
    <w:pPr>
      <w:spacing w:line="336" w:lineRule="auto"/>
    </w:pPr>
    <w:rPr>
      <w:rFonts w:ascii="宋体" w:cstheme="minorBidi"/>
      <w:color w:val="000000"/>
      <w:szCs w:val="22"/>
    </w:rPr>
  </w:style>
  <w:style w:type="character" w:customStyle="1" w:styleId="Heading1Char">
    <w:name w:val="Heading 1 Char"/>
    <w:qFormat/>
    <w:rPr>
      <w:rFonts w:eastAsia="仿宋_GB2312"/>
      <w:b/>
      <w:kern w:val="44"/>
      <w:sz w:val="44"/>
    </w:rPr>
  </w:style>
  <w:style w:type="character" w:customStyle="1" w:styleId="2Char0">
    <w:name w:val="表格标题2 Char"/>
    <w:link w:val="2f6"/>
    <w:qFormat/>
    <w:rPr>
      <w:rFonts w:eastAsia="仿宋_GB2312"/>
      <w:b/>
      <w:sz w:val="28"/>
    </w:rPr>
  </w:style>
  <w:style w:type="paragraph" w:customStyle="1" w:styleId="2f6">
    <w:name w:val="表格标题2"/>
    <w:basedOn w:val="1f7"/>
    <w:link w:val="2Char0"/>
    <w:qFormat/>
    <w:rPr>
      <w:rFonts w:asciiTheme="minorHAnsi" w:hAnsiTheme="minorHAnsi" w:cstheme="minorBidi"/>
      <w:b/>
      <w:kern w:val="2"/>
      <w:szCs w:val="22"/>
    </w:rPr>
  </w:style>
  <w:style w:type="paragraph" w:customStyle="1" w:styleId="1f7">
    <w:name w:val="报告正文1"/>
    <w:link w:val="1Char"/>
    <w:qFormat/>
    <w:pPr>
      <w:widowControl w:val="0"/>
      <w:adjustRightInd w:val="0"/>
      <w:snapToGrid w:val="0"/>
      <w:spacing w:line="500" w:lineRule="exact"/>
      <w:ind w:firstLineChars="200" w:firstLine="200"/>
      <w:jc w:val="both"/>
    </w:pPr>
    <w:rPr>
      <w:rFonts w:eastAsia="仿宋_GB2312"/>
      <w:sz w:val="28"/>
    </w:rPr>
  </w:style>
  <w:style w:type="character" w:customStyle="1" w:styleId="1Char">
    <w:name w:val="报告正文1 Char"/>
    <w:link w:val="1f7"/>
    <w:qFormat/>
    <w:rPr>
      <w:rFonts w:ascii="Times New Roman" w:eastAsia="仿宋_GB2312" w:hAnsi="Times New Roman" w:cs="Times New Roman"/>
      <w:kern w:val="0"/>
      <w:sz w:val="28"/>
      <w:szCs w:val="20"/>
    </w:rPr>
  </w:style>
  <w:style w:type="character" w:customStyle="1" w:styleId="222Heading2HiddenHeading2CCBSheading22CharChar">
    <w:name w:val="样式 标题 2标题 2节第一章 标题 2Heading 2 HiddenHeading 2 CCBSheading 2...2 Char Char"/>
    <w:link w:val="222Heading2HiddenHeading2CCBSheading22"/>
    <w:qFormat/>
    <w:rPr>
      <w:rFonts w:ascii="楷体_GB2312" w:eastAsia="楷体_GB2312" w:hAnsi="楷体_GB2312"/>
      <w:b/>
      <w:sz w:val="32"/>
    </w:rPr>
  </w:style>
  <w:style w:type="paragraph" w:customStyle="1" w:styleId="222Heading2HiddenHeading2CCBSheading22">
    <w:name w:val="样式 标题 2标题 2节第一章 标题 2Heading 2 HiddenHeading 2 CCBSheading 2...2"/>
    <w:basedOn w:val="2"/>
    <w:link w:val="222Heading2HiddenHeading2CCBSheading22CharChar"/>
    <w:qFormat/>
    <w:rPr>
      <w:rFonts w:ascii="楷体_GB2312" w:eastAsia="楷体_GB2312" w:hAnsi="楷体_GB2312" w:cstheme="minorBidi"/>
      <w:bCs w:val="0"/>
      <w:kern w:val="2"/>
      <w:sz w:val="32"/>
      <w:szCs w:val="22"/>
    </w:rPr>
  </w:style>
  <w:style w:type="character" w:customStyle="1" w:styleId="BodyTextChar1">
    <w:name w:val="Body Text Char1"/>
    <w:qFormat/>
    <w:rPr>
      <w:rFonts w:eastAsia="仿宋_GB2312"/>
      <w:kern w:val="2"/>
      <w:sz w:val="28"/>
      <w:szCs w:val="22"/>
    </w:rPr>
  </w:style>
  <w:style w:type="character" w:customStyle="1" w:styleId="CharChar4">
    <w:name w:val="表格 普通文字 Char Char"/>
    <w:link w:val="affff0"/>
    <w:qFormat/>
    <w:rPr>
      <w:rFonts w:eastAsia="仿宋_GB2312"/>
    </w:rPr>
  </w:style>
  <w:style w:type="paragraph" w:customStyle="1" w:styleId="affff0">
    <w:name w:val="表格 普通文字"/>
    <w:basedOn w:val="affff1"/>
    <w:link w:val="CharChar4"/>
    <w:qFormat/>
    <w:pPr>
      <w:spacing w:line="240" w:lineRule="auto"/>
      <w:ind w:firstLineChars="0" w:firstLine="0"/>
      <w:jc w:val="center"/>
    </w:pPr>
    <w:rPr>
      <w:rFonts w:asciiTheme="minorHAnsi" w:hAnsiTheme="minorHAnsi" w:cstheme="minorBidi"/>
      <w:sz w:val="21"/>
    </w:rPr>
  </w:style>
  <w:style w:type="paragraph" w:customStyle="1" w:styleId="affff1">
    <w:name w:val="正文 文字"/>
    <w:basedOn w:val="a"/>
    <w:link w:val="CharChar5"/>
    <w:qFormat/>
    <w:pPr>
      <w:jc w:val="left"/>
    </w:pPr>
    <w:rPr>
      <w:szCs w:val="22"/>
    </w:rPr>
  </w:style>
  <w:style w:type="character" w:customStyle="1" w:styleId="CharChar5">
    <w:name w:val="正文 文字 Char Char"/>
    <w:link w:val="affff1"/>
    <w:qFormat/>
    <w:rPr>
      <w:rFonts w:ascii="Times New Roman" w:eastAsia="仿宋_GB2312" w:hAnsi="Times New Roman" w:cs="Times New Roman"/>
      <w:sz w:val="24"/>
    </w:rPr>
  </w:style>
  <w:style w:type="character" w:customStyle="1" w:styleId="5CharChar">
    <w:name w:val="正文5 Char Char"/>
    <w:link w:val="57"/>
    <w:qFormat/>
    <w:rPr>
      <w:sz w:val="24"/>
    </w:rPr>
  </w:style>
  <w:style w:type="paragraph" w:customStyle="1" w:styleId="57">
    <w:name w:val="正文5"/>
    <w:basedOn w:val="a"/>
    <w:next w:val="a"/>
    <w:link w:val="5CharChar"/>
    <w:qFormat/>
    <w:pPr>
      <w:widowControl/>
      <w:jc w:val="left"/>
    </w:pPr>
    <w:rPr>
      <w:rFonts w:cstheme="minorBidi"/>
      <w:szCs w:val="22"/>
    </w:rPr>
  </w:style>
  <w:style w:type="character" w:customStyle="1" w:styleId="CommentSubjectChar">
    <w:name w:val="Comment Subject Char"/>
    <w:qFormat/>
    <w:rPr>
      <w:rFonts w:eastAsia="仿宋_GB2312"/>
      <w:b/>
      <w:bCs/>
      <w:kern w:val="2"/>
      <w:sz w:val="28"/>
      <w:szCs w:val="22"/>
    </w:rPr>
  </w:style>
  <w:style w:type="paragraph" w:customStyle="1" w:styleId="2f7">
    <w:name w:val="批注主题2"/>
    <w:basedOn w:val="af2"/>
    <w:next w:val="af2"/>
    <w:link w:val="CommentSubjectChar1"/>
    <w:qFormat/>
    <w:pPr>
      <w:widowControl/>
      <w:spacing w:line="240" w:lineRule="auto"/>
      <w:ind w:firstLineChars="0" w:firstLine="0"/>
    </w:pPr>
    <w:rPr>
      <w:rFonts w:ascii="宋体"/>
      <w:b/>
      <w:sz w:val="24"/>
    </w:rPr>
  </w:style>
  <w:style w:type="character" w:customStyle="1" w:styleId="CommentSubjectChar1">
    <w:name w:val="Comment Subject Char1"/>
    <w:link w:val="2f7"/>
    <w:qFormat/>
    <w:rPr>
      <w:rFonts w:ascii="宋体" w:eastAsia="宋体" w:hAnsi="Calibri" w:cs="Times New Roman"/>
      <w:b/>
      <w:sz w:val="24"/>
    </w:rPr>
  </w:style>
  <w:style w:type="character" w:customStyle="1" w:styleId="CharChar6">
    <w:name w:val="亚行正文 Char Char"/>
    <w:link w:val="affff2"/>
    <w:qFormat/>
    <w:rPr>
      <w:rFonts w:ascii="宋体"/>
      <w:sz w:val="28"/>
    </w:rPr>
  </w:style>
  <w:style w:type="paragraph" w:customStyle="1" w:styleId="affff2">
    <w:name w:val="亚行正文"/>
    <w:basedOn w:val="a"/>
    <w:link w:val="CharChar6"/>
    <w:qFormat/>
    <w:pPr>
      <w:widowControl/>
      <w:ind w:firstLine="560"/>
      <w:jc w:val="left"/>
    </w:pPr>
    <w:rPr>
      <w:rFonts w:ascii="宋体" w:cstheme="minorBidi"/>
      <w:szCs w:val="22"/>
    </w:rPr>
  </w:style>
  <w:style w:type="character" w:customStyle="1" w:styleId="2Char1">
    <w:name w:val="标题 2 Char1"/>
    <w:qFormat/>
    <w:rPr>
      <w:rFonts w:ascii="Cambria" w:eastAsia="仿宋_GB2312" w:hAnsi="Cambria"/>
      <w:b/>
      <w:sz w:val="32"/>
    </w:rPr>
  </w:style>
  <w:style w:type="character" w:customStyle="1" w:styleId="CharChar7">
    <w:name w:val="图表题 Char Char"/>
    <w:link w:val="affff3"/>
    <w:qFormat/>
    <w:rPr>
      <w:rFonts w:ascii="黑体" w:eastAsia="黑体" w:hAnsi="宋体"/>
      <w:b/>
      <w:sz w:val="24"/>
    </w:rPr>
  </w:style>
  <w:style w:type="paragraph" w:customStyle="1" w:styleId="affff3">
    <w:name w:val="图表题"/>
    <w:basedOn w:val="affff4"/>
    <w:next w:val="affff4"/>
    <w:link w:val="CharChar7"/>
    <w:qFormat/>
    <w:pPr>
      <w:ind w:firstLine="0"/>
      <w:jc w:val="center"/>
    </w:pPr>
    <w:rPr>
      <w:rFonts w:ascii="黑体" w:eastAsia="黑体" w:hAnsi="宋体" w:cstheme="minorBidi"/>
      <w:b/>
    </w:rPr>
  </w:style>
  <w:style w:type="paragraph" w:customStyle="1" w:styleId="affff4">
    <w:name w:val="正文格式"/>
    <w:basedOn w:val="a"/>
    <w:link w:val="CharChar8"/>
    <w:qFormat/>
    <w:pPr>
      <w:widowControl/>
      <w:ind w:firstLine="482"/>
      <w:jc w:val="left"/>
    </w:pPr>
    <w:rPr>
      <w:rFonts w:ascii="宋体" w:hAnsi="Calibri"/>
      <w:szCs w:val="22"/>
    </w:rPr>
  </w:style>
  <w:style w:type="character" w:customStyle="1" w:styleId="CharChar8">
    <w:name w:val="正文格式 Char Char"/>
    <w:link w:val="affff4"/>
    <w:qFormat/>
    <w:rPr>
      <w:rFonts w:ascii="宋体" w:eastAsia="宋体" w:hAnsi="Calibri" w:cs="Times New Roman"/>
      <w:sz w:val="24"/>
    </w:rPr>
  </w:style>
  <w:style w:type="character" w:customStyle="1" w:styleId="CharChar9">
    <w:name w:val="表头 Char Char"/>
    <w:link w:val="affff5"/>
    <w:qFormat/>
    <w:rPr>
      <w:rFonts w:eastAsia="黑体"/>
      <w:spacing w:val="-10"/>
    </w:rPr>
  </w:style>
  <w:style w:type="paragraph" w:customStyle="1" w:styleId="affff5">
    <w:name w:val="表头"/>
    <w:basedOn w:val="a"/>
    <w:link w:val="CharChar9"/>
    <w:qFormat/>
    <w:pPr>
      <w:spacing w:line="320" w:lineRule="atLeast"/>
      <w:jc w:val="center"/>
      <w:textAlignment w:val="baseline"/>
    </w:pPr>
    <w:rPr>
      <w:rFonts w:eastAsia="黑体" w:cstheme="minorBidi"/>
      <w:spacing w:val="-10"/>
      <w:szCs w:val="22"/>
    </w:rPr>
  </w:style>
  <w:style w:type="character" w:customStyle="1" w:styleId="CharChara">
    <w:name w:val="表格字体 Char Char"/>
    <w:link w:val="affff6"/>
    <w:qFormat/>
    <w:rPr>
      <w:sz w:val="24"/>
    </w:rPr>
  </w:style>
  <w:style w:type="paragraph" w:customStyle="1" w:styleId="affff6">
    <w:name w:val="表格字体"/>
    <w:basedOn w:val="a"/>
    <w:link w:val="CharChara"/>
    <w:qFormat/>
    <w:pPr>
      <w:widowControl/>
      <w:jc w:val="center"/>
    </w:pPr>
    <w:rPr>
      <w:rFonts w:cstheme="minorBidi"/>
      <w:szCs w:val="22"/>
    </w:rPr>
  </w:style>
  <w:style w:type="character" w:customStyle="1" w:styleId="CharCharb">
    <w:name w:val="正文(首行缩进) Char Char"/>
    <w:link w:val="affff7"/>
    <w:qFormat/>
    <w:rPr>
      <w:color w:val="000000"/>
      <w:sz w:val="24"/>
    </w:rPr>
  </w:style>
  <w:style w:type="paragraph" w:customStyle="1" w:styleId="affff7">
    <w:name w:val="正文(首行缩进)"/>
    <w:basedOn w:val="a"/>
    <w:link w:val="CharCharb"/>
    <w:qFormat/>
    <w:rPr>
      <w:rFonts w:cstheme="minorBidi"/>
      <w:color w:val="000000"/>
      <w:szCs w:val="22"/>
    </w:rPr>
  </w:style>
  <w:style w:type="character" w:customStyle="1" w:styleId="CharCharc">
    <w:name w:val="和桥报告正文 Char Char"/>
    <w:link w:val="affff8"/>
    <w:qFormat/>
    <w:rPr>
      <w:kern w:val="24"/>
    </w:rPr>
  </w:style>
  <w:style w:type="paragraph" w:customStyle="1" w:styleId="affff8">
    <w:name w:val="和桥报告正文"/>
    <w:basedOn w:val="a"/>
    <w:link w:val="CharCharc"/>
    <w:qFormat/>
    <w:pPr>
      <w:widowControl/>
      <w:ind w:firstLine="482"/>
      <w:jc w:val="left"/>
      <w:textAlignment w:val="baseline"/>
    </w:pPr>
    <w:rPr>
      <w:rFonts w:cstheme="minorBidi"/>
      <w:kern w:val="24"/>
      <w:szCs w:val="22"/>
    </w:rPr>
  </w:style>
  <w:style w:type="character" w:customStyle="1" w:styleId="Char12">
    <w:name w:val="尾注文本 Char1"/>
    <w:qFormat/>
    <w:rPr>
      <w:rFonts w:eastAsia="仿宋_GB2312"/>
      <w:kern w:val="2"/>
      <w:sz w:val="22"/>
    </w:rPr>
  </w:style>
  <w:style w:type="character" w:customStyle="1" w:styleId="12CharChar">
    <w:name w:val="样式 正文1 + 首行缩进:  2 字符 Char Char"/>
    <w:link w:val="120"/>
    <w:qFormat/>
    <w:rPr>
      <w:sz w:val="28"/>
    </w:rPr>
  </w:style>
  <w:style w:type="paragraph" w:customStyle="1" w:styleId="120">
    <w:name w:val="样式 正文1 + 首行缩进:  2 字符"/>
    <w:basedOn w:val="a"/>
    <w:link w:val="12CharChar"/>
    <w:qFormat/>
    <w:pPr>
      <w:widowControl/>
      <w:ind w:firstLine="560"/>
      <w:jc w:val="left"/>
    </w:pPr>
    <w:rPr>
      <w:rFonts w:cstheme="minorBidi"/>
      <w:szCs w:val="22"/>
    </w:rPr>
  </w:style>
  <w:style w:type="character" w:customStyle="1" w:styleId="hhcwtCharCharChar">
    <w:name w:val="hhcwt正文 Char Char Char"/>
    <w:link w:val="hhcwtChar"/>
    <w:qFormat/>
    <w:rPr>
      <w:sz w:val="24"/>
    </w:rPr>
  </w:style>
  <w:style w:type="paragraph" w:customStyle="1" w:styleId="hhcwtChar">
    <w:name w:val="hhcwt正文 Char"/>
    <w:basedOn w:val="a"/>
    <w:link w:val="hhcwtCharCharChar"/>
    <w:qFormat/>
    <w:rPr>
      <w:rFonts w:cstheme="minorBidi"/>
      <w:szCs w:val="22"/>
    </w:rPr>
  </w:style>
  <w:style w:type="character" w:customStyle="1" w:styleId="CharChard">
    <w:name w:val="正文样式 Char Char"/>
    <w:link w:val="affff9"/>
    <w:qFormat/>
    <w:rPr>
      <w:spacing w:val="10"/>
      <w:sz w:val="24"/>
    </w:rPr>
  </w:style>
  <w:style w:type="paragraph" w:customStyle="1" w:styleId="affff9">
    <w:name w:val="正文样式"/>
    <w:basedOn w:val="a"/>
    <w:link w:val="CharChard"/>
    <w:qFormat/>
    <w:pPr>
      <w:spacing w:before="156" w:after="156"/>
    </w:pPr>
    <w:rPr>
      <w:rFonts w:cstheme="minorBidi"/>
      <w:spacing w:val="10"/>
      <w:szCs w:val="22"/>
    </w:rPr>
  </w:style>
  <w:style w:type="character" w:customStyle="1" w:styleId="Heading9Char">
    <w:name w:val="Heading 9 Char"/>
    <w:qFormat/>
    <w:rPr>
      <w:rFonts w:ascii="Cambria" w:eastAsia="宋体" w:hAnsi="Cambria" w:cs="黑体"/>
      <w:kern w:val="2"/>
      <w:sz w:val="21"/>
      <w:szCs w:val="21"/>
    </w:rPr>
  </w:style>
  <w:style w:type="character" w:customStyle="1" w:styleId="Char20">
    <w:name w:val="环表头 Char2"/>
    <w:link w:val="affffa"/>
    <w:qFormat/>
    <w:rPr>
      <w:rFonts w:eastAsia="仿宋_GB2312"/>
      <w:sz w:val="24"/>
    </w:rPr>
  </w:style>
  <w:style w:type="paragraph" w:customStyle="1" w:styleId="affffa">
    <w:name w:val="环表头"/>
    <w:basedOn w:val="affffb"/>
    <w:next w:val="a"/>
    <w:link w:val="Char20"/>
    <w:qFormat/>
    <w:pPr>
      <w:tabs>
        <w:tab w:val="left" w:pos="283"/>
      </w:tabs>
      <w:spacing w:beforeLines="20" w:before="62" w:afterLines="10" w:after="31"/>
      <w:ind w:right="28" w:firstLineChars="0" w:firstLine="0"/>
    </w:pPr>
    <w:rPr>
      <w:rFonts w:asciiTheme="minorHAnsi" w:hAnsiTheme="minorHAnsi" w:cstheme="minorBidi"/>
      <w:b w:val="0"/>
      <w:color w:val="auto"/>
    </w:rPr>
  </w:style>
  <w:style w:type="paragraph" w:customStyle="1" w:styleId="affffb">
    <w:name w:val="环正文"/>
    <w:basedOn w:val="a"/>
    <w:link w:val="Char13"/>
    <w:qFormat/>
    <w:pPr>
      <w:tabs>
        <w:tab w:val="left" w:pos="5094"/>
      </w:tabs>
      <w:ind w:firstLine="562"/>
      <w:jc w:val="center"/>
      <w:textAlignment w:val="baseline"/>
    </w:pPr>
    <w:rPr>
      <w:b/>
      <w:color w:val="0000CC"/>
      <w:szCs w:val="22"/>
    </w:rPr>
  </w:style>
  <w:style w:type="character" w:customStyle="1" w:styleId="Char13">
    <w:name w:val="环正文 Char1"/>
    <w:link w:val="affffb"/>
    <w:qFormat/>
    <w:rPr>
      <w:rFonts w:ascii="Times New Roman" w:eastAsia="仿宋_GB2312" w:hAnsi="Times New Roman" w:cs="Times New Roman"/>
      <w:b/>
      <w:color w:val="0000CC"/>
      <w:sz w:val="28"/>
    </w:rPr>
  </w:style>
  <w:style w:type="character" w:customStyle="1" w:styleId="CharChare">
    <w:name w:val="报告书正文 Char Char"/>
    <w:link w:val="affffc"/>
    <w:qFormat/>
    <w:rPr>
      <w:sz w:val="24"/>
    </w:rPr>
  </w:style>
  <w:style w:type="paragraph" w:customStyle="1" w:styleId="affffc">
    <w:name w:val="报告书正文"/>
    <w:basedOn w:val="a"/>
    <w:link w:val="CharChare"/>
    <w:qFormat/>
    <w:rPr>
      <w:rFonts w:cstheme="minorBidi"/>
      <w:szCs w:val="22"/>
    </w:rPr>
  </w:style>
  <w:style w:type="character" w:customStyle="1" w:styleId="Char30">
    <w:name w:val="注释标题 Char3"/>
    <w:link w:val="NoteHeading1"/>
    <w:qFormat/>
    <w:rPr>
      <w:rFonts w:ascii="宋体"/>
    </w:rPr>
  </w:style>
  <w:style w:type="paragraph" w:customStyle="1" w:styleId="NoteHeading1">
    <w:name w:val="Note Heading1"/>
    <w:basedOn w:val="a"/>
    <w:next w:val="a"/>
    <w:link w:val="Char30"/>
    <w:qFormat/>
    <w:pPr>
      <w:widowControl/>
      <w:jc w:val="center"/>
    </w:pPr>
    <w:rPr>
      <w:rFonts w:ascii="宋体" w:cstheme="minorBidi"/>
      <w:szCs w:val="22"/>
    </w:rPr>
  </w:style>
  <w:style w:type="character" w:customStyle="1" w:styleId="1f8">
    <w:name w:val="批注引用1"/>
    <w:qFormat/>
    <w:rPr>
      <w:sz w:val="21"/>
    </w:rPr>
  </w:style>
  <w:style w:type="character" w:customStyle="1" w:styleId="Char14">
    <w:name w:val="正文修改 Char1"/>
    <w:link w:val="affffd"/>
    <w:qFormat/>
    <w:rPr>
      <w:rFonts w:ascii="宋体"/>
      <w:color w:val="000000"/>
      <w:sz w:val="24"/>
    </w:rPr>
  </w:style>
  <w:style w:type="paragraph" w:customStyle="1" w:styleId="affffd">
    <w:name w:val="正文修改"/>
    <w:basedOn w:val="affffe"/>
    <w:link w:val="Char14"/>
    <w:qFormat/>
    <w:rPr>
      <w:rFonts w:eastAsiaTheme="minorEastAsia" w:hAnsiTheme="minorHAnsi" w:cstheme="minorBidi"/>
      <w:color w:val="000000"/>
    </w:rPr>
  </w:style>
  <w:style w:type="paragraph" w:customStyle="1" w:styleId="affffe">
    <w:name w:val="燕山正文"/>
    <w:basedOn w:val="a"/>
    <w:link w:val="Char15"/>
    <w:qFormat/>
    <w:pPr>
      <w:widowControl/>
      <w:tabs>
        <w:tab w:val="left" w:pos="4680"/>
      </w:tabs>
      <w:spacing w:line="480" w:lineRule="exact"/>
      <w:jc w:val="left"/>
    </w:pPr>
    <w:rPr>
      <w:rFonts w:ascii="宋体" w:eastAsia="Times New Roman"/>
      <w:szCs w:val="22"/>
    </w:rPr>
  </w:style>
  <w:style w:type="character" w:customStyle="1" w:styleId="Char15">
    <w:name w:val="燕山正文 Char1"/>
    <w:link w:val="affffe"/>
    <w:qFormat/>
    <w:rPr>
      <w:rFonts w:ascii="宋体" w:eastAsia="Times New Roman" w:hAnsi="Times New Roman" w:cs="Times New Roman"/>
      <w:sz w:val="24"/>
    </w:rPr>
  </w:style>
  <w:style w:type="character" w:customStyle="1" w:styleId="TitleChar1">
    <w:name w:val="Title Char1"/>
    <w:qFormat/>
    <w:rPr>
      <w:rFonts w:ascii="Cambria" w:hAnsi="Cambria" w:cs="黑体"/>
      <w:b/>
      <w:bCs/>
      <w:kern w:val="2"/>
      <w:sz w:val="32"/>
      <w:szCs w:val="32"/>
    </w:rPr>
  </w:style>
  <w:style w:type="character" w:customStyle="1" w:styleId="CharCharChar">
    <w:name w:val="黑体标题 Char Char Char"/>
    <w:link w:val="Chara"/>
    <w:qFormat/>
    <w:rPr>
      <w:rFonts w:ascii="宋体"/>
      <w:sz w:val="28"/>
    </w:rPr>
  </w:style>
  <w:style w:type="paragraph" w:customStyle="1" w:styleId="Chara">
    <w:name w:val="黑体标题 Char"/>
    <w:basedOn w:val="a"/>
    <w:link w:val="CharCharChar"/>
    <w:qFormat/>
    <w:pPr>
      <w:widowControl/>
      <w:ind w:firstLine="560"/>
      <w:jc w:val="left"/>
    </w:pPr>
    <w:rPr>
      <w:rFonts w:ascii="宋体" w:cstheme="minorBidi"/>
      <w:szCs w:val="22"/>
    </w:rPr>
  </w:style>
  <w:style w:type="character" w:customStyle="1" w:styleId="KY-CharChar0">
    <w:name w:val="KY-正文 Char Char"/>
    <w:link w:val="KY-0"/>
    <w:qFormat/>
    <w:rPr>
      <w:sz w:val="28"/>
    </w:rPr>
  </w:style>
  <w:style w:type="paragraph" w:customStyle="1" w:styleId="KY-0">
    <w:name w:val="KY-正文"/>
    <w:basedOn w:val="a"/>
    <w:link w:val="KY-CharChar0"/>
    <w:qFormat/>
    <w:rPr>
      <w:rFonts w:cstheme="minorBidi"/>
      <w:szCs w:val="22"/>
    </w:rPr>
  </w:style>
  <w:style w:type="character" w:customStyle="1" w:styleId="CharCharf">
    <w:name w:val="金兰 Char Char"/>
    <w:link w:val="afffff"/>
    <w:qFormat/>
    <w:rPr>
      <w:sz w:val="28"/>
    </w:rPr>
  </w:style>
  <w:style w:type="paragraph" w:customStyle="1" w:styleId="afffff">
    <w:name w:val="金兰"/>
    <w:basedOn w:val="a"/>
    <w:link w:val="CharCharf"/>
    <w:qFormat/>
    <w:pPr>
      <w:widowControl/>
      <w:topLinePunct/>
      <w:spacing w:line="480" w:lineRule="exact"/>
      <w:ind w:firstLine="560"/>
      <w:jc w:val="left"/>
    </w:pPr>
    <w:rPr>
      <w:rFonts w:cstheme="minorBidi"/>
      <w:szCs w:val="22"/>
    </w:rPr>
  </w:style>
  <w:style w:type="character" w:customStyle="1" w:styleId="FootnoteTextChar1">
    <w:name w:val="Footnote Text Char1"/>
    <w:qFormat/>
    <w:rPr>
      <w:rFonts w:eastAsia="仿宋_GB2312"/>
      <w:kern w:val="2"/>
      <w:sz w:val="18"/>
      <w:szCs w:val="18"/>
    </w:rPr>
  </w:style>
  <w:style w:type="character" w:customStyle="1" w:styleId="CharCharCharCharCharChar">
    <w:name w:val="热电厂正文 Char Char Char Char Char Char"/>
    <w:link w:val="CharCharCharChar"/>
    <w:qFormat/>
    <w:rPr>
      <w:sz w:val="24"/>
    </w:rPr>
  </w:style>
  <w:style w:type="paragraph" w:customStyle="1" w:styleId="CharCharCharChar">
    <w:name w:val="热电厂正文 Char Char Char Char"/>
    <w:basedOn w:val="a"/>
    <w:link w:val="CharCharCharCharCharChar"/>
    <w:qFormat/>
    <w:pPr>
      <w:widowControl/>
      <w:spacing w:line="440" w:lineRule="exact"/>
      <w:jc w:val="left"/>
    </w:pPr>
    <w:rPr>
      <w:rFonts w:cstheme="minorBidi"/>
      <w:szCs w:val="22"/>
    </w:rPr>
  </w:style>
  <w:style w:type="character" w:customStyle="1" w:styleId="chen1CharChar">
    <w:name w:val="chen表头1 Char Char"/>
    <w:link w:val="chen1"/>
    <w:qFormat/>
    <w:rPr>
      <w:rFonts w:eastAsia="楷体_GB2312"/>
      <w:b/>
      <w:sz w:val="24"/>
    </w:rPr>
  </w:style>
  <w:style w:type="paragraph" w:customStyle="1" w:styleId="chen1">
    <w:name w:val="chen表头1"/>
    <w:basedOn w:val="a"/>
    <w:link w:val="chen1CharChar"/>
    <w:qFormat/>
    <w:pPr>
      <w:spacing w:after="120"/>
      <w:jc w:val="center"/>
    </w:pPr>
    <w:rPr>
      <w:rFonts w:eastAsia="楷体_GB2312" w:cstheme="minorBidi"/>
      <w:b/>
      <w:szCs w:val="22"/>
    </w:rPr>
  </w:style>
  <w:style w:type="character" w:customStyle="1" w:styleId="CharCharf0">
    <w:name w:val="单学凯段落格式 Char Char"/>
    <w:link w:val="afffff0"/>
    <w:qFormat/>
    <w:rPr>
      <w:rFonts w:ascii="宋体"/>
      <w:b/>
      <w:color w:val="000000"/>
      <w:sz w:val="28"/>
    </w:rPr>
  </w:style>
  <w:style w:type="paragraph" w:customStyle="1" w:styleId="afffff0">
    <w:name w:val="单学凯段落格式"/>
    <w:basedOn w:val="a"/>
    <w:link w:val="CharCharf0"/>
    <w:qFormat/>
    <w:pPr>
      <w:widowControl/>
      <w:ind w:firstLine="562"/>
      <w:jc w:val="left"/>
    </w:pPr>
    <w:rPr>
      <w:rFonts w:ascii="宋体" w:cstheme="minorBidi"/>
      <w:b/>
      <w:color w:val="000000"/>
      <w:szCs w:val="22"/>
    </w:rPr>
  </w:style>
  <w:style w:type="character" w:customStyle="1" w:styleId="chenCharChar">
    <w:name w:val="chen 正文字体 Char Char"/>
    <w:link w:val="chen"/>
    <w:qFormat/>
    <w:rPr>
      <w:rFonts w:ascii="宋体"/>
      <w:color w:val="000000"/>
      <w:sz w:val="24"/>
    </w:rPr>
  </w:style>
  <w:style w:type="paragraph" w:customStyle="1" w:styleId="chen">
    <w:name w:val="chen 正文字体"/>
    <w:basedOn w:val="a"/>
    <w:link w:val="chenCharChar"/>
    <w:qFormat/>
    <w:rPr>
      <w:rFonts w:ascii="宋体" w:cstheme="minorBidi"/>
      <w:color w:val="000000"/>
      <w:szCs w:val="22"/>
    </w:rPr>
  </w:style>
  <w:style w:type="character" w:customStyle="1" w:styleId="CharCharf1">
    <w:name w:val="正文张阳 Char Char"/>
    <w:link w:val="afffff1"/>
    <w:qFormat/>
    <w:rPr>
      <w:rFonts w:ascii="宋体"/>
      <w:sz w:val="28"/>
    </w:rPr>
  </w:style>
  <w:style w:type="paragraph" w:customStyle="1" w:styleId="afffff1">
    <w:name w:val="正文张阳"/>
    <w:basedOn w:val="a"/>
    <w:link w:val="CharCharf1"/>
    <w:qFormat/>
    <w:pPr>
      <w:widowControl/>
      <w:ind w:firstLine="560"/>
      <w:jc w:val="left"/>
    </w:pPr>
    <w:rPr>
      <w:rFonts w:ascii="宋体" w:cstheme="minorBidi"/>
      <w:szCs w:val="22"/>
    </w:rPr>
  </w:style>
  <w:style w:type="character" w:customStyle="1" w:styleId="Char16">
    <w:name w:val="正文文本 Char1"/>
    <w:qFormat/>
    <w:rPr>
      <w:rFonts w:eastAsia="仿宋_GB2312"/>
      <w:sz w:val="28"/>
    </w:rPr>
  </w:style>
  <w:style w:type="character" w:customStyle="1" w:styleId="2CharChar">
    <w:name w:val="标题2新 Char Char"/>
    <w:link w:val="2f8"/>
    <w:qFormat/>
    <w:rPr>
      <w:rFonts w:ascii="楷体" w:eastAsia="楷体" w:hAnsi="楷体"/>
      <w:sz w:val="32"/>
    </w:rPr>
  </w:style>
  <w:style w:type="paragraph" w:customStyle="1" w:styleId="2f8">
    <w:name w:val="标题2新"/>
    <w:basedOn w:val="2"/>
    <w:link w:val="2CharChar"/>
    <w:qFormat/>
    <w:rPr>
      <w:rFonts w:ascii="楷体" w:eastAsia="楷体" w:hAnsi="楷体" w:cstheme="minorBidi"/>
      <w:b w:val="0"/>
      <w:bCs w:val="0"/>
      <w:kern w:val="2"/>
      <w:sz w:val="32"/>
      <w:szCs w:val="22"/>
    </w:rPr>
  </w:style>
  <w:style w:type="character" w:customStyle="1" w:styleId="1CharChar">
    <w:name w:val="1正文段落 Char Char"/>
    <w:link w:val="1f9"/>
    <w:qFormat/>
    <w:rPr>
      <w:sz w:val="24"/>
    </w:rPr>
  </w:style>
  <w:style w:type="paragraph" w:customStyle="1" w:styleId="1f9">
    <w:name w:val="1正文段落"/>
    <w:basedOn w:val="a"/>
    <w:link w:val="1CharChar"/>
    <w:qFormat/>
    <w:pPr>
      <w:jc w:val="left"/>
    </w:pPr>
    <w:rPr>
      <w:rFonts w:cstheme="minorBidi"/>
      <w:szCs w:val="22"/>
    </w:rPr>
  </w:style>
  <w:style w:type="character" w:customStyle="1" w:styleId="3Char1">
    <w:name w:val="标题 3 Char1"/>
    <w:qFormat/>
    <w:rPr>
      <w:rFonts w:eastAsia="仿宋_GB2312"/>
      <w:b/>
      <w:sz w:val="32"/>
    </w:rPr>
  </w:style>
  <w:style w:type="character" w:customStyle="1" w:styleId="2TimesNewRomanCharChar">
    <w:name w:val="正文首行缩进 2 + Times New Roman Char Char"/>
    <w:link w:val="2TimesNewRoman"/>
    <w:qFormat/>
    <w:rPr>
      <w:rFonts w:ascii="宋体"/>
      <w:sz w:val="24"/>
    </w:rPr>
  </w:style>
  <w:style w:type="paragraph" w:customStyle="1" w:styleId="2TimesNewRoman">
    <w:name w:val="正文首行缩进 2 + Times New Roman"/>
    <w:basedOn w:val="a"/>
    <w:link w:val="2TimesNewRomanCharChar"/>
    <w:qFormat/>
    <w:pPr>
      <w:tabs>
        <w:tab w:val="left" w:pos="0"/>
        <w:tab w:val="left" w:pos="870"/>
        <w:tab w:val="left" w:pos="3150"/>
      </w:tabs>
      <w:autoSpaceDE w:val="0"/>
      <w:autoSpaceDN w:val="0"/>
    </w:pPr>
    <w:rPr>
      <w:rFonts w:ascii="宋体" w:cstheme="minorBidi"/>
      <w:szCs w:val="22"/>
    </w:rPr>
  </w:style>
  <w:style w:type="character" w:customStyle="1" w:styleId="BodyTextIndentCharChar">
    <w:name w:val="Body Text Indent Char Char"/>
    <w:link w:val="1fa"/>
    <w:qFormat/>
    <w:rPr>
      <w:rFonts w:eastAsia="仿宋_GB2312"/>
      <w:sz w:val="22"/>
    </w:rPr>
  </w:style>
  <w:style w:type="paragraph" w:customStyle="1" w:styleId="1fa">
    <w:name w:val="正文文本缩进1"/>
    <w:basedOn w:val="a"/>
    <w:link w:val="BodyTextIndentCharChar"/>
    <w:qFormat/>
    <w:pPr>
      <w:spacing w:after="120"/>
      <w:ind w:leftChars="200" w:left="420"/>
    </w:pPr>
    <w:rPr>
      <w:rFonts w:cstheme="minorBidi"/>
      <w:sz w:val="22"/>
      <w:szCs w:val="22"/>
    </w:rPr>
  </w:style>
  <w:style w:type="character" w:customStyle="1" w:styleId="CharCharf2">
    <w:name w:val="样式 正文 + Char Char"/>
    <w:link w:val="afffff2"/>
    <w:qFormat/>
    <w:rPr>
      <w:rFonts w:ascii="Arial" w:hAnsi="Arial"/>
      <w:sz w:val="28"/>
    </w:rPr>
  </w:style>
  <w:style w:type="paragraph" w:customStyle="1" w:styleId="afffff2">
    <w:name w:val="样式 正文 +"/>
    <w:basedOn w:val="a"/>
    <w:link w:val="CharCharf2"/>
    <w:qFormat/>
    <w:pPr>
      <w:widowControl/>
      <w:jc w:val="left"/>
    </w:pPr>
    <w:rPr>
      <w:rFonts w:ascii="Arial" w:hAnsi="Arial" w:cstheme="minorBidi"/>
      <w:szCs w:val="22"/>
    </w:rPr>
  </w:style>
  <w:style w:type="character" w:customStyle="1" w:styleId="CharCharf3">
    <w:name w:val="题注 + 居中 Char Char"/>
    <w:link w:val="afffff3"/>
    <w:qFormat/>
    <w:rPr>
      <w:rFonts w:ascii="Arial" w:eastAsia="黑体" w:hAnsi="Arial"/>
      <w:sz w:val="24"/>
    </w:rPr>
  </w:style>
  <w:style w:type="paragraph" w:customStyle="1" w:styleId="afffff3">
    <w:name w:val="题注 + 居中"/>
    <w:basedOn w:val="ab"/>
    <w:link w:val="CharCharf3"/>
    <w:qFormat/>
    <w:pPr>
      <w:keepNext/>
      <w:jc w:val="center"/>
    </w:pPr>
    <w:rPr>
      <w:rFonts w:cstheme="minorBidi"/>
    </w:rPr>
  </w:style>
  <w:style w:type="character" w:customStyle="1" w:styleId="Char50">
    <w:name w:val="正文缩进 Char5"/>
    <w:link w:val="NormalIndent1"/>
    <w:qFormat/>
    <w:rPr>
      <w:rFonts w:ascii="宋体"/>
      <w:sz w:val="28"/>
      <w:vertAlign w:val="superscript"/>
    </w:rPr>
  </w:style>
  <w:style w:type="paragraph" w:customStyle="1" w:styleId="NormalIndent1">
    <w:name w:val="Normal Indent1"/>
    <w:basedOn w:val="a"/>
    <w:link w:val="Char50"/>
    <w:qFormat/>
    <w:pPr>
      <w:widowControl/>
      <w:ind w:firstLine="420"/>
      <w:jc w:val="left"/>
    </w:pPr>
    <w:rPr>
      <w:rFonts w:ascii="宋体" w:cstheme="minorBidi"/>
      <w:szCs w:val="22"/>
      <w:vertAlign w:val="superscript"/>
    </w:rPr>
  </w:style>
  <w:style w:type="character" w:customStyle="1" w:styleId="Char21">
    <w:name w:val="尾注文本 Char2"/>
    <w:basedOn w:val="a2"/>
    <w:qFormat/>
  </w:style>
  <w:style w:type="character" w:customStyle="1" w:styleId="CharCharf4">
    <w:name w:val="表标题 Char Char"/>
    <w:aliases w:val="正文1 Char"/>
    <w:link w:val="afffff4"/>
    <w:qFormat/>
    <w:rPr>
      <w:rFonts w:ascii="Times New Roman" w:eastAsia="黑体" w:hAnsi="Times New Roman"/>
      <w:sz w:val="24"/>
    </w:rPr>
  </w:style>
  <w:style w:type="paragraph" w:customStyle="1" w:styleId="afffff4">
    <w:name w:val="表标题"/>
    <w:basedOn w:val="a"/>
    <w:link w:val="CharCharf4"/>
    <w:qFormat/>
    <w:pPr>
      <w:spacing w:line="500" w:lineRule="exact"/>
      <w:ind w:firstLineChars="0" w:firstLine="0"/>
      <w:jc w:val="center"/>
    </w:pPr>
    <w:rPr>
      <w:rFonts w:eastAsia="黑体" w:cstheme="minorBidi"/>
      <w:szCs w:val="22"/>
    </w:rPr>
  </w:style>
  <w:style w:type="character" w:customStyle="1" w:styleId="Heading7Char">
    <w:name w:val="Heading 7 Char"/>
    <w:qFormat/>
    <w:rPr>
      <w:rFonts w:eastAsia="仿宋_GB2312"/>
      <w:b/>
      <w:bCs/>
      <w:kern w:val="2"/>
      <w:sz w:val="24"/>
      <w:szCs w:val="24"/>
    </w:rPr>
  </w:style>
  <w:style w:type="character" w:customStyle="1" w:styleId="3Char10">
    <w:name w:val="正文3 Char1"/>
    <w:link w:val="3f1"/>
    <w:qFormat/>
    <w:rPr>
      <w:rFonts w:ascii="宋体"/>
      <w:sz w:val="34"/>
    </w:rPr>
  </w:style>
  <w:style w:type="paragraph" w:customStyle="1" w:styleId="3f1">
    <w:name w:val="正文3"/>
    <w:link w:val="3Char10"/>
    <w:qFormat/>
    <w:pPr>
      <w:widowControl w:val="0"/>
      <w:adjustRightInd w:val="0"/>
      <w:spacing w:line="312" w:lineRule="atLeast"/>
      <w:jc w:val="both"/>
      <w:textAlignment w:val="baseline"/>
    </w:pPr>
    <w:rPr>
      <w:rFonts w:ascii="宋体" w:eastAsiaTheme="minorEastAsia" w:hAnsiTheme="minorHAnsi" w:cstheme="minorBidi"/>
      <w:kern w:val="2"/>
      <w:sz w:val="34"/>
      <w:szCs w:val="22"/>
    </w:rPr>
  </w:style>
  <w:style w:type="character" w:customStyle="1" w:styleId="hhcwt4CharChar">
    <w:name w:val="hhcwt标题4 Char Char"/>
    <w:link w:val="hhcwt4"/>
    <w:qFormat/>
    <w:rPr>
      <w:color w:val="000000"/>
      <w:sz w:val="24"/>
    </w:rPr>
  </w:style>
  <w:style w:type="paragraph" w:customStyle="1" w:styleId="hhcwt4">
    <w:name w:val="hhcwt标题4"/>
    <w:basedOn w:val="4"/>
    <w:link w:val="hhcwt4CharChar"/>
    <w:qFormat/>
    <w:rPr>
      <w:rFonts w:asciiTheme="minorHAnsi" w:eastAsiaTheme="minorEastAsia" w:hAnsiTheme="minorHAnsi" w:cstheme="minorBidi"/>
      <w:b w:val="0"/>
      <w:bCs w:val="0"/>
      <w:kern w:val="2"/>
      <w:sz w:val="24"/>
      <w:szCs w:val="22"/>
    </w:rPr>
  </w:style>
  <w:style w:type="character" w:customStyle="1" w:styleId="CharCharf5">
    <w:name w:val="表蕊居中 Char Char"/>
    <w:link w:val="afffff5"/>
    <w:qFormat/>
    <w:rPr>
      <w:rFonts w:ascii="宋体"/>
      <w:color w:val="FF0000"/>
      <w:sz w:val="24"/>
    </w:rPr>
  </w:style>
  <w:style w:type="paragraph" w:customStyle="1" w:styleId="afffff5">
    <w:name w:val="表蕊居中"/>
    <w:basedOn w:val="a"/>
    <w:link w:val="CharCharf5"/>
    <w:qFormat/>
    <w:pPr>
      <w:widowControl/>
      <w:suppressAutoHyphens/>
      <w:spacing w:line="280" w:lineRule="exact"/>
      <w:ind w:rightChars="15" w:right="31"/>
      <w:jc w:val="center"/>
      <w:textAlignment w:val="baseline"/>
    </w:pPr>
    <w:rPr>
      <w:rFonts w:ascii="宋体" w:cstheme="minorBidi"/>
      <w:color w:val="FF0000"/>
      <w:szCs w:val="22"/>
    </w:rPr>
  </w:style>
  <w:style w:type="character" w:customStyle="1" w:styleId="CharCharf6">
    <w:name w:val="正文内容 Char Char"/>
    <w:link w:val="afffff6"/>
    <w:qFormat/>
    <w:rPr>
      <w:rFonts w:ascii="宋体"/>
      <w:spacing w:val="4"/>
      <w:sz w:val="24"/>
    </w:rPr>
  </w:style>
  <w:style w:type="paragraph" w:customStyle="1" w:styleId="afffff6">
    <w:name w:val="正文内容"/>
    <w:basedOn w:val="a"/>
    <w:link w:val="CharCharf6"/>
    <w:qFormat/>
    <w:pPr>
      <w:ind w:firstLine="496"/>
    </w:pPr>
    <w:rPr>
      <w:rFonts w:ascii="宋体" w:cstheme="minorBidi"/>
      <w:spacing w:val="4"/>
      <w:szCs w:val="22"/>
    </w:rPr>
  </w:style>
  <w:style w:type="character" w:customStyle="1" w:styleId="Char17">
    <w:name w:val="页脚 Char1"/>
    <w:qFormat/>
    <w:rPr>
      <w:rFonts w:eastAsia="仿宋_GB2312"/>
      <w:sz w:val="18"/>
    </w:rPr>
  </w:style>
  <w:style w:type="character" w:customStyle="1" w:styleId="2Char3">
    <w:name w:val="正文首行缩进 2 Char3"/>
    <w:link w:val="220"/>
    <w:qFormat/>
    <w:rPr>
      <w:rFonts w:eastAsia="仿宋_GB2312"/>
      <w:sz w:val="28"/>
    </w:rPr>
  </w:style>
  <w:style w:type="paragraph" w:customStyle="1" w:styleId="220">
    <w:name w:val="正文首行缩进 22"/>
    <w:basedOn w:val="1fa"/>
    <w:link w:val="2Char3"/>
    <w:qFormat/>
    <w:pPr>
      <w:widowControl/>
      <w:tabs>
        <w:tab w:val="left" w:pos="420"/>
        <w:tab w:val="left" w:pos="870"/>
        <w:tab w:val="left" w:pos="3150"/>
      </w:tabs>
      <w:autoSpaceDE w:val="0"/>
      <w:autoSpaceDN w:val="0"/>
      <w:spacing w:beforeLines="25" w:before="78" w:line="336" w:lineRule="auto"/>
      <w:ind w:firstLineChars="0" w:firstLine="527"/>
      <w:jc w:val="left"/>
      <w:textAlignment w:val="baseline"/>
    </w:pPr>
    <w:rPr>
      <w:sz w:val="28"/>
    </w:rPr>
  </w:style>
  <w:style w:type="character" w:customStyle="1" w:styleId="Heading6Char">
    <w:name w:val="Heading 6 Char"/>
    <w:qFormat/>
    <w:rPr>
      <w:rFonts w:ascii="Cambria" w:eastAsia="宋体" w:hAnsi="Cambria" w:cs="黑体"/>
      <w:b/>
      <w:bCs/>
      <w:kern w:val="2"/>
      <w:sz w:val="24"/>
      <w:szCs w:val="24"/>
    </w:rPr>
  </w:style>
  <w:style w:type="character" w:customStyle="1" w:styleId="chenCharChar0">
    <w:name w:val="谏壁正文chen Char Char"/>
    <w:link w:val="chen0"/>
    <w:qFormat/>
    <w:rPr>
      <w:sz w:val="24"/>
    </w:rPr>
  </w:style>
  <w:style w:type="paragraph" w:customStyle="1" w:styleId="chen0">
    <w:name w:val="谏壁正文chen"/>
    <w:basedOn w:val="a"/>
    <w:link w:val="chenCharChar0"/>
    <w:qFormat/>
    <w:rPr>
      <w:rFonts w:cstheme="minorBidi"/>
      <w:szCs w:val="22"/>
    </w:rPr>
  </w:style>
  <w:style w:type="character" w:customStyle="1" w:styleId="33CharCharChar">
    <w:name w:val="样式 标题 3标题 3 Char + 字距调整二号 Char Char"/>
    <w:link w:val="33Char"/>
    <w:qFormat/>
    <w:rPr>
      <w:b/>
      <w:kern w:val="44"/>
      <w:sz w:val="32"/>
    </w:rPr>
  </w:style>
  <w:style w:type="paragraph" w:customStyle="1" w:styleId="33Char">
    <w:name w:val="样式 标题 3标题 3 Char + 字距调整二号"/>
    <w:basedOn w:val="3"/>
    <w:link w:val="33CharCharChar"/>
    <w:qFormat/>
    <w:rPr>
      <w:rFonts w:asciiTheme="minorHAnsi" w:eastAsiaTheme="minorEastAsia" w:hAnsiTheme="minorHAnsi" w:cstheme="minorBidi"/>
      <w:bCs w:val="0"/>
      <w:kern w:val="44"/>
      <w:sz w:val="32"/>
      <w:szCs w:val="22"/>
    </w:rPr>
  </w:style>
  <w:style w:type="character" w:customStyle="1" w:styleId="SubtitleChar1">
    <w:name w:val="Subtitle Char1"/>
    <w:qFormat/>
    <w:rPr>
      <w:rFonts w:ascii="Cambria" w:hAnsi="Cambria" w:cs="黑体"/>
      <w:b/>
      <w:bCs/>
      <w:kern w:val="28"/>
      <w:sz w:val="32"/>
      <w:szCs w:val="32"/>
    </w:rPr>
  </w:style>
  <w:style w:type="character" w:customStyle="1" w:styleId="01Char1">
    <w:name w:val="正文01 Char1"/>
    <w:link w:val="01"/>
    <w:qFormat/>
    <w:rPr>
      <w:sz w:val="24"/>
    </w:rPr>
  </w:style>
  <w:style w:type="paragraph" w:customStyle="1" w:styleId="01">
    <w:name w:val="正文01"/>
    <w:basedOn w:val="a"/>
    <w:link w:val="01Char1"/>
    <w:qFormat/>
    <w:pPr>
      <w:spacing w:before="60" w:line="460" w:lineRule="exact"/>
    </w:pPr>
    <w:rPr>
      <w:rFonts w:cstheme="minorBidi"/>
      <w:szCs w:val="22"/>
    </w:rPr>
  </w:style>
  <w:style w:type="character" w:customStyle="1" w:styleId="CharCharf7">
    <w:name w:val="正文小四 Char Char"/>
    <w:link w:val="afffff7"/>
    <w:qFormat/>
    <w:rPr>
      <w:rFonts w:ascii="仿宋_GB2312" w:eastAsia="仿宋_GB2312"/>
      <w:sz w:val="28"/>
    </w:rPr>
  </w:style>
  <w:style w:type="paragraph" w:customStyle="1" w:styleId="afffff7">
    <w:name w:val="正文小四"/>
    <w:link w:val="CharCharf7"/>
    <w:qFormat/>
    <w:pPr>
      <w:adjustRightInd w:val="0"/>
      <w:snapToGrid w:val="0"/>
      <w:spacing w:line="360" w:lineRule="auto"/>
      <w:ind w:firstLineChars="200" w:firstLine="560"/>
      <w:jc w:val="both"/>
    </w:pPr>
    <w:rPr>
      <w:rFonts w:ascii="仿宋_GB2312" w:eastAsia="仿宋_GB2312" w:hAnsiTheme="minorHAnsi" w:cstheme="minorBidi"/>
      <w:kern w:val="2"/>
      <w:sz w:val="28"/>
      <w:szCs w:val="22"/>
    </w:rPr>
  </w:style>
  <w:style w:type="character" w:customStyle="1" w:styleId="Heading4Char">
    <w:name w:val="Heading 4 Char"/>
    <w:qFormat/>
    <w:rPr>
      <w:rFonts w:ascii="Cambria" w:eastAsia="仿宋_GB2312" w:hAnsi="Cambria"/>
      <w:b/>
      <w:sz w:val="28"/>
    </w:rPr>
  </w:style>
  <w:style w:type="character" w:customStyle="1" w:styleId="CharCharf8">
    <w:name w:val="注释 Char Char"/>
    <w:link w:val="afffff8"/>
    <w:qFormat/>
    <w:rPr>
      <w:rFonts w:ascii="宋体" w:eastAsia="仿宋_GB2312"/>
      <w:spacing w:val="4"/>
      <w:sz w:val="24"/>
    </w:rPr>
  </w:style>
  <w:style w:type="paragraph" w:customStyle="1" w:styleId="afffff8">
    <w:name w:val="注释"/>
    <w:basedOn w:val="a"/>
    <w:link w:val="CharCharf8"/>
    <w:qFormat/>
    <w:pPr>
      <w:widowControl/>
      <w:spacing w:before="156"/>
      <w:jc w:val="left"/>
      <w:textAlignment w:val="baseline"/>
    </w:pPr>
    <w:rPr>
      <w:rFonts w:ascii="宋体" w:cstheme="minorBidi"/>
      <w:spacing w:val="4"/>
      <w:szCs w:val="22"/>
    </w:rPr>
  </w:style>
  <w:style w:type="character" w:customStyle="1" w:styleId="Char31">
    <w:name w:val="正文缩进 Char3"/>
    <w:link w:val="1fb"/>
    <w:qFormat/>
    <w:rPr>
      <w:rFonts w:ascii="宋体" w:eastAsia="仿宋_GB2312" w:hAnsi="宋体"/>
      <w:sz w:val="24"/>
    </w:rPr>
  </w:style>
  <w:style w:type="paragraph" w:customStyle="1" w:styleId="1fb">
    <w:name w:val="正文缩进1"/>
    <w:basedOn w:val="a"/>
    <w:link w:val="Char31"/>
    <w:pPr>
      <w:widowControl/>
      <w:jc w:val="left"/>
    </w:pPr>
    <w:rPr>
      <w:rFonts w:ascii="宋体" w:hAnsi="宋体" w:cstheme="minorBidi"/>
      <w:szCs w:val="22"/>
    </w:rPr>
  </w:style>
  <w:style w:type="character" w:customStyle="1" w:styleId="BodyText21CharChar">
    <w:name w:val="Body Text 21 Char Char"/>
    <w:link w:val="BodyText21"/>
    <w:rPr>
      <w:rFonts w:eastAsia="仿宋体"/>
      <w:sz w:val="24"/>
    </w:rPr>
  </w:style>
  <w:style w:type="paragraph" w:customStyle="1" w:styleId="BodyText21">
    <w:name w:val="Body Text 21"/>
    <w:basedOn w:val="a"/>
    <w:link w:val="BodyText21CharChar"/>
    <w:qFormat/>
    <w:pPr>
      <w:textAlignment w:val="baseline"/>
    </w:pPr>
    <w:rPr>
      <w:rFonts w:eastAsia="仿宋体" w:cstheme="minorBidi"/>
      <w:szCs w:val="22"/>
    </w:rPr>
  </w:style>
  <w:style w:type="character" w:customStyle="1" w:styleId="Heading8Char">
    <w:name w:val="Heading 8 Char"/>
    <w:rPr>
      <w:rFonts w:ascii="Cambria" w:eastAsia="宋体" w:hAnsi="Cambria" w:cs="黑体"/>
      <w:kern w:val="2"/>
      <w:sz w:val="24"/>
      <w:szCs w:val="24"/>
    </w:rPr>
  </w:style>
  <w:style w:type="character" w:customStyle="1" w:styleId="CharCharf9">
    <w:name w:val="表蕊左对齐 Char Char"/>
    <w:link w:val="afffff9"/>
    <w:qFormat/>
    <w:rPr>
      <w:color w:val="000000"/>
    </w:rPr>
  </w:style>
  <w:style w:type="paragraph" w:customStyle="1" w:styleId="afffff9">
    <w:name w:val="表蕊左对齐"/>
    <w:basedOn w:val="afffff5"/>
    <w:link w:val="CharCharf9"/>
    <w:pPr>
      <w:suppressAutoHyphens w:val="0"/>
      <w:adjustRightInd/>
      <w:spacing w:line="300" w:lineRule="exact"/>
      <w:ind w:left="57" w:rightChars="0" w:right="0"/>
      <w:jc w:val="left"/>
      <w:textAlignment w:val="auto"/>
    </w:pPr>
    <w:rPr>
      <w:rFonts w:asciiTheme="minorHAnsi"/>
      <w:color w:val="000000"/>
      <w:sz w:val="21"/>
    </w:rPr>
  </w:style>
  <w:style w:type="character" w:customStyle="1" w:styleId="Char18">
    <w:name w:val="页眉 Char1"/>
    <w:rPr>
      <w:rFonts w:eastAsia="仿宋_GB2312"/>
      <w:sz w:val="18"/>
    </w:rPr>
  </w:style>
  <w:style w:type="character" w:customStyle="1" w:styleId="222CharChar">
    <w:name w:val="样式 样式 首行缩进:  2 字符 + 首行缩进:  2 字符2 Char Char"/>
    <w:link w:val="222"/>
    <w:qFormat/>
    <w:rPr>
      <w:rFonts w:eastAsia="楷体_GB2312"/>
      <w:spacing w:val="6"/>
      <w:sz w:val="28"/>
    </w:rPr>
  </w:style>
  <w:style w:type="paragraph" w:customStyle="1" w:styleId="222">
    <w:name w:val="样式 样式 首行缩进:  2 字符 + 首行缩进:  2 字符2"/>
    <w:basedOn w:val="a"/>
    <w:link w:val="222CharChar"/>
    <w:pPr>
      <w:widowControl/>
      <w:spacing w:line="440" w:lineRule="exact"/>
      <w:ind w:firstLine="584"/>
      <w:jc w:val="left"/>
    </w:pPr>
    <w:rPr>
      <w:rFonts w:eastAsia="楷体_GB2312" w:cstheme="minorBidi"/>
      <w:spacing w:val="6"/>
      <w:szCs w:val="22"/>
    </w:rPr>
  </w:style>
  <w:style w:type="character" w:customStyle="1" w:styleId="11h11stlevelSectionHeadl1b1-1ChH1PICharChar">
    <w:name w:val="样式 标题 1章标题 1h11st levelSection Headl1b1-*+标题 1章ChH1PI... Char Char"/>
    <w:link w:val="11h11stlevelSectionHeadl1b1-1ChH1PI"/>
    <w:qFormat/>
    <w:rPr>
      <w:rFonts w:ascii="宋体" w:eastAsia="黑体" w:hAnsi="宋体"/>
      <w:kern w:val="44"/>
      <w:sz w:val="44"/>
    </w:rPr>
  </w:style>
  <w:style w:type="paragraph" w:customStyle="1" w:styleId="11h11stlevelSectionHeadl1b1-1ChH1PI">
    <w:name w:val="样式 标题 1章标题 1h11st levelSection Headl1b1-*+标题 1章ChH1PI..."/>
    <w:basedOn w:val="1"/>
    <w:link w:val="11h11stlevelSectionHeadl1b1-1ChH1PICharChar"/>
    <w:qFormat/>
    <w:rPr>
      <w:rFonts w:ascii="宋体" w:eastAsia="黑体" w:hAnsi="宋体" w:cstheme="minorBidi"/>
      <w:b w:val="0"/>
      <w:bCs w:val="0"/>
      <w:sz w:val="44"/>
      <w:szCs w:val="22"/>
    </w:rPr>
  </w:style>
  <w:style w:type="character" w:customStyle="1" w:styleId="CharCharfa">
    <w:name w:val="单学凯环表头 Char Char"/>
    <w:link w:val="afffffa"/>
    <w:qFormat/>
    <w:rPr>
      <w:rFonts w:ascii="宋体"/>
      <w:b/>
      <w:color w:val="000000"/>
      <w:sz w:val="28"/>
    </w:rPr>
  </w:style>
  <w:style w:type="paragraph" w:customStyle="1" w:styleId="afffffa">
    <w:name w:val="单学凯环表头"/>
    <w:basedOn w:val="a"/>
    <w:link w:val="CharCharfa"/>
    <w:qFormat/>
    <w:pPr>
      <w:widowControl/>
      <w:tabs>
        <w:tab w:val="left" w:pos="-1008"/>
        <w:tab w:val="left" w:pos="4873"/>
      </w:tabs>
      <w:ind w:right="-11" w:firstLineChars="645" w:firstLine="1813"/>
      <w:jc w:val="left"/>
      <w:textAlignment w:val="baseline"/>
    </w:pPr>
    <w:rPr>
      <w:rFonts w:ascii="宋体" w:cstheme="minorBidi"/>
      <w:b/>
      <w:color w:val="000000"/>
      <w:szCs w:val="22"/>
    </w:rPr>
  </w:style>
  <w:style w:type="character" w:customStyle="1" w:styleId="CharCharfb">
    <w:name w:val="表、图名 Char Char"/>
    <w:link w:val="afffffb"/>
    <w:qFormat/>
    <w:rPr>
      <w:rFonts w:eastAsia="仿宋_GB2312"/>
      <w:sz w:val="24"/>
    </w:rPr>
  </w:style>
  <w:style w:type="paragraph" w:customStyle="1" w:styleId="afffffb">
    <w:name w:val="表、图名"/>
    <w:basedOn w:val="affff5"/>
    <w:link w:val="CharCharfb"/>
    <w:pPr>
      <w:spacing w:before="120" w:line="240" w:lineRule="auto"/>
      <w:textAlignment w:val="auto"/>
    </w:pPr>
    <w:rPr>
      <w:rFonts w:eastAsia="仿宋_GB2312"/>
      <w:spacing w:val="0"/>
    </w:rPr>
  </w:style>
  <w:style w:type="character" w:customStyle="1" w:styleId="z-Char">
    <w:name w:val="z-窗体顶端 Char"/>
    <w:link w:val="z-1"/>
    <w:qFormat/>
    <w:rPr>
      <w:rFonts w:ascii="Arial" w:hAnsi="Arial"/>
      <w:vanish/>
      <w:sz w:val="24"/>
    </w:rPr>
  </w:style>
  <w:style w:type="paragraph" w:customStyle="1" w:styleId="z-1">
    <w:name w:val="z-窗体顶端1"/>
    <w:basedOn w:val="a"/>
    <w:next w:val="a"/>
    <w:link w:val="z-Char"/>
    <w:qFormat/>
    <w:pPr>
      <w:widowControl/>
      <w:pBdr>
        <w:bottom w:val="single" w:sz="6" w:space="1" w:color="auto"/>
      </w:pBdr>
      <w:jc w:val="center"/>
    </w:pPr>
    <w:rPr>
      <w:rFonts w:ascii="Arial" w:hAnsi="Arial" w:cstheme="minorBidi"/>
      <w:vanish/>
      <w:szCs w:val="22"/>
    </w:rPr>
  </w:style>
  <w:style w:type="character" w:customStyle="1" w:styleId="Char22">
    <w:name w:val="+正文 Char2"/>
    <w:link w:val="afffffc"/>
    <w:qFormat/>
    <w:rPr>
      <w:sz w:val="28"/>
    </w:rPr>
  </w:style>
  <w:style w:type="paragraph" w:customStyle="1" w:styleId="afffffc">
    <w:name w:val="+正文"/>
    <w:basedOn w:val="a"/>
    <w:link w:val="Char22"/>
    <w:qFormat/>
    <w:pPr>
      <w:widowControl/>
      <w:jc w:val="left"/>
    </w:pPr>
    <w:rPr>
      <w:rFonts w:cstheme="minorBidi"/>
      <w:szCs w:val="22"/>
    </w:rPr>
  </w:style>
  <w:style w:type="character" w:customStyle="1" w:styleId="Char19">
    <w:name w:val="标题 Char1"/>
    <w:qFormat/>
    <w:rPr>
      <w:rFonts w:ascii="Cambria" w:hAnsi="Cambria"/>
      <w:b/>
      <w:kern w:val="2"/>
      <w:sz w:val="32"/>
    </w:rPr>
  </w:style>
  <w:style w:type="character" w:customStyle="1" w:styleId="2CharChar0">
    <w:name w:val="正文（行首缩进2字） Char Char"/>
    <w:link w:val="2f9"/>
    <w:qFormat/>
    <w:rPr>
      <w:sz w:val="24"/>
    </w:rPr>
  </w:style>
  <w:style w:type="paragraph" w:customStyle="1" w:styleId="2f9">
    <w:name w:val="正文（行首缩进2字）"/>
    <w:basedOn w:val="a"/>
    <w:link w:val="2CharChar0"/>
    <w:qFormat/>
    <w:pPr>
      <w:widowControl/>
      <w:jc w:val="left"/>
    </w:pPr>
    <w:rPr>
      <w:rFonts w:cstheme="minorBidi"/>
      <w:szCs w:val="22"/>
    </w:rPr>
  </w:style>
  <w:style w:type="character" w:customStyle="1" w:styleId="4CharChar">
    <w:name w:val="样式4 Char Char"/>
    <w:link w:val="49"/>
    <w:qFormat/>
    <w:rPr>
      <w:rFonts w:ascii="Arial" w:eastAsia="黑体" w:hAnsi="Arial"/>
      <w:b/>
      <w:color w:val="000000"/>
      <w:sz w:val="32"/>
    </w:rPr>
  </w:style>
  <w:style w:type="paragraph" w:customStyle="1" w:styleId="49">
    <w:name w:val="样式4"/>
    <w:basedOn w:val="4"/>
    <w:link w:val="4CharChar"/>
    <w:qFormat/>
    <w:rPr>
      <w:rFonts w:ascii="Arial" w:eastAsia="黑体" w:hAnsi="Arial" w:cstheme="minorBidi"/>
      <w:bCs w:val="0"/>
      <w:kern w:val="2"/>
      <w:szCs w:val="22"/>
    </w:rPr>
  </w:style>
  <w:style w:type="character" w:customStyle="1" w:styleId="CharCharfc">
    <w:name w:val="正文改 Char Char"/>
    <w:link w:val="afffffd"/>
    <w:rPr>
      <w:rFonts w:ascii="宋体"/>
      <w:sz w:val="28"/>
    </w:rPr>
  </w:style>
  <w:style w:type="paragraph" w:customStyle="1" w:styleId="afffffd">
    <w:name w:val="正文改"/>
    <w:basedOn w:val="a"/>
    <w:link w:val="CharCharfc"/>
    <w:qFormat/>
    <w:pPr>
      <w:widowControl/>
      <w:spacing w:line="560" w:lineRule="exact"/>
      <w:ind w:firstLine="560"/>
      <w:jc w:val="left"/>
    </w:pPr>
    <w:rPr>
      <w:rFonts w:ascii="宋体" w:cstheme="minorBidi"/>
      <w:szCs w:val="22"/>
    </w:rPr>
  </w:style>
  <w:style w:type="character" w:customStyle="1" w:styleId="ListParagraphCharChar">
    <w:name w:val="List Paragraph Char Char"/>
    <w:link w:val="1fc"/>
    <w:qFormat/>
    <w:rPr>
      <w:rFonts w:ascii="Arial" w:eastAsia="仿宋_GB2312" w:hAnsi="Arial"/>
      <w:sz w:val="28"/>
    </w:rPr>
  </w:style>
  <w:style w:type="paragraph" w:customStyle="1" w:styleId="1fc">
    <w:name w:val="列出段落1"/>
    <w:basedOn w:val="a"/>
    <w:link w:val="ListParagraphCharChar"/>
    <w:qFormat/>
    <w:pPr>
      <w:overflowPunct w:val="0"/>
      <w:spacing w:line="480" w:lineRule="exact"/>
      <w:ind w:firstLine="420"/>
    </w:pPr>
    <w:rPr>
      <w:rFonts w:ascii="Arial" w:hAnsi="Arial" w:cstheme="minorBidi"/>
      <w:szCs w:val="22"/>
    </w:rPr>
  </w:style>
  <w:style w:type="character" w:customStyle="1" w:styleId="5CharChar0">
    <w:name w:val="样式 表内小5 + 黑体 加粗 倾斜 下划线 Char Char"/>
    <w:link w:val="58"/>
    <w:qFormat/>
    <w:rPr>
      <w:rFonts w:ascii="黑体" w:eastAsia="黑体" w:hAnsi="黑体"/>
      <w:b/>
      <w:i/>
      <w:sz w:val="24"/>
      <w:u w:val="single"/>
    </w:rPr>
  </w:style>
  <w:style w:type="paragraph" w:customStyle="1" w:styleId="58">
    <w:name w:val="样式 表内小5 + 黑体 加粗 倾斜 下划线"/>
    <w:basedOn w:val="a"/>
    <w:link w:val="5CharChar0"/>
    <w:qFormat/>
    <w:pPr>
      <w:widowControl/>
      <w:spacing w:line="300" w:lineRule="auto"/>
      <w:jc w:val="left"/>
    </w:pPr>
    <w:rPr>
      <w:rFonts w:ascii="黑体" w:eastAsia="黑体" w:hAnsi="黑体" w:cstheme="minorBidi"/>
      <w:b/>
      <w:i/>
      <w:szCs w:val="22"/>
      <w:u w:val="single"/>
    </w:rPr>
  </w:style>
  <w:style w:type="character" w:customStyle="1" w:styleId="CharCharfd">
    <w:name w:val="图题注 Char Char"/>
    <w:link w:val="afffffe"/>
    <w:qFormat/>
    <w:rPr>
      <w:rFonts w:ascii="黑体" w:eastAsia="黑体" w:hAnsi="Arial"/>
      <w:b/>
      <w:sz w:val="24"/>
    </w:rPr>
  </w:style>
  <w:style w:type="paragraph" w:customStyle="1" w:styleId="afffffe">
    <w:name w:val="图题注"/>
    <w:basedOn w:val="ab"/>
    <w:link w:val="CharCharfd"/>
    <w:qFormat/>
    <w:pPr>
      <w:widowControl/>
      <w:ind w:firstLineChars="0" w:firstLine="0"/>
      <w:jc w:val="center"/>
    </w:pPr>
    <w:rPr>
      <w:rFonts w:ascii="黑体" w:cstheme="minorBidi"/>
      <w:b/>
    </w:rPr>
  </w:style>
  <w:style w:type="character" w:customStyle="1" w:styleId="142TimesNewRoman1CharChar">
    <w:name w:val="样式 样式 样式 宋体 小四 行距: 多倍行距 1.4 字行2 + 黑色 + Times New Roman1 Char Char"/>
    <w:link w:val="142TimesNewRoman1"/>
    <w:qFormat/>
    <w:rPr>
      <w:color w:val="000000"/>
      <w:sz w:val="24"/>
    </w:rPr>
  </w:style>
  <w:style w:type="paragraph" w:customStyle="1" w:styleId="142TimesNewRoman1">
    <w:name w:val="样式 样式 样式 宋体 小四 行距: 多倍行距 1.4 字行2 + 黑色 + Times New Roman1"/>
    <w:basedOn w:val="a"/>
    <w:link w:val="142TimesNewRoman1CharChar"/>
    <w:rPr>
      <w:rFonts w:cstheme="minorBidi"/>
      <w:color w:val="000000"/>
      <w:szCs w:val="22"/>
    </w:rPr>
  </w:style>
  <w:style w:type="character" w:customStyle="1" w:styleId="CharCharfe">
    <w:name w:val="表图 Char Char"/>
    <w:link w:val="affffff"/>
    <w:qFormat/>
    <w:rPr>
      <w:rFonts w:eastAsia="仿宋_GB2312"/>
      <w:sz w:val="28"/>
    </w:rPr>
  </w:style>
  <w:style w:type="paragraph" w:customStyle="1" w:styleId="affffff">
    <w:name w:val="表图"/>
    <w:basedOn w:val="a"/>
    <w:link w:val="CharCharfe"/>
    <w:pPr>
      <w:widowControl/>
      <w:jc w:val="center"/>
    </w:pPr>
    <w:rPr>
      <w:rFonts w:cstheme="minorBidi"/>
      <w:szCs w:val="22"/>
    </w:rPr>
  </w:style>
  <w:style w:type="character" w:customStyle="1" w:styleId="CharCharff">
    <w:name w:val="单学凯小节标题 Char Char"/>
    <w:link w:val="affffff0"/>
    <w:qFormat/>
    <w:rPr>
      <w:rFonts w:ascii="宋体"/>
      <w:color w:val="000000"/>
      <w:sz w:val="24"/>
    </w:rPr>
  </w:style>
  <w:style w:type="paragraph" w:customStyle="1" w:styleId="affffff0">
    <w:name w:val="单学凯小节标题"/>
    <w:basedOn w:val="a"/>
    <w:link w:val="CharCharff"/>
    <w:pPr>
      <w:widowControl/>
      <w:tabs>
        <w:tab w:val="left" w:pos="5094"/>
      </w:tabs>
      <w:spacing w:before="156" w:after="156"/>
      <w:jc w:val="left"/>
      <w:textAlignment w:val="baseline"/>
    </w:pPr>
    <w:rPr>
      <w:rFonts w:ascii="宋体" w:cstheme="minorBidi"/>
      <w:color w:val="000000"/>
      <w:szCs w:val="22"/>
    </w:rPr>
  </w:style>
  <w:style w:type="character" w:customStyle="1" w:styleId="CharCharff0">
    <w:name w:val="表格内字体 Char Char"/>
    <w:link w:val="affffff1"/>
    <w:qFormat/>
    <w:rPr>
      <w:rFonts w:ascii="宋体"/>
      <w:sz w:val="24"/>
    </w:rPr>
  </w:style>
  <w:style w:type="paragraph" w:customStyle="1" w:styleId="affffff1">
    <w:name w:val="表格内字体"/>
    <w:basedOn w:val="affff4"/>
    <w:next w:val="affff4"/>
    <w:link w:val="CharCharff0"/>
    <w:qFormat/>
    <w:pPr>
      <w:spacing w:line="240" w:lineRule="auto"/>
      <w:ind w:firstLine="0"/>
      <w:jc w:val="center"/>
    </w:pPr>
    <w:rPr>
      <w:rFonts w:eastAsiaTheme="minorEastAsia" w:hAnsiTheme="minorHAnsi" w:cstheme="minorBidi"/>
    </w:rPr>
  </w:style>
  <w:style w:type="character" w:customStyle="1" w:styleId="4CharChar0">
    <w:name w:val="标题4改 Char Char"/>
    <w:link w:val="4a"/>
    <w:qFormat/>
    <w:rPr>
      <w:rFonts w:ascii="Times New Roman" w:eastAsia="黑体" w:hAnsi="Times New Roman"/>
      <w:sz w:val="24"/>
    </w:rPr>
  </w:style>
  <w:style w:type="paragraph" w:customStyle="1" w:styleId="4a">
    <w:name w:val="标题4改"/>
    <w:basedOn w:val="a"/>
    <w:next w:val="a"/>
    <w:link w:val="4CharChar0"/>
    <w:qFormat/>
    <w:pPr>
      <w:widowControl/>
      <w:spacing w:before="120" w:after="120"/>
      <w:ind w:firstLineChars="0" w:firstLine="0"/>
      <w:jc w:val="left"/>
      <w:outlineLvl w:val="3"/>
    </w:pPr>
    <w:rPr>
      <w:rFonts w:eastAsia="黑体" w:cstheme="minorBidi"/>
      <w:szCs w:val="22"/>
    </w:rPr>
  </w:style>
  <w:style w:type="character" w:customStyle="1" w:styleId="BodyText2CharChar">
    <w:name w:val="Body Text 2 Char Char"/>
    <w:link w:val="210"/>
    <w:qFormat/>
    <w:rPr>
      <w:rFonts w:eastAsia="仿宋_GB2312"/>
      <w:sz w:val="22"/>
    </w:rPr>
  </w:style>
  <w:style w:type="paragraph" w:customStyle="1" w:styleId="210">
    <w:name w:val="正文文本 21"/>
    <w:basedOn w:val="a"/>
    <w:link w:val="BodyText2CharChar"/>
    <w:qFormat/>
    <w:pPr>
      <w:spacing w:after="120" w:line="480" w:lineRule="auto"/>
    </w:pPr>
    <w:rPr>
      <w:rFonts w:cstheme="minorBidi"/>
      <w:sz w:val="22"/>
      <w:szCs w:val="22"/>
    </w:rPr>
  </w:style>
  <w:style w:type="character" w:customStyle="1" w:styleId="2CharChar1">
    <w:name w:val="正文标题2 Char Char"/>
    <w:link w:val="2fa"/>
    <w:qFormat/>
    <w:rPr>
      <w:rFonts w:eastAsia="仿宋_GB2312"/>
      <w:b/>
      <w:color w:val="000000"/>
      <w:sz w:val="30"/>
    </w:rPr>
  </w:style>
  <w:style w:type="paragraph" w:customStyle="1" w:styleId="2fa">
    <w:name w:val="正文标题2"/>
    <w:link w:val="2CharChar1"/>
    <w:pPr>
      <w:spacing w:beforeLines="50" w:before="156" w:afterLines="50" w:after="156" w:line="500" w:lineRule="exact"/>
      <w:outlineLvl w:val="1"/>
    </w:pPr>
    <w:rPr>
      <w:rFonts w:asciiTheme="minorHAnsi" w:eastAsia="仿宋_GB2312" w:hAnsiTheme="minorHAnsi" w:cstheme="minorBidi"/>
      <w:b/>
      <w:color w:val="000000"/>
      <w:kern w:val="2"/>
      <w:sz w:val="30"/>
      <w:szCs w:val="22"/>
    </w:rPr>
  </w:style>
  <w:style w:type="character" w:customStyle="1" w:styleId="5Char1">
    <w:name w:val="标题 5 Char1"/>
    <w:rPr>
      <w:rFonts w:eastAsia="仿宋_GB2312"/>
      <w:b/>
      <w:kern w:val="2"/>
      <w:sz w:val="28"/>
    </w:rPr>
  </w:style>
  <w:style w:type="character" w:customStyle="1" w:styleId="CharCharff1">
    <w:name w:val="正文斜体 Char Char"/>
    <w:link w:val="affffff2"/>
    <w:qFormat/>
    <w:rPr>
      <w:rFonts w:ascii="宋体"/>
      <w:i/>
      <w:sz w:val="24"/>
    </w:rPr>
  </w:style>
  <w:style w:type="paragraph" w:customStyle="1" w:styleId="affffff2">
    <w:name w:val="正文斜体"/>
    <w:basedOn w:val="affff4"/>
    <w:next w:val="affff4"/>
    <w:link w:val="CharCharff1"/>
    <w:rPr>
      <w:rFonts w:eastAsiaTheme="minorEastAsia" w:hAnsiTheme="minorHAnsi" w:cstheme="minorBidi"/>
      <w:i/>
    </w:rPr>
  </w:style>
  <w:style w:type="character" w:customStyle="1" w:styleId="KY--5CharChar">
    <w:name w:val="KY-正文-5 Char Char"/>
    <w:link w:val="KY--5"/>
    <w:qFormat/>
    <w:rPr>
      <w:sz w:val="28"/>
      <w:szCs w:val="28"/>
    </w:rPr>
  </w:style>
  <w:style w:type="paragraph" w:customStyle="1" w:styleId="KY--5">
    <w:name w:val="KY-正文-5"/>
    <w:basedOn w:val="a"/>
    <w:next w:val="a"/>
    <w:link w:val="KY--5CharChar"/>
    <w:qFormat/>
    <w:pPr>
      <w:tabs>
        <w:tab w:val="left" w:pos="360"/>
      </w:tabs>
      <w:ind w:left="360" w:hanging="360"/>
      <w:outlineLvl w:val="4"/>
    </w:pPr>
    <w:rPr>
      <w:rFonts w:cstheme="minorBidi"/>
      <w:szCs w:val="28"/>
    </w:rPr>
  </w:style>
  <w:style w:type="character" w:customStyle="1" w:styleId="CharCharff2">
    <w:name w:val="图题 Char Char"/>
    <w:link w:val="64"/>
    <w:qFormat/>
    <w:rPr>
      <w:rFonts w:ascii="黑体" w:eastAsia="黑体" w:hAnsi="宋体"/>
      <w:b/>
      <w:sz w:val="24"/>
    </w:rPr>
  </w:style>
  <w:style w:type="paragraph" w:customStyle="1" w:styleId="64">
    <w:name w:val="图题6"/>
    <w:basedOn w:val="affff4"/>
    <w:next w:val="affff4"/>
    <w:link w:val="CharCharff2"/>
    <w:qFormat/>
    <w:pPr>
      <w:ind w:firstLine="0"/>
      <w:jc w:val="center"/>
    </w:pPr>
    <w:rPr>
      <w:rFonts w:ascii="黑体" w:eastAsia="黑体" w:hAnsi="宋体" w:cstheme="minorBidi"/>
      <w:b/>
    </w:rPr>
  </w:style>
  <w:style w:type="character" w:customStyle="1" w:styleId="CharCharff3">
    <w:name w:val="文档结构图 Char Char"/>
    <w:link w:val="1fd"/>
    <w:qFormat/>
    <w:rPr>
      <w:sz w:val="24"/>
      <w:shd w:val="clear" w:color="auto" w:fill="000080"/>
    </w:rPr>
  </w:style>
  <w:style w:type="paragraph" w:customStyle="1" w:styleId="1fd">
    <w:name w:val="文档结构图1"/>
    <w:basedOn w:val="a"/>
    <w:link w:val="CharCharff3"/>
    <w:qFormat/>
    <w:pPr>
      <w:widowControl/>
      <w:shd w:val="clear" w:color="auto" w:fill="000080"/>
      <w:jc w:val="left"/>
    </w:pPr>
    <w:rPr>
      <w:rFonts w:cstheme="minorBidi"/>
      <w:szCs w:val="22"/>
      <w:shd w:val="clear" w:color="auto" w:fill="000080"/>
    </w:rPr>
  </w:style>
  <w:style w:type="character" w:customStyle="1" w:styleId="CharCharff4">
    <w:name w:val="样式正文 Char Char"/>
    <w:link w:val="affffff3"/>
    <w:qFormat/>
    <w:rPr>
      <w:sz w:val="24"/>
    </w:rPr>
  </w:style>
  <w:style w:type="paragraph" w:customStyle="1" w:styleId="affffff3">
    <w:name w:val="样式正文"/>
    <w:basedOn w:val="a"/>
    <w:link w:val="CharCharff4"/>
    <w:qFormat/>
    <w:pPr>
      <w:spacing w:line="400" w:lineRule="exact"/>
    </w:pPr>
    <w:rPr>
      <w:rFonts w:cstheme="minorBidi"/>
      <w:szCs w:val="22"/>
    </w:rPr>
  </w:style>
  <w:style w:type="character" w:customStyle="1" w:styleId="1CharChar0">
    <w:name w:val="表头1 Char Char"/>
    <w:link w:val="1fe"/>
    <w:qFormat/>
    <w:rPr>
      <w:rFonts w:eastAsia="黑体"/>
      <w:sz w:val="28"/>
    </w:rPr>
  </w:style>
  <w:style w:type="paragraph" w:customStyle="1" w:styleId="1fe">
    <w:name w:val="表头1"/>
    <w:basedOn w:val="a"/>
    <w:next w:val="a"/>
    <w:link w:val="1CharChar0"/>
    <w:qFormat/>
    <w:pPr>
      <w:tabs>
        <w:tab w:val="left" w:pos="605"/>
      </w:tabs>
      <w:jc w:val="center"/>
    </w:pPr>
    <w:rPr>
      <w:rFonts w:eastAsia="黑体" w:cstheme="minorBidi"/>
      <w:szCs w:val="22"/>
    </w:rPr>
  </w:style>
  <w:style w:type="character" w:customStyle="1" w:styleId="CharCharff5">
    <w:name w:val="列出段落 Char Char"/>
    <w:qFormat/>
    <w:rPr>
      <w:sz w:val="24"/>
    </w:rPr>
  </w:style>
  <w:style w:type="character" w:customStyle="1" w:styleId="Char1a">
    <w:name w:val="表蕊 Char1"/>
    <w:link w:val="affffff4"/>
    <w:qFormat/>
    <w:rPr>
      <w:rFonts w:eastAsia="楷体_GB2312"/>
      <w:color w:val="000000"/>
      <w:spacing w:val="-10"/>
    </w:rPr>
  </w:style>
  <w:style w:type="paragraph" w:customStyle="1" w:styleId="affffff4">
    <w:name w:val="表蕊"/>
    <w:basedOn w:val="a"/>
    <w:link w:val="Char1a"/>
    <w:qFormat/>
    <w:pPr>
      <w:spacing w:line="280" w:lineRule="atLeast"/>
      <w:jc w:val="left"/>
    </w:pPr>
    <w:rPr>
      <w:rFonts w:eastAsia="楷体_GB2312" w:cstheme="minorBidi"/>
      <w:color w:val="000000"/>
      <w:spacing w:val="-10"/>
      <w:szCs w:val="22"/>
    </w:rPr>
  </w:style>
  <w:style w:type="character" w:customStyle="1" w:styleId="Charb">
    <w:name w:val="表格 表头 Char"/>
    <w:link w:val="affffff5"/>
    <w:qFormat/>
    <w:rPr>
      <w:rFonts w:eastAsia="仿宋_GB2312"/>
      <w:szCs w:val="21"/>
    </w:rPr>
  </w:style>
  <w:style w:type="paragraph" w:customStyle="1" w:styleId="affffff5">
    <w:name w:val="表格 表头"/>
    <w:basedOn w:val="affff1"/>
    <w:link w:val="Charb"/>
    <w:autoRedefine/>
    <w:pPr>
      <w:spacing w:line="240" w:lineRule="auto"/>
      <w:ind w:firstLineChars="0" w:firstLine="0"/>
    </w:pPr>
    <w:rPr>
      <w:rFonts w:asciiTheme="minorHAnsi" w:hAnsiTheme="minorHAnsi" w:cstheme="minorBidi"/>
      <w:sz w:val="21"/>
      <w:szCs w:val="21"/>
    </w:rPr>
  </w:style>
  <w:style w:type="character" w:customStyle="1" w:styleId="CharCharff6">
    <w:name w:val="下标 Char Char"/>
    <w:link w:val="affffff6"/>
    <w:qFormat/>
    <w:rPr>
      <w:rFonts w:ascii="仿宋_GB2312" w:eastAsia="仿宋_GB2312"/>
      <w:sz w:val="28"/>
      <w:vertAlign w:val="subscript"/>
    </w:rPr>
  </w:style>
  <w:style w:type="paragraph" w:customStyle="1" w:styleId="affffff6">
    <w:name w:val="下标"/>
    <w:basedOn w:val="afffff7"/>
    <w:link w:val="CharCharff6"/>
    <w:qFormat/>
    <w:pPr>
      <w:ind w:firstLineChars="500" w:firstLine="1200"/>
    </w:pPr>
    <w:rPr>
      <w:vertAlign w:val="subscript"/>
    </w:rPr>
  </w:style>
  <w:style w:type="character" w:customStyle="1" w:styleId="EndnoteTextChar1">
    <w:name w:val="Endnote Text Char1"/>
    <w:rPr>
      <w:rFonts w:eastAsia="仿宋_GB2312"/>
      <w:kern w:val="2"/>
      <w:sz w:val="28"/>
      <w:szCs w:val="22"/>
    </w:rPr>
  </w:style>
  <w:style w:type="character" w:customStyle="1" w:styleId="ACharChar">
    <w:name w:val="A正文 Char Char"/>
    <w:link w:val="Affffff7"/>
    <w:rPr>
      <w:rFonts w:eastAsia="仿宋_GB2312"/>
      <w:sz w:val="24"/>
    </w:rPr>
  </w:style>
  <w:style w:type="paragraph" w:customStyle="1" w:styleId="Affffff7">
    <w:name w:val="A正文"/>
    <w:basedOn w:val="a"/>
    <w:link w:val="ACharChar"/>
    <w:qFormat/>
    <w:pPr>
      <w:widowControl/>
      <w:overflowPunct w:val="0"/>
      <w:autoSpaceDE w:val="0"/>
      <w:autoSpaceDN w:val="0"/>
      <w:jc w:val="left"/>
      <w:textAlignment w:val="baseline"/>
    </w:pPr>
    <w:rPr>
      <w:rFonts w:cstheme="minorBidi"/>
      <w:szCs w:val="22"/>
    </w:rPr>
  </w:style>
  <w:style w:type="character" w:customStyle="1" w:styleId="DocumentMapCharChar">
    <w:name w:val="Document Map Char Char"/>
    <w:link w:val="2fb"/>
    <w:qFormat/>
    <w:rPr>
      <w:rFonts w:eastAsia="仿宋_GB2312"/>
      <w:sz w:val="22"/>
      <w:shd w:val="clear" w:color="auto" w:fill="000080"/>
    </w:rPr>
  </w:style>
  <w:style w:type="paragraph" w:customStyle="1" w:styleId="2fb">
    <w:name w:val="文档结构图2"/>
    <w:basedOn w:val="a"/>
    <w:link w:val="DocumentMapCharChar"/>
    <w:qFormat/>
    <w:pPr>
      <w:shd w:val="clear" w:color="auto" w:fill="000080"/>
    </w:pPr>
    <w:rPr>
      <w:rFonts w:cstheme="minorBidi"/>
      <w:sz w:val="22"/>
      <w:szCs w:val="22"/>
      <w:shd w:val="clear" w:color="auto" w:fill="000080"/>
    </w:rPr>
  </w:style>
  <w:style w:type="character" w:customStyle="1" w:styleId="3Char6">
    <w:name w:val="正文文本缩进 3 Char6"/>
    <w:link w:val="BodyTextIndent31"/>
    <w:rPr>
      <w:rFonts w:ascii="Tahoma" w:hAnsi="Tahoma"/>
      <w:sz w:val="28"/>
    </w:rPr>
  </w:style>
  <w:style w:type="paragraph" w:customStyle="1" w:styleId="BodyTextIndent31">
    <w:name w:val="Body Text Indent 31"/>
    <w:basedOn w:val="a"/>
    <w:link w:val="3Char6"/>
    <w:qFormat/>
    <w:pPr>
      <w:widowControl/>
      <w:spacing w:line="400" w:lineRule="exact"/>
      <w:ind w:firstLine="420"/>
      <w:jc w:val="left"/>
    </w:pPr>
    <w:rPr>
      <w:rFonts w:ascii="Tahoma" w:hAnsi="Tahoma" w:cstheme="minorBidi"/>
      <w:szCs w:val="22"/>
    </w:rPr>
  </w:style>
  <w:style w:type="character" w:customStyle="1" w:styleId="2Char10">
    <w:name w:val="正文文本 2 Char1"/>
    <w:qFormat/>
    <w:rPr>
      <w:rFonts w:eastAsia="仿宋_GB2312"/>
      <w:kern w:val="2"/>
      <w:sz w:val="22"/>
    </w:rPr>
  </w:style>
  <w:style w:type="character" w:customStyle="1" w:styleId="12CharChar0">
    <w:name w:val="表格 12 Char Char"/>
    <w:link w:val="121"/>
    <w:qFormat/>
    <w:rPr>
      <w:rFonts w:eastAsia="仿宋_GB2312"/>
      <w:color w:val="0000CC"/>
      <w:sz w:val="24"/>
    </w:rPr>
  </w:style>
  <w:style w:type="paragraph" w:customStyle="1" w:styleId="121">
    <w:name w:val="表格 12"/>
    <w:basedOn w:val="a"/>
    <w:link w:val="12CharChar0"/>
    <w:qFormat/>
    <w:pPr>
      <w:jc w:val="center"/>
    </w:pPr>
    <w:rPr>
      <w:rFonts w:cstheme="minorBidi"/>
      <w:color w:val="0000CC"/>
      <w:szCs w:val="22"/>
    </w:rPr>
  </w:style>
  <w:style w:type="character" w:customStyle="1" w:styleId="5CharChar1">
    <w:name w:val="表内5 Char Char"/>
    <w:link w:val="510"/>
    <w:qFormat/>
    <w:rPr>
      <w:rFonts w:ascii="宋体"/>
    </w:rPr>
  </w:style>
  <w:style w:type="paragraph" w:customStyle="1" w:styleId="510">
    <w:name w:val="表内51"/>
    <w:basedOn w:val="a"/>
    <w:link w:val="5CharChar1"/>
    <w:qFormat/>
    <w:pPr>
      <w:widowControl/>
      <w:jc w:val="center"/>
    </w:pPr>
    <w:rPr>
      <w:rFonts w:ascii="宋体" w:cstheme="minorBidi"/>
      <w:szCs w:val="22"/>
    </w:rPr>
  </w:style>
  <w:style w:type="character" w:customStyle="1" w:styleId="Char1b">
    <w:name w:val="副标题 Char1"/>
    <w:rPr>
      <w:rFonts w:ascii="Cambria" w:hAnsi="Cambria"/>
      <w:b/>
      <w:kern w:val="28"/>
      <w:sz w:val="32"/>
    </w:rPr>
  </w:style>
  <w:style w:type="character" w:customStyle="1" w:styleId="CharCharff7">
    <w:name w:val="报告 Char Char"/>
    <w:link w:val="affffff8"/>
    <w:qFormat/>
    <w:rPr>
      <w:sz w:val="24"/>
    </w:rPr>
  </w:style>
  <w:style w:type="paragraph" w:customStyle="1" w:styleId="affffff8">
    <w:name w:val="报告"/>
    <w:basedOn w:val="a"/>
    <w:link w:val="CharCharff7"/>
    <w:qFormat/>
    <w:pPr>
      <w:overflowPunct w:val="0"/>
      <w:autoSpaceDE w:val="0"/>
      <w:autoSpaceDN w:val="0"/>
      <w:spacing w:beforeLines="20" w:before="62" w:afterLines="20" w:after="62" w:line="440" w:lineRule="atLeast"/>
      <w:ind w:rightChars="-100" w:right="-100"/>
    </w:pPr>
    <w:rPr>
      <w:rFonts w:cstheme="minorBidi"/>
      <w:szCs w:val="22"/>
    </w:rPr>
  </w:style>
  <w:style w:type="character" w:customStyle="1" w:styleId="Charc">
    <w:name w:val="明显引用 Char"/>
    <w:link w:val="1ff"/>
    <w:rPr>
      <w:rFonts w:ascii="宋体" w:eastAsia="仿宋_GB2312" w:hAnsi="宋体"/>
      <w:b/>
      <w:i/>
      <w:color w:val="4F81BD"/>
      <w:sz w:val="24"/>
    </w:rPr>
  </w:style>
  <w:style w:type="paragraph" w:customStyle="1" w:styleId="1ff">
    <w:name w:val="明显引用1"/>
    <w:basedOn w:val="a"/>
    <w:next w:val="a"/>
    <w:link w:val="Charc"/>
    <w:pPr>
      <w:widowControl/>
      <w:pBdr>
        <w:bottom w:val="single" w:sz="4" w:space="4" w:color="4F81BD"/>
      </w:pBdr>
      <w:spacing w:before="200" w:after="280"/>
      <w:ind w:left="936" w:right="936"/>
      <w:jc w:val="left"/>
    </w:pPr>
    <w:rPr>
      <w:rFonts w:ascii="宋体" w:hAnsi="宋体" w:cstheme="minorBidi"/>
      <w:b/>
      <w:i/>
      <w:color w:val="4F81BD"/>
      <w:szCs w:val="22"/>
    </w:rPr>
  </w:style>
  <w:style w:type="character" w:customStyle="1" w:styleId="2Char11">
    <w:name w:val="正文首行缩进 2 Char1"/>
    <w:link w:val="211"/>
    <w:qFormat/>
    <w:rPr>
      <w:rFonts w:ascii="宋体"/>
      <w:sz w:val="28"/>
    </w:rPr>
  </w:style>
  <w:style w:type="paragraph" w:customStyle="1" w:styleId="211">
    <w:name w:val="正文首行缩进 21"/>
    <w:basedOn w:val="93"/>
    <w:link w:val="2Char11"/>
    <w:qFormat/>
    <w:pPr>
      <w:spacing w:line="240" w:lineRule="auto"/>
      <w:ind w:firstLine="420"/>
    </w:pPr>
    <w:rPr>
      <w:rFonts w:eastAsiaTheme="minorEastAsia" w:hAnsiTheme="minorHAnsi" w:cstheme="minorBidi"/>
      <w:kern w:val="2"/>
      <w:sz w:val="28"/>
      <w:szCs w:val="22"/>
    </w:rPr>
  </w:style>
  <w:style w:type="paragraph" w:customStyle="1" w:styleId="93">
    <w:name w:val="正文文本缩进9"/>
    <w:basedOn w:val="a"/>
    <w:qFormat/>
    <w:pPr>
      <w:widowControl/>
      <w:spacing w:after="120"/>
      <w:ind w:leftChars="200" w:left="420"/>
      <w:jc w:val="left"/>
    </w:pPr>
    <w:rPr>
      <w:rFonts w:ascii="宋体" w:hAnsi="宋体" w:cs="宋体"/>
      <w:kern w:val="0"/>
    </w:rPr>
  </w:style>
  <w:style w:type="character" w:customStyle="1" w:styleId="chen11CharChar">
    <w:name w:val="chen正文字体11 Char Char"/>
    <w:link w:val="chen11"/>
    <w:qFormat/>
    <w:rPr>
      <w:color w:val="000000"/>
      <w:sz w:val="24"/>
    </w:rPr>
  </w:style>
  <w:style w:type="paragraph" w:customStyle="1" w:styleId="chen11">
    <w:name w:val="chen正文字体11"/>
    <w:basedOn w:val="a"/>
    <w:link w:val="chen11CharChar"/>
    <w:qFormat/>
    <w:rPr>
      <w:rFonts w:cstheme="minorBidi"/>
      <w:color w:val="000000"/>
      <w:szCs w:val="22"/>
    </w:rPr>
  </w:style>
  <w:style w:type="character" w:customStyle="1" w:styleId="CharCharff8">
    <w:name w:val="环评正文 Char Char"/>
    <w:link w:val="affffff9"/>
    <w:rPr>
      <w:rFonts w:ascii="仿宋_GB2312" w:eastAsia="仿宋_GB2312"/>
      <w:sz w:val="28"/>
    </w:rPr>
  </w:style>
  <w:style w:type="paragraph" w:customStyle="1" w:styleId="affffff9">
    <w:name w:val="环评正文"/>
    <w:basedOn w:val="1f4"/>
    <w:link w:val="CharCharff8"/>
    <w:pPr>
      <w:ind w:firstLine="560"/>
    </w:pPr>
    <w:rPr>
      <w:rFonts w:ascii="仿宋_GB2312" w:hAnsiTheme="minorHAnsi" w:cstheme="minorBidi"/>
      <w:sz w:val="28"/>
    </w:rPr>
  </w:style>
  <w:style w:type="character" w:customStyle="1" w:styleId="CharCharff9">
    <w:name w:val="正文新 Char Char"/>
    <w:link w:val="affffffa"/>
    <w:qFormat/>
    <w:rPr>
      <w:rFonts w:ascii="宋体"/>
      <w:sz w:val="28"/>
    </w:rPr>
  </w:style>
  <w:style w:type="paragraph" w:customStyle="1" w:styleId="affffffa">
    <w:name w:val="正文新"/>
    <w:basedOn w:val="a"/>
    <w:link w:val="CharCharff9"/>
    <w:pPr>
      <w:widowControl/>
      <w:spacing w:line="560" w:lineRule="exact"/>
      <w:ind w:firstLine="560"/>
      <w:jc w:val="left"/>
    </w:pPr>
    <w:rPr>
      <w:rFonts w:ascii="宋体" w:cstheme="minorBidi"/>
      <w:szCs w:val="22"/>
    </w:rPr>
  </w:style>
  <w:style w:type="character" w:customStyle="1" w:styleId="CharCharCharCharCharCharChar12">
    <w:name w:val="Char Char Char Char Char Char Char12"/>
    <w:link w:val="CharCharCharCharCharChar6"/>
    <w:qFormat/>
    <w:rPr>
      <w:sz w:val="24"/>
    </w:rPr>
  </w:style>
  <w:style w:type="paragraph" w:customStyle="1" w:styleId="CharCharCharCharCharChar6">
    <w:name w:val="Char Char Char Char Char Char6"/>
    <w:basedOn w:val="a"/>
    <w:link w:val="CharCharCharCharCharCharChar12"/>
    <w:pPr>
      <w:widowControl/>
      <w:jc w:val="left"/>
    </w:pPr>
    <w:rPr>
      <w:rFonts w:cstheme="minorBidi"/>
      <w:szCs w:val="22"/>
    </w:rPr>
  </w:style>
  <w:style w:type="character" w:customStyle="1" w:styleId="CharCharffa">
    <w:name w:val="表格内容 Char Char"/>
    <w:link w:val="affffffb"/>
    <w:qFormat/>
    <w:rPr>
      <w:rFonts w:ascii="Arial" w:eastAsia="仿宋_GB2312" w:hAnsi="Arial"/>
      <w:sz w:val="24"/>
    </w:rPr>
  </w:style>
  <w:style w:type="paragraph" w:customStyle="1" w:styleId="affffffb">
    <w:name w:val="表格内容"/>
    <w:basedOn w:val="a"/>
    <w:link w:val="CharCharffa"/>
    <w:pPr>
      <w:overflowPunct w:val="0"/>
      <w:spacing w:before="40" w:after="60" w:line="200" w:lineRule="atLeast"/>
      <w:textAlignment w:val="baseline"/>
    </w:pPr>
    <w:rPr>
      <w:rFonts w:ascii="Arial" w:hAnsi="Arial" w:cstheme="minorBidi"/>
      <w:szCs w:val="22"/>
    </w:rPr>
  </w:style>
  <w:style w:type="character" w:customStyle="1" w:styleId="CharCharffb">
    <w:name w:val="大港正文 Char Char"/>
    <w:link w:val="affffffc"/>
    <w:qFormat/>
    <w:rPr>
      <w:rFonts w:ascii="仿宋_GB2312" w:eastAsia="仿宋_GB2312" w:hAnsi="宋体"/>
      <w:sz w:val="28"/>
    </w:rPr>
  </w:style>
  <w:style w:type="paragraph" w:customStyle="1" w:styleId="affffffc">
    <w:name w:val="大港正文"/>
    <w:basedOn w:val="a"/>
    <w:next w:val="a"/>
    <w:link w:val="CharCharffb"/>
    <w:qFormat/>
    <w:pPr>
      <w:widowControl/>
      <w:jc w:val="left"/>
    </w:pPr>
    <w:rPr>
      <w:rFonts w:ascii="仿宋_GB2312" w:hAnsi="宋体" w:cstheme="minorBidi"/>
      <w:szCs w:val="22"/>
    </w:rPr>
  </w:style>
  <w:style w:type="character" w:customStyle="1" w:styleId="CharCharffc">
    <w:name w:val="参加人员 Char Char"/>
    <w:link w:val="affffffd"/>
    <w:rPr>
      <w:sz w:val="24"/>
    </w:rPr>
  </w:style>
  <w:style w:type="paragraph" w:customStyle="1" w:styleId="affffffd">
    <w:name w:val="参加人员"/>
    <w:basedOn w:val="a"/>
    <w:link w:val="CharCharffc"/>
    <w:qFormat/>
    <w:pPr>
      <w:widowControl/>
      <w:jc w:val="left"/>
    </w:pPr>
    <w:rPr>
      <w:rFonts w:cstheme="minorBidi"/>
      <w:szCs w:val="22"/>
    </w:rPr>
  </w:style>
  <w:style w:type="character" w:customStyle="1" w:styleId="3Char11">
    <w:name w:val="正文文本缩进 3 Char1"/>
    <w:qFormat/>
    <w:rPr>
      <w:rFonts w:eastAsia="仿宋_GB2312"/>
      <w:kern w:val="2"/>
      <w:sz w:val="16"/>
    </w:rPr>
  </w:style>
  <w:style w:type="character" w:customStyle="1" w:styleId="A2CharChar">
    <w:name w:val="A2 Char Char"/>
    <w:link w:val="A20"/>
    <w:rPr>
      <w:sz w:val="24"/>
    </w:rPr>
  </w:style>
  <w:style w:type="paragraph" w:customStyle="1" w:styleId="A20">
    <w:name w:val="A2"/>
    <w:basedOn w:val="a"/>
    <w:link w:val="A2CharChar"/>
    <w:pPr>
      <w:widowControl/>
      <w:ind w:firstLine="570"/>
      <w:jc w:val="left"/>
    </w:pPr>
    <w:rPr>
      <w:rFonts w:cstheme="minorBidi"/>
      <w:szCs w:val="22"/>
    </w:rPr>
  </w:style>
  <w:style w:type="character" w:customStyle="1" w:styleId="CharCharffd">
    <w:name w:val="表格 首行文字 Char Char"/>
    <w:link w:val="affffffe"/>
    <w:qFormat/>
    <w:rPr>
      <w:rFonts w:eastAsia="仿宋_GB2312"/>
      <w:b/>
    </w:rPr>
  </w:style>
  <w:style w:type="paragraph" w:customStyle="1" w:styleId="affffffe">
    <w:name w:val="表格 首行文字"/>
    <w:basedOn w:val="a"/>
    <w:link w:val="CharCharffd"/>
    <w:pPr>
      <w:jc w:val="center"/>
    </w:pPr>
    <w:rPr>
      <w:rFonts w:cstheme="minorBidi"/>
      <w:b/>
      <w:szCs w:val="22"/>
    </w:rPr>
  </w:style>
  <w:style w:type="character" w:customStyle="1" w:styleId="3GB2312CharChar">
    <w:name w:val="样式 标题 3 + 仿宋_GB2312 Char Char"/>
    <w:link w:val="3GB2312"/>
    <w:rPr>
      <w:rFonts w:ascii="仿宋_GB2312" w:eastAsia="宋体" w:hAnsi="仿宋_GB2312"/>
      <w:b/>
      <w:color w:val="000000"/>
      <w:sz w:val="24"/>
    </w:rPr>
  </w:style>
  <w:style w:type="paragraph" w:customStyle="1" w:styleId="3GB2312">
    <w:name w:val="样式 标题 3 + 仿宋_GB2312"/>
    <w:basedOn w:val="3"/>
    <w:link w:val="3GB2312CharChar"/>
    <w:qFormat/>
    <w:rPr>
      <w:rFonts w:ascii="仿宋_GB2312" w:hAnsi="仿宋_GB2312" w:cstheme="minorBidi"/>
      <w:bCs w:val="0"/>
      <w:color w:val="000000"/>
      <w:szCs w:val="22"/>
    </w:rPr>
  </w:style>
  <w:style w:type="character" w:customStyle="1" w:styleId="CharCharCharCharCharCharChar11">
    <w:name w:val="Char Char Char Char Char Char Char11"/>
    <w:link w:val="CharCharCharCharCharChar5"/>
    <w:rPr>
      <w:sz w:val="24"/>
    </w:rPr>
  </w:style>
  <w:style w:type="paragraph" w:customStyle="1" w:styleId="CharCharCharCharCharChar5">
    <w:name w:val="Char Char Char Char Char Char5"/>
    <w:basedOn w:val="a"/>
    <w:link w:val="CharCharCharCharCharCharChar11"/>
    <w:pPr>
      <w:widowControl/>
      <w:jc w:val="left"/>
    </w:pPr>
    <w:rPr>
      <w:rFonts w:cstheme="minorBidi"/>
      <w:szCs w:val="22"/>
    </w:rPr>
  </w:style>
  <w:style w:type="character" w:customStyle="1" w:styleId="Char4CharCharCharChar4">
    <w:name w:val="Char4 Char Char Char Char4"/>
    <w:link w:val="Char4CharCharChar5"/>
    <w:qFormat/>
    <w:rPr>
      <w:rFonts w:eastAsia="仿宋_GB2312"/>
      <w:sz w:val="24"/>
    </w:rPr>
  </w:style>
  <w:style w:type="paragraph" w:customStyle="1" w:styleId="Char4CharCharChar5">
    <w:name w:val="Char4 Char Char Char5"/>
    <w:basedOn w:val="a"/>
    <w:link w:val="Char4CharCharCharChar4"/>
    <w:pPr>
      <w:widowControl/>
      <w:jc w:val="left"/>
    </w:pPr>
    <w:rPr>
      <w:rFonts w:cstheme="minorBidi"/>
      <w:szCs w:val="22"/>
    </w:rPr>
  </w:style>
  <w:style w:type="character" w:customStyle="1" w:styleId="1Char1">
    <w:name w:val="环标1 Char1"/>
    <w:link w:val="1ff0"/>
    <w:qFormat/>
    <w:rPr>
      <w:rFonts w:ascii="黑体" w:eastAsia="黑体" w:hAnsi="Courier New"/>
      <w:kern w:val="44"/>
      <w:sz w:val="32"/>
    </w:rPr>
  </w:style>
  <w:style w:type="paragraph" w:customStyle="1" w:styleId="1ff0">
    <w:name w:val="环标1"/>
    <w:basedOn w:val="1"/>
    <w:link w:val="1Char1"/>
    <w:qFormat/>
    <w:rPr>
      <w:rFonts w:ascii="黑体" w:eastAsia="黑体" w:hAnsi="Courier New" w:cstheme="minorBidi"/>
      <w:b w:val="0"/>
      <w:bCs w:val="0"/>
      <w:sz w:val="32"/>
      <w:szCs w:val="22"/>
    </w:rPr>
  </w:style>
  <w:style w:type="character" w:customStyle="1" w:styleId="4CharChar1">
    <w:name w:val="标题4新 Char Char"/>
    <w:link w:val="4b"/>
    <w:qFormat/>
    <w:rPr>
      <w:rFonts w:eastAsia="仿宋_GB2312"/>
      <w:b/>
      <w:sz w:val="28"/>
    </w:rPr>
  </w:style>
  <w:style w:type="paragraph" w:customStyle="1" w:styleId="4b">
    <w:name w:val="标题4新"/>
    <w:basedOn w:val="a0"/>
    <w:link w:val="4CharChar1"/>
    <w:pPr>
      <w:spacing w:line="500" w:lineRule="exact"/>
      <w:outlineLvl w:val="3"/>
    </w:pPr>
    <w:rPr>
      <w:rFonts w:asciiTheme="minorHAnsi" w:hAnsiTheme="minorHAnsi" w:cstheme="minorBidi"/>
      <w:b/>
      <w:sz w:val="28"/>
    </w:rPr>
  </w:style>
  <w:style w:type="character" w:customStyle="1" w:styleId="Char4CharCharCharChar5">
    <w:name w:val="Char4 Char Char Char Char5"/>
    <w:link w:val="Char4CharCharChar6"/>
    <w:qFormat/>
    <w:rPr>
      <w:rFonts w:eastAsia="仿宋_GB2312"/>
      <w:sz w:val="24"/>
    </w:rPr>
  </w:style>
  <w:style w:type="paragraph" w:customStyle="1" w:styleId="Char4CharCharChar6">
    <w:name w:val="Char4 Char Char Char6"/>
    <w:basedOn w:val="a"/>
    <w:link w:val="Char4CharCharCharChar5"/>
    <w:qFormat/>
    <w:pPr>
      <w:widowControl/>
      <w:jc w:val="left"/>
    </w:pPr>
    <w:rPr>
      <w:rFonts w:cstheme="minorBidi"/>
      <w:szCs w:val="22"/>
    </w:rPr>
  </w:style>
  <w:style w:type="character" w:customStyle="1" w:styleId="1CharChar1">
    <w:name w:val="章标题1 Char Char"/>
    <w:link w:val="1ff1"/>
    <w:qFormat/>
    <w:rPr>
      <w:rFonts w:ascii="宋体"/>
      <w:b/>
      <w:kern w:val="44"/>
      <w:sz w:val="30"/>
    </w:rPr>
  </w:style>
  <w:style w:type="paragraph" w:customStyle="1" w:styleId="1ff1">
    <w:name w:val="章标题1"/>
    <w:basedOn w:val="1"/>
    <w:link w:val="1CharChar1"/>
    <w:qFormat/>
    <w:rPr>
      <w:rFonts w:ascii="宋体" w:eastAsiaTheme="minorEastAsia" w:hAnsiTheme="minorHAnsi" w:cstheme="minorBidi"/>
      <w:bCs w:val="0"/>
      <w:sz w:val="30"/>
      <w:szCs w:val="22"/>
    </w:rPr>
  </w:style>
  <w:style w:type="character" w:customStyle="1" w:styleId="CharCharffe">
    <w:name w:val="题注 + 居中! Char Char"/>
    <w:link w:val="afffffff"/>
    <w:qFormat/>
    <w:rPr>
      <w:rFonts w:ascii="黑体" w:eastAsia="黑体" w:hAnsi="Arial"/>
      <w:sz w:val="24"/>
    </w:rPr>
  </w:style>
  <w:style w:type="paragraph" w:customStyle="1" w:styleId="afffffff">
    <w:name w:val="题注 + 居中!"/>
    <w:basedOn w:val="ab"/>
    <w:link w:val="CharCharffe"/>
    <w:pPr>
      <w:ind w:firstLine="480"/>
      <w:jc w:val="center"/>
    </w:pPr>
    <w:rPr>
      <w:rFonts w:ascii="黑体" w:cstheme="minorBidi"/>
    </w:rPr>
  </w:style>
  <w:style w:type="character" w:customStyle="1" w:styleId="2CharChar2">
    <w:name w:val="正文(首行缩进2字) Char Char"/>
    <w:link w:val="2fc"/>
    <w:rPr>
      <w:color w:val="000000"/>
      <w:sz w:val="24"/>
    </w:rPr>
  </w:style>
  <w:style w:type="paragraph" w:customStyle="1" w:styleId="2fc">
    <w:name w:val="正文(首行缩进2字)"/>
    <w:basedOn w:val="a"/>
    <w:next w:val="a"/>
    <w:link w:val="2CharChar2"/>
    <w:qFormat/>
    <w:pPr>
      <w:widowControl/>
      <w:spacing w:after="156" w:line="300" w:lineRule="auto"/>
      <w:jc w:val="left"/>
      <w:textAlignment w:val="baseline"/>
    </w:pPr>
    <w:rPr>
      <w:rFonts w:cstheme="minorBidi"/>
      <w:color w:val="000000"/>
      <w:szCs w:val="22"/>
    </w:rPr>
  </w:style>
  <w:style w:type="character" w:customStyle="1" w:styleId="CharCharChar0">
    <w:name w:val="表头 Char Char Char"/>
    <w:qFormat/>
    <w:rPr>
      <w:rFonts w:ascii="Times New Roman" w:eastAsia="黑体" w:hAnsi="Times New Roman"/>
      <w:spacing w:val="-10"/>
      <w:sz w:val="21"/>
    </w:rPr>
  </w:style>
  <w:style w:type="character" w:customStyle="1" w:styleId="Char1c">
    <w:name w:val="普通(网站) Char1"/>
    <w:link w:val="1ff2"/>
    <w:qFormat/>
    <w:rPr>
      <w:sz w:val="24"/>
    </w:rPr>
  </w:style>
  <w:style w:type="paragraph" w:customStyle="1" w:styleId="1ff2">
    <w:name w:val="普通(网站)1"/>
    <w:basedOn w:val="a"/>
    <w:link w:val="Char1c"/>
    <w:qFormat/>
    <w:pPr>
      <w:widowControl/>
      <w:jc w:val="left"/>
    </w:pPr>
    <w:rPr>
      <w:rFonts w:cstheme="minorBidi"/>
      <w:szCs w:val="22"/>
    </w:rPr>
  </w:style>
  <w:style w:type="character" w:customStyle="1" w:styleId="Char23">
    <w:name w:val="日期 Char2"/>
    <w:link w:val="Date1"/>
    <w:qFormat/>
    <w:rPr>
      <w:rFonts w:ascii="宋体"/>
      <w:sz w:val="24"/>
    </w:rPr>
  </w:style>
  <w:style w:type="paragraph" w:customStyle="1" w:styleId="Date1">
    <w:name w:val="Date1"/>
    <w:basedOn w:val="a"/>
    <w:next w:val="a"/>
    <w:link w:val="Char23"/>
    <w:qFormat/>
    <w:pPr>
      <w:widowControl/>
      <w:jc w:val="left"/>
    </w:pPr>
    <w:rPr>
      <w:rFonts w:ascii="宋体" w:cstheme="minorBidi"/>
      <w:szCs w:val="22"/>
    </w:rPr>
  </w:style>
  <w:style w:type="character" w:customStyle="1" w:styleId="CharCharfff">
    <w:name w:val="新正文 Char Char"/>
    <w:link w:val="afffffff0"/>
    <w:qFormat/>
    <w:rPr>
      <w:rFonts w:ascii="仿宋_GB2312" w:eastAsia="仿宋_GB2312"/>
      <w:sz w:val="28"/>
    </w:rPr>
  </w:style>
  <w:style w:type="paragraph" w:customStyle="1" w:styleId="afffffff0">
    <w:name w:val="新正文"/>
    <w:basedOn w:val="a"/>
    <w:link w:val="CharCharfff"/>
    <w:qFormat/>
    <w:pPr>
      <w:spacing w:line="480" w:lineRule="exact"/>
      <w:ind w:firstLine="482"/>
    </w:pPr>
    <w:rPr>
      <w:rFonts w:ascii="仿宋_GB2312" w:cstheme="minorBidi"/>
      <w:szCs w:val="22"/>
    </w:rPr>
  </w:style>
  <w:style w:type="character" w:customStyle="1" w:styleId="CharCharfff0">
    <w:name w:val="正文(首行缩进)宋旭峰 Char Char"/>
    <w:link w:val="afffffff1"/>
    <w:qFormat/>
    <w:rPr>
      <w:sz w:val="24"/>
    </w:rPr>
  </w:style>
  <w:style w:type="paragraph" w:customStyle="1" w:styleId="afffffff1">
    <w:name w:val="正文(首行缩进)宋旭峰"/>
    <w:basedOn w:val="1fb"/>
    <w:link w:val="CharCharfff0"/>
    <w:qFormat/>
    <w:pPr>
      <w:spacing w:before="156" w:after="156"/>
      <w:ind w:firstLine="440"/>
      <w:contextualSpacing/>
    </w:pPr>
    <w:rPr>
      <w:rFonts w:asciiTheme="minorHAnsi" w:eastAsiaTheme="minorEastAsia" w:hAnsiTheme="minorHAnsi"/>
    </w:rPr>
  </w:style>
  <w:style w:type="character" w:customStyle="1" w:styleId="hhcwtCharChar">
    <w:name w:val="hhcwt表头 Char Char"/>
    <w:link w:val="hhcwt"/>
    <w:qFormat/>
    <w:rPr>
      <w:rFonts w:ascii="楷体_GB2312" w:eastAsia="楷体_GB2312"/>
      <w:b/>
      <w:sz w:val="24"/>
    </w:rPr>
  </w:style>
  <w:style w:type="paragraph" w:customStyle="1" w:styleId="hhcwt">
    <w:name w:val="hhcwt表头"/>
    <w:basedOn w:val="a"/>
    <w:link w:val="hhcwtCharChar"/>
    <w:qFormat/>
    <w:pPr>
      <w:spacing w:after="120"/>
      <w:jc w:val="center"/>
    </w:pPr>
    <w:rPr>
      <w:rFonts w:ascii="楷体_GB2312" w:eastAsia="楷体_GB2312" w:cstheme="minorBidi"/>
      <w:b/>
      <w:szCs w:val="22"/>
    </w:rPr>
  </w:style>
  <w:style w:type="character" w:customStyle="1" w:styleId="10CharChar">
    <w:name w:val="正文样式10 Char Char"/>
    <w:link w:val="100"/>
    <w:qFormat/>
    <w:rPr>
      <w:rFonts w:ascii="宋体"/>
      <w:sz w:val="24"/>
      <w:lang w:val="zh-CN"/>
    </w:rPr>
  </w:style>
  <w:style w:type="paragraph" w:customStyle="1" w:styleId="100">
    <w:name w:val="正文样式10"/>
    <w:basedOn w:val="a"/>
    <w:link w:val="10CharChar"/>
    <w:qFormat/>
    <w:pPr>
      <w:widowControl/>
      <w:spacing w:before="156" w:after="156"/>
      <w:jc w:val="left"/>
    </w:pPr>
    <w:rPr>
      <w:rFonts w:ascii="宋体" w:cstheme="minorBidi"/>
      <w:szCs w:val="22"/>
      <w:lang w:val="zh-CN"/>
    </w:rPr>
  </w:style>
  <w:style w:type="character" w:customStyle="1" w:styleId="Char1d">
    <w:name w:val="表格正文 Char1"/>
    <w:link w:val="afffffff2"/>
    <w:qFormat/>
    <w:rPr>
      <w:rFonts w:ascii="Times New Roman" w:eastAsia="宋体" w:hAnsi="Times New Roman"/>
      <w:sz w:val="18"/>
    </w:rPr>
  </w:style>
  <w:style w:type="paragraph" w:customStyle="1" w:styleId="afffffff2">
    <w:name w:val="表格正文"/>
    <w:basedOn w:val="a"/>
    <w:link w:val="Char1d"/>
    <w:qFormat/>
    <w:pPr>
      <w:widowControl/>
      <w:spacing w:line="360" w:lineRule="exact"/>
      <w:ind w:firstLineChars="0" w:firstLine="0"/>
      <w:jc w:val="center"/>
    </w:pPr>
    <w:rPr>
      <w:rFonts w:cstheme="minorBidi"/>
      <w:sz w:val="18"/>
      <w:szCs w:val="22"/>
    </w:rPr>
  </w:style>
  <w:style w:type="character" w:customStyle="1" w:styleId="3GB23121CharChar">
    <w:name w:val="样式 标题 3 + 仿宋_GB23121 Char Char"/>
    <w:link w:val="3GB23121"/>
    <w:qFormat/>
    <w:rPr>
      <w:rFonts w:ascii="仿宋_GB2312" w:eastAsia="宋体" w:hAnsi="仿宋_GB2312"/>
      <w:b/>
      <w:color w:val="000000"/>
      <w:sz w:val="24"/>
    </w:rPr>
  </w:style>
  <w:style w:type="paragraph" w:customStyle="1" w:styleId="3GB23121">
    <w:name w:val="样式 标题 3 + 仿宋_GB23121"/>
    <w:basedOn w:val="3"/>
    <w:link w:val="3GB23121CharChar"/>
    <w:qFormat/>
    <w:rPr>
      <w:rFonts w:ascii="仿宋_GB2312" w:hAnsi="仿宋_GB2312" w:cstheme="minorBidi"/>
      <w:bCs w:val="0"/>
      <w:color w:val="000000"/>
      <w:szCs w:val="22"/>
    </w:rPr>
  </w:style>
  <w:style w:type="character" w:customStyle="1" w:styleId="1CharChar2">
    <w:name w:val="正文1 Char Char"/>
    <w:link w:val="1ff3"/>
    <w:qFormat/>
    <w:rPr>
      <w:rFonts w:ascii="宋体"/>
      <w:spacing w:val="10"/>
      <w:sz w:val="24"/>
    </w:rPr>
  </w:style>
  <w:style w:type="paragraph" w:customStyle="1" w:styleId="1ff3">
    <w:name w:val="正文1"/>
    <w:basedOn w:val="a"/>
    <w:link w:val="1CharChar2"/>
    <w:qFormat/>
    <w:pPr>
      <w:spacing w:after="120" w:line="360" w:lineRule="atLeast"/>
      <w:jc w:val="center"/>
      <w:textAlignment w:val="baseline"/>
    </w:pPr>
    <w:rPr>
      <w:rFonts w:ascii="宋体" w:cstheme="minorBidi"/>
      <w:spacing w:val="10"/>
      <w:szCs w:val="22"/>
    </w:rPr>
  </w:style>
  <w:style w:type="character" w:customStyle="1" w:styleId="GB2312Char">
    <w:name w:val="正文 + 楷体_GB2312 Char"/>
    <w:link w:val="4TimesNewRoman"/>
    <w:qFormat/>
    <w:rPr>
      <w:rFonts w:eastAsia="宋体"/>
      <w:b/>
      <w:sz w:val="30"/>
    </w:rPr>
  </w:style>
  <w:style w:type="paragraph" w:customStyle="1" w:styleId="4TimesNewRoman">
    <w:name w:val="标题 4 + (西文) Times New Roman"/>
    <w:basedOn w:val="2"/>
    <w:link w:val="GB2312Char"/>
    <w:qFormat/>
    <w:rPr>
      <w:rFonts w:asciiTheme="minorHAnsi" w:hAnsiTheme="minorHAnsi" w:cstheme="minorBidi"/>
      <w:bCs w:val="0"/>
      <w:kern w:val="2"/>
      <w:sz w:val="30"/>
      <w:szCs w:val="22"/>
    </w:rPr>
  </w:style>
  <w:style w:type="character" w:customStyle="1" w:styleId="Char60">
    <w:name w:val="正文首行缩进 Char6"/>
    <w:link w:val="BodyTextFirstIndent1"/>
    <w:qFormat/>
    <w:rPr>
      <w:rFonts w:ascii="仿宋_GB2312" w:eastAsia="仿宋_GB2312"/>
      <w:sz w:val="24"/>
    </w:rPr>
  </w:style>
  <w:style w:type="paragraph" w:customStyle="1" w:styleId="BodyTextFirstIndent1">
    <w:name w:val="Body Text First Indent1"/>
    <w:basedOn w:val="BodyText1"/>
    <w:link w:val="Char60"/>
    <w:pPr>
      <w:widowControl/>
      <w:spacing w:after="120" w:line="240" w:lineRule="auto"/>
      <w:ind w:firstLineChars="100" w:firstLine="420"/>
      <w:jc w:val="left"/>
    </w:pPr>
    <w:rPr>
      <w:rFonts w:ascii="仿宋_GB2312" w:hAnsiTheme="minorHAnsi" w:cstheme="minorBidi"/>
      <w:kern w:val="2"/>
      <w:szCs w:val="22"/>
    </w:rPr>
  </w:style>
  <w:style w:type="character" w:customStyle="1" w:styleId="hhcwtCharCharCharChar">
    <w:name w:val="hhcwt正文 Char Char Char Char"/>
    <w:qFormat/>
    <w:rPr>
      <w:rFonts w:ascii="Times New Roman" w:hAnsi="Times New Roman"/>
      <w:kern w:val="2"/>
      <w:sz w:val="24"/>
    </w:rPr>
  </w:style>
  <w:style w:type="character" w:customStyle="1" w:styleId="1CharChar3">
    <w:name w:val="节标题1 Char Char"/>
    <w:link w:val="1ff4"/>
    <w:qFormat/>
    <w:rPr>
      <w:rFonts w:ascii="宋体"/>
      <w:b/>
      <w:sz w:val="24"/>
    </w:rPr>
  </w:style>
  <w:style w:type="paragraph" w:customStyle="1" w:styleId="1ff4">
    <w:name w:val="节标题1"/>
    <w:basedOn w:val="a"/>
    <w:link w:val="1CharChar3"/>
    <w:qFormat/>
    <w:pPr>
      <w:widowControl/>
      <w:spacing w:before="156"/>
      <w:jc w:val="left"/>
    </w:pPr>
    <w:rPr>
      <w:rFonts w:ascii="宋体" w:cstheme="minorBidi"/>
      <w:b/>
      <w:szCs w:val="22"/>
    </w:rPr>
  </w:style>
  <w:style w:type="character" w:customStyle="1" w:styleId="2CharChar3">
    <w:name w:val="节标题2 Char Char"/>
    <w:link w:val="2fd"/>
    <w:qFormat/>
    <w:rPr>
      <w:sz w:val="28"/>
    </w:rPr>
  </w:style>
  <w:style w:type="paragraph" w:customStyle="1" w:styleId="2fd">
    <w:name w:val="节标题2"/>
    <w:basedOn w:val="a"/>
    <w:link w:val="2CharChar3"/>
    <w:pPr>
      <w:widowControl/>
      <w:autoSpaceDE w:val="0"/>
      <w:autoSpaceDN w:val="0"/>
      <w:jc w:val="left"/>
    </w:pPr>
    <w:rPr>
      <w:rFonts w:cstheme="minorBidi"/>
      <w:szCs w:val="22"/>
    </w:rPr>
  </w:style>
  <w:style w:type="character" w:customStyle="1" w:styleId="33CharCharChar3CharCharh3H3level3PIM3L2CharChar">
    <w:name w:val="样式 标题 3标题 3 Char Char Char标题 3 Char Charh3H3level_3PIM 3L...2 Char Char"/>
    <w:link w:val="33CharCharChar3CharCharh3H3level3PIM3L2"/>
    <w:qFormat/>
    <w:rPr>
      <w:rFonts w:ascii="宋体" w:eastAsia="黑体" w:hAnsi="宋体"/>
      <w:b/>
      <w:sz w:val="24"/>
    </w:rPr>
  </w:style>
  <w:style w:type="paragraph" w:customStyle="1" w:styleId="33CharCharChar3CharCharh3H3level3PIM3L2">
    <w:name w:val="样式 标题 3标题 3 Char Char Char标题 3 Char Charh3H3level_3PIM 3L...2"/>
    <w:basedOn w:val="3"/>
    <w:link w:val="33CharCharChar3CharCharh3H3level3PIM3L2CharChar"/>
    <w:qFormat/>
    <w:rPr>
      <w:rFonts w:ascii="宋体" w:eastAsia="黑体" w:hAnsi="宋体" w:cstheme="minorBidi"/>
      <w:bCs w:val="0"/>
      <w:szCs w:val="22"/>
    </w:rPr>
  </w:style>
  <w:style w:type="character" w:customStyle="1" w:styleId="z-TopofFormChar1">
    <w:name w:val="z-Top of Form Char1"/>
    <w:link w:val="z-2"/>
    <w:qFormat/>
    <w:rPr>
      <w:rFonts w:ascii="Arial" w:eastAsia="仿宋_GB2312" w:hAnsi="Arial"/>
      <w:vanish/>
      <w:sz w:val="16"/>
    </w:rPr>
  </w:style>
  <w:style w:type="paragraph" w:customStyle="1" w:styleId="z-2">
    <w:name w:val="z-窗体顶端2"/>
    <w:basedOn w:val="a"/>
    <w:next w:val="a"/>
    <w:link w:val="z-TopofFormChar1"/>
    <w:pPr>
      <w:pBdr>
        <w:bottom w:val="single" w:sz="6" w:space="1" w:color="auto"/>
      </w:pBdr>
      <w:spacing w:line="300" w:lineRule="auto"/>
      <w:jc w:val="center"/>
    </w:pPr>
    <w:rPr>
      <w:rFonts w:ascii="Arial" w:hAnsi="Arial" w:cstheme="minorBidi"/>
      <w:vanish/>
      <w:sz w:val="16"/>
      <w:szCs w:val="22"/>
    </w:rPr>
  </w:style>
  <w:style w:type="character" w:customStyle="1" w:styleId="Char40">
    <w:name w:val="纯文本 Char4"/>
    <w:link w:val="PlainText1"/>
    <w:qFormat/>
    <w:rPr>
      <w:rFonts w:ascii="宋体" w:hAnsi="Courier New"/>
    </w:rPr>
  </w:style>
  <w:style w:type="paragraph" w:customStyle="1" w:styleId="PlainText1">
    <w:name w:val="Plain Text1"/>
    <w:basedOn w:val="a"/>
    <w:link w:val="Char40"/>
    <w:qFormat/>
    <w:pPr>
      <w:widowControl/>
      <w:jc w:val="center"/>
    </w:pPr>
    <w:rPr>
      <w:rFonts w:ascii="宋体" w:hAnsi="Courier New" w:cstheme="minorBidi"/>
      <w:szCs w:val="22"/>
    </w:rPr>
  </w:style>
  <w:style w:type="character" w:customStyle="1" w:styleId="CharCharfff1">
    <w:name w:val="福建正文缩进 Char Char"/>
    <w:link w:val="afffffff3"/>
    <w:qFormat/>
    <w:rPr>
      <w:rFonts w:ascii="宋体"/>
      <w:color w:val="000000"/>
      <w:sz w:val="24"/>
    </w:rPr>
  </w:style>
  <w:style w:type="paragraph" w:customStyle="1" w:styleId="afffffff3">
    <w:name w:val="福建正文缩进"/>
    <w:basedOn w:val="1fb"/>
    <w:link w:val="CharCharfff1"/>
    <w:qFormat/>
    <w:pPr>
      <w:tabs>
        <w:tab w:val="left" w:pos="5837"/>
      </w:tabs>
      <w:spacing w:line="480" w:lineRule="exact"/>
    </w:pPr>
    <w:rPr>
      <w:rFonts w:eastAsiaTheme="minorEastAsia" w:hAnsiTheme="minorHAnsi"/>
      <w:color w:val="000000"/>
    </w:rPr>
  </w:style>
  <w:style w:type="character" w:customStyle="1" w:styleId="3CharChar">
    <w:name w:val="正文标题3 Char Char"/>
    <w:link w:val="3f2"/>
    <w:qFormat/>
    <w:rPr>
      <w:rFonts w:eastAsia="仿宋_GB2312"/>
      <w:b/>
      <w:color w:val="000000"/>
      <w:sz w:val="28"/>
    </w:rPr>
  </w:style>
  <w:style w:type="paragraph" w:customStyle="1" w:styleId="3f2">
    <w:name w:val="正文标题3"/>
    <w:link w:val="3CharChar"/>
    <w:qFormat/>
    <w:pPr>
      <w:spacing w:beforeLines="50" w:before="156" w:afterLines="50" w:after="156" w:line="500" w:lineRule="exact"/>
      <w:outlineLvl w:val="2"/>
    </w:pPr>
    <w:rPr>
      <w:rFonts w:asciiTheme="minorHAnsi" w:eastAsia="仿宋_GB2312" w:hAnsiTheme="minorHAnsi" w:cstheme="minorBidi"/>
      <w:b/>
      <w:color w:val="000000"/>
      <w:kern w:val="2"/>
      <w:sz w:val="28"/>
      <w:szCs w:val="22"/>
    </w:rPr>
  </w:style>
  <w:style w:type="character" w:customStyle="1" w:styleId="222Heading2HiddenHeading2CCBSheading2CharChar">
    <w:name w:val="样式 样式 标题 2标题 2节第一章 标题 2Heading 2 HiddenHeading 2 CCBSheading 2..... Char Char"/>
    <w:link w:val="222Heading2HiddenHeading2CCBSheading2"/>
    <w:qFormat/>
    <w:rPr>
      <w:rFonts w:ascii="宋体" w:eastAsia="楷体_GB2312" w:hAnsi="宋体"/>
      <w:b/>
      <w:color w:val="000000"/>
      <w:sz w:val="32"/>
    </w:rPr>
  </w:style>
  <w:style w:type="paragraph" w:customStyle="1" w:styleId="222Heading2HiddenHeading2CCBSheading2">
    <w:name w:val="样式 样式 标题 2标题 2节第一章 标题 2Heading 2 HiddenHeading 2 CCBSheading 2....."/>
    <w:basedOn w:val="a"/>
    <w:link w:val="222Heading2HiddenHeading2CCBSheading2CharChar"/>
    <w:qFormat/>
    <w:pPr>
      <w:keepNext/>
      <w:keepLines/>
      <w:widowControl/>
      <w:spacing w:beforeLines="100" w:before="312" w:afterLines="100" w:after="312"/>
      <w:jc w:val="center"/>
      <w:outlineLvl w:val="1"/>
    </w:pPr>
    <w:rPr>
      <w:rFonts w:ascii="宋体" w:eastAsia="楷体_GB2312" w:hAnsi="宋体" w:cstheme="minorBidi"/>
      <w:b/>
      <w:color w:val="000000"/>
      <w:sz w:val="32"/>
      <w:szCs w:val="22"/>
    </w:rPr>
  </w:style>
  <w:style w:type="character" w:customStyle="1" w:styleId="BlockTextCharChar">
    <w:name w:val="Block Text Char Char"/>
    <w:link w:val="1ff5"/>
    <w:qFormat/>
    <w:rPr>
      <w:rFonts w:eastAsia="仿宋_GB2312"/>
      <w:color w:val="000000"/>
      <w:sz w:val="24"/>
    </w:rPr>
  </w:style>
  <w:style w:type="paragraph" w:customStyle="1" w:styleId="1ff5">
    <w:name w:val="文本块1"/>
    <w:basedOn w:val="a"/>
    <w:next w:val="a"/>
    <w:link w:val="BlockTextCharChar"/>
    <w:qFormat/>
    <w:pPr>
      <w:jc w:val="center"/>
    </w:pPr>
    <w:rPr>
      <w:rFonts w:cstheme="minorBidi"/>
      <w:color w:val="000000"/>
      <w:szCs w:val="22"/>
    </w:rPr>
  </w:style>
  <w:style w:type="character" w:customStyle="1" w:styleId="1CharChar4">
    <w:name w:val="样式1 Char Char"/>
    <w:link w:val="1ff6"/>
    <w:qFormat/>
    <w:rPr>
      <w:rFonts w:ascii="仿宋_GB2312" w:eastAsia="仿宋_GB2312"/>
    </w:rPr>
  </w:style>
  <w:style w:type="paragraph" w:customStyle="1" w:styleId="1ff6">
    <w:name w:val="样式1"/>
    <w:basedOn w:val="25"/>
    <w:link w:val="1CharChar4"/>
    <w:qFormat/>
    <w:pPr>
      <w:ind w:left="0" w:firstLineChars="0" w:firstLine="0"/>
      <w:jc w:val="center"/>
      <w:textAlignment w:val="baseline"/>
    </w:pPr>
    <w:rPr>
      <w:rFonts w:ascii="仿宋_GB2312" w:eastAsia="仿宋_GB2312" w:hAnsiTheme="minorHAnsi" w:cstheme="minorBidi"/>
      <w:szCs w:val="22"/>
    </w:rPr>
  </w:style>
  <w:style w:type="character" w:customStyle="1" w:styleId="Char61">
    <w:name w:val="文档结构图 Char6"/>
    <w:link w:val="DocumentMap1"/>
    <w:qFormat/>
    <w:rPr>
      <w:sz w:val="24"/>
      <w:shd w:val="clear" w:color="auto" w:fill="000080"/>
    </w:rPr>
  </w:style>
  <w:style w:type="paragraph" w:customStyle="1" w:styleId="DocumentMap1">
    <w:name w:val="Document Map1"/>
    <w:basedOn w:val="a"/>
    <w:link w:val="Char61"/>
    <w:qFormat/>
    <w:pPr>
      <w:shd w:val="clear" w:color="auto" w:fill="000080"/>
    </w:pPr>
    <w:rPr>
      <w:rFonts w:cstheme="minorBidi"/>
      <w:szCs w:val="22"/>
      <w:shd w:val="clear" w:color="auto" w:fill="000080"/>
    </w:rPr>
  </w:style>
  <w:style w:type="character" w:customStyle="1" w:styleId="PlainTextChar3">
    <w:name w:val="Plain Text Char3"/>
    <w:qFormat/>
    <w:rPr>
      <w:rFonts w:ascii="宋体" w:hAnsi="Courier New" w:cs="Courier New"/>
      <w:kern w:val="2"/>
      <w:sz w:val="21"/>
      <w:szCs w:val="21"/>
    </w:rPr>
  </w:style>
  <w:style w:type="paragraph" w:customStyle="1" w:styleId="1ff7">
    <w:name w:val="纯文本1"/>
    <w:basedOn w:val="a"/>
    <w:link w:val="PlainTextChar4"/>
    <w:qFormat/>
    <w:rPr>
      <w:rFonts w:ascii="宋体" w:hAnsi="Courier New"/>
      <w:szCs w:val="22"/>
    </w:rPr>
  </w:style>
  <w:style w:type="character" w:customStyle="1" w:styleId="PlainTextChar4">
    <w:name w:val="Plain Text Char4"/>
    <w:link w:val="1ff7"/>
    <w:qFormat/>
    <w:rPr>
      <w:rFonts w:ascii="宋体" w:eastAsia="仿宋_GB2312" w:hAnsi="Courier New" w:cs="Times New Roman"/>
    </w:rPr>
  </w:style>
  <w:style w:type="character" w:customStyle="1" w:styleId="Char24">
    <w:name w:val="称呼 Char2"/>
    <w:link w:val="Salutation1"/>
    <w:qFormat/>
    <w:rPr>
      <w:sz w:val="28"/>
    </w:rPr>
  </w:style>
  <w:style w:type="paragraph" w:customStyle="1" w:styleId="Salutation1">
    <w:name w:val="Salutation1"/>
    <w:basedOn w:val="a"/>
    <w:next w:val="BodyTextFirstIndent1"/>
    <w:link w:val="Char24"/>
    <w:qFormat/>
    <w:rPr>
      <w:rFonts w:cstheme="minorBidi"/>
      <w:szCs w:val="22"/>
    </w:rPr>
  </w:style>
  <w:style w:type="character" w:customStyle="1" w:styleId="1CharChar5">
    <w:name w:val="标题1新 Char Char"/>
    <w:link w:val="1ff8"/>
    <w:qFormat/>
    <w:rPr>
      <w:rFonts w:eastAsia="黑体"/>
      <w:kern w:val="44"/>
      <w:sz w:val="32"/>
    </w:rPr>
  </w:style>
  <w:style w:type="paragraph" w:customStyle="1" w:styleId="1ff8">
    <w:name w:val="标题1新"/>
    <w:basedOn w:val="1"/>
    <w:next w:val="2fe"/>
    <w:link w:val="1CharChar5"/>
    <w:qFormat/>
    <w:rPr>
      <w:rFonts w:asciiTheme="minorHAnsi" w:eastAsia="黑体" w:hAnsiTheme="minorHAnsi" w:cstheme="minorBidi"/>
      <w:b w:val="0"/>
      <w:bCs w:val="0"/>
      <w:sz w:val="32"/>
      <w:szCs w:val="22"/>
    </w:rPr>
  </w:style>
  <w:style w:type="paragraph" w:customStyle="1" w:styleId="2fe">
    <w:name w:val="标题2  新新"/>
    <w:basedOn w:val="1ff8"/>
    <w:qFormat/>
    <w:pPr>
      <w:numPr>
        <w:numId w:val="0"/>
      </w:numPr>
      <w:tabs>
        <w:tab w:val="left" w:pos="720"/>
        <w:tab w:val="left" w:pos="1413"/>
      </w:tabs>
      <w:adjustRightInd/>
      <w:snapToGrid/>
      <w:spacing w:before="156"/>
      <w:ind w:left="720" w:hanging="720"/>
      <w:jc w:val="left"/>
      <w:outlineLvl w:val="1"/>
    </w:pPr>
    <w:rPr>
      <w:b/>
      <w:bCs/>
      <w:szCs w:val="28"/>
    </w:rPr>
  </w:style>
  <w:style w:type="character" w:customStyle="1" w:styleId="2TimesNewRomanCharChar0">
    <w:name w:val="样式 标题 2 + (西文) Times New Roman (中文) 宋体 Char Char"/>
    <w:link w:val="2TimesNewRoman0"/>
    <w:qFormat/>
    <w:rPr>
      <w:sz w:val="24"/>
    </w:rPr>
  </w:style>
  <w:style w:type="paragraph" w:customStyle="1" w:styleId="2TimesNewRoman0">
    <w:name w:val="样式 标题 2 + (西文) Times New Roman (中文) 宋体"/>
    <w:basedOn w:val="2"/>
    <w:link w:val="2TimesNewRomanCharChar0"/>
    <w:qFormat/>
    <w:rPr>
      <w:rFonts w:asciiTheme="minorHAnsi" w:eastAsiaTheme="minorEastAsia" w:hAnsiTheme="minorHAnsi" w:cstheme="minorBidi"/>
      <w:b w:val="0"/>
      <w:bCs w:val="0"/>
      <w:kern w:val="2"/>
      <w:szCs w:val="22"/>
    </w:rPr>
  </w:style>
  <w:style w:type="character" w:customStyle="1" w:styleId="z-TopofFormChar">
    <w:name w:val="z-Top of Form Char"/>
    <w:qFormat/>
    <w:rPr>
      <w:rFonts w:ascii="Arial" w:eastAsia="仿宋_GB2312" w:hAnsi="Arial" w:cs="Arial"/>
      <w:vanish/>
      <w:kern w:val="2"/>
      <w:sz w:val="16"/>
      <w:szCs w:val="16"/>
    </w:rPr>
  </w:style>
  <w:style w:type="character" w:customStyle="1" w:styleId="chenCharChar1">
    <w:name w:val="谏壁chen表格内文字 Char Char"/>
    <w:link w:val="chen2"/>
    <w:qFormat/>
  </w:style>
  <w:style w:type="paragraph" w:customStyle="1" w:styleId="chen2">
    <w:name w:val="谏壁chen表格内文字"/>
    <w:basedOn w:val="a"/>
    <w:link w:val="chenCharChar1"/>
    <w:qFormat/>
    <w:pPr>
      <w:spacing w:line="240" w:lineRule="atLeast"/>
      <w:jc w:val="center"/>
    </w:pPr>
    <w:rPr>
      <w:rFonts w:cstheme="minorBidi"/>
      <w:szCs w:val="22"/>
    </w:rPr>
  </w:style>
  <w:style w:type="character" w:customStyle="1" w:styleId="2Char4">
    <w:name w:val="正文文本缩进 2 Char4"/>
    <w:link w:val="BodyTextIndent21"/>
    <w:qFormat/>
    <w:rPr>
      <w:rFonts w:ascii="宋体"/>
      <w:sz w:val="28"/>
    </w:rPr>
  </w:style>
  <w:style w:type="paragraph" w:customStyle="1" w:styleId="BodyTextIndent21">
    <w:name w:val="Body Text Indent 21"/>
    <w:basedOn w:val="a"/>
    <w:link w:val="2Char4"/>
    <w:qFormat/>
    <w:pPr>
      <w:widowControl/>
      <w:spacing w:before="124" w:line="560" w:lineRule="exact"/>
      <w:ind w:firstLine="525"/>
      <w:jc w:val="left"/>
    </w:pPr>
    <w:rPr>
      <w:rFonts w:ascii="宋体" w:cstheme="minorBidi"/>
      <w:szCs w:val="22"/>
    </w:rPr>
  </w:style>
  <w:style w:type="character" w:customStyle="1" w:styleId="2Char12">
    <w:name w:val="环标2 Char1"/>
    <w:link w:val="2ff"/>
    <w:qFormat/>
    <w:rPr>
      <w:rFonts w:ascii="黑体" w:eastAsia="黑体" w:hAnsi="Arial"/>
      <w:sz w:val="24"/>
    </w:rPr>
  </w:style>
  <w:style w:type="paragraph" w:customStyle="1" w:styleId="2ff">
    <w:name w:val="环标2"/>
    <w:basedOn w:val="2"/>
    <w:link w:val="2Char12"/>
    <w:qFormat/>
    <w:rPr>
      <w:rFonts w:ascii="黑体" w:eastAsia="黑体" w:hAnsi="Arial" w:cstheme="minorBidi"/>
      <w:b w:val="0"/>
      <w:bCs w:val="0"/>
      <w:kern w:val="2"/>
      <w:szCs w:val="22"/>
    </w:rPr>
  </w:style>
  <w:style w:type="character" w:customStyle="1" w:styleId="142TimesNewRoman2CharChar">
    <w:name w:val="样式 样式 样式 宋体 小四 行距: 多倍行距 1.4 字行2 + 黑色 + Times New Roman2 Char Char"/>
    <w:link w:val="142TimesNewRoman2"/>
    <w:qFormat/>
    <w:rPr>
      <w:rFonts w:ascii="宋体"/>
      <w:color w:val="000000"/>
      <w:sz w:val="24"/>
    </w:rPr>
  </w:style>
  <w:style w:type="paragraph" w:customStyle="1" w:styleId="142TimesNewRoman2">
    <w:name w:val="样式 样式 样式 宋体 小四 行距: 多倍行距 1.4 字行2 + 黑色 + Times New Roman2"/>
    <w:basedOn w:val="142"/>
    <w:link w:val="142TimesNewRoman2CharChar"/>
    <w:qFormat/>
    <w:pPr>
      <w:spacing w:line="360" w:lineRule="auto"/>
    </w:pPr>
  </w:style>
  <w:style w:type="character" w:customStyle="1" w:styleId="3CharChar0">
    <w:name w:val="样式3 Char Char"/>
    <w:link w:val="3f3"/>
    <w:qFormat/>
    <w:rPr>
      <w:b/>
      <w:color w:val="000000"/>
      <w:sz w:val="24"/>
    </w:rPr>
  </w:style>
  <w:style w:type="paragraph" w:customStyle="1" w:styleId="3f3">
    <w:name w:val="样式3"/>
    <w:basedOn w:val="2"/>
    <w:link w:val="3CharChar0"/>
    <w:qFormat/>
    <w:rPr>
      <w:rFonts w:asciiTheme="minorHAnsi" w:eastAsiaTheme="minorEastAsia" w:hAnsiTheme="minorHAnsi" w:cstheme="minorBidi"/>
      <w:bCs w:val="0"/>
      <w:color w:val="000000"/>
      <w:kern w:val="2"/>
      <w:szCs w:val="22"/>
    </w:rPr>
  </w:style>
  <w:style w:type="character" w:customStyle="1" w:styleId="CharCharfff2">
    <w:name w:val="样式 表格内字体 + Char Char"/>
    <w:link w:val="afffffff4"/>
    <w:qFormat/>
    <w:rPr>
      <w:rFonts w:ascii="宋体"/>
      <w:sz w:val="24"/>
    </w:rPr>
  </w:style>
  <w:style w:type="paragraph" w:customStyle="1" w:styleId="afffffff4">
    <w:name w:val="样式 表格内字体 +"/>
    <w:basedOn w:val="affffff1"/>
    <w:link w:val="CharCharfff2"/>
    <w:qFormat/>
    <w:pPr>
      <w:spacing w:line="280" w:lineRule="exact"/>
      <w:ind w:firstLine="36"/>
      <w:jc w:val="both"/>
    </w:pPr>
  </w:style>
  <w:style w:type="character" w:customStyle="1" w:styleId="HTMLChar2">
    <w:name w:val="HTML 预设格式 Char2"/>
    <w:link w:val="HTMLPreformatted1"/>
    <w:qFormat/>
    <w:rPr>
      <w:rFonts w:ascii="Arial" w:eastAsia="黑体" w:hAnsi="Arial"/>
      <w:b/>
      <w:sz w:val="28"/>
    </w:rPr>
  </w:style>
  <w:style w:type="paragraph" w:customStyle="1" w:styleId="HTMLPreformatted1">
    <w:name w:val="HTML Preformatted1"/>
    <w:basedOn w:val="a"/>
    <w:link w:val="HTMLChar2"/>
    <w:qFormat/>
    <w:pPr>
      <w:spacing w:line="312" w:lineRule="auto"/>
    </w:pPr>
    <w:rPr>
      <w:rFonts w:ascii="Arial" w:eastAsia="黑体" w:hAnsi="Arial" w:cstheme="minorBidi"/>
      <w:b/>
      <w:szCs w:val="22"/>
    </w:rPr>
  </w:style>
  <w:style w:type="character" w:customStyle="1" w:styleId="11h11stlevelSectionHeadl1b1-1ChH1PI2CharChar">
    <w:name w:val="样式 标题 1章标题 1h11st levelSection Headl1b1-*+标题 1章ChH1PI...2 Char Char"/>
    <w:link w:val="11h11stlevelSectionHeadl1b1-1ChH1PI2"/>
    <w:qFormat/>
    <w:rPr>
      <w:rFonts w:ascii="宋体" w:eastAsia="黑体" w:hAnsi="宋体"/>
      <w:b/>
      <w:kern w:val="44"/>
      <w:sz w:val="32"/>
    </w:rPr>
  </w:style>
  <w:style w:type="paragraph" w:customStyle="1" w:styleId="11h11stlevelSectionHeadl1b1-1ChH1PI2">
    <w:name w:val="样式 标题 1章标题 1h11st levelSection Headl1b1-*+标题 1章ChH1PI...2"/>
    <w:basedOn w:val="1"/>
    <w:link w:val="11h11stlevelSectionHeadl1b1-1ChH1PI2CharChar"/>
    <w:qFormat/>
    <w:rPr>
      <w:rFonts w:ascii="宋体" w:eastAsia="黑体" w:hAnsi="宋体" w:cstheme="minorBidi"/>
      <w:bCs w:val="0"/>
      <w:sz w:val="32"/>
      <w:szCs w:val="22"/>
    </w:rPr>
  </w:style>
  <w:style w:type="character" w:customStyle="1" w:styleId="CharCharfff3">
    <w:name w:val="样式 正文缩进 + 宋体 黑色 Char Char"/>
    <w:link w:val="afffffff5"/>
    <w:qFormat/>
    <w:rPr>
      <w:rFonts w:ascii="宋体"/>
      <w:color w:val="000000"/>
      <w:sz w:val="24"/>
    </w:rPr>
  </w:style>
  <w:style w:type="paragraph" w:customStyle="1" w:styleId="afffffff5">
    <w:name w:val="样式 正文缩进 + 宋体 黑色"/>
    <w:basedOn w:val="1fb"/>
    <w:link w:val="CharCharfff3"/>
    <w:qFormat/>
    <w:rPr>
      <w:rFonts w:eastAsiaTheme="minorEastAsia" w:hAnsiTheme="minorHAnsi"/>
      <w:color w:val="000000"/>
    </w:rPr>
  </w:style>
  <w:style w:type="character" w:customStyle="1" w:styleId="hhcwtCharChar0">
    <w:name w:val="hhcwt表格内文字 Char Char"/>
    <w:link w:val="hhcwt0"/>
    <w:qFormat/>
    <w:rPr>
      <w:rFonts w:eastAsia="仿宋_GB2312"/>
    </w:rPr>
  </w:style>
  <w:style w:type="paragraph" w:customStyle="1" w:styleId="hhcwt0">
    <w:name w:val="hhcwt表格内文字"/>
    <w:basedOn w:val="a"/>
    <w:link w:val="hhcwtCharChar0"/>
    <w:qFormat/>
    <w:pPr>
      <w:widowControl/>
      <w:jc w:val="center"/>
    </w:pPr>
    <w:rPr>
      <w:rFonts w:cstheme="minorBidi"/>
      <w:szCs w:val="22"/>
    </w:rPr>
  </w:style>
  <w:style w:type="character" w:customStyle="1" w:styleId="Char25">
    <w:name w:val="表号 Char2"/>
    <w:link w:val="afffffff6"/>
    <w:qFormat/>
    <w:rPr>
      <w:color w:val="000000"/>
      <w:sz w:val="24"/>
    </w:rPr>
  </w:style>
  <w:style w:type="paragraph" w:customStyle="1" w:styleId="afffffff6">
    <w:name w:val="表号"/>
    <w:basedOn w:val="a"/>
    <w:link w:val="Char25"/>
    <w:qFormat/>
    <w:rPr>
      <w:rFonts w:cstheme="minorBidi"/>
      <w:color w:val="000000"/>
      <w:szCs w:val="22"/>
    </w:rPr>
  </w:style>
  <w:style w:type="character" w:customStyle="1" w:styleId="ACharChar0">
    <w:name w:val="样式A Char Char"/>
    <w:link w:val="Afffffff7"/>
    <w:qFormat/>
    <w:rPr>
      <w:rFonts w:ascii="幼圆" w:eastAsia="幼圆"/>
      <w:sz w:val="26"/>
    </w:rPr>
  </w:style>
  <w:style w:type="paragraph" w:customStyle="1" w:styleId="Afffffff7">
    <w:name w:val="样式A"/>
    <w:basedOn w:val="a"/>
    <w:link w:val="ACharChar0"/>
    <w:qFormat/>
    <w:pPr>
      <w:widowControl/>
      <w:topLinePunct/>
      <w:spacing w:line="530" w:lineRule="exact"/>
      <w:jc w:val="left"/>
    </w:pPr>
    <w:rPr>
      <w:rFonts w:ascii="幼圆" w:eastAsia="幼圆" w:cstheme="minorBidi"/>
      <w:sz w:val="26"/>
      <w:szCs w:val="22"/>
    </w:rPr>
  </w:style>
  <w:style w:type="character" w:customStyle="1" w:styleId="HP3CharChar">
    <w:name w:val="HP3 Char Char"/>
    <w:link w:val="HP3"/>
    <w:qFormat/>
    <w:rPr>
      <w:rFonts w:ascii="黑体" w:eastAsia="黑体" w:hAnsi="黑体"/>
      <w:sz w:val="24"/>
      <w:u w:color="000000"/>
    </w:rPr>
  </w:style>
  <w:style w:type="paragraph" w:customStyle="1" w:styleId="HP3">
    <w:name w:val="HP3"/>
    <w:basedOn w:val="3"/>
    <w:link w:val="HP3CharChar"/>
    <w:qFormat/>
    <w:rPr>
      <w:rFonts w:ascii="黑体" w:eastAsia="黑体" w:hAnsi="黑体" w:cstheme="minorBidi"/>
      <w:b w:val="0"/>
      <w:bCs w:val="0"/>
      <w:szCs w:val="22"/>
      <w:u w:color="000000"/>
    </w:rPr>
  </w:style>
  <w:style w:type="character" w:customStyle="1" w:styleId="Char1e">
    <w:name w:val="正文首行缩进 Char1"/>
    <w:link w:val="2ff0"/>
    <w:qFormat/>
    <w:rPr>
      <w:rFonts w:eastAsia="仿宋_GB2312"/>
      <w:sz w:val="24"/>
    </w:rPr>
  </w:style>
  <w:style w:type="paragraph" w:customStyle="1" w:styleId="2ff0">
    <w:name w:val="正文首行缩进2"/>
    <w:basedOn w:val="BodyText1"/>
    <w:link w:val="Char1e"/>
    <w:qFormat/>
    <w:pPr>
      <w:widowControl/>
      <w:spacing w:after="120" w:line="240" w:lineRule="auto"/>
      <w:ind w:firstLineChars="100" w:firstLine="420"/>
    </w:pPr>
    <w:rPr>
      <w:rFonts w:asciiTheme="minorHAnsi" w:hAnsiTheme="minorHAnsi" w:cstheme="minorBidi"/>
      <w:kern w:val="2"/>
      <w:szCs w:val="22"/>
    </w:rPr>
  </w:style>
  <w:style w:type="character" w:customStyle="1" w:styleId="Char51">
    <w:name w:val="文档结构图 Char5"/>
    <w:qFormat/>
    <w:rPr>
      <w:sz w:val="24"/>
      <w:shd w:val="clear" w:color="auto" w:fill="000080"/>
    </w:rPr>
  </w:style>
  <w:style w:type="character" w:customStyle="1" w:styleId="z-Char0">
    <w:name w:val="z-窗体底端 Char"/>
    <w:link w:val="z-10"/>
    <w:qFormat/>
    <w:rPr>
      <w:rFonts w:ascii="Arial" w:hAnsi="Arial"/>
      <w:vanish/>
      <w:sz w:val="24"/>
    </w:rPr>
  </w:style>
  <w:style w:type="paragraph" w:customStyle="1" w:styleId="z-10">
    <w:name w:val="z-窗体底端1"/>
    <w:basedOn w:val="a"/>
    <w:next w:val="a"/>
    <w:link w:val="z-Char0"/>
    <w:qFormat/>
    <w:pPr>
      <w:widowControl/>
      <w:pBdr>
        <w:top w:val="single" w:sz="6" w:space="1" w:color="auto"/>
      </w:pBdr>
      <w:jc w:val="center"/>
    </w:pPr>
    <w:rPr>
      <w:rFonts w:ascii="Arial" w:hAnsi="Arial" w:cstheme="minorBidi"/>
      <w:vanish/>
      <w:szCs w:val="22"/>
    </w:rPr>
  </w:style>
  <w:style w:type="character" w:customStyle="1" w:styleId="Char1f">
    <w:name w:val="批注文字 Char1"/>
    <w:qFormat/>
  </w:style>
  <w:style w:type="character" w:customStyle="1" w:styleId="NoSpacingCharChar">
    <w:name w:val="No Spacing Char Char"/>
    <w:link w:val="1ff9"/>
    <w:qFormat/>
    <w:rPr>
      <w:sz w:val="22"/>
    </w:rPr>
  </w:style>
  <w:style w:type="paragraph" w:customStyle="1" w:styleId="1ff9">
    <w:name w:val="无间隔1"/>
    <w:link w:val="NoSpacingCharChar"/>
    <w:qFormat/>
    <w:rPr>
      <w:rFonts w:asciiTheme="minorHAnsi" w:eastAsiaTheme="minorEastAsia" w:hAnsiTheme="minorHAnsi" w:cstheme="minorBidi"/>
      <w:kern w:val="2"/>
      <w:sz w:val="22"/>
      <w:szCs w:val="22"/>
    </w:rPr>
  </w:style>
  <w:style w:type="character" w:customStyle="1" w:styleId="z-BottomofFormChar1">
    <w:name w:val="z-Bottom of Form Char1"/>
    <w:link w:val="z-20"/>
    <w:qFormat/>
    <w:rPr>
      <w:rFonts w:ascii="Arial" w:eastAsia="仿宋_GB2312" w:hAnsi="Arial"/>
      <w:vanish/>
      <w:sz w:val="16"/>
    </w:rPr>
  </w:style>
  <w:style w:type="paragraph" w:customStyle="1" w:styleId="z-20">
    <w:name w:val="z-窗体底端2"/>
    <w:basedOn w:val="a"/>
    <w:next w:val="a"/>
    <w:link w:val="z-BottomofFormChar1"/>
    <w:qFormat/>
    <w:pPr>
      <w:pBdr>
        <w:top w:val="single" w:sz="6" w:space="1" w:color="auto"/>
      </w:pBdr>
      <w:spacing w:line="300" w:lineRule="auto"/>
      <w:jc w:val="center"/>
    </w:pPr>
    <w:rPr>
      <w:rFonts w:ascii="Arial" w:hAnsi="Arial" w:cstheme="minorBidi"/>
      <w:vanish/>
      <w:sz w:val="16"/>
      <w:szCs w:val="22"/>
    </w:rPr>
  </w:style>
  <w:style w:type="character" w:customStyle="1" w:styleId="Char26">
    <w:name w:val="报告正文 Char2"/>
    <w:qFormat/>
    <w:rPr>
      <w:sz w:val="24"/>
    </w:rPr>
  </w:style>
  <w:style w:type="character" w:customStyle="1" w:styleId="Char1f0">
    <w:name w:val="纯文本 Char1"/>
    <w:qFormat/>
    <w:rPr>
      <w:rFonts w:ascii="宋体" w:hAnsi="Courier New"/>
      <w:sz w:val="21"/>
    </w:rPr>
  </w:style>
  <w:style w:type="character" w:customStyle="1" w:styleId="CharCharfff4">
    <w:name w:val="四号 正文 Char Char"/>
    <w:link w:val="afffffff8"/>
    <w:qFormat/>
    <w:rPr>
      <w:spacing w:val="6"/>
      <w:sz w:val="28"/>
    </w:rPr>
  </w:style>
  <w:style w:type="paragraph" w:customStyle="1" w:styleId="afffffff8">
    <w:name w:val="四号 正文"/>
    <w:basedOn w:val="a"/>
    <w:link w:val="CharCharfff4"/>
    <w:qFormat/>
    <w:pPr>
      <w:widowControl/>
      <w:ind w:firstLine="584"/>
      <w:jc w:val="left"/>
    </w:pPr>
    <w:rPr>
      <w:rFonts w:cstheme="minorBidi"/>
      <w:spacing w:val="6"/>
      <w:szCs w:val="22"/>
    </w:rPr>
  </w:style>
  <w:style w:type="character" w:customStyle="1" w:styleId="hhcwt1CharChar">
    <w:name w:val="hhcwt标题1 Char Char"/>
    <w:link w:val="hhcwt1"/>
    <w:qFormat/>
    <w:rPr>
      <w:rFonts w:eastAsia="黑体"/>
      <w:kern w:val="44"/>
      <w:sz w:val="36"/>
      <w:lang w:val="zh-CN"/>
    </w:rPr>
  </w:style>
  <w:style w:type="paragraph" w:customStyle="1" w:styleId="hhcwt1">
    <w:name w:val="hhcwt标题1"/>
    <w:basedOn w:val="a"/>
    <w:link w:val="hhcwt1CharChar"/>
    <w:qFormat/>
    <w:pPr>
      <w:keepNext/>
      <w:keepLines/>
      <w:autoSpaceDE w:val="0"/>
      <w:autoSpaceDN w:val="0"/>
      <w:spacing w:before="120" w:after="120" w:line="336" w:lineRule="auto"/>
      <w:outlineLvl w:val="0"/>
    </w:pPr>
    <w:rPr>
      <w:rFonts w:eastAsia="黑体" w:cstheme="minorBidi"/>
      <w:kern w:val="44"/>
      <w:sz w:val="36"/>
      <w:szCs w:val="22"/>
      <w:lang w:val="zh-CN"/>
    </w:rPr>
  </w:style>
  <w:style w:type="character" w:customStyle="1" w:styleId="CharCharfff5">
    <w:name w:val="表中文字 Char Char"/>
    <w:link w:val="4c"/>
    <w:qFormat/>
    <w:rPr>
      <w:rFonts w:ascii="Arial" w:hAnsi="Arial"/>
      <w:sz w:val="24"/>
      <w:lang w:eastAsia="zh-TW"/>
    </w:rPr>
  </w:style>
  <w:style w:type="paragraph" w:customStyle="1" w:styleId="4c">
    <w:name w:val="表中文字4"/>
    <w:basedOn w:val="a"/>
    <w:link w:val="CharCharfff5"/>
    <w:qFormat/>
    <w:pPr>
      <w:widowControl/>
      <w:spacing w:line="340" w:lineRule="exact"/>
      <w:jc w:val="center"/>
    </w:pPr>
    <w:rPr>
      <w:rFonts w:ascii="Arial" w:hAnsi="Arial" w:cstheme="minorBidi"/>
      <w:szCs w:val="22"/>
      <w:lang w:eastAsia="zh-TW"/>
    </w:rPr>
  </w:style>
  <w:style w:type="character" w:customStyle="1" w:styleId="Char27">
    <w:name w:val="正文文本 Char2"/>
    <w:qFormat/>
  </w:style>
  <w:style w:type="character" w:customStyle="1" w:styleId="Char41">
    <w:name w:val="正文文本缩进 Char4"/>
    <w:link w:val="2ff1"/>
    <w:qFormat/>
    <w:rPr>
      <w:rFonts w:ascii="宋体"/>
      <w:sz w:val="24"/>
    </w:rPr>
  </w:style>
  <w:style w:type="paragraph" w:customStyle="1" w:styleId="2ff1">
    <w:name w:val="正文文本缩进2"/>
    <w:basedOn w:val="a"/>
    <w:link w:val="Char41"/>
    <w:qFormat/>
    <w:pPr>
      <w:widowControl/>
      <w:spacing w:after="120"/>
      <w:ind w:leftChars="200" w:left="420"/>
      <w:jc w:val="left"/>
    </w:pPr>
    <w:rPr>
      <w:rFonts w:ascii="宋体" w:cstheme="minorBidi"/>
      <w:szCs w:val="22"/>
    </w:rPr>
  </w:style>
  <w:style w:type="character" w:customStyle="1" w:styleId="2Char13">
    <w:name w:val="正文文本缩进 2 Char1"/>
    <w:link w:val="212"/>
    <w:qFormat/>
    <w:rPr>
      <w:sz w:val="22"/>
    </w:rPr>
  </w:style>
  <w:style w:type="paragraph" w:customStyle="1" w:styleId="212">
    <w:name w:val="正文文本缩进 21"/>
    <w:basedOn w:val="a"/>
    <w:link w:val="2Char13"/>
    <w:qFormat/>
    <w:pPr>
      <w:widowControl/>
      <w:jc w:val="left"/>
      <w:textAlignment w:val="baseline"/>
    </w:pPr>
    <w:rPr>
      <w:rFonts w:cstheme="minorBidi"/>
      <w:sz w:val="22"/>
      <w:szCs w:val="22"/>
    </w:rPr>
  </w:style>
  <w:style w:type="character" w:customStyle="1" w:styleId="1ffa">
    <w:name w:val="不明显强调1"/>
    <w:qFormat/>
    <w:rPr>
      <w:i/>
      <w:color w:val="808080"/>
    </w:rPr>
  </w:style>
  <w:style w:type="character" w:customStyle="1" w:styleId="Char1f1">
    <w:name w:val="样式 表内样式 + (符号) 宋体 Char1"/>
    <w:link w:val="afffffff9"/>
    <w:qFormat/>
    <w:rPr>
      <w:rFonts w:ascii="宋体"/>
      <w:sz w:val="18"/>
    </w:rPr>
  </w:style>
  <w:style w:type="paragraph" w:customStyle="1" w:styleId="afffffff9">
    <w:name w:val="样式 表内样式 + (符号) 宋体"/>
    <w:basedOn w:val="a"/>
    <w:link w:val="Char1f1"/>
    <w:qFormat/>
    <w:pPr>
      <w:keepLines/>
      <w:widowControl/>
      <w:kinsoku w:val="0"/>
      <w:overflowPunct w:val="0"/>
      <w:spacing w:line="300" w:lineRule="exact"/>
      <w:jc w:val="center"/>
    </w:pPr>
    <w:rPr>
      <w:rFonts w:ascii="宋体" w:cstheme="minorBidi"/>
      <w:sz w:val="18"/>
      <w:szCs w:val="22"/>
    </w:rPr>
  </w:style>
  <w:style w:type="character" w:customStyle="1" w:styleId="2Char2">
    <w:name w:val="正文文本 2 Char2"/>
    <w:link w:val="BodyText22"/>
    <w:qFormat/>
    <w:rPr>
      <w:rFonts w:ascii="仿宋_GB2312" w:eastAsia="仿宋_GB2312"/>
      <w:sz w:val="24"/>
    </w:rPr>
  </w:style>
  <w:style w:type="paragraph" w:customStyle="1" w:styleId="BodyText22">
    <w:name w:val="Body Text 22"/>
    <w:basedOn w:val="a"/>
    <w:link w:val="2Char2"/>
    <w:qFormat/>
    <w:pPr>
      <w:jc w:val="center"/>
    </w:pPr>
    <w:rPr>
      <w:rFonts w:ascii="仿宋_GB2312" w:cstheme="minorBidi"/>
      <w:szCs w:val="22"/>
    </w:rPr>
  </w:style>
  <w:style w:type="character" w:customStyle="1" w:styleId="z-BottomofFormChar">
    <w:name w:val="z-Bottom of Form Char"/>
    <w:qFormat/>
    <w:rPr>
      <w:rFonts w:ascii="Arial" w:eastAsia="仿宋_GB2312" w:hAnsi="Arial" w:cs="Arial"/>
      <w:vanish/>
      <w:kern w:val="2"/>
      <w:sz w:val="16"/>
      <w:szCs w:val="16"/>
    </w:rPr>
  </w:style>
  <w:style w:type="character" w:customStyle="1" w:styleId="5CharChar2">
    <w:name w:val="标题5改 Char Char"/>
    <w:link w:val="59"/>
    <w:qFormat/>
    <w:rPr>
      <w:rFonts w:ascii="宋体"/>
      <w:b/>
      <w:sz w:val="28"/>
    </w:rPr>
  </w:style>
  <w:style w:type="paragraph" w:customStyle="1" w:styleId="59">
    <w:name w:val="标题5改"/>
    <w:basedOn w:val="a"/>
    <w:link w:val="5CharChar2"/>
    <w:qFormat/>
    <w:pPr>
      <w:widowControl/>
      <w:spacing w:line="560" w:lineRule="exact"/>
      <w:jc w:val="left"/>
      <w:outlineLvl w:val="4"/>
    </w:pPr>
    <w:rPr>
      <w:rFonts w:ascii="宋体" w:cstheme="minorBidi"/>
      <w:b/>
      <w:szCs w:val="22"/>
    </w:rPr>
  </w:style>
  <w:style w:type="character" w:customStyle="1" w:styleId="CharCharfff6">
    <w:name w:val="表格内文字 Char Char"/>
    <w:link w:val="afffffffa"/>
    <w:qFormat/>
    <w:rPr>
      <w:rFonts w:ascii="宋体"/>
      <w:w w:val="90"/>
    </w:rPr>
  </w:style>
  <w:style w:type="paragraph" w:customStyle="1" w:styleId="afffffffa">
    <w:name w:val="表格内文字"/>
    <w:link w:val="CharCharfff6"/>
    <w:qFormat/>
    <w:pPr>
      <w:keepNext/>
      <w:widowControl w:val="0"/>
      <w:spacing w:line="240" w:lineRule="atLeast"/>
      <w:jc w:val="center"/>
    </w:pPr>
    <w:rPr>
      <w:rFonts w:ascii="宋体" w:eastAsiaTheme="minorEastAsia" w:hAnsiTheme="minorHAnsi" w:cstheme="minorBidi"/>
      <w:w w:val="90"/>
      <w:kern w:val="2"/>
      <w:sz w:val="21"/>
      <w:szCs w:val="22"/>
    </w:rPr>
  </w:style>
  <w:style w:type="character" w:customStyle="1" w:styleId="1CharChar6">
    <w:name w:val="表题1 Char Char"/>
    <w:link w:val="1ffb"/>
    <w:qFormat/>
    <w:rPr>
      <w:rFonts w:ascii="黑体" w:eastAsia="黑体" w:hAnsi="Arial"/>
      <w:b/>
      <w:sz w:val="24"/>
    </w:rPr>
  </w:style>
  <w:style w:type="paragraph" w:customStyle="1" w:styleId="1ffb">
    <w:name w:val="表题1"/>
    <w:basedOn w:val="ab"/>
    <w:link w:val="1CharChar6"/>
    <w:qFormat/>
    <w:pPr>
      <w:widowControl/>
      <w:ind w:firstLineChars="0" w:firstLine="0"/>
      <w:jc w:val="center"/>
    </w:pPr>
    <w:rPr>
      <w:rFonts w:ascii="黑体" w:cstheme="minorBidi"/>
      <w:b/>
    </w:rPr>
  </w:style>
  <w:style w:type="character" w:customStyle="1" w:styleId="Char28">
    <w:name w:val="表中文字 Char2"/>
    <w:link w:val="afffffffb"/>
    <w:qFormat/>
  </w:style>
  <w:style w:type="paragraph" w:customStyle="1" w:styleId="afffffffb">
    <w:name w:val="表中文字"/>
    <w:basedOn w:val="a"/>
    <w:link w:val="Char28"/>
    <w:qFormat/>
    <w:pPr>
      <w:spacing w:line="240" w:lineRule="atLeast"/>
      <w:jc w:val="center"/>
    </w:pPr>
    <w:rPr>
      <w:rFonts w:cstheme="minorBidi"/>
      <w:szCs w:val="22"/>
    </w:rPr>
  </w:style>
  <w:style w:type="character" w:customStyle="1" w:styleId="Char1f2">
    <w:name w:val="注释标题 Char1"/>
    <w:link w:val="1ffc"/>
    <w:qFormat/>
    <w:rPr>
      <w:rFonts w:ascii="宋体"/>
    </w:rPr>
  </w:style>
  <w:style w:type="paragraph" w:customStyle="1" w:styleId="1ffc">
    <w:name w:val="注释标题1"/>
    <w:basedOn w:val="a"/>
    <w:next w:val="a"/>
    <w:link w:val="Char1f2"/>
    <w:qFormat/>
    <w:pPr>
      <w:widowControl/>
      <w:jc w:val="center"/>
    </w:pPr>
    <w:rPr>
      <w:rFonts w:ascii="宋体" w:cstheme="minorBidi"/>
      <w:szCs w:val="22"/>
    </w:rPr>
  </w:style>
  <w:style w:type="character" w:customStyle="1" w:styleId="CharCharfff7">
    <w:name w:val="表格的文字 Char Char"/>
    <w:link w:val="afffffffc"/>
    <w:qFormat/>
    <w:rPr>
      <w:rFonts w:ascii="仿宋_GB2312" w:eastAsia="仿宋_GB2312"/>
    </w:rPr>
  </w:style>
  <w:style w:type="paragraph" w:customStyle="1" w:styleId="afffffffc">
    <w:name w:val="表格的文字"/>
    <w:basedOn w:val="a"/>
    <w:link w:val="CharCharfff7"/>
    <w:qFormat/>
    <w:pPr>
      <w:widowControl/>
      <w:spacing w:line="300" w:lineRule="exact"/>
      <w:jc w:val="center"/>
    </w:pPr>
    <w:rPr>
      <w:rFonts w:ascii="仿宋_GB2312" w:cstheme="minorBidi"/>
      <w:szCs w:val="22"/>
    </w:rPr>
  </w:style>
  <w:style w:type="character" w:customStyle="1" w:styleId="Char4CharCharCharCharChar">
    <w:name w:val="Char4 Char Char Char Char Char"/>
    <w:link w:val="Char4CharCharChar"/>
    <w:qFormat/>
    <w:rPr>
      <w:rFonts w:eastAsia="仿宋_GB2312"/>
      <w:sz w:val="24"/>
    </w:rPr>
  </w:style>
  <w:style w:type="paragraph" w:customStyle="1" w:styleId="Char4CharCharChar">
    <w:name w:val="Char4 Char Char Char"/>
    <w:basedOn w:val="a"/>
    <w:link w:val="Char4CharCharCharCharChar"/>
    <w:qFormat/>
    <w:rPr>
      <w:rFonts w:cstheme="minorBidi"/>
      <w:szCs w:val="22"/>
    </w:rPr>
  </w:style>
  <w:style w:type="character" w:customStyle="1" w:styleId="hhcwt2CharChar">
    <w:name w:val="hhcwt标题2 Char Char"/>
    <w:link w:val="hhcwt2"/>
    <w:qFormat/>
    <w:rPr>
      <w:rFonts w:eastAsia="黑体"/>
      <w:sz w:val="32"/>
    </w:rPr>
  </w:style>
  <w:style w:type="paragraph" w:customStyle="1" w:styleId="hhcwt2">
    <w:name w:val="hhcwt标题2"/>
    <w:basedOn w:val="a"/>
    <w:link w:val="hhcwt2CharChar"/>
    <w:qFormat/>
    <w:pPr>
      <w:keepNext/>
      <w:keepLines/>
      <w:spacing w:before="120" w:after="120" w:line="336" w:lineRule="auto"/>
      <w:outlineLvl w:val="1"/>
    </w:pPr>
    <w:rPr>
      <w:rFonts w:eastAsia="黑体" w:cstheme="minorBidi"/>
      <w:sz w:val="32"/>
      <w:szCs w:val="22"/>
    </w:rPr>
  </w:style>
  <w:style w:type="character" w:customStyle="1" w:styleId="apple-converted-space">
    <w:name w:val="apple-converted-space"/>
    <w:qFormat/>
    <w:rPr>
      <w:rFonts w:cs="Times New Roman"/>
    </w:rPr>
  </w:style>
  <w:style w:type="character" w:customStyle="1" w:styleId="33CharCharChar3CharCharh3H3level3PIM3L1CharChar">
    <w:name w:val="样式 标题 3标题 3 Char Char Char标题 3 Char Charh3H3level_3PIM 3L...1 Char Char"/>
    <w:link w:val="33CharCharChar3CharCharh3H3level3PIM3L1"/>
    <w:qFormat/>
    <w:rPr>
      <w:rFonts w:ascii="宋体" w:eastAsia="黑体" w:hAnsi="宋体"/>
      <w:b/>
      <w:sz w:val="24"/>
    </w:rPr>
  </w:style>
  <w:style w:type="paragraph" w:customStyle="1" w:styleId="33CharCharChar3CharCharh3H3level3PIM3L1">
    <w:name w:val="样式 标题 3标题 3 Char Char Char标题 3 Char Charh3H3level_3PIM 3L...1"/>
    <w:basedOn w:val="3"/>
    <w:link w:val="33CharCharChar3CharCharh3H3level3PIM3L1CharChar"/>
    <w:qFormat/>
    <w:rPr>
      <w:rFonts w:ascii="宋体" w:eastAsia="黑体" w:hAnsi="宋体" w:cstheme="minorBidi"/>
      <w:bCs w:val="0"/>
      <w:szCs w:val="22"/>
    </w:rPr>
  </w:style>
  <w:style w:type="character" w:customStyle="1" w:styleId="1CharChar7">
    <w:name w:val="表格1 Char Char"/>
    <w:link w:val="1ffd"/>
    <w:qFormat/>
    <w:rPr>
      <w:sz w:val="24"/>
    </w:rPr>
  </w:style>
  <w:style w:type="paragraph" w:customStyle="1" w:styleId="1ffd">
    <w:name w:val="表格1"/>
    <w:basedOn w:val="a"/>
    <w:link w:val="1CharChar7"/>
    <w:qFormat/>
    <w:pPr>
      <w:spacing w:line="400" w:lineRule="atLeast"/>
      <w:jc w:val="center"/>
      <w:textAlignment w:val="baseline"/>
    </w:pPr>
    <w:rPr>
      <w:rFonts w:cstheme="minorBidi"/>
      <w:szCs w:val="22"/>
    </w:rPr>
  </w:style>
  <w:style w:type="character" w:customStyle="1" w:styleId="CharCharfff8">
    <w:name w:val="图表文字 Char Char"/>
    <w:link w:val="afffffffd"/>
    <w:qFormat/>
  </w:style>
  <w:style w:type="paragraph" w:customStyle="1" w:styleId="afffffffd">
    <w:name w:val="图表文字"/>
    <w:basedOn w:val="a"/>
    <w:link w:val="CharCharfff8"/>
    <w:qFormat/>
    <w:pPr>
      <w:spacing w:line="300" w:lineRule="exact"/>
      <w:jc w:val="center"/>
    </w:pPr>
    <w:rPr>
      <w:rFonts w:cstheme="minorBidi"/>
      <w:szCs w:val="22"/>
    </w:rPr>
  </w:style>
  <w:style w:type="character" w:customStyle="1" w:styleId="0742CharChar">
    <w:name w:val="样式 样式 首行缩进:  0.74 厘米 + 首行缩进:  2 字符 Char Char"/>
    <w:link w:val="0742"/>
    <w:qFormat/>
    <w:rPr>
      <w:sz w:val="24"/>
    </w:rPr>
  </w:style>
  <w:style w:type="paragraph" w:customStyle="1" w:styleId="0742">
    <w:name w:val="样式 样式 首行缩进:  0.74 厘米 + 首行缩进:  2 字符"/>
    <w:basedOn w:val="a"/>
    <w:link w:val="0742CharChar"/>
    <w:qFormat/>
    <w:pPr>
      <w:widowControl/>
      <w:spacing w:line="400" w:lineRule="exact"/>
      <w:jc w:val="left"/>
    </w:pPr>
    <w:rPr>
      <w:rFonts w:cstheme="minorBidi"/>
      <w:szCs w:val="22"/>
    </w:rPr>
  </w:style>
  <w:style w:type="paragraph" w:customStyle="1" w:styleId="Char32">
    <w:name w:val="Char32"/>
    <w:basedOn w:val="a"/>
    <w:qFormat/>
    <w:pPr>
      <w:spacing w:line="240" w:lineRule="exact"/>
    </w:pPr>
    <w:rPr>
      <w:szCs w:val="28"/>
    </w:rPr>
  </w:style>
  <w:style w:type="paragraph" w:customStyle="1" w:styleId="KY-1">
    <w:name w:val="KY-表题"/>
    <w:basedOn w:val="a"/>
    <w:qFormat/>
    <w:pPr>
      <w:keepNext/>
      <w:keepLines/>
      <w:tabs>
        <w:tab w:val="left" w:pos="567"/>
        <w:tab w:val="left" w:pos="1680"/>
      </w:tabs>
      <w:spacing w:after="156"/>
      <w:jc w:val="center"/>
    </w:pPr>
    <w:rPr>
      <w:kern w:val="0"/>
      <w:szCs w:val="21"/>
    </w:rPr>
  </w:style>
  <w:style w:type="paragraph" w:customStyle="1" w:styleId="Char310">
    <w:name w:val="Char31"/>
    <w:basedOn w:val="a"/>
    <w:qFormat/>
    <w:pPr>
      <w:spacing w:line="240" w:lineRule="exact"/>
    </w:pPr>
    <w:rPr>
      <w:szCs w:val="28"/>
    </w:rPr>
  </w:style>
  <w:style w:type="paragraph" w:customStyle="1" w:styleId="Default">
    <w:name w:val="Default"/>
    <w:qFormat/>
    <w:pPr>
      <w:widowControl w:val="0"/>
      <w:autoSpaceDE w:val="0"/>
      <w:autoSpaceDN w:val="0"/>
      <w:adjustRightInd w:val="0"/>
    </w:pPr>
    <w:rPr>
      <w:rFonts w:ascii="宋体" w:cs="宋体"/>
      <w:color w:val="000000"/>
      <w:sz w:val="24"/>
      <w:szCs w:val="24"/>
    </w:rPr>
  </w:style>
  <w:style w:type="paragraph" w:customStyle="1" w:styleId="KY-2">
    <w:name w:val="KY-图题"/>
    <w:basedOn w:val="a"/>
    <w:qFormat/>
    <w:pPr>
      <w:keepLines/>
      <w:tabs>
        <w:tab w:val="left" w:pos="567"/>
      </w:tabs>
      <w:spacing w:before="156" w:afterLines="100" w:after="312"/>
      <w:jc w:val="center"/>
    </w:pPr>
    <w:rPr>
      <w:rFonts w:ascii="黑体"/>
      <w:kern w:val="0"/>
      <w:szCs w:val="32"/>
    </w:rPr>
  </w:style>
  <w:style w:type="paragraph" w:customStyle="1" w:styleId="KY--1">
    <w:name w:val="KY-标题-1"/>
    <w:basedOn w:val="aff9"/>
    <w:next w:val="a"/>
    <w:qFormat/>
    <w:pPr>
      <w:keepNext/>
      <w:keepLines/>
      <w:widowControl w:val="0"/>
      <w:tabs>
        <w:tab w:val="left" w:pos="360"/>
      </w:tabs>
      <w:spacing w:after="360"/>
      <w:ind w:left="360" w:hanging="360"/>
    </w:pPr>
    <w:rPr>
      <w:rFonts w:eastAsia="黑体"/>
      <w:b w:val="0"/>
    </w:rPr>
  </w:style>
  <w:style w:type="paragraph" w:customStyle="1" w:styleId="KY--111">
    <w:name w:val="KY-标题-1.1.1"/>
    <w:basedOn w:val="a"/>
    <w:next w:val="a"/>
    <w:qFormat/>
    <w:pPr>
      <w:keepNext/>
      <w:keepLines/>
      <w:tabs>
        <w:tab w:val="left" w:pos="360"/>
        <w:tab w:val="left" w:pos="567"/>
      </w:tabs>
      <w:spacing w:beforeLines="100" w:before="312"/>
      <w:ind w:left="360"/>
      <w:outlineLvl w:val="2"/>
    </w:pPr>
    <w:rPr>
      <w:rFonts w:eastAsia="黑体"/>
      <w:kern w:val="0"/>
      <w:szCs w:val="28"/>
    </w:rPr>
  </w:style>
  <w:style w:type="paragraph" w:customStyle="1" w:styleId="KY--6">
    <w:name w:val="KY-正文-（6）"/>
    <w:basedOn w:val="a"/>
    <w:next w:val="a"/>
    <w:qFormat/>
    <w:pPr>
      <w:outlineLvl w:val="5"/>
    </w:pPr>
    <w:rPr>
      <w:szCs w:val="28"/>
    </w:rPr>
  </w:style>
  <w:style w:type="paragraph" w:customStyle="1" w:styleId="2ff2">
    <w:name w:val="列出段落2"/>
    <w:basedOn w:val="a"/>
    <w:qFormat/>
    <w:pPr>
      <w:widowControl/>
      <w:ind w:firstLine="420"/>
      <w:jc w:val="left"/>
    </w:pPr>
    <w:rPr>
      <w:rFonts w:ascii="宋体" w:hAnsi="宋体" w:cs="宋体"/>
      <w:kern w:val="0"/>
    </w:rPr>
  </w:style>
  <w:style w:type="paragraph" w:customStyle="1" w:styleId="KY--11">
    <w:name w:val="KY-标题-1.1"/>
    <w:basedOn w:val="KY--1"/>
    <w:next w:val="KY--111"/>
    <w:qFormat/>
    <w:pPr>
      <w:spacing w:before="360" w:after="240"/>
      <w:outlineLvl w:val="1"/>
    </w:pPr>
    <w:rPr>
      <w:rFonts w:eastAsia="楷体_GB2312"/>
    </w:rPr>
  </w:style>
  <w:style w:type="paragraph" w:customStyle="1" w:styleId="Char33">
    <w:name w:val="Char3"/>
    <w:basedOn w:val="a"/>
    <w:qFormat/>
    <w:pPr>
      <w:spacing w:line="240" w:lineRule="exact"/>
    </w:pPr>
    <w:rPr>
      <w:szCs w:val="28"/>
    </w:rPr>
  </w:style>
  <w:style w:type="paragraph" w:customStyle="1" w:styleId="KY--1111">
    <w:name w:val="KY-标题-1.1.1.1"/>
    <w:basedOn w:val="a"/>
    <w:next w:val="a"/>
    <w:qFormat/>
    <w:pPr>
      <w:outlineLvl w:val="3"/>
    </w:pPr>
  </w:style>
  <w:style w:type="paragraph" w:styleId="afffffffe">
    <w:name w:val="No Spacing"/>
    <w:uiPriority w:val="1"/>
    <w:qFormat/>
    <w:pPr>
      <w:widowControl w:val="0"/>
      <w:ind w:firstLineChars="200" w:firstLine="200"/>
      <w:jc w:val="both"/>
    </w:pPr>
    <w:rPr>
      <w:rFonts w:eastAsia="仿宋_GB2312"/>
      <w:kern w:val="2"/>
      <w:sz w:val="28"/>
      <w:szCs w:val="22"/>
    </w:rPr>
  </w:style>
  <w:style w:type="paragraph" w:customStyle="1" w:styleId="KY--">
    <w:name w:val="KY-正文-⑦"/>
    <w:basedOn w:val="a"/>
    <w:next w:val="a"/>
    <w:qFormat/>
    <w:pPr>
      <w:outlineLvl w:val="6"/>
    </w:pPr>
    <w:rPr>
      <w:szCs w:val="28"/>
    </w:rPr>
  </w:style>
  <w:style w:type="paragraph" w:customStyle="1" w:styleId="reader-word-layerreader-word-s18-0">
    <w:name w:val="reader-word-layer reader-word-s18-0"/>
    <w:basedOn w:val="a"/>
    <w:qFormat/>
    <w:pPr>
      <w:widowControl/>
      <w:spacing w:before="100" w:beforeAutospacing="1" w:after="100" w:afterAutospacing="1"/>
      <w:jc w:val="left"/>
    </w:pPr>
    <w:rPr>
      <w:rFonts w:ascii="宋体" w:hAnsi="宋体" w:cs="宋体"/>
      <w:kern w:val="0"/>
    </w:rPr>
  </w:style>
  <w:style w:type="paragraph" w:customStyle="1" w:styleId="reader-word-layerreader-word-s18-11">
    <w:name w:val="reader-word-layer reader-word-s18-11"/>
    <w:basedOn w:val="a"/>
    <w:qFormat/>
    <w:pPr>
      <w:widowControl/>
      <w:spacing w:before="100" w:beforeAutospacing="1" w:after="100" w:afterAutospacing="1"/>
      <w:jc w:val="left"/>
    </w:pPr>
    <w:rPr>
      <w:rFonts w:ascii="宋体" w:hAnsi="宋体" w:cs="宋体"/>
      <w:kern w:val="0"/>
    </w:rPr>
  </w:style>
  <w:style w:type="paragraph" w:customStyle="1" w:styleId="reader-word-layerreader-word-s18-21">
    <w:name w:val="reader-word-layer reader-word-s18-21"/>
    <w:basedOn w:val="a"/>
    <w:qFormat/>
    <w:pPr>
      <w:widowControl/>
      <w:spacing w:before="100" w:beforeAutospacing="1" w:after="100" w:afterAutospacing="1"/>
      <w:jc w:val="left"/>
    </w:pPr>
    <w:rPr>
      <w:rFonts w:ascii="宋体" w:hAnsi="宋体" w:cs="宋体"/>
      <w:kern w:val="0"/>
    </w:rPr>
  </w:style>
  <w:style w:type="paragraph" w:customStyle="1" w:styleId="2ff3">
    <w:name w:val="普通(网站)2"/>
    <w:basedOn w:val="a"/>
    <w:qFormat/>
    <w:pPr>
      <w:widowControl/>
      <w:spacing w:before="100" w:beforeAutospacing="1" w:after="100" w:afterAutospacing="1"/>
      <w:jc w:val="left"/>
    </w:pPr>
    <w:rPr>
      <w:rFonts w:ascii="宋体" w:hAnsi="宋体" w:cs="宋体"/>
      <w:kern w:val="0"/>
    </w:rPr>
  </w:style>
  <w:style w:type="paragraph" w:customStyle="1" w:styleId="reader-word-layerreader-word-s18-16">
    <w:name w:val="reader-word-layer reader-word-s18-16"/>
    <w:basedOn w:val="a"/>
    <w:qFormat/>
    <w:pPr>
      <w:widowControl/>
      <w:spacing w:before="100" w:beforeAutospacing="1" w:after="100" w:afterAutospacing="1"/>
      <w:jc w:val="left"/>
    </w:pPr>
    <w:rPr>
      <w:rFonts w:ascii="宋体" w:hAnsi="宋体" w:cs="宋体"/>
      <w:kern w:val="0"/>
    </w:rPr>
  </w:style>
  <w:style w:type="paragraph" w:customStyle="1" w:styleId="reader-word-layerreader-word-s18-19">
    <w:name w:val="reader-word-layer reader-word-s18-19"/>
    <w:basedOn w:val="a"/>
    <w:qFormat/>
    <w:pPr>
      <w:widowControl/>
      <w:spacing w:before="100" w:beforeAutospacing="1" w:after="100" w:afterAutospacing="1"/>
      <w:jc w:val="left"/>
    </w:pPr>
    <w:rPr>
      <w:rFonts w:ascii="宋体" w:hAnsi="宋体" w:cs="宋体"/>
      <w:kern w:val="0"/>
    </w:rPr>
  </w:style>
  <w:style w:type="paragraph" w:customStyle="1" w:styleId="reader-word-layerreader-word-s18-15">
    <w:name w:val="reader-word-layer reader-word-s18-15"/>
    <w:basedOn w:val="a"/>
    <w:qFormat/>
    <w:pPr>
      <w:widowControl/>
      <w:spacing w:before="100" w:beforeAutospacing="1" w:after="100" w:afterAutospacing="1"/>
      <w:jc w:val="left"/>
    </w:pPr>
    <w:rPr>
      <w:rFonts w:ascii="宋体" w:hAnsi="宋体" w:cs="宋体"/>
      <w:kern w:val="0"/>
    </w:rPr>
  </w:style>
  <w:style w:type="paragraph" w:customStyle="1" w:styleId="reader-word-layerreader-word-s18-24">
    <w:name w:val="reader-word-layer reader-word-s18-24"/>
    <w:basedOn w:val="a"/>
    <w:qFormat/>
    <w:pPr>
      <w:widowControl/>
      <w:spacing w:before="100" w:beforeAutospacing="1" w:after="100" w:afterAutospacing="1"/>
      <w:jc w:val="left"/>
    </w:pPr>
    <w:rPr>
      <w:rFonts w:ascii="宋体" w:hAnsi="宋体" w:cs="宋体"/>
      <w:kern w:val="0"/>
    </w:rPr>
  </w:style>
  <w:style w:type="paragraph" w:customStyle="1" w:styleId="reader-word-layerreader-word-s18-20">
    <w:name w:val="reader-word-layer reader-word-s18-20"/>
    <w:basedOn w:val="a"/>
    <w:qFormat/>
    <w:pPr>
      <w:widowControl/>
      <w:spacing w:before="100" w:beforeAutospacing="1" w:after="100" w:afterAutospacing="1"/>
      <w:jc w:val="left"/>
    </w:pPr>
    <w:rPr>
      <w:rFonts w:ascii="宋体" w:hAnsi="宋体" w:cs="宋体"/>
      <w:kern w:val="0"/>
    </w:rPr>
  </w:style>
  <w:style w:type="paragraph" w:customStyle="1" w:styleId="affffffff">
    <w:name w:val="表体"/>
    <w:basedOn w:val="a"/>
    <w:qFormat/>
    <w:pPr>
      <w:overflowPunct w:val="0"/>
      <w:spacing w:line="300" w:lineRule="atLeast"/>
      <w:jc w:val="center"/>
    </w:pPr>
    <w:rPr>
      <w:color w:val="000000"/>
      <w:kern w:val="24"/>
      <w:sz w:val="18"/>
      <w:szCs w:val="20"/>
    </w:rPr>
  </w:style>
  <w:style w:type="paragraph" w:customStyle="1" w:styleId="reader-word-layerreader-word-s18-9">
    <w:name w:val="reader-word-layer reader-word-s18-9"/>
    <w:basedOn w:val="a"/>
    <w:qFormat/>
    <w:pPr>
      <w:widowControl/>
      <w:spacing w:before="100" w:beforeAutospacing="1" w:after="100" w:afterAutospacing="1"/>
      <w:jc w:val="left"/>
    </w:pPr>
    <w:rPr>
      <w:rFonts w:ascii="宋体" w:hAnsi="宋体" w:cs="宋体"/>
      <w:kern w:val="0"/>
    </w:rPr>
  </w:style>
  <w:style w:type="paragraph" w:customStyle="1" w:styleId="KY--0">
    <w:name w:val="KY-表格-左对齐"/>
    <w:basedOn w:val="KY-"/>
    <w:qFormat/>
    <w:pPr>
      <w:spacing w:beforeLines="0" w:before="48" w:afterLines="0" w:after="48"/>
      <w:jc w:val="both"/>
    </w:pPr>
  </w:style>
  <w:style w:type="paragraph" w:customStyle="1" w:styleId="110">
    <w:name w:val="索引 11"/>
    <w:basedOn w:val="a"/>
    <w:next w:val="a"/>
    <w:qFormat/>
    <w:pPr>
      <w:jc w:val="center"/>
    </w:pPr>
  </w:style>
  <w:style w:type="paragraph" w:customStyle="1" w:styleId="BG1">
    <w:name w:val="BG1"/>
    <w:basedOn w:val="a"/>
    <w:qFormat/>
    <w:pPr>
      <w:spacing w:line="240" w:lineRule="exact"/>
      <w:jc w:val="center"/>
    </w:pPr>
    <w:rPr>
      <w:color w:val="000000"/>
    </w:rPr>
  </w:style>
  <w:style w:type="paragraph" w:customStyle="1" w:styleId="reader-word-layerreader-word-s18-5">
    <w:name w:val="reader-word-layer reader-word-s18-5"/>
    <w:basedOn w:val="a"/>
    <w:qFormat/>
    <w:pPr>
      <w:widowControl/>
      <w:spacing w:before="100" w:beforeAutospacing="1" w:after="100" w:afterAutospacing="1"/>
      <w:jc w:val="left"/>
    </w:pPr>
    <w:rPr>
      <w:rFonts w:ascii="宋体" w:hAnsi="宋体" w:cs="宋体"/>
      <w:kern w:val="0"/>
    </w:rPr>
  </w:style>
  <w:style w:type="paragraph" w:customStyle="1" w:styleId="reader-word-layerreader-word-s18-18">
    <w:name w:val="reader-word-layer reader-word-s18-18"/>
    <w:basedOn w:val="a"/>
    <w:qFormat/>
    <w:pPr>
      <w:widowControl/>
      <w:spacing w:before="100" w:beforeAutospacing="1" w:after="100" w:afterAutospacing="1"/>
      <w:jc w:val="left"/>
    </w:pPr>
    <w:rPr>
      <w:rFonts w:ascii="宋体" w:hAnsi="宋体" w:cs="宋体"/>
      <w:kern w:val="0"/>
    </w:rPr>
  </w:style>
  <w:style w:type="paragraph" w:customStyle="1" w:styleId="reader-word-layerreader-word-s18-17">
    <w:name w:val="reader-word-layer reader-word-s18-17"/>
    <w:basedOn w:val="a"/>
    <w:qFormat/>
    <w:pPr>
      <w:widowControl/>
      <w:spacing w:before="100" w:beforeAutospacing="1" w:after="100" w:afterAutospacing="1"/>
      <w:jc w:val="left"/>
    </w:pPr>
    <w:rPr>
      <w:rFonts w:ascii="宋体" w:hAnsi="宋体" w:cs="宋体"/>
      <w:kern w:val="0"/>
    </w:rPr>
  </w:style>
  <w:style w:type="paragraph" w:customStyle="1" w:styleId="KY-3">
    <w:name w:val="KY-图"/>
    <w:basedOn w:val="KY-0"/>
    <w:next w:val="KY-2"/>
    <w:qFormat/>
    <w:pPr>
      <w:keepNext/>
      <w:keepLines/>
      <w:ind w:firstLineChars="0" w:firstLine="0"/>
      <w:jc w:val="center"/>
    </w:pPr>
    <w:rPr>
      <w:szCs w:val="44"/>
    </w:rPr>
  </w:style>
  <w:style w:type="paragraph" w:customStyle="1" w:styleId="reader-word-layerreader-word-s18-1">
    <w:name w:val="reader-word-layer reader-word-s18-1"/>
    <w:basedOn w:val="a"/>
    <w:qFormat/>
    <w:pPr>
      <w:widowControl/>
      <w:spacing w:before="100" w:beforeAutospacing="1" w:after="100" w:afterAutospacing="1"/>
      <w:jc w:val="left"/>
    </w:pPr>
    <w:rPr>
      <w:rFonts w:ascii="宋体" w:hAnsi="宋体" w:cs="宋体"/>
      <w:kern w:val="0"/>
    </w:rPr>
  </w:style>
  <w:style w:type="paragraph" w:customStyle="1" w:styleId="Char1f3">
    <w:name w:val="Char1"/>
    <w:basedOn w:val="a"/>
    <w:qFormat/>
  </w:style>
  <w:style w:type="paragraph" w:customStyle="1" w:styleId="Chard">
    <w:name w:val="Char"/>
    <w:basedOn w:val="a"/>
    <w:qFormat/>
  </w:style>
  <w:style w:type="paragraph" w:customStyle="1" w:styleId="2ff4">
    <w:name w:val="正文缩进2"/>
    <w:basedOn w:val="a"/>
    <w:qFormat/>
    <w:rPr>
      <w:rFonts w:ascii="仿宋_GB2312" w:hAnsi="Calibri"/>
      <w:szCs w:val="20"/>
    </w:rPr>
  </w:style>
  <w:style w:type="paragraph" w:customStyle="1" w:styleId="reader-word-layerreader-word-s18-3">
    <w:name w:val="reader-word-layer reader-word-s18-3"/>
    <w:basedOn w:val="a"/>
    <w:qFormat/>
    <w:pPr>
      <w:widowControl/>
      <w:spacing w:before="100" w:beforeAutospacing="1" w:after="100" w:afterAutospacing="1"/>
      <w:jc w:val="left"/>
    </w:pPr>
    <w:rPr>
      <w:rFonts w:ascii="宋体" w:hAnsi="宋体" w:cs="宋体"/>
      <w:kern w:val="0"/>
    </w:rPr>
  </w:style>
  <w:style w:type="paragraph" w:customStyle="1" w:styleId="KY-4">
    <w:name w:val="KY-附注"/>
    <w:basedOn w:val="KY-0"/>
    <w:qFormat/>
    <w:pPr>
      <w:ind w:firstLineChars="0" w:firstLine="0"/>
    </w:pPr>
  </w:style>
  <w:style w:type="paragraph" w:customStyle="1" w:styleId="reader-word-layerreader-word-s18-13">
    <w:name w:val="reader-word-layer reader-word-s18-13"/>
    <w:basedOn w:val="a"/>
    <w:qFormat/>
    <w:pPr>
      <w:widowControl/>
      <w:spacing w:before="100" w:beforeAutospacing="1" w:after="100" w:afterAutospacing="1"/>
      <w:jc w:val="left"/>
    </w:pPr>
    <w:rPr>
      <w:rFonts w:ascii="宋体" w:hAnsi="宋体" w:cs="宋体"/>
      <w:kern w:val="0"/>
    </w:rPr>
  </w:style>
  <w:style w:type="paragraph" w:customStyle="1" w:styleId="reader-word-layerreader-word-s18-23">
    <w:name w:val="reader-word-layer reader-word-s18-23"/>
    <w:basedOn w:val="a"/>
    <w:qFormat/>
    <w:pPr>
      <w:widowControl/>
      <w:spacing w:before="100" w:beforeAutospacing="1" w:after="100" w:afterAutospacing="1"/>
      <w:jc w:val="left"/>
    </w:pPr>
    <w:rPr>
      <w:rFonts w:ascii="宋体" w:hAnsi="宋体" w:cs="宋体"/>
      <w:kern w:val="0"/>
    </w:rPr>
  </w:style>
  <w:style w:type="paragraph" w:customStyle="1" w:styleId="reader-word-layerreader-word-s18-22">
    <w:name w:val="reader-word-layer reader-word-s18-22"/>
    <w:basedOn w:val="a"/>
    <w:qFormat/>
    <w:pPr>
      <w:widowControl/>
      <w:spacing w:before="100" w:beforeAutospacing="1" w:after="100" w:afterAutospacing="1"/>
      <w:jc w:val="left"/>
    </w:pPr>
    <w:rPr>
      <w:rFonts w:ascii="宋体" w:hAnsi="宋体" w:cs="宋体"/>
      <w:kern w:val="0"/>
    </w:rPr>
  </w:style>
  <w:style w:type="paragraph" w:styleId="affffffff0">
    <w:name w:val="List Paragraph"/>
    <w:basedOn w:val="a"/>
    <w:qFormat/>
    <w:pPr>
      <w:ind w:firstLine="420"/>
    </w:pPr>
    <w:rPr>
      <w:rFonts w:ascii="Calibri" w:hAnsi="Calibri"/>
      <w:szCs w:val="22"/>
    </w:rPr>
  </w:style>
  <w:style w:type="paragraph" w:customStyle="1" w:styleId="407522">
    <w:name w:val="样式 样式 样式 样式 样式4 + 首行缩进:  0.75 字符 + 首行缩进:  2 字符 + 首行缩进:  2 字符 + 首..."/>
    <w:basedOn w:val="a"/>
    <w:autoRedefine/>
    <w:qFormat/>
    <w:pPr>
      <w:spacing w:line="480" w:lineRule="exact"/>
      <w:jc w:val="center"/>
    </w:pPr>
    <w:rPr>
      <w:color w:val="0000FF"/>
    </w:rPr>
  </w:style>
  <w:style w:type="character" w:customStyle="1" w:styleId="Chare">
    <w:name w:val="表格 Char"/>
    <w:qFormat/>
    <w:rPr>
      <w:rFonts w:ascii="宋体" w:eastAsia="宋体" w:hAnsi="宋体" w:cs="宋体"/>
      <w:spacing w:val="4"/>
      <w:w w:val="90"/>
      <w:sz w:val="24"/>
      <w:szCs w:val="24"/>
      <w:lang w:val="en-US" w:eastAsia="zh-CN" w:bidi="ar-SA"/>
    </w:rPr>
  </w:style>
  <w:style w:type="paragraph" w:customStyle="1" w:styleId="CharChar11CharChar">
    <w:name w:val="Char Char11 Char Char"/>
    <w:basedOn w:val="a"/>
    <w:qFormat/>
  </w:style>
  <w:style w:type="paragraph" w:customStyle="1" w:styleId="affffffff1">
    <w:name w:val="附录"/>
    <w:link w:val="Charf"/>
    <w:qFormat/>
    <w:pPr>
      <w:spacing w:line="460" w:lineRule="exact"/>
    </w:pPr>
    <w:rPr>
      <w:rFonts w:eastAsia="仿宋_GB2312"/>
      <w:kern w:val="2"/>
      <w:sz w:val="24"/>
      <w:szCs w:val="24"/>
    </w:rPr>
  </w:style>
  <w:style w:type="character" w:customStyle="1" w:styleId="Charf">
    <w:name w:val="附录 Char"/>
    <w:link w:val="affffffff1"/>
    <w:qFormat/>
    <w:rPr>
      <w:rFonts w:ascii="Times New Roman" w:eastAsia="仿宋_GB2312" w:hAnsi="Times New Roman" w:cs="Times New Roman"/>
      <w:sz w:val="24"/>
      <w:szCs w:val="24"/>
    </w:rPr>
  </w:style>
  <w:style w:type="paragraph" w:customStyle="1" w:styleId="affffffff2">
    <w:name w:val="首页 项目编号"/>
    <w:link w:val="Charf0"/>
    <w:qFormat/>
    <w:pPr>
      <w:jc w:val="center"/>
    </w:pPr>
    <w:rPr>
      <w:kern w:val="2"/>
      <w:sz w:val="24"/>
      <w:szCs w:val="24"/>
    </w:rPr>
  </w:style>
  <w:style w:type="character" w:customStyle="1" w:styleId="Charf0">
    <w:name w:val="首页 项目编号 Char"/>
    <w:link w:val="affffffff2"/>
    <w:qFormat/>
    <w:rPr>
      <w:rFonts w:ascii="Times New Roman" w:eastAsia="宋体" w:hAnsi="Times New Roman" w:cs="Times New Roman"/>
      <w:sz w:val="24"/>
      <w:szCs w:val="24"/>
    </w:rPr>
  </w:style>
  <w:style w:type="paragraph" w:customStyle="1" w:styleId="affffffff3">
    <w:name w:val="公参 调查表"/>
    <w:link w:val="Charf1"/>
    <w:qFormat/>
    <w:rPr>
      <w:rFonts w:eastAsia="仿宋_GB2312"/>
      <w:kern w:val="2"/>
      <w:sz w:val="24"/>
      <w:szCs w:val="24"/>
    </w:rPr>
  </w:style>
  <w:style w:type="character" w:customStyle="1" w:styleId="Charf1">
    <w:name w:val="公参 调查表 Char"/>
    <w:link w:val="affffffff3"/>
    <w:qFormat/>
    <w:rPr>
      <w:rFonts w:ascii="Times New Roman" w:eastAsia="仿宋_GB2312" w:hAnsi="Times New Roman" w:cs="Times New Roman"/>
      <w:sz w:val="24"/>
      <w:szCs w:val="24"/>
    </w:rPr>
  </w:style>
  <w:style w:type="paragraph" w:customStyle="1" w:styleId="affffffff4">
    <w:name w:val="首页 评价单位 时间"/>
    <w:link w:val="Charf2"/>
    <w:qFormat/>
    <w:pPr>
      <w:jc w:val="center"/>
    </w:pPr>
    <w:rPr>
      <w:rFonts w:ascii="华文新魏" w:eastAsia="华文新魏"/>
      <w:kern w:val="2"/>
      <w:sz w:val="32"/>
      <w:szCs w:val="32"/>
    </w:rPr>
  </w:style>
  <w:style w:type="character" w:customStyle="1" w:styleId="Charf2">
    <w:name w:val="首页 评价单位 时间 Char"/>
    <w:link w:val="affffffff4"/>
    <w:qFormat/>
    <w:rPr>
      <w:rFonts w:ascii="华文新魏" w:eastAsia="华文新魏" w:hAnsi="Times New Roman" w:cs="Times New Roman"/>
      <w:sz w:val="32"/>
      <w:szCs w:val="32"/>
    </w:rPr>
  </w:style>
  <w:style w:type="paragraph" w:customStyle="1" w:styleId="affffffff5">
    <w:name w:val="首页 建设单位"/>
    <w:link w:val="Charf3"/>
    <w:qFormat/>
    <w:pPr>
      <w:spacing w:after="20" w:line="480" w:lineRule="auto"/>
      <w:jc w:val="center"/>
    </w:pPr>
    <w:rPr>
      <w:rFonts w:ascii="华文新魏" w:eastAsia="华文新魏" w:hAnsi="黑体" w:cs="宋体"/>
      <w:bCs/>
      <w:kern w:val="2"/>
      <w:sz w:val="60"/>
      <w:szCs w:val="60"/>
    </w:rPr>
  </w:style>
  <w:style w:type="character" w:customStyle="1" w:styleId="Charf3">
    <w:name w:val="首页 建设单位 Char"/>
    <w:link w:val="affffffff5"/>
    <w:qFormat/>
    <w:rPr>
      <w:rFonts w:ascii="华文新魏" w:eastAsia="华文新魏" w:hAnsi="黑体" w:cs="宋体"/>
      <w:bCs/>
      <w:sz w:val="60"/>
      <w:szCs w:val="60"/>
    </w:rPr>
  </w:style>
  <w:style w:type="paragraph" w:customStyle="1" w:styleId="affffffff6">
    <w:name w:val="首页 项目名称"/>
    <w:link w:val="Charf4"/>
    <w:qFormat/>
    <w:pPr>
      <w:spacing w:line="360" w:lineRule="auto"/>
      <w:jc w:val="center"/>
    </w:pPr>
    <w:rPr>
      <w:rFonts w:ascii="华文新魏" w:eastAsia="华文新魏" w:hAnsi="黑体"/>
      <w:bCs/>
      <w:kern w:val="2"/>
      <w:sz w:val="44"/>
      <w:szCs w:val="44"/>
    </w:rPr>
  </w:style>
  <w:style w:type="character" w:customStyle="1" w:styleId="Charf4">
    <w:name w:val="首页 项目名称 Char"/>
    <w:link w:val="affffffff6"/>
    <w:qFormat/>
    <w:rPr>
      <w:rFonts w:ascii="华文新魏" w:eastAsia="华文新魏" w:hAnsi="黑体" w:cs="Times New Roman"/>
      <w:bCs/>
      <w:sz w:val="44"/>
      <w:szCs w:val="44"/>
    </w:rPr>
  </w:style>
  <w:style w:type="character" w:customStyle="1" w:styleId="Charf5">
    <w:name w:val="表格文字 Char"/>
    <w:qFormat/>
    <w:rPr>
      <w:rFonts w:ascii="仿宋_GB2312" w:eastAsia="仿宋_GB2312" w:hAnsi="Arial Black"/>
      <w:kern w:val="44"/>
      <w:sz w:val="24"/>
    </w:rPr>
  </w:style>
  <w:style w:type="paragraph" w:customStyle="1" w:styleId="affffffff7">
    <w:name w:val="目录 标题"/>
    <w:basedOn w:val="12"/>
    <w:qFormat/>
    <w:pPr>
      <w:widowControl/>
      <w:spacing w:before="120" w:after="120" w:line="500" w:lineRule="exact"/>
      <w:jc w:val="center"/>
    </w:pPr>
    <w:rPr>
      <w:rFonts w:ascii="仿宋_GB2312" w:hAnsi="微软雅黑" w:cs="宋体"/>
      <w:bCs/>
      <w:caps/>
      <w:smallCaps/>
      <w:sz w:val="36"/>
      <w:szCs w:val="20"/>
    </w:rPr>
  </w:style>
  <w:style w:type="table" w:customStyle="1" w:styleId="1ffe">
    <w:name w:val="网格型表格1"/>
    <w:basedOn w:val="a3"/>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29">
    <w:name w:val="正文文本缩进 Char2"/>
    <w:qFormat/>
    <w:rPr>
      <w:rFonts w:ascii="Times New Roman" w:eastAsia="宋体" w:hAnsi="Times New Roman" w:cs="Times New Roman"/>
      <w:szCs w:val="24"/>
    </w:rPr>
  </w:style>
  <w:style w:type="character" w:customStyle="1" w:styleId="2Char20">
    <w:name w:val="正文首行缩进 2 Char2"/>
    <w:qFormat/>
  </w:style>
  <w:style w:type="character" w:customStyle="1" w:styleId="HTMLChar1">
    <w:name w:val="HTML 地址 Char1"/>
    <w:qFormat/>
    <w:rPr>
      <w:rFonts w:ascii="Times New Roman" w:eastAsia="宋体" w:hAnsi="Times New Roman" w:cs="Times New Roman"/>
      <w:i/>
      <w:iCs/>
      <w:szCs w:val="24"/>
    </w:rPr>
  </w:style>
  <w:style w:type="character" w:customStyle="1" w:styleId="Char1f4">
    <w:name w:val="电子邮件签名 Char1"/>
    <w:qFormat/>
    <w:rPr>
      <w:rFonts w:ascii="Times New Roman" w:eastAsia="宋体" w:hAnsi="Times New Roman" w:cs="Times New Roman"/>
      <w:szCs w:val="24"/>
    </w:rPr>
  </w:style>
  <w:style w:type="character" w:customStyle="1" w:styleId="Char1f5">
    <w:name w:val="称呼 Char1"/>
    <w:qFormat/>
    <w:rPr>
      <w:rFonts w:ascii="Times New Roman" w:eastAsia="宋体" w:hAnsi="Times New Roman" w:cs="Times New Roman"/>
      <w:szCs w:val="24"/>
    </w:rPr>
  </w:style>
  <w:style w:type="character" w:customStyle="1" w:styleId="Char1f6">
    <w:name w:val="文档结构图 Char1"/>
    <w:qFormat/>
    <w:rPr>
      <w:rFonts w:ascii="宋体" w:eastAsia="宋体" w:hAnsi="Times New Roman" w:cs="Times New Roman"/>
      <w:sz w:val="18"/>
      <w:szCs w:val="18"/>
    </w:rPr>
  </w:style>
  <w:style w:type="character" w:customStyle="1" w:styleId="HTMLChar10">
    <w:name w:val="HTML 预设格式 Char1"/>
    <w:qFormat/>
    <w:rPr>
      <w:rFonts w:ascii="Courier New" w:eastAsia="宋体" w:hAnsi="Courier New" w:cs="Courier New"/>
      <w:sz w:val="20"/>
      <w:szCs w:val="20"/>
    </w:rPr>
  </w:style>
  <w:style w:type="character" w:customStyle="1" w:styleId="Char1f7">
    <w:name w:val="批注框文本 Char1"/>
    <w:qFormat/>
    <w:rPr>
      <w:rFonts w:ascii="Times New Roman" w:eastAsia="宋体" w:hAnsi="Times New Roman" w:cs="Times New Roman"/>
      <w:sz w:val="18"/>
      <w:szCs w:val="18"/>
    </w:rPr>
  </w:style>
  <w:style w:type="character" w:customStyle="1" w:styleId="3Char12">
    <w:name w:val="正文文本 3 Char1"/>
    <w:qFormat/>
    <w:rPr>
      <w:rFonts w:ascii="Times New Roman" w:eastAsia="宋体" w:hAnsi="Times New Roman" w:cs="Times New Roman"/>
      <w:sz w:val="16"/>
      <w:szCs w:val="16"/>
    </w:rPr>
  </w:style>
  <w:style w:type="character" w:customStyle="1" w:styleId="Char34">
    <w:name w:val="纯文本 Char3"/>
    <w:qFormat/>
    <w:rPr>
      <w:rFonts w:ascii="宋体" w:eastAsia="宋体" w:hAnsi="Courier New" w:cs="Courier New"/>
      <w:szCs w:val="21"/>
    </w:rPr>
  </w:style>
  <w:style w:type="table" w:customStyle="1" w:styleId="1fff">
    <w:name w:val="网格型1"/>
    <w:basedOn w:val="a3"/>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0">
    <w:name w:val="修订1"/>
    <w:hidden/>
    <w:qFormat/>
    <w:rPr>
      <w:kern w:val="2"/>
      <w:sz w:val="21"/>
      <w:szCs w:val="24"/>
    </w:rPr>
  </w:style>
  <w:style w:type="paragraph" w:customStyle="1" w:styleId="1fff1">
    <w:name w:val="正文 段落1级"/>
    <w:basedOn w:val="a"/>
    <w:link w:val="1Char0"/>
    <w:qFormat/>
    <w:pPr>
      <w:keepNext/>
      <w:keepLines/>
      <w:pageBreakBefore/>
      <w:widowControl/>
      <w:outlineLvl w:val="0"/>
    </w:pPr>
    <w:rPr>
      <w:rFonts w:cs="Arial"/>
      <w:b/>
      <w:bCs/>
      <w:kern w:val="44"/>
      <w:sz w:val="36"/>
      <w:szCs w:val="44"/>
    </w:rPr>
  </w:style>
  <w:style w:type="character" w:customStyle="1" w:styleId="1Char0">
    <w:name w:val="正文 段落1级 Char"/>
    <w:link w:val="1fff1"/>
    <w:qFormat/>
    <w:rPr>
      <w:rFonts w:ascii="Times New Roman" w:eastAsia="仿宋_GB2312" w:hAnsi="Times New Roman" w:cs="Arial"/>
      <w:b/>
      <w:bCs/>
      <w:kern w:val="44"/>
      <w:sz w:val="36"/>
      <w:szCs w:val="44"/>
    </w:rPr>
  </w:style>
  <w:style w:type="paragraph" w:customStyle="1" w:styleId="2ff5">
    <w:name w:val="正文 段落2级"/>
    <w:basedOn w:val="a"/>
    <w:link w:val="2Char5"/>
    <w:qFormat/>
    <w:pPr>
      <w:keepNext/>
      <w:keepLines/>
      <w:widowControl/>
      <w:outlineLvl w:val="1"/>
    </w:pPr>
    <w:rPr>
      <w:b/>
      <w:bCs/>
      <w:kern w:val="44"/>
      <w:sz w:val="32"/>
      <w:szCs w:val="44"/>
    </w:rPr>
  </w:style>
  <w:style w:type="character" w:customStyle="1" w:styleId="2Char5">
    <w:name w:val="正文 段落2级 Char"/>
    <w:link w:val="2ff5"/>
    <w:qFormat/>
    <w:rPr>
      <w:rFonts w:ascii="Times New Roman" w:eastAsia="仿宋_GB2312" w:hAnsi="Times New Roman" w:cs="Times New Roman"/>
      <w:b/>
      <w:bCs/>
      <w:kern w:val="44"/>
      <w:sz w:val="32"/>
      <w:szCs w:val="44"/>
    </w:rPr>
  </w:style>
  <w:style w:type="paragraph" w:customStyle="1" w:styleId="3f4">
    <w:name w:val="正文 段落3级"/>
    <w:link w:val="3Char2"/>
    <w:qFormat/>
    <w:pPr>
      <w:keepNext/>
      <w:keepLines/>
      <w:tabs>
        <w:tab w:val="left" w:pos="7230"/>
      </w:tabs>
      <w:spacing w:beforeLines="50" w:before="50" w:afterLines="50" w:after="50" w:line="500" w:lineRule="exact"/>
      <w:outlineLvl w:val="2"/>
    </w:pPr>
    <w:rPr>
      <w:rFonts w:eastAsia="仿宋_GB2312"/>
      <w:b/>
      <w:bCs/>
      <w:kern w:val="2"/>
      <w:sz w:val="28"/>
      <w:szCs w:val="32"/>
    </w:rPr>
  </w:style>
  <w:style w:type="character" w:customStyle="1" w:styleId="3Char2">
    <w:name w:val="正文 段落3级 Char"/>
    <w:link w:val="3f4"/>
    <w:qFormat/>
    <w:rPr>
      <w:rFonts w:ascii="Times New Roman" w:eastAsia="仿宋_GB2312" w:hAnsi="Times New Roman" w:cs="Times New Roman"/>
      <w:b/>
      <w:bCs/>
      <w:sz w:val="28"/>
      <w:szCs w:val="32"/>
    </w:rPr>
  </w:style>
  <w:style w:type="character" w:customStyle="1" w:styleId="Charf6">
    <w:name w:val="正文 文本 Char"/>
    <w:qFormat/>
    <w:rPr>
      <w:rFonts w:ascii="Times New Roman" w:eastAsia="仿宋_GB2312" w:hAnsi="Times New Roman" w:cs="Times New Roman"/>
      <w:sz w:val="28"/>
      <w:szCs w:val="24"/>
    </w:rPr>
  </w:style>
  <w:style w:type="character" w:customStyle="1" w:styleId="Charf7">
    <w:name w:val="表格 标题 Char"/>
    <w:qFormat/>
    <w:rPr>
      <w:rFonts w:ascii="Times New Roman" w:eastAsia="仿宋_GB2312" w:hAnsi="Times New Roman" w:cs="Times New Roman"/>
      <w:b/>
      <w:sz w:val="24"/>
      <w:szCs w:val="24"/>
    </w:rPr>
  </w:style>
  <w:style w:type="character" w:customStyle="1" w:styleId="Charf8">
    <w:name w:val="表格 普通文字 Char"/>
    <w:qFormat/>
    <w:rPr>
      <w:rFonts w:ascii="Times New Roman" w:eastAsia="仿宋_GB2312" w:hAnsi="Times New Roman" w:cs="Times New Roman"/>
      <w:szCs w:val="21"/>
    </w:rPr>
  </w:style>
  <w:style w:type="character" w:customStyle="1" w:styleId="Charf9">
    <w:name w:val="表格 首行文字 Char"/>
    <w:qFormat/>
    <w:rPr>
      <w:rFonts w:ascii="Times New Roman" w:eastAsia="仿宋_GB2312" w:hAnsi="Times New Roman" w:cs="Times New Roman"/>
      <w:b/>
    </w:rPr>
  </w:style>
  <w:style w:type="paragraph" w:customStyle="1" w:styleId="affffffff8">
    <w:name w:val="表格 标注"/>
    <w:link w:val="Charfa"/>
    <w:qFormat/>
    <w:pPr>
      <w:widowControl w:val="0"/>
    </w:pPr>
    <w:rPr>
      <w:rFonts w:eastAsia="仿宋_GB2312"/>
      <w:kern w:val="2"/>
      <w:sz w:val="18"/>
      <w:szCs w:val="18"/>
    </w:rPr>
  </w:style>
  <w:style w:type="character" w:customStyle="1" w:styleId="Charfa">
    <w:name w:val="表格 标注 Char"/>
    <w:link w:val="affffffff8"/>
    <w:qFormat/>
    <w:rPr>
      <w:rFonts w:ascii="Times New Roman" w:eastAsia="仿宋_GB2312" w:hAnsi="Times New Roman" w:cs="Times New Roman"/>
      <w:sz w:val="18"/>
      <w:szCs w:val="18"/>
    </w:rPr>
  </w:style>
  <w:style w:type="paragraph" w:customStyle="1" w:styleId="4d">
    <w:name w:val="正文 段落4级"/>
    <w:link w:val="4Char1"/>
    <w:qFormat/>
    <w:pPr>
      <w:spacing w:line="500" w:lineRule="exact"/>
      <w:outlineLvl w:val="3"/>
    </w:pPr>
    <w:rPr>
      <w:rFonts w:eastAsia="仿宋_GB2312"/>
      <w:b/>
      <w:kern w:val="2"/>
      <w:sz w:val="28"/>
      <w:szCs w:val="24"/>
    </w:rPr>
  </w:style>
  <w:style w:type="character" w:customStyle="1" w:styleId="4Char1">
    <w:name w:val="正文 段落4级 Char1"/>
    <w:link w:val="4d"/>
    <w:qFormat/>
    <w:rPr>
      <w:rFonts w:ascii="Times New Roman" w:eastAsia="仿宋_GB2312" w:hAnsi="Times New Roman" w:cs="Times New Roman"/>
      <w:b/>
      <w:sz w:val="28"/>
      <w:szCs w:val="24"/>
    </w:rPr>
  </w:style>
  <w:style w:type="paragraph" w:customStyle="1" w:styleId="affffffff9">
    <w:name w:val="正文 方程式"/>
    <w:link w:val="Charfb"/>
    <w:qFormat/>
    <w:pPr>
      <w:spacing w:beforeLines="100" w:before="100" w:afterLines="100" w:after="100" w:line="500" w:lineRule="exact"/>
      <w:jc w:val="center"/>
    </w:pPr>
    <w:rPr>
      <w:rFonts w:ascii="Cambria" w:eastAsia="仿宋_GB2312" w:hAnsi="Cambria" w:cs="Arial"/>
      <w:kern w:val="2"/>
      <w:sz w:val="28"/>
      <w:szCs w:val="24"/>
      <w:lang w:val="pl-PL"/>
    </w:rPr>
  </w:style>
  <w:style w:type="character" w:customStyle="1" w:styleId="Charfb">
    <w:name w:val="正文 方程式 Char"/>
    <w:link w:val="affffffff9"/>
    <w:qFormat/>
    <w:rPr>
      <w:rFonts w:ascii="Cambria" w:eastAsia="仿宋_GB2312" w:hAnsi="Cambria" w:cs="Arial"/>
      <w:sz w:val="28"/>
      <w:szCs w:val="24"/>
      <w:lang w:val="pl-PL"/>
    </w:rPr>
  </w:style>
  <w:style w:type="paragraph" w:customStyle="1" w:styleId="5a">
    <w:name w:val="正文 段落5级"/>
    <w:link w:val="5Char"/>
    <w:qFormat/>
    <w:pPr>
      <w:widowControl w:val="0"/>
      <w:spacing w:line="500" w:lineRule="exact"/>
      <w:ind w:firstLineChars="200" w:firstLine="200"/>
      <w:jc w:val="both"/>
      <w:outlineLvl w:val="4"/>
    </w:pPr>
    <w:rPr>
      <w:rFonts w:eastAsia="仿宋_GB2312"/>
      <w:b/>
      <w:kern w:val="2"/>
      <w:sz w:val="28"/>
      <w:szCs w:val="24"/>
    </w:rPr>
  </w:style>
  <w:style w:type="character" w:customStyle="1" w:styleId="5Char">
    <w:name w:val="正文 段落5级 Char"/>
    <w:link w:val="5a"/>
    <w:qFormat/>
    <w:rPr>
      <w:rFonts w:ascii="Times New Roman" w:eastAsia="仿宋_GB2312" w:hAnsi="Times New Roman" w:cs="Times New Roman"/>
      <w:b/>
      <w:sz w:val="28"/>
      <w:szCs w:val="24"/>
    </w:rPr>
  </w:style>
  <w:style w:type="character" w:customStyle="1" w:styleId="Charfc">
    <w:name w:val="正文 公式 Char"/>
    <w:qFormat/>
  </w:style>
  <w:style w:type="paragraph" w:customStyle="1" w:styleId="130">
    <w:name w:val="13"/>
    <w:basedOn w:val="a"/>
    <w:next w:val="a"/>
    <w:qFormat/>
    <w:pPr>
      <w:spacing w:line="312" w:lineRule="atLeast"/>
      <w:textAlignment w:val="baseline"/>
    </w:pPr>
    <w:rPr>
      <w:kern w:val="0"/>
      <w:szCs w:val="20"/>
    </w:rPr>
  </w:style>
  <w:style w:type="paragraph" w:customStyle="1" w:styleId="101">
    <w:name w:val="10"/>
    <w:basedOn w:val="a"/>
    <w:next w:val="a"/>
    <w:qFormat/>
    <w:pPr>
      <w:spacing w:line="312" w:lineRule="atLeast"/>
      <w:textAlignment w:val="baseline"/>
    </w:pPr>
    <w:rPr>
      <w:kern w:val="0"/>
      <w:szCs w:val="20"/>
    </w:rPr>
  </w:style>
  <w:style w:type="table" w:customStyle="1" w:styleId="2ff6">
    <w:name w:val="网格型2"/>
    <w:basedOn w:val="a3"/>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2">
    <w:name w:val="字元 字元1"/>
    <w:basedOn w:val="a"/>
    <w:qFormat/>
  </w:style>
  <w:style w:type="character" w:customStyle="1" w:styleId="Charfd">
    <w:name w:val="注释 Char"/>
    <w:qFormat/>
    <w:rPr>
      <w:rFonts w:ascii="宋体" w:eastAsia="宋体" w:hAnsi="Times New Roman" w:cs="Times New Roman"/>
      <w:snapToGrid w:val="0"/>
      <w:spacing w:val="4"/>
      <w:kern w:val="0"/>
      <w:szCs w:val="24"/>
    </w:rPr>
  </w:style>
  <w:style w:type="paragraph" w:customStyle="1" w:styleId="affffffffa">
    <w:name w:val="！正文"/>
    <w:basedOn w:val="a"/>
    <w:qFormat/>
    <w:rPr>
      <w:rFonts w:cs="宋体"/>
      <w:szCs w:val="20"/>
    </w:rPr>
  </w:style>
  <w:style w:type="paragraph" w:customStyle="1" w:styleId="221">
    <w:name w:val="样式 样式 环评正文 + 首行缩进:  2 字符 + 首行缩进:  2 字符"/>
    <w:basedOn w:val="a"/>
    <w:semiHidden/>
    <w:qFormat/>
    <w:pPr>
      <w:ind w:firstLine="512"/>
    </w:pPr>
    <w:rPr>
      <w:rFonts w:cs="宋体"/>
      <w:spacing w:val="8"/>
      <w:kern w:val="0"/>
      <w:szCs w:val="20"/>
    </w:rPr>
  </w:style>
  <w:style w:type="paragraph" w:customStyle="1" w:styleId="Charfe">
    <w:name w:val="表格内容 Char"/>
    <w:autoRedefine/>
    <w:semiHidden/>
    <w:qFormat/>
    <w:pPr>
      <w:widowControl w:val="0"/>
      <w:tabs>
        <w:tab w:val="left" w:pos="10"/>
      </w:tabs>
      <w:adjustRightInd w:val="0"/>
      <w:snapToGrid w:val="0"/>
      <w:jc w:val="center"/>
    </w:pPr>
    <w:rPr>
      <w:b/>
      <w:sz w:val="21"/>
      <w:szCs w:val="21"/>
    </w:rPr>
  </w:style>
  <w:style w:type="paragraph" w:customStyle="1" w:styleId="5b">
    <w:name w:val="表头5"/>
    <w:basedOn w:val="a"/>
    <w:qFormat/>
    <w:pPr>
      <w:tabs>
        <w:tab w:val="left" w:pos="1080"/>
      </w:tabs>
      <w:spacing w:beforeLines="100" w:before="240" w:after="120" w:line="240" w:lineRule="atLeast"/>
      <w:ind w:leftChars="250" w:left="950" w:hanging="425"/>
    </w:pPr>
    <w:rPr>
      <w:b/>
    </w:rPr>
  </w:style>
  <w:style w:type="paragraph" w:customStyle="1" w:styleId="1515">
    <w:name w:val="样式 出版正文 + (中文) 宋体 四号 首行缩进:  1.5 字符 行距: 1.5 倍行距"/>
    <w:basedOn w:val="a"/>
    <w:autoRedefine/>
    <w:semiHidden/>
    <w:qFormat/>
    <w:rPr>
      <w:rFonts w:ascii="宋体" w:hAnsi="宋体"/>
      <w:bCs/>
      <w:kern w:val="0"/>
      <w:szCs w:val="32"/>
    </w:rPr>
  </w:style>
  <w:style w:type="paragraph" w:customStyle="1" w:styleId="781252">
    <w:name w:val="样式 四号 段前: 7.8 磅 行距: 多倍行距 1.25 字行 首行缩进:  2 字符"/>
    <w:basedOn w:val="a"/>
    <w:semiHidden/>
    <w:qFormat/>
    <w:pPr>
      <w:spacing w:before="156" w:line="300" w:lineRule="auto"/>
    </w:pPr>
    <w:rPr>
      <w:szCs w:val="20"/>
    </w:rPr>
  </w:style>
  <w:style w:type="paragraph" w:customStyle="1" w:styleId="099">
    <w:name w:val="样式 首行缩进:  0.99 厘米"/>
    <w:basedOn w:val="a"/>
    <w:semiHidden/>
    <w:qFormat/>
    <w:pPr>
      <w:spacing w:line="300" w:lineRule="auto"/>
      <w:ind w:firstLine="561"/>
    </w:pPr>
    <w:rPr>
      <w:rFonts w:ascii="宋体" w:hAnsi="宋体" w:cs="宋体"/>
      <w:kern w:val="0"/>
      <w:szCs w:val="20"/>
    </w:rPr>
  </w:style>
  <w:style w:type="paragraph" w:customStyle="1" w:styleId="affffffffb">
    <w:name w:val="块项目"/>
    <w:next w:val="a"/>
    <w:autoRedefine/>
    <w:semiHidden/>
    <w:qFormat/>
    <w:pPr>
      <w:tabs>
        <w:tab w:val="left" w:pos="976"/>
      </w:tabs>
      <w:spacing w:before="120" w:after="120" w:line="360" w:lineRule="auto"/>
      <w:ind w:left="992" w:hanging="527"/>
    </w:pPr>
    <w:rPr>
      <w:b/>
      <w:spacing w:val="20"/>
      <w:sz w:val="24"/>
    </w:rPr>
  </w:style>
  <w:style w:type="paragraph" w:customStyle="1" w:styleId="affffffffc">
    <w:name w:val="新表"/>
    <w:basedOn w:val="a"/>
    <w:qFormat/>
    <w:pPr>
      <w:spacing w:line="360" w:lineRule="exact"/>
    </w:pPr>
    <w:rPr>
      <w:bCs/>
      <w:kern w:val="0"/>
      <w:szCs w:val="20"/>
    </w:rPr>
  </w:style>
  <w:style w:type="paragraph" w:customStyle="1" w:styleId="affffffffd">
    <w:name w:val="广西炼油"/>
    <w:basedOn w:val="a"/>
    <w:qFormat/>
    <w:pPr>
      <w:spacing w:beforeLines="5" w:before="5"/>
    </w:pPr>
    <w:rPr>
      <w:rFonts w:ascii="宋体" w:hAnsi="宋体"/>
      <w:szCs w:val="28"/>
    </w:rPr>
  </w:style>
  <w:style w:type="paragraph" w:customStyle="1" w:styleId="1fff3">
    <w:name w:val="表样式1"/>
    <w:basedOn w:val="a"/>
    <w:autoRedefine/>
    <w:qFormat/>
    <w:pPr>
      <w:spacing w:line="400" w:lineRule="exact"/>
      <w:ind w:leftChars="-10" w:left="-21" w:rightChars="-10" w:right="-21"/>
      <w:jc w:val="center"/>
    </w:pPr>
    <w:rPr>
      <w:color w:val="000000"/>
      <w:szCs w:val="21"/>
      <w:lang w:eastAsia="zh-TW"/>
    </w:rPr>
  </w:style>
  <w:style w:type="paragraph" w:customStyle="1" w:styleId="1fff4">
    <w:name w:val="表头样式1"/>
    <w:basedOn w:val="a"/>
    <w:autoRedefine/>
    <w:qFormat/>
    <w:pPr>
      <w:autoSpaceDE w:val="0"/>
      <w:autoSpaceDN w:val="0"/>
      <w:spacing w:beforeLines="20" w:before="62" w:afterLines="20" w:after="62"/>
      <w:jc w:val="center"/>
    </w:pPr>
    <w:rPr>
      <w:rFonts w:ascii="黑体" w:eastAsia="黑体" w:hAnsi="宋体"/>
      <w:color w:val="000000"/>
      <w:kern w:val="0"/>
      <w:lang w:eastAsia="zh-TW"/>
    </w:rPr>
  </w:style>
  <w:style w:type="paragraph" w:customStyle="1" w:styleId="22Char2h2H22112TimesNewRoman">
    <w:name w:val="样式 标题 2标题 2 Char标2h2H2标题21.1标题 2 + Times New Roman"/>
    <w:basedOn w:val="2"/>
    <w:autoRedefine/>
    <w:qFormat/>
  </w:style>
  <w:style w:type="paragraph" w:customStyle="1" w:styleId="001">
    <w:name w:val="标题001"/>
    <w:basedOn w:val="a"/>
    <w:qFormat/>
    <w:pPr>
      <w:spacing w:before="60" w:line="480" w:lineRule="exact"/>
      <w:outlineLvl w:val="0"/>
    </w:pPr>
    <w:rPr>
      <w:b/>
      <w:bCs/>
      <w:sz w:val="32"/>
      <w:szCs w:val="32"/>
    </w:rPr>
  </w:style>
  <w:style w:type="paragraph" w:customStyle="1" w:styleId="002">
    <w:name w:val="标题002"/>
    <w:basedOn w:val="a"/>
    <w:qFormat/>
    <w:pPr>
      <w:spacing w:before="160" w:line="480" w:lineRule="exact"/>
      <w:outlineLvl w:val="1"/>
    </w:pPr>
    <w:rPr>
      <w:b/>
      <w:bCs/>
      <w:szCs w:val="28"/>
    </w:rPr>
  </w:style>
  <w:style w:type="paragraph" w:customStyle="1" w:styleId="wangjunbobullet">
    <w:name w:val="wangjunbo.bullet"/>
    <w:basedOn w:val="a"/>
    <w:autoRedefine/>
    <w:qFormat/>
    <w:pPr>
      <w:jc w:val="center"/>
    </w:pPr>
    <w:rPr>
      <w:rFonts w:ascii="宋体" w:hAnsi="宋体"/>
      <w:szCs w:val="20"/>
    </w:rPr>
  </w:style>
  <w:style w:type="paragraph" w:customStyle="1" w:styleId="22Heading2HiddenHeading2CCBSheading2H21">
    <w:name w:val="样式 标题 2节第一章 标题 2Heading 2 HiddenHeading 2 CCBSheading 2H2...1"/>
    <w:basedOn w:val="2"/>
    <w:autoRedefine/>
    <w:qFormat/>
  </w:style>
  <w:style w:type="paragraph" w:customStyle="1" w:styleId="31111111111211131111111">
    <w:name w:val="样式 标题 3条标题1.1.1条标题1.1.11条标题1.1.12条标题1.1.13条标题1.1.111条标题1.1..."/>
    <w:basedOn w:val="3"/>
    <w:autoRedefine/>
    <w:qFormat/>
  </w:style>
  <w:style w:type="paragraph" w:customStyle="1" w:styleId="311111111112111311111111">
    <w:name w:val="样式 标题 3条标题1.1.1条标题1.1.11条标题1.1.12条标题1.1.13条标题1.1.111条标题1.1...1"/>
    <w:basedOn w:val="3"/>
    <w:autoRedefine/>
    <w:qFormat/>
  </w:style>
  <w:style w:type="paragraph" w:customStyle="1" w:styleId="004">
    <w:name w:val="标题004"/>
    <w:basedOn w:val="a"/>
    <w:qFormat/>
    <w:pPr>
      <w:spacing w:before="60" w:line="420" w:lineRule="exact"/>
      <w:outlineLvl w:val="3"/>
    </w:pPr>
    <w:rPr>
      <w:b/>
      <w:szCs w:val="20"/>
    </w:rPr>
  </w:style>
  <w:style w:type="paragraph" w:customStyle="1" w:styleId="311">
    <w:name w:val="样式 标题 3 + 11 磅 蓝色"/>
    <w:basedOn w:val="3"/>
    <w:autoRedefine/>
    <w:qFormat/>
  </w:style>
  <w:style w:type="paragraph" w:customStyle="1" w:styleId="Char1Char1CharCharCha">
    <w:name w:val="样式 正文缩进正文缩进 Char正文缩进1 Char正文缩进1正文（首行缩进两字） Char正文缩进 Char Cha..."/>
    <w:basedOn w:val="a"/>
    <w:qFormat/>
    <w:pPr>
      <w:spacing w:before="156"/>
      <w:ind w:firstLine="567"/>
      <w:jc w:val="left"/>
    </w:pPr>
    <w:rPr>
      <w:rFonts w:cs="宋体"/>
      <w:szCs w:val="20"/>
    </w:rPr>
  </w:style>
  <w:style w:type="paragraph" w:customStyle="1" w:styleId="affffffffe">
    <w:name w:val="样式 图表"/>
    <w:basedOn w:val="a"/>
    <w:qFormat/>
    <w:pPr>
      <w:jc w:val="center"/>
      <w:textAlignment w:val="baseline"/>
    </w:pPr>
    <w:rPr>
      <w:b/>
      <w:bCs/>
      <w:kern w:val="0"/>
    </w:rPr>
  </w:style>
  <w:style w:type="paragraph" w:customStyle="1" w:styleId="1fff5">
    <w:name w:val="普通表格1"/>
    <w:basedOn w:val="a"/>
    <w:qFormat/>
    <w:pPr>
      <w:spacing w:line="380" w:lineRule="exact"/>
    </w:pPr>
  </w:style>
  <w:style w:type="paragraph" w:customStyle="1" w:styleId="095063">
    <w:name w:val="样式 正文文本缩进 + 左侧:  0.95 厘米 首行缩进:  0.63 厘米"/>
    <w:basedOn w:val="a"/>
    <w:autoRedefine/>
    <w:qFormat/>
    <w:pPr>
      <w:spacing w:line="480" w:lineRule="exact"/>
    </w:pPr>
    <w:rPr>
      <w:rFonts w:ascii="宋体"/>
      <w:color w:val="000000"/>
    </w:rPr>
  </w:style>
  <w:style w:type="paragraph" w:customStyle="1" w:styleId="1205">
    <w:name w:val="样式 表头样式1 + 首行缩进:  2 字符 段前: 0.5 行"/>
    <w:basedOn w:val="1fff4"/>
    <w:autoRedefine/>
    <w:qFormat/>
  </w:style>
  <w:style w:type="paragraph" w:customStyle="1" w:styleId="478">
    <w:name w:val="样式 标题 4 + 段前: 7.8 磅"/>
    <w:basedOn w:val="4"/>
    <w:autoRedefine/>
    <w:qFormat/>
  </w:style>
  <w:style w:type="paragraph" w:customStyle="1" w:styleId="240">
    <w:name w:val="样式 正文文本 + 首行缩进:  2 字符4"/>
    <w:basedOn w:val="a"/>
    <w:autoRedefine/>
    <w:qFormat/>
    <w:pPr>
      <w:textAlignment w:val="baseline"/>
    </w:pPr>
    <w:rPr>
      <w:rFonts w:cs="宋体"/>
      <w:color w:val="000000"/>
      <w:szCs w:val="21"/>
    </w:rPr>
  </w:style>
  <w:style w:type="paragraph" w:customStyle="1" w:styleId="3f5">
    <w:name w:val="样式 标题 3 + (西文)粗体"/>
    <w:basedOn w:val="3"/>
    <w:qFormat/>
  </w:style>
  <w:style w:type="paragraph" w:customStyle="1" w:styleId="2ff7">
    <w:name w:val="样式 报告正文 + 首行缩进:  2 字符"/>
    <w:basedOn w:val="a"/>
    <w:link w:val="2Char6"/>
    <w:semiHidden/>
    <w:qFormat/>
    <w:pPr>
      <w:autoSpaceDE w:val="0"/>
      <w:autoSpaceDN w:val="0"/>
    </w:pPr>
    <w:rPr>
      <w:rFonts w:cs="宋体"/>
      <w:szCs w:val="20"/>
    </w:rPr>
  </w:style>
  <w:style w:type="character" w:customStyle="1" w:styleId="2Char6">
    <w:name w:val="样式 报告正文 + 首行缩进:  2 字符 Char"/>
    <w:link w:val="2ff7"/>
    <w:semiHidden/>
    <w:qFormat/>
    <w:rPr>
      <w:rFonts w:ascii="Times New Roman" w:eastAsia="宋体" w:hAnsi="Times New Roman" w:cs="宋体"/>
      <w:sz w:val="24"/>
      <w:szCs w:val="20"/>
    </w:rPr>
  </w:style>
  <w:style w:type="paragraph" w:customStyle="1" w:styleId="1fff6">
    <w:name w:val="标题  1"/>
    <w:basedOn w:val="a"/>
    <w:autoRedefine/>
    <w:semiHidden/>
    <w:qFormat/>
    <w:pPr>
      <w:tabs>
        <w:tab w:val="left" w:pos="425"/>
      </w:tabs>
      <w:ind w:left="425" w:hanging="425"/>
    </w:pPr>
    <w:rPr>
      <w:rFonts w:ascii="Tahoma" w:hAnsi="Tahoma"/>
      <w:szCs w:val="20"/>
    </w:rPr>
  </w:style>
  <w:style w:type="paragraph" w:customStyle="1" w:styleId="20">
    <w:name w:val="环评标题2"/>
    <w:basedOn w:val="a"/>
    <w:next w:val="a"/>
    <w:link w:val="2Char7"/>
    <w:autoRedefine/>
    <w:semiHidden/>
    <w:qFormat/>
    <w:pPr>
      <w:numPr>
        <w:ilvl w:val="1"/>
        <w:numId w:val="2"/>
      </w:numPr>
      <w:spacing w:before="120" w:after="240"/>
      <w:ind w:firstLine="0"/>
      <w:outlineLvl w:val="1"/>
    </w:pPr>
    <w:rPr>
      <w:b/>
      <w:spacing w:val="12"/>
      <w:sz w:val="32"/>
      <w:szCs w:val="32"/>
    </w:rPr>
  </w:style>
  <w:style w:type="character" w:customStyle="1" w:styleId="2Char7">
    <w:name w:val="环评标题2 Char"/>
    <w:link w:val="20"/>
    <w:semiHidden/>
    <w:qFormat/>
    <w:rPr>
      <w:rFonts w:ascii="Times New Roman" w:eastAsia="宋体" w:hAnsi="Times New Roman" w:cs="Times New Roman"/>
      <w:b/>
      <w:spacing w:val="12"/>
      <w:sz w:val="32"/>
      <w:szCs w:val="32"/>
    </w:rPr>
  </w:style>
  <w:style w:type="paragraph" w:customStyle="1" w:styleId="30">
    <w:name w:val="环评标题3"/>
    <w:basedOn w:val="a"/>
    <w:next w:val="a"/>
    <w:link w:val="3Char3"/>
    <w:autoRedefine/>
    <w:semiHidden/>
    <w:qFormat/>
    <w:pPr>
      <w:numPr>
        <w:ilvl w:val="2"/>
        <w:numId w:val="2"/>
      </w:numPr>
      <w:spacing w:before="120" w:after="120"/>
      <w:ind w:firstLine="0"/>
      <w:outlineLvl w:val="2"/>
    </w:pPr>
    <w:rPr>
      <w:b/>
      <w:snapToGrid w:val="0"/>
      <w:spacing w:val="12"/>
      <w:kern w:val="24"/>
      <w:szCs w:val="28"/>
    </w:rPr>
  </w:style>
  <w:style w:type="character" w:customStyle="1" w:styleId="3Char3">
    <w:name w:val="环评标题3 Char"/>
    <w:link w:val="30"/>
    <w:semiHidden/>
    <w:qFormat/>
    <w:rPr>
      <w:rFonts w:ascii="Times New Roman" w:eastAsia="宋体" w:hAnsi="Times New Roman" w:cs="Times New Roman"/>
      <w:b/>
      <w:snapToGrid w:val="0"/>
      <w:spacing w:val="12"/>
      <w:kern w:val="24"/>
      <w:sz w:val="24"/>
      <w:szCs w:val="28"/>
    </w:rPr>
  </w:style>
  <w:style w:type="paragraph" w:customStyle="1" w:styleId="afffffffff">
    <w:name w:val="样式 (西文) 幼圆 (中文) 幼圆 (符号) 宋体 居中"/>
    <w:basedOn w:val="a"/>
    <w:autoRedefine/>
    <w:semiHidden/>
    <w:qFormat/>
    <w:pPr>
      <w:spacing w:line="120" w:lineRule="atLeast"/>
      <w:jc w:val="center"/>
    </w:pPr>
    <w:rPr>
      <w:rFonts w:ascii="幼圆" w:eastAsia="幼圆" w:hAnsi="宋体"/>
      <w:kern w:val="0"/>
      <w:szCs w:val="20"/>
    </w:rPr>
  </w:style>
  <w:style w:type="paragraph" w:customStyle="1" w:styleId="2ff8">
    <w:name w:val="样式 环评正文 + 首行缩进:  2 字符"/>
    <w:basedOn w:val="a"/>
    <w:semiHidden/>
    <w:qFormat/>
    <w:rPr>
      <w:rFonts w:cs="宋体"/>
      <w:spacing w:val="8"/>
      <w:kern w:val="0"/>
    </w:rPr>
  </w:style>
  <w:style w:type="paragraph" w:customStyle="1" w:styleId="afffffffff0">
    <w:name w:val="样式 题注 + 五号"/>
    <w:basedOn w:val="a"/>
    <w:link w:val="Charff"/>
    <w:semiHidden/>
    <w:qFormat/>
    <w:pPr>
      <w:spacing w:before="60"/>
      <w:jc w:val="left"/>
    </w:pPr>
    <w:rPr>
      <w:rFonts w:cs="Arial"/>
      <w:szCs w:val="21"/>
    </w:rPr>
  </w:style>
  <w:style w:type="character" w:customStyle="1" w:styleId="Charff">
    <w:name w:val="样式 题注 + 五号 Char"/>
    <w:link w:val="afffffffff0"/>
    <w:semiHidden/>
    <w:qFormat/>
    <w:rPr>
      <w:rFonts w:ascii="Times New Roman" w:eastAsia="宋体" w:hAnsi="Times New Roman" w:cs="Arial"/>
      <w:szCs w:val="21"/>
    </w:rPr>
  </w:style>
  <w:style w:type="paragraph" w:customStyle="1" w:styleId="afffffffff1">
    <w:name w:val="南通表格"/>
    <w:basedOn w:val="a"/>
    <w:next w:val="a"/>
    <w:semiHidden/>
    <w:qFormat/>
    <w:pPr>
      <w:framePr w:wrap="around" w:vAnchor="text" w:hAnchor="text" w:y="1"/>
      <w:jc w:val="center"/>
    </w:pPr>
    <w:rPr>
      <w:kern w:val="0"/>
    </w:rPr>
  </w:style>
  <w:style w:type="paragraph" w:customStyle="1" w:styleId="afffffffff2">
    <w:name w:val="南通－－正文"/>
    <w:basedOn w:val="a"/>
    <w:semiHidden/>
    <w:qFormat/>
    <w:rPr>
      <w:kern w:val="0"/>
    </w:rPr>
  </w:style>
  <w:style w:type="paragraph" w:customStyle="1" w:styleId="21">
    <w:name w:val="样式 环评标题2 + 黑色"/>
    <w:basedOn w:val="20"/>
    <w:autoRedefine/>
    <w:semiHidden/>
    <w:qFormat/>
    <w:pPr>
      <w:numPr>
        <w:numId w:val="3"/>
      </w:numPr>
      <w:tabs>
        <w:tab w:val="clear" w:pos="576"/>
        <w:tab w:val="left" w:pos="360"/>
        <w:tab w:val="left" w:pos="567"/>
        <w:tab w:val="left" w:pos="840"/>
      </w:tabs>
      <w:spacing w:after="120"/>
      <w:ind w:left="578" w:hanging="578"/>
    </w:pPr>
    <w:rPr>
      <w:bCs/>
      <w:color w:val="000000"/>
      <w:sz w:val="24"/>
      <w:szCs w:val="24"/>
    </w:rPr>
  </w:style>
  <w:style w:type="paragraph" w:customStyle="1" w:styleId="30505">
    <w:name w:val="样式 环评标题3 + 黑色 段前: 0.5 行 段后: 0.5 行"/>
    <w:basedOn w:val="30"/>
    <w:autoRedefine/>
    <w:semiHidden/>
    <w:qFormat/>
    <w:pPr>
      <w:numPr>
        <w:numId w:val="3"/>
      </w:numPr>
      <w:tabs>
        <w:tab w:val="clear" w:pos="720"/>
        <w:tab w:val="left" w:pos="360"/>
        <w:tab w:val="left" w:pos="709"/>
        <w:tab w:val="left" w:pos="1260"/>
      </w:tabs>
      <w:spacing w:before="156" w:after="0"/>
      <w:ind w:left="709" w:hanging="709"/>
    </w:pPr>
    <w:rPr>
      <w:rFonts w:cs="宋体"/>
      <w:bCs/>
      <w:color w:val="000000"/>
      <w:szCs w:val="24"/>
    </w:rPr>
  </w:style>
  <w:style w:type="paragraph" w:customStyle="1" w:styleId="40">
    <w:name w:val="样式 环评标题4 + 黑色"/>
    <w:basedOn w:val="a"/>
    <w:autoRedefine/>
    <w:semiHidden/>
    <w:qFormat/>
    <w:pPr>
      <w:numPr>
        <w:ilvl w:val="3"/>
        <w:numId w:val="3"/>
      </w:numPr>
      <w:tabs>
        <w:tab w:val="clear" w:pos="864"/>
        <w:tab w:val="left" w:pos="360"/>
      </w:tabs>
      <w:ind w:left="851" w:hanging="851"/>
      <w:outlineLvl w:val="3"/>
    </w:pPr>
    <w:rPr>
      <w:bCs/>
      <w:snapToGrid w:val="0"/>
      <w:color w:val="000000"/>
      <w:spacing w:val="12"/>
      <w:kern w:val="0"/>
    </w:rPr>
  </w:style>
  <w:style w:type="paragraph" w:customStyle="1" w:styleId="10">
    <w:name w:val="样式 环评标题1 + 三号 黑色"/>
    <w:basedOn w:val="a"/>
    <w:autoRedefine/>
    <w:semiHidden/>
    <w:qFormat/>
    <w:pPr>
      <w:numPr>
        <w:numId w:val="3"/>
      </w:numPr>
      <w:spacing w:before="156" w:after="156"/>
      <w:ind w:left="431" w:hanging="431"/>
      <w:outlineLvl w:val="0"/>
    </w:pPr>
    <w:rPr>
      <w:b/>
      <w:bCs/>
      <w:color w:val="000000"/>
      <w:spacing w:val="20"/>
      <w:kern w:val="0"/>
      <w:sz w:val="44"/>
      <w:szCs w:val="44"/>
    </w:rPr>
  </w:style>
  <w:style w:type="paragraph" w:customStyle="1" w:styleId="afffffffff3">
    <w:name w:val="式样"/>
    <w:basedOn w:val="a"/>
    <w:next w:val="aff"/>
    <w:semiHidden/>
    <w:qFormat/>
    <w:rPr>
      <w:szCs w:val="20"/>
    </w:rPr>
  </w:style>
  <w:style w:type="paragraph" w:customStyle="1" w:styleId="1fff7">
    <w:name w:val="样式 标题 1 + 字距调整四号"/>
    <w:basedOn w:val="1"/>
    <w:autoRedefine/>
    <w:qFormat/>
  </w:style>
  <w:style w:type="paragraph" w:customStyle="1" w:styleId="3f6">
    <w:name w:val="样式 标题 3 + 字距调整四号"/>
    <w:basedOn w:val="3"/>
    <w:autoRedefine/>
    <w:semiHidden/>
    <w:qFormat/>
  </w:style>
  <w:style w:type="paragraph" w:customStyle="1" w:styleId="2ff9">
    <w:name w:val="样式2－表格"/>
    <w:basedOn w:val="a"/>
    <w:next w:val="a"/>
    <w:semiHidden/>
    <w:qFormat/>
    <w:pPr>
      <w:tabs>
        <w:tab w:val="left" w:pos="427"/>
      </w:tabs>
      <w:spacing w:line="360" w:lineRule="exact"/>
      <w:jc w:val="center"/>
      <w:textAlignment w:val="center"/>
    </w:pPr>
    <w:rPr>
      <w:kern w:val="28"/>
    </w:rPr>
  </w:style>
  <w:style w:type="paragraph" w:customStyle="1" w:styleId="TimesNewRoman">
    <w:name w:val="样式 表格标题新 + (西文) Times New Roman"/>
    <w:basedOn w:val="a"/>
    <w:link w:val="TimesNewRomanChar"/>
    <w:qFormat/>
    <w:pPr>
      <w:tabs>
        <w:tab w:val="left" w:pos="0"/>
      </w:tabs>
      <w:ind w:firstLine="561"/>
      <w:jc w:val="center"/>
    </w:pPr>
    <w:rPr>
      <w:rFonts w:eastAsia="黑体"/>
      <w:b/>
      <w:bCs/>
      <w:snapToGrid w:val="0"/>
      <w:spacing w:val="4"/>
      <w:w w:val="90"/>
      <w:kern w:val="0"/>
    </w:rPr>
  </w:style>
  <w:style w:type="character" w:customStyle="1" w:styleId="TimesNewRomanChar">
    <w:name w:val="样式 表格标题新 + (西文) Times New Roman Char"/>
    <w:link w:val="TimesNewRoman"/>
    <w:qFormat/>
    <w:rPr>
      <w:rFonts w:ascii="Times New Roman" w:eastAsia="黑体" w:hAnsi="Times New Roman" w:cs="Times New Roman"/>
      <w:b/>
      <w:bCs/>
      <w:snapToGrid w:val="0"/>
      <w:spacing w:val="4"/>
      <w:w w:val="90"/>
      <w:kern w:val="0"/>
      <w:sz w:val="24"/>
      <w:szCs w:val="24"/>
    </w:rPr>
  </w:style>
  <w:style w:type="table" w:customStyle="1" w:styleId="1fff8">
    <w:name w:val="表格主题1"/>
    <w:basedOn w:val="a3"/>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古典型 11"/>
    <w:basedOn w:val="a3"/>
    <w:qFormat/>
    <w:pPr>
      <w:widowControl w:val="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character" w:customStyle="1" w:styleId="Charff0">
    <w:name w:val="正文 文字 Char"/>
    <w:qFormat/>
    <w:rPr>
      <w:rFonts w:ascii="Times New Roman" w:eastAsia="仿宋_GB2312" w:hAnsi="Times New Roman" w:cs="Times New Roman"/>
      <w:sz w:val="28"/>
      <w:szCs w:val="24"/>
    </w:rPr>
  </w:style>
  <w:style w:type="paragraph" w:customStyle="1" w:styleId="224Char">
    <w:name w:val="标题 2+ 行距: 固定值 24 磅 Char"/>
    <w:basedOn w:val="2"/>
    <w:link w:val="224CharChar"/>
    <w:qFormat/>
    <w:pPr>
      <w:widowControl w:val="0"/>
      <w:numPr>
        <w:ilvl w:val="0"/>
        <w:numId w:val="0"/>
      </w:numPr>
      <w:spacing w:before="260" w:after="260" w:line="480" w:lineRule="exact"/>
      <w:jc w:val="both"/>
    </w:pPr>
    <w:rPr>
      <w:rFonts w:ascii="Arial" w:eastAsia="黑体" w:hAnsi="Arial" w:cs="Times New Roman"/>
      <w:kern w:val="2"/>
      <w:sz w:val="32"/>
    </w:rPr>
  </w:style>
  <w:style w:type="character" w:customStyle="1" w:styleId="224CharChar">
    <w:name w:val="标题 2+ 行距: 固定值 24 磅 Char Char"/>
    <w:link w:val="224Char"/>
    <w:qFormat/>
    <w:rPr>
      <w:rFonts w:ascii="Arial" w:eastAsia="黑体" w:hAnsi="Arial" w:cs="Times New Roman"/>
      <w:b/>
      <w:bCs/>
      <w:sz w:val="32"/>
      <w:szCs w:val="32"/>
    </w:rPr>
  </w:style>
  <w:style w:type="character" w:customStyle="1" w:styleId="Char1f8">
    <w:name w:val="环表头 Char1"/>
    <w:qFormat/>
    <w:rPr>
      <w:rFonts w:ascii="黑体" w:eastAsia="黑体" w:hAnsi="宋体" w:cs="Times New Roman"/>
      <w:kern w:val="0"/>
      <w:sz w:val="24"/>
      <w:szCs w:val="20"/>
    </w:rPr>
  </w:style>
  <w:style w:type="paragraph" w:customStyle="1" w:styleId="33Char3CharCharCharCharCharCharCharCharC5Char">
    <w:name w:val="样式 标题 3标题 3 Char标题 3 Char Char Char Char Char Char Char Char C...5 Char"/>
    <w:basedOn w:val="3"/>
    <w:link w:val="33Char3CharCharCharCharCharCharCharCharC5CharChar"/>
    <w:qFormat/>
    <w:pPr>
      <w:numPr>
        <w:numId w:val="0"/>
      </w:numPr>
      <w:tabs>
        <w:tab w:val="clear" w:pos="1860"/>
        <w:tab w:val="left" w:pos="720"/>
        <w:tab w:val="left" w:pos="1080"/>
      </w:tabs>
      <w:ind w:left="720" w:hanging="720"/>
      <w:jc w:val="both"/>
    </w:pPr>
    <w:rPr>
      <w:b w:val="0"/>
      <w:bCs w:val="0"/>
    </w:rPr>
  </w:style>
  <w:style w:type="character" w:customStyle="1" w:styleId="33Char3CharCharCharCharCharCharCharCharC5CharChar">
    <w:name w:val="样式 标题 3标题 3 Char标题 3 Char Char Char Char Char Char Char Char C...5 Char Char"/>
    <w:link w:val="33Char3CharCharCharCharCharCharCharCharC5Char"/>
    <w:qFormat/>
    <w:rPr>
      <w:rFonts w:ascii="Calibri" w:eastAsia="宋体" w:hAnsi="Calibri" w:cs="Times New Roman"/>
      <w:sz w:val="24"/>
      <w:szCs w:val="32"/>
    </w:rPr>
  </w:style>
  <w:style w:type="paragraph" w:customStyle="1" w:styleId="TOC1">
    <w:name w:val="TOC 标题1"/>
    <w:next w:val="a"/>
    <w:uiPriority w:val="39"/>
    <w:unhideWhenUsed/>
    <w:qFormat/>
    <w:pPr>
      <w:adjustRightInd w:val="0"/>
      <w:snapToGrid w:val="0"/>
      <w:spacing w:line="500" w:lineRule="exact"/>
      <w:jc w:val="center"/>
    </w:pPr>
    <w:rPr>
      <w:rFonts w:eastAsia="仿宋_GB2312"/>
      <w:b/>
      <w:bCs/>
      <w:kern w:val="44"/>
      <w:sz w:val="24"/>
      <w:szCs w:val="44"/>
    </w:rPr>
  </w:style>
  <w:style w:type="paragraph" w:customStyle="1" w:styleId="1fff9">
    <w:name w:val="书目1"/>
    <w:basedOn w:val="a"/>
    <w:next w:val="a"/>
    <w:uiPriority w:val="37"/>
    <w:semiHidden/>
    <w:unhideWhenUsed/>
    <w:qFormat/>
  </w:style>
  <w:style w:type="character" w:styleId="afffffffff4">
    <w:name w:val="Placeholder Text"/>
    <w:qFormat/>
    <w:rPr>
      <w:color w:val="808080"/>
    </w:rPr>
  </w:style>
  <w:style w:type="paragraph" w:customStyle="1" w:styleId="CharChar5CharChar">
    <w:name w:val="Char Char5 Char Char"/>
    <w:basedOn w:val="a"/>
    <w:qFormat/>
    <w:rPr>
      <w:rFonts w:ascii="宋体" w:hAnsi="宋体" w:cs="宋体"/>
    </w:rPr>
  </w:style>
  <w:style w:type="paragraph" w:customStyle="1" w:styleId="1fffa">
    <w:name w:val="标题1"/>
    <w:basedOn w:val="a"/>
    <w:next w:val="a"/>
    <w:qFormat/>
    <w:pPr>
      <w:tabs>
        <w:tab w:val="left" w:pos="9193"/>
        <w:tab w:val="left" w:pos="9827"/>
      </w:tabs>
      <w:autoSpaceDE w:val="0"/>
      <w:autoSpaceDN w:val="0"/>
      <w:spacing w:line="640" w:lineRule="atLeast"/>
      <w:jc w:val="center"/>
    </w:pPr>
    <w:rPr>
      <w:rFonts w:eastAsia="方正小标宋_GBK"/>
      <w:snapToGrid w:val="0"/>
      <w:kern w:val="0"/>
      <w:sz w:val="44"/>
      <w:szCs w:val="20"/>
    </w:rPr>
  </w:style>
  <w:style w:type="paragraph" w:customStyle="1" w:styleId="afffffffff5">
    <w:name w:val="表格内容居中"/>
    <w:qFormat/>
    <w:pPr>
      <w:adjustRightInd w:val="0"/>
      <w:snapToGrid w:val="0"/>
      <w:jc w:val="center"/>
    </w:pPr>
    <w:rPr>
      <w:sz w:val="21"/>
      <w:szCs w:val="21"/>
    </w:rPr>
  </w:style>
  <w:style w:type="character" w:customStyle="1" w:styleId="1CharChar8">
    <w:name w:val="章标题 1 Char Char"/>
    <w:qFormat/>
    <w:rPr>
      <w:rFonts w:ascii="Times New Roman" w:hAnsi="Times New Roman"/>
      <w:b/>
      <w:bCs/>
      <w:kern w:val="44"/>
      <w:sz w:val="32"/>
      <w:szCs w:val="32"/>
    </w:rPr>
  </w:style>
  <w:style w:type="character" w:customStyle="1" w:styleId="Charff1">
    <w:name w:val="正文样式 Char"/>
    <w:qFormat/>
    <w:rPr>
      <w:rFonts w:ascii="Times New Roman" w:hAnsi="Times New Roman"/>
      <w:snapToGrid w:val="0"/>
      <w:sz w:val="24"/>
      <w:szCs w:val="24"/>
      <w:lang w:val="en-US" w:eastAsia="zh-CN" w:bidi="ar-SA"/>
    </w:rPr>
  </w:style>
  <w:style w:type="character" w:customStyle="1" w:styleId="2CharCharCharCharCharChar">
    <w:name w:val="标题 2 Char Char Char Char Char Char"/>
    <w:qFormat/>
    <w:rPr>
      <w:rFonts w:ascii="Times New Roman" w:hAnsi="Times New Roman"/>
      <w:b/>
      <w:kern w:val="2"/>
      <w:sz w:val="30"/>
      <w:szCs w:val="32"/>
    </w:rPr>
  </w:style>
  <w:style w:type="character" w:customStyle="1" w:styleId="3CharCharChar1">
    <w:name w:val="标题 3 Char Char Char1"/>
    <w:qFormat/>
    <w:rPr>
      <w:rFonts w:ascii="Times New Roman" w:hAnsi="Times New Roman"/>
      <w:b/>
      <w:bCs/>
      <w:kern w:val="2"/>
      <w:sz w:val="28"/>
      <w:szCs w:val="32"/>
    </w:rPr>
  </w:style>
  <w:style w:type="character" w:customStyle="1" w:styleId="4CharCharChar">
    <w:name w:val="标题 4 Char Char Char"/>
    <w:qFormat/>
    <w:rPr>
      <w:rFonts w:ascii="Times New Roman" w:hAnsi="Times New Roman"/>
      <w:b/>
      <w:kern w:val="44"/>
      <w:sz w:val="24"/>
      <w:szCs w:val="28"/>
    </w:rPr>
  </w:style>
  <w:style w:type="character" w:customStyle="1" w:styleId="CharChar17">
    <w:name w:val="Char Char17"/>
    <w:qFormat/>
    <w:rPr>
      <w:rFonts w:ascii="宋体" w:eastAsia="仿宋_GB2312" w:hAnsi="宋体" w:cs="宋体"/>
      <w:b/>
      <w:bCs/>
      <w:kern w:val="2"/>
      <w:sz w:val="24"/>
      <w:szCs w:val="24"/>
    </w:rPr>
  </w:style>
  <w:style w:type="character" w:customStyle="1" w:styleId="CharChar16">
    <w:name w:val="Char Char16"/>
    <w:qFormat/>
    <w:rPr>
      <w:rFonts w:ascii="宋体" w:hAnsi="宋体" w:cs="宋体"/>
      <w:b/>
      <w:bCs/>
      <w:kern w:val="2"/>
      <w:sz w:val="24"/>
      <w:szCs w:val="24"/>
    </w:rPr>
  </w:style>
  <w:style w:type="character" w:customStyle="1" w:styleId="CharChar15">
    <w:name w:val="Char Char15"/>
    <w:qFormat/>
    <w:rPr>
      <w:rFonts w:ascii="Arial" w:eastAsia="黑体" w:hAnsi="Arial" w:cs="宋体"/>
      <w:kern w:val="2"/>
      <w:sz w:val="24"/>
      <w:szCs w:val="24"/>
    </w:rPr>
  </w:style>
  <w:style w:type="character" w:customStyle="1" w:styleId="CharChar14">
    <w:name w:val="Char Char14"/>
    <w:qFormat/>
    <w:rPr>
      <w:rFonts w:ascii="Arial" w:eastAsia="黑体" w:hAnsi="Arial" w:cs="宋体"/>
      <w:kern w:val="2"/>
      <w:sz w:val="24"/>
      <w:szCs w:val="21"/>
    </w:rPr>
  </w:style>
  <w:style w:type="character" w:customStyle="1" w:styleId="Charff2">
    <w:name w:val="表标题 Char"/>
    <w:qFormat/>
    <w:rPr>
      <w:rFonts w:eastAsia="宋体" w:cs="黑体"/>
      <w:b/>
      <w:bCs/>
      <w:sz w:val="24"/>
      <w:szCs w:val="24"/>
      <w:lang w:val="en-GB"/>
    </w:rPr>
  </w:style>
  <w:style w:type="paragraph" w:customStyle="1" w:styleId="1-1">
    <w:name w:val="正文1-1"/>
    <w:basedOn w:val="a"/>
    <w:next w:val="a"/>
    <w:qFormat/>
    <w:pPr>
      <w:widowControl/>
      <w:jc w:val="left"/>
    </w:pPr>
    <w:rPr>
      <w:rFonts w:cs="宋体"/>
      <w:kern w:val="0"/>
    </w:rPr>
  </w:style>
  <w:style w:type="character" w:customStyle="1" w:styleId="1-1Char">
    <w:name w:val="正文1-1 Char"/>
    <w:qFormat/>
    <w:rPr>
      <w:rFonts w:ascii="Times New Roman" w:eastAsia="宋体" w:hAnsi="Times New Roman" w:cs="宋体"/>
      <w:kern w:val="0"/>
      <w:sz w:val="24"/>
      <w:szCs w:val="24"/>
    </w:rPr>
  </w:style>
  <w:style w:type="paragraph" w:customStyle="1" w:styleId="afffffffff6">
    <w:name w:val="表格标题新"/>
    <w:basedOn w:val="a"/>
    <w:qFormat/>
    <w:pPr>
      <w:widowControl/>
      <w:tabs>
        <w:tab w:val="left" w:pos="0"/>
      </w:tabs>
      <w:ind w:firstLine="562"/>
      <w:jc w:val="center"/>
    </w:pPr>
    <w:rPr>
      <w:rFonts w:ascii="仿宋_GB2312" w:eastAsia="黑体" w:hAnsi="宋体" w:cs="宋体"/>
      <w:b/>
      <w:snapToGrid w:val="0"/>
      <w:kern w:val="0"/>
    </w:rPr>
  </w:style>
  <w:style w:type="character" w:customStyle="1" w:styleId="CharChar13">
    <w:name w:val="Char Char13"/>
    <w:qFormat/>
    <w:rPr>
      <w:rFonts w:eastAsia="宋体"/>
      <w:kern w:val="2"/>
      <w:sz w:val="18"/>
      <w:szCs w:val="18"/>
      <w:lang w:val="en-US" w:eastAsia="zh-CN" w:bidi="ar-SA"/>
    </w:rPr>
  </w:style>
  <w:style w:type="paragraph" w:customStyle="1" w:styleId="1-10">
    <w:name w:val="标题 1-1"/>
    <w:basedOn w:val="1"/>
    <w:qFormat/>
    <w:pPr>
      <w:keepNext w:val="0"/>
      <w:keepLines w:val="0"/>
      <w:numPr>
        <w:numId w:val="0"/>
      </w:numPr>
      <w:spacing w:before="249" w:line="300" w:lineRule="auto"/>
      <w:ind w:firstLineChars="200" w:firstLine="601"/>
      <w:jc w:val="left"/>
    </w:pPr>
    <w:rPr>
      <w:rFonts w:ascii="宋体" w:eastAsia="华文细黑" w:hAnsi="宋体" w:cs="宋体"/>
      <w:kern w:val="0"/>
      <w:sz w:val="30"/>
      <w:szCs w:val="24"/>
    </w:rPr>
  </w:style>
  <w:style w:type="paragraph" w:customStyle="1" w:styleId="5c">
    <w:name w:val="样式5"/>
    <w:basedOn w:val="a"/>
    <w:qFormat/>
    <w:pPr>
      <w:jc w:val="center"/>
    </w:pPr>
    <w:rPr>
      <w:rFonts w:cs="宋体"/>
      <w:snapToGrid w:val="0"/>
      <w:kern w:val="0"/>
    </w:rPr>
  </w:style>
  <w:style w:type="character" w:customStyle="1" w:styleId="5Char0">
    <w:name w:val="样式5 Char"/>
    <w:qFormat/>
    <w:rPr>
      <w:rFonts w:ascii="Times New Roman" w:eastAsia="宋体" w:hAnsi="Times New Roman" w:cs="宋体"/>
      <w:snapToGrid w:val="0"/>
      <w:kern w:val="0"/>
      <w:szCs w:val="24"/>
    </w:rPr>
  </w:style>
  <w:style w:type="paragraph" w:customStyle="1" w:styleId="afffffffff7">
    <w:name w:val="表题"/>
    <w:next w:val="affff9"/>
    <w:qFormat/>
    <w:pPr>
      <w:adjustRightInd w:val="0"/>
      <w:snapToGrid w:val="0"/>
      <w:jc w:val="center"/>
    </w:pPr>
    <w:rPr>
      <w:rFonts w:eastAsia="Times New Roman" w:cs="黑体"/>
      <w:b/>
      <w:bCs/>
      <w:kern w:val="2"/>
      <w:sz w:val="24"/>
      <w:szCs w:val="24"/>
      <w:lang w:val="en-GB"/>
    </w:rPr>
  </w:style>
  <w:style w:type="paragraph" w:customStyle="1" w:styleId="afffffffff8">
    <w:name w:val="表内容"/>
    <w:basedOn w:val="affff9"/>
    <w:qFormat/>
    <w:pPr>
      <w:widowControl/>
      <w:tabs>
        <w:tab w:val="left" w:pos="630"/>
        <w:tab w:val="left" w:pos="1260"/>
      </w:tabs>
      <w:spacing w:before="0" w:after="0" w:line="240" w:lineRule="auto"/>
      <w:ind w:firstLineChars="0" w:firstLine="0"/>
      <w:jc w:val="center"/>
    </w:pPr>
    <w:rPr>
      <w:snapToGrid w:val="0"/>
      <w:spacing w:val="0"/>
      <w:sz w:val="21"/>
      <w:szCs w:val="24"/>
    </w:rPr>
  </w:style>
  <w:style w:type="character" w:customStyle="1" w:styleId="CharChar12">
    <w:name w:val="Char Char12"/>
    <w:qFormat/>
    <w:rPr>
      <w:rFonts w:ascii="宋体" w:eastAsia="宋体" w:hAnsi="Times New Roman" w:cs="Times New Roman"/>
      <w:sz w:val="18"/>
      <w:szCs w:val="18"/>
    </w:rPr>
  </w:style>
  <w:style w:type="paragraph" w:customStyle="1" w:styleId="afffffffff9">
    <w:name w:val="表注解"/>
    <w:basedOn w:val="affff9"/>
    <w:next w:val="affff9"/>
    <w:qFormat/>
    <w:pPr>
      <w:widowControl/>
      <w:tabs>
        <w:tab w:val="left" w:pos="630"/>
        <w:tab w:val="left" w:pos="1260"/>
      </w:tabs>
      <w:spacing w:before="0" w:after="0" w:line="240" w:lineRule="auto"/>
      <w:ind w:firstLineChars="0" w:firstLine="0"/>
    </w:pPr>
    <w:rPr>
      <w:b/>
      <w:snapToGrid w:val="0"/>
      <w:spacing w:val="0"/>
      <w:sz w:val="18"/>
      <w:szCs w:val="24"/>
    </w:rPr>
  </w:style>
  <w:style w:type="character" w:customStyle="1" w:styleId="CharChar11">
    <w:name w:val="Char Char11"/>
    <w:qFormat/>
    <w:rPr>
      <w:rFonts w:ascii="Times New Roman" w:hAnsi="Times New Roman"/>
      <w:kern w:val="2"/>
      <w:sz w:val="18"/>
      <w:szCs w:val="18"/>
    </w:rPr>
  </w:style>
  <w:style w:type="paragraph" w:customStyle="1" w:styleId="afffffffffa">
    <w:name w:val="字元 字元"/>
    <w:basedOn w:val="a"/>
    <w:qFormat/>
  </w:style>
  <w:style w:type="paragraph" w:customStyle="1" w:styleId="afffffffffb">
    <w:name w:val="中文报告书样式"/>
    <w:basedOn w:val="a"/>
    <w:qFormat/>
    <w:pPr>
      <w:spacing w:line="480" w:lineRule="atLeast"/>
      <w:ind w:firstLine="482"/>
      <w:textAlignment w:val="baseline"/>
    </w:pPr>
    <w:rPr>
      <w:kern w:val="24"/>
      <w:szCs w:val="20"/>
    </w:rPr>
  </w:style>
  <w:style w:type="paragraph" w:customStyle="1" w:styleId="2ffa">
    <w:name w:val="正文2"/>
    <w:qFormat/>
    <w:pPr>
      <w:widowControl w:val="0"/>
      <w:suppressAutoHyphens/>
      <w:spacing w:line="520" w:lineRule="atLeast"/>
      <w:ind w:firstLine="200"/>
      <w:jc w:val="both"/>
    </w:pPr>
    <w:rPr>
      <w:spacing w:val="18"/>
      <w:sz w:val="32"/>
    </w:rPr>
  </w:style>
  <w:style w:type="character" w:customStyle="1" w:styleId="2Char8">
    <w:name w:val="正文2 Char"/>
    <w:qFormat/>
    <w:rPr>
      <w:rFonts w:ascii="Times New Roman" w:hAnsi="Times New Roman"/>
      <w:spacing w:val="18"/>
      <w:sz w:val="32"/>
      <w:lang w:val="en-US" w:eastAsia="zh-CN" w:bidi="ar-SA"/>
    </w:rPr>
  </w:style>
  <w:style w:type="paragraph" w:customStyle="1" w:styleId="2-1">
    <w:name w:val="标题2-1"/>
    <w:basedOn w:val="2"/>
    <w:qFormat/>
    <w:pPr>
      <w:widowControl w:val="0"/>
      <w:numPr>
        <w:ilvl w:val="0"/>
        <w:numId w:val="0"/>
      </w:numPr>
      <w:spacing w:before="0" w:after="0" w:line="300" w:lineRule="auto"/>
    </w:pPr>
    <w:rPr>
      <w:rFonts w:cs="宋体"/>
      <w:bCs w:val="0"/>
      <w:snapToGrid w:val="0"/>
      <w:sz w:val="30"/>
      <w:szCs w:val="30"/>
    </w:rPr>
  </w:style>
  <w:style w:type="paragraph" w:customStyle="1" w:styleId="2ffb">
    <w:name w:val="样式2"/>
    <w:basedOn w:val="1"/>
    <w:autoRedefine/>
    <w:qFormat/>
    <w:pPr>
      <w:keepNext w:val="0"/>
      <w:keepLines w:val="0"/>
      <w:widowControl w:val="0"/>
      <w:numPr>
        <w:numId w:val="0"/>
      </w:numPr>
      <w:spacing w:before="120" w:after="120" w:line="300" w:lineRule="auto"/>
      <w:jc w:val="left"/>
    </w:pPr>
    <w:rPr>
      <w:b w:val="0"/>
      <w:bCs w:val="0"/>
      <w:kern w:val="2"/>
      <w:sz w:val="32"/>
      <w:szCs w:val="28"/>
    </w:rPr>
  </w:style>
  <w:style w:type="paragraph" w:customStyle="1" w:styleId="7878">
    <w:name w:val="样式 段前: 7.8 磅 段后: 7.8 磅"/>
    <w:basedOn w:val="a"/>
    <w:qFormat/>
    <w:pPr>
      <w:spacing w:before="156" w:after="156" w:line="460" w:lineRule="exact"/>
    </w:pPr>
    <w:rPr>
      <w:rFonts w:cs="宋体"/>
    </w:rPr>
  </w:style>
  <w:style w:type="paragraph" w:customStyle="1" w:styleId="afffffffffc">
    <w:name w:val="表头及表尾"/>
    <w:qFormat/>
    <w:pPr>
      <w:tabs>
        <w:tab w:val="center" w:pos="4200"/>
        <w:tab w:val="right" w:pos="8400"/>
      </w:tabs>
      <w:adjustRightInd w:val="0"/>
      <w:snapToGrid w:val="0"/>
    </w:pPr>
    <w:rPr>
      <w:b/>
      <w:snapToGrid w:val="0"/>
      <w:sz w:val="21"/>
      <w:szCs w:val="21"/>
    </w:rPr>
  </w:style>
  <w:style w:type="character" w:customStyle="1" w:styleId="21Char">
    <w:name w:val="正文文字 21 Char"/>
    <w:qFormat/>
    <w:rPr>
      <w:rFonts w:ascii="Times New Roman" w:hAnsi="Times New Roman"/>
      <w:kern w:val="2"/>
      <w:sz w:val="24"/>
      <w:szCs w:val="24"/>
    </w:rPr>
  </w:style>
  <w:style w:type="paragraph" w:customStyle="1" w:styleId="afffffffffd">
    <w:name w:val="表"/>
    <w:basedOn w:val="a"/>
    <w:qFormat/>
    <w:pPr>
      <w:jc w:val="center"/>
    </w:pPr>
    <w:rPr>
      <w:spacing w:val="2"/>
      <w:szCs w:val="20"/>
    </w:rPr>
  </w:style>
  <w:style w:type="paragraph" w:customStyle="1" w:styleId="3-1">
    <w:name w:val="标题3-1"/>
    <w:basedOn w:val="3"/>
    <w:qFormat/>
    <w:pPr>
      <w:widowControl/>
      <w:numPr>
        <w:ilvl w:val="0"/>
        <w:numId w:val="0"/>
      </w:numPr>
      <w:ind w:firstLineChars="200" w:firstLine="200"/>
    </w:pPr>
    <w:rPr>
      <w:rFonts w:ascii="宋体" w:eastAsia="华文细黑" w:hAnsi="宋体" w:cs="宋体"/>
      <w:kern w:val="0"/>
      <w:szCs w:val="24"/>
    </w:rPr>
  </w:style>
  <w:style w:type="paragraph" w:customStyle="1" w:styleId="afffffffffe">
    <w:name w:val="正文宋"/>
    <w:basedOn w:val="a"/>
    <w:qFormat/>
    <w:pPr>
      <w:suppressAutoHyphens/>
      <w:wordWrap w:val="0"/>
      <w:spacing w:line="0" w:lineRule="atLeast"/>
    </w:pPr>
    <w:rPr>
      <w:kern w:val="0"/>
      <w:szCs w:val="20"/>
    </w:rPr>
  </w:style>
  <w:style w:type="character" w:customStyle="1" w:styleId="3CharChar1">
    <w:name w:val="标题 3 Char Char1"/>
    <w:qFormat/>
    <w:rPr>
      <w:rFonts w:eastAsia="宋体"/>
      <w:b/>
      <w:bCs/>
      <w:kern w:val="2"/>
      <w:sz w:val="32"/>
      <w:szCs w:val="32"/>
      <w:lang w:val="en-US" w:eastAsia="zh-CN" w:bidi="ar-SA"/>
    </w:rPr>
  </w:style>
  <w:style w:type="character" w:customStyle="1" w:styleId="CharChar10">
    <w:name w:val="Char Char10"/>
    <w:qFormat/>
    <w:rPr>
      <w:rFonts w:ascii="宋体" w:hAnsi="宋体" w:cs="宋体"/>
      <w:kern w:val="2"/>
      <w:sz w:val="18"/>
      <w:szCs w:val="18"/>
    </w:rPr>
  </w:style>
  <w:style w:type="paragraph" w:customStyle="1" w:styleId="10115">
    <w:name w:val="样式 (中文) 华文楷体 四号 首行缩进:  1.01 厘米 行距: 1.5 倍行距"/>
    <w:basedOn w:val="a"/>
    <w:semiHidden/>
    <w:qFormat/>
    <w:pPr>
      <w:widowControl/>
      <w:jc w:val="left"/>
    </w:pPr>
    <w:rPr>
      <w:rFonts w:ascii="宋体" w:hAnsi="宋体" w:cs="宋体"/>
      <w:kern w:val="0"/>
    </w:rPr>
  </w:style>
  <w:style w:type="character" w:customStyle="1" w:styleId="10115Char">
    <w:name w:val="样式 (中文) 华文楷体 四号 首行缩进:  1.01 厘米 行距: 1.5 倍行距 Char"/>
    <w:qFormat/>
    <w:rPr>
      <w:rFonts w:ascii="宋体" w:hAnsi="宋体" w:cs="宋体"/>
      <w:sz w:val="28"/>
      <w:szCs w:val="24"/>
    </w:rPr>
  </w:style>
  <w:style w:type="paragraph" w:customStyle="1" w:styleId="affffffffff">
    <w:name w:val="图编号"/>
    <w:basedOn w:val="afffe"/>
    <w:qFormat/>
    <w:pPr>
      <w:tabs>
        <w:tab w:val="left" w:pos="675"/>
      </w:tabs>
      <w:spacing w:before="300" w:after="300"/>
      <w:ind w:left="675" w:hanging="315"/>
    </w:pPr>
    <w:rPr>
      <w:rFonts w:ascii="Times New Roman" w:hAnsi="Times New Roman" w:cs="宋体"/>
      <w:kern w:val="2"/>
    </w:rPr>
  </w:style>
  <w:style w:type="paragraph" w:customStyle="1" w:styleId="05">
    <w:name w:val="样式 表格标题新 + 段前: 0.5 行"/>
    <w:basedOn w:val="afffffffff6"/>
    <w:qFormat/>
    <w:pPr>
      <w:adjustRightInd/>
      <w:spacing w:before="249"/>
      <w:ind w:firstLineChars="0" w:firstLine="0"/>
    </w:pPr>
    <w:rPr>
      <w:bCs/>
    </w:rPr>
  </w:style>
  <w:style w:type="paragraph" w:customStyle="1" w:styleId="xl28">
    <w:name w:val="xl28"/>
    <w:basedOn w:val="a"/>
    <w:qFormat/>
    <w:pPr>
      <w:widowControl/>
      <w:pBdr>
        <w:bottom w:val="single" w:sz="4" w:space="0" w:color="auto"/>
        <w:right w:val="single" w:sz="4" w:space="0" w:color="auto"/>
      </w:pBdr>
      <w:spacing w:before="100" w:beforeAutospacing="1" w:after="100" w:afterAutospacing="1"/>
      <w:jc w:val="center"/>
    </w:pPr>
    <w:rPr>
      <w:kern w:val="0"/>
      <w:szCs w:val="21"/>
    </w:rPr>
  </w:style>
  <w:style w:type="paragraph" w:customStyle="1" w:styleId="410">
    <w:name w:val="小4仿宋居中行1"/>
    <w:autoRedefine/>
    <w:qFormat/>
    <w:pPr>
      <w:widowControl w:val="0"/>
      <w:ind w:left="-573" w:right="-59" w:firstLine="494"/>
      <w:jc w:val="center"/>
    </w:pPr>
    <w:rPr>
      <w:rFonts w:eastAsia="仿宋_GB2312"/>
      <w:sz w:val="24"/>
    </w:rPr>
  </w:style>
  <w:style w:type="character" w:customStyle="1" w:styleId="CharChar90">
    <w:name w:val="Char Char9"/>
    <w:qFormat/>
    <w:rPr>
      <w:rFonts w:ascii="Times New Roman" w:hAnsi="Times New Roman"/>
      <w:kern w:val="2"/>
      <w:sz w:val="18"/>
      <w:szCs w:val="18"/>
    </w:rPr>
  </w:style>
  <w:style w:type="paragraph" w:customStyle="1" w:styleId="affffffffff0">
    <w:name w:val="正文楷体"/>
    <w:basedOn w:val="a"/>
    <w:qFormat/>
    <w:rPr>
      <w:rFonts w:eastAsia="楷体_GB2312"/>
    </w:rPr>
  </w:style>
  <w:style w:type="character" w:customStyle="1" w:styleId="CharChar80">
    <w:name w:val="Char Char8"/>
    <w:qFormat/>
    <w:rPr>
      <w:rFonts w:ascii="Times New Roman" w:hAnsi="Times New Roman"/>
      <w:kern w:val="2"/>
      <w:sz w:val="24"/>
    </w:rPr>
  </w:style>
  <w:style w:type="character" w:customStyle="1" w:styleId="CharChar70">
    <w:name w:val="Char Char7"/>
    <w:qFormat/>
    <w:rPr>
      <w:rFonts w:ascii="宋体" w:hAnsi="Times New Roman"/>
      <w:kern w:val="2"/>
      <w:sz w:val="24"/>
    </w:rPr>
  </w:style>
  <w:style w:type="character" w:customStyle="1" w:styleId="CharChar60">
    <w:name w:val="Char Char6"/>
    <w:qFormat/>
    <w:rPr>
      <w:rFonts w:ascii="DFKai-SB" w:eastAsia="DFKai-SB" w:hAnsi="Times New Roman"/>
      <w:kern w:val="2"/>
      <w:sz w:val="28"/>
      <w:szCs w:val="24"/>
      <w:lang w:eastAsia="zh-TW"/>
    </w:rPr>
  </w:style>
  <w:style w:type="paragraph" w:customStyle="1" w:styleId="font5">
    <w:name w:val="font5"/>
    <w:basedOn w:val="a"/>
    <w:qFormat/>
    <w:pPr>
      <w:widowControl/>
      <w:spacing w:before="100" w:beforeAutospacing="1" w:after="100" w:afterAutospacing="1"/>
      <w:jc w:val="left"/>
    </w:pPr>
    <w:rPr>
      <w:rFonts w:ascii="PMingLiU" w:eastAsia="PMingLiU" w:hint="eastAsia"/>
      <w:kern w:val="0"/>
      <w:lang w:eastAsia="zh-TW"/>
    </w:rPr>
  </w:style>
  <w:style w:type="paragraph" w:customStyle="1" w:styleId="font6">
    <w:name w:val="font6"/>
    <w:basedOn w:val="a"/>
    <w:qFormat/>
    <w:pPr>
      <w:widowControl/>
      <w:spacing w:before="100" w:beforeAutospacing="1" w:after="100" w:afterAutospacing="1"/>
      <w:jc w:val="left"/>
    </w:pPr>
    <w:rPr>
      <w:rFonts w:ascii="PMingLiU" w:eastAsia="PMingLiU" w:hint="eastAsia"/>
      <w:kern w:val="0"/>
      <w:sz w:val="18"/>
      <w:szCs w:val="18"/>
      <w:lang w:eastAsia="zh-TW"/>
    </w:rPr>
  </w:style>
  <w:style w:type="paragraph" w:customStyle="1" w:styleId="font7">
    <w:name w:val="font7"/>
    <w:basedOn w:val="a"/>
    <w:qFormat/>
    <w:pPr>
      <w:widowControl/>
      <w:spacing w:before="100" w:beforeAutospacing="1" w:after="100" w:afterAutospacing="1"/>
      <w:jc w:val="left"/>
    </w:pPr>
    <w:rPr>
      <w:rFonts w:eastAsia="PMingLiU"/>
      <w:kern w:val="0"/>
      <w:sz w:val="22"/>
      <w:szCs w:val="22"/>
      <w:lang w:eastAsia="zh-TW"/>
    </w:rPr>
  </w:style>
  <w:style w:type="paragraph" w:customStyle="1" w:styleId="font8">
    <w:name w:val="font8"/>
    <w:basedOn w:val="a"/>
    <w:qFormat/>
    <w:pPr>
      <w:widowControl/>
      <w:spacing w:before="100" w:beforeAutospacing="1" w:after="100" w:afterAutospacing="1"/>
      <w:jc w:val="left"/>
    </w:pPr>
    <w:rPr>
      <w:rFonts w:ascii="PMingLiU" w:eastAsia="PMingLiU" w:hint="eastAsia"/>
      <w:kern w:val="0"/>
      <w:sz w:val="16"/>
      <w:szCs w:val="16"/>
      <w:lang w:eastAsia="zh-TW"/>
    </w:rPr>
  </w:style>
  <w:style w:type="paragraph" w:customStyle="1" w:styleId="font9">
    <w:name w:val="font9"/>
    <w:basedOn w:val="a"/>
    <w:qFormat/>
    <w:pPr>
      <w:widowControl/>
      <w:spacing w:before="100" w:beforeAutospacing="1" w:after="100" w:afterAutospacing="1"/>
      <w:jc w:val="left"/>
    </w:pPr>
    <w:rPr>
      <w:rFonts w:eastAsia="PMingLiU"/>
      <w:kern w:val="0"/>
      <w:sz w:val="16"/>
      <w:szCs w:val="16"/>
      <w:lang w:eastAsia="zh-TW"/>
    </w:rPr>
  </w:style>
  <w:style w:type="paragraph" w:customStyle="1" w:styleId="font10">
    <w:name w:val="font10"/>
    <w:basedOn w:val="a"/>
    <w:qFormat/>
    <w:pPr>
      <w:widowControl/>
      <w:spacing w:before="100" w:beforeAutospacing="1" w:after="100" w:afterAutospacing="1"/>
      <w:jc w:val="left"/>
    </w:pPr>
    <w:rPr>
      <w:rFonts w:ascii="MingLiU" w:eastAsia="MingLiU" w:hint="eastAsia"/>
      <w:kern w:val="0"/>
      <w:sz w:val="16"/>
      <w:szCs w:val="16"/>
      <w:lang w:eastAsia="zh-TW"/>
    </w:rPr>
  </w:style>
  <w:style w:type="paragraph" w:customStyle="1" w:styleId="font11">
    <w:name w:val="font11"/>
    <w:basedOn w:val="a"/>
    <w:qFormat/>
    <w:pPr>
      <w:widowControl/>
      <w:spacing w:before="100" w:beforeAutospacing="1" w:after="100" w:afterAutospacing="1"/>
      <w:jc w:val="left"/>
    </w:pPr>
    <w:rPr>
      <w:rFonts w:ascii="PMingLiU" w:eastAsia="PMingLiU" w:hint="eastAsia"/>
      <w:kern w:val="0"/>
      <w:sz w:val="14"/>
      <w:szCs w:val="14"/>
      <w:lang w:eastAsia="zh-TW"/>
    </w:rPr>
  </w:style>
  <w:style w:type="paragraph" w:customStyle="1" w:styleId="xl24">
    <w:name w:val="xl2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PMingLiU"/>
      <w:kern w:val="0"/>
      <w:sz w:val="12"/>
      <w:szCs w:val="12"/>
      <w:lang w:eastAsia="zh-TW"/>
    </w:rPr>
  </w:style>
  <w:style w:type="paragraph" w:customStyle="1" w:styleId="xl25">
    <w:name w:val="xl25"/>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PMingLiU" w:eastAsia="PMingLiU" w:hint="eastAsia"/>
      <w:kern w:val="0"/>
      <w:sz w:val="16"/>
      <w:szCs w:val="16"/>
      <w:lang w:eastAsia="zh-TW"/>
    </w:rPr>
  </w:style>
  <w:style w:type="paragraph" w:customStyle="1" w:styleId="xl26">
    <w:name w:val="xl26"/>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PMingLiU"/>
      <w:kern w:val="0"/>
      <w:sz w:val="16"/>
      <w:szCs w:val="16"/>
      <w:lang w:eastAsia="zh-TW"/>
    </w:rPr>
  </w:style>
  <w:style w:type="paragraph" w:customStyle="1" w:styleId="xl27">
    <w:name w:val="xl27"/>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PMingLiU" w:eastAsia="PMingLiU" w:hint="eastAsia"/>
      <w:kern w:val="0"/>
      <w:sz w:val="16"/>
      <w:szCs w:val="16"/>
      <w:lang w:eastAsia="zh-TW"/>
    </w:rPr>
  </w:style>
  <w:style w:type="paragraph" w:customStyle="1" w:styleId="xl29">
    <w:name w:val="xl29"/>
    <w:basedOn w:val="a"/>
    <w:qFormat/>
    <w:pPr>
      <w:widowControl/>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ascii="PMingLiU" w:eastAsia="PMingLiU" w:hint="eastAsia"/>
      <w:kern w:val="0"/>
      <w:sz w:val="16"/>
      <w:szCs w:val="16"/>
      <w:lang w:eastAsia="zh-TW"/>
    </w:rPr>
  </w:style>
  <w:style w:type="paragraph" w:customStyle="1" w:styleId="xl30">
    <w:name w:val="xl3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MingLiU" w:eastAsia="MingLiU" w:hint="eastAsia"/>
      <w:kern w:val="0"/>
      <w:sz w:val="16"/>
      <w:szCs w:val="16"/>
      <w:lang w:eastAsia="zh-TW"/>
    </w:rPr>
  </w:style>
  <w:style w:type="paragraph" w:customStyle="1" w:styleId="xl31">
    <w:name w:val="xl31"/>
    <w:basedOn w:val="a"/>
    <w:qFormat/>
    <w:pPr>
      <w:widowControl/>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ascii="MingLiU" w:eastAsia="MingLiU" w:hint="eastAsia"/>
      <w:kern w:val="0"/>
      <w:sz w:val="16"/>
      <w:szCs w:val="16"/>
      <w:lang w:eastAsia="zh-TW"/>
    </w:rPr>
  </w:style>
  <w:style w:type="paragraph" w:customStyle="1" w:styleId="xl32">
    <w:name w:val="xl3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PMingLiU"/>
      <w:kern w:val="0"/>
      <w:sz w:val="16"/>
      <w:szCs w:val="16"/>
      <w:lang w:eastAsia="zh-TW"/>
    </w:rPr>
  </w:style>
  <w:style w:type="paragraph" w:customStyle="1" w:styleId="xl33">
    <w:name w:val="xl33"/>
    <w:basedOn w:val="a"/>
    <w:qFormat/>
    <w:pPr>
      <w:widowControl/>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eastAsia="PMingLiU"/>
      <w:kern w:val="0"/>
      <w:sz w:val="16"/>
      <w:szCs w:val="16"/>
      <w:lang w:eastAsia="zh-TW"/>
    </w:rPr>
  </w:style>
  <w:style w:type="paragraph" w:customStyle="1" w:styleId="xl34">
    <w:name w:val="xl3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MingLiU" w:eastAsia="MingLiU" w:hint="eastAsia"/>
      <w:kern w:val="0"/>
      <w:sz w:val="16"/>
      <w:szCs w:val="16"/>
      <w:lang w:eastAsia="zh-TW"/>
    </w:rPr>
  </w:style>
  <w:style w:type="paragraph" w:customStyle="1" w:styleId="xl35">
    <w:name w:val="xl35"/>
    <w:basedOn w:val="a"/>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PMingLiU" w:eastAsia="PMingLiU" w:hint="eastAsia"/>
      <w:kern w:val="0"/>
      <w:sz w:val="16"/>
      <w:szCs w:val="16"/>
      <w:lang w:eastAsia="zh-TW"/>
    </w:rPr>
  </w:style>
  <w:style w:type="paragraph" w:customStyle="1" w:styleId="xl36">
    <w:name w:val="xl36"/>
    <w:basedOn w:val="a"/>
    <w:qFormat/>
    <w:pPr>
      <w:widowControl/>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ascii="MingLiU" w:eastAsia="MingLiU" w:hint="eastAsia"/>
      <w:kern w:val="0"/>
      <w:sz w:val="16"/>
      <w:szCs w:val="16"/>
      <w:lang w:eastAsia="zh-TW"/>
    </w:rPr>
  </w:style>
  <w:style w:type="paragraph" w:customStyle="1" w:styleId="xl37">
    <w:name w:val="xl37"/>
    <w:basedOn w:val="a"/>
    <w:qFormat/>
    <w:pPr>
      <w:widowControl/>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PMingLiU"/>
      <w:kern w:val="0"/>
      <w:sz w:val="16"/>
      <w:szCs w:val="16"/>
      <w:lang w:eastAsia="zh-TW"/>
    </w:rPr>
  </w:style>
  <w:style w:type="paragraph" w:customStyle="1" w:styleId="xl38">
    <w:name w:val="xl38"/>
    <w:basedOn w:val="a"/>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PMingLiU" w:eastAsia="PMingLiU"/>
      <w:kern w:val="0"/>
      <w:lang w:eastAsia="zh-TW"/>
    </w:rPr>
  </w:style>
  <w:style w:type="paragraph" w:customStyle="1" w:styleId="xl39">
    <w:name w:val="xl39"/>
    <w:basedOn w:val="a"/>
    <w:qFormat/>
    <w:pPr>
      <w:widowControl/>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PMingLiU" w:eastAsia="PMingLiU" w:hint="eastAsia"/>
      <w:kern w:val="0"/>
      <w:sz w:val="16"/>
      <w:szCs w:val="16"/>
      <w:lang w:eastAsia="zh-TW"/>
    </w:rPr>
  </w:style>
  <w:style w:type="paragraph" w:customStyle="1" w:styleId="xl40">
    <w:name w:val="xl4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PMingLiU"/>
      <w:kern w:val="0"/>
      <w:sz w:val="14"/>
      <w:szCs w:val="14"/>
      <w:lang w:eastAsia="zh-TW"/>
    </w:rPr>
  </w:style>
  <w:style w:type="paragraph" w:customStyle="1" w:styleId="xl41">
    <w:name w:val="xl41"/>
    <w:basedOn w:val="a"/>
    <w:qFormat/>
    <w:pPr>
      <w:widowControl/>
      <w:pBdr>
        <w:top w:val="double" w:sz="6"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ascii="PMingLiU" w:eastAsia="PMingLiU"/>
      <w:kern w:val="0"/>
      <w:lang w:eastAsia="zh-TW"/>
    </w:rPr>
  </w:style>
  <w:style w:type="paragraph" w:customStyle="1" w:styleId="xl42">
    <w:name w:val="xl42"/>
    <w:basedOn w:val="a"/>
    <w:qFormat/>
    <w:pPr>
      <w:widowControl/>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ascii="PMingLiU" w:eastAsia="PMingLiU" w:hint="eastAsia"/>
      <w:kern w:val="0"/>
      <w:sz w:val="16"/>
      <w:szCs w:val="16"/>
      <w:lang w:eastAsia="zh-TW"/>
    </w:rPr>
  </w:style>
  <w:style w:type="paragraph" w:customStyle="1" w:styleId="xl43">
    <w:name w:val="xl43"/>
    <w:basedOn w:val="a"/>
    <w:qFormat/>
    <w:pPr>
      <w:widowControl/>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MingLiU" w:eastAsia="MingLiU" w:hint="eastAsia"/>
      <w:kern w:val="0"/>
      <w:sz w:val="16"/>
      <w:szCs w:val="16"/>
      <w:lang w:eastAsia="zh-TW"/>
    </w:rPr>
  </w:style>
  <w:style w:type="paragraph" w:customStyle="1" w:styleId="xl44">
    <w:name w:val="xl44"/>
    <w:basedOn w:val="a"/>
    <w:qFormat/>
    <w:pPr>
      <w:widowControl/>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eastAsia="PMingLiU"/>
      <w:kern w:val="0"/>
      <w:sz w:val="16"/>
      <w:szCs w:val="16"/>
      <w:lang w:eastAsia="zh-TW"/>
    </w:rPr>
  </w:style>
  <w:style w:type="paragraph" w:customStyle="1" w:styleId="xl45">
    <w:name w:val="xl45"/>
    <w:basedOn w:val="a"/>
    <w:qFormat/>
    <w:pPr>
      <w:widowControl/>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PMingLiU" w:eastAsia="PMingLiU" w:hint="eastAsia"/>
      <w:kern w:val="0"/>
      <w:sz w:val="16"/>
      <w:szCs w:val="16"/>
      <w:lang w:eastAsia="zh-TW"/>
    </w:rPr>
  </w:style>
  <w:style w:type="paragraph" w:customStyle="1" w:styleId="xl46">
    <w:name w:val="xl46"/>
    <w:basedOn w:val="a"/>
    <w:qFormat/>
    <w:pPr>
      <w:widowControl/>
      <w:pBdr>
        <w:top w:val="single" w:sz="4" w:space="0" w:color="auto"/>
        <w:left w:val="double" w:sz="6" w:space="0" w:color="auto"/>
        <w:bottom w:val="single" w:sz="4" w:space="0" w:color="auto"/>
        <w:right w:val="single" w:sz="4" w:space="0" w:color="auto"/>
      </w:pBdr>
      <w:spacing w:before="100" w:beforeAutospacing="1" w:after="100" w:afterAutospacing="1"/>
      <w:jc w:val="left"/>
      <w:textAlignment w:val="center"/>
    </w:pPr>
    <w:rPr>
      <w:rFonts w:ascii="PMingLiU" w:eastAsia="PMingLiU" w:hint="eastAsia"/>
      <w:kern w:val="0"/>
      <w:sz w:val="16"/>
      <w:szCs w:val="16"/>
      <w:lang w:eastAsia="zh-TW"/>
    </w:rPr>
  </w:style>
  <w:style w:type="paragraph" w:customStyle="1" w:styleId="xl47">
    <w:name w:val="xl47"/>
    <w:basedOn w:val="a"/>
    <w:qFormat/>
    <w:pPr>
      <w:widowControl/>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PMingLiU" w:eastAsia="PMingLiU"/>
      <w:kern w:val="0"/>
      <w:lang w:eastAsia="zh-TW"/>
    </w:rPr>
  </w:style>
  <w:style w:type="paragraph" w:customStyle="1" w:styleId="xl48">
    <w:name w:val="xl48"/>
    <w:basedOn w:val="a"/>
    <w:qFormat/>
    <w:pPr>
      <w:widowControl/>
      <w:pBdr>
        <w:top w:val="single" w:sz="4" w:space="0" w:color="auto"/>
        <w:left w:val="double" w:sz="6" w:space="0" w:color="auto"/>
        <w:bottom w:val="single" w:sz="4" w:space="0" w:color="auto"/>
        <w:right w:val="single" w:sz="4" w:space="0" w:color="auto"/>
      </w:pBdr>
      <w:spacing w:before="100" w:beforeAutospacing="1" w:after="100" w:afterAutospacing="1"/>
      <w:jc w:val="left"/>
      <w:textAlignment w:val="center"/>
    </w:pPr>
    <w:rPr>
      <w:rFonts w:ascii="PMingLiU" w:eastAsia="PMingLiU"/>
      <w:kern w:val="0"/>
      <w:lang w:eastAsia="zh-TW"/>
    </w:rPr>
  </w:style>
  <w:style w:type="paragraph" w:customStyle="1" w:styleId="xl49">
    <w:name w:val="xl49"/>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PMingLiU" w:eastAsia="PMingLiU" w:hint="eastAsia"/>
      <w:kern w:val="0"/>
      <w:sz w:val="16"/>
      <w:szCs w:val="16"/>
      <w:lang w:eastAsia="zh-TW"/>
    </w:rPr>
  </w:style>
  <w:style w:type="paragraph" w:customStyle="1" w:styleId="xl50">
    <w:name w:val="xl50"/>
    <w:basedOn w:val="a"/>
    <w:qFormat/>
    <w:pPr>
      <w:widowControl/>
      <w:pBdr>
        <w:top w:val="single" w:sz="4" w:space="0" w:color="auto"/>
        <w:left w:val="single" w:sz="4" w:space="0" w:color="auto"/>
        <w:bottom w:val="single" w:sz="4" w:space="0" w:color="auto"/>
        <w:right w:val="double" w:sz="6" w:space="0" w:color="auto"/>
      </w:pBdr>
      <w:spacing w:before="100" w:beforeAutospacing="1" w:after="100" w:afterAutospacing="1"/>
      <w:jc w:val="left"/>
      <w:textAlignment w:val="center"/>
    </w:pPr>
    <w:rPr>
      <w:rFonts w:ascii="PMingLiU" w:eastAsia="PMingLiU" w:hint="eastAsia"/>
      <w:kern w:val="0"/>
      <w:sz w:val="16"/>
      <w:szCs w:val="16"/>
      <w:lang w:eastAsia="zh-TW"/>
    </w:rPr>
  </w:style>
  <w:style w:type="paragraph" w:customStyle="1" w:styleId="xl51">
    <w:name w:val="xl51"/>
    <w:basedOn w:val="a"/>
    <w:qFormat/>
    <w:pPr>
      <w:widowControl/>
      <w:pBdr>
        <w:top w:val="single" w:sz="4" w:space="0" w:color="auto"/>
        <w:left w:val="double" w:sz="6" w:space="0" w:color="auto"/>
        <w:bottom w:val="double" w:sz="6" w:space="0" w:color="auto"/>
        <w:right w:val="single" w:sz="4" w:space="0" w:color="auto"/>
      </w:pBdr>
      <w:spacing w:before="100" w:beforeAutospacing="1" w:after="100" w:afterAutospacing="1"/>
      <w:jc w:val="center"/>
      <w:textAlignment w:val="center"/>
    </w:pPr>
    <w:rPr>
      <w:rFonts w:ascii="PMingLiU" w:eastAsia="PMingLiU"/>
      <w:kern w:val="0"/>
      <w:lang w:eastAsia="zh-TW"/>
    </w:rPr>
  </w:style>
  <w:style w:type="paragraph" w:customStyle="1" w:styleId="xl52">
    <w:name w:val="xl52"/>
    <w:basedOn w:val="a"/>
    <w:qFormat/>
    <w:pPr>
      <w:widowControl/>
      <w:pBdr>
        <w:top w:val="single" w:sz="4" w:space="0" w:color="auto"/>
        <w:left w:val="single" w:sz="4" w:space="0" w:color="auto"/>
        <w:bottom w:val="double" w:sz="6" w:space="0" w:color="auto"/>
        <w:right w:val="single" w:sz="4" w:space="0" w:color="auto"/>
      </w:pBdr>
      <w:spacing w:before="100" w:beforeAutospacing="1" w:after="100" w:afterAutospacing="1"/>
      <w:jc w:val="left"/>
      <w:textAlignment w:val="center"/>
    </w:pPr>
    <w:rPr>
      <w:rFonts w:ascii="PMingLiU" w:eastAsia="PMingLiU" w:hint="eastAsia"/>
      <w:kern w:val="0"/>
      <w:sz w:val="16"/>
      <w:szCs w:val="16"/>
      <w:lang w:eastAsia="zh-TW"/>
    </w:rPr>
  </w:style>
  <w:style w:type="paragraph" w:customStyle="1" w:styleId="xl53">
    <w:name w:val="xl53"/>
    <w:basedOn w:val="a"/>
    <w:qFormat/>
    <w:pPr>
      <w:widowControl/>
      <w:pBdr>
        <w:top w:val="single" w:sz="4" w:space="0" w:color="auto"/>
        <w:left w:val="single" w:sz="4" w:space="0" w:color="auto"/>
        <w:bottom w:val="double" w:sz="6" w:space="0" w:color="auto"/>
        <w:right w:val="double" w:sz="6" w:space="0" w:color="auto"/>
      </w:pBdr>
      <w:spacing w:before="100" w:beforeAutospacing="1" w:after="100" w:afterAutospacing="1"/>
      <w:jc w:val="left"/>
      <w:textAlignment w:val="center"/>
    </w:pPr>
    <w:rPr>
      <w:rFonts w:ascii="PMingLiU" w:eastAsia="PMingLiU" w:hint="eastAsia"/>
      <w:kern w:val="0"/>
      <w:sz w:val="16"/>
      <w:szCs w:val="16"/>
      <w:lang w:eastAsia="zh-TW"/>
    </w:rPr>
  </w:style>
  <w:style w:type="paragraph" w:customStyle="1" w:styleId="xl54">
    <w:name w:val="xl54"/>
    <w:basedOn w:val="a"/>
    <w:qFormat/>
    <w:pPr>
      <w:widowControl/>
      <w:pBdr>
        <w:top w:val="double" w:sz="6" w:space="0" w:color="auto"/>
        <w:left w:val="single" w:sz="4" w:space="0" w:color="auto"/>
        <w:right w:val="single" w:sz="4" w:space="0" w:color="auto"/>
      </w:pBdr>
      <w:spacing w:before="100" w:beforeAutospacing="1" w:after="100" w:afterAutospacing="1"/>
      <w:jc w:val="center"/>
      <w:textAlignment w:val="center"/>
    </w:pPr>
    <w:rPr>
      <w:rFonts w:ascii="PMingLiU" w:eastAsia="PMingLiU" w:hint="eastAsia"/>
      <w:kern w:val="0"/>
      <w:sz w:val="16"/>
      <w:szCs w:val="16"/>
      <w:lang w:eastAsia="zh-TW"/>
    </w:rPr>
  </w:style>
  <w:style w:type="paragraph" w:customStyle="1" w:styleId="xl55">
    <w:name w:val="xl55"/>
    <w:basedOn w:val="a"/>
    <w:qFormat/>
    <w:pPr>
      <w:widowControl/>
      <w:pBdr>
        <w:top w:val="double" w:sz="6" w:space="0" w:color="auto"/>
        <w:left w:val="double" w:sz="6" w:space="0" w:color="auto"/>
        <w:right w:val="single" w:sz="4" w:space="0" w:color="auto"/>
      </w:pBdr>
      <w:spacing w:before="100" w:beforeAutospacing="1" w:after="100" w:afterAutospacing="1"/>
      <w:jc w:val="center"/>
      <w:textAlignment w:val="center"/>
    </w:pPr>
    <w:rPr>
      <w:rFonts w:ascii="PMingLiU" w:eastAsia="PMingLiU" w:hint="eastAsia"/>
      <w:kern w:val="0"/>
      <w:sz w:val="16"/>
      <w:szCs w:val="16"/>
      <w:lang w:eastAsia="zh-TW"/>
    </w:rPr>
  </w:style>
  <w:style w:type="paragraph" w:customStyle="1" w:styleId="xl56">
    <w:name w:val="xl56"/>
    <w:basedOn w:val="a"/>
    <w:qFormat/>
    <w:pPr>
      <w:widowControl/>
      <w:pBdr>
        <w:left w:val="double" w:sz="6" w:space="0" w:color="auto"/>
        <w:bottom w:val="single" w:sz="4" w:space="0" w:color="auto"/>
        <w:right w:val="single" w:sz="4" w:space="0" w:color="auto"/>
      </w:pBdr>
      <w:spacing w:before="100" w:beforeAutospacing="1" w:after="100" w:afterAutospacing="1"/>
      <w:jc w:val="center"/>
      <w:textAlignment w:val="center"/>
    </w:pPr>
    <w:rPr>
      <w:rFonts w:ascii="PMingLiU" w:eastAsia="PMingLiU"/>
      <w:kern w:val="0"/>
      <w:lang w:eastAsia="zh-TW"/>
    </w:rPr>
  </w:style>
  <w:style w:type="paragraph" w:customStyle="1" w:styleId="xl57">
    <w:name w:val="xl57"/>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PMingLiU"/>
      <w:kern w:val="0"/>
      <w:sz w:val="12"/>
      <w:szCs w:val="12"/>
      <w:lang w:eastAsia="zh-TW"/>
    </w:rPr>
  </w:style>
  <w:style w:type="paragraph" w:customStyle="1" w:styleId="xl58">
    <w:name w:val="xl58"/>
    <w:basedOn w:val="a"/>
    <w:qFormat/>
    <w:pPr>
      <w:widowControl/>
      <w:pBdr>
        <w:top w:val="double" w:sz="6" w:space="0" w:color="auto"/>
        <w:left w:val="single" w:sz="4" w:space="0" w:color="auto"/>
        <w:bottom w:val="single" w:sz="4" w:space="0" w:color="auto"/>
      </w:pBdr>
      <w:spacing w:before="100" w:beforeAutospacing="1" w:after="100" w:afterAutospacing="1"/>
      <w:jc w:val="center"/>
      <w:textAlignment w:val="center"/>
    </w:pPr>
    <w:rPr>
      <w:rFonts w:ascii="PMingLiU" w:eastAsia="PMingLiU"/>
      <w:kern w:val="0"/>
      <w:lang w:eastAsia="zh-TW"/>
    </w:rPr>
  </w:style>
  <w:style w:type="paragraph" w:customStyle="1" w:styleId="xl59">
    <w:name w:val="xl59"/>
    <w:basedOn w:val="a"/>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PMingLiU" w:eastAsia="PMingLiU" w:hint="eastAsia"/>
      <w:kern w:val="0"/>
      <w:sz w:val="16"/>
      <w:szCs w:val="16"/>
      <w:lang w:eastAsia="zh-TW"/>
    </w:rPr>
  </w:style>
  <w:style w:type="paragraph" w:customStyle="1" w:styleId="xl60">
    <w:name w:val="xl60"/>
    <w:basedOn w:val="a"/>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MingLiU" w:eastAsia="MingLiU" w:hint="eastAsia"/>
      <w:kern w:val="0"/>
      <w:sz w:val="16"/>
      <w:szCs w:val="16"/>
      <w:lang w:eastAsia="zh-TW"/>
    </w:rPr>
  </w:style>
  <w:style w:type="paragraph" w:customStyle="1" w:styleId="xl61">
    <w:name w:val="xl61"/>
    <w:basedOn w:val="a"/>
    <w:qFormat/>
    <w:pPr>
      <w:widowControl/>
      <w:pBdr>
        <w:top w:val="single" w:sz="4" w:space="0" w:color="auto"/>
        <w:left w:val="single" w:sz="4" w:space="0" w:color="auto"/>
        <w:bottom w:val="double" w:sz="6" w:space="0" w:color="auto"/>
      </w:pBdr>
      <w:spacing w:before="100" w:beforeAutospacing="1" w:after="100" w:afterAutospacing="1"/>
      <w:jc w:val="center"/>
      <w:textAlignment w:val="center"/>
    </w:pPr>
    <w:rPr>
      <w:rFonts w:eastAsia="PMingLiU"/>
      <w:kern w:val="0"/>
      <w:sz w:val="16"/>
      <w:szCs w:val="16"/>
      <w:lang w:eastAsia="zh-TW"/>
    </w:rPr>
  </w:style>
  <w:style w:type="paragraph" w:customStyle="1" w:styleId="xl62">
    <w:name w:val="xl62"/>
    <w:basedOn w:val="a"/>
    <w:qFormat/>
    <w:pPr>
      <w:widowControl/>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PMingLiU" w:eastAsia="PMingLiU"/>
      <w:kern w:val="0"/>
      <w:lang w:eastAsia="zh-TW"/>
    </w:rPr>
  </w:style>
  <w:style w:type="paragraph" w:customStyle="1" w:styleId="xl63">
    <w:name w:val="xl63"/>
    <w:basedOn w:val="a"/>
    <w:qFormat/>
    <w:pPr>
      <w:widowControl/>
      <w:pBdr>
        <w:top w:val="single" w:sz="4" w:space="0" w:color="auto"/>
        <w:left w:val="double" w:sz="6" w:space="0" w:color="auto"/>
        <w:bottom w:val="double" w:sz="6" w:space="0" w:color="auto"/>
        <w:right w:val="single" w:sz="4" w:space="0" w:color="auto"/>
      </w:pBdr>
      <w:spacing w:before="100" w:beforeAutospacing="1" w:after="100" w:afterAutospacing="1"/>
      <w:jc w:val="left"/>
      <w:textAlignment w:val="center"/>
    </w:pPr>
    <w:rPr>
      <w:rFonts w:ascii="PMingLiU" w:eastAsia="PMingLiU" w:hint="eastAsia"/>
      <w:kern w:val="0"/>
      <w:sz w:val="16"/>
      <w:szCs w:val="16"/>
      <w:lang w:eastAsia="zh-TW"/>
    </w:rPr>
  </w:style>
  <w:style w:type="character" w:customStyle="1" w:styleId="CharChar50">
    <w:name w:val="Char Char5"/>
    <w:qFormat/>
    <w:rPr>
      <w:rFonts w:ascii="Times New Roman" w:hAnsi="Times New Roman"/>
      <w:kern w:val="2"/>
      <w:sz w:val="21"/>
      <w:szCs w:val="24"/>
    </w:rPr>
  </w:style>
  <w:style w:type="paragraph" w:customStyle="1" w:styleId="affffffffff1">
    <w:name w:val="我的正文"/>
    <w:basedOn w:val="a"/>
    <w:qFormat/>
    <w:rPr>
      <w:rFonts w:cs="宋体"/>
      <w:szCs w:val="20"/>
    </w:rPr>
  </w:style>
  <w:style w:type="paragraph" w:customStyle="1" w:styleId="affffffffff2">
    <w:name w:val="注解"/>
    <w:basedOn w:val="a"/>
    <w:qFormat/>
    <w:pPr>
      <w:ind w:left="624" w:right="170" w:hanging="454"/>
    </w:pPr>
    <w:rPr>
      <w:rFonts w:ascii="宋体" w:hAnsi="宋体"/>
      <w:color w:val="000000"/>
      <w:sz w:val="15"/>
      <w:szCs w:val="20"/>
    </w:rPr>
  </w:style>
  <w:style w:type="paragraph" w:customStyle="1" w:styleId="Charff3">
    <w:name w:val="报告 Char"/>
    <w:basedOn w:val="a"/>
    <w:qFormat/>
    <w:pPr>
      <w:ind w:firstLine="505"/>
      <w:textAlignment w:val="baseline"/>
    </w:pPr>
  </w:style>
  <w:style w:type="paragraph" w:customStyle="1" w:styleId="00">
    <w:name w:val="样式 正文文本缩进 + 宋体 五号 黑色 全部大写 居中 首行缩进:  0 厘米 段前: 0 磅 行距: 单倍行距"/>
    <w:basedOn w:val="af4"/>
    <w:qFormat/>
    <w:pPr>
      <w:spacing w:after="0" w:line="240" w:lineRule="auto"/>
      <w:ind w:leftChars="0" w:left="0" w:firstLineChars="0" w:firstLine="0"/>
      <w:jc w:val="center"/>
      <w:textAlignment w:val="baseline"/>
    </w:pPr>
    <w:rPr>
      <w:rFonts w:ascii="宋体" w:hAnsi="宋体" w:cs="宋体"/>
      <w:color w:val="000000"/>
      <w:kern w:val="28"/>
      <w:sz w:val="21"/>
      <w:szCs w:val="21"/>
    </w:rPr>
  </w:style>
  <w:style w:type="paragraph" w:customStyle="1" w:styleId="affffffffff3">
    <w:name w:val="文宋"/>
    <w:basedOn w:val="a"/>
    <w:qFormat/>
    <w:pPr>
      <w:spacing w:line="560" w:lineRule="atLeast"/>
    </w:pPr>
    <w:rPr>
      <w:spacing w:val="16"/>
      <w:sz w:val="32"/>
    </w:rPr>
  </w:style>
  <w:style w:type="paragraph" w:customStyle="1" w:styleId="affffffffff4">
    <w:name w:val="表文"/>
    <w:basedOn w:val="a"/>
    <w:autoRedefine/>
    <w:qFormat/>
    <w:pPr>
      <w:tabs>
        <w:tab w:val="left" w:pos="1021"/>
      </w:tabs>
      <w:jc w:val="center"/>
    </w:pPr>
    <w:rPr>
      <w:kern w:val="0"/>
      <w:szCs w:val="21"/>
    </w:rPr>
  </w:style>
  <w:style w:type="character" w:customStyle="1" w:styleId="unnamed31">
    <w:name w:val="unnamed31"/>
    <w:qFormat/>
    <w:rPr>
      <w:sz w:val="26"/>
      <w:szCs w:val="26"/>
    </w:rPr>
  </w:style>
  <w:style w:type="paragraph" w:customStyle="1" w:styleId="2ffc">
    <w:name w:val="样式 首行缩进:  2 字符"/>
    <w:basedOn w:val="a"/>
    <w:qFormat/>
    <w:rPr>
      <w:rFonts w:cs="宋体"/>
      <w:kern w:val="0"/>
      <w:szCs w:val="20"/>
    </w:rPr>
  </w:style>
  <w:style w:type="character" w:customStyle="1" w:styleId="2Char9">
    <w:name w:val="样式 首行缩进:  2 字符 Char"/>
    <w:qFormat/>
    <w:rPr>
      <w:rFonts w:ascii="Times New Roman" w:hAnsi="Times New Roman" w:cs="宋体"/>
      <w:sz w:val="24"/>
    </w:rPr>
  </w:style>
  <w:style w:type="paragraph" w:customStyle="1" w:styleId="affffffffff5">
    <w:name w:val="样式 (中文) 黑体 五号 加粗 居中 行距: 单倍行距"/>
    <w:basedOn w:val="a"/>
    <w:qFormat/>
    <w:pPr>
      <w:jc w:val="center"/>
    </w:pPr>
    <w:rPr>
      <w:rFonts w:eastAsia="黑体" w:cs="宋体"/>
      <w:b/>
      <w:bCs/>
      <w:szCs w:val="20"/>
    </w:rPr>
  </w:style>
  <w:style w:type="character" w:customStyle="1" w:styleId="Charff4">
    <w:name w:val="样式 (中文) 黑体 五号 加粗 居中 行距: 单倍行距 Char"/>
    <w:qFormat/>
    <w:rPr>
      <w:rFonts w:ascii="Times New Roman" w:eastAsia="黑体" w:hAnsi="Times New Roman" w:cs="宋体"/>
      <w:b/>
      <w:bCs/>
      <w:kern w:val="2"/>
      <w:sz w:val="21"/>
    </w:rPr>
  </w:style>
  <w:style w:type="paragraph" w:customStyle="1" w:styleId="affffffffff6">
    <w:name w:val="样式 五号 居中 行距: 单倍行距"/>
    <w:basedOn w:val="a"/>
    <w:qFormat/>
    <w:pPr>
      <w:jc w:val="center"/>
    </w:pPr>
    <w:rPr>
      <w:rFonts w:cs="宋体"/>
      <w:szCs w:val="20"/>
    </w:rPr>
  </w:style>
  <w:style w:type="character" w:customStyle="1" w:styleId="Charff5">
    <w:name w:val="样式 五号 居中 行距: 单倍行距 Char"/>
    <w:qFormat/>
    <w:rPr>
      <w:rFonts w:ascii="Times New Roman" w:hAnsi="Times New Roman" w:cs="宋体"/>
      <w:kern w:val="2"/>
      <w:sz w:val="21"/>
    </w:rPr>
  </w:style>
  <w:style w:type="paragraph" w:customStyle="1" w:styleId="CharChar18">
    <w:name w:val="字元 字元 Char Char 字元 字元1"/>
    <w:basedOn w:val="a"/>
    <w:qFormat/>
  </w:style>
  <w:style w:type="paragraph" w:customStyle="1" w:styleId="2ffd">
    <w:name w:val="字元 字元2"/>
    <w:basedOn w:val="a"/>
    <w:qFormat/>
  </w:style>
  <w:style w:type="paragraph" w:customStyle="1" w:styleId="ParaChar">
    <w:name w:val="默认段落字体 Para Char"/>
    <w:basedOn w:val="a"/>
    <w:next w:val="a"/>
    <w:autoRedefine/>
    <w:qFormat/>
    <w:pPr>
      <w:keepNext/>
      <w:keepLines/>
      <w:widowControl/>
      <w:spacing w:before="360" w:after="480"/>
      <w:jc w:val="left"/>
      <w:textAlignment w:val="baseline"/>
      <w:outlineLvl w:val="3"/>
    </w:pPr>
    <w:rPr>
      <w:bCs/>
      <w:kern w:val="0"/>
    </w:rPr>
  </w:style>
  <w:style w:type="paragraph" w:customStyle="1" w:styleId="affffffffff7">
    <w:name w:val="封面正文"/>
    <w:qFormat/>
    <w:pPr>
      <w:jc w:val="both"/>
    </w:pPr>
  </w:style>
  <w:style w:type="character" w:customStyle="1" w:styleId="CharChar40">
    <w:name w:val="Char Char4"/>
    <w:qFormat/>
    <w:rPr>
      <w:rFonts w:ascii="宋体" w:eastAsia="华文楷体" w:hAnsi="宋体" w:cs="宋体"/>
      <w:sz w:val="18"/>
      <w:szCs w:val="24"/>
    </w:rPr>
  </w:style>
  <w:style w:type="character" w:customStyle="1" w:styleId="CharChar30">
    <w:name w:val="Char Char3"/>
    <w:qFormat/>
    <w:rPr>
      <w:rFonts w:ascii="宋体" w:eastAsia="华文楷体" w:hAnsi="宋体" w:cs="宋体"/>
      <w:sz w:val="28"/>
      <w:szCs w:val="24"/>
    </w:rPr>
  </w:style>
  <w:style w:type="paragraph" w:customStyle="1" w:styleId="1fffb">
    <w:name w:val="表中文字1"/>
    <w:autoRedefine/>
    <w:pPr>
      <w:widowControl w:val="0"/>
      <w:adjustRightInd w:val="0"/>
      <w:snapToGrid w:val="0"/>
      <w:jc w:val="center"/>
    </w:pPr>
    <w:rPr>
      <w:rFonts w:ascii="仿宋_GB2312" w:eastAsia="仿宋_GB2312" w:hAnsi="华文仿宋"/>
      <w:b/>
      <w:kern w:val="2"/>
      <w:sz w:val="21"/>
      <w:szCs w:val="21"/>
    </w:rPr>
  </w:style>
  <w:style w:type="character" w:customStyle="1" w:styleId="CharChar20">
    <w:name w:val="Char Char2"/>
    <w:qFormat/>
    <w:rPr>
      <w:rFonts w:ascii="宋体" w:hAnsi="宋体" w:cs="宋体"/>
      <w:sz w:val="24"/>
      <w:szCs w:val="24"/>
    </w:rPr>
  </w:style>
  <w:style w:type="character" w:customStyle="1" w:styleId="CharChar19">
    <w:name w:val="Char Char1"/>
    <w:qFormat/>
    <w:rPr>
      <w:rFonts w:ascii="宋体" w:hAnsi="宋体" w:cs="宋体"/>
      <w:b/>
      <w:bCs/>
      <w:sz w:val="24"/>
      <w:szCs w:val="24"/>
    </w:rPr>
  </w:style>
  <w:style w:type="paragraph" w:customStyle="1" w:styleId="CharCharfff9">
    <w:name w:val="字元 字元 Char Char"/>
    <w:basedOn w:val="a"/>
    <w:qFormat/>
  </w:style>
  <w:style w:type="character" w:customStyle="1" w:styleId="1113Char">
    <w:name w:val="1.1.1标题 3 Char"/>
    <w:qFormat/>
    <w:rPr>
      <w:rFonts w:eastAsia="宋体"/>
      <w:b/>
      <w:kern w:val="2"/>
      <w:sz w:val="28"/>
      <w:lang w:val="en-US" w:eastAsia="zh-CN" w:bidi="ar-SA"/>
    </w:rPr>
  </w:style>
  <w:style w:type="character" w:customStyle="1" w:styleId="CharCharfffa">
    <w:name w:val="Char Char"/>
    <w:qFormat/>
    <w:rPr>
      <w:rFonts w:ascii="Times New Roman" w:hAnsi="Times New Roman"/>
      <w:kern w:val="2"/>
      <w:sz w:val="21"/>
    </w:rPr>
  </w:style>
  <w:style w:type="paragraph" w:customStyle="1" w:styleId="affffffffff8">
    <w:name w:val="表内字"/>
    <w:qFormat/>
    <w:pPr>
      <w:spacing w:line="312" w:lineRule="auto"/>
      <w:jc w:val="center"/>
    </w:pPr>
    <w:rPr>
      <w:color w:val="000000"/>
      <w:sz w:val="21"/>
    </w:rPr>
  </w:style>
  <w:style w:type="paragraph" w:customStyle="1" w:styleId="1fffc">
    <w:name w:val="段落1"/>
    <w:basedOn w:val="a"/>
    <w:qFormat/>
    <w:pPr>
      <w:spacing w:line="480" w:lineRule="exact"/>
      <w:ind w:firstLineChars="210" w:firstLine="538"/>
    </w:pPr>
    <w:rPr>
      <w:spacing w:val="8"/>
      <w:szCs w:val="20"/>
    </w:rPr>
  </w:style>
  <w:style w:type="paragraph" w:customStyle="1" w:styleId="affffffffff9">
    <w:name w:val="简单回函地址"/>
    <w:basedOn w:val="a"/>
    <w:qFormat/>
    <w:rPr>
      <w:rFonts w:ascii="宋体" w:hAnsi="宋体"/>
      <w:szCs w:val="32"/>
    </w:rPr>
  </w:style>
  <w:style w:type="paragraph" w:customStyle="1" w:styleId="CharCharfffb">
    <w:name w:val="字元 字元 Char Char 字元 字元"/>
    <w:basedOn w:val="a"/>
    <w:qFormat/>
  </w:style>
  <w:style w:type="character" w:customStyle="1" w:styleId="highlight1">
    <w:name w:val="highlight1"/>
    <w:qFormat/>
    <w:rPr>
      <w:sz w:val="18"/>
      <w:szCs w:val="18"/>
    </w:rPr>
  </w:style>
  <w:style w:type="paragraph" w:customStyle="1" w:styleId="affffffffffa">
    <w:name w:val="样式"/>
    <w:basedOn w:val="a"/>
    <w:qFormat/>
    <w:rPr>
      <w:rFonts w:cs="宋体"/>
      <w:szCs w:val="20"/>
    </w:rPr>
  </w:style>
  <w:style w:type="paragraph" w:customStyle="1" w:styleId="font12">
    <w:name w:val="font12"/>
    <w:basedOn w:val="a"/>
    <w:qFormat/>
    <w:pPr>
      <w:widowControl/>
      <w:spacing w:before="100" w:beforeAutospacing="1" w:after="100" w:afterAutospacing="1"/>
      <w:jc w:val="left"/>
    </w:pPr>
    <w:rPr>
      <w:color w:val="000000"/>
      <w:kern w:val="0"/>
      <w:szCs w:val="21"/>
    </w:rPr>
  </w:style>
  <w:style w:type="paragraph" w:customStyle="1" w:styleId="font13">
    <w:name w:val="font13"/>
    <w:basedOn w:val="a"/>
    <w:qFormat/>
    <w:pPr>
      <w:widowControl/>
      <w:spacing w:before="100" w:beforeAutospacing="1" w:after="100" w:afterAutospacing="1"/>
      <w:jc w:val="left"/>
    </w:pPr>
    <w:rPr>
      <w:kern w:val="0"/>
      <w:szCs w:val="21"/>
    </w:rPr>
  </w:style>
  <w:style w:type="paragraph" w:customStyle="1" w:styleId="font14">
    <w:name w:val="font14"/>
    <w:basedOn w:val="a"/>
    <w:qFormat/>
    <w:pPr>
      <w:widowControl/>
      <w:spacing w:before="100" w:beforeAutospacing="1" w:after="100" w:afterAutospacing="1"/>
      <w:jc w:val="left"/>
    </w:pPr>
    <w:rPr>
      <w:color w:val="FF0000"/>
      <w:kern w:val="0"/>
      <w:szCs w:val="21"/>
    </w:rPr>
  </w:style>
  <w:style w:type="paragraph" w:customStyle="1" w:styleId="font15">
    <w:name w:val="font15"/>
    <w:basedOn w:val="a"/>
    <w:qFormat/>
    <w:pPr>
      <w:widowControl/>
      <w:spacing w:before="100" w:beforeAutospacing="1" w:after="100" w:afterAutospacing="1"/>
      <w:jc w:val="left"/>
    </w:pPr>
    <w:rPr>
      <w:kern w:val="0"/>
      <w:szCs w:val="21"/>
    </w:rPr>
  </w:style>
  <w:style w:type="paragraph" w:customStyle="1" w:styleId="font16">
    <w:name w:val="font16"/>
    <w:basedOn w:val="a"/>
    <w:qFormat/>
    <w:pPr>
      <w:widowControl/>
      <w:spacing w:before="100" w:beforeAutospacing="1" w:after="100" w:afterAutospacing="1"/>
      <w:jc w:val="left"/>
    </w:pPr>
    <w:rPr>
      <w:rFonts w:ascii="Courier New" w:hAnsi="Courier New" w:cs="Courier New"/>
      <w:kern w:val="0"/>
      <w:sz w:val="18"/>
      <w:szCs w:val="18"/>
    </w:rPr>
  </w:style>
  <w:style w:type="paragraph" w:customStyle="1" w:styleId="font17">
    <w:name w:val="font17"/>
    <w:basedOn w:val="a"/>
    <w:qFormat/>
    <w:pPr>
      <w:widowControl/>
      <w:spacing w:before="100" w:beforeAutospacing="1" w:after="100" w:afterAutospacing="1"/>
      <w:jc w:val="left"/>
    </w:pPr>
    <w:rPr>
      <w:kern w:val="0"/>
      <w:sz w:val="18"/>
      <w:szCs w:val="18"/>
    </w:rPr>
  </w:style>
  <w:style w:type="paragraph" w:customStyle="1" w:styleId="font18">
    <w:name w:val="font18"/>
    <w:basedOn w:val="a"/>
    <w:qFormat/>
    <w:pPr>
      <w:widowControl/>
      <w:spacing w:before="100" w:beforeAutospacing="1" w:after="100" w:afterAutospacing="1"/>
      <w:jc w:val="left"/>
    </w:pPr>
    <w:rPr>
      <w:rFonts w:ascii="Courier New" w:hAnsi="Courier New" w:cs="Courier New"/>
      <w:kern w:val="0"/>
      <w:sz w:val="18"/>
      <w:szCs w:val="18"/>
    </w:rPr>
  </w:style>
  <w:style w:type="paragraph" w:customStyle="1" w:styleId="font19">
    <w:name w:val="font19"/>
    <w:basedOn w:val="a"/>
    <w:qFormat/>
    <w:pPr>
      <w:widowControl/>
      <w:spacing w:before="100" w:beforeAutospacing="1" w:after="100" w:afterAutospacing="1"/>
      <w:jc w:val="left"/>
    </w:pPr>
    <w:rPr>
      <w:kern w:val="0"/>
      <w:sz w:val="18"/>
      <w:szCs w:val="18"/>
    </w:rPr>
  </w:style>
  <w:style w:type="paragraph" w:customStyle="1" w:styleId="ParaCharCharCharCharCharCharCharCharCharChar">
    <w:name w:val="默认段落字体 Para Char Char Char Char Char Char Char Char Char Char"/>
    <w:basedOn w:val="3"/>
    <w:qFormat/>
    <w:pPr>
      <w:numPr>
        <w:ilvl w:val="0"/>
        <w:numId w:val="0"/>
      </w:numPr>
      <w:tabs>
        <w:tab w:val="clear" w:pos="921"/>
        <w:tab w:val="left" w:pos="360"/>
        <w:tab w:val="left" w:pos="900"/>
      </w:tabs>
      <w:spacing w:before="120" w:after="120"/>
      <w:ind w:leftChars="-12" w:left="542" w:firstLineChars="200" w:firstLine="200"/>
    </w:pPr>
    <w:rPr>
      <w:rFonts w:eastAsia="黑体"/>
      <w:b w:val="0"/>
      <w:bCs w:val="0"/>
      <w:snapToGrid w:val="0"/>
      <w:szCs w:val="24"/>
    </w:rPr>
  </w:style>
  <w:style w:type="paragraph" w:customStyle="1" w:styleId="320">
    <w:name w:val="表格 32"/>
    <w:basedOn w:val="a"/>
    <w:qFormat/>
    <w:pPr>
      <w:autoSpaceDE w:val="0"/>
      <w:autoSpaceDN w:val="0"/>
      <w:jc w:val="center"/>
      <w:textAlignment w:val="baseline"/>
    </w:pPr>
    <w:rPr>
      <w:rFonts w:eastAsia="楷体_GB2312"/>
      <w:kern w:val="0"/>
      <w:szCs w:val="20"/>
    </w:rPr>
  </w:style>
  <w:style w:type="paragraph" w:customStyle="1" w:styleId="1fffd">
    <w:name w:val="文本框1"/>
    <w:basedOn w:val="a"/>
    <w:qFormat/>
    <w:rPr>
      <w:rFonts w:ascii="宋体" w:hAnsi="宋体"/>
      <w:szCs w:val="20"/>
    </w:rPr>
  </w:style>
  <w:style w:type="paragraph" w:customStyle="1" w:styleId="5d">
    <w:name w:val="5"/>
    <w:basedOn w:val="a"/>
    <w:next w:val="a9"/>
    <w:qFormat/>
    <w:pPr>
      <w:autoSpaceDE w:val="0"/>
      <w:autoSpaceDN w:val="0"/>
      <w:spacing w:line="300" w:lineRule="auto"/>
      <w:ind w:left="135" w:right="-289" w:firstLine="420"/>
    </w:pPr>
    <w:rPr>
      <w:rFonts w:eastAsia="楷体_GB2312"/>
      <w:spacing w:val="2"/>
      <w:position w:val="-40"/>
      <w:szCs w:val="20"/>
    </w:rPr>
  </w:style>
  <w:style w:type="paragraph" w:customStyle="1" w:styleId="4e">
    <w:name w:val="4"/>
    <w:basedOn w:val="a"/>
    <w:next w:val="a9"/>
    <w:qFormat/>
    <w:pPr>
      <w:spacing w:before="120" w:line="400" w:lineRule="exact"/>
      <w:ind w:firstLine="420"/>
      <w:textAlignment w:val="baseline"/>
    </w:pPr>
    <w:rPr>
      <w:kern w:val="28"/>
      <w:szCs w:val="20"/>
    </w:rPr>
  </w:style>
  <w:style w:type="character" w:customStyle="1" w:styleId="unnamed1">
    <w:name w:val="unnamed1"/>
    <w:qFormat/>
  </w:style>
  <w:style w:type="paragraph" w:customStyle="1" w:styleId="2ffe">
    <w:name w:val="表格2"/>
    <w:basedOn w:val="1ffd"/>
    <w:next w:val="a"/>
    <w:qFormat/>
    <w:pPr>
      <w:topLinePunct/>
      <w:autoSpaceDE w:val="0"/>
      <w:autoSpaceDN w:val="0"/>
      <w:spacing w:line="288" w:lineRule="auto"/>
      <w:ind w:firstLineChars="0" w:firstLine="0"/>
    </w:pPr>
    <w:rPr>
      <w:rFonts w:ascii="宋体"/>
      <w:position w:val="-28"/>
      <w:sz w:val="18"/>
    </w:rPr>
  </w:style>
  <w:style w:type="paragraph" w:customStyle="1" w:styleId="2fff">
    <w:name w:val="2"/>
    <w:basedOn w:val="a"/>
    <w:next w:val="a9"/>
    <w:qFormat/>
    <w:pPr>
      <w:spacing w:before="120" w:line="400" w:lineRule="exact"/>
      <w:ind w:firstLine="420"/>
      <w:textAlignment w:val="baseline"/>
    </w:pPr>
    <w:rPr>
      <w:kern w:val="28"/>
      <w:szCs w:val="20"/>
    </w:rPr>
  </w:style>
  <w:style w:type="character" w:customStyle="1" w:styleId="ll1">
    <w:name w:val="ll1"/>
    <w:qFormat/>
  </w:style>
  <w:style w:type="paragraph" w:customStyle="1" w:styleId="1fffe">
    <w:name w:val="1"/>
    <w:basedOn w:val="a"/>
    <w:next w:val="a9"/>
    <w:qFormat/>
    <w:pPr>
      <w:spacing w:before="120" w:line="400" w:lineRule="exact"/>
      <w:ind w:firstLine="420"/>
      <w:textAlignment w:val="baseline"/>
    </w:pPr>
    <w:rPr>
      <w:kern w:val="28"/>
      <w:szCs w:val="20"/>
    </w:rPr>
  </w:style>
  <w:style w:type="paragraph" w:customStyle="1" w:styleId="330">
    <w:name w:val="表格 33"/>
    <w:basedOn w:val="a"/>
    <w:qFormat/>
    <w:pPr>
      <w:autoSpaceDE w:val="0"/>
      <w:autoSpaceDN w:val="0"/>
      <w:jc w:val="center"/>
      <w:textAlignment w:val="baseline"/>
    </w:pPr>
    <w:rPr>
      <w:rFonts w:eastAsia="楷体"/>
      <w:kern w:val="0"/>
      <w:szCs w:val="20"/>
    </w:rPr>
  </w:style>
  <w:style w:type="paragraph" w:customStyle="1" w:styleId="65">
    <w:name w:val="6"/>
    <w:basedOn w:val="a"/>
    <w:next w:val="af4"/>
    <w:qFormat/>
    <w:pPr>
      <w:spacing w:line="300" w:lineRule="auto"/>
    </w:pPr>
  </w:style>
  <w:style w:type="character" w:customStyle="1" w:styleId="unnamed2">
    <w:name w:val="unnamed2"/>
    <w:qFormat/>
  </w:style>
  <w:style w:type="paragraph" w:customStyle="1" w:styleId="affffffffffb">
    <w:name w:val=".."/>
    <w:basedOn w:val="a"/>
    <w:next w:val="a"/>
    <w:qFormat/>
    <w:pPr>
      <w:autoSpaceDE w:val="0"/>
      <w:autoSpaceDN w:val="0"/>
      <w:jc w:val="left"/>
    </w:pPr>
    <w:rPr>
      <w:rFonts w:ascii=".." w:eastAsia=".."/>
      <w:kern w:val="0"/>
    </w:rPr>
  </w:style>
  <w:style w:type="paragraph" w:customStyle="1" w:styleId="affffffffffc">
    <w:name w:val="缩进"/>
    <w:basedOn w:val="a"/>
    <w:qFormat/>
    <w:pPr>
      <w:autoSpaceDE w:val="0"/>
      <w:autoSpaceDN w:val="0"/>
      <w:spacing w:line="400" w:lineRule="atLeast"/>
      <w:ind w:firstLine="425"/>
      <w:textAlignment w:val="baseline"/>
    </w:pPr>
    <w:rPr>
      <w:szCs w:val="20"/>
    </w:rPr>
  </w:style>
  <w:style w:type="paragraph" w:customStyle="1" w:styleId="xl23">
    <w:name w:val="xl23"/>
    <w:basedOn w:val="a"/>
    <w:qFormat/>
    <w:pPr>
      <w:widowControl/>
      <w:pBdr>
        <w:left w:val="single" w:sz="4" w:space="0" w:color="auto"/>
        <w:right w:val="single" w:sz="4" w:space="0" w:color="auto"/>
      </w:pBdr>
      <w:spacing w:before="100" w:beforeAutospacing="1" w:after="100" w:afterAutospacing="1"/>
      <w:jc w:val="center"/>
    </w:pPr>
    <w:rPr>
      <w:rFonts w:ascii="Arial Unicode MS" w:eastAsia="Arial Unicode MS" w:hAnsi="Arial Unicode MS"/>
      <w:kern w:val="0"/>
      <w:sz w:val="18"/>
      <w:szCs w:val="18"/>
    </w:rPr>
  </w:style>
  <w:style w:type="character" w:customStyle="1" w:styleId="2fff0">
    <w:name w:val="标题2"/>
    <w:qFormat/>
  </w:style>
  <w:style w:type="character" w:customStyle="1" w:styleId="1Char10">
    <w:name w:val="标题 1 Char1"/>
    <w:qFormat/>
    <w:rPr>
      <w:rFonts w:eastAsia="仿宋_GB2312"/>
      <w:b/>
      <w:kern w:val="28"/>
      <w:sz w:val="30"/>
      <w:lang w:val="en-US" w:eastAsia="zh-CN" w:bidi="ar-SA"/>
    </w:rPr>
  </w:style>
  <w:style w:type="character" w:customStyle="1" w:styleId="dectext1">
    <w:name w:val="dectext1"/>
    <w:qFormat/>
    <w:rPr>
      <w:rFonts w:ascii="宋体" w:eastAsia="宋体" w:hAnsi="宋体" w:hint="eastAsia"/>
      <w:color w:val="333333"/>
      <w:sz w:val="21"/>
      <w:szCs w:val="21"/>
      <w:u w:val="none"/>
    </w:rPr>
  </w:style>
  <w:style w:type="paragraph" w:customStyle="1" w:styleId="CharCharCharCharCharCharCharCharCharChar">
    <w:name w:val="Char Char Char Char Char Char Char Char Char Char"/>
    <w:basedOn w:val="a"/>
    <w:autoRedefine/>
    <w:qFormat/>
    <w:pPr>
      <w:spacing w:line="240" w:lineRule="exact"/>
    </w:pPr>
    <w:rPr>
      <w:rFonts w:ascii="宋体" w:hAnsi="宋体" w:cs="宋体"/>
      <w:sz w:val="36"/>
      <w:szCs w:val="36"/>
    </w:rPr>
  </w:style>
  <w:style w:type="paragraph" w:customStyle="1" w:styleId="affffffffffd">
    <w:name w:val="报告样式"/>
    <w:basedOn w:val="a"/>
    <w:next w:val="a"/>
    <w:qFormat/>
  </w:style>
  <w:style w:type="character" w:customStyle="1" w:styleId="Charff6">
    <w:name w:val="表头 Char"/>
    <w:qFormat/>
    <w:rPr>
      <w:rFonts w:ascii="Times New Roman" w:eastAsia="楷体_GB2312" w:hAnsi="Times New Roman" w:cs="Times New Roman"/>
      <w:sz w:val="24"/>
      <w:szCs w:val="20"/>
    </w:rPr>
  </w:style>
  <w:style w:type="paragraph" w:customStyle="1" w:styleId="CharCharCharCharCharCharChar">
    <w:name w:val="Char Char Char Char Char Char Char"/>
    <w:basedOn w:val="a"/>
    <w:qFormat/>
  </w:style>
  <w:style w:type="character" w:customStyle="1" w:styleId="Charff7">
    <w:name w:val="报告正文 Char"/>
    <w:qFormat/>
    <w:rPr>
      <w:rFonts w:ascii="Times New Roman" w:eastAsia="宋体" w:hAnsi="Times New Roman" w:cs="宋体"/>
      <w:sz w:val="24"/>
      <w:szCs w:val="24"/>
    </w:rPr>
  </w:style>
  <w:style w:type="paragraph" w:customStyle="1" w:styleId="3f7">
    <w:name w:val="字元 字元3"/>
    <w:basedOn w:val="a"/>
    <w:qFormat/>
  </w:style>
  <w:style w:type="character" w:customStyle="1" w:styleId="2CharCharCharCharCharChar1">
    <w:name w:val="标题 2 Char Char Char Char Char Char1"/>
    <w:qFormat/>
    <w:rPr>
      <w:rFonts w:ascii="黑体" w:eastAsia="黑体" w:hAnsi="黑体" w:cs="宋体"/>
      <w:bCs/>
      <w:kern w:val="2"/>
      <w:sz w:val="24"/>
      <w:szCs w:val="32"/>
    </w:rPr>
  </w:style>
  <w:style w:type="paragraph" w:customStyle="1" w:styleId="affffffffffe">
    <w:name w:val="清除格式"/>
    <w:basedOn w:val="a"/>
    <w:qFormat/>
    <w:rPr>
      <w:rFonts w:ascii="宋体" w:hAnsi="宋体" w:cs="宋体"/>
    </w:rPr>
  </w:style>
  <w:style w:type="character" w:customStyle="1" w:styleId="apple-style-span">
    <w:name w:val="apple-style-span"/>
    <w:qFormat/>
  </w:style>
  <w:style w:type="paragraph" w:customStyle="1" w:styleId="CharCharCharCharCharChar0">
    <w:name w:val="Char Char Char Char Char Char"/>
    <w:basedOn w:val="a"/>
    <w:autoRedefine/>
    <w:qFormat/>
    <w:pPr>
      <w:widowControl/>
      <w:spacing w:beforeLines="100" w:before="312" w:after="240"/>
      <w:jc w:val="center"/>
      <w:textAlignment w:val="baseline"/>
    </w:pPr>
    <w:rPr>
      <w:rFonts w:ascii="Arial" w:eastAsia="黑体" w:hAnsi="Arial" w:cs="Verdana"/>
      <w:b/>
      <w:bCs/>
      <w:kern w:val="0"/>
      <w:sz w:val="32"/>
      <w:lang w:val="zh-CN" w:eastAsia="en-US"/>
    </w:rPr>
  </w:style>
  <w:style w:type="paragraph" w:customStyle="1" w:styleId="xl65">
    <w:name w:val="xl65"/>
    <w:basedOn w:val="a"/>
    <w:qFormat/>
    <w:pPr>
      <w:widowControl/>
      <w:pBdr>
        <w:top w:val="single" w:sz="12" w:space="0" w:color="auto"/>
        <w:bottom w:val="single" w:sz="8" w:space="0" w:color="auto"/>
        <w:right w:val="single" w:sz="8" w:space="0" w:color="auto"/>
      </w:pBdr>
      <w:spacing w:before="100" w:beforeAutospacing="1" w:after="100" w:afterAutospacing="1"/>
      <w:jc w:val="center"/>
    </w:pPr>
    <w:rPr>
      <w:rFonts w:ascii="仿宋" w:eastAsia="仿宋" w:hAnsi="仿宋" w:cs="宋体"/>
      <w:kern w:val="0"/>
      <w:szCs w:val="21"/>
    </w:rPr>
  </w:style>
  <w:style w:type="paragraph" w:customStyle="1" w:styleId="xl66">
    <w:name w:val="xl66"/>
    <w:basedOn w:val="a"/>
    <w:qFormat/>
    <w:pPr>
      <w:widowControl/>
      <w:pBdr>
        <w:top w:val="single" w:sz="12" w:space="0" w:color="auto"/>
        <w:bottom w:val="single" w:sz="8" w:space="0" w:color="auto"/>
        <w:right w:val="single" w:sz="8" w:space="0" w:color="auto"/>
      </w:pBdr>
      <w:spacing w:before="100" w:beforeAutospacing="1" w:after="100" w:afterAutospacing="1"/>
      <w:jc w:val="center"/>
    </w:pPr>
    <w:rPr>
      <w:rFonts w:ascii="仿宋" w:eastAsia="仿宋" w:hAnsi="仿宋" w:cs="宋体"/>
      <w:kern w:val="0"/>
      <w:szCs w:val="21"/>
    </w:rPr>
  </w:style>
  <w:style w:type="paragraph" w:customStyle="1" w:styleId="xl67">
    <w:name w:val="xl67"/>
    <w:basedOn w:val="a"/>
    <w:qFormat/>
    <w:pPr>
      <w:widowControl/>
      <w:pBdr>
        <w:top w:val="single" w:sz="12" w:space="0" w:color="auto"/>
        <w:bottom w:val="single" w:sz="8" w:space="0" w:color="auto"/>
      </w:pBdr>
      <w:spacing w:before="100" w:beforeAutospacing="1" w:after="100" w:afterAutospacing="1"/>
      <w:jc w:val="center"/>
    </w:pPr>
    <w:rPr>
      <w:rFonts w:ascii="仿宋" w:eastAsia="仿宋" w:hAnsi="仿宋" w:cs="宋体"/>
      <w:kern w:val="0"/>
      <w:szCs w:val="21"/>
    </w:rPr>
  </w:style>
  <w:style w:type="paragraph" w:customStyle="1" w:styleId="xl68">
    <w:name w:val="xl68"/>
    <w:basedOn w:val="a"/>
    <w:qFormat/>
    <w:pPr>
      <w:widowControl/>
      <w:pBdr>
        <w:right w:val="single" w:sz="8" w:space="0" w:color="auto"/>
      </w:pBdr>
      <w:spacing w:before="100" w:beforeAutospacing="1" w:after="100" w:afterAutospacing="1"/>
      <w:jc w:val="center"/>
    </w:pPr>
    <w:rPr>
      <w:kern w:val="0"/>
      <w:szCs w:val="21"/>
    </w:rPr>
  </w:style>
  <w:style w:type="paragraph" w:customStyle="1" w:styleId="xl69">
    <w:name w:val="xl69"/>
    <w:basedOn w:val="a"/>
    <w:qFormat/>
    <w:pPr>
      <w:widowControl/>
      <w:pBdr>
        <w:right w:val="single" w:sz="8" w:space="0" w:color="auto"/>
      </w:pBdr>
      <w:spacing w:before="100" w:beforeAutospacing="1" w:after="100" w:afterAutospacing="1"/>
      <w:jc w:val="center"/>
    </w:pPr>
    <w:rPr>
      <w:rFonts w:ascii="仿宋" w:eastAsia="仿宋" w:hAnsi="仿宋" w:cs="宋体"/>
      <w:kern w:val="0"/>
      <w:szCs w:val="21"/>
    </w:rPr>
  </w:style>
  <w:style w:type="paragraph" w:customStyle="1" w:styleId="xl70">
    <w:name w:val="xl70"/>
    <w:basedOn w:val="a"/>
    <w:qFormat/>
    <w:pPr>
      <w:widowControl/>
      <w:pBdr>
        <w:bottom w:val="single" w:sz="8" w:space="0" w:color="auto"/>
        <w:right w:val="single" w:sz="8" w:space="0" w:color="auto"/>
      </w:pBdr>
      <w:spacing w:before="100" w:beforeAutospacing="1" w:after="100" w:afterAutospacing="1"/>
      <w:jc w:val="center"/>
    </w:pPr>
    <w:rPr>
      <w:kern w:val="0"/>
      <w:szCs w:val="21"/>
    </w:rPr>
  </w:style>
  <w:style w:type="paragraph" w:customStyle="1" w:styleId="xl71">
    <w:name w:val="xl71"/>
    <w:basedOn w:val="a"/>
    <w:qFormat/>
    <w:pPr>
      <w:widowControl/>
      <w:pBdr>
        <w:bottom w:val="single" w:sz="8" w:space="0" w:color="auto"/>
        <w:right w:val="single" w:sz="8" w:space="0" w:color="auto"/>
      </w:pBdr>
      <w:spacing w:before="100" w:beforeAutospacing="1" w:after="100" w:afterAutospacing="1"/>
      <w:jc w:val="center"/>
    </w:pPr>
    <w:rPr>
      <w:rFonts w:ascii="仿宋" w:eastAsia="仿宋" w:hAnsi="仿宋" w:cs="宋体"/>
      <w:kern w:val="0"/>
      <w:szCs w:val="21"/>
    </w:rPr>
  </w:style>
  <w:style w:type="paragraph" w:customStyle="1" w:styleId="xl72">
    <w:name w:val="xl72"/>
    <w:basedOn w:val="a"/>
    <w:qFormat/>
    <w:pPr>
      <w:widowControl/>
      <w:pBdr>
        <w:bottom w:val="single" w:sz="8" w:space="0" w:color="auto"/>
        <w:right w:val="single" w:sz="8" w:space="0" w:color="auto"/>
      </w:pBdr>
      <w:spacing w:before="100" w:beforeAutospacing="1" w:after="100" w:afterAutospacing="1"/>
      <w:jc w:val="center"/>
    </w:pPr>
    <w:rPr>
      <w:rFonts w:ascii="仿宋" w:eastAsia="仿宋" w:hAnsi="仿宋" w:cs="宋体"/>
      <w:kern w:val="0"/>
      <w:szCs w:val="21"/>
    </w:rPr>
  </w:style>
  <w:style w:type="paragraph" w:customStyle="1" w:styleId="xl73">
    <w:name w:val="xl73"/>
    <w:basedOn w:val="a"/>
    <w:qFormat/>
    <w:pPr>
      <w:widowControl/>
      <w:pBdr>
        <w:bottom w:val="single" w:sz="8" w:space="0" w:color="auto"/>
      </w:pBdr>
      <w:spacing w:before="100" w:beforeAutospacing="1" w:after="100" w:afterAutospacing="1"/>
      <w:jc w:val="center"/>
    </w:pPr>
    <w:rPr>
      <w:kern w:val="0"/>
      <w:szCs w:val="21"/>
    </w:rPr>
  </w:style>
  <w:style w:type="paragraph" w:customStyle="1" w:styleId="xl74">
    <w:name w:val="xl74"/>
    <w:basedOn w:val="a"/>
    <w:qFormat/>
    <w:pPr>
      <w:widowControl/>
      <w:pBdr>
        <w:bottom w:val="single" w:sz="8" w:space="0" w:color="auto"/>
        <w:right w:val="single" w:sz="8" w:space="0" w:color="auto"/>
      </w:pBdr>
      <w:spacing w:before="100" w:beforeAutospacing="1" w:after="100" w:afterAutospacing="1"/>
      <w:jc w:val="center"/>
    </w:pPr>
    <w:rPr>
      <w:kern w:val="0"/>
      <w:szCs w:val="21"/>
    </w:rPr>
  </w:style>
  <w:style w:type="paragraph" w:customStyle="1" w:styleId="xl75">
    <w:name w:val="xl75"/>
    <w:basedOn w:val="a"/>
    <w:qFormat/>
    <w:pPr>
      <w:widowControl/>
      <w:pBdr>
        <w:bottom w:val="single" w:sz="8" w:space="0" w:color="auto"/>
        <w:right w:val="single" w:sz="8" w:space="0" w:color="auto"/>
      </w:pBdr>
      <w:spacing w:before="100" w:beforeAutospacing="1" w:after="100" w:afterAutospacing="1"/>
      <w:jc w:val="center"/>
    </w:pPr>
    <w:rPr>
      <w:color w:val="000000"/>
      <w:kern w:val="0"/>
      <w:szCs w:val="21"/>
    </w:rPr>
  </w:style>
  <w:style w:type="paragraph" w:customStyle="1" w:styleId="xl76">
    <w:name w:val="xl76"/>
    <w:basedOn w:val="a"/>
    <w:qFormat/>
    <w:pPr>
      <w:widowControl/>
      <w:pBdr>
        <w:bottom w:val="single" w:sz="12" w:space="0" w:color="auto"/>
        <w:right w:val="single" w:sz="8" w:space="0" w:color="auto"/>
      </w:pBdr>
      <w:spacing w:before="100" w:beforeAutospacing="1" w:after="100" w:afterAutospacing="1"/>
      <w:jc w:val="center"/>
    </w:pPr>
    <w:rPr>
      <w:kern w:val="0"/>
      <w:szCs w:val="21"/>
    </w:rPr>
  </w:style>
  <w:style w:type="paragraph" w:customStyle="1" w:styleId="xl77">
    <w:name w:val="xl77"/>
    <w:basedOn w:val="a"/>
    <w:qFormat/>
    <w:pPr>
      <w:widowControl/>
      <w:pBdr>
        <w:bottom w:val="single" w:sz="12" w:space="0" w:color="auto"/>
        <w:right w:val="single" w:sz="8" w:space="0" w:color="auto"/>
      </w:pBdr>
      <w:spacing w:before="100" w:beforeAutospacing="1" w:after="100" w:afterAutospacing="1"/>
      <w:jc w:val="center"/>
    </w:pPr>
    <w:rPr>
      <w:rFonts w:ascii="仿宋" w:eastAsia="仿宋" w:hAnsi="仿宋" w:cs="宋体"/>
      <w:kern w:val="0"/>
      <w:szCs w:val="21"/>
    </w:rPr>
  </w:style>
  <w:style w:type="paragraph" w:customStyle="1" w:styleId="xl78">
    <w:name w:val="xl78"/>
    <w:basedOn w:val="a"/>
    <w:qFormat/>
    <w:pPr>
      <w:widowControl/>
      <w:pBdr>
        <w:bottom w:val="single" w:sz="12" w:space="0" w:color="auto"/>
        <w:right w:val="single" w:sz="8" w:space="0" w:color="auto"/>
      </w:pBdr>
      <w:spacing w:before="100" w:beforeAutospacing="1" w:after="100" w:afterAutospacing="1"/>
      <w:jc w:val="center"/>
    </w:pPr>
    <w:rPr>
      <w:rFonts w:ascii="仿宋" w:eastAsia="仿宋" w:hAnsi="仿宋" w:cs="宋体"/>
      <w:kern w:val="0"/>
      <w:szCs w:val="21"/>
    </w:rPr>
  </w:style>
  <w:style w:type="paragraph" w:customStyle="1" w:styleId="xl79">
    <w:name w:val="xl79"/>
    <w:basedOn w:val="a"/>
    <w:qFormat/>
    <w:pPr>
      <w:widowControl/>
      <w:pBdr>
        <w:bottom w:val="single" w:sz="12" w:space="0" w:color="auto"/>
      </w:pBdr>
      <w:spacing w:before="100" w:beforeAutospacing="1" w:after="100" w:afterAutospacing="1"/>
      <w:jc w:val="center"/>
    </w:pPr>
    <w:rPr>
      <w:kern w:val="0"/>
      <w:szCs w:val="21"/>
    </w:rPr>
  </w:style>
  <w:style w:type="paragraph" w:customStyle="1" w:styleId="xl80">
    <w:name w:val="xl80"/>
    <w:basedOn w:val="a"/>
    <w:qFormat/>
    <w:pPr>
      <w:widowControl/>
      <w:pBdr>
        <w:top w:val="single" w:sz="8" w:space="0" w:color="auto"/>
        <w:right w:val="single" w:sz="8" w:space="0" w:color="auto"/>
      </w:pBdr>
      <w:spacing w:before="100" w:beforeAutospacing="1" w:after="100" w:afterAutospacing="1"/>
      <w:jc w:val="center"/>
    </w:pPr>
    <w:rPr>
      <w:kern w:val="0"/>
      <w:szCs w:val="21"/>
    </w:rPr>
  </w:style>
  <w:style w:type="paragraph" w:customStyle="1" w:styleId="xl81">
    <w:name w:val="xl81"/>
    <w:basedOn w:val="a"/>
    <w:qFormat/>
    <w:pPr>
      <w:widowControl/>
      <w:pBdr>
        <w:top w:val="single" w:sz="8" w:space="0" w:color="auto"/>
        <w:left w:val="single" w:sz="8" w:space="0" w:color="auto"/>
        <w:right w:val="single" w:sz="8" w:space="0" w:color="auto"/>
      </w:pBdr>
      <w:spacing w:before="100" w:beforeAutospacing="1" w:after="100" w:afterAutospacing="1"/>
      <w:jc w:val="center"/>
    </w:pPr>
    <w:rPr>
      <w:rFonts w:ascii="仿宋" w:eastAsia="仿宋" w:hAnsi="仿宋" w:cs="宋体"/>
      <w:kern w:val="0"/>
      <w:szCs w:val="21"/>
    </w:rPr>
  </w:style>
  <w:style w:type="paragraph" w:customStyle="1" w:styleId="xl82">
    <w:name w:val="xl82"/>
    <w:basedOn w:val="a"/>
    <w:qFormat/>
    <w:pPr>
      <w:widowControl/>
      <w:pBdr>
        <w:left w:val="single" w:sz="8" w:space="0" w:color="auto"/>
        <w:bottom w:val="single" w:sz="8" w:space="0" w:color="auto"/>
        <w:right w:val="single" w:sz="8" w:space="0" w:color="auto"/>
      </w:pBdr>
      <w:spacing w:before="100" w:beforeAutospacing="1" w:after="100" w:afterAutospacing="1"/>
      <w:jc w:val="center"/>
    </w:pPr>
    <w:rPr>
      <w:rFonts w:ascii="仿宋" w:eastAsia="仿宋" w:hAnsi="仿宋" w:cs="宋体"/>
      <w:kern w:val="0"/>
      <w:szCs w:val="21"/>
    </w:rPr>
  </w:style>
  <w:style w:type="paragraph" w:customStyle="1" w:styleId="xl83">
    <w:name w:val="xl83"/>
    <w:basedOn w:val="a"/>
    <w:qFormat/>
    <w:pPr>
      <w:widowControl/>
      <w:pBdr>
        <w:top w:val="single" w:sz="8" w:space="0" w:color="auto"/>
        <w:left w:val="single" w:sz="8" w:space="0" w:color="auto"/>
        <w:right w:val="single" w:sz="8" w:space="0" w:color="auto"/>
      </w:pBdr>
      <w:spacing w:before="100" w:beforeAutospacing="1" w:after="100" w:afterAutospacing="1"/>
      <w:jc w:val="center"/>
    </w:pPr>
    <w:rPr>
      <w:kern w:val="0"/>
      <w:szCs w:val="21"/>
    </w:rPr>
  </w:style>
  <w:style w:type="paragraph" w:customStyle="1" w:styleId="xl84">
    <w:name w:val="xl84"/>
    <w:basedOn w:val="a"/>
    <w:qFormat/>
    <w:pPr>
      <w:widowControl/>
      <w:pBdr>
        <w:left w:val="single" w:sz="8" w:space="0" w:color="auto"/>
        <w:bottom w:val="single" w:sz="8" w:space="0" w:color="auto"/>
        <w:right w:val="single" w:sz="8" w:space="0" w:color="auto"/>
      </w:pBdr>
      <w:spacing w:before="100" w:beforeAutospacing="1" w:after="100" w:afterAutospacing="1"/>
      <w:jc w:val="center"/>
    </w:pPr>
    <w:rPr>
      <w:kern w:val="0"/>
      <w:szCs w:val="21"/>
    </w:rPr>
  </w:style>
  <w:style w:type="paragraph" w:customStyle="1" w:styleId="xl85">
    <w:name w:val="xl85"/>
    <w:basedOn w:val="a"/>
    <w:qFormat/>
    <w:pPr>
      <w:widowControl/>
      <w:pBdr>
        <w:top w:val="single" w:sz="8" w:space="0" w:color="auto"/>
        <w:left w:val="single" w:sz="8" w:space="0" w:color="auto"/>
      </w:pBdr>
      <w:spacing w:before="100" w:beforeAutospacing="1" w:after="100" w:afterAutospacing="1"/>
      <w:jc w:val="center"/>
    </w:pPr>
    <w:rPr>
      <w:kern w:val="0"/>
      <w:szCs w:val="21"/>
    </w:rPr>
  </w:style>
  <w:style w:type="paragraph" w:customStyle="1" w:styleId="xl86">
    <w:name w:val="xl86"/>
    <w:basedOn w:val="a"/>
    <w:qFormat/>
    <w:pPr>
      <w:widowControl/>
      <w:pBdr>
        <w:left w:val="single" w:sz="8" w:space="0" w:color="auto"/>
        <w:bottom w:val="single" w:sz="8" w:space="0" w:color="auto"/>
      </w:pBdr>
      <w:spacing w:before="100" w:beforeAutospacing="1" w:after="100" w:afterAutospacing="1"/>
      <w:jc w:val="center"/>
    </w:pPr>
    <w:rPr>
      <w:kern w:val="0"/>
      <w:szCs w:val="21"/>
    </w:rPr>
  </w:style>
  <w:style w:type="paragraph" w:customStyle="1" w:styleId="xl87">
    <w:name w:val="xl87"/>
    <w:basedOn w:val="a"/>
    <w:qFormat/>
    <w:pPr>
      <w:widowControl/>
      <w:pBdr>
        <w:left w:val="single" w:sz="8" w:space="0" w:color="auto"/>
        <w:right w:val="single" w:sz="8" w:space="0" w:color="auto"/>
      </w:pBdr>
      <w:spacing w:before="100" w:beforeAutospacing="1" w:after="100" w:afterAutospacing="1"/>
      <w:jc w:val="center"/>
    </w:pPr>
    <w:rPr>
      <w:rFonts w:ascii="仿宋" w:eastAsia="仿宋" w:hAnsi="仿宋" w:cs="宋体"/>
      <w:kern w:val="0"/>
      <w:szCs w:val="21"/>
    </w:rPr>
  </w:style>
  <w:style w:type="paragraph" w:customStyle="1" w:styleId="xl88">
    <w:name w:val="xl88"/>
    <w:basedOn w:val="a"/>
    <w:qFormat/>
    <w:pPr>
      <w:widowControl/>
      <w:pBdr>
        <w:top w:val="single" w:sz="8" w:space="0" w:color="auto"/>
        <w:left w:val="single" w:sz="8" w:space="0" w:color="auto"/>
        <w:right w:val="single" w:sz="8" w:space="0" w:color="auto"/>
      </w:pBdr>
      <w:spacing w:before="100" w:beforeAutospacing="1" w:after="100" w:afterAutospacing="1"/>
      <w:jc w:val="center"/>
    </w:pPr>
    <w:rPr>
      <w:rFonts w:ascii="仿宋" w:eastAsia="仿宋" w:hAnsi="仿宋" w:cs="宋体"/>
      <w:kern w:val="0"/>
      <w:szCs w:val="21"/>
    </w:rPr>
  </w:style>
  <w:style w:type="paragraph" w:customStyle="1" w:styleId="xl89">
    <w:name w:val="xl89"/>
    <w:basedOn w:val="a"/>
    <w:qFormat/>
    <w:pPr>
      <w:widowControl/>
      <w:pBdr>
        <w:left w:val="single" w:sz="8" w:space="0" w:color="auto"/>
        <w:bottom w:val="single" w:sz="8" w:space="0" w:color="auto"/>
        <w:right w:val="single" w:sz="8" w:space="0" w:color="auto"/>
      </w:pBdr>
      <w:spacing w:before="100" w:beforeAutospacing="1" w:after="100" w:afterAutospacing="1"/>
      <w:jc w:val="center"/>
    </w:pPr>
    <w:rPr>
      <w:rFonts w:ascii="仿宋" w:eastAsia="仿宋" w:hAnsi="仿宋" w:cs="宋体"/>
      <w:kern w:val="0"/>
      <w:szCs w:val="21"/>
    </w:rPr>
  </w:style>
  <w:style w:type="paragraph" w:customStyle="1" w:styleId="xl90">
    <w:name w:val="xl90"/>
    <w:basedOn w:val="a"/>
    <w:qFormat/>
    <w:pPr>
      <w:widowControl/>
      <w:pBdr>
        <w:bottom w:val="single" w:sz="8" w:space="0" w:color="auto"/>
        <w:right w:val="single" w:sz="8" w:space="0" w:color="auto"/>
      </w:pBdr>
      <w:spacing w:before="100" w:beforeAutospacing="1" w:after="100" w:afterAutospacing="1"/>
      <w:jc w:val="center"/>
    </w:pPr>
    <w:rPr>
      <w:kern w:val="0"/>
      <w:szCs w:val="21"/>
    </w:rPr>
  </w:style>
  <w:style w:type="paragraph" w:customStyle="1" w:styleId="xl91">
    <w:name w:val="xl91"/>
    <w:basedOn w:val="a"/>
    <w:qFormat/>
    <w:pPr>
      <w:widowControl/>
      <w:pBdr>
        <w:top w:val="single" w:sz="8" w:space="0" w:color="auto"/>
        <w:left w:val="single" w:sz="8" w:space="0" w:color="auto"/>
        <w:right w:val="single" w:sz="8" w:space="0" w:color="auto"/>
      </w:pBdr>
      <w:spacing w:before="100" w:beforeAutospacing="1" w:after="100" w:afterAutospacing="1"/>
      <w:jc w:val="center"/>
    </w:pPr>
    <w:rPr>
      <w:kern w:val="0"/>
      <w:szCs w:val="21"/>
    </w:rPr>
  </w:style>
  <w:style w:type="paragraph" w:customStyle="1" w:styleId="xl92">
    <w:name w:val="xl92"/>
    <w:basedOn w:val="a"/>
    <w:qFormat/>
    <w:pPr>
      <w:widowControl/>
      <w:pBdr>
        <w:left w:val="single" w:sz="8" w:space="0" w:color="auto"/>
        <w:bottom w:val="single" w:sz="8" w:space="0" w:color="auto"/>
        <w:right w:val="single" w:sz="8" w:space="0" w:color="auto"/>
      </w:pBdr>
      <w:spacing w:before="100" w:beforeAutospacing="1" w:after="100" w:afterAutospacing="1"/>
      <w:jc w:val="center"/>
    </w:pPr>
    <w:rPr>
      <w:rFonts w:ascii="宋体" w:hAnsi="宋体" w:cs="宋体"/>
      <w:kern w:val="0"/>
    </w:rPr>
  </w:style>
  <w:style w:type="paragraph" w:customStyle="1" w:styleId="reader-word-layer">
    <w:name w:val="reader-word-layer"/>
    <w:basedOn w:val="a"/>
    <w:qFormat/>
    <w:pPr>
      <w:widowControl/>
      <w:spacing w:before="100" w:beforeAutospacing="1" w:after="100" w:afterAutospacing="1"/>
      <w:jc w:val="left"/>
    </w:pPr>
    <w:rPr>
      <w:rFonts w:ascii="宋体" w:hAnsi="宋体" w:cs="宋体"/>
      <w:kern w:val="0"/>
    </w:rPr>
  </w:style>
  <w:style w:type="paragraph" w:customStyle="1" w:styleId="CharCharCharCharCharCharCharCharCharCharCharCharChar">
    <w:name w:val="Char Char Char Char Char Char Char Char Char Char Char Char Char"/>
    <w:basedOn w:val="a"/>
    <w:qFormat/>
    <w:pPr>
      <w:tabs>
        <w:tab w:val="left" w:pos="432"/>
      </w:tabs>
      <w:ind w:left="432" w:hanging="432"/>
    </w:pPr>
  </w:style>
  <w:style w:type="paragraph" w:customStyle="1" w:styleId="p0">
    <w:name w:val="p0"/>
    <w:basedOn w:val="a"/>
    <w:qFormat/>
    <w:pPr>
      <w:widowControl/>
    </w:pPr>
    <w:rPr>
      <w:kern w:val="0"/>
      <w:szCs w:val="21"/>
    </w:rPr>
  </w:style>
  <w:style w:type="paragraph" w:customStyle="1" w:styleId="223">
    <w:name w:val="正文文本 22"/>
    <w:basedOn w:val="a"/>
    <w:qFormat/>
    <w:pPr>
      <w:spacing w:after="120"/>
      <w:ind w:left="420"/>
      <w:textAlignment w:val="baseline"/>
    </w:pPr>
    <w:rPr>
      <w:rFonts w:ascii="宋体" w:hAnsi="宋体" w:hint="eastAsia"/>
      <w:szCs w:val="20"/>
    </w:rPr>
  </w:style>
  <w:style w:type="paragraph" w:customStyle="1" w:styleId="xl64">
    <w:name w:val="xl64"/>
    <w:basedOn w:val="a"/>
    <w:qFormat/>
    <w:pPr>
      <w:widowControl/>
      <w:spacing w:before="100" w:beforeAutospacing="1" w:after="100" w:afterAutospacing="1"/>
      <w:jc w:val="center"/>
      <w:textAlignment w:val="bottom"/>
    </w:pPr>
    <w:rPr>
      <w:rFonts w:ascii="仿宋_GB2312" w:hAnsi="宋体" w:cs="宋体"/>
      <w:kern w:val="0"/>
      <w:szCs w:val="21"/>
    </w:rPr>
  </w:style>
  <w:style w:type="character" w:customStyle="1" w:styleId="Charff8">
    <w:name w:val="公示 内容 Char"/>
    <w:link w:val="afffffffffff"/>
    <w:qFormat/>
    <w:locked/>
    <w:rPr>
      <w:sz w:val="28"/>
      <w:szCs w:val="28"/>
    </w:rPr>
  </w:style>
  <w:style w:type="paragraph" w:customStyle="1" w:styleId="afffffffffff">
    <w:name w:val="公示 内容"/>
    <w:link w:val="Charff8"/>
    <w:qFormat/>
    <w:pPr>
      <w:spacing w:line="500" w:lineRule="exact"/>
      <w:ind w:firstLineChars="200" w:firstLine="562"/>
    </w:pPr>
    <w:rPr>
      <w:rFonts w:asciiTheme="minorHAnsi" w:eastAsiaTheme="minorEastAsia" w:hAnsiTheme="minorHAnsi" w:cstheme="minorBidi"/>
      <w:kern w:val="2"/>
      <w:sz w:val="28"/>
      <w:szCs w:val="28"/>
    </w:rPr>
  </w:style>
  <w:style w:type="table" w:customStyle="1" w:styleId="3f8">
    <w:name w:val="网格型3"/>
    <w:basedOn w:val="a3"/>
    <w:qFormat/>
    <w:pPr>
      <w:widowControl w:val="0"/>
      <w:adjustRightInd w:val="0"/>
      <w:snapToGrid w:val="0"/>
      <w:ind w:firstLineChars="200" w:firstLine="20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ff1">
    <w:name w:val="纯文本2"/>
    <w:basedOn w:val="a"/>
    <w:qFormat/>
    <w:pPr>
      <w:widowControl/>
      <w:jc w:val="left"/>
    </w:pPr>
    <w:rPr>
      <w:rFonts w:ascii="宋体" w:hAnsi="Courier New"/>
      <w:szCs w:val="20"/>
    </w:rPr>
  </w:style>
  <w:style w:type="character" w:customStyle="1" w:styleId="Charff9">
    <w:name w:val="普通(网站) Char"/>
    <w:qFormat/>
    <w:rPr>
      <w:sz w:val="24"/>
      <w:szCs w:val="24"/>
    </w:rPr>
  </w:style>
  <w:style w:type="paragraph" w:customStyle="1" w:styleId="312">
    <w:name w:val="正文文本 31"/>
    <w:basedOn w:val="a"/>
    <w:qFormat/>
    <w:pPr>
      <w:widowControl/>
      <w:jc w:val="left"/>
    </w:pPr>
  </w:style>
  <w:style w:type="character" w:customStyle="1" w:styleId="Char52">
    <w:name w:val="正文文本缩进 Char5"/>
    <w:qFormat/>
    <w:rPr>
      <w:rFonts w:ascii="宋体" w:eastAsia="宋体" w:hAnsi="宋体" w:cs="宋体"/>
      <w:sz w:val="24"/>
      <w:szCs w:val="24"/>
      <w:lang w:val="en-US" w:eastAsia="zh-CN" w:bidi="ar-SA"/>
    </w:rPr>
  </w:style>
  <w:style w:type="character" w:customStyle="1" w:styleId="Charffa">
    <w:name w:val="无间隔 Char"/>
    <w:qFormat/>
    <w:rPr>
      <w:sz w:val="22"/>
    </w:rPr>
  </w:style>
  <w:style w:type="paragraph" w:customStyle="1" w:styleId="TableParagraph">
    <w:name w:val="Table Paragraph"/>
    <w:basedOn w:val="a"/>
    <w:qFormat/>
    <w:pPr>
      <w:widowControl/>
      <w:jc w:val="left"/>
    </w:pPr>
    <w:rPr>
      <w:rFonts w:ascii="Calibri" w:hAnsi="Calibri" w:cs="黑体"/>
      <w:kern w:val="0"/>
      <w:sz w:val="22"/>
      <w:szCs w:val="22"/>
      <w:lang w:eastAsia="en-US"/>
    </w:rPr>
  </w:style>
  <w:style w:type="paragraph" w:customStyle="1" w:styleId="tt3">
    <w:name w:val="tt3"/>
    <w:basedOn w:val="a"/>
    <w:qFormat/>
    <w:pPr>
      <w:widowControl/>
      <w:spacing w:before="100" w:beforeAutospacing="1" w:after="100" w:afterAutospacing="1"/>
      <w:jc w:val="left"/>
    </w:pPr>
    <w:rPr>
      <w:rFonts w:ascii="宋体" w:hAnsi="宋体" w:cs="宋体"/>
      <w:kern w:val="0"/>
    </w:rPr>
  </w:style>
  <w:style w:type="paragraph" w:customStyle="1" w:styleId="1ffff">
    <w:name w:val="图表目录1"/>
    <w:basedOn w:val="a"/>
    <w:next w:val="a"/>
    <w:qFormat/>
    <w:pPr>
      <w:widowControl/>
      <w:spacing w:line="500" w:lineRule="atLeast"/>
      <w:jc w:val="center"/>
    </w:pPr>
    <w:rPr>
      <w:rFonts w:ascii="仿宋_GB2312" w:hAnsi="宋体" w:cs="宋体" w:hint="eastAsia"/>
      <w:kern w:val="0"/>
    </w:rPr>
  </w:style>
  <w:style w:type="paragraph" w:customStyle="1" w:styleId="2fff2">
    <w:name w:val="列表2"/>
    <w:basedOn w:val="a"/>
    <w:qFormat/>
    <w:pPr>
      <w:widowControl/>
      <w:spacing w:line="320" w:lineRule="exact"/>
      <w:jc w:val="center"/>
    </w:pPr>
    <w:rPr>
      <w:rFonts w:ascii="仿宋_GB2312" w:hAnsi="宋体" w:cs="宋体"/>
      <w:kern w:val="0"/>
    </w:rPr>
  </w:style>
  <w:style w:type="character" w:customStyle="1" w:styleId="Charffb">
    <w:name w:val="列出段落 Char"/>
    <w:qFormat/>
    <w:rPr>
      <w:rFonts w:ascii="Arial" w:eastAsia="仿宋_GB2312" w:hAnsi="Arial"/>
      <w:sz w:val="28"/>
    </w:rPr>
  </w:style>
  <w:style w:type="character" w:customStyle="1" w:styleId="5Char41">
    <w:name w:val="表内5 Char41"/>
    <w:qFormat/>
    <w:rPr>
      <w:rFonts w:ascii="宋体" w:eastAsia="宋体" w:hAnsi="宋体" w:cs="Times New Roman"/>
      <w:kern w:val="2"/>
      <w:sz w:val="24"/>
      <w:szCs w:val="21"/>
      <w:lang w:val="en-US" w:eastAsia="zh-CN"/>
    </w:rPr>
  </w:style>
  <w:style w:type="character" w:customStyle="1" w:styleId="Char70">
    <w:name w:val="批注框文本 Char7"/>
    <w:qFormat/>
    <w:rPr>
      <w:rFonts w:ascii="Times New Roman" w:eastAsia="宋体" w:hAnsi="Times New Roman" w:cs="Times New Roman"/>
      <w:kern w:val="2"/>
      <w:sz w:val="18"/>
      <w:szCs w:val="18"/>
      <w:lang w:val="en-US" w:eastAsia="zh-CN"/>
    </w:rPr>
  </w:style>
  <w:style w:type="character" w:customStyle="1" w:styleId="1ffff0">
    <w:name w:val="页码1"/>
    <w:qFormat/>
  </w:style>
  <w:style w:type="paragraph" w:customStyle="1" w:styleId="afffffffffff0">
    <w:name w:val="框图"/>
    <w:basedOn w:val="a"/>
    <w:qFormat/>
    <w:pPr>
      <w:widowControl/>
      <w:ind w:leftChars="-38" w:left="2" w:rightChars="-38" w:right="-106" w:hangingChars="54" w:hanging="108"/>
      <w:jc w:val="center"/>
    </w:pPr>
    <w:rPr>
      <w:rFonts w:ascii="仿宋_GB2312" w:hAnsi="宋体" w:cs="宋体"/>
      <w:kern w:val="0"/>
      <w:sz w:val="20"/>
      <w:szCs w:val="20"/>
    </w:rPr>
  </w:style>
  <w:style w:type="paragraph" w:customStyle="1" w:styleId="xl22">
    <w:name w:val="xl22"/>
    <w:basedOn w:val="a"/>
    <w:qFormat/>
    <w:pPr>
      <w:widowControl/>
      <w:spacing w:before="100" w:beforeAutospacing="1" w:after="100" w:afterAutospacing="1"/>
      <w:jc w:val="left"/>
      <w:textAlignment w:val="center"/>
    </w:pPr>
    <w:rPr>
      <w:rFonts w:ascii="宋体" w:hAnsi="宋体" w:cs="宋体"/>
      <w:kern w:val="0"/>
      <w:sz w:val="20"/>
      <w:szCs w:val="20"/>
    </w:rPr>
  </w:style>
  <w:style w:type="paragraph" w:customStyle="1" w:styleId="2fff3">
    <w:name w:val="正文格式＝2"/>
    <w:basedOn w:val="affff4"/>
    <w:next w:val="affff4"/>
    <w:qFormat/>
    <w:rPr>
      <w:rFonts w:hAnsi="宋体"/>
      <w:szCs w:val="24"/>
    </w:rPr>
  </w:style>
  <w:style w:type="paragraph" w:customStyle="1" w:styleId="3f9">
    <w:name w:val="列表3"/>
    <w:basedOn w:val="a"/>
    <w:qFormat/>
    <w:pPr>
      <w:widowControl/>
      <w:spacing w:line="360" w:lineRule="exact"/>
      <w:jc w:val="center"/>
    </w:pPr>
    <w:rPr>
      <w:rFonts w:ascii="仿宋_GB2312" w:hAnsi="宋体" w:cs="宋体"/>
      <w:kern w:val="0"/>
      <w:szCs w:val="20"/>
    </w:rPr>
  </w:style>
  <w:style w:type="paragraph" w:customStyle="1" w:styleId="3fa">
    <w:name w:val="列出段落3"/>
    <w:basedOn w:val="a"/>
    <w:qFormat/>
    <w:pPr>
      <w:widowControl/>
      <w:ind w:firstLine="420"/>
      <w:jc w:val="left"/>
    </w:pPr>
    <w:rPr>
      <w:rFonts w:ascii="宋体" w:hAnsi="宋体" w:cs="宋体"/>
      <w:kern w:val="0"/>
    </w:rPr>
  </w:style>
  <w:style w:type="paragraph" w:customStyle="1" w:styleId="CharChar2CharCharCharChar18">
    <w:name w:val="Char Char2 Char Char Char Char18"/>
    <w:basedOn w:val="a"/>
    <w:qFormat/>
    <w:pPr>
      <w:widowControl/>
      <w:jc w:val="left"/>
    </w:pPr>
    <w:rPr>
      <w:rFonts w:ascii="宋体" w:hAnsi="宋体" w:cs="宋体"/>
      <w:kern w:val="0"/>
    </w:rPr>
  </w:style>
  <w:style w:type="character" w:customStyle="1" w:styleId="CharChar620">
    <w:name w:val="Char Char620"/>
    <w:qFormat/>
    <w:rPr>
      <w:rFonts w:ascii="黑体" w:eastAsia="黑体"/>
      <w:b/>
      <w:bCs/>
      <w:kern w:val="2"/>
      <w:sz w:val="28"/>
      <w:szCs w:val="28"/>
      <w:lang w:val="en-US" w:eastAsia="zh-CN"/>
    </w:rPr>
  </w:style>
  <w:style w:type="character" w:customStyle="1" w:styleId="CharChar34">
    <w:name w:val="Char Char34"/>
    <w:qFormat/>
    <w:rPr>
      <w:rFonts w:ascii="黑体" w:eastAsia="黑体" w:hAnsi="宋体"/>
      <w:b/>
      <w:bCs/>
      <w:kern w:val="2"/>
      <w:sz w:val="28"/>
      <w:szCs w:val="28"/>
      <w:lang w:val="en-US" w:eastAsia="zh-CN"/>
    </w:rPr>
  </w:style>
  <w:style w:type="character" w:customStyle="1" w:styleId="style61">
    <w:name w:val="style61"/>
    <w:qFormat/>
    <w:rPr>
      <w:sz w:val="45"/>
      <w:szCs w:val="45"/>
    </w:rPr>
  </w:style>
  <w:style w:type="table" w:customStyle="1" w:styleId="112">
    <w:name w:val="网格型11"/>
    <w:basedOn w:val="a3"/>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190">
    <w:name w:val="Char Char19"/>
    <w:qFormat/>
    <w:rPr>
      <w:rFonts w:eastAsia="仿宋_GB2312"/>
      <w:b/>
      <w:bCs/>
      <w:snapToGrid w:val="0"/>
      <w:sz w:val="32"/>
      <w:szCs w:val="44"/>
      <w:lang w:val="zh-CN" w:eastAsia="zh-CN" w:bidi="ar-SA"/>
    </w:rPr>
  </w:style>
  <w:style w:type="paragraph" w:customStyle="1" w:styleId="102">
    <w:name w:val="样式10"/>
    <w:basedOn w:val="3"/>
    <w:qFormat/>
    <w:pPr>
      <w:widowControl/>
      <w:numPr>
        <w:ilvl w:val="0"/>
        <w:numId w:val="0"/>
      </w:numPr>
    </w:pPr>
    <w:rPr>
      <w:rFonts w:eastAsia="黑体"/>
      <w:szCs w:val="24"/>
    </w:rPr>
  </w:style>
  <w:style w:type="character" w:customStyle="1" w:styleId="zxlChar3">
    <w:name w:val="页眉zxl Char3"/>
    <w:qFormat/>
    <w:rPr>
      <w:rFonts w:eastAsia="宋体"/>
      <w:kern w:val="2"/>
      <w:sz w:val="18"/>
      <w:szCs w:val="18"/>
      <w:lang w:val="en-US" w:eastAsia="zh-CN"/>
    </w:rPr>
  </w:style>
  <w:style w:type="paragraph" w:customStyle="1" w:styleId="4f">
    <w:name w:val="列表4"/>
    <w:basedOn w:val="a"/>
    <w:qFormat/>
    <w:pPr>
      <w:widowControl/>
      <w:spacing w:line="360" w:lineRule="exact"/>
      <w:jc w:val="center"/>
    </w:pPr>
    <w:rPr>
      <w:rFonts w:ascii="仿宋_GB2312" w:hAnsi="宋体" w:cs="宋体"/>
      <w:kern w:val="0"/>
      <w:szCs w:val="20"/>
    </w:rPr>
  </w:style>
  <w:style w:type="character" w:customStyle="1" w:styleId="Char1413">
    <w:name w:val="正文修改 Char1413"/>
    <w:qFormat/>
    <w:rPr>
      <w:rFonts w:ascii="宋体" w:cs="宋体"/>
      <w:kern w:val="2"/>
      <w:sz w:val="24"/>
      <w:szCs w:val="24"/>
    </w:rPr>
  </w:style>
  <w:style w:type="character" w:customStyle="1" w:styleId="Char410">
    <w:name w:val="表中文字 Char41"/>
    <w:qFormat/>
    <w:rPr>
      <w:rFonts w:ascii="Arial" w:eastAsia="宋体" w:hAnsi="Arial" w:cs="Times New Roman"/>
      <w:kern w:val="0"/>
      <w:sz w:val="20"/>
      <w:szCs w:val="24"/>
      <w:lang w:val="en-US" w:eastAsia="zh-TW"/>
    </w:rPr>
  </w:style>
  <w:style w:type="character" w:customStyle="1" w:styleId="Char210">
    <w:name w:val="表格内容 Char21"/>
    <w:qFormat/>
    <w:rPr>
      <w:rFonts w:eastAsia="宋体"/>
      <w:kern w:val="2"/>
      <w:sz w:val="21"/>
      <w:szCs w:val="21"/>
      <w:lang w:val="en-US" w:eastAsia="zh-CN"/>
    </w:rPr>
  </w:style>
  <w:style w:type="character" w:customStyle="1" w:styleId="CharChar1141">
    <w:name w:val="Char Char1141"/>
    <w:qFormat/>
    <w:rPr>
      <w:rFonts w:ascii="黑体" w:eastAsia="黑体" w:hAnsi="Arial"/>
      <w:bCs/>
      <w:kern w:val="2"/>
      <w:sz w:val="30"/>
      <w:szCs w:val="30"/>
      <w:lang w:val="en-US" w:eastAsia="zh-CN"/>
    </w:rPr>
  </w:style>
  <w:style w:type="character" w:customStyle="1" w:styleId="Char35">
    <w:name w:val="批注框文本 Char3"/>
    <w:qFormat/>
    <w:rPr>
      <w:rFonts w:ascii="Times New Roman" w:eastAsia="宋体" w:hAnsi="Times New Roman" w:cs="Times New Roman"/>
      <w:kern w:val="2"/>
      <w:sz w:val="18"/>
      <w:szCs w:val="18"/>
      <w:lang w:val="en-US" w:eastAsia="zh-CN"/>
    </w:rPr>
  </w:style>
  <w:style w:type="character" w:customStyle="1" w:styleId="Char250">
    <w:name w:val="表中文字 Char25"/>
    <w:qFormat/>
    <w:rPr>
      <w:rFonts w:ascii="宋体" w:eastAsia="宋体"/>
      <w:kern w:val="2"/>
      <w:sz w:val="21"/>
      <w:szCs w:val="21"/>
      <w:lang w:val="en-US" w:eastAsia="zh-CN"/>
    </w:rPr>
  </w:style>
  <w:style w:type="character" w:customStyle="1" w:styleId="1Char41">
    <w:name w:val="标题 1 Char41"/>
    <w:qFormat/>
    <w:rPr>
      <w:rFonts w:ascii="黑体" w:eastAsia="黑体" w:hAnsi="宋体"/>
      <w:b/>
      <w:bCs/>
      <w:kern w:val="44"/>
      <w:sz w:val="32"/>
      <w:szCs w:val="32"/>
      <w:lang w:val="en-US" w:eastAsia="zh-CN"/>
    </w:rPr>
  </w:style>
  <w:style w:type="character" w:customStyle="1" w:styleId="15CharChar">
    <w:name w:val="文本框五号1.5倍行距 Char Char"/>
    <w:qFormat/>
    <w:rPr>
      <w:rFonts w:ascii="宋体" w:eastAsia="仿宋_GB2312" w:hAnsi="宋体" w:cs="Courier New"/>
      <w:kern w:val="2"/>
      <w:sz w:val="21"/>
      <w:szCs w:val="21"/>
      <w:lang w:val="en-US" w:eastAsia="zh-CN"/>
    </w:rPr>
  </w:style>
  <w:style w:type="character" w:customStyle="1" w:styleId="5Char511">
    <w:name w:val="样式 表内小5 + 黑体 加粗 倾斜 下划线 Char511"/>
    <w:qFormat/>
    <w:rPr>
      <w:rFonts w:ascii="黑体" w:eastAsia="黑体" w:hAnsi="黑体"/>
      <w:b/>
      <w:bCs/>
      <w:i/>
      <w:iCs/>
      <w:kern w:val="2"/>
      <w:sz w:val="18"/>
      <w:szCs w:val="24"/>
      <w:u w:val="single"/>
      <w:lang w:val="en-US" w:eastAsia="zh-CN"/>
    </w:rPr>
  </w:style>
  <w:style w:type="character" w:customStyle="1" w:styleId="Char280">
    <w:name w:val="表中文字 Char28"/>
    <w:qFormat/>
    <w:rPr>
      <w:rFonts w:ascii="宋体" w:eastAsia="宋体"/>
      <w:kern w:val="2"/>
      <w:sz w:val="21"/>
      <w:szCs w:val="21"/>
      <w:lang w:val="en-US" w:eastAsia="zh-CN"/>
    </w:rPr>
  </w:style>
  <w:style w:type="character" w:customStyle="1" w:styleId="Char124">
    <w:name w:val="正文修改 Char124"/>
    <w:qFormat/>
    <w:rPr>
      <w:rFonts w:ascii="宋体" w:eastAsia="宋体" w:hAnsi="宋体" w:cs="宋体"/>
      <w:color w:val="000000"/>
      <w:kern w:val="2"/>
      <w:sz w:val="24"/>
      <w:szCs w:val="24"/>
      <w:lang w:val="en-US" w:eastAsia="zh-CN"/>
    </w:rPr>
  </w:style>
  <w:style w:type="character" w:customStyle="1" w:styleId="Char170">
    <w:name w:val="燕山正文 Char17"/>
    <w:qFormat/>
    <w:rPr>
      <w:rFonts w:ascii="宋体" w:eastAsia="宋体" w:hAnsi="Times New Roman" w:cs="宋体"/>
      <w:kern w:val="2"/>
      <w:sz w:val="24"/>
      <w:szCs w:val="24"/>
      <w:lang w:val="en-US" w:eastAsia="zh-CN"/>
    </w:rPr>
  </w:style>
  <w:style w:type="character" w:customStyle="1" w:styleId="Char120">
    <w:name w:val="题注 Char12"/>
    <w:qFormat/>
    <w:rPr>
      <w:rFonts w:ascii="黑体" w:eastAsia="黑体" w:hAnsi="Arial" w:cs="Arial"/>
      <w:b/>
      <w:kern w:val="2"/>
      <w:sz w:val="24"/>
      <w:szCs w:val="24"/>
      <w:lang w:val="en-US" w:eastAsia="zh-CN"/>
    </w:rPr>
  </w:style>
  <w:style w:type="character" w:customStyle="1" w:styleId="Char2a">
    <w:name w:val="样式 正文缩进 + 宋体 黑色 Char2"/>
    <w:qFormat/>
    <w:rPr>
      <w:rFonts w:ascii="宋体" w:eastAsia="宋体" w:hAnsi="宋体"/>
      <w:color w:val="000000"/>
      <w:kern w:val="2"/>
      <w:sz w:val="24"/>
      <w:szCs w:val="24"/>
      <w:lang w:val="en-US" w:eastAsia="zh-CN"/>
    </w:rPr>
  </w:style>
  <w:style w:type="character" w:customStyle="1" w:styleId="1Char612">
    <w:name w:val="表题1 Char612"/>
    <w:qFormat/>
    <w:rPr>
      <w:rFonts w:ascii="黑体" w:eastAsia="黑体" w:hAnsi="Arial" w:cs="Arial"/>
      <w:b/>
      <w:kern w:val="2"/>
      <w:sz w:val="24"/>
      <w:szCs w:val="24"/>
      <w:lang w:val="en-US" w:eastAsia="zh-CN"/>
    </w:rPr>
  </w:style>
  <w:style w:type="character" w:customStyle="1" w:styleId="Char311">
    <w:name w:val="题注 Char311"/>
    <w:qFormat/>
    <w:rPr>
      <w:rFonts w:ascii="黑体" w:eastAsia="黑体" w:hAnsi="Arial" w:cs="Arial"/>
      <w:b/>
      <w:kern w:val="2"/>
      <w:sz w:val="24"/>
      <w:szCs w:val="24"/>
      <w:lang w:val="en-US" w:eastAsia="zh-CN"/>
    </w:rPr>
  </w:style>
  <w:style w:type="character" w:customStyle="1" w:styleId="Char2Char">
    <w:name w:val="正文首行缩进 Char2 Char"/>
    <w:qFormat/>
    <w:rPr>
      <w:rFonts w:eastAsia="宋体"/>
      <w:sz w:val="18"/>
      <w:szCs w:val="24"/>
      <w:lang w:val="en-US" w:eastAsia="zh-CN"/>
    </w:rPr>
  </w:style>
  <w:style w:type="character" w:customStyle="1" w:styleId="Charffc">
    <w:name w:val="表格标题 Char"/>
    <w:qFormat/>
    <w:rPr>
      <w:rFonts w:ascii="Arial" w:eastAsia="黑体" w:hAnsi="Arial"/>
      <w:sz w:val="24"/>
      <w:lang w:val="en-US" w:eastAsia="zh-CN"/>
    </w:rPr>
  </w:style>
  <w:style w:type="character" w:customStyle="1" w:styleId="Char211">
    <w:name w:val="表中文字 Char21"/>
    <w:qFormat/>
    <w:rPr>
      <w:rFonts w:ascii="宋体" w:eastAsia="宋体"/>
      <w:kern w:val="2"/>
      <w:sz w:val="21"/>
      <w:szCs w:val="21"/>
      <w:lang w:val="en-US" w:eastAsia="zh-CN"/>
    </w:rPr>
  </w:style>
  <w:style w:type="character" w:customStyle="1" w:styleId="CharChar38">
    <w:name w:val="Char Char38"/>
    <w:qFormat/>
    <w:rPr>
      <w:rFonts w:ascii="黑体" w:eastAsia="黑体" w:hAnsi="宋体"/>
      <w:b/>
      <w:bCs/>
      <w:kern w:val="2"/>
      <w:sz w:val="28"/>
      <w:szCs w:val="28"/>
      <w:lang w:val="en-US" w:eastAsia="zh-CN"/>
    </w:rPr>
  </w:style>
  <w:style w:type="character" w:customStyle="1" w:styleId="6Char11">
    <w:name w:val="标题 6 Char11"/>
    <w:qFormat/>
    <w:rPr>
      <w:rFonts w:ascii="Arial" w:eastAsia="黑体" w:hAnsi="Arial"/>
      <w:b/>
      <w:bCs/>
      <w:kern w:val="2"/>
      <w:sz w:val="24"/>
      <w:szCs w:val="24"/>
      <w:lang w:val="en-US" w:eastAsia="zh-CN"/>
    </w:rPr>
  </w:style>
  <w:style w:type="character" w:customStyle="1" w:styleId="Char312">
    <w:name w:val="正文斜体 Char31"/>
    <w:qFormat/>
    <w:rPr>
      <w:rFonts w:ascii="宋体" w:eastAsia="宋体" w:hAnsi="宋体" w:cs="Times New Roman"/>
      <w:i/>
      <w:iCs/>
      <w:kern w:val="2"/>
      <w:sz w:val="24"/>
      <w:szCs w:val="24"/>
      <w:lang w:val="en-US" w:eastAsia="zh-CN"/>
    </w:rPr>
  </w:style>
  <w:style w:type="character" w:customStyle="1" w:styleId="2CharChar10">
    <w:name w:val="标题 2 Char Char1"/>
    <w:qFormat/>
    <w:rPr>
      <w:rFonts w:ascii="黑体" w:eastAsia="黑体" w:hAnsi="Arial"/>
      <w:bCs/>
      <w:kern w:val="2"/>
      <w:sz w:val="30"/>
      <w:szCs w:val="30"/>
      <w:lang w:val="en-US" w:eastAsia="zh-CN"/>
    </w:rPr>
  </w:style>
  <w:style w:type="character" w:customStyle="1" w:styleId="2Char40">
    <w:name w:val="标题 2 Char4"/>
    <w:qFormat/>
    <w:rPr>
      <w:rFonts w:ascii="黑体" w:eastAsia="黑体" w:hAnsi="Arial" w:cs="Times New Roman"/>
      <w:bCs/>
      <w:kern w:val="2"/>
      <w:sz w:val="30"/>
      <w:szCs w:val="30"/>
      <w:lang w:val="en-US" w:eastAsia="zh-CN"/>
    </w:rPr>
  </w:style>
  <w:style w:type="character" w:customStyle="1" w:styleId="CharChar611">
    <w:name w:val="Char Char611"/>
    <w:qFormat/>
    <w:rPr>
      <w:rFonts w:ascii="黑体" w:eastAsia="黑体"/>
      <w:b/>
      <w:bCs/>
      <w:kern w:val="2"/>
      <w:sz w:val="28"/>
      <w:szCs w:val="28"/>
      <w:lang w:val="en-US" w:eastAsia="zh-CN"/>
    </w:rPr>
  </w:style>
  <w:style w:type="character" w:customStyle="1" w:styleId="6Char21">
    <w:name w:val="标题 6 Char21"/>
    <w:qFormat/>
    <w:rPr>
      <w:rFonts w:ascii="Arial" w:eastAsia="黑体" w:hAnsi="Arial" w:cs="Times New Roman"/>
      <w:b/>
      <w:bCs/>
      <w:kern w:val="2"/>
      <w:sz w:val="24"/>
      <w:szCs w:val="24"/>
      <w:lang w:val="en-US" w:eastAsia="zh-CN"/>
    </w:rPr>
  </w:style>
  <w:style w:type="character" w:customStyle="1" w:styleId="Char112">
    <w:name w:val="题注 Char112"/>
    <w:qFormat/>
    <w:rPr>
      <w:rFonts w:ascii="黑体" w:eastAsia="黑体" w:hAnsi="Arial" w:cs="Arial"/>
      <w:b/>
      <w:kern w:val="2"/>
      <w:sz w:val="24"/>
      <w:szCs w:val="24"/>
      <w:lang w:val="en-US" w:eastAsia="zh-CN"/>
    </w:rPr>
  </w:style>
  <w:style w:type="character" w:customStyle="1" w:styleId="font51">
    <w:name w:val="font51"/>
    <w:qFormat/>
    <w:rPr>
      <w:rFonts w:ascii="宋体" w:eastAsia="宋体" w:hAnsi="宋体" w:hint="eastAsia"/>
      <w:color w:val="000000"/>
      <w:sz w:val="15"/>
      <w:szCs w:val="15"/>
      <w:u w:val="none"/>
    </w:rPr>
  </w:style>
  <w:style w:type="character" w:customStyle="1" w:styleId="3Char121">
    <w:name w:val="标题 3 Char121"/>
    <w:qFormat/>
    <w:rPr>
      <w:rFonts w:ascii="黑体" w:eastAsia="黑体" w:hAnsi="宋体"/>
      <w:b/>
      <w:bCs/>
      <w:kern w:val="2"/>
      <w:sz w:val="28"/>
      <w:szCs w:val="28"/>
      <w:lang w:val="en-US" w:eastAsia="zh-CN"/>
    </w:rPr>
  </w:style>
  <w:style w:type="character" w:customStyle="1" w:styleId="4Char2">
    <w:name w:val="标题 4 Char2"/>
    <w:qFormat/>
    <w:rPr>
      <w:rFonts w:ascii="黑体" w:eastAsia="黑体" w:hAnsi="Arial"/>
      <w:b/>
      <w:bCs/>
      <w:kern w:val="2"/>
      <w:sz w:val="24"/>
      <w:szCs w:val="24"/>
      <w:lang w:val="en-US" w:eastAsia="zh-CN"/>
    </w:rPr>
  </w:style>
  <w:style w:type="character" w:customStyle="1" w:styleId="CharChar121">
    <w:name w:val="Char Char121"/>
    <w:qFormat/>
    <w:rPr>
      <w:rFonts w:ascii="黑体" w:eastAsia="黑体" w:hAnsi="Arial"/>
      <w:b/>
      <w:bCs/>
      <w:kern w:val="2"/>
      <w:sz w:val="30"/>
      <w:szCs w:val="30"/>
      <w:lang w:val="en-US" w:eastAsia="zh-CN"/>
    </w:rPr>
  </w:style>
  <w:style w:type="character" w:customStyle="1" w:styleId="Char130">
    <w:name w:val="正文斜体 Char13"/>
    <w:qFormat/>
    <w:rPr>
      <w:rFonts w:ascii="宋体" w:eastAsia="宋体" w:hAnsi="宋体"/>
      <w:i/>
      <w:iCs/>
      <w:kern w:val="2"/>
      <w:sz w:val="24"/>
      <w:szCs w:val="24"/>
      <w:lang w:val="en-US" w:eastAsia="zh-CN"/>
    </w:rPr>
  </w:style>
  <w:style w:type="character" w:customStyle="1" w:styleId="CharChar2111">
    <w:name w:val="Char Char2111"/>
    <w:qFormat/>
    <w:rPr>
      <w:rFonts w:ascii="黑体" w:eastAsia="宋体"/>
      <w:kern w:val="2"/>
      <w:sz w:val="16"/>
      <w:szCs w:val="16"/>
      <w:lang w:val="en-US" w:eastAsia="zh-CN"/>
    </w:rPr>
  </w:style>
  <w:style w:type="character" w:customStyle="1" w:styleId="8Char2">
    <w:name w:val="标题 8 Char2"/>
    <w:qFormat/>
    <w:rPr>
      <w:rFonts w:ascii="Arial" w:eastAsia="黑体" w:hAnsi="Arial" w:cs="Times New Roman"/>
      <w:kern w:val="2"/>
      <w:sz w:val="24"/>
      <w:szCs w:val="24"/>
      <w:lang w:val="en-US" w:eastAsia="zh-CN"/>
    </w:rPr>
  </w:style>
  <w:style w:type="character" w:customStyle="1" w:styleId="Char36">
    <w:name w:val="注 Char3"/>
    <w:qFormat/>
    <w:rPr>
      <w:rFonts w:ascii="Arial" w:eastAsia="黑体" w:hAnsi="Arial"/>
      <w:kern w:val="2"/>
      <w:sz w:val="24"/>
      <w:szCs w:val="24"/>
      <w:lang w:val="en-US" w:eastAsia="zh-CN"/>
    </w:rPr>
  </w:style>
  <w:style w:type="character" w:customStyle="1" w:styleId="3Char21">
    <w:name w:val="正文文本缩进 3 Char21"/>
    <w:qFormat/>
    <w:rPr>
      <w:rFonts w:eastAsia="宋体"/>
      <w:kern w:val="2"/>
      <w:sz w:val="16"/>
      <w:szCs w:val="16"/>
      <w:lang w:val="en-US" w:eastAsia="zh-CN"/>
    </w:rPr>
  </w:style>
  <w:style w:type="character" w:customStyle="1" w:styleId="1Char81">
    <w:name w:val="表题1 Char81"/>
    <w:qFormat/>
    <w:rPr>
      <w:rFonts w:ascii="黑体" w:eastAsia="黑体" w:hAnsi="Arial" w:cs="Arial"/>
      <w:b/>
      <w:kern w:val="2"/>
      <w:sz w:val="24"/>
      <w:szCs w:val="24"/>
      <w:lang w:val="en-US" w:eastAsia="zh-CN"/>
    </w:rPr>
  </w:style>
  <w:style w:type="character" w:customStyle="1" w:styleId="Char121">
    <w:name w:val="燕山正文 Char12"/>
    <w:qFormat/>
    <w:rPr>
      <w:rFonts w:ascii="宋体" w:eastAsia="宋体" w:cs="宋体"/>
      <w:kern w:val="2"/>
      <w:sz w:val="24"/>
      <w:szCs w:val="24"/>
      <w:lang w:val="en-US" w:eastAsia="zh-CN"/>
    </w:rPr>
  </w:style>
  <w:style w:type="character" w:customStyle="1" w:styleId="3Char20">
    <w:name w:val="标题 3 Char2"/>
    <w:qFormat/>
    <w:rPr>
      <w:rFonts w:ascii="黑体" w:eastAsia="黑体" w:hAnsi="宋体"/>
      <w:b/>
      <w:bCs/>
      <w:kern w:val="2"/>
      <w:sz w:val="28"/>
      <w:szCs w:val="28"/>
      <w:lang w:val="en-US" w:eastAsia="zh-CN"/>
    </w:rPr>
  </w:style>
  <w:style w:type="character" w:customStyle="1" w:styleId="2Char70">
    <w:name w:val="标题 2 Char7"/>
    <w:qFormat/>
    <w:rPr>
      <w:rFonts w:ascii="黑体" w:eastAsia="黑体" w:hAnsi="Arial" w:cs="Times New Roman"/>
      <w:bCs/>
      <w:kern w:val="2"/>
      <w:sz w:val="30"/>
      <w:szCs w:val="30"/>
      <w:lang w:val="en-US" w:eastAsia="zh-CN"/>
    </w:rPr>
  </w:style>
  <w:style w:type="character" w:customStyle="1" w:styleId="1Char43">
    <w:name w:val="表题1 Char43"/>
    <w:qFormat/>
    <w:rPr>
      <w:rFonts w:ascii="黑体" w:eastAsia="黑体" w:hAnsi="Arial" w:cs="Arial"/>
      <w:b/>
      <w:kern w:val="2"/>
      <w:sz w:val="24"/>
      <w:szCs w:val="24"/>
      <w:lang w:val="en-US" w:eastAsia="zh-CN"/>
    </w:rPr>
  </w:style>
  <w:style w:type="character" w:customStyle="1" w:styleId="Char42">
    <w:name w:val="表题 Char4"/>
    <w:qFormat/>
    <w:rPr>
      <w:rFonts w:ascii="黑体" w:eastAsia="黑体" w:hAnsi="Arial" w:cs="Arial"/>
      <w:b/>
      <w:kern w:val="2"/>
      <w:sz w:val="24"/>
      <w:szCs w:val="24"/>
      <w:lang w:val="en-US" w:eastAsia="zh-CN"/>
    </w:rPr>
  </w:style>
  <w:style w:type="character" w:customStyle="1" w:styleId="Char37">
    <w:name w:val="图题 Char3"/>
    <w:qFormat/>
    <w:rPr>
      <w:rFonts w:ascii="黑体" w:eastAsia="黑体" w:hAnsi="宋体" w:cs="宋体"/>
      <w:b/>
      <w:bCs/>
      <w:kern w:val="2"/>
      <w:sz w:val="24"/>
      <w:szCs w:val="24"/>
      <w:lang w:val="en-US" w:eastAsia="zh-CN"/>
    </w:rPr>
  </w:style>
  <w:style w:type="character" w:customStyle="1" w:styleId="2CharChar4">
    <w:name w:val="标题 2 Char Char"/>
    <w:qFormat/>
  </w:style>
  <w:style w:type="character" w:customStyle="1" w:styleId="CharChar513">
    <w:name w:val="Char Char513"/>
    <w:qFormat/>
    <w:rPr>
      <w:rFonts w:ascii="黑体" w:eastAsia="黑体" w:hAnsi="宋体"/>
      <w:bCs/>
      <w:kern w:val="2"/>
      <w:sz w:val="28"/>
      <w:szCs w:val="28"/>
      <w:lang w:val="en-US" w:eastAsia="zh-CN"/>
    </w:rPr>
  </w:style>
  <w:style w:type="character" w:customStyle="1" w:styleId="Char43">
    <w:name w:val="正文缩进 Char4"/>
    <w:qFormat/>
    <w:rPr>
      <w:rFonts w:ascii="宋体" w:eastAsia="宋体" w:hAnsi="宋体" w:cs="宋体"/>
      <w:color w:val="000000"/>
      <w:kern w:val="2"/>
      <w:sz w:val="24"/>
      <w:szCs w:val="24"/>
      <w:lang w:val="en-US" w:eastAsia="zh-CN"/>
    </w:rPr>
  </w:style>
  <w:style w:type="character" w:customStyle="1" w:styleId="CharChar51">
    <w:name w:val="Char Char51"/>
    <w:qFormat/>
    <w:rPr>
      <w:rFonts w:ascii="黑体" w:eastAsia="黑体" w:hAnsi="宋体"/>
      <w:bCs/>
      <w:kern w:val="2"/>
      <w:sz w:val="28"/>
      <w:szCs w:val="28"/>
      <w:lang w:val="en-US" w:eastAsia="zh-CN"/>
    </w:rPr>
  </w:style>
  <w:style w:type="character" w:customStyle="1" w:styleId="HTML11">
    <w:name w:val="HTML 定义1"/>
    <w:qFormat/>
    <w:rPr>
      <w:rFonts w:ascii="宋体" w:eastAsia="宋体" w:hAnsi="宋体" w:cs="Courier New"/>
      <w:i/>
      <w:iCs/>
      <w:kern w:val="2"/>
      <w:sz w:val="32"/>
      <w:szCs w:val="32"/>
      <w:lang w:val="en-US" w:eastAsia="zh-CN"/>
    </w:rPr>
  </w:style>
  <w:style w:type="character" w:customStyle="1" w:styleId="Char1f9">
    <w:name w:val="福建正文缩进 Char1"/>
    <w:qFormat/>
    <w:rPr>
      <w:rFonts w:ascii="宋体" w:eastAsia="宋体"/>
      <w:kern w:val="2"/>
      <w:sz w:val="24"/>
      <w:szCs w:val="24"/>
      <w:lang w:val="en-US" w:eastAsia="zh-CN"/>
    </w:rPr>
  </w:style>
  <w:style w:type="character" w:customStyle="1" w:styleId="Char271">
    <w:name w:val="表中文字 Char271"/>
    <w:qFormat/>
    <w:rPr>
      <w:rFonts w:ascii="宋体" w:eastAsia="宋体" w:hAnsi="Times New Roman" w:cs="Times New Roman"/>
      <w:kern w:val="0"/>
      <w:sz w:val="24"/>
      <w:szCs w:val="21"/>
      <w:lang w:val="en-US" w:eastAsia="zh-CN"/>
    </w:rPr>
  </w:style>
  <w:style w:type="character" w:customStyle="1" w:styleId="5Char2">
    <w:name w:val="样式 表内小5 + 黑体 加粗 倾斜 下划线 Char2"/>
    <w:qFormat/>
    <w:rPr>
      <w:rFonts w:ascii="黑体" w:eastAsia="黑体" w:hAnsi="黑体"/>
      <w:b/>
      <w:bCs/>
      <w:i/>
      <w:iCs/>
      <w:kern w:val="2"/>
      <w:sz w:val="18"/>
      <w:szCs w:val="24"/>
      <w:u w:val="single"/>
      <w:lang w:val="en-US" w:eastAsia="zh-CN"/>
    </w:rPr>
  </w:style>
  <w:style w:type="character" w:customStyle="1" w:styleId="Char1CharChar1">
    <w:name w:val="正文首行缩进 Char1 Char Char1"/>
    <w:qFormat/>
    <w:rPr>
      <w:rFonts w:eastAsia="宋体"/>
      <w:kern w:val="2"/>
      <w:sz w:val="21"/>
      <w:szCs w:val="24"/>
      <w:lang w:val="en-US" w:eastAsia="zh-CN"/>
    </w:rPr>
  </w:style>
  <w:style w:type="character" w:customStyle="1" w:styleId="CharChar317">
    <w:name w:val="Char Char317"/>
    <w:qFormat/>
    <w:rPr>
      <w:rFonts w:ascii="黑体" w:eastAsia="黑体" w:hAnsi="宋体"/>
      <w:b/>
      <w:bCs/>
      <w:kern w:val="2"/>
      <w:sz w:val="28"/>
      <w:szCs w:val="28"/>
      <w:lang w:val="en-US" w:eastAsia="zh-CN"/>
    </w:rPr>
  </w:style>
  <w:style w:type="character" w:customStyle="1" w:styleId="CharChar1112">
    <w:name w:val="Char Char1112"/>
    <w:qFormat/>
    <w:rPr>
      <w:rFonts w:ascii="黑体" w:eastAsia="黑体" w:hAnsi="Arial"/>
      <w:bCs/>
      <w:kern w:val="2"/>
      <w:sz w:val="30"/>
      <w:szCs w:val="30"/>
      <w:lang w:val="en-US" w:eastAsia="zh-CN"/>
    </w:rPr>
  </w:style>
  <w:style w:type="character" w:customStyle="1" w:styleId="Char122">
    <w:name w:val="正文修改 Char122"/>
    <w:qFormat/>
    <w:rPr>
      <w:rFonts w:ascii="宋体" w:eastAsia="宋体" w:hAnsi="宋体" w:cs="宋体"/>
      <w:color w:val="000000"/>
      <w:kern w:val="2"/>
      <w:sz w:val="24"/>
      <w:szCs w:val="24"/>
      <w:lang w:val="en-US" w:eastAsia="zh-CN"/>
    </w:rPr>
  </w:style>
  <w:style w:type="character" w:customStyle="1" w:styleId="Char2b">
    <w:name w:val="页脚 Char2"/>
    <w:qFormat/>
    <w:rPr>
      <w:rFonts w:ascii="Times New Roman" w:eastAsia="宋体" w:hAnsi="Times New Roman" w:cs="Times New Roman"/>
      <w:kern w:val="2"/>
      <w:sz w:val="18"/>
      <w:szCs w:val="18"/>
      <w:lang w:val="en-US" w:eastAsia="zh-CN"/>
    </w:rPr>
  </w:style>
  <w:style w:type="character" w:customStyle="1" w:styleId="Char1112">
    <w:name w:val="正文修改 Char1112"/>
    <w:qFormat/>
    <w:rPr>
      <w:rFonts w:ascii="宋体" w:eastAsia="宋体" w:hAnsi="宋体" w:cs="宋体"/>
      <w:color w:val="000000"/>
      <w:kern w:val="2"/>
      <w:sz w:val="24"/>
      <w:szCs w:val="24"/>
      <w:lang w:val="en-US" w:eastAsia="zh-CN"/>
    </w:rPr>
  </w:style>
  <w:style w:type="character" w:customStyle="1" w:styleId="9Char21">
    <w:name w:val="标题 9 Char21"/>
    <w:qFormat/>
    <w:rPr>
      <w:rFonts w:ascii="Arial" w:eastAsia="黑体" w:hAnsi="Arial" w:cs="Times New Roman"/>
      <w:kern w:val="2"/>
      <w:sz w:val="24"/>
      <w:szCs w:val="21"/>
      <w:lang w:val="en-US" w:eastAsia="zh-CN"/>
    </w:rPr>
  </w:style>
  <w:style w:type="character" w:customStyle="1" w:styleId="Char212">
    <w:name w:val="页眉 Char21"/>
    <w:qFormat/>
    <w:rPr>
      <w:rFonts w:ascii="Times New Roman" w:eastAsia="宋体" w:hAnsi="Times New Roman" w:cs="Times New Roman"/>
      <w:kern w:val="2"/>
      <w:sz w:val="18"/>
      <w:szCs w:val="18"/>
      <w:lang w:val="en-US" w:eastAsia="zh-CN"/>
    </w:rPr>
  </w:style>
  <w:style w:type="character" w:customStyle="1" w:styleId="CharChar515">
    <w:name w:val="Char Char515"/>
    <w:qFormat/>
    <w:rPr>
      <w:rFonts w:ascii="黑体" w:eastAsia="黑体" w:hAnsi="宋体"/>
      <w:bCs/>
      <w:kern w:val="2"/>
      <w:sz w:val="28"/>
      <w:szCs w:val="28"/>
      <w:lang w:val="en-US" w:eastAsia="zh-CN"/>
    </w:rPr>
  </w:style>
  <w:style w:type="character" w:customStyle="1" w:styleId="css-text3">
    <w:name w:val="css-text3"/>
    <w:qFormat/>
  </w:style>
  <w:style w:type="character" w:customStyle="1" w:styleId="5e">
    <w:name w:val="标题5"/>
    <w:qFormat/>
    <w:rPr>
      <w:rFonts w:ascii="宋体" w:eastAsia="黑体" w:hAnsi="宋体" w:cs="宋体"/>
      <w:kern w:val="2"/>
      <w:sz w:val="28"/>
      <w:szCs w:val="24"/>
      <w:lang w:val="en-US" w:eastAsia="zh-CN"/>
    </w:rPr>
  </w:style>
  <w:style w:type="character" w:customStyle="1" w:styleId="slh15">
    <w:name w:val="s lh15"/>
    <w:qFormat/>
  </w:style>
  <w:style w:type="character" w:customStyle="1" w:styleId="Char2c">
    <w:name w:val="正文缩进 Char2"/>
    <w:qFormat/>
    <w:rPr>
      <w:rFonts w:ascii="宋体" w:eastAsia="宋体" w:hAnsi="宋体" w:cs="宋体"/>
      <w:color w:val="000000"/>
      <w:kern w:val="2"/>
      <w:sz w:val="24"/>
      <w:szCs w:val="24"/>
      <w:lang w:val="en-US" w:eastAsia="zh-CN"/>
    </w:rPr>
  </w:style>
  <w:style w:type="character" w:customStyle="1" w:styleId="2Char21">
    <w:name w:val="正文文本缩进 2 Char2"/>
    <w:qFormat/>
    <w:rPr>
      <w:rFonts w:eastAsia="宋体"/>
      <w:kern w:val="2"/>
      <w:sz w:val="21"/>
      <w:szCs w:val="24"/>
      <w:lang w:val="en-US" w:eastAsia="zh-CN"/>
    </w:rPr>
  </w:style>
  <w:style w:type="character" w:customStyle="1" w:styleId="Char110">
    <w:name w:val="福建正文缩进 Char11"/>
    <w:qFormat/>
    <w:rPr>
      <w:rFonts w:ascii="宋体" w:eastAsia="宋体"/>
      <w:kern w:val="2"/>
      <w:sz w:val="24"/>
      <w:szCs w:val="24"/>
      <w:lang w:val="en-US" w:eastAsia="zh-CN"/>
    </w:rPr>
  </w:style>
  <w:style w:type="character" w:customStyle="1" w:styleId="Char1321">
    <w:name w:val="正文修改 Char1321"/>
    <w:qFormat/>
    <w:rPr>
      <w:rFonts w:ascii="宋体" w:eastAsia="宋体" w:hAnsi="宋体" w:cs="宋体"/>
      <w:color w:val="000000"/>
      <w:kern w:val="2"/>
      <w:sz w:val="24"/>
      <w:szCs w:val="24"/>
      <w:lang w:val="en-US" w:eastAsia="zh-CN"/>
    </w:rPr>
  </w:style>
  <w:style w:type="character" w:customStyle="1" w:styleId="Char62">
    <w:name w:val="表格内字体 Char6"/>
    <w:qFormat/>
    <w:rPr>
      <w:rFonts w:ascii="宋体" w:eastAsia="宋体" w:hAnsi="宋体" w:cs="Times New Roman"/>
      <w:kern w:val="2"/>
      <w:sz w:val="24"/>
      <w:szCs w:val="24"/>
      <w:lang w:val="en-US" w:eastAsia="zh-CN"/>
    </w:rPr>
  </w:style>
  <w:style w:type="character" w:customStyle="1" w:styleId="Char1fa">
    <w:name w:val="标题正文黑 Char1"/>
    <w:qFormat/>
    <w:rPr>
      <w:rFonts w:ascii="黑体" w:eastAsia="黑体"/>
      <w:kern w:val="2"/>
      <w:sz w:val="28"/>
      <w:szCs w:val="28"/>
      <w:lang w:val="en-US" w:eastAsia="zh-CN"/>
    </w:rPr>
  </w:style>
  <w:style w:type="character" w:customStyle="1" w:styleId="2Char111">
    <w:name w:val="正文首行缩进 2 Char111"/>
    <w:qFormat/>
    <w:rPr>
      <w:rFonts w:ascii="宋体" w:eastAsia="仿宋_GB2312" w:hAnsi="宋体" w:cs="宋体"/>
      <w:color w:val="000000"/>
      <w:kern w:val="2"/>
      <w:sz w:val="21"/>
      <w:szCs w:val="24"/>
      <w:lang w:val="en-US" w:eastAsia="zh-CN"/>
    </w:rPr>
  </w:style>
  <w:style w:type="character" w:customStyle="1" w:styleId="6Char2">
    <w:name w:val="标题 6 Char2"/>
    <w:qFormat/>
    <w:rPr>
      <w:rFonts w:ascii="Arial" w:eastAsia="黑体" w:hAnsi="Arial" w:cs="Times New Roman"/>
      <w:b/>
      <w:bCs/>
      <w:kern w:val="2"/>
      <w:sz w:val="24"/>
      <w:szCs w:val="24"/>
      <w:lang w:val="en-US" w:eastAsia="zh-CN"/>
    </w:rPr>
  </w:style>
  <w:style w:type="character" w:customStyle="1" w:styleId="Char610">
    <w:name w:val="表格内字体 Char61"/>
    <w:qFormat/>
    <w:rPr>
      <w:rFonts w:ascii="宋体" w:eastAsia="宋体" w:hAnsi="宋体" w:cs="Times New Roman"/>
      <w:kern w:val="2"/>
      <w:sz w:val="24"/>
      <w:szCs w:val="24"/>
      <w:lang w:val="en-US" w:eastAsia="zh-CN"/>
    </w:rPr>
  </w:style>
  <w:style w:type="character" w:customStyle="1" w:styleId="1Char100">
    <w:name w:val="表题1 Char10"/>
    <w:qFormat/>
    <w:rPr>
      <w:rFonts w:eastAsia="宋体" w:hAnsi="Arial" w:cs="Arial"/>
      <w:kern w:val="2"/>
      <w:sz w:val="24"/>
      <w:szCs w:val="24"/>
      <w:lang w:val="en-US" w:eastAsia="zh-CN"/>
    </w:rPr>
  </w:style>
  <w:style w:type="character" w:customStyle="1" w:styleId="Char221">
    <w:name w:val="表中文字 Char221"/>
    <w:qFormat/>
    <w:rPr>
      <w:rFonts w:ascii="宋体" w:eastAsia="宋体"/>
      <w:kern w:val="2"/>
      <w:sz w:val="21"/>
      <w:szCs w:val="21"/>
      <w:lang w:val="en-US" w:eastAsia="zh-CN"/>
    </w:rPr>
  </w:style>
  <w:style w:type="character" w:customStyle="1" w:styleId="Char2d">
    <w:name w:val="图题注 Char2"/>
    <w:qFormat/>
    <w:rPr>
      <w:rFonts w:ascii="黑体" w:eastAsia="黑体" w:hAnsi="Arial" w:cs="宋体"/>
      <w:b/>
      <w:bCs/>
      <w:kern w:val="2"/>
      <w:sz w:val="24"/>
      <w:szCs w:val="24"/>
      <w:lang w:val="en-US" w:eastAsia="zh-CN"/>
    </w:rPr>
  </w:style>
  <w:style w:type="character" w:customStyle="1" w:styleId="CharChar1211">
    <w:name w:val="Char Char1211"/>
    <w:qFormat/>
    <w:rPr>
      <w:rFonts w:ascii="黑体" w:eastAsia="黑体" w:hAnsi="Arial"/>
      <w:b/>
      <w:bCs/>
      <w:kern w:val="2"/>
      <w:sz w:val="30"/>
      <w:szCs w:val="30"/>
      <w:lang w:val="en-US" w:eastAsia="zh-CN"/>
    </w:rPr>
  </w:style>
  <w:style w:type="character" w:customStyle="1" w:styleId="Char313">
    <w:name w:val="正文文本 Char31"/>
    <w:qFormat/>
    <w:rPr>
      <w:rFonts w:eastAsia="宋体"/>
      <w:kern w:val="2"/>
      <w:sz w:val="24"/>
      <w:szCs w:val="24"/>
      <w:lang w:val="en-US" w:eastAsia="zh-CN"/>
    </w:rPr>
  </w:style>
  <w:style w:type="character" w:customStyle="1" w:styleId="Footer1Char">
    <w:name w:val="Footer1 Char"/>
    <w:qFormat/>
    <w:rPr>
      <w:rFonts w:ascii="Times New Roman" w:eastAsia="仿宋_GB2312" w:hAnsi="Times New Roman" w:cs="Times New Roman"/>
      <w:sz w:val="18"/>
      <w:szCs w:val="18"/>
    </w:rPr>
  </w:style>
  <w:style w:type="character" w:customStyle="1" w:styleId="Char314">
    <w:name w:val="题注 Char31"/>
    <w:qFormat/>
    <w:rPr>
      <w:rFonts w:ascii="黑体" w:eastAsia="黑体" w:hAnsi="Arial" w:cs="Arial"/>
      <w:b/>
      <w:kern w:val="2"/>
      <w:sz w:val="24"/>
      <w:szCs w:val="24"/>
      <w:lang w:val="en-US" w:eastAsia="zh-CN"/>
    </w:rPr>
  </w:style>
  <w:style w:type="character" w:customStyle="1" w:styleId="CharChar318">
    <w:name w:val="Char Char318"/>
    <w:qFormat/>
    <w:rPr>
      <w:rFonts w:ascii="黑体" w:eastAsia="黑体" w:hAnsi="宋体"/>
      <w:b/>
      <w:bCs/>
      <w:kern w:val="2"/>
      <w:sz w:val="28"/>
      <w:szCs w:val="28"/>
      <w:lang w:val="en-US" w:eastAsia="zh-CN"/>
    </w:rPr>
  </w:style>
  <w:style w:type="character" w:customStyle="1" w:styleId="Char111">
    <w:name w:val="页脚 Char11"/>
    <w:qFormat/>
    <w:rPr>
      <w:rFonts w:eastAsia="宋体"/>
      <w:kern w:val="2"/>
      <w:sz w:val="18"/>
      <w:szCs w:val="18"/>
      <w:lang w:val="en-US" w:eastAsia="zh-CN"/>
    </w:rPr>
  </w:style>
  <w:style w:type="character" w:customStyle="1" w:styleId="CharChar67">
    <w:name w:val="Char Char67"/>
    <w:qFormat/>
    <w:rPr>
      <w:rFonts w:eastAsia="宋体"/>
      <w:b/>
      <w:bCs/>
      <w:kern w:val="2"/>
      <w:sz w:val="28"/>
      <w:szCs w:val="28"/>
      <w:lang w:val="en-US" w:eastAsia="zh-CN"/>
    </w:rPr>
  </w:style>
  <w:style w:type="character" w:customStyle="1" w:styleId="Char611">
    <w:name w:val="题注 Char61"/>
    <w:qFormat/>
    <w:rPr>
      <w:rFonts w:ascii="黑体" w:eastAsia="黑体" w:hAnsi="Arial" w:cs="Arial"/>
      <w:b/>
      <w:kern w:val="2"/>
      <w:sz w:val="24"/>
      <w:szCs w:val="24"/>
      <w:lang w:val="en-US" w:eastAsia="zh-CN"/>
    </w:rPr>
  </w:style>
  <w:style w:type="character" w:customStyle="1" w:styleId="CharChar1122">
    <w:name w:val="Char Char1122"/>
    <w:qFormat/>
    <w:rPr>
      <w:rFonts w:ascii="黑体" w:eastAsia="黑体" w:hAnsi="Arial"/>
      <w:bCs/>
      <w:kern w:val="2"/>
      <w:sz w:val="30"/>
      <w:szCs w:val="30"/>
      <w:lang w:val="en-US" w:eastAsia="zh-CN"/>
    </w:rPr>
  </w:style>
  <w:style w:type="character" w:customStyle="1" w:styleId="Char71">
    <w:name w:val="题注 Char71"/>
    <w:qFormat/>
    <w:rPr>
      <w:rFonts w:ascii="黑体" w:eastAsia="黑体" w:hAnsi="Arial" w:cs="Arial"/>
      <w:b/>
      <w:kern w:val="2"/>
      <w:sz w:val="24"/>
      <w:szCs w:val="24"/>
      <w:lang w:val="en-US" w:eastAsia="zh-CN"/>
    </w:rPr>
  </w:style>
  <w:style w:type="character" w:customStyle="1" w:styleId="CharChar1110">
    <w:name w:val="Char Char1110"/>
    <w:qFormat/>
    <w:rPr>
      <w:rFonts w:ascii="黑体" w:eastAsia="黑体" w:hAnsi="Arial"/>
      <w:bCs/>
      <w:kern w:val="2"/>
      <w:sz w:val="30"/>
      <w:szCs w:val="30"/>
      <w:lang w:val="en-US" w:eastAsia="zh-CN"/>
    </w:rPr>
  </w:style>
  <w:style w:type="character" w:customStyle="1" w:styleId="Char231">
    <w:name w:val="表中文字 Char231"/>
    <w:qFormat/>
    <w:rPr>
      <w:rFonts w:ascii="宋体" w:eastAsia="宋体"/>
      <w:kern w:val="2"/>
      <w:sz w:val="21"/>
      <w:szCs w:val="21"/>
      <w:lang w:val="en-US" w:eastAsia="zh-CN"/>
    </w:rPr>
  </w:style>
  <w:style w:type="character" w:customStyle="1" w:styleId="CharChar417">
    <w:name w:val="Char Char417"/>
    <w:qFormat/>
    <w:rPr>
      <w:rFonts w:ascii="黑体" w:eastAsia="黑体" w:hAnsi="Arial"/>
      <w:b/>
      <w:bCs/>
      <w:kern w:val="2"/>
      <w:sz w:val="30"/>
      <w:szCs w:val="30"/>
      <w:lang w:val="en-US" w:eastAsia="zh-CN"/>
    </w:rPr>
  </w:style>
  <w:style w:type="character" w:customStyle="1" w:styleId="Char161">
    <w:name w:val="燕山正文 Char161"/>
    <w:qFormat/>
    <w:rPr>
      <w:rFonts w:ascii="宋体" w:eastAsia="宋体" w:cs="宋体"/>
      <w:kern w:val="2"/>
      <w:sz w:val="24"/>
      <w:szCs w:val="24"/>
      <w:lang w:val="en-US" w:eastAsia="zh-CN"/>
    </w:rPr>
  </w:style>
  <w:style w:type="character" w:customStyle="1" w:styleId="111Char2">
    <w:name w:val="条标题1.1.1 Char2"/>
    <w:qFormat/>
    <w:rPr>
      <w:rFonts w:eastAsia="仿宋_GB2312"/>
      <w:b/>
      <w:bCs/>
      <w:kern w:val="2"/>
      <w:sz w:val="28"/>
      <w:szCs w:val="32"/>
      <w:lang w:val="en-US" w:eastAsia="zh-CN"/>
    </w:rPr>
  </w:style>
  <w:style w:type="character" w:customStyle="1" w:styleId="Char38">
    <w:name w:val="表中文字 Char3"/>
    <w:qFormat/>
    <w:rPr>
      <w:rFonts w:ascii="Arial" w:eastAsia="宋体" w:hAnsi="Arial"/>
      <w:kern w:val="2"/>
      <w:sz w:val="24"/>
      <w:szCs w:val="24"/>
      <w:lang w:val="en-US" w:eastAsia="zh-TW"/>
    </w:rPr>
  </w:style>
  <w:style w:type="character" w:customStyle="1" w:styleId="HTML12">
    <w:name w:val="HTML 变量1"/>
    <w:qFormat/>
    <w:rPr>
      <w:rFonts w:ascii="宋体" w:eastAsia="宋体" w:hAnsi="宋体" w:cs="Courier New"/>
      <w:i/>
      <w:iCs/>
      <w:kern w:val="2"/>
      <w:sz w:val="32"/>
      <w:szCs w:val="32"/>
      <w:lang w:val="en-US" w:eastAsia="zh-CN"/>
    </w:rPr>
  </w:style>
  <w:style w:type="character" w:customStyle="1" w:styleId="Char612">
    <w:name w:val="正文缩进 Char61"/>
    <w:qFormat/>
    <w:rPr>
      <w:rFonts w:ascii="宋体" w:eastAsia="宋体" w:hAnsi="宋体"/>
      <w:kern w:val="2"/>
      <w:sz w:val="24"/>
      <w:szCs w:val="24"/>
      <w:lang w:val="en-US" w:eastAsia="zh-CN"/>
    </w:rPr>
  </w:style>
  <w:style w:type="character" w:customStyle="1" w:styleId="CharChar124">
    <w:name w:val="Char Char124"/>
    <w:qFormat/>
    <w:rPr>
      <w:rFonts w:ascii="黑体" w:eastAsia="黑体" w:hAnsi="Arial"/>
      <w:b/>
      <w:bCs/>
      <w:kern w:val="2"/>
      <w:sz w:val="30"/>
      <w:szCs w:val="30"/>
      <w:lang w:val="en-US" w:eastAsia="zh-CN"/>
    </w:rPr>
  </w:style>
  <w:style w:type="character" w:customStyle="1" w:styleId="hottext1">
    <w:name w:val="hottext1"/>
    <w:qFormat/>
    <w:rPr>
      <w:rFonts w:ascii="宋体" w:eastAsia="宋体" w:hAnsi="宋体" w:hint="eastAsia"/>
      <w:strike/>
      <w:sz w:val="22"/>
    </w:rPr>
  </w:style>
  <w:style w:type="character" w:customStyle="1" w:styleId="Char140">
    <w:name w:val="正文格式 Char14"/>
    <w:qFormat/>
    <w:rPr>
      <w:rFonts w:ascii="宋体" w:eastAsia="宋体" w:hAnsi="宋体"/>
      <w:kern w:val="2"/>
      <w:sz w:val="24"/>
      <w:szCs w:val="24"/>
      <w:lang w:val="en-US" w:eastAsia="zh-CN"/>
    </w:rPr>
  </w:style>
  <w:style w:type="character" w:customStyle="1" w:styleId="Char152">
    <w:name w:val="正文修改 Char152"/>
    <w:qFormat/>
    <w:rPr>
      <w:rFonts w:ascii="宋体" w:eastAsia="宋体" w:hAnsi="宋体" w:cs="宋体"/>
      <w:color w:val="000000"/>
      <w:kern w:val="2"/>
      <w:sz w:val="24"/>
      <w:szCs w:val="24"/>
      <w:lang w:val="en-US" w:eastAsia="zh-CN"/>
    </w:rPr>
  </w:style>
  <w:style w:type="character" w:customStyle="1" w:styleId="HTML13">
    <w:name w:val="HTML 代码1"/>
    <w:qFormat/>
    <w:rPr>
      <w:rFonts w:ascii="Courier New" w:eastAsia="宋体" w:hAnsi="Courier New" w:cs="Courier New"/>
      <w:kern w:val="2"/>
      <w:sz w:val="20"/>
      <w:szCs w:val="20"/>
      <w:lang w:val="en-US" w:eastAsia="zh-CN"/>
    </w:rPr>
  </w:style>
  <w:style w:type="character" w:customStyle="1" w:styleId="CharChar92">
    <w:name w:val="Char Char92"/>
    <w:qFormat/>
    <w:rPr>
      <w:kern w:val="2"/>
      <w:sz w:val="18"/>
      <w:szCs w:val="18"/>
    </w:rPr>
  </w:style>
  <w:style w:type="character" w:customStyle="1" w:styleId="CharChar111">
    <w:name w:val="Char Char111"/>
    <w:qFormat/>
    <w:rPr>
      <w:rFonts w:ascii="黑体" w:eastAsia="黑体" w:hAnsi="Arial"/>
      <w:b/>
      <w:bCs/>
      <w:kern w:val="2"/>
      <w:sz w:val="30"/>
      <w:szCs w:val="30"/>
      <w:lang w:val="en-US" w:eastAsia="zh-CN"/>
    </w:rPr>
  </w:style>
  <w:style w:type="character" w:customStyle="1" w:styleId="Char113">
    <w:name w:val="纯文本 Char11"/>
    <w:qFormat/>
    <w:rPr>
      <w:rFonts w:ascii="宋体" w:eastAsia="宋体" w:hAnsi="Courier New" w:cs="Courier New"/>
      <w:kern w:val="2"/>
      <w:sz w:val="21"/>
      <w:szCs w:val="21"/>
      <w:lang w:val="en-US" w:eastAsia="zh-CN"/>
    </w:rPr>
  </w:style>
  <w:style w:type="character" w:customStyle="1" w:styleId="Char39">
    <w:name w:val="表格内容 Char3"/>
    <w:qFormat/>
    <w:rPr>
      <w:rFonts w:ascii="Times New Roman" w:eastAsia="宋体" w:hAnsi="Times New Roman" w:cs="Times New Roman"/>
      <w:kern w:val="2"/>
      <w:sz w:val="24"/>
      <w:szCs w:val="21"/>
      <w:lang w:val="en-US" w:eastAsia="zh-CN"/>
    </w:rPr>
  </w:style>
  <w:style w:type="character" w:customStyle="1" w:styleId="black1">
    <w:name w:val="black1"/>
    <w:qFormat/>
    <w:rPr>
      <w:color w:val="000000"/>
      <w:sz w:val="18"/>
      <w:szCs w:val="18"/>
      <w:u w:val="none"/>
    </w:rPr>
  </w:style>
  <w:style w:type="character" w:customStyle="1" w:styleId="CharChar118">
    <w:name w:val="Char Char118"/>
    <w:qFormat/>
    <w:rPr>
      <w:rFonts w:ascii="黑体" w:eastAsia="黑体" w:hAnsi="Arial"/>
      <w:b/>
      <w:bCs/>
      <w:kern w:val="2"/>
      <w:sz w:val="30"/>
      <w:szCs w:val="30"/>
      <w:lang w:val="en-US" w:eastAsia="zh-CN"/>
    </w:rPr>
  </w:style>
  <w:style w:type="character" w:customStyle="1" w:styleId="Char53">
    <w:name w:val="文字缩进 Char5"/>
    <w:qFormat/>
    <w:rPr>
      <w:rFonts w:ascii="宋体" w:eastAsia="宋体" w:hAnsi="Courier New"/>
      <w:kern w:val="2"/>
      <w:sz w:val="21"/>
      <w:lang w:val="en-US" w:eastAsia="zh-CN"/>
    </w:rPr>
  </w:style>
  <w:style w:type="character" w:customStyle="1" w:styleId="1ffff1">
    <w:name w:val="样式 黑色1"/>
    <w:qFormat/>
    <w:rPr>
      <w:rFonts w:eastAsia="宋体"/>
      <w:color w:val="auto"/>
      <w:kern w:val="2"/>
      <w:sz w:val="24"/>
      <w:szCs w:val="24"/>
      <w:lang w:val="en-US" w:eastAsia="zh-CN"/>
    </w:rPr>
  </w:style>
  <w:style w:type="character" w:customStyle="1" w:styleId="4Char3">
    <w:name w:val="标题 4 Char3"/>
    <w:qFormat/>
    <w:rPr>
      <w:rFonts w:ascii="黑体" w:eastAsia="黑体" w:hAnsi="Arial" w:cs="Times New Roman"/>
      <w:b/>
      <w:bCs/>
      <w:kern w:val="2"/>
      <w:sz w:val="24"/>
      <w:szCs w:val="24"/>
      <w:lang w:val="en-US" w:eastAsia="zh-CN"/>
    </w:rPr>
  </w:style>
  <w:style w:type="character" w:customStyle="1" w:styleId="AChar1">
    <w:name w:val="A正文 Char1"/>
    <w:qFormat/>
    <w:rPr>
      <w:rFonts w:eastAsia="仿宋_GB2312"/>
      <w:kern w:val="2"/>
      <w:sz w:val="24"/>
      <w:szCs w:val="24"/>
      <w:lang w:val="en-US" w:eastAsia="zh-CN"/>
    </w:rPr>
  </w:style>
  <w:style w:type="character" w:customStyle="1" w:styleId="CharChar1212">
    <w:name w:val="Char Char1212"/>
    <w:qFormat/>
    <w:rPr>
      <w:rFonts w:ascii="黑体" w:eastAsia="黑体" w:hAnsi="Arial"/>
      <w:b/>
      <w:bCs/>
      <w:kern w:val="2"/>
      <w:sz w:val="30"/>
      <w:szCs w:val="30"/>
      <w:lang w:val="en-US" w:eastAsia="zh-CN"/>
    </w:rPr>
  </w:style>
  <w:style w:type="character" w:customStyle="1" w:styleId="afffffffffff1">
    <w:name w:val="样式 黑色"/>
    <w:qFormat/>
    <w:rPr>
      <w:rFonts w:eastAsia="宋体"/>
      <w:color w:val="auto"/>
      <w:kern w:val="2"/>
      <w:sz w:val="24"/>
      <w:szCs w:val="24"/>
      <w:lang w:val="en-US" w:eastAsia="zh-CN"/>
    </w:rPr>
  </w:style>
  <w:style w:type="character" w:customStyle="1" w:styleId="unnamed11">
    <w:name w:val="unnamed1复制1"/>
    <w:qFormat/>
    <w:rPr>
      <w:sz w:val="20"/>
      <w:szCs w:val="20"/>
    </w:rPr>
  </w:style>
  <w:style w:type="character" w:customStyle="1" w:styleId="Char1110">
    <w:name w:val="正文斜体 Char111"/>
    <w:qFormat/>
    <w:rPr>
      <w:rFonts w:ascii="宋体" w:eastAsia="宋体" w:hAnsi="宋体"/>
      <w:i/>
      <w:iCs/>
      <w:kern w:val="2"/>
      <w:sz w:val="24"/>
      <w:szCs w:val="24"/>
      <w:lang w:val="en-US" w:eastAsia="zh-CN"/>
    </w:rPr>
  </w:style>
  <w:style w:type="character" w:customStyle="1" w:styleId="CharChar419">
    <w:name w:val="Char Char419"/>
    <w:qFormat/>
    <w:rPr>
      <w:rFonts w:ascii="黑体" w:eastAsia="黑体" w:hAnsi="Arial"/>
      <w:b/>
      <w:bCs/>
      <w:kern w:val="2"/>
      <w:sz w:val="30"/>
      <w:szCs w:val="30"/>
      <w:lang w:val="en-US" w:eastAsia="zh-CN"/>
    </w:rPr>
  </w:style>
  <w:style w:type="character" w:customStyle="1" w:styleId="font1">
    <w:name w:val="font1"/>
    <w:qFormat/>
  </w:style>
  <w:style w:type="character" w:customStyle="1" w:styleId="Char101">
    <w:name w:val="正文格式 Char101"/>
    <w:qFormat/>
    <w:rPr>
      <w:rFonts w:ascii="宋体" w:eastAsia="宋体" w:hAnsi="宋体"/>
      <w:kern w:val="2"/>
      <w:sz w:val="24"/>
      <w:szCs w:val="24"/>
      <w:lang w:val="en-US" w:eastAsia="zh-CN"/>
    </w:rPr>
  </w:style>
  <w:style w:type="character" w:customStyle="1" w:styleId="4f0">
    <w:name w:val="正文缩进4"/>
    <w:qFormat/>
    <w:rPr>
      <w:rFonts w:ascii="仿宋_GB2312" w:eastAsia="仿宋_GB2312"/>
      <w:kern w:val="2"/>
      <w:sz w:val="28"/>
      <w:lang w:val="en-US" w:eastAsia="zh-CN"/>
    </w:rPr>
  </w:style>
  <w:style w:type="character" w:customStyle="1" w:styleId="1Char14">
    <w:name w:val="河石1 Char14"/>
    <w:qFormat/>
    <w:rPr>
      <w:rFonts w:ascii="黑体" w:eastAsia="黑体" w:hAnsi="宋体"/>
      <w:bCs/>
      <w:kern w:val="44"/>
      <w:sz w:val="32"/>
      <w:szCs w:val="32"/>
      <w:lang w:val="en-US" w:eastAsia="zh-CN"/>
    </w:rPr>
  </w:style>
  <w:style w:type="character" w:customStyle="1" w:styleId="1Char11">
    <w:name w:val="表题1 Char1"/>
    <w:qFormat/>
    <w:rPr>
      <w:rFonts w:ascii="黑体" w:eastAsia="黑体" w:hAnsi="Arial" w:cs="Arial"/>
      <w:kern w:val="2"/>
      <w:sz w:val="24"/>
      <w:szCs w:val="24"/>
      <w:lang w:val="en-US" w:eastAsia="zh-CN"/>
    </w:rPr>
  </w:style>
  <w:style w:type="character" w:customStyle="1" w:styleId="ourfont31">
    <w:name w:val="ourfont31"/>
    <w:qFormat/>
    <w:rPr>
      <w:spacing w:val="20"/>
      <w:sz w:val="21"/>
      <w:szCs w:val="21"/>
    </w:rPr>
  </w:style>
  <w:style w:type="character" w:customStyle="1" w:styleId="Char613">
    <w:name w:val="正文格式 Char61"/>
    <w:qFormat/>
    <w:rPr>
      <w:rFonts w:ascii="宋体" w:eastAsia="宋体" w:hAnsi="宋体" w:cs="Times New Roman"/>
      <w:kern w:val="2"/>
      <w:sz w:val="24"/>
      <w:szCs w:val="24"/>
      <w:lang w:val="en-US" w:eastAsia="zh-CN"/>
    </w:rPr>
  </w:style>
  <w:style w:type="character" w:customStyle="1" w:styleId="nota">
    <w:name w:val="nota"/>
    <w:qFormat/>
    <w:rPr>
      <w:i/>
      <w:iCs/>
      <w:sz w:val="20"/>
    </w:rPr>
  </w:style>
  <w:style w:type="character" w:customStyle="1" w:styleId="CharChar48">
    <w:name w:val="Char Char48"/>
    <w:qFormat/>
    <w:rPr>
      <w:rFonts w:ascii="黑体" w:eastAsia="黑体" w:hAnsi="Arial"/>
      <w:b/>
      <w:bCs/>
      <w:kern w:val="2"/>
      <w:sz w:val="30"/>
      <w:szCs w:val="30"/>
      <w:lang w:val="en-US" w:eastAsia="zh-CN"/>
    </w:rPr>
  </w:style>
  <w:style w:type="character" w:customStyle="1" w:styleId="Char90">
    <w:name w:val="表题 Char9"/>
    <w:qFormat/>
    <w:rPr>
      <w:rFonts w:ascii="黑体" w:eastAsia="黑体" w:hAnsi="Arial" w:cs="Arial"/>
      <w:b/>
      <w:kern w:val="2"/>
      <w:sz w:val="24"/>
      <w:szCs w:val="24"/>
      <w:lang w:val="en-US" w:eastAsia="zh-CN"/>
    </w:rPr>
  </w:style>
  <w:style w:type="character" w:customStyle="1" w:styleId="Char4CharCharCharChar1">
    <w:name w:val="Char4 Char Char Char Char1"/>
    <w:qFormat/>
    <w:rPr>
      <w:rFonts w:eastAsia="仿宋_GB2312"/>
      <w:kern w:val="2"/>
      <w:sz w:val="28"/>
      <w:szCs w:val="24"/>
      <w:lang w:val="en-US" w:eastAsia="zh-CN"/>
    </w:rPr>
  </w:style>
  <w:style w:type="character" w:customStyle="1" w:styleId="1Char21">
    <w:name w:val="表题1 Char21"/>
    <w:qFormat/>
    <w:rPr>
      <w:rFonts w:eastAsia="宋体" w:hAnsi="Arial" w:cs="Arial"/>
      <w:kern w:val="2"/>
      <w:sz w:val="24"/>
      <w:szCs w:val="24"/>
      <w:lang w:val="en-US" w:eastAsia="zh-CN"/>
    </w:rPr>
  </w:style>
  <w:style w:type="character" w:customStyle="1" w:styleId="GB2312">
    <w:name w:val="样式 楷体_GB2312 四号"/>
    <w:qFormat/>
    <w:rPr>
      <w:rFonts w:ascii="Times New Roman" w:eastAsia="楷体_GB2312" w:hAnsi="Times New Roman"/>
      <w:sz w:val="28"/>
      <w:szCs w:val="28"/>
    </w:rPr>
  </w:style>
  <w:style w:type="character" w:customStyle="1" w:styleId="CharCharCharChar0">
    <w:name w:val="题注 Char Char Char Char"/>
    <w:qFormat/>
    <w:rPr>
      <w:rFonts w:ascii="Arial" w:eastAsia="黑体" w:hAnsi="Arial" w:cs="Arial"/>
      <w:kern w:val="2"/>
      <w:lang w:val="en-US" w:eastAsia="zh-CN"/>
    </w:rPr>
  </w:style>
  <w:style w:type="character" w:customStyle="1" w:styleId="3Char14">
    <w:name w:val="标题 3 Char14"/>
    <w:qFormat/>
    <w:rPr>
      <w:rFonts w:ascii="黑体" w:eastAsia="黑体" w:hAnsi="宋体" w:cs="Times New Roman"/>
      <w:b/>
      <w:bCs/>
      <w:kern w:val="2"/>
      <w:sz w:val="28"/>
      <w:szCs w:val="28"/>
      <w:lang w:val="en-US" w:eastAsia="zh-CN"/>
    </w:rPr>
  </w:style>
  <w:style w:type="character" w:customStyle="1" w:styleId="Char315">
    <w:name w:val="正文缩进 Char31"/>
    <w:qFormat/>
    <w:rPr>
      <w:rFonts w:ascii="宋体" w:eastAsia="宋体" w:hAnsi="宋体" w:cs="宋体"/>
      <w:color w:val="000000"/>
      <w:kern w:val="2"/>
      <w:sz w:val="24"/>
      <w:szCs w:val="24"/>
      <w:lang w:val="en-US" w:eastAsia="zh-CN"/>
    </w:rPr>
  </w:style>
  <w:style w:type="character" w:customStyle="1" w:styleId="111Char1">
    <w:name w:val="条标题1.1.1 Char1"/>
    <w:qFormat/>
    <w:rPr>
      <w:rFonts w:eastAsia="仿宋_GB2312"/>
      <w:b/>
      <w:bCs/>
      <w:kern w:val="2"/>
      <w:sz w:val="28"/>
      <w:szCs w:val="32"/>
      <w:lang w:val="en-US" w:eastAsia="zh-CN"/>
    </w:rPr>
  </w:style>
  <w:style w:type="character" w:customStyle="1" w:styleId="Char251">
    <w:name w:val="表中文字 Char251"/>
    <w:qFormat/>
    <w:rPr>
      <w:rFonts w:ascii="宋体" w:eastAsia="宋体"/>
      <w:kern w:val="2"/>
      <w:sz w:val="21"/>
      <w:szCs w:val="21"/>
      <w:lang w:val="en-US" w:eastAsia="zh-CN"/>
    </w:rPr>
  </w:style>
  <w:style w:type="character" w:customStyle="1" w:styleId="3CharChar4">
    <w:name w:val="正文文字 3 Char Char4"/>
    <w:qFormat/>
    <w:rPr>
      <w:rFonts w:eastAsia="仿宋_GB2312"/>
      <w:kern w:val="2"/>
      <w:sz w:val="28"/>
      <w:szCs w:val="24"/>
      <w:lang w:val="en-US" w:eastAsia="zh-CN"/>
    </w:rPr>
  </w:style>
  <w:style w:type="character" w:customStyle="1" w:styleId="CharChar1117">
    <w:name w:val="Char Char1117"/>
    <w:qFormat/>
    <w:rPr>
      <w:rFonts w:ascii="黑体" w:eastAsia="黑体" w:hAnsi="Arial"/>
      <w:bCs/>
      <w:kern w:val="2"/>
      <w:sz w:val="30"/>
      <w:szCs w:val="30"/>
      <w:lang w:val="en-US" w:eastAsia="zh-CN"/>
    </w:rPr>
  </w:style>
  <w:style w:type="character" w:customStyle="1" w:styleId="1Char64">
    <w:name w:val="表题1 Char64"/>
    <w:qFormat/>
    <w:rPr>
      <w:rFonts w:ascii="黑体" w:eastAsia="黑体" w:hAnsi="Arial" w:cs="Arial"/>
      <w:b/>
      <w:kern w:val="2"/>
      <w:sz w:val="24"/>
      <w:szCs w:val="24"/>
      <w:lang w:val="en-US" w:eastAsia="zh-CN"/>
    </w:rPr>
  </w:style>
  <w:style w:type="character" w:customStyle="1" w:styleId="1Char12">
    <w:name w:val="表题1 Char12"/>
    <w:qFormat/>
    <w:rPr>
      <w:rFonts w:eastAsia="宋体" w:hAnsi="Arial" w:cs="Arial"/>
      <w:kern w:val="2"/>
      <w:sz w:val="24"/>
      <w:szCs w:val="24"/>
      <w:lang w:val="en-US" w:eastAsia="zh-CN"/>
    </w:rPr>
  </w:style>
  <w:style w:type="character" w:customStyle="1" w:styleId="5Char10">
    <w:name w:val="样式 表内小5 + 黑体 加粗 倾斜 下划线 Char1"/>
    <w:qFormat/>
    <w:rPr>
      <w:rFonts w:ascii="黑体" w:eastAsia="黑体" w:hAnsi="黑体"/>
      <w:b/>
      <w:bCs/>
      <w:i/>
      <w:iCs/>
      <w:kern w:val="2"/>
      <w:sz w:val="18"/>
      <w:szCs w:val="24"/>
      <w:u w:val="single"/>
      <w:lang w:val="en-US" w:eastAsia="zh-CN"/>
    </w:rPr>
  </w:style>
  <w:style w:type="character" w:customStyle="1" w:styleId="Char3a">
    <w:name w:val="环正文 Char3"/>
    <w:qFormat/>
    <w:rPr>
      <w:rFonts w:ascii="宋体" w:eastAsia="宋体" w:hAnsi="宋体" w:cs="Courier New"/>
      <w:sz w:val="24"/>
      <w:lang w:val="en-US" w:eastAsia="zh-CN"/>
    </w:rPr>
  </w:style>
  <w:style w:type="character" w:customStyle="1" w:styleId="CharChar1131">
    <w:name w:val="Char Char1131"/>
    <w:qFormat/>
    <w:rPr>
      <w:rFonts w:ascii="黑体" w:eastAsia="黑体" w:hAnsi="Arial"/>
      <w:bCs/>
      <w:kern w:val="2"/>
      <w:sz w:val="30"/>
      <w:szCs w:val="30"/>
      <w:lang w:val="en-US" w:eastAsia="zh-CN"/>
    </w:rPr>
  </w:style>
  <w:style w:type="character" w:customStyle="1" w:styleId="8Char1">
    <w:name w:val="标题 8 Char1"/>
    <w:qFormat/>
    <w:rPr>
      <w:rFonts w:ascii="Arial" w:eastAsia="黑体" w:hAnsi="Arial"/>
      <w:kern w:val="2"/>
      <w:sz w:val="24"/>
      <w:szCs w:val="24"/>
      <w:lang w:val="en-US" w:eastAsia="zh-CN"/>
    </w:rPr>
  </w:style>
  <w:style w:type="character" w:customStyle="1" w:styleId="1ffff2">
    <w:name w:val="行号1"/>
    <w:qFormat/>
    <w:rPr>
      <w:rFonts w:ascii="宋体" w:eastAsia="宋体" w:hAnsi="宋体" w:cs="Courier New"/>
      <w:kern w:val="2"/>
      <w:sz w:val="32"/>
      <w:szCs w:val="32"/>
      <w:lang w:val="en-US" w:eastAsia="zh-CN"/>
    </w:rPr>
  </w:style>
  <w:style w:type="character" w:customStyle="1" w:styleId="4Char20">
    <w:name w:val="标题4 Char2"/>
    <w:qFormat/>
    <w:rPr>
      <w:rFonts w:ascii="黑体" w:eastAsia="黑体" w:hAnsi="Arial" w:cs="Times New Roman"/>
      <w:b/>
      <w:bCs/>
      <w:kern w:val="2"/>
      <w:sz w:val="24"/>
      <w:szCs w:val="28"/>
      <w:lang w:val="en-US" w:eastAsia="zh-CN"/>
    </w:rPr>
  </w:style>
  <w:style w:type="character" w:customStyle="1" w:styleId="Char1111">
    <w:name w:val="样式 表格内字体 + Char111"/>
    <w:qFormat/>
    <w:rPr>
      <w:rFonts w:ascii="宋体" w:hAnsi="宋体"/>
      <w:kern w:val="2"/>
      <w:sz w:val="21"/>
      <w:szCs w:val="24"/>
    </w:rPr>
  </w:style>
  <w:style w:type="character" w:customStyle="1" w:styleId="Char3b">
    <w:name w:val="文档结构图 Char3"/>
    <w:qFormat/>
    <w:rPr>
      <w:rFonts w:eastAsia="宋体"/>
      <w:kern w:val="2"/>
      <w:sz w:val="21"/>
      <w:szCs w:val="24"/>
      <w:shd w:val="clear" w:color="auto" w:fill="000080"/>
      <w:lang w:val="en-US" w:eastAsia="zh-CN"/>
    </w:rPr>
  </w:style>
  <w:style w:type="character" w:customStyle="1" w:styleId="Char316">
    <w:name w:val="正文首行缩进 Char31"/>
    <w:qFormat/>
    <w:rPr>
      <w:rFonts w:ascii="Times New Roman" w:eastAsia="宋体" w:hAnsi="Times New Roman" w:cs="Times New Roman"/>
      <w:kern w:val="2"/>
      <w:sz w:val="21"/>
      <w:szCs w:val="24"/>
      <w:lang w:val="en-US" w:eastAsia="zh-CN"/>
    </w:rPr>
  </w:style>
  <w:style w:type="character" w:customStyle="1" w:styleId="Char1610">
    <w:name w:val="正文修改 Char161"/>
    <w:rPr>
      <w:rFonts w:ascii="宋体" w:eastAsia="宋体" w:hAnsi="宋体" w:cs="宋体"/>
      <w:color w:val="000000"/>
      <w:kern w:val="2"/>
      <w:sz w:val="24"/>
      <w:szCs w:val="24"/>
      <w:lang w:val="en-US" w:eastAsia="zh-CN"/>
    </w:rPr>
  </w:style>
  <w:style w:type="character" w:customStyle="1" w:styleId="afffffffffff2">
    <w:name w:val="样式 黑体 小四"/>
    <w:qFormat/>
    <w:rPr>
      <w:rFonts w:ascii="黑体" w:eastAsia="黑体" w:hAnsi="黑体"/>
      <w:sz w:val="24"/>
    </w:rPr>
  </w:style>
  <w:style w:type="character" w:customStyle="1" w:styleId="3Char31">
    <w:name w:val="正文文本缩进 3 Char31"/>
    <w:qFormat/>
    <w:rPr>
      <w:rFonts w:eastAsia="宋体"/>
      <w:kern w:val="2"/>
      <w:sz w:val="16"/>
      <w:szCs w:val="16"/>
      <w:lang w:val="en-US" w:eastAsia="zh-CN"/>
    </w:rPr>
  </w:style>
  <w:style w:type="character" w:customStyle="1" w:styleId="Char44">
    <w:name w:val="正文文本 Char4"/>
    <w:rPr>
      <w:rFonts w:ascii="Times New Roman" w:eastAsia="宋体" w:hAnsi="Times New Roman" w:cs="Times New Roman"/>
      <w:kern w:val="2"/>
      <w:sz w:val="24"/>
      <w:szCs w:val="24"/>
      <w:lang w:val="en-US" w:eastAsia="zh-CN"/>
    </w:rPr>
  </w:style>
  <w:style w:type="character" w:customStyle="1" w:styleId="Char317">
    <w:name w:val="文档结构图 Char31"/>
    <w:qFormat/>
    <w:rPr>
      <w:rFonts w:eastAsia="宋体"/>
      <w:kern w:val="2"/>
      <w:sz w:val="21"/>
      <w:szCs w:val="24"/>
      <w:shd w:val="clear" w:color="auto" w:fill="000080"/>
      <w:lang w:val="en-US" w:eastAsia="zh-CN"/>
    </w:rPr>
  </w:style>
  <w:style w:type="character" w:customStyle="1" w:styleId="Char2e">
    <w:name w:val="文档结构图 Char2"/>
    <w:qFormat/>
    <w:rPr>
      <w:rFonts w:eastAsia="宋体"/>
      <w:kern w:val="2"/>
      <w:sz w:val="21"/>
      <w:szCs w:val="24"/>
      <w:shd w:val="clear" w:color="auto" w:fill="000080"/>
      <w:lang w:val="en-US" w:eastAsia="zh-CN"/>
    </w:rPr>
  </w:style>
  <w:style w:type="character" w:customStyle="1" w:styleId="CharChar21">
    <w:name w:val="Char Char21"/>
    <w:qFormat/>
    <w:rPr>
      <w:rFonts w:ascii="黑体" w:eastAsia="宋体"/>
      <w:kern w:val="2"/>
      <w:sz w:val="16"/>
      <w:szCs w:val="16"/>
      <w:lang w:val="en-US" w:eastAsia="zh-CN"/>
    </w:rPr>
  </w:style>
  <w:style w:type="character" w:customStyle="1" w:styleId="Char80">
    <w:name w:val="题注 Char8"/>
    <w:qFormat/>
    <w:rPr>
      <w:rFonts w:ascii="黑体" w:eastAsia="黑体" w:hAnsi="Arial" w:cs="Arial"/>
      <w:b/>
      <w:kern w:val="2"/>
      <w:sz w:val="24"/>
      <w:szCs w:val="24"/>
      <w:lang w:val="en-US" w:eastAsia="zh-CN"/>
    </w:rPr>
  </w:style>
  <w:style w:type="character" w:customStyle="1" w:styleId="mainfirst1">
    <w:name w:val="mainfirst1"/>
    <w:qFormat/>
    <w:rPr>
      <w:rFonts w:ascii="宋体" w:eastAsia="黑体" w:hAnsi="宋体" w:cs="宋体"/>
      <w:b/>
      <w:bCs/>
      <w:color w:val="FF0000"/>
      <w:kern w:val="2"/>
      <w:sz w:val="36"/>
      <w:szCs w:val="36"/>
      <w:lang w:val="en-US" w:eastAsia="zh-CN"/>
    </w:rPr>
  </w:style>
  <w:style w:type="character" w:customStyle="1" w:styleId="Char1fb">
    <w:name w:val="注 Char1"/>
    <w:qFormat/>
    <w:rPr>
      <w:rFonts w:ascii="Arial" w:eastAsia="黑体" w:hAnsi="Arial"/>
      <w:kern w:val="2"/>
      <w:sz w:val="24"/>
      <w:szCs w:val="24"/>
      <w:lang w:val="en-US" w:eastAsia="zh-CN"/>
    </w:rPr>
  </w:style>
  <w:style w:type="character" w:customStyle="1" w:styleId="CharChar122">
    <w:name w:val="Char Char122"/>
    <w:qFormat/>
    <w:rPr>
      <w:rFonts w:ascii="黑体" w:eastAsia="黑体" w:hAnsi="Arial"/>
      <w:b/>
      <w:bCs/>
      <w:kern w:val="2"/>
      <w:sz w:val="30"/>
      <w:szCs w:val="30"/>
      <w:lang w:val="en-US" w:eastAsia="zh-CN"/>
    </w:rPr>
  </w:style>
  <w:style w:type="character" w:customStyle="1" w:styleId="2Char22">
    <w:name w:val="标题2 Char2"/>
    <w:qFormat/>
    <w:rPr>
      <w:rFonts w:ascii="宋体" w:eastAsia="宋体" w:hAnsi="宋体" w:cs="宋体"/>
      <w:color w:val="000000"/>
      <w:kern w:val="2"/>
      <w:sz w:val="24"/>
      <w:szCs w:val="24"/>
      <w:lang w:val="en-US" w:eastAsia="zh-CN"/>
    </w:rPr>
  </w:style>
  <w:style w:type="character" w:customStyle="1" w:styleId="Char513">
    <w:name w:val="题注 Char513"/>
    <w:qFormat/>
    <w:rPr>
      <w:rFonts w:ascii="黑体" w:eastAsia="黑体" w:hAnsi="Arial" w:cs="Arial"/>
      <w:b/>
      <w:kern w:val="2"/>
      <w:sz w:val="24"/>
      <w:szCs w:val="24"/>
      <w:lang w:val="en-US" w:eastAsia="zh-CN"/>
    </w:rPr>
  </w:style>
  <w:style w:type="character" w:customStyle="1" w:styleId="Char1CharChar3">
    <w:name w:val="正文首行缩进 Char1 Char Char3"/>
    <w:qFormat/>
    <w:rPr>
      <w:rFonts w:eastAsia="宋体"/>
      <w:kern w:val="2"/>
      <w:sz w:val="21"/>
      <w:szCs w:val="24"/>
      <w:lang w:val="en-US" w:eastAsia="zh-CN"/>
    </w:rPr>
  </w:style>
  <w:style w:type="character" w:customStyle="1" w:styleId="CharChar622">
    <w:name w:val="Char Char622"/>
    <w:qFormat/>
    <w:rPr>
      <w:rFonts w:ascii="黑体" w:eastAsia="黑体"/>
      <w:b/>
      <w:bCs/>
      <w:kern w:val="2"/>
      <w:sz w:val="28"/>
      <w:szCs w:val="28"/>
      <w:lang w:val="en-US" w:eastAsia="zh-CN"/>
    </w:rPr>
  </w:style>
  <w:style w:type="character" w:customStyle="1" w:styleId="afffffffffff3">
    <w:name w:val="。"/>
    <w:qFormat/>
    <w:rPr>
      <w:rFonts w:ascii="宋体" w:eastAsia="宋体"/>
      <w:kern w:val="2"/>
      <w:sz w:val="24"/>
      <w:lang w:val="en-US" w:eastAsia="zh-CN"/>
    </w:rPr>
  </w:style>
  <w:style w:type="character" w:customStyle="1" w:styleId="3Char110">
    <w:name w:val="正文文本缩进 3 Char11"/>
    <w:qFormat/>
    <w:rPr>
      <w:rFonts w:eastAsia="宋体"/>
      <w:kern w:val="2"/>
      <w:sz w:val="16"/>
      <w:szCs w:val="16"/>
      <w:lang w:val="en-US" w:eastAsia="zh-CN"/>
    </w:rPr>
  </w:style>
  <w:style w:type="character" w:customStyle="1" w:styleId="Char123">
    <w:name w:val="正文缩进 Char12"/>
    <w:qFormat/>
    <w:rPr>
      <w:rFonts w:ascii="宋体" w:eastAsia="宋体" w:hAnsi="宋体" w:cs="宋体"/>
      <w:color w:val="000000"/>
      <w:kern w:val="2"/>
      <w:sz w:val="24"/>
      <w:szCs w:val="24"/>
      <w:lang w:val="en-US" w:eastAsia="zh-CN"/>
    </w:rPr>
  </w:style>
  <w:style w:type="character" w:customStyle="1" w:styleId="Char160">
    <w:name w:val="正文修改 Char16"/>
    <w:qFormat/>
    <w:rPr>
      <w:rFonts w:ascii="宋体" w:eastAsia="宋体" w:hAnsi="宋体" w:cs="宋体"/>
      <w:color w:val="000000"/>
      <w:kern w:val="2"/>
      <w:sz w:val="24"/>
      <w:szCs w:val="24"/>
      <w:lang w:val="en-US" w:eastAsia="zh-CN"/>
    </w:rPr>
  </w:style>
  <w:style w:type="character" w:customStyle="1" w:styleId="1Char631">
    <w:name w:val="表题1 Char631"/>
    <w:rPr>
      <w:rFonts w:ascii="黑体" w:eastAsia="黑体" w:hAnsi="Arial" w:cs="Arial"/>
      <w:b/>
      <w:kern w:val="2"/>
      <w:sz w:val="24"/>
      <w:szCs w:val="24"/>
      <w:lang w:val="en-US" w:eastAsia="zh-CN"/>
    </w:rPr>
  </w:style>
  <w:style w:type="character" w:customStyle="1" w:styleId="Char330">
    <w:name w:val="题注 Char33"/>
    <w:qFormat/>
    <w:rPr>
      <w:rFonts w:ascii="黑体" w:eastAsia="黑体" w:hAnsi="Arial" w:cs="Arial"/>
      <w:b/>
      <w:kern w:val="2"/>
      <w:sz w:val="24"/>
      <w:szCs w:val="24"/>
      <w:lang w:val="en-US" w:eastAsia="zh-CN"/>
    </w:rPr>
  </w:style>
  <w:style w:type="character" w:customStyle="1" w:styleId="CharChar2117">
    <w:name w:val="Char Char2117"/>
    <w:qFormat/>
    <w:rPr>
      <w:rFonts w:ascii="黑体" w:eastAsia="宋体"/>
      <w:kern w:val="2"/>
      <w:sz w:val="16"/>
      <w:szCs w:val="16"/>
      <w:lang w:val="en-US" w:eastAsia="zh-CN"/>
    </w:rPr>
  </w:style>
  <w:style w:type="character" w:customStyle="1" w:styleId="Char411">
    <w:name w:val="正文缩进 Char41"/>
    <w:qFormat/>
    <w:rPr>
      <w:rFonts w:ascii="宋体" w:eastAsia="宋体" w:hAnsi="宋体" w:cs="宋体"/>
      <w:color w:val="000000"/>
      <w:kern w:val="2"/>
      <w:sz w:val="24"/>
      <w:szCs w:val="24"/>
      <w:lang w:val="en-US" w:eastAsia="zh-CN"/>
    </w:rPr>
  </w:style>
  <w:style w:type="character" w:customStyle="1" w:styleId="Char131">
    <w:name w:val="图表题 Char13"/>
    <w:qFormat/>
    <w:rPr>
      <w:rFonts w:ascii="黑体" w:eastAsia="黑体" w:hAnsi="宋体" w:cs="宋体"/>
      <w:b/>
      <w:bCs/>
      <w:kern w:val="2"/>
      <w:sz w:val="24"/>
      <w:szCs w:val="24"/>
      <w:lang w:val="en-US" w:eastAsia="zh-CN"/>
    </w:rPr>
  </w:style>
  <w:style w:type="character" w:customStyle="1" w:styleId="4Char21">
    <w:name w:val="标题4 Char21"/>
    <w:rPr>
      <w:rFonts w:ascii="黑体" w:eastAsia="黑体" w:hAnsi="Arial" w:cs="Times New Roman"/>
      <w:b/>
      <w:bCs/>
      <w:kern w:val="2"/>
      <w:sz w:val="24"/>
      <w:szCs w:val="28"/>
      <w:lang w:val="en-US" w:eastAsia="zh-CN"/>
    </w:rPr>
  </w:style>
  <w:style w:type="character" w:customStyle="1" w:styleId="Char318">
    <w:name w:val="页脚 Char31"/>
    <w:qFormat/>
    <w:rPr>
      <w:rFonts w:eastAsia="宋体"/>
      <w:kern w:val="2"/>
      <w:sz w:val="18"/>
      <w:szCs w:val="18"/>
      <w:lang w:val="en-US" w:eastAsia="zh-CN"/>
    </w:rPr>
  </w:style>
  <w:style w:type="character" w:customStyle="1" w:styleId="113">
    <w:name w:val="章标题 11"/>
    <w:qFormat/>
    <w:rPr>
      <w:rFonts w:ascii="黑体" w:eastAsia="黑体" w:hAnsi="宋体" w:cs="宋体"/>
      <w:kern w:val="2"/>
      <w:sz w:val="32"/>
      <w:szCs w:val="24"/>
      <w:lang w:val="en-US" w:eastAsia="zh-CN"/>
    </w:rPr>
  </w:style>
  <w:style w:type="character" w:customStyle="1" w:styleId="Char3c">
    <w:name w:val="图题注 Char3"/>
    <w:qFormat/>
    <w:rPr>
      <w:rFonts w:ascii="黑体" w:eastAsia="黑体" w:hAnsi="Arial" w:cs="宋体"/>
      <w:b/>
      <w:bCs/>
      <w:kern w:val="2"/>
      <w:sz w:val="24"/>
      <w:szCs w:val="24"/>
      <w:lang w:val="en-US" w:eastAsia="zh-CN"/>
    </w:rPr>
  </w:style>
  <w:style w:type="character" w:customStyle="1" w:styleId="Char45">
    <w:name w:val="正文格式 Char4"/>
    <w:qFormat/>
    <w:rPr>
      <w:rFonts w:ascii="宋体" w:eastAsia="宋体" w:hAnsi="宋体"/>
      <w:kern w:val="2"/>
      <w:sz w:val="24"/>
      <w:szCs w:val="24"/>
      <w:lang w:val="en-US" w:eastAsia="zh-CN"/>
    </w:rPr>
  </w:style>
  <w:style w:type="character" w:customStyle="1" w:styleId="CharChar310">
    <w:name w:val="Char Char310"/>
    <w:qFormat/>
    <w:rPr>
      <w:rFonts w:ascii="黑体" w:eastAsia="黑体" w:hAnsi="宋体"/>
      <w:b/>
      <w:bCs/>
      <w:kern w:val="2"/>
      <w:sz w:val="28"/>
      <w:szCs w:val="28"/>
      <w:lang w:val="en-US" w:eastAsia="zh-CN"/>
    </w:rPr>
  </w:style>
  <w:style w:type="character" w:customStyle="1" w:styleId="Char91">
    <w:name w:val="表格内字体 Char9"/>
    <w:rPr>
      <w:rFonts w:ascii="宋体" w:eastAsia="宋体" w:hAnsi="宋体"/>
      <w:kern w:val="2"/>
      <w:sz w:val="21"/>
      <w:szCs w:val="24"/>
      <w:lang w:val="en-US" w:eastAsia="zh-CN"/>
    </w:rPr>
  </w:style>
  <w:style w:type="character" w:customStyle="1" w:styleId="Char1fc">
    <w:name w:val="环评正文 Char1"/>
    <w:rPr>
      <w:rFonts w:eastAsia="宋体"/>
      <w:bCs/>
      <w:kern w:val="2"/>
      <w:sz w:val="24"/>
      <w:szCs w:val="24"/>
      <w:lang w:val="en-US" w:eastAsia="zh-CN"/>
    </w:rPr>
  </w:style>
  <w:style w:type="character" w:customStyle="1" w:styleId="3Char111">
    <w:name w:val="标题 3 Char11"/>
    <w:rPr>
      <w:rFonts w:ascii="黑体" w:eastAsia="黑体" w:hAnsi="宋体"/>
      <w:b/>
      <w:bCs/>
      <w:kern w:val="2"/>
      <w:sz w:val="28"/>
      <w:szCs w:val="28"/>
      <w:lang w:val="en-US" w:eastAsia="zh-CN"/>
    </w:rPr>
  </w:style>
  <w:style w:type="character" w:customStyle="1" w:styleId="CharCharCharCharCharCCharCharCharCharCharCharChar">
    <w:name w:val="普通文字 Char Char Char Char Char C Char Char Char Char Char Char Char"/>
    <w:qFormat/>
    <w:rPr>
      <w:rFonts w:ascii="宋体" w:eastAsia="宋体" w:hAnsi="Courier New" w:cs="宋体"/>
      <w:kern w:val="2"/>
      <w:sz w:val="28"/>
      <w:szCs w:val="24"/>
      <w:lang w:val="en-US" w:eastAsia="zh-CN"/>
    </w:rPr>
  </w:style>
  <w:style w:type="character" w:customStyle="1" w:styleId="CharChar58">
    <w:name w:val="Char Char58"/>
    <w:qFormat/>
    <w:rPr>
      <w:rFonts w:ascii="黑体" w:eastAsia="黑体" w:hAnsi="宋体"/>
      <w:bCs/>
      <w:kern w:val="2"/>
      <w:sz w:val="28"/>
      <w:szCs w:val="28"/>
      <w:lang w:val="en-US" w:eastAsia="zh-CN"/>
    </w:rPr>
  </w:style>
  <w:style w:type="character" w:customStyle="1" w:styleId="Char213">
    <w:name w:val="文档结构图 Char21"/>
    <w:qFormat/>
    <w:rPr>
      <w:rFonts w:eastAsia="宋体"/>
      <w:kern w:val="2"/>
      <w:sz w:val="21"/>
      <w:szCs w:val="24"/>
      <w:shd w:val="clear" w:color="auto" w:fill="000080"/>
      <w:lang w:val="en-US" w:eastAsia="zh-CN"/>
    </w:rPr>
  </w:style>
  <w:style w:type="character" w:customStyle="1" w:styleId="2Char50">
    <w:name w:val="标题 2 Char5"/>
    <w:qFormat/>
    <w:rPr>
      <w:rFonts w:ascii="黑体" w:eastAsia="黑体" w:hAnsi="Arial"/>
      <w:bCs/>
      <w:kern w:val="2"/>
      <w:sz w:val="30"/>
      <w:szCs w:val="30"/>
      <w:lang w:val="en-US" w:eastAsia="zh-CN"/>
    </w:rPr>
  </w:style>
  <w:style w:type="character" w:customStyle="1" w:styleId="Char510">
    <w:name w:val="正文格式 Char51"/>
    <w:qFormat/>
    <w:rPr>
      <w:rFonts w:ascii="宋体" w:eastAsia="宋体" w:hAnsi="宋体"/>
      <w:kern w:val="2"/>
      <w:sz w:val="24"/>
      <w:szCs w:val="24"/>
      <w:lang w:val="en-US" w:eastAsia="zh-CN"/>
    </w:rPr>
  </w:style>
  <w:style w:type="character" w:customStyle="1" w:styleId="Char143">
    <w:name w:val="正文修改 Char143"/>
    <w:qFormat/>
    <w:rPr>
      <w:rFonts w:ascii="宋体" w:eastAsia="宋体" w:hAnsi="Times New Roman" w:cs="宋体"/>
      <w:kern w:val="2"/>
      <w:sz w:val="24"/>
      <w:szCs w:val="24"/>
      <w:lang w:val="en-US" w:eastAsia="zh-CN"/>
    </w:rPr>
  </w:style>
  <w:style w:type="character" w:customStyle="1" w:styleId="CharChar617">
    <w:name w:val="Char Char617"/>
    <w:rPr>
      <w:rFonts w:ascii="黑体" w:eastAsia="黑体"/>
      <w:b/>
      <w:bCs/>
      <w:kern w:val="2"/>
      <w:sz w:val="28"/>
      <w:szCs w:val="28"/>
      <w:lang w:val="en-US" w:eastAsia="zh-CN"/>
    </w:rPr>
  </w:style>
  <w:style w:type="character" w:customStyle="1" w:styleId="Char4CharCharCharChar11">
    <w:name w:val="Char4 Char Char Char Char11"/>
    <w:qFormat/>
    <w:rPr>
      <w:rFonts w:eastAsia="仿宋_GB2312"/>
      <w:kern w:val="2"/>
      <w:sz w:val="28"/>
      <w:szCs w:val="24"/>
      <w:lang w:val="en-US" w:eastAsia="zh-CN"/>
    </w:rPr>
  </w:style>
  <w:style w:type="character" w:customStyle="1" w:styleId="4Char31">
    <w:name w:val="标题4 Char31"/>
    <w:qFormat/>
    <w:rPr>
      <w:rFonts w:ascii="黑体" w:eastAsia="黑体" w:hAnsi="Arial" w:cs="Times New Roman"/>
      <w:b/>
      <w:bCs/>
      <w:kern w:val="2"/>
      <w:sz w:val="24"/>
      <w:szCs w:val="28"/>
      <w:lang w:val="en-US" w:eastAsia="zh-CN"/>
    </w:rPr>
  </w:style>
  <w:style w:type="character" w:customStyle="1" w:styleId="Char214">
    <w:name w:val="图题 Char21"/>
    <w:rPr>
      <w:rFonts w:ascii="黑体" w:eastAsia="黑体" w:hAnsi="宋体" w:cs="宋体"/>
      <w:b/>
      <w:bCs/>
      <w:kern w:val="2"/>
      <w:sz w:val="24"/>
      <w:szCs w:val="24"/>
      <w:lang w:val="en-US" w:eastAsia="zh-CN"/>
    </w:rPr>
  </w:style>
  <w:style w:type="character" w:customStyle="1" w:styleId="Char141">
    <w:name w:val="题注 Char14"/>
    <w:qFormat/>
    <w:rPr>
      <w:rFonts w:ascii="黑体" w:eastAsia="黑体" w:hAnsi="Arial" w:cs="Arial"/>
      <w:b/>
      <w:kern w:val="2"/>
      <w:sz w:val="24"/>
      <w:szCs w:val="24"/>
      <w:lang w:val="en-US" w:eastAsia="zh-CN"/>
    </w:rPr>
  </w:style>
  <w:style w:type="character" w:customStyle="1" w:styleId="CharChar33">
    <w:name w:val="Char Char33"/>
    <w:qFormat/>
    <w:rPr>
      <w:rFonts w:ascii="黑体" w:eastAsia="黑体" w:hAnsi="宋体"/>
      <w:b/>
      <w:bCs/>
      <w:kern w:val="2"/>
      <w:sz w:val="28"/>
      <w:szCs w:val="28"/>
      <w:lang w:val="en-US" w:eastAsia="zh-CN"/>
    </w:rPr>
  </w:style>
  <w:style w:type="character" w:customStyle="1" w:styleId="5Char5">
    <w:name w:val="表内5 Char5"/>
    <w:qFormat/>
    <w:rPr>
      <w:rFonts w:ascii="宋体" w:eastAsia="宋体" w:hAnsi="宋体" w:cs="Times New Roman"/>
      <w:kern w:val="2"/>
      <w:sz w:val="24"/>
      <w:szCs w:val="24"/>
      <w:lang w:val="en-US" w:eastAsia="zh-CN"/>
    </w:rPr>
  </w:style>
  <w:style w:type="character" w:customStyle="1" w:styleId="3Char141">
    <w:name w:val="标题 3 Char141"/>
    <w:qFormat/>
    <w:rPr>
      <w:rFonts w:ascii="黑体" w:eastAsia="黑体" w:hAnsi="宋体" w:cs="Times New Roman"/>
      <w:b/>
      <w:bCs/>
      <w:kern w:val="2"/>
      <w:sz w:val="28"/>
      <w:szCs w:val="28"/>
      <w:lang w:val="en-US" w:eastAsia="zh-CN"/>
    </w:rPr>
  </w:style>
  <w:style w:type="character" w:customStyle="1" w:styleId="CharChar661">
    <w:name w:val="Char Char661"/>
    <w:qFormat/>
    <w:rPr>
      <w:rFonts w:ascii="黑体" w:eastAsia="黑体"/>
      <w:b/>
      <w:bCs/>
      <w:kern w:val="2"/>
      <w:sz w:val="28"/>
      <w:szCs w:val="28"/>
      <w:lang w:val="en-US" w:eastAsia="zh-CN"/>
    </w:rPr>
  </w:style>
  <w:style w:type="character" w:customStyle="1" w:styleId="Char132">
    <w:name w:val="节 Char13"/>
    <w:qFormat/>
    <w:rPr>
      <w:rFonts w:ascii="黑体" w:eastAsia="黑体" w:hAnsi="Arial"/>
      <w:bCs/>
      <w:kern w:val="2"/>
      <w:sz w:val="30"/>
      <w:szCs w:val="30"/>
      <w:lang w:val="en-US" w:eastAsia="zh-CN"/>
    </w:rPr>
  </w:style>
  <w:style w:type="character" w:customStyle="1" w:styleId="Char14111">
    <w:name w:val="正文修改 Char14111"/>
    <w:qFormat/>
    <w:rPr>
      <w:rFonts w:ascii="宋体" w:cs="宋体"/>
      <w:kern w:val="2"/>
      <w:sz w:val="24"/>
      <w:szCs w:val="24"/>
    </w:rPr>
  </w:style>
  <w:style w:type="character" w:customStyle="1" w:styleId="Char331">
    <w:name w:val="题注 Char331"/>
    <w:qFormat/>
    <w:rPr>
      <w:rFonts w:ascii="黑体" w:eastAsia="黑体" w:hAnsi="Arial" w:cs="Arial"/>
      <w:b/>
      <w:kern w:val="2"/>
      <w:sz w:val="24"/>
      <w:szCs w:val="24"/>
      <w:lang w:val="en-US" w:eastAsia="zh-CN"/>
    </w:rPr>
  </w:style>
  <w:style w:type="character" w:customStyle="1" w:styleId="CharChar112">
    <w:name w:val="Char Char112"/>
    <w:rPr>
      <w:rFonts w:ascii="黑体" w:eastAsia="黑体" w:hAnsi="Arial"/>
      <w:bCs/>
      <w:kern w:val="2"/>
      <w:sz w:val="30"/>
      <w:szCs w:val="30"/>
      <w:lang w:val="en-US" w:eastAsia="zh-CN"/>
    </w:rPr>
  </w:style>
  <w:style w:type="character" w:customStyle="1" w:styleId="Char72">
    <w:name w:val="正文格式 Char7"/>
    <w:rPr>
      <w:rFonts w:ascii="宋体" w:eastAsia="宋体" w:hAnsi="宋体"/>
      <w:kern w:val="2"/>
      <w:sz w:val="24"/>
      <w:szCs w:val="24"/>
      <w:lang w:val="en-US" w:eastAsia="zh-CN"/>
    </w:rPr>
  </w:style>
  <w:style w:type="character" w:customStyle="1" w:styleId="1Char412">
    <w:name w:val="表题1 Char412"/>
    <w:qFormat/>
    <w:rPr>
      <w:rFonts w:ascii="黑体" w:eastAsia="黑体" w:hAnsi="Arial" w:cs="Arial"/>
      <w:b/>
      <w:kern w:val="2"/>
      <w:sz w:val="24"/>
      <w:szCs w:val="24"/>
      <w:lang w:val="en-US" w:eastAsia="zh-CN"/>
    </w:rPr>
  </w:style>
  <w:style w:type="character" w:customStyle="1" w:styleId="Char1211">
    <w:name w:val="正文修改 Char1211"/>
    <w:qFormat/>
    <w:rPr>
      <w:rFonts w:ascii="宋体" w:eastAsia="宋体" w:hAnsi="宋体" w:cs="宋体"/>
      <w:color w:val="000000"/>
      <w:kern w:val="2"/>
      <w:sz w:val="24"/>
      <w:szCs w:val="24"/>
      <w:lang w:val="en-US" w:eastAsia="zh-CN"/>
    </w:rPr>
  </w:style>
  <w:style w:type="character" w:customStyle="1" w:styleId="Char412">
    <w:name w:val="文档结构图 Char41"/>
    <w:qFormat/>
    <w:rPr>
      <w:rFonts w:ascii="Times New Roman" w:eastAsia="宋体" w:hAnsi="Times New Roman" w:cs="Times New Roman"/>
      <w:kern w:val="2"/>
      <w:sz w:val="24"/>
      <w:szCs w:val="24"/>
      <w:shd w:val="clear" w:color="auto" w:fill="000080"/>
      <w:lang w:val="en-US" w:eastAsia="zh-CN"/>
    </w:rPr>
  </w:style>
  <w:style w:type="character" w:customStyle="1" w:styleId="1Char110">
    <w:name w:val="表题1 Char11"/>
    <w:qFormat/>
    <w:rPr>
      <w:rFonts w:eastAsia="宋体" w:hAnsi="Arial" w:cs="Arial"/>
      <w:kern w:val="2"/>
      <w:sz w:val="24"/>
      <w:szCs w:val="24"/>
      <w:lang w:val="en-US" w:eastAsia="zh-CN"/>
    </w:rPr>
  </w:style>
  <w:style w:type="character" w:customStyle="1" w:styleId="Char114">
    <w:name w:val="图题注 Char11"/>
    <w:qFormat/>
    <w:rPr>
      <w:rFonts w:ascii="黑体" w:eastAsia="黑体" w:hAnsi="Arial" w:cs="宋体"/>
      <w:b/>
      <w:bCs/>
      <w:kern w:val="2"/>
      <w:sz w:val="24"/>
      <w:szCs w:val="24"/>
      <w:lang w:val="en-US" w:eastAsia="zh-CN"/>
    </w:rPr>
  </w:style>
  <w:style w:type="character" w:customStyle="1" w:styleId="1Char2">
    <w:name w:val="正文文本1 Char"/>
    <w:qFormat/>
    <w:rPr>
      <w:rFonts w:eastAsia="仿宋_GB2312"/>
      <w:kern w:val="2"/>
      <w:sz w:val="24"/>
      <w:szCs w:val="24"/>
      <w:lang w:val="en-US" w:eastAsia="zh-CN"/>
    </w:rPr>
  </w:style>
  <w:style w:type="character" w:customStyle="1" w:styleId="3Char101">
    <w:name w:val="标题 3 Char101"/>
    <w:qFormat/>
    <w:rPr>
      <w:rFonts w:ascii="黑体" w:eastAsia="黑体" w:hAnsi="宋体"/>
      <w:b/>
      <w:bCs/>
      <w:kern w:val="2"/>
      <w:sz w:val="28"/>
      <w:szCs w:val="28"/>
      <w:lang w:val="en-US" w:eastAsia="zh-CN"/>
    </w:rPr>
  </w:style>
  <w:style w:type="character" w:customStyle="1" w:styleId="3Char131">
    <w:name w:val="标题 3 Char131"/>
    <w:qFormat/>
    <w:rPr>
      <w:rFonts w:ascii="黑体" w:eastAsia="黑体" w:hAnsi="宋体"/>
      <w:b/>
      <w:bCs/>
      <w:kern w:val="2"/>
      <w:sz w:val="28"/>
      <w:szCs w:val="28"/>
      <w:lang w:val="en-US" w:eastAsia="zh-CN"/>
    </w:rPr>
  </w:style>
  <w:style w:type="character" w:customStyle="1" w:styleId="al11">
    <w:name w:val="al11"/>
    <w:rPr>
      <w:color w:val="333333"/>
      <w:sz w:val="18"/>
      <w:szCs w:val="18"/>
    </w:rPr>
  </w:style>
  <w:style w:type="character" w:customStyle="1" w:styleId="CharChar214">
    <w:name w:val="Char Char214"/>
    <w:qFormat/>
    <w:rPr>
      <w:rFonts w:ascii="黑体" w:eastAsia="宋体"/>
      <w:kern w:val="2"/>
      <w:sz w:val="16"/>
      <w:szCs w:val="16"/>
      <w:lang w:val="en-US" w:eastAsia="zh-CN"/>
    </w:rPr>
  </w:style>
  <w:style w:type="character" w:customStyle="1" w:styleId="3Char310">
    <w:name w:val="正文文本 3 Char31"/>
    <w:rPr>
      <w:rFonts w:ascii="Times New Roman" w:eastAsia="宋体" w:hAnsi="Times New Roman" w:cs="Times New Roman"/>
      <w:kern w:val="2"/>
      <w:sz w:val="16"/>
      <w:szCs w:val="16"/>
      <w:lang w:val="en-US" w:eastAsia="zh-CN"/>
    </w:rPr>
  </w:style>
  <w:style w:type="character" w:customStyle="1" w:styleId="9Char1">
    <w:name w:val="标题 9 Char1"/>
    <w:qFormat/>
    <w:rPr>
      <w:rFonts w:ascii="Arial" w:eastAsia="黑体" w:hAnsi="Arial"/>
      <w:kern w:val="2"/>
      <w:sz w:val="21"/>
      <w:szCs w:val="21"/>
      <w:lang w:val="en-US" w:eastAsia="zh-CN"/>
    </w:rPr>
  </w:style>
  <w:style w:type="character" w:customStyle="1" w:styleId="Char171">
    <w:name w:val="燕山正文 Char171"/>
    <w:qFormat/>
    <w:rPr>
      <w:rFonts w:ascii="宋体" w:eastAsia="宋体" w:hAnsi="Times New Roman" w:cs="宋体"/>
      <w:kern w:val="2"/>
      <w:sz w:val="24"/>
      <w:szCs w:val="24"/>
      <w:lang w:val="en-US" w:eastAsia="zh-CN"/>
    </w:rPr>
  </w:style>
  <w:style w:type="character" w:customStyle="1" w:styleId="Char81">
    <w:name w:val="正文格式 Char81"/>
    <w:qFormat/>
    <w:rPr>
      <w:rFonts w:ascii="宋体" w:eastAsia="宋体" w:hAnsi="宋体"/>
      <w:kern w:val="2"/>
      <w:sz w:val="24"/>
      <w:szCs w:val="24"/>
      <w:lang w:val="en-US" w:eastAsia="zh-CN"/>
    </w:rPr>
  </w:style>
  <w:style w:type="character" w:customStyle="1" w:styleId="CharChar65">
    <w:name w:val="Char Char65"/>
    <w:qFormat/>
    <w:rPr>
      <w:rFonts w:ascii="黑体" w:eastAsia="黑体"/>
      <w:b/>
      <w:bCs/>
      <w:kern w:val="2"/>
      <w:sz w:val="28"/>
      <w:szCs w:val="28"/>
      <w:lang w:val="en-US" w:eastAsia="zh-CN"/>
    </w:rPr>
  </w:style>
  <w:style w:type="character" w:customStyle="1" w:styleId="CharChar410">
    <w:name w:val="Char Char410"/>
    <w:qFormat/>
    <w:rPr>
      <w:rFonts w:ascii="黑体" w:eastAsia="黑体" w:hAnsi="Arial"/>
      <w:b/>
      <w:bCs/>
      <w:kern w:val="2"/>
      <w:sz w:val="30"/>
      <w:szCs w:val="30"/>
      <w:lang w:val="en-US" w:eastAsia="zh-CN"/>
    </w:rPr>
  </w:style>
  <w:style w:type="character" w:customStyle="1" w:styleId="5Char51">
    <w:name w:val="样式 表内小5 + 黑体 加粗 倾斜 下划线 Char51"/>
    <w:qFormat/>
    <w:rPr>
      <w:rFonts w:ascii="黑体" w:eastAsia="黑体" w:hAnsi="黑体"/>
      <w:b/>
      <w:bCs/>
      <w:i/>
      <w:iCs/>
      <w:kern w:val="2"/>
      <w:sz w:val="18"/>
      <w:szCs w:val="24"/>
      <w:u w:val="single"/>
      <w:lang w:val="en-US" w:eastAsia="zh-CN"/>
    </w:rPr>
  </w:style>
  <w:style w:type="character" w:customStyle="1" w:styleId="CharChar183">
    <w:name w:val="Char Char183"/>
    <w:qFormat/>
    <w:rPr>
      <w:rFonts w:ascii="宋体" w:eastAsia="宋体" w:hAnsi="Times New Roman" w:cs="Times New Roman"/>
      <w:sz w:val="24"/>
      <w:szCs w:val="24"/>
    </w:rPr>
  </w:style>
  <w:style w:type="character" w:customStyle="1" w:styleId="Char46">
    <w:name w:val="表格内字体 Char4"/>
    <w:qFormat/>
    <w:rPr>
      <w:rFonts w:ascii="宋体" w:eastAsia="宋体" w:hAnsi="宋体"/>
      <w:kern w:val="2"/>
      <w:sz w:val="21"/>
      <w:szCs w:val="24"/>
      <w:lang w:val="en-US" w:eastAsia="zh-CN"/>
    </w:rPr>
  </w:style>
  <w:style w:type="character" w:customStyle="1" w:styleId="5Char11">
    <w:name w:val="表内5 Char11"/>
    <w:qFormat/>
    <w:rPr>
      <w:rFonts w:ascii="宋体" w:eastAsia="宋体" w:hAnsi="宋体" w:cs="Times New Roman"/>
      <w:kern w:val="2"/>
      <w:sz w:val="24"/>
      <w:szCs w:val="24"/>
      <w:lang w:val="en-US" w:eastAsia="zh-CN"/>
    </w:rPr>
  </w:style>
  <w:style w:type="character" w:customStyle="1" w:styleId="Char1310">
    <w:name w:val="正文缩进 Char131"/>
    <w:qFormat/>
    <w:rPr>
      <w:rFonts w:ascii="宋体" w:eastAsia="宋体" w:hAnsi="宋体" w:cs="宋体"/>
      <w:color w:val="000000"/>
      <w:kern w:val="2"/>
      <w:sz w:val="24"/>
      <w:szCs w:val="24"/>
      <w:lang w:val="en-US" w:eastAsia="zh-CN"/>
    </w:rPr>
  </w:style>
  <w:style w:type="character" w:customStyle="1" w:styleId="Char3d">
    <w:name w:val="二级项 Char3"/>
    <w:qFormat/>
    <w:rPr>
      <w:rFonts w:ascii="Arial" w:eastAsia="黑体" w:hAnsi="Arial"/>
      <w:b/>
      <w:bCs/>
      <w:kern w:val="2"/>
      <w:sz w:val="24"/>
      <w:szCs w:val="24"/>
      <w:lang w:val="en-US" w:eastAsia="zh-CN"/>
    </w:rPr>
  </w:style>
  <w:style w:type="character" w:customStyle="1" w:styleId="Char142">
    <w:name w:val="正文修改 Char142"/>
    <w:qFormat/>
    <w:rPr>
      <w:rFonts w:ascii="宋体" w:cs="宋体"/>
      <w:kern w:val="2"/>
      <w:sz w:val="24"/>
      <w:szCs w:val="24"/>
    </w:rPr>
  </w:style>
  <w:style w:type="character" w:customStyle="1" w:styleId="2Char210">
    <w:name w:val="正文首行缩进 2 Char21"/>
    <w:rPr>
      <w:rFonts w:ascii="宋体" w:eastAsia="仿宋_GB2312" w:hAnsi="宋体" w:cs="宋体"/>
      <w:color w:val="000000"/>
      <w:kern w:val="2"/>
      <w:sz w:val="21"/>
      <w:szCs w:val="24"/>
      <w:lang w:val="en-US" w:eastAsia="zh-CN"/>
    </w:rPr>
  </w:style>
  <w:style w:type="character" w:customStyle="1" w:styleId="Char215">
    <w:name w:val="题注 Char21"/>
    <w:qFormat/>
    <w:rPr>
      <w:rFonts w:ascii="黑体" w:eastAsia="黑体" w:hAnsi="Arial" w:cs="Arial"/>
      <w:b/>
      <w:kern w:val="2"/>
      <w:sz w:val="24"/>
      <w:szCs w:val="24"/>
      <w:lang w:val="en-US" w:eastAsia="zh-CN"/>
    </w:rPr>
  </w:style>
  <w:style w:type="character" w:customStyle="1" w:styleId="Char521">
    <w:name w:val="题注 Char521"/>
    <w:qFormat/>
    <w:rPr>
      <w:rFonts w:ascii="黑体" w:eastAsia="黑体" w:hAnsi="Arial" w:cs="Arial"/>
      <w:b/>
      <w:kern w:val="2"/>
      <w:sz w:val="24"/>
      <w:szCs w:val="24"/>
      <w:lang w:val="en-US" w:eastAsia="zh-CN"/>
    </w:rPr>
  </w:style>
  <w:style w:type="character" w:customStyle="1" w:styleId="Char2110">
    <w:name w:val="表中文字 Char211"/>
    <w:qFormat/>
    <w:rPr>
      <w:rFonts w:ascii="宋体" w:eastAsia="宋体"/>
      <w:kern w:val="2"/>
      <w:sz w:val="21"/>
      <w:szCs w:val="21"/>
      <w:lang w:val="en-US" w:eastAsia="zh-CN"/>
    </w:rPr>
  </w:style>
  <w:style w:type="character" w:customStyle="1" w:styleId="Char1231">
    <w:name w:val="正文修改 Char1231"/>
    <w:qFormat/>
    <w:rPr>
      <w:rFonts w:ascii="宋体" w:eastAsia="宋体" w:hAnsi="宋体" w:cs="宋体"/>
      <w:color w:val="000000"/>
      <w:kern w:val="2"/>
      <w:sz w:val="24"/>
      <w:szCs w:val="24"/>
      <w:lang w:val="en-US" w:eastAsia="zh-CN"/>
    </w:rPr>
  </w:style>
  <w:style w:type="character" w:customStyle="1" w:styleId="CharChar91">
    <w:name w:val="Char Char91"/>
    <w:qFormat/>
    <w:rPr>
      <w:rFonts w:eastAsia="宋体"/>
      <w:kern w:val="2"/>
      <w:sz w:val="21"/>
      <w:szCs w:val="24"/>
      <w:shd w:val="clear" w:color="auto" w:fill="000080"/>
      <w:lang w:val="en-US" w:eastAsia="zh-CN"/>
    </w:rPr>
  </w:style>
  <w:style w:type="character" w:customStyle="1" w:styleId="attach-title1">
    <w:name w:val="attach-title1"/>
    <w:qFormat/>
    <w:rPr>
      <w:b/>
      <w:bCs/>
      <w:color w:val="008080"/>
      <w:sz w:val="27"/>
      <w:szCs w:val="27"/>
    </w:rPr>
  </w:style>
  <w:style w:type="character" w:customStyle="1" w:styleId="CharCharfffc">
    <w:name w:val="我的样式（正文） Char Char"/>
    <w:qFormat/>
    <w:rPr>
      <w:rFonts w:ascii="宋体" w:eastAsia="宋体" w:hAnsi="华文楷体" w:cs="宋体"/>
      <w:kern w:val="2"/>
      <w:sz w:val="24"/>
      <w:szCs w:val="24"/>
      <w:lang w:val="en-US" w:eastAsia="zh-CN"/>
    </w:rPr>
  </w:style>
  <w:style w:type="character" w:customStyle="1" w:styleId="Char3e">
    <w:name w:val="无级项 Char3"/>
    <w:qFormat/>
    <w:rPr>
      <w:rFonts w:eastAsia="宋体"/>
      <w:b/>
      <w:bCs/>
      <w:kern w:val="2"/>
      <w:sz w:val="24"/>
      <w:szCs w:val="24"/>
      <w:lang w:val="en-US" w:eastAsia="zh-CN"/>
    </w:rPr>
  </w:style>
  <w:style w:type="character" w:customStyle="1" w:styleId="1Char91">
    <w:name w:val="表题1 Char91"/>
    <w:qFormat/>
    <w:rPr>
      <w:rFonts w:ascii="黑体" w:eastAsia="黑体" w:hAnsi="Arial" w:cs="Arial"/>
      <w:b/>
      <w:kern w:val="2"/>
      <w:sz w:val="24"/>
      <w:szCs w:val="24"/>
      <w:lang w:val="en-US" w:eastAsia="zh-CN"/>
    </w:rPr>
  </w:style>
  <w:style w:type="character" w:customStyle="1" w:styleId="Char2f">
    <w:name w:val="批注框文本 Char2"/>
    <w:qFormat/>
    <w:rPr>
      <w:rFonts w:eastAsia="宋体"/>
      <w:kern w:val="2"/>
      <w:sz w:val="18"/>
      <w:szCs w:val="18"/>
      <w:lang w:val="en-US" w:eastAsia="zh-CN"/>
    </w:rPr>
  </w:style>
  <w:style w:type="character" w:customStyle="1" w:styleId="Charffd">
    <w:name w:val="文字缩进 Char"/>
    <w:qFormat/>
    <w:rPr>
      <w:rFonts w:ascii="宋体" w:eastAsia="宋体" w:hAnsi="Courier New"/>
      <w:kern w:val="2"/>
      <w:sz w:val="21"/>
      <w:lang w:val="en-US" w:eastAsia="zh-CN"/>
    </w:rPr>
  </w:style>
  <w:style w:type="character" w:customStyle="1" w:styleId="5Char12">
    <w:name w:val="表内5 Char1"/>
    <w:qFormat/>
    <w:rPr>
      <w:rFonts w:ascii="宋体" w:eastAsia="宋体" w:hAnsi="宋体" w:cs="Times New Roman"/>
      <w:kern w:val="2"/>
      <w:sz w:val="24"/>
      <w:szCs w:val="24"/>
      <w:lang w:val="en-US" w:eastAsia="zh-CN"/>
    </w:rPr>
  </w:style>
  <w:style w:type="character" w:customStyle="1" w:styleId="5Char21">
    <w:name w:val="样式 表内小5 + 黑体 加粗 倾斜 下划线 Char21"/>
    <w:qFormat/>
    <w:rPr>
      <w:rFonts w:ascii="黑体" w:eastAsia="黑体" w:hAnsi="黑体"/>
      <w:b/>
      <w:bCs/>
      <w:i/>
      <w:iCs/>
      <w:kern w:val="2"/>
      <w:sz w:val="18"/>
      <w:szCs w:val="24"/>
      <w:u w:val="single"/>
      <w:lang w:val="en-US" w:eastAsia="zh-CN"/>
    </w:rPr>
  </w:style>
  <w:style w:type="character" w:customStyle="1" w:styleId="Char2111">
    <w:name w:val="题注 Char2111"/>
    <w:qFormat/>
    <w:rPr>
      <w:rFonts w:ascii="黑体" w:eastAsia="黑体" w:hAnsi="Arial" w:cs="Arial"/>
      <w:b/>
      <w:kern w:val="2"/>
      <w:sz w:val="24"/>
      <w:szCs w:val="24"/>
      <w:lang w:val="en-US" w:eastAsia="zh-CN"/>
    </w:rPr>
  </w:style>
  <w:style w:type="character" w:customStyle="1" w:styleId="head121">
    <w:name w:val="head121"/>
    <w:qFormat/>
    <w:rPr>
      <w:rFonts w:eastAsia="宋体"/>
      <w:kern w:val="2"/>
      <w:sz w:val="22"/>
      <w:szCs w:val="22"/>
      <w:lang w:val="en-US" w:eastAsia="zh-CN"/>
    </w:rPr>
  </w:style>
  <w:style w:type="character" w:customStyle="1" w:styleId="Char2130">
    <w:name w:val="题注 Char213"/>
    <w:qFormat/>
    <w:rPr>
      <w:rFonts w:ascii="黑体" w:eastAsia="黑体" w:hAnsi="Arial" w:cs="Arial"/>
      <w:b/>
      <w:kern w:val="2"/>
      <w:sz w:val="24"/>
      <w:szCs w:val="24"/>
      <w:lang w:val="en-US" w:eastAsia="zh-CN"/>
    </w:rPr>
  </w:style>
  <w:style w:type="character" w:customStyle="1" w:styleId="CharChar55">
    <w:name w:val="Char Char55"/>
    <w:qFormat/>
    <w:rPr>
      <w:rFonts w:ascii="黑体" w:eastAsia="黑体" w:hAnsi="宋体"/>
      <w:bCs/>
      <w:kern w:val="2"/>
      <w:sz w:val="28"/>
      <w:szCs w:val="28"/>
      <w:lang w:val="en-US" w:eastAsia="zh-CN"/>
    </w:rPr>
  </w:style>
  <w:style w:type="character" w:customStyle="1" w:styleId="2Char41">
    <w:name w:val="标题 2 Char41"/>
    <w:qFormat/>
    <w:rPr>
      <w:rFonts w:ascii="黑体" w:eastAsia="黑体" w:hAnsi="Arial" w:cs="Times New Roman"/>
      <w:bCs/>
      <w:kern w:val="2"/>
      <w:sz w:val="30"/>
      <w:szCs w:val="30"/>
      <w:lang w:val="en-US" w:eastAsia="zh-CN"/>
    </w:rPr>
  </w:style>
  <w:style w:type="character" w:customStyle="1" w:styleId="1Char421">
    <w:name w:val="表题1 Char421"/>
    <w:qFormat/>
    <w:rPr>
      <w:rFonts w:ascii="黑体" w:eastAsia="黑体" w:hAnsi="Arial" w:cs="Arial"/>
      <w:b/>
      <w:kern w:val="2"/>
      <w:sz w:val="24"/>
      <w:szCs w:val="24"/>
      <w:lang w:val="en-US" w:eastAsia="zh-CN"/>
    </w:rPr>
  </w:style>
  <w:style w:type="character" w:customStyle="1" w:styleId="Char1210">
    <w:name w:val="燕山正文 Char121"/>
    <w:qFormat/>
    <w:rPr>
      <w:rFonts w:ascii="宋体" w:eastAsia="宋体" w:cs="宋体"/>
      <w:kern w:val="2"/>
      <w:sz w:val="24"/>
      <w:szCs w:val="24"/>
      <w:lang w:val="en-US" w:eastAsia="zh-CN"/>
    </w:rPr>
  </w:style>
  <w:style w:type="character" w:customStyle="1" w:styleId="CharChar1113">
    <w:name w:val="Char Char1113"/>
    <w:qFormat/>
    <w:rPr>
      <w:rFonts w:ascii="黑体" w:eastAsia="黑体" w:hAnsi="Arial"/>
      <w:bCs/>
      <w:kern w:val="2"/>
      <w:sz w:val="30"/>
      <w:szCs w:val="30"/>
      <w:lang w:val="en-US" w:eastAsia="zh-CN"/>
    </w:rPr>
  </w:style>
  <w:style w:type="character" w:customStyle="1" w:styleId="Char241">
    <w:name w:val="表中文字 Char241"/>
    <w:qFormat/>
    <w:rPr>
      <w:rFonts w:ascii="宋体" w:eastAsia="宋体"/>
      <w:kern w:val="2"/>
      <w:sz w:val="21"/>
      <w:szCs w:val="21"/>
      <w:lang w:val="en-US" w:eastAsia="zh-CN"/>
    </w:rPr>
  </w:style>
  <w:style w:type="character" w:customStyle="1" w:styleId="CharChar616">
    <w:name w:val="Char Char616"/>
    <w:qFormat/>
    <w:rPr>
      <w:rFonts w:ascii="黑体" w:eastAsia="黑体"/>
      <w:b/>
      <w:bCs/>
      <w:kern w:val="2"/>
      <w:sz w:val="28"/>
      <w:szCs w:val="28"/>
      <w:lang w:val="en-US" w:eastAsia="zh-CN"/>
    </w:rPr>
  </w:style>
  <w:style w:type="character" w:customStyle="1" w:styleId="Char319">
    <w:name w:val="表格内字体 Char31"/>
    <w:qFormat/>
    <w:rPr>
      <w:rFonts w:ascii="宋体" w:eastAsia="宋体" w:hAnsi="宋体"/>
      <w:kern w:val="2"/>
      <w:sz w:val="21"/>
      <w:szCs w:val="24"/>
      <w:lang w:val="en-US" w:eastAsia="zh-CN"/>
    </w:rPr>
  </w:style>
  <w:style w:type="character" w:customStyle="1" w:styleId="CharChar59">
    <w:name w:val="Char Char59"/>
    <w:qFormat/>
    <w:rPr>
      <w:rFonts w:ascii="黑体" w:eastAsia="黑体" w:hAnsi="宋体"/>
      <w:bCs/>
      <w:kern w:val="2"/>
      <w:sz w:val="28"/>
      <w:szCs w:val="28"/>
      <w:lang w:val="en-US" w:eastAsia="zh-CN"/>
    </w:rPr>
  </w:style>
  <w:style w:type="character" w:customStyle="1" w:styleId="Char54">
    <w:name w:val="表格内字体 Char5"/>
    <w:qFormat/>
    <w:rPr>
      <w:rFonts w:ascii="宋体" w:eastAsia="宋体" w:hAnsi="宋体"/>
      <w:kern w:val="2"/>
      <w:sz w:val="21"/>
      <w:szCs w:val="24"/>
      <w:lang w:val="en-US" w:eastAsia="zh-CN"/>
    </w:rPr>
  </w:style>
  <w:style w:type="character" w:customStyle="1" w:styleId="Char125">
    <w:name w:val="正文修改 Char12"/>
    <w:qFormat/>
    <w:rPr>
      <w:rFonts w:ascii="宋体" w:eastAsia="宋体" w:hAnsi="宋体" w:cs="宋体"/>
      <w:color w:val="000000"/>
      <w:kern w:val="2"/>
      <w:sz w:val="24"/>
      <w:szCs w:val="24"/>
      <w:lang w:val="en-US" w:eastAsia="zh-CN"/>
    </w:rPr>
  </w:style>
  <w:style w:type="character" w:customStyle="1" w:styleId="aChar10">
    <w:name w:val="干标题(a) Char1"/>
    <w:qFormat/>
    <w:rPr>
      <w:rFonts w:ascii="Arial" w:eastAsia="黑体" w:hAnsi="Arial"/>
      <w:kern w:val="2"/>
      <w:sz w:val="21"/>
      <w:szCs w:val="21"/>
      <w:lang w:val="en-US" w:eastAsia="zh-CN"/>
    </w:rPr>
  </w:style>
  <w:style w:type="character" w:customStyle="1" w:styleId="2Char110">
    <w:name w:val="标题2 Char11"/>
    <w:qFormat/>
    <w:rPr>
      <w:rFonts w:ascii="宋体" w:eastAsia="宋体" w:hAnsi="宋体" w:cs="宋体"/>
      <w:color w:val="000000"/>
      <w:kern w:val="2"/>
      <w:sz w:val="24"/>
      <w:szCs w:val="24"/>
      <w:lang w:val="en-US" w:eastAsia="zh-CN"/>
    </w:rPr>
  </w:style>
  <w:style w:type="character" w:customStyle="1" w:styleId="Char115">
    <w:name w:val="文档结构图 Char11"/>
    <w:qFormat/>
    <w:rPr>
      <w:rFonts w:ascii="Times New Roman" w:eastAsia="宋体" w:hAnsi="Times New Roman" w:cs="Times New Roman"/>
      <w:kern w:val="2"/>
      <w:sz w:val="24"/>
      <w:szCs w:val="24"/>
      <w:shd w:val="clear" w:color="auto" w:fill="000080"/>
      <w:lang w:val="en-US" w:eastAsia="zh-CN"/>
    </w:rPr>
  </w:style>
  <w:style w:type="character" w:customStyle="1" w:styleId="Char47">
    <w:name w:val="福建正文缩进 Char4"/>
    <w:qFormat/>
    <w:rPr>
      <w:rFonts w:ascii="宋体" w:eastAsia="宋体" w:hAnsi="宋体" w:cs="宋体"/>
      <w:color w:val="000000"/>
      <w:kern w:val="2"/>
      <w:sz w:val="24"/>
      <w:szCs w:val="24"/>
      <w:lang w:val="en-US" w:eastAsia="zh-CN"/>
    </w:rPr>
  </w:style>
  <w:style w:type="character" w:customStyle="1" w:styleId="GB23122">
    <w:name w:val="样式 仿宋_GB2312 小四2"/>
    <w:qFormat/>
    <w:rPr>
      <w:rFonts w:ascii="Times New Roman" w:eastAsia="仿宋_GB2312" w:hAnsi="Times New Roman" w:cs="Courier New"/>
      <w:kern w:val="2"/>
      <w:sz w:val="24"/>
      <w:szCs w:val="24"/>
      <w:lang w:val="en-US" w:eastAsia="zh-CN"/>
    </w:rPr>
  </w:style>
  <w:style w:type="character" w:customStyle="1" w:styleId="Char3f">
    <w:name w:val="题注 Char3"/>
    <w:qFormat/>
    <w:rPr>
      <w:rFonts w:ascii="黑体" w:eastAsia="黑体" w:hAnsi="Arial" w:cs="Arial"/>
      <w:b/>
      <w:kern w:val="2"/>
      <w:sz w:val="24"/>
      <w:szCs w:val="24"/>
      <w:lang w:val="en-US" w:eastAsia="zh-CN"/>
    </w:rPr>
  </w:style>
  <w:style w:type="character" w:customStyle="1" w:styleId="Char126">
    <w:name w:val="样式 表格内字体 + Char12"/>
    <w:qFormat/>
    <w:rPr>
      <w:rFonts w:ascii="宋体" w:eastAsia="宋体" w:hAnsi="宋体" w:cs="Times New Roman"/>
      <w:kern w:val="2"/>
      <w:sz w:val="21"/>
      <w:szCs w:val="24"/>
      <w:lang w:val="en-US" w:eastAsia="zh-CN"/>
    </w:rPr>
  </w:style>
  <w:style w:type="character" w:customStyle="1" w:styleId="Char413">
    <w:name w:val="批注框文本 Char41"/>
    <w:qFormat/>
    <w:rPr>
      <w:rFonts w:eastAsia="宋体"/>
      <w:kern w:val="2"/>
      <w:sz w:val="18"/>
      <w:szCs w:val="18"/>
      <w:lang w:val="en-US" w:eastAsia="zh-CN"/>
    </w:rPr>
  </w:style>
  <w:style w:type="character" w:customStyle="1" w:styleId="Char216">
    <w:name w:val="正文斜体 Char21"/>
    <w:qFormat/>
    <w:rPr>
      <w:rFonts w:ascii="宋体" w:eastAsia="宋体" w:hAnsi="宋体"/>
      <w:i/>
      <w:iCs/>
      <w:kern w:val="2"/>
      <w:sz w:val="24"/>
      <w:szCs w:val="24"/>
      <w:lang w:val="en-US" w:eastAsia="zh-CN"/>
    </w:rPr>
  </w:style>
  <w:style w:type="character" w:customStyle="1" w:styleId="CharChar119">
    <w:name w:val="Char Char119"/>
    <w:qFormat/>
    <w:rPr>
      <w:rFonts w:ascii="黑体" w:eastAsia="黑体" w:hAnsi="Arial"/>
      <w:bCs/>
      <w:kern w:val="2"/>
      <w:sz w:val="30"/>
      <w:szCs w:val="30"/>
      <w:lang w:val="en-US" w:eastAsia="zh-CN"/>
    </w:rPr>
  </w:style>
  <w:style w:type="character" w:customStyle="1" w:styleId="CharChar2114">
    <w:name w:val="Char Char2114"/>
    <w:qFormat/>
    <w:rPr>
      <w:rFonts w:ascii="黑体" w:eastAsia="宋体"/>
      <w:kern w:val="2"/>
      <w:sz w:val="16"/>
      <w:szCs w:val="16"/>
      <w:lang w:val="en-US" w:eastAsia="zh-CN"/>
    </w:rPr>
  </w:style>
  <w:style w:type="character" w:customStyle="1" w:styleId="Char217">
    <w:name w:val="环评正文 Char21"/>
    <w:qFormat/>
    <w:rPr>
      <w:rFonts w:eastAsia="宋体"/>
      <w:bCs/>
      <w:kern w:val="2"/>
      <w:sz w:val="24"/>
      <w:szCs w:val="24"/>
      <w:lang w:val="en-US" w:eastAsia="zh-CN"/>
    </w:rPr>
  </w:style>
  <w:style w:type="character" w:customStyle="1" w:styleId="Char31a">
    <w:name w:val="福建正文缩进 Char31"/>
    <w:qFormat/>
    <w:rPr>
      <w:rFonts w:ascii="宋体" w:eastAsia="宋体" w:hAnsi="宋体" w:cs="宋体"/>
      <w:color w:val="000000"/>
      <w:kern w:val="0"/>
      <w:sz w:val="24"/>
      <w:szCs w:val="24"/>
      <w:lang w:val="en-US" w:eastAsia="zh-CN"/>
    </w:rPr>
  </w:style>
  <w:style w:type="character" w:customStyle="1" w:styleId="Char512">
    <w:name w:val="题注 Char512"/>
    <w:qFormat/>
    <w:rPr>
      <w:rFonts w:ascii="黑体" w:eastAsia="黑体" w:hAnsi="Arial" w:cs="Arial"/>
      <w:b/>
      <w:kern w:val="2"/>
      <w:sz w:val="24"/>
      <w:szCs w:val="24"/>
      <w:lang w:val="en-US" w:eastAsia="zh-CN"/>
    </w:rPr>
  </w:style>
  <w:style w:type="character" w:customStyle="1" w:styleId="5Char31">
    <w:name w:val="表内5 Char31"/>
    <w:qFormat/>
    <w:rPr>
      <w:rFonts w:ascii="宋体" w:eastAsia="宋体" w:hAnsi="宋体" w:cs="Times New Roman"/>
      <w:kern w:val="2"/>
      <w:sz w:val="24"/>
      <w:szCs w:val="24"/>
      <w:lang w:val="en-US" w:eastAsia="zh-CN"/>
    </w:rPr>
  </w:style>
  <w:style w:type="character" w:customStyle="1" w:styleId="Char116">
    <w:name w:val="表中文字 Char11"/>
    <w:qFormat/>
    <w:rPr>
      <w:rFonts w:ascii="Arial" w:eastAsia="宋体" w:hAnsi="Arial"/>
      <w:kern w:val="2"/>
      <w:sz w:val="24"/>
      <w:szCs w:val="24"/>
      <w:lang w:val="en-US" w:eastAsia="zh-TW"/>
    </w:rPr>
  </w:style>
  <w:style w:type="character" w:customStyle="1" w:styleId="CharChar416">
    <w:name w:val="Char Char416"/>
    <w:qFormat/>
    <w:rPr>
      <w:rFonts w:ascii="黑体" w:eastAsia="黑体" w:hAnsi="Arial"/>
      <w:b/>
      <w:bCs/>
      <w:kern w:val="2"/>
      <w:sz w:val="30"/>
      <w:szCs w:val="30"/>
      <w:lang w:val="en-US" w:eastAsia="zh-CN"/>
    </w:rPr>
  </w:style>
  <w:style w:type="character" w:customStyle="1" w:styleId="px141">
    <w:name w:val="px141"/>
    <w:qFormat/>
    <w:rPr>
      <w:rFonts w:eastAsia="宋体"/>
      <w:kern w:val="2"/>
      <w:sz w:val="25"/>
      <w:szCs w:val="25"/>
      <w:u w:val="none"/>
      <w:lang w:val="en-US" w:eastAsia="zh-CN"/>
    </w:rPr>
  </w:style>
  <w:style w:type="character" w:customStyle="1" w:styleId="1Char73">
    <w:name w:val="表题1 Char73"/>
    <w:qFormat/>
    <w:rPr>
      <w:rFonts w:ascii="黑体" w:eastAsia="黑体" w:hAnsi="Arial" w:cs="Arial"/>
      <w:b/>
      <w:kern w:val="2"/>
      <w:sz w:val="24"/>
      <w:szCs w:val="24"/>
      <w:lang w:val="en-US" w:eastAsia="zh-CN"/>
    </w:rPr>
  </w:style>
  <w:style w:type="character" w:customStyle="1" w:styleId="5Char50">
    <w:name w:val="样式 表内小5 + 黑体 加粗 倾斜 下划线 Char5"/>
    <w:qFormat/>
    <w:rPr>
      <w:rFonts w:ascii="黑体" w:eastAsia="黑体" w:hAnsi="黑体"/>
      <w:b/>
      <w:bCs/>
      <w:i/>
      <w:iCs/>
      <w:kern w:val="2"/>
      <w:sz w:val="18"/>
      <w:szCs w:val="24"/>
      <w:u w:val="single"/>
      <w:lang w:val="en-US" w:eastAsia="zh-CN"/>
    </w:rPr>
  </w:style>
  <w:style w:type="character" w:customStyle="1" w:styleId="Char1fd">
    <w:name w:val="表格内字体 Char1"/>
    <w:qFormat/>
    <w:rPr>
      <w:rFonts w:ascii="宋体" w:eastAsia="宋体" w:hAnsi="宋体"/>
      <w:kern w:val="2"/>
      <w:sz w:val="21"/>
      <w:szCs w:val="24"/>
      <w:lang w:val="en-US" w:eastAsia="zh-CN"/>
    </w:rPr>
  </w:style>
  <w:style w:type="character" w:customStyle="1" w:styleId="2Char31">
    <w:name w:val="正文首行缩进 2 Char31"/>
    <w:qFormat/>
    <w:rPr>
      <w:rFonts w:ascii="仿宋_GB2312" w:eastAsia="仿宋_GB2312"/>
      <w:color w:val="000000"/>
      <w:kern w:val="2"/>
      <w:sz w:val="24"/>
      <w:szCs w:val="24"/>
      <w:lang w:val="en-US" w:eastAsia="zh-CN"/>
    </w:rPr>
  </w:style>
  <w:style w:type="character" w:customStyle="1" w:styleId="Char3130">
    <w:name w:val="题注 Char313"/>
    <w:qFormat/>
    <w:rPr>
      <w:rFonts w:ascii="黑体" w:eastAsia="黑体" w:hAnsi="Arial" w:cs="Arial"/>
      <w:b/>
      <w:kern w:val="2"/>
      <w:sz w:val="24"/>
      <w:szCs w:val="24"/>
      <w:lang w:val="en-US" w:eastAsia="zh-CN"/>
    </w:rPr>
  </w:style>
  <w:style w:type="character" w:customStyle="1" w:styleId="sinostyle">
    <w:name w:val="sinostyle"/>
    <w:qFormat/>
  </w:style>
  <w:style w:type="character" w:customStyle="1" w:styleId="CharChar64">
    <w:name w:val="Char Char64"/>
    <w:qFormat/>
    <w:rPr>
      <w:rFonts w:ascii="黑体" w:eastAsia="黑体"/>
      <w:b/>
      <w:bCs/>
      <w:kern w:val="2"/>
      <w:sz w:val="28"/>
      <w:szCs w:val="28"/>
      <w:lang w:val="en-US" w:eastAsia="zh-CN"/>
    </w:rPr>
  </w:style>
  <w:style w:type="character" w:customStyle="1" w:styleId="Char1212">
    <w:name w:val="正文修改 Char1212"/>
    <w:qFormat/>
    <w:rPr>
      <w:rFonts w:ascii="宋体" w:eastAsia="宋体" w:hAnsi="宋体" w:cs="宋体"/>
      <w:color w:val="000000"/>
      <w:kern w:val="2"/>
      <w:sz w:val="24"/>
      <w:szCs w:val="24"/>
      <w:lang w:val="en-US" w:eastAsia="zh-CN"/>
    </w:rPr>
  </w:style>
  <w:style w:type="character" w:customStyle="1" w:styleId="5Char110">
    <w:name w:val="样式 表内小5 + 黑体 加粗 倾斜 下划线 Char11"/>
    <w:qFormat/>
    <w:rPr>
      <w:rFonts w:ascii="黑体" w:eastAsia="黑体" w:hAnsi="黑体"/>
      <w:b/>
      <w:bCs/>
      <w:i/>
      <w:iCs/>
      <w:kern w:val="2"/>
      <w:sz w:val="18"/>
      <w:szCs w:val="24"/>
      <w:u w:val="single"/>
      <w:lang w:val="en-US" w:eastAsia="zh-CN"/>
    </w:rPr>
  </w:style>
  <w:style w:type="character" w:customStyle="1" w:styleId="Char1221">
    <w:name w:val="正文修改 Char1221"/>
    <w:qFormat/>
    <w:rPr>
      <w:rFonts w:ascii="宋体" w:eastAsia="宋体" w:hAnsi="宋体" w:cs="宋体"/>
      <w:color w:val="000000"/>
      <w:kern w:val="2"/>
      <w:sz w:val="24"/>
      <w:szCs w:val="24"/>
      <w:lang w:val="en-US" w:eastAsia="zh-CN"/>
    </w:rPr>
  </w:style>
  <w:style w:type="character" w:customStyle="1" w:styleId="Char218">
    <w:name w:val="正文格式 Char21"/>
    <w:qFormat/>
    <w:rPr>
      <w:rFonts w:ascii="宋体" w:eastAsia="宋体" w:hAnsi="宋体"/>
      <w:kern w:val="2"/>
      <w:sz w:val="24"/>
      <w:szCs w:val="24"/>
      <w:lang w:val="en-US" w:eastAsia="zh-CN"/>
    </w:rPr>
  </w:style>
  <w:style w:type="character" w:customStyle="1" w:styleId="Char511">
    <w:name w:val="题注 Char51"/>
    <w:qFormat/>
    <w:rPr>
      <w:rFonts w:ascii="黑体" w:eastAsia="黑体" w:hAnsi="Arial" w:cs="Arial"/>
      <w:b/>
      <w:kern w:val="2"/>
      <w:sz w:val="24"/>
      <w:szCs w:val="24"/>
      <w:lang w:val="en-US" w:eastAsia="zh-CN"/>
    </w:rPr>
  </w:style>
  <w:style w:type="character" w:customStyle="1" w:styleId="Char2f0">
    <w:name w:val="文字缩进 Char2"/>
    <w:qFormat/>
    <w:rPr>
      <w:rFonts w:ascii="宋体" w:eastAsia="宋体" w:hAnsi="Courier New"/>
      <w:kern w:val="2"/>
      <w:sz w:val="21"/>
      <w:lang w:val="en-US" w:eastAsia="zh-CN"/>
    </w:rPr>
  </w:style>
  <w:style w:type="character" w:customStyle="1" w:styleId="1Char31">
    <w:name w:val="表题1 Char31"/>
    <w:qFormat/>
    <w:rPr>
      <w:rFonts w:ascii="黑体" w:eastAsia="黑体" w:hAnsi="Arial" w:cs="Arial"/>
      <w:b/>
      <w:kern w:val="2"/>
      <w:sz w:val="24"/>
      <w:szCs w:val="24"/>
      <w:lang w:val="en-US" w:eastAsia="zh-CN"/>
    </w:rPr>
  </w:style>
  <w:style w:type="character" w:customStyle="1" w:styleId="Char3110">
    <w:name w:val="正文缩进 Char311"/>
    <w:qFormat/>
    <w:rPr>
      <w:rFonts w:ascii="宋体" w:eastAsia="宋体" w:hAnsi="宋体" w:cs="宋体"/>
      <w:color w:val="000000"/>
      <w:kern w:val="2"/>
      <w:sz w:val="24"/>
      <w:szCs w:val="24"/>
      <w:lang w:val="en-US" w:eastAsia="zh-CN"/>
    </w:rPr>
  </w:style>
  <w:style w:type="character" w:customStyle="1" w:styleId="1Char3">
    <w:name w:val="表题1 Char3"/>
    <w:qFormat/>
    <w:rPr>
      <w:rFonts w:ascii="黑体" w:eastAsia="黑体" w:hAnsi="Arial" w:cs="Arial"/>
      <w:b/>
      <w:kern w:val="2"/>
      <w:sz w:val="24"/>
      <w:szCs w:val="24"/>
      <w:lang w:val="en-US" w:eastAsia="zh-CN"/>
    </w:rPr>
  </w:style>
  <w:style w:type="character" w:customStyle="1" w:styleId="Char3f0">
    <w:name w:val="样式 表格内字体 + Char3"/>
    <w:qFormat/>
    <w:rPr>
      <w:rFonts w:ascii="宋体" w:eastAsia="宋体" w:hAnsi="宋体" w:cs="Times New Roman"/>
      <w:kern w:val="0"/>
      <w:sz w:val="21"/>
      <w:szCs w:val="24"/>
      <w:lang w:val="en-US" w:eastAsia="zh-CN"/>
    </w:rPr>
  </w:style>
  <w:style w:type="character" w:customStyle="1" w:styleId="CharChar615">
    <w:name w:val="Char Char615"/>
    <w:qFormat/>
    <w:rPr>
      <w:rFonts w:ascii="黑体" w:eastAsia="黑体"/>
      <w:b/>
      <w:bCs/>
      <w:kern w:val="2"/>
      <w:sz w:val="28"/>
      <w:szCs w:val="28"/>
      <w:lang w:val="en-US" w:eastAsia="zh-CN"/>
    </w:rPr>
  </w:style>
  <w:style w:type="character" w:customStyle="1" w:styleId="CharChar420">
    <w:name w:val="Char Char420"/>
    <w:qFormat/>
    <w:rPr>
      <w:rFonts w:ascii="黑体" w:eastAsia="黑体" w:hAnsi="Arial"/>
      <w:b/>
      <w:bCs/>
      <w:kern w:val="2"/>
      <w:sz w:val="30"/>
      <w:szCs w:val="30"/>
      <w:lang w:val="en-US" w:eastAsia="zh-CN"/>
    </w:rPr>
  </w:style>
  <w:style w:type="character" w:customStyle="1" w:styleId="Char3111">
    <w:name w:val="题注 Char3111"/>
    <w:qFormat/>
    <w:rPr>
      <w:rFonts w:ascii="黑体" w:eastAsia="黑体" w:hAnsi="Arial" w:cs="Arial"/>
      <w:b/>
      <w:kern w:val="2"/>
      <w:sz w:val="24"/>
      <w:szCs w:val="24"/>
      <w:lang w:val="en-US" w:eastAsia="zh-CN"/>
    </w:rPr>
  </w:style>
  <w:style w:type="character" w:customStyle="1" w:styleId="Char48">
    <w:name w:val="图题 Char4"/>
    <w:qFormat/>
    <w:rPr>
      <w:rFonts w:ascii="黑体" w:eastAsia="黑体" w:hAnsi="宋体" w:cs="宋体"/>
      <w:b/>
      <w:bCs/>
      <w:kern w:val="2"/>
      <w:sz w:val="24"/>
      <w:szCs w:val="24"/>
      <w:lang w:val="en-US" w:eastAsia="zh-CN"/>
    </w:rPr>
  </w:style>
  <w:style w:type="character" w:customStyle="1" w:styleId="CharChar219">
    <w:name w:val="Char Char219"/>
    <w:qFormat/>
    <w:rPr>
      <w:rFonts w:ascii="黑体" w:eastAsia="宋体"/>
      <w:kern w:val="2"/>
      <w:sz w:val="16"/>
      <w:szCs w:val="16"/>
      <w:lang w:val="en-US" w:eastAsia="zh-CN"/>
    </w:rPr>
  </w:style>
  <w:style w:type="character" w:customStyle="1" w:styleId="Char219">
    <w:name w:val="正文文本缩进 Char21"/>
    <w:qFormat/>
    <w:rPr>
      <w:rFonts w:ascii="宋体" w:eastAsia="宋体" w:hAnsi="宋体" w:cs="宋体"/>
      <w:color w:val="000000"/>
      <w:kern w:val="2"/>
      <w:sz w:val="24"/>
      <w:szCs w:val="24"/>
      <w:lang w:val="en-US" w:eastAsia="zh-CN"/>
    </w:rPr>
  </w:style>
  <w:style w:type="character" w:customStyle="1" w:styleId="Char82">
    <w:name w:val="正文格式 Char8"/>
    <w:qFormat/>
    <w:rPr>
      <w:rFonts w:ascii="宋体" w:eastAsia="宋体" w:hAnsi="宋体"/>
      <w:kern w:val="2"/>
      <w:sz w:val="24"/>
      <w:szCs w:val="24"/>
      <w:lang w:val="en-US" w:eastAsia="zh-CN"/>
    </w:rPr>
  </w:style>
  <w:style w:type="character" w:customStyle="1" w:styleId="CharChar126">
    <w:name w:val="Char Char126"/>
    <w:qFormat/>
    <w:rPr>
      <w:rFonts w:ascii="黑体" w:eastAsia="黑体" w:hAnsi="Arial"/>
      <w:b/>
      <w:bCs/>
      <w:kern w:val="2"/>
      <w:sz w:val="30"/>
      <w:szCs w:val="30"/>
      <w:lang w:val="en-US" w:eastAsia="zh-CN"/>
    </w:rPr>
  </w:style>
  <w:style w:type="character" w:customStyle="1" w:styleId="AChar3">
    <w:name w:val="A正文 Char3"/>
    <w:qFormat/>
    <w:rPr>
      <w:rFonts w:ascii="Times New Roman" w:eastAsia="仿宋_GB2312" w:hAnsi="Times New Roman" w:cs="Times New Roman"/>
      <w:kern w:val="0"/>
      <w:sz w:val="24"/>
      <w:szCs w:val="24"/>
      <w:lang w:val="en-US" w:eastAsia="zh-CN"/>
    </w:rPr>
  </w:style>
  <w:style w:type="character" w:customStyle="1" w:styleId="AChar11">
    <w:name w:val="A正文 Char11"/>
    <w:qFormat/>
    <w:rPr>
      <w:rFonts w:eastAsia="仿宋_GB2312"/>
      <w:kern w:val="2"/>
      <w:sz w:val="24"/>
      <w:szCs w:val="24"/>
      <w:lang w:val="en-US" w:eastAsia="zh-CN"/>
    </w:rPr>
  </w:style>
  <w:style w:type="character" w:customStyle="1" w:styleId="Charffe">
    <w:name w:val="标题正文黑 Char"/>
    <w:qFormat/>
    <w:rPr>
      <w:rFonts w:ascii="黑体" w:eastAsia="黑体"/>
      <w:kern w:val="2"/>
      <w:sz w:val="28"/>
      <w:szCs w:val="28"/>
      <w:lang w:val="en-US" w:eastAsia="zh-CN"/>
    </w:rPr>
  </w:style>
  <w:style w:type="character" w:customStyle="1" w:styleId="5Char20">
    <w:name w:val="表内5 Char2"/>
    <w:qFormat/>
    <w:rPr>
      <w:rFonts w:ascii="宋体" w:eastAsia="宋体" w:hAnsi="宋体" w:cs="宋体"/>
      <w:kern w:val="2"/>
      <w:sz w:val="21"/>
      <w:szCs w:val="24"/>
      <w:lang w:val="en-US" w:eastAsia="zh-CN"/>
    </w:rPr>
  </w:style>
  <w:style w:type="character" w:customStyle="1" w:styleId="Char117">
    <w:name w:val="页眉 Char11"/>
    <w:qFormat/>
    <w:rPr>
      <w:rFonts w:eastAsia="宋体"/>
      <w:kern w:val="2"/>
      <w:sz w:val="18"/>
      <w:szCs w:val="18"/>
      <w:lang w:val="en-US" w:eastAsia="zh-CN"/>
    </w:rPr>
  </w:style>
  <w:style w:type="character" w:customStyle="1" w:styleId="Char31b">
    <w:name w:val="样式 正文缩进 + 宋体 黑色 Char31"/>
    <w:qFormat/>
    <w:rPr>
      <w:rFonts w:ascii="宋体" w:eastAsia="宋体" w:hAnsi="宋体" w:cs="Times New Roman"/>
      <w:color w:val="000000"/>
      <w:kern w:val="2"/>
      <w:sz w:val="24"/>
      <w:szCs w:val="24"/>
      <w:lang w:val="en-US" w:eastAsia="zh-CN"/>
    </w:rPr>
  </w:style>
  <w:style w:type="character" w:customStyle="1" w:styleId="Char1411">
    <w:name w:val="正文修改 Char1411"/>
    <w:qFormat/>
    <w:rPr>
      <w:rFonts w:ascii="宋体" w:cs="宋体"/>
      <w:kern w:val="2"/>
      <w:sz w:val="24"/>
      <w:szCs w:val="24"/>
    </w:rPr>
  </w:style>
  <w:style w:type="character" w:customStyle="1" w:styleId="GB23120">
    <w:name w:val="样式 (西文) 宋体 (中文) 仿宋_GB2312 黑色"/>
    <w:qFormat/>
    <w:rPr>
      <w:rFonts w:ascii="Times New Roman" w:eastAsia="仿宋_GB2312" w:hAnsi="Times New Roman" w:cs="Courier New"/>
      <w:color w:val="000000"/>
      <w:kern w:val="2"/>
      <w:sz w:val="32"/>
      <w:szCs w:val="32"/>
      <w:lang w:val="en-US" w:eastAsia="zh-CN"/>
    </w:rPr>
  </w:style>
  <w:style w:type="character" w:customStyle="1" w:styleId="CharChar1218">
    <w:name w:val="Char Char1218"/>
    <w:qFormat/>
    <w:rPr>
      <w:rFonts w:ascii="黑体" w:eastAsia="黑体" w:hAnsi="Arial"/>
      <w:b/>
      <w:bCs/>
      <w:kern w:val="2"/>
      <w:sz w:val="30"/>
      <w:szCs w:val="30"/>
      <w:lang w:val="en-US" w:eastAsia="zh-CN"/>
    </w:rPr>
  </w:style>
  <w:style w:type="character" w:customStyle="1" w:styleId="HTML14">
    <w:name w:val="HTML 缩写1"/>
    <w:qFormat/>
    <w:rPr>
      <w:rFonts w:ascii="宋体" w:eastAsia="宋体" w:hAnsi="宋体" w:cs="Courier New"/>
      <w:kern w:val="2"/>
      <w:sz w:val="32"/>
      <w:szCs w:val="32"/>
      <w:lang w:val="en-US" w:eastAsia="zh-CN"/>
    </w:rPr>
  </w:style>
  <w:style w:type="character" w:customStyle="1" w:styleId="aChar30">
    <w:name w:val="干标题(a) Char3"/>
    <w:qFormat/>
    <w:rPr>
      <w:rFonts w:ascii="Arial" w:eastAsia="黑体" w:hAnsi="Arial"/>
      <w:kern w:val="2"/>
      <w:sz w:val="21"/>
      <w:szCs w:val="21"/>
      <w:lang w:val="en-US" w:eastAsia="zh-CN"/>
    </w:rPr>
  </w:style>
  <w:style w:type="character" w:customStyle="1" w:styleId="CharChar117">
    <w:name w:val="Char Char117"/>
    <w:qFormat/>
    <w:rPr>
      <w:rFonts w:ascii="黑体" w:eastAsia="黑体" w:hAnsi="Arial"/>
      <w:bCs/>
      <w:kern w:val="2"/>
      <w:sz w:val="30"/>
      <w:szCs w:val="30"/>
      <w:lang w:val="en-US" w:eastAsia="zh-CN"/>
    </w:rPr>
  </w:style>
  <w:style w:type="character" w:customStyle="1" w:styleId="Char2f1">
    <w:name w:val="图表题 Char2"/>
    <w:qFormat/>
    <w:rPr>
      <w:rFonts w:ascii="黑体" w:eastAsia="黑体" w:hAnsi="宋体" w:cs="宋体"/>
      <w:b/>
      <w:bCs/>
      <w:kern w:val="2"/>
      <w:sz w:val="24"/>
      <w:szCs w:val="24"/>
      <w:lang w:val="en-US" w:eastAsia="zh-CN"/>
    </w:rPr>
  </w:style>
  <w:style w:type="character" w:customStyle="1" w:styleId="CharChar1116">
    <w:name w:val="Char Char1116"/>
    <w:qFormat/>
    <w:rPr>
      <w:rFonts w:ascii="黑体" w:eastAsia="黑体" w:hAnsi="Arial"/>
      <w:bCs/>
      <w:kern w:val="2"/>
      <w:sz w:val="30"/>
      <w:szCs w:val="30"/>
      <w:lang w:val="en-US" w:eastAsia="zh-CN"/>
    </w:rPr>
  </w:style>
  <w:style w:type="character" w:customStyle="1" w:styleId="CharChar315">
    <w:name w:val="Char Char315"/>
    <w:qFormat/>
    <w:rPr>
      <w:rFonts w:ascii="黑体" w:eastAsia="黑体" w:hAnsi="宋体"/>
      <w:b/>
      <w:bCs/>
      <w:kern w:val="2"/>
      <w:sz w:val="28"/>
      <w:szCs w:val="28"/>
      <w:lang w:val="en-US" w:eastAsia="zh-CN"/>
    </w:rPr>
  </w:style>
  <w:style w:type="character" w:customStyle="1" w:styleId="CharChar42">
    <w:name w:val="Char Char42"/>
    <w:qFormat/>
    <w:rPr>
      <w:rFonts w:ascii="黑体" w:eastAsia="黑体" w:hAnsi="Arial"/>
      <w:b/>
      <w:bCs/>
      <w:kern w:val="2"/>
      <w:sz w:val="30"/>
      <w:szCs w:val="30"/>
      <w:lang w:val="en-US" w:eastAsia="zh-CN"/>
    </w:rPr>
  </w:style>
  <w:style w:type="character" w:customStyle="1" w:styleId="3CharChar11">
    <w:name w:val="标题 3 Char Char11"/>
    <w:qFormat/>
    <w:rPr>
      <w:rFonts w:ascii="黑体" w:eastAsia="黑体" w:hAnsi="宋体"/>
      <w:bCs/>
      <w:kern w:val="2"/>
      <w:sz w:val="28"/>
      <w:szCs w:val="28"/>
      <w:lang w:val="en-US" w:eastAsia="zh-CN"/>
    </w:rPr>
  </w:style>
  <w:style w:type="character" w:customStyle="1" w:styleId="p141">
    <w:name w:val="p141"/>
    <w:qFormat/>
    <w:rPr>
      <w:rFonts w:eastAsia="宋体"/>
      <w:kern w:val="2"/>
      <w:sz w:val="23"/>
      <w:szCs w:val="23"/>
      <w:u w:val="none"/>
      <w:lang w:val="en-US" w:eastAsia="zh-CN"/>
    </w:rPr>
  </w:style>
  <w:style w:type="character" w:customStyle="1" w:styleId="Char1140">
    <w:name w:val="正文修改 Char114"/>
    <w:qFormat/>
    <w:rPr>
      <w:rFonts w:ascii="宋体" w:eastAsia="宋体" w:hAnsi="宋体" w:cs="宋体"/>
      <w:color w:val="000000"/>
      <w:kern w:val="2"/>
      <w:sz w:val="24"/>
      <w:szCs w:val="24"/>
      <w:lang w:val="en-US" w:eastAsia="zh-CN"/>
    </w:rPr>
  </w:style>
  <w:style w:type="character" w:customStyle="1" w:styleId="Char49">
    <w:name w:val="环评正文 Char4"/>
    <w:qFormat/>
    <w:rPr>
      <w:rFonts w:eastAsia="宋体"/>
      <w:bCs/>
      <w:kern w:val="2"/>
      <w:sz w:val="24"/>
      <w:szCs w:val="24"/>
      <w:lang w:val="en-US" w:eastAsia="zh-CN"/>
    </w:rPr>
  </w:style>
  <w:style w:type="character" w:customStyle="1" w:styleId="Char11111">
    <w:name w:val="正文修改 Char11111"/>
    <w:qFormat/>
    <w:rPr>
      <w:rFonts w:ascii="宋体" w:eastAsia="宋体" w:hAnsi="宋体" w:cs="宋体"/>
      <w:color w:val="000000"/>
      <w:kern w:val="2"/>
      <w:sz w:val="24"/>
      <w:szCs w:val="24"/>
      <w:lang w:val="en-US" w:eastAsia="zh-CN"/>
    </w:rPr>
  </w:style>
  <w:style w:type="character" w:customStyle="1" w:styleId="Char1fe">
    <w:name w:val="题注 Char1"/>
    <w:qFormat/>
    <w:rPr>
      <w:rFonts w:ascii="黑体" w:eastAsia="黑体" w:hAnsi="Arial" w:cs="Arial"/>
      <w:b/>
      <w:kern w:val="2"/>
      <w:sz w:val="24"/>
      <w:szCs w:val="24"/>
      <w:lang w:val="en-US" w:eastAsia="zh-CN"/>
    </w:rPr>
  </w:style>
  <w:style w:type="character" w:customStyle="1" w:styleId="Char1ff">
    <w:name w:val="正文格式 Char1"/>
    <w:qFormat/>
    <w:rPr>
      <w:rFonts w:ascii="宋体" w:eastAsia="宋体" w:hAnsi="宋体"/>
      <w:kern w:val="2"/>
      <w:sz w:val="24"/>
      <w:szCs w:val="24"/>
      <w:lang w:val="en-US" w:eastAsia="zh-CN"/>
    </w:rPr>
  </w:style>
  <w:style w:type="character" w:customStyle="1" w:styleId="CharChar114">
    <w:name w:val="Char Char114"/>
    <w:qFormat/>
    <w:rPr>
      <w:rFonts w:ascii="黑体" w:eastAsia="黑体" w:hAnsi="Arial"/>
      <w:bCs/>
      <w:kern w:val="2"/>
      <w:sz w:val="30"/>
      <w:szCs w:val="30"/>
      <w:lang w:val="en-US" w:eastAsia="zh-CN"/>
    </w:rPr>
  </w:style>
  <w:style w:type="character" w:customStyle="1" w:styleId="javascript1">
    <w:name w:val="javascript1"/>
    <w:qFormat/>
    <w:rPr>
      <w:rFonts w:ascii="Tahoma" w:hAnsi="Tahoma" w:cs="Tahoma" w:hint="default"/>
      <w:sz w:val="21"/>
      <w:szCs w:val="21"/>
    </w:rPr>
  </w:style>
  <w:style w:type="character" w:customStyle="1" w:styleId="1Char20">
    <w:name w:val="表题1 Char2"/>
    <w:qFormat/>
    <w:rPr>
      <w:rFonts w:eastAsia="宋体" w:hAnsi="Arial" w:cs="Arial"/>
      <w:kern w:val="2"/>
      <w:sz w:val="24"/>
      <w:szCs w:val="24"/>
      <w:lang w:val="en-US" w:eastAsia="zh-CN"/>
    </w:rPr>
  </w:style>
  <w:style w:type="character" w:customStyle="1" w:styleId="CharChar1111">
    <w:name w:val="Char Char1111"/>
    <w:qFormat/>
    <w:rPr>
      <w:rFonts w:ascii="黑体" w:eastAsia="黑体" w:hAnsi="Arial"/>
      <w:bCs/>
      <w:kern w:val="2"/>
      <w:sz w:val="30"/>
      <w:szCs w:val="30"/>
      <w:lang w:val="en-US" w:eastAsia="zh-CN"/>
    </w:rPr>
  </w:style>
  <w:style w:type="character" w:customStyle="1" w:styleId="CharChar511">
    <w:name w:val="Char Char511"/>
    <w:qFormat/>
    <w:rPr>
      <w:rFonts w:ascii="黑体" w:eastAsia="黑体" w:hAnsi="宋体"/>
      <w:bCs/>
      <w:kern w:val="2"/>
      <w:sz w:val="28"/>
      <w:szCs w:val="28"/>
      <w:lang w:val="en-US" w:eastAsia="zh-CN"/>
    </w:rPr>
  </w:style>
  <w:style w:type="character" w:customStyle="1" w:styleId="CharChar518">
    <w:name w:val="Char Char518"/>
    <w:qFormat/>
    <w:rPr>
      <w:rFonts w:ascii="黑体" w:eastAsia="黑体" w:hAnsi="宋体"/>
      <w:bCs/>
      <w:kern w:val="2"/>
      <w:sz w:val="28"/>
      <w:szCs w:val="28"/>
      <w:lang w:val="en-US" w:eastAsia="zh-CN"/>
    </w:rPr>
  </w:style>
  <w:style w:type="character" w:customStyle="1" w:styleId="Char2f2">
    <w:name w:val="福建正文缩进 Char2"/>
    <w:qFormat/>
    <w:rPr>
      <w:rFonts w:ascii="宋体" w:eastAsia="宋体" w:hAnsi="宋体" w:cs="宋体"/>
      <w:color w:val="000000"/>
      <w:kern w:val="2"/>
      <w:sz w:val="24"/>
      <w:szCs w:val="24"/>
      <w:lang w:val="en-US" w:eastAsia="zh-CN"/>
    </w:rPr>
  </w:style>
  <w:style w:type="character" w:customStyle="1" w:styleId="2CharChar20">
    <w:name w:val="标题 2 Char Char2"/>
    <w:qFormat/>
    <w:rPr>
      <w:rFonts w:ascii="黑体" w:eastAsia="黑体" w:hAnsi="Arial"/>
      <w:b/>
      <w:bCs/>
      <w:kern w:val="2"/>
      <w:sz w:val="30"/>
      <w:szCs w:val="30"/>
      <w:lang w:val="en-US" w:eastAsia="zh-CN"/>
    </w:rPr>
  </w:style>
  <w:style w:type="character" w:customStyle="1" w:styleId="Char320">
    <w:name w:val="正文缩进 Char32"/>
    <w:qFormat/>
    <w:rPr>
      <w:rFonts w:ascii="宋体" w:eastAsia="宋体" w:hAnsi="宋体" w:cs="宋体"/>
      <w:color w:val="000000"/>
      <w:kern w:val="0"/>
      <w:sz w:val="24"/>
      <w:szCs w:val="24"/>
      <w:lang w:val="en-US" w:eastAsia="zh-CN"/>
    </w:rPr>
  </w:style>
  <w:style w:type="character" w:customStyle="1" w:styleId="Char63">
    <w:name w:val="题注 Char6"/>
    <w:qFormat/>
    <w:rPr>
      <w:rFonts w:ascii="黑体" w:eastAsia="黑体" w:hAnsi="Arial" w:cs="Arial"/>
      <w:b/>
      <w:kern w:val="2"/>
      <w:sz w:val="24"/>
      <w:szCs w:val="24"/>
      <w:lang w:val="en-US" w:eastAsia="zh-CN"/>
    </w:rPr>
  </w:style>
  <w:style w:type="character" w:customStyle="1" w:styleId="Char118">
    <w:name w:val="正文文本缩进 Char11"/>
    <w:qFormat/>
    <w:rPr>
      <w:rFonts w:eastAsia="宋体"/>
      <w:kern w:val="2"/>
      <w:sz w:val="21"/>
      <w:szCs w:val="24"/>
      <w:lang w:val="en-US" w:eastAsia="zh-CN"/>
    </w:rPr>
  </w:style>
  <w:style w:type="character" w:customStyle="1" w:styleId="5Char52">
    <w:name w:val="样式 表内小5 + 黑体 加粗 倾斜 下划线 Char52"/>
    <w:qFormat/>
    <w:rPr>
      <w:rFonts w:ascii="黑体" w:eastAsia="黑体" w:hAnsi="黑体"/>
      <w:b/>
      <w:bCs/>
      <w:i/>
      <w:iCs/>
      <w:kern w:val="2"/>
      <w:sz w:val="18"/>
      <w:szCs w:val="24"/>
      <w:u w:val="single"/>
      <w:lang w:val="en-US" w:eastAsia="zh-CN"/>
    </w:rPr>
  </w:style>
  <w:style w:type="character" w:customStyle="1" w:styleId="Char1213">
    <w:name w:val="题注 Char121"/>
    <w:qFormat/>
    <w:rPr>
      <w:rFonts w:ascii="黑体" w:eastAsia="黑体" w:hAnsi="Arial" w:cs="Arial"/>
      <w:b/>
      <w:kern w:val="2"/>
      <w:sz w:val="24"/>
      <w:szCs w:val="24"/>
      <w:lang w:val="en-US" w:eastAsia="zh-CN"/>
    </w:rPr>
  </w:style>
  <w:style w:type="character" w:customStyle="1" w:styleId="3CharChar3">
    <w:name w:val="正文文字 3 Char Char3"/>
    <w:qFormat/>
    <w:rPr>
      <w:rFonts w:eastAsia="仿宋_GB2312"/>
      <w:kern w:val="2"/>
      <w:sz w:val="28"/>
      <w:szCs w:val="24"/>
      <w:lang w:val="en-US" w:eastAsia="zh-CN"/>
    </w:rPr>
  </w:style>
  <w:style w:type="character" w:customStyle="1" w:styleId="Char1511">
    <w:name w:val="正文修改 Char1511"/>
    <w:qFormat/>
    <w:rPr>
      <w:rFonts w:ascii="宋体" w:eastAsia="宋体" w:hAnsi="宋体" w:cs="宋体"/>
      <w:color w:val="000000"/>
      <w:kern w:val="2"/>
      <w:sz w:val="24"/>
      <w:szCs w:val="24"/>
      <w:lang w:val="en-US" w:eastAsia="zh-CN"/>
    </w:rPr>
  </w:style>
  <w:style w:type="character" w:customStyle="1" w:styleId="Char710">
    <w:name w:val="正文格式 Char71"/>
    <w:qFormat/>
    <w:rPr>
      <w:rFonts w:ascii="宋体" w:eastAsia="宋体" w:hAnsi="宋体"/>
      <w:kern w:val="2"/>
      <w:sz w:val="24"/>
      <w:szCs w:val="24"/>
      <w:lang w:val="en-US" w:eastAsia="zh-CN"/>
    </w:rPr>
  </w:style>
  <w:style w:type="character" w:customStyle="1" w:styleId="CharChar127">
    <w:name w:val="Char Char127"/>
    <w:qFormat/>
    <w:rPr>
      <w:rFonts w:ascii="黑体" w:eastAsia="黑体" w:hAnsi="Arial"/>
      <w:b/>
      <w:bCs/>
      <w:kern w:val="2"/>
      <w:sz w:val="30"/>
      <w:szCs w:val="30"/>
      <w:lang w:val="en-US" w:eastAsia="zh-CN"/>
    </w:rPr>
  </w:style>
  <w:style w:type="character" w:customStyle="1" w:styleId="3CharChar2">
    <w:name w:val="正文文字 3 Char Char2"/>
    <w:qFormat/>
    <w:rPr>
      <w:rFonts w:eastAsia="仿宋_GB2312"/>
      <w:kern w:val="2"/>
      <w:sz w:val="28"/>
      <w:szCs w:val="24"/>
      <w:lang w:val="en-US" w:eastAsia="zh-CN"/>
    </w:rPr>
  </w:style>
  <w:style w:type="character" w:customStyle="1" w:styleId="Char119">
    <w:name w:val="样式 表格内字体 + Char11"/>
    <w:qFormat/>
    <w:rPr>
      <w:rFonts w:ascii="宋体" w:hAnsi="宋体"/>
      <w:kern w:val="2"/>
      <w:sz w:val="21"/>
      <w:szCs w:val="24"/>
    </w:rPr>
  </w:style>
  <w:style w:type="character" w:customStyle="1" w:styleId="Char910">
    <w:name w:val="正文格式 Char91"/>
    <w:qFormat/>
    <w:rPr>
      <w:rFonts w:ascii="宋体" w:eastAsia="宋体" w:hAnsi="宋体"/>
      <w:kern w:val="2"/>
      <w:sz w:val="24"/>
      <w:szCs w:val="24"/>
      <w:lang w:val="en-US" w:eastAsia="zh-CN"/>
    </w:rPr>
  </w:style>
  <w:style w:type="character" w:customStyle="1" w:styleId="111Char3">
    <w:name w:val="条标题1.1.1 Char3"/>
    <w:qFormat/>
    <w:rPr>
      <w:rFonts w:eastAsia="仿宋_GB2312"/>
      <w:b/>
      <w:bCs/>
      <w:kern w:val="2"/>
      <w:sz w:val="28"/>
      <w:szCs w:val="32"/>
      <w:lang w:val="en-US" w:eastAsia="zh-CN"/>
    </w:rPr>
  </w:style>
  <w:style w:type="character" w:customStyle="1" w:styleId="CharChar412">
    <w:name w:val="Char Char412"/>
    <w:qFormat/>
    <w:rPr>
      <w:rFonts w:ascii="黑体" w:eastAsia="黑体" w:hAnsi="Arial"/>
      <w:b/>
      <w:bCs/>
      <w:kern w:val="2"/>
      <w:sz w:val="30"/>
      <w:szCs w:val="30"/>
      <w:lang w:val="en-US" w:eastAsia="zh-CN"/>
    </w:rPr>
  </w:style>
  <w:style w:type="character" w:customStyle="1" w:styleId="Char321">
    <w:name w:val="题注 Char321"/>
    <w:qFormat/>
    <w:rPr>
      <w:rFonts w:ascii="黑体" w:eastAsia="黑体" w:hAnsi="Arial" w:cs="Arial"/>
      <w:b/>
      <w:kern w:val="2"/>
      <w:sz w:val="24"/>
      <w:szCs w:val="24"/>
      <w:lang w:val="en-US" w:eastAsia="zh-CN"/>
    </w:rPr>
  </w:style>
  <w:style w:type="character" w:customStyle="1" w:styleId="Char11a">
    <w:name w:val="正文斜体 Char11"/>
    <w:qFormat/>
    <w:rPr>
      <w:rFonts w:ascii="宋体" w:eastAsia="宋体" w:hAnsi="宋体"/>
      <w:i/>
      <w:iCs/>
      <w:kern w:val="2"/>
      <w:sz w:val="24"/>
      <w:szCs w:val="24"/>
      <w:lang w:val="en-US" w:eastAsia="zh-CN"/>
    </w:rPr>
  </w:style>
  <w:style w:type="character" w:customStyle="1" w:styleId="Char414">
    <w:name w:val="正文格式 Char41"/>
    <w:qFormat/>
    <w:rPr>
      <w:rFonts w:ascii="宋体" w:eastAsia="宋体" w:hAnsi="宋体"/>
      <w:kern w:val="2"/>
      <w:sz w:val="24"/>
      <w:szCs w:val="24"/>
      <w:lang w:val="en-US" w:eastAsia="zh-CN"/>
    </w:rPr>
  </w:style>
  <w:style w:type="character" w:customStyle="1" w:styleId="text1">
    <w:name w:val="text1"/>
    <w:qFormat/>
    <w:rPr>
      <w:rFonts w:ascii="ˎ̥" w:eastAsia="宋体" w:hAnsi="ˎ̥" w:hint="default"/>
      <w:color w:val="000000"/>
      <w:kern w:val="2"/>
      <w:sz w:val="18"/>
      <w:szCs w:val="18"/>
      <w:u w:val="none"/>
      <w:lang w:val="en-US" w:eastAsia="zh-CN"/>
    </w:rPr>
  </w:style>
  <w:style w:type="character" w:customStyle="1" w:styleId="Char150">
    <w:name w:val="正文修改 Char15"/>
    <w:qFormat/>
    <w:rPr>
      <w:rFonts w:ascii="宋体" w:eastAsia="宋体" w:hAnsi="宋体" w:cs="宋体"/>
      <w:color w:val="000000"/>
      <w:kern w:val="2"/>
      <w:sz w:val="24"/>
      <w:szCs w:val="24"/>
      <w:lang w:val="en-US" w:eastAsia="zh-CN"/>
    </w:rPr>
  </w:style>
  <w:style w:type="character" w:customStyle="1" w:styleId="Char144">
    <w:name w:val="正文修改 Char14"/>
    <w:qFormat/>
    <w:rPr>
      <w:rFonts w:ascii="宋体" w:cs="宋体"/>
      <w:kern w:val="2"/>
      <w:sz w:val="24"/>
      <w:szCs w:val="24"/>
    </w:rPr>
  </w:style>
  <w:style w:type="character" w:customStyle="1" w:styleId="3Char15">
    <w:name w:val="标题 3 Char15"/>
    <w:qFormat/>
    <w:rPr>
      <w:rFonts w:eastAsia="宋体" w:hAnsi="宋体"/>
      <w:bCs/>
      <w:kern w:val="2"/>
      <w:sz w:val="28"/>
      <w:szCs w:val="28"/>
      <w:lang w:val="en-US" w:eastAsia="zh-CN"/>
    </w:rPr>
  </w:style>
  <w:style w:type="character" w:customStyle="1" w:styleId="Char415">
    <w:name w:val="页脚 Char41"/>
    <w:qFormat/>
    <w:rPr>
      <w:rFonts w:ascii="Times New Roman" w:eastAsia="宋体" w:hAnsi="Times New Roman" w:cs="Times New Roman"/>
      <w:kern w:val="2"/>
      <w:sz w:val="18"/>
      <w:szCs w:val="18"/>
      <w:lang w:val="en-US" w:eastAsia="zh-CN"/>
    </w:rPr>
  </w:style>
  <w:style w:type="character" w:customStyle="1" w:styleId="CharCharChar1">
    <w:name w:val="文本框五号 Char Char Char"/>
    <w:qFormat/>
    <w:rPr>
      <w:rFonts w:ascii="宋体" w:eastAsia="仿宋_GB2312" w:hAnsi="宋体" w:cs="Courier New"/>
      <w:kern w:val="2"/>
      <w:sz w:val="21"/>
      <w:szCs w:val="21"/>
      <w:lang w:val="en-US" w:eastAsia="zh-CN"/>
    </w:rPr>
  </w:style>
  <w:style w:type="character" w:customStyle="1" w:styleId="Char1214">
    <w:name w:val="正文修改 Char121"/>
    <w:qFormat/>
    <w:rPr>
      <w:rFonts w:ascii="宋体" w:eastAsia="宋体" w:hAnsi="宋体" w:cs="宋体"/>
      <w:color w:val="000000"/>
      <w:kern w:val="2"/>
      <w:sz w:val="24"/>
      <w:szCs w:val="24"/>
      <w:lang w:val="en-US" w:eastAsia="zh-CN"/>
    </w:rPr>
  </w:style>
  <w:style w:type="character" w:customStyle="1" w:styleId="9Char2">
    <w:name w:val="标题 9 Char2"/>
    <w:qFormat/>
    <w:rPr>
      <w:rFonts w:ascii="Arial" w:eastAsia="黑体" w:hAnsi="Arial" w:cs="Times New Roman"/>
      <w:kern w:val="2"/>
      <w:sz w:val="24"/>
      <w:szCs w:val="21"/>
      <w:lang w:val="en-US" w:eastAsia="zh-CN"/>
    </w:rPr>
  </w:style>
  <w:style w:type="character" w:customStyle="1" w:styleId="Char73">
    <w:name w:val="表格内字体 Char7"/>
    <w:qFormat/>
    <w:rPr>
      <w:rFonts w:ascii="宋体" w:eastAsia="宋体" w:hAnsi="宋体"/>
      <w:kern w:val="2"/>
      <w:sz w:val="21"/>
      <w:szCs w:val="24"/>
      <w:lang w:val="en-US" w:eastAsia="zh-CN"/>
    </w:rPr>
  </w:style>
  <w:style w:type="character" w:customStyle="1" w:styleId="CharChar125">
    <w:name w:val="Char Char125"/>
    <w:qFormat/>
    <w:rPr>
      <w:rFonts w:ascii="黑体" w:eastAsia="黑体" w:hAnsi="Arial"/>
      <w:b/>
      <w:bCs/>
      <w:kern w:val="2"/>
      <w:sz w:val="30"/>
      <w:szCs w:val="30"/>
      <w:lang w:val="en-US" w:eastAsia="zh-CN"/>
    </w:rPr>
  </w:style>
  <w:style w:type="character" w:customStyle="1" w:styleId="111111Char">
    <w:name w:val="标题1.1.1.1.1.1 Char"/>
    <w:qFormat/>
    <w:rPr>
      <w:rFonts w:ascii="Arial" w:eastAsia="黑体" w:hAnsi="Arial"/>
      <w:b/>
      <w:bCs/>
      <w:kern w:val="2"/>
      <w:sz w:val="24"/>
      <w:szCs w:val="24"/>
      <w:lang w:val="en-US" w:eastAsia="zh-CN"/>
    </w:rPr>
  </w:style>
  <w:style w:type="character" w:customStyle="1" w:styleId="Char1521">
    <w:name w:val="正文修改 Char1521"/>
    <w:rPr>
      <w:rFonts w:ascii="宋体" w:eastAsia="宋体" w:hAnsi="宋体" w:cs="宋体"/>
      <w:color w:val="000000"/>
      <w:kern w:val="2"/>
      <w:sz w:val="24"/>
      <w:szCs w:val="24"/>
      <w:lang w:val="en-US" w:eastAsia="zh-CN"/>
    </w:rPr>
  </w:style>
  <w:style w:type="character" w:customStyle="1" w:styleId="Char1320">
    <w:name w:val="正文修改 Char132"/>
    <w:rPr>
      <w:rFonts w:ascii="宋体" w:eastAsia="宋体" w:hAnsi="宋体" w:cs="宋体"/>
      <w:color w:val="000000"/>
      <w:kern w:val="2"/>
      <w:sz w:val="24"/>
      <w:szCs w:val="24"/>
      <w:lang w:val="en-US" w:eastAsia="zh-CN"/>
    </w:rPr>
  </w:style>
  <w:style w:type="character" w:customStyle="1" w:styleId="Char11b">
    <w:name w:val="标题正文黑 Char11"/>
    <w:qFormat/>
    <w:rPr>
      <w:rFonts w:ascii="黑体" w:eastAsia="黑体"/>
      <w:kern w:val="2"/>
      <w:sz w:val="28"/>
      <w:szCs w:val="28"/>
      <w:lang w:val="en-US" w:eastAsia="zh-CN"/>
    </w:rPr>
  </w:style>
  <w:style w:type="character" w:customStyle="1" w:styleId="7Char1">
    <w:name w:val="标题 7 Char1"/>
    <w:qFormat/>
    <w:rPr>
      <w:rFonts w:eastAsia="宋体"/>
      <w:b/>
      <w:bCs/>
      <w:kern w:val="2"/>
      <w:sz w:val="24"/>
      <w:szCs w:val="24"/>
      <w:lang w:val="en-US" w:eastAsia="zh-CN"/>
    </w:rPr>
  </w:style>
  <w:style w:type="character" w:customStyle="1" w:styleId="Char1010">
    <w:name w:val="表格内字体 Char101"/>
    <w:qFormat/>
    <w:rPr>
      <w:rFonts w:ascii="宋体" w:eastAsia="宋体" w:hAnsi="宋体" w:cs="Times New Roman"/>
      <w:kern w:val="2"/>
      <w:sz w:val="24"/>
      <w:szCs w:val="21"/>
      <w:lang w:val="en-US" w:eastAsia="zh-CN"/>
    </w:rPr>
  </w:style>
  <w:style w:type="character" w:customStyle="1" w:styleId="Char133">
    <w:name w:val="正文修改 Char133"/>
    <w:qFormat/>
    <w:rPr>
      <w:rFonts w:ascii="宋体" w:eastAsia="宋体" w:hAnsi="宋体" w:cs="宋体"/>
      <w:color w:val="000000"/>
      <w:kern w:val="2"/>
      <w:sz w:val="24"/>
      <w:szCs w:val="24"/>
      <w:lang w:val="en-US" w:eastAsia="zh-CN"/>
    </w:rPr>
  </w:style>
  <w:style w:type="character" w:customStyle="1" w:styleId="Char11c">
    <w:name w:val="表格内容 Char11"/>
    <w:qFormat/>
    <w:rPr>
      <w:rFonts w:eastAsia="宋体"/>
      <w:kern w:val="2"/>
      <w:sz w:val="21"/>
      <w:szCs w:val="21"/>
      <w:lang w:val="en-US" w:eastAsia="zh-CN"/>
    </w:rPr>
  </w:style>
  <w:style w:type="character" w:customStyle="1" w:styleId="1Char42">
    <w:name w:val="表题1 Char42"/>
    <w:qFormat/>
    <w:rPr>
      <w:rFonts w:ascii="黑体" w:eastAsia="黑体" w:hAnsi="Arial" w:cs="Arial"/>
      <w:b/>
      <w:kern w:val="2"/>
      <w:sz w:val="24"/>
      <w:szCs w:val="24"/>
      <w:lang w:val="en-US" w:eastAsia="zh-CN"/>
    </w:rPr>
  </w:style>
  <w:style w:type="character" w:customStyle="1" w:styleId="1Char5">
    <w:name w:val="标题 1 Char5"/>
    <w:qFormat/>
    <w:rPr>
      <w:rFonts w:ascii="黑体" w:eastAsia="黑体" w:hAnsi="宋体" w:cs="Times New Roman"/>
      <w:bCs/>
      <w:kern w:val="44"/>
      <w:sz w:val="32"/>
      <w:szCs w:val="32"/>
      <w:lang w:val="en-US" w:eastAsia="zh-CN"/>
    </w:rPr>
  </w:style>
  <w:style w:type="character" w:customStyle="1" w:styleId="5Char310">
    <w:name w:val="样式 表内小5 + 黑体 加粗 倾斜 下划线 Char31"/>
    <w:qFormat/>
    <w:rPr>
      <w:rFonts w:ascii="黑体" w:eastAsia="黑体" w:hAnsi="黑体" w:cs="Times New Roman"/>
      <w:b/>
      <w:bCs/>
      <w:i/>
      <w:iCs/>
      <w:kern w:val="2"/>
      <w:sz w:val="18"/>
      <w:szCs w:val="24"/>
      <w:u w:val="single"/>
      <w:lang w:val="en-US" w:eastAsia="zh-CN"/>
    </w:rPr>
  </w:style>
  <w:style w:type="character" w:customStyle="1" w:styleId="Char416">
    <w:name w:val="表格内字体 Char41"/>
    <w:qFormat/>
    <w:rPr>
      <w:rFonts w:ascii="宋体" w:eastAsia="宋体" w:hAnsi="宋体"/>
      <w:kern w:val="2"/>
      <w:sz w:val="21"/>
      <w:szCs w:val="24"/>
      <w:lang w:val="en-US" w:eastAsia="zh-CN"/>
    </w:rPr>
  </w:style>
  <w:style w:type="character" w:customStyle="1" w:styleId="CharChar43">
    <w:name w:val="Char Char43"/>
    <w:qFormat/>
    <w:rPr>
      <w:rFonts w:ascii="黑体" w:eastAsia="黑体" w:hAnsi="Arial"/>
      <w:b/>
      <w:bCs/>
      <w:kern w:val="2"/>
      <w:sz w:val="30"/>
      <w:szCs w:val="30"/>
      <w:lang w:val="en-US" w:eastAsia="zh-CN"/>
    </w:rPr>
  </w:style>
  <w:style w:type="character" w:customStyle="1" w:styleId="CharChar517">
    <w:name w:val="Char Char517"/>
    <w:qFormat/>
    <w:rPr>
      <w:rFonts w:ascii="黑体" w:eastAsia="黑体" w:hAnsi="宋体"/>
      <w:bCs/>
      <w:kern w:val="2"/>
      <w:sz w:val="28"/>
      <w:szCs w:val="28"/>
      <w:lang w:val="en-US" w:eastAsia="zh-CN"/>
    </w:rPr>
  </w:style>
  <w:style w:type="character" w:customStyle="1" w:styleId="CharChar213">
    <w:name w:val="Char Char213"/>
    <w:qFormat/>
    <w:rPr>
      <w:rFonts w:ascii="黑体" w:eastAsia="宋体"/>
      <w:kern w:val="2"/>
      <w:sz w:val="16"/>
      <w:szCs w:val="16"/>
      <w:lang w:val="en-US" w:eastAsia="zh-CN"/>
    </w:rPr>
  </w:style>
  <w:style w:type="character" w:customStyle="1" w:styleId="Char21a">
    <w:name w:val="批注框文本 Char21"/>
    <w:qFormat/>
    <w:rPr>
      <w:rFonts w:eastAsia="宋体"/>
      <w:kern w:val="2"/>
      <w:sz w:val="18"/>
      <w:szCs w:val="18"/>
      <w:lang w:val="en-US" w:eastAsia="zh-CN"/>
    </w:rPr>
  </w:style>
  <w:style w:type="character" w:customStyle="1" w:styleId="Char3f1">
    <w:name w:val="正文文本缩进 Char3"/>
    <w:qFormat/>
    <w:rPr>
      <w:rFonts w:ascii="宋体" w:eastAsia="宋体" w:hAnsi="宋体" w:cs="宋体"/>
      <w:color w:val="000000"/>
      <w:kern w:val="2"/>
      <w:sz w:val="24"/>
      <w:szCs w:val="24"/>
      <w:lang w:val="en-US" w:eastAsia="zh-CN"/>
    </w:rPr>
  </w:style>
  <w:style w:type="character" w:customStyle="1" w:styleId="2Char61">
    <w:name w:val="标题 2 Char61"/>
    <w:qFormat/>
    <w:rPr>
      <w:rFonts w:ascii="黑体" w:eastAsia="黑体" w:hAnsi="Arial"/>
      <w:b/>
      <w:bCs/>
      <w:kern w:val="2"/>
      <w:sz w:val="30"/>
      <w:szCs w:val="30"/>
      <w:lang w:val="en-US" w:eastAsia="zh-CN"/>
    </w:rPr>
  </w:style>
  <w:style w:type="character" w:customStyle="1" w:styleId="3CharChar5">
    <w:name w:val="正文文字 3 Char Char"/>
    <w:qFormat/>
    <w:rPr>
      <w:rFonts w:eastAsia="仿宋_GB2312"/>
      <w:kern w:val="2"/>
      <w:sz w:val="28"/>
      <w:szCs w:val="24"/>
      <w:lang w:val="en-US" w:eastAsia="zh-CN"/>
    </w:rPr>
  </w:style>
  <w:style w:type="character" w:customStyle="1" w:styleId="Char55">
    <w:name w:val="表中文字 Char5"/>
    <w:qFormat/>
    <w:rPr>
      <w:rFonts w:ascii="Arial" w:eastAsia="宋体" w:hAnsi="Arial"/>
      <w:kern w:val="2"/>
      <w:sz w:val="24"/>
      <w:szCs w:val="24"/>
      <w:lang w:val="en-US" w:eastAsia="zh-TW"/>
    </w:rPr>
  </w:style>
  <w:style w:type="character" w:customStyle="1" w:styleId="Char3f2">
    <w:name w:val="环评正文 Char3"/>
    <w:qFormat/>
    <w:rPr>
      <w:rFonts w:ascii="Times New Roman" w:eastAsia="宋体" w:hAnsi="Times New Roman" w:cs="Times New Roman"/>
      <w:bCs/>
      <w:kern w:val="2"/>
      <w:sz w:val="24"/>
      <w:szCs w:val="24"/>
      <w:lang w:val="en-US" w:eastAsia="zh-CN"/>
    </w:rPr>
  </w:style>
  <w:style w:type="character" w:customStyle="1" w:styleId="yqlink">
    <w:name w:val="yqlink"/>
    <w:qFormat/>
  </w:style>
  <w:style w:type="character" w:customStyle="1" w:styleId="Char621">
    <w:name w:val="题注 Char621"/>
    <w:qFormat/>
    <w:rPr>
      <w:rFonts w:ascii="黑体" w:eastAsia="黑体" w:hAnsi="Arial" w:cs="Arial"/>
      <w:b/>
      <w:kern w:val="2"/>
      <w:sz w:val="24"/>
      <w:szCs w:val="24"/>
      <w:lang w:val="en-US" w:eastAsia="zh-CN"/>
    </w:rPr>
  </w:style>
  <w:style w:type="character" w:customStyle="1" w:styleId="Char31c">
    <w:name w:val="表中文字 Char31"/>
    <w:qFormat/>
    <w:rPr>
      <w:rFonts w:ascii="Arial" w:eastAsia="宋体" w:hAnsi="Arial"/>
      <w:kern w:val="2"/>
      <w:sz w:val="24"/>
      <w:szCs w:val="24"/>
      <w:lang w:val="en-US" w:eastAsia="zh-TW"/>
    </w:rPr>
  </w:style>
  <w:style w:type="character" w:customStyle="1" w:styleId="Char1120">
    <w:name w:val="正文修改 Char112"/>
    <w:qFormat/>
    <w:rPr>
      <w:rFonts w:ascii="宋体" w:eastAsia="宋体" w:hAnsi="宋体" w:cs="宋体"/>
      <w:color w:val="000000"/>
      <w:kern w:val="2"/>
      <w:sz w:val="24"/>
      <w:szCs w:val="24"/>
      <w:lang w:val="en-US" w:eastAsia="zh-CN"/>
    </w:rPr>
  </w:style>
  <w:style w:type="character" w:customStyle="1" w:styleId="8Char11">
    <w:name w:val="标题 8 Char11"/>
    <w:qFormat/>
    <w:rPr>
      <w:rFonts w:ascii="Arial" w:eastAsia="黑体" w:hAnsi="Arial"/>
      <w:kern w:val="2"/>
      <w:sz w:val="24"/>
      <w:szCs w:val="24"/>
      <w:lang w:val="en-US" w:eastAsia="zh-CN"/>
    </w:rPr>
  </w:style>
  <w:style w:type="character" w:customStyle="1" w:styleId="Char11d">
    <w:name w:val="题注 Char11"/>
    <w:qFormat/>
    <w:rPr>
      <w:rFonts w:ascii="黑体" w:eastAsia="黑体" w:hAnsi="Arial" w:cs="Arial"/>
      <w:b/>
      <w:kern w:val="2"/>
      <w:sz w:val="24"/>
      <w:szCs w:val="24"/>
      <w:lang w:val="en-US" w:eastAsia="zh-CN"/>
    </w:rPr>
  </w:style>
  <w:style w:type="character" w:customStyle="1" w:styleId="CharChar1210">
    <w:name w:val="Char Char1210"/>
    <w:rPr>
      <w:rFonts w:ascii="黑体" w:eastAsia="黑体" w:hAnsi="Arial"/>
      <w:b/>
      <w:bCs/>
      <w:kern w:val="2"/>
      <w:sz w:val="30"/>
      <w:szCs w:val="30"/>
      <w:lang w:val="en-US" w:eastAsia="zh-CN"/>
    </w:rPr>
  </w:style>
  <w:style w:type="character" w:customStyle="1" w:styleId="Char151">
    <w:name w:val="正文修改 Char151"/>
    <w:qFormat/>
    <w:rPr>
      <w:rFonts w:ascii="宋体" w:eastAsia="宋体" w:hAnsi="宋体" w:cs="宋体"/>
      <w:color w:val="000000"/>
      <w:kern w:val="2"/>
      <w:sz w:val="24"/>
      <w:szCs w:val="24"/>
      <w:lang w:val="en-US" w:eastAsia="zh-CN"/>
    </w:rPr>
  </w:style>
  <w:style w:type="character" w:customStyle="1" w:styleId="Char31d">
    <w:name w:val="正文格式 Char31"/>
    <w:qFormat/>
    <w:rPr>
      <w:rFonts w:ascii="宋体" w:eastAsia="宋体" w:hAnsi="宋体"/>
      <w:kern w:val="2"/>
      <w:sz w:val="24"/>
      <w:szCs w:val="24"/>
      <w:lang w:val="en-US" w:eastAsia="zh-CN"/>
    </w:rPr>
  </w:style>
  <w:style w:type="character" w:customStyle="1" w:styleId="HTML15">
    <w:name w:val="HTML 键盘1"/>
    <w:qFormat/>
    <w:rPr>
      <w:rFonts w:ascii="Courier New" w:eastAsia="宋体" w:hAnsi="Courier New" w:cs="Courier New"/>
      <w:kern w:val="2"/>
      <w:sz w:val="20"/>
      <w:szCs w:val="20"/>
      <w:lang w:val="en-US" w:eastAsia="zh-CN"/>
    </w:rPr>
  </w:style>
  <w:style w:type="character" w:customStyle="1" w:styleId="Char911">
    <w:name w:val="表格内字体 Char91"/>
    <w:qFormat/>
    <w:rPr>
      <w:rFonts w:ascii="宋体" w:eastAsia="宋体" w:hAnsi="宋体"/>
      <w:kern w:val="2"/>
      <w:sz w:val="21"/>
      <w:szCs w:val="24"/>
      <w:lang w:val="en-US" w:eastAsia="zh-CN"/>
    </w:rPr>
  </w:style>
  <w:style w:type="character" w:customStyle="1" w:styleId="tex1">
    <w:name w:val="tex1"/>
    <w:qFormat/>
    <w:rPr>
      <w:color w:val="000000"/>
      <w:sz w:val="21"/>
      <w:szCs w:val="21"/>
    </w:rPr>
  </w:style>
  <w:style w:type="character" w:customStyle="1" w:styleId="Char100">
    <w:name w:val="表格内字体 Char10"/>
    <w:qFormat/>
    <w:rPr>
      <w:rFonts w:ascii="宋体" w:eastAsia="宋体" w:hAnsi="宋体" w:cs="Times New Roman"/>
      <w:kern w:val="2"/>
      <w:sz w:val="24"/>
      <w:szCs w:val="21"/>
      <w:lang w:val="en-US" w:eastAsia="zh-CN"/>
    </w:rPr>
  </w:style>
  <w:style w:type="character" w:customStyle="1" w:styleId="7Char2">
    <w:name w:val="标题 7 Char2"/>
    <w:qFormat/>
    <w:rPr>
      <w:rFonts w:ascii="Times New Roman" w:eastAsia="宋体" w:hAnsi="Times New Roman" w:cs="Times New Roman"/>
      <w:b/>
      <w:bCs/>
      <w:kern w:val="2"/>
      <w:sz w:val="24"/>
      <w:szCs w:val="24"/>
      <w:lang w:val="en-US" w:eastAsia="zh-CN"/>
    </w:rPr>
  </w:style>
  <w:style w:type="character" w:customStyle="1" w:styleId="Char21b">
    <w:name w:val="页脚 Char21"/>
    <w:qFormat/>
    <w:rPr>
      <w:rFonts w:ascii="Times New Roman" w:eastAsia="宋体" w:hAnsi="Times New Roman" w:cs="Times New Roman"/>
      <w:kern w:val="2"/>
      <w:sz w:val="18"/>
      <w:szCs w:val="18"/>
      <w:lang w:val="en-US" w:eastAsia="zh-CN"/>
    </w:rPr>
  </w:style>
  <w:style w:type="character" w:customStyle="1" w:styleId="Char1410">
    <w:name w:val="燕山正文 Char141"/>
    <w:qFormat/>
    <w:rPr>
      <w:rFonts w:ascii="宋体" w:eastAsia="宋体" w:cs="宋体"/>
      <w:kern w:val="2"/>
      <w:sz w:val="24"/>
      <w:szCs w:val="24"/>
      <w:lang w:val="en-US" w:eastAsia="zh-CN"/>
    </w:rPr>
  </w:style>
  <w:style w:type="character" w:customStyle="1" w:styleId="font41">
    <w:name w:val="font41"/>
    <w:qFormat/>
    <w:rPr>
      <w:rFonts w:ascii="Times New Roman" w:hAnsi="Times New Roman" w:cs="Times New Roman" w:hint="default"/>
      <w:color w:val="000000"/>
      <w:sz w:val="15"/>
      <w:szCs w:val="15"/>
      <w:u w:val="none"/>
    </w:rPr>
  </w:style>
  <w:style w:type="character" w:customStyle="1" w:styleId="2fff4">
    <w:name w:val="批注引用2"/>
    <w:qFormat/>
    <w:rPr>
      <w:sz w:val="21"/>
      <w:szCs w:val="21"/>
    </w:rPr>
  </w:style>
  <w:style w:type="character" w:customStyle="1" w:styleId="AChar21">
    <w:name w:val="A正文 Char21"/>
    <w:qFormat/>
    <w:rPr>
      <w:rFonts w:eastAsia="仿宋_GB2312"/>
      <w:kern w:val="2"/>
      <w:sz w:val="24"/>
      <w:szCs w:val="24"/>
      <w:lang w:val="en-US" w:eastAsia="zh-CN"/>
    </w:rPr>
  </w:style>
  <w:style w:type="character" w:customStyle="1" w:styleId="Char3f3">
    <w:name w:val="正文格式 Char3"/>
    <w:qFormat/>
    <w:rPr>
      <w:rFonts w:ascii="宋体" w:eastAsia="宋体" w:hAnsi="宋体"/>
      <w:kern w:val="2"/>
      <w:sz w:val="24"/>
      <w:szCs w:val="24"/>
      <w:lang w:val="en-US" w:eastAsia="zh-CN"/>
    </w:rPr>
  </w:style>
  <w:style w:type="character" w:customStyle="1" w:styleId="CharChar49">
    <w:name w:val="Char Char49"/>
    <w:qFormat/>
    <w:rPr>
      <w:rFonts w:ascii="黑体" w:eastAsia="黑体" w:hAnsi="Arial"/>
      <w:b/>
      <w:bCs/>
      <w:kern w:val="2"/>
      <w:sz w:val="30"/>
      <w:szCs w:val="30"/>
      <w:lang w:val="en-US" w:eastAsia="zh-CN"/>
    </w:rPr>
  </w:style>
  <w:style w:type="character" w:customStyle="1" w:styleId="Char417">
    <w:name w:val="表题 Char41"/>
    <w:qFormat/>
    <w:rPr>
      <w:rFonts w:ascii="黑体" w:eastAsia="黑体" w:hAnsi="Arial" w:cs="Arial"/>
      <w:b/>
      <w:kern w:val="2"/>
      <w:sz w:val="24"/>
      <w:szCs w:val="24"/>
      <w:lang w:val="en-US" w:eastAsia="zh-CN"/>
    </w:rPr>
  </w:style>
  <w:style w:type="character" w:customStyle="1" w:styleId="Char2f3">
    <w:name w:val="三级标题 Char2"/>
    <w:qFormat/>
    <w:rPr>
      <w:rFonts w:ascii="黑体" w:eastAsia="黑体" w:hAnsi="宋体"/>
      <w:b/>
      <w:bCs/>
      <w:kern w:val="2"/>
      <w:sz w:val="28"/>
      <w:szCs w:val="28"/>
      <w:lang w:val="en-US" w:eastAsia="zh-CN"/>
    </w:rPr>
  </w:style>
  <w:style w:type="character" w:customStyle="1" w:styleId="CharChar39">
    <w:name w:val="Char Char39"/>
    <w:qFormat/>
    <w:rPr>
      <w:rFonts w:ascii="黑体" w:eastAsia="黑体" w:hAnsi="宋体"/>
      <w:b/>
      <w:bCs/>
      <w:kern w:val="2"/>
      <w:sz w:val="28"/>
      <w:szCs w:val="28"/>
      <w:lang w:val="en-US" w:eastAsia="zh-CN"/>
    </w:rPr>
  </w:style>
  <w:style w:type="character" w:customStyle="1" w:styleId="CharChar1118">
    <w:name w:val="Char Char1118"/>
    <w:qFormat/>
    <w:rPr>
      <w:rFonts w:ascii="黑体" w:eastAsia="黑体" w:hAnsi="Arial"/>
      <w:bCs/>
      <w:kern w:val="2"/>
      <w:sz w:val="30"/>
      <w:szCs w:val="30"/>
      <w:lang w:val="en-US" w:eastAsia="zh-CN"/>
    </w:rPr>
  </w:style>
  <w:style w:type="character" w:customStyle="1" w:styleId="HTML16">
    <w:name w:val="HTML 样本1"/>
    <w:qFormat/>
    <w:rPr>
      <w:rFonts w:ascii="Courier New" w:eastAsia="宋体" w:hAnsi="Courier New" w:cs="Courier New"/>
      <w:kern w:val="2"/>
      <w:sz w:val="32"/>
      <w:szCs w:val="32"/>
      <w:lang w:val="en-US" w:eastAsia="zh-CN"/>
    </w:rPr>
  </w:style>
  <w:style w:type="character" w:customStyle="1" w:styleId="Char2f4">
    <w:name w:val="正文格式 Char2"/>
    <w:qFormat/>
    <w:rPr>
      <w:rFonts w:ascii="宋体" w:eastAsia="宋体" w:hAnsi="宋体"/>
      <w:kern w:val="2"/>
      <w:sz w:val="24"/>
      <w:szCs w:val="24"/>
      <w:lang w:val="en-US" w:eastAsia="zh-CN"/>
    </w:rPr>
  </w:style>
  <w:style w:type="character" w:customStyle="1" w:styleId="Char180">
    <w:name w:val="燕山正文 Char18"/>
    <w:qFormat/>
    <w:rPr>
      <w:rFonts w:ascii="宋体" w:eastAsia="宋体" w:cs="宋体"/>
      <w:kern w:val="2"/>
      <w:sz w:val="24"/>
      <w:szCs w:val="24"/>
      <w:lang w:val="en-US" w:eastAsia="zh-CN"/>
    </w:rPr>
  </w:style>
  <w:style w:type="character" w:customStyle="1" w:styleId="CharChar1119">
    <w:name w:val="Char Char1119"/>
    <w:qFormat/>
    <w:rPr>
      <w:rFonts w:ascii="黑体" w:eastAsia="黑体" w:hAnsi="Arial"/>
      <w:bCs/>
      <w:kern w:val="2"/>
      <w:sz w:val="30"/>
      <w:szCs w:val="30"/>
      <w:lang w:val="en-US" w:eastAsia="zh-CN"/>
    </w:rPr>
  </w:style>
  <w:style w:type="character" w:customStyle="1" w:styleId="1Char71">
    <w:name w:val="表题1 Char71"/>
    <w:qFormat/>
    <w:rPr>
      <w:rFonts w:ascii="黑体" w:eastAsia="黑体" w:hAnsi="Arial" w:cs="Arial"/>
      <w:b/>
      <w:kern w:val="2"/>
      <w:sz w:val="24"/>
      <w:szCs w:val="24"/>
      <w:lang w:val="en-US" w:eastAsia="zh-CN"/>
    </w:rPr>
  </w:style>
  <w:style w:type="character" w:customStyle="1" w:styleId="Char3f4">
    <w:name w:val="页脚 Char3"/>
    <w:qFormat/>
    <w:rPr>
      <w:rFonts w:eastAsia="宋体"/>
      <w:kern w:val="2"/>
      <w:sz w:val="18"/>
      <w:szCs w:val="18"/>
      <w:lang w:val="en-US" w:eastAsia="zh-CN"/>
    </w:rPr>
  </w:style>
  <w:style w:type="character" w:customStyle="1" w:styleId="3Char210">
    <w:name w:val="标题 3 Char21"/>
    <w:qFormat/>
    <w:rPr>
      <w:rFonts w:ascii="黑体" w:eastAsia="黑体" w:hAnsi="宋体"/>
      <w:b/>
      <w:bCs/>
      <w:kern w:val="2"/>
      <w:sz w:val="28"/>
      <w:szCs w:val="28"/>
      <w:lang w:val="en-US" w:eastAsia="zh-CN"/>
    </w:rPr>
  </w:style>
  <w:style w:type="character" w:customStyle="1" w:styleId="CharChar512">
    <w:name w:val="Char Char512"/>
    <w:qFormat/>
    <w:rPr>
      <w:rFonts w:ascii="黑体" w:eastAsia="黑体" w:hAnsi="宋体"/>
      <w:bCs/>
      <w:kern w:val="2"/>
      <w:sz w:val="28"/>
      <w:szCs w:val="28"/>
      <w:lang w:val="en-US" w:eastAsia="zh-CN"/>
    </w:rPr>
  </w:style>
  <w:style w:type="character" w:customStyle="1" w:styleId="CharChar57">
    <w:name w:val="Char Char57"/>
    <w:qFormat/>
    <w:rPr>
      <w:rFonts w:ascii="黑体" w:eastAsia="黑体" w:hAnsi="宋体"/>
      <w:bCs/>
      <w:kern w:val="2"/>
      <w:sz w:val="28"/>
      <w:szCs w:val="28"/>
      <w:lang w:val="en-US" w:eastAsia="zh-CN"/>
    </w:rPr>
  </w:style>
  <w:style w:type="character" w:customStyle="1" w:styleId="AChar2">
    <w:name w:val="A正文 Char2"/>
    <w:qFormat/>
    <w:rPr>
      <w:rFonts w:eastAsia="仿宋_GB2312"/>
      <w:kern w:val="2"/>
      <w:sz w:val="24"/>
      <w:szCs w:val="24"/>
      <w:lang w:val="en-US" w:eastAsia="zh-CN"/>
    </w:rPr>
  </w:style>
  <w:style w:type="character" w:customStyle="1" w:styleId="1Char431">
    <w:name w:val="表题1 Char431"/>
    <w:rPr>
      <w:rFonts w:ascii="黑体" w:eastAsia="黑体" w:hAnsi="Arial" w:cs="Arial"/>
      <w:b/>
      <w:kern w:val="2"/>
      <w:sz w:val="24"/>
      <w:szCs w:val="24"/>
      <w:lang w:val="en-US" w:eastAsia="zh-CN"/>
    </w:rPr>
  </w:style>
  <w:style w:type="character" w:customStyle="1" w:styleId="Char31e">
    <w:name w:val="环评正文 Char31"/>
    <w:qFormat/>
    <w:rPr>
      <w:rFonts w:ascii="Times New Roman" w:eastAsia="宋体" w:hAnsi="Times New Roman" w:cs="Times New Roman"/>
      <w:bCs/>
      <w:kern w:val="2"/>
      <w:sz w:val="24"/>
      <w:szCs w:val="24"/>
      <w:lang w:val="en-US" w:eastAsia="zh-CN"/>
    </w:rPr>
  </w:style>
  <w:style w:type="character" w:customStyle="1" w:styleId="Char31f">
    <w:name w:val="图题注 Char31"/>
    <w:qFormat/>
    <w:rPr>
      <w:rFonts w:ascii="黑体" w:eastAsia="黑体" w:hAnsi="Arial" w:cs="宋体"/>
      <w:b/>
      <w:bCs/>
      <w:kern w:val="2"/>
      <w:sz w:val="24"/>
      <w:szCs w:val="24"/>
      <w:lang w:val="en-US" w:eastAsia="zh-CN"/>
    </w:rPr>
  </w:style>
  <w:style w:type="character" w:customStyle="1" w:styleId="Char4a">
    <w:name w:val="样式 表格内字体 + Char4"/>
    <w:qFormat/>
    <w:rPr>
      <w:rFonts w:ascii="宋体" w:hAnsi="宋体"/>
      <w:kern w:val="2"/>
      <w:sz w:val="21"/>
      <w:szCs w:val="24"/>
    </w:rPr>
  </w:style>
  <w:style w:type="character" w:customStyle="1" w:styleId="CharChar211">
    <w:name w:val="Char Char211"/>
    <w:qFormat/>
    <w:rPr>
      <w:rFonts w:ascii="黑体" w:eastAsia="宋体"/>
      <w:kern w:val="2"/>
      <w:sz w:val="16"/>
      <w:szCs w:val="16"/>
      <w:lang w:val="en-US" w:eastAsia="zh-CN"/>
    </w:rPr>
  </w:style>
  <w:style w:type="character" w:customStyle="1" w:styleId="1CharChar9">
    <w:name w:val="纯文本1 Char Char"/>
    <w:qFormat/>
    <w:rPr>
      <w:rFonts w:ascii="宋体" w:eastAsia="宋体" w:hAnsi="Courier New"/>
      <w:kern w:val="2"/>
      <w:sz w:val="21"/>
      <w:lang w:val="en-US" w:eastAsia="zh-CN"/>
    </w:rPr>
  </w:style>
  <w:style w:type="character" w:customStyle="1" w:styleId="1Char4">
    <w:name w:val="表题1 Char4"/>
    <w:rPr>
      <w:rFonts w:ascii="黑体" w:eastAsia="黑体" w:hAnsi="Arial" w:cs="Arial"/>
      <w:b/>
      <w:kern w:val="2"/>
      <w:sz w:val="24"/>
      <w:szCs w:val="24"/>
      <w:lang w:val="en-US" w:eastAsia="zh-CN"/>
    </w:rPr>
  </w:style>
  <w:style w:type="character" w:customStyle="1" w:styleId="CharCharCharCharCharCharCharCharCharCharChar">
    <w:name w:val="普通文字 Char Char Char Char Char Char Char Char Char Char Char"/>
    <w:qFormat/>
    <w:rPr>
      <w:rFonts w:ascii="宋体" w:eastAsia="宋体" w:hAnsi="Courier New" w:cs="宋体"/>
      <w:kern w:val="2"/>
      <w:sz w:val="28"/>
      <w:szCs w:val="24"/>
      <w:lang w:val="en-US" w:eastAsia="zh-CN"/>
    </w:rPr>
  </w:style>
  <w:style w:type="character" w:customStyle="1" w:styleId="Char134">
    <w:name w:val="燕山正文 Char13"/>
    <w:qFormat/>
    <w:rPr>
      <w:rFonts w:ascii="宋体" w:eastAsia="宋体" w:cs="宋体"/>
      <w:kern w:val="2"/>
      <w:sz w:val="24"/>
      <w:szCs w:val="24"/>
      <w:lang w:val="en-US" w:eastAsia="zh-CN"/>
    </w:rPr>
  </w:style>
  <w:style w:type="character" w:customStyle="1" w:styleId="1Char111">
    <w:name w:val="标题 1 Char11"/>
    <w:rPr>
      <w:rFonts w:ascii="黑体" w:eastAsia="黑体" w:hAnsi="宋体" w:cs="Times New Roman"/>
      <w:bCs/>
      <w:kern w:val="44"/>
      <w:sz w:val="32"/>
      <w:szCs w:val="32"/>
      <w:lang w:val="en-US" w:eastAsia="zh-CN"/>
    </w:rPr>
  </w:style>
  <w:style w:type="character" w:customStyle="1" w:styleId="text31">
    <w:name w:val="text31"/>
    <w:qFormat/>
    <w:rPr>
      <w:rFonts w:ascii="宋体" w:eastAsia="宋体" w:hAnsi="宋体" w:hint="eastAsia"/>
      <w:color w:val="673434"/>
      <w:kern w:val="2"/>
      <w:sz w:val="22"/>
      <w:szCs w:val="22"/>
      <w:u w:val="none"/>
      <w:lang w:val="en-US" w:eastAsia="zh-CN"/>
    </w:rPr>
  </w:style>
  <w:style w:type="character" w:customStyle="1" w:styleId="CharChar1115">
    <w:name w:val="Char Char1115"/>
    <w:qFormat/>
    <w:rPr>
      <w:rFonts w:ascii="黑体" w:eastAsia="黑体" w:hAnsi="Arial"/>
      <w:bCs/>
      <w:kern w:val="2"/>
      <w:sz w:val="30"/>
      <w:szCs w:val="30"/>
      <w:lang w:val="en-US" w:eastAsia="zh-CN"/>
    </w:rPr>
  </w:style>
  <w:style w:type="character" w:customStyle="1" w:styleId="Char1ff0">
    <w:name w:val="一级项 Char1"/>
    <w:qFormat/>
    <w:rPr>
      <w:rFonts w:eastAsia="宋体"/>
      <w:b/>
      <w:bCs/>
      <w:kern w:val="2"/>
      <w:sz w:val="28"/>
      <w:szCs w:val="28"/>
      <w:lang w:val="en-US" w:eastAsia="zh-CN"/>
    </w:rPr>
  </w:style>
  <w:style w:type="character" w:customStyle="1" w:styleId="Char1710">
    <w:name w:val="正文修改 Char171"/>
    <w:qFormat/>
    <w:rPr>
      <w:rFonts w:ascii="宋体" w:eastAsia="宋体" w:hAnsi="宋体" w:cs="宋体"/>
      <w:color w:val="000000"/>
      <w:kern w:val="2"/>
      <w:sz w:val="24"/>
      <w:szCs w:val="24"/>
      <w:lang w:val="en-US" w:eastAsia="zh-CN"/>
    </w:rPr>
  </w:style>
  <w:style w:type="character" w:customStyle="1" w:styleId="Char418">
    <w:name w:val="页眉 Char41"/>
    <w:qFormat/>
    <w:rPr>
      <w:rFonts w:ascii="Times New Roman" w:eastAsia="宋体" w:hAnsi="Times New Roman" w:cs="Times New Roman"/>
      <w:kern w:val="2"/>
      <w:sz w:val="18"/>
      <w:szCs w:val="18"/>
      <w:lang w:val="en-US" w:eastAsia="zh-CN"/>
    </w:rPr>
  </w:style>
  <w:style w:type="character" w:customStyle="1" w:styleId="Char135">
    <w:name w:val="正文缩进 Char13"/>
    <w:qFormat/>
    <w:rPr>
      <w:rFonts w:ascii="宋体" w:eastAsia="宋体" w:hAnsi="宋体" w:cs="宋体"/>
      <w:color w:val="000000"/>
      <w:kern w:val="2"/>
      <w:sz w:val="24"/>
      <w:szCs w:val="24"/>
      <w:lang w:val="en-US" w:eastAsia="zh-CN"/>
    </w:rPr>
  </w:style>
  <w:style w:type="character" w:customStyle="1" w:styleId="Char1440">
    <w:name w:val="正文修改 Char144"/>
    <w:qFormat/>
    <w:rPr>
      <w:rFonts w:ascii="宋体" w:cs="宋体"/>
      <w:kern w:val="2"/>
      <w:sz w:val="24"/>
      <w:szCs w:val="24"/>
    </w:rPr>
  </w:style>
  <w:style w:type="character" w:customStyle="1" w:styleId="CharChar1214">
    <w:name w:val="Char Char1214"/>
    <w:qFormat/>
    <w:rPr>
      <w:rFonts w:ascii="黑体" w:eastAsia="黑体" w:hAnsi="Arial"/>
      <w:b/>
      <w:bCs/>
      <w:kern w:val="2"/>
      <w:sz w:val="30"/>
      <w:szCs w:val="30"/>
      <w:lang w:val="en-US" w:eastAsia="zh-CN"/>
    </w:rPr>
  </w:style>
  <w:style w:type="character" w:customStyle="1" w:styleId="3Char5">
    <w:name w:val="正文文本缩进 3 Char5"/>
    <w:qFormat/>
    <w:rPr>
      <w:rFonts w:ascii="Times New Roman" w:eastAsia="宋体" w:hAnsi="Times New Roman" w:cs="Times New Roman"/>
      <w:kern w:val="2"/>
      <w:sz w:val="16"/>
      <w:szCs w:val="16"/>
      <w:lang w:val="en-US" w:eastAsia="zh-CN"/>
    </w:rPr>
  </w:style>
  <w:style w:type="character" w:customStyle="1" w:styleId="1Char210">
    <w:name w:val="河石1 Char21"/>
    <w:qFormat/>
    <w:rPr>
      <w:rFonts w:ascii="黑体" w:eastAsia="黑体" w:hAnsi="宋体" w:cs="Times New Roman"/>
      <w:bCs/>
      <w:kern w:val="44"/>
      <w:sz w:val="32"/>
      <w:szCs w:val="32"/>
      <w:lang w:val="en-US" w:eastAsia="zh-CN"/>
    </w:rPr>
  </w:style>
  <w:style w:type="character" w:customStyle="1" w:styleId="1Char621">
    <w:name w:val="表题1 Char621"/>
    <w:qFormat/>
    <w:rPr>
      <w:rFonts w:ascii="黑体" w:eastAsia="黑体" w:hAnsi="Arial" w:cs="Arial"/>
      <w:b/>
      <w:kern w:val="2"/>
      <w:sz w:val="24"/>
      <w:szCs w:val="24"/>
      <w:lang w:val="en-US" w:eastAsia="zh-CN"/>
    </w:rPr>
  </w:style>
  <w:style w:type="character" w:customStyle="1" w:styleId="Char153">
    <w:name w:val="燕山正文 Char15"/>
    <w:qFormat/>
    <w:rPr>
      <w:rFonts w:ascii="宋体" w:eastAsia="宋体" w:cs="宋体"/>
      <w:kern w:val="2"/>
      <w:sz w:val="24"/>
      <w:szCs w:val="24"/>
      <w:lang w:val="en-US" w:eastAsia="zh-CN"/>
    </w:rPr>
  </w:style>
  <w:style w:type="character" w:customStyle="1" w:styleId="Char4b">
    <w:name w:val="页脚 Char4"/>
    <w:qFormat/>
    <w:rPr>
      <w:rFonts w:ascii="Times New Roman" w:eastAsia="宋体" w:hAnsi="Times New Roman" w:cs="Times New Roman"/>
      <w:kern w:val="2"/>
      <w:sz w:val="18"/>
      <w:szCs w:val="18"/>
      <w:lang w:val="en-US" w:eastAsia="zh-CN"/>
    </w:rPr>
  </w:style>
  <w:style w:type="character" w:customStyle="1" w:styleId="Char21c">
    <w:name w:val="样式 表格内字体 + Char21"/>
    <w:qFormat/>
    <w:rPr>
      <w:rFonts w:ascii="宋体" w:hAnsi="宋体"/>
      <w:kern w:val="2"/>
      <w:sz w:val="21"/>
      <w:szCs w:val="24"/>
    </w:rPr>
  </w:style>
  <w:style w:type="character" w:customStyle="1" w:styleId="4Char210">
    <w:name w:val="标题 4 Char21"/>
    <w:qFormat/>
    <w:rPr>
      <w:rFonts w:ascii="黑体" w:eastAsia="黑体" w:hAnsi="Arial"/>
      <w:b/>
      <w:bCs/>
      <w:kern w:val="2"/>
      <w:sz w:val="24"/>
      <w:szCs w:val="24"/>
      <w:lang w:val="en-US" w:eastAsia="zh-CN"/>
    </w:rPr>
  </w:style>
  <w:style w:type="character" w:customStyle="1" w:styleId="style81">
    <w:name w:val="style81"/>
    <w:qFormat/>
    <w:rPr>
      <w:rFonts w:ascii="宋体" w:eastAsia="黑体" w:hAnsi="宋体" w:cs="宋体"/>
      <w:kern w:val="2"/>
      <w:sz w:val="24"/>
      <w:szCs w:val="24"/>
      <w:lang w:val="en-US" w:eastAsia="zh-CN"/>
    </w:rPr>
  </w:style>
  <w:style w:type="character" w:customStyle="1" w:styleId="1Char62">
    <w:name w:val="表题1 Char62"/>
    <w:qFormat/>
    <w:rPr>
      <w:rFonts w:ascii="黑体" w:eastAsia="黑体" w:hAnsi="Arial" w:cs="Arial"/>
      <w:b/>
      <w:kern w:val="2"/>
      <w:sz w:val="24"/>
      <w:szCs w:val="24"/>
      <w:lang w:val="en-US" w:eastAsia="zh-CN"/>
    </w:rPr>
  </w:style>
  <w:style w:type="character" w:customStyle="1" w:styleId="CharChar613">
    <w:name w:val="Char Char613"/>
    <w:rPr>
      <w:rFonts w:ascii="黑体" w:eastAsia="黑体"/>
      <w:b/>
      <w:bCs/>
      <w:kern w:val="2"/>
      <w:sz w:val="28"/>
      <w:szCs w:val="28"/>
      <w:lang w:val="en-US" w:eastAsia="zh-CN"/>
    </w:rPr>
  </w:style>
  <w:style w:type="character" w:customStyle="1" w:styleId="contents">
    <w:name w:val="contents"/>
    <w:qFormat/>
  </w:style>
  <w:style w:type="character" w:customStyle="1" w:styleId="d1">
    <w:name w:val="d1"/>
    <w:qFormat/>
    <w:rPr>
      <w:color w:val="333333"/>
      <w:spacing w:val="31680"/>
    </w:rPr>
  </w:style>
  <w:style w:type="character" w:customStyle="1" w:styleId="CharChar625">
    <w:name w:val="Char Char625"/>
    <w:qFormat/>
    <w:rPr>
      <w:rFonts w:ascii="黑体" w:eastAsia="黑体"/>
      <w:b/>
      <w:bCs/>
      <w:kern w:val="2"/>
      <w:sz w:val="28"/>
      <w:szCs w:val="28"/>
      <w:lang w:val="en-US" w:eastAsia="zh-CN"/>
    </w:rPr>
  </w:style>
  <w:style w:type="character" w:customStyle="1" w:styleId="3CharChar10">
    <w:name w:val="正文文字 3 Char Char1"/>
    <w:qFormat/>
    <w:rPr>
      <w:rFonts w:eastAsia="仿宋_GB2312"/>
      <w:kern w:val="2"/>
      <w:sz w:val="28"/>
      <w:szCs w:val="24"/>
      <w:lang w:val="en-US" w:eastAsia="zh-CN"/>
    </w:rPr>
  </w:style>
  <w:style w:type="character" w:customStyle="1" w:styleId="Char1ff1">
    <w:name w:val="表中文字 Char1"/>
    <w:qFormat/>
    <w:rPr>
      <w:rFonts w:ascii="Arial" w:eastAsia="宋体" w:hAnsi="Arial"/>
      <w:kern w:val="2"/>
      <w:sz w:val="24"/>
      <w:szCs w:val="24"/>
      <w:lang w:val="en-US" w:eastAsia="zh-TW"/>
    </w:rPr>
  </w:style>
  <w:style w:type="character" w:customStyle="1" w:styleId="Char1412">
    <w:name w:val="正文修改 Char141"/>
    <w:qFormat/>
    <w:rPr>
      <w:rFonts w:ascii="宋体" w:cs="宋体"/>
      <w:kern w:val="2"/>
      <w:sz w:val="24"/>
      <w:szCs w:val="24"/>
    </w:rPr>
  </w:style>
  <w:style w:type="character" w:customStyle="1" w:styleId="CharChar313">
    <w:name w:val="Char Char313"/>
    <w:qFormat/>
    <w:rPr>
      <w:rFonts w:ascii="黑体" w:eastAsia="黑体" w:hAnsi="宋体"/>
      <w:b/>
      <w:bCs/>
      <w:kern w:val="2"/>
      <w:sz w:val="28"/>
      <w:szCs w:val="28"/>
      <w:lang w:val="en-US" w:eastAsia="zh-CN"/>
    </w:rPr>
  </w:style>
  <w:style w:type="character" w:customStyle="1" w:styleId="7Char10">
    <w:name w:val="标题 7 表 Char1"/>
    <w:qFormat/>
    <w:rPr>
      <w:rFonts w:eastAsia="宋体"/>
      <w:b/>
      <w:bCs/>
      <w:kern w:val="2"/>
      <w:sz w:val="24"/>
      <w:szCs w:val="24"/>
      <w:lang w:val="en-US" w:eastAsia="zh-CN"/>
    </w:rPr>
  </w:style>
  <w:style w:type="character" w:customStyle="1" w:styleId="Char1CharChar4">
    <w:name w:val="正文首行缩进 Char1 Char Char4"/>
    <w:qFormat/>
    <w:rPr>
      <w:rFonts w:eastAsia="宋体"/>
      <w:kern w:val="2"/>
      <w:sz w:val="21"/>
      <w:szCs w:val="24"/>
      <w:lang w:val="en-US" w:eastAsia="zh-CN"/>
    </w:rPr>
  </w:style>
  <w:style w:type="character" w:customStyle="1" w:styleId="Char1ff2">
    <w:name w:val="文字缩进 Char1"/>
    <w:qFormat/>
    <w:rPr>
      <w:rFonts w:ascii="宋体" w:eastAsia="宋体" w:hAnsi="Courier New"/>
      <w:kern w:val="2"/>
      <w:sz w:val="21"/>
      <w:lang w:val="en-US" w:eastAsia="zh-CN"/>
    </w:rPr>
  </w:style>
  <w:style w:type="character" w:customStyle="1" w:styleId="Char83">
    <w:name w:val="表格内字体 Char8"/>
    <w:rPr>
      <w:rFonts w:ascii="宋体" w:eastAsia="宋体" w:hAnsi="宋体"/>
      <w:kern w:val="2"/>
      <w:sz w:val="21"/>
      <w:szCs w:val="24"/>
      <w:lang w:val="en-US" w:eastAsia="zh-CN"/>
    </w:rPr>
  </w:style>
  <w:style w:type="character" w:customStyle="1" w:styleId="2Char112">
    <w:name w:val="正文首行缩进 2 Char11"/>
    <w:qFormat/>
    <w:rPr>
      <w:rFonts w:ascii="仿宋_GB2312" w:eastAsia="仿宋_GB2312"/>
      <w:kern w:val="2"/>
      <w:sz w:val="21"/>
      <w:lang w:val="en-US" w:eastAsia="zh-CN"/>
    </w:rPr>
  </w:style>
  <w:style w:type="character" w:customStyle="1" w:styleId="1Char30">
    <w:name w:val="标题 1 Char3"/>
    <w:qFormat/>
    <w:rPr>
      <w:rFonts w:ascii="黑体" w:eastAsia="黑体" w:hAnsi="宋体" w:cs="Times New Roman"/>
      <w:bCs/>
      <w:kern w:val="44"/>
      <w:sz w:val="32"/>
      <w:szCs w:val="32"/>
      <w:lang w:val="en-US" w:eastAsia="zh-CN"/>
    </w:rPr>
  </w:style>
  <w:style w:type="character" w:customStyle="1" w:styleId="2Char211">
    <w:name w:val="标题 2 Char21"/>
    <w:qFormat/>
    <w:rPr>
      <w:rFonts w:ascii="黑体" w:eastAsia="黑体" w:hAnsi="Arial"/>
      <w:b/>
      <w:bCs/>
      <w:kern w:val="2"/>
      <w:sz w:val="30"/>
      <w:szCs w:val="30"/>
      <w:lang w:val="en-US" w:eastAsia="zh-CN"/>
    </w:rPr>
  </w:style>
  <w:style w:type="character" w:customStyle="1" w:styleId="Char5110">
    <w:name w:val="题注 Char511"/>
    <w:qFormat/>
    <w:rPr>
      <w:rFonts w:ascii="黑体" w:eastAsia="黑体" w:hAnsi="Arial" w:cs="Arial"/>
      <w:b/>
      <w:kern w:val="2"/>
      <w:sz w:val="24"/>
      <w:szCs w:val="24"/>
      <w:lang w:val="en-US" w:eastAsia="zh-CN"/>
    </w:rPr>
  </w:style>
  <w:style w:type="character" w:customStyle="1" w:styleId="CharChar66">
    <w:name w:val="Char Char66"/>
    <w:qFormat/>
    <w:rPr>
      <w:rFonts w:ascii="黑体" w:eastAsia="黑体"/>
      <w:b/>
      <w:bCs/>
      <w:kern w:val="2"/>
      <w:sz w:val="28"/>
      <w:szCs w:val="28"/>
      <w:lang w:val="en-US" w:eastAsia="zh-CN"/>
    </w:rPr>
  </w:style>
  <w:style w:type="character" w:customStyle="1" w:styleId="4Char4">
    <w:name w:val="河石管道4 Char4"/>
    <w:qFormat/>
    <w:rPr>
      <w:rFonts w:ascii="黑体" w:eastAsia="黑体" w:hAnsi="Arial"/>
      <w:bCs/>
      <w:kern w:val="2"/>
      <w:sz w:val="24"/>
      <w:szCs w:val="24"/>
      <w:lang w:val="en-US" w:eastAsia="zh-CN"/>
    </w:rPr>
  </w:style>
  <w:style w:type="character" w:customStyle="1" w:styleId="textindent">
    <w:name w:val="textindent"/>
    <w:qFormat/>
  </w:style>
  <w:style w:type="character" w:customStyle="1" w:styleId="Char13111">
    <w:name w:val="正文修改 Char13111"/>
    <w:qFormat/>
    <w:rPr>
      <w:rFonts w:ascii="宋体" w:eastAsia="宋体" w:hAnsi="宋体" w:cs="宋体"/>
      <w:color w:val="000000"/>
      <w:kern w:val="2"/>
      <w:sz w:val="24"/>
      <w:szCs w:val="24"/>
      <w:lang w:val="en-US" w:eastAsia="zh-CN"/>
    </w:rPr>
  </w:style>
  <w:style w:type="character" w:customStyle="1" w:styleId="Char21d">
    <w:name w:val="正文缩进 Char21"/>
    <w:qFormat/>
    <w:rPr>
      <w:rFonts w:ascii="宋体" w:eastAsia="宋体" w:hAnsi="宋体" w:cs="宋体"/>
      <w:color w:val="000000"/>
      <w:kern w:val="2"/>
      <w:sz w:val="24"/>
      <w:szCs w:val="24"/>
      <w:lang w:val="en-US" w:eastAsia="zh-CN"/>
    </w:rPr>
  </w:style>
  <w:style w:type="character" w:customStyle="1" w:styleId="CharChar1132">
    <w:name w:val="Char Char1132"/>
    <w:qFormat/>
    <w:rPr>
      <w:rFonts w:ascii="黑体" w:eastAsia="黑体" w:hAnsi="Arial"/>
      <w:bCs/>
      <w:kern w:val="2"/>
      <w:sz w:val="30"/>
      <w:szCs w:val="30"/>
      <w:lang w:val="en-US" w:eastAsia="zh-CN"/>
    </w:rPr>
  </w:style>
  <w:style w:type="character" w:customStyle="1" w:styleId="Char230">
    <w:name w:val="表中文字 Char23"/>
    <w:qFormat/>
    <w:rPr>
      <w:rFonts w:ascii="宋体" w:eastAsia="宋体"/>
      <w:kern w:val="2"/>
      <w:sz w:val="21"/>
      <w:szCs w:val="21"/>
      <w:lang w:val="en-US" w:eastAsia="zh-CN"/>
    </w:rPr>
  </w:style>
  <w:style w:type="character" w:customStyle="1" w:styleId="2Char120">
    <w:name w:val="正文首行缩进 2 Char12"/>
    <w:qFormat/>
    <w:rPr>
      <w:rFonts w:ascii="仿宋_GB2312" w:eastAsia="仿宋_GB2312"/>
      <w:kern w:val="2"/>
      <w:sz w:val="21"/>
      <w:lang w:val="en-US" w:eastAsia="zh-CN"/>
    </w:rPr>
  </w:style>
  <w:style w:type="character" w:customStyle="1" w:styleId="Char92">
    <w:name w:val="正文格式 Char9"/>
    <w:qFormat/>
    <w:rPr>
      <w:rFonts w:ascii="宋体" w:eastAsia="宋体" w:hAnsi="宋体"/>
      <w:kern w:val="2"/>
      <w:sz w:val="24"/>
      <w:szCs w:val="24"/>
      <w:lang w:val="en-US" w:eastAsia="zh-CN"/>
    </w:rPr>
  </w:style>
  <w:style w:type="character" w:customStyle="1" w:styleId="CharChar311">
    <w:name w:val="Char Char311"/>
    <w:qFormat/>
    <w:rPr>
      <w:rFonts w:ascii="黑体" w:eastAsia="黑体" w:hAnsi="宋体"/>
      <w:b/>
      <w:bCs/>
      <w:kern w:val="2"/>
      <w:sz w:val="28"/>
      <w:szCs w:val="28"/>
      <w:lang w:val="en-US" w:eastAsia="zh-CN"/>
    </w:rPr>
  </w:style>
  <w:style w:type="character" w:customStyle="1" w:styleId="Char1ff3">
    <w:name w:val="正文(首行缩进) Char1"/>
    <w:qFormat/>
    <w:rPr>
      <w:rFonts w:eastAsia="宋体"/>
      <w:snapToGrid w:val="0"/>
      <w:color w:val="000000"/>
      <w:sz w:val="24"/>
      <w:szCs w:val="24"/>
      <w:lang w:val="en-US" w:eastAsia="zh-CN"/>
    </w:rPr>
  </w:style>
  <w:style w:type="character" w:customStyle="1" w:styleId="CharChar2110">
    <w:name w:val="Char Char2110"/>
    <w:rPr>
      <w:rFonts w:ascii="黑体" w:eastAsia="宋体"/>
      <w:kern w:val="2"/>
      <w:sz w:val="16"/>
      <w:szCs w:val="16"/>
      <w:lang w:val="en-US" w:eastAsia="zh-CN"/>
    </w:rPr>
  </w:style>
  <w:style w:type="character" w:customStyle="1" w:styleId="CharChar68">
    <w:name w:val="Char Char68"/>
    <w:qFormat/>
    <w:rPr>
      <w:rFonts w:ascii="黑体" w:eastAsia="黑体"/>
      <w:b/>
      <w:bCs/>
      <w:kern w:val="2"/>
      <w:sz w:val="28"/>
      <w:szCs w:val="28"/>
      <w:lang w:val="en-US" w:eastAsia="zh-CN"/>
    </w:rPr>
  </w:style>
  <w:style w:type="character" w:customStyle="1" w:styleId="Char1ff4">
    <w:name w:val="样式 表格内字体 + Char1"/>
    <w:qFormat/>
    <w:rPr>
      <w:rFonts w:ascii="宋体" w:hAnsi="宋体"/>
      <w:kern w:val="2"/>
      <w:sz w:val="21"/>
      <w:szCs w:val="24"/>
    </w:rPr>
  </w:style>
  <w:style w:type="character" w:customStyle="1" w:styleId="Char240">
    <w:name w:val="题注 Char24"/>
    <w:qFormat/>
    <w:rPr>
      <w:rFonts w:ascii="黑体" w:eastAsia="黑体" w:hAnsi="Arial" w:cs="Arial"/>
      <w:b/>
      <w:kern w:val="2"/>
      <w:sz w:val="24"/>
      <w:szCs w:val="24"/>
      <w:lang w:val="en-US" w:eastAsia="zh-CN"/>
    </w:rPr>
  </w:style>
  <w:style w:type="character" w:customStyle="1" w:styleId="Char530">
    <w:name w:val="题注 Char53"/>
    <w:qFormat/>
    <w:rPr>
      <w:rFonts w:ascii="黑体" w:eastAsia="黑体" w:hAnsi="Arial" w:cs="Arial"/>
      <w:b/>
      <w:kern w:val="2"/>
      <w:sz w:val="24"/>
      <w:szCs w:val="24"/>
      <w:lang w:val="en-US" w:eastAsia="zh-CN"/>
    </w:rPr>
  </w:style>
  <w:style w:type="character" w:customStyle="1" w:styleId="CharChar413">
    <w:name w:val="Char Char413"/>
    <w:qFormat/>
    <w:rPr>
      <w:rFonts w:ascii="黑体" w:eastAsia="黑体" w:hAnsi="Arial"/>
      <w:b/>
      <w:bCs/>
      <w:kern w:val="2"/>
      <w:sz w:val="30"/>
      <w:szCs w:val="30"/>
      <w:lang w:val="en-US" w:eastAsia="zh-CN"/>
    </w:rPr>
  </w:style>
  <w:style w:type="character" w:customStyle="1" w:styleId="Char340">
    <w:name w:val="题注 Char34"/>
    <w:qFormat/>
    <w:rPr>
      <w:rFonts w:ascii="黑体" w:eastAsia="黑体" w:hAnsi="Arial" w:cs="Arial"/>
      <w:b/>
      <w:kern w:val="2"/>
      <w:sz w:val="24"/>
      <w:szCs w:val="24"/>
      <w:lang w:val="en-US" w:eastAsia="zh-CN"/>
    </w:rPr>
  </w:style>
  <w:style w:type="character" w:customStyle="1" w:styleId="Char5111">
    <w:name w:val="题注 Char5111"/>
    <w:rPr>
      <w:rFonts w:ascii="黑体" w:eastAsia="黑体" w:hAnsi="Arial" w:cs="Arial"/>
      <w:b/>
      <w:kern w:val="2"/>
      <w:sz w:val="24"/>
      <w:szCs w:val="24"/>
      <w:lang w:val="en-US" w:eastAsia="zh-CN"/>
    </w:rPr>
  </w:style>
  <w:style w:type="character" w:customStyle="1" w:styleId="1Char9">
    <w:name w:val="表题1 Char9"/>
    <w:qFormat/>
    <w:rPr>
      <w:rFonts w:ascii="黑体" w:eastAsia="黑体" w:hAnsi="Arial" w:cs="Arial"/>
      <w:b/>
      <w:kern w:val="2"/>
      <w:sz w:val="24"/>
      <w:szCs w:val="24"/>
      <w:lang w:val="en-US" w:eastAsia="zh-CN"/>
    </w:rPr>
  </w:style>
  <w:style w:type="character" w:customStyle="1" w:styleId="CharChar1215">
    <w:name w:val="Char Char1215"/>
    <w:qFormat/>
    <w:rPr>
      <w:rFonts w:ascii="黑体" w:eastAsia="黑体" w:hAnsi="Arial"/>
      <w:b/>
      <w:bCs/>
      <w:kern w:val="2"/>
      <w:sz w:val="30"/>
      <w:szCs w:val="30"/>
      <w:lang w:val="en-US" w:eastAsia="zh-CN"/>
    </w:rPr>
  </w:style>
  <w:style w:type="character" w:customStyle="1" w:styleId="Char1130">
    <w:name w:val="正文修改 Char113"/>
    <w:qFormat/>
    <w:rPr>
      <w:rFonts w:ascii="宋体" w:eastAsia="宋体" w:hAnsi="宋体" w:cs="宋体"/>
      <w:color w:val="000000"/>
      <w:kern w:val="2"/>
      <w:sz w:val="24"/>
      <w:szCs w:val="24"/>
      <w:lang w:val="en-US" w:eastAsia="zh-CN"/>
    </w:rPr>
  </w:style>
  <w:style w:type="character" w:customStyle="1" w:styleId="4Char11">
    <w:name w:val="标题4 Char11"/>
    <w:qFormat/>
    <w:rPr>
      <w:rFonts w:ascii="黑体" w:eastAsia="黑体" w:hAnsi="Arial" w:cs="Times New Roman"/>
      <w:b/>
      <w:bCs/>
      <w:kern w:val="2"/>
      <w:sz w:val="24"/>
      <w:szCs w:val="28"/>
      <w:lang w:val="en-US" w:eastAsia="zh-CN"/>
    </w:rPr>
  </w:style>
  <w:style w:type="character" w:customStyle="1" w:styleId="Char145">
    <w:name w:val="燕山正文 Char14"/>
    <w:qFormat/>
    <w:rPr>
      <w:rFonts w:ascii="宋体" w:eastAsia="宋体" w:cs="宋体"/>
      <w:kern w:val="2"/>
      <w:sz w:val="24"/>
      <w:szCs w:val="24"/>
      <w:lang w:val="en-US" w:eastAsia="zh-CN"/>
    </w:rPr>
  </w:style>
  <w:style w:type="character" w:customStyle="1" w:styleId="Char1ff5">
    <w:name w:val="图题注 Char1"/>
    <w:qFormat/>
    <w:rPr>
      <w:rFonts w:ascii="黑体" w:eastAsia="黑体" w:hAnsi="Arial" w:cs="宋体"/>
      <w:b/>
      <w:bCs/>
      <w:kern w:val="2"/>
      <w:sz w:val="24"/>
      <w:szCs w:val="24"/>
      <w:lang w:val="en-US" w:eastAsia="zh-CN"/>
    </w:rPr>
  </w:style>
  <w:style w:type="character" w:customStyle="1" w:styleId="Char514">
    <w:name w:val="表格内字体 Char51"/>
    <w:qFormat/>
    <w:rPr>
      <w:rFonts w:ascii="宋体" w:eastAsia="宋体" w:hAnsi="宋体"/>
      <w:kern w:val="2"/>
      <w:sz w:val="21"/>
      <w:szCs w:val="24"/>
      <w:lang w:val="en-US" w:eastAsia="zh-CN"/>
    </w:rPr>
  </w:style>
  <w:style w:type="character" w:customStyle="1" w:styleId="CharChar1120">
    <w:name w:val="Char Char1120"/>
    <w:qFormat/>
    <w:rPr>
      <w:rFonts w:ascii="黑体" w:eastAsia="黑体" w:hAnsi="Arial"/>
      <w:bCs/>
      <w:kern w:val="2"/>
      <w:sz w:val="30"/>
      <w:szCs w:val="30"/>
      <w:lang w:val="en-US" w:eastAsia="zh-CN"/>
    </w:rPr>
  </w:style>
  <w:style w:type="character" w:customStyle="1" w:styleId="2Char90">
    <w:name w:val="标题2 Char9"/>
    <w:qFormat/>
    <w:rPr>
      <w:rFonts w:ascii="宋体" w:eastAsia="宋体" w:hAnsi="宋体" w:cs="宋体"/>
      <w:color w:val="000000"/>
      <w:kern w:val="2"/>
      <w:sz w:val="24"/>
      <w:szCs w:val="24"/>
      <w:lang w:val="en-US" w:eastAsia="zh-CN"/>
    </w:rPr>
  </w:style>
  <w:style w:type="character" w:customStyle="1" w:styleId="Char1CharChar">
    <w:name w:val="正文首行缩进 Char1 Char Char"/>
    <w:qFormat/>
    <w:rPr>
      <w:rFonts w:eastAsia="宋体"/>
      <w:kern w:val="2"/>
      <w:sz w:val="21"/>
      <w:szCs w:val="24"/>
      <w:lang w:val="en-US" w:eastAsia="zh-CN"/>
    </w:rPr>
  </w:style>
  <w:style w:type="character" w:customStyle="1" w:styleId="Char11110">
    <w:name w:val="题注 Char1111"/>
    <w:qFormat/>
    <w:rPr>
      <w:rFonts w:ascii="黑体" w:eastAsia="黑体" w:hAnsi="Arial" w:cs="Arial"/>
      <w:b/>
      <w:kern w:val="2"/>
      <w:sz w:val="24"/>
      <w:szCs w:val="24"/>
      <w:lang w:val="en-US" w:eastAsia="zh-CN"/>
    </w:rPr>
  </w:style>
  <w:style w:type="character" w:customStyle="1" w:styleId="CharChar614">
    <w:name w:val="Char Char614"/>
    <w:qFormat/>
    <w:rPr>
      <w:rFonts w:ascii="黑体" w:eastAsia="黑体"/>
      <w:b/>
      <w:bCs/>
      <w:kern w:val="2"/>
      <w:sz w:val="28"/>
      <w:szCs w:val="28"/>
      <w:lang w:val="en-US" w:eastAsia="zh-CN"/>
    </w:rPr>
  </w:style>
  <w:style w:type="character" w:customStyle="1" w:styleId="Char31f0">
    <w:name w:val="正文文本缩进 Char31"/>
    <w:qFormat/>
    <w:rPr>
      <w:rFonts w:ascii="宋体" w:eastAsia="宋体" w:hAnsi="宋体" w:cs="宋体"/>
      <w:color w:val="000000"/>
      <w:kern w:val="2"/>
      <w:sz w:val="24"/>
      <w:szCs w:val="24"/>
      <w:lang w:val="en-US" w:eastAsia="zh-CN"/>
    </w:rPr>
  </w:style>
  <w:style w:type="character" w:customStyle="1" w:styleId="1Char7">
    <w:name w:val="表题1 Char7"/>
    <w:rPr>
      <w:rFonts w:ascii="黑体" w:eastAsia="黑体" w:hAnsi="Arial" w:cs="Arial"/>
      <w:b/>
      <w:kern w:val="2"/>
      <w:sz w:val="24"/>
      <w:szCs w:val="24"/>
      <w:lang w:val="en-US" w:eastAsia="zh-CN"/>
    </w:rPr>
  </w:style>
  <w:style w:type="character" w:customStyle="1" w:styleId="CharChar316">
    <w:name w:val="Char Char316"/>
    <w:qFormat/>
    <w:rPr>
      <w:rFonts w:ascii="黑体" w:eastAsia="黑体" w:hAnsi="宋体"/>
      <w:b/>
      <w:bCs/>
      <w:kern w:val="2"/>
      <w:sz w:val="28"/>
      <w:szCs w:val="28"/>
      <w:lang w:val="en-US" w:eastAsia="zh-CN"/>
    </w:rPr>
  </w:style>
  <w:style w:type="character" w:customStyle="1" w:styleId="3Char100">
    <w:name w:val="标题 3 Char10"/>
    <w:rPr>
      <w:rFonts w:ascii="黑体" w:eastAsia="黑体" w:hAnsi="宋体"/>
      <w:b/>
      <w:bCs/>
      <w:kern w:val="2"/>
      <w:sz w:val="28"/>
      <w:szCs w:val="28"/>
      <w:lang w:val="en-US" w:eastAsia="zh-CN"/>
    </w:rPr>
  </w:style>
  <w:style w:type="character" w:customStyle="1" w:styleId="ourfont3">
    <w:name w:val="ourfont3"/>
    <w:qFormat/>
  </w:style>
  <w:style w:type="character" w:customStyle="1" w:styleId="2Char310">
    <w:name w:val="标题 2 Char31"/>
    <w:qFormat/>
    <w:rPr>
      <w:rFonts w:ascii="黑体" w:eastAsia="黑体" w:hAnsi="Arial"/>
      <w:bCs/>
      <w:kern w:val="2"/>
      <w:sz w:val="30"/>
      <w:szCs w:val="30"/>
      <w:lang w:val="en-US" w:eastAsia="zh-CN"/>
    </w:rPr>
  </w:style>
  <w:style w:type="character" w:customStyle="1" w:styleId="2CharChar5">
    <w:name w:val="样式 正文 + 首行缩进:  2 字符 Char Char"/>
    <w:qFormat/>
    <w:rPr>
      <w:rFonts w:eastAsia="华文宋体"/>
      <w:snapToGrid/>
      <w:sz w:val="28"/>
      <w:szCs w:val="28"/>
      <w:lang w:val="en-US" w:eastAsia="zh-CN"/>
    </w:rPr>
  </w:style>
  <w:style w:type="character" w:customStyle="1" w:styleId="CharChar71">
    <w:name w:val="Char Char71"/>
    <w:qFormat/>
    <w:rPr>
      <w:rFonts w:eastAsia="宋体"/>
      <w:kern w:val="2"/>
      <w:sz w:val="21"/>
      <w:szCs w:val="24"/>
      <w:lang w:val="en-US" w:eastAsia="zh-CN"/>
    </w:rPr>
  </w:style>
  <w:style w:type="character" w:customStyle="1" w:styleId="CharChar411">
    <w:name w:val="Char Char411"/>
    <w:qFormat/>
    <w:rPr>
      <w:rFonts w:ascii="黑体" w:eastAsia="黑体" w:hAnsi="Arial"/>
      <w:b/>
      <w:bCs/>
      <w:kern w:val="2"/>
      <w:sz w:val="30"/>
      <w:szCs w:val="30"/>
      <w:lang w:val="en-US" w:eastAsia="zh-CN"/>
    </w:rPr>
  </w:style>
  <w:style w:type="character" w:customStyle="1" w:styleId="1Char611">
    <w:name w:val="表题1 Char611"/>
    <w:qFormat/>
    <w:rPr>
      <w:rFonts w:ascii="黑体" w:eastAsia="黑体" w:hAnsi="Arial" w:cs="Arial"/>
      <w:b/>
      <w:kern w:val="2"/>
      <w:sz w:val="24"/>
      <w:szCs w:val="24"/>
      <w:lang w:val="en-US" w:eastAsia="zh-CN"/>
    </w:rPr>
  </w:style>
  <w:style w:type="character" w:customStyle="1" w:styleId="Char11e">
    <w:name w:val="正文缩进 Char11"/>
    <w:rPr>
      <w:rFonts w:ascii="宋体" w:eastAsia="宋体" w:hAnsi="宋体" w:cs="宋体"/>
      <w:color w:val="000000"/>
      <w:kern w:val="2"/>
      <w:sz w:val="24"/>
      <w:szCs w:val="24"/>
      <w:lang w:val="en-US" w:eastAsia="zh-CN"/>
    </w:rPr>
  </w:style>
  <w:style w:type="character" w:customStyle="1" w:styleId="HTML17">
    <w:name w:val="HTML 引文1"/>
    <w:qFormat/>
    <w:rPr>
      <w:rFonts w:ascii="宋体" w:eastAsia="宋体" w:hAnsi="宋体" w:cs="Courier New"/>
      <w:i/>
      <w:iCs/>
      <w:kern w:val="2"/>
      <w:sz w:val="32"/>
      <w:szCs w:val="32"/>
      <w:lang w:val="en-US" w:eastAsia="zh-CN"/>
    </w:rPr>
  </w:style>
  <w:style w:type="character" w:customStyle="1" w:styleId="Char56">
    <w:name w:val="批注框文本 Char5"/>
    <w:qFormat/>
    <w:rPr>
      <w:rFonts w:eastAsia="宋体"/>
      <w:kern w:val="2"/>
      <w:sz w:val="18"/>
      <w:szCs w:val="18"/>
      <w:lang w:val="en-US" w:eastAsia="zh-CN"/>
    </w:rPr>
  </w:style>
  <w:style w:type="character" w:customStyle="1" w:styleId="Char1121">
    <w:name w:val="正文修改 Char1121"/>
    <w:rPr>
      <w:rFonts w:ascii="宋体" w:eastAsia="宋体" w:hAnsi="宋体" w:cs="宋体"/>
      <w:color w:val="000000"/>
      <w:kern w:val="2"/>
      <w:sz w:val="24"/>
      <w:szCs w:val="24"/>
      <w:lang w:val="en-US" w:eastAsia="zh-CN"/>
    </w:rPr>
  </w:style>
  <w:style w:type="character" w:customStyle="1" w:styleId="CharChar32">
    <w:name w:val="Char Char32"/>
    <w:qFormat/>
    <w:rPr>
      <w:rFonts w:ascii="黑体" w:eastAsia="黑体" w:hAnsi="宋体"/>
      <w:b/>
      <w:bCs/>
      <w:kern w:val="2"/>
      <w:sz w:val="28"/>
      <w:szCs w:val="28"/>
      <w:lang w:val="en-US" w:eastAsia="zh-CN"/>
    </w:rPr>
  </w:style>
  <w:style w:type="character" w:customStyle="1" w:styleId="Char1ff6">
    <w:name w:val="正文斜体 Char1"/>
    <w:qFormat/>
    <w:rPr>
      <w:rFonts w:ascii="宋体" w:eastAsia="宋体" w:hAnsi="宋体"/>
      <w:i/>
      <w:iCs/>
      <w:kern w:val="2"/>
      <w:sz w:val="24"/>
      <w:szCs w:val="24"/>
      <w:lang w:val="en-US" w:eastAsia="zh-CN"/>
    </w:rPr>
  </w:style>
  <w:style w:type="character" w:customStyle="1" w:styleId="CharChar1126">
    <w:name w:val="Char Char1126"/>
    <w:qFormat/>
    <w:rPr>
      <w:rFonts w:ascii="黑体" w:eastAsia="黑体" w:hAnsi="Arial"/>
      <w:bCs/>
      <w:kern w:val="2"/>
      <w:sz w:val="30"/>
      <w:szCs w:val="30"/>
      <w:lang w:val="en-US" w:eastAsia="zh-CN"/>
    </w:rPr>
  </w:style>
  <w:style w:type="character" w:customStyle="1" w:styleId="Char711">
    <w:name w:val="批注框文本 Char71"/>
    <w:qFormat/>
    <w:rPr>
      <w:rFonts w:ascii="Times New Roman" w:eastAsia="宋体" w:hAnsi="Times New Roman" w:cs="Times New Roman"/>
      <w:kern w:val="2"/>
      <w:sz w:val="18"/>
      <w:szCs w:val="18"/>
      <w:lang w:val="en-US" w:eastAsia="zh-CN"/>
    </w:rPr>
  </w:style>
  <w:style w:type="character" w:customStyle="1" w:styleId="Char74">
    <w:name w:val="题注 Char7"/>
    <w:qFormat/>
    <w:rPr>
      <w:rFonts w:ascii="黑体" w:eastAsia="黑体" w:hAnsi="Arial" w:cs="Arial"/>
      <w:b/>
      <w:kern w:val="2"/>
      <w:sz w:val="24"/>
      <w:szCs w:val="24"/>
      <w:lang w:val="en-US" w:eastAsia="zh-CN"/>
    </w:rPr>
  </w:style>
  <w:style w:type="character" w:customStyle="1" w:styleId="Char136">
    <w:name w:val="样式 表格内字体 + Char13"/>
    <w:qFormat/>
    <w:rPr>
      <w:rFonts w:ascii="宋体" w:hAnsi="宋体"/>
      <w:kern w:val="2"/>
      <w:sz w:val="21"/>
      <w:szCs w:val="24"/>
    </w:rPr>
  </w:style>
  <w:style w:type="character" w:customStyle="1" w:styleId="3CharChar111">
    <w:name w:val="标题 3 Char Char111"/>
    <w:qFormat/>
    <w:rPr>
      <w:rFonts w:ascii="黑体" w:eastAsia="黑体" w:hAnsi="宋体"/>
      <w:bCs/>
      <w:kern w:val="2"/>
      <w:sz w:val="28"/>
      <w:szCs w:val="28"/>
      <w:lang w:val="en-US" w:eastAsia="zh-CN"/>
    </w:rPr>
  </w:style>
  <w:style w:type="character" w:customStyle="1" w:styleId="Char3120">
    <w:name w:val="题注 Char312"/>
    <w:qFormat/>
    <w:rPr>
      <w:rFonts w:ascii="黑体" w:eastAsia="黑体" w:hAnsi="Arial" w:cs="Arial"/>
      <w:b/>
      <w:kern w:val="2"/>
      <w:sz w:val="24"/>
      <w:szCs w:val="24"/>
      <w:lang w:val="en-US" w:eastAsia="zh-CN"/>
    </w:rPr>
  </w:style>
  <w:style w:type="character" w:customStyle="1" w:styleId="Char4c">
    <w:name w:val="文字缩进 Char4"/>
    <w:qFormat/>
    <w:rPr>
      <w:rFonts w:ascii="宋体" w:eastAsia="宋体" w:hAnsi="Courier New"/>
      <w:kern w:val="2"/>
      <w:sz w:val="21"/>
      <w:lang w:val="en-US" w:eastAsia="zh-CN"/>
    </w:rPr>
  </w:style>
  <w:style w:type="character" w:customStyle="1" w:styleId="Char57">
    <w:name w:val="正文格式 Char5"/>
    <w:qFormat/>
    <w:rPr>
      <w:rFonts w:ascii="宋体" w:eastAsia="宋体" w:hAnsi="宋体"/>
      <w:kern w:val="2"/>
      <w:sz w:val="24"/>
      <w:szCs w:val="24"/>
      <w:lang w:val="en-US" w:eastAsia="zh-CN"/>
    </w:rPr>
  </w:style>
  <w:style w:type="character" w:customStyle="1" w:styleId="Char1311">
    <w:name w:val="正文修改 Char1311"/>
    <w:qFormat/>
    <w:rPr>
      <w:rFonts w:ascii="宋体" w:eastAsia="宋体" w:hAnsi="宋体" w:cs="宋体"/>
      <w:color w:val="000000"/>
      <w:kern w:val="2"/>
      <w:sz w:val="24"/>
      <w:szCs w:val="24"/>
      <w:lang w:val="en-US" w:eastAsia="zh-CN"/>
    </w:rPr>
  </w:style>
  <w:style w:type="character" w:customStyle="1" w:styleId="CharChar61">
    <w:name w:val="Char Char61"/>
    <w:qFormat/>
    <w:rPr>
      <w:rFonts w:eastAsia="宋体"/>
      <w:b/>
      <w:bCs/>
      <w:kern w:val="2"/>
      <w:sz w:val="28"/>
      <w:szCs w:val="28"/>
      <w:lang w:val="en-US" w:eastAsia="zh-CN"/>
    </w:rPr>
  </w:style>
  <w:style w:type="character" w:customStyle="1" w:styleId="CharChar216">
    <w:name w:val="Char Char216"/>
    <w:qFormat/>
    <w:rPr>
      <w:rFonts w:ascii="黑体" w:eastAsia="宋体"/>
      <w:kern w:val="2"/>
      <w:sz w:val="16"/>
      <w:szCs w:val="16"/>
      <w:lang w:val="en-US" w:eastAsia="zh-CN"/>
    </w:rPr>
  </w:style>
  <w:style w:type="character" w:customStyle="1" w:styleId="Char127">
    <w:name w:val="表格内字体 Char12"/>
    <w:qFormat/>
    <w:rPr>
      <w:rFonts w:ascii="宋体" w:eastAsia="宋体" w:hAnsi="宋体"/>
      <w:kern w:val="2"/>
      <w:sz w:val="21"/>
      <w:szCs w:val="24"/>
      <w:lang w:val="en-US" w:eastAsia="zh-CN"/>
    </w:rPr>
  </w:style>
  <w:style w:type="character" w:customStyle="1" w:styleId="Char64">
    <w:name w:val="正文缩进 Char6"/>
    <w:qFormat/>
    <w:rPr>
      <w:rFonts w:ascii="宋体" w:eastAsia="宋体" w:hAnsi="宋体"/>
      <w:kern w:val="2"/>
      <w:sz w:val="24"/>
      <w:szCs w:val="24"/>
      <w:lang w:val="en-US" w:eastAsia="zh-CN"/>
    </w:rPr>
  </w:style>
  <w:style w:type="character" w:customStyle="1" w:styleId="Char1113">
    <w:name w:val="题注 Char111"/>
    <w:qFormat/>
    <w:rPr>
      <w:rFonts w:ascii="黑体" w:eastAsia="黑体" w:hAnsi="Arial" w:cs="Arial"/>
      <w:b/>
      <w:kern w:val="2"/>
      <w:sz w:val="24"/>
      <w:szCs w:val="24"/>
      <w:lang w:val="en-US" w:eastAsia="zh-CN"/>
    </w:rPr>
  </w:style>
  <w:style w:type="character" w:customStyle="1" w:styleId="1Char411">
    <w:name w:val="表题1 Char411"/>
    <w:qFormat/>
    <w:rPr>
      <w:rFonts w:ascii="黑体" w:eastAsia="黑体" w:hAnsi="Arial" w:cs="Arial"/>
      <w:b/>
      <w:kern w:val="2"/>
      <w:sz w:val="24"/>
      <w:szCs w:val="24"/>
      <w:lang w:val="en-US" w:eastAsia="zh-CN"/>
    </w:rPr>
  </w:style>
  <w:style w:type="character" w:customStyle="1" w:styleId="Char260">
    <w:name w:val="表中文字 Char26"/>
    <w:qFormat/>
    <w:rPr>
      <w:rFonts w:ascii="宋体" w:eastAsia="宋体"/>
      <w:kern w:val="2"/>
      <w:sz w:val="21"/>
      <w:szCs w:val="21"/>
      <w:lang w:val="en-US" w:eastAsia="zh-CN"/>
    </w:rPr>
  </w:style>
  <w:style w:type="character" w:customStyle="1" w:styleId="Char810">
    <w:name w:val="题注 Char81"/>
    <w:qFormat/>
    <w:rPr>
      <w:rFonts w:ascii="黑体" w:eastAsia="黑体" w:hAnsi="Arial" w:cs="Arial"/>
      <w:b/>
      <w:kern w:val="2"/>
      <w:sz w:val="24"/>
      <w:szCs w:val="24"/>
      <w:lang w:val="en-US" w:eastAsia="zh-CN"/>
    </w:rPr>
  </w:style>
  <w:style w:type="character" w:customStyle="1" w:styleId="3Char13">
    <w:name w:val="标题 3 Char13"/>
    <w:qFormat/>
    <w:rPr>
      <w:rFonts w:ascii="黑体" w:eastAsia="黑体" w:hAnsi="宋体"/>
      <w:b/>
      <w:bCs/>
      <w:kern w:val="2"/>
      <w:sz w:val="28"/>
      <w:szCs w:val="28"/>
      <w:lang w:val="en-US" w:eastAsia="zh-CN"/>
    </w:rPr>
  </w:style>
  <w:style w:type="character" w:customStyle="1" w:styleId="5Char3">
    <w:name w:val="表内5 Char3"/>
    <w:qFormat/>
    <w:rPr>
      <w:rFonts w:ascii="宋体" w:eastAsia="宋体" w:hAnsi="宋体" w:cs="Times New Roman"/>
      <w:kern w:val="2"/>
      <w:sz w:val="24"/>
      <w:szCs w:val="24"/>
      <w:lang w:val="en-US" w:eastAsia="zh-CN"/>
    </w:rPr>
  </w:style>
  <w:style w:type="character" w:customStyle="1" w:styleId="Char520">
    <w:name w:val="题注 Char52"/>
    <w:qFormat/>
    <w:rPr>
      <w:rFonts w:ascii="黑体" w:eastAsia="黑体" w:hAnsi="Arial" w:cs="Arial"/>
      <w:b/>
      <w:kern w:val="2"/>
      <w:sz w:val="24"/>
      <w:szCs w:val="24"/>
      <w:lang w:val="en-US" w:eastAsia="zh-CN"/>
    </w:rPr>
  </w:style>
  <w:style w:type="character" w:customStyle="1" w:styleId="CharChar22">
    <w:name w:val="Char Char22"/>
    <w:qFormat/>
    <w:rPr>
      <w:rFonts w:ascii="黑体" w:eastAsia="黑体"/>
      <w:b/>
      <w:bCs/>
      <w:kern w:val="2"/>
      <w:sz w:val="28"/>
      <w:szCs w:val="28"/>
      <w:lang w:val="en-US" w:eastAsia="zh-CN"/>
    </w:rPr>
  </w:style>
  <w:style w:type="character" w:customStyle="1" w:styleId="111Char5">
    <w:name w:val="条标题1.1.1 Char5"/>
    <w:qFormat/>
    <w:rPr>
      <w:rFonts w:eastAsia="仿宋_GB2312"/>
      <w:b/>
      <w:bCs/>
      <w:kern w:val="2"/>
      <w:sz w:val="28"/>
      <w:szCs w:val="32"/>
      <w:lang w:val="en-US" w:eastAsia="zh-CN"/>
    </w:rPr>
  </w:style>
  <w:style w:type="character" w:customStyle="1" w:styleId="Char137">
    <w:name w:val="正文格式 Char13"/>
    <w:qFormat/>
    <w:rPr>
      <w:rFonts w:ascii="宋体" w:eastAsia="宋体" w:hAnsi="宋体"/>
      <w:kern w:val="2"/>
      <w:sz w:val="24"/>
      <w:szCs w:val="24"/>
      <w:lang w:val="en-US" w:eastAsia="zh-CN"/>
    </w:rPr>
  </w:style>
  <w:style w:type="character" w:customStyle="1" w:styleId="Char11f">
    <w:name w:val="燕山正文 Char11"/>
    <w:qFormat/>
    <w:rPr>
      <w:rFonts w:ascii="宋体" w:eastAsia="宋体" w:cs="宋体"/>
      <w:kern w:val="2"/>
      <w:sz w:val="24"/>
      <w:szCs w:val="24"/>
      <w:lang w:val="en-US" w:eastAsia="zh-CN"/>
    </w:rPr>
  </w:style>
  <w:style w:type="character" w:customStyle="1" w:styleId="1Char413">
    <w:name w:val="表题1 Char413"/>
    <w:rPr>
      <w:rFonts w:ascii="黑体" w:eastAsia="黑体" w:hAnsi="Arial" w:cs="Arial"/>
      <w:b/>
      <w:kern w:val="2"/>
      <w:sz w:val="24"/>
      <w:szCs w:val="24"/>
      <w:lang w:val="en-US" w:eastAsia="zh-CN"/>
    </w:rPr>
  </w:style>
  <w:style w:type="character" w:customStyle="1" w:styleId="CharChar619">
    <w:name w:val="Char Char619"/>
    <w:qFormat/>
    <w:rPr>
      <w:rFonts w:ascii="黑体" w:eastAsia="黑体"/>
      <w:b/>
      <w:bCs/>
      <w:kern w:val="2"/>
      <w:sz w:val="28"/>
      <w:szCs w:val="28"/>
      <w:lang w:val="en-US" w:eastAsia="zh-CN"/>
    </w:rPr>
  </w:style>
  <w:style w:type="character" w:customStyle="1" w:styleId="Char3f5">
    <w:name w:val="样式 正文缩进 + 宋体 黑色 Char3"/>
    <w:qFormat/>
    <w:rPr>
      <w:rFonts w:ascii="宋体" w:eastAsia="宋体" w:hAnsi="宋体" w:cs="Times New Roman"/>
      <w:color w:val="000000"/>
      <w:kern w:val="2"/>
      <w:sz w:val="24"/>
      <w:szCs w:val="24"/>
      <w:lang w:val="en-US" w:eastAsia="zh-CN"/>
    </w:rPr>
  </w:style>
  <w:style w:type="character" w:customStyle="1" w:styleId="2Char121">
    <w:name w:val="标题2 Char12"/>
    <w:rPr>
      <w:rFonts w:ascii="宋体" w:eastAsia="宋体" w:hAnsi="宋体" w:cs="宋体"/>
      <w:color w:val="000000"/>
      <w:kern w:val="2"/>
      <w:sz w:val="24"/>
      <w:szCs w:val="24"/>
      <w:lang w:val="en-US" w:eastAsia="zh-CN"/>
    </w:rPr>
  </w:style>
  <w:style w:type="character" w:customStyle="1" w:styleId="Char11112">
    <w:name w:val="正文修改 Char1111"/>
    <w:qFormat/>
    <w:rPr>
      <w:rFonts w:ascii="宋体" w:eastAsia="宋体" w:hAnsi="宋体" w:cs="宋体"/>
      <w:color w:val="000000"/>
      <w:kern w:val="2"/>
      <w:sz w:val="24"/>
      <w:szCs w:val="24"/>
      <w:lang w:val="en-US" w:eastAsia="zh-CN"/>
    </w:rPr>
  </w:style>
  <w:style w:type="character" w:customStyle="1" w:styleId="Char4d">
    <w:name w:val="批注框文本 Char4"/>
    <w:qFormat/>
    <w:rPr>
      <w:rFonts w:eastAsia="宋体"/>
      <w:kern w:val="2"/>
      <w:sz w:val="18"/>
      <w:szCs w:val="18"/>
      <w:lang w:val="en-US" w:eastAsia="zh-CN"/>
    </w:rPr>
  </w:style>
  <w:style w:type="character" w:customStyle="1" w:styleId="ttag">
    <w:name w:val="t_tag"/>
  </w:style>
  <w:style w:type="character" w:customStyle="1" w:styleId="Char128">
    <w:name w:val="正文斜体 Char12"/>
    <w:qFormat/>
    <w:rPr>
      <w:rFonts w:ascii="宋体" w:eastAsia="宋体" w:hAnsi="宋体" w:cs="Times New Roman"/>
      <w:i/>
      <w:iCs/>
      <w:kern w:val="2"/>
      <w:sz w:val="24"/>
      <w:szCs w:val="24"/>
      <w:lang w:val="en-US" w:eastAsia="zh-CN"/>
    </w:rPr>
  </w:style>
  <w:style w:type="character" w:customStyle="1" w:styleId="Char181">
    <w:name w:val="正文修改 Char18"/>
    <w:qFormat/>
    <w:rPr>
      <w:rFonts w:ascii="宋体" w:eastAsia="宋体" w:hAnsi="宋体" w:cs="宋体"/>
      <w:color w:val="000000"/>
      <w:kern w:val="2"/>
      <w:sz w:val="24"/>
      <w:szCs w:val="24"/>
      <w:lang w:val="en-US" w:eastAsia="zh-CN"/>
    </w:rPr>
  </w:style>
  <w:style w:type="character" w:customStyle="1" w:styleId="2Char113">
    <w:name w:val="正文文本缩进 2 Char11"/>
    <w:qFormat/>
    <w:rPr>
      <w:rFonts w:eastAsia="宋体"/>
      <w:kern w:val="2"/>
      <w:sz w:val="24"/>
      <w:szCs w:val="24"/>
      <w:lang w:val="en-US" w:eastAsia="zh-CN"/>
    </w:rPr>
  </w:style>
  <w:style w:type="character" w:customStyle="1" w:styleId="5Char210">
    <w:name w:val="表内5 Char21"/>
    <w:qFormat/>
    <w:rPr>
      <w:rFonts w:ascii="宋体" w:eastAsia="宋体" w:hAnsi="宋体" w:cs="宋体"/>
      <w:kern w:val="2"/>
      <w:sz w:val="21"/>
      <w:szCs w:val="24"/>
      <w:lang w:val="en-US" w:eastAsia="zh-CN"/>
    </w:rPr>
  </w:style>
  <w:style w:type="character" w:customStyle="1" w:styleId="Char75">
    <w:name w:val="正文缩进 Char7"/>
    <w:qFormat/>
    <w:rPr>
      <w:rFonts w:ascii="宋体" w:eastAsia="宋体" w:hAnsi="宋体"/>
      <w:kern w:val="2"/>
      <w:sz w:val="24"/>
      <w:szCs w:val="24"/>
      <w:lang w:val="en-US" w:eastAsia="zh-CN"/>
    </w:rPr>
  </w:style>
  <w:style w:type="character" w:customStyle="1" w:styleId="CharChar510">
    <w:name w:val="Char Char510"/>
    <w:qFormat/>
    <w:rPr>
      <w:rFonts w:ascii="黑体" w:eastAsia="黑体" w:hAnsi="宋体"/>
      <w:bCs/>
      <w:kern w:val="2"/>
      <w:sz w:val="28"/>
      <w:szCs w:val="28"/>
      <w:lang w:val="en-US" w:eastAsia="zh-CN"/>
    </w:rPr>
  </w:style>
  <w:style w:type="character" w:customStyle="1" w:styleId="CharChar53">
    <w:name w:val="Char Char53"/>
    <w:qFormat/>
    <w:rPr>
      <w:rFonts w:ascii="黑体" w:eastAsia="黑体" w:hAnsi="宋体"/>
      <w:bCs/>
      <w:kern w:val="2"/>
      <w:sz w:val="28"/>
      <w:szCs w:val="28"/>
      <w:lang w:val="en-US" w:eastAsia="zh-CN"/>
    </w:rPr>
  </w:style>
  <w:style w:type="character" w:customStyle="1" w:styleId="Char1ff7">
    <w:name w:val="样式 正文缩进 + 宋体 黑色 Char1"/>
    <w:qFormat/>
    <w:rPr>
      <w:rFonts w:ascii="宋体" w:eastAsia="宋体" w:hAnsi="宋体"/>
      <w:color w:val="000000"/>
      <w:kern w:val="2"/>
      <w:sz w:val="24"/>
      <w:szCs w:val="24"/>
      <w:lang w:val="en-US" w:eastAsia="zh-CN"/>
    </w:rPr>
  </w:style>
  <w:style w:type="character" w:customStyle="1" w:styleId="4Char10">
    <w:name w:val="河石管道4 Char1"/>
    <w:qFormat/>
    <w:rPr>
      <w:rFonts w:ascii="黑体" w:eastAsia="黑体" w:hAnsi="Arial"/>
      <w:b/>
      <w:bCs/>
      <w:kern w:val="2"/>
      <w:sz w:val="24"/>
      <w:szCs w:val="24"/>
      <w:lang w:val="en-US" w:eastAsia="zh-CN"/>
    </w:rPr>
  </w:style>
  <w:style w:type="character" w:customStyle="1" w:styleId="Char1215">
    <w:name w:val="正文格式 Char121"/>
    <w:qFormat/>
    <w:rPr>
      <w:rFonts w:ascii="宋体" w:eastAsia="宋体" w:hAnsi="宋体" w:cs="Times New Roman"/>
      <w:kern w:val="2"/>
      <w:sz w:val="24"/>
      <w:szCs w:val="24"/>
      <w:lang w:val="en-US" w:eastAsia="zh-CN"/>
    </w:rPr>
  </w:style>
  <w:style w:type="character" w:customStyle="1" w:styleId="Char31f1">
    <w:name w:val="样式 表格内字体 + Char31"/>
    <w:qFormat/>
    <w:rPr>
      <w:rFonts w:ascii="宋体" w:eastAsia="宋体" w:hAnsi="宋体" w:cs="Times New Roman"/>
      <w:kern w:val="0"/>
      <w:sz w:val="21"/>
      <w:szCs w:val="24"/>
      <w:lang w:val="en-US" w:eastAsia="zh-CN"/>
    </w:rPr>
  </w:style>
  <w:style w:type="character" w:customStyle="1" w:styleId="Char4e">
    <w:name w:val="表中文字 Char4"/>
    <w:qFormat/>
    <w:rPr>
      <w:rFonts w:ascii="Arial" w:eastAsia="宋体" w:hAnsi="Arial" w:cs="Times New Roman"/>
      <w:kern w:val="0"/>
      <w:sz w:val="20"/>
      <w:szCs w:val="24"/>
      <w:lang w:val="en-US" w:eastAsia="zh-TW"/>
    </w:rPr>
  </w:style>
  <w:style w:type="character" w:customStyle="1" w:styleId="CharChar180">
    <w:name w:val="Char Char18"/>
    <w:qFormat/>
    <w:rPr>
      <w:rFonts w:ascii="宋体" w:eastAsia="宋体" w:hAnsi="Times New Roman" w:cs="Times New Roman"/>
      <w:sz w:val="24"/>
      <w:szCs w:val="24"/>
    </w:rPr>
  </w:style>
  <w:style w:type="character" w:customStyle="1" w:styleId="CharCharCharCharChar3">
    <w:name w:val="正文文字 Char Char Char Char Char3"/>
    <w:rPr>
      <w:rFonts w:eastAsia="宋体"/>
      <w:kern w:val="2"/>
      <w:sz w:val="21"/>
      <w:szCs w:val="24"/>
      <w:lang w:val="en-US" w:eastAsia="zh-CN"/>
    </w:rPr>
  </w:style>
  <w:style w:type="character" w:customStyle="1" w:styleId="CharCharChar2">
    <w:name w:val="文本匡小五号 Char Char Char"/>
    <w:qFormat/>
    <w:rPr>
      <w:rFonts w:ascii="宋体" w:eastAsia="仿宋_GB2312" w:hAnsi="宋体" w:cs="Courier New"/>
      <w:kern w:val="2"/>
      <w:sz w:val="18"/>
      <w:szCs w:val="24"/>
      <w:lang w:val="en-US" w:eastAsia="zh-CN"/>
    </w:rPr>
  </w:style>
  <w:style w:type="character" w:customStyle="1" w:styleId="Char1114">
    <w:name w:val="正文缩进 Char111"/>
    <w:qFormat/>
    <w:rPr>
      <w:rFonts w:ascii="宋体" w:eastAsia="宋体" w:hAnsi="宋体" w:cs="宋体"/>
      <w:color w:val="000000"/>
      <w:kern w:val="2"/>
      <w:sz w:val="24"/>
      <w:szCs w:val="24"/>
      <w:lang w:val="en-US" w:eastAsia="zh-CN"/>
    </w:rPr>
  </w:style>
  <w:style w:type="character" w:customStyle="1" w:styleId="Char12130">
    <w:name w:val="正文修改 Char1213"/>
    <w:qFormat/>
    <w:rPr>
      <w:rFonts w:ascii="宋体" w:eastAsia="宋体" w:hAnsi="宋体" w:cs="宋体"/>
      <w:color w:val="000000"/>
      <w:kern w:val="2"/>
      <w:sz w:val="24"/>
      <w:szCs w:val="24"/>
      <w:lang w:val="en-US" w:eastAsia="zh-CN"/>
    </w:rPr>
  </w:style>
  <w:style w:type="character" w:customStyle="1" w:styleId="Char1510">
    <w:name w:val="燕山正文 Char151"/>
    <w:qFormat/>
    <w:rPr>
      <w:rFonts w:ascii="宋体" w:eastAsia="宋体" w:cs="宋体"/>
      <w:kern w:val="2"/>
      <w:sz w:val="24"/>
      <w:szCs w:val="24"/>
      <w:lang w:val="en-US" w:eastAsia="zh-CN"/>
    </w:rPr>
  </w:style>
  <w:style w:type="character" w:customStyle="1" w:styleId="Char1216">
    <w:name w:val="正文缩进 Char121"/>
    <w:qFormat/>
    <w:rPr>
      <w:rFonts w:ascii="宋体" w:eastAsia="宋体" w:hAnsi="宋体" w:cs="宋体"/>
      <w:color w:val="000000"/>
      <w:kern w:val="2"/>
      <w:sz w:val="24"/>
      <w:szCs w:val="24"/>
      <w:lang w:val="en-US" w:eastAsia="zh-CN"/>
    </w:rPr>
  </w:style>
  <w:style w:type="character" w:customStyle="1" w:styleId="3Char1110">
    <w:name w:val="标题 3 Char111"/>
    <w:qFormat/>
    <w:rPr>
      <w:rFonts w:ascii="黑体" w:eastAsia="黑体" w:hAnsi="宋体"/>
      <w:b/>
      <w:bCs/>
      <w:kern w:val="2"/>
      <w:sz w:val="28"/>
      <w:szCs w:val="28"/>
      <w:lang w:val="en-US" w:eastAsia="zh-CN"/>
    </w:rPr>
  </w:style>
  <w:style w:type="character" w:customStyle="1" w:styleId="AChar31">
    <w:name w:val="A正文 Char31"/>
    <w:qFormat/>
    <w:rPr>
      <w:rFonts w:ascii="Times New Roman" w:eastAsia="仿宋_GB2312" w:hAnsi="Times New Roman" w:cs="Times New Roman"/>
      <w:kern w:val="0"/>
      <w:sz w:val="24"/>
      <w:szCs w:val="24"/>
      <w:lang w:val="en-US" w:eastAsia="zh-CN"/>
    </w:rPr>
  </w:style>
  <w:style w:type="character" w:customStyle="1" w:styleId="Char4f">
    <w:name w:val="图题注 Char4"/>
    <w:qFormat/>
    <w:rPr>
      <w:rFonts w:ascii="黑体" w:eastAsia="黑体" w:hAnsi="Arial" w:cs="宋体"/>
      <w:b/>
      <w:bCs/>
      <w:kern w:val="2"/>
      <w:sz w:val="24"/>
      <w:szCs w:val="24"/>
      <w:lang w:val="en-US" w:eastAsia="zh-CN"/>
    </w:rPr>
  </w:style>
  <w:style w:type="character" w:customStyle="1" w:styleId="Char3f6">
    <w:name w:val="正文斜体 Char3"/>
    <w:qFormat/>
    <w:rPr>
      <w:rFonts w:ascii="宋体" w:eastAsia="宋体" w:hAnsi="宋体" w:cs="Times New Roman"/>
      <w:i/>
      <w:iCs/>
      <w:kern w:val="2"/>
      <w:sz w:val="24"/>
      <w:szCs w:val="24"/>
      <w:lang w:val="en-US" w:eastAsia="zh-CN"/>
    </w:rPr>
  </w:style>
  <w:style w:type="character" w:customStyle="1" w:styleId="CharChar651">
    <w:name w:val="Char Char651"/>
    <w:qFormat/>
    <w:rPr>
      <w:rFonts w:ascii="黑体" w:eastAsia="黑体"/>
      <w:b/>
      <w:bCs/>
      <w:kern w:val="2"/>
      <w:sz w:val="28"/>
      <w:szCs w:val="28"/>
      <w:lang w:val="en-US" w:eastAsia="zh-CN"/>
    </w:rPr>
  </w:style>
  <w:style w:type="character" w:customStyle="1" w:styleId="Char58">
    <w:name w:val="题注 Char5"/>
    <w:qFormat/>
    <w:rPr>
      <w:rFonts w:ascii="黑体" w:eastAsia="黑体" w:hAnsi="Arial" w:cs="Arial"/>
      <w:b/>
      <w:kern w:val="2"/>
      <w:sz w:val="24"/>
      <w:szCs w:val="24"/>
      <w:lang w:val="en-US" w:eastAsia="zh-CN"/>
    </w:rPr>
  </w:style>
  <w:style w:type="character" w:customStyle="1" w:styleId="Char2f5">
    <w:name w:val="正文(首行缩进) Char2"/>
    <w:qFormat/>
    <w:rPr>
      <w:rFonts w:eastAsia="黑体"/>
      <w:bCs/>
      <w:snapToGrid w:val="0"/>
      <w:color w:val="000000"/>
      <w:kern w:val="2"/>
      <w:sz w:val="24"/>
      <w:lang w:val="en-US" w:eastAsia="zh-CN"/>
    </w:rPr>
  </w:style>
  <w:style w:type="character" w:customStyle="1" w:styleId="Char1313">
    <w:name w:val="正文修改 Char1313"/>
    <w:qFormat/>
    <w:rPr>
      <w:rFonts w:ascii="宋体" w:eastAsia="宋体" w:hAnsi="宋体" w:cs="宋体"/>
      <w:color w:val="000000"/>
      <w:kern w:val="2"/>
      <w:sz w:val="24"/>
      <w:szCs w:val="24"/>
      <w:lang w:val="en-US" w:eastAsia="zh-CN"/>
    </w:rPr>
  </w:style>
  <w:style w:type="character" w:customStyle="1" w:styleId="3Char30">
    <w:name w:val="正文文本缩进 3 Char3"/>
    <w:qFormat/>
    <w:rPr>
      <w:rFonts w:eastAsia="宋体"/>
      <w:kern w:val="2"/>
      <w:sz w:val="16"/>
      <w:szCs w:val="16"/>
      <w:lang w:val="en-US" w:eastAsia="zh-CN"/>
    </w:rPr>
  </w:style>
  <w:style w:type="character" w:customStyle="1" w:styleId="Char3f7">
    <w:name w:val="文字缩进 Char3"/>
    <w:qFormat/>
    <w:rPr>
      <w:rFonts w:ascii="宋体" w:eastAsia="宋体" w:hAnsi="Courier New"/>
      <w:kern w:val="2"/>
      <w:sz w:val="21"/>
      <w:lang w:val="en-US" w:eastAsia="zh-CN"/>
    </w:rPr>
  </w:style>
  <w:style w:type="character" w:customStyle="1" w:styleId="Char1115">
    <w:name w:val="图表题 Char111"/>
    <w:rPr>
      <w:rFonts w:ascii="黑体" w:eastAsia="黑体" w:hAnsi="宋体" w:cs="宋体"/>
      <w:b/>
      <w:bCs/>
      <w:kern w:val="2"/>
      <w:sz w:val="24"/>
      <w:szCs w:val="24"/>
      <w:lang w:val="en-US" w:eastAsia="zh-CN"/>
    </w:rPr>
  </w:style>
  <w:style w:type="character" w:customStyle="1" w:styleId="Char531">
    <w:name w:val="题注 Char531"/>
    <w:qFormat/>
    <w:rPr>
      <w:rFonts w:ascii="黑体" w:eastAsia="黑体" w:hAnsi="Arial" w:cs="Arial"/>
      <w:b/>
      <w:kern w:val="2"/>
      <w:sz w:val="24"/>
      <w:szCs w:val="24"/>
      <w:lang w:val="en-US" w:eastAsia="zh-CN"/>
    </w:rPr>
  </w:style>
  <w:style w:type="character" w:customStyle="1" w:styleId="Char11f0">
    <w:name w:val="样式 正文缩进 + 宋体 黑色 Char11"/>
    <w:qFormat/>
    <w:rPr>
      <w:rFonts w:ascii="宋体" w:eastAsia="宋体" w:hAnsi="宋体"/>
      <w:color w:val="000000"/>
      <w:kern w:val="2"/>
      <w:sz w:val="24"/>
      <w:szCs w:val="24"/>
      <w:lang w:val="en-US" w:eastAsia="zh-CN"/>
    </w:rPr>
  </w:style>
  <w:style w:type="character" w:customStyle="1" w:styleId="CharChar2116">
    <w:name w:val="Char Char2116"/>
    <w:qFormat/>
    <w:rPr>
      <w:rFonts w:ascii="黑体" w:eastAsia="宋体"/>
      <w:kern w:val="2"/>
      <w:sz w:val="16"/>
      <w:szCs w:val="16"/>
      <w:lang w:val="en-US" w:eastAsia="zh-CN"/>
    </w:rPr>
  </w:style>
  <w:style w:type="character" w:customStyle="1" w:styleId="CharChar1217">
    <w:name w:val="Char Char1217"/>
    <w:qFormat/>
    <w:rPr>
      <w:rFonts w:ascii="黑体" w:eastAsia="黑体" w:hAnsi="Arial"/>
      <w:b/>
      <w:bCs/>
      <w:kern w:val="2"/>
      <w:sz w:val="30"/>
      <w:szCs w:val="30"/>
      <w:lang w:val="en-US" w:eastAsia="zh-CN"/>
    </w:rPr>
  </w:style>
  <w:style w:type="character" w:customStyle="1" w:styleId="Char515">
    <w:name w:val="批注框文本 Char51"/>
    <w:qFormat/>
    <w:rPr>
      <w:rFonts w:eastAsia="宋体"/>
      <w:kern w:val="2"/>
      <w:sz w:val="18"/>
      <w:szCs w:val="18"/>
      <w:lang w:val="en-US" w:eastAsia="zh-CN"/>
    </w:rPr>
  </w:style>
  <w:style w:type="character" w:customStyle="1" w:styleId="3Char41">
    <w:name w:val="正文文本缩进 3 Char41"/>
    <w:qFormat/>
    <w:rPr>
      <w:rFonts w:eastAsia="宋体"/>
      <w:kern w:val="2"/>
      <w:sz w:val="16"/>
      <w:szCs w:val="16"/>
      <w:lang w:val="en-US" w:eastAsia="zh-CN"/>
    </w:rPr>
  </w:style>
  <w:style w:type="character" w:customStyle="1" w:styleId="Char2f6">
    <w:name w:val="样式 表格内字体 + Char2"/>
    <w:qFormat/>
    <w:rPr>
      <w:rFonts w:ascii="宋体" w:hAnsi="宋体"/>
      <w:kern w:val="2"/>
      <w:sz w:val="21"/>
      <w:szCs w:val="24"/>
    </w:rPr>
  </w:style>
  <w:style w:type="character" w:customStyle="1" w:styleId="Char31f2">
    <w:name w:val="表格内容 Char31"/>
    <w:rPr>
      <w:rFonts w:ascii="Times New Roman" w:eastAsia="宋体" w:hAnsi="Times New Roman" w:cs="Times New Roman"/>
      <w:kern w:val="2"/>
      <w:sz w:val="24"/>
      <w:szCs w:val="21"/>
      <w:lang w:val="en-US" w:eastAsia="zh-CN"/>
    </w:rPr>
  </w:style>
  <w:style w:type="character" w:customStyle="1" w:styleId="CharChar128">
    <w:name w:val="Char Char128"/>
    <w:qFormat/>
    <w:rPr>
      <w:rFonts w:ascii="黑体" w:eastAsia="黑体" w:hAnsi="Arial"/>
      <w:b/>
      <w:bCs/>
      <w:kern w:val="2"/>
      <w:sz w:val="30"/>
      <w:szCs w:val="30"/>
      <w:lang w:val="en-US" w:eastAsia="zh-CN"/>
    </w:rPr>
  </w:style>
  <w:style w:type="character" w:customStyle="1" w:styleId="3Char4">
    <w:name w:val="正文文本缩进 3 Char4"/>
    <w:qFormat/>
    <w:rPr>
      <w:rFonts w:eastAsia="宋体"/>
      <w:kern w:val="2"/>
      <w:sz w:val="16"/>
      <w:szCs w:val="16"/>
      <w:lang w:val="en-US" w:eastAsia="zh-CN"/>
    </w:rPr>
  </w:style>
  <w:style w:type="character" w:customStyle="1" w:styleId="CharChar1213">
    <w:name w:val="Char Char1213"/>
    <w:qFormat/>
    <w:rPr>
      <w:rFonts w:ascii="黑体" w:eastAsia="黑体" w:hAnsi="Arial"/>
      <w:b/>
      <w:bCs/>
      <w:kern w:val="2"/>
      <w:sz w:val="30"/>
      <w:szCs w:val="30"/>
      <w:lang w:val="en-US" w:eastAsia="zh-CN"/>
    </w:rPr>
  </w:style>
  <w:style w:type="character" w:customStyle="1" w:styleId="Char2f7">
    <w:name w:val="正文斜体 Char2"/>
    <w:rPr>
      <w:rFonts w:ascii="宋体" w:eastAsia="宋体" w:hAnsi="宋体"/>
      <w:i/>
      <w:iCs/>
      <w:kern w:val="2"/>
      <w:sz w:val="24"/>
      <w:szCs w:val="24"/>
      <w:lang w:val="en-US" w:eastAsia="zh-CN"/>
    </w:rPr>
  </w:style>
  <w:style w:type="character" w:customStyle="1" w:styleId="CharChar63">
    <w:name w:val="Char Char63"/>
    <w:qFormat/>
    <w:rPr>
      <w:rFonts w:ascii="黑体" w:eastAsia="黑体"/>
      <w:b/>
      <w:bCs/>
      <w:kern w:val="2"/>
      <w:sz w:val="28"/>
      <w:szCs w:val="28"/>
      <w:lang w:val="en-US" w:eastAsia="zh-CN"/>
    </w:rPr>
  </w:style>
  <w:style w:type="character" w:customStyle="1" w:styleId="CharChar116">
    <w:name w:val="Char Char116"/>
    <w:qFormat/>
    <w:rPr>
      <w:rFonts w:ascii="黑体" w:eastAsia="黑体" w:hAnsi="Arial"/>
      <w:bCs/>
      <w:kern w:val="2"/>
      <w:sz w:val="30"/>
      <w:szCs w:val="30"/>
      <w:lang w:val="en-US" w:eastAsia="zh-CN"/>
    </w:rPr>
  </w:style>
  <w:style w:type="character" w:customStyle="1" w:styleId="CharChar41">
    <w:name w:val="Char Char41"/>
    <w:qFormat/>
    <w:rPr>
      <w:rFonts w:ascii="黑体" w:eastAsia="黑体" w:hAnsi="Arial"/>
      <w:b/>
      <w:bCs/>
      <w:kern w:val="2"/>
      <w:sz w:val="30"/>
      <w:szCs w:val="30"/>
      <w:lang w:val="en-US" w:eastAsia="zh-CN"/>
    </w:rPr>
  </w:style>
  <w:style w:type="character" w:customStyle="1" w:styleId="Char1421">
    <w:name w:val="正文修改 Char1421"/>
    <w:qFormat/>
    <w:rPr>
      <w:rFonts w:ascii="宋体" w:cs="宋体"/>
      <w:kern w:val="2"/>
      <w:sz w:val="24"/>
      <w:szCs w:val="24"/>
    </w:rPr>
  </w:style>
  <w:style w:type="character" w:customStyle="1" w:styleId="Char261">
    <w:name w:val="表中文字 Char261"/>
    <w:qFormat/>
    <w:rPr>
      <w:rFonts w:ascii="宋体" w:eastAsia="宋体"/>
      <w:kern w:val="2"/>
      <w:sz w:val="21"/>
      <w:szCs w:val="21"/>
      <w:lang w:val="en-US" w:eastAsia="zh-CN"/>
    </w:rPr>
  </w:style>
  <w:style w:type="character" w:customStyle="1" w:styleId="CharChar414">
    <w:name w:val="Char Char414"/>
    <w:qFormat/>
    <w:rPr>
      <w:rFonts w:ascii="黑体" w:eastAsia="黑体" w:hAnsi="Arial"/>
      <w:b/>
      <w:bCs/>
      <w:kern w:val="2"/>
      <w:sz w:val="30"/>
      <w:szCs w:val="30"/>
      <w:lang w:val="en-US" w:eastAsia="zh-CN"/>
    </w:rPr>
  </w:style>
  <w:style w:type="character" w:customStyle="1" w:styleId="Char220">
    <w:name w:val="题注 Char22"/>
    <w:qFormat/>
    <w:rPr>
      <w:rFonts w:ascii="黑体" w:eastAsia="黑体" w:hAnsi="Arial" w:cs="Arial"/>
      <w:b/>
      <w:kern w:val="2"/>
      <w:sz w:val="24"/>
      <w:szCs w:val="24"/>
      <w:lang w:val="en-US" w:eastAsia="zh-CN"/>
    </w:rPr>
  </w:style>
  <w:style w:type="character" w:customStyle="1" w:styleId="Char1CharChar2">
    <w:name w:val="正文首行缩进 Char1 Char Char2"/>
    <w:qFormat/>
    <w:rPr>
      <w:rFonts w:eastAsia="宋体"/>
      <w:kern w:val="2"/>
      <w:sz w:val="21"/>
      <w:szCs w:val="24"/>
      <w:lang w:val="en-US" w:eastAsia="zh-CN"/>
    </w:rPr>
  </w:style>
  <w:style w:type="character" w:customStyle="1" w:styleId="2Char114">
    <w:name w:val="标题 2 Char11"/>
    <w:qFormat/>
    <w:rPr>
      <w:rFonts w:eastAsia="宋体" w:hAnsi="Arial"/>
      <w:bCs/>
      <w:kern w:val="2"/>
      <w:sz w:val="30"/>
      <w:szCs w:val="30"/>
      <w:lang w:val="en-US" w:eastAsia="zh-CN"/>
    </w:rPr>
  </w:style>
  <w:style w:type="character" w:customStyle="1" w:styleId="CharCharfffd">
    <w:name w:val="节标题 Char Char"/>
    <w:qFormat/>
    <w:rPr>
      <w:rFonts w:ascii="黑体" w:eastAsia="黑体" w:hAnsi="Arial" w:hint="eastAsia"/>
      <w:b/>
      <w:bCs/>
      <w:kern w:val="2"/>
      <w:sz w:val="28"/>
      <w:szCs w:val="32"/>
      <w:lang w:val="en-US" w:eastAsia="zh-CN"/>
    </w:rPr>
  </w:style>
  <w:style w:type="character" w:customStyle="1" w:styleId="CharChar1125">
    <w:name w:val="Char Char1125"/>
    <w:qFormat/>
    <w:rPr>
      <w:rFonts w:ascii="黑体" w:eastAsia="黑体" w:hAnsi="Arial"/>
      <w:bCs/>
      <w:kern w:val="2"/>
      <w:sz w:val="30"/>
      <w:szCs w:val="30"/>
      <w:lang w:val="en-US" w:eastAsia="zh-CN"/>
    </w:rPr>
  </w:style>
  <w:style w:type="character" w:customStyle="1" w:styleId="123YJCharChar">
    <w:name w:val="123YJ Char Char"/>
    <w:qFormat/>
    <w:rPr>
      <w:rFonts w:eastAsia="宋体"/>
      <w:kern w:val="2"/>
      <w:sz w:val="18"/>
      <w:szCs w:val="18"/>
      <w:lang w:val="en-US" w:eastAsia="zh-CN"/>
    </w:rPr>
  </w:style>
  <w:style w:type="character" w:customStyle="1" w:styleId="1Char410">
    <w:name w:val="表题1 Char41"/>
    <w:qFormat/>
    <w:rPr>
      <w:rFonts w:ascii="黑体" w:eastAsia="黑体" w:hAnsi="Arial" w:cs="Arial"/>
      <w:b/>
      <w:kern w:val="2"/>
      <w:sz w:val="24"/>
      <w:szCs w:val="24"/>
      <w:lang w:val="en-US" w:eastAsia="zh-CN"/>
    </w:rPr>
  </w:style>
  <w:style w:type="character" w:customStyle="1" w:styleId="CharChar129">
    <w:name w:val="Char Char129"/>
    <w:rPr>
      <w:rFonts w:ascii="黑体" w:eastAsia="黑体" w:hAnsi="Arial"/>
      <w:b/>
      <w:bCs/>
      <w:kern w:val="2"/>
      <w:sz w:val="30"/>
      <w:szCs w:val="30"/>
      <w:lang w:val="en-US" w:eastAsia="zh-CN"/>
    </w:rPr>
  </w:style>
  <w:style w:type="character" w:customStyle="1" w:styleId="1Char22">
    <w:name w:val="河石1 Char22"/>
    <w:qFormat/>
    <w:rPr>
      <w:rFonts w:ascii="黑体" w:eastAsia="黑体" w:hAnsi="宋体" w:cs="Times New Roman"/>
      <w:bCs/>
      <w:kern w:val="44"/>
      <w:sz w:val="32"/>
      <w:szCs w:val="32"/>
      <w:lang w:val="en-US" w:eastAsia="zh-CN"/>
    </w:rPr>
  </w:style>
  <w:style w:type="character" w:customStyle="1" w:styleId="Char21e">
    <w:name w:val="图题注 Char21"/>
    <w:qFormat/>
    <w:rPr>
      <w:rFonts w:ascii="黑体" w:eastAsia="黑体" w:hAnsi="Arial" w:cs="宋体"/>
      <w:b/>
      <w:bCs/>
      <w:kern w:val="2"/>
      <w:sz w:val="24"/>
      <w:szCs w:val="24"/>
      <w:lang w:val="en-US" w:eastAsia="zh-CN"/>
    </w:rPr>
  </w:style>
  <w:style w:type="character" w:customStyle="1" w:styleId="CharChar54">
    <w:name w:val="Char Char54"/>
    <w:rPr>
      <w:rFonts w:ascii="黑体" w:eastAsia="黑体" w:hAnsi="宋体"/>
      <w:bCs/>
      <w:kern w:val="2"/>
      <w:sz w:val="28"/>
      <w:szCs w:val="28"/>
      <w:lang w:val="en-US" w:eastAsia="zh-CN"/>
    </w:rPr>
  </w:style>
  <w:style w:type="character" w:customStyle="1" w:styleId="GB23121">
    <w:name w:val="样式 仿宋_GB2312 小四 黑色"/>
    <w:rPr>
      <w:rFonts w:ascii="Times New Roman" w:eastAsia="仿宋_GB2312" w:hAnsi="Times New Roman" w:cs="Courier New"/>
      <w:color w:val="000000"/>
      <w:kern w:val="2"/>
      <w:sz w:val="24"/>
      <w:szCs w:val="24"/>
      <w:lang w:val="en-US" w:eastAsia="zh-CN"/>
    </w:rPr>
  </w:style>
  <w:style w:type="character" w:customStyle="1" w:styleId="Char102">
    <w:name w:val="正文格式 Char10"/>
    <w:rPr>
      <w:rFonts w:ascii="宋体" w:eastAsia="宋体" w:hAnsi="宋体"/>
      <w:kern w:val="2"/>
      <w:sz w:val="24"/>
      <w:szCs w:val="24"/>
      <w:lang w:val="en-US" w:eastAsia="zh-CN"/>
    </w:rPr>
  </w:style>
  <w:style w:type="character" w:customStyle="1" w:styleId="tpccontent1">
    <w:name w:val="tpc_content1"/>
    <w:qFormat/>
    <w:rPr>
      <w:sz w:val="20"/>
      <w:szCs w:val="20"/>
    </w:rPr>
  </w:style>
  <w:style w:type="character" w:customStyle="1" w:styleId="Char11f1">
    <w:name w:val="图表题 Char11"/>
    <w:qFormat/>
    <w:rPr>
      <w:rFonts w:ascii="黑体" w:eastAsia="黑体" w:hAnsi="宋体" w:cs="宋体"/>
      <w:b/>
      <w:bCs/>
      <w:kern w:val="2"/>
      <w:sz w:val="24"/>
      <w:szCs w:val="24"/>
      <w:lang w:val="en-US" w:eastAsia="zh-CN"/>
    </w:rPr>
  </w:style>
  <w:style w:type="character" w:customStyle="1" w:styleId="small14">
    <w:name w:val="small14"/>
    <w:qFormat/>
  </w:style>
  <w:style w:type="character" w:customStyle="1" w:styleId="1Char6111">
    <w:name w:val="表题1 Char6111"/>
    <w:qFormat/>
    <w:rPr>
      <w:rFonts w:ascii="黑体" w:eastAsia="黑体" w:hAnsi="Arial" w:cs="Arial"/>
      <w:b/>
      <w:kern w:val="2"/>
      <w:sz w:val="24"/>
      <w:szCs w:val="24"/>
      <w:lang w:val="en-US" w:eastAsia="zh-CN"/>
    </w:rPr>
  </w:style>
  <w:style w:type="character" w:customStyle="1" w:styleId="CharChar113">
    <w:name w:val="Char Char113"/>
    <w:qFormat/>
    <w:rPr>
      <w:rFonts w:ascii="黑体" w:eastAsia="黑体" w:hAnsi="Arial"/>
      <w:bCs/>
      <w:kern w:val="2"/>
      <w:sz w:val="30"/>
      <w:szCs w:val="30"/>
      <w:lang w:val="en-US" w:eastAsia="zh-CN"/>
    </w:rPr>
  </w:style>
  <w:style w:type="character" w:customStyle="1" w:styleId="Char712">
    <w:name w:val="正文缩进 Char71"/>
    <w:qFormat/>
    <w:rPr>
      <w:rFonts w:ascii="宋体" w:eastAsia="宋体" w:hAnsi="宋体"/>
      <w:kern w:val="2"/>
      <w:sz w:val="24"/>
      <w:szCs w:val="24"/>
      <w:lang w:val="en-US" w:eastAsia="zh-CN"/>
    </w:rPr>
  </w:style>
  <w:style w:type="character" w:customStyle="1" w:styleId="Char2f8">
    <w:name w:val="题注 Char2"/>
    <w:rPr>
      <w:rFonts w:ascii="黑体" w:eastAsia="黑体" w:hAnsi="Arial" w:cs="Arial"/>
      <w:b/>
      <w:kern w:val="2"/>
      <w:sz w:val="24"/>
      <w:szCs w:val="24"/>
      <w:lang w:val="en-US" w:eastAsia="zh-CN"/>
    </w:rPr>
  </w:style>
  <w:style w:type="character" w:customStyle="1" w:styleId="CharChar514">
    <w:name w:val="Char Char514"/>
    <w:qFormat/>
    <w:rPr>
      <w:rFonts w:ascii="黑体" w:eastAsia="黑体" w:hAnsi="宋体"/>
      <w:bCs/>
      <w:kern w:val="2"/>
      <w:sz w:val="28"/>
      <w:szCs w:val="28"/>
      <w:lang w:val="en-US" w:eastAsia="zh-CN"/>
    </w:rPr>
  </w:style>
  <w:style w:type="character" w:customStyle="1" w:styleId="CharChar1151">
    <w:name w:val="Char Char1151"/>
    <w:rPr>
      <w:rFonts w:ascii="黑体" w:eastAsia="黑体" w:hAnsi="Arial"/>
      <w:bCs/>
      <w:kern w:val="2"/>
      <w:sz w:val="30"/>
      <w:szCs w:val="30"/>
      <w:lang w:val="en-US" w:eastAsia="zh-CN"/>
    </w:rPr>
  </w:style>
  <w:style w:type="character" w:customStyle="1" w:styleId="Char232">
    <w:name w:val="题注 Char23"/>
    <w:qFormat/>
    <w:rPr>
      <w:rFonts w:ascii="黑体" w:eastAsia="黑体" w:hAnsi="Arial" w:cs="Arial"/>
      <w:b/>
      <w:kern w:val="2"/>
      <w:sz w:val="24"/>
      <w:szCs w:val="24"/>
      <w:lang w:val="en-US" w:eastAsia="zh-CN"/>
    </w:rPr>
  </w:style>
  <w:style w:type="character" w:customStyle="1" w:styleId="CharChar36">
    <w:name w:val="Char Char36"/>
    <w:qFormat/>
    <w:rPr>
      <w:rFonts w:ascii="黑体" w:eastAsia="黑体" w:hAnsi="宋体"/>
      <w:b/>
      <w:bCs/>
      <w:kern w:val="2"/>
      <w:sz w:val="28"/>
      <w:szCs w:val="28"/>
      <w:lang w:val="en-US" w:eastAsia="zh-CN"/>
    </w:rPr>
  </w:style>
  <w:style w:type="character" w:customStyle="1" w:styleId="1ffff3">
    <w:name w:val="占位符文本1"/>
    <w:qFormat/>
    <w:rPr>
      <w:rFonts w:eastAsia="宋体"/>
      <w:color w:val="808080"/>
      <w:kern w:val="2"/>
      <w:sz w:val="24"/>
      <w:szCs w:val="24"/>
      <w:lang w:val="en-US" w:eastAsia="zh-CN"/>
    </w:rPr>
  </w:style>
  <w:style w:type="character" w:customStyle="1" w:styleId="Char4f0">
    <w:name w:val="样式 正文缩进 + 宋体 黑色 Char4"/>
    <w:qFormat/>
    <w:rPr>
      <w:rFonts w:ascii="宋体" w:eastAsia="宋体" w:hAnsi="宋体"/>
      <w:color w:val="000000"/>
      <w:kern w:val="2"/>
      <w:sz w:val="24"/>
      <w:szCs w:val="24"/>
      <w:lang w:val="en-US" w:eastAsia="zh-CN"/>
    </w:rPr>
  </w:style>
  <w:style w:type="character" w:customStyle="1" w:styleId="Char21f">
    <w:name w:val="纯文本 Char21"/>
    <w:qFormat/>
    <w:rPr>
      <w:rFonts w:ascii="宋体" w:eastAsia="宋体" w:hAnsi="Courier New"/>
      <w:kern w:val="2"/>
      <w:sz w:val="21"/>
      <w:szCs w:val="24"/>
      <w:lang w:val="en-US" w:eastAsia="zh-CN"/>
    </w:rPr>
  </w:style>
  <w:style w:type="character" w:customStyle="1" w:styleId="Char3f8">
    <w:name w:val="正文首行缩进 Char3"/>
    <w:qFormat/>
    <w:rPr>
      <w:rFonts w:ascii="Times New Roman" w:eastAsia="宋体" w:hAnsi="Times New Roman" w:cs="Times New Roman"/>
      <w:kern w:val="2"/>
      <w:sz w:val="21"/>
      <w:szCs w:val="24"/>
      <w:lang w:val="en-US" w:eastAsia="zh-CN"/>
    </w:rPr>
  </w:style>
  <w:style w:type="character" w:customStyle="1" w:styleId="5Char211">
    <w:name w:val="标题 5 Char21"/>
    <w:qFormat/>
    <w:rPr>
      <w:rFonts w:ascii="Times New Roman" w:eastAsia="宋体" w:hAnsi="Times New Roman" w:cs="Times New Roman"/>
      <w:b/>
      <w:bCs/>
      <w:kern w:val="2"/>
      <w:sz w:val="28"/>
      <w:szCs w:val="28"/>
      <w:lang w:val="en-US" w:eastAsia="zh-CN"/>
    </w:rPr>
  </w:style>
  <w:style w:type="character" w:customStyle="1" w:styleId="CharChar218">
    <w:name w:val="Char Char218"/>
    <w:qFormat/>
    <w:rPr>
      <w:rFonts w:ascii="黑体" w:eastAsia="宋体"/>
      <w:kern w:val="2"/>
      <w:sz w:val="16"/>
      <w:szCs w:val="16"/>
      <w:lang w:val="en-US" w:eastAsia="zh-CN"/>
    </w:rPr>
  </w:style>
  <w:style w:type="character" w:customStyle="1" w:styleId="Char11f2">
    <w:name w:val="正文首行缩进 Char11"/>
    <w:qFormat/>
    <w:rPr>
      <w:rFonts w:eastAsia="宋体"/>
      <w:kern w:val="2"/>
      <w:sz w:val="21"/>
      <w:szCs w:val="24"/>
      <w:lang w:val="en-US" w:eastAsia="zh-CN"/>
    </w:rPr>
  </w:style>
  <w:style w:type="character" w:customStyle="1" w:styleId="Char1ff8">
    <w:name w:val="无级项 Char1"/>
    <w:qFormat/>
    <w:rPr>
      <w:rFonts w:eastAsia="宋体"/>
      <w:b/>
      <w:bCs/>
      <w:kern w:val="2"/>
      <w:sz w:val="24"/>
      <w:szCs w:val="24"/>
      <w:lang w:val="en-US" w:eastAsia="zh-CN"/>
    </w:rPr>
  </w:style>
  <w:style w:type="character" w:customStyle="1" w:styleId="CharChar62">
    <w:name w:val="Char Char62"/>
    <w:rPr>
      <w:rFonts w:ascii="黑体" w:eastAsia="黑体"/>
      <w:b/>
      <w:bCs/>
      <w:kern w:val="2"/>
      <w:sz w:val="28"/>
      <w:szCs w:val="28"/>
      <w:lang w:val="en-US" w:eastAsia="zh-CN"/>
    </w:rPr>
  </w:style>
  <w:style w:type="character" w:customStyle="1" w:styleId="2Char60">
    <w:name w:val="标题 2 Char6"/>
    <w:qFormat/>
    <w:rPr>
      <w:rFonts w:ascii="黑体" w:eastAsia="黑体" w:hAnsi="Arial"/>
      <w:b/>
      <w:bCs/>
      <w:kern w:val="2"/>
      <w:sz w:val="30"/>
      <w:szCs w:val="30"/>
      <w:lang w:val="en-US" w:eastAsia="zh-CN"/>
    </w:rPr>
  </w:style>
  <w:style w:type="character" w:customStyle="1" w:styleId="Char31f3">
    <w:name w:val="页眉 Char31"/>
    <w:qFormat/>
    <w:rPr>
      <w:rFonts w:eastAsia="宋体"/>
      <w:kern w:val="2"/>
      <w:sz w:val="18"/>
      <w:szCs w:val="18"/>
      <w:lang w:val="en-US" w:eastAsia="zh-CN"/>
    </w:rPr>
  </w:style>
  <w:style w:type="character" w:customStyle="1" w:styleId="Char2210">
    <w:name w:val="题注 Char221"/>
    <w:qFormat/>
    <w:rPr>
      <w:rFonts w:ascii="黑体" w:eastAsia="黑体" w:hAnsi="Arial" w:cs="Arial"/>
      <w:b/>
      <w:kern w:val="2"/>
      <w:sz w:val="24"/>
      <w:szCs w:val="24"/>
      <w:lang w:val="en-US" w:eastAsia="zh-CN"/>
    </w:rPr>
  </w:style>
  <w:style w:type="character" w:customStyle="1" w:styleId="Char2310">
    <w:name w:val="题注 Char231"/>
    <w:rPr>
      <w:rFonts w:ascii="黑体" w:eastAsia="黑体" w:hAnsi="Arial" w:cs="Arial"/>
      <w:b/>
      <w:kern w:val="2"/>
      <w:sz w:val="24"/>
      <w:szCs w:val="24"/>
      <w:lang w:val="en-US" w:eastAsia="zh-CN"/>
    </w:rPr>
  </w:style>
  <w:style w:type="character" w:customStyle="1" w:styleId="1Char51">
    <w:name w:val="标题 1 Char51"/>
    <w:qFormat/>
    <w:rPr>
      <w:rFonts w:ascii="黑体" w:eastAsia="黑体" w:hAnsi="宋体" w:cs="Times New Roman"/>
      <w:bCs/>
      <w:kern w:val="44"/>
      <w:sz w:val="32"/>
      <w:szCs w:val="32"/>
      <w:lang w:val="en-US" w:eastAsia="zh-CN"/>
    </w:rPr>
  </w:style>
  <w:style w:type="character" w:customStyle="1" w:styleId="CharChar2112">
    <w:name w:val="Char Char2112"/>
    <w:qFormat/>
    <w:rPr>
      <w:rFonts w:ascii="黑体" w:eastAsia="宋体"/>
      <w:kern w:val="2"/>
      <w:sz w:val="16"/>
      <w:szCs w:val="16"/>
      <w:lang w:val="en-US" w:eastAsia="zh-CN"/>
    </w:rPr>
  </w:style>
  <w:style w:type="character" w:customStyle="1" w:styleId="2Char30">
    <w:name w:val="正文文本缩进 2 Char3"/>
    <w:qFormat/>
    <w:rPr>
      <w:rFonts w:ascii="Times New Roman" w:eastAsia="宋体" w:hAnsi="Times New Roman" w:cs="Times New Roman"/>
      <w:kern w:val="2"/>
      <w:sz w:val="24"/>
      <w:szCs w:val="24"/>
      <w:lang w:val="en-US" w:eastAsia="zh-CN"/>
    </w:rPr>
  </w:style>
  <w:style w:type="character" w:customStyle="1" w:styleId="Char620">
    <w:name w:val="题注 Char62"/>
    <w:qFormat/>
    <w:rPr>
      <w:rFonts w:ascii="黑体" w:eastAsia="黑体" w:hAnsi="Arial" w:cs="Arial"/>
      <w:b/>
      <w:kern w:val="2"/>
      <w:sz w:val="24"/>
      <w:szCs w:val="24"/>
      <w:lang w:val="en-US" w:eastAsia="zh-CN"/>
    </w:rPr>
  </w:style>
  <w:style w:type="character" w:customStyle="1" w:styleId="Char4f1">
    <w:name w:val="表格内容 Char4"/>
    <w:qFormat/>
    <w:rPr>
      <w:rFonts w:eastAsia="宋体"/>
      <w:kern w:val="2"/>
      <w:sz w:val="21"/>
      <w:szCs w:val="21"/>
      <w:lang w:val="en-US" w:eastAsia="zh-CN"/>
    </w:rPr>
  </w:style>
  <w:style w:type="character" w:customStyle="1" w:styleId="font21">
    <w:name w:val="font21"/>
    <w:qFormat/>
    <w:rPr>
      <w:rFonts w:ascii="Times New Roman" w:hAnsi="Times New Roman" w:cs="Times New Roman" w:hint="default"/>
      <w:color w:val="000000"/>
      <w:sz w:val="12"/>
      <w:szCs w:val="12"/>
      <w:u w:val="none"/>
    </w:rPr>
  </w:style>
  <w:style w:type="character" w:customStyle="1" w:styleId="Char11f3">
    <w:name w:val="环评正文 Char11"/>
    <w:qFormat/>
    <w:rPr>
      <w:rFonts w:eastAsia="宋体"/>
      <w:bCs/>
      <w:kern w:val="2"/>
      <w:sz w:val="24"/>
      <w:szCs w:val="24"/>
      <w:lang w:val="en-US" w:eastAsia="zh-CN"/>
    </w:rPr>
  </w:style>
  <w:style w:type="character" w:customStyle="1" w:styleId="2Char71">
    <w:name w:val="标题 2 Char71"/>
    <w:qFormat/>
    <w:rPr>
      <w:rFonts w:ascii="黑体" w:eastAsia="黑体" w:hAnsi="Arial" w:cs="Times New Roman"/>
      <w:bCs/>
      <w:kern w:val="2"/>
      <w:sz w:val="30"/>
      <w:szCs w:val="30"/>
      <w:lang w:val="en-US" w:eastAsia="zh-CN"/>
    </w:rPr>
  </w:style>
  <w:style w:type="character" w:customStyle="1" w:styleId="Char4f2">
    <w:name w:val="图表题 Char4"/>
    <w:rPr>
      <w:rFonts w:ascii="黑体" w:eastAsia="黑体" w:hAnsi="宋体" w:cs="宋体"/>
      <w:b/>
      <w:bCs/>
      <w:kern w:val="2"/>
      <w:sz w:val="24"/>
      <w:szCs w:val="24"/>
      <w:lang w:val="en-US" w:eastAsia="zh-CN"/>
    </w:rPr>
  </w:style>
  <w:style w:type="character" w:customStyle="1" w:styleId="2Char14">
    <w:name w:val="标题2 Char1"/>
    <w:qFormat/>
    <w:rPr>
      <w:rFonts w:ascii="宋体" w:eastAsia="宋体" w:hAnsi="宋体" w:cs="宋体"/>
      <w:color w:val="000000"/>
      <w:kern w:val="2"/>
      <w:sz w:val="24"/>
      <w:szCs w:val="24"/>
      <w:lang w:val="en-US" w:eastAsia="zh-CN"/>
    </w:rPr>
  </w:style>
  <w:style w:type="character" w:customStyle="1" w:styleId="px121">
    <w:name w:val="px121"/>
    <w:qFormat/>
  </w:style>
  <w:style w:type="character" w:customStyle="1" w:styleId="CharChar623">
    <w:name w:val="Char Char623"/>
    <w:qFormat/>
    <w:rPr>
      <w:rFonts w:ascii="黑体" w:eastAsia="黑体"/>
      <w:b/>
      <w:bCs/>
      <w:kern w:val="2"/>
      <w:sz w:val="28"/>
      <w:szCs w:val="28"/>
      <w:lang w:val="en-US" w:eastAsia="zh-CN"/>
    </w:rPr>
  </w:style>
  <w:style w:type="character" w:customStyle="1" w:styleId="CharChar35">
    <w:name w:val="Char Char35"/>
    <w:qFormat/>
    <w:rPr>
      <w:rFonts w:ascii="黑体" w:eastAsia="黑体" w:hAnsi="宋体"/>
      <w:b/>
      <w:bCs/>
      <w:kern w:val="2"/>
      <w:sz w:val="28"/>
      <w:szCs w:val="28"/>
      <w:lang w:val="en-US" w:eastAsia="zh-CN"/>
    </w:rPr>
  </w:style>
  <w:style w:type="character" w:customStyle="1" w:styleId="CharChar312">
    <w:name w:val="Char Char312"/>
    <w:rPr>
      <w:rFonts w:ascii="黑体" w:eastAsia="黑体" w:hAnsi="宋体"/>
      <w:b/>
      <w:bCs/>
      <w:kern w:val="2"/>
      <w:sz w:val="28"/>
      <w:szCs w:val="28"/>
      <w:lang w:val="en-US" w:eastAsia="zh-CN"/>
    </w:rPr>
  </w:style>
  <w:style w:type="character" w:customStyle="1" w:styleId="Char21f0">
    <w:name w:val="图表题 Char21"/>
    <w:qFormat/>
    <w:rPr>
      <w:rFonts w:ascii="黑体" w:eastAsia="黑体" w:hAnsi="宋体" w:cs="宋体"/>
      <w:b/>
      <w:bCs/>
      <w:kern w:val="2"/>
      <w:sz w:val="24"/>
      <w:szCs w:val="24"/>
      <w:lang w:val="en-US" w:eastAsia="zh-CN"/>
    </w:rPr>
  </w:style>
  <w:style w:type="character" w:customStyle="1" w:styleId="Char65">
    <w:name w:val="批注框文本 Char6"/>
    <w:qFormat/>
    <w:rPr>
      <w:rFonts w:eastAsia="宋体"/>
      <w:kern w:val="2"/>
      <w:sz w:val="18"/>
      <w:szCs w:val="18"/>
      <w:lang w:val="en-US" w:eastAsia="zh-CN"/>
    </w:rPr>
  </w:style>
  <w:style w:type="character" w:customStyle="1" w:styleId="2Char212">
    <w:name w:val="正文文本缩进 2 Char21"/>
    <w:rPr>
      <w:rFonts w:eastAsia="宋体"/>
      <w:kern w:val="2"/>
      <w:sz w:val="21"/>
      <w:szCs w:val="24"/>
      <w:lang w:val="en-US" w:eastAsia="zh-CN"/>
    </w:rPr>
  </w:style>
  <w:style w:type="character" w:customStyle="1" w:styleId="1Char6">
    <w:name w:val="表题1 Char6"/>
    <w:qFormat/>
    <w:rPr>
      <w:rFonts w:ascii="黑体" w:eastAsia="黑体" w:hAnsi="Arial" w:cs="Arial"/>
      <w:b/>
      <w:kern w:val="2"/>
      <w:sz w:val="24"/>
      <w:szCs w:val="24"/>
      <w:lang w:val="en-US" w:eastAsia="zh-CN"/>
    </w:rPr>
  </w:style>
  <w:style w:type="character" w:customStyle="1" w:styleId="Char31f4">
    <w:name w:val="图题 Char31"/>
    <w:qFormat/>
    <w:rPr>
      <w:rFonts w:ascii="黑体" w:eastAsia="黑体" w:hAnsi="宋体" w:cs="宋体"/>
      <w:b/>
      <w:bCs/>
      <w:kern w:val="2"/>
      <w:sz w:val="24"/>
      <w:szCs w:val="24"/>
      <w:lang w:val="en-US" w:eastAsia="zh-CN"/>
    </w:rPr>
  </w:style>
  <w:style w:type="character" w:customStyle="1" w:styleId="3Char91">
    <w:name w:val="标题 3 Char91"/>
    <w:qFormat/>
    <w:rPr>
      <w:rFonts w:ascii="黑体" w:eastAsia="黑体" w:hAnsi="宋体" w:cs="Times New Roman"/>
      <w:b/>
      <w:bCs/>
      <w:kern w:val="2"/>
      <w:sz w:val="28"/>
      <w:szCs w:val="28"/>
      <w:lang w:val="en-US" w:eastAsia="zh-CN"/>
    </w:rPr>
  </w:style>
  <w:style w:type="character" w:customStyle="1" w:styleId="123YJChar2">
    <w:name w:val="123YJ Char2"/>
    <w:uiPriority w:val="99"/>
    <w:rPr>
      <w:kern w:val="2"/>
      <w:sz w:val="18"/>
      <w:szCs w:val="18"/>
    </w:rPr>
  </w:style>
  <w:style w:type="character" w:customStyle="1" w:styleId="CharChar6110">
    <w:name w:val="Char Char6110"/>
    <w:qFormat/>
    <w:rPr>
      <w:rFonts w:ascii="黑体" w:eastAsia="黑体"/>
      <w:b/>
      <w:bCs/>
      <w:kern w:val="2"/>
      <w:sz w:val="28"/>
      <w:szCs w:val="28"/>
      <w:lang w:val="en-US" w:eastAsia="zh-CN"/>
    </w:rPr>
  </w:style>
  <w:style w:type="character" w:customStyle="1" w:styleId="Char270">
    <w:name w:val="表中文字 Char27"/>
    <w:qFormat/>
    <w:rPr>
      <w:rFonts w:ascii="宋体" w:eastAsia="宋体" w:hAnsi="Times New Roman" w:cs="Times New Roman"/>
      <w:kern w:val="0"/>
      <w:sz w:val="24"/>
      <w:szCs w:val="21"/>
      <w:lang w:val="en-US" w:eastAsia="zh-CN"/>
    </w:rPr>
  </w:style>
  <w:style w:type="character" w:customStyle="1" w:styleId="Char1ff9">
    <w:name w:val="图题 Char1"/>
    <w:qFormat/>
    <w:rPr>
      <w:rFonts w:ascii="黑体" w:eastAsia="黑体" w:hAnsi="宋体" w:cs="宋体"/>
      <w:b/>
      <w:bCs/>
      <w:kern w:val="2"/>
      <w:sz w:val="24"/>
      <w:szCs w:val="24"/>
      <w:lang w:val="en-US" w:eastAsia="zh-CN"/>
    </w:rPr>
  </w:style>
  <w:style w:type="character" w:customStyle="1" w:styleId="CharChar56">
    <w:name w:val="Char Char56"/>
    <w:rPr>
      <w:rFonts w:ascii="黑体" w:eastAsia="黑体" w:hAnsi="宋体"/>
      <w:bCs/>
      <w:kern w:val="2"/>
      <w:sz w:val="28"/>
      <w:szCs w:val="28"/>
      <w:lang w:val="en-US" w:eastAsia="zh-CN"/>
    </w:rPr>
  </w:style>
  <w:style w:type="character" w:customStyle="1" w:styleId="CharChar516">
    <w:name w:val="Char Char516"/>
    <w:qFormat/>
    <w:rPr>
      <w:rFonts w:ascii="黑体" w:eastAsia="黑体" w:hAnsi="宋体"/>
      <w:bCs/>
      <w:kern w:val="2"/>
      <w:sz w:val="28"/>
      <w:szCs w:val="28"/>
      <w:lang w:val="en-US" w:eastAsia="zh-CN"/>
    </w:rPr>
  </w:style>
  <w:style w:type="character" w:customStyle="1" w:styleId="CharChar641">
    <w:name w:val="Char Char641"/>
    <w:qFormat/>
    <w:rPr>
      <w:rFonts w:ascii="黑体" w:eastAsia="黑体"/>
      <w:b/>
      <w:bCs/>
      <w:kern w:val="2"/>
      <w:sz w:val="28"/>
      <w:szCs w:val="28"/>
      <w:lang w:val="en-US" w:eastAsia="zh-CN"/>
    </w:rPr>
  </w:style>
  <w:style w:type="character" w:customStyle="1" w:styleId="7Char21">
    <w:name w:val="标题 7 Char21"/>
    <w:rPr>
      <w:rFonts w:ascii="Times New Roman" w:eastAsia="宋体" w:hAnsi="Times New Roman" w:cs="Times New Roman"/>
      <w:b/>
      <w:bCs/>
      <w:kern w:val="2"/>
      <w:sz w:val="24"/>
      <w:szCs w:val="24"/>
      <w:lang w:val="en-US" w:eastAsia="zh-CN"/>
    </w:rPr>
  </w:style>
  <w:style w:type="character" w:customStyle="1" w:styleId="Char1431">
    <w:name w:val="正文修改 Char1431"/>
    <w:qFormat/>
    <w:rPr>
      <w:rFonts w:ascii="宋体" w:eastAsia="宋体" w:hAnsi="Times New Roman" w:cs="宋体"/>
      <w:kern w:val="2"/>
      <w:sz w:val="24"/>
      <w:szCs w:val="24"/>
      <w:lang w:val="en-US" w:eastAsia="zh-CN"/>
    </w:rPr>
  </w:style>
  <w:style w:type="character" w:customStyle="1" w:styleId="CharCharCharCharCharCharCharCharCharCharCharCharCharCharChar">
    <w:name w:val="正文（首行缩进两字） Char Char Char Char Char Char Char Char Char Char Char Char Char Char Char"/>
    <w:qFormat/>
    <w:rPr>
      <w:rFonts w:ascii="宋体" w:eastAsia="宋体" w:hAnsi="宋体" w:cs="宋体"/>
      <w:kern w:val="2"/>
      <w:sz w:val="30"/>
      <w:szCs w:val="24"/>
      <w:lang w:val="en-US" w:eastAsia="zh-CN"/>
    </w:rPr>
  </w:style>
  <w:style w:type="character" w:customStyle="1" w:styleId="Char146">
    <w:name w:val="正文缩进 Char14"/>
    <w:qFormat/>
    <w:rPr>
      <w:rFonts w:ascii="宋体" w:eastAsia="宋体" w:hAnsi="宋体" w:cs="宋体"/>
      <w:color w:val="000000"/>
      <w:kern w:val="2"/>
      <w:sz w:val="24"/>
      <w:szCs w:val="24"/>
      <w:lang w:val="en-US" w:eastAsia="zh-CN"/>
    </w:rPr>
  </w:style>
  <w:style w:type="character" w:customStyle="1" w:styleId="CharChar1124">
    <w:name w:val="Char Char1124"/>
    <w:qFormat/>
    <w:rPr>
      <w:rFonts w:ascii="黑体" w:eastAsia="黑体" w:hAnsi="Arial"/>
      <w:bCs/>
      <w:kern w:val="2"/>
      <w:sz w:val="30"/>
      <w:szCs w:val="30"/>
      <w:lang w:val="en-US" w:eastAsia="zh-CN"/>
    </w:rPr>
  </w:style>
  <w:style w:type="character" w:customStyle="1" w:styleId="1Char721">
    <w:name w:val="表题1 Char721"/>
    <w:qFormat/>
    <w:rPr>
      <w:rFonts w:ascii="黑体" w:eastAsia="黑体" w:hAnsi="Arial" w:cs="Arial"/>
      <w:b/>
      <w:kern w:val="2"/>
      <w:sz w:val="24"/>
      <w:szCs w:val="24"/>
      <w:lang w:val="en-US" w:eastAsia="zh-CN"/>
    </w:rPr>
  </w:style>
  <w:style w:type="character" w:customStyle="1" w:styleId="CharChar626">
    <w:name w:val="Char Char626"/>
    <w:rPr>
      <w:rFonts w:ascii="黑体" w:eastAsia="黑体"/>
      <w:b/>
      <w:bCs/>
      <w:kern w:val="2"/>
      <w:sz w:val="28"/>
      <w:szCs w:val="28"/>
      <w:lang w:val="en-US" w:eastAsia="zh-CN"/>
    </w:rPr>
  </w:style>
  <w:style w:type="character" w:customStyle="1" w:styleId="Char3f9">
    <w:name w:val="图表题 Char3"/>
    <w:qFormat/>
    <w:rPr>
      <w:rFonts w:ascii="黑体" w:eastAsia="黑体" w:hAnsi="宋体" w:cs="宋体"/>
      <w:b/>
      <w:bCs/>
      <w:kern w:val="2"/>
      <w:sz w:val="24"/>
      <w:szCs w:val="24"/>
      <w:lang w:val="en-US" w:eastAsia="zh-CN"/>
    </w:rPr>
  </w:style>
  <w:style w:type="character" w:customStyle="1" w:styleId="Char129">
    <w:name w:val="图表题 Char12"/>
    <w:qFormat/>
    <w:rPr>
      <w:rFonts w:ascii="黑体" w:eastAsia="黑体" w:hAnsi="宋体" w:cs="宋体"/>
      <w:b/>
      <w:bCs/>
      <w:kern w:val="2"/>
      <w:sz w:val="24"/>
      <w:szCs w:val="24"/>
      <w:lang w:val="en-US" w:eastAsia="zh-CN"/>
    </w:rPr>
  </w:style>
  <w:style w:type="character" w:customStyle="1" w:styleId="Char11f4">
    <w:name w:val="无节 Char11"/>
    <w:qFormat/>
    <w:rPr>
      <w:rFonts w:ascii="Arial" w:eastAsia="黑体" w:hAnsi="Arial"/>
      <w:b/>
      <w:bCs/>
      <w:kern w:val="2"/>
      <w:sz w:val="24"/>
      <w:szCs w:val="24"/>
      <w:lang w:val="en-US" w:eastAsia="zh-CN"/>
    </w:rPr>
  </w:style>
  <w:style w:type="character" w:customStyle="1" w:styleId="CharChar612">
    <w:name w:val="Char Char612"/>
    <w:qFormat/>
    <w:rPr>
      <w:rFonts w:ascii="黑体" w:eastAsia="黑体"/>
      <w:b/>
      <w:bCs/>
      <w:kern w:val="2"/>
      <w:sz w:val="28"/>
      <w:szCs w:val="28"/>
      <w:lang w:val="en-US" w:eastAsia="zh-CN"/>
    </w:rPr>
  </w:style>
  <w:style w:type="character" w:customStyle="1" w:styleId="Char21f1">
    <w:name w:val="样式 正文缩进 + 宋体 黑色 Char21"/>
    <w:qFormat/>
    <w:rPr>
      <w:rFonts w:ascii="宋体" w:eastAsia="宋体" w:hAnsi="宋体"/>
      <w:color w:val="000000"/>
      <w:kern w:val="2"/>
      <w:sz w:val="24"/>
      <w:szCs w:val="24"/>
      <w:lang w:val="en-US" w:eastAsia="zh-CN"/>
    </w:rPr>
  </w:style>
  <w:style w:type="character" w:customStyle="1" w:styleId="Char11f5">
    <w:name w:val="批注框文本 Char11"/>
    <w:qFormat/>
    <w:rPr>
      <w:rFonts w:eastAsia="宋体"/>
      <w:kern w:val="2"/>
      <w:sz w:val="18"/>
      <w:szCs w:val="18"/>
      <w:lang w:val="en-US" w:eastAsia="zh-CN"/>
    </w:rPr>
  </w:style>
  <w:style w:type="character" w:customStyle="1" w:styleId="Char3fa">
    <w:name w:val="表格内字体 Char3"/>
    <w:qFormat/>
    <w:rPr>
      <w:rFonts w:ascii="宋体" w:eastAsia="宋体" w:hAnsi="宋体"/>
      <w:kern w:val="2"/>
      <w:sz w:val="21"/>
      <w:szCs w:val="24"/>
      <w:lang w:val="en-US" w:eastAsia="zh-CN"/>
    </w:rPr>
  </w:style>
  <w:style w:type="character" w:customStyle="1" w:styleId="tpctitle1">
    <w:name w:val="tpc_title1"/>
    <w:qFormat/>
    <w:rPr>
      <w:b/>
      <w:bCs/>
      <w:sz w:val="24"/>
      <w:szCs w:val="24"/>
    </w:rPr>
  </w:style>
  <w:style w:type="character" w:customStyle="1" w:styleId="Char1131">
    <w:name w:val="正文修改 Char1131"/>
    <w:qFormat/>
    <w:rPr>
      <w:rFonts w:ascii="宋体" w:eastAsia="宋体" w:hAnsi="宋体" w:cs="宋体"/>
      <w:color w:val="000000"/>
      <w:kern w:val="2"/>
      <w:sz w:val="24"/>
      <w:szCs w:val="24"/>
      <w:lang w:val="en-US" w:eastAsia="zh-CN"/>
    </w:rPr>
  </w:style>
  <w:style w:type="character" w:customStyle="1" w:styleId="Char21f2">
    <w:name w:val="正文文本 Char21"/>
    <w:qFormat/>
    <w:rPr>
      <w:rFonts w:eastAsia="宋体"/>
      <w:kern w:val="2"/>
      <w:sz w:val="21"/>
      <w:szCs w:val="24"/>
      <w:lang w:val="en-US" w:eastAsia="zh-CN"/>
    </w:rPr>
  </w:style>
  <w:style w:type="character" w:customStyle="1" w:styleId="CharChar37">
    <w:name w:val="Char Char37"/>
    <w:qFormat/>
    <w:rPr>
      <w:rFonts w:ascii="黑体" w:eastAsia="黑体" w:hAnsi="宋体"/>
      <w:b/>
      <w:bCs/>
      <w:kern w:val="2"/>
      <w:sz w:val="28"/>
      <w:szCs w:val="28"/>
      <w:lang w:val="en-US" w:eastAsia="zh-CN"/>
    </w:rPr>
  </w:style>
  <w:style w:type="character" w:customStyle="1" w:styleId="Char1132">
    <w:name w:val="题注 Char113"/>
    <w:qFormat/>
    <w:rPr>
      <w:rFonts w:ascii="黑体" w:eastAsia="黑体" w:hAnsi="Arial" w:cs="Arial"/>
      <w:b/>
      <w:kern w:val="2"/>
      <w:sz w:val="24"/>
      <w:szCs w:val="24"/>
      <w:lang w:val="en-US" w:eastAsia="zh-CN"/>
    </w:rPr>
  </w:style>
  <w:style w:type="character" w:customStyle="1" w:styleId="CharChar46">
    <w:name w:val="Char Char46"/>
    <w:qFormat/>
    <w:rPr>
      <w:rFonts w:ascii="黑体" w:eastAsia="黑体" w:hAnsi="Arial"/>
      <w:b/>
      <w:bCs/>
      <w:kern w:val="2"/>
      <w:sz w:val="30"/>
      <w:szCs w:val="30"/>
      <w:lang w:val="en-US" w:eastAsia="zh-CN"/>
    </w:rPr>
  </w:style>
  <w:style w:type="character" w:customStyle="1" w:styleId="1Char72">
    <w:name w:val="表题1 Char72"/>
    <w:qFormat/>
    <w:rPr>
      <w:rFonts w:ascii="黑体" w:eastAsia="黑体" w:hAnsi="Arial" w:cs="Arial"/>
      <w:b/>
      <w:kern w:val="2"/>
      <w:sz w:val="24"/>
      <w:szCs w:val="24"/>
      <w:lang w:val="en-US" w:eastAsia="zh-CN"/>
    </w:rPr>
  </w:style>
  <w:style w:type="character" w:customStyle="1" w:styleId="Char4f3">
    <w:name w:val="环正文 Char4"/>
    <w:qFormat/>
    <w:rPr>
      <w:rFonts w:eastAsia="宋体" w:hAnsi="宋体"/>
      <w:sz w:val="28"/>
      <w:szCs w:val="28"/>
      <w:lang w:val="en-US" w:eastAsia="zh-CN"/>
    </w:rPr>
  </w:style>
  <w:style w:type="character" w:customStyle="1" w:styleId="Char242">
    <w:name w:val="表中文字 Char24"/>
    <w:qFormat/>
    <w:rPr>
      <w:rFonts w:ascii="宋体" w:eastAsia="宋体"/>
      <w:kern w:val="2"/>
      <w:sz w:val="21"/>
      <w:szCs w:val="21"/>
      <w:lang w:val="en-US" w:eastAsia="zh-CN"/>
    </w:rPr>
  </w:style>
  <w:style w:type="character" w:customStyle="1" w:styleId="Char2f9">
    <w:name w:val="一级项 Char2"/>
    <w:rPr>
      <w:rFonts w:eastAsia="宋体"/>
      <w:b/>
      <w:bCs/>
      <w:kern w:val="2"/>
      <w:sz w:val="28"/>
      <w:szCs w:val="28"/>
      <w:lang w:val="en-US" w:eastAsia="zh-CN"/>
    </w:rPr>
  </w:style>
  <w:style w:type="character" w:customStyle="1" w:styleId="3Char32">
    <w:name w:val="正文文本 3 Char3"/>
    <w:qFormat/>
    <w:rPr>
      <w:rFonts w:ascii="Times New Roman" w:eastAsia="宋体" w:hAnsi="Times New Roman" w:cs="Times New Roman"/>
      <w:kern w:val="2"/>
      <w:sz w:val="16"/>
      <w:szCs w:val="16"/>
      <w:lang w:val="en-US" w:eastAsia="zh-CN"/>
    </w:rPr>
  </w:style>
  <w:style w:type="character" w:customStyle="1" w:styleId="Char2fa">
    <w:name w:val="环评正文 Char2"/>
    <w:qFormat/>
    <w:rPr>
      <w:rFonts w:eastAsia="宋体"/>
      <w:bCs/>
      <w:kern w:val="2"/>
      <w:sz w:val="24"/>
      <w:szCs w:val="24"/>
      <w:lang w:val="en-US" w:eastAsia="zh-CN"/>
    </w:rPr>
  </w:style>
  <w:style w:type="character" w:customStyle="1" w:styleId="Char11130">
    <w:name w:val="正文修改 Char1113"/>
    <w:qFormat/>
    <w:rPr>
      <w:rFonts w:ascii="宋体" w:eastAsia="宋体" w:hAnsi="宋体" w:cs="宋体"/>
      <w:color w:val="000000"/>
      <w:kern w:val="2"/>
      <w:sz w:val="24"/>
      <w:szCs w:val="24"/>
      <w:lang w:val="en-US" w:eastAsia="zh-CN"/>
    </w:rPr>
  </w:style>
  <w:style w:type="character" w:customStyle="1" w:styleId="CharChar81">
    <w:name w:val="Char Char81"/>
    <w:qFormat/>
    <w:rPr>
      <w:rFonts w:eastAsia="宋体"/>
      <w:kern w:val="2"/>
      <w:sz w:val="16"/>
      <w:szCs w:val="16"/>
      <w:lang w:val="en-US" w:eastAsia="zh-CN"/>
    </w:rPr>
  </w:style>
  <w:style w:type="character" w:customStyle="1" w:styleId="2Char130">
    <w:name w:val="正文首行缩进 2 Char13"/>
    <w:rPr>
      <w:rFonts w:ascii="宋体" w:eastAsia="仿宋_GB2312" w:hAnsi="宋体" w:cs="宋体"/>
      <w:color w:val="000000"/>
      <w:kern w:val="2"/>
      <w:sz w:val="21"/>
      <w:szCs w:val="24"/>
      <w:lang w:val="en-US" w:eastAsia="zh-CN"/>
    </w:rPr>
  </w:style>
  <w:style w:type="character" w:customStyle="1" w:styleId="textsy">
    <w:name w:val="textsy"/>
    <w:qFormat/>
  </w:style>
  <w:style w:type="character" w:customStyle="1" w:styleId="CharChar69">
    <w:name w:val="Char Char69"/>
    <w:qFormat/>
    <w:rPr>
      <w:rFonts w:ascii="黑体" w:eastAsia="黑体"/>
      <w:b/>
      <w:bCs/>
      <w:kern w:val="2"/>
      <w:sz w:val="28"/>
      <w:szCs w:val="28"/>
      <w:lang w:val="en-US" w:eastAsia="zh-CN"/>
    </w:rPr>
  </w:style>
  <w:style w:type="character" w:customStyle="1" w:styleId="1Char8">
    <w:name w:val="表题1 Char8"/>
    <w:qFormat/>
    <w:rPr>
      <w:rFonts w:ascii="黑体" w:eastAsia="黑体" w:hAnsi="Arial" w:cs="Arial"/>
      <w:b/>
      <w:kern w:val="2"/>
      <w:sz w:val="24"/>
      <w:szCs w:val="24"/>
      <w:lang w:val="en-US" w:eastAsia="zh-CN"/>
    </w:rPr>
  </w:style>
  <w:style w:type="character" w:customStyle="1" w:styleId="3Char51">
    <w:name w:val="正文文本缩进 3 Char51"/>
    <w:qFormat/>
    <w:rPr>
      <w:rFonts w:ascii="Times New Roman" w:eastAsia="宋体" w:hAnsi="Times New Roman" w:cs="Times New Roman"/>
      <w:kern w:val="2"/>
      <w:sz w:val="16"/>
      <w:szCs w:val="16"/>
      <w:lang w:val="en-US" w:eastAsia="zh-CN"/>
    </w:rPr>
  </w:style>
  <w:style w:type="character" w:customStyle="1" w:styleId="CharCharCharCharCharCharCharCharCharChar0">
    <w:name w:val="正文（首行缩进两字） Char Char Char Char Char Char Char Char Char Char"/>
    <w:rPr>
      <w:rFonts w:ascii="仿宋_GB2312" w:eastAsia="仿宋_GB2312"/>
      <w:kern w:val="2"/>
      <w:sz w:val="28"/>
      <w:lang w:val="en-US" w:eastAsia="zh-CN"/>
    </w:rPr>
  </w:style>
  <w:style w:type="character" w:customStyle="1" w:styleId="Char233">
    <w:name w:val="三级标题 Char23"/>
    <w:qFormat/>
    <w:rPr>
      <w:rFonts w:ascii="黑体" w:eastAsia="黑体" w:hAnsi="宋体"/>
      <w:bCs/>
      <w:kern w:val="2"/>
      <w:sz w:val="28"/>
      <w:szCs w:val="28"/>
      <w:lang w:val="en-US" w:eastAsia="zh-CN"/>
    </w:rPr>
  </w:style>
  <w:style w:type="character" w:customStyle="1" w:styleId="CharChar102">
    <w:name w:val="Char Char102"/>
    <w:qFormat/>
    <w:rPr>
      <w:rFonts w:ascii="宋体" w:eastAsia="宋体" w:hAnsi="宋体" w:cs="宋体"/>
      <w:color w:val="000000"/>
      <w:kern w:val="2"/>
      <w:sz w:val="24"/>
      <w:szCs w:val="24"/>
      <w:lang w:val="en-US" w:eastAsia="zh-CN"/>
    </w:rPr>
  </w:style>
  <w:style w:type="character" w:customStyle="1" w:styleId="3Char112">
    <w:name w:val="正文文本 3 Char11"/>
    <w:qFormat/>
    <w:rPr>
      <w:rFonts w:eastAsia="宋体"/>
      <w:kern w:val="2"/>
      <w:sz w:val="16"/>
      <w:szCs w:val="16"/>
      <w:lang w:val="en-US" w:eastAsia="zh-CN"/>
    </w:rPr>
  </w:style>
  <w:style w:type="character" w:customStyle="1" w:styleId="Char6110">
    <w:name w:val="题注 Char611"/>
    <w:qFormat/>
    <w:rPr>
      <w:rFonts w:ascii="黑体" w:eastAsia="黑体" w:hAnsi="Arial" w:cs="Arial"/>
      <w:b/>
      <w:kern w:val="2"/>
      <w:sz w:val="24"/>
      <w:szCs w:val="24"/>
      <w:lang w:val="en-US" w:eastAsia="zh-CN"/>
    </w:rPr>
  </w:style>
  <w:style w:type="character" w:customStyle="1" w:styleId="Char4f4">
    <w:name w:val="正文斜体 Char4"/>
    <w:rPr>
      <w:rFonts w:ascii="宋体" w:eastAsia="宋体" w:hAnsi="宋体"/>
      <w:i/>
      <w:iCs/>
      <w:kern w:val="2"/>
      <w:sz w:val="24"/>
      <w:szCs w:val="24"/>
      <w:lang w:val="en-US" w:eastAsia="zh-CN"/>
    </w:rPr>
  </w:style>
  <w:style w:type="character" w:customStyle="1" w:styleId="CharChar47">
    <w:name w:val="Char Char47"/>
    <w:qFormat/>
    <w:rPr>
      <w:rFonts w:ascii="黑体" w:eastAsia="黑体" w:hAnsi="Arial"/>
      <w:b/>
      <w:bCs/>
      <w:kern w:val="2"/>
      <w:sz w:val="30"/>
      <w:szCs w:val="30"/>
      <w:lang w:val="en-US" w:eastAsia="zh-CN"/>
    </w:rPr>
  </w:style>
  <w:style w:type="character" w:customStyle="1" w:styleId="CharChar1121">
    <w:name w:val="Char Char1121"/>
    <w:qFormat/>
    <w:rPr>
      <w:rFonts w:ascii="黑体" w:eastAsia="黑体" w:hAnsi="Arial"/>
      <w:bCs/>
      <w:kern w:val="2"/>
      <w:sz w:val="30"/>
      <w:szCs w:val="30"/>
      <w:lang w:val="en-US" w:eastAsia="zh-CN"/>
    </w:rPr>
  </w:style>
  <w:style w:type="character" w:customStyle="1" w:styleId="3Char311">
    <w:name w:val="标题 3 Char31"/>
    <w:qFormat/>
    <w:rPr>
      <w:rFonts w:ascii="黑体" w:eastAsia="黑体" w:hAnsi="宋体"/>
      <w:b/>
      <w:bCs/>
      <w:kern w:val="2"/>
      <w:sz w:val="28"/>
      <w:szCs w:val="28"/>
      <w:lang w:val="en-US" w:eastAsia="zh-CN"/>
    </w:rPr>
  </w:style>
  <w:style w:type="character" w:customStyle="1" w:styleId="CharChar2115">
    <w:name w:val="Char Char2115"/>
    <w:rPr>
      <w:rFonts w:ascii="黑体" w:eastAsia="宋体"/>
      <w:kern w:val="2"/>
      <w:sz w:val="16"/>
      <w:szCs w:val="16"/>
      <w:lang w:val="en-US" w:eastAsia="zh-CN"/>
    </w:rPr>
  </w:style>
  <w:style w:type="character" w:customStyle="1" w:styleId="Char1340">
    <w:name w:val="正文修改 Char134"/>
    <w:qFormat/>
    <w:rPr>
      <w:rFonts w:ascii="宋体" w:eastAsia="宋体" w:hAnsi="宋体" w:cs="宋体"/>
      <w:color w:val="000000"/>
      <w:kern w:val="2"/>
      <w:sz w:val="24"/>
      <w:szCs w:val="24"/>
      <w:lang w:val="en-US" w:eastAsia="zh-CN"/>
    </w:rPr>
  </w:style>
  <w:style w:type="character" w:customStyle="1" w:styleId="4Char110">
    <w:name w:val="标题 4 Char11"/>
    <w:rPr>
      <w:rFonts w:ascii="黑体" w:eastAsia="黑体" w:hAnsi="Arial"/>
      <w:b/>
      <w:bCs/>
      <w:kern w:val="2"/>
      <w:sz w:val="24"/>
      <w:szCs w:val="24"/>
      <w:lang w:val="en-US" w:eastAsia="zh-CN"/>
    </w:rPr>
  </w:style>
  <w:style w:type="character" w:customStyle="1" w:styleId="CharChar11110">
    <w:name w:val="Char Char11110"/>
    <w:qFormat/>
    <w:rPr>
      <w:rFonts w:ascii="黑体" w:eastAsia="黑体" w:hAnsi="Arial"/>
      <w:bCs/>
      <w:kern w:val="2"/>
      <w:sz w:val="30"/>
      <w:szCs w:val="30"/>
      <w:lang w:val="en-US" w:eastAsia="zh-CN"/>
    </w:rPr>
  </w:style>
  <w:style w:type="character" w:customStyle="1" w:styleId="1Char63">
    <w:name w:val="表题1 Char63"/>
    <w:qFormat/>
    <w:rPr>
      <w:rFonts w:ascii="黑体" w:eastAsia="黑体" w:hAnsi="Arial" w:cs="Arial"/>
      <w:b/>
      <w:kern w:val="2"/>
      <w:sz w:val="24"/>
      <w:szCs w:val="24"/>
      <w:lang w:val="en-US" w:eastAsia="zh-CN"/>
    </w:rPr>
  </w:style>
  <w:style w:type="character" w:customStyle="1" w:styleId="CharChar215">
    <w:name w:val="Char Char215"/>
    <w:qFormat/>
    <w:rPr>
      <w:rFonts w:ascii="黑体" w:eastAsia="宋体"/>
      <w:kern w:val="2"/>
      <w:sz w:val="16"/>
      <w:szCs w:val="16"/>
      <w:lang w:val="en-US" w:eastAsia="zh-CN"/>
    </w:rPr>
  </w:style>
  <w:style w:type="character" w:customStyle="1" w:styleId="Char2fb">
    <w:name w:val="页眉 Char2"/>
    <w:qFormat/>
    <w:rPr>
      <w:rFonts w:ascii="Times New Roman" w:eastAsia="宋体" w:hAnsi="Times New Roman" w:cs="Times New Roman"/>
      <w:kern w:val="2"/>
      <w:sz w:val="18"/>
      <w:szCs w:val="18"/>
      <w:lang w:val="en-US" w:eastAsia="zh-CN"/>
    </w:rPr>
  </w:style>
  <w:style w:type="character" w:customStyle="1" w:styleId="5Char4">
    <w:name w:val="表内5 Char4"/>
    <w:rPr>
      <w:rFonts w:ascii="宋体" w:eastAsia="宋体" w:hAnsi="宋体" w:cs="Times New Roman"/>
      <w:kern w:val="2"/>
      <w:sz w:val="24"/>
      <w:szCs w:val="21"/>
      <w:lang w:val="en-US" w:eastAsia="zh-CN"/>
    </w:rPr>
  </w:style>
  <w:style w:type="character" w:customStyle="1" w:styleId="5Char40">
    <w:name w:val="样式 表内小5 + 黑体 加粗 倾斜 下划线 Char4"/>
    <w:qFormat/>
    <w:rPr>
      <w:rFonts w:ascii="黑体" w:eastAsia="黑体" w:hAnsi="黑体"/>
      <w:b/>
      <w:bCs/>
      <w:i/>
      <w:iCs/>
      <w:kern w:val="2"/>
      <w:sz w:val="18"/>
      <w:szCs w:val="24"/>
      <w:u w:val="single"/>
      <w:lang w:val="en-US" w:eastAsia="zh-CN"/>
    </w:rPr>
  </w:style>
  <w:style w:type="character" w:customStyle="1" w:styleId="Char630">
    <w:name w:val="题注 Char63"/>
    <w:qFormat/>
    <w:rPr>
      <w:rFonts w:ascii="黑体" w:eastAsia="黑体" w:hAnsi="Arial" w:cs="Arial"/>
      <w:b/>
      <w:kern w:val="2"/>
      <w:sz w:val="24"/>
      <w:szCs w:val="24"/>
      <w:lang w:val="en-US" w:eastAsia="zh-CN"/>
    </w:rPr>
  </w:style>
  <w:style w:type="character" w:customStyle="1" w:styleId="Char1ffa">
    <w:name w:val="图表题 Char1"/>
    <w:qFormat/>
    <w:rPr>
      <w:rFonts w:ascii="黑体" w:eastAsia="黑体" w:hAnsi="宋体" w:cs="宋体"/>
      <w:b/>
      <w:bCs/>
      <w:kern w:val="2"/>
      <w:sz w:val="24"/>
      <w:szCs w:val="24"/>
      <w:lang w:val="en-US" w:eastAsia="zh-CN"/>
    </w:rPr>
  </w:style>
  <w:style w:type="character" w:customStyle="1" w:styleId="4Char310">
    <w:name w:val="标题 4 Char31"/>
    <w:qFormat/>
    <w:rPr>
      <w:rFonts w:ascii="黑体" w:eastAsia="黑体" w:hAnsi="Arial" w:cs="Times New Roman"/>
      <w:b/>
      <w:bCs/>
      <w:kern w:val="2"/>
      <w:sz w:val="24"/>
      <w:szCs w:val="24"/>
      <w:lang w:val="en-US" w:eastAsia="zh-CN"/>
    </w:rPr>
  </w:style>
  <w:style w:type="character" w:customStyle="1" w:styleId="3Char211">
    <w:name w:val="正文文本 3 Char21"/>
    <w:qFormat/>
    <w:rPr>
      <w:rFonts w:eastAsia="宋体"/>
      <w:kern w:val="2"/>
      <w:sz w:val="16"/>
      <w:szCs w:val="16"/>
      <w:lang w:val="en-US" w:eastAsia="zh-CN"/>
    </w:rPr>
  </w:style>
  <w:style w:type="character" w:customStyle="1" w:styleId="Char172">
    <w:name w:val="正文修改 Char17"/>
    <w:qFormat/>
    <w:rPr>
      <w:rFonts w:ascii="宋体" w:eastAsia="宋体" w:hAnsi="宋体" w:cs="宋体"/>
      <w:color w:val="000000"/>
      <w:kern w:val="2"/>
      <w:sz w:val="24"/>
      <w:szCs w:val="24"/>
      <w:lang w:val="en-US" w:eastAsia="zh-CN"/>
    </w:rPr>
  </w:style>
  <w:style w:type="character" w:customStyle="1" w:styleId="Char1116">
    <w:name w:val="正文修改 Char111"/>
    <w:qFormat/>
    <w:rPr>
      <w:rFonts w:ascii="宋体" w:eastAsia="宋体" w:hAnsi="宋体" w:cs="宋体"/>
      <w:color w:val="000000"/>
      <w:kern w:val="2"/>
      <w:sz w:val="24"/>
      <w:szCs w:val="24"/>
      <w:lang w:val="en-US" w:eastAsia="zh-CN"/>
    </w:rPr>
  </w:style>
  <w:style w:type="character" w:customStyle="1" w:styleId="CharChar2113">
    <w:name w:val="Char Char2113"/>
    <w:qFormat/>
    <w:rPr>
      <w:rFonts w:ascii="黑体" w:eastAsia="宋体"/>
      <w:kern w:val="2"/>
      <w:sz w:val="16"/>
      <w:szCs w:val="16"/>
      <w:lang w:val="en-US" w:eastAsia="zh-CN"/>
    </w:rPr>
  </w:style>
  <w:style w:type="character" w:customStyle="1" w:styleId="CharChar415">
    <w:name w:val="Char Char415"/>
    <w:qFormat/>
    <w:rPr>
      <w:rFonts w:ascii="黑体" w:eastAsia="黑体" w:hAnsi="Arial"/>
      <w:b/>
      <w:bCs/>
      <w:kern w:val="2"/>
      <w:sz w:val="30"/>
      <w:szCs w:val="30"/>
      <w:lang w:val="en-US" w:eastAsia="zh-CN"/>
    </w:rPr>
  </w:style>
  <w:style w:type="character" w:customStyle="1" w:styleId="Char811">
    <w:name w:val="表格内字体 Char81"/>
    <w:qFormat/>
    <w:rPr>
      <w:rFonts w:ascii="宋体" w:eastAsia="宋体" w:hAnsi="宋体"/>
      <w:kern w:val="2"/>
      <w:sz w:val="21"/>
      <w:szCs w:val="24"/>
      <w:lang w:val="en-US" w:eastAsia="zh-CN"/>
    </w:rPr>
  </w:style>
  <w:style w:type="character" w:customStyle="1" w:styleId="Char3210">
    <w:name w:val="正文缩进 Char321"/>
    <w:qFormat/>
    <w:rPr>
      <w:rFonts w:ascii="宋体" w:eastAsia="宋体" w:hAnsi="宋体" w:cs="宋体"/>
      <w:color w:val="000000"/>
      <w:kern w:val="0"/>
      <w:sz w:val="24"/>
      <w:szCs w:val="24"/>
      <w:lang w:val="en-US" w:eastAsia="zh-CN"/>
    </w:rPr>
  </w:style>
  <w:style w:type="character" w:customStyle="1" w:styleId="Char1312">
    <w:name w:val="正文修改 Char1312"/>
    <w:qFormat/>
    <w:rPr>
      <w:rFonts w:ascii="宋体" w:eastAsia="宋体" w:hAnsi="宋体" w:cs="宋体"/>
      <w:color w:val="000000"/>
      <w:kern w:val="2"/>
      <w:sz w:val="24"/>
      <w:szCs w:val="24"/>
      <w:lang w:val="en-US" w:eastAsia="zh-CN"/>
    </w:rPr>
  </w:style>
  <w:style w:type="character" w:customStyle="1" w:styleId="Char2fc">
    <w:name w:val="普通文字 Char2"/>
    <w:qFormat/>
    <w:rPr>
      <w:rFonts w:eastAsia="宋体"/>
      <w:spacing w:val="8"/>
      <w:kern w:val="2"/>
      <w:sz w:val="24"/>
      <w:lang w:val="en-US" w:eastAsia="zh-CN"/>
    </w:rPr>
  </w:style>
  <w:style w:type="character" w:customStyle="1" w:styleId="4Char40">
    <w:name w:val="标题4 Char4"/>
    <w:qFormat/>
    <w:rPr>
      <w:rFonts w:ascii="黑体" w:eastAsia="黑体" w:hAnsi="Arial" w:cs="Times New Roman"/>
      <w:b/>
      <w:bCs/>
      <w:kern w:val="2"/>
      <w:sz w:val="24"/>
      <w:szCs w:val="28"/>
      <w:lang w:val="en-US" w:eastAsia="zh-CN"/>
    </w:rPr>
  </w:style>
  <w:style w:type="character" w:customStyle="1" w:styleId="CharChar212">
    <w:name w:val="Char Char212"/>
    <w:qFormat/>
    <w:rPr>
      <w:rFonts w:ascii="黑体" w:eastAsia="宋体"/>
      <w:kern w:val="2"/>
      <w:sz w:val="16"/>
      <w:szCs w:val="16"/>
      <w:lang w:val="en-US" w:eastAsia="zh-CN"/>
    </w:rPr>
  </w:style>
  <w:style w:type="character" w:customStyle="1" w:styleId="Char1117">
    <w:name w:val="正文格式 Char111"/>
    <w:qFormat/>
    <w:rPr>
      <w:rFonts w:ascii="宋体" w:eastAsia="宋体" w:hAnsi="宋体"/>
      <w:kern w:val="2"/>
      <w:sz w:val="24"/>
      <w:szCs w:val="24"/>
      <w:lang w:val="en-US" w:eastAsia="zh-CN"/>
    </w:rPr>
  </w:style>
  <w:style w:type="character" w:customStyle="1" w:styleId="CharChar631">
    <w:name w:val="Char Char631"/>
    <w:qFormat/>
    <w:rPr>
      <w:rFonts w:ascii="黑体" w:eastAsia="黑体"/>
      <w:b/>
      <w:bCs/>
      <w:kern w:val="2"/>
      <w:sz w:val="28"/>
      <w:szCs w:val="28"/>
      <w:lang w:val="en-US" w:eastAsia="zh-CN"/>
    </w:rPr>
  </w:style>
  <w:style w:type="character" w:customStyle="1" w:styleId="7Char11">
    <w:name w:val="标题 7 Char11"/>
    <w:qFormat/>
    <w:rPr>
      <w:rFonts w:eastAsia="宋体"/>
      <w:b/>
      <w:bCs/>
      <w:kern w:val="2"/>
      <w:sz w:val="24"/>
      <w:szCs w:val="24"/>
      <w:lang w:val="en-US" w:eastAsia="zh-CN"/>
    </w:rPr>
  </w:style>
  <w:style w:type="character" w:customStyle="1" w:styleId="Char419">
    <w:name w:val="题注 Char41"/>
    <w:qFormat/>
    <w:rPr>
      <w:rFonts w:ascii="黑体" w:eastAsia="黑体" w:hAnsi="Arial" w:cs="Arial"/>
      <w:b/>
      <w:kern w:val="2"/>
      <w:sz w:val="24"/>
      <w:szCs w:val="24"/>
      <w:lang w:val="en-US" w:eastAsia="zh-CN"/>
    </w:rPr>
  </w:style>
  <w:style w:type="character" w:customStyle="1" w:styleId="HTML18">
    <w:name w:val="HTML 打字机1"/>
    <w:rPr>
      <w:rFonts w:ascii="Courier New" w:eastAsia="宋体" w:hAnsi="Courier New" w:cs="Courier New"/>
      <w:kern w:val="2"/>
      <w:sz w:val="20"/>
      <w:szCs w:val="20"/>
      <w:lang w:val="en-US" w:eastAsia="zh-CN"/>
    </w:rPr>
  </w:style>
  <w:style w:type="character" w:customStyle="1" w:styleId="HTML2">
    <w:name w:val="HTML 缩写2"/>
    <w:qFormat/>
    <w:rPr>
      <w:rFonts w:ascii="宋体" w:eastAsia="宋体" w:hAnsi="宋体" w:cs="Courier New"/>
      <w:kern w:val="2"/>
      <w:sz w:val="32"/>
      <w:szCs w:val="32"/>
      <w:lang w:val="en-US" w:eastAsia="zh-CN"/>
    </w:rPr>
  </w:style>
  <w:style w:type="character" w:customStyle="1" w:styleId="Char21f3">
    <w:name w:val="正文首行缩进 Char21"/>
    <w:qFormat/>
    <w:rPr>
      <w:rFonts w:eastAsia="宋体"/>
      <w:kern w:val="2"/>
      <w:sz w:val="24"/>
      <w:szCs w:val="24"/>
      <w:lang w:val="en-US" w:eastAsia="zh-CN"/>
    </w:rPr>
  </w:style>
  <w:style w:type="character" w:customStyle="1" w:styleId="Char31f5">
    <w:name w:val="纯文本 Char31"/>
    <w:qFormat/>
    <w:rPr>
      <w:rFonts w:ascii="宋体" w:eastAsia="宋体" w:hAnsi="Courier New" w:cs="Courier New"/>
      <w:kern w:val="2"/>
      <w:sz w:val="24"/>
      <w:szCs w:val="21"/>
      <w:lang w:val="en-US" w:eastAsia="zh-CN"/>
    </w:rPr>
  </w:style>
  <w:style w:type="character" w:customStyle="1" w:styleId="Char614">
    <w:name w:val="批注框文本 Char61"/>
    <w:qFormat/>
    <w:rPr>
      <w:rFonts w:eastAsia="宋体"/>
      <w:kern w:val="2"/>
      <w:sz w:val="18"/>
      <w:szCs w:val="18"/>
      <w:lang w:val="en-US" w:eastAsia="zh-CN"/>
    </w:rPr>
  </w:style>
  <w:style w:type="character" w:customStyle="1" w:styleId="CharChar217">
    <w:name w:val="Char Char217"/>
    <w:qFormat/>
    <w:rPr>
      <w:rFonts w:ascii="黑体" w:eastAsia="宋体"/>
      <w:kern w:val="2"/>
      <w:sz w:val="16"/>
      <w:szCs w:val="16"/>
      <w:lang w:val="en-US" w:eastAsia="zh-CN"/>
    </w:rPr>
  </w:style>
  <w:style w:type="character" w:customStyle="1" w:styleId="CharChar1123">
    <w:name w:val="Char Char1123"/>
    <w:rPr>
      <w:rFonts w:ascii="黑体" w:eastAsia="黑体" w:hAnsi="Arial"/>
      <w:bCs/>
      <w:kern w:val="2"/>
      <w:sz w:val="30"/>
      <w:szCs w:val="30"/>
      <w:lang w:val="en-US" w:eastAsia="zh-CN"/>
    </w:rPr>
  </w:style>
  <w:style w:type="character" w:customStyle="1" w:styleId="Char21f4">
    <w:name w:val="福建正文缩进 Char21"/>
    <w:qFormat/>
    <w:rPr>
      <w:rFonts w:ascii="宋体" w:eastAsia="宋体" w:hAnsi="宋体" w:cs="宋体"/>
      <w:color w:val="000000"/>
      <w:kern w:val="2"/>
      <w:sz w:val="24"/>
      <w:szCs w:val="24"/>
      <w:lang w:val="en-US" w:eastAsia="zh-CN"/>
    </w:rPr>
  </w:style>
  <w:style w:type="character" w:customStyle="1" w:styleId="Char12111">
    <w:name w:val="正文修改 Char12111"/>
    <w:qFormat/>
    <w:rPr>
      <w:rFonts w:ascii="宋体" w:eastAsia="宋体" w:hAnsi="宋体" w:cs="宋体"/>
      <w:color w:val="000000"/>
      <w:kern w:val="2"/>
      <w:sz w:val="24"/>
      <w:szCs w:val="24"/>
      <w:lang w:val="en-US" w:eastAsia="zh-CN"/>
    </w:rPr>
  </w:style>
  <w:style w:type="character" w:customStyle="1" w:styleId="1Char61">
    <w:name w:val="表题1 Char61"/>
    <w:qFormat/>
    <w:rPr>
      <w:rFonts w:ascii="黑体" w:eastAsia="黑体" w:hAnsi="Arial" w:cs="Arial"/>
      <w:b/>
      <w:kern w:val="2"/>
      <w:sz w:val="24"/>
      <w:szCs w:val="24"/>
      <w:lang w:val="en-US" w:eastAsia="zh-CN"/>
    </w:rPr>
  </w:style>
  <w:style w:type="character" w:customStyle="1" w:styleId="2Char51">
    <w:name w:val="标题 2 Char51"/>
    <w:rPr>
      <w:rFonts w:ascii="黑体" w:eastAsia="黑体" w:hAnsi="Arial"/>
      <w:bCs/>
      <w:kern w:val="2"/>
      <w:sz w:val="30"/>
      <w:szCs w:val="30"/>
      <w:lang w:val="en-US" w:eastAsia="zh-CN"/>
    </w:rPr>
  </w:style>
  <w:style w:type="character" w:customStyle="1" w:styleId="5Char111">
    <w:name w:val="标题 5 Char11"/>
    <w:qFormat/>
    <w:rPr>
      <w:rFonts w:ascii="宋体" w:eastAsia="宋体" w:hAnsi="宋体" w:cs="宋体"/>
      <w:b/>
      <w:bCs/>
      <w:kern w:val="2"/>
      <w:sz w:val="28"/>
      <w:szCs w:val="28"/>
      <w:lang w:val="en-US" w:eastAsia="zh-CN"/>
    </w:rPr>
  </w:style>
  <w:style w:type="character" w:customStyle="1" w:styleId="CharChar45">
    <w:name w:val="Char Char45"/>
    <w:qFormat/>
    <w:rPr>
      <w:rFonts w:ascii="黑体" w:eastAsia="黑体" w:hAnsi="Arial"/>
      <w:b/>
      <w:bCs/>
      <w:kern w:val="2"/>
      <w:sz w:val="30"/>
      <w:szCs w:val="30"/>
      <w:lang w:val="en-US" w:eastAsia="zh-CN"/>
    </w:rPr>
  </w:style>
  <w:style w:type="character" w:customStyle="1" w:styleId="Char1530">
    <w:name w:val="正文修改 Char153"/>
    <w:qFormat/>
    <w:rPr>
      <w:rFonts w:ascii="宋体" w:eastAsia="宋体" w:hAnsi="宋体" w:cs="宋体"/>
      <w:color w:val="000000"/>
      <w:kern w:val="2"/>
      <w:sz w:val="24"/>
      <w:szCs w:val="24"/>
      <w:lang w:val="en-US" w:eastAsia="zh-CN"/>
    </w:rPr>
  </w:style>
  <w:style w:type="character" w:customStyle="1" w:styleId="unnamed110">
    <w:name w:val="unnamed11"/>
    <w:qFormat/>
    <w:rPr>
      <w:rFonts w:eastAsia="宋体"/>
      <w:color w:val="000000"/>
      <w:kern w:val="2"/>
      <w:sz w:val="18"/>
      <w:szCs w:val="28"/>
      <w:u w:val="none"/>
      <w:lang w:val="en-US" w:eastAsia="zh-CN"/>
    </w:rPr>
  </w:style>
  <w:style w:type="character" w:customStyle="1" w:styleId="CharChar1216">
    <w:name w:val="Char Char1216"/>
    <w:qFormat/>
    <w:rPr>
      <w:rFonts w:ascii="黑体" w:eastAsia="黑体" w:hAnsi="Arial"/>
      <w:b/>
      <w:bCs/>
      <w:kern w:val="2"/>
      <w:sz w:val="30"/>
      <w:szCs w:val="30"/>
      <w:lang w:val="en-US" w:eastAsia="zh-CN"/>
    </w:rPr>
  </w:style>
  <w:style w:type="character" w:customStyle="1" w:styleId="CharChar123">
    <w:name w:val="Char Char123"/>
    <w:qFormat/>
    <w:rPr>
      <w:rFonts w:ascii="黑体" w:eastAsia="黑体" w:hAnsi="Arial"/>
      <w:b/>
      <w:bCs/>
      <w:kern w:val="2"/>
      <w:sz w:val="30"/>
      <w:szCs w:val="30"/>
      <w:lang w:val="en-US" w:eastAsia="zh-CN"/>
    </w:rPr>
  </w:style>
  <w:style w:type="character" w:customStyle="1" w:styleId="Char222">
    <w:name w:val="表中文字 Char22"/>
    <w:qFormat/>
    <w:rPr>
      <w:rFonts w:ascii="宋体" w:eastAsia="宋体"/>
      <w:kern w:val="2"/>
      <w:sz w:val="21"/>
      <w:szCs w:val="21"/>
      <w:lang w:val="en-US" w:eastAsia="zh-CN"/>
    </w:rPr>
  </w:style>
  <w:style w:type="character" w:customStyle="1" w:styleId="CharChar621">
    <w:name w:val="Char Char621"/>
    <w:rPr>
      <w:rFonts w:ascii="黑体" w:eastAsia="黑体"/>
      <w:b/>
      <w:bCs/>
      <w:kern w:val="2"/>
      <w:sz w:val="28"/>
      <w:szCs w:val="28"/>
      <w:lang w:val="en-US" w:eastAsia="zh-CN"/>
    </w:rPr>
  </w:style>
  <w:style w:type="character" w:customStyle="1" w:styleId="Char4f5">
    <w:name w:val="文档结构图 Char4"/>
    <w:qFormat/>
    <w:rPr>
      <w:rFonts w:ascii="Times New Roman" w:eastAsia="宋体" w:hAnsi="Times New Roman" w:cs="Times New Roman"/>
      <w:kern w:val="2"/>
      <w:sz w:val="24"/>
      <w:szCs w:val="24"/>
      <w:shd w:val="clear" w:color="auto" w:fill="000080"/>
      <w:lang w:val="en-US" w:eastAsia="zh-CN"/>
    </w:rPr>
  </w:style>
  <w:style w:type="character" w:customStyle="1" w:styleId="CharChar632">
    <w:name w:val="Char Char632"/>
    <w:qFormat/>
    <w:rPr>
      <w:rFonts w:ascii="黑体" w:eastAsia="黑体"/>
      <w:b/>
      <w:bCs/>
      <w:kern w:val="2"/>
      <w:sz w:val="28"/>
      <w:szCs w:val="28"/>
      <w:lang w:val="en-US" w:eastAsia="zh-CN"/>
    </w:rPr>
  </w:style>
  <w:style w:type="character" w:customStyle="1" w:styleId="Char11f6">
    <w:name w:val="正文格式 Char11"/>
    <w:qFormat/>
    <w:rPr>
      <w:rFonts w:ascii="宋体" w:eastAsia="宋体" w:hAnsi="宋体"/>
      <w:kern w:val="2"/>
      <w:sz w:val="24"/>
      <w:szCs w:val="24"/>
      <w:lang w:val="en-US" w:eastAsia="zh-CN"/>
    </w:rPr>
  </w:style>
  <w:style w:type="character" w:customStyle="1" w:styleId="Char138">
    <w:name w:val="题注 Char13"/>
    <w:qFormat/>
    <w:rPr>
      <w:rFonts w:ascii="黑体" w:eastAsia="黑体" w:hAnsi="Arial" w:cs="Arial"/>
      <w:b/>
      <w:kern w:val="2"/>
      <w:sz w:val="24"/>
      <w:szCs w:val="24"/>
      <w:lang w:val="en-US" w:eastAsia="zh-CN"/>
    </w:rPr>
  </w:style>
  <w:style w:type="character" w:customStyle="1" w:styleId="mb21">
    <w:name w:val="m_b21"/>
    <w:qFormat/>
    <w:rPr>
      <w:b/>
      <w:bCs/>
      <w:spacing w:val="360"/>
      <w:sz w:val="26"/>
      <w:szCs w:val="26"/>
    </w:rPr>
  </w:style>
  <w:style w:type="character" w:customStyle="1" w:styleId="Char2fd">
    <w:name w:val="表格内容 Char2"/>
    <w:qFormat/>
    <w:rPr>
      <w:rFonts w:eastAsia="宋体"/>
      <w:kern w:val="2"/>
      <w:sz w:val="21"/>
      <w:szCs w:val="21"/>
      <w:lang w:val="en-US" w:eastAsia="zh-CN"/>
    </w:rPr>
  </w:style>
  <w:style w:type="character" w:customStyle="1" w:styleId="Char11f7">
    <w:name w:val="正文修改 Char11"/>
    <w:qFormat/>
    <w:rPr>
      <w:rFonts w:ascii="宋体" w:eastAsia="宋体" w:hAnsi="宋体" w:cs="宋体"/>
      <w:color w:val="000000"/>
      <w:kern w:val="2"/>
      <w:sz w:val="24"/>
      <w:szCs w:val="24"/>
      <w:lang w:val="en-US" w:eastAsia="zh-CN"/>
    </w:rPr>
  </w:style>
  <w:style w:type="character" w:customStyle="1" w:styleId="1Char4111">
    <w:name w:val="表题1 Char4111"/>
    <w:qFormat/>
    <w:rPr>
      <w:rFonts w:ascii="黑体" w:eastAsia="黑体" w:hAnsi="Arial" w:cs="Arial"/>
      <w:b/>
      <w:kern w:val="2"/>
      <w:sz w:val="24"/>
      <w:szCs w:val="24"/>
      <w:lang w:val="en-US" w:eastAsia="zh-CN"/>
    </w:rPr>
  </w:style>
  <w:style w:type="character" w:customStyle="1" w:styleId="1Char1110">
    <w:name w:val="表题1 Char111"/>
    <w:qFormat/>
    <w:rPr>
      <w:rFonts w:eastAsia="宋体" w:hAnsi="Arial" w:cs="Arial"/>
      <w:kern w:val="2"/>
      <w:sz w:val="24"/>
      <w:szCs w:val="24"/>
      <w:lang w:val="en-US" w:eastAsia="zh-CN"/>
    </w:rPr>
  </w:style>
  <w:style w:type="character" w:customStyle="1" w:styleId="111Char4">
    <w:name w:val="条标题1.1.1 Char4"/>
    <w:qFormat/>
    <w:rPr>
      <w:rFonts w:eastAsia="仿宋_GB2312"/>
      <w:b/>
      <w:bCs/>
      <w:kern w:val="2"/>
      <w:sz w:val="28"/>
      <w:szCs w:val="32"/>
      <w:lang w:val="en-US" w:eastAsia="zh-CN"/>
    </w:rPr>
  </w:style>
  <w:style w:type="character" w:customStyle="1" w:styleId="Char1118">
    <w:name w:val="燕山正文 Char111"/>
    <w:qFormat/>
    <w:rPr>
      <w:rFonts w:ascii="宋体" w:eastAsia="宋体" w:cs="宋体"/>
      <w:kern w:val="2"/>
      <w:sz w:val="24"/>
      <w:szCs w:val="24"/>
      <w:lang w:val="en-US" w:eastAsia="zh-CN"/>
    </w:rPr>
  </w:style>
  <w:style w:type="character" w:customStyle="1" w:styleId="Charfff">
    <w:name w:val="框图正文 Char"/>
    <w:qFormat/>
    <w:rPr>
      <w:rFonts w:eastAsia="宋体"/>
      <w:kern w:val="2"/>
      <w:sz w:val="21"/>
      <w:szCs w:val="24"/>
      <w:lang w:val="en-US" w:eastAsia="zh-CN"/>
    </w:rPr>
  </w:style>
  <w:style w:type="character" w:customStyle="1" w:styleId="article1">
    <w:name w:val="article1"/>
    <w:qFormat/>
    <w:rPr>
      <w:color w:val="000000"/>
      <w:spacing w:val="600"/>
      <w:sz w:val="18"/>
      <w:szCs w:val="18"/>
    </w:rPr>
  </w:style>
  <w:style w:type="character" w:customStyle="1" w:styleId="CharCharfffe">
    <w:name w:val="文本框小四 Char Char"/>
    <w:qFormat/>
    <w:rPr>
      <w:rFonts w:ascii="宋体" w:eastAsia="仿宋_GB2312" w:hAnsi="宋体" w:cs="Courier New"/>
      <w:kern w:val="2"/>
      <w:sz w:val="24"/>
      <w:szCs w:val="24"/>
      <w:lang w:val="en-US" w:eastAsia="zh-CN"/>
    </w:rPr>
  </w:style>
  <w:style w:type="character" w:customStyle="1" w:styleId="Char322">
    <w:name w:val="题注 Char32"/>
    <w:qFormat/>
    <w:rPr>
      <w:rFonts w:ascii="黑体" w:eastAsia="黑体" w:hAnsi="Arial" w:cs="Arial"/>
      <w:b/>
      <w:kern w:val="2"/>
      <w:sz w:val="24"/>
      <w:szCs w:val="24"/>
      <w:lang w:val="en-US" w:eastAsia="zh-CN"/>
    </w:rPr>
  </w:style>
  <w:style w:type="character" w:customStyle="1" w:styleId="5Char22">
    <w:name w:val="标题 5 Char2"/>
    <w:qFormat/>
    <w:rPr>
      <w:rFonts w:ascii="Times New Roman" w:eastAsia="宋体" w:hAnsi="Times New Roman" w:cs="Times New Roman"/>
      <w:b/>
      <w:bCs/>
      <w:kern w:val="2"/>
      <w:sz w:val="28"/>
      <w:szCs w:val="28"/>
      <w:lang w:val="en-US" w:eastAsia="zh-CN"/>
    </w:rPr>
  </w:style>
  <w:style w:type="character" w:customStyle="1" w:styleId="Char713">
    <w:name w:val="表格内字体 Char71"/>
    <w:rPr>
      <w:rFonts w:ascii="宋体" w:eastAsia="宋体" w:hAnsi="宋体"/>
      <w:kern w:val="2"/>
      <w:sz w:val="21"/>
      <w:szCs w:val="24"/>
      <w:lang w:val="en-US" w:eastAsia="zh-CN"/>
    </w:rPr>
  </w:style>
  <w:style w:type="character" w:customStyle="1" w:styleId="CharChar151">
    <w:name w:val="Char Char151"/>
    <w:qFormat/>
    <w:rPr>
      <w:rFonts w:eastAsia="宋体"/>
      <w:kern w:val="2"/>
      <w:sz w:val="18"/>
      <w:szCs w:val="18"/>
      <w:lang w:val="en-US" w:eastAsia="zh-CN"/>
    </w:rPr>
  </w:style>
  <w:style w:type="character" w:customStyle="1" w:styleId="CharChar44">
    <w:name w:val="Char Char44"/>
    <w:qFormat/>
    <w:rPr>
      <w:rFonts w:ascii="黑体" w:eastAsia="黑体" w:hAnsi="Arial"/>
      <w:b/>
      <w:bCs/>
      <w:kern w:val="2"/>
      <w:sz w:val="30"/>
      <w:szCs w:val="30"/>
      <w:lang w:val="en-US" w:eastAsia="zh-CN"/>
    </w:rPr>
  </w:style>
  <w:style w:type="character" w:customStyle="1" w:styleId="Char1314">
    <w:name w:val="题注 Char131"/>
    <w:qFormat/>
    <w:rPr>
      <w:rFonts w:ascii="黑体" w:eastAsia="黑体" w:hAnsi="Arial" w:cs="Arial"/>
      <w:b/>
      <w:kern w:val="2"/>
      <w:sz w:val="24"/>
      <w:szCs w:val="24"/>
      <w:lang w:val="en-US" w:eastAsia="zh-CN"/>
    </w:rPr>
  </w:style>
  <w:style w:type="character" w:customStyle="1" w:styleId="Char3fb">
    <w:name w:val="福建正文缩进 Char3"/>
    <w:qFormat/>
    <w:rPr>
      <w:rFonts w:ascii="宋体" w:eastAsia="宋体" w:hAnsi="宋体" w:cs="宋体"/>
      <w:color w:val="000000"/>
      <w:kern w:val="0"/>
      <w:sz w:val="24"/>
      <w:szCs w:val="24"/>
      <w:lang w:val="en-US" w:eastAsia="zh-CN"/>
    </w:rPr>
  </w:style>
  <w:style w:type="character" w:customStyle="1" w:styleId="Char540">
    <w:name w:val="题注 Char54"/>
    <w:qFormat/>
    <w:rPr>
      <w:rFonts w:ascii="黑体" w:eastAsia="黑体" w:hAnsi="Arial" w:cs="Arial"/>
      <w:b/>
      <w:kern w:val="2"/>
      <w:sz w:val="24"/>
      <w:szCs w:val="24"/>
      <w:lang w:val="en-US" w:eastAsia="zh-CN"/>
    </w:rPr>
  </w:style>
  <w:style w:type="character" w:customStyle="1" w:styleId="CharChar1114">
    <w:name w:val="Char Char1114"/>
    <w:qFormat/>
    <w:rPr>
      <w:rFonts w:ascii="黑体" w:eastAsia="黑体" w:hAnsi="Arial"/>
      <w:bCs/>
      <w:kern w:val="2"/>
      <w:sz w:val="30"/>
      <w:szCs w:val="30"/>
      <w:lang w:val="en-US" w:eastAsia="zh-CN"/>
    </w:rPr>
  </w:style>
  <w:style w:type="character" w:customStyle="1" w:styleId="3CharChar12">
    <w:name w:val="标题 3 Char Char12"/>
    <w:qFormat/>
    <w:rPr>
      <w:rFonts w:ascii="黑体" w:eastAsia="黑体" w:hAnsi="宋体"/>
      <w:b/>
      <w:bCs/>
      <w:kern w:val="2"/>
      <w:sz w:val="28"/>
      <w:szCs w:val="28"/>
      <w:lang w:val="en-US" w:eastAsia="zh-CN"/>
    </w:rPr>
  </w:style>
  <w:style w:type="character" w:customStyle="1" w:styleId="1Char711">
    <w:name w:val="表题1 Char711"/>
    <w:qFormat/>
    <w:rPr>
      <w:rFonts w:ascii="黑体" w:eastAsia="黑体" w:hAnsi="Arial" w:cs="Arial"/>
      <w:b/>
      <w:kern w:val="2"/>
      <w:sz w:val="24"/>
      <w:szCs w:val="24"/>
      <w:lang w:val="en-US" w:eastAsia="zh-CN"/>
    </w:rPr>
  </w:style>
  <w:style w:type="character" w:customStyle="1" w:styleId="5Char30">
    <w:name w:val="样式 表内小5 + 黑体 加粗 倾斜 下划线 Char3"/>
    <w:qFormat/>
    <w:rPr>
      <w:rFonts w:ascii="黑体" w:eastAsia="黑体" w:hAnsi="黑体" w:cs="Times New Roman"/>
      <w:b/>
      <w:bCs/>
      <w:i/>
      <w:iCs/>
      <w:kern w:val="2"/>
      <w:sz w:val="18"/>
      <w:szCs w:val="24"/>
      <w:u w:val="single"/>
      <w:lang w:val="en-US" w:eastAsia="zh-CN"/>
    </w:rPr>
  </w:style>
  <w:style w:type="character" w:customStyle="1" w:styleId="CharCharChar3">
    <w:name w:val="册除格式 Char Char Char"/>
    <w:qFormat/>
    <w:rPr>
      <w:rFonts w:ascii="黑体" w:eastAsia="宋体" w:hAnsi="Arial" w:cs="Arial"/>
      <w:snapToGrid w:val="0"/>
      <w:spacing w:val="4"/>
      <w:kern w:val="18"/>
      <w:sz w:val="24"/>
      <w:szCs w:val="28"/>
      <w:lang w:val="en-US" w:eastAsia="zh-CN"/>
    </w:rPr>
  </w:style>
  <w:style w:type="character" w:customStyle="1" w:styleId="CharChar610">
    <w:name w:val="Char Char610"/>
    <w:rPr>
      <w:rFonts w:ascii="黑体" w:eastAsia="黑体"/>
      <w:b/>
      <w:bCs/>
      <w:kern w:val="2"/>
      <w:sz w:val="28"/>
      <w:szCs w:val="28"/>
      <w:lang w:val="en-US" w:eastAsia="zh-CN"/>
    </w:rPr>
  </w:style>
  <w:style w:type="character" w:customStyle="1" w:styleId="CharCharCharChar1">
    <w:name w:val="文本框五号 Char Char Char Char"/>
    <w:qFormat/>
    <w:rPr>
      <w:rFonts w:ascii="宋体" w:eastAsia="仿宋_GB2312" w:hAnsi="宋体" w:cs="Courier New"/>
      <w:kern w:val="2"/>
      <w:sz w:val="21"/>
      <w:szCs w:val="21"/>
      <w:lang w:val="en-US" w:eastAsia="zh-CN"/>
    </w:rPr>
  </w:style>
  <w:style w:type="character" w:customStyle="1" w:styleId="Char1315">
    <w:name w:val="正文修改 Char131"/>
    <w:qFormat/>
    <w:rPr>
      <w:rFonts w:ascii="宋体" w:eastAsia="宋体" w:hAnsi="宋体" w:cs="宋体"/>
      <w:color w:val="000000"/>
      <w:kern w:val="2"/>
      <w:sz w:val="24"/>
      <w:szCs w:val="24"/>
      <w:lang w:val="en-US" w:eastAsia="zh-CN"/>
    </w:rPr>
  </w:style>
  <w:style w:type="character" w:customStyle="1" w:styleId="Char1230">
    <w:name w:val="正文修改 Char123"/>
    <w:qFormat/>
    <w:rPr>
      <w:rFonts w:ascii="宋体" w:eastAsia="宋体" w:hAnsi="宋体" w:cs="宋体"/>
      <w:color w:val="000000"/>
      <w:kern w:val="2"/>
      <w:sz w:val="24"/>
      <w:szCs w:val="24"/>
      <w:lang w:val="en-US" w:eastAsia="zh-CN"/>
    </w:rPr>
  </w:style>
  <w:style w:type="character" w:customStyle="1" w:styleId="2Char23">
    <w:name w:val="标题 2 Char2"/>
    <w:qFormat/>
    <w:rPr>
      <w:rFonts w:ascii="黑体" w:eastAsia="黑体" w:hAnsi="Arial"/>
      <w:b/>
      <w:bCs/>
      <w:kern w:val="2"/>
      <w:sz w:val="30"/>
      <w:szCs w:val="30"/>
      <w:lang w:val="en-US" w:eastAsia="zh-CN"/>
    </w:rPr>
  </w:style>
  <w:style w:type="character" w:customStyle="1" w:styleId="AChar4">
    <w:name w:val="A正文 Char4"/>
    <w:qFormat/>
    <w:rPr>
      <w:rFonts w:eastAsia="仿宋_GB2312"/>
      <w:kern w:val="2"/>
      <w:sz w:val="24"/>
      <w:szCs w:val="24"/>
      <w:lang w:val="en-US" w:eastAsia="zh-CN"/>
    </w:rPr>
  </w:style>
  <w:style w:type="character" w:customStyle="1" w:styleId="Char2fe">
    <w:name w:val="表格内字体 Char2"/>
    <w:qFormat/>
    <w:rPr>
      <w:rFonts w:ascii="宋体" w:eastAsia="宋体" w:hAnsi="宋体"/>
      <w:kern w:val="2"/>
      <w:sz w:val="21"/>
      <w:szCs w:val="24"/>
      <w:lang w:val="en-US" w:eastAsia="zh-CN"/>
    </w:rPr>
  </w:style>
  <w:style w:type="character" w:customStyle="1" w:styleId="Char139">
    <w:name w:val="正文修改 Char13"/>
    <w:rPr>
      <w:rFonts w:ascii="宋体" w:eastAsia="宋体" w:hAnsi="宋体" w:cs="宋体"/>
      <w:color w:val="000000"/>
      <w:kern w:val="2"/>
      <w:sz w:val="24"/>
      <w:szCs w:val="24"/>
      <w:lang w:val="en-US" w:eastAsia="zh-CN"/>
    </w:rPr>
  </w:style>
  <w:style w:type="character" w:customStyle="1" w:styleId="8Char21">
    <w:name w:val="标题 8 Char21"/>
    <w:qFormat/>
    <w:rPr>
      <w:rFonts w:ascii="Arial" w:eastAsia="黑体" w:hAnsi="Arial" w:cs="Times New Roman"/>
      <w:kern w:val="2"/>
      <w:sz w:val="24"/>
      <w:szCs w:val="24"/>
      <w:lang w:val="en-US" w:eastAsia="zh-CN"/>
    </w:rPr>
  </w:style>
  <w:style w:type="character" w:customStyle="1" w:styleId="2Char213">
    <w:name w:val="标题2 Char21"/>
    <w:qFormat/>
    <w:rPr>
      <w:rFonts w:ascii="宋体" w:eastAsia="宋体" w:hAnsi="宋体" w:cs="宋体"/>
      <w:color w:val="000000"/>
      <w:kern w:val="2"/>
      <w:sz w:val="24"/>
      <w:szCs w:val="24"/>
      <w:lang w:val="en-US" w:eastAsia="zh-CN"/>
    </w:rPr>
  </w:style>
  <w:style w:type="character" w:customStyle="1" w:styleId="Char21f5">
    <w:name w:val="表格内字体 Char21"/>
    <w:rPr>
      <w:rFonts w:ascii="宋体" w:eastAsia="宋体" w:hAnsi="宋体"/>
      <w:kern w:val="2"/>
      <w:sz w:val="21"/>
      <w:szCs w:val="24"/>
      <w:lang w:val="en-US" w:eastAsia="zh-CN"/>
    </w:rPr>
  </w:style>
  <w:style w:type="character" w:customStyle="1" w:styleId="2CharChar11">
    <w:name w:val="标题 2 Char Char11"/>
    <w:qFormat/>
    <w:rPr>
      <w:rFonts w:ascii="黑体" w:eastAsia="黑体" w:hAnsi="Arial"/>
      <w:bCs/>
      <w:kern w:val="2"/>
      <w:sz w:val="30"/>
      <w:szCs w:val="30"/>
      <w:lang w:val="en-US" w:eastAsia="zh-CN"/>
    </w:rPr>
  </w:style>
  <w:style w:type="character" w:customStyle="1" w:styleId="CharChar624">
    <w:name w:val="Char Char624"/>
    <w:qFormat/>
    <w:rPr>
      <w:rFonts w:ascii="黑体" w:eastAsia="黑体"/>
      <w:b/>
      <w:bCs/>
      <w:kern w:val="2"/>
      <w:sz w:val="28"/>
      <w:szCs w:val="28"/>
      <w:lang w:val="en-US" w:eastAsia="zh-CN"/>
    </w:rPr>
  </w:style>
  <w:style w:type="character" w:customStyle="1" w:styleId="CharChar31">
    <w:name w:val="Char Char31"/>
    <w:qFormat/>
    <w:rPr>
      <w:rFonts w:ascii="黑体" w:eastAsia="黑体" w:hAnsi="宋体"/>
      <w:b/>
      <w:bCs/>
      <w:kern w:val="2"/>
      <w:sz w:val="28"/>
      <w:szCs w:val="28"/>
      <w:lang w:val="en-US" w:eastAsia="zh-CN"/>
    </w:rPr>
  </w:style>
  <w:style w:type="character" w:customStyle="1" w:styleId="Char1331">
    <w:name w:val="正文修改 Char1331"/>
    <w:qFormat/>
    <w:rPr>
      <w:rFonts w:ascii="宋体" w:eastAsia="宋体" w:hAnsi="宋体" w:cs="宋体"/>
      <w:color w:val="000000"/>
      <w:kern w:val="2"/>
      <w:sz w:val="24"/>
      <w:szCs w:val="24"/>
      <w:lang w:val="en-US" w:eastAsia="zh-CN"/>
    </w:rPr>
  </w:style>
  <w:style w:type="character" w:customStyle="1" w:styleId="9Char11">
    <w:name w:val="标题 9 Char11"/>
    <w:qFormat/>
    <w:rPr>
      <w:rFonts w:ascii="Arial" w:eastAsia="黑体" w:hAnsi="Arial"/>
      <w:kern w:val="2"/>
      <w:sz w:val="21"/>
      <w:szCs w:val="21"/>
      <w:lang w:val="en-US" w:eastAsia="zh-CN"/>
    </w:rPr>
  </w:style>
  <w:style w:type="character" w:customStyle="1" w:styleId="Char162">
    <w:name w:val="燕山正文 Char16"/>
    <w:qFormat/>
    <w:rPr>
      <w:rFonts w:ascii="宋体" w:eastAsia="宋体" w:cs="宋体"/>
      <w:kern w:val="2"/>
      <w:sz w:val="24"/>
      <w:szCs w:val="24"/>
      <w:lang w:val="en-US" w:eastAsia="zh-CN"/>
    </w:rPr>
  </w:style>
  <w:style w:type="character" w:customStyle="1" w:styleId="Char41a">
    <w:name w:val="正文文本 Char41"/>
    <w:qFormat/>
    <w:rPr>
      <w:rFonts w:ascii="Times New Roman" w:eastAsia="宋体" w:hAnsi="Times New Roman" w:cs="Times New Roman"/>
      <w:kern w:val="2"/>
      <w:sz w:val="24"/>
      <w:szCs w:val="24"/>
      <w:lang w:val="en-US" w:eastAsia="zh-CN"/>
    </w:rPr>
  </w:style>
  <w:style w:type="character" w:customStyle="1" w:styleId="Char11f8">
    <w:name w:val="表格内字体 Char11"/>
    <w:qFormat/>
    <w:rPr>
      <w:rFonts w:ascii="宋体" w:eastAsia="宋体" w:hAnsi="宋体"/>
      <w:kern w:val="2"/>
      <w:sz w:val="21"/>
      <w:szCs w:val="24"/>
      <w:lang w:val="en-US" w:eastAsia="zh-CN"/>
    </w:rPr>
  </w:style>
  <w:style w:type="character" w:customStyle="1" w:styleId="4Char30">
    <w:name w:val="标题4 Char3"/>
    <w:qFormat/>
    <w:rPr>
      <w:rFonts w:ascii="黑体" w:eastAsia="黑体" w:hAnsi="Arial" w:cs="Times New Roman"/>
      <w:b/>
      <w:bCs/>
      <w:kern w:val="2"/>
      <w:sz w:val="24"/>
      <w:szCs w:val="28"/>
      <w:lang w:val="en-US" w:eastAsia="zh-CN"/>
    </w:rPr>
  </w:style>
  <w:style w:type="character" w:customStyle="1" w:styleId="Char2ff">
    <w:name w:val="标题正文黑 Char2"/>
    <w:qFormat/>
    <w:rPr>
      <w:rFonts w:ascii="黑体" w:eastAsia="黑体"/>
      <w:kern w:val="2"/>
      <w:sz w:val="28"/>
      <w:szCs w:val="28"/>
      <w:lang w:val="en-US" w:eastAsia="zh-CN"/>
    </w:rPr>
  </w:style>
  <w:style w:type="character" w:customStyle="1" w:styleId="2Char32">
    <w:name w:val="标题 2 Char3"/>
    <w:qFormat/>
    <w:rPr>
      <w:rFonts w:ascii="黑体" w:eastAsia="黑体" w:hAnsi="Arial"/>
      <w:bCs/>
      <w:kern w:val="2"/>
      <w:sz w:val="30"/>
      <w:szCs w:val="30"/>
      <w:lang w:val="en-US" w:eastAsia="zh-CN"/>
    </w:rPr>
  </w:style>
  <w:style w:type="character" w:customStyle="1" w:styleId="CharChar418">
    <w:name w:val="Char Char418"/>
    <w:qFormat/>
    <w:rPr>
      <w:rFonts w:ascii="黑体" w:eastAsia="黑体" w:hAnsi="Arial"/>
      <w:b/>
      <w:bCs/>
      <w:kern w:val="2"/>
      <w:sz w:val="30"/>
      <w:szCs w:val="30"/>
      <w:lang w:val="en-US" w:eastAsia="zh-CN"/>
    </w:rPr>
  </w:style>
  <w:style w:type="character" w:customStyle="1" w:styleId="2Char1Char">
    <w:name w:val="标题 2 Char1 Char"/>
    <w:qFormat/>
    <w:rPr>
      <w:rFonts w:ascii="黑体" w:eastAsia="黑体" w:hAnsi="Arial"/>
      <w:b/>
      <w:bCs/>
      <w:kern w:val="2"/>
      <w:sz w:val="30"/>
      <w:szCs w:val="30"/>
      <w:lang w:val="en-US" w:eastAsia="zh-CN"/>
    </w:rPr>
  </w:style>
  <w:style w:type="character" w:customStyle="1" w:styleId="Char11f9">
    <w:name w:val="图题 Char11"/>
    <w:qFormat/>
    <w:rPr>
      <w:rFonts w:ascii="黑体" w:eastAsia="黑体" w:hAnsi="宋体" w:cs="宋体"/>
      <w:b/>
      <w:bCs/>
      <w:kern w:val="2"/>
      <w:sz w:val="24"/>
      <w:szCs w:val="24"/>
      <w:lang w:val="en-US" w:eastAsia="zh-CN"/>
    </w:rPr>
  </w:style>
  <w:style w:type="character" w:customStyle="1" w:styleId="CharChar618">
    <w:name w:val="Char Char618"/>
    <w:qFormat/>
    <w:rPr>
      <w:rFonts w:ascii="黑体" w:eastAsia="黑体"/>
      <w:b/>
      <w:bCs/>
      <w:kern w:val="2"/>
      <w:sz w:val="28"/>
      <w:szCs w:val="28"/>
      <w:lang w:val="en-US" w:eastAsia="zh-CN"/>
    </w:rPr>
  </w:style>
  <w:style w:type="character" w:customStyle="1" w:styleId="1Char44">
    <w:name w:val="表题1 Char44"/>
    <w:qFormat/>
    <w:rPr>
      <w:rFonts w:ascii="黑体" w:eastAsia="黑体" w:hAnsi="Arial" w:cs="Arial"/>
      <w:b/>
      <w:kern w:val="2"/>
      <w:sz w:val="24"/>
      <w:szCs w:val="24"/>
      <w:lang w:val="en-US" w:eastAsia="zh-CN"/>
    </w:rPr>
  </w:style>
  <w:style w:type="character" w:customStyle="1" w:styleId="Char66">
    <w:name w:val="正文格式 Char6"/>
    <w:qFormat/>
    <w:rPr>
      <w:rFonts w:ascii="宋体" w:eastAsia="宋体" w:hAnsi="宋体" w:cs="Times New Roman"/>
      <w:kern w:val="2"/>
      <w:sz w:val="24"/>
      <w:szCs w:val="24"/>
      <w:lang w:val="en-US" w:eastAsia="zh-CN"/>
    </w:rPr>
  </w:style>
  <w:style w:type="character" w:customStyle="1" w:styleId="Char31f6">
    <w:name w:val="图表题 Char31"/>
    <w:qFormat/>
    <w:rPr>
      <w:rFonts w:ascii="黑体" w:eastAsia="黑体" w:hAnsi="宋体" w:cs="宋体"/>
      <w:b/>
      <w:bCs/>
      <w:kern w:val="2"/>
      <w:sz w:val="24"/>
      <w:szCs w:val="24"/>
      <w:lang w:val="en-US" w:eastAsia="zh-CN"/>
    </w:rPr>
  </w:style>
  <w:style w:type="character" w:customStyle="1" w:styleId="3Char120">
    <w:name w:val="标题 3 Char12"/>
    <w:rPr>
      <w:rFonts w:ascii="黑体" w:eastAsia="黑体" w:hAnsi="宋体"/>
      <w:b/>
      <w:bCs/>
      <w:kern w:val="2"/>
      <w:sz w:val="28"/>
      <w:szCs w:val="28"/>
      <w:lang w:val="en-US" w:eastAsia="zh-CN"/>
    </w:rPr>
  </w:style>
  <w:style w:type="character" w:customStyle="1" w:styleId="1Char613">
    <w:name w:val="表题1 Char613"/>
    <w:qFormat/>
    <w:rPr>
      <w:rFonts w:ascii="黑体" w:eastAsia="黑体" w:hAnsi="Arial" w:cs="Arial"/>
      <w:b/>
      <w:kern w:val="2"/>
      <w:sz w:val="24"/>
      <w:szCs w:val="24"/>
      <w:lang w:val="en-US" w:eastAsia="zh-CN"/>
    </w:rPr>
  </w:style>
  <w:style w:type="character" w:customStyle="1" w:styleId="Char3fc">
    <w:name w:val="正文文本 Char3"/>
    <w:qFormat/>
    <w:rPr>
      <w:rFonts w:eastAsia="宋体"/>
      <w:kern w:val="2"/>
      <w:sz w:val="24"/>
      <w:szCs w:val="24"/>
      <w:lang w:val="en-US" w:eastAsia="zh-CN"/>
    </w:rPr>
  </w:style>
  <w:style w:type="character" w:customStyle="1" w:styleId="CharChar52">
    <w:name w:val="Char Char52"/>
    <w:qFormat/>
    <w:rPr>
      <w:rFonts w:ascii="黑体" w:eastAsia="黑体" w:hAnsi="宋体"/>
      <w:bCs/>
      <w:kern w:val="2"/>
      <w:sz w:val="28"/>
      <w:szCs w:val="28"/>
      <w:lang w:val="en-US" w:eastAsia="zh-CN"/>
    </w:rPr>
  </w:style>
  <w:style w:type="character" w:customStyle="1" w:styleId="1Char40">
    <w:name w:val="标题 1 Char4"/>
    <w:qFormat/>
    <w:rPr>
      <w:rFonts w:ascii="黑体" w:eastAsia="黑体" w:hAnsi="宋体"/>
      <w:b/>
      <w:bCs/>
      <w:kern w:val="44"/>
      <w:sz w:val="32"/>
      <w:szCs w:val="32"/>
      <w:lang w:val="en-US" w:eastAsia="zh-CN"/>
    </w:rPr>
  </w:style>
  <w:style w:type="character" w:customStyle="1" w:styleId="Char14120">
    <w:name w:val="正文修改 Char1412"/>
    <w:qFormat/>
    <w:rPr>
      <w:rFonts w:ascii="宋体" w:eastAsia="宋体" w:hAnsi="Times New Roman" w:cs="宋体"/>
      <w:kern w:val="2"/>
      <w:sz w:val="24"/>
      <w:szCs w:val="24"/>
      <w:lang w:val="en-US" w:eastAsia="zh-CN"/>
    </w:rPr>
  </w:style>
  <w:style w:type="character" w:customStyle="1" w:styleId="at6">
    <w:name w:val="at_6"/>
    <w:qFormat/>
  </w:style>
  <w:style w:type="character" w:customStyle="1" w:styleId="Char31f7">
    <w:name w:val="批注框文本 Char31"/>
    <w:qFormat/>
    <w:rPr>
      <w:rFonts w:ascii="Times New Roman" w:eastAsia="宋体" w:hAnsi="Times New Roman" w:cs="Times New Roman"/>
      <w:kern w:val="2"/>
      <w:sz w:val="18"/>
      <w:szCs w:val="18"/>
      <w:lang w:val="en-US" w:eastAsia="zh-CN"/>
    </w:rPr>
  </w:style>
  <w:style w:type="character" w:customStyle="1" w:styleId="Char1316">
    <w:name w:val="燕山正文 Char131"/>
    <w:qFormat/>
    <w:rPr>
      <w:rFonts w:ascii="宋体" w:eastAsia="宋体" w:cs="宋体"/>
      <w:kern w:val="2"/>
      <w:sz w:val="24"/>
      <w:szCs w:val="24"/>
      <w:lang w:val="en-US" w:eastAsia="zh-CN"/>
    </w:rPr>
  </w:style>
  <w:style w:type="character" w:customStyle="1" w:styleId="CharChar115">
    <w:name w:val="Char Char115"/>
    <w:qFormat/>
    <w:rPr>
      <w:rFonts w:ascii="黑体" w:eastAsia="黑体" w:hAnsi="Arial"/>
      <w:bCs/>
      <w:kern w:val="2"/>
      <w:sz w:val="30"/>
      <w:szCs w:val="30"/>
      <w:lang w:val="en-US" w:eastAsia="zh-CN"/>
    </w:rPr>
  </w:style>
  <w:style w:type="character" w:customStyle="1" w:styleId="3Char33">
    <w:name w:val="标题 3 Char3"/>
    <w:qFormat/>
    <w:rPr>
      <w:rFonts w:ascii="黑体" w:eastAsia="黑体" w:hAnsi="宋体"/>
      <w:b/>
      <w:bCs/>
      <w:kern w:val="2"/>
      <w:sz w:val="28"/>
      <w:szCs w:val="28"/>
      <w:lang w:val="en-US" w:eastAsia="zh-CN"/>
    </w:rPr>
  </w:style>
  <w:style w:type="character" w:customStyle="1" w:styleId="2Char311">
    <w:name w:val="正文文本缩进 2 Char31"/>
    <w:qFormat/>
    <w:rPr>
      <w:rFonts w:ascii="Times New Roman" w:eastAsia="宋体" w:hAnsi="Times New Roman" w:cs="Times New Roman"/>
      <w:kern w:val="2"/>
      <w:sz w:val="24"/>
      <w:szCs w:val="24"/>
      <w:lang w:val="en-US" w:eastAsia="zh-CN"/>
    </w:rPr>
  </w:style>
  <w:style w:type="character" w:customStyle="1" w:styleId="Char2ff0">
    <w:name w:val="图题 Char2"/>
    <w:qFormat/>
    <w:rPr>
      <w:rFonts w:ascii="黑体" w:eastAsia="黑体" w:hAnsi="宋体" w:cs="宋体"/>
      <w:b/>
      <w:bCs/>
      <w:kern w:val="2"/>
      <w:sz w:val="24"/>
      <w:szCs w:val="24"/>
      <w:lang w:val="en-US" w:eastAsia="zh-CN"/>
    </w:rPr>
  </w:style>
  <w:style w:type="character" w:customStyle="1" w:styleId="CharChar314">
    <w:name w:val="Char Char314"/>
    <w:qFormat/>
    <w:rPr>
      <w:rFonts w:ascii="黑体" w:eastAsia="黑体" w:hAnsi="宋体"/>
      <w:b/>
      <w:bCs/>
      <w:kern w:val="2"/>
      <w:sz w:val="28"/>
      <w:szCs w:val="28"/>
      <w:lang w:val="en-US" w:eastAsia="zh-CN"/>
    </w:rPr>
  </w:style>
  <w:style w:type="character" w:customStyle="1" w:styleId="CharChar1161">
    <w:name w:val="Char Char1161"/>
    <w:qFormat/>
    <w:rPr>
      <w:rFonts w:ascii="黑体" w:eastAsia="黑体" w:hAnsi="Arial"/>
      <w:bCs/>
      <w:kern w:val="2"/>
      <w:sz w:val="30"/>
      <w:szCs w:val="30"/>
      <w:lang w:val="en-US" w:eastAsia="zh-CN"/>
    </w:rPr>
  </w:style>
  <w:style w:type="character" w:customStyle="1" w:styleId="1Char310">
    <w:name w:val="标题 1 Char31"/>
    <w:qFormat/>
    <w:rPr>
      <w:rFonts w:ascii="黑体" w:eastAsia="黑体" w:hAnsi="宋体" w:cs="Times New Roman"/>
      <w:bCs/>
      <w:kern w:val="44"/>
      <w:sz w:val="32"/>
      <w:szCs w:val="32"/>
      <w:lang w:val="en-US" w:eastAsia="zh-CN"/>
    </w:rPr>
  </w:style>
  <w:style w:type="character" w:customStyle="1" w:styleId="3Char9">
    <w:name w:val="标题 3 Char9"/>
    <w:qFormat/>
    <w:rPr>
      <w:rFonts w:ascii="黑体" w:eastAsia="黑体" w:hAnsi="宋体" w:cs="Times New Roman"/>
      <w:b/>
      <w:bCs/>
      <w:kern w:val="2"/>
      <w:sz w:val="28"/>
      <w:szCs w:val="28"/>
      <w:lang w:val="en-US" w:eastAsia="zh-CN"/>
    </w:rPr>
  </w:style>
  <w:style w:type="character" w:customStyle="1" w:styleId="Char2120">
    <w:name w:val="题注 Char212"/>
    <w:qFormat/>
    <w:rPr>
      <w:rFonts w:ascii="黑体" w:eastAsia="黑体" w:hAnsi="Arial" w:cs="Arial"/>
      <w:b/>
      <w:kern w:val="2"/>
      <w:sz w:val="24"/>
      <w:szCs w:val="24"/>
      <w:lang w:val="en-US" w:eastAsia="zh-CN"/>
    </w:rPr>
  </w:style>
  <w:style w:type="character" w:customStyle="1" w:styleId="Char2112">
    <w:name w:val="题注 Char211"/>
    <w:rPr>
      <w:rFonts w:ascii="黑体" w:eastAsia="黑体" w:hAnsi="Arial" w:cs="Arial"/>
      <w:b/>
      <w:kern w:val="2"/>
      <w:sz w:val="24"/>
      <w:szCs w:val="24"/>
      <w:lang w:val="en-US" w:eastAsia="zh-CN"/>
    </w:rPr>
  </w:style>
  <w:style w:type="character" w:customStyle="1" w:styleId="Char12a">
    <w:name w:val="正文格式 Char12"/>
    <w:qFormat/>
    <w:rPr>
      <w:rFonts w:ascii="宋体" w:eastAsia="宋体" w:hAnsi="宋体" w:cs="Times New Roman"/>
      <w:kern w:val="2"/>
      <w:sz w:val="24"/>
      <w:szCs w:val="24"/>
      <w:lang w:val="en-US" w:eastAsia="zh-CN"/>
    </w:rPr>
  </w:style>
  <w:style w:type="character" w:customStyle="1" w:styleId="CharChar2118">
    <w:name w:val="Char Char2118"/>
    <w:qFormat/>
    <w:rPr>
      <w:rFonts w:ascii="黑体" w:eastAsia="宋体"/>
      <w:kern w:val="2"/>
      <w:sz w:val="16"/>
      <w:szCs w:val="16"/>
      <w:lang w:val="en-US" w:eastAsia="zh-CN"/>
    </w:rPr>
  </w:style>
  <w:style w:type="character" w:customStyle="1" w:styleId="redfont">
    <w:name w:val="redfont"/>
    <w:rPr>
      <w:rFonts w:ascii="宋体" w:eastAsia="黑体" w:hAnsi="宋体" w:cs="宋体"/>
      <w:kern w:val="2"/>
      <w:sz w:val="28"/>
      <w:szCs w:val="24"/>
      <w:lang w:val="en-US" w:eastAsia="zh-CN"/>
    </w:rPr>
  </w:style>
  <w:style w:type="character" w:customStyle="1" w:styleId="Char2ff1">
    <w:name w:val="副标题 Char2"/>
    <w:qFormat/>
    <w:rPr>
      <w:rFonts w:ascii="Cambria" w:eastAsia="宋体" w:hAnsi="Cambria" w:cs="Times New Roman"/>
      <w:b/>
      <w:bCs/>
      <w:kern w:val="28"/>
      <w:sz w:val="32"/>
      <w:szCs w:val="32"/>
    </w:rPr>
  </w:style>
  <w:style w:type="character" w:customStyle="1" w:styleId="Char84">
    <w:name w:val="批注框文本 Char8"/>
    <w:rPr>
      <w:sz w:val="18"/>
      <w:szCs w:val="18"/>
    </w:rPr>
  </w:style>
  <w:style w:type="paragraph" w:customStyle="1" w:styleId="ParaCharCharCharCharCharCharCharCharCharCharCharCharCharCharCharChar">
    <w:name w:val="默认段落字体 Para Char Char Char Char Char Char Char Char Char Char Char Char Char Char Char Char"/>
    <w:basedOn w:val="a"/>
    <w:qFormat/>
    <w:pPr>
      <w:widowControl/>
      <w:jc w:val="left"/>
    </w:pPr>
    <w:rPr>
      <w:rFonts w:ascii="宋体" w:hAnsi="宋体" w:cs="宋体"/>
      <w:kern w:val="0"/>
    </w:rPr>
  </w:style>
  <w:style w:type="paragraph" w:customStyle="1" w:styleId="afffffffffff4">
    <w:name w:val="表文字"/>
    <w:basedOn w:val="a"/>
    <w:qFormat/>
    <w:pPr>
      <w:widowControl/>
      <w:jc w:val="center"/>
    </w:pPr>
    <w:rPr>
      <w:rFonts w:ascii="宋体" w:hAnsi="宋体" w:cs="宋体"/>
      <w:kern w:val="0"/>
      <w:szCs w:val="21"/>
    </w:rPr>
  </w:style>
  <w:style w:type="paragraph" w:customStyle="1" w:styleId="CharCharChar4">
    <w:name w:val="Char Char Char"/>
    <w:basedOn w:val="a"/>
    <w:qFormat/>
    <w:pPr>
      <w:widowControl/>
      <w:jc w:val="left"/>
    </w:pPr>
    <w:rPr>
      <w:rFonts w:ascii="宋体" w:hAnsi="宋体" w:cs="宋体"/>
      <w:kern w:val="0"/>
    </w:rPr>
  </w:style>
  <w:style w:type="paragraph" w:customStyle="1" w:styleId="CharCharCharCharCharCharCharCharCharCharChar1CharCharCharCharCharChar1Char1">
    <w:name w:val="Char Char Char Char Char Char Char Char Char Char Char1 Char Char Char Char Char Char1 Char1"/>
    <w:basedOn w:val="a"/>
    <w:qFormat/>
    <w:pPr>
      <w:widowControl/>
      <w:jc w:val="left"/>
    </w:pPr>
    <w:rPr>
      <w:rFonts w:ascii="宋体" w:hAnsi="宋体" w:cs="宋体"/>
      <w:kern w:val="0"/>
    </w:rPr>
  </w:style>
  <w:style w:type="paragraph" w:customStyle="1" w:styleId="CharChar2CharCharCharChar11">
    <w:name w:val="Char Char2 Char Char Char Char11"/>
    <w:basedOn w:val="a"/>
    <w:qFormat/>
    <w:pPr>
      <w:widowControl/>
      <w:jc w:val="left"/>
    </w:pPr>
    <w:rPr>
      <w:rFonts w:ascii="宋体" w:hAnsi="宋体" w:cs="宋体"/>
      <w:kern w:val="0"/>
    </w:rPr>
  </w:style>
  <w:style w:type="paragraph" w:customStyle="1" w:styleId="313">
    <w:name w:val="列表 31"/>
    <w:basedOn w:val="a"/>
    <w:qFormat/>
    <w:pPr>
      <w:widowControl/>
      <w:ind w:leftChars="400" w:left="100" w:hangingChars="200" w:hanging="200"/>
      <w:jc w:val="left"/>
    </w:pPr>
    <w:rPr>
      <w:rFonts w:ascii="仿宋_GB2312" w:hAnsi="宋体" w:cs="宋体"/>
      <w:kern w:val="0"/>
    </w:rPr>
  </w:style>
  <w:style w:type="paragraph" w:customStyle="1" w:styleId="131">
    <w:name w:val="样式13"/>
    <w:basedOn w:val="314"/>
    <w:qFormat/>
    <w:pPr>
      <w:spacing w:line="240" w:lineRule="auto"/>
      <w:ind w:firstLine="0"/>
      <w:jc w:val="center"/>
    </w:pPr>
    <w:rPr>
      <w:rFonts w:cs="Times New Roman"/>
      <w:b/>
      <w:color w:val="auto"/>
      <w:szCs w:val="20"/>
    </w:rPr>
  </w:style>
  <w:style w:type="paragraph" w:customStyle="1" w:styleId="314">
    <w:name w:val="表题31"/>
    <w:basedOn w:val="1fa"/>
    <w:pPr>
      <w:widowControl/>
      <w:tabs>
        <w:tab w:val="left" w:pos="4305"/>
      </w:tabs>
      <w:spacing w:after="0"/>
      <w:ind w:leftChars="0" w:left="0" w:firstLineChars="0" w:firstLine="561"/>
      <w:jc w:val="left"/>
    </w:pPr>
    <w:rPr>
      <w:rFonts w:ascii="宋体" w:hAnsi="宋体" w:cs="宋体"/>
      <w:color w:val="000000"/>
      <w:sz w:val="24"/>
      <w:szCs w:val="24"/>
    </w:rPr>
  </w:style>
  <w:style w:type="paragraph" w:customStyle="1" w:styleId="511">
    <w:name w:val="表文字51"/>
    <w:basedOn w:val="a"/>
    <w:qFormat/>
    <w:pPr>
      <w:widowControl/>
      <w:jc w:val="left"/>
      <w:textAlignment w:val="baseline"/>
    </w:pPr>
    <w:rPr>
      <w:rFonts w:ascii="宋体" w:hAnsi="宋体" w:cs="宋体"/>
      <w:kern w:val="0"/>
      <w:szCs w:val="20"/>
    </w:rPr>
  </w:style>
  <w:style w:type="paragraph" w:customStyle="1" w:styleId="132">
    <w:name w:val="表题13"/>
    <w:basedOn w:val="ab"/>
    <w:qFormat/>
    <w:pPr>
      <w:widowControl/>
      <w:ind w:firstLineChars="0" w:firstLine="0"/>
      <w:jc w:val="center"/>
    </w:pPr>
    <w:rPr>
      <w:rFonts w:ascii="黑体" w:cs="Arial"/>
      <w:b/>
    </w:rPr>
  </w:style>
  <w:style w:type="paragraph" w:customStyle="1" w:styleId="afffffffffff5">
    <w:name w:val="标准"/>
    <w:basedOn w:val="a"/>
    <w:qFormat/>
    <w:pPr>
      <w:widowControl/>
      <w:jc w:val="left"/>
      <w:textAlignment w:val="baseline"/>
    </w:pPr>
    <w:rPr>
      <w:rFonts w:ascii="宋体" w:hAnsi="宋体" w:cs="宋体"/>
      <w:kern w:val="0"/>
      <w:szCs w:val="20"/>
    </w:rPr>
  </w:style>
  <w:style w:type="paragraph" w:customStyle="1" w:styleId="Char3CharCharChar">
    <w:name w:val="Char3 Char Char Char"/>
    <w:basedOn w:val="a"/>
    <w:qFormat/>
    <w:pPr>
      <w:widowControl/>
      <w:spacing w:line="340" w:lineRule="exact"/>
      <w:ind w:firstLineChars="4" w:firstLine="10"/>
      <w:jc w:val="left"/>
    </w:pPr>
    <w:rPr>
      <w:rFonts w:ascii="宋体" w:hAnsi="宋体" w:cs="宋体"/>
      <w:kern w:val="0"/>
      <w:szCs w:val="28"/>
    </w:rPr>
  </w:style>
  <w:style w:type="paragraph" w:customStyle="1" w:styleId="Charfff0">
    <w:name w:val="正文新 Char"/>
    <w:basedOn w:val="a"/>
    <w:qFormat/>
    <w:pPr>
      <w:widowControl/>
      <w:jc w:val="left"/>
    </w:pPr>
    <w:rPr>
      <w:rFonts w:ascii="宋体" w:hAnsi="宋体" w:cs="宋体"/>
      <w:kern w:val="0"/>
      <w:szCs w:val="20"/>
    </w:rPr>
  </w:style>
  <w:style w:type="paragraph" w:customStyle="1" w:styleId="75">
    <w:name w:val="7"/>
    <w:basedOn w:val="a"/>
    <w:next w:val="310"/>
    <w:qFormat/>
    <w:pPr>
      <w:widowControl/>
      <w:spacing w:line="312" w:lineRule="auto"/>
      <w:ind w:firstLine="560"/>
      <w:jc w:val="left"/>
    </w:pPr>
    <w:rPr>
      <w:rFonts w:ascii="仿宋_GB2312" w:hAnsi="宋体" w:cs="宋体"/>
      <w:kern w:val="0"/>
    </w:rPr>
  </w:style>
  <w:style w:type="paragraph" w:customStyle="1" w:styleId="520">
    <w:name w:val="表内宋5中2"/>
    <w:basedOn w:val="a"/>
    <w:qFormat/>
    <w:pPr>
      <w:widowControl/>
      <w:jc w:val="center"/>
      <w:textAlignment w:val="baseline"/>
    </w:pPr>
    <w:rPr>
      <w:rFonts w:ascii="宋体" w:hAnsi="宋体" w:cs="宋体"/>
      <w:kern w:val="0"/>
      <w:szCs w:val="20"/>
    </w:rPr>
  </w:style>
  <w:style w:type="paragraph" w:customStyle="1" w:styleId="CharCharCharCharChar1">
    <w:name w:val="Char Char Char Char Char1"/>
    <w:basedOn w:val="a"/>
    <w:qFormat/>
    <w:pPr>
      <w:widowControl/>
      <w:jc w:val="left"/>
    </w:pPr>
    <w:rPr>
      <w:rFonts w:ascii="宋体" w:hAnsi="宋体" w:cs="宋体"/>
      <w:kern w:val="0"/>
    </w:rPr>
  </w:style>
  <w:style w:type="paragraph" w:customStyle="1" w:styleId="94">
    <w:name w:val="样式9"/>
    <w:basedOn w:val="3"/>
    <w:qFormat/>
    <w:pPr>
      <w:widowControl/>
      <w:numPr>
        <w:ilvl w:val="0"/>
        <w:numId w:val="0"/>
      </w:numPr>
    </w:pPr>
    <w:rPr>
      <w:rFonts w:eastAsia="黑体"/>
      <w:b w:val="0"/>
      <w:szCs w:val="28"/>
    </w:rPr>
  </w:style>
  <w:style w:type="paragraph" w:customStyle="1" w:styleId="afffffffffff6">
    <w:name w:val="小四表文左齐"/>
    <w:basedOn w:val="a"/>
    <w:pPr>
      <w:widowControl/>
      <w:jc w:val="center"/>
    </w:pPr>
    <w:rPr>
      <w:rFonts w:ascii="仿宋_GB2312" w:hAnsi="宋体" w:cs="宋体"/>
      <w:kern w:val="0"/>
    </w:rPr>
  </w:style>
  <w:style w:type="paragraph" w:customStyle="1" w:styleId="2fff5">
    <w:name w:val="正文 首行缩进:  2 字符"/>
    <w:basedOn w:val="a"/>
    <w:qFormat/>
    <w:pPr>
      <w:widowControl/>
      <w:spacing w:line="460" w:lineRule="exact"/>
      <w:jc w:val="left"/>
    </w:pPr>
    <w:rPr>
      <w:rFonts w:ascii="宋体" w:hAnsi="宋体" w:cs="宋体"/>
      <w:kern w:val="0"/>
      <w:szCs w:val="20"/>
    </w:rPr>
  </w:style>
  <w:style w:type="paragraph" w:customStyle="1" w:styleId="afffffffffff7">
    <w:name w:val="样式 列表"/>
    <w:basedOn w:val="aff5"/>
    <w:pPr>
      <w:widowControl/>
      <w:spacing w:line="280" w:lineRule="exact"/>
    </w:pPr>
    <w:rPr>
      <w:rFonts w:ascii="Times New Roman" w:eastAsia="方正仿宋_GBK" w:hAnsi="宋体" w:cs="宋体"/>
      <w:kern w:val="0"/>
      <w:sz w:val="21"/>
    </w:rPr>
  </w:style>
  <w:style w:type="paragraph" w:customStyle="1" w:styleId="5f">
    <w:name w:val="表文字5"/>
    <w:basedOn w:val="a"/>
    <w:qFormat/>
    <w:pPr>
      <w:widowControl/>
      <w:jc w:val="left"/>
      <w:textAlignment w:val="baseline"/>
    </w:pPr>
    <w:rPr>
      <w:rFonts w:ascii="宋体" w:hAnsi="宋体" w:cs="宋体"/>
      <w:kern w:val="0"/>
      <w:szCs w:val="20"/>
    </w:rPr>
  </w:style>
  <w:style w:type="paragraph" w:customStyle="1" w:styleId="540">
    <w:name w:val="表内5中4"/>
    <w:basedOn w:val="a"/>
    <w:qFormat/>
    <w:pPr>
      <w:widowControl/>
      <w:jc w:val="center"/>
    </w:pPr>
    <w:rPr>
      <w:rFonts w:ascii="宋体" w:hAnsi="宋体" w:cs="宋体"/>
      <w:bCs/>
      <w:kern w:val="0"/>
      <w:szCs w:val="20"/>
    </w:rPr>
  </w:style>
  <w:style w:type="paragraph" w:customStyle="1" w:styleId="420">
    <w:name w:val="附件42"/>
    <w:basedOn w:val="1"/>
    <w:next w:val="affff4"/>
    <w:qFormat/>
    <w:pPr>
      <w:numPr>
        <w:numId w:val="0"/>
      </w:numPr>
      <w:adjustRightInd/>
      <w:snapToGrid/>
      <w:spacing w:after="210"/>
      <w:jc w:val="left"/>
    </w:pPr>
    <w:rPr>
      <w:rFonts w:ascii="黑体" w:eastAsia="黑体"/>
      <w:sz w:val="32"/>
      <w:szCs w:val="32"/>
      <w:lang w:val="zh-CN"/>
    </w:rPr>
  </w:style>
  <w:style w:type="paragraph" w:customStyle="1" w:styleId="411">
    <w:name w:val="正文修改41"/>
    <w:basedOn w:val="affffe"/>
    <w:qFormat/>
    <w:rPr>
      <w:rFonts w:eastAsia="宋体" w:hAnsi="宋体" w:cs="宋体"/>
      <w:color w:val="000000"/>
      <w:szCs w:val="24"/>
    </w:rPr>
  </w:style>
  <w:style w:type="paragraph" w:customStyle="1" w:styleId="afffffffffff8">
    <w:name w:val="图注"/>
    <w:basedOn w:val="a"/>
    <w:next w:val="a"/>
    <w:qFormat/>
    <w:pPr>
      <w:widowControl/>
      <w:jc w:val="center"/>
    </w:pPr>
    <w:rPr>
      <w:rFonts w:ascii="宋体" w:hAnsi="宋体" w:cs="宋体"/>
      <w:color w:val="0000FF"/>
      <w:kern w:val="0"/>
      <w:szCs w:val="20"/>
    </w:rPr>
  </w:style>
  <w:style w:type="paragraph" w:customStyle="1" w:styleId="couv">
    <w:name w:val="couv"/>
    <w:basedOn w:val="a"/>
    <w:qFormat/>
    <w:pPr>
      <w:widowControl/>
      <w:spacing w:before="120" w:after="120"/>
      <w:jc w:val="center"/>
    </w:pPr>
    <w:rPr>
      <w:rFonts w:ascii="宋体" w:hAnsi="宋体" w:cs="宋体"/>
      <w:b/>
      <w:kern w:val="0"/>
      <w:sz w:val="40"/>
      <w:szCs w:val="20"/>
    </w:rPr>
  </w:style>
  <w:style w:type="paragraph" w:customStyle="1" w:styleId="CharCharChar1Char">
    <w:name w:val="Char Char Char1 Char"/>
    <w:basedOn w:val="a"/>
    <w:qFormat/>
    <w:pPr>
      <w:widowControl/>
      <w:jc w:val="left"/>
    </w:pPr>
    <w:rPr>
      <w:rFonts w:ascii="宋体" w:hAnsi="宋体" w:cs="宋体"/>
      <w:kern w:val="0"/>
    </w:rPr>
  </w:style>
  <w:style w:type="paragraph" w:customStyle="1" w:styleId="ParaCharCharCharChar3">
    <w:name w:val="默认段落字体 Para Char Char Char Char3"/>
    <w:basedOn w:val="a"/>
    <w:qFormat/>
    <w:pPr>
      <w:widowControl/>
      <w:jc w:val="left"/>
    </w:pPr>
    <w:rPr>
      <w:rFonts w:ascii="宋体" w:hAnsi="宋体" w:cs="宋体"/>
      <w:kern w:val="0"/>
    </w:rPr>
  </w:style>
  <w:style w:type="paragraph" w:customStyle="1" w:styleId="Charfff1">
    <w:name w:val="文本匡小五号 Char"/>
    <w:qFormat/>
    <w:pPr>
      <w:snapToGrid w:val="0"/>
      <w:spacing w:line="100" w:lineRule="atLeast"/>
      <w:jc w:val="center"/>
    </w:pPr>
    <w:rPr>
      <w:rFonts w:eastAsia="仿宋_GB2312"/>
      <w:snapToGrid w:val="0"/>
      <w:sz w:val="21"/>
      <w:szCs w:val="21"/>
    </w:rPr>
  </w:style>
  <w:style w:type="paragraph" w:customStyle="1" w:styleId="afffffffffff9">
    <w:name w:val="谏壁表头"/>
    <w:basedOn w:val="chen0"/>
    <w:qFormat/>
    <w:pPr>
      <w:widowControl/>
      <w:ind w:firstLineChars="0" w:firstLine="482"/>
      <w:jc w:val="center"/>
    </w:pPr>
    <w:rPr>
      <w:b/>
      <w:szCs w:val="24"/>
    </w:rPr>
  </w:style>
  <w:style w:type="paragraph" w:customStyle="1" w:styleId="730">
    <w:name w:val="正文格式73"/>
    <w:basedOn w:val="a"/>
    <w:qFormat/>
    <w:pPr>
      <w:widowControl/>
      <w:ind w:firstLine="482"/>
      <w:jc w:val="left"/>
    </w:pPr>
    <w:rPr>
      <w:rFonts w:ascii="宋体" w:hAnsi="宋体" w:cs="宋体"/>
      <w:kern w:val="0"/>
    </w:rPr>
  </w:style>
  <w:style w:type="paragraph" w:customStyle="1" w:styleId="830">
    <w:name w:val="表内文字小83"/>
    <w:basedOn w:val="a"/>
    <w:qFormat/>
    <w:pPr>
      <w:widowControl/>
      <w:jc w:val="center"/>
    </w:pPr>
    <w:rPr>
      <w:rFonts w:ascii="宋体" w:hAnsi="Times" w:cs="宋体"/>
      <w:kern w:val="0"/>
      <w:szCs w:val="20"/>
    </w:rPr>
  </w:style>
  <w:style w:type="paragraph" w:customStyle="1" w:styleId="afffffffffffa">
    <w:name w:val="图题"/>
    <w:basedOn w:val="a"/>
    <w:pPr>
      <w:widowControl/>
      <w:tabs>
        <w:tab w:val="left" w:pos="720"/>
      </w:tabs>
      <w:spacing w:line="320" w:lineRule="exact"/>
      <w:jc w:val="center"/>
    </w:pPr>
    <w:rPr>
      <w:rFonts w:ascii="楷体_GB2312" w:eastAsia="楷体_GB2312" w:hAnsi="宋体" w:cs="宋体"/>
      <w:b/>
      <w:bCs/>
      <w:kern w:val="0"/>
    </w:rPr>
  </w:style>
  <w:style w:type="paragraph" w:customStyle="1" w:styleId="ParaCharCharCharCharCharCharCharCharCharCharCharCharCharCharCharCharCharCharCharCharCharCharCharCharCharCharCharChar1CharCharCharCharChar">
    <w:name w:val="默认段落字体 Para Char Char Char Char Char Char Char Char Char Char Char Char Char Char Char Char Char Char Char Char Char Char Char Char Char Char Char Char1 Char Char Char Char Char"/>
    <w:basedOn w:val="a"/>
    <w:qFormat/>
    <w:pPr>
      <w:widowControl/>
      <w:jc w:val="left"/>
    </w:pPr>
    <w:rPr>
      <w:rFonts w:ascii="宋体" w:hAnsi="宋体" w:cs="宋体"/>
      <w:kern w:val="0"/>
    </w:rPr>
  </w:style>
  <w:style w:type="paragraph" w:customStyle="1" w:styleId="114">
    <w:name w:val="表中文字11"/>
    <w:basedOn w:val="a"/>
    <w:qFormat/>
    <w:pPr>
      <w:widowControl/>
      <w:spacing w:line="240" w:lineRule="atLeast"/>
      <w:ind w:leftChars="-10" w:left="-24" w:rightChars="-20" w:right="-48"/>
      <w:jc w:val="center"/>
    </w:pPr>
    <w:rPr>
      <w:rFonts w:ascii="宋体" w:hAnsi="宋体" w:cs="宋体"/>
      <w:kern w:val="0"/>
      <w:szCs w:val="21"/>
    </w:rPr>
  </w:style>
  <w:style w:type="paragraph" w:customStyle="1" w:styleId="afffffffffffb">
    <w:name w:val="表格式"/>
    <w:basedOn w:val="aff5"/>
    <w:qFormat/>
    <w:pPr>
      <w:widowControl/>
      <w:spacing w:before="156" w:after="156" w:line="240" w:lineRule="exact"/>
    </w:pPr>
    <w:rPr>
      <w:rFonts w:ascii="Times New Roman" w:hAnsi="宋体" w:cs="宋体"/>
      <w:kern w:val="0"/>
      <w:sz w:val="21"/>
    </w:rPr>
  </w:style>
  <w:style w:type="paragraph" w:customStyle="1" w:styleId="5f0">
    <w:name w:val="正文格式5"/>
    <w:basedOn w:val="a"/>
    <w:qFormat/>
    <w:pPr>
      <w:widowControl/>
      <w:ind w:firstLine="482"/>
      <w:jc w:val="left"/>
    </w:pPr>
    <w:rPr>
      <w:rFonts w:ascii="宋体" w:hAnsi="宋体" w:cs="宋体"/>
      <w:kern w:val="0"/>
    </w:rPr>
  </w:style>
  <w:style w:type="paragraph" w:customStyle="1" w:styleId="731">
    <w:name w:val="表格内字体73"/>
    <w:basedOn w:val="affff4"/>
    <w:next w:val="affff4"/>
    <w:qFormat/>
    <w:pPr>
      <w:spacing w:line="240" w:lineRule="auto"/>
      <w:ind w:firstLine="0"/>
      <w:jc w:val="center"/>
    </w:pPr>
    <w:rPr>
      <w:rFonts w:hAnsi="宋体"/>
      <w:sz w:val="21"/>
      <w:szCs w:val="24"/>
    </w:rPr>
  </w:style>
  <w:style w:type="paragraph" w:customStyle="1" w:styleId="820">
    <w:name w:val="样式 正文(首行缩进) + 8 磅 加粗 首行缩进:  2 字符"/>
    <w:basedOn w:val="a"/>
    <w:qFormat/>
    <w:pPr>
      <w:widowControl/>
      <w:jc w:val="left"/>
    </w:pPr>
    <w:rPr>
      <w:rFonts w:ascii="宋体" w:hAnsi="宋体" w:cs="宋体"/>
      <w:b/>
      <w:bCs/>
      <w:snapToGrid w:val="0"/>
      <w:kern w:val="0"/>
      <w:sz w:val="16"/>
      <w:szCs w:val="20"/>
    </w:rPr>
  </w:style>
  <w:style w:type="paragraph" w:customStyle="1" w:styleId="315">
    <w:name w:val="表内文字小31"/>
    <w:basedOn w:val="a"/>
    <w:qFormat/>
    <w:pPr>
      <w:widowControl/>
      <w:jc w:val="center"/>
    </w:pPr>
    <w:rPr>
      <w:rFonts w:ascii="宋体" w:hAnsi="Times" w:cs="宋体"/>
      <w:bCs/>
      <w:color w:val="003366"/>
      <w:kern w:val="0"/>
      <w:szCs w:val="20"/>
    </w:rPr>
  </w:style>
  <w:style w:type="paragraph" w:customStyle="1" w:styleId="5f1">
    <w:name w:val="正文格式＝5"/>
    <w:basedOn w:val="affff4"/>
    <w:next w:val="affff4"/>
    <w:qFormat/>
    <w:rPr>
      <w:rFonts w:hAnsi="宋体"/>
      <w:szCs w:val="24"/>
    </w:rPr>
  </w:style>
  <w:style w:type="paragraph" w:customStyle="1" w:styleId="afffffffffffc">
    <w:name w:val="封面标准文稿编辑信息"/>
    <w:qFormat/>
    <w:pPr>
      <w:spacing w:before="180" w:line="180" w:lineRule="exact"/>
      <w:jc w:val="center"/>
    </w:pPr>
    <w:rPr>
      <w:rFonts w:ascii="宋体"/>
      <w:sz w:val="21"/>
    </w:rPr>
  </w:style>
  <w:style w:type="paragraph" w:customStyle="1" w:styleId="1110">
    <w:name w:val="表格内字体111"/>
    <w:basedOn w:val="affff4"/>
    <w:qFormat/>
    <w:pPr>
      <w:spacing w:line="240" w:lineRule="auto"/>
      <w:ind w:firstLine="0"/>
      <w:jc w:val="center"/>
    </w:pPr>
    <w:rPr>
      <w:rFonts w:hAnsi="Times New Roman" w:cs="宋体"/>
      <w:sz w:val="21"/>
      <w:szCs w:val="20"/>
    </w:rPr>
  </w:style>
  <w:style w:type="paragraph" w:customStyle="1" w:styleId="414H4H4141H42H411142112">
    <w:name w:val="样式 标题 4无效格式无效格式1河石管道4H4H41小小节河石管道41H42H411小小节1河石管道42...112"/>
    <w:basedOn w:val="4"/>
    <w:qFormat/>
    <w:pPr>
      <w:numPr>
        <w:ilvl w:val="0"/>
        <w:numId w:val="0"/>
      </w:numPr>
      <w:spacing w:after="0" w:line="360" w:lineRule="auto"/>
      <w:ind w:left="664" w:hanging="864"/>
    </w:pPr>
    <w:rPr>
      <w:rFonts w:ascii="黑体" w:eastAsia="黑体" w:hAnsi="Arial" w:cs="宋体"/>
      <w:b w:val="0"/>
      <w:bCs w:val="0"/>
      <w:kern w:val="2"/>
      <w:sz w:val="24"/>
      <w:szCs w:val="20"/>
    </w:rPr>
  </w:style>
  <w:style w:type="paragraph" w:customStyle="1" w:styleId="CharCharCharCharCharCharCharCharCharCharChar1CharCharCharCharCharChar1CharCharCharCharCharCharCharCharCharCharCharChar">
    <w:name w:val="Char Char Char Char Char Char Char Char Char Char Char1 Char Char Char Char Char Char1 Char Char Char Char Char Char Char Char Char Char Char Char"/>
    <w:basedOn w:val="a"/>
    <w:qFormat/>
    <w:pPr>
      <w:widowControl/>
      <w:jc w:val="left"/>
    </w:pPr>
    <w:rPr>
      <w:rFonts w:ascii="宋体" w:hAnsi="宋体" w:cs="宋体"/>
      <w:kern w:val="0"/>
    </w:rPr>
  </w:style>
  <w:style w:type="paragraph" w:customStyle="1" w:styleId="afffffffffffd">
    <w:name w:val="样式 样式 表格 + (符号) 宋体 五号 居中 + 小五"/>
    <w:basedOn w:val="a"/>
    <w:pPr>
      <w:widowControl/>
      <w:kinsoku w:val="0"/>
      <w:overflowPunct w:val="0"/>
      <w:jc w:val="center"/>
    </w:pPr>
    <w:rPr>
      <w:rFonts w:ascii="宋体" w:hAnsi="宋体" w:cs="宋体"/>
      <w:snapToGrid w:val="0"/>
      <w:kern w:val="0"/>
      <w:sz w:val="18"/>
      <w:szCs w:val="21"/>
    </w:rPr>
  </w:style>
  <w:style w:type="paragraph" w:customStyle="1" w:styleId="43131">
    <w:name w:val="标题43131"/>
    <w:basedOn w:val="a"/>
    <w:qFormat/>
    <w:pPr>
      <w:widowControl/>
      <w:spacing w:line="480" w:lineRule="exact"/>
      <w:jc w:val="center"/>
    </w:pPr>
    <w:rPr>
      <w:rFonts w:ascii="宋体" w:hAnsi="宋体" w:cs="宋体"/>
      <w:kern w:val="0"/>
    </w:rPr>
  </w:style>
  <w:style w:type="paragraph" w:customStyle="1" w:styleId="21051">
    <w:name w:val="样式 标题 2节 + 段前: 1 行 段后: 0.5 行1"/>
    <w:basedOn w:val="a"/>
    <w:qFormat/>
    <w:pPr>
      <w:widowControl/>
      <w:tabs>
        <w:tab w:val="left" w:pos="980"/>
      </w:tabs>
      <w:ind w:left="1400"/>
      <w:jc w:val="left"/>
    </w:pPr>
    <w:rPr>
      <w:rFonts w:ascii="宋体" w:hAnsi="宋体" w:cs="宋体"/>
      <w:kern w:val="0"/>
    </w:rPr>
  </w:style>
  <w:style w:type="paragraph" w:customStyle="1" w:styleId="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w:basedOn w:val="a"/>
    <w:qFormat/>
    <w:pPr>
      <w:widowControl/>
      <w:jc w:val="left"/>
    </w:pPr>
    <w:rPr>
      <w:rFonts w:ascii="宋体" w:hAnsi="宋体" w:cs="宋体"/>
      <w:kern w:val="0"/>
    </w:rPr>
  </w:style>
  <w:style w:type="paragraph" w:customStyle="1" w:styleId="23-47">
    <w:name w:val="23-47表名"/>
    <w:basedOn w:val="a"/>
    <w:qFormat/>
    <w:pPr>
      <w:widowControl/>
      <w:spacing w:after="156" w:line="440" w:lineRule="exact"/>
      <w:jc w:val="center"/>
    </w:pPr>
    <w:rPr>
      <w:rFonts w:ascii="宋体" w:hAnsi="宋体" w:cs="宋体"/>
      <w:b/>
      <w:kern w:val="0"/>
    </w:rPr>
  </w:style>
  <w:style w:type="paragraph" w:customStyle="1" w:styleId="5f2">
    <w:name w:val="图题5"/>
    <w:basedOn w:val="affff4"/>
    <w:next w:val="affff4"/>
    <w:qFormat/>
    <w:pPr>
      <w:ind w:firstLine="0"/>
      <w:jc w:val="center"/>
    </w:pPr>
    <w:rPr>
      <w:rFonts w:ascii="黑体" w:eastAsia="黑体" w:hAnsi="宋体" w:cs="宋体"/>
      <w:b/>
      <w:bCs/>
      <w:szCs w:val="24"/>
    </w:rPr>
  </w:style>
  <w:style w:type="paragraph" w:customStyle="1" w:styleId="afffffffffffe">
    <w:name w:val="文本框文字"/>
    <w:basedOn w:val="a"/>
    <w:qFormat/>
    <w:pPr>
      <w:widowControl/>
      <w:jc w:val="center"/>
      <w:textAlignment w:val="baseline"/>
    </w:pPr>
    <w:rPr>
      <w:rFonts w:ascii="宋体" w:hAnsi="宋体" w:cs="宋体"/>
      <w:kern w:val="0"/>
      <w:szCs w:val="20"/>
    </w:rPr>
  </w:style>
  <w:style w:type="paragraph" w:customStyle="1" w:styleId="ParaCharCharChar1CharCharCharCharCharCharCharCharCharChar">
    <w:name w:val="默认段落字体 Para Char Char Char1 Char Char Char Char Char Char Char Char Char Char"/>
    <w:basedOn w:val="a"/>
    <w:qFormat/>
    <w:pPr>
      <w:widowControl/>
      <w:jc w:val="left"/>
    </w:pPr>
    <w:rPr>
      <w:rFonts w:ascii="宋体" w:hAnsi="宋体" w:cs="宋体"/>
      <w:kern w:val="0"/>
    </w:rPr>
  </w:style>
  <w:style w:type="paragraph" w:customStyle="1" w:styleId="2fff6">
    <w:name w:val="標準インデント　2"/>
    <w:basedOn w:val="1fb"/>
    <w:qFormat/>
    <w:pPr>
      <w:overflowPunct w:val="0"/>
      <w:autoSpaceDE w:val="0"/>
      <w:autoSpaceDN w:val="0"/>
      <w:ind w:left="2900" w:hanging="2038"/>
      <w:textAlignment w:val="baseline"/>
    </w:pPr>
    <w:rPr>
      <w:rFonts w:ascii="Calibri" w:eastAsia="MS Mincho" w:hAnsi="Calibri"/>
      <w:sz w:val="20"/>
      <w:lang w:eastAsia="ja-JP"/>
    </w:rPr>
  </w:style>
  <w:style w:type="paragraph" w:customStyle="1" w:styleId="4110">
    <w:name w:val="标题411"/>
    <w:basedOn w:val="a"/>
    <w:qFormat/>
    <w:pPr>
      <w:widowControl/>
      <w:spacing w:line="300" w:lineRule="auto"/>
      <w:jc w:val="left"/>
    </w:pPr>
    <w:rPr>
      <w:rFonts w:ascii="黑体" w:eastAsia="黑体" w:hAnsi="宋体" w:cs="宋体"/>
      <w:bCs/>
      <w:kern w:val="0"/>
      <w:szCs w:val="20"/>
    </w:rPr>
  </w:style>
  <w:style w:type="paragraph" w:customStyle="1" w:styleId="512">
    <w:name w:val="列表 51"/>
    <w:basedOn w:val="a"/>
    <w:qFormat/>
    <w:pPr>
      <w:widowControl/>
      <w:ind w:leftChars="800" w:left="100" w:hangingChars="200" w:hanging="200"/>
      <w:jc w:val="left"/>
    </w:pPr>
    <w:rPr>
      <w:rFonts w:ascii="宋体" w:hAnsi="宋体" w:cs="宋体"/>
      <w:kern w:val="0"/>
    </w:rPr>
  </w:style>
  <w:style w:type="paragraph" w:customStyle="1" w:styleId="y">
    <w:name w:val="y表格"/>
    <w:basedOn w:val="a0"/>
    <w:qFormat/>
    <w:pPr>
      <w:widowControl/>
      <w:spacing w:line="240" w:lineRule="auto"/>
      <w:jc w:val="center"/>
      <w:textAlignment w:val="baseline"/>
    </w:pPr>
    <w:rPr>
      <w:rFonts w:ascii="宋体" w:hAnsi="宋体" w:hint="eastAsia"/>
      <w:kern w:val="0"/>
      <w:szCs w:val="20"/>
    </w:rPr>
  </w:style>
  <w:style w:type="paragraph" w:customStyle="1" w:styleId="CharCharCharCharCharCharCharCharCharCharChar1CharCharCharChar">
    <w:name w:val="Char Char Char Char Char Char Char Char Char Char Char1 Char Char Char Char"/>
    <w:basedOn w:val="a"/>
    <w:qFormat/>
    <w:pPr>
      <w:widowControl/>
      <w:jc w:val="left"/>
    </w:pPr>
    <w:rPr>
      <w:rFonts w:ascii="宋体" w:hAnsi="宋体" w:cs="宋体"/>
      <w:kern w:val="0"/>
    </w:rPr>
  </w:style>
  <w:style w:type="paragraph" w:customStyle="1" w:styleId="213">
    <w:name w:val="正文21"/>
    <w:qFormat/>
    <w:pPr>
      <w:adjustRightInd w:val="0"/>
      <w:snapToGrid w:val="0"/>
      <w:spacing w:line="480" w:lineRule="atLeast"/>
      <w:jc w:val="center"/>
    </w:pPr>
    <w:rPr>
      <w:rFonts w:ascii="宋体"/>
      <w:snapToGrid w:val="0"/>
      <w:spacing w:val="6"/>
      <w:sz w:val="21"/>
    </w:rPr>
  </w:style>
  <w:style w:type="paragraph" w:customStyle="1" w:styleId="-1">
    <w:name w:val="正文-1"/>
    <w:basedOn w:val="a"/>
    <w:qFormat/>
    <w:pPr>
      <w:widowControl/>
      <w:spacing w:line="440" w:lineRule="exact"/>
      <w:jc w:val="left"/>
    </w:pPr>
    <w:rPr>
      <w:rFonts w:ascii="宋体" w:hAnsi="宋体" w:cs="宋体"/>
      <w:kern w:val="0"/>
      <w:szCs w:val="20"/>
    </w:rPr>
  </w:style>
  <w:style w:type="paragraph" w:customStyle="1" w:styleId="1ffff4">
    <w:name w:val="标题正1"/>
    <w:basedOn w:val="a"/>
    <w:qFormat/>
    <w:pPr>
      <w:widowControl/>
      <w:spacing w:line="400" w:lineRule="exact"/>
      <w:jc w:val="center"/>
    </w:pPr>
    <w:rPr>
      <w:rFonts w:ascii="黑体" w:eastAsia="黑体" w:hAnsi="宋体" w:cs="宋体"/>
      <w:kern w:val="0"/>
      <w:sz w:val="32"/>
      <w:szCs w:val="28"/>
    </w:rPr>
  </w:style>
  <w:style w:type="paragraph" w:customStyle="1" w:styleId="214">
    <w:name w:val="正文格式21"/>
    <w:basedOn w:val="a"/>
    <w:qFormat/>
    <w:pPr>
      <w:widowControl/>
      <w:ind w:firstLine="482"/>
      <w:jc w:val="left"/>
    </w:pPr>
    <w:rPr>
      <w:rFonts w:ascii="宋体" w:hAnsi="宋体" w:cs="宋体"/>
      <w:kern w:val="0"/>
    </w:rPr>
  </w:style>
  <w:style w:type="paragraph" w:customStyle="1" w:styleId="115">
    <w:name w:val="表格内字体11"/>
    <w:basedOn w:val="affff4"/>
    <w:qFormat/>
    <w:pPr>
      <w:spacing w:line="240" w:lineRule="auto"/>
      <w:ind w:firstLine="0"/>
      <w:jc w:val="center"/>
    </w:pPr>
    <w:rPr>
      <w:rFonts w:hAnsi="Times New Roman" w:cs="宋体"/>
      <w:sz w:val="21"/>
      <w:szCs w:val="20"/>
    </w:rPr>
  </w:style>
  <w:style w:type="paragraph" w:customStyle="1" w:styleId="3fb">
    <w:name w:val="样式 标题 3 + 黑体 四号"/>
    <w:basedOn w:val="3"/>
    <w:qFormat/>
    <w:pPr>
      <w:widowControl/>
      <w:numPr>
        <w:ilvl w:val="0"/>
        <w:numId w:val="0"/>
      </w:numPr>
      <w:spacing w:before="160" w:after="160"/>
    </w:pPr>
    <w:rPr>
      <w:rFonts w:ascii="黑体" w:eastAsia="黑体" w:hAnsi="黑体"/>
    </w:rPr>
  </w:style>
  <w:style w:type="paragraph" w:customStyle="1" w:styleId="affffffffffff">
    <w:name w:val="——"/>
    <w:basedOn w:val="Texte"/>
    <w:qFormat/>
    <w:pPr>
      <w:ind w:left="0" w:firstLineChars="300" w:firstLine="660"/>
    </w:pPr>
  </w:style>
  <w:style w:type="paragraph" w:customStyle="1" w:styleId="Texte">
    <w:name w:val="Texte"/>
    <w:basedOn w:val="a"/>
    <w:qFormat/>
    <w:pPr>
      <w:widowControl/>
      <w:spacing w:before="120" w:after="120"/>
      <w:ind w:left="851"/>
      <w:jc w:val="left"/>
    </w:pPr>
    <w:rPr>
      <w:rFonts w:ascii="Arial" w:hAnsi="Arial" w:cs="宋体"/>
      <w:kern w:val="0"/>
      <w:sz w:val="22"/>
      <w:szCs w:val="20"/>
    </w:rPr>
  </w:style>
  <w:style w:type="paragraph" w:customStyle="1" w:styleId="Char4CharCharChar1">
    <w:name w:val="Char4 Char Char Char1"/>
    <w:basedOn w:val="a"/>
    <w:qFormat/>
    <w:pPr>
      <w:widowControl/>
      <w:jc w:val="left"/>
    </w:pPr>
    <w:rPr>
      <w:rFonts w:ascii="宋体" w:hAnsi="宋体" w:cs="宋体"/>
      <w:kern w:val="0"/>
    </w:rPr>
  </w:style>
  <w:style w:type="paragraph" w:customStyle="1" w:styleId="123">
    <w:name w:val="文本123"/>
    <w:basedOn w:val="1fb"/>
    <w:qFormat/>
    <w:pPr>
      <w:tabs>
        <w:tab w:val="left" w:pos="958"/>
      </w:tabs>
      <w:spacing w:line="460" w:lineRule="exact"/>
      <w:ind w:left="958" w:hanging="420"/>
      <w:outlineLvl w:val="7"/>
    </w:pPr>
    <w:rPr>
      <w:rFonts w:ascii="Calibri" w:hAnsi="Calibri"/>
    </w:rPr>
  </w:style>
  <w:style w:type="paragraph" w:customStyle="1" w:styleId="33CharCharH3h33rdlevel305">
    <w:name w:val="样式 标题 3标题 3 Char CharH3h33rd level标题3 + 段前: 0.5 行"/>
    <w:basedOn w:val="3"/>
    <w:qFormat/>
    <w:pPr>
      <w:keepNext w:val="0"/>
      <w:keepLines w:val="0"/>
      <w:widowControl/>
      <w:numPr>
        <w:ilvl w:val="0"/>
        <w:numId w:val="0"/>
      </w:numPr>
      <w:spacing w:line="480" w:lineRule="exact"/>
      <w:jc w:val="center"/>
      <w:outlineLvl w:val="9"/>
    </w:pPr>
    <w:rPr>
      <w:rFonts w:ascii="楷体_GB2312" w:eastAsia="楷体_GB2312" w:hAnsi="宋体"/>
      <w:b w:val="0"/>
      <w:szCs w:val="28"/>
    </w:rPr>
  </w:style>
  <w:style w:type="paragraph" w:customStyle="1" w:styleId="2fff7">
    <w:name w:val="标题样式2"/>
    <w:basedOn w:val="a"/>
    <w:qFormat/>
    <w:pPr>
      <w:widowControl/>
      <w:spacing w:line="480" w:lineRule="atLeast"/>
      <w:jc w:val="left"/>
      <w:textAlignment w:val="baseline"/>
    </w:pPr>
    <w:rPr>
      <w:rFonts w:ascii="新宋体" w:hAnsi="新宋体" w:cs="宋体"/>
      <w:kern w:val="0"/>
      <w:szCs w:val="20"/>
    </w:rPr>
  </w:style>
  <w:style w:type="paragraph" w:customStyle="1" w:styleId="522">
    <w:name w:val="表文字522"/>
    <w:basedOn w:val="a"/>
    <w:qFormat/>
    <w:pPr>
      <w:widowControl/>
      <w:jc w:val="left"/>
      <w:textAlignment w:val="baseline"/>
    </w:pPr>
    <w:rPr>
      <w:rFonts w:ascii="宋体" w:hAnsi="宋体" w:cs="宋体"/>
      <w:kern w:val="0"/>
      <w:szCs w:val="20"/>
    </w:rPr>
  </w:style>
  <w:style w:type="paragraph" w:customStyle="1" w:styleId="999">
    <w:name w:val="正文999"/>
    <w:basedOn w:val="a"/>
    <w:qFormat/>
    <w:pPr>
      <w:widowControl/>
      <w:jc w:val="left"/>
    </w:pPr>
    <w:rPr>
      <w:rFonts w:ascii="宋体" w:hAnsi="宋体" w:cs="宋体"/>
      <w:kern w:val="0"/>
    </w:rPr>
  </w:style>
  <w:style w:type="paragraph" w:customStyle="1" w:styleId="321">
    <w:name w:val="正文格式32"/>
    <w:basedOn w:val="a"/>
    <w:qFormat/>
    <w:pPr>
      <w:widowControl/>
      <w:ind w:firstLine="482"/>
      <w:jc w:val="left"/>
    </w:pPr>
    <w:rPr>
      <w:rFonts w:ascii="宋体" w:hAnsi="宋体" w:cs="宋体"/>
      <w:kern w:val="0"/>
    </w:rPr>
  </w:style>
  <w:style w:type="paragraph" w:customStyle="1" w:styleId="affffffffffff0">
    <w:name w:val="图文框"/>
    <w:basedOn w:val="a"/>
    <w:qFormat/>
    <w:pPr>
      <w:widowControl/>
      <w:jc w:val="center"/>
    </w:pPr>
    <w:rPr>
      <w:rFonts w:ascii="宋体" w:hAnsi="宋体" w:cs="宋体"/>
      <w:kern w:val="0"/>
      <w:szCs w:val="20"/>
    </w:rPr>
  </w:style>
  <w:style w:type="paragraph" w:customStyle="1" w:styleId="CharCharCharCharCharCharCharCharChar1CharCharCharChar">
    <w:name w:val="Char Char Char Char Char Char Char Char Char1 Char Char Char Char"/>
    <w:basedOn w:val="a"/>
    <w:qFormat/>
    <w:pPr>
      <w:widowControl/>
      <w:jc w:val="left"/>
    </w:pPr>
    <w:rPr>
      <w:rFonts w:ascii="宋体" w:hAnsi="宋体" w:cs="宋体"/>
      <w:kern w:val="0"/>
      <w:szCs w:val="21"/>
    </w:rPr>
  </w:style>
  <w:style w:type="paragraph" w:customStyle="1" w:styleId="Char812">
    <w:name w:val="Char81"/>
    <w:basedOn w:val="a"/>
    <w:qFormat/>
    <w:pPr>
      <w:widowControl/>
      <w:ind w:left="-48"/>
      <w:jc w:val="left"/>
    </w:pPr>
    <w:rPr>
      <w:rFonts w:ascii="宋体" w:hAnsi="宋体" w:cs="宋体"/>
      <w:kern w:val="0"/>
    </w:rPr>
  </w:style>
  <w:style w:type="paragraph" w:customStyle="1" w:styleId="Charfff2">
    <w:name w:val="表格文字居中 Char"/>
    <w:basedOn w:val="aff5"/>
    <w:qFormat/>
    <w:pPr>
      <w:keepNext/>
      <w:widowControl/>
      <w:tabs>
        <w:tab w:val="left" w:pos="-1820"/>
        <w:tab w:val="left" w:pos="1727"/>
        <w:tab w:val="left" w:pos="1884"/>
      </w:tabs>
      <w:spacing w:line="360" w:lineRule="auto"/>
      <w:ind w:leftChars="-4" w:left="-2" w:rightChars="-84" w:right="-176" w:hanging="6"/>
    </w:pPr>
    <w:rPr>
      <w:rFonts w:ascii="楷体_GB2312" w:eastAsia="楷体_GB2312" w:hAnsi="楷体_GB2312" w:cs="宋体"/>
      <w:kern w:val="0"/>
      <w:sz w:val="21"/>
      <w:szCs w:val="21"/>
    </w:rPr>
  </w:style>
  <w:style w:type="paragraph" w:customStyle="1" w:styleId="1142">
    <w:name w:val="燕山正文1142"/>
    <w:basedOn w:val="a"/>
    <w:qFormat/>
    <w:pPr>
      <w:widowControl/>
      <w:tabs>
        <w:tab w:val="left" w:pos="4680"/>
      </w:tabs>
      <w:spacing w:line="480" w:lineRule="exact"/>
      <w:jc w:val="left"/>
    </w:pPr>
    <w:rPr>
      <w:rFonts w:ascii="宋体" w:hAnsi="宋体" w:cs="宋体"/>
      <w:bCs/>
      <w:color w:val="000000"/>
      <w:kern w:val="0"/>
    </w:rPr>
  </w:style>
  <w:style w:type="paragraph" w:customStyle="1" w:styleId="215">
    <w:name w:val="表中文字21"/>
    <w:basedOn w:val="a"/>
    <w:qFormat/>
    <w:pPr>
      <w:widowControl/>
      <w:spacing w:line="240" w:lineRule="atLeast"/>
      <w:ind w:rightChars="-20" w:right="-42"/>
      <w:jc w:val="center"/>
      <w:textAlignment w:val="baseline"/>
    </w:pPr>
    <w:rPr>
      <w:rFonts w:ascii="宋体" w:hAnsi="宋体" w:cs="宋体"/>
      <w:kern w:val="0"/>
      <w:szCs w:val="21"/>
    </w:rPr>
  </w:style>
  <w:style w:type="paragraph" w:customStyle="1" w:styleId="ParaCharCharCharChar1">
    <w:name w:val="默认段落字体 Para Char Char Char Char1"/>
    <w:basedOn w:val="a"/>
    <w:qFormat/>
    <w:pPr>
      <w:widowControl/>
      <w:jc w:val="left"/>
    </w:pPr>
    <w:rPr>
      <w:rFonts w:ascii="宋体" w:hAnsi="宋体" w:cs="宋体"/>
      <w:kern w:val="0"/>
    </w:rPr>
  </w:style>
  <w:style w:type="paragraph" w:customStyle="1" w:styleId="a30">
    <w:name w:val="a3"/>
    <w:basedOn w:val="a"/>
    <w:qFormat/>
    <w:pPr>
      <w:widowControl/>
      <w:spacing w:before="100" w:beforeAutospacing="1" w:after="100" w:afterAutospacing="1"/>
      <w:jc w:val="left"/>
    </w:pPr>
    <w:rPr>
      <w:rFonts w:ascii="宋体" w:hAnsi="宋体" w:cs="宋体"/>
      <w:color w:val="000000"/>
      <w:kern w:val="0"/>
    </w:rPr>
  </w:style>
  <w:style w:type="paragraph" w:customStyle="1" w:styleId="affffffffffff1">
    <w:name w:val="表名"/>
    <w:basedOn w:val="a"/>
    <w:qFormat/>
    <w:pPr>
      <w:widowControl/>
      <w:jc w:val="center"/>
    </w:pPr>
    <w:rPr>
      <w:rFonts w:ascii="黑体" w:eastAsia="黑体" w:hAnsi="宋体" w:cs="宋体"/>
      <w:kern w:val="0"/>
      <w:sz w:val="18"/>
      <w:szCs w:val="20"/>
    </w:rPr>
  </w:style>
  <w:style w:type="paragraph" w:customStyle="1" w:styleId="2130">
    <w:name w:val="图题213"/>
    <w:basedOn w:val="affff4"/>
    <w:next w:val="affff4"/>
    <w:qFormat/>
    <w:pPr>
      <w:ind w:firstLine="0"/>
      <w:jc w:val="center"/>
    </w:pPr>
    <w:rPr>
      <w:rFonts w:ascii="黑体" w:eastAsia="黑体" w:hAnsi="宋体" w:cs="宋体"/>
      <w:b/>
      <w:bCs/>
      <w:szCs w:val="24"/>
    </w:rPr>
  </w:style>
  <w:style w:type="paragraph" w:customStyle="1" w:styleId="2fff8">
    <w:name w:val="黑体三号2"/>
    <w:basedOn w:val="affff4"/>
    <w:qFormat/>
    <w:pPr>
      <w:jc w:val="center"/>
    </w:pPr>
    <w:rPr>
      <w:rFonts w:ascii="黑体" w:eastAsia="黑体" w:hAnsi="宋体" w:cs="宋体"/>
      <w:b/>
      <w:bCs/>
      <w:sz w:val="32"/>
      <w:szCs w:val="20"/>
    </w:rPr>
  </w:style>
  <w:style w:type="paragraph" w:customStyle="1" w:styleId="ParaCharCharCharCharCharCharCharCharCharCharCharChar">
    <w:name w:val="默认段落字体 Para Char Char Char Char Char Char Char Char Char Char Char Char"/>
    <w:basedOn w:val="a"/>
    <w:qFormat/>
    <w:pPr>
      <w:widowControl/>
      <w:jc w:val="left"/>
    </w:pPr>
    <w:rPr>
      <w:rFonts w:ascii="宋体" w:hAnsi="宋体" w:cs="宋体"/>
      <w:kern w:val="0"/>
    </w:rPr>
  </w:style>
  <w:style w:type="paragraph" w:customStyle="1" w:styleId="-016">
    <w:name w:val="样式 左侧:  -0.16 厘米"/>
    <w:basedOn w:val="a"/>
    <w:qFormat/>
    <w:pPr>
      <w:widowControl/>
      <w:ind w:left="-90"/>
      <w:jc w:val="left"/>
    </w:pPr>
    <w:rPr>
      <w:rFonts w:ascii="宋体" w:hAnsi="宋体" w:cs="宋体"/>
      <w:snapToGrid w:val="0"/>
      <w:kern w:val="0"/>
    </w:rPr>
  </w:style>
  <w:style w:type="paragraph" w:customStyle="1" w:styleId="1ffff5">
    <w:name w:val="列表接续1"/>
    <w:basedOn w:val="a"/>
    <w:qFormat/>
    <w:pPr>
      <w:widowControl/>
      <w:spacing w:after="120"/>
      <w:ind w:leftChars="200" w:left="420"/>
      <w:jc w:val="left"/>
    </w:pPr>
    <w:rPr>
      <w:rFonts w:ascii="宋体" w:hAnsi="宋体" w:cs="宋体"/>
      <w:kern w:val="0"/>
    </w:rPr>
  </w:style>
  <w:style w:type="paragraph" w:customStyle="1" w:styleId="513">
    <w:name w:val="列表编号 51"/>
    <w:basedOn w:val="a"/>
    <w:qFormat/>
    <w:pPr>
      <w:widowControl/>
      <w:tabs>
        <w:tab w:val="left" w:pos="2040"/>
      </w:tabs>
      <w:ind w:left="2040" w:hanging="360"/>
      <w:jc w:val="left"/>
    </w:pPr>
    <w:rPr>
      <w:rFonts w:ascii="宋体" w:hAnsi="宋体" w:cs="宋体"/>
      <w:kern w:val="0"/>
    </w:rPr>
  </w:style>
  <w:style w:type="paragraph" w:customStyle="1" w:styleId="affffffffffff2">
    <w:name w:val="三级条标题"/>
    <w:basedOn w:val="affffffffffff3"/>
    <w:next w:val="a"/>
    <w:qFormat/>
    <w:pPr>
      <w:tabs>
        <w:tab w:val="left" w:pos="1008"/>
        <w:tab w:val="left" w:pos="2100"/>
        <w:tab w:val="left" w:pos="2660"/>
      </w:tabs>
      <w:outlineLvl w:val="4"/>
    </w:pPr>
  </w:style>
  <w:style w:type="paragraph" w:customStyle="1" w:styleId="affffffffffff3">
    <w:name w:val="二级条标题"/>
    <w:basedOn w:val="affffffffffff4"/>
    <w:next w:val="a"/>
    <w:qFormat/>
    <w:pPr>
      <w:tabs>
        <w:tab w:val="left" w:pos="980"/>
        <w:tab w:val="left" w:pos="1680"/>
        <w:tab w:val="left" w:pos="2240"/>
      </w:tabs>
      <w:outlineLvl w:val="3"/>
    </w:pPr>
  </w:style>
  <w:style w:type="paragraph" w:customStyle="1" w:styleId="affffffffffff4">
    <w:name w:val="一级条标题"/>
    <w:basedOn w:val="2"/>
    <w:next w:val="a"/>
    <w:qFormat/>
    <w:pPr>
      <w:keepNext w:val="0"/>
      <w:keepLines w:val="0"/>
      <w:numPr>
        <w:ilvl w:val="0"/>
        <w:numId w:val="0"/>
      </w:numPr>
      <w:tabs>
        <w:tab w:val="left" w:pos="1080"/>
        <w:tab w:val="left" w:pos="1260"/>
      </w:tabs>
      <w:spacing w:before="0" w:after="0" w:line="240" w:lineRule="auto"/>
      <w:outlineLvl w:val="2"/>
    </w:pPr>
    <w:rPr>
      <w:rFonts w:ascii="黑体" w:eastAsia="黑体" w:cs="Times New Roman"/>
      <w:b w:val="0"/>
      <w:bCs w:val="0"/>
      <w:sz w:val="21"/>
      <w:szCs w:val="20"/>
      <w:lang w:val="zh-CN"/>
    </w:rPr>
  </w:style>
  <w:style w:type="paragraph" w:customStyle="1" w:styleId="3fc">
    <w:name w:val="正文格式＝3"/>
    <w:basedOn w:val="affff4"/>
    <w:next w:val="affff4"/>
    <w:qFormat/>
    <w:rPr>
      <w:rFonts w:hAnsi="宋体"/>
      <w:szCs w:val="24"/>
    </w:rPr>
  </w:style>
  <w:style w:type="paragraph" w:customStyle="1" w:styleId="GM">
    <w:name w:val="GM"/>
    <w:basedOn w:val="1"/>
    <w:qFormat/>
    <w:pPr>
      <w:keepLines w:val="0"/>
      <w:numPr>
        <w:numId w:val="0"/>
      </w:numPr>
      <w:tabs>
        <w:tab w:val="left" w:pos="2260"/>
        <w:tab w:val="left" w:pos="2820"/>
        <w:tab w:val="left" w:pos="3420"/>
      </w:tabs>
      <w:spacing w:beforeLines="100" w:before="312" w:line="240" w:lineRule="auto"/>
      <w:ind w:left="851" w:right="-28" w:hanging="851"/>
      <w:jc w:val="left"/>
    </w:pPr>
    <w:rPr>
      <w:rFonts w:ascii="Arial" w:hAnsi="Arial"/>
      <w:bCs w:val="0"/>
      <w:kern w:val="0"/>
      <w:sz w:val="22"/>
      <w:szCs w:val="20"/>
      <w:lang w:val="zh-CN"/>
    </w:rPr>
  </w:style>
  <w:style w:type="paragraph" w:customStyle="1" w:styleId="CharChar2CharCharCharChar">
    <w:name w:val="Char Char2 Char Char Char Char"/>
    <w:basedOn w:val="a"/>
    <w:qFormat/>
    <w:pPr>
      <w:widowControl/>
      <w:jc w:val="left"/>
    </w:pPr>
    <w:rPr>
      <w:rFonts w:ascii="宋体" w:hAnsi="宋体" w:cs="宋体"/>
      <w:kern w:val="0"/>
    </w:rPr>
  </w:style>
  <w:style w:type="paragraph" w:customStyle="1" w:styleId="3fd">
    <w:name w:val="附件3"/>
    <w:basedOn w:val="1"/>
    <w:next w:val="affff4"/>
    <w:qFormat/>
    <w:pPr>
      <w:numPr>
        <w:numId w:val="0"/>
      </w:numPr>
      <w:spacing w:after="120"/>
      <w:jc w:val="left"/>
    </w:pPr>
    <w:rPr>
      <w:rFonts w:ascii="黑体" w:eastAsia="黑体"/>
      <w:b w:val="0"/>
      <w:sz w:val="32"/>
      <w:szCs w:val="32"/>
      <w:lang w:val="zh-CN"/>
    </w:rPr>
  </w:style>
  <w:style w:type="paragraph" w:customStyle="1" w:styleId="0936616">
    <w:name w:val="样式 宋体 首行缩进:  0.93 厘米 段前: 6 磅 段后: 6 磅 行距: 固定值 16 磅"/>
    <w:basedOn w:val="a"/>
    <w:qFormat/>
    <w:pPr>
      <w:widowControl/>
      <w:spacing w:before="160" w:after="160" w:line="320" w:lineRule="exact"/>
      <w:ind w:firstLine="527"/>
      <w:jc w:val="left"/>
    </w:pPr>
    <w:rPr>
      <w:rFonts w:ascii="宋体" w:hAnsi="宋体" w:cs="宋体"/>
      <w:kern w:val="0"/>
      <w:szCs w:val="20"/>
    </w:rPr>
  </w:style>
  <w:style w:type="paragraph" w:customStyle="1" w:styleId="1230">
    <w:name w:val="表题123"/>
    <w:basedOn w:val="ab"/>
    <w:qFormat/>
    <w:pPr>
      <w:widowControl/>
      <w:ind w:firstLineChars="0" w:firstLine="0"/>
      <w:jc w:val="center"/>
    </w:pPr>
    <w:rPr>
      <w:rFonts w:ascii="黑体" w:cs="Arial"/>
    </w:rPr>
  </w:style>
  <w:style w:type="paragraph" w:customStyle="1" w:styleId="630">
    <w:name w:val="正文格式63"/>
    <w:basedOn w:val="a"/>
    <w:qFormat/>
    <w:pPr>
      <w:widowControl/>
      <w:ind w:firstLine="482"/>
      <w:jc w:val="left"/>
    </w:pPr>
    <w:rPr>
      <w:rFonts w:ascii="宋体" w:hAnsi="宋体" w:cs="宋体"/>
      <w:kern w:val="0"/>
    </w:rPr>
  </w:style>
  <w:style w:type="paragraph" w:customStyle="1" w:styleId="ParaCharCharCharChar4">
    <w:name w:val="默认段落字体 Para Char Char Char Char4"/>
    <w:basedOn w:val="a"/>
    <w:qFormat/>
    <w:pPr>
      <w:widowControl/>
      <w:jc w:val="left"/>
    </w:pPr>
    <w:rPr>
      <w:rFonts w:ascii="宋体" w:hAnsi="宋体" w:cs="宋体"/>
      <w:kern w:val="0"/>
    </w:rPr>
  </w:style>
  <w:style w:type="paragraph" w:customStyle="1" w:styleId="1ffff6">
    <w:name w:val="引文目录标题1"/>
    <w:basedOn w:val="a"/>
    <w:next w:val="a"/>
    <w:qFormat/>
    <w:pPr>
      <w:widowControl/>
      <w:spacing w:before="120"/>
      <w:jc w:val="left"/>
    </w:pPr>
    <w:rPr>
      <w:rFonts w:ascii="Arial" w:hAnsi="Arial" w:cs="宋体"/>
      <w:kern w:val="0"/>
      <w:szCs w:val="20"/>
    </w:rPr>
  </w:style>
  <w:style w:type="paragraph" w:customStyle="1" w:styleId="331">
    <w:name w:val="表中文字33"/>
    <w:basedOn w:val="a"/>
    <w:qFormat/>
    <w:pPr>
      <w:widowControl/>
      <w:spacing w:line="240" w:lineRule="atLeast"/>
      <w:ind w:leftChars="-10" w:left="-24" w:rightChars="-20" w:right="-48"/>
      <w:jc w:val="center"/>
    </w:pPr>
    <w:rPr>
      <w:rFonts w:ascii="宋体" w:hAnsi="宋体" w:cs="宋体"/>
      <w:kern w:val="0"/>
      <w:szCs w:val="21"/>
    </w:rPr>
  </w:style>
  <w:style w:type="paragraph" w:customStyle="1" w:styleId="216">
    <w:name w:val="列表 21"/>
    <w:basedOn w:val="a"/>
    <w:qFormat/>
    <w:pPr>
      <w:widowControl/>
      <w:ind w:leftChars="200" w:left="100" w:hangingChars="200" w:hanging="200"/>
      <w:jc w:val="left"/>
    </w:pPr>
    <w:rPr>
      <w:rFonts w:ascii="宋体" w:hAnsi="宋体" w:cs="宋体"/>
      <w:kern w:val="0"/>
    </w:rPr>
  </w:style>
  <w:style w:type="paragraph" w:customStyle="1" w:styleId="affffffffffff5">
    <w:name w:val="表内文字边"/>
    <w:basedOn w:val="a"/>
    <w:qFormat/>
    <w:pPr>
      <w:widowControl/>
      <w:spacing w:line="240" w:lineRule="atLeast"/>
      <w:ind w:leftChars="-10" w:left="-21" w:rightChars="-20" w:right="-42"/>
      <w:jc w:val="left"/>
    </w:pPr>
    <w:rPr>
      <w:rFonts w:ascii="宋体" w:hAnsi="宋体" w:cs="宋体"/>
      <w:kern w:val="0"/>
      <w:szCs w:val="21"/>
    </w:rPr>
  </w:style>
  <w:style w:type="paragraph" w:customStyle="1" w:styleId="CharCharffff">
    <w:name w:val="批注框文本 Char Char"/>
    <w:basedOn w:val="a"/>
    <w:qFormat/>
    <w:pPr>
      <w:widowControl/>
      <w:jc w:val="left"/>
    </w:pPr>
    <w:rPr>
      <w:rFonts w:ascii="宋体" w:hAnsi="宋体" w:cs="宋体"/>
      <w:kern w:val="0"/>
      <w:sz w:val="18"/>
      <w:szCs w:val="20"/>
    </w:rPr>
  </w:style>
  <w:style w:type="paragraph" w:customStyle="1" w:styleId="4f1">
    <w:name w:val="图题4"/>
    <w:basedOn w:val="affff4"/>
    <w:next w:val="affff4"/>
    <w:qFormat/>
    <w:pPr>
      <w:ind w:firstLine="0"/>
      <w:jc w:val="center"/>
    </w:pPr>
    <w:rPr>
      <w:rFonts w:ascii="黑体" w:eastAsia="黑体" w:hAnsi="宋体" w:cs="宋体"/>
      <w:b/>
      <w:bCs/>
      <w:szCs w:val="24"/>
    </w:rPr>
  </w:style>
  <w:style w:type="paragraph" w:customStyle="1" w:styleId="217">
    <w:name w:val="图题21"/>
    <w:basedOn w:val="affff4"/>
    <w:next w:val="affff4"/>
    <w:pPr>
      <w:ind w:firstLine="0"/>
      <w:jc w:val="center"/>
    </w:pPr>
    <w:rPr>
      <w:rFonts w:ascii="黑体" w:eastAsia="黑体" w:hAnsi="宋体" w:cs="宋体"/>
      <w:b/>
      <w:bCs/>
      <w:szCs w:val="24"/>
    </w:rPr>
  </w:style>
  <w:style w:type="paragraph" w:customStyle="1" w:styleId="CharCharCharCharCharCharCharCharCharCharChar1CharCharCharCharCharCharCharCharCharCharCharCharCharCharCharChar1">
    <w:name w:val="Char Char Char Char Char Char Char Char Char Char Char1 Char Char Char Char Char Char Char Char Char Char Char Char Char Char Char Char1"/>
    <w:basedOn w:val="a"/>
    <w:qFormat/>
    <w:pPr>
      <w:widowControl/>
      <w:jc w:val="left"/>
    </w:pPr>
    <w:rPr>
      <w:rFonts w:ascii="宋体" w:hAnsi="宋体" w:cs="宋体"/>
      <w:kern w:val="0"/>
    </w:rPr>
  </w:style>
  <w:style w:type="paragraph" w:customStyle="1" w:styleId="affffffffffff6">
    <w:name w:val="图表名"/>
    <w:basedOn w:val="a"/>
    <w:qFormat/>
    <w:pPr>
      <w:widowControl/>
      <w:jc w:val="center"/>
    </w:pPr>
    <w:rPr>
      <w:rFonts w:ascii="宋体" w:eastAsia="黑体" w:hAnsi="宋体" w:cs="宋体"/>
      <w:snapToGrid w:val="0"/>
      <w:color w:val="000000"/>
      <w:kern w:val="0"/>
      <w:szCs w:val="28"/>
    </w:rPr>
  </w:style>
  <w:style w:type="paragraph" w:customStyle="1" w:styleId="3110">
    <w:name w:val="表题311"/>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affffffffffff7">
    <w:name w:val="条文"/>
    <w:basedOn w:val="5"/>
    <w:next w:val="a"/>
    <w:qFormat/>
    <w:pPr>
      <w:keepNext w:val="0"/>
      <w:widowControl/>
      <w:numPr>
        <w:ilvl w:val="0"/>
        <w:numId w:val="0"/>
      </w:numPr>
      <w:tabs>
        <w:tab w:val="left" w:pos="2638"/>
      </w:tabs>
      <w:spacing w:before="120" w:line="240" w:lineRule="auto"/>
      <w:ind w:left="2638" w:hanging="420"/>
      <w:jc w:val="left"/>
    </w:pPr>
    <w:rPr>
      <w:rFonts w:ascii="Times New Roman" w:hAnsi="Times New Roman"/>
      <w:b w:val="0"/>
      <w:bCs w:val="0"/>
      <w:kern w:val="0"/>
      <w:szCs w:val="20"/>
      <w:lang w:val="zh-CN"/>
    </w:rPr>
  </w:style>
  <w:style w:type="paragraph" w:customStyle="1" w:styleId="affffffffffff8">
    <w:name w:val="正文样式一"/>
    <w:basedOn w:val="a"/>
    <w:qFormat/>
    <w:pPr>
      <w:widowControl/>
      <w:spacing w:line="400" w:lineRule="atLeast"/>
      <w:ind w:firstLine="510"/>
      <w:jc w:val="left"/>
      <w:textAlignment w:val="baseline"/>
    </w:pPr>
    <w:rPr>
      <w:rFonts w:ascii="宋体" w:hAnsi="宋体" w:cs="宋体"/>
      <w:kern w:val="0"/>
      <w:szCs w:val="20"/>
    </w:rPr>
  </w:style>
  <w:style w:type="paragraph" w:customStyle="1" w:styleId="y0">
    <w:name w:val="y表头"/>
    <w:basedOn w:val="a0"/>
    <w:qFormat/>
    <w:pPr>
      <w:widowControl/>
      <w:tabs>
        <w:tab w:val="left" w:pos="900"/>
      </w:tabs>
      <w:spacing w:line="240" w:lineRule="auto"/>
      <w:jc w:val="center"/>
      <w:textAlignment w:val="baseline"/>
    </w:pPr>
    <w:rPr>
      <w:rFonts w:ascii="宋体" w:eastAsia="楷体_GB2312" w:hAnsi="宋体" w:hint="eastAsia"/>
      <w:b/>
      <w:szCs w:val="20"/>
    </w:rPr>
  </w:style>
  <w:style w:type="paragraph" w:customStyle="1" w:styleId="00000000000000">
    <w:name w:val="00000000000000"/>
    <w:basedOn w:val="2"/>
    <w:qFormat/>
    <w:pPr>
      <w:keepNext w:val="0"/>
      <w:keepLines w:val="0"/>
      <w:numPr>
        <w:ilvl w:val="0"/>
        <w:numId w:val="0"/>
      </w:numPr>
      <w:tabs>
        <w:tab w:val="left" w:pos="2670"/>
      </w:tabs>
      <w:spacing w:after="0"/>
      <w:ind w:firstLine="480"/>
      <w:outlineLvl w:val="9"/>
    </w:pPr>
    <w:rPr>
      <w:rFonts w:ascii="宋体" w:hAnsi="宋体" w:cs="Times New Roman"/>
      <w:b w:val="0"/>
      <w:kern w:val="18"/>
      <w:szCs w:val="21"/>
      <w:lang w:val="zh-CN"/>
    </w:rPr>
  </w:style>
  <w:style w:type="paragraph" w:customStyle="1" w:styleId="CharCharCharCharCharCharCharCharCharCharCharCharCharCharCharCharCharCharCharCharCharCharCharCharCharCharCharCharCharCharCharCharChar1CharCharCharCharCharChar">
    <w:name w:val="Char Char Char Char Char Char Char Char Char Char Char Char Char Char Char Char Char Char Char Char Char Char Char Char Char Char Char Char Char Char Char Char Char1 Char Char Char Char Char Char"/>
    <w:basedOn w:val="a"/>
    <w:qFormat/>
    <w:pPr>
      <w:widowControl/>
      <w:jc w:val="left"/>
    </w:pPr>
    <w:rPr>
      <w:rFonts w:ascii="宋体" w:hAnsi="宋体" w:cs="宋体"/>
      <w:kern w:val="0"/>
    </w:rPr>
  </w:style>
  <w:style w:type="paragraph" w:customStyle="1" w:styleId="pic-info">
    <w:name w:val="pic-info"/>
    <w:basedOn w:val="a"/>
    <w:qFormat/>
    <w:pPr>
      <w:widowControl/>
      <w:spacing w:before="100" w:beforeAutospacing="1" w:after="100" w:afterAutospacing="1"/>
      <w:jc w:val="left"/>
    </w:pPr>
    <w:rPr>
      <w:rFonts w:ascii="宋体" w:hAnsi="宋体" w:cs="宋体"/>
      <w:kern w:val="0"/>
    </w:rPr>
  </w:style>
  <w:style w:type="paragraph" w:customStyle="1" w:styleId="821">
    <w:name w:val="正文格式82"/>
    <w:basedOn w:val="a"/>
    <w:qFormat/>
    <w:pPr>
      <w:widowControl/>
      <w:ind w:firstLine="482"/>
      <w:jc w:val="left"/>
    </w:pPr>
    <w:rPr>
      <w:rFonts w:ascii="宋体" w:hAnsi="宋体" w:cs="宋体"/>
      <w:kern w:val="0"/>
    </w:rPr>
  </w:style>
  <w:style w:type="paragraph" w:customStyle="1" w:styleId="5111">
    <w:name w:val="表内宋5111"/>
    <w:basedOn w:val="1ff2"/>
    <w:qFormat/>
    <w:rPr>
      <w:rFonts w:ascii="宋体" w:hAnsi="宋体" w:cs="宋体"/>
      <w:color w:val="000000"/>
      <w:sz w:val="21"/>
      <w:szCs w:val="24"/>
    </w:rPr>
  </w:style>
  <w:style w:type="paragraph" w:customStyle="1" w:styleId="CharCharChar1CharCharCharCharCharCharCharCharCharCharCharCharCharCharCharChar">
    <w:name w:val="Char Char Char1 Char Char Char Char Char Char Char Char Char Char Char Char Char Char Char Char"/>
    <w:basedOn w:val="a"/>
    <w:qFormat/>
    <w:pPr>
      <w:widowControl/>
      <w:jc w:val="left"/>
    </w:pPr>
    <w:rPr>
      <w:rFonts w:ascii="宋体" w:hAnsi="宋体" w:cs="宋体"/>
      <w:kern w:val="0"/>
      <w:szCs w:val="21"/>
    </w:rPr>
  </w:style>
  <w:style w:type="paragraph" w:customStyle="1" w:styleId="little">
    <w:name w:val="little"/>
    <w:basedOn w:val="a"/>
    <w:pPr>
      <w:widowControl/>
      <w:spacing w:before="100" w:beforeAutospacing="1" w:after="100" w:afterAutospacing="1"/>
      <w:jc w:val="left"/>
    </w:pPr>
    <w:rPr>
      <w:rFonts w:ascii="宋体" w:hAnsi="宋体" w:cs="宋体"/>
      <w:kern w:val="0"/>
    </w:rPr>
  </w:style>
  <w:style w:type="paragraph" w:customStyle="1" w:styleId="4312">
    <w:name w:val="标题4312"/>
    <w:basedOn w:val="a"/>
    <w:qFormat/>
    <w:pPr>
      <w:widowControl/>
      <w:spacing w:line="480" w:lineRule="exact"/>
      <w:jc w:val="center"/>
    </w:pPr>
    <w:rPr>
      <w:rFonts w:ascii="宋体" w:hAnsi="宋体" w:cs="宋体"/>
      <w:kern w:val="0"/>
    </w:rPr>
  </w:style>
  <w:style w:type="paragraph" w:customStyle="1" w:styleId="affffffffffff9">
    <w:name w:val="新正文样式"/>
    <w:basedOn w:val="a"/>
    <w:qFormat/>
    <w:pPr>
      <w:widowControl/>
      <w:tabs>
        <w:tab w:val="left" w:pos="567"/>
      </w:tabs>
      <w:ind w:firstLine="567"/>
      <w:jc w:val="left"/>
    </w:pPr>
    <w:rPr>
      <w:rFonts w:ascii="宋体" w:hAnsi="宋体" w:cs="宋体"/>
      <w:spacing w:val="20"/>
      <w:kern w:val="0"/>
      <w:szCs w:val="20"/>
    </w:rPr>
  </w:style>
  <w:style w:type="paragraph" w:customStyle="1" w:styleId="M">
    <w:name w:val="M"/>
    <w:basedOn w:val="1"/>
    <w:qFormat/>
    <w:pPr>
      <w:keepLines w:val="0"/>
      <w:numPr>
        <w:numId w:val="0"/>
      </w:numPr>
      <w:tabs>
        <w:tab w:val="left" w:pos="2260"/>
        <w:tab w:val="left" w:pos="2820"/>
        <w:tab w:val="left" w:pos="3420"/>
      </w:tabs>
      <w:spacing w:before="440" w:line="240" w:lineRule="auto"/>
      <w:ind w:left="851" w:right="-28" w:hanging="851"/>
      <w:jc w:val="left"/>
    </w:pPr>
    <w:rPr>
      <w:rFonts w:ascii="Arial" w:hAnsi="Arial"/>
      <w:b w:val="0"/>
      <w:bCs w:val="0"/>
      <w:kern w:val="0"/>
      <w:sz w:val="22"/>
      <w:szCs w:val="20"/>
      <w:lang w:val="zh-CN"/>
    </w:rPr>
  </w:style>
  <w:style w:type="paragraph" w:customStyle="1" w:styleId="Char1CharCharCharCharChar1Char1">
    <w:name w:val="Char1 Char Char Char Char Char1 Char1"/>
    <w:basedOn w:val="a"/>
    <w:qFormat/>
    <w:pPr>
      <w:widowControl/>
      <w:jc w:val="left"/>
    </w:pPr>
    <w:rPr>
      <w:rFonts w:ascii="宋体" w:hAnsi="宋体" w:cs="宋体"/>
      <w:kern w:val="0"/>
      <w:szCs w:val="21"/>
    </w:rPr>
  </w:style>
  <w:style w:type="paragraph" w:customStyle="1" w:styleId="2fff9">
    <w:name w:val="表格内字体2"/>
    <w:basedOn w:val="affff4"/>
    <w:next w:val="affff4"/>
    <w:qFormat/>
    <w:pPr>
      <w:spacing w:line="240" w:lineRule="auto"/>
      <w:ind w:firstLine="0"/>
      <w:jc w:val="center"/>
    </w:pPr>
    <w:rPr>
      <w:rFonts w:hAnsi="宋体"/>
      <w:sz w:val="21"/>
      <w:szCs w:val="24"/>
    </w:rPr>
  </w:style>
  <w:style w:type="paragraph" w:customStyle="1" w:styleId="1ffff7">
    <w:name w:val="图题1"/>
    <w:basedOn w:val="affff4"/>
    <w:next w:val="affff4"/>
    <w:qFormat/>
    <w:pPr>
      <w:ind w:firstLine="0"/>
      <w:jc w:val="center"/>
    </w:pPr>
    <w:rPr>
      <w:rFonts w:ascii="黑体" w:eastAsia="黑体" w:hAnsi="宋体" w:cs="宋体"/>
      <w:b/>
      <w:bCs/>
      <w:szCs w:val="24"/>
    </w:rPr>
  </w:style>
  <w:style w:type="paragraph" w:customStyle="1" w:styleId="521">
    <w:name w:val="表文字52"/>
    <w:basedOn w:val="a"/>
    <w:qFormat/>
    <w:pPr>
      <w:widowControl/>
      <w:jc w:val="left"/>
      <w:textAlignment w:val="baseline"/>
    </w:pPr>
    <w:rPr>
      <w:rFonts w:ascii="宋体" w:hAnsi="宋体" w:cs="宋体"/>
      <w:kern w:val="0"/>
      <w:szCs w:val="20"/>
    </w:rPr>
  </w:style>
  <w:style w:type="paragraph" w:customStyle="1" w:styleId="514">
    <w:name w:val="列表接续 51"/>
    <w:basedOn w:val="a"/>
    <w:qFormat/>
    <w:pPr>
      <w:widowControl/>
      <w:spacing w:after="120"/>
      <w:ind w:leftChars="1000" w:left="2100"/>
      <w:jc w:val="left"/>
    </w:pPr>
    <w:rPr>
      <w:rFonts w:ascii="宋体" w:hAnsi="宋体" w:cs="宋体"/>
      <w:kern w:val="0"/>
    </w:rPr>
  </w:style>
  <w:style w:type="paragraph" w:customStyle="1" w:styleId="CharCharChar1CharCharCharCharCharCharCharCharCharCharCharCharCharCharChar1CharCharCharCharCharCharCharCharCharCharCharCharCharCharCharCharCharCharCharCharCharCharCharCharCharCharCharCharCharChar">
    <w:name w:val="Char Char Char1 Char Char Char Char Char Char Char Char Char Char Char Char Char Char Char1 Char Char Char Char Char Char Char Char Char Char Char Char Char Char Char Char Char Char Char Char Char Char Char Char Char Char Char Char Char Char"/>
    <w:basedOn w:val="a"/>
    <w:qFormat/>
    <w:pPr>
      <w:widowControl/>
      <w:spacing w:line="240" w:lineRule="exact"/>
      <w:jc w:val="left"/>
    </w:pPr>
    <w:rPr>
      <w:rFonts w:ascii="宋体" w:hAnsi="宋体" w:cs="宋体"/>
      <w:kern w:val="0"/>
      <w:szCs w:val="28"/>
    </w:rPr>
  </w:style>
  <w:style w:type="paragraph" w:customStyle="1" w:styleId="412">
    <w:name w:val="列表 41"/>
    <w:basedOn w:val="a"/>
    <w:qFormat/>
    <w:pPr>
      <w:widowControl/>
      <w:ind w:leftChars="600" w:left="100" w:hangingChars="200" w:hanging="200"/>
      <w:jc w:val="left"/>
    </w:pPr>
    <w:rPr>
      <w:rFonts w:ascii="宋体" w:hAnsi="宋体" w:cs="宋体"/>
      <w:kern w:val="0"/>
    </w:rPr>
  </w:style>
  <w:style w:type="paragraph" w:customStyle="1" w:styleId="CharCharCharCharCharCharCharCharCharCharChar1">
    <w:name w:val="Char Char Char Char Char Char Char Char Char Char Char1"/>
    <w:basedOn w:val="a"/>
    <w:qFormat/>
    <w:pPr>
      <w:widowControl/>
      <w:jc w:val="left"/>
    </w:pPr>
    <w:rPr>
      <w:rFonts w:ascii="宋体" w:hAnsi="宋体" w:cs="宋体"/>
      <w:kern w:val="0"/>
    </w:rPr>
  </w:style>
  <w:style w:type="paragraph" w:customStyle="1" w:styleId="530">
    <w:name w:val="表文字53"/>
    <w:basedOn w:val="a"/>
    <w:qFormat/>
    <w:pPr>
      <w:widowControl/>
      <w:jc w:val="left"/>
      <w:textAlignment w:val="baseline"/>
    </w:pPr>
    <w:rPr>
      <w:rFonts w:ascii="宋体" w:hAnsi="宋体" w:cs="宋体"/>
      <w:kern w:val="0"/>
      <w:szCs w:val="20"/>
    </w:rPr>
  </w:style>
  <w:style w:type="paragraph" w:customStyle="1" w:styleId="CharCharCharCharCharCharCharCharCharCharCharChar2">
    <w:name w:val="Char Char Char Char Char Char Char Char Char Char Char Char2"/>
    <w:basedOn w:val="a"/>
    <w:qFormat/>
    <w:pPr>
      <w:widowControl/>
      <w:jc w:val="left"/>
    </w:pPr>
    <w:rPr>
      <w:rFonts w:ascii="宋体" w:hAnsi="宋体" w:cs="宋体"/>
      <w:kern w:val="0"/>
    </w:rPr>
  </w:style>
  <w:style w:type="paragraph" w:customStyle="1" w:styleId="591">
    <w:name w:val="表内591"/>
    <w:basedOn w:val="a"/>
    <w:qFormat/>
    <w:pPr>
      <w:widowControl/>
      <w:spacing w:line="300" w:lineRule="auto"/>
      <w:jc w:val="center"/>
    </w:pPr>
    <w:rPr>
      <w:rFonts w:ascii="宋体" w:hAnsi="宋体" w:cs="宋体"/>
      <w:snapToGrid w:val="0"/>
      <w:kern w:val="0"/>
      <w:szCs w:val="21"/>
    </w:rPr>
  </w:style>
  <w:style w:type="paragraph" w:customStyle="1" w:styleId="-4">
    <w:name w:val="标-4"/>
    <w:basedOn w:val="a"/>
    <w:qFormat/>
    <w:pPr>
      <w:widowControl/>
      <w:spacing w:before="120"/>
      <w:ind w:left="851" w:hanging="851"/>
      <w:jc w:val="left"/>
    </w:pPr>
    <w:rPr>
      <w:rFonts w:ascii="宋体" w:hAnsi="宋体" w:cs="宋体"/>
      <w:kern w:val="0"/>
      <w:szCs w:val="20"/>
    </w:rPr>
  </w:style>
  <w:style w:type="paragraph" w:customStyle="1" w:styleId="1ffff8">
    <w:name w:val="索引标题1"/>
    <w:basedOn w:val="a"/>
    <w:next w:val="110"/>
    <w:qFormat/>
    <w:pPr>
      <w:widowControl/>
      <w:jc w:val="left"/>
    </w:pPr>
    <w:rPr>
      <w:rFonts w:ascii="宋体" w:hAnsi="宋体" w:cs="宋体"/>
      <w:kern w:val="0"/>
    </w:rPr>
  </w:style>
  <w:style w:type="paragraph" w:customStyle="1" w:styleId="Char11113">
    <w:name w:val="Char1111"/>
    <w:basedOn w:val="a"/>
    <w:qFormat/>
    <w:pPr>
      <w:widowControl/>
      <w:spacing w:before="156"/>
      <w:jc w:val="left"/>
    </w:pPr>
    <w:rPr>
      <w:rFonts w:ascii="黑体" w:eastAsia="黑体" w:hAnsi="宋体" w:cs="宋体"/>
      <w:kern w:val="0"/>
      <w:sz w:val="32"/>
      <w:szCs w:val="32"/>
    </w:rPr>
  </w:style>
  <w:style w:type="paragraph" w:customStyle="1" w:styleId="CharCharCharCharCharCharCharCharCharCharCharCharCharCharCharCharCharCharCharCharCharCharCharCharCharChar11">
    <w:name w:val="Char Char Char Char Char Char Char Char Char Char Char Char Char Char Char Char Char Char Char Char Char Char Char Char Char Char11"/>
    <w:basedOn w:val="a"/>
    <w:qFormat/>
    <w:pPr>
      <w:widowControl/>
      <w:jc w:val="left"/>
    </w:pPr>
    <w:rPr>
      <w:rFonts w:ascii="宋体" w:hAnsi="宋体" w:cs="宋体"/>
      <w:kern w:val="0"/>
    </w:rPr>
  </w:style>
  <w:style w:type="paragraph" w:customStyle="1" w:styleId="5f3">
    <w:name w:val="正文修改5"/>
    <w:basedOn w:val="affffe"/>
    <w:qFormat/>
    <w:rPr>
      <w:rFonts w:eastAsia="宋体" w:hAnsi="宋体" w:cs="宋体"/>
      <w:color w:val="000000"/>
      <w:szCs w:val="24"/>
    </w:rPr>
  </w:style>
  <w:style w:type="paragraph" w:customStyle="1" w:styleId="affffffffffffa">
    <w:name w:val="文本框"/>
    <w:basedOn w:val="a"/>
    <w:next w:val="a"/>
    <w:qFormat/>
    <w:pPr>
      <w:widowControl/>
      <w:spacing w:line="320" w:lineRule="exact"/>
      <w:jc w:val="center"/>
    </w:pPr>
    <w:rPr>
      <w:rFonts w:ascii="仿宋_GB2312" w:hAnsi="宋体" w:cs="宋体"/>
      <w:kern w:val="0"/>
    </w:rPr>
  </w:style>
  <w:style w:type="paragraph" w:customStyle="1" w:styleId="1ffff9">
    <w:name w:val="黑体三号1"/>
    <w:basedOn w:val="affff4"/>
    <w:qFormat/>
    <w:pPr>
      <w:jc w:val="center"/>
    </w:pPr>
    <w:rPr>
      <w:rFonts w:ascii="黑体" w:eastAsia="黑体" w:hAnsi="宋体" w:cs="宋体"/>
      <w:b/>
      <w:bCs/>
      <w:sz w:val="32"/>
      <w:szCs w:val="20"/>
    </w:rPr>
  </w:style>
  <w:style w:type="paragraph" w:customStyle="1" w:styleId="3fe">
    <w:name w:val="黑体三号3"/>
    <w:basedOn w:val="affff4"/>
    <w:qFormat/>
    <w:pPr>
      <w:jc w:val="center"/>
    </w:pPr>
    <w:rPr>
      <w:rFonts w:ascii="黑体" w:eastAsia="黑体" w:hAnsi="宋体" w:cs="宋体"/>
      <w:b/>
      <w:bCs/>
      <w:sz w:val="32"/>
      <w:szCs w:val="20"/>
    </w:rPr>
  </w:style>
  <w:style w:type="paragraph" w:customStyle="1" w:styleId="3ff">
    <w:name w:val="表3"/>
    <w:basedOn w:val="a"/>
    <w:qFormat/>
    <w:pPr>
      <w:widowControl/>
      <w:jc w:val="center"/>
    </w:pPr>
    <w:rPr>
      <w:rFonts w:ascii="宋体" w:hAnsi="宋体" w:cs="宋体"/>
      <w:kern w:val="0"/>
    </w:rPr>
  </w:style>
  <w:style w:type="paragraph" w:customStyle="1" w:styleId="3xi1">
    <w:name w:val="3xi1"/>
    <w:basedOn w:val="a"/>
    <w:qFormat/>
    <w:pPr>
      <w:widowControl/>
      <w:spacing w:before="100" w:beforeAutospacing="1" w:after="100" w:afterAutospacing="1"/>
      <w:jc w:val="left"/>
    </w:pPr>
    <w:rPr>
      <w:rFonts w:ascii="宋体" w:hAnsi="宋体" w:cs="宋体"/>
      <w:kern w:val="0"/>
    </w:rPr>
  </w:style>
  <w:style w:type="paragraph" w:customStyle="1" w:styleId="Char1CharCharCharCharChar1Char">
    <w:name w:val="Char1 Char Char Char Char Char1 Char"/>
    <w:basedOn w:val="a"/>
    <w:qFormat/>
    <w:pPr>
      <w:widowControl/>
      <w:jc w:val="left"/>
    </w:pPr>
    <w:rPr>
      <w:rFonts w:ascii="宋体" w:hAnsi="宋体" w:cs="宋体"/>
      <w:kern w:val="0"/>
      <w:szCs w:val="21"/>
    </w:rPr>
  </w:style>
  <w:style w:type="paragraph" w:customStyle="1" w:styleId="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1"/>
    <w:basedOn w:val="a"/>
    <w:qFormat/>
    <w:pPr>
      <w:widowControl/>
      <w:jc w:val="left"/>
    </w:pPr>
    <w:rPr>
      <w:rFonts w:ascii="宋体" w:hAnsi="宋体" w:cs="宋体"/>
      <w:kern w:val="0"/>
    </w:rPr>
  </w:style>
  <w:style w:type="paragraph" w:customStyle="1" w:styleId="-10">
    <w:name w:val="文-1"/>
    <w:basedOn w:val="a"/>
    <w:qFormat/>
    <w:pPr>
      <w:widowControl/>
      <w:spacing w:before="120"/>
      <w:ind w:left="851" w:firstLine="482"/>
      <w:jc w:val="left"/>
    </w:pPr>
    <w:rPr>
      <w:rFonts w:ascii="宋体" w:hAnsi="宋体" w:cs="宋体"/>
      <w:kern w:val="0"/>
      <w:szCs w:val="20"/>
    </w:rPr>
  </w:style>
  <w:style w:type="paragraph" w:customStyle="1" w:styleId="CharCharCharCharCharCharCharCharCharCharChar1CharCharCharCharCharCharCharCharCharCharCharCharCharCharCharChar">
    <w:name w:val="Char Char Char Char Char Char Char Char Char Char Char1 Char Char Char Char Char Char Char Char Char Char Char Char Char Char Char Char"/>
    <w:basedOn w:val="a"/>
    <w:qFormat/>
    <w:pPr>
      <w:widowControl/>
      <w:jc w:val="left"/>
    </w:pPr>
    <w:rPr>
      <w:rFonts w:ascii="宋体" w:hAnsi="宋体" w:cs="宋体"/>
      <w:kern w:val="0"/>
    </w:rPr>
  </w:style>
  <w:style w:type="paragraph" w:customStyle="1" w:styleId="54141">
    <w:name w:val="表内54141"/>
    <w:basedOn w:val="a"/>
    <w:qFormat/>
    <w:pPr>
      <w:widowControl/>
      <w:spacing w:line="300" w:lineRule="auto"/>
      <w:jc w:val="center"/>
    </w:pPr>
    <w:rPr>
      <w:rFonts w:ascii="宋体" w:hAnsi="宋体" w:cs="宋体"/>
      <w:kern w:val="0"/>
      <w:szCs w:val="20"/>
    </w:rPr>
  </w:style>
  <w:style w:type="paragraph" w:customStyle="1" w:styleId="1H1NMPHeading1SectionHeadHeader1h11stleve">
    <w:name w:val="样式 样式 标题 1章标题章节H1NMP Heading 1Section HeadHeader1h11st leve... +..."/>
    <w:basedOn w:val="a"/>
    <w:qFormat/>
    <w:pPr>
      <w:keepNext/>
      <w:widowControl/>
      <w:spacing w:after="156"/>
      <w:jc w:val="left"/>
      <w:outlineLvl w:val="0"/>
    </w:pPr>
    <w:rPr>
      <w:rFonts w:ascii="仿宋_GB2312" w:hAnsi="宋体" w:cs="宋体"/>
      <w:b/>
      <w:bCs/>
      <w:kern w:val="0"/>
      <w:sz w:val="32"/>
      <w:szCs w:val="32"/>
    </w:rPr>
  </w:style>
  <w:style w:type="paragraph" w:customStyle="1" w:styleId="affffffffffffb">
    <w:name w:val="图表标题"/>
    <w:basedOn w:val="affffff8"/>
    <w:next w:val="affffffffffffc"/>
    <w:qFormat/>
    <w:pPr>
      <w:widowControl/>
      <w:overflowPunct/>
      <w:autoSpaceDE/>
      <w:autoSpaceDN/>
      <w:spacing w:beforeLines="0" w:before="0" w:afterLines="0" w:after="0" w:line="360" w:lineRule="auto"/>
      <w:ind w:rightChars="0" w:right="0" w:firstLineChars="300" w:firstLine="723"/>
      <w:jc w:val="center"/>
      <w:textAlignment w:val="baseline"/>
    </w:pPr>
    <w:rPr>
      <w:rFonts w:cs="宋体"/>
      <w:b/>
      <w:szCs w:val="24"/>
    </w:rPr>
  </w:style>
  <w:style w:type="paragraph" w:customStyle="1" w:styleId="affffffffffffc">
    <w:name w:val="报告表格"/>
    <w:basedOn w:val="a"/>
    <w:qFormat/>
    <w:pPr>
      <w:widowControl/>
      <w:autoSpaceDE w:val="0"/>
      <w:autoSpaceDN w:val="0"/>
      <w:spacing w:before="40" w:after="40"/>
      <w:jc w:val="center"/>
      <w:textAlignment w:val="bottom"/>
    </w:pPr>
    <w:rPr>
      <w:rFonts w:ascii="宋体" w:hAnsi="宋体" w:cs="宋体"/>
      <w:kern w:val="0"/>
      <w:szCs w:val="20"/>
    </w:rPr>
  </w:style>
  <w:style w:type="paragraph" w:customStyle="1" w:styleId="CharCharCharCharCharCharCharCharCharCharCharCharCharCharCharCharCharCharCharCharCharCharCharCharCharChar2">
    <w:name w:val="Char Char Char Char Char Char Char Char Char Char Char Char Char Char Char Char Char Char Char Char Char Char Char Char Char Char2"/>
    <w:basedOn w:val="a"/>
    <w:qFormat/>
    <w:pPr>
      <w:widowControl/>
      <w:jc w:val="left"/>
    </w:pPr>
    <w:rPr>
      <w:rFonts w:ascii="宋体" w:hAnsi="宋体" w:cs="宋体"/>
      <w:kern w:val="0"/>
    </w:rPr>
  </w:style>
  <w:style w:type="paragraph" w:customStyle="1" w:styleId="76">
    <w:name w:val="样式7"/>
    <w:basedOn w:val="1"/>
    <w:qFormat/>
    <w:pPr>
      <w:numPr>
        <w:numId w:val="0"/>
      </w:numPr>
      <w:tabs>
        <w:tab w:val="left" w:pos="432"/>
      </w:tabs>
      <w:spacing w:beforeLines="200" w:before="624" w:afterLines="200" w:after="624"/>
      <w:ind w:left="432" w:hanging="432"/>
    </w:pPr>
    <w:rPr>
      <w:rFonts w:eastAsia="黑体"/>
      <w:b w:val="0"/>
      <w:bCs w:val="0"/>
      <w:color w:val="000000"/>
      <w:sz w:val="30"/>
      <w:lang w:val="zh-CN"/>
    </w:rPr>
  </w:style>
  <w:style w:type="paragraph" w:customStyle="1" w:styleId="CharCharCharChar1CharCharChar">
    <w:name w:val="Char Char Char Char1 Char Char Char"/>
    <w:basedOn w:val="a"/>
    <w:qFormat/>
    <w:pPr>
      <w:widowControl/>
      <w:spacing w:after="160" w:line="240" w:lineRule="exact"/>
      <w:jc w:val="left"/>
    </w:pPr>
    <w:rPr>
      <w:rFonts w:ascii="Verdana" w:hAnsi="Verdana" w:cs="宋体"/>
      <w:kern w:val="0"/>
      <w:sz w:val="20"/>
      <w:szCs w:val="20"/>
      <w:lang w:eastAsia="en-US"/>
    </w:rPr>
  </w:style>
  <w:style w:type="paragraph" w:customStyle="1" w:styleId="affffffffffffd">
    <w:name w:val="正文居中"/>
    <w:basedOn w:val="1f3"/>
    <w:qFormat/>
    <w:pPr>
      <w:spacing w:before="48" w:after="0" w:line="360" w:lineRule="auto"/>
      <w:ind w:firstLineChars="200" w:firstLine="480"/>
      <w:jc w:val="left"/>
      <w:textAlignment w:val="baseline"/>
    </w:pPr>
    <w:rPr>
      <w:szCs w:val="24"/>
      <w:lang w:val="zh-CN"/>
    </w:rPr>
  </w:style>
  <w:style w:type="paragraph" w:customStyle="1" w:styleId="02">
    <w:name w:val="样式 列表 + 左侧:  0 厘米 悬挂缩进: 2 字符"/>
    <w:basedOn w:val="aff5"/>
    <w:qFormat/>
    <w:pPr>
      <w:widowControl/>
      <w:tabs>
        <w:tab w:val="center" w:pos="4153"/>
        <w:tab w:val="right" w:pos="8306"/>
      </w:tabs>
      <w:spacing w:line="320" w:lineRule="exact"/>
    </w:pPr>
    <w:rPr>
      <w:rFonts w:ascii="Times New Roman" w:eastAsia="方正仿宋_GBK" w:hAnsi="宋体" w:cs="宋体"/>
      <w:kern w:val="0"/>
      <w:sz w:val="21"/>
      <w:szCs w:val="21"/>
    </w:rPr>
  </w:style>
  <w:style w:type="paragraph" w:customStyle="1" w:styleId="CharCharCharCharCharCharChar23">
    <w:name w:val="Char Char Char Char Char Char Char23"/>
    <w:basedOn w:val="a"/>
    <w:qFormat/>
    <w:pPr>
      <w:widowControl/>
      <w:jc w:val="left"/>
    </w:pPr>
    <w:rPr>
      <w:rFonts w:ascii="宋体" w:hAnsi="宋体" w:cs="宋体"/>
      <w:kern w:val="0"/>
    </w:rPr>
  </w:style>
  <w:style w:type="paragraph" w:customStyle="1" w:styleId="43111">
    <w:name w:val="标题43111"/>
    <w:basedOn w:val="a"/>
    <w:qFormat/>
    <w:pPr>
      <w:widowControl/>
      <w:spacing w:line="480" w:lineRule="exact"/>
      <w:jc w:val="center"/>
    </w:pPr>
    <w:rPr>
      <w:rFonts w:ascii="宋体" w:hAnsi="宋体" w:cs="宋体"/>
      <w:kern w:val="0"/>
    </w:rPr>
  </w:style>
  <w:style w:type="paragraph" w:customStyle="1" w:styleId="316">
    <w:name w:val="正文格式＝31"/>
    <w:basedOn w:val="affff4"/>
    <w:next w:val="affff4"/>
    <w:qFormat/>
    <w:rPr>
      <w:rFonts w:hAnsi="宋体"/>
      <w:szCs w:val="24"/>
    </w:rPr>
  </w:style>
  <w:style w:type="paragraph" w:customStyle="1" w:styleId="218">
    <w:name w:val="样式 日期 + 左侧:  21 字符"/>
    <w:basedOn w:val="1f4"/>
    <w:qFormat/>
    <w:pPr>
      <w:widowControl/>
      <w:ind w:leftChars="1800" w:left="1800" w:firstLineChars="0" w:firstLine="0"/>
    </w:pPr>
    <w:rPr>
      <w:rFonts w:ascii="Times New Roman" w:cs="宋体"/>
      <w:b/>
      <w:bCs/>
      <w:sz w:val="28"/>
      <w:szCs w:val="20"/>
    </w:rPr>
  </w:style>
  <w:style w:type="paragraph" w:customStyle="1" w:styleId="224">
    <w:name w:val="表内文字小22"/>
    <w:basedOn w:val="a"/>
    <w:qFormat/>
    <w:pPr>
      <w:widowControl/>
      <w:jc w:val="center"/>
    </w:pPr>
    <w:rPr>
      <w:rFonts w:ascii="宋体" w:hAnsi="Times" w:cs="宋体"/>
      <w:bCs/>
      <w:color w:val="000000"/>
      <w:kern w:val="0"/>
      <w:szCs w:val="20"/>
    </w:rPr>
  </w:style>
  <w:style w:type="paragraph" w:customStyle="1" w:styleId="2fffa">
    <w:name w:val="正文文本2"/>
    <w:basedOn w:val="a"/>
    <w:qFormat/>
    <w:pPr>
      <w:widowControl/>
      <w:spacing w:after="120"/>
      <w:jc w:val="left"/>
    </w:pPr>
    <w:rPr>
      <w:rFonts w:ascii="宋体" w:hAnsi="宋体" w:cs="宋体" w:hint="eastAsia"/>
      <w:kern w:val="0"/>
      <w:szCs w:val="20"/>
    </w:rPr>
  </w:style>
  <w:style w:type="paragraph" w:customStyle="1" w:styleId="5f4">
    <w:name w:val="表内宋5"/>
    <w:basedOn w:val="5f5"/>
    <w:qFormat/>
    <w:pPr>
      <w:autoSpaceDE w:val="0"/>
      <w:autoSpaceDN w:val="0"/>
      <w:textAlignment w:val="auto"/>
    </w:pPr>
    <w:rPr>
      <w:color w:val="auto"/>
      <w:w w:val="90"/>
    </w:rPr>
  </w:style>
  <w:style w:type="paragraph" w:customStyle="1" w:styleId="5f5">
    <w:name w:val="表内宋5中"/>
    <w:basedOn w:val="a"/>
    <w:qFormat/>
    <w:pPr>
      <w:widowControl/>
      <w:jc w:val="left"/>
      <w:textAlignment w:val="baseline"/>
    </w:pPr>
    <w:rPr>
      <w:rFonts w:ascii="宋体" w:hAnsi="宋体" w:cs="宋体"/>
      <w:color w:val="000000"/>
      <w:kern w:val="0"/>
      <w:szCs w:val="20"/>
    </w:rPr>
  </w:style>
  <w:style w:type="paragraph" w:customStyle="1" w:styleId="1111">
    <w:name w:val="正文格式＝111"/>
    <w:basedOn w:val="affff4"/>
    <w:next w:val="affff4"/>
    <w:qFormat/>
    <w:rPr>
      <w:rFonts w:hAnsi="宋体"/>
      <w:szCs w:val="24"/>
    </w:rPr>
  </w:style>
  <w:style w:type="paragraph" w:customStyle="1" w:styleId="339391352">
    <w:name w:val="样式 标题 3 + 加粗 段前: 3.9 磅 段后: 3.9 磅 行距: 多倍行距 1.35 字行2"/>
    <w:basedOn w:val="3"/>
    <w:qFormat/>
    <w:pPr>
      <w:numPr>
        <w:ilvl w:val="0"/>
        <w:numId w:val="0"/>
      </w:numPr>
      <w:tabs>
        <w:tab w:val="left" w:pos="709"/>
      </w:tabs>
      <w:spacing w:before="78" w:after="78" w:line="324" w:lineRule="auto"/>
      <w:ind w:left="709" w:hanging="709"/>
      <w:jc w:val="both"/>
    </w:pPr>
    <w:rPr>
      <w:rFonts w:ascii="仿宋_GB2312" w:cs="宋体"/>
      <w:szCs w:val="20"/>
    </w:rPr>
  </w:style>
  <w:style w:type="paragraph" w:customStyle="1" w:styleId="Char163">
    <w:name w:val="Char16"/>
    <w:basedOn w:val="a"/>
    <w:qFormat/>
    <w:pPr>
      <w:widowControl/>
      <w:ind w:left="-48"/>
      <w:jc w:val="left"/>
    </w:pPr>
    <w:rPr>
      <w:rFonts w:ascii="宋体" w:hAnsi="宋体" w:cs="宋体"/>
      <w:kern w:val="0"/>
    </w:rPr>
  </w:style>
  <w:style w:type="paragraph" w:customStyle="1" w:styleId="414H4H4141H42H4111421">
    <w:name w:val="样式 标题 4无效格式无效格式1河石管道4H4H41小小节河石管道41H42H411小小节1河石管道42...1"/>
    <w:basedOn w:val="4"/>
    <w:qFormat/>
    <w:pPr>
      <w:numPr>
        <w:ilvl w:val="0"/>
        <w:numId w:val="0"/>
      </w:numPr>
      <w:spacing w:after="0" w:line="360" w:lineRule="auto"/>
      <w:ind w:left="664" w:hanging="864"/>
    </w:pPr>
    <w:rPr>
      <w:rFonts w:ascii="黑体" w:eastAsia="黑体" w:hAnsi="Arial" w:cs="宋体"/>
      <w:b w:val="0"/>
      <w:bCs w:val="0"/>
      <w:kern w:val="2"/>
      <w:sz w:val="24"/>
      <w:szCs w:val="20"/>
    </w:rPr>
  </w:style>
  <w:style w:type="paragraph" w:customStyle="1" w:styleId="CharCharCharCharCharCharCharCharCharCharCharCharCharCharCharCharCharChar1">
    <w:name w:val="Char Char Char Char Char Char Char Char Char Char Char Char Char Char Char Char Char Char1"/>
    <w:basedOn w:val="a"/>
    <w:qFormat/>
    <w:pPr>
      <w:widowControl/>
      <w:jc w:val="left"/>
    </w:pPr>
    <w:rPr>
      <w:rFonts w:ascii="宋体" w:hAnsi="宋体" w:cs="宋体"/>
      <w:kern w:val="0"/>
    </w:rPr>
  </w:style>
  <w:style w:type="paragraph" w:customStyle="1" w:styleId="515">
    <w:name w:val="样式 表内小5 + 黑体 加粗 倾斜 下划线1"/>
    <w:basedOn w:val="a"/>
    <w:qFormat/>
    <w:pPr>
      <w:widowControl/>
      <w:spacing w:line="300" w:lineRule="auto"/>
      <w:jc w:val="left"/>
    </w:pPr>
    <w:rPr>
      <w:rFonts w:ascii="黑体" w:eastAsia="黑体" w:hAnsi="黑体" w:cs="宋体"/>
      <w:b/>
      <w:bCs/>
      <w:i/>
      <w:iCs/>
      <w:kern w:val="0"/>
      <w:sz w:val="18"/>
      <w:u w:val="single"/>
    </w:rPr>
  </w:style>
  <w:style w:type="paragraph" w:customStyle="1" w:styleId="300">
    <w:name w:val="样式 标题 3 + 黑色 段前: 0行 段后: 0 行"/>
    <w:basedOn w:val="3"/>
    <w:qFormat/>
    <w:pPr>
      <w:numPr>
        <w:ilvl w:val="0"/>
        <w:numId w:val="0"/>
      </w:numPr>
      <w:tabs>
        <w:tab w:val="left" w:pos="426"/>
        <w:tab w:val="left" w:pos="1080"/>
      </w:tabs>
      <w:spacing w:before="156" w:line="324" w:lineRule="auto"/>
      <w:jc w:val="both"/>
    </w:pPr>
    <w:rPr>
      <w:rFonts w:ascii="仿宋_GB2312"/>
      <w:b w:val="0"/>
      <w:bCs w:val="0"/>
      <w:color w:val="000000"/>
      <w:szCs w:val="20"/>
    </w:rPr>
  </w:style>
  <w:style w:type="paragraph" w:customStyle="1" w:styleId="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w:basedOn w:val="a"/>
    <w:qFormat/>
    <w:pPr>
      <w:widowControl/>
      <w:jc w:val="left"/>
    </w:pPr>
    <w:rPr>
      <w:rFonts w:ascii="宋体" w:hAnsi="宋体" w:cs="宋体"/>
      <w:kern w:val="0"/>
    </w:rPr>
  </w:style>
  <w:style w:type="paragraph" w:customStyle="1" w:styleId="2131">
    <w:name w:val="表内文字小213"/>
    <w:basedOn w:val="a"/>
    <w:qFormat/>
    <w:pPr>
      <w:widowControl/>
      <w:jc w:val="center"/>
      <w:textAlignment w:val="baseline"/>
    </w:pPr>
    <w:rPr>
      <w:rFonts w:ascii="宋体" w:hAnsi="Times" w:cs="宋体"/>
      <w:bCs/>
      <w:color w:val="000000"/>
      <w:kern w:val="0"/>
      <w:szCs w:val="20"/>
    </w:rPr>
  </w:style>
  <w:style w:type="paragraph" w:customStyle="1" w:styleId="322">
    <w:name w:val="正文修改32"/>
    <w:basedOn w:val="affffe"/>
    <w:qFormat/>
    <w:rPr>
      <w:rFonts w:eastAsia="宋体" w:hAnsi="宋体" w:cs="宋体"/>
      <w:color w:val="000000"/>
      <w:szCs w:val="24"/>
    </w:rPr>
  </w:style>
  <w:style w:type="paragraph" w:customStyle="1" w:styleId="ParaCharCharCharChar22">
    <w:name w:val="默认段落字体 Para Char Char Char Char22"/>
    <w:basedOn w:val="a"/>
    <w:qFormat/>
    <w:pPr>
      <w:widowControl/>
      <w:jc w:val="left"/>
    </w:pPr>
    <w:rPr>
      <w:rFonts w:ascii="宋体" w:hAnsi="宋体" w:cs="宋体"/>
      <w:kern w:val="0"/>
    </w:rPr>
  </w:style>
  <w:style w:type="paragraph" w:customStyle="1" w:styleId="Char154">
    <w:name w:val="Char15"/>
    <w:basedOn w:val="a"/>
    <w:qFormat/>
    <w:pPr>
      <w:widowControl/>
      <w:ind w:left="-48"/>
      <w:jc w:val="left"/>
    </w:pPr>
    <w:rPr>
      <w:rFonts w:ascii="宋体" w:hAnsi="宋体" w:cs="宋体"/>
      <w:kern w:val="0"/>
    </w:rPr>
  </w:style>
  <w:style w:type="paragraph" w:customStyle="1" w:styleId="5413">
    <w:name w:val="表内5413"/>
    <w:basedOn w:val="a"/>
    <w:qFormat/>
    <w:pPr>
      <w:widowControl/>
      <w:spacing w:line="300" w:lineRule="auto"/>
      <w:jc w:val="center"/>
    </w:pPr>
    <w:rPr>
      <w:rFonts w:ascii="宋体" w:hAnsi="宋体" w:cs="宋体"/>
      <w:kern w:val="0"/>
      <w:szCs w:val="20"/>
    </w:rPr>
  </w:style>
  <w:style w:type="paragraph" w:customStyle="1" w:styleId="1ffffa">
    <w:name w:val="表格样式1"/>
    <w:basedOn w:val="a"/>
    <w:qFormat/>
    <w:pPr>
      <w:widowControl/>
      <w:spacing w:line="20" w:lineRule="atLeast"/>
      <w:jc w:val="center"/>
      <w:textAlignment w:val="baseline"/>
    </w:pPr>
    <w:rPr>
      <w:rFonts w:ascii="宋体" w:hAnsi="宋体" w:cs="宋体"/>
      <w:kern w:val="0"/>
      <w:szCs w:val="20"/>
    </w:rPr>
  </w:style>
  <w:style w:type="paragraph" w:customStyle="1" w:styleId="CharCharCharCharCharCharCharCharCharCharCharCharChar2">
    <w:name w:val="Char Char Char Char Char Char Char Char Char Char Char Char Char2"/>
    <w:basedOn w:val="a"/>
    <w:qFormat/>
    <w:pPr>
      <w:widowControl/>
      <w:jc w:val="left"/>
    </w:pPr>
    <w:rPr>
      <w:rFonts w:ascii="宋体" w:hAnsi="宋体" w:cs="宋体"/>
      <w:kern w:val="0"/>
    </w:rPr>
  </w:style>
  <w:style w:type="paragraph" w:customStyle="1" w:styleId="5411">
    <w:name w:val="表内5411"/>
    <w:basedOn w:val="a"/>
    <w:qFormat/>
    <w:pPr>
      <w:widowControl/>
      <w:spacing w:line="300" w:lineRule="auto"/>
      <w:jc w:val="center"/>
    </w:pPr>
    <w:rPr>
      <w:rFonts w:ascii="宋体" w:hAnsi="宋体" w:cs="宋体"/>
      <w:kern w:val="0"/>
      <w:szCs w:val="20"/>
    </w:rPr>
  </w:style>
  <w:style w:type="paragraph" w:customStyle="1" w:styleId="CharCharCharCharCharCharChar14">
    <w:name w:val="Char Char Char Char Char Char Char14"/>
    <w:basedOn w:val="a"/>
    <w:qFormat/>
    <w:pPr>
      <w:widowControl/>
      <w:jc w:val="left"/>
    </w:pPr>
    <w:rPr>
      <w:rFonts w:ascii="宋体" w:hAnsi="宋体" w:cs="宋体"/>
      <w:kern w:val="0"/>
    </w:rPr>
  </w:style>
  <w:style w:type="paragraph" w:customStyle="1" w:styleId="CharCharCharCharCharCharCharChar1CharCharCharCharCharCharCharCharCharCharCharChar">
    <w:name w:val="Char Char Char Char Char Char Char Char1 Char Char Char Char Char Char Char Char Char Char Char Char"/>
    <w:basedOn w:val="a"/>
    <w:qFormat/>
    <w:pPr>
      <w:widowControl/>
      <w:jc w:val="left"/>
    </w:pPr>
    <w:rPr>
      <w:rFonts w:ascii="宋体" w:hAnsi="宋体" w:cs="宋体"/>
      <w:kern w:val="0"/>
    </w:rPr>
  </w:style>
  <w:style w:type="paragraph" w:customStyle="1" w:styleId="Char421">
    <w:name w:val="Char421"/>
    <w:basedOn w:val="a"/>
    <w:pPr>
      <w:widowControl/>
      <w:ind w:left="-48"/>
      <w:jc w:val="left"/>
    </w:pPr>
    <w:rPr>
      <w:rFonts w:ascii="宋体" w:hAnsi="宋体" w:cs="宋体"/>
      <w:kern w:val="0"/>
    </w:rPr>
  </w:style>
  <w:style w:type="paragraph" w:customStyle="1" w:styleId="516">
    <w:name w:val="表内5中1"/>
    <w:basedOn w:val="a"/>
    <w:qFormat/>
    <w:pPr>
      <w:widowControl/>
      <w:jc w:val="center"/>
    </w:pPr>
    <w:rPr>
      <w:rFonts w:ascii="宋体" w:hAnsi="宋体" w:cs="Arial"/>
      <w:snapToGrid w:val="0"/>
      <w:color w:val="000000"/>
      <w:kern w:val="0"/>
      <w:szCs w:val="21"/>
    </w:rPr>
  </w:style>
  <w:style w:type="paragraph" w:customStyle="1" w:styleId="Char85">
    <w:name w:val="Char8"/>
    <w:basedOn w:val="a"/>
    <w:qFormat/>
    <w:pPr>
      <w:widowControl/>
      <w:ind w:left="-48"/>
      <w:jc w:val="left"/>
    </w:pPr>
    <w:rPr>
      <w:rFonts w:ascii="宋体" w:hAnsi="宋体" w:cs="宋体"/>
      <w:kern w:val="0"/>
    </w:rPr>
  </w:style>
  <w:style w:type="paragraph" w:customStyle="1" w:styleId="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w:basedOn w:val="a"/>
    <w:qFormat/>
    <w:pPr>
      <w:widowControl/>
      <w:jc w:val="left"/>
    </w:pPr>
    <w:rPr>
      <w:rFonts w:ascii="宋体" w:hAnsi="宋体" w:cs="宋体"/>
      <w:kern w:val="0"/>
    </w:rPr>
  </w:style>
  <w:style w:type="paragraph" w:customStyle="1" w:styleId="affffffffffffe">
    <w:name w:val="项目编号"/>
    <w:basedOn w:val="a"/>
    <w:next w:val="afffffffffffff"/>
    <w:qFormat/>
    <w:pPr>
      <w:widowControl/>
      <w:spacing w:before="120" w:after="120"/>
      <w:jc w:val="left"/>
    </w:pPr>
    <w:rPr>
      <w:rFonts w:ascii="宋体" w:hAnsi="宋体" w:cs="宋体"/>
      <w:kern w:val="0"/>
    </w:rPr>
  </w:style>
  <w:style w:type="paragraph" w:customStyle="1" w:styleId="afffffffffffff">
    <w:name w:val="项目编号文字"/>
    <w:basedOn w:val="a"/>
    <w:next w:val="1fb"/>
    <w:qFormat/>
    <w:pPr>
      <w:widowControl/>
      <w:spacing w:before="120" w:after="120"/>
      <w:ind w:left="1077"/>
      <w:jc w:val="left"/>
    </w:pPr>
    <w:rPr>
      <w:rFonts w:ascii="宋体" w:hAnsi="宋体" w:cs="宋体"/>
      <w:kern w:val="0"/>
    </w:rPr>
  </w:style>
  <w:style w:type="paragraph" w:customStyle="1" w:styleId="CharCharCharCharCharCharChar21">
    <w:name w:val="Char Char Char Char Char Char Char21"/>
    <w:basedOn w:val="a"/>
    <w:qFormat/>
    <w:pPr>
      <w:widowControl/>
      <w:jc w:val="left"/>
    </w:pPr>
    <w:rPr>
      <w:rFonts w:ascii="宋体" w:hAnsi="宋体" w:cs="宋体"/>
      <w:kern w:val="0"/>
    </w:rPr>
  </w:style>
  <w:style w:type="paragraph" w:customStyle="1" w:styleId="afffffffffffff0">
    <w:name w:val="注："/>
    <w:next w:val="a"/>
    <w:qFormat/>
    <w:pPr>
      <w:widowControl w:val="0"/>
      <w:tabs>
        <w:tab w:val="left" w:pos="895"/>
      </w:tabs>
      <w:autoSpaceDE w:val="0"/>
      <w:autoSpaceDN w:val="0"/>
      <w:ind w:left="895" w:hanging="420"/>
      <w:jc w:val="both"/>
    </w:pPr>
    <w:rPr>
      <w:rFonts w:ascii="宋体"/>
      <w:sz w:val="18"/>
    </w:rPr>
  </w:style>
  <w:style w:type="paragraph" w:customStyle="1" w:styleId="CharChar2CharCharCharChar5">
    <w:name w:val="Char Char2 Char Char Char Char5"/>
    <w:basedOn w:val="a"/>
    <w:qFormat/>
    <w:pPr>
      <w:widowControl/>
      <w:jc w:val="left"/>
    </w:pPr>
    <w:rPr>
      <w:rFonts w:ascii="宋体" w:hAnsi="宋体" w:cs="宋体"/>
      <w:kern w:val="0"/>
    </w:rPr>
  </w:style>
  <w:style w:type="paragraph" w:customStyle="1" w:styleId="1ffffb">
    <w:name w:val="目录1"/>
    <w:basedOn w:val="12"/>
    <w:next w:val="12"/>
    <w:qFormat/>
    <w:pPr>
      <w:widowControl/>
      <w:tabs>
        <w:tab w:val="left" w:leader="dot" w:pos="8492"/>
        <w:tab w:val="right" w:leader="dot" w:pos="8525"/>
      </w:tabs>
      <w:spacing w:before="120" w:after="156" w:line="360" w:lineRule="auto"/>
      <w:jc w:val="left"/>
      <w:textAlignment w:val="baseline"/>
    </w:pPr>
    <w:rPr>
      <w:rFonts w:ascii="宋体" w:hAnsi="Times New Roman"/>
      <w:b w:val="0"/>
      <w:bCs/>
      <w:caps/>
      <w:color w:val="000000"/>
      <w:kern w:val="0"/>
      <w:szCs w:val="20"/>
      <w:u w:color="000000"/>
    </w:rPr>
  </w:style>
  <w:style w:type="paragraph" w:customStyle="1" w:styleId="1ffffc">
    <w:name w:val="附件1"/>
    <w:basedOn w:val="1"/>
    <w:next w:val="affff4"/>
    <w:pPr>
      <w:numPr>
        <w:numId w:val="0"/>
      </w:numPr>
      <w:adjustRightInd/>
      <w:snapToGrid/>
      <w:spacing w:after="210"/>
      <w:jc w:val="left"/>
    </w:pPr>
    <w:rPr>
      <w:rFonts w:ascii="黑体" w:eastAsia="黑体"/>
      <w:b w:val="0"/>
      <w:sz w:val="32"/>
      <w:szCs w:val="32"/>
      <w:lang w:val="zh-CN"/>
    </w:rPr>
  </w:style>
  <w:style w:type="paragraph" w:customStyle="1" w:styleId="1ffffd">
    <w:name w:val="寄信人地址1"/>
    <w:basedOn w:val="a"/>
    <w:qFormat/>
    <w:pPr>
      <w:widowControl/>
      <w:jc w:val="left"/>
    </w:pPr>
    <w:rPr>
      <w:rFonts w:ascii="Arial" w:hAnsi="Arial" w:cs="Arial"/>
      <w:kern w:val="0"/>
    </w:rPr>
  </w:style>
  <w:style w:type="paragraph" w:customStyle="1" w:styleId="122">
    <w:name w:val="样式12"/>
    <w:basedOn w:val="314"/>
    <w:qFormat/>
    <w:pPr>
      <w:spacing w:line="240" w:lineRule="auto"/>
      <w:ind w:firstLine="0"/>
      <w:jc w:val="center"/>
    </w:pPr>
    <w:rPr>
      <w:rFonts w:cs="Times New Roman"/>
      <w:b/>
      <w:color w:val="auto"/>
      <w:szCs w:val="20"/>
    </w:rPr>
  </w:style>
  <w:style w:type="paragraph" w:customStyle="1" w:styleId="Char1CharCharChar">
    <w:name w:val="Char1 Char Char Char"/>
    <w:basedOn w:val="a"/>
    <w:qFormat/>
    <w:pPr>
      <w:widowControl/>
      <w:jc w:val="left"/>
    </w:pPr>
    <w:rPr>
      <w:rFonts w:ascii="宋体" w:hAnsi="宋体" w:cs="宋体"/>
      <w:kern w:val="0"/>
      <w:szCs w:val="21"/>
    </w:rPr>
  </w:style>
  <w:style w:type="paragraph" w:customStyle="1" w:styleId="MG">
    <w:name w:val="MG"/>
    <w:basedOn w:val="1"/>
    <w:qFormat/>
    <w:pPr>
      <w:keepLines w:val="0"/>
      <w:numPr>
        <w:numId w:val="0"/>
      </w:numPr>
      <w:tabs>
        <w:tab w:val="left" w:pos="2260"/>
        <w:tab w:val="left" w:pos="2820"/>
        <w:tab w:val="left" w:pos="3420"/>
      </w:tabs>
      <w:spacing w:before="440" w:line="240" w:lineRule="auto"/>
      <w:ind w:left="851" w:right="-28" w:hanging="851"/>
      <w:jc w:val="left"/>
    </w:pPr>
    <w:rPr>
      <w:rFonts w:ascii="Arial" w:hAnsi="Arial"/>
      <w:bCs w:val="0"/>
      <w:kern w:val="0"/>
      <w:sz w:val="22"/>
      <w:szCs w:val="20"/>
      <w:lang w:val="zh-CN"/>
    </w:rPr>
  </w:style>
  <w:style w:type="paragraph" w:customStyle="1" w:styleId="141">
    <w:name w:val="表题141"/>
    <w:basedOn w:val="a"/>
    <w:qFormat/>
    <w:pPr>
      <w:widowControl/>
      <w:jc w:val="center"/>
    </w:pPr>
    <w:rPr>
      <w:rFonts w:ascii="黑体" w:eastAsia="黑体" w:hAnsi="宋体" w:cs="宋体"/>
      <w:kern w:val="0"/>
    </w:rPr>
  </w:style>
  <w:style w:type="paragraph" w:customStyle="1" w:styleId="CharCharCharCharCharCharCharCharCharCharCharChar1">
    <w:name w:val="Char Char Char Char Char Char Char Char Char Char Char Char1"/>
    <w:basedOn w:val="a"/>
    <w:qFormat/>
    <w:pPr>
      <w:widowControl/>
      <w:jc w:val="left"/>
    </w:pPr>
    <w:rPr>
      <w:rFonts w:ascii="宋体" w:hAnsi="宋体" w:cs="宋体"/>
      <w:kern w:val="0"/>
    </w:rPr>
  </w:style>
  <w:style w:type="paragraph" w:customStyle="1" w:styleId="323">
    <w:name w:val="正文文本缩进 32"/>
    <w:basedOn w:val="a"/>
    <w:qFormat/>
    <w:pPr>
      <w:widowControl/>
      <w:spacing w:after="120"/>
      <w:ind w:leftChars="200" w:left="420"/>
      <w:jc w:val="left"/>
    </w:pPr>
    <w:rPr>
      <w:rFonts w:ascii="宋体" w:hAnsi="宋体" w:cs="宋体"/>
      <w:kern w:val="0"/>
      <w:sz w:val="16"/>
      <w:szCs w:val="16"/>
    </w:rPr>
  </w:style>
  <w:style w:type="paragraph" w:customStyle="1" w:styleId="116">
    <w:name w:val="样式11"/>
    <w:basedOn w:val="a"/>
    <w:qFormat/>
    <w:pPr>
      <w:widowControl/>
      <w:spacing w:line="312" w:lineRule="auto"/>
      <w:ind w:left="1275"/>
      <w:jc w:val="left"/>
    </w:pPr>
    <w:rPr>
      <w:rFonts w:ascii="仿宋_GB2312" w:hAnsi="宋体" w:cs="宋体"/>
      <w:kern w:val="0"/>
    </w:rPr>
  </w:style>
  <w:style w:type="paragraph" w:customStyle="1" w:styleId="1120">
    <w:name w:val="燕山正文112"/>
    <w:basedOn w:val="a"/>
    <w:qFormat/>
    <w:pPr>
      <w:widowControl/>
      <w:tabs>
        <w:tab w:val="left" w:pos="4680"/>
      </w:tabs>
      <w:spacing w:line="480" w:lineRule="exact"/>
      <w:jc w:val="left"/>
    </w:pPr>
    <w:rPr>
      <w:rFonts w:ascii="宋体" w:hAnsi="宋体" w:cs="宋体"/>
      <w:bCs/>
      <w:color w:val="000000"/>
      <w:kern w:val="0"/>
    </w:rPr>
  </w:style>
  <w:style w:type="paragraph" w:customStyle="1" w:styleId="5140">
    <w:name w:val="表内宋5中14"/>
    <w:basedOn w:val="a"/>
    <w:qFormat/>
    <w:pPr>
      <w:widowControl/>
      <w:jc w:val="center"/>
      <w:textAlignment w:val="baseline"/>
    </w:pPr>
    <w:rPr>
      <w:rFonts w:ascii="宋体" w:hAnsi="宋体" w:cs="宋体"/>
      <w:kern w:val="0"/>
      <w:szCs w:val="20"/>
    </w:rPr>
  </w:style>
  <w:style w:type="paragraph" w:customStyle="1" w:styleId="afffffffffffff1">
    <w:name w:val="正文格式＝"/>
    <w:basedOn w:val="affff4"/>
    <w:next w:val="affff4"/>
    <w:qFormat/>
    <w:rPr>
      <w:rFonts w:hAnsi="宋体"/>
      <w:szCs w:val="24"/>
    </w:rPr>
  </w:style>
  <w:style w:type="paragraph" w:customStyle="1" w:styleId="3ff0">
    <w:name w:val="正文.3"/>
    <w:qFormat/>
    <w:pPr>
      <w:widowControl w:val="0"/>
      <w:autoSpaceDE w:val="0"/>
      <w:autoSpaceDN w:val="0"/>
      <w:adjustRightInd w:val="0"/>
      <w:jc w:val="both"/>
    </w:pPr>
    <w:rPr>
      <w:rFonts w:ascii="Times New Roman;Symbol;Arial;婼" w:eastAsia="Times New Roman;Symbol;Arial;婼"/>
      <w:sz w:val="21"/>
      <w:szCs w:val="21"/>
    </w:rPr>
  </w:style>
  <w:style w:type="paragraph" w:customStyle="1" w:styleId="CharCharCharCharCharCharCharCharCharCharCharCharCharCharChar0">
    <w:name w:val="Char Char Char Char Char Char Char Char Char Char Char Char Char Char Char"/>
    <w:basedOn w:val="a"/>
    <w:qFormat/>
    <w:pPr>
      <w:widowControl/>
      <w:jc w:val="left"/>
    </w:pPr>
    <w:rPr>
      <w:rFonts w:ascii="宋体" w:hAnsi="宋体" w:cs="宋体"/>
      <w:kern w:val="0"/>
    </w:rPr>
  </w:style>
  <w:style w:type="paragraph" w:customStyle="1" w:styleId="1413">
    <w:name w:val="表题1413"/>
    <w:basedOn w:val="a"/>
    <w:qFormat/>
    <w:pPr>
      <w:widowControl/>
      <w:jc w:val="center"/>
    </w:pPr>
    <w:rPr>
      <w:rFonts w:ascii="黑体" w:eastAsia="黑体" w:hAnsi="宋体" w:cs="宋体"/>
      <w:kern w:val="0"/>
    </w:rPr>
  </w:style>
  <w:style w:type="paragraph" w:customStyle="1" w:styleId="CharCharCharChar1CharCharChar2">
    <w:name w:val="Char Char Char Char1 Char Char Char2"/>
    <w:basedOn w:val="a"/>
    <w:qFormat/>
    <w:pPr>
      <w:widowControl/>
      <w:spacing w:after="160" w:line="240" w:lineRule="exact"/>
      <w:jc w:val="left"/>
    </w:pPr>
    <w:rPr>
      <w:rFonts w:ascii="Verdana" w:hAnsi="Verdana" w:cs="宋体"/>
      <w:kern w:val="0"/>
      <w:sz w:val="20"/>
      <w:szCs w:val="20"/>
      <w:lang w:eastAsia="en-US"/>
    </w:rPr>
  </w:style>
  <w:style w:type="paragraph" w:customStyle="1" w:styleId="140">
    <w:name w:val="表题14"/>
    <w:basedOn w:val="ab"/>
    <w:qFormat/>
    <w:pPr>
      <w:widowControl/>
      <w:ind w:firstLineChars="0" w:firstLine="0"/>
      <w:jc w:val="center"/>
    </w:pPr>
    <w:rPr>
      <w:rFonts w:ascii="黑体" w:cs="Arial"/>
      <w:b/>
    </w:rPr>
  </w:style>
  <w:style w:type="paragraph" w:customStyle="1" w:styleId="4f2">
    <w:name w:val="附件4"/>
    <w:basedOn w:val="1"/>
    <w:next w:val="affff4"/>
    <w:qFormat/>
    <w:pPr>
      <w:numPr>
        <w:numId w:val="0"/>
      </w:numPr>
      <w:adjustRightInd/>
      <w:snapToGrid/>
      <w:spacing w:after="210"/>
      <w:jc w:val="left"/>
    </w:pPr>
    <w:rPr>
      <w:rFonts w:ascii="黑体" w:eastAsia="黑体"/>
      <w:sz w:val="32"/>
      <w:szCs w:val="32"/>
      <w:lang w:val="zh-CN"/>
    </w:rPr>
  </w:style>
  <w:style w:type="paragraph" w:customStyle="1" w:styleId="afffffffffffff2">
    <w:name w:val="湛江码头表"/>
    <w:basedOn w:val="a"/>
    <w:qFormat/>
    <w:pPr>
      <w:widowControl/>
      <w:jc w:val="center"/>
    </w:pPr>
    <w:rPr>
      <w:rFonts w:ascii="宋体" w:hAnsi="宋体" w:cs="宋体"/>
      <w:kern w:val="0"/>
      <w:lang w:eastAsia="zh-TW"/>
    </w:rPr>
  </w:style>
  <w:style w:type="paragraph" w:customStyle="1" w:styleId="afffffffffffff3">
    <w:name w:val="表序号"/>
    <w:basedOn w:val="5"/>
    <w:qFormat/>
    <w:pPr>
      <w:widowControl/>
      <w:numPr>
        <w:ilvl w:val="0"/>
        <w:numId w:val="0"/>
      </w:numPr>
      <w:tabs>
        <w:tab w:val="left" w:pos="0"/>
        <w:tab w:val="left" w:pos="780"/>
      </w:tabs>
      <w:ind w:leftChars="800" w:left="360" w:hangingChars="200" w:hanging="1134"/>
      <w:jc w:val="center"/>
    </w:pPr>
    <w:rPr>
      <w:rFonts w:ascii="宋体" w:hAnsi="Arial" w:cs="宋体"/>
      <w:kern w:val="0"/>
      <w:szCs w:val="24"/>
      <w:lang w:val="zh-CN"/>
    </w:rPr>
  </w:style>
  <w:style w:type="paragraph" w:customStyle="1" w:styleId="219">
    <w:name w:val="列表接续 21"/>
    <w:basedOn w:val="a"/>
    <w:qFormat/>
    <w:pPr>
      <w:widowControl/>
      <w:spacing w:after="120"/>
      <w:ind w:leftChars="400" w:left="840"/>
      <w:jc w:val="left"/>
    </w:pPr>
    <w:rPr>
      <w:rFonts w:ascii="宋体" w:hAnsi="宋体" w:cs="宋体"/>
      <w:kern w:val="0"/>
    </w:rPr>
  </w:style>
  <w:style w:type="paragraph" w:customStyle="1" w:styleId="523">
    <w:name w:val="表格内字体52"/>
    <w:basedOn w:val="affff4"/>
    <w:next w:val="affff4"/>
    <w:qFormat/>
    <w:pPr>
      <w:spacing w:line="240" w:lineRule="auto"/>
      <w:ind w:firstLine="0"/>
    </w:pPr>
    <w:rPr>
      <w:rFonts w:hAnsi="宋体"/>
      <w:sz w:val="21"/>
      <w:szCs w:val="24"/>
    </w:rPr>
  </w:style>
  <w:style w:type="paragraph" w:customStyle="1" w:styleId="CharCharCharCharCharCharCharCharCharCharCharCharCharCharCharCharCharCharCharCharCharCharCharChar1">
    <w:name w:val="Char Char Char Char Char Char Char Char Char Char Char Char Char Char Char Char Char Char Char Char Char Char Char Char1"/>
    <w:basedOn w:val="a"/>
    <w:pPr>
      <w:widowControl/>
      <w:jc w:val="left"/>
    </w:pPr>
    <w:rPr>
      <w:rFonts w:ascii="宋体" w:hAnsi="宋体" w:cs="宋体"/>
      <w:kern w:val="0"/>
    </w:rPr>
  </w:style>
  <w:style w:type="paragraph" w:customStyle="1" w:styleId="317">
    <w:name w:val="燕山正文31"/>
    <w:basedOn w:val="a"/>
    <w:qFormat/>
    <w:pPr>
      <w:widowControl/>
      <w:tabs>
        <w:tab w:val="left" w:pos="4680"/>
      </w:tabs>
      <w:spacing w:line="480" w:lineRule="exact"/>
      <w:jc w:val="left"/>
    </w:pPr>
    <w:rPr>
      <w:rFonts w:ascii="宋体" w:hAnsi="宋体" w:cs="宋体"/>
      <w:kern w:val="0"/>
    </w:rPr>
  </w:style>
  <w:style w:type="paragraph" w:customStyle="1" w:styleId="324">
    <w:name w:val="表中文字32"/>
    <w:basedOn w:val="a"/>
    <w:pPr>
      <w:widowControl/>
      <w:spacing w:line="240" w:lineRule="atLeast"/>
      <w:ind w:leftChars="-10" w:left="-24" w:rightChars="-20" w:right="-48"/>
      <w:jc w:val="center"/>
    </w:pPr>
    <w:rPr>
      <w:rFonts w:ascii="宋体" w:hAnsi="宋体" w:cs="宋体"/>
      <w:kern w:val="0"/>
      <w:szCs w:val="21"/>
    </w:rPr>
  </w:style>
  <w:style w:type="paragraph" w:customStyle="1" w:styleId="1310">
    <w:name w:val="表题131"/>
    <w:basedOn w:val="ab"/>
    <w:qFormat/>
    <w:pPr>
      <w:widowControl/>
      <w:ind w:firstLineChars="0" w:firstLine="0"/>
      <w:jc w:val="center"/>
    </w:pPr>
    <w:rPr>
      <w:rFonts w:ascii="黑体" w:cs="Arial"/>
      <w:b/>
    </w:rPr>
  </w:style>
  <w:style w:type="paragraph" w:customStyle="1" w:styleId="CharCharCharCharCharCharCharCharCharCharCharCharCharCharCharCharCharCharCharCharCharCharCharCharCharChar1">
    <w:name w:val="Char Char Char Char Char Char Char Char Char Char Char Char Char Char Char Char Char Char Char Char Char Char Char Char Char Char1"/>
    <w:basedOn w:val="a"/>
    <w:qFormat/>
    <w:pPr>
      <w:widowControl/>
      <w:jc w:val="left"/>
    </w:pPr>
    <w:rPr>
      <w:rFonts w:ascii="宋体" w:hAnsi="宋体" w:cs="宋体"/>
      <w:kern w:val="0"/>
    </w:rPr>
  </w:style>
  <w:style w:type="paragraph" w:customStyle="1" w:styleId="afffffffffffff4">
    <w:name w:val="正文."/>
    <w:link w:val="Charfff3"/>
    <w:qFormat/>
    <w:pPr>
      <w:widowControl w:val="0"/>
      <w:autoSpaceDE w:val="0"/>
      <w:autoSpaceDN w:val="0"/>
      <w:adjustRightInd w:val="0"/>
      <w:jc w:val="both"/>
    </w:pPr>
    <w:rPr>
      <w:rFonts w:ascii="Times New Roman;Symbol;Arial;婼" w:eastAsia="Times New Roman;Symbol;Arial;婼"/>
      <w:sz w:val="21"/>
      <w:szCs w:val="21"/>
    </w:rPr>
  </w:style>
  <w:style w:type="character" w:customStyle="1" w:styleId="Charfff3">
    <w:name w:val="正文. Char"/>
    <w:basedOn w:val="a2"/>
    <w:link w:val="afffffffffffff4"/>
    <w:qFormat/>
    <w:rPr>
      <w:rFonts w:ascii="Times New Roman;Symbol;Arial;婼" w:eastAsia="Times New Roman;Symbol;Arial;婼" w:hAnsi="Times New Roman" w:cs="Times New Roman"/>
      <w:kern w:val="0"/>
      <w:szCs w:val="21"/>
    </w:rPr>
  </w:style>
  <w:style w:type="paragraph" w:customStyle="1" w:styleId="CharCharChar20">
    <w:name w:val="Char Char Char2"/>
    <w:basedOn w:val="a"/>
    <w:qFormat/>
    <w:pPr>
      <w:widowControl/>
      <w:jc w:val="left"/>
    </w:pPr>
    <w:rPr>
      <w:rFonts w:ascii="宋体" w:hAnsi="宋体" w:cs="宋体"/>
      <w:kern w:val="0"/>
    </w:rPr>
  </w:style>
  <w:style w:type="paragraph" w:customStyle="1" w:styleId="CharCharCharCharCharCharCharCharCharCharChar1CharCharCharChar1">
    <w:name w:val="Char Char Char Char Char Char Char Char Char Char Char1 Char Char Char Char1"/>
    <w:basedOn w:val="a"/>
    <w:qFormat/>
    <w:pPr>
      <w:widowControl/>
      <w:jc w:val="left"/>
    </w:pPr>
    <w:rPr>
      <w:rFonts w:ascii="宋体" w:hAnsi="宋体" w:cs="宋体"/>
      <w:kern w:val="0"/>
    </w:rPr>
  </w:style>
  <w:style w:type="paragraph" w:customStyle="1" w:styleId="afffffffffffff5">
    <w:name w:val="正文缩"/>
    <w:basedOn w:val="a"/>
    <w:qFormat/>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124">
    <w:name w:val="正文格式＝12"/>
    <w:basedOn w:val="affff4"/>
    <w:next w:val="affff4"/>
    <w:qFormat/>
    <w:rPr>
      <w:rFonts w:hAnsi="宋体"/>
      <w:szCs w:val="24"/>
    </w:rPr>
  </w:style>
  <w:style w:type="paragraph" w:customStyle="1" w:styleId="Char1512">
    <w:name w:val="Char151"/>
    <w:basedOn w:val="a"/>
    <w:qFormat/>
    <w:pPr>
      <w:widowControl/>
      <w:spacing w:before="156"/>
      <w:jc w:val="left"/>
    </w:pPr>
    <w:rPr>
      <w:rFonts w:ascii="黑体" w:eastAsia="黑体" w:hAnsi="宋体" w:cs="宋体"/>
      <w:kern w:val="0"/>
      <w:sz w:val="32"/>
      <w:szCs w:val="32"/>
    </w:rPr>
  </w:style>
  <w:style w:type="paragraph" w:customStyle="1" w:styleId="CharCharCharCharCharCharChar41">
    <w:name w:val="Char Char Char Char Char Char Char41"/>
    <w:basedOn w:val="a"/>
    <w:qFormat/>
    <w:pPr>
      <w:widowControl/>
      <w:jc w:val="left"/>
    </w:pPr>
    <w:rPr>
      <w:rFonts w:ascii="宋体" w:hAnsi="宋体" w:cs="宋体"/>
      <w:kern w:val="0"/>
    </w:rPr>
  </w:style>
  <w:style w:type="paragraph" w:customStyle="1" w:styleId="CharCharCharCharCharCharChar131">
    <w:name w:val="Char Char Char Char Char Char Char131"/>
    <w:basedOn w:val="a"/>
    <w:qFormat/>
    <w:pPr>
      <w:widowControl/>
      <w:jc w:val="left"/>
    </w:pPr>
    <w:rPr>
      <w:rFonts w:ascii="宋体" w:hAnsi="宋体" w:cs="宋体"/>
      <w:kern w:val="0"/>
    </w:rPr>
  </w:style>
  <w:style w:type="paragraph" w:customStyle="1" w:styleId="2113">
    <w:name w:val="表题2113"/>
    <w:basedOn w:val="a"/>
    <w:qFormat/>
    <w:pPr>
      <w:widowControl/>
      <w:jc w:val="center"/>
    </w:pPr>
    <w:rPr>
      <w:rFonts w:ascii="黑体" w:eastAsia="黑体" w:hAnsi="宋体" w:cs="宋体"/>
      <w:kern w:val="0"/>
    </w:rPr>
  </w:style>
  <w:style w:type="paragraph" w:customStyle="1" w:styleId="3ff1">
    <w:name w:val="环标3"/>
    <w:basedOn w:val="3"/>
    <w:qFormat/>
    <w:pPr>
      <w:keepNext w:val="0"/>
      <w:keepLines w:val="0"/>
      <w:widowControl/>
      <w:numPr>
        <w:ilvl w:val="0"/>
        <w:numId w:val="0"/>
      </w:numPr>
      <w:spacing w:before="48" w:after="36"/>
      <w:jc w:val="both"/>
      <w:textAlignment w:val="baseline"/>
    </w:pPr>
    <w:rPr>
      <w:rFonts w:ascii="宋体" w:hAnsi="宋体"/>
      <w:b w:val="0"/>
      <w:bCs w:val="0"/>
      <w:kern w:val="0"/>
      <w:szCs w:val="24"/>
    </w:rPr>
  </w:style>
  <w:style w:type="paragraph" w:customStyle="1" w:styleId="Char21f6">
    <w:name w:val="Char21"/>
    <w:basedOn w:val="a"/>
    <w:qFormat/>
    <w:pPr>
      <w:widowControl/>
      <w:jc w:val="left"/>
    </w:pPr>
    <w:rPr>
      <w:rFonts w:ascii="宋体" w:hAnsi="宋体" w:cs="宋体"/>
      <w:kern w:val="0"/>
    </w:rPr>
  </w:style>
  <w:style w:type="paragraph" w:customStyle="1" w:styleId="afffffffffffff6">
    <w:name w:val="封面单位"/>
    <w:basedOn w:val="a"/>
    <w:qFormat/>
    <w:pPr>
      <w:widowControl/>
      <w:tabs>
        <w:tab w:val="center" w:pos="8222"/>
      </w:tabs>
      <w:jc w:val="center"/>
    </w:pPr>
    <w:rPr>
      <w:rFonts w:ascii="楷体_GB2312" w:eastAsia="楷体_GB2312" w:hAnsi="宋体" w:cs="楷体_GB2312"/>
      <w:b/>
      <w:bCs/>
      <w:kern w:val="0"/>
      <w:sz w:val="36"/>
      <w:szCs w:val="36"/>
    </w:rPr>
  </w:style>
  <w:style w:type="paragraph" w:customStyle="1" w:styleId="66">
    <w:name w:val="样式6"/>
    <w:basedOn w:val="a"/>
    <w:qFormat/>
    <w:pPr>
      <w:widowControl/>
      <w:tabs>
        <w:tab w:val="left" w:pos="980"/>
      </w:tabs>
      <w:ind w:left="1820"/>
      <w:jc w:val="left"/>
    </w:pPr>
    <w:rPr>
      <w:rFonts w:ascii="宋体" w:hAnsi="宋体" w:cs="宋体"/>
      <w:kern w:val="0"/>
    </w:rPr>
  </w:style>
  <w:style w:type="paragraph" w:customStyle="1" w:styleId="414H4H4141H42H41114222">
    <w:name w:val="样式 标题 4无效格式无效格式1河石管道4H4H41小小节河石管道41H42H411小小节1河石管道42...22"/>
    <w:basedOn w:val="4"/>
    <w:qFormat/>
    <w:pPr>
      <w:numPr>
        <w:ilvl w:val="0"/>
        <w:numId w:val="0"/>
      </w:numPr>
      <w:spacing w:after="0" w:line="360" w:lineRule="auto"/>
      <w:ind w:left="664" w:hanging="864"/>
    </w:pPr>
    <w:rPr>
      <w:rFonts w:ascii="黑体" w:eastAsia="黑体" w:hAnsi="Arial" w:cs="Times New Roman"/>
      <w:b w:val="0"/>
      <w:bCs w:val="0"/>
      <w:kern w:val="2"/>
      <w:sz w:val="24"/>
      <w:szCs w:val="24"/>
    </w:rPr>
  </w:style>
  <w:style w:type="paragraph" w:customStyle="1" w:styleId="3120">
    <w:name w:val="表题312"/>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ParaCharCharCharChar31">
    <w:name w:val="默认段落字体 Para Char Char Char Char31"/>
    <w:basedOn w:val="a"/>
    <w:qFormat/>
    <w:pPr>
      <w:widowControl/>
      <w:jc w:val="left"/>
    </w:pPr>
    <w:rPr>
      <w:rFonts w:ascii="宋体" w:hAnsi="宋体" w:cs="宋体"/>
      <w:kern w:val="0"/>
    </w:rPr>
  </w:style>
  <w:style w:type="paragraph" w:customStyle="1" w:styleId="1ffffe">
    <w:name w:val="表内文字边1"/>
    <w:basedOn w:val="a"/>
    <w:qFormat/>
    <w:pPr>
      <w:widowControl/>
      <w:spacing w:line="240" w:lineRule="atLeast"/>
      <w:ind w:leftChars="-10" w:left="-21" w:rightChars="-20" w:right="-42"/>
      <w:jc w:val="left"/>
    </w:pPr>
    <w:rPr>
      <w:rFonts w:ascii="宋体" w:hAnsi="宋体" w:cs="宋体"/>
      <w:kern w:val="0"/>
      <w:szCs w:val="21"/>
    </w:rPr>
  </w:style>
  <w:style w:type="paragraph" w:customStyle="1" w:styleId="CharChar1Char">
    <w:name w:val="Char Char1 Char"/>
    <w:basedOn w:val="a"/>
    <w:qFormat/>
    <w:pPr>
      <w:widowControl/>
      <w:jc w:val="left"/>
    </w:pPr>
    <w:rPr>
      <w:rFonts w:ascii="宋体" w:hAnsi="宋体" w:cs="宋体"/>
      <w:kern w:val="0"/>
    </w:rPr>
  </w:style>
  <w:style w:type="paragraph" w:customStyle="1" w:styleId="ParaCharCharCharChar2">
    <w:name w:val="默认段落字体 Para Char Char Char Char2"/>
    <w:basedOn w:val="a"/>
    <w:qFormat/>
    <w:pPr>
      <w:widowControl/>
      <w:jc w:val="left"/>
    </w:pPr>
    <w:rPr>
      <w:rFonts w:ascii="宋体" w:hAnsi="宋体" w:cs="宋体"/>
      <w:kern w:val="0"/>
    </w:rPr>
  </w:style>
  <w:style w:type="paragraph" w:customStyle="1" w:styleId="afffffffffffff7">
    <w:name w:val="左侧"/>
    <w:qFormat/>
    <w:pPr>
      <w:spacing w:line="280" w:lineRule="exact"/>
      <w:jc w:val="center"/>
    </w:pPr>
    <w:rPr>
      <w:rFonts w:ascii="Batang" w:hAnsi="Batang"/>
      <w:color w:val="000000"/>
      <w:sz w:val="21"/>
    </w:rPr>
  </w:style>
  <w:style w:type="paragraph" w:customStyle="1" w:styleId="3ff2">
    <w:name w:val="目录3"/>
    <w:basedOn w:val="a"/>
    <w:next w:val="a"/>
    <w:qFormat/>
    <w:pPr>
      <w:widowControl/>
      <w:tabs>
        <w:tab w:val="left" w:leader="dot" w:pos="8492"/>
      </w:tabs>
      <w:spacing w:line="748" w:lineRule="atLeast"/>
      <w:ind w:left="419" w:firstLine="419"/>
      <w:jc w:val="left"/>
    </w:pPr>
    <w:rPr>
      <w:rFonts w:ascii="宋体" w:hAnsi="宋体" w:cs="宋体"/>
      <w:color w:val="000000"/>
      <w:kern w:val="0"/>
      <w:szCs w:val="20"/>
      <w:u w:color="000000"/>
    </w:rPr>
  </w:style>
  <w:style w:type="paragraph" w:customStyle="1" w:styleId="CharCharCharChar3">
    <w:name w:val="Char Char Char Char3"/>
    <w:basedOn w:val="a"/>
    <w:qFormat/>
    <w:pPr>
      <w:widowControl/>
      <w:jc w:val="left"/>
    </w:pPr>
    <w:rPr>
      <w:rFonts w:ascii="宋体" w:hAnsi="宋体" w:cs="宋体"/>
      <w:kern w:val="0"/>
    </w:rPr>
  </w:style>
  <w:style w:type="paragraph" w:customStyle="1" w:styleId="3150">
    <w:name w:val="表题315"/>
    <w:basedOn w:val="1fa"/>
    <w:qFormat/>
    <w:pPr>
      <w:widowControl/>
      <w:tabs>
        <w:tab w:val="left" w:pos="4305"/>
      </w:tabs>
      <w:spacing w:after="0"/>
      <w:ind w:leftChars="0" w:left="0" w:firstLineChars="0" w:firstLine="561"/>
      <w:jc w:val="left"/>
    </w:pPr>
    <w:rPr>
      <w:rFonts w:ascii="宋体" w:hAnsi="宋体" w:cs="宋体"/>
      <w:color w:val="000000"/>
      <w:sz w:val="24"/>
      <w:szCs w:val="24"/>
    </w:rPr>
  </w:style>
  <w:style w:type="paragraph" w:customStyle="1" w:styleId="yz">
    <w:name w:val="yz"/>
    <w:basedOn w:val="a0"/>
    <w:qFormat/>
    <w:pPr>
      <w:widowControl/>
      <w:tabs>
        <w:tab w:val="left" w:pos="900"/>
      </w:tabs>
      <w:spacing w:line="240" w:lineRule="auto"/>
      <w:jc w:val="left"/>
      <w:textAlignment w:val="baseline"/>
    </w:pPr>
    <w:rPr>
      <w:rFonts w:ascii="宋体" w:hAnsi="宋体" w:hint="eastAsia"/>
      <w:szCs w:val="20"/>
    </w:rPr>
  </w:style>
  <w:style w:type="paragraph" w:customStyle="1" w:styleId="CharCharCharCharCharCharChar3">
    <w:name w:val="Char Char Char Char Char Char Char3"/>
    <w:basedOn w:val="a"/>
    <w:qFormat/>
    <w:pPr>
      <w:widowControl/>
      <w:jc w:val="left"/>
    </w:pPr>
    <w:rPr>
      <w:rFonts w:ascii="宋体" w:hAnsi="宋体" w:cs="宋体"/>
      <w:kern w:val="0"/>
    </w:rPr>
  </w:style>
  <w:style w:type="paragraph" w:customStyle="1" w:styleId="4111">
    <w:name w:val="表题411"/>
    <w:basedOn w:val="1fa"/>
    <w:qFormat/>
    <w:pPr>
      <w:widowControl/>
      <w:tabs>
        <w:tab w:val="left" w:pos="4305"/>
      </w:tabs>
      <w:spacing w:after="0" w:line="240" w:lineRule="auto"/>
      <w:ind w:leftChars="0" w:left="0" w:firstLineChars="0" w:firstLine="0"/>
      <w:jc w:val="center"/>
    </w:pPr>
    <w:rPr>
      <w:rFonts w:ascii="宋体" w:hAnsi="宋体" w:cs="宋体"/>
      <w:color w:val="000000"/>
      <w:sz w:val="24"/>
      <w:szCs w:val="24"/>
    </w:rPr>
  </w:style>
  <w:style w:type="paragraph" w:customStyle="1" w:styleId="Char67">
    <w:name w:val="Char6"/>
    <w:basedOn w:val="a"/>
    <w:qFormat/>
    <w:pPr>
      <w:widowControl/>
      <w:spacing w:before="156"/>
      <w:jc w:val="left"/>
    </w:pPr>
    <w:rPr>
      <w:rFonts w:ascii="黑体" w:eastAsia="黑体" w:hAnsi="宋体" w:cs="宋体"/>
      <w:kern w:val="0"/>
      <w:sz w:val="32"/>
      <w:szCs w:val="32"/>
    </w:rPr>
  </w:style>
  <w:style w:type="paragraph" w:customStyle="1" w:styleId="afffffffffffff8">
    <w:name w:val="依据文字"/>
    <w:basedOn w:val="211"/>
    <w:qFormat/>
    <w:pPr>
      <w:tabs>
        <w:tab w:val="left" w:pos="420"/>
        <w:tab w:val="left" w:pos="870"/>
        <w:tab w:val="left" w:pos="3150"/>
      </w:tabs>
      <w:autoSpaceDE w:val="0"/>
      <w:autoSpaceDN w:val="0"/>
      <w:spacing w:beforeLines="25" w:before="78" w:after="0" w:line="336" w:lineRule="auto"/>
      <w:ind w:leftChars="0" w:left="0" w:firstLineChars="0" w:firstLine="527"/>
      <w:textAlignment w:val="baseline"/>
    </w:pPr>
    <w:rPr>
      <w:rFonts w:ascii="Times New Roman"/>
      <w:sz w:val="24"/>
    </w:rPr>
  </w:style>
  <w:style w:type="paragraph" w:customStyle="1" w:styleId="2fffb">
    <w:name w:val="表内文字小2"/>
    <w:basedOn w:val="a"/>
    <w:qFormat/>
    <w:pPr>
      <w:widowControl/>
      <w:jc w:val="center"/>
    </w:pPr>
    <w:rPr>
      <w:rFonts w:ascii="宋体" w:hAnsi="Times" w:cs="宋体"/>
      <w:bCs/>
      <w:color w:val="000000"/>
      <w:kern w:val="0"/>
      <w:szCs w:val="20"/>
    </w:rPr>
  </w:style>
  <w:style w:type="paragraph" w:customStyle="1" w:styleId="43132">
    <w:name w:val="标题43132"/>
    <w:basedOn w:val="a"/>
    <w:qFormat/>
    <w:pPr>
      <w:widowControl/>
      <w:spacing w:line="480" w:lineRule="exact"/>
      <w:jc w:val="center"/>
    </w:pPr>
    <w:rPr>
      <w:rFonts w:ascii="宋体" w:hAnsi="宋体" w:cs="宋体"/>
      <w:kern w:val="0"/>
    </w:rPr>
  </w:style>
  <w:style w:type="paragraph" w:customStyle="1" w:styleId="225">
    <w:name w:val="燕山正文22"/>
    <w:basedOn w:val="a"/>
    <w:qFormat/>
    <w:pPr>
      <w:widowControl/>
      <w:tabs>
        <w:tab w:val="left" w:pos="4680"/>
      </w:tabs>
      <w:spacing w:line="480" w:lineRule="exact"/>
      <w:jc w:val="left"/>
    </w:pPr>
    <w:rPr>
      <w:rFonts w:ascii="宋体" w:hAnsi="宋体" w:cs="宋体"/>
      <w:kern w:val="0"/>
    </w:rPr>
  </w:style>
  <w:style w:type="paragraph" w:customStyle="1" w:styleId="CharCharChar5">
    <w:name w:val="二级标题 Char Char Char"/>
    <w:basedOn w:val="a"/>
    <w:next w:val="a"/>
    <w:qFormat/>
    <w:pPr>
      <w:widowControl/>
      <w:spacing w:line="529" w:lineRule="exact"/>
      <w:jc w:val="left"/>
    </w:pPr>
    <w:rPr>
      <w:rFonts w:ascii="宋体" w:hAnsi="宋体" w:cs="宋体"/>
      <w:kern w:val="0"/>
      <w:szCs w:val="28"/>
    </w:rPr>
  </w:style>
  <w:style w:type="paragraph" w:customStyle="1" w:styleId="1112">
    <w:name w:val="表中文字111"/>
    <w:basedOn w:val="a"/>
    <w:qFormat/>
    <w:pPr>
      <w:widowControl/>
      <w:spacing w:line="240" w:lineRule="atLeast"/>
      <w:ind w:leftChars="-10" w:left="-24" w:rightChars="-20" w:right="-48"/>
      <w:jc w:val="center"/>
    </w:pPr>
    <w:rPr>
      <w:rFonts w:ascii="宋体" w:hAnsi="宋体" w:cs="宋体"/>
      <w:kern w:val="0"/>
      <w:szCs w:val="21"/>
    </w:rPr>
  </w:style>
  <w:style w:type="paragraph" w:customStyle="1" w:styleId="CharCharCharCharCharCharCharChar1">
    <w:name w:val="Char Char Char Char Char Char Char Char1"/>
    <w:basedOn w:val="a"/>
    <w:qFormat/>
    <w:pPr>
      <w:widowControl/>
      <w:jc w:val="left"/>
    </w:pPr>
    <w:rPr>
      <w:rFonts w:ascii="宋体" w:hAnsi="宋体" w:cs="宋体"/>
      <w:kern w:val="0"/>
    </w:rPr>
  </w:style>
  <w:style w:type="paragraph" w:customStyle="1" w:styleId="afffffffffffff9">
    <w:name w:val="正文图竖五"/>
    <w:basedOn w:val="a"/>
    <w:qFormat/>
    <w:pPr>
      <w:widowControl/>
      <w:jc w:val="center"/>
    </w:pPr>
    <w:rPr>
      <w:rFonts w:ascii="宋体" w:hAnsi="宋体" w:cs="宋体"/>
      <w:color w:val="000000"/>
      <w:kern w:val="0"/>
      <w:szCs w:val="21"/>
    </w:rPr>
  </w:style>
  <w:style w:type="paragraph" w:customStyle="1" w:styleId="150">
    <w:name w:val="文本框五号1.5倍行距"/>
    <w:qFormat/>
    <w:pPr>
      <w:spacing w:line="360" w:lineRule="auto"/>
    </w:pPr>
  </w:style>
  <w:style w:type="paragraph" w:customStyle="1" w:styleId="ParaCharCharCharChar7">
    <w:name w:val="默认段落字体 Para Char Char Char Char7"/>
    <w:basedOn w:val="a"/>
    <w:qFormat/>
    <w:pPr>
      <w:widowControl/>
      <w:jc w:val="left"/>
    </w:pPr>
    <w:rPr>
      <w:rFonts w:ascii="宋体" w:hAnsi="宋体" w:cs="宋体"/>
      <w:kern w:val="0"/>
    </w:rPr>
  </w:style>
  <w:style w:type="paragraph" w:customStyle="1" w:styleId="531">
    <w:name w:val="表内宋5中3"/>
    <w:basedOn w:val="a"/>
    <w:qFormat/>
    <w:pPr>
      <w:widowControl/>
      <w:jc w:val="left"/>
      <w:textAlignment w:val="baseline"/>
    </w:pPr>
    <w:rPr>
      <w:rFonts w:ascii="宋体" w:hAnsi="宋体" w:cs="宋体"/>
      <w:color w:val="000000"/>
      <w:kern w:val="0"/>
      <w:szCs w:val="20"/>
    </w:rPr>
  </w:style>
  <w:style w:type="paragraph" w:customStyle="1" w:styleId="CharCharChar30">
    <w:name w:val="Char Char Char3"/>
    <w:basedOn w:val="a"/>
    <w:qFormat/>
    <w:pPr>
      <w:widowControl/>
      <w:jc w:val="left"/>
    </w:pPr>
    <w:rPr>
      <w:rFonts w:ascii="宋体" w:hAnsi="宋体" w:cs="宋体"/>
      <w:kern w:val="0"/>
    </w:rPr>
  </w:style>
  <w:style w:type="paragraph" w:customStyle="1" w:styleId="afffffffffffffa">
    <w:name w:val="表体宋旭峰"/>
    <w:basedOn w:val="2fff1"/>
    <w:qFormat/>
    <w:pPr>
      <w:overflowPunct w:val="0"/>
      <w:spacing w:line="280" w:lineRule="atLeast"/>
      <w:jc w:val="center"/>
      <w:textAlignment w:val="baseline"/>
    </w:pPr>
    <w:rPr>
      <w:rFonts w:cs="Courier New"/>
      <w:snapToGrid w:val="0"/>
      <w:kern w:val="24"/>
      <w:sz w:val="18"/>
      <w:szCs w:val="22"/>
    </w:rPr>
  </w:style>
  <w:style w:type="paragraph" w:customStyle="1" w:styleId="CharCharCharCharCharCharCharCharCharCharChar1CharCharCharCharCharChar1">
    <w:name w:val="Char Char Char Char Char Char Char Char Char Char Char1 Char Char Char Char Char Char1"/>
    <w:basedOn w:val="a"/>
    <w:qFormat/>
    <w:pPr>
      <w:widowControl/>
      <w:jc w:val="left"/>
    </w:pPr>
    <w:rPr>
      <w:rFonts w:ascii="宋体" w:hAnsi="宋体" w:cs="宋体"/>
      <w:kern w:val="0"/>
    </w:rPr>
  </w:style>
  <w:style w:type="paragraph" w:customStyle="1" w:styleId="117">
    <w:name w:val="文本框11"/>
    <w:basedOn w:val="a"/>
    <w:qFormat/>
    <w:pPr>
      <w:widowControl/>
      <w:spacing w:after="6"/>
      <w:jc w:val="center"/>
    </w:pPr>
    <w:rPr>
      <w:rFonts w:ascii="宋体" w:hAnsi="宋体" w:cs="宋体"/>
      <w:kern w:val="0"/>
    </w:rPr>
  </w:style>
  <w:style w:type="paragraph" w:customStyle="1" w:styleId="5110">
    <w:name w:val="表内宋511"/>
    <w:basedOn w:val="1ff2"/>
    <w:qFormat/>
    <w:rPr>
      <w:rFonts w:ascii="宋体" w:hAnsi="宋体" w:cs="宋体"/>
      <w:color w:val="000000"/>
      <w:sz w:val="21"/>
      <w:szCs w:val="24"/>
    </w:rPr>
  </w:style>
  <w:style w:type="paragraph" w:customStyle="1" w:styleId="Char59">
    <w:name w:val="Char5"/>
    <w:basedOn w:val="a"/>
    <w:qFormat/>
    <w:pPr>
      <w:widowControl/>
      <w:jc w:val="left"/>
    </w:pPr>
    <w:rPr>
      <w:rFonts w:ascii="宋体" w:hAnsi="宋体" w:cs="宋体"/>
      <w:kern w:val="0"/>
    </w:rPr>
  </w:style>
  <w:style w:type="paragraph" w:customStyle="1" w:styleId="3121">
    <w:name w:val="样式 标题 3 + 段前: 12 磅"/>
    <w:basedOn w:val="3"/>
    <w:qFormat/>
    <w:pPr>
      <w:keepNext w:val="0"/>
      <w:keepLines w:val="0"/>
      <w:widowControl/>
      <w:numPr>
        <w:ilvl w:val="0"/>
        <w:numId w:val="0"/>
      </w:numPr>
      <w:autoSpaceDE w:val="0"/>
      <w:autoSpaceDN w:val="0"/>
      <w:jc w:val="both"/>
    </w:pPr>
    <w:rPr>
      <w:rFonts w:ascii="黑体" w:eastAsia="黑体" w:hAnsi="宋体" w:cs="宋体"/>
      <w:b w:val="0"/>
      <w:bCs w:val="0"/>
      <w:color w:val="000000"/>
      <w:kern w:val="21"/>
      <w:szCs w:val="20"/>
    </w:rPr>
  </w:style>
  <w:style w:type="paragraph" w:customStyle="1" w:styleId="2110">
    <w:name w:val="表题211"/>
    <w:basedOn w:val="a"/>
    <w:qFormat/>
    <w:pPr>
      <w:widowControl/>
      <w:jc w:val="center"/>
    </w:pPr>
    <w:rPr>
      <w:rFonts w:ascii="黑体" w:eastAsia="黑体" w:hAnsi="宋体" w:cs="宋体"/>
      <w:kern w:val="0"/>
    </w:rPr>
  </w:style>
  <w:style w:type="paragraph" w:customStyle="1" w:styleId="afffffffffffffb">
    <w:name w:val="小四左齐"/>
    <w:basedOn w:val="a"/>
    <w:qFormat/>
    <w:pPr>
      <w:widowControl/>
      <w:overflowPunct w:val="0"/>
      <w:jc w:val="left"/>
      <w:textAlignment w:val="top"/>
    </w:pPr>
    <w:rPr>
      <w:rFonts w:ascii="宋体" w:hAnsi="宋体" w:cs="宋体"/>
      <w:snapToGrid w:val="0"/>
      <w:kern w:val="0"/>
    </w:rPr>
  </w:style>
  <w:style w:type="paragraph" w:customStyle="1" w:styleId="1fffff">
    <w:name w:val="引文目录1"/>
    <w:basedOn w:val="a"/>
    <w:next w:val="a"/>
    <w:qFormat/>
    <w:pPr>
      <w:widowControl/>
      <w:ind w:leftChars="200" w:left="420"/>
      <w:jc w:val="left"/>
    </w:pPr>
    <w:rPr>
      <w:rFonts w:ascii="宋体" w:hAnsi="宋体" w:cs="宋体"/>
      <w:kern w:val="0"/>
    </w:rPr>
  </w:style>
  <w:style w:type="paragraph" w:customStyle="1" w:styleId="Char332">
    <w:name w:val="Char33"/>
    <w:basedOn w:val="a"/>
    <w:qFormat/>
    <w:pPr>
      <w:widowControl/>
      <w:ind w:left="-48"/>
      <w:jc w:val="left"/>
    </w:pPr>
    <w:rPr>
      <w:rFonts w:ascii="宋体" w:hAnsi="宋体" w:cs="宋体"/>
      <w:kern w:val="0"/>
    </w:rPr>
  </w:style>
  <w:style w:type="paragraph" w:customStyle="1" w:styleId="1chen">
    <w:name w:val="谏壁标题1(chen）"/>
    <w:basedOn w:val="a"/>
    <w:qFormat/>
    <w:pPr>
      <w:keepNext/>
      <w:keepLines/>
      <w:pageBreakBefore/>
      <w:widowControl/>
      <w:spacing w:after="300"/>
      <w:jc w:val="left"/>
      <w:outlineLvl w:val="0"/>
    </w:pPr>
    <w:rPr>
      <w:rFonts w:ascii="宋体" w:eastAsia="黑体" w:hAnsi="宋体" w:cs="宋体"/>
      <w:bCs/>
      <w:kern w:val="44"/>
      <w:sz w:val="36"/>
      <w:szCs w:val="44"/>
    </w:rPr>
  </w:style>
  <w:style w:type="paragraph" w:customStyle="1" w:styleId="5f6">
    <w:name w:val="表5"/>
    <w:basedOn w:val="a"/>
    <w:qFormat/>
    <w:pPr>
      <w:widowControl/>
      <w:jc w:val="center"/>
    </w:pPr>
    <w:rPr>
      <w:rFonts w:ascii="宋体" w:hAnsi="宋体" w:cs="宋体"/>
      <w:kern w:val="0"/>
    </w:rPr>
  </w:style>
  <w:style w:type="paragraph" w:customStyle="1" w:styleId="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1"/>
    <w:basedOn w:val="a"/>
    <w:qFormat/>
    <w:pPr>
      <w:widowControl/>
      <w:jc w:val="left"/>
    </w:pPr>
    <w:rPr>
      <w:rFonts w:ascii="宋体" w:hAnsi="宋体" w:cs="宋体"/>
      <w:kern w:val="0"/>
    </w:rPr>
  </w:style>
  <w:style w:type="paragraph" w:customStyle="1" w:styleId="3ff3">
    <w:name w:val="正文修改3"/>
    <w:basedOn w:val="affffe"/>
    <w:qFormat/>
    <w:rPr>
      <w:rFonts w:eastAsia="宋体" w:hAnsi="宋体" w:cs="宋体"/>
      <w:color w:val="000000"/>
      <w:szCs w:val="24"/>
    </w:rPr>
  </w:style>
  <w:style w:type="paragraph" w:customStyle="1" w:styleId="1121">
    <w:name w:val="样式112"/>
    <w:basedOn w:val="314"/>
    <w:qFormat/>
    <w:pPr>
      <w:spacing w:line="240" w:lineRule="auto"/>
      <w:ind w:firstLine="0"/>
      <w:jc w:val="center"/>
    </w:pPr>
    <w:rPr>
      <w:rFonts w:cs="Times New Roman"/>
      <w:b/>
      <w:color w:val="auto"/>
      <w:szCs w:val="20"/>
    </w:rPr>
  </w:style>
  <w:style w:type="paragraph" w:customStyle="1" w:styleId="125">
    <w:name w:val="表12"/>
    <w:basedOn w:val="a"/>
    <w:qFormat/>
    <w:pPr>
      <w:widowControl/>
      <w:jc w:val="center"/>
    </w:pPr>
    <w:rPr>
      <w:rFonts w:ascii="宋体" w:hAnsi="宋体" w:cs="宋体"/>
      <w:kern w:val="0"/>
    </w:rPr>
  </w:style>
  <w:style w:type="paragraph" w:customStyle="1" w:styleId="CharCharCharCharCharCharCharCharCharCharChar1CharCharCharCharCharChar1CharCharCharCharCharCharCharCharCharCharCharChar1">
    <w:name w:val="Char Char Char Char Char Char Char Char Char Char Char1 Char Char Char Char Char Char1 Char Char Char Char Char Char Char Char Char Char Char Char1"/>
    <w:basedOn w:val="a"/>
    <w:qFormat/>
    <w:pPr>
      <w:widowControl/>
      <w:jc w:val="left"/>
    </w:pPr>
    <w:rPr>
      <w:rFonts w:ascii="宋体" w:hAnsi="宋体" w:cs="宋体"/>
      <w:kern w:val="0"/>
    </w:rPr>
  </w:style>
  <w:style w:type="paragraph" w:customStyle="1" w:styleId="431211">
    <w:name w:val="标题431211"/>
    <w:basedOn w:val="a"/>
    <w:qFormat/>
    <w:pPr>
      <w:widowControl/>
      <w:spacing w:line="480" w:lineRule="exact"/>
      <w:jc w:val="center"/>
    </w:pPr>
    <w:rPr>
      <w:rFonts w:ascii="宋体" w:hAnsi="宋体" w:cs="宋体"/>
      <w:kern w:val="0"/>
    </w:rPr>
  </w:style>
  <w:style w:type="paragraph" w:customStyle="1" w:styleId="1fffff0">
    <w:name w:val="表格内容1"/>
    <w:basedOn w:val="a"/>
    <w:qFormat/>
    <w:pPr>
      <w:widowControl/>
      <w:spacing w:beforeLines="15" w:before="46" w:afterLines="15" w:after="46" w:line="240" w:lineRule="exact"/>
      <w:jc w:val="center"/>
    </w:pPr>
    <w:rPr>
      <w:rFonts w:ascii="宋体" w:hAnsi="宋体" w:cs="宋体"/>
      <w:snapToGrid w:val="0"/>
      <w:kern w:val="0"/>
    </w:rPr>
  </w:style>
  <w:style w:type="paragraph" w:customStyle="1" w:styleId="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1"/>
    <w:basedOn w:val="a"/>
    <w:qFormat/>
    <w:pPr>
      <w:widowControl/>
      <w:jc w:val="left"/>
    </w:pPr>
    <w:rPr>
      <w:rFonts w:ascii="宋体" w:hAnsi="宋体" w:cs="宋体"/>
      <w:kern w:val="0"/>
    </w:rPr>
  </w:style>
  <w:style w:type="paragraph" w:customStyle="1" w:styleId="318">
    <w:name w:val="表中文字31"/>
    <w:basedOn w:val="a"/>
    <w:qFormat/>
    <w:pPr>
      <w:widowControl/>
      <w:spacing w:line="240" w:lineRule="atLeast"/>
      <w:ind w:leftChars="-10" w:left="-24" w:rightChars="-20" w:right="-48"/>
      <w:jc w:val="center"/>
    </w:pPr>
    <w:rPr>
      <w:rFonts w:ascii="宋体" w:hAnsi="宋体" w:cs="宋体"/>
      <w:kern w:val="0"/>
      <w:szCs w:val="21"/>
    </w:rPr>
  </w:style>
  <w:style w:type="paragraph" w:customStyle="1" w:styleId="133">
    <w:name w:val="正文.13"/>
    <w:qFormat/>
    <w:pPr>
      <w:widowControl w:val="0"/>
      <w:autoSpaceDE w:val="0"/>
      <w:autoSpaceDN w:val="0"/>
      <w:adjustRightInd w:val="0"/>
      <w:jc w:val="both"/>
    </w:pPr>
    <w:rPr>
      <w:rFonts w:ascii="Times New Roman;Symbol;Arial;婼" w:eastAsia="Times New Roman;Symbol;Arial;婼"/>
      <w:sz w:val="21"/>
      <w:szCs w:val="21"/>
    </w:rPr>
  </w:style>
  <w:style w:type="paragraph" w:customStyle="1" w:styleId="CharCharCharCharCharCharCharChar1CharCharCharCharCharCharCharCharCharChar1">
    <w:name w:val="Char Char Char Char Char Char Char Char1 Char Char Char Char Char Char Char Char Char Char1"/>
    <w:basedOn w:val="a"/>
    <w:qFormat/>
    <w:pPr>
      <w:widowControl/>
      <w:jc w:val="left"/>
    </w:pPr>
    <w:rPr>
      <w:rFonts w:ascii="宋体" w:hAnsi="宋体" w:cs="宋体"/>
      <w:kern w:val="0"/>
    </w:rPr>
  </w:style>
  <w:style w:type="paragraph" w:customStyle="1" w:styleId="2150">
    <w:name w:val="表内文字小215"/>
    <w:basedOn w:val="a"/>
    <w:qFormat/>
    <w:pPr>
      <w:widowControl/>
      <w:jc w:val="center"/>
    </w:pPr>
    <w:rPr>
      <w:rFonts w:ascii="宋体" w:hAnsi="Times" w:cs="宋体"/>
      <w:bCs/>
      <w:color w:val="000000"/>
      <w:kern w:val="0"/>
      <w:szCs w:val="20"/>
    </w:rPr>
  </w:style>
  <w:style w:type="paragraph" w:customStyle="1" w:styleId="54131">
    <w:name w:val="表内54131"/>
    <w:basedOn w:val="a"/>
    <w:qFormat/>
    <w:pPr>
      <w:widowControl/>
      <w:spacing w:line="300" w:lineRule="auto"/>
      <w:jc w:val="center"/>
    </w:pPr>
    <w:rPr>
      <w:rFonts w:ascii="宋体" w:hAnsi="宋体" w:cs="宋体"/>
      <w:kern w:val="0"/>
      <w:szCs w:val="20"/>
    </w:rPr>
  </w:style>
  <w:style w:type="paragraph" w:customStyle="1" w:styleId="afffffffffffffc">
    <w:name w:val="页号"/>
    <w:basedOn w:val="aff"/>
    <w:qFormat/>
    <w:pPr>
      <w:widowControl/>
      <w:tabs>
        <w:tab w:val="clear" w:pos="4153"/>
        <w:tab w:val="clear" w:pos="8306"/>
        <w:tab w:val="center" w:pos="4320"/>
        <w:tab w:val="right" w:pos="8640"/>
      </w:tabs>
      <w:snapToGrid/>
      <w:spacing w:line="360" w:lineRule="auto"/>
      <w:ind w:firstLineChars="0" w:firstLine="0"/>
      <w:jc w:val="center"/>
      <w:textAlignment w:val="baseline"/>
    </w:pPr>
    <w:rPr>
      <w:rFonts w:ascii="宋体" w:hAnsi="Arial"/>
      <w:spacing w:val="3"/>
      <w:kern w:val="24"/>
      <w:sz w:val="24"/>
      <w:szCs w:val="20"/>
    </w:rPr>
  </w:style>
  <w:style w:type="paragraph" w:customStyle="1" w:styleId="3111">
    <w:name w:val="表内文字小311"/>
    <w:basedOn w:val="a"/>
    <w:qFormat/>
    <w:pPr>
      <w:widowControl/>
      <w:jc w:val="center"/>
    </w:pPr>
    <w:rPr>
      <w:rFonts w:ascii="宋体" w:hAnsi="Times" w:cs="宋体"/>
      <w:bCs/>
      <w:color w:val="003366"/>
      <w:kern w:val="0"/>
      <w:szCs w:val="20"/>
    </w:rPr>
  </w:style>
  <w:style w:type="paragraph" w:customStyle="1" w:styleId="4f3">
    <w:name w:val="宏福4"/>
    <w:basedOn w:val="a"/>
    <w:qFormat/>
    <w:pPr>
      <w:widowControl/>
      <w:spacing w:line="400" w:lineRule="atLeast"/>
      <w:ind w:firstLine="567"/>
      <w:jc w:val="left"/>
    </w:pPr>
    <w:rPr>
      <w:rFonts w:ascii="宋体" w:hAnsi="宋体" w:cs="宋体"/>
      <w:kern w:val="0"/>
      <w:szCs w:val="20"/>
    </w:rPr>
  </w:style>
  <w:style w:type="paragraph" w:customStyle="1" w:styleId="afffffffffffffd">
    <w:name w:val="框图内容"/>
    <w:basedOn w:val="a"/>
    <w:qFormat/>
    <w:pPr>
      <w:widowControl/>
      <w:jc w:val="center"/>
    </w:pPr>
    <w:rPr>
      <w:rFonts w:ascii="宋体" w:hAnsi="宋体" w:cs="宋体"/>
      <w:kern w:val="0"/>
    </w:rPr>
  </w:style>
  <w:style w:type="paragraph" w:customStyle="1" w:styleId="CharCharCharCharCharCharCharCharCharCharCharCharCharCharCharCharCharCharChar1">
    <w:name w:val="Char Char Char Char Char Char Char Char Char Char Char Char Char Char Char Char Char Char Char1"/>
    <w:basedOn w:val="a"/>
    <w:qFormat/>
    <w:pPr>
      <w:widowControl/>
      <w:jc w:val="left"/>
    </w:pPr>
    <w:rPr>
      <w:rFonts w:ascii="宋体" w:hAnsi="宋体" w:cs="宋体"/>
      <w:kern w:val="0"/>
    </w:rPr>
  </w:style>
  <w:style w:type="paragraph" w:customStyle="1" w:styleId="5f7">
    <w:name w:val="燕山正文5"/>
    <w:basedOn w:val="a"/>
    <w:pPr>
      <w:widowControl/>
      <w:tabs>
        <w:tab w:val="left" w:pos="4680"/>
      </w:tabs>
      <w:spacing w:line="480" w:lineRule="exact"/>
      <w:jc w:val="left"/>
    </w:pPr>
    <w:rPr>
      <w:rFonts w:ascii="宋体" w:hAnsi="宋体" w:cs="宋体"/>
      <w:kern w:val="0"/>
    </w:rPr>
  </w:style>
  <w:style w:type="paragraph" w:customStyle="1" w:styleId="2fffc">
    <w:name w:val="正文修改2"/>
    <w:basedOn w:val="affffe"/>
    <w:qFormat/>
    <w:rPr>
      <w:rFonts w:eastAsia="宋体" w:hAnsi="宋体" w:cs="宋体"/>
      <w:color w:val="000000"/>
      <w:szCs w:val="24"/>
    </w:rPr>
  </w:style>
  <w:style w:type="paragraph" w:customStyle="1" w:styleId="xl241">
    <w:name w:val="xl241"/>
    <w:basedOn w:val="a"/>
    <w:qFormat/>
    <w:pPr>
      <w:widowControl/>
      <w:pBdr>
        <w:bottom w:val="single" w:sz="4" w:space="0" w:color="auto"/>
        <w:right w:val="single" w:sz="4" w:space="0" w:color="auto"/>
      </w:pBdr>
      <w:spacing w:before="100" w:beforeAutospacing="1" w:after="100" w:afterAutospacing="1"/>
      <w:jc w:val="center"/>
    </w:pPr>
    <w:rPr>
      <w:rFonts w:ascii="宋体" w:hAnsi="宋体" w:cs="宋体"/>
      <w:kern w:val="0"/>
      <w:szCs w:val="21"/>
    </w:rPr>
  </w:style>
  <w:style w:type="paragraph" w:customStyle="1" w:styleId="CharCharCharCharCharCharCharCharCharCharCharCharCharCharCharCharCharCharCharCharCharCharCharCharCharCharCharCharCharCharCharCharChar1CharCharCharCharCharChar1">
    <w:name w:val="Char Char Char Char Char Char Char Char Char Char Char Char Char Char Char Char Char Char Char Char Char Char Char Char Char Char Char Char Char Char Char Char Char1 Char Char Char Char Char Char1"/>
    <w:basedOn w:val="a"/>
    <w:qFormat/>
    <w:pPr>
      <w:widowControl/>
      <w:jc w:val="left"/>
    </w:pPr>
    <w:rPr>
      <w:rFonts w:ascii="宋体" w:hAnsi="宋体" w:cs="宋体"/>
      <w:kern w:val="0"/>
    </w:rPr>
  </w:style>
  <w:style w:type="paragraph" w:customStyle="1" w:styleId="afffffffffffffe">
    <w:name w:val="数据来源"/>
    <w:basedOn w:val="a"/>
    <w:qFormat/>
    <w:pPr>
      <w:widowControl/>
      <w:spacing w:line="280" w:lineRule="exact"/>
      <w:jc w:val="left"/>
    </w:pPr>
    <w:rPr>
      <w:rFonts w:ascii="宋体" w:eastAsia="楷体_GB2312" w:hAnsi="宋体" w:cs="宋体"/>
      <w:kern w:val="0"/>
      <w:szCs w:val="20"/>
    </w:rPr>
  </w:style>
  <w:style w:type="paragraph" w:customStyle="1" w:styleId="Char3CharCharCharCharCharChar">
    <w:name w:val="Char3 Char Char Char Char Char Char"/>
    <w:basedOn w:val="a"/>
    <w:qFormat/>
    <w:pPr>
      <w:widowControl/>
      <w:spacing w:line="340" w:lineRule="exact"/>
      <w:ind w:firstLineChars="4" w:firstLine="10"/>
      <w:jc w:val="left"/>
    </w:pPr>
    <w:rPr>
      <w:rFonts w:ascii="宋体" w:hAnsi="宋体" w:cs="宋体"/>
      <w:kern w:val="0"/>
      <w:szCs w:val="28"/>
    </w:rPr>
  </w:style>
  <w:style w:type="paragraph" w:customStyle="1" w:styleId="5f8">
    <w:name w:val="文本框5号两端齐"/>
    <w:basedOn w:val="a"/>
    <w:qFormat/>
    <w:pPr>
      <w:widowControl/>
      <w:jc w:val="left"/>
    </w:pPr>
    <w:rPr>
      <w:rFonts w:ascii="宋体" w:hAnsi="宋体" w:cs="宋体"/>
      <w:kern w:val="0"/>
      <w:szCs w:val="21"/>
    </w:rPr>
  </w:style>
  <w:style w:type="paragraph" w:customStyle="1" w:styleId="zxz5">
    <w:name w:val="zxz5"/>
    <w:next w:val="1f9"/>
    <w:qFormat/>
    <w:pPr>
      <w:tabs>
        <w:tab w:val="left" w:pos="0"/>
      </w:tabs>
      <w:jc w:val="center"/>
    </w:pPr>
    <w:rPr>
      <w:rFonts w:ascii="宋体" w:eastAsia="Times New Roman" w:hAnsi="宋体" w:cs="宋体"/>
      <w:bCs/>
      <w:kern w:val="2"/>
      <w:sz w:val="18"/>
      <w:szCs w:val="18"/>
    </w:rPr>
  </w:style>
  <w:style w:type="paragraph" w:customStyle="1" w:styleId="CharCharCharCharCharCharCharCharCharCharCharCharChar1">
    <w:name w:val="Char Char Char Char Char Char Char Char Char Char Char Char Char1"/>
    <w:basedOn w:val="a"/>
    <w:qFormat/>
    <w:pPr>
      <w:widowControl/>
      <w:jc w:val="left"/>
    </w:pPr>
    <w:rPr>
      <w:rFonts w:ascii="宋体" w:hAnsi="宋体" w:cs="宋体"/>
      <w:kern w:val="0"/>
    </w:rPr>
  </w:style>
  <w:style w:type="paragraph" w:customStyle="1" w:styleId="3122">
    <w:name w:val="表内文字小312"/>
    <w:basedOn w:val="a"/>
    <w:qFormat/>
    <w:pPr>
      <w:widowControl/>
      <w:jc w:val="center"/>
    </w:pPr>
    <w:rPr>
      <w:rFonts w:ascii="宋体" w:hAnsi="Times" w:cs="宋体"/>
      <w:bCs/>
      <w:color w:val="003366"/>
      <w:kern w:val="0"/>
      <w:szCs w:val="20"/>
    </w:rPr>
  </w:style>
  <w:style w:type="paragraph" w:customStyle="1" w:styleId="affffffffffffff">
    <w:name w:val="右侧"/>
    <w:qFormat/>
    <w:pPr>
      <w:spacing w:line="280" w:lineRule="exact"/>
      <w:jc w:val="right"/>
    </w:pPr>
    <w:rPr>
      <w:rFonts w:ascii="Batang" w:hAnsi="Batang"/>
      <w:color w:val="000000"/>
      <w:sz w:val="18"/>
    </w:rPr>
  </w:style>
  <w:style w:type="paragraph" w:customStyle="1" w:styleId="0936618">
    <w:name w:val="样式 宋体 首行缩进:  0.93 厘米 段前: 6 磅 段后: 6 磅 行距: 固定值 18 磅"/>
    <w:basedOn w:val="a"/>
    <w:qFormat/>
    <w:pPr>
      <w:widowControl/>
      <w:spacing w:before="160" w:after="160" w:line="320" w:lineRule="exact"/>
      <w:ind w:firstLine="482"/>
      <w:jc w:val="left"/>
    </w:pPr>
    <w:rPr>
      <w:rFonts w:ascii="宋体" w:hAnsi="宋体" w:cs="宋体"/>
      <w:kern w:val="0"/>
      <w:szCs w:val="20"/>
    </w:rPr>
  </w:style>
  <w:style w:type="paragraph" w:customStyle="1" w:styleId="1122">
    <w:name w:val="表题1122"/>
    <w:basedOn w:val="ab"/>
    <w:qFormat/>
    <w:pPr>
      <w:widowControl/>
      <w:ind w:firstLineChars="0" w:firstLine="0"/>
      <w:jc w:val="center"/>
    </w:pPr>
    <w:rPr>
      <w:rFonts w:ascii="黑体" w:cs="Arial"/>
    </w:rPr>
  </w:style>
  <w:style w:type="paragraph" w:customStyle="1" w:styleId="affffffffffffff0">
    <w:name w:val="正文图小四"/>
    <w:basedOn w:val="a"/>
    <w:qFormat/>
    <w:pPr>
      <w:widowControl/>
      <w:jc w:val="center"/>
      <w:textAlignment w:val="baseline"/>
    </w:pPr>
    <w:rPr>
      <w:rFonts w:ascii="宋体" w:hAnsi="宋体" w:cs="宋体"/>
      <w:kern w:val="0"/>
    </w:rPr>
  </w:style>
  <w:style w:type="paragraph" w:customStyle="1" w:styleId="GB2312093">
    <w:name w:val="样式 正文文字 + 楷体_GB2312 四号 首行缩进:  0.93 厘米"/>
    <w:basedOn w:val="a0"/>
    <w:qFormat/>
    <w:pPr>
      <w:widowControl/>
      <w:spacing w:line="240" w:lineRule="auto"/>
      <w:ind w:firstLine="560"/>
      <w:jc w:val="left"/>
    </w:pPr>
    <w:rPr>
      <w:rFonts w:ascii="宋体" w:hAnsi="宋体"/>
      <w:sz w:val="28"/>
      <w:szCs w:val="20"/>
    </w:rPr>
  </w:style>
  <w:style w:type="paragraph" w:customStyle="1" w:styleId="affffffffffffff1">
    <w:name w:val="样式（大表格）"/>
    <w:basedOn w:val="2f6"/>
    <w:qFormat/>
    <w:pPr>
      <w:widowControl/>
      <w:ind w:firstLineChars="0" w:firstLine="0"/>
    </w:pPr>
    <w:rPr>
      <w:rFonts w:eastAsia="宋体"/>
      <w:b w:val="0"/>
      <w:color w:val="FF0000"/>
      <w:sz w:val="24"/>
      <w:szCs w:val="24"/>
    </w:rPr>
  </w:style>
  <w:style w:type="paragraph" w:customStyle="1" w:styleId="affffffffffffff2">
    <w:name w:val="条(三级)"/>
    <w:basedOn w:val="a"/>
    <w:next w:val="a"/>
    <w:qFormat/>
    <w:pPr>
      <w:keepNext/>
      <w:keepLines/>
      <w:widowControl/>
      <w:spacing w:line="460" w:lineRule="exact"/>
      <w:jc w:val="left"/>
      <w:textAlignment w:val="baseline"/>
    </w:pPr>
    <w:rPr>
      <w:rFonts w:ascii="宋体" w:hAnsi="Arial" w:cs="宋体"/>
      <w:spacing w:val="3"/>
      <w:kern w:val="24"/>
      <w:szCs w:val="20"/>
    </w:rPr>
  </w:style>
  <w:style w:type="paragraph" w:customStyle="1" w:styleId="532">
    <w:name w:val="表内53"/>
    <w:basedOn w:val="a"/>
    <w:qFormat/>
    <w:pPr>
      <w:widowControl/>
      <w:spacing w:line="300" w:lineRule="auto"/>
      <w:jc w:val="left"/>
    </w:pPr>
    <w:rPr>
      <w:rFonts w:ascii="宋体" w:hAnsi="宋体" w:cs="宋体"/>
      <w:kern w:val="0"/>
      <w:szCs w:val="20"/>
    </w:rPr>
  </w:style>
  <w:style w:type="paragraph" w:customStyle="1" w:styleId="ParaCharCharCharChar">
    <w:name w:val="默认段落字体 Para Char Char Char Char"/>
    <w:basedOn w:val="a"/>
    <w:qFormat/>
    <w:pPr>
      <w:widowControl/>
      <w:jc w:val="left"/>
    </w:pPr>
    <w:rPr>
      <w:rFonts w:ascii="宋体" w:hAnsi="宋体" w:cs="宋体"/>
      <w:kern w:val="0"/>
    </w:rPr>
  </w:style>
  <w:style w:type="paragraph" w:customStyle="1" w:styleId="affffffffffffff3">
    <w:name w:val="注×："/>
    <w:qFormat/>
    <w:pPr>
      <w:widowControl w:val="0"/>
      <w:tabs>
        <w:tab w:val="left" w:pos="630"/>
        <w:tab w:val="left" w:pos="720"/>
      </w:tabs>
      <w:autoSpaceDE w:val="0"/>
      <w:autoSpaceDN w:val="0"/>
      <w:ind w:left="720" w:hanging="720"/>
      <w:jc w:val="both"/>
    </w:pPr>
    <w:rPr>
      <w:rFonts w:ascii="宋体"/>
      <w:sz w:val="18"/>
    </w:rPr>
  </w:style>
  <w:style w:type="paragraph" w:customStyle="1" w:styleId="1fffff1">
    <w:name w:val="燕山正文1"/>
    <w:basedOn w:val="a"/>
    <w:qFormat/>
    <w:pPr>
      <w:widowControl/>
      <w:tabs>
        <w:tab w:val="left" w:pos="4680"/>
      </w:tabs>
      <w:spacing w:line="480" w:lineRule="exact"/>
      <w:jc w:val="left"/>
    </w:pPr>
    <w:rPr>
      <w:rFonts w:ascii="宋体" w:hAnsi="宋体" w:cs="宋体"/>
      <w:kern w:val="0"/>
    </w:rPr>
  </w:style>
  <w:style w:type="paragraph" w:customStyle="1" w:styleId="Char76">
    <w:name w:val="Char7"/>
    <w:basedOn w:val="a"/>
    <w:qFormat/>
    <w:pPr>
      <w:widowControl/>
      <w:ind w:left="-48"/>
      <w:jc w:val="left"/>
    </w:pPr>
    <w:rPr>
      <w:rFonts w:ascii="宋体" w:hAnsi="宋体" w:cs="宋体"/>
      <w:kern w:val="0"/>
    </w:rPr>
  </w:style>
  <w:style w:type="paragraph" w:customStyle="1" w:styleId="421">
    <w:name w:val="正文格式42"/>
    <w:basedOn w:val="a"/>
    <w:qFormat/>
    <w:pPr>
      <w:widowControl/>
      <w:ind w:firstLine="482"/>
      <w:jc w:val="left"/>
    </w:pPr>
    <w:rPr>
      <w:rFonts w:ascii="宋体" w:hAnsi="宋体" w:cs="宋体"/>
      <w:kern w:val="0"/>
    </w:rPr>
  </w:style>
  <w:style w:type="paragraph" w:customStyle="1" w:styleId="03">
    <w:name w:val="表格03"/>
    <w:basedOn w:val="a"/>
    <w:qFormat/>
    <w:pPr>
      <w:widowControl/>
      <w:spacing w:line="400" w:lineRule="exact"/>
      <w:jc w:val="center"/>
    </w:pPr>
    <w:rPr>
      <w:rFonts w:ascii="宋体" w:hAnsi="宋体" w:cs="宋体"/>
      <w:kern w:val="0"/>
      <w:szCs w:val="21"/>
    </w:rPr>
  </w:style>
  <w:style w:type="paragraph" w:customStyle="1" w:styleId="4f4">
    <w:name w:val="正文格式4"/>
    <w:basedOn w:val="a"/>
    <w:qFormat/>
    <w:pPr>
      <w:widowControl/>
      <w:ind w:firstLine="482"/>
      <w:jc w:val="left"/>
    </w:pPr>
    <w:rPr>
      <w:rFonts w:ascii="宋体" w:hAnsi="宋体" w:cs="宋体"/>
      <w:kern w:val="0"/>
    </w:rPr>
  </w:style>
  <w:style w:type="paragraph" w:customStyle="1" w:styleId="5112">
    <w:name w:val="表文字511"/>
    <w:basedOn w:val="a"/>
    <w:qFormat/>
    <w:pPr>
      <w:widowControl/>
      <w:jc w:val="left"/>
      <w:textAlignment w:val="baseline"/>
    </w:pPr>
    <w:rPr>
      <w:rFonts w:ascii="宋体" w:hAnsi="宋体" w:cs="宋体"/>
      <w:kern w:val="0"/>
      <w:szCs w:val="20"/>
    </w:rPr>
  </w:style>
  <w:style w:type="paragraph" w:customStyle="1" w:styleId="ParaCharCharCharChar21">
    <w:name w:val="默认段落字体 Para Char Char Char Char21"/>
    <w:basedOn w:val="a"/>
    <w:qFormat/>
    <w:pPr>
      <w:widowControl/>
      <w:jc w:val="left"/>
    </w:pPr>
    <w:rPr>
      <w:rFonts w:ascii="宋体" w:hAnsi="宋体" w:cs="宋体"/>
      <w:kern w:val="0"/>
    </w:rPr>
  </w:style>
  <w:style w:type="paragraph" w:customStyle="1" w:styleId="affffffffffffff4">
    <w:name w:val="正文段落"/>
    <w:basedOn w:val="a"/>
    <w:qFormat/>
    <w:pPr>
      <w:widowControl/>
      <w:autoSpaceDE w:val="0"/>
      <w:autoSpaceDN w:val="0"/>
      <w:ind w:firstLine="499"/>
      <w:jc w:val="left"/>
      <w:textAlignment w:val="baseline"/>
    </w:pPr>
    <w:rPr>
      <w:rFonts w:ascii="宋体" w:hAnsi="Tms Rmn" w:cs="宋体"/>
      <w:kern w:val="0"/>
      <w:szCs w:val="20"/>
    </w:rPr>
  </w:style>
  <w:style w:type="paragraph" w:customStyle="1" w:styleId="517">
    <w:name w:val="表内宋5中1"/>
    <w:basedOn w:val="a"/>
    <w:qFormat/>
    <w:pPr>
      <w:widowControl/>
      <w:jc w:val="center"/>
      <w:textAlignment w:val="baseline"/>
    </w:pPr>
    <w:rPr>
      <w:rFonts w:ascii="宋体" w:hAnsi="宋体" w:cs="宋体"/>
      <w:kern w:val="0"/>
      <w:szCs w:val="20"/>
    </w:rPr>
  </w:style>
  <w:style w:type="paragraph" w:customStyle="1" w:styleId="2fffd">
    <w:name w:val="表格文字2"/>
    <w:basedOn w:val="a"/>
    <w:qFormat/>
    <w:pPr>
      <w:widowControl/>
      <w:tabs>
        <w:tab w:val="left" w:pos="277"/>
        <w:tab w:val="left" w:pos="600"/>
        <w:tab w:val="left" w:pos="780"/>
        <w:tab w:val="left" w:pos="2517"/>
      </w:tabs>
      <w:spacing w:before="60"/>
      <w:jc w:val="center"/>
      <w:textAlignment w:val="baseline"/>
    </w:pPr>
    <w:rPr>
      <w:rFonts w:ascii="宋体" w:hAnsi="宋体" w:cs="宋体"/>
      <w:kern w:val="0"/>
      <w:szCs w:val="21"/>
    </w:rPr>
  </w:style>
  <w:style w:type="paragraph" w:customStyle="1" w:styleId="144">
    <w:name w:val="表题144"/>
    <w:basedOn w:val="ab"/>
    <w:qFormat/>
    <w:pPr>
      <w:widowControl/>
      <w:ind w:firstLineChars="0" w:firstLine="0"/>
      <w:jc w:val="center"/>
    </w:pPr>
    <w:rPr>
      <w:rFonts w:ascii="黑体" w:cs="Arial"/>
      <w:b/>
    </w:rPr>
  </w:style>
  <w:style w:type="paragraph" w:customStyle="1" w:styleId="1fffff2">
    <w:name w:val="表图1"/>
    <w:basedOn w:val="a"/>
    <w:qFormat/>
    <w:pPr>
      <w:widowControl/>
      <w:spacing w:line="360" w:lineRule="exact"/>
      <w:jc w:val="center"/>
    </w:pPr>
    <w:rPr>
      <w:rFonts w:ascii="仿宋_GB2312" w:hAnsi="宋体" w:cs="宋体"/>
      <w:kern w:val="0"/>
    </w:rPr>
  </w:style>
  <w:style w:type="paragraph" w:customStyle="1" w:styleId="305050505">
    <w:name w:val="样式 样式 标题 3 + 段前: 0.5 行 段后: 0.5 行 + 段前: 0.5 行 段后: 0.5 行"/>
    <w:basedOn w:val="a"/>
    <w:qFormat/>
    <w:pPr>
      <w:keepNext/>
      <w:keepLines/>
      <w:widowControl/>
      <w:spacing w:before="156" w:after="156" w:line="300" w:lineRule="auto"/>
      <w:ind w:left="180"/>
      <w:jc w:val="left"/>
      <w:outlineLvl w:val="2"/>
    </w:pPr>
    <w:rPr>
      <w:rFonts w:ascii="仿宋_GB2312" w:hAnsi="宋体" w:cs="宋体"/>
      <w:b/>
      <w:kern w:val="0"/>
      <w:sz w:val="30"/>
      <w:szCs w:val="30"/>
    </w:rPr>
  </w:style>
  <w:style w:type="paragraph" w:customStyle="1" w:styleId="1115">
    <w:name w:val="样式 标题 1 + 段前: 1 行 段后: 1.5 行"/>
    <w:basedOn w:val="1"/>
    <w:qFormat/>
    <w:pPr>
      <w:numPr>
        <w:numId w:val="0"/>
      </w:numPr>
      <w:spacing w:beforeLines="100" w:before="312" w:after="156" w:line="300" w:lineRule="auto"/>
    </w:pPr>
    <w:rPr>
      <w:rFonts w:ascii="仿宋_GB2312" w:cs="宋体"/>
      <w:sz w:val="32"/>
      <w:szCs w:val="32"/>
      <w:lang w:val="zh-CN"/>
    </w:rPr>
  </w:style>
  <w:style w:type="paragraph" w:customStyle="1" w:styleId="CharCharCharCharCharCharCharChar1CharCharCharCharCharCharCharCharCharCharCharChar1Char1">
    <w:name w:val="Char Char Char Char Char Char Char Char1 Char Char Char Char Char Char Char Char Char Char Char Char1 Char1"/>
    <w:basedOn w:val="a"/>
    <w:qFormat/>
    <w:pPr>
      <w:widowControl/>
      <w:jc w:val="left"/>
    </w:pPr>
    <w:rPr>
      <w:rFonts w:ascii="宋体" w:hAnsi="宋体" w:cs="宋体"/>
      <w:kern w:val="0"/>
    </w:rPr>
  </w:style>
  <w:style w:type="paragraph" w:customStyle="1" w:styleId="CharCharChar1CharCharChar1CharCharCharCharCharChar1CharCharChar1Char">
    <w:name w:val="Char Char Char1 Char Char Char1 Char Char Char Char Char Char1 Char Char Char1 Char"/>
    <w:basedOn w:val="a"/>
    <w:qFormat/>
    <w:pPr>
      <w:widowControl/>
      <w:jc w:val="left"/>
    </w:pPr>
    <w:rPr>
      <w:rFonts w:ascii="宋体" w:hAnsi="宋体" w:cs="宋体"/>
      <w:kern w:val="0"/>
    </w:rPr>
  </w:style>
  <w:style w:type="paragraph" w:customStyle="1" w:styleId="2fffe">
    <w:name w:val="燕山正文2"/>
    <w:basedOn w:val="a"/>
    <w:qFormat/>
    <w:pPr>
      <w:widowControl/>
      <w:tabs>
        <w:tab w:val="left" w:pos="4680"/>
      </w:tabs>
      <w:spacing w:line="480" w:lineRule="exact"/>
      <w:jc w:val="left"/>
    </w:pPr>
    <w:rPr>
      <w:rFonts w:ascii="宋体" w:hAnsi="宋体" w:cs="宋体"/>
      <w:kern w:val="0"/>
    </w:rPr>
  </w:style>
  <w:style w:type="paragraph" w:customStyle="1" w:styleId="4f5">
    <w:name w:val="正文格式＝4"/>
    <w:basedOn w:val="affff4"/>
    <w:next w:val="affff4"/>
    <w:qFormat/>
    <w:rPr>
      <w:rFonts w:hAnsi="宋体"/>
      <w:szCs w:val="24"/>
    </w:rPr>
  </w:style>
  <w:style w:type="paragraph" w:customStyle="1" w:styleId="affffffffffffff5">
    <w:name w:val="四级条标题"/>
    <w:basedOn w:val="affffffffffff2"/>
    <w:next w:val="a"/>
    <w:qFormat/>
    <w:pPr>
      <w:tabs>
        <w:tab w:val="clear" w:pos="1008"/>
        <w:tab w:val="clear" w:pos="2100"/>
        <w:tab w:val="clear" w:pos="2660"/>
        <w:tab w:val="left" w:pos="1152"/>
        <w:tab w:val="left" w:pos="2520"/>
        <w:tab w:val="left" w:pos="3080"/>
      </w:tabs>
      <w:outlineLvl w:val="5"/>
    </w:pPr>
  </w:style>
  <w:style w:type="paragraph" w:customStyle="1" w:styleId="103">
    <w:name w:val="小四宋居中1.0"/>
    <w:basedOn w:val="a"/>
    <w:next w:val="a"/>
    <w:qFormat/>
    <w:pPr>
      <w:widowControl/>
      <w:spacing w:line="400" w:lineRule="exact"/>
      <w:jc w:val="center"/>
    </w:pPr>
    <w:rPr>
      <w:rFonts w:ascii="仿宋_GB2312" w:hAnsi="宋体" w:cs="宋体"/>
      <w:kern w:val="0"/>
    </w:rPr>
  </w:style>
  <w:style w:type="paragraph" w:customStyle="1" w:styleId="MTDisplayEquation">
    <w:name w:val="MTDisplayEquation"/>
    <w:basedOn w:val="1f9"/>
    <w:next w:val="a"/>
    <w:qFormat/>
    <w:pPr>
      <w:widowControl/>
      <w:tabs>
        <w:tab w:val="center" w:pos="4160"/>
        <w:tab w:val="right" w:pos="8300"/>
      </w:tabs>
      <w:ind w:firstLineChars="0" w:firstLine="0"/>
    </w:pPr>
    <w:rPr>
      <w:snapToGrid w:val="0"/>
      <w:szCs w:val="24"/>
    </w:rPr>
  </w:style>
  <w:style w:type="paragraph" w:customStyle="1" w:styleId="Char380">
    <w:name w:val="Char38"/>
    <w:basedOn w:val="a"/>
    <w:qFormat/>
    <w:pPr>
      <w:widowControl/>
      <w:ind w:left="-48"/>
      <w:jc w:val="left"/>
    </w:pPr>
    <w:rPr>
      <w:rFonts w:ascii="宋体" w:hAnsi="宋体" w:cs="宋体"/>
      <w:kern w:val="0"/>
    </w:rPr>
  </w:style>
  <w:style w:type="paragraph" w:customStyle="1" w:styleId="Char173">
    <w:name w:val="Char17"/>
    <w:basedOn w:val="a"/>
    <w:qFormat/>
    <w:pPr>
      <w:widowControl/>
      <w:ind w:left="-48"/>
      <w:jc w:val="left"/>
    </w:pPr>
    <w:rPr>
      <w:rFonts w:ascii="宋体" w:hAnsi="宋体" w:cs="宋体"/>
      <w:kern w:val="0"/>
    </w:rPr>
  </w:style>
  <w:style w:type="paragraph" w:customStyle="1" w:styleId="Default3">
    <w:name w:val="Default3"/>
    <w:qFormat/>
    <w:pPr>
      <w:widowControl w:val="0"/>
      <w:autoSpaceDE w:val="0"/>
      <w:autoSpaceDN w:val="0"/>
      <w:adjustRightInd w:val="0"/>
    </w:pPr>
    <w:rPr>
      <w:rFonts w:ascii="宋体"/>
      <w:color w:val="000000"/>
      <w:sz w:val="24"/>
      <w:szCs w:val="24"/>
    </w:rPr>
  </w:style>
  <w:style w:type="paragraph" w:customStyle="1" w:styleId="affffffffffffff6">
    <w:name w:val="正文表标题"/>
    <w:next w:val="a"/>
    <w:qFormat/>
    <w:pPr>
      <w:spacing w:beforeLines="50" w:before="156" w:afterLines="50" w:after="156"/>
      <w:jc w:val="center"/>
    </w:pPr>
    <w:rPr>
      <w:rFonts w:eastAsia="黑体"/>
      <w:sz w:val="21"/>
    </w:rPr>
  </w:style>
  <w:style w:type="paragraph" w:customStyle="1" w:styleId="CharCharChar10">
    <w:name w:val="Char Char Char1"/>
    <w:basedOn w:val="a"/>
    <w:qFormat/>
    <w:pPr>
      <w:widowControl/>
      <w:jc w:val="left"/>
    </w:pPr>
    <w:rPr>
      <w:rFonts w:ascii="宋体" w:hAnsi="宋体" w:cs="宋体"/>
      <w:kern w:val="0"/>
    </w:rPr>
  </w:style>
  <w:style w:type="paragraph" w:customStyle="1" w:styleId="1fffff3">
    <w:name w:val="收信人地址1"/>
    <w:basedOn w:val="a"/>
    <w:qFormat/>
    <w:pPr>
      <w:widowControl/>
      <w:ind w:leftChars="1400" w:left="100"/>
      <w:jc w:val="left"/>
    </w:pPr>
    <w:rPr>
      <w:rFonts w:ascii="Arial" w:hAnsi="Arial" w:cs="Arial"/>
      <w:kern w:val="0"/>
    </w:rPr>
  </w:style>
  <w:style w:type="paragraph" w:customStyle="1" w:styleId="affffffffffffff7">
    <w:name w:val="表、图名宋旭峰"/>
    <w:basedOn w:val="affff5"/>
    <w:qFormat/>
    <w:pPr>
      <w:widowControl/>
      <w:adjustRightInd/>
      <w:spacing w:line="360" w:lineRule="auto"/>
      <w:ind w:firstLineChars="0" w:firstLine="0"/>
      <w:textAlignment w:val="auto"/>
    </w:pPr>
    <w:rPr>
      <w:rFonts w:ascii="黑体" w:hAnsi="宋体"/>
      <w:spacing w:val="0"/>
      <w:szCs w:val="21"/>
    </w:rPr>
  </w:style>
  <w:style w:type="paragraph" w:customStyle="1" w:styleId="3ff4">
    <w:name w:val="表格内字体3"/>
    <w:basedOn w:val="affff4"/>
    <w:next w:val="affff4"/>
    <w:qFormat/>
    <w:pPr>
      <w:spacing w:line="240" w:lineRule="auto"/>
      <w:ind w:firstLine="0"/>
      <w:jc w:val="center"/>
    </w:pPr>
    <w:rPr>
      <w:rFonts w:hAnsi="宋体"/>
      <w:sz w:val="21"/>
      <w:szCs w:val="24"/>
    </w:rPr>
  </w:style>
  <w:style w:type="paragraph" w:customStyle="1" w:styleId="1113">
    <w:name w:val="表题1113"/>
    <w:basedOn w:val="ab"/>
    <w:qFormat/>
    <w:pPr>
      <w:widowControl/>
      <w:ind w:firstLineChars="0" w:firstLine="0"/>
      <w:jc w:val="center"/>
    </w:pPr>
    <w:rPr>
      <w:rFonts w:ascii="黑体" w:cs="Arial"/>
    </w:rPr>
  </w:style>
  <w:style w:type="paragraph" w:customStyle="1" w:styleId="21a">
    <w:name w:val="表格内字体21"/>
    <w:basedOn w:val="affff4"/>
    <w:next w:val="affff4"/>
    <w:qFormat/>
    <w:pPr>
      <w:spacing w:line="240" w:lineRule="auto"/>
      <w:ind w:firstLine="0"/>
      <w:jc w:val="center"/>
    </w:pPr>
    <w:rPr>
      <w:rFonts w:hAnsi="宋体"/>
      <w:sz w:val="21"/>
      <w:szCs w:val="24"/>
    </w:rPr>
  </w:style>
  <w:style w:type="paragraph" w:customStyle="1" w:styleId="1130">
    <w:name w:val="燕山正文113"/>
    <w:basedOn w:val="a"/>
    <w:qFormat/>
    <w:pPr>
      <w:widowControl/>
      <w:tabs>
        <w:tab w:val="left" w:pos="4680"/>
      </w:tabs>
      <w:jc w:val="left"/>
    </w:pPr>
    <w:rPr>
      <w:rFonts w:ascii="宋体" w:hAnsi="宋体" w:cs="宋体"/>
      <w:bCs/>
      <w:snapToGrid w:val="0"/>
      <w:color w:val="000000"/>
      <w:kern w:val="0"/>
    </w:rPr>
  </w:style>
  <w:style w:type="paragraph" w:customStyle="1" w:styleId="3chen">
    <w:name w:val="谏壁标题3（chen）"/>
    <w:basedOn w:val="a"/>
    <w:qFormat/>
    <w:pPr>
      <w:keepNext/>
      <w:keepLines/>
      <w:widowControl/>
      <w:spacing w:before="100" w:after="120"/>
      <w:jc w:val="left"/>
      <w:outlineLvl w:val="2"/>
    </w:pPr>
    <w:rPr>
      <w:rFonts w:ascii="宋体" w:eastAsia="黑体" w:hAnsi="宋体" w:cs="宋体"/>
      <w:kern w:val="0"/>
      <w:sz w:val="30"/>
      <w:szCs w:val="32"/>
    </w:rPr>
  </w:style>
  <w:style w:type="paragraph" w:customStyle="1" w:styleId="ParaCharCharChar1CharCharCharCharCharCharCharCharCharCharCharChar1">
    <w:name w:val="默认段落字体 Para Char Char Char1 Char Char Char Char Char Char Char Char Char Char Char Char1"/>
    <w:basedOn w:val="a"/>
    <w:qFormat/>
    <w:pPr>
      <w:widowControl/>
      <w:jc w:val="left"/>
    </w:pPr>
    <w:rPr>
      <w:rFonts w:ascii="宋体" w:hAnsi="宋体" w:cs="宋体"/>
      <w:kern w:val="0"/>
    </w:rPr>
  </w:style>
  <w:style w:type="paragraph" w:customStyle="1" w:styleId="affffffffffffff8">
    <w:name w:val="样式 表格 + 居中"/>
    <w:basedOn w:val="a"/>
    <w:qFormat/>
    <w:pPr>
      <w:widowControl/>
      <w:kinsoku w:val="0"/>
      <w:overflowPunct w:val="0"/>
      <w:jc w:val="center"/>
    </w:pPr>
    <w:rPr>
      <w:rFonts w:ascii="宋体" w:hAnsi="宋体" w:cs="宋体"/>
      <w:snapToGrid w:val="0"/>
      <w:color w:val="000000"/>
      <w:kern w:val="0"/>
    </w:rPr>
  </w:style>
  <w:style w:type="paragraph" w:customStyle="1" w:styleId="1114">
    <w:name w:val="燕山正文111"/>
    <w:basedOn w:val="a"/>
    <w:qFormat/>
    <w:pPr>
      <w:widowControl/>
      <w:tabs>
        <w:tab w:val="left" w:pos="4680"/>
      </w:tabs>
      <w:spacing w:line="480" w:lineRule="exact"/>
      <w:jc w:val="left"/>
    </w:pPr>
    <w:rPr>
      <w:rFonts w:ascii="宋体" w:hAnsi="宋体" w:cs="宋体"/>
      <w:bCs/>
      <w:color w:val="000000"/>
      <w:kern w:val="0"/>
    </w:rPr>
  </w:style>
  <w:style w:type="paragraph" w:customStyle="1" w:styleId="1312">
    <w:name w:val="燕山正文1312"/>
    <w:basedOn w:val="a"/>
    <w:pPr>
      <w:widowControl/>
      <w:tabs>
        <w:tab w:val="left" w:pos="4680"/>
      </w:tabs>
      <w:jc w:val="left"/>
    </w:pPr>
    <w:rPr>
      <w:rFonts w:ascii="宋体" w:hAnsi="宋体" w:cs="宋体"/>
      <w:bCs/>
      <w:color w:val="000000"/>
      <w:kern w:val="0"/>
    </w:rPr>
  </w:style>
  <w:style w:type="paragraph" w:customStyle="1" w:styleId="134">
    <w:name w:val="燕山正文13"/>
    <w:basedOn w:val="a"/>
    <w:qFormat/>
    <w:pPr>
      <w:widowControl/>
      <w:tabs>
        <w:tab w:val="left" w:pos="4680"/>
      </w:tabs>
      <w:jc w:val="left"/>
    </w:pPr>
    <w:rPr>
      <w:rFonts w:ascii="宋体" w:hAnsi="宋体" w:cs="宋体"/>
      <w:bCs/>
      <w:color w:val="000000"/>
      <w:kern w:val="0"/>
    </w:rPr>
  </w:style>
  <w:style w:type="paragraph" w:customStyle="1" w:styleId="2ffff">
    <w:name w:val="样式 正文缩进 + 宋体 黑色 首行缩进:  2 字符"/>
    <w:basedOn w:val="1fb"/>
    <w:qFormat/>
    <w:pPr>
      <w:ind w:firstLine="480"/>
    </w:pPr>
    <w:rPr>
      <w:rFonts w:cs="宋体"/>
      <w:color w:val="FF00FF"/>
    </w:rPr>
  </w:style>
  <w:style w:type="paragraph" w:customStyle="1" w:styleId="affffffffffffff9">
    <w:name w:val="正文（缩进）"/>
    <w:basedOn w:val="a"/>
    <w:qFormat/>
    <w:pPr>
      <w:widowControl/>
      <w:jc w:val="left"/>
    </w:pPr>
    <w:rPr>
      <w:rFonts w:ascii="宋体" w:hAnsi="宋体" w:cs="宋体"/>
      <w:snapToGrid w:val="0"/>
      <w:kern w:val="0"/>
    </w:rPr>
  </w:style>
  <w:style w:type="paragraph" w:customStyle="1" w:styleId="affffffffffffffa">
    <w:name w:val="表格文字中"/>
    <w:basedOn w:val="a"/>
    <w:next w:val="1f3"/>
    <w:qFormat/>
    <w:pPr>
      <w:keepNext/>
      <w:widowControl/>
      <w:tabs>
        <w:tab w:val="left" w:pos="1727"/>
        <w:tab w:val="left" w:pos="1884"/>
      </w:tabs>
      <w:jc w:val="center"/>
    </w:pPr>
    <w:rPr>
      <w:rFonts w:ascii="宋体" w:hAnsi="宋体" w:cs="宋体"/>
      <w:kern w:val="0"/>
    </w:rPr>
  </w:style>
  <w:style w:type="paragraph" w:customStyle="1" w:styleId="GB231210">
    <w:name w:val="样式 仿宋_GB2312 小四1"/>
    <w:basedOn w:val="a"/>
    <w:qFormat/>
    <w:pPr>
      <w:widowControl/>
      <w:jc w:val="left"/>
      <w:textAlignment w:val="baseline"/>
    </w:pPr>
    <w:rPr>
      <w:rFonts w:ascii="宋体" w:hAnsi="宋体" w:cs="宋体"/>
      <w:kern w:val="0"/>
    </w:rPr>
  </w:style>
  <w:style w:type="paragraph" w:customStyle="1" w:styleId="3ff5">
    <w:name w:val="表中文字3"/>
    <w:basedOn w:val="a"/>
    <w:qFormat/>
    <w:pPr>
      <w:widowControl/>
      <w:spacing w:line="240" w:lineRule="atLeast"/>
      <w:ind w:leftChars="-10" w:left="-24" w:rightChars="-20" w:right="-48"/>
      <w:jc w:val="center"/>
    </w:pPr>
    <w:rPr>
      <w:rFonts w:ascii="宋体" w:hAnsi="宋体" w:cs="宋体"/>
      <w:kern w:val="0"/>
      <w:szCs w:val="21"/>
    </w:rPr>
  </w:style>
  <w:style w:type="paragraph" w:customStyle="1" w:styleId="CharCharCharCharCharCharCharCharCharCharCharCharCharCharCharCharCharCharCharCharCharCharCharCharCharCharCharCharChar">
    <w:name w:val="Char Char Char Char Char Char Char Char Char Char Char Char Char Char Char Char Char Char Char Char Char Char Char Char Char Char Char Char Char"/>
    <w:basedOn w:val="a"/>
    <w:qFormat/>
    <w:pPr>
      <w:widowControl/>
      <w:jc w:val="left"/>
    </w:pPr>
    <w:rPr>
      <w:rFonts w:ascii="宋体" w:hAnsi="宋体" w:cs="宋体"/>
      <w:kern w:val="0"/>
      <w:szCs w:val="21"/>
    </w:rPr>
  </w:style>
  <w:style w:type="paragraph" w:customStyle="1" w:styleId="2CharCharCharCharCharCharCharCharCharChar">
    <w:name w:val="2 Char Char Char Char Char Char Char Char Char Char"/>
    <w:basedOn w:val="a"/>
    <w:qFormat/>
    <w:pPr>
      <w:widowControl/>
      <w:jc w:val="left"/>
    </w:pPr>
    <w:rPr>
      <w:rFonts w:ascii="宋体" w:hAnsi="宋体" w:cs="宋体"/>
      <w:kern w:val="0"/>
    </w:rPr>
  </w:style>
  <w:style w:type="paragraph" w:customStyle="1" w:styleId="affffffffffffffb">
    <w:name w:val="表居中（中文）"/>
    <w:basedOn w:val="a"/>
    <w:qFormat/>
    <w:pPr>
      <w:widowControl/>
      <w:spacing w:line="380" w:lineRule="atLeast"/>
      <w:jc w:val="center"/>
      <w:textAlignment w:val="baseline"/>
    </w:pPr>
    <w:rPr>
      <w:rFonts w:ascii="宋体" w:eastAsia="楷体_GB2312" w:hAnsi="宋体" w:cs="宋体"/>
      <w:kern w:val="0"/>
      <w:szCs w:val="20"/>
    </w:rPr>
  </w:style>
  <w:style w:type="paragraph" w:customStyle="1" w:styleId="5230">
    <w:name w:val="表文字523"/>
    <w:basedOn w:val="a"/>
    <w:qFormat/>
    <w:pPr>
      <w:widowControl/>
      <w:jc w:val="left"/>
      <w:textAlignment w:val="baseline"/>
    </w:pPr>
    <w:rPr>
      <w:rFonts w:ascii="宋体" w:hAnsi="宋体" w:cs="宋体"/>
      <w:kern w:val="0"/>
      <w:szCs w:val="20"/>
    </w:rPr>
  </w:style>
  <w:style w:type="paragraph" w:customStyle="1" w:styleId="126">
    <w:name w:val="表题12"/>
    <w:basedOn w:val="ab"/>
    <w:qFormat/>
    <w:pPr>
      <w:widowControl/>
      <w:ind w:firstLineChars="0" w:firstLine="0"/>
      <w:jc w:val="center"/>
    </w:pPr>
    <w:rPr>
      <w:rFonts w:ascii="黑体" w:cs="Arial"/>
    </w:rPr>
  </w:style>
  <w:style w:type="paragraph" w:customStyle="1" w:styleId="GB231220">
    <w:name w:val="样式 仿宋_GB2312 小四 居中 行距: 固定值 20 磅"/>
    <w:basedOn w:val="a"/>
    <w:qFormat/>
    <w:pPr>
      <w:widowControl/>
      <w:spacing w:line="400" w:lineRule="exact"/>
      <w:jc w:val="center"/>
    </w:pPr>
    <w:rPr>
      <w:rFonts w:ascii="仿宋_GB2312" w:hAnsi="宋体" w:cs="宋体"/>
      <w:kern w:val="0"/>
      <w:szCs w:val="20"/>
    </w:rPr>
  </w:style>
  <w:style w:type="paragraph" w:customStyle="1" w:styleId="BBBBBBBBBB">
    <w:name w:val="BBBBBBBBBB"/>
    <w:basedOn w:val="a"/>
    <w:qFormat/>
    <w:pPr>
      <w:widowControl/>
      <w:spacing w:line="324" w:lineRule="auto"/>
      <w:jc w:val="center"/>
    </w:pPr>
    <w:rPr>
      <w:rFonts w:ascii="宋体" w:hAnsi="宋体" w:cs="宋体"/>
      <w:b/>
      <w:bCs/>
      <w:kern w:val="0"/>
      <w:szCs w:val="21"/>
    </w:rPr>
  </w:style>
  <w:style w:type="paragraph" w:customStyle="1" w:styleId="1231">
    <w:name w:val="样式123"/>
    <w:basedOn w:val="314"/>
    <w:qFormat/>
    <w:pPr>
      <w:spacing w:line="240" w:lineRule="auto"/>
      <w:ind w:firstLine="0"/>
      <w:jc w:val="center"/>
    </w:pPr>
    <w:rPr>
      <w:rFonts w:cs="Times New Roman"/>
      <w:b/>
      <w:color w:val="auto"/>
      <w:szCs w:val="20"/>
    </w:rPr>
  </w:style>
  <w:style w:type="paragraph" w:customStyle="1" w:styleId="puce">
    <w:name w:val="puce"/>
    <w:basedOn w:val="a"/>
    <w:qFormat/>
    <w:pPr>
      <w:widowControl/>
      <w:tabs>
        <w:tab w:val="left" w:pos="780"/>
        <w:tab w:val="left" w:pos="1200"/>
      </w:tabs>
      <w:jc w:val="left"/>
    </w:pPr>
    <w:rPr>
      <w:rFonts w:ascii="Arial" w:hAnsi="Arial" w:cs="宋体"/>
      <w:snapToGrid w:val="0"/>
      <w:color w:val="FF00FF"/>
      <w:kern w:val="0"/>
    </w:rPr>
  </w:style>
  <w:style w:type="paragraph" w:customStyle="1" w:styleId="31210">
    <w:name w:val="样式 标题 3 + 段前: 12 磅1"/>
    <w:basedOn w:val="3"/>
    <w:qFormat/>
    <w:pPr>
      <w:keepNext w:val="0"/>
      <w:keepLines w:val="0"/>
      <w:widowControl/>
      <w:numPr>
        <w:ilvl w:val="0"/>
        <w:numId w:val="0"/>
      </w:numPr>
      <w:autoSpaceDE w:val="0"/>
      <w:autoSpaceDN w:val="0"/>
      <w:jc w:val="both"/>
    </w:pPr>
    <w:rPr>
      <w:rFonts w:ascii="黑体" w:eastAsia="黑体" w:hAnsi="宋体" w:cs="宋体"/>
      <w:b w:val="0"/>
      <w:bCs w:val="0"/>
      <w:color w:val="000000"/>
      <w:kern w:val="21"/>
      <w:szCs w:val="20"/>
    </w:rPr>
  </w:style>
  <w:style w:type="paragraph" w:customStyle="1" w:styleId="CharCharCharCharCharCharCharCharChar">
    <w:name w:val="Char Char Char Char Char Char Char Char Char"/>
    <w:basedOn w:val="a"/>
    <w:qFormat/>
    <w:pPr>
      <w:widowControl/>
      <w:jc w:val="left"/>
    </w:pPr>
    <w:rPr>
      <w:rFonts w:ascii="宋体" w:hAnsi="宋体" w:cs="宋体"/>
      <w:kern w:val="0"/>
    </w:rPr>
  </w:style>
  <w:style w:type="paragraph" w:customStyle="1" w:styleId="610">
    <w:name w:val="索引 61"/>
    <w:basedOn w:val="1"/>
    <w:next w:val="a"/>
    <w:qFormat/>
    <w:pPr>
      <w:numPr>
        <w:numId w:val="0"/>
      </w:numPr>
      <w:tabs>
        <w:tab w:val="left" w:pos="432"/>
      </w:tabs>
      <w:adjustRightInd/>
      <w:snapToGrid/>
      <w:ind w:left="432" w:hanging="432"/>
    </w:pPr>
    <w:rPr>
      <w:szCs w:val="20"/>
      <w:lang w:val="zh-CN"/>
    </w:rPr>
  </w:style>
  <w:style w:type="paragraph" w:customStyle="1" w:styleId="5412">
    <w:name w:val="表内5412"/>
    <w:basedOn w:val="a"/>
    <w:qFormat/>
    <w:pPr>
      <w:widowControl/>
      <w:spacing w:line="300" w:lineRule="auto"/>
      <w:jc w:val="center"/>
    </w:pPr>
    <w:rPr>
      <w:rFonts w:ascii="宋体" w:hAnsi="宋体" w:cs="宋体"/>
      <w:kern w:val="0"/>
      <w:szCs w:val="20"/>
    </w:rPr>
  </w:style>
  <w:style w:type="paragraph" w:customStyle="1" w:styleId="AAAAAAAAAAAA">
    <w:name w:val="AAAAAAAAAAAA"/>
    <w:basedOn w:val="a"/>
    <w:pPr>
      <w:widowControl/>
      <w:jc w:val="center"/>
    </w:pPr>
    <w:rPr>
      <w:rFonts w:ascii="宋体" w:hAnsi="宋体" w:cs="宋体"/>
      <w:bCs/>
      <w:kern w:val="0"/>
      <w:szCs w:val="21"/>
    </w:rPr>
  </w:style>
  <w:style w:type="paragraph" w:customStyle="1" w:styleId="affffffffffffffc">
    <w:name w:val="流程图"/>
    <w:basedOn w:val="a"/>
    <w:qFormat/>
    <w:pPr>
      <w:widowControl/>
      <w:jc w:val="left"/>
    </w:pPr>
    <w:rPr>
      <w:rFonts w:ascii="宋体" w:hAnsi="宋体" w:cs="宋体"/>
      <w:kern w:val="0"/>
      <w:szCs w:val="18"/>
    </w:rPr>
  </w:style>
  <w:style w:type="paragraph" w:customStyle="1" w:styleId="Char252">
    <w:name w:val="Char25"/>
    <w:basedOn w:val="a"/>
    <w:qFormat/>
    <w:pPr>
      <w:widowControl/>
      <w:spacing w:before="156"/>
      <w:jc w:val="left"/>
    </w:pPr>
    <w:rPr>
      <w:rFonts w:ascii="黑体" w:eastAsia="黑体" w:hAnsi="宋体" w:cs="宋体"/>
      <w:kern w:val="0"/>
      <w:sz w:val="32"/>
      <w:szCs w:val="32"/>
    </w:rPr>
  </w:style>
  <w:style w:type="paragraph" w:customStyle="1" w:styleId="CharCharCharCharCharCharCharCharCharCharChar1CharCharCharCharCharChar">
    <w:name w:val="Char Char Char Char Char Char Char Char Char Char Char1 Char Char Char Char Char Char"/>
    <w:basedOn w:val="a"/>
    <w:qFormat/>
    <w:pPr>
      <w:widowControl/>
      <w:tabs>
        <w:tab w:val="left" w:pos="425"/>
      </w:tabs>
      <w:jc w:val="left"/>
    </w:pPr>
    <w:rPr>
      <w:rFonts w:ascii="宋体" w:hAnsi="宋体" w:cs="宋体"/>
      <w:kern w:val="0"/>
    </w:rPr>
  </w:style>
  <w:style w:type="paragraph" w:customStyle="1" w:styleId="affffffffffffffd">
    <w:name w:val="前言、引言标题"/>
    <w:next w:val="a"/>
    <w:qFormat/>
    <w:pPr>
      <w:shd w:val="clear" w:color="FFFFFF" w:fill="FFFFFF"/>
      <w:tabs>
        <w:tab w:val="left" w:pos="903"/>
      </w:tabs>
      <w:spacing w:before="640" w:after="560"/>
      <w:ind w:left="903" w:hanging="315"/>
      <w:jc w:val="center"/>
      <w:outlineLvl w:val="0"/>
    </w:pPr>
    <w:rPr>
      <w:rFonts w:ascii="黑体" w:eastAsia="黑体"/>
      <w:sz w:val="32"/>
    </w:rPr>
  </w:style>
  <w:style w:type="paragraph" w:customStyle="1" w:styleId="1220">
    <w:name w:val="燕山正文122"/>
    <w:basedOn w:val="a"/>
    <w:qFormat/>
    <w:pPr>
      <w:widowControl/>
      <w:tabs>
        <w:tab w:val="left" w:pos="4680"/>
      </w:tabs>
      <w:spacing w:line="480" w:lineRule="exact"/>
      <w:jc w:val="left"/>
    </w:pPr>
    <w:rPr>
      <w:rFonts w:ascii="宋体" w:hAnsi="宋体" w:cs="宋体"/>
      <w:kern w:val="0"/>
    </w:rPr>
  </w:style>
  <w:style w:type="paragraph" w:customStyle="1" w:styleId="319">
    <w:name w:val="列表编号 31"/>
    <w:basedOn w:val="a"/>
    <w:qFormat/>
    <w:pPr>
      <w:widowControl/>
      <w:tabs>
        <w:tab w:val="left" w:pos="1200"/>
      </w:tabs>
      <w:ind w:left="1200" w:hanging="360"/>
      <w:jc w:val="left"/>
    </w:pPr>
    <w:rPr>
      <w:rFonts w:ascii="宋体" w:hAnsi="宋体" w:cs="宋体"/>
      <w:kern w:val="0"/>
    </w:rPr>
  </w:style>
  <w:style w:type="paragraph" w:customStyle="1" w:styleId="2ffff0">
    <w:name w:val="样式 题注 + 首行缩进:  2 字符"/>
    <w:basedOn w:val="ab"/>
    <w:qFormat/>
    <w:pPr>
      <w:widowControl/>
      <w:spacing w:line="520" w:lineRule="exact"/>
      <w:ind w:firstLineChars="0" w:firstLine="0"/>
      <w:jc w:val="center"/>
    </w:pPr>
    <w:rPr>
      <w:rFonts w:cs="Arial"/>
    </w:rPr>
  </w:style>
  <w:style w:type="paragraph" w:customStyle="1" w:styleId="2ffff1">
    <w:name w:val="表中文字2"/>
    <w:basedOn w:val="a"/>
    <w:qFormat/>
    <w:pPr>
      <w:widowControl/>
      <w:spacing w:line="240" w:lineRule="atLeast"/>
      <w:ind w:rightChars="-20" w:right="-42"/>
      <w:jc w:val="center"/>
      <w:textAlignment w:val="baseline"/>
    </w:pPr>
    <w:rPr>
      <w:rFonts w:ascii="宋体" w:hAnsi="宋体" w:cs="宋体"/>
      <w:kern w:val="0"/>
      <w:szCs w:val="21"/>
    </w:rPr>
  </w:style>
  <w:style w:type="paragraph" w:customStyle="1" w:styleId="affffffffffffffe">
    <w:name w:val="小四表格"/>
    <w:basedOn w:val="a"/>
    <w:qFormat/>
    <w:pPr>
      <w:keepNext/>
      <w:widowControl/>
      <w:autoSpaceDE w:val="0"/>
      <w:autoSpaceDN w:val="0"/>
      <w:spacing w:line="480" w:lineRule="atLeast"/>
      <w:jc w:val="center"/>
    </w:pPr>
    <w:rPr>
      <w:rFonts w:ascii="宋体" w:hAnsi="宋体" w:cs="宋体"/>
      <w:color w:val="000000"/>
      <w:kern w:val="0"/>
      <w:szCs w:val="20"/>
    </w:rPr>
  </w:style>
  <w:style w:type="paragraph" w:customStyle="1" w:styleId="5f9">
    <w:name w:val="表内5中"/>
    <w:basedOn w:val="a"/>
    <w:qFormat/>
    <w:pPr>
      <w:widowControl/>
      <w:jc w:val="center"/>
    </w:pPr>
    <w:rPr>
      <w:rFonts w:ascii="宋体" w:hAnsi="宋体" w:cs="Arial"/>
      <w:snapToGrid w:val="0"/>
      <w:color w:val="000000"/>
      <w:kern w:val="0"/>
      <w:szCs w:val="21"/>
    </w:rPr>
  </w:style>
  <w:style w:type="paragraph" w:customStyle="1" w:styleId="ParaChar3">
    <w:name w:val="默认段落字体 Para Char3"/>
    <w:basedOn w:val="a"/>
    <w:qFormat/>
    <w:pPr>
      <w:widowControl/>
      <w:jc w:val="left"/>
    </w:pPr>
    <w:rPr>
      <w:rFonts w:ascii="宋体" w:hAnsi="宋体" w:cs="宋体"/>
      <w:kern w:val="0"/>
    </w:rPr>
  </w:style>
  <w:style w:type="paragraph" w:customStyle="1" w:styleId="541">
    <w:name w:val="表内宋5中4"/>
    <w:basedOn w:val="a"/>
    <w:qFormat/>
    <w:pPr>
      <w:widowControl/>
      <w:jc w:val="left"/>
      <w:textAlignment w:val="baseline"/>
    </w:pPr>
    <w:rPr>
      <w:rFonts w:ascii="宋体" w:hAnsi="宋体" w:cs="宋体"/>
      <w:color w:val="000000"/>
      <w:kern w:val="0"/>
      <w:szCs w:val="20"/>
    </w:rPr>
  </w:style>
  <w:style w:type="paragraph" w:customStyle="1" w:styleId="2120">
    <w:name w:val="表内文字小212"/>
    <w:basedOn w:val="a"/>
    <w:qFormat/>
    <w:pPr>
      <w:widowControl/>
      <w:jc w:val="center"/>
    </w:pPr>
    <w:rPr>
      <w:rFonts w:ascii="宋体" w:hAnsi="Times" w:cs="宋体"/>
      <w:bCs/>
      <w:color w:val="000000"/>
      <w:kern w:val="0"/>
      <w:szCs w:val="20"/>
    </w:rPr>
  </w:style>
  <w:style w:type="paragraph" w:customStyle="1" w:styleId="3ff6">
    <w:name w:val="燕山正文3"/>
    <w:basedOn w:val="a"/>
    <w:qFormat/>
    <w:pPr>
      <w:widowControl/>
      <w:tabs>
        <w:tab w:val="left" w:pos="4680"/>
      </w:tabs>
      <w:spacing w:line="480" w:lineRule="exact"/>
      <w:jc w:val="left"/>
    </w:pPr>
    <w:rPr>
      <w:rFonts w:ascii="宋体" w:hAnsi="宋体" w:cs="宋体"/>
      <w:kern w:val="0"/>
    </w:rPr>
  </w:style>
  <w:style w:type="paragraph" w:customStyle="1" w:styleId="2ffff2">
    <w:name w:val="环评正文2"/>
    <w:qFormat/>
    <w:pPr>
      <w:spacing w:line="440" w:lineRule="exact"/>
      <w:ind w:firstLineChars="200" w:firstLine="200"/>
    </w:pPr>
    <w:rPr>
      <w:bCs/>
      <w:kern w:val="2"/>
      <w:sz w:val="24"/>
      <w:szCs w:val="24"/>
    </w:rPr>
  </w:style>
  <w:style w:type="paragraph" w:customStyle="1" w:styleId="Char3211">
    <w:name w:val="Char321"/>
    <w:basedOn w:val="a"/>
    <w:qFormat/>
    <w:pPr>
      <w:widowControl/>
      <w:ind w:left="-48"/>
      <w:jc w:val="left"/>
    </w:pPr>
    <w:rPr>
      <w:rFonts w:ascii="宋体" w:hAnsi="宋体" w:cs="宋体"/>
      <w:kern w:val="0"/>
    </w:rPr>
  </w:style>
  <w:style w:type="paragraph" w:customStyle="1" w:styleId="111H1h11headingHeader1stPageh1chapte">
    <w:name w:val="样式 标题 1标题 1宋旭峰标题1章节H1h11headingHeader 1st Pageh1 chapte..."/>
    <w:basedOn w:val="1"/>
    <w:qFormat/>
    <w:pPr>
      <w:numPr>
        <w:numId w:val="0"/>
      </w:numPr>
      <w:spacing w:after="156"/>
      <w:jc w:val="left"/>
    </w:pPr>
    <w:rPr>
      <w:rFonts w:eastAsia="黑体"/>
      <w:kern w:val="0"/>
      <w:sz w:val="32"/>
      <w:szCs w:val="30"/>
      <w:lang w:val="zh-CN"/>
    </w:rPr>
  </w:style>
  <w:style w:type="paragraph" w:customStyle="1" w:styleId="127">
    <w:name w:val="正文修改12"/>
    <w:basedOn w:val="affffe"/>
    <w:qFormat/>
    <w:rPr>
      <w:rFonts w:eastAsia="宋体" w:hAnsi="宋体" w:cs="宋体"/>
      <w:color w:val="000000"/>
      <w:szCs w:val="24"/>
    </w:rPr>
  </w:style>
  <w:style w:type="paragraph" w:customStyle="1" w:styleId="1fffff4">
    <w:name w:val="1级标题"/>
    <w:basedOn w:val="1"/>
    <w:qFormat/>
    <w:pPr>
      <w:keepNext w:val="0"/>
      <w:keepLines w:val="0"/>
      <w:numPr>
        <w:numId w:val="0"/>
      </w:numPr>
      <w:jc w:val="left"/>
    </w:pPr>
    <w:rPr>
      <w:rFonts w:ascii="黑体" w:eastAsia="黑体"/>
      <w:b w:val="0"/>
      <w:sz w:val="32"/>
      <w:szCs w:val="30"/>
      <w:lang w:val="zh-CN"/>
    </w:rPr>
  </w:style>
  <w:style w:type="paragraph" w:customStyle="1" w:styleId="afffffffffffffff">
    <w:name w:val="条款"/>
    <w:basedOn w:val="a"/>
    <w:qFormat/>
    <w:pPr>
      <w:widowControl/>
      <w:jc w:val="left"/>
    </w:pPr>
    <w:rPr>
      <w:rFonts w:ascii="宋体" w:hAnsi="宋体" w:cs="宋体"/>
      <w:kern w:val="0"/>
      <w:szCs w:val="20"/>
    </w:rPr>
  </w:style>
  <w:style w:type="paragraph" w:customStyle="1" w:styleId="413">
    <w:name w:val="样式 标题 4 + 四号 段前: 1 行"/>
    <w:basedOn w:val="4"/>
    <w:qFormat/>
    <w:pPr>
      <w:numPr>
        <w:ilvl w:val="0"/>
        <w:numId w:val="0"/>
      </w:numPr>
      <w:tabs>
        <w:tab w:val="left" w:pos="1680"/>
      </w:tabs>
      <w:spacing w:beforeLines="100" w:before="312" w:after="0" w:line="420" w:lineRule="exact"/>
      <w:ind w:left="560"/>
    </w:pPr>
    <w:rPr>
      <w:rFonts w:ascii="Arial" w:eastAsia="黑体" w:hAnsi="Arial" w:cs="Times New Roman"/>
      <w:b w:val="0"/>
      <w:bCs w:val="0"/>
      <w:szCs w:val="20"/>
    </w:rPr>
  </w:style>
  <w:style w:type="paragraph" w:customStyle="1" w:styleId="CharCharCharCharCharCharCharCharCharCharCharCharCharCharCharCharCharCharCharCharCharCharCharCharCharChar">
    <w:name w:val="Char Char Char Char Char Char Char Char Char Char Char Char Char Char Char Char Char Char Char Char Char Char Char Char Char Char"/>
    <w:basedOn w:val="a"/>
    <w:qFormat/>
    <w:pPr>
      <w:widowControl/>
      <w:jc w:val="left"/>
    </w:pPr>
    <w:rPr>
      <w:rFonts w:ascii="宋体" w:hAnsi="宋体" w:cs="宋体"/>
      <w:kern w:val="0"/>
    </w:rPr>
  </w:style>
  <w:style w:type="paragraph" w:customStyle="1" w:styleId="CharCharCharCharCharCharChar111">
    <w:name w:val="Char Char Char Char Char Char Char111"/>
    <w:basedOn w:val="a"/>
    <w:qFormat/>
    <w:pPr>
      <w:widowControl/>
      <w:jc w:val="left"/>
    </w:pPr>
    <w:rPr>
      <w:rFonts w:ascii="宋体" w:hAnsi="宋体" w:cs="宋体"/>
      <w:kern w:val="0"/>
    </w:rPr>
  </w:style>
  <w:style w:type="paragraph" w:customStyle="1" w:styleId="5311">
    <w:name w:val="表内5311"/>
    <w:basedOn w:val="a"/>
    <w:qFormat/>
    <w:pPr>
      <w:widowControl/>
      <w:spacing w:line="300" w:lineRule="auto"/>
      <w:jc w:val="left"/>
    </w:pPr>
    <w:rPr>
      <w:rFonts w:ascii="宋体" w:hAnsi="宋体" w:cs="宋体"/>
      <w:kern w:val="0"/>
      <w:szCs w:val="20"/>
    </w:rPr>
  </w:style>
  <w:style w:type="paragraph" w:customStyle="1" w:styleId="414">
    <w:name w:val="表题41"/>
    <w:basedOn w:val="1fa"/>
    <w:qFormat/>
    <w:pPr>
      <w:widowControl/>
      <w:tabs>
        <w:tab w:val="left" w:pos="4305"/>
      </w:tabs>
      <w:spacing w:after="0"/>
      <w:ind w:leftChars="0" w:left="0" w:firstLineChars="0" w:firstLine="561"/>
      <w:jc w:val="left"/>
    </w:pPr>
    <w:rPr>
      <w:rFonts w:ascii="宋体" w:hAnsi="宋体" w:cs="宋体"/>
      <w:color w:val="000000"/>
      <w:sz w:val="24"/>
      <w:szCs w:val="24"/>
    </w:rPr>
  </w:style>
  <w:style w:type="paragraph" w:customStyle="1" w:styleId="Char714">
    <w:name w:val="Char71"/>
    <w:basedOn w:val="a"/>
    <w:qFormat/>
    <w:pPr>
      <w:widowControl/>
      <w:ind w:left="-48"/>
      <w:jc w:val="left"/>
    </w:pPr>
    <w:rPr>
      <w:rFonts w:ascii="宋体" w:hAnsi="宋体" w:cs="宋体"/>
      <w:kern w:val="0"/>
    </w:rPr>
  </w:style>
  <w:style w:type="paragraph" w:customStyle="1" w:styleId="afffffffffffffff0">
    <w:name w:val="图文字"/>
    <w:basedOn w:val="a"/>
    <w:qFormat/>
    <w:pPr>
      <w:widowControl/>
      <w:spacing w:line="280" w:lineRule="exact"/>
      <w:jc w:val="center"/>
    </w:pPr>
    <w:rPr>
      <w:rFonts w:ascii="宋体" w:hAnsi="宋体" w:cs="宋体"/>
      <w:kern w:val="0"/>
    </w:rPr>
  </w:style>
  <w:style w:type="paragraph" w:customStyle="1" w:styleId="CharCharCharCharCharCharChar2">
    <w:name w:val="Char Char Char Char Char Char Char2"/>
    <w:basedOn w:val="a"/>
    <w:qFormat/>
    <w:pPr>
      <w:widowControl/>
      <w:jc w:val="left"/>
    </w:pPr>
    <w:rPr>
      <w:rFonts w:ascii="宋体" w:hAnsi="宋体" w:cs="宋体"/>
      <w:kern w:val="0"/>
    </w:rPr>
  </w:style>
  <w:style w:type="paragraph" w:customStyle="1" w:styleId="afffffffffffffff1">
    <w:name w:val="表内式样"/>
    <w:qFormat/>
    <w:pPr>
      <w:keepLines/>
      <w:widowControl w:val="0"/>
      <w:kinsoku w:val="0"/>
      <w:overflowPunct w:val="0"/>
      <w:adjustRightInd w:val="0"/>
      <w:spacing w:line="360" w:lineRule="atLeast"/>
      <w:jc w:val="center"/>
    </w:pPr>
    <w:rPr>
      <w:rFonts w:ascii="宋体"/>
      <w:kern w:val="21"/>
      <w:sz w:val="21"/>
    </w:rPr>
  </w:style>
  <w:style w:type="paragraph" w:customStyle="1" w:styleId="3000">
    <w:name w:val="样式 标题 3 + 五号 加粗 段前: 0 磅 段后: 0 磅 行距: 单倍行距"/>
    <w:basedOn w:val="3"/>
    <w:qFormat/>
    <w:pPr>
      <w:widowControl/>
      <w:numPr>
        <w:ilvl w:val="0"/>
        <w:numId w:val="0"/>
      </w:numPr>
      <w:spacing w:line="240" w:lineRule="auto"/>
    </w:pPr>
    <w:rPr>
      <w:rFonts w:cs="宋体"/>
      <w:b w:val="0"/>
      <w:szCs w:val="21"/>
    </w:rPr>
  </w:style>
  <w:style w:type="paragraph" w:customStyle="1" w:styleId="Char3112">
    <w:name w:val="Char311"/>
    <w:basedOn w:val="a"/>
    <w:qFormat/>
    <w:pPr>
      <w:widowControl/>
      <w:ind w:left="-48"/>
      <w:jc w:val="left"/>
    </w:pPr>
    <w:rPr>
      <w:rFonts w:ascii="宋体" w:hAnsi="宋体" w:cs="宋体"/>
      <w:kern w:val="0"/>
    </w:rPr>
  </w:style>
  <w:style w:type="paragraph" w:customStyle="1" w:styleId="ParaCharCharCharChar6">
    <w:name w:val="默认段落字体 Para Char Char Char Char6"/>
    <w:basedOn w:val="a"/>
    <w:qFormat/>
    <w:pPr>
      <w:widowControl/>
      <w:jc w:val="left"/>
    </w:pPr>
    <w:rPr>
      <w:rFonts w:ascii="宋体" w:hAnsi="宋体" w:cs="宋体"/>
      <w:kern w:val="0"/>
    </w:rPr>
  </w:style>
  <w:style w:type="paragraph" w:customStyle="1" w:styleId="226">
    <w:name w:val="附件22"/>
    <w:basedOn w:val="1"/>
    <w:next w:val="affff4"/>
    <w:qFormat/>
    <w:pPr>
      <w:numPr>
        <w:numId w:val="0"/>
      </w:numPr>
      <w:adjustRightInd/>
      <w:snapToGrid/>
      <w:spacing w:after="210"/>
      <w:jc w:val="left"/>
    </w:pPr>
    <w:rPr>
      <w:rFonts w:ascii="黑体" w:eastAsia="黑体"/>
      <w:b w:val="0"/>
      <w:sz w:val="32"/>
      <w:szCs w:val="32"/>
      <w:lang w:val="zh-CN"/>
    </w:rPr>
  </w:style>
  <w:style w:type="paragraph" w:customStyle="1" w:styleId="h">
    <w:name w:val="h"/>
    <w:basedOn w:val="a"/>
    <w:qFormat/>
    <w:pPr>
      <w:widowControl/>
      <w:spacing w:before="60"/>
      <w:ind w:firstLine="482"/>
      <w:jc w:val="left"/>
    </w:pPr>
    <w:rPr>
      <w:rFonts w:ascii="Arial" w:hAnsi="Arial" w:cs="宋体"/>
      <w:kern w:val="0"/>
      <w:szCs w:val="20"/>
    </w:rPr>
  </w:style>
  <w:style w:type="paragraph" w:customStyle="1" w:styleId="Char1100">
    <w:name w:val="Char110"/>
    <w:basedOn w:val="a"/>
    <w:qFormat/>
    <w:pPr>
      <w:widowControl/>
      <w:ind w:left="-48"/>
      <w:jc w:val="left"/>
    </w:pPr>
    <w:rPr>
      <w:rFonts w:ascii="宋体" w:hAnsi="宋体" w:cs="宋体"/>
      <w:kern w:val="0"/>
    </w:rPr>
  </w:style>
  <w:style w:type="paragraph" w:customStyle="1" w:styleId="-5">
    <w:name w:val="文-5"/>
    <w:basedOn w:val="a"/>
    <w:qFormat/>
    <w:pPr>
      <w:widowControl/>
      <w:tabs>
        <w:tab w:val="right" w:leader="dot" w:pos="8789"/>
      </w:tabs>
      <w:spacing w:before="120"/>
      <w:ind w:left="1276" w:firstLine="482"/>
      <w:jc w:val="left"/>
    </w:pPr>
    <w:rPr>
      <w:rFonts w:ascii="宋体" w:hAnsi="宋体" w:cs="宋体"/>
      <w:kern w:val="0"/>
      <w:szCs w:val="20"/>
    </w:rPr>
  </w:style>
  <w:style w:type="paragraph" w:customStyle="1" w:styleId="415">
    <w:name w:val="样式41"/>
    <w:basedOn w:val="a0"/>
    <w:qFormat/>
    <w:pPr>
      <w:widowControl/>
      <w:tabs>
        <w:tab w:val="left" w:pos="1820"/>
      </w:tabs>
      <w:spacing w:line="240" w:lineRule="atLeast"/>
      <w:jc w:val="center"/>
    </w:pPr>
    <w:rPr>
      <w:rFonts w:eastAsia="幼圆"/>
      <w:kern w:val="0"/>
      <w:sz w:val="21"/>
      <w:szCs w:val="20"/>
    </w:rPr>
  </w:style>
  <w:style w:type="paragraph" w:customStyle="1" w:styleId="ParaCharCharCharCharCharChar">
    <w:name w:val="默认段落字体 Para Char Char Char Char Char Char"/>
    <w:basedOn w:val="a"/>
    <w:pPr>
      <w:widowControl/>
      <w:jc w:val="left"/>
    </w:pPr>
    <w:rPr>
      <w:rFonts w:ascii="宋体" w:hAnsi="宋体" w:cs="宋体"/>
      <w:kern w:val="0"/>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a"/>
    <w:qFormat/>
    <w:pPr>
      <w:widowControl/>
      <w:jc w:val="left"/>
    </w:pPr>
    <w:rPr>
      <w:rFonts w:ascii="宋体" w:hAnsi="宋体" w:cs="宋体"/>
      <w:kern w:val="0"/>
    </w:rPr>
  </w:style>
  <w:style w:type="paragraph" w:customStyle="1" w:styleId="Char223">
    <w:name w:val="Char22"/>
    <w:basedOn w:val="a"/>
    <w:qFormat/>
    <w:pPr>
      <w:widowControl/>
      <w:jc w:val="left"/>
    </w:pPr>
    <w:rPr>
      <w:rFonts w:ascii="宋体" w:hAnsi="宋体" w:cs="宋体"/>
      <w:kern w:val="0"/>
    </w:rPr>
  </w:style>
  <w:style w:type="paragraph" w:customStyle="1" w:styleId="11220">
    <w:name w:val="燕山正文1122"/>
    <w:basedOn w:val="a"/>
    <w:qFormat/>
    <w:pPr>
      <w:widowControl/>
      <w:tabs>
        <w:tab w:val="left" w:pos="4680"/>
      </w:tabs>
      <w:spacing w:line="480" w:lineRule="exact"/>
      <w:jc w:val="left"/>
    </w:pPr>
    <w:rPr>
      <w:rFonts w:ascii="宋体" w:hAnsi="宋体" w:cs="宋体"/>
      <w:bCs/>
      <w:color w:val="000000"/>
      <w:kern w:val="0"/>
    </w:rPr>
  </w:style>
  <w:style w:type="paragraph" w:customStyle="1" w:styleId="ParaChar31">
    <w:name w:val="默认段落字体 Para Char31"/>
    <w:basedOn w:val="a"/>
    <w:qFormat/>
    <w:pPr>
      <w:widowControl/>
      <w:jc w:val="left"/>
    </w:pPr>
    <w:rPr>
      <w:rFonts w:ascii="宋体" w:hAnsi="宋体" w:cs="宋体"/>
      <w:kern w:val="0"/>
    </w:rPr>
  </w:style>
  <w:style w:type="paragraph" w:customStyle="1" w:styleId="afffffffffffffff2">
    <w:name w:val="表格标注"/>
    <w:basedOn w:val="1fffff0"/>
    <w:qFormat/>
    <w:pPr>
      <w:spacing w:beforeLines="20" w:before="62"/>
    </w:pPr>
  </w:style>
  <w:style w:type="paragraph" w:customStyle="1" w:styleId="FaxHeader11">
    <w:name w:val="Fax Header11"/>
    <w:basedOn w:val="a"/>
    <w:qFormat/>
    <w:pPr>
      <w:widowControl/>
      <w:spacing w:before="240" w:after="60"/>
      <w:jc w:val="left"/>
    </w:pPr>
    <w:rPr>
      <w:rFonts w:ascii="宋体" w:hAnsi="宋体" w:cs="宋体"/>
      <w:kern w:val="0"/>
      <w:sz w:val="20"/>
      <w:szCs w:val="20"/>
    </w:rPr>
  </w:style>
  <w:style w:type="paragraph" w:customStyle="1" w:styleId="533">
    <w:name w:val="正文格式＝53"/>
    <w:basedOn w:val="affff4"/>
    <w:next w:val="affff4"/>
    <w:qFormat/>
    <w:rPr>
      <w:rFonts w:hAnsi="宋体"/>
      <w:szCs w:val="24"/>
    </w:rPr>
  </w:style>
  <w:style w:type="paragraph" w:customStyle="1" w:styleId="afffffffffffffff3">
    <w:name w:val="样式 五号 居中"/>
    <w:basedOn w:val="a"/>
    <w:qFormat/>
    <w:pPr>
      <w:widowControl/>
      <w:jc w:val="center"/>
    </w:pPr>
    <w:rPr>
      <w:rFonts w:ascii="宋体" w:hAnsi="宋体" w:cs="宋体"/>
      <w:snapToGrid w:val="0"/>
      <w:kern w:val="0"/>
      <w:szCs w:val="21"/>
    </w:rPr>
  </w:style>
  <w:style w:type="paragraph" w:customStyle="1" w:styleId="afffffffffffffff4">
    <w:name w:val="正文(黑体)"/>
    <w:basedOn w:val="a"/>
    <w:qFormat/>
    <w:pPr>
      <w:widowControl/>
      <w:autoSpaceDE w:val="0"/>
      <w:autoSpaceDN w:val="0"/>
      <w:spacing w:line="288" w:lineRule="auto"/>
      <w:ind w:firstLine="482"/>
      <w:jc w:val="left"/>
      <w:textAlignment w:val="baseline"/>
    </w:pPr>
    <w:rPr>
      <w:rFonts w:ascii="黑体" w:hAnsi="宋体" w:cs="宋体"/>
      <w:kern w:val="0"/>
      <w:szCs w:val="20"/>
    </w:rPr>
  </w:style>
  <w:style w:type="paragraph" w:customStyle="1" w:styleId="1fffff5">
    <w:name w:val="表字1"/>
    <w:basedOn w:val="a"/>
    <w:qFormat/>
    <w:pPr>
      <w:widowControl/>
      <w:jc w:val="center"/>
      <w:textAlignment w:val="baseline"/>
    </w:pPr>
    <w:rPr>
      <w:rFonts w:ascii="宋体" w:hAnsi="宋体" w:cs="宋体"/>
      <w:kern w:val="0"/>
      <w:szCs w:val="20"/>
    </w:rPr>
  </w:style>
  <w:style w:type="paragraph" w:customStyle="1" w:styleId="21b">
    <w:name w:val="表内文字小21"/>
    <w:basedOn w:val="a"/>
    <w:qFormat/>
    <w:pPr>
      <w:widowControl/>
      <w:jc w:val="center"/>
    </w:pPr>
    <w:rPr>
      <w:rFonts w:ascii="宋体" w:hAnsi="Times" w:cs="宋体"/>
      <w:bCs/>
      <w:color w:val="000000"/>
      <w:kern w:val="0"/>
      <w:szCs w:val="20"/>
    </w:rPr>
  </w:style>
  <w:style w:type="paragraph" w:customStyle="1" w:styleId="1fffff6">
    <w:name w:val="正文格式＝1"/>
    <w:basedOn w:val="affff4"/>
    <w:next w:val="affff4"/>
    <w:qFormat/>
    <w:rPr>
      <w:rFonts w:hAnsi="宋体"/>
      <w:szCs w:val="24"/>
    </w:rPr>
  </w:style>
  <w:style w:type="paragraph" w:customStyle="1" w:styleId="1fffff7">
    <w:name w:val="正文缩1"/>
    <w:basedOn w:val="a"/>
    <w:qFormat/>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2ffff3">
    <w:name w:val="图表名称2"/>
    <w:basedOn w:val="1f3"/>
    <w:qFormat/>
    <w:pPr>
      <w:spacing w:after="0" w:line="480" w:lineRule="exact"/>
      <w:ind w:firstLineChars="0" w:firstLine="0"/>
      <w:jc w:val="center"/>
    </w:pPr>
    <w:rPr>
      <w:rFonts w:ascii="宋体" w:hAnsi="宋体"/>
      <w:bCs/>
      <w:szCs w:val="24"/>
    </w:rPr>
  </w:style>
  <w:style w:type="paragraph" w:customStyle="1" w:styleId="1fffff8">
    <w:name w:val="正文样式1"/>
    <w:basedOn w:val="a"/>
    <w:qFormat/>
    <w:pPr>
      <w:widowControl/>
      <w:spacing w:line="400" w:lineRule="atLeast"/>
      <w:ind w:firstLine="454"/>
      <w:jc w:val="left"/>
      <w:textAlignment w:val="baseline"/>
    </w:pPr>
    <w:rPr>
      <w:rFonts w:ascii="宋体" w:hAnsi="宋体" w:cs="宋体"/>
      <w:b/>
      <w:kern w:val="24"/>
      <w:szCs w:val="20"/>
    </w:rPr>
  </w:style>
  <w:style w:type="paragraph" w:customStyle="1" w:styleId="920">
    <w:name w:val="表题92"/>
    <w:basedOn w:val="2fff1"/>
    <w:qFormat/>
    <w:pPr>
      <w:spacing w:line="300" w:lineRule="auto"/>
      <w:jc w:val="center"/>
    </w:pPr>
    <w:rPr>
      <w:rFonts w:ascii="黑体" w:eastAsia="黑体"/>
      <w:szCs w:val="22"/>
    </w:rPr>
  </w:style>
  <w:style w:type="paragraph" w:customStyle="1" w:styleId="ParaCharCharChar1CharChar">
    <w:name w:val="默认段落字体 Para Char Char Char1 Char Char"/>
    <w:basedOn w:val="a"/>
    <w:qFormat/>
    <w:pPr>
      <w:widowControl/>
      <w:jc w:val="left"/>
    </w:pPr>
    <w:rPr>
      <w:rFonts w:ascii="宋体" w:hAnsi="宋体" w:cs="宋体"/>
      <w:kern w:val="0"/>
    </w:rPr>
  </w:style>
  <w:style w:type="paragraph" w:customStyle="1" w:styleId="67">
    <w:name w:val="正文格式＝6"/>
    <w:basedOn w:val="affff4"/>
    <w:next w:val="affff4"/>
    <w:qFormat/>
    <w:rPr>
      <w:rFonts w:hAnsi="宋体"/>
      <w:szCs w:val="24"/>
    </w:rPr>
  </w:style>
  <w:style w:type="paragraph" w:customStyle="1" w:styleId="431">
    <w:name w:val="标题431"/>
    <w:basedOn w:val="a"/>
    <w:qFormat/>
    <w:pPr>
      <w:widowControl/>
      <w:spacing w:line="480" w:lineRule="exact"/>
      <w:jc w:val="center"/>
    </w:pPr>
    <w:rPr>
      <w:rFonts w:ascii="宋体" w:hAnsi="宋体" w:cs="宋体"/>
      <w:kern w:val="0"/>
    </w:rPr>
  </w:style>
  <w:style w:type="paragraph" w:customStyle="1" w:styleId="afffffffffffffff5">
    <w:name w:val="章标题"/>
    <w:next w:val="a"/>
    <w:qFormat/>
    <w:pPr>
      <w:tabs>
        <w:tab w:val="left" w:pos="903"/>
        <w:tab w:val="left" w:pos="1400"/>
      </w:tabs>
      <w:spacing w:before="50" w:after="50"/>
      <w:ind w:left="903" w:hanging="315"/>
      <w:jc w:val="both"/>
      <w:outlineLvl w:val="1"/>
    </w:pPr>
    <w:rPr>
      <w:rFonts w:ascii="黑体" w:eastAsia="黑体"/>
      <w:sz w:val="21"/>
    </w:rPr>
  </w:style>
  <w:style w:type="paragraph" w:customStyle="1" w:styleId="21310">
    <w:name w:val="表内文字小2131"/>
    <w:basedOn w:val="a"/>
    <w:qFormat/>
    <w:pPr>
      <w:widowControl/>
      <w:jc w:val="center"/>
      <w:textAlignment w:val="baseline"/>
    </w:pPr>
    <w:rPr>
      <w:rFonts w:ascii="宋体" w:hAnsi="Times" w:cs="宋体"/>
      <w:bCs/>
      <w:color w:val="000000"/>
      <w:kern w:val="0"/>
      <w:szCs w:val="20"/>
    </w:rPr>
  </w:style>
  <w:style w:type="paragraph" w:customStyle="1" w:styleId="85">
    <w:name w:val="表内文字小8"/>
    <w:basedOn w:val="a"/>
    <w:qFormat/>
    <w:pPr>
      <w:widowControl/>
      <w:jc w:val="center"/>
    </w:pPr>
    <w:rPr>
      <w:rFonts w:ascii="宋体" w:hAnsi="Times" w:cs="宋体"/>
      <w:kern w:val="0"/>
      <w:szCs w:val="20"/>
    </w:rPr>
  </w:style>
  <w:style w:type="paragraph" w:customStyle="1" w:styleId="Char1CharCharCharCharChar">
    <w:name w:val="Char1 Char Char Char Char Char"/>
    <w:basedOn w:val="a"/>
    <w:qFormat/>
    <w:pPr>
      <w:widowControl/>
      <w:jc w:val="left"/>
    </w:pPr>
    <w:rPr>
      <w:rFonts w:ascii="宋体" w:hAnsi="宋体" w:cs="宋体"/>
      <w:kern w:val="0"/>
      <w:szCs w:val="21"/>
    </w:rPr>
  </w:style>
  <w:style w:type="paragraph" w:customStyle="1" w:styleId="Char12b">
    <w:name w:val="Char12"/>
    <w:basedOn w:val="a"/>
    <w:qFormat/>
    <w:pPr>
      <w:widowControl/>
      <w:spacing w:before="156"/>
      <w:jc w:val="left"/>
    </w:pPr>
    <w:rPr>
      <w:rFonts w:ascii="黑体" w:eastAsia="黑体" w:hAnsi="宋体" w:cs="宋体"/>
      <w:kern w:val="0"/>
      <w:sz w:val="32"/>
      <w:szCs w:val="32"/>
    </w:rPr>
  </w:style>
  <w:style w:type="paragraph" w:customStyle="1" w:styleId="227">
    <w:name w:val="正文修改22"/>
    <w:basedOn w:val="affffe"/>
    <w:qFormat/>
    <w:rPr>
      <w:rFonts w:eastAsia="宋体" w:hAnsi="宋体" w:cs="宋体"/>
      <w:color w:val="000000"/>
      <w:szCs w:val="24"/>
    </w:rPr>
  </w:style>
  <w:style w:type="paragraph" w:customStyle="1" w:styleId="2lxb2211H2h2Char41SeHea">
    <w:name w:val="样式 标题 2二级标题标题 lxb2标题21.1H2h2第一层条二级标题 Char单位名4.1SeHea..."/>
    <w:basedOn w:val="affffc"/>
    <w:next w:val="affffc"/>
    <w:qFormat/>
    <w:pPr>
      <w:widowControl/>
      <w:ind w:firstLineChars="0" w:firstLine="0"/>
      <w:jc w:val="left"/>
    </w:pPr>
    <w:rPr>
      <w:rFonts w:eastAsia="黑体" w:cs="宋体"/>
      <w:b/>
      <w:szCs w:val="24"/>
    </w:rPr>
  </w:style>
  <w:style w:type="paragraph" w:customStyle="1" w:styleId="afffffffffffffff6">
    <w:name w:val="段落"/>
    <w:basedOn w:val="a"/>
    <w:qFormat/>
    <w:pPr>
      <w:widowControl/>
      <w:jc w:val="left"/>
    </w:pPr>
    <w:rPr>
      <w:rFonts w:ascii="宋体" w:hAnsi="宋体" w:cs="宋体"/>
      <w:kern w:val="0"/>
    </w:rPr>
  </w:style>
  <w:style w:type="paragraph" w:customStyle="1" w:styleId="3131">
    <w:name w:val="表题3131"/>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afffffffffffffff7">
    <w:name w:val="项目名称"/>
    <w:basedOn w:val="a"/>
    <w:next w:val="a"/>
    <w:qFormat/>
    <w:pPr>
      <w:widowControl/>
      <w:spacing w:line="800" w:lineRule="atLeast"/>
      <w:jc w:val="center"/>
      <w:outlineLvl w:val="0"/>
    </w:pPr>
    <w:rPr>
      <w:rFonts w:ascii="黑体" w:eastAsia="黑体" w:hAnsi="宋体" w:cs="宋体"/>
      <w:kern w:val="0"/>
      <w:sz w:val="52"/>
      <w:szCs w:val="52"/>
    </w:rPr>
  </w:style>
  <w:style w:type="paragraph" w:customStyle="1" w:styleId="CharCharCharCharCharCharChar221">
    <w:name w:val="Char Char Char Char Char Char Char221"/>
    <w:basedOn w:val="a"/>
    <w:qFormat/>
    <w:pPr>
      <w:widowControl/>
      <w:jc w:val="left"/>
    </w:pPr>
    <w:rPr>
      <w:rFonts w:ascii="宋体" w:hAnsi="宋体" w:cs="宋体"/>
      <w:kern w:val="0"/>
    </w:rPr>
  </w:style>
  <w:style w:type="paragraph" w:customStyle="1" w:styleId="Char4CharCharCharCharCharChar1">
    <w:name w:val="Char4 Char Char Char Char Char Char1"/>
    <w:basedOn w:val="a"/>
    <w:qFormat/>
    <w:pPr>
      <w:widowControl/>
      <w:jc w:val="left"/>
    </w:pPr>
    <w:rPr>
      <w:rFonts w:ascii="宋体" w:hAnsi="宋体" w:cs="宋体"/>
      <w:kern w:val="0"/>
    </w:rPr>
  </w:style>
  <w:style w:type="paragraph" w:customStyle="1" w:styleId="416">
    <w:name w:val="小4黑居中行1"/>
    <w:qFormat/>
    <w:pPr>
      <w:spacing w:line="360" w:lineRule="auto"/>
      <w:jc w:val="center"/>
    </w:pPr>
    <w:rPr>
      <w:kern w:val="2"/>
      <w:sz w:val="21"/>
      <w:szCs w:val="21"/>
    </w:rPr>
  </w:style>
  <w:style w:type="paragraph" w:customStyle="1" w:styleId="afffffffffffffff8">
    <w:name w:val="条题"/>
    <w:basedOn w:val="a"/>
    <w:qFormat/>
    <w:pPr>
      <w:widowControl/>
      <w:tabs>
        <w:tab w:val="left" w:pos="360"/>
      </w:tabs>
      <w:spacing w:line="420" w:lineRule="exact"/>
      <w:ind w:left="360" w:firstLine="560"/>
      <w:jc w:val="left"/>
    </w:pPr>
    <w:rPr>
      <w:rFonts w:ascii="宋体" w:hAnsi="宋体" w:cs="宋体"/>
      <w:kern w:val="0"/>
    </w:rPr>
  </w:style>
  <w:style w:type="paragraph" w:customStyle="1" w:styleId="5fa">
    <w:name w:val="表格内字体5"/>
    <w:basedOn w:val="affff4"/>
    <w:next w:val="affff4"/>
    <w:qFormat/>
    <w:pPr>
      <w:spacing w:line="240" w:lineRule="auto"/>
      <w:ind w:firstLine="0"/>
    </w:pPr>
    <w:rPr>
      <w:rFonts w:hAnsi="宋体"/>
      <w:sz w:val="21"/>
      <w:szCs w:val="24"/>
    </w:rPr>
  </w:style>
  <w:style w:type="paragraph" w:customStyle="1" w:styleId="2121">
    <w:name w:val="正文212"/>
    <w:qFormat/>
    <w:pPr>
      <w:adjustRightInd w:val="0"/>
      <w:snapToGrid w:val="0"/>
      <w:spacing w:line="480" w:lineRule="atLeast"/>
      <w:jc w:val="center"/>
    </w:pPr>
    <w:rPr>
      <w:rFonts w:ascii="宋体"/>
      <w:snapToGrid w:val="0"/>
      <w:spacing w:val="6"/>
      <w:sz w:val="21"/>
    </w:rPr>
  </w:style>
  <w:style w:type="paragraph" w:customStyle="1" w:styleId="a10">
    <w:name w:val="a1"/>
    <w:basedOn w:val="a"/>
    <w:qFormat/>
    <w:pPr>
      <w:widowControl/>
      <w:spacing w:before="100" w:beforeAutospacing="1" w:after="100" w:afterAutospacing="1"/>
      <w:jc w:val="left"/>
    </w:pPr>
    <w:rPr>
      <w:rFonts w:ascii="宋体" w:hAnsi="宋体" w:cs="宋体"/>
      <w:kern w:val="0"/>
    </w:rPr>
  </w:style>
  <w:style w:type="paragraph" w:customStyle="1" w:styleId="1116">
    <w:name w:val="表题111"/>
    <w:basedOn w:val="ab"/>
    <w:qFormat/>
    <w:pPr>
      <w:widowControl/>
      <w:ind w:firstLineChars="0" w:firstLine="0"/>
      <w:jc w:val="center"/>
    </w:pPr>
    <w:rPr>
      <w:rFonts w:ascii="黑体" w:cs="Arial"/>
      <w:b/>
    </w:rPr>
  </w:style>
  <w:style w:type="paragraph" w:customStyle="1" w:styleId="118">
    <w:name w:val="正文样式11"/>
    <w:basedOn w:val="a"/>
    <w:qFormat/>
    <w:pPr>
      <w:widowControl/>
      <w:jc w:val="left"/>
    </w:pPr>
    <w:rPr>
      <w:rFonts w:ascii="宋体" w:hAnsi="宋体" w:cs="Arial"/>
      <w:bCs/>
      <w:color w:val="000000"/>
      <w:kern w:val="0"/>
    </w:rPr>
  </w:style>
  <w:style w:type="paragraph" w:customStyle="1" w:styleId="ParaChar1">
    <w:name w:val="默认段落字体 Para Char1"/>
    <w:basedOn w:val="a"/>
    <w:next w:val="a"/>
    <w:qFormat/>
    <w:pPr>
      <w:widowControl/>
      <w:spacing w:line="480" w:lineRule="exact"/>
      <w:jc w:val="left"/>
    </w:pPr>
    <w:rPr>
      <w:rFonts w:ascii="宋体" w:eastAsia="汉鼎简书宋" w:hAnsi="宋体" w:cs="宋体"/>
      <w:kern w:val="0"/>
    </w:rPr>
  </w:style>
  <w:style w:type="paragraph" w:customStyle="1" w:styleId="2211H2h22Header2ndPageABCh2mainhead">
    <w:name w:val="样式 标题 2标题21.1H2h2第一层条2Header 2nd PageA.B.C.h2 main head..."/>
    <w:basedOn w:val="2"/>
    <w:qFormat/>
    <w:pPr>
      <w:numPr>
        <w:ilvl w:val="0"/>
        <w:numId w:val="0"/>
      </w:numPr>
      <w:spacing w:before="0" w:after="0" w:line="240" w:lineRule="auto"/>
    </w:pPr>
    <w:rPr>
      <w:rFonts w:eastAsia="黑体" w:cs="Times New Roman"/>
      <w:bCs w:val="0"/>
      <w:kern w:val="2"/>
      <w:sz w:val="30"/>
      <w:szCs w:val="30"/>
      <w:lang w:val="zh-CN"/>
    </w:rPr>
  </w:style>
  <w:style w:type="paragraph" w:customStyle="1" w:styleId="2chen">
    <w:name w:val="谏壁标题2(chen）"/>
    <w:basedOn w:val="a"/>
    <w:qFormat/>
    <w:pPr>
      <w:keepNext/>
      <w:keepLines/>
      <w:widowControl/>
      <w:spacing w:after="120"/>
      <w:jc w:val="left"/>
      <w:outlineLvl w:val="1"/>
    </w:pPr>
    <w:rPr>
      <w:rFonts w:ascii="宋体" w:eastAsia="黑体" w:hAnsi="宋体" w:cs="宋体"/>
      <w:kern w:val="0"/>
      <w:sz w:val="32"/>
      <w:szCs w:val="32"/>
    </w:rPr>
  </w:style>
  <w:style w:type="paragraph" w:customStyle="1" w:styleId="190">
    <w:name w:val="样式19"/>
    <w:basedOn w:val="2"/>
    <w:qFormat/>
    <w:pPr>
      <w:keepNext w:val="0"/>
      <w:keepLines w:val="0"/>
      <w:numPr>
        <w:ilvl w:val="0"/>
        <w:numId w:val="0"/>
      </w:numPr>
      <w:tabs>
        <w:tab w:val="left" w:pos="630"/>
        <w:tab w:val="left" w:pos="840"/>
        <w:tab w:val="left" w:pos="1287"/>
        <w:tab w:val="left" w:pos="3920"/>
        <w:tab w:val="left" w:pos="5670"/>
      </w:tabs>
      <w:spacing w:before="60" w:after="60" w:line="520" w:lineRule="exact"/>
      <w:ind w:firstLine="567"/>
    </w:pPr>
    <w:rPr>
      <w:rFonts w:eastAsia="华文行楷" w:cs="Times New Roman"/>
      <w:color w:val="000000"/>
      <w:sz w:val="30"/>
      <w:szCs w:val="30"/>
      <w:lang w:val="zh-CN"/>
    </w:rPr>
  </w:style>
  <w:style w:type="paragraph" w:customStyle="1" w:styleId="afffffffffffffff9">
    <w:name w:val="我的样式（正文）"/>
    <w:basedOn w:val="a"/>
    <w:qFormat/>
    <w:pPr>
      <w:widowControl/>
      <w:tabs>
        <w:tab w:val="left" w:pos="360"/>
      </w:tabs>
      <w:spacing w:line="440" w:lineRule="exact"/>
      <w:jc w:val="left"/>
    </w:pPr>
    <w:rPr>
      <w:rFonts w:ascii="宋体" w:hAnsi="宋体" w:cs="宋体"/>
      <w:kern w:val="0"/>
      <w:szCs w:val="20"/>
    </w:rPr>
  </w:style>
  <w:style w:type="paragraph" w:customStyle="1" w:styleId="2ffff4">
    <w:name w:val="正文格式2"/>
    <w:basedOn w:val="a"/>
    <w:qFormat/>
    <w:pPr>
      <w:widowControl/>
      <w:ind w:firstLine="482"/>
      <w:jc w:val="left"/>
    </w:pPr>
    <w:rPr>
      <w:rFonts w:ascii="宋体" w:hAnsi="宋体" w:cs="宋体"/>
      <w:kern w:val="0"/>
    </w:rPr>
  </w:style>
  <w:style w:type="paragraph" w:customStyle="1" w:styleId="68">
    <w:name w:val="正文格式6"/>
    <w:basedOn w:val="a"/>
    <w:qFormat/>
    <w:pPr>
      <w:widowControl/>
      <w:ind w:firstLine="482"/>
      <w:jc w:val="left"/>
    </w:pPr>
    <w:rPr>
      <w:rFonts w:ascii="宋体" w:hAnsi="宋体" w:cs="宋体"/>
      <w:kern w:val="0"/>
    </w:rPr>
  </w:style>
  <w:style w:type="paragraph" w:customStyle="1" w:styleId="230">
    <w:name w:val="表格内字体23"/>
    <w:basedOn w:val="affff4"/>
    <w:next w:val="affff4"/>
    <w:qFormat/>
    <w:pPr>
      <w:spacing w:line="240" w:lineRule="auto"/>
      <w:ind w:firstLine="0"/>
      <w:jc w:val="center"/>
    </w:pPr>
    <w:rPr>
      <w:rFonts w:hAnsi="宋体"/>
      <w:sz w:val="21"/>
      <w:szCs w:val="24"/>
    </w:rPr>
  </w:style>
  <w:style w:type="paragraph" w:customStyle="1" w:styleId="Char3CharCharCharCharCharCharCharChar">
    <w:name w:val="Char3 Char Char Char Char Char Char Char Char"/>
    <w:basedOn w:val="a"/>
    <w:qFormat/>
    <w:pPr>
      <w:widowControl/>
      <w:spacing w:line="340" w:lineRule="exact"/>
      <w:ind w:firstLineChars="4" w:firstLine="10"/>
      <w:jc w:val="left"/>
    </w:pPr>
    <w:rPr>
      <w:rFonts w:ascii="宋体" w:hAnsi="宋体" w:cs="宋体"/>
      <w:kern w:val="0"/>
      <w:szCs w:val="28"/>
    </w:rPr>
  </w:style>
  <w:style w:type="paragraph" w:customStyle="1" w:styleId="ParaChar41">
    <w:name w:val="默认段落字体 Para Char41"/>
    <w:basedOn w:val="a"/>
    <w:next w:val="a"/>
    <w:qFormat/>
    <w:pPr>
      <w:widowControl/>
      <w:spacing w:line="480" w:lineRule="exact"/>
      <w:jc w:val="left"/>
    </w:pPr>
    <w:rPr>
      <w:rFonts w:ascii="宋体" w:eastAsia="汉鼎简书宋" w:hAnsi="宋体" w:cs="宋体"/>
      <w:kern w:val="0"/>
    </w:rPr>
  </w:style>
  <w:style w:type="paragraph" w:customStyle="1" w:styleId="CharChar2CharCharCharChar1">
    <w:name w:val="Char Char2 Char Char Char Char1"/>
    <w:basedOn w:val="a"/>
    <w:qFormat/>
    <w:pPr>
      <w:widowControl/>
      <w:jc w:val="left"/>
    </w:pPr>
    <w:rPr>
      <w:rFonts w:ascii="宋体" w:hAnsi="宋体" w:cs="宋体"/>
      <w:kern w:val="0"/>
    </w:rPr>
  </w:style>
  <w:style w:type="paragraph" w:customStyle="1" w:styleId="CharCharCharChar4">
    <w:name w:val="Char Char Char Char4"/>
    <w:basedOn w:val="a"/>
    <w:qFormat/>
    <w:pPr>
      <w:widowControl/>
      <w:jc w:val="left"/>
    </w:pPr>
    <w:rPr>
      <w:rFonts w:ascii="宋体" w:hAnsi="宋体" w:cs="宋体"/>
      <w:kern w:val="0"/>
    </w:rPr>
  </w:style>
  <w:style w:type="paragraph" w:customStyle="1" w:styleId="77">
    <w:name w:val="表中文字7"/>
    <w:basedOn w:val="a"/>
    <w:qFormat/>
    <w:pPr>
      <w:widowControl/>
      <w:spacing w:line="240" w:lineRule="atLeast"/>
      <w:ind w:leftChars="-10" w:left="-24" w:rightChars="-20" w:right="-48"/>
      <w:jc w:val="center"/>
    </w:pPr>
    <w:rPr>
      <w:rFonts w:ascii="宋体" w:hAnsi="宋体" w:cs="宋体"/>
      <w:kern w:val="0"/>
      <w:szCs w:val="21"/>
    </w:rPr>
  </w:style>
  <w:style w:type="paragraph" w:customStyle="1" w:styleId="CharCharCharCharCharCharChar151">
    <w:name w:val="Char Char Char Char Char Char Char151"/>
    <w:basedOn w:val="a"/>
    <w:qFormat/>
    <w:pPr>
      <w:widowControl/>
      <w:jc w:val="left"/>
    </w:pPr>
    <w:rPr>
      <w:rFonts w:ascii="宋体" w:hAnsi="宋体" w:cs="宋体"/>
      <w:kern w:val="0"/>
      <w:szCs w:val="20"/>
    </w:rPr>
  </w:style>
  <w:style w:type="paragraph" w:customStyle="1" w:styleId="1fffff9">
    <w:name w:val="表1"/>
    <w:basedOn w:val="a"/>
    <w:qFormat/>
    <w:pPr>
      <w:widowControl/>
      <w:jc w:val="center"/>
    </w:pPr>
    <w:rPr>
      <w:rFonts w:ascii="宋体" w:hAnsi="宋体" w:cs="宋体"/>
      <w:kern w:val="0"/>
    </w:rPr>
  </w:style>
  <w:style w:type="paragraph" w:customStyle="1" w:styleId="afffffffffffffffa">
    <w:name w:val="文本框五号"/>
    <w:qFormat/>
    <w:pPr>
      <w:adjustRightInd w:val="0"/>
      <w:spacing w:line="240" w:lineRule="atLeast"/>
      <w:jc w:val="center"/>
    </w:pPr>
    <w:rPr>
      <w:rFonts w:eastAsia="仿宋_GB2312"/>
      <w:snapToGrid w:val="0"/>
      <w:kern w:val="2"/>
      <w:sz w:val="21"/>
      <w:szCs w:val="21"/>
    </w:rPr>
  </w:style>
  <w:style w:type="paragraph" w:customStyle="1" w:styleId="afffffffffffffffb">
    <w:name w:val="表格中"/>
    <w:basedOn w:val="a"/>
    <w:qFormat/>
    <w:pPr>
      <w:widowControl/>
      <w:spacing w:line="280" w:lineRule="exact"/>
      <w:jc w:val="center"/>
    </w:pPr>
    <w:rPr>
      <w:rFonts w:ascii="宋体" w:hAnsi="宋体" w:cs="宋体"/>
      <w:kern w:val="0"/>
      <w:sz w:val="18"/>
    </w:rPr>
  </w:style>
  <w:style w:type="paragraph" w:customStyle="1" w:styleId="21c">
    <w:name w:val="列表编号 21"/>
    <w:basedOn w:val="a"/>
    <w:qFormat/>
    <w:pPr>
      <w:widowControl/>
      <w:tabs>
        <w:tab w:val="left" w:pos="780"/>
      </w:tabs>
      <w:ind w:left="780" w:hanging="360"/>
      <w:jc w:val="left"/>
    </w:pPr>
    <w:rPr>
      <w:rFonts w:ascii="宋体" w:hAnsi="宋体" w:cs="宋体"/>
      <w:kern w:val="0"/>
    </w:rPr>
  </w:style>
  <w:style w:type="paragraph" w:customStyle="1" w:styleId="151">
    <w:name w:val="样式 小四 加粗 行距: 1.5 倍行距"/>
    <w:basedOn w:val="a"/>
    <w:qFormat/>
    <w:pPr>
      <w:widowControl/>
      <w:jc w:val="left"/>
    </w:pPr>
    <w:rPr>
      <w:rFonts w:ascii="宋体" w:hAnsi="宋体" w:cs="宋体"/>
      <w:b/>
      <w:bCs/>
      <w:kern w:val="0"/>
      <w:szCs w:val="20"/>
    </w:rPr>
  </w:style>
  <w:style w:type="paragraph" w:customStyle="1" w:styleId="2ffff5">
    <w:name w:val="2级标题"/>
    <w:basedOn w:val="2"/>
    <w:qFormat/>
    <w:pPr>
      <w:keepNext w:val="0"/>
      <w:keepLines w:val="0"/>
      <w:numPr>
        <w:ilvl w:val="0"/>
        <w:numId w:val="0"/>
      </w:numPr>
      <w:tabs>
        <w:tab w:val="left" w:pos="3564"/>
      </w:tabs>
      <w:spacing w:before="50" w:after="0" w:line="240" w:lineRule="auto"/>
    </w:pPr>
    <w:rPr>
      <w:rFonts w:ascii="黑体" w:eastAsia="黑体" w:hAnsi="Arial" w:cs="Times New Roman"/>
      <w:b w:val="0"/>
      <w:bCs w:val="0"/>
      <w:snapToGrid w:val="0"/>
      <w:sz w:val="30"/>
      <w:szCs w:val="28"/>
      <w:lang w:val="zh-CN"/>
    </w:rPr>
  </w:style>
  <w:style w:type="paragraph" w:customStyle="1" w:styleId="CharCharCharCharCharCharCharCharChar2">
    <w:name w:val="Char Char Char Char Char Char Char Char Char2"/>
    <w:basedOn w:val="a"/>
    <w:qFormat/>
    <w:pPr>
      <w:widowControl/>
      <w:jc w:val="left"/>
    </w:pPr>
    <w:rPr>
      <w:rFonts w:ascii="宋体" w:hAnsi="宋体" w:cs="宋体"/>
      <w:kern w:val="0"/>
    </w:rPr>
  </w:style>
  <w:style w:type="paragraph" w:customStyle="1" w:styleId="CharCharCharCharCharCharChar1">
    <w:name w:val="Char Char Char Char Char Char Char1"/>
    <w:basedOn w:val="a"/>
    <w:qFormat/>
    <w:pPr>
      <w:widowControl/>
      <w:jc w:val="left"/>
    </w:pPr>
    <w:rPr>
      <w:rFonts w:ascii="宋体" w:hAnsi="宋体" w:cs="宋体"/>
      <w:kern w:val="0"/>
    </w:rPr>
  </w:style>
  <w:style w:type="paragraph" w:customStyle="1" w:styleId="5313">
    <w:name w:val="表内5313"/>
    <w:basedOn w:val="a"/>
    <w:qFormat/>
    <w:pPr>
      <w:widowControl/>
      <w:spacing w:line="300" w:lineRule="auto"/>
      <w:jc w:val="left"/>
    </w:pPr>
    <w:rPr>
      <w:rFonts w:ascii="宋体" w:hAnsi="宋体" w:cs="宋体"/>
      <w:kern w:val="0"/>
      <w:szCs w:val="20"/>
    </w:rPr>
  </w:style>
  <w:style w:type="paragraph" w:customStyle="1" w:styleId="430">
    <w:name w:val="图题43"/>
    <w:basedOn w:val="affff4"/>
    <w:next w:val="affff4"/>
    <w:qFormat/>
    <w:pPr>
      <w:ind w:firstLine="0"/>
      <w:jc w:val="center"/>
    </w:pPr>
    <w:rPr>
      <w:rFonts w:ascii="黑体" w:eastAsia="黑体" w:hAnsi="宋体" w:cs="宋体"/>
      <w:b/>
      <w:bCs/>
      <w:szCs w:val="24"/>
    </w:rPr>
  </w:style>
  <w:style w:type="paragraph" w:customStyle="1" w:styleId="07715">
    <w:name w:val="样式 首行缩进:  0.77 厘米 行距: 1.5 倍行距"/>
    <w:basedOn w:val="a"/>
    <w:qFormat/>
    <w:pPr>
      <w:widowControl/>
      <w:ind w:firstLine="435"/>
      <w:jc w:val="left"/>
    </w:pPr>
    <w:rPr>
      <w:rFonts w:ascii="宋体" w:hAnsi="宋体" w:cs="宋体"/>
      <w:snapToGrid w:val="0"/>
      <w:kern w:val="0"/>
    </w:rPr>
  </w:style>
  <w:style w:type="paragraph" w:customStyle="1" w:styleId="3ff7">
    <w:name w:val="正文格式3"/>
    <w:basedOn w:val="a"/>
    <w:qFormat/>
    <w:pPr>
      <w:widowControl/>
      <w:ind w:firstLine="482"/>
      <w:jc w:val="left"/>
    </w:pPr>
    <w:rPr>
      <w:rFonts w:ascii="宋体" w:hAnsi="宋体" w:cs="宋体"/>
      <w:kern w:val="0"/>
    </w:rPr>
  </w:style>
  <w:style w:type="paragraph" w:customStyle="1" w:styleId="CharCharCharCharCharCharCharCharCharCharCharCharCharCharCharCharChar1Char1">
    <w:name w:val="Char Char Char Char Char Char Char Char Char Char Char Char Char Char Char Char Char1 Char1"/>
    <w:basedOn w:val="a"/>
    <w:qFormat/>
    <w:pPr>
      <w:widowControl/>
      <w:jc w:val="left"/>
    </w:pPr>
    <w:rPr>
      <w:rFonts w:ascii="宋体" w:hAnsi="宋体" w:cs="宋体"/>
      <w:kern w:val="0"/>
    </w:rPr>
  </w:style>
  <w:style w:type="paragraph" w:customStyle="1" w:styleId="CharCharCharCharCharCharChar0">
    <w:name w:val="样式 正文缩进正文（首行缩进两字）正文（首行缩进两字） Char Char Char Char Char Char Char..."/>
    <w:basedOn w:val="1fb"/>
    <w:qFormat/>
    <w:pPr>
      <w:tabs>
        <w:tab w:val="left" w:pos="3360"/>
      </w:tabs>
      <w:ind w:firstLine="480"/>
      <w:textAlignment w:val="baseline"/>
    </w:pPr>
    <w:rPr>
      <w:rFonts w:ascii="楷体_GB2312" w:eastAsia="楷体_GB2312" w:hAnsi="Calibri"/>
      <w:snapToGrid w:val="0"/>
    </w:rPr>
  </w:style>
  <w:style w:type="paragraph" w:customStyle="1" w:styleId="CharCharCharChar2">
    <w:name w:val="Char Char Char Char2"/>
    <w:basedOn w:val="a"/>
    <w:qFormat/>
    <w:pPr>
      <w:widowControl/>
      <w:jc w:val="left"/>
    </w:pPr>
    <w:rPr>
      <w:rFonts w:ascii="仿宋_GB2312" w:hAnsi="宋体" w:cs="宋体"/>
      <w:kern w:val="24"/>
      <w:szCs w:val="20"/>
    </w:rPr>
  </w:style>
  <w:style w:type="paragraph" w:customStyle="1" w:styleId="128">
    <w:name w:val="表格内字体12"/>
    <w:basedOn w:val="affff4"/>
    <w:next w:val="affff4"/>
    <w:qFormat/>
    <w:pPr>
      <w:spacing w:line="240" w:lineRule="auto"/>
      <w:ind w:firstLine="0"/>
      <w:jc w:val="center"/>
    </w:pPr>
    <w:rPr>
      <w:rFonts w:hAnsi="宋体"/>
      <w:sz w:val="21"/>
      <w:szCs w:val="24"/>
    </w:rPr>
  </w:style>
  <w:style w:type="paragraph" w:customStyle="1" w:styleId="Char11fa">
    <w:name w:val="Char11"/>
    <w:basedOn w:val="a"/>
    <w:qFormat/>
    <w:pPr>
      <w:widowControl/>
      <w:jc w:val="left"/>
    </w:pPr>
    <w:rPr>
      <w:rFonts w:ascii="宋体" w:hAnsi="宋体" w:cs="宋体"/>
      <w:kern w:val="0"/>
    </w:rPr>
  </w:style>
  <w:style w:type="paragraph" w:customStyle="1" w:styleId="afffffffffffffffc">
    <w:name w:val="表格（大）"/>
    <w:basedOn w:val="a"/>
    <w:qFormat/>
    <w:pPr>
      <w:widowControl/>
      <w:spacing w:line="360" w:lineRule="exact"/>
      <w:jc w:val="center"/>
    </w:pPr>
    <w:rPr>
      <w:rFonts w:ascii="宋体" w:hAnsi="宋体" w:cs="宋体"/>
      <w:kern w:val="0"/>
    </w:rPr>
  </w:style>
  <w:style w:type="paragraph" w:customStyle="1" w:styleId="1fffffa">
    <w:name w:val="公式样式1"/>
    <w:basedOn w:val="a"/>
    <w:qFormat/>
    <w:pPr>
      <w:widowControl/>
      <w:jc w:val="center"/>
    </w:pPr>
    <w:rPr>
      <w:rFonts w:ascii="仿宋_GB2312" w:hAnsi="宋体" w:cs="宋体"/>
      <w:kern w:val="0"/>
    </w:rPr>
  </w:style>
  <w:style w:type="paragraph" w:customStyle="1" w:styleId="8210">
    <w:name w:val="样式 正文(首行缩进) + 8 磅 加粗 首行缩进:  2 字符1"/>
    <w:basedOn w:val="a"/>
    <w:qFormat/>
    <w:pPr>
      <w:widowControl/>
      <w:jc w:val="left"/>
    </w:pPr>
    <w:rPr>
      <w:rFonts w:ascii="宋体" w:hAnsi="宋体" w:cs="宋体"/>
      <w:b/>
      <w:bCs/>
      <w:snapToGrid w:val="0"/>
      <w:kern w:val="0"/>
      <w:sz w:val="16"/>
      <w:szCs w:val="20"/>
    </w:rPr>
  </w:style>
  <w:style w:type="paragraph" w:customStyle="1" w:styleId="afffffffffffffffd">
    <w:name w:val="正文王"/>
    <w:basedOn w:val="2fff1"/>
    <w:qFormat/>
    <w:pPr>
      <w:spacing w:line="440" w:lineRule="exact"/>
    </w:pPr>
    <w:rPr>
      <w:rFonts w:ascii="Arial" w:hAnsi="Arial"/>
      <w:snapToGrid w:val="0"/>
      <w:kern w:val="0"/>
      <w:szCs w:val="22"/>
    </w:rPr>
  </w:style>
  <w:style w:type="paragraph" w:customStyle="1" w:styleId="CharCharCharCharCharCharCharChar1CharCharCharCharCharCharCharCharCharCharCharChar1">
    <w:name w:val="Char Char Char Char Char Char Char Char1 Char Char Char Char Char Char Char Char Char Char Char Char1"/>
    <w:basedOn w:val="a"/>
    <w:qFormat/>
    <w:pPr>
      <w:widowControl/>
      <w:jc w:val="left"/>
    </w:pPr>
    <w:rPr>
      <w:rFonts w:ascii="宋体" w:hAnsi="宋体" w:cs="宋体"/>
      <w:kern w:val="0"/>
    </w:rPr>
  </w:style>
  <w:style w:type="paragraph" w:customStyle="1" w:styleId="43121">
    <w:name w:val="标题43121"/>
    <w:basedOn w:val="a"/>
    <w:qFormat/>
    <w:pPr>
      <w:widowControl/>
      <w:spacing w:line="480" w:lineRule="exact"/>
      <w:jc w:val="center"/>
    </w:pPr>
    <w:rPr>
      <w:rFonts w:ascii="宋体" w:hAnsi="宋体" w:cs="宋体"/>
      <w:kern w:val="0"/>
    </w:rPr>
  </w:style>
  <w:style w:type="paragraph" w:customStyle="1" w:styleId="afffffffffffffffe">
    <w:name w:val="正文仿宋"/>
    <w:basedOn w:val="a"/>
    <w:qFormat/>
    <w:pPr>
      <w:widowControl/>
      <w:ind w:firstLine="567"/>
      <w:jc w:val="left"/>
    </w:pPr>
    <w:rPr>
      <w:rFonts w:ascii="宋体" w:hAnsi="宋体" w:cs="宋体"/>
      <w:snapToGrid w:val="0"/>
      <w:kern w:val="0"/>
      <w:szCs w:val="20"/>
    </w:rPr>
  </w:style>
  <w:style w:type="paragraph" w:customStyle="1" w:styleId="3130">
    <w:name w:val="表题313"/>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Char522">
    <w:name w:val="Char52"/>
    <w:basedOn w:val="a"/>
    <w:qFormat/>
    <w:pPr>
      <w:widowControl/>
      <w:ind w:left="-45"/>
      <w:jc w:val="left"/>
    </w:pPr>
    <w:rPr>
      <w:rFonts w:ascii="宋体" w:hAnsi="宋体" w:cs="宋体"/>
      <w:kern w:val="0"/>
    </w:rPr>
  </w:style>
  <w:style w:type="paragraph" w:customStyle="1" w:styleId="4chen">
    <w:name w:val="谏壁标题4(chen)"/>
    <w:basedOn w:val="a"/>
    <w:qFormat/>
    <w:pPr>
      <w:widowControl/>
      <w:spacing w:before="156"/>
      <w:jc w:val="left"/>
      <w:outlineLvl w:val="3"/>
    </w:pPr>
    <w:rPr>
      <w:rFonts w:ascii="宋体" w:eastAsia="楷体_GB2312" w:hAnsi="宋体" w:cs="宋体"/>
      <w:kern w:val="0"/>
    </w:rPr>
  </w:style>
  <w:style w:type="paragraph" w:customStyle="1" w:styleId="135">
    <w:name w:val="表格内字体13"/>
    <w:basedOn w:val="affff4"/>
    <w:next w:val="affff4"/>
    <w:qFormat/>
    <w:pPr>
      <w:spacing w:line="240" w:lineRule="auto"/>
      <w:ind w:firstLine="0"/>
      <w:jc w:val="center"/>
    </w:pPr>
    <w:rPr>
      <w:rFonts w:hAnsi="宋体"/>
      <w:sz w:val="21"/>
      <w:szCs w:val="24"/>
    </w:rPr>
  </w:style>
  <w:style w:type="paragraph" w:customStyle="1" w:styleId="CharCharCharCharCharCharCharCharCharCharCharCharCharCharCharCharChar1">
    <w:name w:val="Char Char Char Char Char Char Char Char Char Char Char Char Char Char Char Char Char1"/>
    <w:basedOn w:val="a"/>
    <w:qFormat/>
    <w:pPr>
      <w:widowControl/>
      <w:jc w:val="left"/>
    </w:pPr>
    <w:rPr>
      <w:rFonts w:ascii="宋体" w:hAnsi="宋体" w:cs="宋体"/>
      <w:kern w:val="0"/>
    </w:rPr>
  </w:style>
  <w:style w:type="paragraph" w:customStyle="1" w:styleId="5310">
    <w:name w:val="表内531"/>
    <w:basedOn w:val="a"/>
    <w:qFormat/>
    <w:pPr>
      <w:widowControl/>
      <w:spacing w:line="300" w:lineRule="auto"/>
      <w:jc w:val="left"/>
    </w:pPr>
    <w:rPr>
      <w:rFonts w:ascii="宋体" w:hAnsi="宋体" w:cs="宋体"/>
      <w:kern w:val="0"/>
      <w:szCs w:val="20"/>
    </w:rPr>
  </w:style>
  <w:style w:type="paragraph" w:customStyle="1" w:styleId="5410">
    <w:name w:val="表内541"/>
    <w:basedOn w:val="a"/>
    <w:qFormat/>
    <w:pPr>
      <w:widowControl/>
      <w:spacing w:line="300" w:lineRule="auto"/>
      <w:jc w:val="center"/>
    </w:pPr>
    <w:rPr>
      <w:rFonts w:ascii="宋体" w:hAnsi="宋体" w:cs="宋体"/>
      <w:kern w:val="0"/>
      <w:szCs w:val="20"/>
    </w:rPr>
  </w:style>
  <w:style w:type="paragraph" w:customStyle="1" w:styleId="ParaCharCharCharChar41">
    <w:name w:val="默认段落字体 Para Char Char Char Char41"/>
    <w:basedOn w:val="a"/>
    <w:qFormat/>
    <w:pPr>
      <w:widowControl/>
      <w:jc w:val="left"/>
    </w:pPr>
    <w:rPr>
      <w:rFonts w:ascii="宋体" w:hAnsi="宋体" w:cs="宋体"/>
      <w:kern w:val="0"/>
    </w:rPr>
  </w:style>
  <w:style w:type="paragraph" w:customStyle="1" w:styleId="119">
    <w:name w:val="燕山正文11"/>
    <w:basedOn w:val="a"/>
    <w:qFormat/>
    <w:pPr>
      <w:widowControl/>
      <w:tabs>
        <w:tab w:val="left" w:pos="4680"/>
      </w:tabs>
      <w:jc w:val="left"/>
    </w:pPr>
    <w:rPr>
      <w:rFonts w:ascii="宋体" w:hAnsi="宋体" w:cs="宋体"/>
      <w:bCs/>
      <w:snapToGrid w:val="0"/>
      <w:color w:val="000000"/>
      <w:kern w:val="0"/>
    </w:rPr>
  </w:style>
  <w:style w:type="paragraph" w:customStyle="1" w:styleId="524">
    <w:name w:val="表内5中2"/>
    <w:basedOn w:val="a"/>
    <w:qFormat/>
    <w:pPr>
      <w:widowControl/>
      <w:jc w:val="center"/>
    </w:pPr>
    <w:rPr>
      <w:rFonts w:ascii="宋体" w:hAnsi="宋体" w:cs="Arial"/>
      <w:snapToGrid w:val="0"/>
      <w:color w:val="000000"/>
      <w:kern w:val="0"/>
      <w:szCs w:val="21"/>
    </w:rPr>
  </w:style>
  <w:style w:type="paragraph" w:customStyle="1" w:styleId="font0">
    <w:name w:val="font0"/>
    <w:basedOn w:val="a"/>
    <w:qFormat/>
    <w:pPr>
      <w:widowControl/>
      <w:spacing w:before="100" w:beforeAutospacing="1" w:after="100" w:afterAutospacing="1"/>
      <w:jc w:val="left"/>
    </w:pPr>
    <w:rPr>
      <w:rFonts w:ascii="宋体" w:hAnsi="宋体" w:cs="Arial Unicode MS" w:hint="eastAsia"/>
      <w:kern w:val="0"/>
    </w:rPr>
  </w:style>
  <w:style w:type="paragraph" w:customStyle="1" w:styleId="4311">
    <w:name w:val="标题4311"/>
    <w:basedOn w:val="a"/>
    <w:qFormat/>
    <w:pPr>
      <w:widowControl/>
      <w:spacing w:line="480" w:lineRule="exact"/>
      <w:jc w:val="center"/>
    </w:pPr>
    <w:rPr>
      <w:rFonts w:ascii="宋体" w:hAnsi="宋体" w:cs="宋体"/>
      <w:kern w:val="0"/>
    </w:rPr>
  </w:style>
  <w:style w:type="paragraph" w:customStyle="1" w:styleId="2ffff6">
    <w:name w:val="表2"/>
    <w:basedOn w:val="a"/>
    <w:qFormat/>
    <w:pPr>
      <w:widowControl/>
      <w:jc w:val="center"/>
    </w:pPr>
    <w:rPr>
      <w:rFonts w:ascii="宋体" w:hAnsi="宋体" w:cs="宋体"/>
      <w:kern w:val="0"/>
    </w:rPr>
  </w:style>
  <w:style w:type="paragraph" w:customStyle="1" w:styleId="21d">
    <w:name w:val="样式 图表 + 首行缩进:  2 字符1"/>
    <w:basedOn w:val="a"/>
    <w:qFormat/>
    <w:pPr>
      <w:widowControl/>
      <w:spacing w:beforeLines="20" w:before="62" w:afterLines="20" w:after="62"/>
      <w:ind w:leftChars="-50" w:left="-102" w:rightChars="-50" w:right="-105" w:hanging="3"/>
      <w:jc w:val="center"/>
    </w:pPr>
    <w:rPr>
      <w:rFonts w:ascii="宋体" w:hAnsi="宋体" w:cs="宋体"/>
      <w:color w:val="000000"/>
      <w:kern w:val="0"/>
    </w:rPr>
  </w:style>
  <w:style w:type="paragraph" w:customStyle="1" w:styleId="affffffffffffffff">
    <w:name w:val="右五"/>
    <w:basedOn w:val="affffffffffffffff0"/>
    <w:next w:val="a"/>
    <w:pPr>
      <w:jc w:val="right"/>
    </w:pPr>
  </w:style>
  <w:style w:type="paragraph" w:customStyle="1" w:styleId="affffffffffffffff0">
    <w:name w:val="左五"/>
    <w:basedOn w:val="a"/>
    <w:pPr>
      <w:widowControl/>
      <w:spacing w:line="280" w:lineRule="exact"/>
      <w:jc w:val="left"/>
    </w:pPr>
    <w:rPr>
      <w:rFonts w:ascii="宋体" w:hAnsi="Symusic" w:cs="宋体"/>
      <w:color w:val="000000"/>
      <w:kern w:val="0"/>
      <w:sz w:val="18"/>
    </w:rPr>
  </w:style>
  <w:style w:type="paragraph" w:customStyle="1" w:styleId="1510">
    <w:name w:val="表题151"/>
    <w:basedOn w:val="ab"/>
    <w:qFormat/>
    <w:pPr>
      <w:widowControl/>
      <w:ind w:firstLineChars="0" w:firstLine="0"/>
      <w:jc w:val="center"/>
    </w:pPr>
    <w:rPr>
      <w:rFonts w:ascii="黑体" w:cs="Arial"/>
      <w:b/>
    </w:rPr>
  </w:style>
  <w:style w:type="paragraph" w:customStyle="1" w:styleId="affffffffffffffff1">
    <w:name w:val="表左"/>
    <w:basedOn w:val="a"/>
    <w:qFormat/>
    <w:pPr>
      <w:widowControl/>
      <w:spacing w:line="280" w:lineRule="exact"/>
      <w:jc w:val="left"/>
    </w:pPr>
    <w:rPr>
      <w:rFonts w:ascii="宋体" w:hAnsi="宋体" w:cs="宋体"/>
      <w:color w:val="000000"/>
      <w:kern w:val="0"/>
      <w:sz w:val="18"/>
    </w:rPr>
  </w:style>
  <w:style w:type="paragraph" w:customStyle="1" w:styleId="affffffffffffffff2">
    <w:name w:val="引言"/>
    <w:basedOn w:val="a"/>
    <w:next w:val="a"/>
    <w:qFormat/>
    <w:pPr>
      <w:widowControl/>
      <w:jc w:val="center"/>
    </w:pPr>
    <w:rPr>
      <w:rFonts w:ascii="仿宋_GB2312" w:hAnsi="宋体" w:cs="宋体"/>
      <w:color w:val="000000"/>
      <w:kern w:val="0"/>
    </w:rPr>
  </w:style>
  <w:style w:type="paragraph" w:customStyle="1" w:styleId="affffffffffffffff3">
    <w:name w:val="附件"/>
    <w:basedOn w:val="1"/>
    <w:next w:val="affff4"/>
    <w:qFormat/>
    <w:pPr>
      <w:numPr>
        <w:numId w:val="0"/>
      </w:numPr>
      <w:adjustRightInd/>
      <w:snapToGrid/>
      <w:spacing w:after="210"/>
      <w:jc w:val="left"/>
    </w:pPr>
    <w:rPr>
      <w:rFonts w:ascii="黑体" w:eastAsia="黑体"/>
      <w:sz w:val="32"/>
      <w:szCs w:val="32"/>
      <w:lang w:val="zh-CN"/>
    </w:rPr>
  </w:style>
  <w:style w:type="paragraph" w:customStyle="1" w:styleId="2ffff7">
    <w:name w:val="附件2"/>
    <w:basedOn w:val="1"/>
    <w:next w:val="affff4"/>
    <w:qFormat/>
    <w:pPr>
      <w:numPr>
        <w:numId w:val="0"/>
      </w:numPr>
      <w:adjustRightInd/>
      <w:snapToGrid/>
      <w:spacing w:after="210"/>
      <w:jc w:val="left"/>
    </w:pPr>
    <w:rPr>
      <w:rFonts w:ascii="黑体" w:eastAsia="黑体"/>
      <w:b w:val="0"/>
      <w:sz w:val="32"/>
      <w:szCs w:val="32"/>
      <w:lang w:val="zh-CN"/>
    </w:rPr>
  </w:style>
  <w:style w:type="paragraph" w:customStyle="1" w:styleId="CharCharCharCharCharCharCharCharCharCharChar0">
    <w:name w:val="Char Char Char Char Char Char Char Char Char Char Char"/>
    <w:basedOn w:val="a"/>
    <w:qFormat/>
    <w:pPr>
      <w:widowControl/>
      <w:jc w:val="left"/>
    </w:pPr>
    <w:rPr>
      <w:rFonts w:ascii="宋体" w:hAnsi="宋体" w:cs="宋体"/>
      <w:kern w:val="0"/>
    </w:rPr>
  </w:style>
  <w:style w:type="paragraph" w:customStyle="1" w:styleId="205">
    <w:name w:val="样式 标题 2 + 段后: 0.5 行"/>
    <w:basedOn w:val="2"/>
    <w:qFormat/>
    <w:pPr>
      <w:keepNext w:val="0"/>
      <w:keepLines w:val="0"/>
      <w:numPr>
        <w:ilvl w:val="0"/>
        <w:numId w:val="0"/>
      </w:numPr>
      <w:tabs>
        <w:tab w:val="left" w:pos="630"/>
        <w:tab w:val="left" w:pos="840"/>
        <w:tab w:val="left" w:pos="1287"/>
        <w:tab w:val="left" w:pos="3920"/>
        <w:tab w:val="left" w:pos="5670"/>
      </w:tabs>
      <w:spacing w:before="60" w:after="0" w:line="240" w:lineRule="auto"/>
      <w:ind w:firstLine="567"/>
    </w:pPr>
    <w:rPr>
      <w:rFonts w:cs="Times New Roman"/>
      <w:bCs w:val="0"/>
      <w:color w:val="000000"/>
      <w:kern w:val="2"/>
      <w:sz w:val="30"/>
      <w:lang w:val="zh-CN"/>
    </w:rPr>
  </w:style>
  <w:style w:type="paragraph" w:customStyle="1" w:styleId="affffffffffffffff4">
    <w:name w:val="二级无标题条"/>
    <w:basedOn w:val="a"/>
    <w:qFormat/>
    <w:pPr>
      <w:widowControl/>
      <w:jc w:val="left"/>
    </w:pPr>
    <w:rPr>
      <w:rFonts w:ascii="宋体" w:hAnsi="宋体" w:cs="宋体"/>
      <w:kern w:val="0"/>
    </w:rPr>
  </w:style>
  <w:style w:type="paragraph" w:customStyle="1" w:styleId="1221">
    <w:name w:val="样式122"/>
    <w:basedOn w:val="314"/>
    <w:qFormat/>
    <w:pPr>
      <w:spacing w:line="240" w:lineRule="auto"/>
      <w:ind w:firstLine="0"/>
      <w:jc w:val="center"/>
    </w:pPr>
    <w:rPr>
      <w:rFonts w:cs="Times New Roman"/>
      <w:b/>
      <w:color w:val="auto"/>
      <w:szCs w:val="20"/>
    </w:rPr>
  </w:style>
  <w:style w:type="paragraph" w:customStyle="1" w:styleId="CharCharCharCharCharCharCharCharCharCharChar1CharCharCharCharCharChar2">
    <w:name w:val="Char Char Char Char Char Char Char Char Char Char Char1 Char Char Char Char Char Char2"/>
    <w:basedOn w:val="a"/>
    <w:qFormat/>
    <w:pPr>
      <w:widowControl/>
      <w:jc w:val="left"/>
    </w:pPr>
    <w:rPr>
      <w:rFonts w:ascii="宋体" w:hAnsi="宋体" w:cs="宋体"/>
      <w:kern w:val="0"/>
    </w:rPr>
  </w:style>
  <w:style w:type="paragraph" w:customStyle="1" w:styleId="T">
    <w:name w:val="T正文"/>
    <w:qFormat/>
    <w:pPr>
      <w:widowControl w:val="0"/>
      <w:adjustRightInd w:val="0"/>
      <w:snapToGrid w:val="0"/>
      <w:spacing w:line="360" w:lineRule="auto"/>
      <w:ind w:firstLineChars="200" w:firstLine="200"/>
      <w:jc w:val="both"/>
    </w:pPr>
    <w:rPr>
      <w:rFonts w:eastAsia="仿宋_GB2312"/>
      <w:sz w:val="28"/>
    </w:rPr>
  </w:style>
  <w:style w:type="paragraph" w:customStyle="1" w:styleId="1fffffb">
    <w:name w:val="正文格式1"/>
    <w:basedOn w:val="a"/>
    <w:qFormat/>
    <w:pPr>
      <w:widowControl/>
      <w:ind w:firstLine="482"/>
      <w:jc w:val="left"/>
    </w:pPr>
    <w:rPr>
      <w:rFonts w:ascii="宋体" w:hAnsi="宋体" w:cs="宋体"/>
      <w:kern w:val="0"/>
    </w:rPr>
  </w:style>
  <w:style w:type="paragraph" w:customStyle="1" w:styleId="3ff8">
    <w:name w:val="图题3"/>
    <w:basedOn w:val="affff4"/>
    <w:next w:val="affff4"/>
    <w:qFormat/>
    <w:pPr>
      <w:ind w:firstLine="0"/>
      <w:jc w:val="center"/>
    </w:pPr>
    <w:rPr>
      <w:rFonts w:ascii="黑体" w:eastAsia="黑体" w:hAnsi="宋体" w:cs="宋体"/>
      <w:b/>
      <w:bCs/>
      <w:szCs w:val="24"/>
    </w:rPr>
  </w:style>
  <w:style w:type="paragraph" w:customStyle="1" w:styleId="5fb">
    <w:name w:val="黑体三号5"/>
    <w:basedOn w:val="affff4"/>
    <w:qFormat/>
    <w:pPr>
      <w:jc w:val="center"/>
    </w:pPr>
    <w:rPr>
      <w:rFonts w:ascii="黑体" w:eastAsia="黑体" w:hAnsi="宋体" w:cs="宋体"/>
      <w:b/>
      <w:bCs/>
      <w:sz w:val="32"/>
      <w:szCs w:val="20"/>
    </w:rPr>
  </w:style>
  <w:style w:type="paragraph" w:customStyle="1" w:styleId="CharCharChar1CharCharCharChar">
    <w:name w:val="Char Char Char1 Char Char Char Char"/>
    <w:basedOn w:val="a"/>
    <w:next w:val="a"/>
    <w:qFormat/>
    <w:pPr>
      <w:widowControl/>
      <w:jc w:val="left"/>
    </w:pPr>
    <w:rPr>
      <w:rFonts w:ascii="宋体" w:eastAsia="汉鼎简书宋" w:hAnsi="宋体" w:cs="宋体"/>
      <w:kern w:val="0"/>
    </w:rPr>
  </w:style>
  <w:style w:type="paragraph" w:customStyle="1" w:styleId="2111">
    <w:name w:val="表内文字小211"/>
    <w:basedOn w:val="a"/>
    <w:qFormat/>
    <w:pPr>
      <w:widowControl/>
      <w:jc w:val="center"/>
    </w:pPr>
    <w:rPr>
      <w:rFonts w:ascii="宋体" w:hAnsi="Times" w:cs="宋体"/>
      <w:bCs/>
      <w:color w:val="000000"/>
      <w:kern w:val="0"/>
      <w:szCs w:val="20"/>
    </w:rPr>
  </w:style>
  <w:style w:type="paragraph" w:customStyle="1" w:styleId="3132">
    <w:name w:val="表内文字小313"/>
    <w:basedOn w:val="a"/>
    <w:qFormat/>
    <w:pPr>
      <w:widowControl/>
      <w:jc w:val="center"/>
    </w:pPr>
    <w:rPr>
      <w:rFonts w:ascii="宋体" w:hAnsi="Times" w:cs="宋体"/>
      <w:bCs/>
      <w:color w:val="003366"/>
      <w:kern w:val="0"/>
      <w:szCs w:val="20"/>
    </w:rPr>
  </w:style>
  <w:style w:type="paragraph" w:customStyle="1" w:styleId="affffffffffffffff5">
    <w:name w:val="正文仿宋小四"/>
    <w:basedOn w:val="a"/>
    <w:qFormat/>
    <w:pPr>
      <w:widowControl/>
      <w:jc w:val="left"/>
    </w:pPr>
    <w:rPr>
      <w:rFonts w:ascii="宋体" w:hAnsi="宋体" w:cs="宋体"/>
      <w:kern w:val="0"/>
    </w:rPr>
  </w:style>
  <w:style w:type="paragraph" w:customStyle="1" w:styleId="affffffffffffffff6">
    <w:name w:val="表内文字小"/>
    <w:basedOn w:val="a"/>
    <w:qFormat/>
    <w:pPr>
      <w:widowControl/>
      <w:jc w:val="center"/>
    </w:pPr>
    <w:rPr>
      <w:rFonts w:ascii="宋体" w:hAnsi="Times" w:cs="宋体"/>
      <w:kern w:val="0"/>
      <w:szCs w:val="20"/>
    </w:rPr>
  </w:style>
  <w:style w:type="paragraph" w:customStyle="1" w:styleId="417">
    <w:name w:val="表中文字41"/>
    <w:basedOn w:val="a"/>
    <w:qFormat/>
    <w:pPr>
      <w:widowControl/>
      <w:spacing w:line="340" w:lineRule="exact"/>
      <w:jc w:val="center"/>
    </w:pPr>
    <w:rPr>
      <w:rFonts w:ascii="Arial" w:hAnsi="Arial" w:cs="宋体"/>
      <w:kern w:val="0"/>
      <w:sz w:val="20"/>
      <w:lang w:eastAsia="zh-TW"/>
    </w:rPr>
  </w:style>
  <w:style w:type="paragraph" w:customStyle="1" w:styleId="Char4f6">
    <w:name w:val="Char4"/>
    <w:basedOn w:val="a"/>
    <w:qFormat/>
    <w:pPr>
      <w:widowControl/>
      <w:jc w:val="left"/>
    </w:pPr>
    <w:rPr>
      <w:rFonts w:ascii="宋体" w:hAnsi="宋体" w:cs="宋体"/>
      <w:kern w:val="0"/>
    </w:rPr>
  </w:style>
  <w:style w:type="paragraph" w:customStyle="1" w:styleId="418">
    <w:name w:val="标题41"/>
    <w:basedOn w:val="4"/>
    <w:next w:val="a"/>
    <w:qFormat/>
    <w:pPr>
      <w:numPr>
        <w:ilvl w:val="0"/>
        <w:numId w:val="0"/>
      </w:numPr>
      <w:spacing w:before="160" w:after="170" w:line="360" w:lineRule="auto"/>
    </w:pPr>
    <w:rPr>
      <w:rFonts w:ascii="黑体" w:eastAsia="黑体" w:hAnsi="Arial" w:cs="Times New Roman"/>
      <w:sz w:val="24"/>
    </w:rPr>
  </w:style>
  <w:style w:type="paragraph" w:customStyle="1" w:styleId="CharCharCharCharCharChar1">
    <w:name w:val="Char Char Char Char Char Char1"/>
    <w:basedOn w:val="a"/>
    <w:qFormat/>
    <w:pPr>
      <w:widowControl/>
      <w:jc w:val="left"/>
    </w:pPr>
    <w:rPr>
      <w:rFonts w:ascii="宋体" w:hAnsi="宋体" w:cs="宋体"/>
      <w:kern w:val="0"/>
    </w:rPr>
  </w:style>
  <w:style w:type="paragraph" w:customStyle="1" w:styleId="1fffffc">
    <w:name w:val="正文修改1"/>
    <w:basedOn w:val="affffe"/>
    <w:qFormat/>
    <w:rPr>
      <w:rFonts w:eastAsia="宋体" w:hAnsi="宋体" w:cs="宋体"/>
      <w:color w:val="000000"/>
      <w:szCs w:val="24"/>
    </w:rPr>
  </w:style>
  <w:style w:type="paragraph" w:customStyle="1" w:styleId="charfff4">
    <w:name w:val="char"/>
    <w:basedOn w:val="a"/>
    <w:qFormat/>
    <w:pPr>
      <w:widowControl/>
      <w:spacing w:after="160" w:line="240" w:lineRule="exact"/>
      <w:jc w:val="left"/>
    </w:pPr>
    <w:rPr>
      <w:rFonts w:ascii="Verdana" w:hAnsi="Verdana" w:cs="”“Times New Roman”“"/>
      <w:kern w:val="0"/>
      <w:szCs w:val="20"/>
      <w:lang w:eastAsia="en-US"/>
    </w:rPr>
  </w:style>
  <w:style w:type="paragraph" w:customStyle="1" w:styleId="5113">
    <w:name w:val="表内宋5中11"/>
    <w:basedOn w:val="a"/>
    <w:qFormat/>
    <w:pPr>
      <w:widowControl/>
      <w:jc w:val="center"/>
      <w:textAlignment w:val="baseline"/>
    </w:pPr>
    <w:rPr>
      <w:rFonts w:ascii="宋体" w:hAnsi="宋体" w:cs="宋体"/>
      <w:kern w:val="0"/>
      <w:szCs w:val="20"/>
    </w:rPr>
  </w:style>
  <w:style w:type="paragraph" w:customStyle="1" w:styleId="3112">
    <w:name w:val="表题3112"/>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2ffff8">
    <w:name w:val="表内文字边2"/>
    <w:basedOn w:val="a"/>
    <w:qFormat/>
    <w:pPr>
      <w:widowControl/>
      <w:spacing w:line="240" w:lineRule="atLeast"/>
      <w:ind w:leftChars="-10" w:left="-21" w:rightChars="-20" w:right="-42"/>
      <w:jc w:val="left"/>
    </w:pPr>
    <w:rPr>
      <w:rFonts w:ascii="宋体" w:hAnsi="宋体" w:cs="宋体"/>
      <w:kern w:val="0"/>
      <w:szCs w:val="21"/>
    </w:rPr>
  </w:style>
  <w:style w:type="paragraph" w:customStyle="1" w:styleId="-0161">
    <w:name w:val="样式 左侧:  -0.16 厘米1"/>
    <w:basedOn w:val="a"/>
    <w:qFormat/>
    <w:pPr>
      <w:widowControl/>
      <w:ind w:left="-90"/>
      <w:jc w:val="left"/>
    </w:pPr>
    <w:rPr>
      <w:rFonts w:ascii="宋体" w:hAnsi="宋体" w:cs="宋体"/>
      <w:snapToGrid w:val="0"/>
      <w:kern w:val="0"/>
    </w:rPr>
  </w:style>
  <w:style w:type="paragraph" w:customStyle="1" w:styleId="419">
    <w:name w:val="附件41"/>
    <w:basedOn w:val="1"/>
    <w:next w:val="affff4"/>
    <w:qFormat/>
    <w:pPr>
      <w:numPr>
        <w:numId w:val="0"/>
      </w:numPr>
      <w:adjustRightInd/>
      <w:snapToGrid/>
      <w:spacing w:after="210"/>
      <w:jc w:val="left"/>
    </w:pPr>
    <w:rPr>
      <w:rFonts w:ascii="黑体" w:eastAsia="黑体"/>
      <w:sz w:val="32"/>
      <w:szCs w:val="32"/>
      <w:lang w:val="zh-CN"/>
    </w:rPr>
  </w:style>
  <w:style w:type="paragraph" w:customStyle="1" w:styleId="affffffffffffffff7">
    <w:name w:val="图框"/>
    <w:basedOn w:val="a"/>
    <w:qFormat/>
    <w:pPr>
      <w:widowControl/>
      <w:jc w:val="center"/>
    </w:pPr>
    <w:rPr>
      <w:rFonts w:ascii="宋体" w:hAnsi="宋体" w:cs="宋体"/>
      <w:kern w:val="0"/>
      <w:szCs w:val="21"/>
    </w:rPr>
  </w:style>
  <w:style w:type="paragraph" w:customStyle="1" w:styleId="CharCharChar1CharCharCharCharCharCharCharCharCharChar">
    <w:name w:val="Char Char Char1 Char Char Char Char Char Char Char Char Char Char"/>
    <w:basedOn w:val="a"/>
    <w:qFormat/>
    <w:pPr>
      <w:widowControl/>
      <w:jc w:val="left"/>
    </w:pPr>
    <w:rPr>
      <w:rFonts w:ascii="宋体" w:hAnsi="宋体" w:cs="宋体"/>
      <w:kern w:val="0"/>
    </w:rPr>
  </w:style>
  <w:style w:type="paragraph" w:customStyle="1" w:styleId="4-001001">
    <w:name w:val="样式 标题 4 + 黑色 左侧:  -0.01 厘米 首行缩进:  0.01 厘米"/>
    <w:basedOn w:val="4"/>
    <w:qFormat/>
    <w:pPr>
      <w:numPr>
        <w:ilvl w:val="0"/>
        <w:numId w:val="0"/>
      </w:numPr>
      <w:tabs>
        <w:tab w:val="left" w:pos="1080"/>
      </w:tabs>
      <w:spacing w:after="0" w:line="324" w:lineRule="auto"/>
      <w:ind w:left="864" w:hanging="864"/>
    </w:pPr>
    <w:rPr>
      <w:rFonts w:ascii="仿宋_GB2312" w:hAnsi="Arial" w:cs="宋体"/>
      <w:b w:val="0"/>
      <w:bCs w:val="0"/>
      <w:kern w:val="2"/>
      <w:szCs w:val="20"/>
      <w:lang w:val="zh-CN"/>
    </w:rPr>
  </w:style>
  <w:style w:type="paragraph" w:customStyle="1" w:styleId="CharCharCharCharCharCharCharCharCharCharChar1CharCharCharCharCharChar11">
    <w:name w:val="Char Char Char Char Char Char Char Char Char Char Char1 Char Char Char Char Char Char11"/>
    <w:basedOn w:val="a"/>
    <w:qFormat/>
    <w:pPr>
      <w:widowControl/>
      <w:jc w:val="left"/>
    </w:pPr>
    <w:rPr>
      <w:rFonts w:ascii="宋体" w:hAnsi="宋体" w:cs="宋体"/>
      <w:kern w:val="0"/>
    </w:rPr>
  </w:style>
  <w:style w:type="paragraph" w:customStyle="1" w:styleId="Content">
    <w:name w:val="Content"/>
    <w:basedOn w:val="a"/>
    <w:qFormat/>
    <w:pPr>
      <w:widowControl/>
      <w:tabs>
        <w:tab w:val="left" w:pos="9480"/>
        <w:tab w:val="left" w:pos="9600"/>
      </w:tabs>
      <w:spacing w:before="120" w:after="120" w:line="240" w:lineRule="atLeast"/>
      <w:jc w:val="center"/>
    </w:pPr>
    <w:rPr>
      <w:rFonts w:ascii="Arial" w:hAnsi="Arial" w:cs="宋体"/>
      <w:b/>
      <w:kern w:val="0"/>
      <w:szCs w:val="20"/>
    </w:rPr>
  </w:style>
  <w:style w:type="paragraph" w:customStyle="1" w:styleId="2ffff9">
    <w:name w:val="目录2"/>
    <w:basedOn w:val="28"/>
    <w:next w:val="a"/>
    <w:qFormat/>
    <w:pPr>
      <w:widowControl/>
      <w:tabs>
        <w:tab w:val="clear" w:pos="9004"/>
        <w:tab w:val="left" w:leader="dot" w:pos="8492"/>
      </w:tabs>
      <w:spacing w:before="156" w:line="240" w:lineRule="auto"/>
      <w:ind w:firstLine="420"/>
      <w:jc w:val="left"/>
      <w:textAlignment w:val="baseline"/>
    </w:pPr>
    <w:rPr>
      <w:rFonts w:ascii="宋体" w:hAnsi="Arial"/>
      <w:bCs w:val="0"/>
      <w:smallCaps/>
      <w:color w:val="000000"/>
      <w:kern w:val="0"/>
      <w:sz w:val="20"/>
      <w:szCs w:val="20"/>
      <w:u w:color="000000"/>
    </w:rPr>
  </w:style>
  <w:style w:type="paragraph" w:customStyle="1" w:styleId="86">
    <w:name w:val="正文格式＝8"/>
    <w:basedOn w:val="affff4"/>
    <w:next w:val="affff4"/>
    <w:qFormat/>
    <w:rPr>
      <w:rFonts w:hAnsi="宋体"/>
      <w:szCs w:val="24"/>
    </w:rPr>
  </w:style>
  <w:style w:type="paragraph" w:customStyle="1" w:styleId="51110">
    <w:name w:val="表内宋5中111"/>
    <w:basedOn w:val="a"/>
    <w:qFormat/>
    <w:pPr>
      <w:widowControl/>
      <w:jc w:val="center"/>
      <w:textAlignment w:val="baseline"/>
    </w:pPr>
    <w:rPr>
      <w:rFonts w:ascii="宋体" w:hAnsi="宋体" w:cs="宋体"/>
      <w:kern w:val="0"/>
      <w:szCs w:val="20"/>
    </w:rPr>
  </w:style>
  <w:style w:type="paragraph" w:customStyle="1" w:styleId="affffffffffffffff8">
    <w:name w:val="图表名称"/>
    <w:basedOn w:val="1f3"/>
    <w:qFormat/>
    <w:pPr>
      <w:spacing w:after="0" w:line="480" w:lineRule="exact"/>
      <w:ind w:firstLineChars="0" w:firstLine="0"/>
      <w:jc w:val="center"/>
    </w:pPr>
    <w:rPr>
      <w:rFonts w:ascii="宋体" w:hAnsi="宋体"/>
      <w:bCs/>
      <w:szCs w:val="24"/>
    </w:rPr>
  </w:style>
  <w:style w:type="paragraph" w:customStyle="1" w:styleId="1411">
    <w:name w:val="表题1411"/>
    <w:basedOn w:val="a"/>
    <w:qFormat/>
    <w:pPr>
      <w:widowControl/>
      <w:jc w:val="center"/>
    </w:pPr>
    <w:rPr>
      <w:rFonts w:ascii="黑体" w:eastAsia="黑体" w:hAnsi="宋体" w:cs="宋体"/>
      <w:kern w:val="0"/>
    </w:rPr>
  </w:style>
  <w:style w:type="paragraph" w:customStyle="1" w:styleId="1fffffd">
    <w:name w:val="正文.1"/>
    <w:qFormat/>
    <w:pPr>
      <w:widowControl w:val="0"/>
      <w:autoSpaceDE w:val="0"/>
      <w:autoSpaceDN w:val="0"/>
      <w:adjustRightInd w:val="0"/>
      <w:jc w:val="both"/>
    </w:pPr>
    <w:rPr>
      <w:rFonts w:ascii="Times New Roman;Symbol;Arial;婼" w:eastAsia="Times New Roman;Symbol;Arial;婼"/>
      <w:sz w:val="21"/>
      <w:szCs w:val="21"/>
    </w:rPr>
  </w:style>
  <w:style w:type="paragraph" w:customStyle="1" w:styleId="CharCharCharCharCharCharCharChar1CharCharCharCharCharCharCharCharCharChar">
    <w:name w:val="Char Char Char Char Char Char Char Char1 Char Char Char Char Char Char Char Char Char Char"/>
    <w:basedOn w:val="a"/>
    <w:qFormat/>
    <w:pPr>
      <w:widowControl/>
      <w:jc w:val="left"/>
    </w:pPr>
    <w:rPr>
      <w:rFonts w:ascii="宋体" w:hAnsi="宋体" w:cs="宋体"/>
      <w:kern w:val="0"/>
    </w:rPr>
  </w:style>
  <w:style w:type="paragraph" w:customStyle="1" w:styleId="31a">
    <w:name w:val="列表接续 31"/>
    <w:basedOn w:val="a"/>
    <w:qFormat/>
    <w:pPr>
      <w:widowControl/>
      <w:spacing w:after="120"/>
      <w:ind w:leftChars="600" w:left="1260"/>
      <w:jc w:val="left"/>
    </w:pPr>
    <w:rPr>
      <w:rFonts w:ascii="宋体" w:hAnsi="宋体" w:cs="宋体"/>
      <w:kern w:val="0"/>
    </w:rPr>
  </w:style>
  <w:style w:type="paragraph" w:customStyle="1" w:styleId="231">
    <w:name w:val="表内文字小23"/>
    <w:basedOn w:val="a"/>
    <w:qFormat/>
    <w:pPr>
      <w:widowControl/>
      <w:jc w:val="center"/>
    </w:pPr>
    <w:rPr>
      <w:rFonts w:ascii="宋体" w:hAnsi="Times" w:cs="宋体"/>
      <w:bCs/>
      <w:color w:val="000000"/>
      <w:kern w:val="0"/>
      <w:szCs w:val="20"/>
    </w:rPr>
  </w:style>
  <w:style w:type="paragraph" w:customStyle="1" w:styleId="41a">
    <w:name w:val="列表接续 41"/>
    <w:basedOn w:val="a"/>
    <w:qFormat/>
    <w:pPr>
      <w:widowControl/>
      <w:spacing w:after="120"/>
      <w:ind w:leftChars="800" w:left="1680"/>
      <w:jc w:val="left"/>
    </w:pPr>
    <w:rPr>
      <w:rFonts w:ascii="宋体" w:hAnsi="宋体" w:cs="宋体"/>
      <w:kern w:val="0"/>
    </w:rPr>
  </w:style>
  <w:style w:type="paragraph" w:customStyle="1" w:styleId="11a">
    <w:name w:val="黑体三号11"/>
    <w:basedOn w:val="affff4"/>
    <w:qFormat/>
    <w:pPr>
      <w:jc w:val="center"/>
    </w:pPr>
    <w:rPr>
      <w:rFonts w:ascii="黑体" w:eastAsia="黑体" w:hAnsi="宋体" w:cs="宋体"/>
      <w:b/>
      <w:bCs/>
      <w:sz w:val="32"/>
      <w:szCs w:val="20"/>
    </w:rPr>
  </w:style>
  <w:style w:type="paragraph" w:customStyle="1" w:styleId="Char2ff2">
    <w:name w:val="Char2"/>
    <w:basedOn w:val="a"/>
    <w:qFormat/>
    <w:pPr>
      <w:widowControl/>
      <w:spacing w:line="240" w:lineRule="exact"/>
      <w:jc w:val="left"/>
    </w:pPr>
    <w:rPr>
      <w:rFonts w:ascii="宋体" w:hAnsi="宋体" w:cs="宋体"/>
      <w:kern w:val="0"/>
      <w:szCs w:val="28"/>
    </w:rPr>
  </w:style>
  <w:style w:type="paragraph" w:customStyle="1" w:styleId="5416">
    <w:name w:val="表内5416"/>
    <w:basedOn w:val="a"/>
    <w:qFormat/>
    <w:pPr>
      <w:widowControl/>
      <w:spacing w:line="300" w:lineRule="auto"/>
      <w:jc w:val="center"/>
    </w:pPr>
    <w:rPr>
      <w:rFonts w:ascii="宋体" w:hAnsi="宋体" w:cs="宋体"/>
      <w:kern w:val="0"/>
      <w:szCs w:val="20"/>
    </w:rPr>
  </w:style>
  <w:style w:type="paragraph" w:customStyle="1" w:styleId="1fffffe">
    <w:name w:val="样式 表格内字体1 +"/>
    <w:basedOn w:val="1ffffff"/>
    <w:next w:val="affffff1"/>
    <w:qFormat/>
    <w:rPr>
      <w:rFonts w:hAnsi="Times New Roman" w:cs="宋体"/>
      <w:szCs w:val="20"/>
    </w:rPr>
  </w:style>
  <w:style w:type="paragraph" w:customStyle="1" w:styleId="1ffffff">
    <w:name w:val="表格内字体1"/>
    <w:basedOn w:val="affff4"/>
    <w:next w:val="affff4"/>
    <w:qFormat/>
    <w:pPr>
      <w:spacing w:line="240" w:lineRule="auto"/>
      <w:ind w:firstLine="0"/>
      <w:jc w:val="center"/>
    </w:pPr>
    <w:rPr>
      <w:rFonts w:hAnsi="宋体"/>
      <w:sz w:val="21"/>
      <w:szCs w:val="24"/>
    </w:rPr>
  </w:style>
  <w:style w:type="paragraph" w:customStyle="1" w:styleId="5120">
    <w:name w:val="表内宋5中12"/>
    <w:basedOn w:val="a"/>
    <w:qFormat/>
    <w:pPr>
      <w:widowControl/>
      <w:jc w:val="center"/>
      <w:textAlignment w:val="baseline"/>
    </w:pPr>
    <w:rPr>
      <w:rFonts w:ascii="宋体" w:hAnsi="宋体" w:cs="宋体"/>
      <w:kern w:val="0"/>
      <w:szCs w:val="20"/>
    </w:rPr>
  </w:style>
  <w:style w:type="paragraph" w:customStyle="1" w:styleId="Char3CharCharCharCharCharCharCharCharCharChar">
    <w:name w:val="Char3 Char Char Char Char Char Char Char Char Char Char"/>
    <w:basedOn w:val="a"/>
    <w:qFormat/>
    <w:pPr>
      <w:widowControl/>
      <w:spacing w:line="340" w:lineRule="exact"/>
      <w:ind w:firstLineChars="4" w:firstLine="10"/>
      <w:jc w:val="left"/>
    </w:pPr>
    <w:rPr>
      <w:rFonts w:ascii="宋体" w:hAnsi="宋体" w:cs="宋体"/>
      <w:kern w:val="0"/>
      <w:szCs w:val="28"/>
    </w:rPr>
  </w:style>
  <w:style w:type="paragraph" w:customStyle="1" w:styleId="2ffffa">
    <w:name w:val="框图格式2"/>
    <w:basedOn w:val="a"/>
    <w:qFormat/>
    <w:pPr>
      <w:widowControl/>
      <w:jc w:val="left"/>
    </w:pPr>
    <w:rPr>
      <w:rFonts w:ascii="宋体" w:hAnsi="宋体" w:cs="宋体"/>
      <w:kern w:val="0"/>
      <w:sz w:val="18"/>
    </w:rPr>
  </w:style>
  <w:style w:type="paragraph" w:customStyle="1" w:styleId="0992">
    <w:name w:val="首行缩进:  0.99 厘米 + 首行缩进:  2 字符"/>
    <w:basedOn w:val="a"/>
    <w:qFormat/>
    <w:pPr>
      <w:widowControl/>
      <w:topLinePunct/>
      <w:spacing w:line="480" w:lineRule="exact"/>
      <w:ind w:firstLine="420"/>
      <w:jc w:val="center"/>
    </w:pPr>
    <w:rPr>
      <w:rFonts w:ascii="宋体" w:hAnsi="宋体" w:cs="宋体"/>
      <w:snapToGrid w:val="0"/>
      <w:color w:val="FF0000"/>
      <w:kern w:val="0"/>
      <w:szCs w:val="21"/>
    </w:rPr>
  </w:style>
  <w:style w:type="paragraph" w:customStyle="1" w:styleId="Char1119">
    <w:name w:val="Char111"/>
    <w:basedOn w:val="a"/>
    <w:qFormat/>
    <w:pPr>
      <w:widowControl/>
      <w:ind w:left="-48"/>
      <w:jc w:val="left"/>
    </w:pPr>
    <w:rPr>
      <w:rFonts w:ascii="宋体" w:hAnsi="宋体" w:cs="宋体"/>
      <w:kern w:val="0"/>
    </w:rPr>
  </w:style>
  <w:style w:type="paragraph" w:customStyle="1" w:styleId="Char4CharCharCharCharCharChar">
    <w:name w:val="Char4 Char Char Char Char Char Char"/>
    <w:basedOn w:val="a"/>
    <w:qFormat/>
    <w:pPr>
      <w:widowControl/>
      <w:jc w:val="left"/>
    </w:pPr>
    <w:rPr>
      <w:rFonts w:ascii="宋体" w:hAnsi="宋体" w:cs="宋体"/>
      <w:kern w:val="0"/>
    </w:rPr>
  </w:style>
  <w:style w:type="paragraph" w:customStyle="1" w:styleId="09921">
    <w:name w:val="首行缩进:  0.99 厘米 + 首行缩进:  2 字符1"/>
    <w:basedOn w:val="a"/>
    <w:qFormat/>
    <w:pPr>
      <w:widowControl/>
      <w:topLinePunct/>
      <w:spacing w:line="480" w:lineRule="exact"/>
      <w:ind w:firstLine="420"/>
      <w:jc w:val="center"/>
    </w:pPr>
    <w:rPr>
      <w:rFonts w:ascii="宋体" w:hAnsi="宋体" w:cs="宋体"/>
      <w:snapToGrid w:val="0"/>
      <w:color w:val="FF0000"/>
      <w:kern w:val="0"/>
      <w:szCs w:val="21"/>
    </w:rPr>
  </w:style>
  <w:style w:type="paragraph" w:customStyle="1" w:styleId="Charfff5">
    <w:name w:val="Char 正文"/>
    <w:basedOn w:val="1"/>
    <w:qFormat/>
    <w:pPr>
      <w:numPr>
        <w:numId w:val="0"/>
      </w:numPr>
      <w:spacing w:beforeLines="100" w:before="312" w:afterLines="100" w:after="312" w:line="348" w:lineRule="auto"/>
      <w:jc w:val="left"/>
    </w:pPr>
    <w:rPr>
      <w:rFonts w:ascii="Tahoma" w:hAnsi="Tahoma"/>
      <w:bCs w:val="0"/>
      <w:szCs w:val="20"/>
      <w:lang w:val="zh-CN"/>
    </w:rPr>
  </w:style>
  <w:style w:type="paragraph" w:customStyle="1" w:styleId="CharCharCharCharCharCharCharCharCharCharCharCharCharChar1">
    <w:name w:val="Char Char Char Char Char Char Char Char Char Char Char Char Char Char1"/>
    <w:basedOn w:val="a"/>
    <w:pPr>
      <w:widowControl/>
      <w:jc w:val="left"/>
    </w:pPr>
    <w:rPr>
      <w:rFonts w:ascii="宋体" w:hAnsi="宋体" w:cs="宋体"/>
      <w:kern w:val="0"/>
    </w:rPr>
  </w:style>
  <w:style w:type="paragraph" w:customStyle="1" w:styleId="4f6">
    <w:name w:val="黑体三号4"/>
    <w:basedOn w:val="affff4"/>
    <w:qFormat/>
    <w:pPr>
      <w:jc w:val="center"/>
    </w:pPr>
    <w:rPr>
      <w:rFonts w:ascii="黑体" w:eastAsia="黑体" w:hAnsi="宋体" w:cs="宋体"/>
      <w:b/>
      <w:bCs/>
      <w:sz w:val="32"/>
      <w:szCs w:val="20"/>
    </w:rPr>
  </w:style>
  <w:style w:type="paragraph" w:customStyle="1" w:styleId="CharCharCharCharCharCharCharCharCharCharCharCharCharCharCharCharChar">
    <w:name w:val="Char Char Char Char Char Char Char Char Char Char Char Char Char Char Char Char Char"/>
    <w:basedOn w:val="a"/>
    <w:qFormat/>
    <w:pPr>
      <w:widowControl/>
      <w:jc w:val="left"/>
    </w:pPr>
    <w:rPr>
      <w:rFonts w:ascii="宋体" w:hAnsi="宋体" w:cs="宋体"/>
      <w:kern w:val="0"/>
    </w:rPr>
  </w:style>
  <w:style w:type="paragraph" w:customStyle="1" w:styleId="CharCharCharCharCharCharCharCharChar1">
    <w:name w:val="Char Char Char Char Char Char Char Char Char1"/>
    <w:basedOn w:val="a"/>
    <w:qFormat/>
    <w:pPr>
      <w:widowControl/>
      <w:jc w:val="left"/>
    </w:pPr>
    <w:rPr>
      <w:rFonts w:ascii="宋体" w:hAnsi="宋体" w:cs="宋体"/>
      <w:kern w:val="0"/>
    </w:rPr>
  </w:style>
  <w:style w:type="paragraph" w:customStyle="1" w:styleId="414H4H4141H42H41114211">
    <w:name w:val="样式 标题 4无效格式无效格式1河石管道4H4H41小小节河石管道41H42H411小小节1河石管道42...11"/>
    <w:basedOn w:val="4"/>
    <w:qFormat/>
    <w:pPr>
      <w:numPr>
        <w:ilvl w:val="0"/>
        <w:numId w:val="0"/>
      </w:numPr>
      <w:spacing w:after="0" w:line="360" w:lineRule="auto"/>
      <w:ind w:left="664" w:hanging="864"/>
    </w:pPr>
    <w:rPr>
      <w:rFonts w:ascii="黑体" w:eastAsia="黑体" w:hAnsi="Arial" w:cs="宋体"/>
      <w:b w:val="0"/>
      <w:bCs w:val="0"/>
      <w:kern w:val="2"/>
      <w:sz w:val="24"/>
      <w:szCs w:val="20"/>
    </w:rPr>
  </w:style>
  <w:style w:type="paragraph" w:customStyle="1" w:styleId="5fc">
    <w:name w:val="表内5"/>
    <w:basedOn w:val="a"/>
    <w:qFormat/>
    <w:pPr>
      <w:widowControl/>
      <w:spacing w:line="300" w:lineRule="auto"/>
      <w:jc w:val="left"/>
    </w:pPr>
    <w:rPr>
      <w:rFonts w:ascii="宋体" w:hAnsi="宋体" w:cs="宋体"/>
      <w:kern w:val="0"/>
      <w:sz w:val="18"/>
      <w:szCs w:val="20"/>
    </w:rPr>
  </w:style>
  <w:style w:type="paragraph" w:customStyle="1" w:styleId="542">
    <w:name w:val="表内54"/>
    <w:basedOn w:val="a"/>
    <w:qFormat/>
    <w:pPr>
      <w:widowControl/>
      <w:spacing w:line="300" w:lineRule="auto"/>
      <w:jc w:val="left"/>
    </w:pPr>
    <w:rPr>
      <w:rFonts w:ascii="宋体" w:hAnsi="宋体" w:cs="宋体"/>
      <w:kern w:val="0"/>
      <w:sz w:val="18"/>
      <w:szCs w:val="20"/>
    </w:rPr>
  </w:style>
  <w:style w:type="paragraph" w:customStyle="1" w:styleId="3CharCharCharCharCharCharCharCharCharChar">
    <w:name w:val="3 Char Char Char Char Char Char Char Char Char Char"/>
    <w:basedOn w:val="a"/>
    <w:qFormat/>
    <w:pPr>
      <w:widowControl/>
      <w:jc w:val="left"/>
    </w:pPr>
    <w:rPr>
      <w:rFonts w:ascii="宋体" w:hAnsi="宋体" w:cs="宋体"/>
      <w:kern w:val="0"/>
    </w:rPr>
  </w:style>
  <w:style w:type="paragraph" w:customStyle="1" w:styleId="1ffffff0">
    <w:name w:val="表名1"/>
    <w:basedOn w:val="affffffffffff1"/>
    <w:qFormat/>
    <w:pPr>
      <w:keepNext/>
      <w:overflowPunct w:val="0"/>
      <w:spacing w:line="240" w:lineRule="auto"/>
      <w:textAlignment w:val="baseline"/>
    </w:pPr>
    <w:rPr>
      <w:rFonts w:ascii="Times New Roman" w:hAnsi="Times New Roman"/>
      <w:kern w:val="24"/>
      <w:sz w:val="21"/>
      <w:szCs w:val="21"/>
    </w:rPr>
  </w:style>
  <w:style w:type="paragraph" w:customStyle="1" w:styleId="CharCharChar11">
    <w:name w:val="Char Char Char11"/>
    <w:basedOn w:val="a"/>
    <w:qFormat/>
    <w:pPr>
      <w:widowControl/>
      <w:jc w:val="left"/>
    </w:pPr>
    <w:rPr>
      <w:rFonts w:ascii="宋体" w:hAnsi="宋体" w:cs="宋体"/>
      <w:kern w:val="0"/>
    </w:rPr>
  </w:style>
  <w:style w:type="paragraph" w:customStyle="1" w:styleId="affffffffffffffff9">
    <w:name w:val="黑体三号"/>
    <w:basedOn w:val="affff4"/>
    <w:qFormat/>
    <w:pPr>
      <w:jc w:val="center"/>
    </w:pPr>
    <w:rPr>
      <w:rFonts w:ascii="黑体" w:eastAsia="黑体" w:hAnsi="宋体" w:cs="宋体"/>
      <w:b/>
      <w:bCs/>
      <w:sz w:val="32"/>
      <w:szCs w:val="20"/>
    </w:rPr>
  </w:style>
  <w:style w:type="paragraph" w:customStyle="1" w:styleId="Char4311">
    <w:name w:val="Char4311"/>
    <w:basedOn w:val="a"/>
    <w:qFormat/>
    <w:pPr>
      <w:widowControl/>
      <w:ind w:left="-48"/>
      <w:jc w:val="left"/>
    </w:pPr>
    <w:rPr>
      <w:rFonts w:ascii="宋体" w:hAnsi="宋体" w:cs="宋体"/>
      <w:kern w:val="0"/>
    </w:rPr>
  </w:style>
  <w:style w:type="paragraph" w:customStyle="1" w:styleId="95">
    <w:name w:val="表题9"/>
    <w:basedOn w:val="2fff1"/>
    <w:qFormat/>
    <w:pPr>
      <w:spacing w:line="300" w:lineRule="auto"/>
      <w:jc w:val="center"/>
    </w:pPr>
    <w:rPr>
      <w:rFonts w:ascii="黑体" w:eastAsia="黑体"/>
      <w:szCs w:val="22"/>
    </w:rPr>
  </w:style>
  <w:style w:type="paragraph" w:customStyle="1" w:styleId="Char912">
    <w:name w:val="Char91"/>
    <w:basedOn w:val="a"/>
    <w:pPr>
      <w:widowControl/>
      <w:ind w:left="-48"/>
      <w:jc w:val="left"/>
    </w:pPr>
    <w:rPr>
      <w:rFonts w:ascii="宋体" w:hAnsi="宋体" w:cs="宋体"/>
      <w:kern w:val="0"/>
    </w:rPr>
  </w:style>
  <w:style w:type="paragraph" w:customStyle="1" w:styleId="CharCharCharCharCharCharCharCharCharCharCharCharCharCharChar1">
    <w:name w:val="Char Char Char Char Char Char Char Char Char Char Char Char Char Char Char1"/>
    <w:basedOn w:val="a"/>
    <w:qFormat/>
    <w:pPr>
      <w:widowControl/>
      <w:jc w:val="left"/>
    </w:pPr>
    <w:rPr>
      <w:rFonts w:ascii="宋体" w:hAnsi="宋体" w:cs="宋体"/>
      <w:kern w:val="0"/>
    </w:rPr>
  </w:style>
  <w:style w:type="paragraph" w:customStyle="1" w:styleId="ENUM">
    <w:name w:val="ENUM"/>
    <w:basedOn w:val="a"/>
    <w:qFormat/>
    <w:pPr>
      <w:widowControl/>
      <w:tabs>
        <w:tab w:val="left" w:pos="840"/>
        <w:tab w:val="left" w:pos="1418"/>
      </w:tabs>
      <w:spacing w:before="60" w:after="60"/>
      <w:ind w:left="1418" w:hanging="284"/>
      <w:jc w:val="left"/>
    </w:pPr>
    <w:rPr>
      <w:rFonts w:ascii="Arial" w:hAnsi="Arial" w:cs="宋体"/>
      <w:kern w:val="0"/>
      <w:sz w:val="22"/>
      <w:szCs w:val="20"/>
    </w:rPr>
  </w:style>
  <w:style w:type="paragraph" w:customStyle="1" w:styleId="affffffffffffffffa">
    <w:name w:val="正文图五"/>
    <w:basedOn w:val="a"/>
    <w:qFormat/>
    <w:pPr>
      <w:widowControl/>
      <w:jc w:val="center"/>
    </w:pPr>
    <w:rPr>
      <w:rFonts w:ascii="宋体" w:hAnsi="宋体" w:cs="宋体"/>
      <w:snapToGrid w:val="0"/>
      <w:spacing w:val="6"/>
      <w:kern w:val="0"/>
      <w:szCs w:val="20"/>
    </w:rPr>
  </w:style>
  <w:style w:type="paragraph" w:customStyle="1" w:styleId="affffffffffffffffb">
    <w:name w:val="表中居中文字!"/>
    <w:basedOn w:val="a"/>
    <w:qFormat/>
    <w:pPr>
      <w:widowControl/>
      <w:jc w:val="center"/>
    </w:pPr>
    <w:rPr>
      <w:rFonts w:ascii="宋体" w:hAnsi="宋体" w:cs="Arial"/>
      <w:snapToGrid w:val="0"/>
      <w:kern w:val="0"/>
    </w:rPr>
  </w:style>
  <w:style w:type="paragraph" w:customStyle="1" w:styleId="08523">
    <w:name w:val="样式 首行缩进:  0.85 厘米 行距: 固定值 23 磅"/>
    <w:basedOn w:val="a"/>
    <w:qFormat/>
    <w:pPr>
      <w:widowControl/>
      <w:spacing w:line="480" w:lineRule="exact"/>
      <w:ind w:firstLine="560"/>
      <w:jc w:val="left"/>
    </w:pPr>
    <w:rPr>
      <w:rFonts w:ascii="宋体" w:hAnsi="宋体" w:cs="宋体"/>
      <w:color w:val="000000"/>
      <w:kern w:val="0"/>
      <w:szCs w:val="20"/>
    </w:rPr>
  </w:style>
  <w:style w:type="paragraph" w:customStyle="1" w:styleId="chen3">
    <w:name w:val="谏壁表头（chen）"/>
    <w:basedOn w:val="a"/>
    <w:qFormat/>
    <w:pPr>
      <w:widowControl/>
      <w:jc w:val="center"/>
    </w:pPr>
    <w:rPr>
      <w:rFonts w:ascii="宋体" w:hAnsi="宋体" w:cs="宋体"/>
      <w:b/>
      <w:bCs/>
      <w:kern w:val="0"/>
    </w:rPr>
  </w:style>
  <w:style w:type="paragraph" w:customStyle="1" w:styleId="affffffffffffffffc">
    <w:name w:val="表中"/>
    <w:qFormat/>
    <w:pPr>
      <w:adjustRightInd w:val="0"/>
      <w:snapToGrid w:val="0"/>
      <w:jc w:val="center"/>
    </w:pPr>
    <w:rPr>
      <w:kern w:val="44"/>
      <w:sz w:val="18"/>
    </w:rPr>
  </w:style>
  <w:style w:type="paragraph" w:customStyle="1" w:styleId="1131">
    <w:name w:val="表内文字小113"/>
    <w:basedOn w:val="a"/>
    <w:qFormat/>
    <w:pPr>
      <w:widowControl/>
      <w:jc w:val="left"/>
    </w:pPr>
    <w:rPr>
      <w:rFonts w:ascii="宋体" w:hAnsi="Times" w:cs="宋体"/>
      <w:kern w:val="0"/>
      <w:szCs w:val="20"/>
    </w:rPr>
  </w:style>
  <w:style w:type="paragraph" w:customStyle="1" w:styleId="4-0010010">
    <w:name w:val="样式 样式 标题 4 + 黑色 左侧:  -0.01 厘米 首行缩进:  0.01 厘米 + 左侧:  0 厘米 首行缩进: ..."/>
    <w:basedOn w:val="4-001001"/>
    <w:qFormat/>
    <w:pPr>
      <w:tabs>
        <w:tab w:val="clear" w:pos="1080"/>
        <w:tab w:val="left" w:pos="851"/>
      </w:tabs>
      <w:ind w:left="851" w:hanging="851"/>
    </w:pPr>
  </w:style>
  <w:style w:type="paragraph" w:customStyle="1" w:styleId="1ffffff1">
    <w:name w:val="样式 表格内字体 +1"/>
    <w:basedOn w:val="affffff1"/>
    <w:qFormat/>
    <w:pPr>
      <w:spacing w:line="280" w:lineRule="exact"/>
      <w:ind w:firstLine="36"/>
      <w:jc w:val="both"/>
    </w:pPr>
    <w:rPr>
      <w:rFonts w:hAnsi="宋体"/>
      <w:sz w:val="21"/>
      <w:szCs w:val="24"/>
    </w:rPr>
  </w:style>
  <w:style w:type="paragraph" w:customStyle="1" w:styleId="23-471">
    <w:name w:val="23-47表名1"/>
    <w:basedOn w:val="a"/>
    <w:qFormat/>
    <w:pPr>
      <w:widowControl/>
      <w:spacing w:after="156" w:line="440" w:lineRule="exact"/>
      <w:jc w:val="center"/>
    </w:pPr>
    <w:rPr>
      <w:rFonts w:ascii="宋体" w:hAnsi="宋体" w:cs="宋体"/>
      <w:b/>
      <w:kern w:val="0"/>
    </w:rPr>
  </w:style>
  <w:style w:type="paragraph" w:customStyle="1" w:styleId="21e">
    <w:name w:val="样式 样式 宋体 + 首行缩进:  2 字符1"/>
    <w:basedOn w:val="a"/>
    <w:qFormat/>
    <w:pPr>
      <w:widowControl/>
      <w:jc w:val="left"/>
    </w:pPr>
    <w:rPr>
      <w:rFonts w:ascii="宋体" w:hAnsi="宋体" w:cs="宋体"/>
      <w:kern w:val="0"/>
    </w:rPr>
  </w:style>
  <w:style w:type="paragraph" w:customStyle="1" w:styleId="ParaChar52">
    <w:name w:val="默认段落字体 Para Char52"/>
    <w:basedOn w:val="a"/>
    <w:next w:val="a"/>
    <w:qFormat/>
    <w:pPr>
      <w:widowControl/>
      <w:spacing w:line="480" w:lineRule="exact"/>
      <w:jc w:val="left"/>
    </w:pPr>
    <w:rPr>
      <w:rFonts w:ascii="宋体" w:eastAsia="汉鼎简书宋" w:hAnsi="宋体" w:cs="宋体"/>
      <w:kern w:val="0"/>
    </w:rPr>
  </w:style>
  <w:style w:type="paragraph" w:customStyle="1" w:styleId="534">
    <w:name w:val="正文格式53"/>
    <w:basedOn w:val="a"/>
    <w:qFormat/>
    <w:pPr>
      <w:widowControl/>
      <w:ind w:firstLine="482"/>
      <w:jc w:val="left"/>
    </w:pPr>
    <w:rPr>
      <w:rFonts w:ascii="宋体" w:hAnsi="宋体" w:cs="宋体"/>
      <w:kern w:val="0"/>
    </w:rPr>
  </w:style>
  <w:style w:type="paragraph" w:customStyle="1" w:styleId="ParaChar2">
    <w:name w:val="默认段落字体 Para Char2"/>
    <w:basedOn w:val="a"/>
    <w:next w:val="a"/>
    <w:qFormat/>
    <w:pPr>
      <w:widowControl/>
      <w:spacing w:line="480" w:lineRule="exact"/>
      <w:jc w:val="left"/>
    </w:pPr>
    <w:rPr>
      <w:rFonts w:ascii="宋体" w:eastAsia="汉鼎简书宋" w:hAnsi="宋体" w:cs="宋体"/>
      <w:kern w:val="0"/>
    </w:rPr>
  </w:style>
  <w:style w:type="paragraph" w:customStyle="1" w:styleId="69">
    <w:name w:val="表格内字体6"/>
    <w:basedOn w:val="affff4"/>
    <w:next w:val="affff4"/>
    <w:qFormat/>
    <w:pPr>
      <w:spacing w:line="240" w:lineRule="auto"/>
      <w:ind w:firstLine="0"/>
      <w:jc w:val="center"/>
    </w:pPr>
    <w:rPr>
      <w:rFonts w:hAnsi="宋体"/>
      <w:sz w:val="21"/>
      <w:szCs w:val="24"/>
    </w:rPr>
  </w:style>
  <w:style w:type="paragraph" w:customStyle="1" w:styleId="11b">
    <w:name w:val="正文格式11"/>
    <w:basedOn w:val="a"/>
    <w:qFormat/>
    <w:pPr>
      <w:widowControl/>
      <w:ind w:firstLine="482"/>
      <w:jc w:val="left"/>
    </w:pPr>
    <w:rPr>
      <w:rFonts w:ascii="宋体" w:hAnsi="宋体" w:cs="宋体"/>
      <w:kern w:val="0"/>
    </w:rPr>
  </w:style>
  <w:style w:type="paragraph" w:customStyle="1" w:styleId="affffffffffffffffd">
    <w:name w:val="正文图"/>
    <w:basedOn w:val="a"/>
    <w:qFormat/>
    <w:pPr>
      <w:widowControl/>
      <w:spacing w:before="40"/>
      <w:jc w:val="center"/>
      <w:textAlignment w:val="baseline"/>
    </w:pPr>
    <w:rPr>
      <w:rFonts w:ascii="宋体" w:hAnsi="宋体" w:cs="宋体"/>
      <w:kern w:val="0"/>
      <w:szCs w:val="20"/>
    </w:rPr>
  </w:style>
  <w:style w:type="paragraph" w:customStyle="1" w:styleId="5320">
    <w:name w:val="表文字532"/>
    <w:basedOn w:val="a"/>
    <w:qFormat/>
    <w:pPr>
      <w:widowControl/>
      <w:jc w:val="left"/>
      <w:textAlignment w:val="baseline"/>
    </w:pPr>
    <w:rPr>
      <w:rFonts w:ascii="宋体" w:hAnsi="宋体" w:cs="宋体"/>
      <w:kern w:val="0"/>
      <w:szCs w:val="20"/>
    </w:rPr>
  </w:style>
  <w:style w:type="paragraph" w:customStyle="1" w:styleId="251">
    <w:name w:val="样式 表格 + 左  25 字符1"/>
    <w:basedOn w:val="2f6"/>
    <w:qFormat/>
    <w:pPr>
      <w:widowControl/>
      <w:snapToGrid/>
      <w:ind w:firstLineChars="0" w:firstLine="0"/>
      <w:jc w:val="center"/>
    </w:pPr>
    <w:rPr>
      <w:rFonts w:eastAsia="宋体" w:hAnsi="宋体" w:cs="宋体"/>
      <w:b w:val="0"/>
      <w:sz w:val="18"/>
    </w:rPr>
  </w:style>
  <w:style w:type="paragraph" w:customStyle="1" w:styleId="152">
    <w:name w:val="表题15"/>
    <w:basedOn w:val="ab"/>
    <w:qFormat/>
    <w:pPr>
      <w:widowControl/>
      <w:ind w:firstLineChars="0" w:firstLine="0"/>
      <w:jc w:val="center"/>
    </w:pPr>
    <w:rPr>
      <w:rFonts w:ascii="黑体" w:cs="Arial"/>
      <w:b/>
    </w:rPr>
  </w:style>
  <w:style w:type="paragraph" w:customStyle="1" w:styleId="228">
    <w:name w:val="正文格式22"/>
    <w:basedOn w:val="a"/>
    <w:qFormat/>
    <w:pPr>
      <w:widowControl/>
      <w:ind w:firstLine="482"/>
      <w:jc w:val="left"/>
    </w:pPr>
    <w:rPr>
      <w:rFonts w:ascii="宋体" w:hAnsi="宋体" w:cs="宋体"/>
      <w:kern w:val="0"/>
    </w:rPr>
  </w:style>
  <w:style w:type="paragraph" w:customStyle="1" w:styleId="text2">
    <w:name w:val="text2"/>
    <w:basedOn w:val="a"/>
    <w:qFormat/>
    <w:pPr>
      <w:widowControl/>
      <w:spacing w:before="100" w:beforeAutospacing="1" w:after="100" w:afterAutospacing="1"/>
      <w:jc w:val="left"/>
    </w:pPr>
    <w:rPr>
      <w:rFonts w:ascii="宋体" w:hAnsi="宋体" w:cs="宋体"/>
      <w:color w:val="666666"/>
      <w:kern w:val="0"/>
    </w:rPr>
  </w:style>
  <w:style w:type="paragraph" w:customStyle="1" w:styleId="affffffffffffffffe">
    <w:name w:val="初设正文"/>
    <w:basedOn w:val="a"/>
    <w:qFormat/>
    <w:pPr>
      <w:widowControl/>
      <w:spacing w:after="120" w:line="440" w:lineRule="exact"/>
      <w:ind w:left="425" w:firstLine="425"/>
      <w:jc w:val="left"/>
    </w:pPr>
    <w:rPr>
      <w:rFonts w:ascii="Arial" w:hAnsi="Arial" w:cs="宋体"/>
      <w:kern w:val="0"/>
      <w:szCs w:val="20"/>
    </w:rPr>
  </w:style>
  <w:style w:type="paragraph" w:customStyle="1" w:styleId="afffffffffffffffff">
    <w:name w:val="正文单倍行距"/>
    <w:basedOn w:val="a"/>
    <w:qFormat/>
    <w:pPr>
      <w:widowControl/>
      <w:tabs>
        <w:tab w:val="left" w:pos="8640"/>
      </w:tabs>
      <w:jc w:val="left"/>
    </w:pPr>
    <w:rPr>
      <w:rFonts w:ascii="宋体" w:hAnsi="宋体" w:cs="宋体"/>
      <w:kern w:val="0"/>
    </w:rPr>
  </w:style>
  <w:style w:type="paragraph" w:customStyle="1" w:styleId="afffffffffffffffff0">
    <w:name w:val="表 头"/>
    <w:basedOn w:val="a"/>
    <w:qFormat/>
    <w:pPr>
      <w:widowControl/>
      <w:spacing w:before="120" w:after="120" w:line="360" w:lineRule="atLeast"/>
      <w:jc w:val="center"/>
    </w:pPr>
    <w:rPr>
      <w:rFonts w:ascii="宋体" w:eastAsia="黑体" w:hAnsi="宋体" w:cs="宋体"/>
      <w:spacing w:val="10"/>
      <w:kern w:val="0"/>
      <w:szCs w:val="20"/>
    </w:rPr>
  </w:style>
  <w:style w:type="paragraph" w:customStyle="1" w:styleId="4120">
    <w:name w:val="标题412"/>
    <w:basedOn w:val="4"/>
    <w:next w:val="a"/>
    <w:qFormat/>
    <w:pPr>
      <w:numPr>
        <w:ilvl w:val="0"/>
        <w:numId w:val="0"/>
      </w:numPr>
      <w:spacing w:before="160" w:after="170" w:line="360" w:lineRule="auto"/>
    </w:pPr>
    <w:rPr>
      <w:rFonts w:ascii="黑体" w:eastAsia="黑体" w:hAnsi="Arial" w:cs="Times New Roman"/>
      <w:sz w:val="24"/>
    </w:rPr>
  </w:style>
  <w:style w:type="paragraph" w:customStyle="1" w:styleId="afffffffffffffffff1">
    <w:name w:val="五级条标题"/>
    <w:basedOn w:val="affffffffffffff5"/>
    <w:next w:val="a"/>
    <w:qFormat/>
    <w:pPr>
      <w:tabs>
        <w:tab w:val="clear" w:pos="1152"/>
        <w:tab w:val="clear" w:pos="2520"/>
        <w:tab w:val="clear" w:pos="3080"/>
        <w:tab w:val="left" w:pos="1296"/>
        <w:tab w:val="left" w:pos="2940"/>
        <w:tab w:val="left" w:pos="3500"/>
      </w:tabs>
      <w:outlineLvl w:val="6"/>
    </w:pPr>
  </w:style>
  <w:style w:type="paragraph" w:customStyle="1" w:styleId="11c">
    <w:name w:val="表内文字小11"/>
    <w:basedOn w:val="a"/>
    <w:qFormat/>
    <w:pPr>
      <w:widowControl/>
      <w:jc w:val="left"/>
    </w:pPr>
    <w:rPr>
      <w:rFonts w:ascii="宋体" w:hAnsi="Times" w:cs="宋体"/>
      <w:kern w:val="0"/>
      <w:szCs w:val="20"/>
    </w:rPr>
  </w:style>
  <w:style w:type="paragraph" w:customStyle="1" w:styleId="4f7">
    <w:name w:val="表格内字体4"/>
    <w:basedOn w:val="affff4"/>
    <w:next w:val="affff4"/>
    <w:qFormat/>
    <w:pPr>
      <w:spacing w:line="240" w:lineRule="auto"/>
      <w:ind w:firstLine="0"/>
      <w:jc w:val="center"/>
    </w:pPr>
    <w:rPr>
      <w:rFonts w:hAnsi="宋体"/>
      <w:sz w:val="21"/>
      <w:szCs w:val="24"/>
    </w:rPr>
  </w:style>
  <w:style w:type="paragraph" w:customStyle="1" w:styleId="11d">
    <w:name w:val="表题11"/>
    <w:basedOn w:val="ab"/>
    <w:qFormat/>
    <w:pPr>
      <w:widowControl/>
      <w:ind w:firstLineChars="0" w:firstLine="0"/>
      <w:jc w:val="center"/>
    </w:pPr>
    <w:rPr>
      <w:rFonts w:ascii="黑体" w:cs="Arial"/>
    </w:rPr>
  </w:style>
  <w:style w:type="paragraph" w:customStyle="1" w:styleId="41b">
    <w:name w:val="列表编号 41"/>
    <w:basedOn w:val="a"/>
    <w:qFormat/>
    <w:pPr>
      <w:widowControl/>
      <w:tabs>
        <w:tab w:val="left" w:pos="1620"/>
      </w:tabs>
      <w:ind w:left="1620" w:hanging="360"/>
      <w:jc w:val="left"/>
    </w:pPr>
    <w:rPr>
      <w:rFonts w:ascii="宋体" w:hAnsi="宋体" w:cs="宋体"/>
      <w:kern w:val="0"/>
    </w:rPr>
  </w:style>
  <w:style w:type="paragraph" w:customStyle="1" w:styleId="2ffffb">
    <w:name w:val="图题2"/>
    <w:basedOn w:val="affff4"/>
    <w:next w:val="affff4"/>
    <w:qFormat/>
    <w:pPr>
      <w:ind w:firstLine="0"/>
      <w:jc w:val="center"/>
    </w:pPr>
    <w:rPr>
      <w:rFonts w:ascii="黑体" w:eastAsia="黑体" w:hAnsi="宋体" w:cs="宋体"/>
      <w:b/>
      <w:bCs/>
      <w:szCs w:val="24"/>
    </w:rPr>
  </w:style>
  <w:style w:type="paragraph" w:customStyle="1" w:styleId="54112">
    <w:name w:val="表内54112"/>
    <w:basedOn w:val="a"/>
    <w:qFormat/>
    <w:pPr>
      <w:widowControl/>
      <w:spacing w:line="300" w:lineRule="auto"/>
      <w:jc w:val="center"/>
    </w:pPr>
    <w:rPr>
      <w:rFonts w:ascii="宋体" w:hAnsi="宋体" w:cs="宋体"/>
      <w:kern w:val="0"/>
      <w:szCs w:val="20"/>
    </w:rPr>
  </w:style>
  <w:style w:type="paragraph" w:customStyle="1" w:styleId="3113">
    <w:name w:val="表中文字311"/>
    <w:basedOn w:val="a"/>
    <w:qFormat/>
    <w:pPr>
      <w:widowControl/>
      <w:spacing w:line="240" w:lineRule="atLeast"/>
      <w:ind w:leftChars="-10" w:left="-24" w:rightChars="-20" w:right="-48"/>
      <w:jc w:val="center"/>
    </w:pPr>
    <w:rPr>
      <w:rFonts w:ascii="宋体" w:hAnsi="宋体" w:cs="宋体"/>
      <w:kern w:val="0"/>
      <w:szCs w:val="21"/>
    </w:rPr>
  </w:style>
  <w:style w:type="paragraph" w:customStyle="1" w:styleId="Char470">
    <w:name w:val="Char47"/>
    <w:basedOn w:val="a"/>
    <w:qFormat/>
    <w:pPr>
      <w:widowControl/>
      <w:ind w:left="-48"/>
      <w:jc w:val="left"/>
    </w:pPr>
    <w:rPr>
      <w:rFonts w:ascii="宋体" w:hAnsi="宋体" w:cs="宋体"/>
      <w:kern w:val="0"/>
    </w:rPr>
  </w:style>
  <w:style w:type="paragraph" w:customStyle="1" w:styleId="21221">
    <w:name w:val="表内文字小21221"/>
    <w:basedOn w:val="a"/>
    <w:qFormat/>
    <w:pPr>
      <w:widowControl/>
      <w:jc w:val="center"/>
    </w:pPr>
    <w:rPr>
      <w:rFonts w:ascii="宋体" w:hAnsi="Times" w:cs="宋体"/>
      <w:bCs/>
      <w:color w:val="000000"/>
      <w:kern w:val="0"/>
      <w:szCs w:val="20"/>
    </w:rPr>
  </w:style>
  <w:style w:type="paragraph" w:customStyle="1" w:styleId="54121">
    <w:name w:val="表内54121"/>
    <w:basedOn w:val="a"/>
    <w:qFormat/>
    <w:pPr>
      <w:widowControl/>
      <w:spacing w:line="300" w:lineRule="auto"/>
      <w:jc w:val="center"/>
    </w:pPr>
    <w:rPr>
      <w:rFonts w:ascii="宋体" w:hAnsi="宋体" w:cs="宋体"/>
      <w:kern w:val="0"/>
      <w:szCs w:val="20"/>
    </w:rPr>
  </w:style>
  <w:style w:type="paragraph" w:customStyle="1" w:styleId="543">
    <w:name w:val="表中文字54"/>
    <w:basedOn w:val="a"/>
    <w:qFormat/>
    <w:pPr>
      <w:widowControl/>
      <w:spacing w:line="240" w:lineRule="atLeast"/>
      <w:ind w:leftChars="-10" w:left="-24" w:rightChars="-20" w:right="-48"/>
      <w:jc w:val="center"/>
    </w:pPr>
    <w:rPr>
      <w:rFonts w:ascii="宋体" w:hAnsi="宋体" w:cs="宋体"/>
      <w:kern w:val="0"/>
      <w:szCs w:val="21"/>
    </w:rPr>
  </w:style>
  <w:style w:type="paragraph" w:customStyle="1" w:styleId="Char93">
    <w:name w:val="Char93"/>
    <w:basedOn w:val="a"/>
    <w:qFormat/>
    <w:pPr>
      <w:widowControl/>
      <w:ind w:left="-48"/>
      <w:jc w:val="left"/>
    </w:pPr>
    <w:rPr>
      <w:rFonts w:ascii="宋体" w:hAnsi="宋体" w:cs="宋体"/>
      <w:kern w:val="0"/>
    </w:rPr>
  </w:style>
  <w:style w:type="paragraph" w:customStyle="1" w:styleId="31213">
    <w:name w:val="表题31213"/>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Char350">
    <w:name w:val="Char35"/>
    <w:basedOn w:val="a"/>
    <w:qFormat/>
    <w:pPr>
      <w:widowControl/>
      <w:ind w:left="-48"/>
      <w:jc w:val="left"/>
    </w:pPr>
    <w:rPr>
      <w:rFonts w:ascii="宋体" w:hAnsi="宋体" w:cs="宋体"/>
      <w:kern w:val="0"/>
    </w:rPr>
  </w:style>
  <w:style w:type="paragraph" w:customStyle="1" w:styleId="Char3121">
    <w:name w:val="Char312"/>
    <w:basedOn w:val="a"/>
    <w:qFormat/>
    <w:pPr>
      <w:widowControl/>
      <w:ind w:left="-48"/>
      <w:jc w:val="left"/>
    </w:pPr>
    <w:rPr>
      <w:rFonts w:ascii="宋体" w:hAnsi="宋体" w:cs="宋体"/>
      <w:kern w:val="0"/>
    </w:rPr>
  </w:style>
  <w:style w:type="paragraph" w:customStyle="1" w:styleId="41c">
    <w:name w:val="黑体三号41"/>
    <w:basedOn w:val="affff4"/>
    <w:qFormat/>
    <w:pPr>
      <w:jc w:val="center"/>
    </w:pPr>
    <w:rPr>
      <w:rFonts w:ascii="黑体" w:eastAsia="黑体" w:hAnsi="宋体" w:cs="宋体"/>
      <w:b/>
      <w:bCs/>
      <w:sz w:val="32"/>
      <w:szCs w:val="20"/>
    </w:rPr>
  </w:style>
  <w:style w:type="paragraph" w:customStyle="1" w:styleId="232">
    <w:name w:val="表内文字小232"/>
    <w:basedOn w:val="a"/>
    <w:qFormat/>
    <w:pPr>
      <w:widowControl/>
      <w:jc w:val="center"/>
    </w:pPr>
    <w:rPr>
      <w:rFonts w:ascii="宋体" w:hAnsi="Times" w:cs="宋体"/>
      <w:bCs/>
      <w:color w:val="000000"/>
      <w:kern w:val="0"/>
      <w:szCs w:val="20"/>
    </w:rPr>
  </w:style>
  <w:style w:type="paragraph" w:customStyle="1" w:styleId="136">
    <w:name w:val="正文修改13"/>
    <w:basedOn w:val="affffe"/>
    <w:qFormat/>
    <w:rPr>
      <w:rFonts w:eastAsia="宋体" w:hAnsi="宋体" w:cs="宋体"/>
      <w:color w:val="000000"/>
      <w:szCs w:val="24"/>
    </w:rPr>
  </w:style>
  <w:style w:type="paragraph" w:customStyle="1" w:styleId="137">
    <w:name w:val="附件13"/>
    <w:basedOn w:val="1"/>
    <w:next w:val="affff4"/>
    <w:qFormat/>
    <w:pPr>
      <w:numPr>
        <w:numId w:val="0"/>
      </w:numPr>
      <w:spacing w:before="220"/>
    </w:pPr>
    <w:rPr>
      <w:rFonts w:ascii="黑体" w:eastAsia="黑体"/>
      <w:sz w:val="32"/>
      <w:szCs w:val="32"/>
      <w:lang w:val="zh-CN"/>
    </w:rPr>
  </w:style>
  <w:style w:type="paragraph" w:customStyle="1" w:styleId="Char1520">
    <w:name w:val="Char152"/>
    <w:basedOn w:val="a"/>
    <w:qFormat/>
    <w:pPr>
      <w:widowControl/>
      <w:spacing w:before="156"/>
      <w:jc w:val="left"/>
    </w:pPr>
    <w:rPr>
      <w:rFonts w:ascii="黑体" w:eastAsia="黑体" w:hAnsi="宋体" w:cs="宋体"/>
      <w:kern w:val="0"/>
      <w:sz w:val="32"/>
      <w:szCs w:val="32"/>
    </w:rPr>
  </w:style>
  <w:style w:type="paragraph" w:customStyle="1" w:styleId="ParaCharCharCharCharChar2">
    <w:name w:val="默认段落字体 Para Char Char Char Char Char2"/>
    <w:basedOn w:val="a"/>
    <w:qFormat/>
    <w:pPr>
      <w:widowControl/>
      <w:jc w:val="left"/>
    </w:pPr>
    <w:rPr>
      <w:rFonts w:ascii="宋体" w:hAnsi="宋体" w:cs="宋体"/>
      <w:kern w:val="0"/>
    </w:rPr>
  </w:style>
  <w:style w:type="paragraph" w:customStyle="1" w:styleId="5121">
    <w:name w:val="表内512"/>
    <w:basedOn w:val="a"/>
    <w:qFormat/>
    <w:pPr>
      <w:widowControl/>
      <w:jc w:val="center"/>
    </w:pPr>
    <w:rPr>
      <w:rFonts w:ascii="宋体" w:hAnsi="宋体" w:cs="宋体"/>
      <w:kern w:val="0"/>
      <w:sz w:val="20"/>
      <w:szCs w:val="20"/>
    </w:rPr>
  </w:style>
  <w:style w:type="paragraph" w:customStyle="1" w:styleId="1ffffff2">
    <w:name w:val="表内文字小1"/>
    <w:basedOn w:val="a"/>
    <w:qFormat/>
    <w:pPr>
      <w:widowControl/>
      <w:jc w:val="center"/>
    </w:pPr>
    <w:rPr>
      <w:rFonts w:ascii="宋体" w:hAnsi="Times" w:cs="宋体"/>
      <w:kern w:val="0"/>
      <w:szCs w:val="20"/>
    </w:rPr>
  </w:style>
  <w:style w:type="paragraph" w:customStyle="1" w:styleId="31111">
    <w:name w:val="表内文字小31111"/>
    <w:basedOn w:val="a"/>
    <w:qFormat/>
    <w:pPr>
      <w:widowControl/>
      <w:jc w:val="center"/>
    </w:pPr>
    <w:rPr>
      <w:rFonts w:ascii="宋体" w:hAnsi="Times" w:cs="宋体"/>
      <w:bCs/>
      <w:color w:val="003366"/>
      <w:kern w:val="0"/>
      <w:szCs w:val="20"/>
    </w:rPr>
  </w:style>
  <w:style w:type="paragraph" w:customStyle="1" w:styleId="1140">
    <w:name w:val="燕山正文114"/>
    <w:basedOn w:val="a"/>
    <w:qFormat/>
    <w:pPr>
      <w:widowControl/>
      <w:tabs>
        <w:tab w:val="left" w:pos="4680"/>
      </w:tabs>
      <w:spacing w:line="480" w:lineRule="exact"/>
      <w:jc w:val="left"/>
    </w:pPr>
    <w:rPr>
      <w:rFonts w:ascii="宋体" w:hAnsi="宋体" w:cs="宋体"/>
      <w:bCs/>
      <w:color w:val="000000"/>
      <w:kern w:val="0"/>
    </w:rPr>
  </w:style>
  <w:style w:type="paragraph" w:customStyle="1" w:styleId="1123">
    <w:name w:val="燕山正文1123"/>
    <w:basedOn w:val="a"/>
    <w:qFormat/>
    <w:pPr>
      <w:widowControl/>
      <w:tabs>
        <w:tab w:val="left" w:pos="4680"/>
      </w:tabs>
      <w:spacing w:line="480" w:lineRule="exact"/>
      <w:jc w:val="left"/>
    </w:pPr>
    <w:rPr>
      <w:rFonts w:ascii="宋体" w:hAnsi="宋体" w:cs="宋体"/>
      <w:bCs/>
      <w:color w:val="000000"/>
      <w:kern w:val="0"/>
    </w:rPr>
  </w:style>
  <w:style w:type="paragraph" w:customStyle="1" w:styleId="Char243">
    <w:name w:val="Char24"/>
    <w:basedOn w:val="a"/>
    <w:qFormat/>
    <w:pPr>
      <w:widowControl/>
      <w:ind w:left="-48"/>
      <w:jc w:val="left"/>
    </w:pPr>
    <w:rPr>
      <w:rFonts w:ascii="宋体" w:hAnsi="宋体" w:cs="宋体"/>
      <w:kern w:val="0"/>
    </w:rPr>
  </w:style>
  <w:style w:type="paragraph" w:customStyle="1" w:styleId="2310">
    <w:name w:val="表内文字小231"/>
    <w:basedOn w:val="a"/>
    <w:qFormat/>
    <w:pPr>
      <w:widowControl/>
      <w:jc w:val="center"/>
    </w:pPr>
    <w:rPr>
      <w:rFonts w:ascii="宋体" w:hAnsi="Times" w:cs="宋体"/>
      <w:bCs/>
      <w:color w:val="000000"/>
      <w:kern w:val="0"/>
      <w:szCs w:val="20"/>
    </w:rPr>
  </w:style>
  <w:style w:type="paragraph" w:customStyle="1" w:styleId="Char730">
    <w:name w:val="Char73"/>
    <w:basedOn w:val="a"/>
    <w:qFormat/>
    <w:pPr>
      <w:widowControl/>
      <w:ind w:left="-48"/>
      <w:jc w:val="left"/>
    </w:pPr>
    <w:rPr>
      <w:rFonts w:ascii="宋体" w:hAnsi="宋体" w:cs="宋体"/>
      <w:kern w:val="0"/>
    </w:rPr>
  </w:style>
  <w:style w:type="paragraph" w:customStyle="1" w:styleId="43113">
    <w:name w:val="标题43113"/>
    <w:basedOn w:val="a"/>
    <w:qFormat/>
    <w:pPr>
      <w:widowControl/>
      <w:spacing w:line="480" w:lineRule="exact"/>
      <w:jc w:val="center"/>
    </w:pPr>
    <w:rPr>
      <w:rFonts w:ascii="宋体" w:hAnsi="宋体" w:cs="宋体"/>
      <w:kern w:val="0"/>
    </w:rPr>
  </w:style>
  <w:style w:type="paragraph" w:customStyle="1" w:styleId="Char224">
    <w:name w:val="Char224"/>
    <w:basedOn w:val="a"/>
    <w:qFormat/>
    <w:pPr>
      <w:widowControl/>
      <w:ind w:left="-48"/>
      <w:jc w:val="left"/>
    </w:pPr>
    <w:rPr>
      <w:rFonts w:ascii="宋体" w:hAnsi="宋体" w:cs="宋体"/>
      <w:kern w:val="0"/>
    </w:rPr>
  </w:style>
  <w:style w:type="paragraph" w:customStyle="1" w:styleId="CharCharCharChar1CharCharChar26">
    <w:name w:val="Char Char Char Char1 Char Char Char26"/>
    <w:basedOn w:val="a"/>
    <w:qFormat/>
    <w:pPr>
      <w:widowControl/>
      <w:spacing w:after="160" w:line="240" w:lineRule="exact"/>
      <w:jc w:val="left"/>
    </w:pPr>
    <w:rPr>
      <w:rFonts w:ascii="Verdana" w:hAnsi="Verdana" w:cs="宋体"/>
      <w:kern w:val="0"/>
      <w:sz w:val="20"/>
      <w:szCs w:val="20"/>
      <w:lang w:eastAsia="en-US"/>
    </w:rPr>
  </w:style>
  <w:style w:type="paragraph" w:customStyle="1" w:styleId="Char11310">
    <w:name w:val="Char1131"/>
    <w:basedOn w:val="a"/>
    <w:qFormat/>
    <w:pPr>
      <w:widowControl/>
      <w:ind w:left="-48"/>
      <w:jc w:val="left"/>
    </w:pPr>
    <w:rPr>
      <w:rFonts w:ascii="宋体" w:hAnsi="宋体" w:cs="宋体"/>
      <w:kern w:val="0"/>
    </w:rPr>
  </w:style>
  <w:style w:type="paragraph" w:customStyle="1" w:styleId="233">
    <w:name w:val="黑体三号23"/>
    <w:basedOn w:val="affff4"/>
    <w:qFormat/>
    <w:pPr>
      <w:jc w:val="center"/>
    </w:pPr>
    <w:rPr>
      <w:rFonts w:ascii="黑体" w:eastAsia="黑体" w:hAnsi="宋体" w:cs="宋体"/>
      <w:b/>
      <w:bCs/>
      <w:sz w:val="32"/>
      <w:szCs w:val="20"/>
    </w:rPr>
  </w:style>
  <w:style w:type="paragraph" w:customStyle="1" w:styleId="1311">
    <w:name w:val="燕山正文1311"/>
    <w:basedOn w:val="a"/>
    <w:qFormat/>
    <w:pPr>
      <w:widowControl/>
      <w:tabs>
        <w:tab w:val="left" w:pos="4680"/>
      </w:tabs>
      <w:jc w:val="left"/>
    </w:pPr>
    <w:rPr>
      <w:rFonts w:ascii="宋体" w:hAnsi="宋体" w:cs="宋体"/>
      <w:bCs/>
      <w:color w:val="000000"/>
      <w:kern w:val="0"/>
    </w:rPr>
  </w:style>
  <w:style w:type="paragraph" w:customStyle="1" w:styleId="Char182">
    <w:name w:val="Char18"/>
    <w:basedOn w:val="a"/>
    <w:qFormat/>
    <w:pPr>
      <w:widowControl/>
      <w:ind w:left="-48"/>
      <w:jc w:val="left"/>
    </w:pPr>
    <w:rPr>
      <w:rFonts w:ascii="宋体" w:hAnsi="宋体" w:cs="宋体"/>
      <w:kern w:val="0"/>
    </w:rPr>
  </w:style>
  <w:style w:type="paragraph" w:customStyle="1" w:styleId="2ffffc">
    <w:name w:val="正文缩2"/>
    <w:basedOn w:val="a"/>
    <w:qFormat/>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11120">
    <w:name w:val="燕山正文1112"/>
    <w:basedOn w:val="a"/>
    <w:pPr>
      <w:widowControl/>
      <w:tabs>
        <w:tab w:val="left" w:pos="4680"/>
      </w:tabs>
      <w:spacing w:line="480" w:lineRule="exact"/>
      <w:jc w:val="left"/>
    </w:pPr>
    <w:rPr>
      <w:rFonts w:ascii="宋体" w:hAnsi="宋体" w:cs="宋体"/>
      <w:bCs/>
      <w:color w:val="000000"/>
      <w:kern w:val="0"/>
    </w:rPr>
  </w:style>
  <w:style w:type="paragraph" w:customStyle="1" w:styleId="6a">
    <w:name w:val="黑体三号6"/>
    <w:basedOn w:val="affff4"/>
    <w:qFormat/>
    <w:pPr>
      <w:jc w:val="center"/>
    </w:pPr>
    <w:rPr>
      <w:rFonts w:ascii="黑体" w:eastAsia="黑体" w:hAnsi="宋体" w:cs="宋体"/>
      <w:b/>
      <w:bCs/>
      <w:sz w:val="32"/>
      <w:szCs w:val="20"/>
    </w:rPr>
  </w:style>
  <w:style w:type="paragraph" w:customStyle="1" w:styleId="1212">
    <w:name w:val="样式1212"/>
    <w:basedOn w:val="314"/>
    <w:qFormat/>
    <w:pPr>
      <w:spacing w:line="240" w:lineRule="auto"/>
      <w:ind w:firstLine="0"/>
      <w:jc w:val="center"/>
    </w:pPr>
    <w:rPr>
      <w:rFonts w:cs="Times New Roman"/>
      <w:b/>
      <w:color w:val="auto"/>
      <w:szCs w:val="20"/>
    </w:rPr>
  </w:style>
  <w:style w:type="paragraph" w:customStyle="1" w:styleId="Char103">
    <w:name w:val="Char10"/>
    <w:basedOn w:val="a"/>
    <w:qFormat/>
    <w:pPr>
      <w:widowControl/>
      <w:jc w:val="left"/>
    </w:pPr>
    <w:rPr>
      <w:rFonts w:ascii="宋体" w:hAnsi="宋体" w:cs="宋体"/>
      <w:kern w:val="0"/>
    </w:rPr>
  </w:style>
  <w:style w:type="paragraph" w:customStyle="1" w:styleId="5415">
    <w:name w:val="表内5415"/>
    <w:basedOn w:val="a"/>
    <w:qFormat/>
    <w:pPr>
      <w:widowControl/>
      <w:spacing w:line="300" w:lineRule="auto"/>
      <w:jc w:val="center"/>
    </w:pPr>
    <w:rPr>
      <w:rFonts w:ascii="宋体" w:hAnsi="宋体" w:cs="宋体"/>
      <w:kern w:val="0"/>
      <w:szCs w:val="20"/>
    </w:rPr>
  </w:style>
  <w:style w:type="paragraph" w:customStyle="1" w:styleId="21f">
    <w:name w:val="样式21"/>
    <w:basedOn w:val="a"/>
    <w:qFormat/>
    <w:pPr>
      <w:widowControl/>
      <w:jc w:val="center"/>
      <w:textAlignment w:val="baseline"/>
      <w:outlineLvl w:val="0"/>
    </w:pPr>
    <w:rPr>
      <w:rFonts w:ascii="宋体" w:hAnsi="宋体" w:cs="宋体"/>
      <w:kern w:val="0"/>
      <w:szCs w:val="20"/>
    </w:rPr>
  </w:style>
  <w:style w:type="paragraph" w:customStyle="1" w:styleId="ParaCharCharCharChar53">
    <w:name w:val="默认段落字体 Para Char Char Char Char53"/>
    <w:basedOn w:val="a"/>
    <w:qFormat/>
    <w:pPr>
      <w:widowControl/>
      <w:jc w:val="left"/>
    </w:pPr>
    <w:rPr>
      <w:rFonts w:ascii="宋体" w:hAnsi="宋体" w:cs="宋体"/>
      <w:kern w:val="0"/>
    </w:rPr>
  </w:style>
  <w:style w:type="paragraph" w:customStyle="1" w:styleId="3160">
    <w:name w:val="表内文字小316"/>
    <w:basedOn w:val="a"/>
    <w:qFormat/>
    <w:pPr>
      <w:widowControl/>
      <w:jc w:val="center"/>
    </w:pPr>
    <w:rPr>
      <w:rFonts w:ascii="宋体" w:hAnsi="Times" w:cs="宋体"/>
      <w:bCs/>
      <w:color w:val="003366"/>
      <w:kern w:val="0"/>
      <w:szCs w:val="20"/>
    </w:rPr>
  </w:style>
  <w:style w:type="paragraph" w:customStyle="1" w:styleId="1132">
    <w:name w:val="表中文字113"/>
    <w:basedOn w:val="a"/>
    <w:qFormat/>
    <w:pPr>
      <w:widowControl/>
      <w:spacing w:line="240" w:lineRule="atLeast"/>
      <w:ind w:leftChars="-10" w:left="-24" w:rightChars="-20" w:right="-48"/>
      <w:jc w:val="center"/>
    </w:pPr>
    <w:rPr>
      <w:rFonts w:ascii="宋体" w:hAnsi="宋体" w:cs="宋体"/>
      <w:kern w:val="0"/>
      <w:szCs w:val="21"/>
    </w:rPr>
  </w:style>
  <w:style w:type="paragraph" w:customStyle="1" w:styleId="432">
    <w:name w:val="正文格式＝43"/>
    <w:basedOn w:val="affff4"/>
    <w:next w:val="affff4"/>
    <w:qFormat/>
    <w:rPr>
      <w:rFonts w:hAnsi="宋体"/>
      <w:szCs w:val="24"/>
    </w:rPr>
  </w:style>
  <w:style w:type="paragraph" w:customStyle="1" w:styleId="CharCharCharCharCharCharChar26">
    <w:name w:val="Char Char Char Char Char Char Char26"/>
    <w:basedOn w:val="a"/>
    <w:qFormat/>
    <w:pPr>
      <w:widowControl/>
      <w:jc w:val="left"/>
    </w:pPr>
    <w:rPr>
      <w:rFonts w:ascii="宋体" w:hAnsi="宋体" w:cs="宋体"/>
      <w:kern w:val="0"/>
    </w:rPr>
  </w:style>
  <w:style w:type="paragraph" w:customStyle="1" w:styleId="21f0">
    <w:name w:val="正文格式＝21"/>
    <w:basedOn w:val="affff4"/>
    <w:next w:val="affff4"/>
    <w:qFormat/>
    <w:rPr>
      <w:rFonts w:hAnsi="宋体"/>
      <w:szCs w:val="24"/>
    </w:rPr>
  </w:style>
  <w:style w:type="paragraph" w:customStyle="1" w:styleId="5130">
    <w:name w:val="表内宋513"/>
    <w:basedOn w:val="5f5"/>
    <w:qFormat/>
    <w:pPr>
      <w:autoSpaceDE w:val="0"/>
      <w:autoSpaceDN w:val="0"/>
      <w:textAlignment w:val="auto"/>
    </w:pPr>
    <w:rPr>
      <w:color w:val="auto"/>
      <w:w w:val="90"/>
    </w:rPr>
  </w:style>
  <w:style w:type="paragraph" w:customStyle="1" w:styleId="Char622">
    <w:name w:val="Char62"/>
    <w:basedOn w:val="a"/>
    <w:qFormat/>
    <w:pPr>
      <w:widowControl/>
      <w:spacing w:before="156"/>
      <w:jc w:val="left"/>
    </w:pPr>
    <w:rPr>
      <w:rFonts w:ascii="黑体" w:eastAsia="黑体" w:hAnsi="宋体" w:cs="宋体"/>
      <w:kern w:val="0"/>
      <w:sz w:val="32"/>
      <w:szCs w:val="32"/>
    </w:rPr>
  </w:style>
  <w:style w:type="paragraph" w:customStyle="1" w:styleId="FaxHeader">
    <w:name w:val="Fax Header"/>
    <w:basedOn w:val="a"/>
    <w:qFormat/>
    <w:pPr>
      <w:widowControl/>
      <w:spacing w:before="240" w:after="60"/>
      <w:jc w:val="left"/>
    </w:pPr>
    <w:rPr>
      <w:rFonts w:ascii="宋体" w:hAnsi="宋体" w:cs="宋体"/>
      <w:kern w:val="0"/>
      <w:sz w:val="20"/>
      <w:szCs w:val="20"/>
    </w:rPr>
  </w:style>
  <w:style w:type="paragraph" w:customStyle="1" w:styleId="234">
    <w:name w:val="表23"/>
    <w:basedOn w:val="a"/>
    <w:qFormat/>
    <w:pPr>
      <w:widowControl/>
      <w:jc w:val="center"/>
    </w:pPr>
    <w:rPr>
      <w:rFonts w:ascii="宋体" w:hAnsi="宋体" w:cs="宋体"/>
      <w:kern w:val="0"/>
    </w:rPr>
  </w:style>
  <w:style w:type="paragraph" w:customStyle="1" w:styleId="21f1">
    <w:name w:val="标准21"/>
    <w:basedOn w:val="a"/>
    <w:qFormat/>
    <w:pPr>
      <w:widowControl/>
      <w:spacing w:before="120" w:line="336" w:lineRule="auto"/>
      <w:jc w:val="center"/>
      <w:textAlignment w:val="baseline"/>
    </w:pPr>
    <w:rPr>
      <w:rFonts w:ascii="黑体" w:eastAsia="黑体" w:hAnsi="宋体" w:cs="宋体"/>
      <w:kern w:val="0"/>
      <w:szCs w:val="20"/>
    </w:rPr>
  </w:style>
  <w:style w:type="paragraph" w:customStyle="1" w:styleId="31211">
    <w:name w:val="表题3121"/>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CharCharCharCharCharCharChar17">
    <w:name w:val="Char Char Char Char Char Char Char17"/>
    <w:basedOn w:val="a"/>
    <w:pPr>
      <w:widowControl/>
      <w:jc w:val="left"/>
    </w:pPr>
    <w:rPr>
      <w:rFonts w:ascii="宋体" w:hAnsi="宋体" w:cs="宋体"/>
      <w:kern w:val="0"/>
    </w:rPr>
  </w:style>
  <w:style w:type="paragraph" w:customStyle="1" w:styleId="593">
    <w:name w:val="表内593"/>
    <w:basedOn w:val="a"/>
    <w:qFormat/>
    <w:pPr>
      <w:widowControl/>
      <w:spacing w:line="300" w:lineRule="auto"/>
      <w:jc w:val="center"/>
    </w:pPr>
    <w:rPr>
      <w:rFonts w:ascii="宋体" w:hAnsi="宋体" w:cs="宋体"/>
      <w:snapToGrid w:val="0"/>
      <w:kern w:val="0"/>
      <w:szCs w:val="21"/>
    </w:rPr>
  </w:style>
  <w:style w:type="paragraph" w:customStyle="1" w:styleId="Char1611">
    <w:name w:val="Char161"/>
    <w:basedOn w:val="a"/>
    <w:qFormat/>
    <w:pPr>
      <w:widowControl/>
      <w:ind w:left="-48"/>
      <w:jc w:val="left"/>
    </w:pPr>
    <w:rPr>
      <w:rFonts w:ascii="宋体" w:hAnsi="宋体" w:cs="宋体"/>
      <w:kern w:val="0"/>
    </w:rPr>
  </w:style>
  <w:style w:type="paragraph" w:customStyle="1" w:styleId="CharCharCharCharCharCharChar214">
    <w:name w:val="Char Char Char Char Char Char Char214"/>
    <w:basedOn w:val="a"/>
    <w:qFormat/>
    <w:pPr>
      <w:widowControl/>
      <w:jc w:val="left"/>
    </w:pPr>
    <w:rPr>
      <w:rFonts w:ascii="宋体" w:hAnsi="宋体" w:cs="宋体"/>
      <w:kern w:val="0"/>
    </w:rPr>
  </w:style>
  <w:style w:type="paragraph" w:customStyle="1" w:styleId="3ff9">
    <w:name w:val="表内文字小3"/>
    <w:basedOn w:val="a"/>
    <w:qFormat/>
    <w:pPr>
      <w:widowControl/>
      <w:jc w:val="center"/>
    </w:pPr>
    <w:rPr>
      <w:rFonts w:ascii="宋体" w:hAnsi="Times" w:cs="宋体"/>
      <w:kern w:val="0"/>
      <w:szCs w:val="20"/>
    </w:rPr>
  </w:style>
  <w:style w:type="paragraph" w:customStyle="1" w:styleId="51120">
    <w:name w:val="表内宋5中112"/>
    <w:basedOn w:val="a"/>
    <w:qFormat/>
    <w:pPr>
      <w:widowControl/>
      <w:jc w:val="center"/>
      <w:textAlignment w:val="baseline"/>
    </w:pPr>
    <w:rPr>
      <w:rFonts w:ascii="宋体" w:hAnsi="宋体" w:cs="宋体"/>
      <w:kern w:val="0"/>
      <w:szCs w:val="20"/>
    </w:rPr>
  </w:style>
  <w:style w:type="paragraph" w:customStyle="1" w:styleId="5312">
    <w:name w:val="表内5中31"/>
    <w:basedOn w:val="a"/>
    <w:qFormat/>
    <w:pPr>
      <w:widowControl/>
      <w:jc w:val="center"/>
    </w:pPr>
    <w:rPr>
      <w:rFonts w:ascii="宋体" w:hAnsi="宋体" w:cs="Arial"/>
      <w:snapToGrid w:val="0"/>
      <w:color w:val="000000"/>
      <w:kern w:val="0"/>
      <w:szCs w:val="21"/>
    </w:rPr>
  </w:style>
  <w:style w:type="paragraph" w:customStyle="1" w:styleId="518">
    <w:name w:val="表中文字51"/>
    <w:basedOn w:val="a"/>
    <w:qFormat/>
    <w:pPr>
      <w:widowControl/>
      <w:spacing w:line="240" w:lineRule="atLeast"/>
      <w:ind w:leftChars="-10" w:left="-24" w:rightChars="-20" w:right="-48"/>
      <w:jc w:val="center"/>
    </w:pPr>
    <w:rPr>
      <w:rFonts w:ascii="宋体" w:hAnsi="宋体" w:cs="宋体"/>
      <w:kern w:val="0"/>
      <w:szCs w:val="21"/>
    </w:rPr>
  </w:style>
  <w:style w:type="paragraph" w:customStyle="1" w:styleId="2112">
    <w:name w:val="表题2112"/>
    <w:basedOn w:val="a"/>
    <w:qFormat/>
    <w:pPr>
      <w:widowControl/>
      <w:jc w:val="center"/>
    </w:pPr>
    <w:rPr>
      <w:rFonts w:ascii="黑体" w:eastAsia="黑体" w:hAnsi="宋体" w:cs="宋体"/>
      <w:kern w:val="0"/>
    </w:rPr>
  </w:style>
  <w:style w:type="paragraph" w:customStyle="1" w:styleId="ParaCharCharCharCharChar3">
    <w:name w:val="默认段落字体 Para Char Char Char Char Char3"/>
    <w:basedOn w:val="a"/>
    <w:qFormat/>
    <w:pPr>
      <w:widowControl/>
      <w:jc w:val="left"/>
    </w:pPr>
    <w:rPr>
      <w:rFonts w:ascii="宋体" w:hAnsi="宋体" w:cs="宋体"/>
      <w:kern w:val="0"/>
    </w:rPr>
  </w:style>
  <w:style w:type="paragraph" w:customStyle="1" w:styleId="CharChar2CharCharCharChar21">
    <w:name w:val="Char Char2 Char Char Char Char21"/>
    <w:basedOn w:val="a"/>
    <w:qFormat/>
    <w:pPr>
      <w:widowControl/>
      <w:jc w:val="left"/>
    </w:pPr>
    <w:rPr>
      <w:rFonts w:ascii="宋体" w:hAnsi="宋体" w:cs="宋体"/>
      <w:kern w:val="0"/>
    </w:rPr>
  </w:style>
  <w:style w:type="paragraph" w:customStyle="1" w:styleId="541311">
    <w:name w:val="表内541311"/>
    <w:basedOn w:val="a"/>
    <w:qFormat/>
    <w:pPr>
      <w:widowControl/>
      <w:spacing w:line="300" w:lineRule="auto"/>
      <w:jc w:val="center"/>
    </w:pPr>
    <w:rPr>
      <w:rFonts w:ascii="宋体" w:hAnsi="宋体" w:cs="宋体"/>
      <w:kern w:val="0"/>
      <w:szCs w:val="20"/>
    </w:rPr>
  </w:style>
  <w:style w:type="paragraph" w:customStyle="1" w:styleId="11110">
    <w:name w:val="附件1111"/>
    <w:basedOn w:val="1"/>
    <w:next w:val="affff4"/>
    <w:pPr>
      <w:numPr>
        <w:numId w:val="0"/>
      </w:numPr>
      <w:adjustRightInd/>
      <w:snapToGrid/>
      <w:spacing w:after="210"/>
      <w:jc w:val="left"/>
    </w:pPr>
    <w:rPr>
      <w:rFonts w:ascii="黑体" w:eastAsia="黑体"/>
      <w:b w:val="0"/>
      <w:sz w:val="32"/>
      <w:szCs w:val="32"/>
      <w:lang w:val="zh-CN"/>
    </w:rPr>
  </w:style>
  <w:style w:type="paragraph" w:customStyle="1" w:styleId="2ffffd">
    <w:name w:val="正文斜体2"/>
    <w:basedOn w:val="affff4"/>
    <w:next w:val="affff4"/>
    <w:qFormat/>
    <w:rPr>
      <w:rFonts w:hAnsi="宋体"/>
      <w:i/>
      <w:iCs/>
      <w:szCs w:val="24"/>
    </w:rPr>
  </w:style>
  <w:style w:type="paragraph" w:customStyle="1" w:styleId="138">
    <w:name w:val="样式 表格内字体1 +3"/>
    <w:basedOn w:val="1ffffff"/>
    <w:next w:val="affffff1"/>
    <w:qFormat/>
    <w:rPr>
      <w:rFonts w:hAnsi="Times New Roman" w:cs="宋体"/>
      <w:szCs w:val="20"/>
    </w:rPr>
  </w:style>
  <w:style w:type="paragraph" w:customStyle="1" w:styleId="1ffffff3">
    <w:name w:val="标准1"/>
    <w:basedOn w:val="a"/>
    <w:qFormat/>
    <w:pPr>
      <w:widowControl/>
      <w:spacing w:before="120" w:line="336" w:lineRule="auto"/>
      <w:jc w:val="center"/>
      <w:textAlignment w:val="baseline"/>
    </w:pPr>
    <w:rPr>
      <w:rFonts w:ascii="黑体" w:eastAsia="黑体" w:hAnsi="宋体" w:cs="宋体"/>
      <w:kern w:val="0"/>
      <w:szCs w:val="20"/>
    </w:rPr>
  </w:style>
  <w:style w:type="paragraph" w:customStyle="1" w:styleId="433">
    <w:name w:val="标题43"/>
    <w:basedOn w:val="a"/>
    <w:qFormat/>
    <w:pPr>
      <w:widowControl/>
      <w:spacing w:line="300" w:lineRule="auto"/>
      <w:jc w:val="left"/>
    </w:pPr>
    <w:rPr>
      <w:rFonts w:ascii="黑体" w:eastAsia="黑体" w:hAnsi="宋体" w:cs="宋体"/>
      <w:bCs/>
      <w:kern w:val="0"/>
    </w:rPr>
  </w:style>
  <w:style w:type="paragraph" w:customStyle="1" w:styleId="21111">
    <w:name w:val="表内文字小21111"/>
    <w:basedOn w:val="a"/>
    <w:qFormat/>
    <w:pPr>
      <w:widowControl/>
      <w:jc w:val="center"/>
    </w:pPr>
    <w:rPr>
      <w:rFonts w:ascii="宋体" w:hAnsi="Times" w:cs="宋体"/>
      <w:bCs/>
      <w:color w:val="000000"/>
      <w:kern w:val="0"/>
      <w:szCs w:val="20"/>
    </w:rPr>
  </w:style>
  <w:style w:type="paragraph" w:customStyle="1" w:styleId="Char13a">
    <w:name w:val="Char13"/>
    <w:basedOn w:val="a"/>
    <w:qFormat/>
    <w:pPr>
      <w:widowControl/>
      <w:ind w:left="-48"/>
      <w:jc w:val="left"/>
    </w:pPr>
    <w:rPr>
      <w:rFonts w:ascii="宋体" w:hAnsi="宋体" w:cs="宋体"/>
      <w:kern w:val="0"/>
    </w:rPr>
  </w:style>
  <w:style w:type="paragraph" w:customStyle="1" w:styleId="541112">
    <w:name w:val="表内541112"/>
    <w:basedOn w:val="a"/>
    <w:qFormat/>
    <w:pPr>
      <w:widowControl/>
      <w:spacing w:line="300" w:lineRule="auto"/>
      <w:jc w:val="center"/>
    </w:pPr>
    <w:rPr>
      <w:rFonts w:ascii="宋体" w:hAnsi="宋体" w:cs="宋体"/>
      <w:kern w:val="0"/>
      <w:szCs w:val="20"/>
    </w:rPr>
  </w:style>
  <w:style w:type="paragraph" w:customStyle="1" w:styleId="4f8">
    <w:name w:val="文本框4"/>
    <w:basedOn w:val="a"/>
    <w:qFormat/>
    <w:pPr>
      <w:widowControl/>
      <w:spacing w:after="6"/>
      <w:jc w:val="center"/>
    </w:pPr>
    <w:rPr>
      <w:rFonts w:ascii="宋体" w:hAnsi="宋体" w:cs="宋体"/>
      <w:kern w:val="0"/>
    </w:rPr>
  </w:style>
  <w:style w:type="paragraph" w:customStyle="1" w:styleId="CharCharCharCharCharCharChar7">
    <w:name w:val="Char Char Char Char Char Char Char7"/>
    <w:basedOn w:val="a"/>
    <w:qFormat/>
    <w:pPr>
      <w:widowControl/>
      <w:jc w:val="left"/>
    </w:pPr>
    <w:rPr>
      <w:rFonts w:ascii="宋体" w:hAnsi="宋体" w:cs="宋体"/>
      <w:kern w:val="0"/>
    </w:rPr>
  </w:style>
  <w:style w:type="paragraph" w:customStyle="1" w:styleId="1133">
    <w:name w:val="正文格式＝113"/>
    <w:basedOn w:val="affff4"/>
    <w:next w:val="affff4"/>
    <w:qFormat/>
    <w:rPr>
      <w:rFonts w:hAnsi="宋体"/>
      <w:szCs w:val="24"/>
    </w:rPr>
  </w:style>
  <w:style w:type="paragraph" w:customStyle="1" w:styleId="CharCharCharChar1CharCharChar111">
    <w:name w:val="Char Char Char Char1 Char Char Char111"/>
    <w:basedOn w:val="a"/>
    <w:qFormat/>
    <w:pPr>
      <w:widowControl/>
      <w:spacing w:after="160" w:line="240" w:lineRule="exact"/>
      <w:jc w:val="left"/>
    </w:pPr>
    <w:rPr>
      <w:rFonts w:ascii="Verdana" w:hAnsi="Verdana" w:cs="宋体"/>
      <w:kern w:val="0"/>
      <w:sz w:val="20"/>
      <w:szCs w:val="20"/>
      <w:lang w:eastAsia="en-US"/>
    </w:rPr>
  </w:style>
  <w:style w:type="paragraph" w:customStyle="1" w:styleId="31b">
    <w:name w:val="正文修改31"/>
    <w:basedOn w:val="affffe"/>
    <w:qFormat/>
    <w:rPr>
      <w:rFonts w:eastAsia="宋体" w:hAnsi="宋体" w:cs="宋体"/>
      <w:color w:val="000000"/>
      <w:szCs w:val="24"/>
    </w:rPr>
  </w:style>
  <w:style w:type="paragraph" w:customStyle="1" w:styleId="4130">
    <w:name w:val="表题413"/>
    <w:basedOn w:val="1fa"/>
    <w:qFormat/>
    <w:pPr>
      <w:widowControl/>
      <w:tabs>
        <w:tab w:val="left" w:pos="4305"/>
      </w:tabs>
      <w:spacing w:after="0" w:line="240" w:lineRule="auto"/>
      <w:ind w:leftChars="0" w:left="0" w:firstLineChars="0" w:firstLine="0"/>
      <w:jc w:val="center"/>
    </w:pPr>
    <w:rPr>
      <w:rFonts w:ascii="宋体" w:hAnsi="宋体" w:cs="宋体"/>
      <w:color w:val="000000"/>
      <w:sz w:val="24"/>
      <w:szCs w:val="24"/>
    </w:rPr>
  </w:style>
  <w:style w:type="paragraph" w:customStyle="1" w:styleId="1124">
    <w:name w:val="表中文字112"/>
    <w:basedOn w:val="a"/>
    <w:qFormat/>
    <w:pPr>
      <w:widowControl/>
      <w:spacing w:line="240" w:lineRule="atLeast"/>
      <w:ind w:leftChars="-10" w:left="-24" w:rightChars="-20" w:right="-48"/>
      <w:jc w:val="center"/>
    </w:pPr>
    <w:rPr>
      <w:rFonts w:ascii="宋体" w:hAnsi="宋体" w:cs="宋体"/>
      <w:kern w:val="0"/>
      <w:szCs w:val="21"/>
    </w:rPr>
  </w:style>
  <w:style w:type="paragraph" w:customStyle="1" w:styleId="1160">
    <w:name w:val="燕山正文116"/>
    <w:basedOn w:val="a"/>
    <w:qFormat/>
    <w:pPr>
      <w:widowControl/>
      <w:tabs>
        <w:tab w:val="left" w:pos="4680"/>
      </w:tabs>
      <w:spacing w:line="480" w:lineRule="exact"/>
      <w:jc w:val="left"/>
    </w:pPr>
    <w:rPr>
      <w:rFonts w:ascii="宋体" w:hAnsi="宋体" w:cs="宋体"/>
      <w:bCs/>
      <w:color w:val="000000"/>
      <w:kern w:val="0"/>
    </w:rPr>
  </w:style>
  <w:style w:type="paragraph" w:customStyle="1" w:styleId="2114">
    <w:name w:val="表211"/>
    <w:basedOn w:val="a"/>
    <w:qFormat/>
    <w:pPr>
      <w:widowControl/>
      <w:jc w:val="center"/>
    </w:pPr>
    <w:rPr>
      <w:rFonts w:ascii="宋体" w:hAnsi="宋体" w:cs="宋体"/>
      <w:kern w:val="0"/>
    </w:rPr>
  </w:style>
  <w:style w:type="paragraph" w:customStyle="1" w:styleId="11e">
    <w:name w:val="正文斜体11"/>
    <w:basedOn w:val="affff4"/>
    <w:next w:val="affff4"/>
    <w:qFormat/>
    <w:rPr>
      <w:rFonts w:hAnsi="宋体"/>
      <w:i/>
      <w:iCs/>
      <w:szCs w:val="24"/>
    </w:rPr>
  </w:style>
  <w:style w:type="paragraph" w:customStyle="1" w:styleId="31120">
    <w:name w:val="表内文字小3112"/>
    <w:basedOn w:val="a"/>
    <w:qFormat/>
    <w:pPr>
      <w:widowControl/>
      <w:jc w:val="center"/>
    </w:pPr>
    <w:rPr>
      <w:rFonts w:ascii="宋体" w:hAnsi="Times" w:cs="宋体"/>
      <w:bCs/>
      <w:color w:val="003366"/>
      <w:kern w:val="0"/>
      <w:szCs w:val="20"/>
    </w:rPr>
  </w:style>
  <w:style w:type="paragraph" w:customStyle="1" w:styleId="541211">
    <w:name w:val="表内541211"/>
    <w:basedOn w:val="a"/>
    <w:qFormat/>
    <w:pPr>
      <w:widowControl/>
      <w:spacing w:line="300" w:lineRule="auto"/>
      <w:jc w:val="center"/>
    </w:pPr>
    <w:rPr>
      <w:rFonts w:ascii="宋体" w:hAnsi="宋体" w:cs="宋体"/>
      <w:kern w:val="0"/>
      <w:szCs w:val="20"/>
    </w:rPr>
  </w:style>
  <w:style w:type="paragraph" w:customStyle="1" w:styleId="414H4H4141H42H4111424">
    <w:name w:val="样式 标题 4无效格式无效格式1河石管道4H4H41小小节河石管道41H42H411小小节1河石管道42...4"/>
    <w:basedOn w:val="4"/>
    <w:qFormat/>
    <w:pPr>
      <w:numPr>
        <w:ilvl w:val="0"/>
        <w:numId w:val="0"/>
      </w:numPr>
      <w:spacing w:after="0" w:line="360" w:lineRule="auto"/>
      <w:ind w:left="664" w:hanging="864"/>
    </w:pPr>
    <w:rPr>
      <w:rFonts w:ascii="黑体" w:eastAsia="黑体" w:hAnsi="Arial" w:cs="Times New Roman"/>
      <w:b w:val="0"/>
      <w:bCs w:val="0"/>
      <w:kern w:val="2"/>
      <w:sz w:val="24"/>
      <w:szCs w:val="24"/>
    </w:rPr>
  </w:style>
  <w:style w:type="paragraph" w:customStyle="1" w:styleId="Char700">
    <w:name w:val="Char70"/>
    <w:basedOn w:val="a"/>
    <w:qFormat/>
    <w:pPr>
      <w:widowControl/>
      <w:ind w:left="-48"/>
      <w:jc w:val="left"/>
    </w:pPr>
    <w:rPr>
      <w:rFonts w:ascii="宋体" w:hAnsi="宋体" w:cs="宋体"/>
      <w:kern w:val="0"/>
    </w:rPr>
  </w:style>
  <w:style w:type="paragraph" w:customStyle="1" w:styleId="129">
    <w:name w:val="图表名称12"/>
    <w:basedOn w:val="1f3"/>
    <w:qFormat/>
    <w:pPr>
      <w:spacing w:after="0" w:line="480" w:lineRule="exact"/>
      <w:ind w:firstLineChars="0" w:firstLine="0"/>
      <w:jc w:val="center"/>
    </w:pPr>
    <w:rPr>
      <w:rFonts w:ascii="宋体" w:hAnsi="宋体"/>
      <w:bCs/>
      <w:szCs w:val="24"/>
    </w:rPr>
  </w:style>
  <w:style w:type="paragraph" w:customStyle="1" w:styleId="c3">
    <w:name w:val="c3"/>
    <w:qFormat/>
    <w:pPr>
      <w:widowControl w:val="0"/>
      <w:autoSpaceDE w:val="0"/>
      <w:autoSpaceDN w:val="0"/>
      <w:adjustRightInd w:val="0"/>
      <w:jc w:val="both"/>
    </w:pPr>
    <w:rPr>
      <w:rFonts w:ascii="Arial" w:hAnsi="Arial"/>
      <w:sz w:val="24"/>
    </w:rPr>
  </w:style>
  <w:style w:type="paragraph" w:customStyle="1" w:styleId="31310">
    <w:name w:val="表内文字小3131"/>
    <w:basedOn w:val="a"/>
    <w:qFormat/>
    <w:pPr>
      <w:widowControl/>
      <w:jc w:val="center"/>
    </w:pPr>
    <w:rPr>
      <w:rFonts w:ascii="宋体" w:hAnsi="Times" w:cs="宋体"/>
      <w:bCs/>
      <w:color w:val="003366"/>
      <w:kern w:val="0"/>
      <w:szCs w:val="20"/>
    </w:rPr>
  </w:style>
  <w:style w:type="paragraph" w:customStyle="1" w:styleId="3114">
    <w:name w:val="正文格式＝311"/>
    <w:basedOn w:val="affff4"/>
    <w:next w:val="affff4"/>
    <w:qFormat/>
    <w:rPr>
      <w:rFonts w:hAnsi="宋体"/>
      <w:szCs w:val="24"/>
    </w:rPr>
  </w:style>
  <w:style w:type="paragraph" w:customStyle="1" w:styleId="4112">
    <w:name w:val="表中文字411"/>
    <w:basedOn w:val="a"/>
    <w:qFormat/>
    <w:pPr>
      <w:widowControl/>
      <w:spacing w:line="340" w:lineRule="exact"/>
      <w:jc w:val="center"/>
    </w:pPr>
    <w:rPr>
      <w:rFonts w:ascii="Arial" w:hAnsi="Arial" w:cs="宋体"/>
      <w:kern w:val="0"/>
      <w:sz w:val="20"/>
      <w:lang w:eastAsia="zh-TW"/>
    </w:rPr>
  </w:style>
  <w:style w:type="paragraph" w:customStyle="1" w:styleId="414H4H4141H42H411142">
    <w:name w:val="样式 标题 4无效格式无效格式1河石管道4H4H41小小节河石管道41H42H411小小节1河石管道42..."/>
    <w:basedOn w:val="4"/>
    <w:qFormat/>
    <w:pPr>
      <w:numPr>
        <w:ilvl w:val="0"/>
        <w:numId w:val="0"/>
      </w:numPr>
      <w:spacing w:after="0" w:line="360" w:lineRule="auto"/>
      <w:ind w:left="664" w:hanging="864"/>
    </w:pPr>
    <w:rPr>
      <w:rFonts w:ascii="黑体" w:eastAsia="黑体" w:hAnsi="Arial" w:cs="Times New Roman"/>
      <w:b w:val="0"/>
      <w:bCs w:val="0"/>
      <w:kern w:val="2"/>
      <w:sz w:val="24"/>
      <w:szCs w:val="24"/>
    </w:rPr>
  </w:style>
  <w:style w:type="paragraph" w:customStyle="1" w:styleId="96">
    <w:name w:val="正文格式＝9"/>
    <w:basedOn w:val="affff4"/>
    <w:next w:val="affff4"/>
    <w:qFormat/>
    <w:rPr>
      <w:rFonts w:hAnsi="宋体"/>
      <w:szCs w:val="24"/>
    </w:rPr>
  </w:style>
  <w:style w:type="paragraph" w:customStyle="1" w:styleId="Char281">
    <w:name w:val="Char28"/>
    <w:basedOn w:val="a"/>
    <w:qFormat/>
    <w:pPr>
      <w:widowControl/>
      <w:ind w:left="-48"/>
      <w:jc w:val="left"/>
    </w:pPr>
    <w:rPr>
      <w:rFonts w:ascii="宋体" w:hAnsi="宋体" w:cs="宋体"/>
      <w:kern w:val="0"/>
    </w:rPr>
  </w:style>
  <w:style w:type="paragraph" w:customStyle="1" w:styleId="2210">
    <w:name w:val="表内文字小221"/>
    <w:basedOn w:val="a"/>
    <w:qFormat/>
    <w:pPr>
      <w:widowControl/>
      <w:jc w:val="center"/>
    </w:pPr>
    <w:rPr>
      <w:rFonts w:ascii="宋体" w:hAnsi="Times" w:cs="宋体"/>
      <w:bCs/>
      <w:color w:val="000000"/>
      <w:kern w:val="0"/>
      <w:szCs w:val="20"/>
    </w:rPr>
  </w:style>
  <w:style w:type="paragraph" w:customStyle="1" w:styleId="5114">
    <w:name w:val="表格内字体511"/>
    <w:basedOn w:val="affff4"/>
    <w:next w:val="affff4"/>
    <w:qFormat/>
    <w:pPr>
      <w:spacing w:line="240" w:lineRule="auto"/>
      <w:ind w:firstLine="0"/>
    </w:pPr>
    <w:rPr>
      <w:rFonts w:hAnsi="宋体"/>
      <w:sz w:val="21"/>
      <w:szCs w:val="24"/>
    </w:rPr>
  </w:style>
  <w:style w:type="paragraph" w:customStyle="1" w:styleId="235">
    <w:name w:val="表中文字23"/>
    <w:basedOn w:val="a"/>
    <w:qFormat/>
    <w:pPr>
      <w:widowControl/>
      <w:spacing w:line="240" w:lineRule="atLeast"/>
      <w:ind w:rightChars="-20" w:right="-42"/>
      <w:jc w:val="center"/>
      <w:textAlignment w:val="baseline"/>
    </w:pPr>
    <w:rPr>
      <w:rFonts w:ascii="宋体" w:hAnsi="宋体" w:cs="宋体"/>
      <w:kern w:val="0"/>
      <w:szCs w:val="21"/>
    </w:rPr>
  </w:style>
  <w:style w:type="paragraph" w:customStyle="1" w:styleId="12a">
    <w:name w:val="燕山正文12"/>
    <w:basedOn w:val="a"/>
    <w:qFormat/>
    <w:pPr>
      <w:widowControl/>
      <w:tabs>
        <w:tab w:val="left" w:pos="4680"/>
      </w:tabs>
      <w:spacing w:line="480" w:lineRule="exact"/>
      <w:jc w:val="left"/>
    </w:pPr>
    <w:rPr>
      <w:rFonts w:ascii="宋体" w:hAnsi="宋体" w:cs="宋体"/>
      <w:kern w:val="0"/>
    </w:rPr>
  </w:style>
  <w:style w:type="paragraph" w:customStyle="1" w:styleId="Char920">
    <w:name w:val="Char92"/>
    <w:basedOn w:val="a"/>
    <w:qFormat/>
    <w:pPr>
      <w:widowControl/>
      <w:ind w:left="-48"/>
      <w:jc w:val="left"/>
    </w:pPr>
    <w:rPr>
      <w:rFonts w:ascii="宋体" w:hAnsi="宋体" w:cs="宋体"/>
      <w:kern w:val="0"/>
    </w:rPr>
  </w:style>
  <w:style w:type="paragraph" w:customStyle="1" w:styleId="3133">
    <w:name w:val="表题3133"/>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CharChar2CharCharCharChar3">
    <w:name w:val="Char Char2 Char Char Char Char3"/>
    <w:basedOn w:val="a"/>
    <w:qFormat/>
    <w:pPr>
      <w:widowControl/>
      <w:jc w:val="left"/>
    </w:pPr>
    <w:rPr>
      <w:rFonts w:ascii="宋体" w:hAnsi="宋体" w:cs="宋体"/>
      <w:kern w:val="0"/>
    </w:rPr>
  </w:style>
  <w:style w:type="paragraph" w:customStyle="1" w:styleId="4210">
    <w:name w:val="标题421"/>
    <w:basedOn w:val="a"/>
    <w:qFormat/>
    <w:pPr>
      <w:widowControl/>
      <w:spacing w:line="300" w:lineRule="auto"/>
      <w:jc w:val="left"/>
    </w:pPr>
    <w:rPr>
      <w:rFonts w:ascii="黑体" w:eastAsia="黑体" w:hAnsi="宋体" w:cs="宋体"/>
      <w:bCs/>
      <w:kern w:val="0"/>
    </w:rPr>
  </w:style>
  <w:style w:type="paragraph" w:customStyle="1" w:styleId="CharChar2CharCharCharChar9">
    <w:name w:val="Char Char2 Char Char Char Char9"/>
    <w:basedOn w:val="a"/>
    <w:qFormat/>
    <w:pPr>
      <w:widowControl/>
      <w:jc w:val="left"/>
    </w:pPr>
    <w:rPr>
      <w:rFonts w:ascii="宋体" w:hAnsi="宋体" w:cs="宋体"/>
      <w:kern w:val="0"/>
    </w:rPr>
  </w:style>
  <w:style w:type="paragraph" w:customStyle="1" w:styleId="CharCharCharCharCharCharChar22">
    <w:name w:val="Char Char Char Char Char Char Char22"/>
    <w:basedOn w:val="a"/>
    <w:qFormat/>
    <w:pPr>
      <w:widowControl/>
      <w:jc w:val="left"/>
    </w:pPr>
    <w:rPr>
      <w:rFonts w:ascii="宋体" w:hAnsi="宋体" w:cs="宋体"/>
      <w:kern w:val="0"/>
    </w:rPr>
  </w:style>
  <w:style w:type="paragraph" w:customStyle="1" w:styleId="332">
    <w:name w:val="正文格式＝33"/>
    <w:basedOn w:val="affff4"/>
    <w:next w:val="affff4"/>
    <w:qFormat/>
    <w:rPr>
      <w:rFonts w:hAnsi="宋体"/>
      <w:szCs w:val="24"/>
    </w:rPr>
  </w:style>
  <w:style w:type="paragraph" w:customStyle="1" w:styleId="FaxHeader2">
    <w:name w:val="Fax Header2"/>
    <w:basedOn w:val="a"/>
    <w:qFormat/>
    <w:pPr>
      <w:widowControl/>
      <w:spacing w:before="240" w:after="60"/>
      <w:jc w:val="left"/>
    </w:pPr>
    <w:rPr>
      <w:rFonts w:ascii="宋体" w:hAnsi="宋体" w:cs="宋体"/>
      <w:kern w:val="0"/>
      <w:sz w:val="20"/>
      <w:szCs w:val="20"/>
    </w:rPr>
  </w:style>
  <w:style w:type="paragraph" w:customStyle="1" w:styleId="Char1020">
    <w:name w:val="Char102"/>
    <w:basedOn w:val="a"/>
    <w:qFormat/>
    <w:pPr>
      <w:widowControl/>
      <w:jc w:val="left"/>
    </w:pPr>
    <w:rPr>
      <w:rFonts w:ascii="宋体" w:hAnsi="宋体" w:cs="宋体"/>
      <w:kern w:val="0"/>
    </w:rPr>
  </w:style>
  <w:style w:type="paragraph" w:customStyle="1" w:styleId="Char8110">
    <w:name w:val="Char811"/>
    <w:basedOn w:val="a"/>
    <w:qFormat/>
    <w:pPr>
      <w:widowControl/>
      <w:ind w:left="-48"/>
      <w:jc w:val="left"/>
    </w:pPr>
    <w:rPr>
      <w:rFonts w:ascii="宋体" w:hAnsi="宋体" w:cs="宋体"/>
      <w:kern w:val="0"/>
    </w:rPr>
  </w:style>
  <w:style w:type="paragraph" w:customStyle="1" w:styleId="12b">
    <w:name w:val="正文斜体12"/>
    <w:basedOn w:val="affff4"/>
    <w:next w:val="affff4"/>
    <w:qFormat/>
    <w:rPr>
      <w:rFonts w:hAnsi="宋体"/>
      <w:i/>
      <w:iCs/>
      <w:szCs w:val="24"/>
    </w:rPr>
  </w:style>
  <w:style w:type="paragraph" w:customStyle="1" w:styleId="1ffffff4">
    <w:name w:val="福建正文缩进1"/>
    <w:basedOn w:val="1fb"/>
    <w:qFormat/>
    <w:pPr>
      <w:ind w:firstLine="567"/>
    </w:pPr>
    <w:rPr>
      <w:rFonts w:hAnsi="Calibri"/>
    </w:rPr>
  </w:style>
  <w:style w:type="paragraph" w:customStyle="1" w:styleId="5430">
    <w:name w:val="表内5中43"/>
    <w:basedOn w:val="a"/>
    <w:qFormat/>
    <w:pPr>
      <w:widowControl/>
      <w:jc w:val="center"/>
    </w:pPr>
    <w:rPr>
      <w:rFonts w:ascii="宋体" w:hAnsi="宋体" w:cs="宋体"/>
      <w:bCs/>
      <w:kern w:val="0"/>
      <w:szCs w:val="20"/>
    </w:rPr>
  </w:style>
  <w:style w:type="paragraph" w:customStyle="1" w:styleId="CharCharCharCharCharCharChar46">
    <w:name w:val="Char Char Char Char Char Char Char46"/>
    <w:basedOn w:val="a"/>
    <w:qFormat/>
    <w:pPr>
      <w:widowControl/>
      <w:jc w:val="left"/>
    </w:pPr>
    <w:rPr>
      <w:rFonts w:ascii="宋体" w:hAnsi="宋体" w:cs="宋体"/>
      <w:kern w:val="0"/>
    </w:rPr>
  </w:style>
  <w:style w:type="paragraph" w:customStyle="1" w:styleId="325">
    <w:name w:val="黑体三号32"/>
    <w:basedOn w:val="affff4"/>
    <w:qFormat/>
    <w:pPr>
      <w:jc w:val="center"/>
    </w:pPr>
    <w:rPr>
      <w:rFonts w:ascii="黑体" w:eastAsia="黑体" w:hAnsi="宋体" w:cs="宋体"/>
      <w:b/>
      <w:bCs/>
      <w:sz w:val="32"/>
      <w:szCs w:val="20"/>
    </w:rPr>
  </w:style>
  <w:style w:type="paragraph" w:customStyle="1" w:styleId="4113">
    <w:name w:val="样式411"/>
    <w:basedOn w:val="a0"/>
    <w:qFormat/>
    <w:pPr>
      <w:widowControl/>
      <w:tabs>
        <w:tab w:val="left" w:pos="1820"/>
      </w:tabs>
      <w:spacing w:line="240" w:lineRule="atLeast"/>
      <w:jc w:val="center"/>
    </w:pPr>
    <w:rPr>
      <w:rFonts w:eastAsia="幼圆"/>
      <w:kern w:val="0"/>
      <w:sz w:val="21"/>
      <w:szCs w:val="20"/>
    </w:rPr>
  </w:style>
  <w:style w:type="paragraph" w:customStyle="1" w:styleId="434">
    <w:name w:val="表中文字43"/>
    <w:basedOn w:val="a"/>
    <w:qFormat/>
    <w:pPr>
      <w:widowControl/>
      <w:spacing w:line="340" w:lineRule="exact"/>
      <w:jc w:val="center"/>
    </w:pPr>
    <w:rPr>
      <w:rFonts w:ascii="Arial" w:hAnsi="Arial" w:cs="宋体"/>
      <w:kern w:val="0"/>
      <w:sz w:val="20"/>
      <w:lang w:eastAsia="zh-TW"/>
    </w:rPr>
  </w:style>
  <w:style w:type="paragraph" w:customStyle="1" w:styleId="1ffffff5">
    <w:name w:val="正文斜体1"/>
    <w:basedOn w:val="affff4"/>
    <w:next w:val="affff4"/>
    <w:qFormat/>
    <w:rPr>
      <w:rFonts w:hAnsi="宋体"/>
      <w:i/>
      <w:iCs/>
      <w:szCs w:val="24"/>
    </w:rPr>
  </w:style>
  <w:style w:type="paragraph" w:customStyle="1" w:styleId="Char1317">
    <w:name w:val="Char131"/>
    <w:basedOn w:val="a"/>
    <w:qFormat/>
    <w:pPr>
      <w:widowControl/>
      <w:ind w:left="-48"/>
      <w:jc w:val="left"/>
    </w:pPr>
    <w:rPr>
      <w:rFonts w:ascii="宋体" w:hAnsi="宋体" w:cs="宋体"/>
      <w:kern w:val="0"/>
    </w:rPr>
  </w:style>
  <w:style w:type="paragraph" w:customStyle="1" w:styleId="2122">
    <w:name w:val="正文修改212"/>
    <w:basedOn w:val="affffe"/>
    <w:qFormat/>
    <w:rPr>
      <w:rFonts w:eastAsia="宋体" w:hAnsi="宋体" w:cs="宋体"/>
      <w:color w:val="000000"/>
      <w:szCs w:val="24"/>
    </w:rPr>
  </w:style>
  <w:style w:type="paragraph" w:customStyle="1" w:styleId="910">
    <w:name w:val="表题91"/>
    <w:basedOn w:val="2fff1"/>
    <w:qFormat/>
    <w:pPr>
      <w:spacing w:line="300" w:lineRule="auto"/>
      <w:jc w:val="center"/>
    </w:pPr>
    <w:rPr>
      <w:rFonts w:ascii="黑体" w:eastAsia="黑体"/>
      <w:szCs w:val="22"/>
    </w:rPr>
  </w:style>
  <w:style w:type="paragraph" w:customStyle="1" w:styleId="xl6311">
    <w:name w:val="xl6311"/>
    <w:basedOn w:val="a"/>
    <w:qFormat/>
    <w:pPr>
      <w:widowControl/>
      <w:spacing w:before="100" w:beforeAutospacing="1" w:after="100" w:afterAutospacing="1"/>
      <w:jc w:val="center"/>
      <w:textAlignment w:val="center"/>
    </w:pPr>
    <w:rPr>
      <w:rFonts w:ascii="黑体" w:eastAsia="黑体" w:hAnsi="宋体" w:cs="宋体" w:hint="eastAsia"/>
      <w:kern w:val="0"/>
    </w:rPr>
  </w:style>
  <w:style w:type="paragraph" w:customStyle="1" w:styleId="ParaChar33">
    <w:name w:val="默认段落字体 Para Char33"/>
    <w:basedOn w:val="a"/>
    <w:qFormat/>
    <w:pPr>
      <w:widowControl/>
      <w:jc w:val="left"/>
    </w:pPr>
    <w:rPr>
      <w:rFonts w:ascii="宋体" w:hAnsi="宋体" w:cs="宋体"/>
      <w:kern w:val="0"/>
    </w:rPr>
  </w:style>
  <w:style w:type="paragraph" w:customStyle="1" w:styleId="5115">
    <w:name w:val="表内511"/>
    <w:basedOn w:val="a"/>
    <w:qFormat/>
    <w:pPr>
      <w:widowControl/>
      <w:jc w:val="center"/>
    </w:pPr>
    <w:rPr>
      <w:rFonts w:ascii="宋体" w:hAnsi="宋体" w:cs="宋体"/>
      <w:kern w:val="0"/>
      <w:sz w:val="20"/>
      <w:szCs w:val="20"/>
    </w:rPr>
  </w:style>
  <w:style w:type="paragraph" w:customStyle="1" w:styleId="Char1011">
    <w:name w:val="Char1011"/>
    <w:basedOn w:val="a"/>
    <w:qFormat/>
    <w:pPr>
      <w:widowControl/>
      <w:jc w:val="left"/>
    </w:pPr>
    <w:rPr>
      <w:rFonts w:ascii="宋体" w:hAnsi="宋体" w:cs="宋体"/>
      <w:kern w:val="0"/>
    </w:rPr>
  </w:style>
  <w:style w:type="paragraph" w:customStyle="1" w:styleId="Char1133">
    <w:name w:val="Char113"/>
    <w:basedOn w:val="a"/>
    <w:qFormat/>
    <w:pPr>
      <w:widowControl/>
      <w:ind w:left="-48"/>
      <w:jc w:val="left"/>
    </w:pPr>
    <w:rPr>
      <w:rFonts w:ascii="宋体" w:hAnsi="宋体" w:cs="宋体"/>
      <w:kern w:val="0"/>
    </w:rPr>
  </w:style>
  <w:style w:type="paragraph" w:customStyle="1" w:styleId="6b">
    <w:name w:val="燕山正文6"/>
    <w:basedOn w:val="a"/>
    <w:qFormat/>
    <w:pPr>
      <w:widowControl/>
      <w:tabs>
        <w:tab w:val="left" w:pos="4680"/>
      </w:tabs>
      <w:spacing w:line="480" w:lineRule="exact"/>
      <w:jc w:val="left"/>
    </w:pPr>
    <w:rPr>
      <w:rFonts w:ascii="宋体" w:hAnsi="宋体" w:cs="宋体"/>
      <w:kern w:val="0"/>
    </w:rPr>
  </w:style>
  <w:style w:type="paragraph" w:customStyle="1" w:styleId="519">
    <w:name w:val="正文修改51"/>
    <w:basedOn w:val="affffe"/>
    <w:qFormat/>
    <w:rPr>
      <w:rFonts w:eastAsia="宋体" w:hAnsi="宋体" w:cs="宋体"/>
      <w:color w:val="000000"/>
      <w:szCs w:val="24"/>
    </w:rPr>
  </w:style>
  <w:style w:type="paragraph" w:customStyle="1" w:styleId="ParaCharCharCharChar32">
    <w:name w:val="默认段落字体 Para Char Char Char Char32"/>
    <w:basedOn w:val="a"/>
    <w:qFormat/>
    <w:pPr>
      <w:widowControl/>
      <w:jc w:val="left"/>
    </w:pPr>
    <w:rPr>
      <w:rFonts w:ascii="宋体" w:hAnsi="宋体" w:cs="宋体"/>
      <w:kern w:val="0"/>
    </w:rPr>
  </w:style>
  <w:style w:type="paragraph" w:customStyle="1" w:styleId="5116">
    <w:name w:val="样式 表内小5 + 黑体 加粗 倾斜 下划线11"/>
    <w:basedOn w:val="a"/>
    <w:qFormat/>
    <w:pPr>
      <w:widowControl/>
      <w:spacing w:line="300" w:lineRule="auto"/>
      <w:jc w:val="left"/>
    </w:pPr>
    <w:rPr>
      <w:rFonts w:ascii="黑体" w:eastAsia="黑体" w:hAnsi="黑体" w:cs="宋体"/>
      <w:b/>
      <w:bCs/>
      <w:i/>
      <w:iCs/>
      <w:kern w:val="0"/>
      <w:sz w:val="18"/>
      <w:u w:val="single"/>
    </w:rPr>
  </w:style>
  <w:style w:type="paragraph" w:customStyle="1" w:styleId="153">
    <w:name w:val="燕山正文15"/>
    <w:basedOn w:val="a"/>
    <w:qFormat/>
    <w:pPr>
      <w:widowControl/>
      <w:tabs>
        <w:tab w:val="left" w:pos="4680"/>
      </w:tabs>
      <w:spacing w:line="480" w:lineRule="exact"/>
      <w:jc w:val="left"/>
    </w:pPr>
    <w:rPr>
      <w:rFonts w:ascii="宋体" w:hAnsi="宋体" w:cs="宋体"/>
      <w:kern w:val="0"/>
    </w:rPr>
  </w:style>
  <w:style w:type="paragraph" w:customStyle="1" w:styleId="A21">
    <w:name w:val="A正文2"/>
    <w:basedOn w:val="a"/>
    <w:qFormat/>
    <w:pPr>
      <w:widowControl/>
      <w:overflowPunct w:val="0"/>
      <w:autoSpaceDE w:val="0"/>
      <w:autoSpaceDN w:val="0"/>
      <w:jc w:val="left"/>
      <w:textAlignment w:val="baseline"/>
    </w:pPr>
    <w:rPr>
      <w:rFonts w:ascii="宋体" w:hAnsi="宋体" w:cs="宋体"/>
      <w:kern w:val="0"/>
    </w:rPr>
  </w:style>
  <w:style w:type="paragraph" w:customStyle="1" w:styleId="5211">
    <w:name w:val="表内宋5中211"/>
    <w:basedOn w:val="a"/>
    <w:qFormat/>
    <w:pPr>
      <w:widowControl/>
      <w:jc w:val="center"/>
      <w:textAlignment w:val="baseline"/>
    </w:pPr>
    <w:rPr>
      <w:rFonts w:ascii="宋体" w:hAnsi="宋体" w:cs="宋体"/>
      <w:kern w:val="0"/>
      <w:szCs w:val="20"/>
    </w:rPr>
  </w:style>
  <w:style w:type="paragraph" w:customStyle="1" w:styleId="ParaCharCharCharChar51">
    <w:name w:val="默认段落字体 Para Char Char Char Char51"/>
    <w:basedOn w:val="a"/>
    <w:qFormat/>
    <w:pPr>
      <w:widowControl/>
      <w:jc w:val="left"/>
    </w:pPr>
    <w:rPr>
      <w:rFonts w:ascii="宋体" w:hAnsi="宋体" w:cs="宋体"/>
      <w:kern w:val="0"/>
    </w:rPr>
  </w:style>
  <w:style w:type="paragraph" w:customStyle="1" w:styleId="631">
    <w:name w:val="正文格式＝63"/>
    <w:basedOn w:val="affff4"/>
    <w:next w:val="affff4"/>
    <w:qFormat/>
    <w:rPr>
      <w:rFonts w:hAnsi="宋体"/>
      <w:szCs w:val="24"/>
    </w:rPr>
  </w:style>
  <w:style w:type="paragraph" w:customStyle="1" w:styleId="11210">
    <w:name w:val="燕山正文1121"/>
    <w:basedOn w:val="a"/>
    <w:qFormat/>
    <w:pPr>
      <w:widowControl/>
      <w:tabs>
        <w:tab w:val="left" w:pos="4680"/>
      </w:tabs>
      <w:spacing w:line="480" w:lineRule="exact"/>
      <w:jc w:val="left"/>
    </w:pPr>
    <w:rPr>
      <w:rFonts w:ascii="宋体" w:hAnsi="宋体" w:cs="宋体"/>
      <w:bCs/>
      <w:color w:val="000000"/>
      <w:kern w:val="0"/>
    </w:rPr>
  </w:style>
  <w:style w:type="paragraph" w:customStyle="1" w:styleId="11f">
    <w:name w:val="正文格式＝11"/>
    <w:basedOn w:val="affff4"/>
    <w:next w:val="affff4"/>
    <w:qFormat/>
    <w:rPr>
      <w:rFonts w:hAnsi="宋体"/>
      <w:szCs w:val="24"/>
    </w:rPr>
  </w:style>
  <w:style w:type="paragraph" w:customStyle="1" w:styleId="5131">
    <w:name w:val="表内513"/>
    <w:basedOn w:val="a"/>
    <w:qFormat/>
    <w:pPr>
      <w:widowControl/>
      <w:jc w:val="center"/>
    </w:pPr>
    <w:rPr>
      <w:rFonts w:ascii="宋体" w:hAnsi="宋体" w:cs="宋体"/>
      <w:kern w:val="0"/>
      <w:szCs w:val="21"/>
    </w:rPr>
  </w:style>
  <w:style w:type="paragraph" w:customStyle="1" w:styleId="21f2">
    <w:name w:val="表格内容21"/>
    <w:pPr>
      <w:jc w:val="center"/>
    </w:pPr>
    <w:rPr>
      <w:kern w:val="2"/>
      <w:sz w:val="21"/>
      <w:szCs w:val="21"/>
    </w:rPr>
  </w:style>
  <w:style w:type="paragraph" w:customStyle="1" w:styleId="21120">
    <w:name w:val="表内文字小2112"/>
    <w:basedOn w:val="a"/>
    <w:qFormat/>
    <w:pPr>
      <w:widowControl/>
      <w:jc w:val="center"/>
    </w:pPr>
    <w:rPr>
      <w:rFonts w:ascii="宋体" w:hAnsi="Times" w:cs="宋体"/>
      <w:bCs/>
      <w:color w:val="000000"/>
      <w:kern w:val="0"/>
      <w:szCs w:val="20"/>
    </w:rPr>
  </w:style>
  <w:style w:type="paragraph" w:customStyle="1" w:styleId="912">
    <w:name w:val="表题912"/>
    <w:basedOn w:val="2fff1"/>
    <w:qFormat/>
    <w:pPr>
      <w:spacing w:line="300" w:lineRule="auto"/>
      <w:jc w:val="center"/>
    </w:pPr>
    <w:rPr>
      <w:rFonts w:ascii="黑体" w:eastAsia="黑体"/>
      <w:szCs w:val="22"/>
    </w:rPr>
  </w:style>
  <w:style w:type="paragraph" w:customStyle="1" w:styleId="78">
    <w:name w:val="正文格式＝7"/>
    <w:basedOn w:val="affff4"/>
    <w:next w:val="affff4"/>
    <w:qFormat/>
    <w:rPr>
      <w:rFonts w:hAnsi="宋体"/>
      <w:szCs w:val="24"/>
    </w:rPr>
  </w:style>
  <w:style w:type="paragraph" w:customStyle="1" w:styleId="5fd">
    <w:name w:val="表内文字小5"/>
    <w:basedOn w:val="a"/>
    <w:qFormat/>
    <w:pPr>
      <w:widowControl/>
      <w:jc w:val="center"/>
    </w:pPr>
    <w:rPr>
      <w:rFonts w:ascii="宋体" w:hAnsi="Times" w:cs="宋体"/>
      <w:kern w:val="0"/>
      <w:szCs w:val="20"/>
    </w:rPr>
  </w:style>
  <w:style w:type="paragraph" w:customStyle="1" w:styleId="CharCharCharCharCharCharChar32">
    <w:name w:val="Char Char Char Char Char Char Char32"/>
    <w:basedOn w:val="a"/>
    <w:pPr>
      <w:widowControl/>
      <w:jc w:val="left"/>
    </w:pPr>
    <w:rPr>
      <w:rFonts w:ascii="宋体" w:hAnsi="宋体" w:cs="宋体"/>
      <w:kern w:val="0"/>
    </w:rPr>
  </w:style>
  <w:style w:type="paragraph" w:customStyle="1" w:styleId="Char41b">
    <w:name w:val="Char41"/>
    <w:basedOn w:val="a"/>
    <w:qFormat/>
    <w:pPr>
      <w:widowControl/>
      <w:ind w:left="-48"/>
      <w:jc w:val="left"/>
    </w:pPr>
    <w:rPr>
      <w:rFonts w:ascii="宋体" w:hAnsi="宋体" w:cs="宋体"/>
      <w:kern w:val="0"/>
    </w:rPr>
  </w:style>
  <w:style w:type="paragraph" w:customStyle="1" w:styleId="440">
    <w:name w:val="标题44"/>
    <w:basedOn w:val="a"/>
    <w:qFormat/>
    <w:pPr>
      <w:widowControl/>
      <w:spacing w:line="300" w:lineRule="auto"/>
      <w:jc w:val="left"/>
    </w:pPr>
    <w:rPr>
      <w:rFonts w:ascii="黑体" w:eastAsia="黑体" w:hAnsi="宋体" w:cs="宋体"/>
      <w:bCs/>
      <w:kern w:val="0"/>
    </w:rPr>
  </w:style>
  <w:style w:type="paragraph" w:customStyle="1" w:styleId="1117">
    <w:name w:val="文本框111"/>
    <w:basedOn w:val="a"/>
    <w:qFormat/>
    <w:pPr>
      <w:widowControl/>
      <w:spacing w:after="6"/>
      <w:jc w:val="center"/>
    </w:pPr>
    <w:rPr>
      <w:rFonts w:ascii="宋体" w:hAnsi="宋体" w:cs="宋体"/>
      <w:kern w:val="0"/>
    </w:rPr>
  </w:style>
  <w:style w:type="paragraph" w:customStyle="1" w:styleId="139">
    <w:name w:val="表中文字13"/>
    <w:basedOn w:val="a"/>
    <w:qFormat/>
    <w:pPr>
      <w:widowControl/>
      <w:spacing w:line="240" w:lineRule="atLeast"/>
      <w:ind w:leftChars="-10" w:left="-24" w:rightChars="-20" w:right="-48"/>
      <w:jc w:val="center"/>
    </w:pPr>
    <w:rPr>
      <w:rFonts w:ascii="宋体" w:hAnsi="宋体" w:cs="宋体"/>
      <w:kern w:val="0"/>
      <w:szCs w:val="21"/>
    </w:rPr>
  </w:style>
  <w:style w:type="paragraph" w:customStyle="1" w:styleId="Char16110">
    <w:name w:val="Char1611"/>
    <w:basedOn w:val="a"/>
    <w:qFormat/>
    <w:pPr>
      <w:widowControl/>
      <w:ind w:left="-48"/>
      <w:jc w:val="left"/>
    </w:pPr>
    <w:rPr>
      <w:rFonts w:ascii="宋体" w:hAnsi="宋体" w:cs="宋体"/>
      <w:kern w:val="0"/>
    </w:rPr>
  </w:style>
  <w:style w:type="paragraph" w:customStyle="1" w:styleId="1125">
    <w:name w:val="附件112"/>
    <w:basedOn w:val="1"/>
    <w:next w:val="affff4"/>
    <w:qFormat/>
    <w:pPr>
      <w:numPr>
        <w:numId w:val="0"/>
      </w:numPr>
      <w:adjustRightInd/>
      <w:snapToGrid/>
      <w:spacing w:after="210"/>
      <w:jc w:val="left"/>
    </w:pPr>
    <w:rPr>
      <w:rFonts w:ascii="黑体" w:eastAsia="黑体"/>
      <w:b w:val="0"/>
      <w:sz w:val="32"/>
      <w:szCs w:val="32"/>
      <w:lang w:val="zh-CN"/>
    </w:rPr>
  </w:style>
  <w:style w:type="paragraph" w:customStyle="1" w:styleId="840">
    <w:name w:val="表内文字小84"/>
    <w:basedOn w:val="a"/>
    <w:qFormat/>
    <w:pPr>
      <w:widowControl/>
      <w:jc w:val="center"/>
    </w:pPr>
    <w:rPr>
      <w:rFonts w:ascii="宋体" w:hAnsi="Times" w:cs="宋体"/>
      <w:kern w:val="0"/>
      <w:szCs w:val="20"/>
    </w:rPr>
  </w:style>
  <w:style w:type="paragraph" w:customStyle="1" w:styleId="51130">
    <w:name w:val="表内宋5中113"/>
    <w:basedOn w:val="a"/>
    <w:qFormat/>
    <w:pPr>
      <w:widowControl/>
      <w:jc w:val="center"/>
      <w:textAlignment w:val="baseline"/>
    </w:pPr>
    <w:rPr>
      <w:rFonts w:ascii="宋体" w:hAnsi="宋体" w:cs="宋体"/>
      <w:kern w:val="0"/>
      <w:szCs w:val="20"/>
    </w:rPr>
  </w:style>
  <w:style w:type="paragraph" w:customStyle="1" w:styleId="ParaCharCharCharChar61">
    <w:name w:val="默认段落字体 Para Char Char Char Char61"/>
    <w:basedOn w:val="a"/>
    <w:qFormat/>
    <w:pPr>
      <w:widowControl/>
      <w:jc w:val="left"/>
    </w:pPr>
    <w:rPr>
      <w:rFonts w:ascii="宋体" w:hAnsi="宋体" w:cs="宋体"/>
      <w:kern w:val="0"/>
    </w:rPr>
  </w:style>
  <w:style w:type="paragraph" w:customStyle="1" w:styleId="Char7110">
    <w:name w:val="Char711"/>
    <w:basedOn w:val="a"/>
    <w:qFormat/>
    <w:pPr>
      <w:widowControl/>
      <w:ind w:left="-48"/>
      <w:jc w:val="left"/>
    </w:pPr>
    <w:rPr>
      <w:rFonts w:ascii="宋体" w:hAnsi="宋体" w:cs="宋体"/>
      <w:kern w:val="0"/>
    </w:rPr>
  </w:style>
  <w:style w:type="paragraph" w:customStyle="1" w:styleId="Char440">
    <w:name w:val="Char44"/>
    <w:basedOn w:val="a"/>
    <w:qFormat/>
    <w:pPr>
      <w:widowControl/>
      <w:ind w:left="-48"/>
      <w:jc w:val="left"/>
    </w:pPr>
    <w:rPr>
      <w:rFonts w:ascii="宋体" w:hAnsi="宋体" w:cs="宋体"/>
      <w:kern w:val="0"/>
    </w:rPr>
  </w:style>
  <w:style w:type="paragraph" w:customStyle="1" w:styleId="CharChar2CharCharCharChar12">
    <w:name w:val="Char Char2 Char Char Char Char12"/>
    <w:basedOn w:val="a"/>
    <w:qFormat/>
    <w:pPr>
      <w:widowControl/>
      <w:jc w:val="left"/>
    </w:pPr>
    <w:rPr>
      <w:rFonts w:ascii="宋体" w:hAnsi="宋体" w:cs="宋体"/>
      <w:kern w:val="0"/>
    </w:rPr>
  </w:style>
  <w:style w:type="paragraph" w:customStyle="1" w:styleId="5314">
    <w:name w:val="表内宋5中31"/>
    <w:basedOn w:val="a"/>
    <w:qFormat/>
    <w:pPr>
      <w:widowControl/>
      <w:jc w:val="left"/>
      <w:textAlignment w:val="baseline"/>
    </w:pPr>
    <w:rPr>
      <w:rFonts w:ascii="宋体" w:hAnsi="宋体" w:cs="宋体"/>
      <w:color w:val="000000"/>
      <w:kern w:val="0"/>
      <w:szCs w:val="20"/>
    </w:rPr>
  </w:style>
  <w:style w:type="paragraph" w:customStyle="1" w:styleId="326">
    <w:name w:val="表32"/>
    <w:basedOn w:val="a"/>
    <w:qFormat/>
    <w:pPr>
      <w:widowControl/>
      <w:jc w:val="center"/>
    </w:pPr>
    <w:rPr>
      <w:rFonts w:ascii="宋体" w:hAnsi="宋体" w:cs="宋体"/>
      <w:kern w:val="0"/>
    </w:rPr>
  </w:style>
  <w:style w:type="paragraph" w:customStyle="1" w:styleId="525">
    <w:name w:val="表内小5中2"/>
    <w:basedOn w:val="a"/>
    <w:qFormat/>
    <w:pPr>
      <w:widowControl/>
      <w:jc w:val="center"/>
    </w:pPr>
    <w:rPr>
      <w:rFonts w:ascii="宋体" w:hAnsi="宋体" w:cs="宋体"/>
      <w:kern w:val="0"/>
      <w:sz w:val="18"/>
      <w:szCs w:val="20"/>
    </w:rPr>
  </w:style>
  <w:style w:type="paragraph" w:customStyle="1" w:styleId="241">
    <w:name w:val="附件24"/>
    <w:basedOn w:val="1"/>
    <w:next w:val="affff4"/>
    <w:qFormat/>
    <w:pPr>
      <w:numPr>
        <w:numId w:val="0"/>
      </w:numPr>
      <w:adjustRightInd/>
      <w:snapToGrid/>
      <w:spacing w:after="210"/>
      <w:jc w:val="left"/>
    </w:pPr>
    <w:rPr>
      <w:rFonts w:ascii="黑体" w:eastAsia="黑体"/>
      <w:b w:val="0"/>
      <w:sz w:val="32"/>
      <w:szCs w:val="32"/>
      <w:lang w:val="zh-CN"/>
    </w:rPr>
  </w:style>
  <w:style w:type="paragraph" w:customStyle="1" w:styleId="11f0">
    <w:name w:val="正文修改11"/>
    <w:basedOn w:val="affffe"/>
    <w:qFormat/>
    <w:rPr>
      <w:rFonts w:eastAsia="宋体" w:hAnsi="宋体" w:cs="宋体"/>
      <w:color w:val="000000"/>
      <w:szCs w:val="24"/>
    </w:rPr>
  </w:style>
  <w:style w:type="paragraph" w:customStyle="1" w:styleId="2123">
    <w:name w:val="表212"/>
    <w:basedOn w:val="a"/>
    <w:qFormat/>
    <w:pPr>
      <w:widowControl/>
      <w:jc w:val="center"/>
    </w:pPr>
    <w:rPr>
      <w:rFonts w:ascii="宋体" w:hAnsi="宋体" w:cs="宋体"/>
      <w:kern w:val="0"/>
    </w:rPr>
  </w:style>
  <w:style w:type="paragraph" w:customStyle="1" w:styleId="CharChar2CharCharCharChar22">
    <w:name w:val="Char Char2 Char Char Char Char22"/>
    <w:basedOn w:val="a"/>
    <w:qFormat/>
    <w:pPr>
      <w:widowControl/>
      <w:jc w:val="left"/>
    </w:pPr>
    <w:rPr>
      <w:rFonts w:ascii="宋体" w:hAnsi="宋体" w:cs="宋体"/>
      <w:kern w:val="0"/>
    </w:rPr>
  </w:style>
  <w:style w:type="paragraph" w:customStyle="1" w:styleId="ParaCharCharCharCharChar11">
    <w:name w:val="默认段落字体 Para Char Char Char Char Char11"/>
    <w:basedOn w:val="a"/>
    <w:qFormat/>
    <w:pPr>
      <w:widowControl/>
      <w:jc w:val="left"/>
    </w:pPr>
    <w:rPr>
      <w:rFonts w:ascii="宋体" w:hAnsi="宋体" w:cs="宋体"/>
      <w:kern w:val="0"/>
    </w:rPr>
  </w:style>
  <w:style w:type="paragraph" w:customStyle="1" w:styleId="Char1030">
    <w:name w:val="Char103"/>
    <w:basedOn w:val="a"/>
    <w:qFormat/>
    <w:pPr>
      <w:widowControl/>
      <w:jc w:val="left"/>
    </w:pPr>
    <w:rPr>
      <w:rFonts w:ascii="宋体" w:hAnsi="宋体" w:cs="宋体"/>
      <w:kern w:val="0"/>
    </w:rPr>
  </w:style>
  <w:style w:type="paragraph" w:customStyle="1" w:styleId="11f1">
    <w:name w:val="附件11"/>
    <w:basedOn w:val="1"/>
    <w:next w:val="affff4"/>
    <w:qFormat/>
    <w:pPr>
      <w:numPr>
        <w:numId w:val="0"/>
      </w:numPr>
      <w:adjustRightInd/>
      <w:snapToGrid/>
      <w:spacing w:after="210"/>
      <w:jc w:val="left"/>
    </w:pPr>
    <w:rPr>
      <w:rFonts w:ascii="黑体" w:eastAsia="黑体"/>
      <w:b w:val="0"/>
      <w:sz w:val="32"/>
      <w:szCs w:val="32"/>
      <w:lang w:val="zh-CN"/>
    </w:rPr>
  </w:style>
  <w:style w:type="paragraph" w:customStyle="1" w:styleId="Default11">
    <w:name w:val="Default11"/>
    <w:qFormat/>
    <w:pPr>
      <w:widowControl w:val="0"/>
      <w:autoSpaceDE w:val="0"/>
      <w:autoSpaceDN w:val="0"/>
      <w:adjustRightInd w:val="0"/>
    </w:pPr>
    <w:rPr>
      <w:rFonts w:ascii="宋体"/>
      <w:color w:val="000000"/>
      <w:sz w:val="24"/>
      <w:szCs w:val="24"/>
    </w:rPr>
  </w:style>
  <w:style w:type="paragraph" w:customStyle="1" w:styleId="Char1720">
    <w:name w:val="Char172"/>
    <w:basedOn w:val="a"/>
    <w:qFormat/>
    <w:pPr>
      <w:widowControl/>
      <w:ind w:left="-48"/>
      <w:jc w:val="left"/>
    </w:pPr>
    <w:rPr>
      <w:rFonts w:ascii="宋体" w:hAnsi="宋体" w:cs="宋体"/>
      <w:kern w:val="0"/>
    </w:rPr>
  </w:style>
  <w:style w:type="paragraph" w:customStyle="1" w:styleId="2132">
    <w:name w:val="表内文字小2132"/>
    <w:basedOn w:val="a"/>
    <w:qFormat/>
    <w:pPr>
      <w:widowControl/>
      <w:jc w:val="center"/>
      <w:textAlignment w:val="baseline"/>
    </w:pPr>
    <w:rPr>
      <w:rFonts w:ascii="宋体" w:hAnsi="Times" w:cs="宋体"/>
      <w:bCs/>
      <w:color w:val="000000"/>
      <w:kern w:val="0"/>
      <w:szCs w:val="20"/>
    </w:rPr>
  </w:style>
  <w:style w:type="paragraph" w:customStyle="1" w:styleId="1210">
    <w:name w:val="表中文字121"/>
    <w:basedOn w:val="a"/>
    <w:pPr>
      <w:widowControl/>
      <w:spacing w:line="240" w:lineRule="atLeast"/>
      <w:ind w:leftChars="-10" w:left="-24" w:rightChars="-20" w:right="-48"/>
      <w:jc w:val="center"/>
    </w:pPr>
    <w:rPr>
      <w:rFonts w:ascii="宋体" w:hAnsi="宋体" w:cs="宋体"/>
      <w:kern w:val="0"/>
      <w:szCs w:val="21"/>
    </w:rPr>
  </w:style>
  <w:style w:type="paragraph" w:customStyle="1" w:styleId="51122">
    <w:name w:val="表内宋51122"/>
    <w:basedOn w:val="1ff2"/>
    <w:qFormat/>
    <w:rPr>
      <w:rFonts w:ascii="宋体" w:hAnsi="宋体" w:cs="宋体"/>
      <w:color w:val="000000"/>
      <w:sz w:val="21"/>
      <w:szCs w:val="24"/>
    </w:rPr>
  </w:style>
  <w:style w:type="paragraph" w:customStyle="1" w:styleId="099212">
    <w:name w:val="首行缩进:  0.99 厘米 + 首行缩进:  2 字符12"/>
    <w:basedOn w:val="a"/>
    <w:qFormat/>
    <w:pPr>
      <w:widowControl/>
      <w:topLinePunct/>
      <w:spacing w:line="480" w:lineRule="exact"/>
      <w:ind w:firstLine="420"/>
      <w:jc w:val="center"/>
    </w:pPr>
    <w:rPr>
      <w:rFonts w:ascii="宋体" w:hAnsi="宋体" w:cs="宋体"/>
      <w:snapToGrid w:val="0"/>
      <w:color w:val="FF0000"/>
      <w:kern w:val="0"/>
      <w:szCs w:val="21"/>
    </w:rPr>
  </w:style>
  <w:style w:type="paragraph" w:customStyle="1" w:styleId="4114">
    <w:name w:val="正文格式＝411"/>
    <w:basedOn w:val="affff4"/>
    <w:next w:val="affff4"/>
    <w:qFormat/>
    <w:rPr>
      <w:rFonts w:hAnsi="宋体"/>
      <w:szCs w:val="24"/>
    </w:rPr>
  </w:style>
  <w:style w:type="paragraph" w:customStyle="1" w:styleId="11111">
    <w:name w:val="样式1111"/>
    <w:basedOn w:val="314"/>
    <w:qFormat/>
    <w:pPr>
      <w:spacing w:line="240" w:lineRule="auto"/>
      <w:ind w:firstLine="0"/>
      <w:jc w:val="center"/>
    </w:pPr>
    <w:rPr>
      <w:rFonts w:cs="Times New Roman"/>
      <w:b/>
      <w:color w:val="auto"/>
      <w:szCs w:val="20"/>
    </w:rPr>
  </w:style>
  <w:style w:type="paragraph" w:customStyle="1" w:styleId="4f9">
    <w:name w:val="正文.4"/>
    <w:qFormat/>
    <w:pPr>
      <w:widowControl w:val="0"/>
      <w:autoSpaceDE w:val="0"/>
      <w:autoSpaceDN w:val="0"/>
      <w:adjustRightInd w:val="0"/>
      <w:jc w:val="both"/>
    </w:pPr>
    <w:rPr>
      <w:rFonts w:ascii="Times New Roman;Symbol;Arial;婼" w:eastAsia="Times New Roman;Symbol;Arial;婼"/>
      <w:sz w:val="21"/>
      <w:szCs w:val="21"/>
    </w:rPr>
  </w:style>
  <w:style w:type="paragraph" w:customStyle="1" w:styleId="51a">
    <w:name w:val="正文格式＝51"/>
    <w:basedOn w:val="affff4"/>
    <w:next w:val="affff4"/>
    <w:qFormat/>
    <w:rPr>
      <w:rFonts w:hAnsi="宋体"/>
      <w:szCs w:val="24"/>
    </w:rPr>
  </w:style>
  <w:style w:type="paragraph" w:customStyle="1" w:styleId="2ffffe">
    <w:name w:val="表格内容2"/>
    <w:qFormat/>
    <w:pPr>
      <w:jc w:val="center"/>
    </w:pPr>
    <w:rPr>
      <w:kern w:val="2"/>
      <w:sz w:val="21"/>
      <w:szCs w:val="21"/>
    </w:rPr>
  </w:style>
  <w:style w:type="paragraph" w:customStyle="1" w:styleId="Char15110">
    <w:name w:val="Char1511"/>
    <w:basedOn w:val="a"/>
    <w:qFormat/>
    <w:pPr>
      <w:widowControl/>
      <w:spacing w:before="156"/>
      <w:jc w:val="left"/>
    </w:pPr>
    <w:rPr>
      <w:rFonts w:ascii="黑体" w:eastAsia="黑体" w:hAnsi="宋体" w:cs="宋体"/>
      <w:kern w:val="0"/>
      <w:sz w:val="32"/>
      <w:szCs w:val="32"/>
    </w:rPr>
  </w:style>
  <w:style w:type="paragraph" w:customStyle="1" w:styleId="43122">
    <w:name w:val="标题43122"/>
    <w:basedOn w:val="a"/>
    <w:qFormat/>
    <w:pPr>
      <w:widowControl/>
      <w:spacing w:line="480" w:lineRule="exact"/>
      <w:jc w:val="center"/>
    </w:pPr>
    <w:rPr>
      <w:rFonts w:ascii="宋体" w:hAnsi="宋体" w:cs="宋体"/>
      <w:kern w:val="0"/>
    </w:rPr>
  </w:style>
  <w:style w:type="paragraph" w:customStyle="1" w:styleId="1118">
    <w:name w:val="正文.111"/>
    <w:qFormat/>
    <w:pPr>
      <w:widowControl w:val="0"/>
      <w:autoSpaceDE w:val="0"/>
      <w:autoSpaceDN w:val="0"/>
      <w:adjustRightInd w:val="0"/>
      <w:jc w:val="both"/>
    </w:pPr>
    <w:rPr>
      <w:rFonts w:ascii="Times New Roman;Symbol;Arial;婼" w:eastAsia="Times New Roman;Symbol;Arial;婼"/>
      <w:sz w:val="21"/>
      <w:szCs w:val="21"/>
    </w:rPr>
  </w:style>
  <w:style w:type="paragraph" w:customStyle="1" w:styleId="ParaCharCharCharChar52">
    <w:name w:val="默认段落字体 Para Char Char Char Char52"/>
    <w:basedOn w:val="a"/>
    <w:qFormat/>
    <w:pPr>
      <w:widowControl/>
      <w:jc w:val="left"/>
    </w:pPr>
    <w:rPr>
      <w:rFonts w:ascii="宋体" w:hAnsi="宋体" w:cs="宋体"/>
      <w:kern w:val="0"/>
    </w:rPr>
  </w:style>
  <w:style w:type="paragraph" w:customStyle="1" w:styleId="CharChar2CharCharCharChar2">
    <w:name w:val="Char Char2 Char Char Char Char2"/>
    <w:basedOn w:val="a"/>
    <w:qFormat/>
    <w:pPr>
      <w:widowControl/>
      <w:jc w:val="left"/>
    </w:pPr>
    <w:rPr>
      <w:rFonts w:ascii="宋体" w:hAnsi="宋体" w:cs="宋体"/>
      <w:kern w:val="0"/>
    </w:rPr>
  </w:style>
  <w:style w:type="paragraph" w:customStyle="1" w:styleId="613">
    <w:name w:val="正文格式＝613"/>
    <w:basedOn w:val="affff4"/>
    <w:next w:val="affff4"/>
    <w:qFormat/>
    <w:rPr>
      <w:rFonts w:hAnsi="宋体"/>
      <w:szCs w:val="24"/>
    </w:rPr>
  </w:style>
  <w:style w:type="paragraph" w:customStyle="1" w:styleId="CharCharCharCharCharCharChar311">
    <w:name w:val="Char Char Char Char Char Char Char311"/>
    <w:basedOn w:val="a"/>
    <w:qFormat/>
    <w:pPr>
      <w:widowControl/>
      <w:jc w:val="left"/>
    </w:pPr>
    <w:rPr>
      <w:rFonts w:ascii="宋体" w:hAnsi="宋体" w:cs="宋体"/>
      <w:kern w:val="0"/>
    </w:rPr>
  </w:style>
  <w:style w:type="paragraph" w:customStyle="1" w:styleId="1134">
    <w:name w:val="样式113"/>
    <w:basedOn w:val="314"/>
    <w:qFormat/>
    <w:pPr>
      <w:spacing w:line="240" w:lineRule="auto"/>
      <w:ind w:firstLine="0"/>
      <w:jc w:val="center"/>
    </w:pPr>
    <w:rPr>
      <w:rFonts w:cs="Times New Roman"/>
      <w:b/>
      <w:color w:val="auto"/>
      <w:szCs w:val="20"/>
    </w:rPr>
  </w:style>
  <w:style w:type="paragraph" w:customStyle="1" w:styleId="3ffa">
    <w:name w:val="标准3"/>
    <w:basedOn w:val="a"/>
    <w:pPr>
      <w:widowControl/>
      <w:spacing w:before="120" w:line="336" w:lineRule="auto"/>
      <w:jc w:val="center"/>
      <w:textAlignment w:val="baseline"/>
    </w:pPr>
    <w:rPr>
      <w:rFonts w:ascii="黑体" w:eastAsia="黑体" w:hAnsi="宋体" w:cs="宋体"/>
      <w:kern w:val="0"/>
      <w:szCs w:val="20"/>
    </w:rPr>
  </w:style>
  <w:style w:type="paragraph" w:customStyle="1" w:styleId="Char290">
    <w:name w:val="Char29"/>
    <w:basedOn w:val="a"/>
    <w:qFormat/>
    <w:pPr>
      <w:widowControl/>
      <w:ind w:left="-48"/>
      <w:jc w:val="left"/>
    </w:pPr>
    <w:rPr>
      <w:rFonts w:ascii="宋体" w:hAnsi="宋体" w:cs="宋体"/>
      <w:kern w:val="0"/>
    </w:rPr>
  </w:style>
  <w:style w:type="paragraph" w:customStyle="1" w:styleId="435">
    <w:name w:val="黑体三号43"/>
    <w:basedOn w:val="affff4"/>
    <w:qFormat/>
    <w:pPr>
      <w:jc w:val="center"/>
    </w:pPr>
    <w:rPr>
      <w:rFonts w:ascii="黑体" w:eastAsia="黑体" w:hAnsi="宋体" w:cs="宋体"/>
      <w:b/>
      <w:bCs/>
      <w:sz w:val="32"/>
      <w:szCs w:val="20"/>
    </w:rPr>
  </w:style>
  <w:style w:type="paragraph" w:customStyle="1" w:styleId="1126">
    <w:name w:val="正文修改112"/>
    <w:basedOn w:val="affffe"/>
    <w:rPr>
      <w:rFonts w:eastAsia="宋体" w:hAnsi="宋体" w:cs="宋体"/>
      <w:color w:val="000000"/>
      <w:szCs w:val="24"/>
    </w:rPr>
  </w:style>
  <w:style w:type="paragraph" w:customStyle="1" w:styleId="c1">
    <w:name w:val="c1"/>
    <w:qFormat/>
    <w:pPr>
      <w:widowControl w:val="0"/>
      <w:autoSpaceDE w:val="0"/>
      <w:autoSpaceDN w:val="0"/>
      <w:adjustRightInd w:val="0"/>
      <w:jc w:val="both"/>
    </w:pPr>
    <w:rPr>
      <w:rFonts w:ascii="Arial" w:hAnsi="Arial"/>
      <w:sz w:val="24"/>
    </w:rPr>
  </w:style>
  <w:style w:type="paragraph" w:customStyle="1" w:styleId="CharCharCharCharCharCharChar48">
    <w:name w:val="Char Char Char Char Char Char Char48"/>
    <w:basedOn w:val="a"/>
    <w:qFormat/>
    <w:pPr>
      <w:widowControl/>
      <w:jc w:val="left"/>
    </w:pPr>
    <w:rPr>
      <w:rFonts w:ascii="宋体" w:hAnsi="宋体" w:cs="宋体"/>
      <w:kern w:val="0"/>
    </w:rPr>
  </w:style>
  <w:style w:type="paragraph" w:customStyle="1" w:styleId="620">
    <w:name w:val="正文格式＝62"/>
    <w:basedOn w:val="affff4"/>
    <w:next w:val="affff4"/>
    <w:qFormat/>
    <w:rPr>
      <w:rFonts w:hAnsi="宋体"/>
      <w:szCs w:val="24"/>
    </w:rPr>
  </w:style>
  <w:style w:type="paragraph" w:customStyle="1" w:styleId="CharCharCharChar1CharCharChar211">
    <w:name w:val="Char Char Char Char1 Char Char Char211"/>
    <w:basedOn w:val="a"/>
    <w:qFormat/>
    <w:pPr>
      <w:widowControl/>
      <w:spacing w:after="160" w:line="240" w:lineRule="exact"/>
      <w:jc w:val="left"/>
    </w:pPr>
    <w:rPr>
      <w:rFonts w:ascii="Verdana" w:hAnsi="Verdana" w:cs="宋体"/>
      <w:kern w:val="0"/>
      <w:sz w:val="20"/>
      <w:szCs w:val="20"/>
      <w:lang w:eastAsia="en-US"/>
    </w:rPr>
  </w:style>
  <w:style w:type="paragraph" w:customStyle="1" w:styleId="Char2211">
    <w:name w:val="Char2211"/>
    <w:basedOn w:val="a"/>
    <w:qFormat/>
    <w:pPr>
      <w:widowControl/>
      <w:spacing w:before="156"/>
      <w:jc w:val="left"/>
    </w:pPr>
    <w:rPr>
      <w:rFonts w:ascii="黑体" w:eastAsia="黑体" w:hAnsi="宋体" w:cs="宋体"/>
      <w:kern w:val="0"/>
      <w:sz w:val="32"/>
      <w:szCs w:val="32"/>
    </w:rPr>
  </w:style>
  <w:style w:type="paragraph" w:customStyle="1" w:styleId="732">
    <w:name w:val="正文格式＝73"/>
    <w:basedOn w:val="affff4"/>
    <w:next w:val="affff4"/>
    <w:qFormat/>
    <w:rPr>
      <w:rFonts w:hAnsi="宋体"/>
      <w:szCs w:val="24"/>
    </w:rPr>
  </w:style>
  <w:style w:type="paragraph" w:customStyle="1" w:styleId="51111">
    <w:name w:val="表内5中111"/>
    <w:basedOn w:val="a"/>
    <w:qFormat/>
    <w:pPr>
      <w:widowControl/>
      <w:jc w:val="center"/>
    </w:pPr>
    <w:rPr>
      <w:rFonts w:ascii="宋体" w:hAnsi="宋体" w:cs="Arial"/>
      <w:snapToGrid w:val="0"/>
      <w:color w:val="000000"/>
      <w:kern w:val="0"/>
      <w:szCs w:val="21"/>
    </w:rPr>
  </w:style>
  <w:style w:type="paragraph" w:customStyle="1" w:styleId="Default1">
    <w:name w:val="Default1"/>
    <w:qFormat/>
    <w:pPr>
      <w:widowControl w:val="0"/>
      <w:autoSpaceDE w:val="0"/>
      <w:autoSpaceDN w:val="0"/>
      <w:adjustRightInd w:val="0"/>
    </w:pPr>
    <w:rPr>
      <w:rFonts w:ascii="宋体"/>
      <w:color w:val="000000"/>
      <w:sz w:val="24"/>
      <w:szCs w:val="24"/>
    </w:rPr>
  </w:style>
  <w:style w:type="paragraph" w:customStyle="1" w:styleId="A31">
    <w:name w:val="A正文3"/>
    <w:basedOn w:val="a"/>
    <w:qFormat/>
    <w:pPr>
      <w:widowControl/>
      <w:overflowPunct w:val="0"/>
      <w:autoSpaceDE w:val="0"/>
      <w:autoSpaceDN w:val="0"/>
      <w:jc w:val="left"/>
      <w:textAlignment w:val="baseline"/>
    </w:pPr>
    <w:rPr>
      <w:rFonts w:ascii="宋体" w:hAnsi="宋体" w:cs="宋体"/>
      <w:kern w:val="0"/>
    </w:rPr>
  </w:style>
  <w:style w:type="paragraph" w:customStyle="1" w:styleId="54152">
    <w:name w:val="表内54152"/>
    <w:basedOn w:val="a"/>
    <w:qFormat/>
    <w:pPr>
      <w:widowControl/>
      <w:spacing w:line="300" w:lineRule="auto"/>
      <w:jc w:val="center"/>
    </w:pPr>
    <w:rPr>
      <w:rFonts w:ascii="宋体" w:hAnsi="宋体" w:cs="宋体"/>
      <w:kern w:val="0"/>
      <w:szCs w:val="20"/>
    </w:rPr>
  </w:style>
  <w:style w:type="paragraph" w:customStyle="1" w:styleId="41110">
    <w:name w:val="标题4111"/>
    <w:basedOn w:val="a"/>
    <w:qFormat/>
    <w:pPr>
      <w:widowControl/>
      <w:spacing w:line="300" w:lineRule="auto"/>
      <w:jc w:val="left"/>
    </w:pPr>
    <w:rPr>
      <w:rFonts w:ascii="黑体" w:eastAsia="黑体" w:hAnsi="宋体" w:cs="宋体"/>
      <w:bCs/>
      <w:kern w:val="0"/>
      <w:szCs w:val="20"/>
    </w:rPr>
  </w:style>
  <w:style w:type="paragraph" w:customStyle="1" w:styleId="3ffb">
    <w:name w:val="福建正文缩进3"/>
    <w:basedOn w:val="1fb"/>
    <w:qFormat/>
    <w:pPr>
      <w:tabs>
        <w:tab w:val="left" w:pos="5837"/>
      </w:tabs>
      <w:spacing w:line="480" w:lineRule="exact"/>
    </w:pPr>
    <w:rPr>
      <w:rFonts w:cs="宋体"/>
      <w:color w:val="000000"/>
    </w:rPr>
  </w:style>
  <w:style w:type="paragraph" w:customStyle="1" w:styleId="31311">
    <w:name w:val="表题31311"/>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5321">
    <w:name w:val="表内532"/>
    <w:basedOn w:val="a"/>
    <w:qFormat/>
    <w:pPr>
      <w:widowControl/>
      <w:spacing w:line="300" w:lineRule="auto"/>
      <w:jc w:val="left"/>
    </w:pPr>
    <w:rPr>
      <w:rFonts w:ascii="宋体" w:hAnsi="宋体" w:cs="宋体"/>
      <w:kern w:val="0"/>
      <w:szCs w:val="20"/>
    </w:rPr>
  </w:style>
  <w:style w:type="paragraph" w:customStyle="1" w:styleId="3123">
    <w:name w:val="黑体三号312"/>
    <w:basedOn w:val="affff4"/>
    <w:qFormat/>
    <w:pPr>
      <w:jc w:val="center"/>
    </w:pPr>
    <w:rPr>
      <w:rFonts w:ascii="黑体" w:eastAsia="黑体" w:hAnsi="宋体" w:cs="宋体"/>
      <w:b/>
      <w:bCs/>
      <w:sz w:val="32"/>
      <w:szCs w:val="20"/>
    </w:rPr>
  </w:style>
  <w:style w:type="paragraph" w:customStyle="1" w:styleId="21230">
    <w:name w:val="表内文字小2123"/>
    <w:basedOn w:val="a"/>
    <w:qFormat/>
    <w:pPr>
      <w:widowControl/>
      <w:jc w:val="center"/>
    </w:pPr>
    <w:rPr>
      <w:rFonts w:ascii="宋体" w:hAnsi="Times" w:cs="宋体"/>
      <w:bCs/>
      <w:color w:val="000000"/>
      <w:kern w:val="0"/>
      <w:szCs w:val="20"/>
    </w:rPr>
  </w:style>
  <w:style w:type="paragraph" w:customStyle="1" w:styleId="21f3">
    <w:name w:val="表21"/>
    <w:basedOn w:val="a"/>
    <w:qFormat/>
    <w:pPr>
      <w:widowControl/>
      <w:jc w:val="center"/>
    </w:pPr>
    <w:rPr>
      <w:rFonts w:ascii="宋体" w:hAnsi="宋体" w:cs="宋体"/>
      <w:kern w:val="0"/>
    </w:rPr>
  </w:style>
  <w:style w:type="paragraph" w:customStyle="1" w:styleId="41121">
    <w:name w:val="标题41121"/>
    <w:basedOn w:val="a"/>
    <w:qFormat/>
    <w:pPr>
      <w:widowControl/>
      <w:spacing w:line="300" w:lineRule="auto"/>
      <w:jc w:val="left"/>
    </w:pPr>
    <w:rPr>
      <w:rFonts w:ascii="黑体" w:eastAsia="黑体" w:hAnsi="宋体" w:cs="宋体"/>
      <w:bCs/>
      <w:kern w:val="0"/>
      <w:szCs w:val="20"/>
    </w:rPr>
  </w:style>
  <w:style w:type="paragraph" w:customStyle="1" w:styleId="4fa">
    <w:name w:val="燕山正文4"/>
    <w:basedOn w:val="a"/>
    <w:qFormat/>
    <w:pPr>
      <w:widowControl/>
      <w:tabs>
        <w:tab w:val="left" w:pos="4680"/>
      </w:tabs>
      <w:spacing w:line="480" w:lineRule="exact"/>
      <w:jc w:val="left"/>
    </w:pPr>
    <w:rPr>
      <w:rFonts w:ascii="宋体" w:hAnsi="宋体" w:cs="宋体"/>
      <w:kern w:val="0"/>
    </w:rPr>
  </w:style>
  <w:style w:type="paragraph" w:customStyle="1" w:styleId="1141">
    <w:name w:val="燕山正文1141"/>
    <w:basedOn w:val="a"/>
    <w:qFormat/>
    <w:pPr>
      <w:widowControl/>
      <w:tabs>
        <w:tab w:val="left" w:pos="4680"/>
      </w:tabs>
      <w:spacing w:line="480" w:lineRule="exact"/>
      <w:jc w:val="left"/>
    </w:pPr>
    <w:rPr>
      <w:rFonts w:ascii="宋体" w:hAnsi="宋体" w:cs="宋体"/>
      <w:bCs/>
      <w:color w:val="000000"/>
      <w:kern w:val="0"/>
    </w:rPr>
  </w:style>
  <w:style w:type="paragraph" w:customStyle="1" w:styleId="CharChar2CharCharCharChar13">
    <w:name w:val="Char Char2 Char Char Char Char13"/>
    <w:basedOn w:val="a"/>
    <w:qFormat/>
    <w:pPr>
      <w:widowControl/>
      <w:jc w:val="left"/>
    </w:pPr>
    <w:rPr>
      <w:rFonts w:ascii="宋体" w:hAnsi="宋体" w:cs="宋体"/>
      <w:kern w:val="0"/>
    </w:rPr>
  </w:style>
  <w:style w:type="paragraph" w:customStyle="1" w:styleId="229">
    <w:name w:val="黑体三号22"/>
    <w:basedOn w:val="affff4"/>
    <w:qFormat/>
    <w:pPr>
      <w:jc w:val="center"/>
    </w:pPr>
    <w:rPr>
      <w:rFonts w:ascii="黑体" w:eastAsia="黑体" w:hAnsi="宋体" w:cs="宋体"/>
      <w:b/>
      <w:bCs/>
      <w:sz w:val="32"/>
      <w:szCs w:val="20"/>
    </w:rPr>
  </w:style>
  <w:style w:type="paragraph" w:customStyle="1" w:styleId="CharCharCharCharCharCharChar4">
    <w:name w:val="Char Char Char Char Char Char Char4"/>
    <w:basedOn w:val="a"/>
    <w:qFormat/>
    <w:pPr>
      <w:widowControl/>
      <w:jc w:val="left"/>
    </w:pPr>
    <w:rPr>
      <w:rFonts w:ascii="宋体" w:hAnsi="宋体" w:cs="宋体"/>
      <w:kern w:val="0"/>
    </w:rPr>
  </w:style>
  <w:style w:type="paragraph" w:customStyle="1" w:styleId="21212">
    <w:name w:val="表内文字小21212"/>
    <w:basedOn w:val="a"/>
    <w:qFormat/>
    <w:pPr>
      <w:widowControl/>
      <w:jc w:val="center"/>
    </w:pPr>
    <w:rPr>
      <w:rFonts w:ascii="宋体" w:hAnsi="Times" w:cs="宋体"/>
      <w:bCs/>
      <w:color w:val="000000"/>
      <w:kern w:val="0"/>
      <w:szCs w:val="20"/>
    </w:rPr>
  </w:style>
  <w:style w:type="paragraph" w:customStyle="1" w:styleId="333">
    <w:name w:val="表内文字小33"/>
    <w:basedOn w:val="a"/>
    <w:qFormat/>
    <w:pPr>
      <w:widowControl/>
      <w:jc w:val="center"/>
    </w:pPr>
    <w:rPr>
      <w:rFonts w:ascii="宋体" w:hAnsi="Times" w:cs="宋体"/>
      <w:kern w:val="0"/>
      <w:szCs w:val="20"/>
    </w:rPr>
  </w:style>
  <w:style w:type="paragraph" w:customStyle="1" w:styleId="526">
    <w:name w:val="正文格式＝52"/>
    <w:basedOn w:val="affff4"/>
    <w:next w:val="affff4"/>
    <w:qFormat/>
    <w:rPr>
      <w:rFonts w:hAnsi="宋体"/>
      <w:szCs w:val="24"/>
    </w:rPr>
  </w:style>
  <w:style w:type="paragraph" w:customStyle="1" w:styleId="Char360">
    <w:name w:val="Char36"/>
    <w:basedOn w:val="a"/>
    <w:qFormat/>
    <w:pPr>
      <w:widowControl/>
      <w:ind w:left="-48"/>
      <w:jc w:val="left"/>
    </w:pPr>
    <w:rPr>
      <w:rFonts w:ascii="宋体" w:hAnsi="宋体" w:cs="宋体"/>
      <w:kern w:val="0"/>
    </w:rPr>
  </w:style>
  <w:style w:type="paragraph" w:customStyle="1" w:styleId="250">
    <w:name w:val="表内文字小25"/>
    <w:basedOn w:val="a"/>
    <w:qFormat/>
    <w:pPr>
      <w:widowControl/>
      <w:jc w:val="center"/>
    </w:pPr>
    <w:rPr>
      <w:rFonts w:ascii="宋体" w:hAnsi="Times" w:cs="宋体"/>
      <w:bCs/>
      <w:color w:val="000000"/>
      <w:kern w:val="0"/>
      <w:szCs w:val="20"/>
    </w:rPr>
  </w:style>
  <w:style w:type="paragraph" w:customStyle="1" w:styleId="2fffff">
    <w:name w:val="文本框2"/>
    <w:basedOn w:val="a"/>
    <w:qFormat/>
    <w:pPr>
      <w:widowControl/>
      <w:spacing w:after="6"/>
      <w:jc w:val="center"/>
    </w:pPr>
    <w:rPr>
      <w:rFonts w:ascii="宋体" w:hAnsi="宋体" w:cs="宋体"/>
      <w:kern w:val="0"/>
    </w:rPr>
  </w:style>
  <w:style w:type="paragraph" w:customStyle="1" w:styleId="Char6111">
    <w:name w:val="Char611"/>
    <w:basedOn w:val="a"/>
    <w:qFormat/>
    <w:pPr>
      <w:widowControl/>
      <w:spacing w:before="156"/>
      <w:jc w:val="left"/>
    </w:pPr>
    <w:rPr>
      <w:rFonts w:ascii="黑体" w:eastAsia="黑体" w:hAnsi="宋体" w:cs="宋体"/>
      <w:kern w:val="0"/>
      <w:sz w:val="32"/>
      <w:szCs w:val="32"/>
    </w:rPr>
  </w:style>
  <w:style w:type="paragraph" w:customStyle="1" w:styleId="560">
    <w:name w:val="表内56"/>
    <w:basedOn w:val="a"/>
    <w:qFormat/>
    <w:pPr>
      <w:widowControl/>
      <w:spacing w:line="300" w:lineRule="auto"/>
      <w:jc w:val="left"/>
    </w:pPr>
    <w:rPr>
      <w:rFonts w:ascii="宋体" w:hAnsi="宋体" w:cs="宋体"/>
      <w:kern w:val="0"/>
      <w:sz w:val="18"/>
      <w:szCs w:val="20"/>
    </w:rPr>
  </w:style>
  <w:style w:type="paragraph" w:customStyle="1" w:styleId="811">
    <w:name w:val="表内文字小811"/>
    <w:basedOn w:val="a"/>
    <w:qFormat/>
    <w:pPr>
      <w:widowControl/>
      <w:jc w:val="center"/>
    </w:pPr>
    <w:rPr>
      <w:rFonts w:ascii="宋体" w:hAnsi="Times" w:cs="宋体"/>
      <w:kern w:val="0"/>
      <w:szCs w:val="20"/>
    </w:rPr>
  </w:style>
  <w:style w:type="paragraph" w:customStyle="1" w:styleId="11f2">
    <w:name w:val="表格内容11"/>
    <w:qFormat/>
    <w:pPr>
      <w:jc w:val="center"/>
    </w:pPr>
    <w:rPr>
      <w:kern w:val="2"/>
      <w:sz w:val="21"/>
      <w:szCs w:val="21"/>
    </w:rPr>
  </w:style>
  <w:style w:type="paragraph" w:customStyle="1" w:styleId="54143">
    <w:name w:val="表内54143"/>
    <w:basedOn w:val="a"/>
    <w:qFormat/>
    <w:pPr>
      <w:widowControl/>
      <w:spacing w:line="300" w:lineRule="auto"/>
      <w:jc w:val="center"/>
    </w:pPr>
    <w:rPr>
      <w:rFonts w:ascii="宋体" w:hAnsi="宋体" w:cs="宋体"/>
      <w:kern w:val="0"/>
      <w:szCs w:val="20"/>
    </w:rPr>
  </w:style>
  <w:style w:type="paragraph" w:customStyle="1" w:styleId="51131">
    <w:name w:val="表内宋5113"/>
    <w:basedOn w:val="1ff2"/>
    <w:uiPriority w:val="99"/>
    <w:qFormat/>
    <w:rPr>
      <w:rFonts w:ascii="宋体" w:hAnsi="宋体" w:cs="宋体"/>
      <w:color w:val="000000"/>
      <w:sz w:val="21"/>
      <w:szCs w:val="24"/>
    </w:rPr>
  </w:style>
  <w:style w:type="paragraph" w:customStyle="1" w:styleId="CharCharCharCharCharCharChar27">
    <w:name w:val="Char Char Char Char Char Char Char27"/>
    <w:basedOn w:val="a"/>
    <w:uiPriority w:val="99"/>
    <w:qFormat/>
    <w:pPr>
      <w:widowControl/>
      <w:jc w:val="left"/>
    </w:pPr>
    <w:rPr>
      <w:rFonts w:ascii="宋体" w:hAnsi="宋体" w:cs="宋体"/>
      <w:kern w:val="0"/>
    </w:rPr>
  </w:style>
  <w:style w:type="paragraph" w:customStyle="1" w:styleId="541411">
    <w:name w:val="表内541411"/>
    <w:basedOn w:val="a"/>
    <w:uiPriority w:val="99"/>
    <w:qFormat/>
    <w:pPr>
      <w:widowControl/>
      <w:spacing w:line="300" w:lineRule="auto"/>
      <w:jc w:val="center"/>
    </w:pPr>
    <w:rPr>
      <w:rFonts w:ascii="宋体" w:hAnsi="宋体" w:cs="宋体"/>
      <w:kern w:val="0"/>
      <w:szCs w:val="20"/>
    </w:rPr>
  </w:style>
  <w:style w:type="paragraph" w:customStyle="1" w:styleId="CharCharCharCharCharCharChar141">
    <w:name w:val="Char Char Char Char Char Char Char141"/>
    <w:basedOn w:val="a"/>
    <w:uiPriority w:val="99"/>
    <w:qFormat/>
    <w:pPr>
      <w:widowControl/>
      <w:jc w:val="left"/>
    </w:pPr>
    <w:rPr>
      <w:rFonts w:ascii="宋体" w:hAnsi="宋体" w:cs="宋体"/>
      <w:kern w:val="0"/>
    </w:rPr>
  </w:style>
  <w:style w:type="paragraph" w:customStyle="1" w:styleId="xl243">
    <w:name w:val="xl243"/>
    <w:basedOn w:val="a"/>
    <w:uiPriority w:val="99"/>
    <w:qFormat/>
    <w:pPr>
      <w:widowControl/>
      <w:pBdr>
        <w:bottom w:val="single" w:sz="4" w:space="0" w:color="auto"/>
        <w:right w:val="single" w:sz="4" w:space="0" w:color="auto"/>
      </w:pBdr>
      <w:spacing w:before="100" w:beforeAutospacing="1" w:after="100" w:afterAutospacing="1"/>
      <w:jc w:val="center"/>
    </w:pPr>
    <w:rPr>
      <w:rFonts w:ascii="宋体" w:hAnsi="宋体" w:cs="宋体"/>
      <w:kern w:val="0"/>
      <w:szCs w:val="21"/>
    </w:rPr>
  </w:style>
  <w:style w:type="paragraph" w:customStyle="1" w:styleId="Char2410">
    <w:name w:val="Char241"/>
    <w:basedOn w:val="a"/>
    <w:qFormat/>
    <w:pPr>
      <w:widowControl/>
      <w:ind w:left="-48"/>
      <w:jc w:val="left"/>
    </w:pPr>
    <w:rPr>
      <w:rFonts w:ascii="宋体" w:hAnsi="宋体" w:cs="宋体"/>
      <w:kern w:val="0"/>
    </w:rPr>
  </w:style>
  <w:style w:type="paragraph" w:customStyle="1" w:styleId="CharCharCharCharCharCharChar121">
    <w:name w:val="Char Char Char Char Char Char Char121"/>
    <w:basedOn w:val="a"/>
    <w:qFormat/>
    <w:pPr>
      <w:widowControl/>
      <w:jc w:val="left"/>
    </w:pPr>
    <w:rPr>
      <w:rFonts w:ascii="宋体" w:hAnsi="宋体" w:cs="宋体"/>
      <w:kern w:val="0"/>
      <w:szCs w:val="20"/>
    </w:rPr>
  </w:style>
  <w:style w:type="paragraph" w:customStyle="1" w:styleId="11f3">
    <w:name w:val="环评正文11"/>
    <w:qFormat/>
    <w:pPr>
      <w:spacing w:line="440" w:lineRule="exact"/>
      <w:ind w:firstLineChars="200" w:firstLine="200"/>
    </w:pPr>
    <w:rPr>
      <w:bCs/>
      <w:kern w:val="2"/>
      <w:sz w:val="24"/>
      <w:szCs w:val="24"/>
    </w:rPr>
  </w:style>
  <w:style w:type="paragraph" w:customStyle="1" w:styleId="CharCharCharChar1CharCharChar18">
    <w:name w:val="Char Char Char Char1 Char Char Char18"/>
    <w:basedOn w:val="a"/>
    <w:qFormat/>
    <w:pPr>
      <w:widowControl/>
      <w:spacing w:after="160" w:line="240" w:lineRule="exact"/>
      <w:jc w:val="left"/>
    </w:pPr>
    <w:rPr>
      <w:rFonts w:ascii="Verdana" w:hAnsi="Verdana" w:cs="宋体"/>
      <w:kern w:val="0"/>
      <w:sz w:val="20"/>
      <w:szCs w:val="20"/>
      <w:lang w:eastAsia="en-US"/>
    </w:rPr>
  </w:style>
  <w:style w:type="paragraph" w:customStyle="1" w:styleId="54122">
    <w:name w:val="表内54122"/>
    <w:basedOn w:val="a"/>
    <w:qFormat/>
    <w:pPr>
      <w:widowControl/>
      <w:spacing w:line="300" w:lineRule="auto"/>
      <w:jc w:val="center"/>
    </w:pPr>
    <w:rPr>
      <w:rFonts w:ascii="宋体" w:hAnsi="宋体" w:cs="宋体"/>
      <w:kern w:val="0"/>
      <w:szCs w:val="20"/>
    </w:rPr>
  </w:style>
  <w:style w:type="paragraph" w:customStyle="1" w:styleId="414H4H4141H42H41114221">
    <w:name w:val="样式 标题 4无效格式无效格式1河石管道4H4H41小小节河石管道41H42H411小小节1河石管道42...21"/>
    <w:basedOn w:val="4"/>
    <w:qFormat/>
    <w:pPr>
      <w:numPr>
        <w:ilvl w:val="0"/>
        <w:numId w:val="0"/>
      </w:numPr>
      <w:spacing w:after="0" w:line="360" w:lineRule="auto"/>
      <w:ind w:left="664" w:hanging="864"/>
    </w:pPr>
    <w:rPr>
      <w:rFonts w:ascii="黑体" w:eastAsia="黑体" w:hAnsi="Arial" w:cs="Times New Roman"/>
      <w:b w:val="0"/>
      <w:bCs w:val="0"/>
      <w:kern w:val="2"/>
      <w:sz w:val="24"/>
      <w:szCs w:val="24"/>
    </w:rPr>
  </w:style>
  <w:style w:type="paragraph" w:customStyle="1" w:styleId="13a">
    <w:name w:val="表内文字边13"/>
    <w:basedOn w:val="a"/>
    <w:qFormat/>
    <w:pPr>
      <w:widowControl/>
      <w:spacing w:line="240" w:lineRule="atLeast"/>
      <w:ind w:leftChars="-10" w:left="-21" w:rightChars="-20" w:right="-42"/>
      <w:jc w:val="left"/>
    </w:pPr>
    <w:rPr>
      <w:rFonts w:ascii="宋体" w:hAnsi="宋体" w:cs="宋体"/>
      <w:kern w:val="0"/>
      <w:szCs w:val="21"/>
    </w:rPr>
  </w:style>
  <w:style w:type="paragraph" w:customStyle="1" w:styleId="CharCharCharCharCharCharChar115">
    <w:name w:val="Char Char Char Char Char Char Char115"/>
    <w:basedOn w:val="a"/>
    <w:qFormat/>
    <w:pPr>
      <w:widowControl/>
      <w:jc w:val="left"/>
    </w:pPr>
    <w:rPr>
      <w:rFonts w:ascii="宋体" w:hAnsi="宋体" w:cs="宋体"/>
      <w:kern w:val="0"/>
    </w:rPr>
  </w:style>
  <w:style w:type="paragraph" w:customStyle="1" w:styleId="11112">
    <w:name w:val="燕山正文11112"/>
    <w:basedOn w:val="a"/>
    <w:qFormat/>
    <w:pPr>
      <w:widowControl/>
      <w:tabs>
        <w:tab w:val="left" w:pos="4680"/>
      </w:tabs>
      <w:spacing w:line="480" w:lineRule="exact"/>
      <w:jc w:val="left"/>
    </w:pPr>
    <w:rPr>
      <w:rFonts w:ascii="宋体" w:hAnsi="宋体" w:cs="宋体"/>
      <w:bCs/>
      <w:color w:val="000000"/>
      <w:kern w:val="0"/>
    </w:rPr>
  </w:style>
  <w:style w:type="paragraph" w:customStyle="1" w:styleId="431111">
    <w:name w:val="标题431111"/>
    <w:basedOn w:val="a"/>
    <w:qFormat/>
    <w:pPr>
      <w:widowControl/>
      <w:spacing w:line="480" w:lineRule="exact"/>
      <w:jc w:val="center"/>
    </w:pPr>
    <w:rPr>
      <w:rFonts w:ascii="宋体" w:hAnsi="宋体" w:cs="宋体"/>
      <w:kern w:val="0"/>
    </w:rPr>
  </w:style>
  <w:style w:type="paragraph" w:customStyle="1" w:styleId="1119">
    <w:name w:val="样式 表格内字体1 +11"/>
    <w:basedOn w:val="1ffffff"/>
    <w:next w:val="affffff1"/>
    <w:qFormat/>
    <w:rPr>
      <w:rFonts w:hAnsi="Times New Roman" w:cs="宋体"/>
      <w:szCs w:val="20"/>
    </w:rPr>
  </w:style>
  <w:style w:type="paragraph" w:customStyle="1" w:styleId="334">
    <w:name w:val="正文修改33"/>
    <w:basedOn w:val="affffe"/>
    <w:qFormat/>
    <w:rPr>
      <w:rFonts w:eastAsia="宋体" w:hAnsi="宋体" w:cs="宋体"/>
      <w:color w:val="000000"/>
      <w:szCs w:val="24"/>
    </w:rPr>
  </w:style>
  <w:style w:type="paragraph" w:customStyle="1" w:styleId="xl2411">
    <w:name w:val="xl2411"/>
    <w:basedOn w:val="a"/>
    <w:qFormat/>
    <w:pPr>
      <w:widowControl/>
      <w:pBdr>
        <w:bottom w:val="single" w:sz="4" w:space="0" w:color="auto"/>
        <w:right w:val="single" w:sz="4" w:space="0" w:color="auto"/>
      </w:pBdr>
      <w:spacing w:before="100" w:beforeAutospacing="1" w:after="100" w:afterAutospacing="1"/>
      <w:jc w:val="center"/>
    </w:pPr>
    <w:rPr>
      <w:rFonts w:ascii="宋体" w:hAnsi="宋体" w:cs="宋体"/>
      <w:kern w:val="0"/>
      <w:szCs w:val="21"/>
    </w:rPr>
  </w:style>
  <w:style w:type="paragraph" w:customStyle="1" w:styleId="c">
    <w:name w:val="c"/>
    <w:qFormat/>
    <w:pPr>
      <w:widowControl w:val="0"/>
      <w:autoSpaceDE w:val="0"/>
      <w:autoSpaceDN w:val="0"/>
      <w:adjustRightInd w:val="0"/>
      <w:jc w:val="both"/>
    </w:pPr>
    <w:rPr>
      <w:rFonts w:ascii="Arial" w:hAnsi="Arial"/>
      <w:sz w:val="24"/>
    </w:rPr>
  </w:style>
  <w:style w:type="paragraph" w:customStyle="1" w:styleId="111a">
    <w:name w:val="封面标准文稿编辑信息111"/>
    <w:qFormat/>
    <w:pPr>
      <w:spacing w:before="180" w:line="180" w:lineRule="exact"/>
      <w:jc w:val="center"/>
    </w:pPr>
    <w:rPr>
      <w:rFonts w:ascii="宋体"/>
      <w:sz w:val="21"/>
    </w:rPr>
  </w:style>
  <w:style w:type="paragraph" w:customStyle="1" w:styleId="1313">
    <w:name w:val="样式131"/>
    <w:basedOn w:val="314"/>
    <w:qFormat/>
    <w:pPr>
      <w:spacing w:line="240" w:lineRule="auto"/>
      <w:ind w:firstLine="0"/>
      <w:jc w:val="center"/>
    </w:pPr>
    <w:rPr>
      <w:rFonts w:cs="Times New Roman"/>
      <w:b/>
      <w:color w:val="auto"/>
      <w:szCs w:val="20"/>
    </w:rPr>
  </w:style>
  <w:style w:type="paragraph" w:customStyle="1" w:styleId="22a">
    <w:name w:val="样式22"/>
    <w:basedOn w:val="a"/>
    <w:qFormat/>
    <w:pPr>
      <w:widowControl/>
      <w:jc w:val="center"/>
      <w:textAlignment w:val="baseline"/>
      <w:outlineLvl w:val="0"/>
    </w:pPr>
    <w:rPr>
      <w:rFonts w:ascii="宋体" w:hAnsi="宋体" w:cs="宋体"/>
      <w:kern w:val="0"/>
      <w:szCs w:val="20"/>
    </w:rPr>
  </w:style>
  <w:style w:type="paragraph" w:customStyle="1" w:styleId="2212">
    <w:name w:val="表内文字小2212"/>
    <w:basedOn w:val="a"/>
    <w:qFormat/>
    <w:pPr>
      <w:widowControl/>
      <w:jc w:val="center"/>
    </w:pPr>
    <w:rPr>
      <w:rFonts w:ascii="宋体" w:hAnsi="Times" w:cs="宋体"/>
      <w:bCs/>
      <w:color w:val="000000"/>
      <w:kern w:val="0"/>
      <w:szCs w:val="20"/>
    </w:rPr>
  </w:style>
  <w:style w:type="paragraph" w:customStyle="1" w:styleId="13b">
    <w:name w:val="黑体三号13"/>
    <w:basedOn w:val="affff4"/>
    <w:qFormat/>
    <w:pPr>
      <w:jc w:val="center"/>
    </w:pPr>
    <w:rPr>
      <w:rFonts w:ascii="黑体" w:eastAsia="黑体" w:hAnsi="宋体" w:cs="宋体"/>
      <w:b/>
      <w:bCs/>
      <w:sz w:val="32"/>
      <w:szCs w:val="20"/>
    </w:rPr>
  </w:style>
  <w:style w:type="paragraph" w:customStyle="1" w:styleId="2220">
    <w:name w:val="表内文字小222"/>
    <w:basedOn w:val="a"/>
    <w:qFormat/>
    <w:pPr>
      <w:widowControl/>
      <w:jc w:val="center"/>
    </w:pPr>
    <w:rPr>
      <w:rFonts w:ascii="宋体" w:hAnsi="Times" w:cs="宋体"/>
      <w:bCs/>
      <w:color w:val="000000"/>
      <w:kern w:val="0"/>
      <w:szCs w:val="20"/>
    </w:rPr>
  </w:style>
  <w:style w:type="paragraph" w:customStyle="1" w:styleId="422">
    <w:name w:val="燕山正文42"/>
    <w:basedOn w:val="a"/>
    <w:qFormat/>
    <w:pPr>
      <w:widowControl/>
      <w:tabs>
        <w:tab w:val="left" w:pos="4680"/>
      </w:tabs>
      <w:spacing w:line="480" w:lineRule="exact"/>
      <w:jc w:val="left"/>
    </w:pPr>
    <w:rPr>
      <w:rFonts w:ascii="宋体" w:hAnsi="宋体" w:cs="宋体"/>
      <w:kern w:val="0"/>
    </w:rPr>
  </w:style>
  <w:style w:type="paragraph" w:customStyle="1" w:styleId="ParaCharCharCharChar42">
    <w:name w:val="默认段落字体 Para Char Char Char Char42"/>
    <w:basedOn w:val="a"/>
    <w:qFormat/>
    <w:pPr>
      <w:widowControl/>
      <w:jc w:val="left"/>
    </w:pPr>
    <w:rPr>
      <w:rFonts w:ascii="宋体" w:hAnsi="宋体" w:cs="宋体"/>
      <w:kern w:val="0"/>
    </w:rPr>
  </w:style>
  <w:style w:type="paragraph" w:customStyle="1" w:styleId="Char147">
    <w:name w:val="Char14"/>
    <w:basedOn w:val="a"/>
    <w:qFormat/>
    <w:pPr>
      <w:widowControl/>
      <w:ind w:left="-48"/>
      <w:jc w:val="left"/>
    </w:pPr>
    <w:rPr>
      <w:rFonts w:ascii="宋体" w:hAnsi="宋体" w:cs="宋体"/>
      <w:kern w:val="0"/>
    </w:rPr>
  </w:style>
  <w:style w:type="paragraph" w:customStyle="1" w:styleId="5911">
    <w:name w:val="表内5911"/>
    <w:basedOn w:val="a"/>
    <w:qFormat/>
    <w:pPr>
      <w:widowControl/>
      <w:spacing w:line="300" w:lineRule="auto"/>
      <w:jc w:val="center"/>
    </w:pPr>
    <w:rPr>
      <w:rFonts w:ascii="宋体" w:hAnsi="宋体" w:cs="宋体"/>
      <w:snapToGrid w:val="0"/>
      <w:kern w:val="0"/>
      <w:szCs w:val="21"/>
    </w:rPr>
  </w:style>
  <w:style w:type="paragraph" w:customStyle="1" w:styleId="3210">
    <w:name w:val="燕山正文321"/>
    <w:basedOn w:val="a"/>
    <w:qFormat/>
    <w:pPr>
      <w:widowControl/>
      <w:tabs>
        <w:tab w:val="left" w:pos="4680"/>
      </w:tabs>
      <w:spacing w:line="480" w:lineRule="exact"/>
      <w:jc w:val="left"/>
    </w:pPr>
    <w:rPr>
      <w:rFonts w:ascii="宋体" w:hAnsi="宋体" w:cs="宋体"/>
      <w:kern w:val="0"/>
    </w:rPr>
  </w:style>
  <w:style w:type="paragraph" w:customStyle="1" w:styleId="5330">
    <w:name w:val="表内533"/>
    <w:basedOn w:val="a"/>
    <w:qFormat/>
    <w:pPr>
      <w:widowControl/>
      <w:spacing w:line="300" w:lineRule="auto"/>
      <w:jc w:val="left"/>
    </w:pPr>
    <w:rPr>
      <w:rFonts w:ascii="宋体" w:hAnsi="宋体" w:cs="宋体"/>
      <w:kern w:val="0"/>
      <w:szCs w:val="20"/>
    </w:rPr>
  </w:style>
  <w:style w:type="paragraph" w:customStyle="1" w:styleId="ParaCharCharCharChar411">
    <w:name w:val="默认段落字体 Para Char Char Char Char411"/>
    <w:basedOn w:val="a"/>
    <w:qFormat/>
    <w:pPr>
      <w:widowControl/>
      <w:jc w:val="left"/>
    </w:pPr>
    <w:rPr>
      <w:rFonts w:ascii="宋体" w:hAnsi="宋体" w:cs="宋体"/>
      <w:kern w:val="0"/>
    </w:rPr>
  </w:style>
  <w:style w:type="paragraph" w:customStyle="1" w:styleId="5220">
    <w:name w:val="表内5中22"/>
    <w:basedOn w:val="a"/>
    <w:qFormat/>
    <w:pPr>
      <w:widowControl/>
      <w:jc w:val="center"/>
    </w:pPr>
    <w:rPr>
      <w:rFonts w:ascii="宋体" w:hAnsi="宋体" w:cs="Arial"/>
      <w:snapToGrid w:val="0"/>
      <w:color w:val="000000"/>
      <w:kern w:val="0"/>
      <w:szCs w:val="21"/>
    </w:rPr>
  </w:style>
  <w:style w:type="paragraph" w:customStyle="1" w:styleId="2141">
    <w:name w:val="表内文字小2141"/>
    <w:basedOn w:val="a"/>
    <w:qFormat/>
    <w:pPr>
      <w:widowControl/>
      <w:jc w:val="center"/>
    </w:pPr>
    <w:rPr>
      <w:rFonts w:ascii="宋体" w:hAnsi="Times" w:cs="宋体"/>
      <w:bCs/>
      <w:color w:val="000000"/>
      <w:kern w:val="0"/>
      <w:szCs w:val="20"/>
    </w:rPr>
  </w:style>
  <w:style w:type="paragraph" w:customStyle="1" w:styleId="5322">
    <w:name w:val="表内5322"/>
    <w:basedOn w:val="a"/>
    <w:qFormat/>
    <w:pPr>
      <w:widowControl/>
      <w:spacing w:line="300" w:lineRule="auto"/>
      <w:jc w:val="left"/>
    </w:pPr>
    <w:rPr>
      <w:rFonts w:ascii="宋体" w:hAnsi="宋体" w:cs="宋体"/>
      <w:kern w:val="0"/>
      <w:szCs w:val="20"/>
    </w:rPr>
  </w:style>
  <w:style w:type="paragraph" w:customStyle="1" w:styleId="154">
    <w:name w:val="表内文字小15"/>
    <w:basedOn w:val="a"/>
    <w:qFormat/>
    <w:pPr>
      <w:widowControl/>
      <w:jc w:val="center"/>
    </w:pPr>
    <w:rPr>
      <w:rFonts w:ascii="宋体" w:hAnsi="Times" w:cs="宋体"/>
      <w:kern w:val="0"/>
      <w:szCs w:val="20"/>
    </w:rPr>
  </w:style>
  <w:style w:type="paragraph" w:customStyle="1" w:styleId="FaxHeader1">
    <w:name w:val="Fax Header1"/>
    <w:basedOn w:val="a"/>
    <w:qFormat/>
    <w:pPr>
      <w:widowControl/>
      <w:spacing w:before="240" w:after="60"/>
      <w:jc w:val="left"/>
    </w:pPr>
    <w:rPr>
      <w:rFonts w:ascii="宋体" w:hAnsi="宋体" w:cs="宋体"/>
      <w:kern w:val="0"/>
      <w:sz w:val="20"/>
      <w:szCs w:val="20"/>
    </w:rPr>
  </w:style>
  <w:style w:type="paragraph" w:customStyle="1" w:styleId="5117">
    <w:name w:val="表内小5中11"/>
    <w:basedOn w:val="a"/>
    <w:qFormat/>
    <w:pPr>
      <w:widowControl/>
      <w:jc w:val="center"/>
    </w:pPr>
    <w:rPr>
      <w:rFonts w:ascii="宋体" w:hAnsi="宋体" w:cs="宋体"/>
      <w:kern w:val="0"/>
      <w:sz w:val="18"/>
      <w:szCs w:val="20"/>
    </w:rPr>
  </w:style>
  <w:style w:type="paragraph" w:customStyle="1" w:styleId="2124">
    <w:name w:val="黑体三号212"/>
    <w:basedOn w:val="affff4"/>
    <w:qFormat/>
    <w:pPr>
      <w:jc w:val="center"/>
    </w:pPr>
    <w:rPr>
      <w:rFonts w:ascii="黑体" w:eastAsia="黑体" w:hAnsi="宋体" w:cs="宋体"/>
      <w:b/>
      <w:bCs/>
      <w:sz w:val="32"/>
      <w:szCs w:val="20"/>
    </w:rPr>
  </w:style>
  <w:style w:type="paragraph" w:customStyle="1" w:styleId="51b">
    <w:name w:val="表内宋51"/>
    <w:basedOn w:val="5f5"/>
    <w:qFormat/>
    <w:pPr>
      <w:autoSpaceDE w:val="0"/>
      <w:autoSpaceDN w:val="0"/>
      <w:textAlignment w:val="auto"/>
    </w:pPr>
    <w:rPr>
      <w:color w:val="auto"/>
      <w:w w:val="90"/>
    </w:rPr>
  </w:style>
  <w:style w:type="paragraph" w:customStyle="1" w:styleId="511110">
    <w:name w:val="表内宋51111"/>
    <w:basedOn w:val="1ff2"/>
    <w:qFormat/>
    <w:rPr>
      <w:rFonts w:ascii="宋体" w:hAnsi="宋体" w:cs="宋体"/>
      <w:color w:val="000000"/>
      <w:sz w:val="21"/>
      <w:szCs w:val="24"/>
    </w:rPr>
  </w:style>
  <w:style w:type="paragraph" w:customStyle="1" w:styleId="13c">
    <w:name w:val="表13"/>
    <w:basedOn w:val="a"/>
    <w:qFormat/>
    <w:pPr>
      <w:widowControl/>
      <w:jc w:val="center"/>
    </w:pPr>
    <w:rPr>
      <w:rFonts w:ascii="宋体" w:hAnsi="宋体" w:cs="宋体"/>
      <w:kern w:val="0"/>
    </w:rPr>
  </w:style>
  <w:style w:type="paragraph" w:customStyle="1" w:styleId="Char262">
    <w:name w:val="Char26"/>
    <w:basedOn w:val="a"/>
    <w:qFormat/>
    <w:pPr>
      <w:widowControl/>
      <w:ind w:left="-48"/>
      <w:jc w:val="left"/>
    </w:pPr>
    <w:rPr>
      <w:rFonts w:ascii="宋体" w:hAnsi="宋体" w:cs="宋体"/>
      <w:kern w:val="0"/>
    </w:rPr>
  </w:style>
  <w:style w:type="paragraph" w:customStyle="1" w:styleId="423">
    <w:name w:val="表42"/>
    <w:basedOn w:val="a"/>
    <w:qFormat/>
    <w:pPr>
      <w:widowControl/>
      <w:jc w:val="center"/>
    </w:pPr>
    <w:rPr>
      <w:rFonts w:ascii="宋体" w:hAnsi="宋体" w:cs="宋体"/>
      <w:kern w:val="0"/>
    </w:rPr>
  </w:style>
  <w:style w:type="paragraph" w:customStyle="1" w:styleId="41120">
    <w:name w:val="表题4112"/>
    <w:basedOn w:val="1fa"/>
    <w:qFormat/>
    <w:pPr>
      <w:widowControl/>
      <w:tabs>
        <w:tab w:val="left" w:pos="4305"/>
      </w:tabs>
      <w:spacing w:after="0" w:line="240" w:lineRule="auto"/>
      <w:ind w:leftChars="0" w:left="0" w:firstLineChars="0" w:firstLine="0"/>
      <w:jc w:val="center"/>
    </w:pPr>
    <w:rPr>
      <w:rFonts w:ascii="宋体" w:hAnsi="宋体" w:cs="宋体"/>
      <w:color w:val="000000"/>
      <w:sz w:val="24"/>
      <w:szCs w:val="24"/>
    </w:rPr>
  </w:style>
  <w:style w:type="paragraph" w:customStyle="1" w:styleId="143">
    <w:name w:val="燕山正文14"/>
    <w:basedOn w:val="a"/>
    <w:qFormat/>
    <w:pPr>
      <w:widowControl/>
      <w:tabs>
        <w:tab w:val="left" w:pos="4680"/>
      </w:tabs>
      <w:spacing w:line="480" w:lineRule="exact"/>
      <w:jc w:val="left"/>
    </w:pPr>
    <w:rPr>
      <w:rFonts w:ascii="宋体" w:hAnsi="宋体" w:cs="宋体"/>
      <w:kern w:val="0"/>
    </w:rPr>
  </w:style>
  <w:style w:type="paragraph" w:customStyle="1" w:styleId="550">
    <w:name w:val="表内5中5"/>
    <w:basedOn w:val="a"/>
    <w:qFormat/>
    <w:pPr>
      <w:widowControl/>
      <w:jc w:val="center"/>
    </w:pPr>
    <w:rPr>
      <w:rFonts w:ascii="宋体" w:hAnsi="宋体" w:cs="Arial"/>
      <w:snapToGrid w:val="0"/>
      <w:color w:val="000000"/>
      <w:kern w:val="0"/>
      <w:szCs w:val="21"/>
    </w:rPr>
  </w:style>
  <w:style w:type="paragraph" w:customStyle="1" w:styleId="5210">
    <w:name w:val="表内521"/>
    <w:basedOn w:val="a"/>
    <w:qFormat/>
    <w:pPr>
      <w:widowControl/>
      <w:spacing w:line="300" w:lineRule="auto"/>
      <w:jc w:val="left"/>
    </w:pPr>
    <w:rPr>
      <w:rFonts w:ascii="宋体" w:hAnsi="宋体" w:cs="宋体"/>
      <w:kern w:val="0"/>
      <w:sz w:val="18"/>
      <w:szCs w:val="20"/>
    </w:rPr>
  </w:style>
  <w:style w:type="paragraph" w:customStyle="1" w:styleId="Char2113">
    <w:name w:val="Char211"/>
    <w:basedOn w:val="a"/>
    <w:qFormat/>
    <w:pPr>
      <w:widowControl/>
      <w:ind w:left="-48"/>
      <w:jc w:val="left"/>
    </w:pPr>
    <w:rPr>
      <w:rFonts w:ascii="宋体" w:hAnsi="宋体" w:cs="宋体"/>
      <w:kern w:val="0"/>
    </w:rPr>
  </w:style>
  <w:style w:type="paragraph" w:customStyle="1" w:styleId="930">
    <w:name w:val="表题93"/>
    <w:basedOn w:val="2fff1"/>
    <w:qFormat/>
    <w:pPr>
      <w:spacing w:line="300" w:lineRule="auto"/>
      <w:jc w:val="center"/>
    </w:pPr>
    <w:rPr>
      <w:rFonts w:ascii="黑体" w:eastAsia="黑体"/>
      <w:szCs w:val="22"/>
    </w:rPr>
  </w:style>
  <w:style w:type="paragraph" w:customStyle="1" w:styleId="13d">
    <w:name w:val="封面标准文稿编辑信息13"/>
    <w:qFormat/>
    <w:pPr>
      <w:spacing w:before="180" w:line="180" w:lineRule="exact"/>
      <w:jc w:val="center"/>
    </w:pPr>
    <w:rPr>
      <w:rFonts w:ascii="宋体"/>
      <w:sz w:val="21"/>
    </w:rPr>
  </w:style>
  <w:style w:type="paragraph" w:customStyle="1" w:styleId="31220">
    <w:name w:val="样式 标题 3 + 段前: 12 磅2"/>
    <w:basedOn w:val="3"/>
    <w:qFormat/>
    <w:pPr>
      <w:keepNext w:val="0"/>
      <w:keepLines w:val="0"/>
      <w:widowControl/>
      <w:numPr>
        <w:ilvl w:val="0"/>
        <w:numId w:val="0"/>
      </w:numPr>
      <w:autoSpaceDE w:val="0"/>
      <w:autoSpaceDN w:val="0"/>
      <w:jc w:val="both"/>
    </w:pPr>
    <w:rPr>
      <w:rFonts w:ascii="黑体" w:eastAsia="黑体" w:hAnsi="宋体" w:cs="宋体"/>
      <w:b w:val="0"/>
      <w:bCs w:val="0"/>
      <w:color w:val="000000"/>
      <w:kern w:val="21"/>
      <w:szCs w:val="20"/>
    </w:rPr>
  </w:style>
  <w:style w:type="paragraph" w:customStyle="1" w:styleId="FaxHeader3">
    <w:name w:val="Fax Header3"/>
    <w:basedOn w:val="a"/>
    <w:qFormat/>
    <w:pPr>
      <w:widowControl/>
      <w:spacing w:before="240" w:after="60"/>
      <w:jc w:val="left"/>
    </w:pPr>
    <w:rPr>
      <w:rFonts w:ascii="宋体" w:hAnsi="宋体" w:cs="宋体"/>
      <w:kern w:val="0"/>
      <w:sz w:val="20"/>
      <w:szCs w:val="20"/>
    </w:rPr>
  </w:style>
  <w:style w:type="paragraph" w:customStyle="1" w:styleId="54151">
    <w:name w:val="表内54151"/>
    <w:basedOn w:val="a"/>
    <w:qFormat/>
    <w:pPr>
      <w:widowControl/>
      <w:spacing w:line="300" w:lineRule="auto"/>
      <w:jc w:val="center"/>
    </w:pPr>
    <w:rPr>
      <w:rFonts w:ascii="宋体" w:hAnsi="宋体" w:cs="宋体"/>
      <w:kern w:val="0"/>
      <w:szCs w:val="20"/>
    </w:rPr>
  </w:style>
  <w:style w:type="paragraph" w:customStyle="1" w:styleId="ParaCharCharCharCharChar12">
    <w:name w:val="默认段落字体 Para Char Char Char Char Char12"/>
    <w:basedOn w:val="a"/>
    <w:qFormat/>
    <w:pPr>
      <w:widowControl/>
      <w:jc w:val="left"/>
    </w:pPr>
    <w:rPr>
      <w:rFonts w:ascii="宋体" w:hAnsi="宋体" w:cs="宋体"/>
      <w:kern w:val="0"/>
    </w:rPr>
  </w:style>
  <w:style w:type="paragraph" w:customStyle="1" w:styleId="3124">
    <w:name w:val="燕山正文312"/>
    <w:basedOn w:val="a"/>
    <w:qFormat/>
    <w:pPr>
      <w:widowControl/>
      <w:tabs>
        <w:tab w:val="left" w:pos="4680"/>
      </w:tabs>
      <w:spacing w:line="480" w:lineRule="exact"/>
      <w:jc w:val="left"/>
    </w:pPr>
    <w:rPr>
      <w:rFonts w:ascii="宋体" w:hAnsi="宋体" w:cs="宋体"/>
      <w:kern w:val="0"/>
    </w:rPr>
  </w:style>
  <w:style w:type="paragraph" w:customStyle="1" w:styleId="4220">
    <w:name w:val="标题422"/>
    <w:basedOn w:val="a"/>
    <w:pPr>
      <w:widowControl/>
      <w:spacing w:line="300" w:lineRule="auto"/>
      <w:jc w:val="left"/>
    </w:pPr>
    <w:rPr>
      <w:rFonts w:ascii="黑体" w:eastAsia="黑体" w:hAnsi="宋体" w:cs="宋体"/>
      <w:bCs/>
      <w:kern w:val="0"/>
    </w:rPr>
  </w:style>
  <w:style w:type="paragraph" w:customStyle="1" w:styleId="611">
    <w:name w:val="表中文字61"/>
    <w:basedOn w:val="a"/>
    <w:qFormat/>
    <w:pPr>
      <w:widowControl/>
      <w:spacing w:line="240" w:lineRule="atLeast"/>
      <w:ind w:leftChars="-10" w:left="-24" w:rightChars="-20" w:right="-48"/>
      <w:jc w:val="center"/>
    </w:pPr>
    <w:rPr>
      <w:rFonts w:ascii="宋体" w:hAnsi="宋体" w:cs="宋体"/>
      <w:kern w:val="0"/>
      <w:szCs w:val="21"/>
    </w:rPr>
  </w:style>
  <w:style w:type="paragraph" w:customStyle="1" w:styleId="236">
    <w:name w:val="正文格式＝23"/>
    <w:basedOn w:val="affff4"/>
    <w:next w:val="affff4"/>
    <w:qFormat/>
    <w:rPr>
      <w:rFonts w:hAnsi="宋体"/>
      <w:szCs w:val="24"/>
    </w:rPr>
  </w:style>
  <w:style w:type="paragraph" w:customStyle="1" w:styleId="Char1414">
    <w:name w:val="Char141"/>
    <w:basedOn w:val="a"/>
    <w:qFormat/>
    <w:pPr>
      <w:widowControl/>
      <w:ind w:left="-48"/>
      <w:jc w:val="left"/>
    </w:pPr>
    <w:rPr>
      <w:rFonts w:ascii="宋体" w:hAnsi="宋体" w:cs="宋体"/>
      <w:kern w:val="0"/>
    </w:rPr>
  </w:style>
  <w:style w:type="paragraph" w:customStyle="1" w:styleId="2115">
    <w:name w:val="附件211"/>
    <w:basedOn w:val="1"/>
    <w:next w:val="affff4"/>
    <w:qFormat/>
    <w:pPr>
      <w:numPr>
        <w:numId w:val="0"/>
      </w:numPr>
      <w:adjustRightInd/>
      <w:snapToGrid/>
      <w:spacing w:after="210"/>
      <w:jc w:val="left"/>
    </w:pPr>
    <w:rPr>
      <w:rFonts w:ascii="黑体" w:eastAsia="黑体"/>
      <w:b w:val="0"/>
      <w:sz w:val="32"/>
      <w:szCs w:val="32"/>
      <w:lang w:val="zh-CN"/>
    </w:rPr>
  </w:style>
  <w:style w:type="paragraph" w:customStyle="1" w:styleId="31112">
    <w:name w:val="表题31112"/>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21f4">
    <w:name w:val="正文修改21"/>
    <w:basedOn w:val="affffe"/>
    <w:qFormat/>
    <w:rPr>
      <w:rFonts w:eastAsia="宋体" w:hAnsi="宋体" w:cs="宋体"/>
      <w:color w:val="000000"/>
      <w:szCs w:val="24"/>
    </w:rPr>
  </w:style>
  <w:style w:type="paragraph" w:customStyle="1" w:styleId="CharCharCharCharCharCharChar411">
    <w:name w:val="Char Char Char Char Char Char Char411"/>
    <w:basedOn w:val="a"/>
    <w:qFormat/>
    <w:pPr>
      <w:widowControl/>
      <w:jc w:val="left"/>
    </w:pPr>
    <w:rPr>
      <w:rFonts w:ascii="宋体" w:hAnsi="宋体" w:cs="宋体"/>
      <w:kern w:val="0"/>
    </w:rPr>
  </w:style>
  <w:style w:type="paragraph" w:customStyle="1" w:styleId="Char2311">
    <w:name w:val="Char2311"/>
    <w:basedOn w:val="a"/>
    <w:qFormat/>
    <w:pPr>
      <w:widowControl/>
      <w:ind w:left="-48"/>
      <w:jc w:val="left"/>
    </w:pPr>
    <w:rPr>
      <w:rFonts w:ascii="宋体" w:hAnsi="宋体" w:cs="宋体"/>
      <w:kern w:val="0"/>
    </w:rPr>
  </w:style>
  <w:style w:type="paragraph" w:customStyle="1" w:styleId="Char431">
    <w:name w:val="Char431"/>
    <w:basedOn w:val="a"/>
    <w:qFormat/>
    <w:pPr>
      <w:widowControl/>
      <w:ind w:left="-48"/>
      <w:jc w:val="left"/>
    </w:pPr>
    <w:rPr>
      <w:rFonts w:ascii="宋体" w:hAnsi="宋体" w:cs="宋体"/>
      <w:kern w:val="0"/>
    </w:rPr>
  </w:style>
  <w:style w:type="paragraph" w:customStyle="1" w:styleId="Char2121">
    <w:name w:val="Char212"/>
    <w:basedOn w:val="a"/>
    <w:qFormat/>
    <w:pPr>
      <w:widowControl/>
      <w:ind w:left="-48"/>
      <w:jc w:val="left"/>
    </w:pPr>
    <w:rPr>
      <w:rFonts w:ascii="宋体" w:hAnsi="宋体" w:cs="宋体"/>
      <w:kern w:val="0"/>
    </w:rPr>
  </w:style>
  <w:style w:type="paragraph" w:customStyle="1" w:styleId="ParaCharCharCharChar12">
    <w:name w:val="默认段落字体 Para Char Char Char Char12"/>
    <w:basedOn w:val="a"/>
    <w:qFormat/>
    <w:pPr>
      <w:widowControl/>
      <w:jc w:val="left"/>
    </w:pPr>
    <w:rPr>
      <w:rFonts w:ascii="宋体" w:hAnsi="宋体" w:cs="宋体"/>
      <w:kern w:val="0"/>
    </w:rPr>
  </w:style>
  <w:style w:type="paragraph" w:customStyle="1" w:styleId="424">
    <w:name w:val="表中文字42"/>
    <w:basedOn w:val="a"/>
    <w:qFormat/>
    <w:pPr>
      <w:widowControl/>
      <w:spacing w:line="340" w:lineRule="exact"/>
      <w:jc w:val="center"/>
    </w:pPr>
    <w:rPr>
      <w:rFonts w:ascii="Arial" w:hAnsi="Arial" w:cs="宋体"/>
      <w:kern w:val="0"/>
      <w:sz w:val="20"/>
      <w:lang w:eastAsia="zh-TW"/>
    </w:rPr>
  </w:style>
  <w:style w:type="paragraph" w:customStyle="1" w:styleId="1222">
    <w:name w:val="表中文字122"/>
    <w:basedOn w:val="a"/>
    <w:qFormat/>
    <w:pPr>
      <w:widowControl/>
      <w:spacing w:line="240" w:lineRule="atLeast"/>
      <w:ind w:leftChars="-10" w:left="-24" w:rightChars="-20" w:right="-48"/>
      <w:jc w:val="center"/>
    </w:pPr>
    <w:rPr>
      <w:rFonts w:ascii="宋体" w:hAnsi="宋体" w:cs="宋体"/>
      <w:kern w:val="0"/>
      <w:szCs w:val="21"/>
    </w:rPr>
  </w:style>
  <w:style w:type="paragraph" w:customStyle="1" w:styleId="ParaCharCharCharChar11">
    <w:name w:val="默认段落字体 Para Char Char Char Char11"/>
    <w:basedOn w:val="a"/>
    <w:qFormat/>
    <w:pPr>
      <w:widowControl/>
      <w:jc w:val="left"/>
    </w:pPr>
    <w:rPr>
      <w:rFonts w:ascii="宋体" w:hAnsi="宋体" w:cs="宋体"/>
      <w:kern w:val="0"/>
    </w:rPr>
  </w:style>
  <w:style w:type="paragraph" w:customStyle="1" w:styleId="CharCharCharChar1CharCharChar5">
    <w:name w:val="Char Char Char Char1 Char Char Char5"/>
    <w:basedOn w:val="a"/>
    <w:qFormat/>
    <w:pPr>
      <w:widowControl/>
      <w:spacing w:after="160" w:line="240" w:lineRule="exact"/>
      <w:jc w:val="left"/>
    </w:pPr>
    <w:rPr>
      <w:rFonts w:ascii="Verdana" w:hAnsi="Verdana" w:cs="宋体"/>
      <w:kern w:val="0"/>
      <w:sz w:val="20"/>
      <w:szCs w:val="20"/>
      <w:lang w:eastAsia="en-US"/>
    </w:rPr>
  </w:style>
  <w:style w:type="paragraph" w:customStyle="1" w:styleId="11f4">
    <w:name w:val="标准11"/>
    <w:basedOn w:val="a"/>
    <w:qFormat/>
    <w:pPr>
      <w:widowControl/>
      <w:spacing w:before="120" w:line="336" w:lineRule="auto"/>
      <w:jc w:val="center"/>
      <w:textAlignment w:val="baseline"/>
    </w:pPr>
    <w:rPr>
      <w:rFonts w:ascii="黑体" w:eastAsia="黑体" w:hAnsi="宋体" w:cs="宋体"/>
      <w:kern w:val="0"/>
      <w:szCs w:val="20"/>
    </w:rPr>
  </w:style>
  <w:style w:type="paragraph" w:customStyle="1" w:styleId="145">
    <w:name w:val="表中文字14"/>
    <w:basedOn w:val="a"/>
    <w:pPr>
      <w:widowControl/>
      <w:spacing w:line="240" w:lineRule="atLeast"/>
      <w:ind w:leftChars="-10" w:left="-24" w:rightChars="-20" w:right="-48"/>
      <w:jc w:val="center"/>
    </w:pPr>
    <w:rPr>
      <w:rFonts w:ascii="宋体" w:hAnsi="宋体" w:cs="宋体"/>
      <w:kern w:val="0"/>
      <w:szCs w:val="21"/>
    </w:rPr>
  </w:style>
  <w:style w:type="paragraph" w:customStyle="1" w:styleId="13130">
    <w:name w:val="燕山正文1313"/>
    <w:basedOn w:val="a"/>
    <w:qFormat/>
    <w:pPr>
      <w:widowControl/>
      <w:tabs>
        <w:tab w:val="left" w:pos="4680"/>
      </w:tabs>
      <w:jc w:val="left"/>
    </w:pPr>
    <w:rPr>
      <w:rFonts w:ascii="宋体" w:hAnsi="宋体" w:cs="宋体"/>
      <w:bCs/>
      <w:color w:val="000000"/>
      <w:kern w:val="0"/>
    </w:rPr>
  </w:style>
  <w:style w:type="paragraph" w:customStyle="1" w:styleId="21112">
    <w:name w:val="表内文字小21112"/>
    <w:basedOn w:val="a"/>
    <w:qFormat/>
    <w:pPr>
      <w:widowControl/>
      <w:jc w:val="center"/>
    </w:pPr>
    <w:rPr>
      <w:rFonts w:ascii="宋体" w:hAnsi="Times" w:cs="宋体"/>
      <w:bCs/>
      <w:color w:val="000000"/>
      <w:kern w:val="0"/>
      <w:szCs w:val="20"/>
    </w:rPr>
  </w:style>
  <w:style w:type="paragraph" w:customStyle="1" w:styleId="CharCharCharCharCharCharChar10">
    <w:name w:val="Char Char Char Char Char Char Char10"/>
    <w:basedOn w:val="a"/>
    <w:qFormat/>
    <w:pPr>
      <w:widowControl/>
      <w:jc w:val="left"/>
    </w:pPr>
    <w:rPr>
      <w:rFonts w:ascii="宋体" w:hAnsi="宋体" w:cs="宋体"/>
      <w:kern w:val="0"/>
    </w:rPr>
  </w:style>
  <w:style w:type="paragraph" w:customStyle="1" w:styleId="2125">
    <w:name w:val="表中文字212"/>
    <w:basedOn w:val="a"/>
    <w:qFormat/>
    <w:pPr>
      <w:widowControl/>
      <w:spacing w:line="240" w:lineRule="atLeast"/>
      <w:ind w:rightChars="-20" w:right="-42"/>
      <w:jc w:val="center"/>
      <w:textAlignment w:val="baseline"/>
    </w:pPr>
    <w:rPr>
      <w:rFonts w:ascii="宋体" w:hAnsi="宋体" w:cs="宋体"/>
      <w:kern w:val="0"/>
      <w:szCs w:val="21"/>
    </w:rPr>
  </w:style>
  <w:style w:type="paragraph" w:customStyle="1" w:styleId="Char32110">
    <w:name w:val="Char3211"/>
    <w:basedOn w:val="a"/>
    <w:qFormat/>
    <w:pPr>
      <w:widowControl/>
      <w:ind w:left="-48"/>
      <w:jc w:val="left"/>
    </w:pPr>
    <w:rPr>
      <w:rFonts w:ascii="宋体" w:hAnsi="宋体" w:cs="宋体"/>
      <w:kern w:val="0"/>
    </w:rPr>
  </w:style>
  <w:style w:type="paragraph" w:customStyle="1" w:styleId="xl633">
    <w:name w:val="xl633"/>
    <w:basedOn w:val="a"/>
    <w:qFormat/>
    <w:pPr>
      <w:widowControl/>
      <w:spacing w:before="100" w:beforeAutospacing="1" w:after="100" w:afterAutospacing="1"/>
      <w:jc w:val="center"/>
      <w:textAlignment w:val="center"/>
    </w:pPr>
    <w:rPr>
      <w:rFonts w:ascii="黑体" w:eastAsia="黑体" w:hAnsi="宋体" w:cs="宋体" w:hint="eastAsia"/>
      <w:kern w:val="0"/>
    </w:rPr>
  </w:style>
  <w:style w:type="paragraph" w:customStyle="1" w:styleId="Char460">
    <w:name w:val="Char46"/>
    <w:basedOn w:val="a"/>
    <w:qFormat/>
    <w:pPr>
      <w:widowControl/>
      <w:ind w:left="-48"/>
      <w:jc w:val="left"/>
    </w:pPr>
    <w:rPr>
      <w:rFonts w:ascii="宋体" w:hAnsi="宋体" w:cs="宋体"/>
      <w:kern w:val="0"/>
    </w:rPr>
  </w:style>
  <w:style w:type="paragraph" w:customStyle="1" w:styleId="Char480">
    <w:name w:val="Char48"/>
    <w:basedOn w:val="a"/>
    <w:qFormat/>
    <w:pPr>
      <w:widowControl/>
      <w:ind w:left="-48"/>
      <w:jc w:val="left"/>
    </w:pPr>
    <w:rPr>
      <w:rFonts w:ascii="宋体" w:hAnsi="宋体" w:cs="宋体"/>
      <w:kern w:val="0"/>
    </w:rPr>
  </w:style>
  <w:style w:type="paragraph" w:customStyle="1" w:styleId="79">
    <w:name w:val="黑体三号7"/>
    <w:basedOn w:val="affff4"/>
    <w:qFormat/>
    <w:pPr>
      <w:jc w:val="center"/>
    </w:pPr>
    <w:rPr>
      <w:rFonts w:ascii="黑体" w:eastAsia="黑体" w:hAnsi="宋体" w:cs="宋体"/>
      <w:b/>
      <w:bCs/>
      <w:sz w:val="32"/>
      <w:szCs w:val="20"/>
    </w:rPr>
  </w:style>
  <w:style w:type="paragraph" w:customStyle="1" w:styleId="3ffc">
    <w:name w:val="正文缩3"/>
    <w:basedOn w:val="a"/>
    <w:qFormat/>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3140">
    <w:name w:val="表题314"/>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2116">
    <w:name w:val="样式211"/>
    <w:basedOn w:val="a"/>
    <w:qFormat/>
    <w:pPr>
      <w:widowControl/>
      <w:jc w:val="center"/>
      <w:textAlignment w:val="baseline"/>
      <w:outlineLvl w:val="0"/>
    </w:pPr>
    <w:rPr>
      <w:rFonts w:ascii="宋体" w:hAnsi="宋体" w:cs="宋体"/>
      <w:kern w:val="0"/>
      <w:szCs w:val="20"/>
    </w:rPr>
  </w:style>
  <w:style w:type="paragraph" w:customStyle="1" w:styleId="c12">
    <w:name w:val="c12"/>
    <w:qFormat/>
    <w:pPr>
      <w:widowControl w:val="0"/>
      <w:autoSpaceDE w:val="0"/>
      <w:autoSpaceDN w:val="0"/>
      <w:adjustRightInd w:val="0"/>
      <w:jc w:val="both"/>
    </w:pPr>
    <w:rPr>
      <w:rFonts w:ascii="Arial" w:hAnsi="Arial"/>
      <w:sz w:val="24"/>
    </w:rPr>
  </w:style>
  <w:style w:type="paragraph" w:customStyle="1" w:styleId="111b">
    <w:name w:val="样式111"/>
    <w:basedOn w:val="314"/>
    <w:qFormat/>
    <w:pPr>
      <w:spacing w:line="240" w:lineRule="auto"/>
      <w:ind w:firstLine="0"/>
      <w:jc w:val="center"/>
    </w:pPr>
    <w:rPr>
      <w:rFonts w:cs="Times New Roman"/>
      <w:b/>
      <w:color w:val="auto"/>
      <w:szCs w:val="20"/>
    </w:rPr>
  </w:style>
  <w:style w:type="paragraph" w:customStyle="1" w:styleId="1412">
    <w:name w:val="表题1412"/>
    <w:basedOn w:val="a"/>
    <w:qFormat/>
    <w:pPr>
      <w:widowControl/>
      <w:jc w:val="center"/>
    </w:pPr>
    <w:rPr>
      <w:rFonts w:ascii="黑体" w:eastAsia="黑体" w:hAnsi="宋体" w:cs="宋体"/>
      <w:kern w:val="0"/>
    </w:rPr>
  </w:style>
  <w:style w:type="paragraph" w:customStyle="1" w:styleId="527">
    <w:name w:val="表内宋52"/>
    <w:basedOn w:val="5f5"/>
    <w:qFormat/>
    <w:pPr>
      <w:autoSpaceDE w:val="0"/>
      <w:autoSpaceDN w:val="0"/>
      <w:textAlignment w:val="auto"/>
    </w:pPr>
    <w:rPr>
      <w:color w:val="auto"/>
      <w:w w:val="90"/>
    </w:rPr>
  </w:style>
  <w:style w:type="paragraph" w:customStyle="1" w:styleId="31212">
    <w:name w:val="表内文字小31212"/>
    <w:basedOn w:val="a"/>
    <w:qFormat/>
    <w:pPr>
      <w:widowControl/>
      <w:jc w:val="center"/>
    </w:pPr>
    <w:rPr>
      <w:rFonts w:ascii="宋体" w:hAnsi="Times" w:cs="宋体"/>
      <w:bCs/>
      <w:color w:val="003366"/>
      <w:kern w:val="0"/>
      <w:szCs w:val="20"/>
    </w:rPr>
  </w:style>
  <w:style w:type="paragraph" w:customStyle="1" w:styleId="541212">
    <w:name w:val="表内541212"/>
    <w:basedOn w:val="a"/>
    <w:qFormat/>
    <w:pPr>
      <w:widowControl/>
      <w:spacing w:line="300" w:lineRule="auto"/>
      <w:jc w:val="center"/>
    </w:pPr>
    <w:rPr>
      <w:rFonts w:ascii="宋体" w:hAnsi="宋体" w:cs="宋体"/>
      <w:kern w:val="0"/>
      <w:szCs w:val="20"/>
    </w:rPr>
  </w:style>
  <w:style w:type="paragraph" w:customStyle="1" w:styleId="41111">
    <w:name w:val="表题4111"/>
    <w:basedOn w:val="1fa"/>
    <w:qFormat/>
    <w:pPr>
      <w:widowControl/>
      <w:tabs>
        <w:tab w:val="left" w:pos="4305"/>
      </w:tabs>
      <w:spacing w:after="0" w:line="240" w:lineRule="auto"/>
      <w:ind w:leftChars="0" w:left="0" w:firstLineChars="0" w:firstLine="0"/>
      <w:jc w:val="center"/>
    </w:pPr>
    <w:rPr>
      <w:rFonts w:ascii="宋体" w:hAnsi="宋体" w:cs="宋体"/>
      <w:color w:val="000000"/>
      <w:sz w:val="24"/>
      <w:szCs w:val="24"/>
    </w:rPr>
  </w:style>
  <w:style w:type="paragraph" w:customStyle="1" w:styleId="327">
    <w:name w:val="表内文字小32"/>
    <w:basedOn w:val="a"/>
    <w:qFormat/>
    <w:pPr>
      <w:widowControl/>
      <w:jc w:val="center"/>
    </w:pPr>
    <w:rPr>
      <w:rFonts w:ascii="宋体" w:hAnsi="Times" w:cs="宋体"/>
      <w:kern w:val="0"/>
      <w:szCs w:val="20"/>
    </w:rPr>
  </w:style>
  <w:style w:type="paragraph" w:customStyle="1" w:styleId="c11">
    <w:name w:val="c11"/>
    <w:qFormat/>
    <w:pPr>
      <w:widowControl w:val="0"/>
      <w:autoSpaceDE w:val="0"/>
      <w:autoSpaceDN w:val="0"/>
      <w:adjustRightInd w:val="0"/>
      <w:jc w:val="both"/>
    </w:pPr>
    <w:rPr>
      <w:rFonts w:ascii="Arial" w:hAnsi="Arial"/>
      <w:sz w:val="24"/>
    </w:rPr>
  </w:style>
  <w:style w:type="paragraph" w:customStyle="1" w:styleId="12c">
    <w:name w:val="附件12"/>
    <w:basedOn w:val="1"/>
    <w:next w:val="affff4"/>
    <w:qFormat/>
    <w:pPr>
      <w:numPr>
        <w:numId w:val="0"/>
      </w:numPr>
      <w:adjustRightInd/>
      <w:snapToGrid/>
      <w:spacing w:after="210"/>
      <w:jc w:val="left"/>
    </w:pPr>
    <w:rPr>
      <w:rFonts w:ascii="黑体" w:eastAsia="黑体"/>
      <w:b w:val="0"/>
      <w:sz w:val="32"/>
      <w:szCs w:val="32"/>
      <w:lang w:val="zh-CN"/>
    </w:rPr>
  </w:style>
  <w:style w:type="paragraph" w:customStyle="1" w:styleId="311120">
    <w:name w:val="表内文字小31112"/>
    <w:basedOn w:val="a"/>
    <w:qFormat/>
    <w:pPr>
      <w:widowControl/>
      <w:jc w:val="center"/>
    </w:pPr>
    <w:rPr>
      <w:rFonts w:ascii="宋体" w:hAnsi="Times" w:cs="宋体"/>
      <w:bCs/>
      <w:color w:val="003366"/>
      <w:kern w:val="0"/>
      <w:szCs w:val="20"/>
    </w:rPr>
  </w:style>
  <w:style w:type="paragraph" w:customStyle="1" w:styleId="Char2180">
    <w:name w:val="Char218"/>
    <w:basedOn w:val="a"/>
    <w:qFormat/>
    <w:pPr>
      <w:widowControl/>
      <w:ind w:left="-48"/>
      <w:jc w:val="left"/>
    </w:pPr>
    <w:rPr>
      <w:rFonts w:ascii="宋体" w:hAnsi="宋体" w:cs="宋体"/>
      <w:kern w:val="0"/>
    </w:rPr>
  </w:style>
  <w:style w:type="paragraph" w:customStyle="1" w:styleId="441">
    <w:name w:val="正文格式＝44"/>
    <w:basedOn w:val="affff4"/>
    <w:next w:val="affff4"/>
    <w:qFormat/>
    <w:rPr>
      <w:rFonts w:hAnsi="宋体"/>
      <w:szCs w:val="24"/>
    </w:rPr>
  </w:style>
  <w:style w:type="paragraph" w:customStyle="1" w:styleId="535">
    <w:name w:val="表内宋53"/>
    <w:basedOn w:val="5f5"/>
    <w:qFormat/>
    <w:pPr>
      <w:autoSpaceDE w:val="0"/>
      <w:autoSpaceDN w:val="0"/>
      <w:textAlignment w:val="auto"/>
    </w:pPr>
    <w:rPr>
      <w:color w:val="auto"/>
      <w:w w:val="90"/>
    </w:rPr>
  </w:style>
  <w:style w:type="paragraph" w:customStyle="1" w:styleId="CharChar2CharCharCharChar8">
    <w:name w:val="Char Char2 Char Char Char Char8"/>
    <w:basedOn w:val="a"/>
    <w:qFormat/>
    <w:pPr>
      <w:widowControl/>
      <w:jc w:val="left"/>
    </w:pPr>
    <w:rPr>
      <w:rFonts w:ascii="宋体" w:hAnsi="宋体" w:cs="宋体"/>
      <w:kern w:val="0"/>
    </w:rPr>
  </w:style>
  <w:style w:type="paragraph" w:customStyle="1" w:styleId="436">
    <w:name w:val="样式43"/>
    <w:basedOn w:val="a0"/>
    <w:qFormat/>
    <w:pPr>
      <w:widowControl/>
      <w:tabs>
        <w:tab w:val="left" w:pos="1820"/>
      </w:tabs>
      <w:spacing w:line="240" w:lineRule="atLeast"/>
      <w:jc w:val="center"/>
    </w:pPr>
    <w:rPr>
      <w:rFonts w:eastAsia="幼圆"/>
      <w:kern w:val="0"/>
      <w:sz w:val="21"/>
      <w:szCs w:val="20"/>
    </w:rPr>
  </w:style>
  <w:style w:type="paragraph" w:customStyle="1" w:styleId="3ffd">
    <w:name w:val="表内文字边3"/>
    <w:basedOn w:val="a"/>
    <w:qFormat/>
    <w:pPr>
      <w:widowControl/>
      <w:spacing w:line="240" w:lineRule="atLeast"/>
      <w:ind w:leftChars="-10" w:left="-21" w:rightChars="-20" w:right="-42"/>
      <w:jc w:val="left"/>
    </w:pPr>
    <w:rPr>
      <w:rFonts w:ascii="宋体" w:hAnsi="宋体" w:cs="宋体"/>
      <w:kern w:val="0"/>
      <w:szCs w:val="21"/>
    </w:rPr>
  </w:style>
  <w:style w:type="paragraph" w:customStyle="1" w:styleId="21130">
    <w:name w:val="表内文字小2113"/>
    <w:basedOn w:val="a"/>
    <w:qFormat/>
    <w:pPr>
      <w:widowControl/>
      <w:jc w:val="center"/>
    </w:pPr>
    <w:rPr>
      <w:rFonts w:ascii="宋体" w:hAnsi="Times" w:cs="宋体"/>
      <w:bCs/>
      <w:color w:val="000000"/>
      <w:kern w:val="0"/>
      <w:szCs w:val="20"/>
    </w:rPr>
  </w:style>
  <w:style w:type="paragraph" w:customStyle="1" w:styleId="Char4190">
    <w:name w:val="Char419"/>
    <w:basedOn w:val="a"/>
    <w:qFormat/>
    <w:pPr>
      <w:widowControl/>
      <w:ind w:left="-48"/>
      <w:jc w:val="left"/>
    </w:pPr>
    <w:rPr>
      <w:rFonts w:ascii="宋体" w:hAnsi="宋体" w:cs="宋体"/>
      <w:kern w:val="0"/>
    </w:rPr>
  </w:style>
  <w:style w:type="paragraph" w:customStyle="1" w:styleId="5414">
    <w:name w:val="表内5414"/>
    <w:basedOn w:val="a"/>
    <w:qFormat/>
    <w:pPr>
      <w:widowControl/>
      <w:spacing w:line="300" w:lineRule="auto"/>
      <w:jc w:val="center"/>
    </w:pPr>
    <w:rPr>
      <w:rFonts w:ascii="宋体" w:hAnsi="宋体" w:cs="宋体"/>
      <w:kern w:val="0"/>
      <w:szCs w:val="20"/>
    </w:rPr>
  </w:style>
  <w:style w:type="paragraph" w:customStyle="1" w:styleId="414H4H4141H42H41114213">
    <w:name w:val="样式 标题 4无效格式无效格式1河石管道4H4H41小小节河石管道41H42H411小小节1河石管道42...13"/>
    <w:basedOn w:val="4"/>
    <w:qFormat/>
    <w:pPr>
      <w:numPr>
        <w:ilvl w:val="0"/>
        <w:numId w:val="0"/>
      </w:numPr>
      <w:spacing w:after="0" w:line="360" w:lineRule="auto"/>
      <w:ind w:left="664" w:hanging="864"/>
    </w:pPr>
    <w:rPr>
      <w:rFonts w:ascii="黑体" w:eastAsia="黑体" w:hAnsi="Arial" w:cs="宋体"/>
      <w:b w:val="0"/>
      <w:bCs w:val="0"/>
      <w:kern w:val="2"/>
      <w:sz w:val="24"/>
      <w:szCs w:val="20"/>
    </w:rPr>
  </w:style>
  <w:style w:type="paragraph" w:customStyle="1" w:styleId="4115">
    <w:name w:val="正文修改411"/>
    <w:basedOn w:val="affffe"/>
    <w:qFormat/>
    <w:rPr>
      <w:rFonts w:eastAsia="宋体" w:hAnsi="宋体" w:cs="宋体"/>
      <w:color w:val="000000"/>
      <w:szCs w:val="24"/>
    </w:rPr>
  </w:style>
  <w:style w:type="paragraph" w:customStyle="1" w:styleId="CharChar2CharCharCharChar4">
    <w:name w:val="Char Char2 Char Char Char Char4"/>
    <w:basedOn w:val="a"/>
    <w:qFormat/>
    <w:pPr>
      <w:widowControl/>
      <w:jc w:val="left"/>
    </w:pPr>
    <w:rPr>
      <w:rFonts w:ascii="宋体" w:hAnsi="宋体" w:cs="宋体"/>
      <w:kern w:val="0"/>
    </w:rPr>
  </w:style>
  <w:style w:type="paragraph" w:customStyle="1" w:styleId="414H4H4141H42H411142211">
    <w:name w:val="样式 标题 4无效格式无效格式1河石管道4H4H41小小节河石管道41H42H411小小节1河石管道42...211"/>
    <w:basedOn w:val="4"/>
    <w:qFormat/>
    <w:pPr>
      <w:numPr>
        <w:ilvl w:val="0"/>
        <w:numId w:val="0"/>
      </w:numPr>
      <w:spacing w:after="0" w:line="360" w:lineRule="auto"/>
      <w:ind w:left="664" w:hanging="864"/>
    </w:pPr>
    <w:rPr>
      <w:rFonts w:ascii="黑体" w:eastAsia="黑体" w:hAnsi="Arial" w:cs="Times New Roman"/>
      <w:b w:val="0"/>
      <w:bCs w:val="0"/>
      <w:kern w:val="2"/>
      <w:sz w:val="24"/>
      <w:szCs w:val="24"/>
    </w:rPr>
  </w:style>
  <w:style w:type="paragraph" w:customStyle="1" w:styleId="CharCharCharCharCharCharChar5">
    <w:name w:val="Char Char Char Char Char Char Char5"/>
    <w:basedOn w:val="a"/>
    <w:qFormat/>
    <w:pPr>
      <w:widowControl/>
      <w:jc w:val="left"/>
    </w:pPr>
    <w:rPr>
      <w:rFonts w:ascii="宋体" w:hAnsi="宋体" w:cs="宋体"/>
      <w:kern w:val="0"/>
    </w:rPr>
  </w:style>
  <w:style w:type="paragraph" w:customStyle="1" w:styleId="431112">
    <w:name w:val="标题431112"/>
    <w:basedOn w:val="a"/>
    <w:qFormat/>
    <w:pPr>
      <w:widowControl/>
      <w:spacing w:line="480" w:lineRule="exact"/>
      <w:jc w:val="center"/>
    </w:pPr>
    <w:rPr>
      <w:rFonts w:ascii="宋体" w:hAnsi="宋体" w:cs="宋体"/>
      <w:kern w:val="0"/>
    </w:rPr>
  </w:style>
  <w:style w:type="paragraph" w:customStyle="1" w:styleId="Char1170">
    <w:name w:val="Char117"/>
    <w:basedOn w:val="a"/>
    <w:qFormat/>
    <w:pPr>
      <w:widowControl/>
      <w:ind w:left="-48"/>
      <w:jc w:val="left"/>
    </w:pPr>
    <w:rPr>
      <w:rFonts w:ascii="宋体" w:hAnsi="宋体" w:cs="宋体"/>
      <w:kern w:val="0"/>
    </w:rPr>
  </w:style>
  <w:style w:type="paragraph" w:customStyle="1" w:styleId="CharChar2CharCharCharChar111">
    <w:name w:val="Char Char2 Char Char Char Char111"/>
    <w:basedOn w:val="a"/>
    <w:qFormat/>
    <w:pPr>
      <w:widowControl/>
      <w:jc w:val="left"/>
    </w:pPr>
    <w:rPr>
      <w:rFonts w:ascii="宋体" w:hAnsi="宋体" w:cs="宋体"/>
      <w:kern w:val="0"/>
    </w:rPr>
  </w:style>
  <w:style w:type="paragraph" w:customStyle="1" w:styleId="2117">
    <w:name w:val="表中文字211"/>
    <w:basedOn w:val="a"/>
    <w:qFormat/>
    <w:pPr>
      <w:widowControl/>
      <w:spacing w:line="240" w:lineRule="atLeast"/>
      <w:ind w:rightChars="-20" w:right="-42"/>
      <w:jc w:val="center"/>
      <w:textAlignment w:val="baseline"/>
    </w:pPr>
    <w:rPr>
      <w:rFonts w:ascii="宋体" w:hAnsi="宋体" w:cs="宋体"/>
      <w:kern w:val="0"/>
      <w:szCs w:val="21"/>
    </w:rPr>
  </w:style>
  <w:style w:type="paragraph" w:customStyle="1" w:styleId="12d">
    <w:name w:val="福建正文缩进12"/>
    <w:basedOn w:val="1fb"/>
    <w:qFormat/>
    <w:pPr>
      <w:ind w:firstLine="567"/>
    </w:pPr>
    <w:rPr>
      <w:rFonts w:hAnsi="Calibri"/>
    </w:rPr>
  </w:style>
  <w:style w:type="paragraph" w:customStyle="1" w:styleId="51c">
    <w:name w:val="表内小5中1"/>
    <w:basedOn w:val="a"/>
    <w:qFormat/>
    <w:pPr>
      <w:widowControl/>
      <w:jc w:val="center"/>
    </w:pPr>
    <w:rPr>
      <w:rFonts w:ascii="宋体" w:hAnsi="宋体" w:cs="宋体"/>
      <w:kern w:val="0"/>
      <w:sz w:val="18"/>
      <w:szCs w:val="20"/>
    </w:rPr>
  </w:style>
  <w:style w:type="paragraph" w:customStyle="1" w:styleId="4fb">
    <w:name w:val="表内文字小4"/>
    <w:basedOn w:val="a"/>
    <w:qFormat/>
    <w:pPr>
      <w:widowControl/>
      <w:jc w:val="center"/>
    </w:pPr>
    <w:rPr>
      <w:rFonts w:ascii="宋体" w:hAnsi="Times" w:cs="宋体"/>
      <w:kern w:val="0"/>
      <w:szCs w:val="20"/>
    </w:rPr>
  </w:style>
  <w:style w:type="paragraph" w:customStyle="1" w:styleId="41130">
    <w:name w:val="表题4113"/>
    <w:basedOn w:val="1fa"/>
    <w:qFormat/>
    <w:pPr>
      <w:widowControl/>
      <w:tabs>
        <w:tab w:val="left" w:pos="4305"/>
      </w:tabs>
      <w:spacing w:after="0" w:line="240" w:lineRule="auto"/>
      <w:ind w:leftChars="0" w:left="0" w:firstLineChars="0" w:firstLine="0"/>
      <w:jc w:val="center"/>
    </w:pPr>
    <w:rPr>
      <w:rFonts w:ascii="宋体" w:hAnsi="宋体" w:cs="宋体"/>
      <w:color w:val="000000"/>
      <w:sz w:val="24"/>
      <w:szCs w:val="24"/>
    </w:rPr>
  </w:style>
  <w:style w:type="paragraph" w:customStyle="1" w:styleId="Char1122">
    <w:name w:val="Char112"/>
    <w:basedOn w:val="a"/>
    <w:qFormat/>
    <w:pPr>
      <w:widowControl/>
      <w:ind w:left="-48"/>
      <w:jc w:val="left"/>
    </w:pPr>
    <w:rPr>
      <w:rFonts w:ascii="宋体" w:hAnsi="宋体" w:cs="宋体"/>
      <w:kern w:val="0"/>
    </w:rPr>
  </w:style>
  <w:style w:type="paragraph" w:customStyle="1" w:styleId="237">
    <w:name w:val="附件23"/>
    <w:basedOn w:val="1"/>
    <w:next w:val="affff4"/>
    <w:qFormat/>
    <w:pPr>
      <w:numPr>
        <w:numId w:val="0"/>
      </w:numPr>
      <w:spacing w:before="220"/>
    </w:pPr>
    <w:rPr>
      <w:rFonts w:ascii="黑体" w:eastAsia="黑体"/>
      <w:sz w:val="32"/>
      <w:szCs w:val="32"/>
      <w:lang w:val="zh-CN"/>
    </w:rPr>
  </w:style>
  <w:style w:type="paragraph" w:customStyle="1" w:styleId="CharChar2CharCharCharChar311">
    <w:name w:val="Char Char2 Char Char Char Char311"/>
    <w:basedOn w:val="a"/>
    <w:qFormat/>
    <w:pPr>
      <w:widowControl/>
      <w:jc w:val="left"/>
    </w:pPr>
    <w:rPr>
      <w:rFonts w:ascii="宋体" w:hAnsi="宋体" w:cs="宋体"/>
      <w:kern w:val="0"/>
    </w:rPr>
  </w:style>
  <w:style w:type="paragraph" w:customStyle="1" w:styleId="2118">
    <w:name w:val="正文修改211"/>
    <w:basedOn w:val="affffe"/>
    <w:qFormat/>
    <w:rPr>
      <w:rFonts w:eastAsia="宋体" w:hAnsi="宋体" w:cs="宋体"/>
      <w:color w:val="000000"/>
      <w:szCs w:val="24"/>
    </w:rPr>
  </w:style>
  <w:style w:type="paragraph" w:customStyle="1" w:styleId="12e">
    <w:name w:val="表中文字12"/>
    <w:basedOn w:val="a"/>
    <w:qFormat/>
    <w:pPr>
      <w:widowControl/>
      <w:spacing w:line="240" w:lineRule="atLeast"/>
      <w:ind w:leftChars="-10" w:left="-24" w:rightChars="-20" w:right="-48"/>
      <w:jc w:val="center"/>
    </w:pPr>
    <w:rPr>
      <w:rFonts w:ascii="宋体" w:hAnsi="宋体" w:cs="宋体"/>
      <w:kern w:val="0"/>
      <w:szCs w:val="21"/>
    </w:rPr>
  </w:style>
  <w:style w:type="paragraph" w:customStyle="1" w:styleId="Char631">
    <w:name w:val="Char63"/>
    <w:basedOn w:val="a"/>
    <w:qFormat/>
    <w:pPr>
      <w:widowControl/>
      <w:spacing w:before="156"/>
      <w:jc w:val="left"/>
    </w:pPr>
    <w:rPr>
      <w:rFonts w:ascii="黑体" w:eastAsia="黑体" w:hAnsi="宋体" w:cs="宋体"/>
      <w:kern w:val="0"/>
      <w:sz w:val="32"/>
      <w:szCs w:val="32"/>
    </w:rPr>
  </w:style>
  <w:style w:type="paragraph" w:customStyle="1" w:styleId="335">
    <w:name w:val="燕山正文33"/>
    <w:basedOn w:val="a"/>
    <w:qFormat/>
    <w:pPr>
      <w:widowControl/>
      <w:tabs>
        <w:tab w:val="left" w:pos="4680"/>
      </w:tabs>
      <w:spacing w:line="480" w:lineRule="exact"/>
      <w:jc w:val="left"/>
    </w:pPr>
    <w:rPr>
      <w:rFonts w:ascii="宋体" w:hAnsi="宋体" w:cs="宋体"/>
      <w:kern w:val="0"/>
    </w:rPr>
  </w:style>
  <w:style w:type="paragraph" w:customStyle="1" w:styleId="3ffe">
    <w:name w:val="文本框3"/>
    <w:basedOn w:val="a"/>
    <w:qFormat/>
    <w:pPr>
      <w:widowControl/>
      <w:spacing w:after="6"/>
      <w:jc w:val="center"/>
    </w:pPr>
    <w:rPr>
      <w:rFonts w:ascii="宋体" w:hAnsi="宋体" w:cs="宋体"/>
      <w:kern w:val="0"/>
    </w:rPr>
  </w:style>
  <w:style w:type="paragraph" w:customStyle="1" w:styleId="242">
    <w:name w:val="正文修改24"/>
    <w:basedOn w:val="affffe"/>
    <w:qFormat/>
    <w:rPr>
      <w:rFonts w:eastAsia="宋体" w:hAnsi="宋体" w:cs="宋体"/>
      <w:color w:val="000000"/>
      <w:szCs w:val="24"/>
    </w:rPr>
  </w:style>
  <w:style w:type="paragraph" w:customStyle="1" w:styleId="5118">
    <w:name w:val="正文格式＝511"/>
    <w:basedOn w:val="affff4"/>
    <w:next w:val="affff4"/>
    <w:qFormat/>
    <w:rPr>
      <w:rFonts w:hAnsi="宋体"/>
      <w:szCs w:val="24"/>
    </w:rPr>
  </w:style>
  <w:style w:type="paragraph" w:customStyle="1" w:styleId="1314">
    <w:name w:val="燕山正文131"/>
    <w:basedOn w:val="a"/>
    <w:pPr>
      <w:widowControl/>
      <w:tabs>
        <w:tab w:val="left" w:pos="4680"/>
      </w:tabs>
      <w:jc w:val="left"/>
    </w:pPr>
    <w:rPr>
      <w:rFonts w:ascii="宋体" w:hAnsi="宋体" w:cs="宋体"/>
      <w:bCs/>
      <w:color w:val="000000"/>
      <w:kern w:val="0"/>
    </w:rPr>
  </w:style>
  <w:style w:type="paragraph" w:customStyle="1" w:styleId="CharCharCharChar1CharCharChar110">
    <w:name w:val="Char Char Char Char1 Char Char Char110"/>
    <w:basedOn w:val="a"/>
    <w:qFormat/>
    <w:pPr>
      <w:widowControl/>
      <w:spacing w:after="160" w:line="240" w:lineRule="exact"/>
      <w:jc w:val="left"/>
    </w:pPr>
    <w:rPr>
      <w:rFonts w:ascii="Verdana" w:hAnsi="Verdana" w:cs="宋体"/>
      <w:kern w:val="0"/>
      <w:sz w:val="20"/>
      <w:szCs w:val="20"/>
      <w:lang w:eastAsia="en-US"/>
    </w:rPr>
  </w:style>
  <w:style w:type="paragraph" w:customStyle="1" w:styleId="551">
    <w:name w:val="表内宋5中5"/>
    <w:basedOn w:val="a"/>
    <w:qFormat/>
    <w:pPr>
      <w:widowControl/>
      <w:jc w:val="left"/>
      <w:textAlignment w:val="baseline"/>
    </w:pPr>
    <w:rPr>
      <w:rFonts w:ascii="宋体" w:hAnsi="宋体" w:cs="宋体"/>
      <w:color w:val="000000"/>
      <w:kern w:val="0"/>
      <w:szCs w:val="20"/>
    </w:rPr>
  </w:style>
  <w:style w:type="paragraph" w:customStyle="1" w:styleId="211110">
    <w:name w:val="表题21111"/>
    <w:basedOn w:val="a"/>
    <w:qFormat/>
    <w:pPr>
      <w:widowControl/>
      <w:jc w:val="center"/>
    </w:pPr>
    <w:rPr>
      <w:rFonts w:ascii="黑体" w:eastAsia="黑体" w:hAnsi="宋体" w:cs="宋体"/>
      <w:kern w:val="0"/>
    </w:rPr>
  </w:style>
  <w:style w:type="paragraph" w:customStyle="1" w:styleId="21311">
    <w:name w:val="表内文字小21311"/>
    <w:basedOn w:val="a"/>
    <w:qFormat/>
    <w:pPr>
      <w:widowControl/>
      <w:jc w:val="center"/>
      <w:textAlignment w:val="baseline"/>
    </w:pPr>
    <w:rPr>
      <w:rFonts w:ascii="宋体" w:hAnsi="Times" w:cs="宋体"/>
      <w:bCs/>
      <w:color w:val="000000"/>
      <w:kern w:val="0"/>
      <w:szCs w:val="20"/>
    </w:rPr>
  </w:style>
  <w:style w:type="paragraph" w:customStyle="1" w:styleId="12f">
    <w:name w:val="正文.12"/>
    <w:qFormat/>
    <w:pPr>
      <w:widowControl w:val="0"/>
      <w:autoSpaceDE w:val="0"/>
      <w:autoSpaceDN w:val="0"/>
      <w:adjustRightInd w:val="0"/>
      <w:jc w:val="both"/>
    </w:pPr>
    <w:rPr>
      <w:rFonts w:ascii="Times New Roman;Symbol;Arial;婼" w:eastAsia="Times New Roman;Symbol;Arial;婼"/>
      <w:sz w:val="21"/>
      <w:szCs w:val="21"/>
    </w:rPr>
  </w:style>
  <w:style w:type="paragraph" w:customStyle="1" w:styleId="21f5">
    <w:name w:val="黑体三号21"/>
    <w:basedOn w:val="affff4"/>
    <w:pPr>
      <w:jc w:val="center"/>
    </w:pPr>
    <w:rPr>
      <w:rFonts w:ascii="黑体" w:eastAsia="黑体" w:hAnsi="宋体" w:cs="宋体"/>
      <w:b/>
      <w:bCs/>
      <w:sz w:val="32"/>
      <w:szCs w:val="20"/>
    </w:rPr>
  </w:style>
  <w:style w:type="paragraph" w:customStyle="1" w:styleId="425">
    <w:name w:val="黑体三号42"/>
    <w:basedOn w:val="affff4"/>
    <w:qFormat/>
    <w:pPr>
      <w:jc w:val="center"/>
    </w:pPr>
    <w:rPr>
      <w:rFonts w:ascii="黑体" w:eastAsia="黑体" w:hAnsi="宋体" w:cs="宋体"/>
      <w:b/>
      <w:bCs/>
      <w:sz w:val="32"/>
      <w:szCs w:val="20"/>
    </w:rPr>
  </w:style>
  <w:style w:type="paragraph" w:customStyle="1" w:styleId="5221">
    <w:name w:val="表内宋5中22"/>
    <w:basedOn w:val="a"/>
    <w:qFormat/>
    <w:pPr>
      <w:widowControl/>
      <w:jc w:val="center"/>
      <w:textAlignment w:val="baseline"/>
    </w:pPr>
    <w:rPr>
      <w:rFonts w:ascii="宋体" w:hAnsi="宋体" w:cs="宋体"/>
      <w:kern w:val="0"/>
      <w:szCs w:val="20"/>
    </w:rPr>
  </w:style>
  <w:style w:type="paragraph" w:customStyle="1" w:styleId="21211">
    <w:name w:val="表内文字小21211"/>
    <w:basedOn w:val="a"/>
    <w:qFormat/>
    <w:pPr>
      <w:widowControl/>
      <w:jc w:val="center"/>
    </w:pPr>
    <w:rPr>
      <w:rFonts w:ascii="宋体" w:hAnsi="Times" w:cs="宋体"/>
      <w:bCs/>
      <w:color w:val="000000"/>
      <w:kern w:val="0"/>
      <w:szCs w:val="20"/>
    </w:rPr>
  </w:style>
  <w:style w:type="paragraph" w:customStyle="1" w:styleId="Char1420">
    <w:name w:val="Char142"/>
    <w:basedOn w:val="a"/>
    <w:qFormat/>
    <w:pPr>
      <w:widowControl/>
      <w:ind w:left="-48"/>
      <w:jc w:val="left"/>
    </w:pPr>
    <w:rPr>
      <w:rFonts w:ascii="宋体" w:hAnsi="宋体" w:cs="宋体"/>
      <w:kern w:val="0"/>
    </w:rPr>
  </w:style>
  <w:style w:type="paragraph" w:customStyle="1" w:styleId="CharCharCharCharCharCharChar18">
    <w:name w:val="Char Char Char Char Char Char Char18"/>
    <w:basedOn w:val="a"/>
    <w:qFormat/>
    <w:pPr>
      <w:widowControl/>
      <w:jc w:val="left"/>
    </w:pPr>
    <w:rPr>
      <w:rFonts w:ascii="宋体" w:hAnsi="宋体" w:cs="宋体"/>
      <w:kern w:val="0"/>
    </w:rPr>
  </w:style>
  <w:style w:type="paragraph" w:customStyle="1" w:styleId="FaxHeader12">
    <w:name w:val="Fax Header12"/>
    <w:basedOn w:val="a"/>
    <w:qFormat/>
    <w:pPr>
      <w:widowControl/>
      <w:spacing w:before="240" w:after="60"/>
      <w:jc w:val="left"/>
    </w:pPr>
    <w:rPr>
      <w:rFonts w:ascii="宋体" w:hAnsi="宋体" w:cs="宋体"/>
      <w:kern w:val="0"/>
      <w:sz w:val="20"/>
      <w:szCs w:val="20"/>
    </w:rPr>
  </w:style>
  <w:style w:type="paragraph" w:customStyle="1" w:styleId="146">
    <w:name w:val="表内文字小14"/>
    <w:basedOn w:val="a"/>
    <w:qFormat/>
    <w:pPr>
      <w:widowControl/>
      <w:jc w:val="center"/>
    </w:pPr>
    <w:rPr>
      <w:rFonts w:ascii="宋体" w:hAnsi="Times" w:cs="宋体"/>
      <w:kern w:val="0"/>
      <w:szCs w:val="20"/>
    </w:rPr>
  </w:style>
  <w:style w:type="paragraph" w:customStyle="1" w:styleId="3fff">
    <w:name w:val="正文斜体3"/>
    <w:basedOn w:val="affff4"/>
    <w:next w:val="affff4"/>
    <w:rPr>
      <w:rFonts w:hAnsi="宋体"/>
      <w:i/>
      <w:iCs/>
      <w:szCs w:val="24"/>
    </w:rPr>
  </w:style>
  <w:style w:type="paragraph" w:customStyle="1" w:styleId="Char1217">
    <w:name w:val="Char121"/>
    <w:basedOn w:val="a"/>
    <w:qFormat/>
    <w:pPr>
      <w:widowControl/>
      <w:jc w:val="left"/>
    </w:pPr>
    <w:rPr>
      <w:rFonts w:ascii="宋体" w:hAnsi="宋体" w:cs="宋体"/>
      <w:kern w:val="0"/>
    </w:rPr>
  </w:style>
  <w:style w:type="paragraph" w:customStyle="1" w:styleId="Char4111">
    <w:name w:val="Char4111"/>
    <w:basedOn w:val="a"/>
    <w:qFormat/>
    <w:pPr>
      <w:widowControl/>
      <w:ind w:left="-48"/>
      <w:jc w:val="left"/>
    </w:pPr>
    <w:rPr>
      <w:rFonts w:ascii="宋体" w:hAnsi="宋体" w:cs="宋体"/>
      <w:kern w:val="0"/>
    </w:rPr>
  </w:style>
  <w:style w:type="paragraph" w:customStyle="1" w:styleId="111c">
    <w:name w:val="表111"/>
    <w:basedOn w:val="a"/>
    <w:qFormat/>
    <w:pPr>
      <w:widowControl/>
      <w:jc w:val="center"/>
    </w:pPr>
    <w:rPr>
      <w:rFonts w:ascii="宋体" w:hAnsi="宋体" w:cs="宋体"/>
      <w:kern w:val="0"/>
    </w:rPr>
  </w:style>
  <w:style w:type="paragraph" w:customStyle="1" w:styleId="612">
    <w:name w:val="正文格式＝61"/>
    <w:basedOn w:val="affff4"/>
    <w:next w:val="affff4"/>
    <w:qFormat/>
    <w:rPr>
      <w:rFonts w:hAnsi="宋体"/>
      <w:szCs w:val="24"/>
    </w:rPr>
  </w:style>
  <w:style w:type="paragraph" w:customStyle="1" w:styleId="1211">
    <w:name w:val="表内文字小121"/>
    <w:basedOn w:val="a"/>
    <w:qFormat/>
    <w:pPr>
      <w:widowControl/>
      <w:jc w:val="center"/>
    </w:pPr>
    <w:rPr>
      <w:rFonts w:ascii="宋体" w:hAnsi="Times" w:cs="宋体"/>
      <w:kern w:val="0"/>
      <w:szCs w:val="20"/>
    </w:rPr>
  </w:style>
  <w:style w:type="paragraph" w:customStyle="1" w:styleId="21f6">
    <w:name w:val="文本框21"/>
    <w:basedOn w:val="a"/>
    <w:qFormat/>
    <w:pPr>
      <w:widowControl/>
      <w:spacing w:after="6"/>
      <w:jc w:val="center"/>
    </w:pPr>
    <w:rPr>
      <w:rFonts w:ascii="宋体" w:hAnsi="宋体" w:cs="宋体"/>
      <w:kern w:val="0"/>
    </w:rPr>
  </w:style>
  <w:style w:type="paragraph" w:customStyle="1" w:styleId="3fff0">
    <w:name w:val="图表名称3"/>
    <w:basedOn w:val="1f3"/>
    <w:qFormat/>
    <w:pPr>
      <w:spacing w:after="0" w:line="480" w:lineRule="exact"/>
      <w:ind w:firstLineChars="0" w:firstLine="0"/>
      <w:jc w:val="center"/>
    </w:pPr>
    <w:rPr>
      <w:rFonts w:ascii="宋体" w:hAnsi="宋体"/>
      <w:bCs/>
      <w:szCs w:val="24"/>
    </w:rPr>
  </w:style>
  <w:style w:type="paragraph" w:customStyle="1" w:styleId="14113">
    <w:name w:val="表题14113"/>
    <w:basedOn w:val="a"/>
    <w:qFormat/>
    <w:pPr>
      <w:widowControl/>
      <w:jc w:val="center"/>
    </w:pPr>
    <w:rPr>
      <w:rFonts w:ascii="黑体" w:eastAsia="黑体" w:hAnsi="宋体" w:cs="宋体"/>
      <w:kern w:val="0"/>
    </w:rPr>
  </w:style>
  <w:style w:type="paragraph" w:customStyle="1" w:styleId="822">
    <w:name w:val="表内文字小82"/>
    <w:basedOn w:val="a"/>
    <w:qFormat/>
    <w:pPr>
      <w:widowControl/>
      <w:jc w:val="center"/>
    </w:pPr>
    <w:rPr>
      <w:rFonts w:ascii="宋体" w:hAnsi="Times" w:cs="宋体"/>
      <w:kern w:val="0"/>
      <w:szCs w:val="20"/>
    </w:rPr>
  </w:style>
  <w:style w:type="paragraph" w:customStyle="1" w:styleId="2fffff0">
    <w:name w:val="正文.2"/>
    <w:qFormat/>
    <w:pPr>
      <w:widowControl w:val="0"/>
      <w:autoSpaceDE w:val="0"/>
      <w:autoSpaceDN w:val="0"/>
      <w:adjustRightInd w:val="0"/>
      <w:jc w:val="both"/>
    </w:pPr>
    <w:rPr>
      <w:rFonts w:ascii="Times New Roman;Symbol;Arial;婼" w:eastAsia="Times New Roman;Symbol;Arial;婼"/>
      <w:sz w:val="21"/>
      <w:szCs w:val="21"/>
    </w:rPr>
  </w:style>
  <w:style w:type="paragraph" w:customStyle="1" w:styleId="ParaChar7">
    <w:name w:val="默认段落字体 Para Char7"/>
    <w:basedOn w:val="a"/>
    <w:qFormat/>
    <w:pPr>
      <w:widowControl/>
      <w:jc w:val="left"/>
    </w:pPr>
    <w:rPr>
      <w:rFonts w:ascii="宋体" w:hAnsi="宋体" w:cs="宋体"/>
      <w:kern w:val="0"/>
    </w:rPr>
  </w:style>
  <w:style w:type="paragraph" w:customStyle="1" w:styleId="Char300">
    <w:name w:val="Char30"/>
    <w:basedOn w:val="a"/>
    <w:qFormat/>
    <w:pPr>
      <w:widowControl/>
      <w:ind w:left="-48"/>
      <w:jc w:val="left"/>
    </w:pPr>
    <w:rPr>
      <w:rFonts w:ascii="宋体" w:hAnsi="宋体" w:cs="宋体"/>
      <w:kern w:val="0"/>
    </w:rPr>
  </w:style>
  <w:style w:type="paragraph" w:customStyle="1" w:styleId="Char200">
    <w:name w:val="Char20"/>
    <w:basedOn w:val="a"/>
    <w:qFormat/>
    <w:pPr>
      <w:widowControl/>
      <w:ind w:left="-48"/>
      <w:jc w:val="left"/>
    </w:pPr>
    <w:rPr>
      <w:rFonts w:ascii="宋体" w:hAnsi="宋体" w:cs="宋体"/>
      <w:kern w:val="0"/>
    </w:rPr>
  </w:style>
  <w:style w:type="paragraph" w:customStyle="1" w:styleId="53112">
    <w:name w:val="表内53112"/>
    <w:basedOn w:val="a"/>
    <w:qFormat/>
    <w:pPr>
      <w:widowControl/>
      <w:spacing w:line="300" w:lineRule="auto"/>
      <w:jc w:val="left"/>
    </w:pPr>
    <w:rPr>
      <w:rFonts w:ascii="宋体" w:hAnsi="宋体" w:cs="宋体"/>
      <w:kern w:val="0"/>
      <w:szCs w:val="20"/>
    </w:rPr>
  </w:style>
  <w:style w:type="paragraph" w:customStyle="1" w:styleId="Char450">
    <w:name w:val="Char45"/>
    <w:basedOn w:val="a"/>
    <w:qFormat/>
    <w:pPr>
      <w:widowControl/>
      <w:ind w:left="-48"/>
      <w:jc w:val="left"/>
    </w:pPr>
    <w:rPr>
      <w:rFonts w:ascii="宋体" w:hAnsi="宋体" w:cs="宋体"/>
      <w:kern w:val="0"/>
    </w:rPr>
  </w:style>
  <w:style w:type="paragraph" w:customStyle="1" w:styleId="31110">
    <w:name w:val="表内文字小3111"/>
    <w:basedOn w:val="a"/>
    <w:qFormat/>
    <w:pPr>
      <w:widowControl/>
      <w:jc w:val="center"/>
    </w:pPr>
    <w:rPr>
      <w:rFonts w:ascii="宋体" w:hAnsi="Times" w:cs="宋体"/>
      <w:bCs/>
      <w:color w:val="003366"/>
      <w:kern w:val="0"/>
      <w:szCs w:val="20"/>
    </w:rPr>
  </w:style>
  <w:style w:type="paragraph" w:customStyle="1" w:styleId="Char720">
    <w:name w:val="Char72"/>
    <w:basedOn w:val="a"/>
    <w:qFormat/>
    <w:pPr>
      <w:widowControl/>
      <w:ind w:left="-48"/>
      <w:jc w:val="left"/>
    </w:pPr>
    <w:rPr>
      <w:rFonts w:ascii="宋体" w:hAnsi="宋体" w:cs="宋体"/>
      <w:kern w:val="0"/>
    </w:rPr>
  </w:style>
  <w:style w:type="paragraph" w:customStyle="1" w:styleId="536">
    <w:name w:val="表格内字体53"/>
    <w:basedOn w:val="affff4"/>
    <w:next w:val="affff4"/>
    <w:qFormat/>
    <w:pPr>
      <w:spacing w:line="240" w:lineRule="auto"/>
      <w:ind w:firstLine="0"/>
    </w:pPr>
    <w:rPr>
      <w:rFonts w:hAnsi="宋体"/>
      <w:sz w:val="21"/>
      <w:szCs w:val="24"/>
    </w:rPr>
  </w:style>
  <w:style w:type="paragraph" w:customStyle="1" w:styleId="31230">
    <w:name w:val="表内文字小3123"/>
    <w:basedOn w:val="a"/>
    <w:qFormat/>
    <w:pPr>
      <w:widowControl/>
      <w:jc w:val="center"/>
    </w:pPr>
    <w:rPr>
      <w:rFonts w:ascii="宋体" w:hAnsi="Times" w:cs="宋体"/>
      <w:bCs/>
      <w:color w:val="003366"/>
      <w:kern w:val="0"/>
      <w:szCs w:val="20"/>
    </w:rPr>
  </w:style>
  <w:style w:type="paragraph" w:customStyle="1" w:styleId="1ffffff6">
    <w:name w:val="图表名称1"/>
    <w:basedOn w:val="1f3"/>
    <w:qFormat/>
    <w:pPr>
      <w:spacing w:after="0" w:line="480" w:lineRule="exact"/>
      <w:ind w:firstLineChars="0" w:firstLine="0"/>
      <w:jc w:val="center"/>
    </w:pPr>
    <w:rPr>
      <w:rFonts w:ascii="宋体" w:hAnsi="宋体"/>
      <w:bCs/>
      <w:szCs w:val="24"/>
    </w:rPr>
  </w:style>
  <w:style w:type="paragraph" w:customStyle="1" w:styleId="4315">
    <w:name w:val="标题4315"/>
    <w:basedOn w:val="a"/>
    <w:qFormat/>
    <w:pPr>
      <w:widowControl/>
      <w:spacing w:line="480" w:lineRule="exact"/>
      <w:jc w:val="center"/>
    </w:pPr>
    <w:rPr>
      <w:rFonts w:ascii="宋体" w:hAnsi="宋体" w:cs="宋体"/>
      <w:kern w:val="0"/>
    </w:rPr>
  </w:style>
  <w:style w:type="paragraph" w:customStyle="1" w:styleId="CharCharCharChar1CharCharChar1">
    <w:name w:val="Char Char Char Char1 Char Char Char1"/>
    <w:basedOn w:val="a"/>
    <w:qFormat/>
    <w:pPr>
      <w:widowControl/>
      <w:spacing w:after="160" w:line="240" w:lineRule="exact"/>
      <w:jc w:val="left"/>
    </w:pPr>
    <w:rPr>
      <w:rFonts w:ascii="Verdana" w:hAnsi="Verdana" w:cs="宋体"/>
      <w:kern w:val="0"/>
      <w:sz w:val="20"/>
      <w:szCs w:val="20"/>
      <w:lang w:eastAsia="en-US"/>
    </w:rPr>
  </w:style>
  <w:style w:type="paragraph" w:customStyle="1" w:styleId="537">
    <w:name w:val="样式 表内小5 + 黑体 加粗 倾斜 下划线3"/>
    <w:basedOn w:val="a"/>
    <w:qFormat/>
    <w:pPr>
      <w:widowControl/>
      <w:spacing w:line="300" w:lineRule="auto"/>
      <w:jc w:val="left"/>
    </w:pPr>
    <w:rPr>
      <w:rFonts w:ascii="黑体" w:eastAsia="黑体" w:hAnsi="黑体" w:cs="宋体"/>
      <w:b/>
      <w:bCs/>
      <w:i/>
      <w:iCs/>
      <w:kern w:val="0"/>
      <w:sz w:val="18"/>
      <w:u w:val="single"/>
    </w:rPr>
  </w:style>
  <w:style w:type="paragraph" w:customStyle="1" w:styleId="11f5">
    <w:name w:val="正文缩11"/>
    <w:basedOn w:val="a"/>
    <w:qFormat/>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1ffffff7">
    <w:name w:val="封面标准文稿编辑信息1"/>
    <w:qFormat/>
    <w:pPr>
      <w:spacing w:before="180" w:line="180" w:lineRule="exact"/>
      <w:jc w:val="center"/>
    </w:pPr>
    <w:rPr>
      <w:rFonts w:ascii="宋体"/>
      <w:sz w:val="21"/>
    </w:rPr>
  </w:style>
  <w:style w:type="paragraph" w:customStyle="1" w:styleId="11320">
    <w:name w:val="燕山正文1132"/>
    <w:basedOn w:val="a"/>
    <w:qFormat/>
    <w:pPr>
      <w:widowControl/>
      <w:tabs>
        <w:tab w:val="left" w:pos="4680"/>
      </w:tabs>
      <w:jc w:val="left"/>
    </w:pPr>
    <w:rPr>
      <w:rFonts w:ascii="宋体" w:hAnsi="宋体" w:cs="宋体"/>
      <w:bCs/>
      <w:snapToGrid w:val="0"/>
      <w:color w:val="000000"/>
      <w:kern w:val="0"/>
    </w:rPr>
  </w:style>
  <w:style w:type="paragraph" w:customStyle="1" w:styleId="CharCharCharCharCharCharChar25">
    <w:name w:val="Char Char Char Char Char Char Char25"/>
    <w:basedOn w:val="a"/>
    <w:qFormat/>
    <w:pPr>
      <w:widowControl/>
      <w:jc w:val="left"/>
    </w:pPr>
    <w:rPr>
      <w:rFonts w:ascii="宋体" w:hAnsi="宋体" w:cs="宋体"/>
      <w:kern w:val="0"/>
    </w:rPr>
  </w:style>
  <w:style w:type="paragraph" w:customStyle="1" w:styleId="12f0">
    <w:name w:val="黑体三号12"/>
    <w:basedOn w:val="affff4"/>
    <w:qFormat/>
    <w:pPr>
      <w:jc w:val="center"/>
    </w:pPr>
    <w:rPr>
      <w:rFonts w:ascii="黑体" w:eastAsia="黑体" w:hAnsi="宋体" w:cs="宋体"/>
      <w:b/>
      <w:bCs/>
      <w:sz w:val="32"/>
      <w:szCs w:val="20"/>
    </w:rPr>
  </w:style>
  <w:style w:type="paragraph" w:customStyle="1" w:styleId="Char3311">
    <w:name w:val="Char3311"/>
    <w:basedOn w:val="a"/>
    <w:qFormat/>
    <w:pPr>
      <w:widowControl/>
      <w:ind w:left="-48"/>
      <w:jc w:val="left"/>
    </w:pPr>
    <w:rPr>
      <w:rFonts w:ascii="宋体" w:hAnsi="宋体" w:cs="宋体"/>
      <w:kern w:val="0"/>
    </w:rPr>
  </w:style>
  <w:style w:type="paragraph" w:customStyle="1" w:styleId="5122">
    <w:name w:val="表内小5中12"/>
    <w:basedOn w:val="a"/>
    <w:pPr>
      <w:widowControl/>
      <w:jc w:val="center"/>
    </w:pPr>
    <w:rPr>
      <w:rFonts w:ascii="宋体" w:hAnsi="宋体" w:cs="宋体"/>
      <w:kern w:val="0"/>
      <w:sz w:val="18"/>
      <w:szCs w:val="20"/>
    </w:rPr>
  </w:style>
  <w:style w:type="paragraph" w:customStyle="1" w:styleId="54142">
    <w:name w:val="表内54142"/>
    <w:basedOn w:val="a"/>
    <w:qFormat/>
    <w:pPr>
      <w:widowControl/>
      <w:spacing w:line="300" w:lineRule="auto"/>
      <w:jc w:val="center"/>
    </w:pPr>
    <w:rPr>
      <w:rFonts w:ascii="宋体" w:hAnsi="宋体" w:cs="宋体"/>
      <w:kern w:val="0"/>
      <w:szCs w:val="20"/>
    </w:rPr>
  </w:style>
  <w:style w:type="paragraph" w:customStyle="1" w:styleId="12f1">
    <w:name w:val="封面标准文稿编辑信息12"/>
    <w:qFormat/>
    <w:pPr>
      <w:spacing w:before="180" w:line="180" w:lineRule="exact"/>
      <w:jc w:val="center"/>
    </w:pPr>
    <w:rPr>
      <w:rFonts w:ascii="宋体"/>
      <w:sz w:val="21"/>
    </w:rPr>
  </w:style>
  <w:style w:type="paragraph" w:customStyle="1" w:styleId="3141">
    <w:name w:val="表题3141"/>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Char94">
    <w:name w:val="Char9"/>
    <w:basedOn w:val="a"/>
    <w:qFormat/>
    <w:pPr>
      <w:widowControl/>
      <w:ind w:left="-48"/>
      <w:jc w:val="left"/>
    </w:pPr>
    <w:rPr>
      <w:rFonts w:ascii="宋体" w:hAnsi="宋体" w:cs="宋体"/>
      <w:kern w:val="0"/>
    </w:rPr>
  </w:style>
  <w:style w:type="paragraph" w:customStyle="1" w:styleId="5123">
    <w:name w:val="样式 表内小5 + 黑体 加粗 倾斜 下划线12"/>
    <w:basedOn w:val="a"/>
    <w:qFormat/>
    <w:pPr>
      <w:widowControl/>
      <w:spacing w:line="300" w:lineRule="auto"/>
      <w:jc w:val="left"/>
    </w:pPr>
    <w:rPr>
      <w:rFonts w:ascii="黑体" w:eastAsia="黑体" w:hAnsi="黑体" w:cs="宋体"/>
      <w:b/>
      <w:bCs/>
      <w:i/>
      <w:iCs/>
      <w:kern w:val="0"/>
      <w:sz w:val="18"/>
      <w:u w:val="single"/>
    </w:rPr>
  </w:style>
  <w:style w:type="paragraph" w:customStyle="1" w:styleId="1330">
    <w:name w:val="燕山正文133"/>
    <w:basedOn w:val="a"/>
    <w:qFormat/>
    <w:pPr>
      <w:widowControl/>
      <w:tabs>
        <w:tab w:val="left" w:pos="4680"/>
      </w:tabs>
      <w:jc w:val="left"/>
    </w:pPr>
    <w:rPr>
      <w:rFonts w:ascii="宋体" w:hAnsi="宋体" w:cs="宋体"/>
      <w:bCs/>
      <w:color w:val="000000"/>
      <w:kern w:val="0"/>
    </w:rPr>
  </w:style>
  <w:style w:type="paragraph" w:customStyle="1" w:styleId="4314">
    <w:name w:val="标题4314"/>
    <w:basedOn w:val="a"/>
    <w:qFormat/>
    <w:pPr>
      <w:widowControl/>
      <w:spacing w:line="480" w:lineRule="exact"/>
      <w:jc w:val="center"/>
    </w:pPr>
    <w:rPr>
      <w:rFonts w:ascii="宋体" w:hAnsi="宋体" w:cs="宋体"/>
      <w:kern w:val="0"/>
    </w:rPr>
  </w:style>
  <w:style w:type="paragraph" w:customStyle="1" w:styleId="CharCharCharCharCharCharChar8">
    <w:name w:val="Char Char Char Char Char Char Char8"/>
    <w:basedOn w:val="a"/>
    <w:qFormat/>
    <w:pPr>
      <w:widowControl/>
      <w:jc w:val="left"/>
    </w:pPr>
    <w:rPr>
      <w:rFonts w:ascii="宋体" w:hAnsi="宋体" w:cs="宋体"/>
      <w:kern w:val="0"/>
    </w:rPr>
  </w:style>
  <w:style w:type="paragraph" w:customStyle="1" w:styleId="3211">
    <w:name w:val="黑体三号321"/>
    <w:basedOn w:val="affff4"/>
    <w:qFormat/>
    <w:pPr>
      <w:jc w:val="center"/>
    </w:pPr>
    <w:rPr>
      <w:rFonts w:ascii="黑体" w:eastAsia="黑体" w:hAnsi="宋体" w:cs="宋体"/>
      <w:b/>
      <w:bCs/>
      <w:sz w:val="32"/>
      <w:szCs w:val="20"/>
    </w:rPr>
  </w:style>
  <w:style w:type="paragraph" w:customStyle="1" w:styleId="099211">
    <w:name w:val="首行缩进:  0.99 厘米 + 首行缩进:  2 字符11"/>
    <w:basedOn w:val="a"/>
    <w:qFormat/>
    <w:pPr>
      <w:widowControl/>
      <w:topLinePunct/>
      <w:spacing w:line="480" w:lineRule="exact"/>
      <w:ind w:firstLine="420"/>
      <w:jc w:val="center"/>
    </w:pPr>
    <w:rPr>
      <w:rFonts w:ascii="宋体" w:hAnsi="宋体" w:cs="宋体"/>
      <w:snapToGrid w:val="0"/>
      <w:color w:val="FF0000"/>
      <w:kern w:val="0"/>
      <w:szCs w:val="21"/>
    </w:rPr>
  </w:style>
  <w:style w:type="paragraph" w:customStyle="1" w:styleId="CharCharCharCharCharCharChar6">
    <w:name w:val="Char Char Char Char Char Char Char6"/>
    <w:basedOn w:val="a"/>
    <w:qFormat/>
    <w:pPr>
      <w:widowControl/>
      <w:jc w:val="left"/>
    </w:pPr>
    <w:rPr>
      <w:rFonts w:ascii="宋体" w:hAnsi="宋体" w:cs="宋体"/>
      <w:kern w:val="0"/>
      <w:szCs w:val="20"/>
    </w:rPr>
  </w:style>
  <w:style w:type="paragraph" w:customStyle="1" w:styleId="54130">
    <w:name w:val="表内5中413"/>
    <w:basedOn w:val="a"/>
    <w:qFormat/>
    <w:pPr>
      <w:widowControl/>
      <w:jc w:val="center"/>
    </w:pPr>
    <w:rPr>
      <w:rFonts w:ascii="宋体" w:hAnsi="宋体" w:cs="宋体"/>
      <w:bCs/>
      <w:kern w:val="0"/>
      <w:szCs w:val="20"/>
    </w:rPr>
  </w:style>
  <w:style w:type="paragraph" w:customStyle="1" w:styleId="Char430">
    <w:name w:val="Char43"/>
    <w:basedOn w:val="a"/>
    <w:qFormat/>
    <w:pPr>
      <w:widowControl/>
      <w:ind w:left="-48"/>
      <w:jc w:val="left"/>
    </w:pPr>
    <w:rPr>
      <w:rFonts w:ascii="宋体" w:hAnsi="宋体" w:cs="宋体"/>
      <w:kern w:val="0"/>
    </w:rPr>
  </w:style>
  <w:style w:type="paragraph" w:customStyle="1" w:styleId="ParaCharCharCharChar5">
    <w:name w:val="默认段落字体 Para Char Char Char Char5"/>
    <w:basedOn w:val="a"/>
    <w:qFormat/>
    <w:pPr>
      <w:widowControl/>
      <w:jc w:val="left"/>
    </w:pPr>
    <w:rPr>
      <w:rFonts w:ascii="宋体" w:hAnsi="宋体" w:cs="宋体"/>
      <w:kern w:val="0"/>
    </w:rPr>
  </w:style>
  <w:style w:type="paragraph" w:customStyle="1" w:styleId="2fffff1">
    <w:name w:val="标准2"/>
    <w:basedOn w:val="a"/>
    <w:qFormat/>
    <w:pPr>
      <w:widowControl/>
      <w:spacing w:before="120" w:line="336" w:lineRule="auto"/>
      <w:jc w:val="center"/>
      <w:textAlignment w:val="baseline"/>
    </w:pPr>
    <w:rPr>
      <w:rFonts w:ascii="黑体" w:eastAsia="黑体" w:hAnsi="宋体" w:cs="宋体"/>
      <w:kern w:val="0"/>
      <w:szCs w:val="20"/>
    </w:rPr>
  </w:style>
  <w:style w:type="paragraph" w:customStyle="1" w:styleId="Char228">
    <w:name w:val="Char228"/>
    <w:basedOn w:val="a"/>
    <w:qFormat/>
    <w:pPr>
      <w:widowControl/>
      <w:ind w:left="-48"/>
      <w:jc w:val="left"/>
    </w:pPr>
    <w:rPr>
      <w:rFonts w:ascii="宋体" w:hAnsi="宋体" w:cs="宋体"/>
      <w:kern w:val="0"/>
    </w:rPr>
  </w:style>
  <w:style w:type="paragraph" w:customStyle="1" w:styleId="11f6">
    <w:name w:val="表11"/>
    <w:basedOn w:val="a"/>
    <w:qFormat/>
    <w:pPr>
      <w:widowControl/>
      <w:jc w:val="center"/>
    </w:pPr>
    <w:rPr>
      <w:rFonts w:ascii="宋体" w:hAnsi="宋体" w:cs="宋体"/>
      <w:kern w:val="0"/>
    </w:rPr>
  </w:style>
  <w:style w:type="paragraph" w:customStyle="1" w:styleId="ParaCharCharCharChar211">
    <w:name w:val="默认段落字体 Para Char Char Char Char211"/>
    <w:basedOn w:val="a"/>
    <w:qFormat/>
    <w:pPr>
      <w:widowControl/>
      <w:jc w:val="left"/>
    </w:pPr>
    <w:rPr>
      <w:rFonts w:ascii="宋体" w:hAnsi="宋体" w:cs="宋体"/>
      <w:kern w:val="0"/>
    </w:rPr>
  </w:style>
  <w:style w:type="paragraph" w:customStyle="1" w:styleId="CharCharCharChar1CharCharChar3">
    <w:name w:val="Char Char Char Char1 Char Char Char3"/>
    <w:basedOn w:val="a"/>
    <w:qFormat/>
    <w:pPr>
      <w:widowControl/>
      <w:spacing w:after="160" w:line="240" w:lineRule="exact"/>
      <w:jc w:val="left"/>
    </w:pPr>
    <w:rPr>
      <w:rFonts w:ascii="Verdana" w:hAnsi="Verdana" w:cs="宋体"/>
      <w:kern w:val="0"/>
      <w:sz w:val="20"/>
      <w:szCs w:val="20"/>
      <w:lang w:eastAsia="en-US"/>
    </w:rPr>
  </w:style>
  <w:style w:type="paragraph" w:customStyle="1" w:styleId="11f7">
    <w:name w:val="表内文字边11"/>
    <w:basedOn w:val="a"/>
    <w:qFormat/>
    <w:pPr>
      <w:widowControl/>
      <w:spacing w:line="240" w:lineRule="atLeast"/>
      <w:ind w:leftChars="-10" w:left="-21" w:rightChars="-20" w:right="-42"/>
      <w:jc w:val="left"/>
    </w:pPr>
    <w:rPr>
      <w:rFonts w:ascii="宋体" w:hAnsi="宋体" w:cs="宋体"/>
      <w:kern w:val="0"/>
      <w:szCs w:val="21"/>
    </w:rPr>
  </w:style>
  <w:style w:type="paragraph" w:customStyle="1" w:styleId="313110">
    <w:name w:val="表内文字小31311"/>
    <w:basedOn w:val="a"/>
    <w:qFormat/>
    <w:pPr>
      <w:widowControl/>
      <w:jc w:val="center"/>
    </w:pPr>
    <w:rPr>
      <w:rFonts w:ascii="宋体" w:hAnsi="Times" w:cs="宋体"/>
      <w:bCs/>
      <w:color w:val="003366"/>
      <w:kern w:val="0"/>
      <w:szCs w:val="20"/>
    </w:rPr>
  </w:style>
  <w:style w:type="paragraph" w:customStyle="1" w:styleId="31c">
    <w:name w:val="表31"/>
    <w:basedOn w:val="a"/>
    <w:qFormat/>
    <w:pPr>
      <w:widowControl/>
      <w:jc w:val="center"/>
    </w:pPr>
    <w:rPr>
      <w:rFonts w:ascii="宋体" w:hAnsi="宋体" w:cs="宋体"/>
      <w:kern w:val="0"/>
    </w:rPr>
  </w:style>
  <w:style w:type="paragraph" w:customStyle="1" w:styleId="43123">
    <w:name w:val="标题43123"/>
    <w:basedOn w:val="a"/>
    <w:qFormat/>
    <w:pPr>
      <w:widowControl/>
      <w:spacing w:line="480" w:lineRule="exact"/>
      <w:jc w:val="center"/>
    </w:pPr>
    <w:rPr>
      <w:rFonts w:ascii="宋体" w:hAnsi="宋体" w:cs="宋体"/>
      <w:kern w:val="0"/>
    </w:rPr>
  </w:style>
  <w:style w:type="paragraph" w:customStyle="1" w:styleId="xl632">
    <w:name w:val="xl632"/>
    <w:basedOn w:val="a"/>
    <w:qFormat/>
    <w:pPr>
      <w:widowControl/>
      <w:spacing w:before="100" w:beforeAutospacing="1" w:after="100" w:afterAutospacing="1"/>
      <w:jc w:val="center"/>
      <w:textAlignment w:val="center"/>
    </w:pPr>
    <w:rPr>
      <w:rFonts w:ascii="黑体" w:eastAsia="黑体" w:hAnsi="宋体" w:cs="宋体" w:hint="eastAsia"/>
      <w:kern w:val="0"/>
    </w:rPr>
  </w:style>
  <w:style w:type="paragraph" w:customStyle="1" w:styleId="Char370">
    <w:name w:val="Char37"/>
    <w:basedOn w:val="a"/>
    <w:qFormat/>
    <w:pPr>
      <w:widowControl/>
      <w:ind w:left="-48"/>
      <w:jc w:val="left"/>
    </w:pPr>
    <w:rPr>
      <w:rFonts w:ascii="宋体" w:hAnsi="宋体" w:cs="宋体"/>
      <w:kern w:val="0"/>
    </w:rPr>
  </w:style>
  <w:style w:type="paragraph" w:customStyle="1" w:styleId="13e">
    <w:name w:val="文本框13"/>
    <w:basedOn w:val="a"/>
    <w:qFormat/>
    <w:pPr>
      <w:widowControl/>
      <w:spacing w:after="6"/>
      <w:jc w:val="center"/>
    </w:pPr>
    <w:rPr>
      <w:rFonts w:ascii="宋体" w:hAnsi="宋体" w:cs="宋体"/>
      <w:kern w:val="0"/>
    </w:rPr>
  </w:style>
  <w:style w:type="paragraph" w:customStyle="1" w:styleId="CharCharCharCharCharCharChar2111">
    <w:name w:val="Char Char Char Char Char Char Char2111"/>
    <w:basedOn w:val="a"/>
    <w:qFormat/>
    <w:pPr>
      <w:widowControl/>
      <w:jc w:val="left"/>
    </w:pPr>
    <w:rPr>
      <w:rFonts w:ascii="宋体" w:hAnsi="宋体" w:cs="宋体"/>
      <w:kern w:val="0"/>
    </w:rPr>
  </w:style>
  <w:style w:type="paragraph" w:customStyle="1" w:styleId="411110">
    <w:name w:val="标题41111"/>
    <w:basedOn w:val="a"/>
    <w:qFormat/>
    <w:pPr>
      <w:widowControl/>
      <w:spacing w:line="300" w:lineRule="auto"/>
      <w:jc w:val="left"/>
    </w:pPr>
    <w:rPr>
      <w:rFonts w:ascii="黑体" w:eastAsia="黑体" w:hAnsi="宋体" w:cs="宋体"/>
      <w:bCs/>
      <w:kern w:val="0"/>
      <w:szCs w:val="20"/>
    </w:rPr>
  </w:style>
  <w:style w:type="paragraph" w:customStyle="1" w:styleId="31312">
    <w:name w:val="表题31312"/>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Char13110">
    <w:name w:val="Char1311"/>
    <w:basedOn w:val="a"/>
    <w:qFormat/>
    <w:pPr>
      <w:widowControl/>
      <w:ind w:left="-48"/>
      <w:jc w:val="left"/>
    </w:pPr>
    <w:rPr>
      <w:rFonts w:ascii="宋体" w:hAnsi="宋体" w:cs="宋体"/>
      <w:kern w:val="0"/>
    </w:rPr>
  </w:style>
  <w:style w:type="paragraph" w:customStyle="1" w:styleId="CharChar2CharCharCharChar1111">
    <w:name w:val="Char Char2 Char Char Char Char1111"/>
    <w:basedOn w:val="a"/>
    <w:qFormat/>
    <w:pPr>
      <w:widowControl/>
      <w:jc w:val="left"/>
    </w:pPr>
    <w:rPr>
      <w:rFonts w:ascii="宋体" w:hAnsi="宋体" w:cs="宋体"/>
      <w:kern w:val="0"/>
    </w:rPr>
  </w:style>
  <w:style w:type="paragraph" w:customStyle="1" w:styleId="328">
    <w:name w:val="正文格式＝32"/>
    <w:basedOn w:val="affff4"/>
    <w:next w:val="affff4"/>
    <w:qFormat/>
    <w:rPr>
      <w:rFonts w:hAnsi="宋体"/>
      <w:szCs w:val="24"/>
    </w:rPr>
  </w:style>
  <w:style w:type="paragraph" w:customStyle="1" w:styleId="Char12110">
    <w:name w:val="Char1211"/>
    <w:basedOn w:val="a"/>
    <w:qFormat/>
    <w:pPr>
      <w:widowControl/>
      <w:jc w:val="left"/>
    </w:pPr>
    <w:rPr>
      <w:rFonts w:ascii="宋体" w:hAnsi="宋体" w:cs="宋体"/>
      <w:kern w:val="0"/>
    </w:rPr>
  </w:style>
  <w:style w:type="paragraph" w:customStyle="1" w:styleId="ParaCharCharCharChar311">
    <w:name w:val="默认段落字体 Para Char Char Char Char311"/>
    <w:basedOn w:val="a"/>
    <w:qFormat/>
    <w:pPr>
      <w:widowControl/>
      <w:jc w:val="left"/>
    </w:pPr>
    <w:rPr>
      <w:rFonts w:ascii="宋体" w:hAnsi="宋体" w:cs="宋体"/>
      <w:kern w:val="0"/>
    </w:rPr>
  </w:style>
  <w:style w:type="paragraph" w:customStyle="1" w:styleId="ParaCharCharCharCharChar1">
    <w:name w:val="默认段落字体 Para Char Char Char Char Char1"/>
    <w:basedOn w:val="a"/>
    <w:qFormat/>
    <w:pPr>
      <w:widowControl/>
      <w:jc w:val="left"/>
    </w:pPr>
    <w:rPr>
      <w:rFonts w:ascii="宋体" w:hAnsi="宋体" w:cs="宋体"/>
      <w:kern w:val="0"/>
    </w:rPr>
  </w:style>
  <w:style w:type="paragraph" w:customStyle="1" w:styleId="22b">
    <w:name w:val="文本框22"/>
    <w:basedOn w:val="a"/>
    <w:qFormat/>
    <w:pPr>
      <w:widowControl/>
      <w:spacing w:after="6"/>
      <w:jc w:val="center"/>
    </w:pPr>
    <w:rPr>
      <w:rFonts w:ascii="宋体" w:hAnsi="宋体" w:cs="宋体"/>
      <w:kern w:val="0"/>
    </w:rPr>
  </w:style>
  <w:style w:type="paragraph" w:customStyle="1" w:styleId="xl634">
    <w:name w:val="xl634"/>
    <w:basedOn w:val="a"/>
    <w:qFormat/>
    <w:pPr>
      <w:widowControl/>
      <w:spacing w:before="100" w:beforeAutospacing="1" w:after="100" w:afterAutospacing="1"/>
      <w:jc w:val="center"/>
      <w:textAlignment w:val="center"/>
    </w:pPr>
    <w:rPr>
      <w:rFonts w:ascii="黑体" w:eastAsia="黑体" w:hAnsi="宋体" w:cs="宋体" w:hint="eastAsia"/>
      <w:kern w:val="0"/>
    </w:rPr>
  </w:style>
  <w:style w:type="paragraph" w:customStyle="1" w:styleId="22c">
    <w:name w:val="正文格式＝22"/>
    <w:basedOn w:val="affff4"/>
    <w:next w:val="affff4"/>
    <w:qFormat/>
    <w:rPr>
      <w:rFonts w:hAnsi="宋体"/>
      <w:szCs w:val="24"/>
    </w:rPr>
  </w:style>
  <w:style w:type="paragraph" w:customStyle="1" w:styleId="31130">
    <w:name w:val="表内文字小3113"/>
    <w:basedOn w:val="a"/>
    <w:qFormat/>
    <w:pPr>
      <w:widowControl/>
      <w:jc w:val="center"/>
    </w:pPr>
    <w:rPr>
      <w:rFonts w:ascii="宋体" w:hAnsi="Times" w:cs="宋体"/>
      <w:bCs/>
      <w:color w:val="003366"/>
      <w:kern w:val="0"/>
      <w:szCs w:val="20"/>
    </w:rPr>
  </w:style>
  <w:style w:type="paragraph" w:customStyle="1" w:styleId="Char830">
    <w:name w:val="Char83"/>
    <w:basedOn w:val="a"/>
    <w:qFormat/>
    <w:pPr>
      <w:widowControl/>
      <w:ind w:left="-48"/>
      <w:jc w:val="left"/>
    </w:pPr>
    <w:rPr>
      <w:rFonts w:ascii="宋体" w:hAnsi="宋体" w:cs="宋体"/>
      <w:kern w:val="0"/>
    </w:rPr>
  </w:style>
  <w:style w:type="paragraph" w:customStyle="1" w:styleId="Char4211">
    <w:name w:val="Char4211"/>
    <w:basedOn w:val="a"/>
    <w:qFormat/>
    <w:pPr>
      <w:widowControl/>
      <w:ind w:left="-48"/>
      <w:jc w:val="left"/>
    </w:pPr>
    <w:rPr>
      <w:rFonts w:ascii="宋体" w:hAnsi="宋体" w:cs="宋体"/>
      <w:kern w:val="0"/>
    </w:rPr>
  </w:style>
  <w:style w:type="paragraph" w:customStyle="1" w:styleId="13f">
    <w:name w:val="表内文字小13"/>
    <w:basedOn w:val="a"/>
    <w:qFormat/>
    <w:pPr>
      <w:widowControl/>
      <w:jc w:val="center"/>
    </w:pPr>
    <w:rPr>
      <w:rFonts w:ascii="宋体" w:hAnsi="Times" w:cs="宋体"/>
      <w:kern w:val="0"/>
      <w:szCs w:val="20"/>
    </w:rPr>
  </w:style>
  <w:style w:type="paragraph" w:customStyle="1" w:styleId="54111">
    <w:name w:val="表内54111"/>
    <w:basedOn w:val="a"/>
    <w:qFormat/>
    <w:pPr>
      <w:widowControl/>
      <w:spacing w:line="300" w:lineRule="auto"/>
      <w:jc w:val="center"/>
    </w:pPr>
    <w:rPr>
      <w:rFonts w:ascii="宋体" w:hAnsi="宋体" w:cs="宋体"/>
      <w:kern w:val="0"/>
      <w:szCs w:val="20"/>
    </w:rPr>
  </w:style>
  <w:style w:type="paragraph" w:customStyle="1" w:styleId="11113">
    <w:name w:val="表中文字1111"/>
    <w:basedOn w:val="a"/>
    <w:qFormat/>
    <w:pPr>
      <w:widowControl/>
      <w:spacing w:line="240" w:lineRule="atLeast"/>
      <w:ind w:leftChars="-10" w:left="-24" w:rightChars="-20" w:right="-48"/>
      <w:jc w:val="center"/>
    </w:pPr>
    <w:rPr>
      <w:rFonts w:ascii="宋体" w:hAnsi="宋体" w:cs="宋体"/>
      <w:kern w:val="0"/>
      <w:szCs w:val="21"/>
    </w:rPr>
  </w:style>
  <w:style w:type="paragraph" w:customStyle="1" w:styleId="21f7">
    <w:name w:val="福建正文缩进21"/>
    <w:basedOn w:val="1fb"/>
    <w:qFormat/>
    <w:pPr>
      <w:tabs>
        <w:tab w:val="left" w:pos="5837"/>
      </w:tabs>
      <w:spacing w:line="480" w:lineRule="exact"/>
    </w:pPr>
    <w:rPr>
      <w:rFonts w:cs="宋体"/>
      <w:color w:val="000000"/>
    </w:rPr>
  </w:style>
  <w:style w:type="paragraph" w:customStyle="1" w:styleId="Char4110">
    <w:name w:val="Char411"/>
    <w:basedOn w:val="a"/>
    <w:qFormat/>
    <w:pPr>
      <w:widowControl/>
      <w:ind w:left="-48"/>
      <w:jc w:val="left"/>
    </w:pPr>
    <w:rPr>
      <w:rFonts w:ascii="宋体" w:hAnsi="宋体" w:cs="宋体"/>
      <w:kern w:val="0"/>
    </w:rPr>
  </w:style>
  <w:style w:type="paragraph" w:customStyle="1" w:styleId="528">
    <w:name w:val="样式 表内小5 + 黑体 加粗 倾斜 下划线2"/>
    <w:basedOn w:val="a"/>
    <w:qFormat/>
    <w:pPr>
      <w:widowControl/>
      <w:spacing w:line="300" w:lineRule="auto"/>
      <w:jc w:val="left"/>
    </w:pPr>
    <w:rPr>
      <w:rFonts w:ascii="黑体" w:eastAsia="黑体" w:hAnsi="黑体" w:cs="宋体"/>
      <w:b/>
      <w:bCs/>
      <w:i/>
      <w:iCs/>
      <w:kern w:val="0"/>
      <w:sz w:val="18"/>
      <w:u w:val="single"/>
    </w:rPr>
  </w:style>
  <w:style w:type="paragraph" w:customStyle="1" w:styleId="2126">
    <w:name w:val="正文格式＝212"/>
    <w:basedOn w:val="affff4"/>
    <w:next w:val="affff4"/>
    <w:rPr>
      <w:rFonts w:hAnsi="宋体"/>
      <w:szCs w:val="24"/>
    </w:rPr>
  </w:style>
  <w:style w:type="paragraph" w:customStyle="1" w:styleId="11f8">
    <w:name w:val="样式 表格内字体1 +1"/>
    <w:basedOn w:val="1ffffff"/>
    <w:next w:val="affffff1"/>
    <w:qFormat/>
    <w:rPr>
      <w:rFonts w:hAnsi="Times New Roman" w:cs="宋体"/>
      <w:szCs w:val="20"/>
    </w:rPr>
  </w:style>
  <w:style w:type="paragraph" w:customStyle="1" w:styleId="1127">
    <w:name w:val="文本框112"/>
    <w:basedOn w:val="a"/>
    <w:qFormat/>
    <w:pPr>
      <w:widowControl/>
      <w:spacing w:after="6"/>
      <w:jc w:val="center"/>
    </w:pPr>
    <w:rPr>
      <w:rFonts w:ascii="宋体" w:hAnsi="宋体" w:cs="宋体"/>
      <w:kern w:val="0"/>
    </w:rPr>
  </w:style>
  <w:style w:type="paragraph" w:customStyle="1" w:styleId="414H4H4141H42H4111423">
    <w:name w:val="样式 标题 4无效格式无效格式1河石管道4H4H41小小节河石管道41H42H411小小节1河石管道42...3"/>
    <w:basedOn w:val="4"/>
    <w:qFormat/>
    <w:pPr>
      <w:numPr>
        <w:ilvl w:val="0"/>
        <w:numId w:val="0"/>
      </w:numPr>
      <w:spacing w:after="0" w:line="360" w:lineRule="auto"/>
      <w:ind w:left="664" w:hanging="864"/>
    </w:pPr>
    <w:rPr>
      <w:rFonts w:ascii="黑体" w:eastAsia="黑体" w:hAnsi="Arial" w:cs="Times New Roman"/>
      <w:b w:val="0"/>
      <w:bCs w:val="0"/>
      <w:kern w:val="2"/>
      <w:sz w:val="24"/>
      <w:szCs w:val="24"/>
    </w:rPr>
  </w:style>
  <w:style w:type="paragraph" w:customStyle="1" w:styleId="51140">
    <w:name w:val="表内宋5中114"/>
    <w:basedOn w:val="a"/>
    <w:qFormat/>
    <w:pPr>
      <w:widowControl/>
      <w:jc w:val="center"/>
      <w:textAlignment w:val="baseline"/>
    </w:pPr>
    <w:rPr>
      <w:rFonts w:ascii="宋体" w:hAnsi="宋体" w:cs="宋体"/>
      <w:kern w:val="0"/>
      <w:szCs w:val="20"/>
    </w:rPr>
  </w:style>
  <w:style w:type="paragraph" w:customStyle="1" w:styleId="414H4H4141H42H4111422">
    <w:name w:val="样式 标题 4无效格式无效格式1河石管道4H4H41小小节河石管道41H42H411小小节1河石管道42...2"/>
    <w:basedOn w:val="4"/>
    <w:qFormat/>
    <w:pPr>
      <w:numPr>
        <w:ilvl w:val="0"/>
        <w:numId w:val="0"/>
      </w:numPr>
      <w:spacing w:after="0" w:line="360" w:lineRule="auto"/>
      <w:ind w:left="1404" w:hanging="864"/>
    </w:pPr>
    <w:rPr>
      <w:rFonts w:ascii="黑体" w:eastAsia="黑体" w:hAnsi="Arial" w:cs="Times New Roman"/>
      <w:b w:val="0"/>
      <w:bCs w:val="0"/>
      <w:kern w:val="2"/>
      <w:sz w:val="24"/>
      <w:szCs w:val="24"/>
    </w:rPr>
  </w:style>
  <w:style w:type="paragraph" w:customStyle="1" w:styleId="5124">
    <w:name w:val="表内宋512"/>
    <w:basedOn w:val="5f5"/>
    <w:qFormat/>
    <w:pPr>
      <w:autoSpaceDE w:val="0"/>
      <w:autoSpaceDN w:val="0"/>
      <w:textAlignment w:val="auto"/>
    </w:pPr>
    <w:rPr>
      <w:color w:val="auto"/>
      <w:w w:val="90"/>
    </w:rPr>
  </w:style>
  <w:style w:type="paragraph" w:customStyle="1" w:styleId="CharCharCharCharCharCharChar1311">
    <w:name w:val="Char Char Char Char Char Char Char1311"/>
    <w:basedOn w:val="a"/>
    <w:qFormat/>
    <w:pPr>
      <w:widowControl/>
      <w:jc w:val="left"/>
    </w:pPr>
    <w:rPr>
      <w:rFonts w:ascii="宋体" w:hAnsi="宋体" w:cs="宋体"/>
      <w:kern w:val="0"/>
    </w:rPr>
  </w:style>
  <w:style w:type="paragraph" w:customStyle="1" w:styleId="3125">
    <w:name w:val="正文格式＝312"/>
    <w:basedOn w:val="affff4"/>
    <w:next w:val="affff4"/>
    <w:qFormat/>
    <w:rPr>
      <w:rFonts w:hAnsi="宋体"/>
      <w:szCs w:val="24"/>
    </w:rPr>
  </w:style>
  <w:style w:type="paragraph" w:customStyle="1" w:styleId="2127">
    <w:name w:val="附件212"/>
    <w:basedOn w:val="1"/>
    <w:next w:val="affff4"/>
    <w:qFormat/>
    <w:pPr>
      <w:numPr>
        <w:numId w:val="0"/>
      </w:numPr>
      <w:adjustRightInd/>
      <w:snapToGrid/>
      <w:spacing w:after="210"/>
      <w:jc w:val="left"/>
    </w:pPr>
    <w:rPr>
      <w:rFonts w:ascii="黑体" w:eastAsia="黑体"/>
      <w:b w:val="0"/>
      <w:sz w:val="32"/>
      <w:szCs w:val="32"/>
      <w:lang w:val="zh-CN"/>
    </w:rPr>
  </w:style>
  <w:style w:type="paragraph" w:customStyle="1" w:styleId="1320">
    <w:name w:val="样式132"/>
    <w:basedOn w:val="314"/>
    <w:qFormat/>
    <w:pPr>
      <w:spacing w:line="240" w:lineRule="auto"/>
      <w:ind w:firstLine="0"/>
      <w:jc w:val="center"/>
    </w:pPr>
    <w:rPr>
      <w:rFonts w:cs="Times New Roman"/>
      <w:b/>
      <w:color w:val="auto"/>
      <w:szCs w:val="20"/>
    </w:rPr>
  </w:style>
  <w:style w:type="paragraph" w:customStyle="1" w:styleId="51d">
    <w:name w:val="表格内字体51"/>
    <w:basedOn w:val="affff4"/>
    <w:next w:val="affff4"/>
    <w:qFormat/>
    <w:pPr>
      <w:spacing w:line="240" w:lineRule="auto"/>
      <w:ind w:firstLine="0"/>
    </w:pPr>
    <w:rPr>
      <w:rFonts w:hAnsi="宋体"/>
      <w:sz w:val="21"/>
      <w:szCs w:val="24"/>
    </w:rPr>
  </w:style>
  <w:style w:type="paragraph" w:customStyle="1" w:styleId="31131">
    <w:name w:val="表题3113"/>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2fffff2">
    <w:name w:val="福建正文缩进2"/>
    <w:basedOn w:val="1fb"/>
    <w:qFormat/>
    <w:pPr>
      <w:tabs>
        <w:tab w:val="left" w:pos="5837"/>
      </w:tabs>
      <w:spacing w:line="480" w:lineRule="exact"/>
    </w:pPr>
    <w:rPr>
      <w:rFonts w:cs="宋体"/>
      <w:color w:val="000000"/>
    </w:rPr>
  </w:style>
  <w:style w:type="paragraph" w:customStyle="1" w:styleId="2140">
    <w:name w:val="表内文字小214"/>
    <w:basedOn w:val="a"/>
    <w:qFormat/>
    <w:pPr>
      <w:widowControl/>
      <w:jc w:val="center"/>
    </w:pPr>
    <w:rPr>
      <w:rFonts w:ascii="宋体" w:hAnsi="Times" w:cs="宋体"/>
      <w:bCs/>
      <w:color w:val="000000"/>
      <w:kern w:val="0"/>
      <w:szCs w:val="20"/>
    </w:rPr>
  </w:style>
  <w:style w:type="paragraph" w:customStyle="1" w:styleId="11121">
    <w:name w:val="样式1112"/>
    <w:basedOn w:val="314"/>
    <w:qFormat/>
    <w:pPr>
      <w:spacing w:line="240" w:lineRule="auto"/>
      <w:ind w:firstLine="0"/>
      <w:jc w:val="center"/>
    </w:pPr>
    <w:rPr>
      <w:rFonts w:cs="Times New Roman"/>
      <w:b/>
      <w:color w:val="auto"/>
      <w:szCs w:val="20"/>
    </w:rPr>
  </w:style>
  <w:style w:type="paragraph" w:customStyle="1" w:styleId="CharCharCharCharCharCharChar15">
    <w:name w:val="Char Char Char Char Char Char Char15"/>
    <w:basedOn w:val="a"/>
    <w:qFormat/>
    <w:pPr>
      <w:widowControl/>
      <w:jc w:val="left"/>
    </w:pPr>
    <w:rPr>
      <w:rFonts w:ascii="宋体" w:hAnsi="宋体" w:cs="宋体"/>
      <w:kern w:val="0"/>
      <w:szCs w:val="20"/>
    </w:rPr>
  </w:style>
  <w:style w:type="paragraph" w:customStyle="1" w:styleId="31330">
    <w:name w:val="表内文字小3133"/>
    <w:basedOn w:val="a"/>
    <w:qFormat/>
    <w:pPr>
      <w:widowControl/>
      <w:jc w:val="center"/>
    </w:pPr>
    <w:rPr>
      <w:rFonts w:ascii="宋体" w:hAnsi="Times" w:cs="宋体"/>
      <w:bCs/>
      <w:color w:val="003366"/>
      <w:kern w:val="0"/>
      <w:szCs w:val="20"/>
    </w:rPr>
  </w:style>
  <w:style w:type="paragraph" w:customStyle="1" w:styleId="CharCharCharCharCharCharChar112">
    <w:name w:val="Char Char Char Char Char Char Char112"/>
    <w:basedOn w:val="a"/>
    <w:qFormat/>
    <w:pPr>
      <w:widowControl/>
      <w:jc w:val="left"/>
    </w:pPr>
    <w:rPr>
      <w:rFonts w:ascii="宋体" w:hAnsi="宋体" w:cs="宋体"/>
      <w:kern w:val="0"/>
    </w:rPr>
  </w:style>
  <w:style w:type="paragraph" w:customStyle="1" w:styleId="51121">
    <w:name w:val="表内宋5112"/>
    <w:basedOn w:val="1ff2"/>
    <w:qFormat/>
    <w:rPr>
      <w:rFonts w:ascii="宋体" w:hAnsi="宋体" w:cs="宋体"/>
      <w:color w:val="000000"/>
      <w:sz w:val="21"/>
      <w:szCs w:val="24"/>
    </w:rPr>
  </w:style>
  <w:style w:type="paragraph" w:customStyle="1" w:styleId="CharCharCharCharCharCharChar129">
    <w:name w:val="Char Char Char Char Char Char Char129"/>
    <w:basedOn w:val="a"/>
    <w:qFormat/>
    <w:pPr>
      <w:widowControl/>
      <w:jc w:val="left"/>
    </w:pPr>
    <w:rPr>
      <w:rFonts w:ascii="宋体" w:hAnsi="宋体" w:cs="宋体"/>
      <w:kern w:val="0"/>
    </w:rPr>
  </w:style>
  <w:style w:type="paragraph" w:customStyle="1" w:styleId="51e">
    <w:name w:val="黑体三号51"/>
    <w:basedOn w:val="affff4"/>
    <w:qFormat/>
    <w:pPr>
      <w:jc w:val="center"/>
    </w:pPr>
    <w:rPr>
      <w:rFonts w:ascii="黑体" w:eastAsia="黑体" w:hAnsi="宋体" w:cs="宋体"/>
      <w:b/>
      <w:bCs/>
      <w:sz w:val="32"/>
      <w:szCs w:val="20"/>
    </w:rPr>
  </w:style>
  <w:style w:type="paragraph" w:customStyle="1" w:styleId="CharCharCharCharCharCharChar211">
    <w:name w:val="Char Char Char Char Char Char Char211"/>
    <w:basedOn w:val="a"/>
    <w:qFormat/>
    <w:pPr>
      <w:widowControl/>
      <w:jc w:val="left"/>
    </w:pPr>
    <w:rPr>
      <w:rFonts w:ascii="宋体" w:hAnsi="宋体" w:cs="宋体"/>
      <w:kern w:val="0"/>
    </w:rPr>
  </w:style>
  <w:style w:type="paragraph" w:customStyle="1" w:styleId="2230">
    <w:name w:val="表内文字小223"/>
    <w:basedOn w:val="a"/>
    <w:qFormat/>
    <w:pPr>
      <w:widowControl/>
      <w:jc w:val="center"/>
    </w:pPr>
    <w:rPr>
      <w:rFonts w:ascii="宋体" w:hAnsi="Times" w:cs="宋体"/>
      <w:bCs/>
      <w:color w:val="000000"/>
      <w:kern w:val="0"/>
      <w:szCs w:val="20"/>
    </w:rPr>
  </w:style>
  <w:style w:type="paragraph" w:customStyle="1" w:styleId="21f8">
    <w:name w:val="正文.21"/>
    <w:qFormat/>
    <w:pPr>
      <w:widowControl w:val="0"/>
      <w:autoSpaceDE w:val="0"/>
      <w:autoSpaceDN w:val="0"/>
      <w:adjustRightInd w:val="0"/>
      <w:jc w:val="both"/>
    </w:pPr>
    <w:rPr>
      <w:rFonts w:ascii="Times New Roman;Symbol;Arial;婼" w:eastAsia="Times New Roman;Symbol;Arial;婼"/>
      <w:sz w:val="21"/>
      <w:szCs w:val="21"/>
    </w:rPr>
  </w:style>
  <w:style w:type="paragraph" w:customStyle="1" w:styleId="Char740">
    <w:name w:val="Char74"/>
    <w:basedOn w:val="a"/>
    <w:qFormat/>
    <w:pPr>
      <w:widowControl/>
      <w:ind w:left="-48"/>
      <w:jc w:val="left"/>
    </w:pPr>
    <w:rPr>
      <w:rFonts w:ascii="宋体" w:hAnsi="宋体" w:cs="宋体"/>
      <w:kern w:val="0"/>
    </w:rPr>
  </w:style>
  <w:style w:type="paragraph" w:customStyle="1" w:styleId="336">
    <w:name w:val="附件33"/>
    <w:basedOn w:val="1"/>
    <w:next w:val="affff4"/>
    <w:qFormat/>
    <w:pPr>
      <w:numPr>
        <w:numId w:val="0"/>
      </w:numPr>
      <w:spacing w:before="220" w:after="120"/>
    </w:pPr>
    <w:rPr>
      <w:rFonts w:ascii="黑体" w:eastAsia="黑体"/>
      <w:sz w:val="32"/>
      <w:szCs w:val="32"/>
      <w:lang w:val="zh-CN"/>
    </w:rPr>
  </w:style>
  <w:style w:type="paragraph" w:customStyle="1" w:styleId="54120">
    <w:name w:val="表内5中412"/>
    <w:basedOn w:val="a"/>
    <w:qFormat/>
    <w:pPr>
      <w:widowControl/>
      <w:jc w:val="center"/>
    </w:pPr>
    <w:rPr>
      <w:rFonts w:ascii="宋体" w:hAnsi="宋体" w:cs="宋体"/>
      <w:bCs/>
      <w:kern w:val="0"/>
      <w:szCs w:val="20"/>
    </w:rPr>
  </w:style>
  <w:style w:type="paragraph" w:customStyle="1" w:styleId="911">
    <w:name w:val="表题911"/>
    <w:basedOn w:val="2fff1"/>
    <w:qFormat/>
    <w:pPr>
      <w:spacing w:line="300" w:lineRule="auto"/>
      <w:jc w:val="center"/>
    </w:pPr>
    <w:rPr>
      <w:rFonts w:ascii="黑体" w:eastAsia="黑体"/>
      <w:szCs w:val="22"/>
    </w:rPr>
  </w:style>
  <w:style w:type="paragraph" w:customStyle="1" w:styleId="5212">
    <w:name w:val="表内宋5中21"/>
    <w:basedOn w:val="a"/>
    <w:qFormat/>
    <w:pPr>
      <w:widowControl/>
      <w:jc w:val="center"/>
      <w:textAlignment w:val="baseline"/>
    </w:pPr>
    <w:rPr>
      <w:rFonts w:ascii="宋体" w:hAnsi="宋体" w:cs="宋体"/>
      <w:kern w:val="0"/>
      <w:szCs w:val="20"/>
    </w:rPr>
  </w:style>
  <w:style w:type="paragraph" w:customStyle="1" w:styleId="54113">
    <w:name w:val="表内54113"/>
    <w:basedOn w:val="a"/>
    <w:qFormat/>
    <w:pPr>
      <w:widowControl/>
      <w:spacing w:line="300" w:lineRule="auto"/>
      <w:jc w:val="center"/>
    </w:pPr>
    <w:rPr>
      <w:rFonts w:ascii="宋体" w:hAnsi="宋体" w:cs="宋体"/>
      <w:kern w:val="0"/>
      <w:szCs w:val="20"/>
    </w:rPr>
  </w:style>
  <w:style w:type="paragraph" w:customStyle="1" w:styleId="312120">
    <w:name w:val="样式 标题 3 + 段前: 12 磅12"/>
    <w:basedOn w:val="3"/>
    <w:qFormat/>
    <w:pPr>
      <w:keepNext w:val="0"/>
      <w:keepLines w:val="0"/>
      <w:widowControl/>
      <w:numPr>
        <w:ilvl w:val="0"/>
        <w:numId w:val="0"/>
      </w:numPr>
      <w:autoSpaceDE w:val="0"/>
      <w:autoSpaceDN w:val="0"/>
      <w:jc w:val="both"/>
    </w:pPr>
    <w:rPr>
      <w:rFonts w:ascii="黑体" w:eastAsia="黑体" w:hAnsi="宋体" w:cs="宋体"/>
      <w:b w:val="0"/>
      <w:bCs w:val="0"/>
      <w:color w:val="000000"/>
      <w:kern w:val="21"/>
      <w:szCs w:val="20"/>
    </w:rPr>
  </w:style>
  <w:style w:type="paragraph" w:customStyle="1" w:styleId="Char420">
    <w:name w:val="Char42"/>
    <w:basedOn w:val="a"/>
    <w:qFormat/>
    <w:pPr>
      <w:widowControl/>
      <w:ind w:left="-48"/>
      <w:jc w:val="left"/>
    </w:pPr>
    <w:rPr>
      <w:rFonts w:ascii="宋体" w:hAnsi="宋体" w:cs="宋体"/>
      <w:kern w:val="0"/>
    </w:rPr>
  </w:style>
  <w:style w:type="paragraph" w:customStyle="1" w:styleId="Char31100">
    <w:name w:val="Char3110"/>
    <w:basedOn w:val="a"/>
    <w:qFormat/>
    <w:pPr>
      <w:widowControl/>
      <w:ind w:left="-48"/>
      <w:jc w:val="left"/>
    </w:pPr>
    <w:rPr>
      <w:rFonts w:ascii="宋体" w:hAnsi="宋体" w:cs="宋体"/>
      <w:kern w:val="0"/>
    </w:rPr>
  </w:style>
  <w:style w:type="paragraph" w:customStyle="1" w:styleId="5340">
    <w:name w:val="表内534"/>
    <w:basedOn w:val="a"/>
    <w:qFormat/>
    <w:pPr>
      <w:widowControl/>
      <w:spacing w:line="300" w:lineRule="auto"/>
      <w:jc w:val="left"/>
    </w:pPr>
    <w:rPr>
      <w:rFonts w:ascii="宋体" w:hAnsi="宋体" w:cs="宋体"/>
      <w:kern w:val="0"/>
      <w:szCs w:val="20"/>
    </w:rPr>
  </w:style>
  <w:style w:type="paragraph" w:customStyle="1" w:styleId="5fe">
    <w:name w:val="表中文字5"/>
    <w:basedOn w:val="a"/>
    <w:qFormat/>
    <w:pPr>
      <w:widowControl/>
      <w:spacing w:line="240" w:lineRule="atLeast"/>
      <w:ind w:leftChars="-10" w:left="-24" w:rightChars="-20" w:right="-48"/>
      <w:jc w:val="center"/>
    </w:pPr>
    <w:rPr>
      <w:rFonts w:ascii="宋体" w:hAnsi="宋体" w:cs="宋体"/>
      <w:kern w:val="0"/>
      <w:szCs w:val="21"/>
    </w:rPr>
  </w:style>
  <w:style w:type="paragraph" w:customStyle="1" w:styleId="Char1430">
    <w:name w:val="Char143"/>
    <w:basedOn w:val="a"/>
    <w:qFormat/>
    <w:pPr>
      <w:widowControl/>
      <w:ind w:left="-48"/>
      <w:jc w:val="left"/>
    </w:pPr>
    <w:rPr>
      <w:rFonts w:ascii="宋体" w:hAnsi="宋体" w:cs="宋体"/>
      <w:kern w:val="0"/>
    </w:rPr>
  </w:style>
  <w:style w:type="paragraph" w:customStyle="1" w:styleId="43112">
    <w:name w:val="标题43112"/>
    <w:basedOn w:val="a"/>
    <w:qFormat/>
    <w:pPr>
      <w:widowControl/>
      <w:spacing w:line="480" w:lineRule="exact"/>
      <w:jc w:val="center"/>
    </w:pPr>
    <w:rPr>
      <w:rFonts w:ascii="宋体" w:hAnsi="宋体" w:cs="宋体"/>
      <w:kern w:val="0"/>
    </w:rPr>
  </w:style>
  <w:style w:type="paragraph" w:customStyle="1" w:styleId="CharChar2CharCharCharChar6">
    <w:name w:val="Char Char2 Char Char Char Char6"/>
    <w:basedOn w:val="a"/>
    <w:pPr>
      <w:widowControl/>
      <w:jc w:val="left"/>
    </w:pPr>
    <w:rPr>
      <w:rFonts w:ascii="宋体" w:hAnsi="宋体" w:cs="宋体"/>
      <w:kern w:val="0"/>
    </w:rPr>
  </w:style>
  <w:style w:type="paragraph" w:customStyle="1" w:styleId="111d">
    <w:name w:val="正文修改111"/>
    <w:basedOn w:val="affffe"/>
    <w:qFormat/>
    <w:rPr>
      <w:rFonts w:eastAsia="宋体" w:hAnsi="宋体" w:cs="宋体"/>
      <w:color w:val="000000"/>
      <w:szCs w:val="24"/>
    </w:rPr>
  </w:style>
  <w:style w:type="paragraph" w:customStyle="1" w:styleId="1150">
    <w:name w:val="燕山正文115"/>
    <w:basedOn w:val="a"/>
    <w:pPr>
      <w:widowControl/>
      <w:tabs>
        <w:tab w:val="left" w:pos="4680"/>
      </w:tabs>
      <w:jc w:val="left"/>
    </w:pPr>
    <w:rPr>
      <w:rFonts w:ascii="宋体" w:hAnsi="宋体" w:cs="宋体"/>
      <w:bCs/>
      <w:snapToGrid w:val="0"/>
      <w:color w:val="000000"/>
      <w:kern w:val="0"/>
    </w:rPr>
  </w:style>
  <w:style w:type="paragraph" w:customStyle="1" w:styleId="4fc">
    <w:name w:val="表4"/>
    <w:basedOn w:val="a"/>
    <w:qFormat/>
    <w:pPr>
      <w:widowControl/>
      <w:jc w:val="center"/>
    </w:pPr>
    <w:rPr>
      <w:rFonts w:ascii="宋体" w:hAnsi="宋体" w:cs="宋体"/>
      <w:kern w:val="0"/>
    </w:rPr>
  </w:style>
  <w:style w:type="paragraph" w:customStyle="1" w:styleId="53210">
    <w:name w:val="表内5321"/>
    <w:basedOn w:val="a"/>
    <w:qFormat/>
    <w:pPr>
      <w:widowControl/>
      <w:spacing w:line="300" w:lineRule="auto"/>
      <w:jc w:val="left"/>
    </w:pPr>
    <w:rPr>
      <w:rFonts w:ascii="宋体" w:hAnsi="宋体" w:cs="宋体"/>
      <w:kern w:val="0"/>
      <w:szCs w:val="20"/>
    </w:rPr>
  </w:style>
  <w:style w:type="paragraph" w:customStyle="1" w:styleId="ParaCharCharCharChar212">
    <w:name w:val="默认段落字体 Para Char Char Char Char212"/>
    <w:basedOn w:val="a"/>
    <w:qFormat/>
    <w:pPr>
      <w:widowControl/>
      <w:jc w:val="left"/>
    </w:pPr>
    <w:rPr>
      <w:rFonts w:ascii="宋体" w:hAnsi="宋体" w:cs="宋体"/>
      <w:kern w:val="0"/>
    </w:rPr>
  </w:style>
  <w:style w:type="paragraph" w:customStyle="1" w:styleId="CharCharCharChar1CharCharChar9">
    <w:name w:val="Char Char Char Char1 Char Char Char9"/>
    <w:basedOn w:val="a"/>
    <w:qFormat/>
    <w:pPr>
      <w:widowControl/>
      <w:spacing w:after="160" w:line="240" w:lineRule="exact"/>
      <w:jc w:val="left"/>
    </w:pPr>
    <w:rPr>
      <w:rFonts w:ascii="Verdana" w:hAnsi="Verdana" w:cs="宋体"/>
      <w:kern w:val="0"/>
      <w:sz w:val="20"/>
      <w:szCs w:val="20"/>
      <w:lang w:eastAsia="en-US"/>
    </w:rPr>
  </w:style>
  <w:style w:type="paragraph" w:customStyle="1" w:styleId="54153">
    <w:name w:val="表内54153"/>
    <w:basedOn w:val="a"/>
    <w:pPr>
      <w:widowControl/>
      <w:spacing w:line="300" w:lineRule="auto"/>
      <w:jc w:val="center"/>
    </w:pPr>
    <w:rPr>
      <w:rFonts w:ascii="宋体" w:hAnsi="宋体" w:cs="宋体"/>
      <w:kern w:val="0"/>
      <w:szCs w:val="20"/>
    </w:rPr>
  </w:style>
  <w:style w:type="paragraph" w:customStyle="1" w:styleId="41131">
    <w:name w:val="标题4113"/>
    <w:basedOn w:val="a"/>
    <w:qFormat/>
    <w:pPr>
      <w:widowControl/>
      <w:spacing w:line="300" w:lineRule="auto"/>
      <w:jc w:val="left"/>
    </w:pPr>
    <w:rPr>
      <w:rFonts w:ascii="黑体" w:eastAsia="黑体" w:hAnsi="宋体" w:cs="宋体"/>
      <w:bCs/>
      <w:kern w:val="0"/>
      <w:szCs w:val="20"/>
    </w:rPr>
  </w:style>
  <w:style w:type="paragraph" w:customStyle="1" w:styleId="21f9">
    <w:name w:val="附件21"/>
    <w:basedOn w:val="1"/>
    <w:next w:val="affff4"/>
    <w:qFormat/>
    <w:pPr>
      <w:numPr>
        <w:numId w:val="0"/>
      </w:numPr>
      <w:adjustRightInd/>
      <w:snapToGrid/>
      <w:spacing w:after="210"/>
      <w:jc w:val="left"/>
    </w:pPr>
    <w:rPr>
      <w:rFonts w:ascii="黑体" w:eastAsia="黑体"/>
      <w:b w:val="0"/>
      <w:sz w:val="32"/>
      <w:szCs w:val="32"/>
      <w:lang w:val="zh-CN"/>
    </w:rPr>
  </w:style>
  <w:style w:type="paragraph" w:customStyle="1" w:styleId="3161">
    <w:name w:val="表题316"/>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5125">
    <w:name w:val="表内5中12"/>
    <w:basedOn w:val="a"/>
    <w:qFormat/>
    <w:pPr>
      <w:widowControl/>
      <w:jc w:val="center"/>
    </w:pPr>
    <w:rPr>
      <w:rFonts w:ascii="宋体" w:hAnsi="宋体" w:cs="Arial"/>
      <w:snapToGrid w:val="0"/>
      <w:color w:val="000000"/>
      <w:kern w:val="0"/>
      <w:szCs w:val="21"/>
    </w:rPr>
  </w:style>
  <w:style w:type="paragraph" w:customStyle="1" w:styleId="22d">
    <w:name w:val="表22"/>
    <w:basedOn w:val="a"/>
    <w:qFormat/>
    <w:pPr>
      <w:widowControl/>
      <w:jc w:val="center"/>
    </w:pPr>
    <w:rPr>
      <w:rFonts w:ascii="宋体" w:hAnsi="宋体" w:cs="宋体"/>
      <w:kern w:val="0"/>
    </w:rPr>
  </w:style>
  <w:style w:type="paragraph" w:customStyle="1" w:styleId="ParaCharCharCharChar43">
    <w:name w:val="默认段落字体 Para Char Char Char Char43"/>
    <w:basedOn w:val="a"/>
    <w:qFormat/>
    <w:pPr>
      <w:widowControl/>
      <w:jc w:val="left"/>
    </w:pPr>
    <w:rPr>
      <w:rFonts w:ascii="宋体" w:hAnsi="宋体" w:cs="宋体"/>
      <w:kern w:val="0"/>
    </w:rPr>
  </w:style>
  <w:style w:type="paragraph" w:customStyle="1" w:styleId="155">
    <w:name w:val="样式15"/>
    <w:basedOn w:val="314"/>
    <w:qFormat/>
    <w:pPr>
      <w:spacing w:line="240" w:lineRule="auto"/>
      <w:ind w:firstLine="0"/>
      <w:jc w:val="center"/>
    </w:pPr>
    <w:rPr>
      <w:rFonts w:cs="Times New Roman"/>
      <w:b/>
      <w:color w:val="auto"/>
      <w:szCs w:val="20"/>
    </w:rPr>
  </w:style>
  <w:style w:type="paragraph" w:customStyle="1" w:styleId="31d">
    <w:name w:val="黑体三号31"/>
    <w:basedOn w:val="affff4"/>
    <w:qFormat/>
    <w:pPr>
      <w:jc w:val="center"/>
    </w:pPr>
    <w:rPr>
      <w:rFonts w:ascii="黑体" w:eastAsia="黑体" w:hAnsi="宋体" w:cs="宋体"/>
      <w:b/>
      <w:bCs/>
      <w:sz w:val="32"/>
      <w:szCs w:val="20"/>
    </w:rPr>
  </w:style>
  <w:style w:type="paragraph" w:customStyle="1" w:styleId="2128">
    <w:name w:val="燕山正文212"/>
    <w:basedOn w:val="a"/>
    <w:qFormat/>
    <w:pPr>
      <w:widowControl/>
      <w:tabs>
        <w:tab w:val="left" w:pos="4680"/>
      </w:tabs>
      <w:spacing w:line="480" w:lineRule="exact"/>
      <w:jc w:val="left"/>
    </w:pPr>
    <w:rPr>
      <w:rFonts w:ascii="宋体" w:hAnsi="宋体" w:cs="宋体"/>
      <w:kern w:val="0"/>
    </w:rPr>
  </w:style>
  <w:style w:type="paragraph" w:customStyle="1" w:styleId="6c">
    <w:name w:val="表6"/>
    <w:basedOn w:val="a"/>
    <w:pPr>
      <w:widowControl/>
      <w:jc w:val="center"/>
    </w:pPr>
    <w:rPr>
      <w:rFonts w:ascii="宋体" w:hAnsi="宋体" w:cs="宋体"/>
      <w:kern w:val="0"/>
    </w:rPr>
  </w:style>
  <w:style w:type="paragraph" w:customStyle="1" w:styleId="xl631">
    <w:name w:val="xl631"/>
    <w:basedOn w:val="a"/>
    <w:qFormat/>
    <w:pPr>
      <w:widowControl/>
      <w:spacing w:before="100" w:beforeAutospacing="1" w:after="100" w:afterAutospacing="1"/>
      <w:jc w:val="center"/>
      <w:textAlignment w:val="center"/>
    </w:pPr>
    <w:rPr>
      <w:rFonts w:ascii="黑体" w:eastAsia="黑体" w:hAnsi="宋体" w:cs="宋体" w:hint="eastAsia"/>
      <w:kern w:val="0"/>
    </w:rPr>
  </w:style>
  <w:style w:type="paragraph" w:customStyle="1" w:styleId="5213">
    <w:name w:val="表内5中21"/>
    <w:basedOn w:val="a"/>
    <w:qFormat/>
    <w:pPr>
      <w:widowControl/>
      <w:jc w:val="center"/>
    </w:pPr>
    <w:rPr>
      <w:rFonts w:ascii="宋体" w:hAnsi="宋体" w:cs="Arial"/>
      <w:snapToGrid w:val="0"/>
      <w:color w:val="000000"/>
      <w:kern w:val="0"/>
      <w:szCs w:val="21"/>
    </w:rPr>
  </w:style>
  <w:style w:type="paragraph" w:customStyle="1" w:styleId="41d">
    <w:name w:val="燕山正文41"/>
    <w:basedOn w:val="a"/>
    <w:qFormat/>
    <w:pPr>
      <w:widowControl/>
      <w:tabs>
        <w:tab w:val="left" w:pos="4680"/>
      </w:tabs>
      <w:spacing w:line="480" w:lineRule="exact"/>
      <w:jc w:val="left"/>
    </w:pPr>
    <w:rPr>
      <w:rFonts w:ascii="宋体" w:hAnsi="宋体" w:cs="宋体"/>
      <w:kern w:val="0"/>
    </w:rPr>
  </w:style>
  <w:style w:type="paragraph" w:customStyle="1" w:styleId="c2">
    <w:name w:val="c2"/>
    <w:qFormat/>
    <w:pPr>
      <w:widowControl w:val="0"/>
      <w:autoSpaceDE w:val="0"/>
      <w:autoSpaceDN w:val="0"/>
      <w:adjustRightInd w:val="0"/>
      <w:jc w:val="both"/>
    </w:pPr>
    <w:rPr>
      <w:rFonts w:ascii="Arial" w:hAnsi="Arial"/>
      <w:sz w:val="24"/>
    </w:rPr>
  </w:style>
  <w:style w:type="paragraph" w:customStyle="1" w:styleId="541111">
    <w:name w:val="表内541111"/>
    <w:basedOn w:val="a"/>
    <w:qFormat/>
    <w:pPr>
      <w:widowControl/>
      <w:spacing w:line="300" w:lineRule="auto"/>
      <w:jc w:val="center"/>
    </w:pPr>
    <w:rPr>
      <w:rFonts w:ascii="宋体" w:hAnsi="宋体" w:cs="宋体"/>
      <w:kern w:val="0"/>
      <w:szCs w:val="20"/>
    </w:rPr>
  </w:style>
  <w:style w:type="paragraph" w:customStyle="1" w:styleId="3fff1">
    <w:name w:val="表格内容3"/>
    <w:qFormat/>
    <w:pPr>
      <w:jc w:val="center"/>
    </w:pPr>
    <w:rPr>
      <w:kern w:val="2"/>
      <w:sz w:val="21"/>
      <w:szCs w:val="21"/>
    </w:rPr>
  </w:style>
  <w:style w:type="paragraph" w:customStyle="1" w:styleId="5119">
    <w:name w:val="表内5中11"/>
    <w:basedOn w:val="a"/>
    <w:pPr>
      <w:widowControl/>
      <w:jc w:val="center"/>
    </w:pPr>
    <w:rPr>
      <w:rFonts w:ascii="宋体" w:hAnsi="宋体" w:cs="Arial"/>
      <w:snapToGrid w:val="0"/>
      <w:color w:val="000000"/>
      <w:kern w:val="0"/>
      <w:szCs w:val="21"/>
    </w:rPr>
  </w:style>
  <w:style w:type="paragraph" w:customStyle="1" w:styleId="Char1220">
    <w:name w:val="Char122"/>
    <w:basedOn w:val="a"/>
    <w:qFormat/>
    <w:pPr>
      <w:widowControl/>
      <w:jc w:val="left"/>
    </w:pPr>
    <w:rPr>
      <w:rFonts w:ascii="宋体" w:hAnsi="宋体" w:cs="宋体"/>
      <w:kern w:val="0"/>
    </w:rPr>
  </w:style>
  <w:style w:type="paragraph" w:customStyle="1" w:styleId="09923">
    <w:name w:val="首行缩进:  0.99 厘米 + 首行缩进:  2 字符3"/>
    <w:basedOn w:val="a"/>
    <w:qFormat/>
    <w:pPr>
      <w:widowControl/>
      <w:topLinePunct/>
      <w:spacing w:line="480" w:lineRule="exact"/>
      <w:ind w:firstLine="420"/>
      <w:jc w:val="center"/>
    </w:pPr>
    <w:rPr>
      <w:rFonts w:ascii="宋体" w:hAnsi="宋体" w:cs="宋体"/>
      <w:snapToGrid w:val="0"/>
      <w:color w:val="FF0000"/>
      <w:kern w:val="0"/>
      <w:szCs w:val="21"/>
    </w:rPr>
  </w:style>
  <w:style w:type="paragraph" w:customStyle="1" w:styleId="CharCharCharCharCharCharChar16">
    <w:name w:val="Char Char Char Char Char Char Char16"/>
    <w:basedOn w:val="a"/>
    <w:qFormat/>
    <w:pPr>
      <w:widowControl/>
      <w:jc w:val="left"/>
    </w:pPr>
    <w:rPr>
      <w:rFonts w:ascii="宋体" w:hAnsi="宋体" w:cs="宋体"/>
      <w:kern w:val="0"/>
    </w:rPr>
  </w:style>
  <w:style w:type="paragraph" w:customStyle="1" w:styleId="11211">
    <w:name w:val="燕山正文11211"/>
    <w:basedOn w:val="a"/>
    <w:qFormat/>
    <w:pPr>
      <w:widowControl/>
      <w:tabs>
        <w:tab w:val="left" w:pos="4680"/>
      </w:tabs>
      <w:spacing w:line="480" w:lineRule="exact"/>
      <w:jc w:val="left"/>
    </w:pPr>
    <w:rPr>
      <w:rFonts w:ascii="宋体" w:hAnsi="宋体" w:cs="宋体"/>
      <w:bCs/>
      <w:color w:val="000000"/>
      <w:kern w:val="0"/>
    </w:rPr>
  </w:style>
  <w:style w:type="paragraph" w:customStyle="1" w:styleId="312121">
    <w:name w:val="表题31212"/>
    <w:basedOn w:val="1fa"/>
    <w:pPr>
      <w:widowControl/>
      <w:tabs>
        <w:tab w:val="left" w:pos="4305"/>
      </w:tabs>
      <w:spacing w:after="0" w:line="240" w:lineRule="auto"/>
      <w:ind w:leftChars="0" w:left="0" w:firstLineChars="0" w:firstLine="0"/>
      <w:jc w:val="center"/>
    </w:pPr>
    <w:rPr>
      <w:rFonts w:ascii="宋体" w:hAnsi="宋体"/>
      <w:sz w:val="24"/>
    </w:rPr>
  </w:style>
  <w:style w:type="paragraph" w:customStyle="1" w:styleId="CharCharCharChar1CharCharChar11">
    <w:name w:val="Char Char Char Char1 Char Char Char11"/>
    <w:basedOn w:val="a"/>
    <w:qFormat/>
    <w:pPr>
      <w:widowControl/>
      <w:spacing w:after="160" w:line="240" w:lineRule="exact"/>
      <w:jc w:val="left"/>
    </w:pPr>
    <w:rPr>
      <w:rFonts w:ascii="Verdana" w:hAnsi="Verdana" w:cs="宋体"/>
      <w:kern w:val="0"/>
      <w:sz w:val="20"/>
      <w:szCs w:val="20"/>
      <w:lang w:eastAsia="en-US"/>
    </w:rPr>
  </w:style>
  <w:style w:type="paragraph" w:customStyle="1" w:styleId="CharCharCharChar1CharCharChar12">
    <w:name w:val="Char Char Char Char1 Char Char Char12"/>
    <w:basedOn w:val="a"/>
    <w:qFormat/>
    <w:pPr>
      <w:widowControl/>
      <w:spacing w:after="160" w:line="240" w:lineRule="exact"/>
      <w:jc w:val="left"/>
    </w:pPr>
    <w:rPr>
      <w:rFonts w:ascii="Verdana" w:hAnsi="Verdana" w:cs="宋体"/>
      <w:kern w:val="0"/>
      <w:sz w:val="20"/>
      <w:szCs w:val="20"/>
      <w:lang w:eastAsia="en-US"/>
    </w:rPr>
  </w:style>
  <w:style w:type="paragraph" w:customStyle="1" w:styleId="ParaChar8">
    <w:name w:val="默认段落字体 Para Char8"/>
    <w:basedOn w:val="a"/>
    <w:qFormat/>
    <w:pPr>
      <w:widowControl/>
      <w:jc w:val="left"/>
    </w:pPr>
    <w:rPr>
      <w:rFonts w:ascii="宋体" w:hAnsi="宋体" w:cs="宋体"/>
      <w:kern w:val="0"/>
    </w:rPr>
  </w:style>
  <w:style w:type="paragraph" w:customStyle="1" w:styleId="Char3310">
    <w:name w:val="Char331"/>
    <w:basedOn w:val="a"/>
    <w:qFormat/>
    <w:pPr>
      <w:widowControl/>
      <w:ind w:left="-48"/>
      <w:jc w:val="left"/>
    </w:pPr>
    <w:rPr>
      <w:rFonts w:ascii="宋体" w:hAnsi="宋体" w:cs="宋体"/>
      <w:kern w:val="0"/>
    </w:rPr>
  </w:style>
  <w:style w:type="paragraph" w:customStyle="1" w:styleId="3115">
    <w:name w:val="表311"/>
    <w:basedOn w:val="a"/>
    <w:qFormat/>
    <w:pPr>
      <w:widowControl/>
      <w:jc w:val="center"/>
    </w:pPr>
    <w:rPr>
      <w:rFonts w:ascii="宋体" w:hAnsi="宋体" w:cs="宋体"/>
      <w:kern w:val="0"/>
    </w:rPr>
  </w:style>
  <w:style w:type="paragraph" w:customStyle="1" w:styleId="Char2100">
    <w:name w:val="Char210"/>
    <w:basedOn w:val="a"/>
    <w:qFormat/>
    <w:pPr>
      <w:widowControl/>
      <w:ind w:left="-48"/>
      <w:jc w:val="left"/>
    </w:pPr>
    <w:rPr>
      <w:rFonts w:ascii="宋体" w:hAnsi="宋体" w:cs="宋体"/>
      <w:kern w:val="0"/>
    </w:rPr>
  </w:style>
  <w:style w:type="paragraph" w:customStyle="1" w:styleId="21110">
    <w:name w:val="表内文字小2111"/>
    <w:basedOn w:val="a"/>
    <w:qFormat/>
    <w:pPr>
      <w:widowControl/>
      <w:jc w:val="center"/>
    </w:pPr>
    <w:rPr>
      <w:rFonts w:ascii="宋体" w:hAnsi="Times" w:cs="宋体"/>
      <w:bCs/>
      <w:color w:val="000000"/>
      <w:kern w:val="0"/>
      <w:szCs w:val="20"/>
    </w:rPr>
  </w:style>
  <w:style w:type="paragraph" w:customStyle="1" w:styleId="2211">
    <w:name w:val="表内文字小2211"/>
    <w:basedOn w:val="a"/>
    <w:qFormat/>
    <w:pPr>
      <w:widowControl/>
      <w:jc w:val="center"/>
    </w:pPr>
    <w:rPr>
      <w:rFonts w:ascii="宋体" w:hAnsi="Times" w:cs="宋体"/>
      <w:bCs/>
      <w:color w:val="000000"/>
      <w:kern w:val="0"/>
      <w:szCs w:val="20"/>
    </w:rPr>
  </w:style>
  <w:style w:type="paragraph" w:customStyle="1" w:styleId="ParaCharCharCharChar62">
    <w:name w:val="默认段落字体 Para Char Char Char Char62"/>
    <w:basedOn w:val="a"/>
    <w:qFormat/>
    <w:pPr>
      <w:widowControl/>
      <w:jc w:val="left"/>
    </w:pPr>
    <w:rPr>
      <w:rFonts w:ascii="宋体" w:hAnsi="宋体" w:cs="宋体"/>
      <w:kern w:val="0"/>
    </w:rPr>
  </w:style>
  <w:style w:type="paragraph" w:customStyle="1" w:styleId="810">
    <w:name w:val="表内文字小81"/>
    <w:basedOn w:val="a"/>
    <w:pPr>
      <w:widowControl/>
      <w:jc w:val="center"/>
    </w:pPr>
    <w:rPr>
      <w:rFonts w:ascii="宋体" w:hAnsi="Times" w:cs="宋体"/>
      <w:kern w:val="0"/>
      <w:szCs w:val="20"/>
    </w:rPr>
  </w:style>
  <w:style w:type="paragraph" w:customStyle="1" w:styleId="7a">
    <w:name w:val="正文修改7"/>
    <w:basedOn w:val="affffe"/>
    <w:qFormat/>
    <w:rPr>
      <w:rFonts w:eastAsia="宋体" w:hAnsi="宋体" w:cs="宋体"/>
      <w:color w:val="000000"/>
      <w:szCs w:val="24"/>
    </w:rPr>
  </w:style>
  <w:style w:type="paragraph" w:customStyle="1" w:styleId="Char14110">
    <w:name w:val="Char1411"/>
    <w:basedOn w:val="a"/>
    <w:qFormat/>
    <w:pPr>
      <w:widowControl/>
      <w:ind w:left="-48"/>
      <w:jc w:val="left"/>
    </w:pPr>
    <w:rPr>
      <w:rFonts w:ascii="宋体" w:hAnsi="宋体" w:cs="宋体"/>
      <w:kern w:val="0"/>
    </w:rPr>
  </w:style>
  <w:style w:type="paragraph" w:customStyle="1" w:styleId="CharCharCharCharCharCharChar2211">
    <w:name w:val="Char Char Char Char Char Char Char2211"/>
    <w:basedOn w:val="a"/>
    <w:qFormat/>
    <w:pPr>
      <w:widowControl/>
      <w:jc w:val="left"/>
    </w:pPr>
    <w:rPr>
      <w:rFonts w:ascii="宋体" w:hAnsi="宋体" w:cs="宋体"/>
      <w:kern w:val="0"/>
    </w:rPr>
  </w:style>
  <w:style w:type="paragraph" w:customStyle="1" w:styleId="ParaChar32">
    <w:name w:val="默认段落字体 Para Char32"/>
    <w:basedOn w:val="a"/>
    <w:qFormat/>
    <w:pPr>
      <w:widowControl/>
      <w:jc w:val="left"/>
    </w:pPr>
    <w:rPr>
      <w:rFonts w:ascii="宋体" w:hAnsi="宋体" w:cs="宋体"/>
      <w:kern w:val="0"/>
    </w:rPr>
  </w:style>
  <w:style w:type="paragraph" w:customStyle="1" w:styleId="53111">
    <w:name w:val="表内53111"/>
    <w:basedOn w:val="a"/>
    <w:qFormat/>
    <w:pPr>
      <w:widowControl/>
      <w:spacing w:line="300" w:lineRule="auto"/>
      <w:jc w:val="left"/>
    </w:pPr>
    <w:rPr>
      <w:rFonts w:ascii="宋体" w:hAnsi="宋体" w:cs="宋体"/>
      <w:kern w:val="0"/>
      <w:szCs w:val="20"/>
    </w:rPr>
  </w:style>
  <w:style w:type="paragraph" w:customStyle="1" w:styleId="5ff">
    <w:name w:val="表内小5中"/>
    <w:basedOn w:val="a"/>
    <w:pPr>
      <w:widowControl/>
      <w:jc w:val="center"/>
    </w:pPr>
    <w:rPr>
      <w:rFonts w:ascii="宋体" w:hAnsi="宋体" w:cs="宋体"/>
      <w:kern w:val="0"/>
      <w:sz w:val="18"/>
      <w:szCs w:val="20"/>
    </w:rPr>
  </w:style>
  <w:style w:type="paragraph" w:customStyle="1" w:styleId="5222">
    <w:name w:val="表内522"/>
    <w:basedOn w:val="a"/>
    <w:qFormat/>
    <w:pPr>
      <w:widowControl/>
      <w:spacing w:line="300" w:lineRule="auto"/>
      <w:jc w:val="left"/>
    </w:pPr>
    <w:rPr>
      <w:rFonts w:ascii="宋体" w:hAnsi="宋体" w:cs="宋体"/>
      <w:kern w:val="0"/>
      <w:sz w:val="18"/>
      <w:szCs w:val="20"/>
    </w:rPr>
  </w:style>
  <w:style w:type="paragraph" w:customStyle="1" w:styleId="Char4120">
    <w:name w:val="Char412"/>
    <w:basedOn w:val="a"/>
    <w:qFormat/>
    <w:pPr>
      <w:widowControl/>
      <w:ind w:left="-48"/>
      <w:jc w:val="left"/>
    </w:pPr>
    <w:rPr>
      <w:rFonts w:ascii="宋体" w:hAnsi="宋体" w:cs="宋体"/>
      <w:kern w:val="0"/>
    </w:rPr>
  </w:style>
  <w:style w:type="paragraph" w:customStyle="1" w:styleId="Char351">
    <w:name w:val="Char351"/>
    <w:basedOn w:val="a"/>
    <w:qFormat/>
    <w:pPr>
      <w:widowControl/>
      <w:ind w:left="-48"/>
      <w:jc w:val="left"/>
    </w:pPr>
    <w:rPr>
      <w:rFonts w:ascii="宋体" w:hAnsi="宋体" w:cs="宋体"/>
      <w:kern w:val="0"/>
    </w:rPr>
  </w:style>
  <w:style w:type="paragraph" w:customStyle="1" w:styleId="312110">
    <w:name w:val="样式 标题 3 + 段前: 12 磅11"/>
    <w:basedOn w:val="3"/>
    <w:qFormat/>
    <w:pPr>
      <w:keepNext w:val="0"/>
      <w:keepLines w:val="0"/>
      <w:widowControl/>
      <w:numPr>
        <w:ilvl w:val="0"/>
        <w:numId w:val="0"/>
      </w:numPr>
      <w:autoSpaceDE w:val="0"/>
      <w:autoSpaceDN w:val="0"/>
      <w:jc w:val="both"/>
    </w:pPr>
    <w:rPr>
      <w:rFonts w:ascii="黑体" w:eastAsia="黑体" w:hAnsi="宋体" w:cs="宋体"/>
      <w:b w:val="0"/>
      <w:bCs w:val="0"/>
      <w:color w:val="000000"/>
      <w:kern w:val="21"/>
      <w:szCs w:val="20"/>
    </w:rPr>
  </w:style>
  <w:style w:type="paragraph" w:customStyle="1" w:styleId="921">
    <w:name w:val="表题921"/>
    <w:basedOn w:val="2fff1"/>
    <w:qFormat/>
    <w:pPr>
      <w:spacing w:line="300" w:lineRule="auto"/>
      <w:jc w:val="center"/>
    </w:pPr>
    <w:rPr>
      <w:rFonts w:ascii="黑体" w:eastAsia="黑体"/>
      <w:szCs w:val="22"/>
    </w:rPr>
  </w:style>
  <w:style w:type="paragraph" w:customStyle="1" w:styleId="31221">
    <w:name w:val="表内文字小3122"/>
    <w:basedOn w:val="a"/>
    <w:qFormat/>
    <w:pPr>
      <w:widowControl/>
      <w:jc w:val="center"/>
    </w:pPr>
    <w:rPr>
      <w:rFonts w:ascii="宋体" w:hAnsi="Times" w:cs="宋体"/>
      <w:bCs/>
      <w:color w:val="003366"/>
      <w:kern w:val="0"/>
      <w:szCs w:val="20"/>
    </w:rPr>
  </w:style>
  <w:style w:type="paragraph" w:customStyle="1" w:styleId="111110">
    <w:name w:val="燕山正文11111"/>
    <w:basedOn w:val="a"/>
    <w:qFormat/>
    <w:pPr>
      <w:widowControl/>
      <w:tabs>
        <w:tab w:val="left" w:pos="4680"/>
      </w:tabs>
      <w:spacing w:line="480" w:lineRule="exact"/>
      <w:jc w:val="left"/>
    </w:pPr>
    <w:rPr>
      <w:rFonts w:ascii="宋体" w:hAnsi="宋体" w:cs="宋体"/>
      <w:bCs/>
      <w:color w:val="000000"/>
      <w:kern w:val="0"/>
    </w:rPr>
  </w:style>
  <w:style w:type="paragraph" w:customStyle="1" w:styleId="3fff2">
    <w:name w:val="封面标准文稿编辑信息3"/>
    <w:qFormat/>
    <w:pPr>
      <w:spacing w:before="180" w:line="180" w:lineRule="exact"/>
      <w:jc w:val="center"/>
    </w:pPr>
    <w:rPr>
      <w:rFonts w:ascii="宋体"/>
      <w:sz w:val="21"/>
    </w:rPr>
  </w:style>
  <w:style w:type="paragraph" w:customStyle="1" w:styleId="31214">
    <w:name w:val="表内文字小3121"/>
    <w:basedOn w:val="a"/>
    <w:qFormat/>
    <w:pPr>
      <w:widowControl/>
      <w:jc w:val="center"/>
    </w:pPr>
    <w:rPr>
      <w:rFonts w:ascii="宋体" w:hAnsi="Times" w:cs="宋体"/>
      <w:bCs/>
      <w:color w:val="003366"/>
      <w:kern w:val="0"/>
      <w:szCs w:val="20"/>
    </w:rPr>
  </w:style>
  <w:style w:type="paragraph" w:customStyle="1" w:styleId="11310">
    <w:name w:val="燕山正文1131"/>
    <w:basedOn w:val="a"/>
    <w:qFormat/>
    <w:pPr>
      <w:widowControl/>
      <w:tabs>
        <w:tab w:val="left" w:pos="4680"/>
      </w:tabs>
      <w:jc w:val="left"/>
    </w:pPr>
    <w:rPr>
      <w:rFonts w:ascii="宋体" w:hAnsi="宋体" w:cs="宋体"/>
      <w:bCs/>
      <w:snapToGrid w:val="0"/>
      <w:color w:val="000000"/>
      <w:kern w:val="0"/>
    </w:rPr>
  </w:style>
  <w:style w:type="paragraph" w:customStyle="1" w:styleId="4121">
    <w:name w:val="正文格式＝412"/>
    <w:basedOn w:val="affff4"/>
    <w:next w:val="affff4"/>
    <w:qFormat/>
    <w:rPr>
      <w:rFonts w:hAnsi="宋体"/>
      <w:szCs w:val="24"/>
    </w:rPr>
  </w:style>
  <w:style w:type="paragraph" w:customStyle="1" w:styleId="6110">
    <w:name w:val="正文格式＝611"/>
    <w:basedOn w:val="affff4"/>
    <w:next w:val="affff4"/>
    <w:rPr>
      <w:rFonts w:hAnsi="宋体"/>
      <w:szCs w:val="24"/>
    </w:rPr>
  </w:style>
  <w:style w:type="paragraph" w:customStyle="1" w:styleId="21210">
    <w:name w:val="表内文字小2121"/>
    <w:basedOn w:val="a"/>
    <w:qFormat/>
    <w:pPr>
      <w:widowControl/>
      <w:jc w:val="center"/>
    </w:pPr>
    <w:rPr>
      <w:rFonts w:ascii="宋体" w:hAnsi="Times" w:cs="宋体"/>
      <w:bCs/>
      <w:color w:val="000000"/>
      <w:kern w:val="0"/>
      <w:szCs w:val="20"/>
    </w:rPr>
  </w:style>
  <w:style w:type="paragraph" w:customStyle="1" w:styleId="CharCharCharCharCharCharChar24">
    <w:name w:val="Char Char Char Char Char Char Char24"/>
    <w:basedOn w:val="a"/>
    <w:qFormat/>
    <w:pPr>
      <w:widowControl/>
      <w:jc w:val="left"/>
    </w:pPr>
    <w:rPr>
      <w:rFonts w:ascii="宋体" w:hAnsi="宋体" w:cs="宋体"/>
      <w:kern w:val="0"/>
    </w:rPr>
  </w:style>
  <w:style w:type="paragraph" w:customStyle="1" w:styleId="CharCharCharCharCharCharChar13">
    <w:name w:val="Char Char Char Char Char Char Char13"/>
    <w:basedOn w:val="a"/>
    <w:qFormat/>
    <w:pPr>
      <w:widowControl/>
      <w:jc w:val="left"/>
    </w:pPr>
    <w:rPr>
      <w:rFonts w:ascii="宋体" w:hAnsi="宋体" w:cs="宋体"/>
      <w:kern w:val="0"/>
    </w:rPr>
  </w:style>
  <w:style w:type="paragraph" w:customStyle="1" w:styleId="3142">
    <w:name w:val="表题3142"/>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437">
    <w:name w:val="燕山正文43"/>
    <w:basedOn w:val="a"/>
    <w:qFormat/>
    <w:pPr>
      <w:widowControl/>
      <w:tabs>
        <w:tab w:val="left" w:pos="4680"/>
      </w:tabs>
      <w:spacing w:line="480" w:lineRule="exact"/>
      <w:jc w:val="left"/>
    </w:pPr>
    <w:rPr>
      <w:rFonts w:ascii="宋体" w:hAnsi="宋体" w:cs="宋体"/>
      <w:kern w:val="0"/>
    </w:rPr>
  </w:style>
  <w:style w:type="paragraph" w:customStyle="1" w:styleId="Char234">
    <w:name w:val="Char23"/>
    <w:basedOn w:val="a"/>
    <w:qFormat/>
    <w:pPr>
      <w:widowControl/>
      <w:ind w:left="-48"/>
      <w:jc w:val="left"/>
    </w:pPr>
    <w:rPr>
      <w:rFonts w:ascii="宋体" w:hAnsi="宋体" w:cs="宋体"/>
      <w:kern w:val="0"/>
    </w:rPr>
  </w:style>
  <w:style w:type="paragraph" w:customStyle="1" w:styleId="1128">
    <w:name w:val="正文格式＝112"/>
    <w:basedOn w:val="affff4"/>
    <w:next w:val="affff4"/>
    <w:qFormat/>
    <w:rPr>
      <w:rFonts w:hAnsi="宋体"/>
      <w:szCs w:val="24"/>
    </w:rPr>
  </w:style>
  <w:style w:type="paragraph" w:customStyle="1" w:styleId="CharCharCharCharCharCharChar122">
    <w:name w:val="Char Char Char Char Char Char Char122"/>
    <w:basedOn w:val="a"/>
    <w:qFormat/>
    <w:pPr>
      <w:widowControl/>
      <w:jc w:val="left"/>
    </w:pPr>
    <w:rPr>
      <w:rFonts w:ascii="宋体" w:hAnsi="宋体" w:cs="宋体"/>
      <w:kern w:val="0"/>
      <w:szCs w:val="20"/>
    </w:rPr>
  </w:style>
  <w:style w:type="paragraph" w:customStyle="1" w:styleId="3143">
    <w:name w:val="表内文字小314"/>
    <w:basedOn w:val="a"/>
    <w:qFormat/>
    <w:pPr>
      <w:widowControl/>
      <w:jc w:val="center"/>
    </w:pPr>
    <w:rPr>
      <w:rFonts w:ascii="宋体" w:hAnsi="Times" w:cs="宋体"/>
      <w:bCs/>
      <w:color w:val="003366"/>
      <w:kern w:val="0"/>
      <w:szCs w:val="20"/>
    </w:rPr>
  </w:style>
  <w:style w:type="paragraph" w:customStyle="1" w:styleId="CharCharCharCharCharCharChar51">
    <w:name w:val="Char Char Char Char Char Char Char51"/>
    <w:basedOn w:val="a"/>
    <w:qFormat/>
    <w:pPr>
      <w:widowControl/>
      <w:jc w:val="left"/>
    </w:pPr>
    <w:rPr>
      <w:rFonts w:ascii="宋体" w:hAnsi="宋体" w:cs="宋体"/>
      <w:kern w:val="0"/>
    </w:rPr>
  </w:style>
  <w:style w:type="paragraph" w:customStyle="1" w:styleId="11311">
    <w:name w:val="燕山正文11311"/>
    <w:basedOn w:val="a"/>
    <w:qFormat/>
    <w:pPr>
      <w:widowControl/>
      <w:tabs>
        <w:tab w:val="left" w:pos="4680"/>
      </w:tabs>
      <w:jc w:val="left"/>
    </w:pPr>
    <w:rPr>
      <w:rFonts w:ascii="宋体" w:hAnsi="宋体" w:cs="宋体"/>
      <w:bCs/>
      <w:snapToGrid w:val="0"/>
      <w:color w:val="000000"/>
      <w:kern w:val="0"/>
    </w:rPr>
  </w:style>
  <w:style w:type="paragraph" w:customStyle="1" w:styleId="Char1190">
    <w:name w:val="Char119"/>
    <w:basedOn w:val="a"/>
    <w:qFormat/>
    <w:pPr>
      <w:widowControl/>
      <w:ind w:left="-48"/>
      <w:jc w:val="left"/>
    </w:pPr>
    <w:rPr>
      <w:rFonts w:ascii="宋体" w:hAnsi="宋体" w:cs="宋体"/>
      <w:kern w:val="0"/>
    </w:rPr>
  </w:style>
  <w:style w:type="paragraph" w:customStyle="1" w:styleId="511210">
    <w:name w:val="表内宋51121"/>
    <w:basedOn w:val="1ff2"/>
    <w:qFormat/>
    <w:rPr>
      <w:rFonts w:ascii="宋体" w:hAnsi="宋体" w:cs="宋体"/>
      <w:color w:val="000000"/>
      <w:sz w:val="21"/>
      <w:szCs w:val="24"/>
    </w:rPr>
  </w:style>
  <w:style w:type="paragraph" w:customStyle="1" w:styleId="11312">
    <w:name w:val="燕山正文11312"/>
    <w:basedOn w:val="a"/>
    <w:pPr>
      <w:widowControl/>
      <w:tabs>
        <w:tab w:val="left" w:pos="4680"/>
      </w:tabs>
      <w:jc w:val="left"/>
    </w:pPr>
    <w:rPr>
      <w:rFonts w:ascii="宋体" w:hAnsi="宋体" w:cs="宋体"/>
      <w:bCs/>
      <w:snapToGrid w:val="0"/>
      <w:color w:val="000000"/>
      <w:kern w:val="0"/>
    </w:rPr>
  </w:style>
  <w:style w:type="paragraph" w:customStyle="1" w:styleId="1321">
    <w:name w:val="燕山正文132"/>
    <w:basedOn w:val="a"/>
    <w:pPr>
      <w:widowControl/>
      <w:tabs>
        <w:tab w:val="left" w:pos="4680"/>
      </w:tabs>
      <w:jc w:val="left"/>
    </w:pPr>
    <w:rPr>
      <w:rFonts w:ascii="宋体" w:hAnsi="宋体" w:cs="宋体"/>
      <w:bCs/>
      <w:color w:val="000000"/>
      <w:kern w:val="0"/>
    </w:rPr>
  </w:style>
  <w:style w:type="paragraph" w:customStyle="1" w:styleId="Char615">
    <w:name w:val="Char61"/>
    <w:basedOn w:val="a"/>
    <w:qFormat/>
    <w:pPr>
      <w:widowControl/>
      <w:spacing w:before="156"/>
      <w:jc w:val="left"/>
    </w:pPr>
    <w:rPr>
      <w:rFonts w:ascii="黑体" w:eastAsia="黑体" w:hAnsi="宋体" w:cs="宋体"/>
      <w:kern w:val="0"/>
      <w:sz w:val="32"/>
      <w:szCs w:val="32"/>
    </w:rPr>
  </w:style>
  <w:style w:type="paragraph" w:customStyle="1" w:styleId="529">
    <w:name w:val="黑体三号52"/>
    <w:basedOn w:val="affff4"/>
    <w:qFormat/>
    <w:pPr>
      <w:jc w:val="center"/>
    </w:pPr>
    <w:rPr>
      <w:rFonts w:ascii="黑体" w:eastAsia="黑体" w:hAnsi="宋体" w:cs="宋体"/>
      <w:b/>
      <w:bCs/>
      <w:sz w:val="32"/>
      <w:szCs w:val="20"/>
    </w:rPr>
  </w:style>
  <w:style w:type="paragraph" w:customStyle="1" w:styleId="22e">
    <w:name w:val="正文.22"/>
    <w:qFormat/>
    <w:pPr>
      <w:widowControl w:val="0"/>
      <w:autoSpaceDE w:val="0"/>
      <w:autoSpaceDN w:val="0"/>
      <w:adjustRightInd w:val="0"/>
      <w:jc w:val="both"/>
    </w:pPr>
    <w:rPr>
      <w:rFonts w:ascii="Times New Roman;Symbol;Arial;婼" w:eastAsia="Times New Roman;Symbol;Arial;婼"/>
      <w:sz w:val="21"/>
      <w:szCs w:val="21"/>
    </w:rPr>
  </w:style>
  <w:style w:type="paragraph" w:customStyle="1" w:styleId="1ffffff8">
    <w:name w:val="环评正文1"/>
    <w:qFormat/>
    <w:pPr>
      <w:spacing w:line="440" w:lineRule="exact"/>
      <w:ind w:firstLineChars="200" w:firstLine="200"/>
    </w:pPr>
    <w:rPr>
      <w:bCs/>
      <w:kern w:val="2"/>
      <w:sz w:val="24"/>
      <w:szCs w:val="24"/>
    </w:rPr>
  </w:style>
  <w:style w:type="paragraph" w:customStyle="1" w:styleId="2119">
    <w:name w:val="黑体三号211"/>
    <w:basedOn w:val="affff4"/>
    <w:qFormat/>
    <w:pPr>
      <w:jc w:val="center"/>
    </w:pPr>
    <w:rPr>
      <w:rFonts w:ascii="黑体" w:eastAsia="黑体" w:hAnsi="宋体" w:cs="宋体"/>
      <w:b/>
      <w:bCs/>
      <w:sz w:val="32"/>
      <w:szCs w:val="20"/>
    </w:rPr>
  </w:style>
  <w:style w:type="paragraph" w:customStyle="1" w:styleId="337">
    <w:name w:val="黑体三号33"/>
    <w:basedOn w:val="affff4"/>
    <w:qFormat/>
    <w:pPr>
      <w:jc w:val="center"/>
    </w:pPr>
    <w:rPr>
      <w:rFonts w:ascii="黑体" w:eastAsia="黑体" w:hAnsi="宋体" w:cs="宋体"/>
      <w:b/>
      <w:bCs/>
      <w:sz w:val="32"/>
      <w:szCs w:val="20"/>
    </w:rPr>
  </w:style>
  <w:style w:type="paragraph" w:customStyle="1" w:styleId="CharCharCharCharCharCharChar1211">
    <w:name w:val="Char Char Char Char Char Char Char1211"/>
    <w:basedOn w:val="a"/>
    <w:qFormat/>
    <w:pPr>
      <w:widowControl/>
      <w:jc w:val="left"/>
    </w:pPr>
    <w:rPr>
      <w:rFonts w:ascii="宋体" w:hAnsi="宋体" w:cs="宋体"/>
      <w:kern w:val="0"/>
      <w:szCs w:val="20"/>
    </w:rPr>
  </w:style>
  <w:style w:type="paragraph" w:customStyle="1" w:styleId="ParaCharCharCharChar13">
    <w:name w:val="默认段落字体 Para Char Char Char Char13"/>
    <w:basedOn w:val="a"/>
    <w:qFormat/>
    <w:pPr>
      <w:widowControl/>
      <w:jc w:val="left"/>
    </w:pPr>
    <w:rPr>
      <w:rFonts w:ascii="宋体" w:hAnsi="宋体" w:cs="宋体"/>
      <w:kern w:val="0"/>
    </w:rPr>
  </w:style>
  <w:style w:type="paragraph" w:customStyle="1" w:styleId="53120">
    <w:name w:val="表内5312"/>
    <w:basedOn w:val="a"/>
    <w:qFormat/>
    <w:pPr>
      <w:widowControl/>
      <w:spacing w:line="300" w:lineRule="auto"/>
      <w:jc w:val="left"/>
    </w:pPr>
    <w:rPr>
      <w:rFonts w:ascii="宋体" w:hAnsi="宋体" w:cs="宋体"/>
      <w:kern w:val="0"/>
      <w:szCs w:val="20"/>
    </w:rPr>
  </w:style>
  <w:style w:type="paragraph" w:customStyle="1" w:styleId="ParaCharCharCharChar511">
    <w:name w:val="默认段落字体 Para Char Char Char Char511"/>
    <w:basedOn w:val="a"/>
    <w:qFormat/>
    <w:pPr>
      <w:widowControl/>
      <w:jc w:val="left"/>
    </w:pPr>
    <w:rPr>
      <w:rFonts w:ascii="宋体" w:hAnsi="宋体" w:cs="宋体"/>
      <w:kern w:val="0"/>
    </w:rPr>
  </w:style>
  <w:style w:type="paragraph" w:customStyle="1" w:styleId="552">
    <w:name w:val="表内55"/>
    <w:basedOn w:val="a"/>
    <w:qFormat/>
    <w:pPr>
      <w:widowControl/>
      <w:spacing w:line="300" w:lineRule="auto"/>
      <w:jc w:val="left"/>
    </w:pPr>
    <w:rPr>
      <w:rFonts w:ascii="宋体" w:hAnsi="宋体" w:cs="宋体"/>
      <w:kern w:val="0"/>
      <w:sz w:val="18"/>
      <w:szCs w:val="20"/>
    </w:rPr>
  </w:style>
  <w:style w:type="paragraph" w:customStyle="1" w:styleId="5417">
    <w:name w:val="表内5中41"/>
    <w:basedOn w:val="a"/>
    <w:qFormat/>
    <w:pPr>
      <w:widowControl/>
      <w:jc w:val="center"/>
    </w:pPr>
    <w:rPr>
      <w:rFonts w:ascii="宋体" w:hAnsi="宋体" w:cs="宋体"/>
      <w:bCs/>
      <w:kern w:val="0"/>
      <w:szCs w:val="20"/>
    </w:rPr>
  </w:style>
  <w:style w:type="paragraph" w:customStyle="1" w:styleId="426">
    <w:name w:val="正文修改42"/>
    <w:basedOn w:val="affffe"/>
    <w:qFormat/>
    <w:rPr>
      <w:rFonts w:eastAsia="宋体" w:hAnsi="宋体" w:cs="宋体"/>
      <w:color w:val="000000"/>
      <w:szCs w:val="24"/>
    </w:rPr>
  </w:style>
  <w:style w:type="paragraph" w:customStyle="1" w:styleId="Char1150">
    <w:name w:val="Char115"/>
    <w:basedOn w:val="a"/>
    <w:qFormat/>
    <w:pPr>
      <w:widowControl/>
      <w:ind w:left="-48"/>
      <w:jc w:val="left"/>
    </w:pPr>
    <w:rPr>
      <w:rFonts w:ascii="宋体" w:hAnsi="宋体" w:cs="宋体"/>
      <w:kern w:val="0"/>
    </w:rPr>
  </w:style>
  <w:style w:type="paragraph" w:customStyle="1" w:styleId="4122">
    <w:name w:val="表题412"/>
    <w:basedOn w:val="1fa"/>
    <w:qFormat/>
    <w:pPr>
      <w:widowControl/>
      <w:tabs>
        <w:tab w:val="left" w:pos="4305"/>
      </w:tabs>
      <w:spacing w:after="0"/>
      <w:ind w:leftChars="0" w:left="0" w:firstLineChars="0" w:firstLine="561"/>
      <w:jc w:val="left"/>
    </w:pPr>
    <w:rPr>
      <w:rFonts w:ascii="宋体" w:hAnsi="宋体" w:cs="宋体"/>
      <w:color w:val="000000"/>
      <w:sz w:val="24"/>
      <w:szCs w:val="24"/>
    </w:rPr>
  </w:style>
  <w:style w:type="paragraph" w:customStyle="1" w:styleId="511a">
    <w:name w:val="正文修改511"/>
    <w:basedOn w:val="affffe"/>
    <w:qFormat/>
    <w:rPr>
      <w:rFonts w:eastAsia="宋体" w:hAnsi="宋体" w:cs="宋体"/>
      <w:color w:val="000000"/>
      <w:szCs w:val="24"/>
    </w:rPr>
  </w:style>
  <w:style w:type="paragraph" w:customStyle="1" w:styleId="211a">
    <w:name w:val="燕山正文211"/>
    <w:basedOn w:val="a"/>
    <w:qFormat/>
    <w:pPr>
      <w:widowControl/>
      <w:tabs>
        <w:tab w:val="left" w:pos="4680"/>
      </w:tabs>
      <w:spacing w:line="480" w:lineRule="exact"/>
      <w:jc w:val="left"/>
    </w:pPr>
    <w:rPr>
      <w:rFonts w:ascii="宋体" w:hAnsi="宋体" w:cs="宋体"/>
      <w:kern w:val="0"/>
    </w:rPr>
  </w:style>
  <w:style w:type="paragraph" w:customStyle="1" w:styleId="12f2">
    <w:name w:val="样式 表格内字体1 +2"/>
    <w:basedOn w:val="1ffffff"/>
    <w:next w:val="affffff1"/>
    <w:qFormat/>
    <w:rPr>
      <w:rFonts w:hAnsi="Times New Roman" w:cs="宋体"/>
      <w:szCs w:val="20"/>
    </w:rPr>
  </w:style>
  <w:style w:type="paragraph" w:customStyle="1" w:styleId="7b">
    <w:name w:val="燕山正文7"/>
    <w:basedOn w:val="a"/>
    <w:qFormat/>
    <w:pPr>
      <w:widowControl/>
      <w:tabs>
        <w:tab w:val="left" w:pos="4680"/>
      </w:tabs>
      <w:spacing w:line="480" w:lineRule="exact"/>
      <w:jc w:val="left"/>
    </w:pPr>
    <w:rPr>
      <w:rFonts w:ascii="宋体" w:hAnsi="宋体" w:cs="宋体"/>
      <w:kern w:val="0"/>
    </w:rPr>
  </w:style>
  <w:style w:type="paragraph" w:customStyle="1" w:styleId="1129">
    <w:name w:val="黑体三号112"/>
    <w:basedOn w:val="affff4"/>
    <w:qFormat/>
    <w:pPr>
      <w:jc w:val="center"/>
    </w:pPr>
    <w:rPr>
      <w:rFonts w:ascii="黑体" w:eastAsia="黑体" w:hAnsi="宋体" w:cs="宋体"/>
      <w:b/>
      <w:bCs/>
      <w:sz w:val="32"/>
      <w:szCs w:val="20"/>
    </w:rPr>
  </w:style>
  <w:style w:type="paragraph" w:customStyle="1" w:styleId="Char820">
    <w:name w:val="Char82"/>
    <w:basedOn w:val="a"/>
    <w:qFormat/>
    <w:pPr>
      <w:widowControl/>
      <w:ind w:left="-48"/>
      <w:jc w:val="left"/>
    </w:pPr>
    <w:rPr>
      <w:rFonts w:ascii="宋体" w:hAnsi="宋体" w:cs="宋体"/>
      <w:kern w:val="0"/>
    </w:rPr>
  </w:style>
  <w:style w:type="paragraph" w:customStyle="1" w:styleId="Char1012">
    <w:name w:val="Char101"/>
    <w:basedOn w:val="a"/>
    <w:qFormat/>
    <w:pPr>
      <w:widowControl/>
      <w:jc w:val="left"/>
    </w:pPr>
    <w:rPr>
      <w:rFonts w:ascii="宋体" w:hAnsi="宋体" w:cs="宋体"/>
      <w:kern w:val="0"/>
    </w:rPr>
  </w:style>
  <w:style w:type="paragraph" w:customStyle="1" w:styleId="338">
    <w:name w:val="表33"/>
    <w:basedOn w:val="a"/>
    <w:qFormat/>
    <w:pPr>
      <w:widowControl/>
      <w:jc w:val="center"/>
    </w:pPr>
    <w:rPr>
      <w:rFonts w:ascii="宋体" w:hAnsi="宋体" w:cs="宋体"/>
      <w:kern w:val="0"/>
    </w:rPr>
  </w:style>
  <w:style w:type="paragraph" w:customStyle="1" w:styleId="538">
    <w:name w:val="表中文字53"/>
    <w:basedOn w:val="a"/>
    <w:qFormat/>
    <w:pPr>
      <w:widowControl/>
      <w:spacing w:line="240" w:lineRule="atLeast"/>
      <w:ind w:leftChars="-10" w:left="-24" w:rightChars="-20" w:right="-48"/>
      <w:jc w:val="center"/>
    </w:pPr>
    <w:rPr>
      <w:rFonts w:ascii="宋体" w:hAnsi="宋体" w:cs="宋体"/>
      <w:kern w:val="0"/>
      <w:szCs w:val="21"/>
    </w:rPr>
  </w:style>
  <w:style w:type="paragraph" w:customStyle="1" w:styleId="31320">
    <w:name w:val="表题3132"/>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CharCharCharChar1CharCharChar6">
    <w:name w:val="Char Char Char Char1 Char Char Char6"/>
    <w:basedOn w:val="a"/>
    <w:qFormat/>
    <w:pPr>
      <w:widowControl/>
      <w:spacing w:after="160" w:line="240" w:lineRule="exact"/>
      <w:jc w:val="left"/>
    </w:pPr>
    <w:rPr>
      <w:rFonts w:ascii="Verdana" w:hAnsi="Verdana" w:cs="宋体"/>
      <w:kern w:val="0"/>
      <w:sz w:val="20"/>
      <w:szCs w:val="20"/>
      <w:lang w:eastAsia="en-US"/>
    </w:rPr>
  </w:style>
  <w:style w:type="paragraph" w:customStyle="1" w:styleId="11122">
    <w:name w:val="表中文字1112"/>
    <w:basedOn w:val="a"/>
    <w:pPr>
      <w:widowControl/>
      <w:spacing w:line="240" w:lineRule="atLeast"/>
      <w:ind w:leftChars="-10" w:left="-24" w:rightChars="-20" w:right="-48"/>
      <w:jc w:val="center"/>
    </w:pPr>
    <w:rPr>
      <w:rFonts w:ascii="宋体" w:hAnsi="宋体" w:cs="宋体"/>
      <w:kern w:val="0"/>
      <w:szCs w:val="21"/>
    </w:rPr>
  </w:style>
  <w:style w:type="paragraph" w:customStyle="1" w:styleId="CharChar2CharCharCharChar31">
    <w:name w:val="Char Char2 Char Char Char Char31"/>
    <w:basedOn w:val="a"/>
    <w:qFormat/>
    <w:pPr>
      <w:widowControl/>
      <w:jc w:val="left"/>
    </w:pPr>
    <w:rPr>
      <w:rFonts w:ascii="宋体" w:hAnsi="宋体" w:cs="宋体"/>
      <w:kern w:val="0"/>
    </w:rPr>
  </w:style>
  <w:style w:type="paragraph" w:customStyle="1" w:styleId="12f3">
    <w:name w:val="表格内容12"/>
    <w:qFormat/>
    <w:pPr>
      <w:jc w:val="center"/>
    </w:pPr>
    <w:rPr>
      <w:kern w:val="2"/>
      <w:sz w:val="21"/>
      <w:szCs w:val="21"/>
    </w:rPr>
  </w:style>
  <w:style w:type="paragraph" w:customStyle="1" w:styleId="12f4">
    <w:name w:val="文本框12"/>
    <w:basedOn w:val="a"/>
    <w:qFormat/>
    <w:pPr>
      <w:widowControl/>
      <w:spacing w:after="6"/>
      <w:jc w:val="center"/>
    </w:pPr>
    <w:rPr>
      <w:rFonts w:ascii="宋体" w:hAnsi="宋体" w:cs="宋体"/>
      <w:kern w:val="0"/>
    </w:rPr>
  </w:style>
  <w:style w:type="paragraph" w:customStyle="1" w:styleId="Default2">
    <w:name w:val="Default2"/>
    <w:qFormat/>
    <w:pPr>
      <w:widowControl w:val="0"/>
      <w:autoSpaceDE w:val="0"/>
      <w:autoSpaceDN w:val="0"/>
      <w:adjustRightInd w:val="0"/>
    </w:pPr>
    <w:rPr>
      <w:rFonts w:ascii="宋体"/>
      <w:color w:val="000000"/>
      <w:sz w:val="24"/>
      <w:szCs w:val="24"/>
    </w:rPr>
  </w:style>
  <w:style w:type="paragraph" w:customStyle="1" w:styleId="51112">
    <w:name w:val="表内5111"/>
    <w:basedOn w:val="a"/>
    <w:qFormat/>
    <w:pPr>
      <w:widowControl/>
      <w:jc w:val="center"/>
    </w:pPr>
    <w:rPr>
      <w:rFonts w:ascii="宋体" w:hAnsi="宋体" w:cs="宋体"/>
      <w:kern w:val="0"/>
      <w:sz w:val="20"/>
      <w:szCs w:val="20"/>
    </w:rPr>
  </w:style>
  <w:style w:type="paragraph" w:customStyle="1" w:styleId="CharCharCharChar1CharCharChar21">
    <w:name w:val="Char Char Char Char1 Char Char Char21"/>
    <w:basedOn w:val="a"/>
    <w:qFormat/>
    <w:pPr>
      <w:widowControl/>
      <w:spacing w:after="160" w:line="240" w:lineRule="exact"/>
      <w:jc w:val="left"/>
    </w:pPr>
    <w:rPr>
      <w:rFonts w:ascii="Verdana" w:hAnsi="Verdana" w:cs="宋体"/>
      <w:kern w:val="0"/>
      <w:sz w:val="20"/>
      <w:szCs w:val="20"/>
      <w:lang w:eastAsia="en-US"/>
    </w:rPr>
  </w:style>
  <w:style w:type="paragraph" w:customStyle="1" w:styleId="431212">
    <w:name w:val="标题431212"/>
    <w:basedOn w:val="a"/>
    <w:qFormat/>
    <w:pPr>
      <w:widowControl/>
      <w:spacing w:line="480" w:lineRule="exact"/>
      <w:jc w:val="center"/>
    </w:pPr>
    <w:rPr>
      <w:rFonts w:ascii="宋体" w:hAnsi="宋体" w:cs="宋体"/>
      <w:kern w:val="0"/>
    </w:rPr>
  </w:style>
  <w:style w:type="paragraph" w:customStyle="1" w:styleId="511111">
    <w:name w:val="表内宋511111"/>
    <w:basedOn w:val="1ff2"/>
    <w:qFormat/>
    <w:rPr>
      <w:rFonts w:ascii="宋体" w:hAnsi="宋体" w:cs="宋体"/>
      <w:color w:val="000000"/>
      <w:sz w:val="21"/>
      <w:szCs w:val="24"/>
    </w:rPr>
  </w:style>
  <w:style w:type="paragraph" w:customStyle="1" w:styleId="21113">
    <w:name w:val="表题2111"/>
    <w:basedOn w:val="a"/>
    <w:qFormat/>
    <w:pPr>
      <w:widowControl/>
      <w:jc w:val="center"/>
    </w:pPr>
    <w:rPr>
      <w:rFonts w:ascii="黑体" w:eastAsia="黑体" w:hAnsi="宋体" w:cs="宋体"/>
      <w:kern w:val="0"/>
    </w:rPr>
  </w:style>
  <w:style w:type="paragraph" w:customStyle="1" w:styleId="51210">
    <w:name w:val="表内宋5中121"/>
    <w:basedOn w:val="a"/>
    <w:qFormat/>
    <w:pPr>
      <w:widowControl/>
      <w:jc w:val="center"/>
      <w:textAlignment w:val="baseline"/>
    </w:pPr>
    <w:rPr>
      <w:rFonts w:ascii="宋体" w:hAnsi="宋体" w:cs="宋体"/>
      <w:kern w:val="0"/>
      <w:szCs w:val="20"/>
    </w:rPr>
  </w:style>
  <w:style w:type="paragraph" w:customStyle="1" w:styleId="CharChar2CharCharCharChar41">
    <w:name w:val="Char Char2 Char Char Char Char41"/>
    <w:basedOn w:val="a"/>
    <w:qFormat/>
    <w:pPr>
      <w:widowControl/>
      <w:jc w:val="left"/>
    </w:pPr>
    <w:rPr>
      <w:rFonts w:ascii="宋体" w:hAnsi="宋体" w:cs="宋体"/>
      <w:kern w:val="0"/>
    </w:rPr>
  </w:style>
  <w:style w:type="paragraph" w:customStyle="1" w:styleId="311110">
    <w:name w:val="表题31111"/>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11330">
    <w:name w:val="燕山正文1133"/>
    <w:basedOn w:val="a"/>
    <w:qFormat/>
    <w:pPr>
      <w:widowControl/>
      <w:tabs>
        <w:tab w:val="left" w:pos="4680"/>
      </w:tabs>
      <w:jc w:val="left"/>
    </w:pPr>
    <w:rPr>
      <w:rFonts w:ascii="宋体" w:hAnsi="宋体" w:cs="宋体"/>
      <w:bCs/>
      <w:snapToGrid w:val="0"/>
      <w:color w:val="000000"/>
      <w:kern w:val="0"/>
    </w:rPr>
  </w:style>
  <w:style w:type="paragraph" w:customStyle="1" w:styleId="52a">
    <w:name w:val="表中文字52"/>
    <w:basedOn w:val="a"/>
    <w:qFormat/>
    <w:pPr>
      <w:widowControl/>
      <w:spacing w:line="240" w:lineRule="atLeast"/>
      <w:ind w:leftChars="-10" w:left="-24" w:rightChars="-20" w:right="-48"/>
      <w:jc w:val="center"/>
    </w:pPr>
    <w:rPr>
      <w:rFonts w:ascii="宋体" w:hAnsi="宋体" w:cs="宋体"/>
      <w:kern w:val="0"/>
      <w:szCs w:val="21"/>
    </w:rPr>
  </w:style>
  <w:style w:type="paragraph" w:customStyle="1" w:styleId="2fffff3">
    <w:name w:val="封面标准文稿编辑信息2"/>
    <w:qFormat/>
    <w:pPr>
      <w:spacing w:before="180" w:line="180" w:lineRule="exact"/>
      <w:jc w:val="center"/>
    </w:pPr>
    <w:rPr>
      <w:rFonts w:ascii="宋体"/>
      <w:sz w:val="21"/>
    </w:rPr>
  </w:style>
  <w:style w:type="paragraph" w:customStyle="1" w:styleId="312111">
    <w:name w:val="表题31211"/>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51141">
    <w:name w:val="表内宋5114"/>
    <w:basedOn w:val="1ff2"/>
    <w:qFormat/>
    <w:rPr>
      <w:rFonts w:ascii="宋体" w:hAnsi="宋体" w:cs="宋体"/>
      <w:color w:val="000000"/>
      <w:sz w:val="21"/>
      <w:szCs w:val="24"/>
    </w:rPr>
  </w:style>
  <w:style w:type="paragraph" w:customStyle="1" w:styleId="ParaCharCharCharChar8">
    <w:name w:val="默认段落字体 Para Char Char Char Char8"/>
    <w:basedOn w:val="a"/>
    <w:qFormat/>
    <w:pPr>
      <w:widowControl/>
      <w:jc w:val="left"/>
    </w:pPr>
    <w:rPr>
      <w:rFonts w:ascii="宋体" w:hAnsi="宋体" w:cs="宋体"/>
      <w:kern w:val="0"/>
    </w:rPr>
  </w:style>
  <w:style w:type="paragraph" w:customStyle="1" w:styleId="147">
    <w:name w:val="样式14"/>
    <w:basedOn w:val="314"/>
    <w:qFormat/>
    <w:pPr>
      <w:spacing w:line="240" w:lineRule="auto"/>
      <w:ind w:firstLine="0"/>
      <w:jc w:val="center"/>
    </w:pPr>
    <w:rPr>
      <w:rFonts w:cs="Times New Roman"/>
      <w:b/>
      <w:color w:val="auto"/>
      <w:szCs w:val="20"/>
    </w:rPr>
  </w:style>
  <w:style w:type="paragraph" w:customStyle="1" w:styleId="Char1160">
    <w:name w:val="Char116"/>
    <w:basedOn w:val="a"/>
    <w:qFormat/>
    <w:pPr>
      <w:widowControl/>
      <w:ind w:left="-48"/>
      <w:jc w:val="left"/>
    </w:pPr>
    <w:rPr>
      <w:rFonts w:ascii="宋体" w:hAnsi="宋体" w:cs="宋体"/>
      <w:kern w:val="0"/>
    </w:rPr>
  </w:style>
  <w:style w:type="paragraph" w:customStyle="1" w:styleId="1213">
    <w:name w:val="燕山正文121"/>
    <w:basedOn w:val="a"/>
    <w:qFormat/>
    <w:pPr>
      <w:widowControl/>
      <w:tabs>
        <w:tab w:val="left" w:pos="4680"/>
      </w:tabs>
      <w:spacing w:line="480" w:lineRule="exact"/>
      <w:jc w:val="left"/>
    </w:pPr>
    <w:rPr>
      <w:rFonts w:ascii="宋体" w:hAnsi="宋体" w:cs="宋体"/>
      <w:kern w:val="0"/>
    </w:rPr>
  </w:style>
  <w:style w:type="paragraph" w:customStyle="1" w:styleId="427">
    <w:name w:val="标题42"/>
    <w:basedOn w:val="a"/>
    <w:qFormat/>
    <w:pPr>
      <w:widowControl/>
      <w:spacing w:line="300" w:lineRule="auto"/>
      <w:jc w:val="left"/>
    </w:pPr>
    <w:rPr>
      <w:rFonts w:ascii="黑体" w:eastAsia="黑体" w:hAnsi="宋体" w:cs="宋体"/>
      <w:bCs/>
      <w:kern w:val="0"/>
    </w:rPr>
  </w:style>
  <w:style w:type="paragraph" w:customStyle="1" w:styleId="CharChar2CharCharCharChar34">
    <w:name w:val="Char Char2 Char Char Char Char34"/>
    <w:basedOn w:val="a"/>
    <w:qFormat/>
    <w:pPr>
      <w:widowControl/>
      <w:jc w:val="left"/>
    </w:pPr>
    <w:rPr>
      <w:rFonts w:ascii="宋体" w:hAnsi="宋体" w:cs="宋体"/>
      <w:kern w:val="0"/>
    </w:rPr>
  </w:style>
  <w:style w:type="paragraph" w:customStyle="1" w:styleId="3116">
    <w:name w:val="燕山正文311"/>
    <w:basedOn w:val="a"/>
    <w:qFormat/>
    <w:pPr>
      <w:widowControl/>
      <w:tabs>
        <w:tab w:val="left" w:pos="4680"/>
      </w:tabs>
      <w:spacing w:line="480" w:lineRule="exact"/>
      <w:jc w:val="left"/>
    </w:pPr>
    <w:rPr>
      <w:rFonts w:ascii="宋体" w:hAnsi="宋体" w:cs="宋体"/>
      <w:kern w:val="0"/>
    </w:rPr>
  </w:style>
  <w:style w:type="paragraph" w:customStyle="1" w:styleId="111e">
    <w:name w:val="黑体三号111"/>
    <w:basedOn w:val="affff4"/>
    <w:qFormat/>
    <w:pPr>
      <w:jc w:val="center"/>
    </w:pPr>
    <w:rPr>
      <w:rFonts w:ascii="黑体" w:eastAsia="黑体" w:hAnsi="宋体" w:cs="宋体"/>
      <w:b/>
      <w:bCs/>
      <w:sz w:val="32"/>
      <w:szCs w:val="20"/>
    </w:rPr>
  </w:style>
  <w:style w:type="paragraph" w:customStyle="1" w:styleId="11f9">
    <w:name w:val="图表名称11"/>
    <w:basedOn w:val="1f3"/>
    <w:qFormat/>
    <w:pPr>
      <w:spacing w:after="0" w:line="480" w:lineRule="exact"/>
      <w:ind w:firstLineChars="0" w:firstLine="0"/>
      <w:jc w:val="center"/>
    </w:pPr>
    <w:rPr>
      <w:rFonts w:ascii="宋体" w:hAnsi="宋体"/>
      <w:bCs/>
      <w:szCs w:val="24"/>
    </w:rPr>
  </w:style>
  <w:style w:type="paragraph" w:customStyle="1" w:styleId="41e">
    <w:name w:val="正文格式＝41"/>
    <w:basedOn w:val="affff4"/>
    <w:next w:val="affff4"/>
    <w:qFormat/>
    <w:rPr>
      <w:rFonts w:hAnsi="宋体"/>
      <w:szCs w:val="24"/>
    </w:rPr>
  </w:style>
  <w:style w:type="paragraph" w:customStyle="1" w:styleId="5132">
    <w:name w:val="表内宋5中13"/>
    <w:basedOn w:val="a"/>
    <w:qFormat/>
    <w:pPr>
      <w:widowControl/>
      <w:jc w:val="center"/>
      <w:textAlignment w:val="baseline"/>
    </w:pPr>
    <w:rPr>
      <w:rFonts w:ascii="宋体" w:hAnsi="宋体" w:cs="宋体"/>
      <w:kern w:val="0"/>
      <w:szCs w:val="20"/>
    </w:rPr>
  </w:style>
  <w:style w:type="paragraph" w:customStyle="1" w:styleId="CharCharCharChar1CharCharChar4">
    <w:name w:val="Char Char Char Char1 Char Char Char4"/>
    <w:basedOn w:val="a"/>
    <w:qFormat/>
    <w:pPr>
      <w:widowControl/>
      <w:spacing w:after="160" w:line="240" w:lineRule="exact"/>
      <w:jc w:val="left"/>
    </w:pPr>
    <w:rPr>
      <w:rFonts w:ascii="Verdana" w:hAnsi="Verdana" w:cs="宋体"/>
      <w:kern w:val="0"/>
      <w:sz w:val="20"/>
      <w:szCs w:val="20"/>
      <w:lang w:eastAsia="en-US"/>
    </w:rPr>
  </w:style>
  <w:style w:type="paragraph" w:customStyle="1" w:styleId="11114">
    <w:name w:val="燕山正文1111"/>
    <w:basedOn w:val="a"/>
    <w:qFormat/>
    <w:pPr>
      <w:widowControl/>
      <w:tabs>
        <w:tab w:val="left" w:pos="4680"/>
      </w:tabs>
      <w:spacing w:line="480" w:lineRule="exact"/>
      <w:jc w:val="left"/>
    </w:pPr>
    <w:rPr>
      <w:rFonts w:ascii="宋体" w:hAnsi="宋体" w:cs="宋体"/>
      <w:bCs/>
      <w:color w:val="000000"/>
      <w:kern w:val="0"/>
    </w:rPr>
  </w:style>
  <w:style w:type="paragraph" w:customStyle="1" w:styleId="112a">
    <w:name w:val="表112"/>
    <w:basedOn w:val="a"/>
    <w:qFormat/>
    <w:pPr>
      <w:widowControl/>
      <w:jc w:val="center"/>
    </w:pPr>
    <w:rPr>
      <w:rFonts w:ascii="宋体" w:hAnsi="宋体" w:cs="宋体"/>
      <w:kern w:val="0"/>
    </w:rPr>
  </w:style>
  <w:style w:type="paragraph" w:customStyle="1" w:styleId="ParaCharCharCharChar112">
    <w:name w:val="默认段落字体 Para Char Char Char Char112"/>
    <w:basedOn w:val="a"/>
    <w:qFormat/>
    <w:pPr>
      <w:widowControl/>
      <w:jc w:val="left"/>
    </w:pPr>
    <w:rPr>
      <w:rFonts w:ascii="宋体" w:hAnsi="宋体" w:cs="宋体"/>
      <w:kern w:val="0"/>
    </w:rPr>
  </w:style>
  <w:style w:type="paragraph" w:customStyle="1" w:styleId="51113">
    <w:name w:val="表内宋51113"/>
    <w:basedOn w:val="1ff2"/>
    <w:qFormat/>
    <w:rPr>
      <w:rFonts w:ascii="宋体" w:hAnsi="宋体" w:cs="宋体"/>
      <w:color w:val="000000"/>
      <w:sz w:val="21"/>
      <w:szCs w:val="24"/>
    </w:rPr>
  </w:style>
  <w:style w:type="paragraph" w:customStyle="1" w:styleId="2160">
    <w:name w:val="表内文字小216"/>
    <w:basedOn w:val="a"/>
    <w:qFormat/>
    <w:pPr>
      <w:widowControl/>
      <w:jc w:val="center"/>
    </w:pPr>
    <w:rPr>
      <w:rFonts w:ascii="宋体" w:hAnsi="Times" w:cs="宋体"/>
      <w:bCs/>
      <w:color w:val="000000"/>
      <w:kern w:val="0"/>
      <w:szCs w:val="20"/>
    </w:rPr>
  </w:style>
  <w:style w:type="paragraph" w:customStyle="1" w:styleId="13f0">
    <w:name w:val="图表名称13"/>
    <w:basedOn w:val="1f3"/>
    <w:qFormat/>
    <w:pPr>
      <w:spacing w:after="0" w:line="480" w:lineRule="exact"/>
      <w:ind w:firstLineChars="0" w:firstLine="0"/>
      <w:jc w:val="center"/>
    </w:pPr>
    <w:rPr>
      <w:rFonts w:ascii="宋体" w:hAnsi="宋体"/>
      <w:bCs/>
      <w:szCs w:val="24"/>
    </w:rPr>
  </w:style>
  <w:style w:type="paragraph" w:customStyle="1" w:styleId="54170">
    <w:name w:val="表内5417"/>
    <w:basedOn w:val="a"/>
    <w:qFormat/>
    <w:pPr>
      <w:widowControl/>
      <w:spacing w:line="300" w:lineRule="auto"/>
      <w:jc w:val="center"/>
    </w:pPr>
    <w:rPr>
      <w:rFonts w:ascii="宋体" w:hAnsi="宋体" w:cs="宋体"/>
      <w:kern w:val="0"/>
      <w:szCs w:val="20"/>
    </w:rPr>
  </w:style>
  <w:style w:type="paragraph" w:customStyle="1" w:styleId="A11">
    <w:name w:val="A正文1"/>
    <w:basedOn w:val="a"/>
    <w:qFormat/>
    <w:pPr>
      <w:widowControl/>
      <w:overflowPunct w:val="0"/>
      <w:autoSpaceDE w:val="0"/>
      <w:autoSpaceDN w:val="0"/>
      <w:jc w:val="left"/>
      <w:textAlignment w:val="baseline"/>
    </w:pPr>
    <w:rPr>
      <w:rFonts w:ascii="宋体" w:hAnsi="宋体" w:cs="宋体"/>
      <w:kern w:val="0"/>
    </w:rPr>
  </w:style>
  <w:style w:type="paragraph" w:customStyle="1" w:styleId="Char9110">
    <w:name w:val="Char911"/>
    <w:basedOn w:val="a"/>
    <w:qFormat/>
    <w:pPr>
      <w:widowControl/>
      <w:ind w:left="-48"/>
      <w:jc w:val="left"/>
    </w:pPr>
    <w:rPr>
      <w:rFonts w:ascii="宋体" w:hAnsi="宋体" w:cs="宋体"/>
      <w:kern w:val="0"/>
    </w:rPr>
  </w:style>
  <w:style w:type="paragraph" w:customStyle="1" w:styleId="CharCharCharCharCharCharChar38">
    <w:name w:val="Char Char Char Char Char Char Char38"/>
    <w:basedOn w:val="a"/>
    <w:qFormat/>
    <w:pPr>
      <w:widowControl/>
      <w:jc w:val="left"/>
    </w:pPr>
    <w:rPr>
      <w:rFonts w:ascii="宋体" w:hAnsi="宋体" w:cs="宋体"/>
      <w:kern w:val="0"/>
    </w:rPr>
  </w:style>
  <w:style w:type="paragraph" w:customStyle="1" w:styleId="238">
    <w:name w:val="样式23"/>
    <w:basedOn w:val="a"/>
    <w:qFormat/>
    <w:pPr>
      <w:widowControl/>
      <w:jc w:val="center"/>
      <w:textAlignment w:val="baseline"/>
      <w:outlineLvl w:val="0"/>
    </w:pPr>
    <w:rPr>
      <w:rFonts w:ascii="宋体" w:hAnsi="宋体" w:cs="宋体"/>
      <w:kern w:val="0"/>
      <w:szCs w:val="20"/>
    </w:rPr>
  </w:style>
  <w:style w:type="paragraph" w:customStyle="1" w:styleId="87">
    <w:name w:val="表中文字8"/>
    <w:basedOn w:val="a"/>
    <w:qFormat/>
    <w:pPr>
      <w:widowControl/>
      <w:spacing w:line="240" w:lineRule="atLeast"/>
      <w:ind w:leftChars="-10" w:left="-24" w:rightChars="-20" w:right="-48"/>
      <w:jc w:val="center"/>
    </w:pPr>
    <w:rPr>
      <w:rFonts w:ascii="宋体" w:hAnsi="宋体" w:cs="宋体"/>
      <w:kern w:val="0"/>
      <w:szCs w:val="21"/>
    </w:rPr>
  </w:style>
  <w:style w:type="paragraph" w:customStyle="1" w:styleId="2133">
    <w:name w:val="表内文字小2133"/>
    <w:basedOn w:val="a"/>
    <w:pPr>
      <w:widowControl/>
      <w:jc w:val="center"/>
      <w:textAlignment w:val="baseline"/>
    </w:pPr>
    <w:rPr>
      <w:rFonts w:ascii="宋体" w:hAnsi="Times" w:cs="宋体"/>
      <w:bCs/>
      <w:color w:val="000000"/>
      <w:kern w:val="0"/>
      <w:szCs w:val="20"/>
    </w:rPr>
  </w:style>
  <w:style w:type="paragraph" w:customStyle="1" w:styleId="1214">
    <w:name w:val="样式121"/>
    <w:basedOn w:val="314"/>
    <w:qFormat/>
    <w:pPr>
      <w:spacing w:line="240" w:lineRule="auto"/>
      <w:ind w:firstLine="0"/>
      <w:jc w:val="center"/>
    </w:pPr>
    <w:rPr>
      <w:rFonts w:cs="Times New Roman"/>
      <w:b/>
      <w:color w:val="auto"/>
      <w:szCs w:val="20"/>
    </w:rPr>
  </w:style>
  <w:style w:type="paragraph" w:customStyle="1" w:styleId="54134">
    <w:name w:val="表内54134"/>
    <w:basedOn w:val="a"/>
    <w:qFormat/>
    <w:pPr>
      <w:widowControl/>
      <w:spacing w:line="300" w:lineRule="auto"/>
      <w:jc w:val="center"/>
    </w:pPr>
    <w:rPr>
      <w:rFonts w:ascii="宋体" w:hAnsi="宋体" w:cs="宋体"/>
      <w:kern w:val="0"/>
      <w:szCs w:val="20"/>
    </w:rPr>
  </w:style>
  <w:style w:type="paragraph" w:customStyle="1" w:styleId="428">
    <w:name w:val="样式42"/>
    <w:basedOn w:val="a0"/>
    <w:qFormat/>
    <w:pPr>
      <w:widowControl/>
      <w:tabs>
        <w:tab w:val="left" w:pos="1820"/>
      </w:tabs>
      <w:spacing w:line="240" w:lineRule="atLeast"/>
      <w:jc w:val="center"/>
    </w:pPr>
    <w:rPr>
      <w:rFonts w:eastAsia="幼圆"/>
      <w:kern w:val="0"/>
      <w:sz w:val="21"/>
      <w:szCs w:val="20"/>
    </w:rPr>
  </w:style>
  <w:style w:type="paragraph" w:customStyle="1" w:styleId="429">
    <w:name w:val="正文格式＝42"/>
    <w:basedOn w:val="affff4"/>
    <w:next w:val="affff4"/>
    <w:qFormat/>
    <w:rPr>
      <w:rFonts w:hAnsi="宋体"/>
      <w:szCs w:val="24"/>
    </w:rPr>
  </w:style>
  <w:style w:type="paragraph" w:customStyle="1" w:styleId="CharCharCharCharCharCharChar223">
    <w:name w:val="Char Char Char Char Char Char Char223"/>
    <w:basedOn w:val="a"/>
    <w:qFormat/>
    <w:pPr>
      <w:widowControl/>
      <w:jc w:val="left"/>
    </w:pPr>
    <w:rPr>
      <w:rFonts w:ascii="宋体" w:hAnsi="宋体" w:cs="宋体"/>
      <w:kern w:val="0"/>
    </w:rPr>
  </w:style>
  <w:style w:type="paragraph" w:customStyle="1" w:styleId="6d">
    <w:name w:val="表中文字6"/>
    <w:basedOn w:val="a"/>
    <w:qFormat/>
    <w:pPr>
      <w:widowControl/>
      <w:spacing w:line="240" w:lineRule="atLeast"/>
      <w:ind w:leftChars="-10" w:left="-24" w:rightChars="-20" w:right="-48"/>
      <w:jc w:val="center"/>
    </w:pPr>
    <w:rPr>
      <w:rFonts w:ascii="宋体" w:hAnsi="宋体" w:cs="宋体"/>
      <w:kern w:val="0"/>
      <w:szCs w:val="21"/>
    </w:rPr>
  </w:style>
  <w:style w:type="paragraph" w:customStyle="1" w:styleId="09922">
    <w:name w:val="首行缩进:  0.99 厘米 + 首行缩进:  2 字符2"/>
    <w:basedOn w:val="a"/>
    <w:qFormat/>
    <w:pPr>
      <w:widowControl/>
      <w:topLinePunct/>
      <w:spacing w:line="480" w:lineRule="exact"/>
      <w:ind w:firstLine="420"/>
      <w:jc w:val="center"/>
    </w:pPr>
    <w:rPr>
      <w:rFonts w:ascii="宋体" w:hAnsi="宋体" w:cs="宋体"/>
      <w:snapToGrid w:val="0"/>
      <w:color w:val="FF0000"/>
      <w:kern w:val="0"/>
      <w:szCs w:val="21"/>
    </w:rPr>
  </w:style>
  <w:style w:type="paragraph" w:customStyle="1" w:styleId="710">
    <w:name w:val="正文格式＝71"/>
    <w:basedOn w:val="affff4"/>
    <w:next w:val="affff4"/>
    <w:qFormat/>
    <w:rPr>
      <w:rFonts w:hAnsi="宋体"/>
      <w:szCs w:val="24"/>
    </w:rPr>
  </w:style>
  <w:style w:type="paragraph" w:customStyle="1" w:styleId="CharChar2CharCharCharChar27">
    <w:name w:val="Char Char2 Char Char Char Char27"/>
    <w:basedOn w:val="a"/>
    <w:qFormat/>
    <w:pPr>
      <w:widowControl/>
      <w:jc w:val="left"/>
    </w:pPr>
    <w:rPr>
      <w:rFonts w:ascii="宋体" w:hAnsi="宋体" w:cs="宋体"/>
      <w:kern w:val="0"/>
    </w:rPr>
  </w:style>
  <w:style w:type="paragraph" w:customStyle="1" w:styleId="720">
    <w:name w:val="正文格式＝72"/>
    <w:basedOn w:val="affff4"/>
    <w:next w:val="affff4"/>
    <w:rPr>
      <w:rFonts w:hAnsi="宋体"/>
      <w:szCs w:val="24"/>
    </w:rPr>
  </w:style>
  <w:style w:type="paragraph" w:customStyle="1" w:styleId="41140">
    <w:name w:val="标题4114"/>
    <w:basedOn w:val="a"/>
    <w:qFormat/>
    <w:pPr>
      <w:widowControl/>
      <w:spacing w:line="300" w:lineRule="auto"/>
      <w:jc w:val="left"/>
    </w:pPr>
    <w:rPr>
      <w:rFonts w:ascii="黑体" w:eastAsia="黑体" w:hAnsi="宋体" w:cs="宋体"/>
      <w:bCs/>
      <w:kern w:val="0"/>
      <w:szCs w:val="20"/>
    </w:rPr>
  </w:style>
  <w:style w:type="paragraph" w:customStyle="1" w:styleId="Char3220">
    <w:name w:val="Char322"/>
    <w:basedOn w:val="a"/>
    <w:qFormat/>
    <w:pPr>
      <w:widowControl/>
      <w:ind w:left="-48"/>
      <w:jc w:val="left"/>
    </w:pPr>
    <w:rPr>
      <w:rFonts w:ascii="宋体" w:hAnsi="宋体" w:cs="宋体"/>
      <w:kern w:val="0"/>
    </w:rPr>
  </w:style>
  <w:style w:type="paragraph" w:customStyle="1" w:styleId="438">
    <w:name w:val="正文修改43"/>
    <w:basedOn w:val="affffe"/>
    <w:qFormat/>
    <w:rPr>
      <w:rFonts w:eastAsia="宋体" w:hAnsi="宋体" w:cs="宋体"/>
      <w:color w:val="000000"/>
      <w:szCs w:val="24"/>
    </w:rPr>
  </w:style>
  <w:style w:type="paragraph" w:customStyle="1" w:styleId="621">
    <w:name w:val="表中文字62"/>
    <w:basedOn w:val="a"/>
    <w:qFormat/>
    <w:pPr>
      <w:widowControl/>
      <w:spacing w:line="240" w:lineRule="atLeast"/>
      <w:ind w:leftChars="-10" w:left="-24" w:rightChars="-20" w:right="-48"/>
      <w:jc w:val="center"/>
    </w:pPr>
    <w:rPr>
      <w:rFonts w:ascii="宋体" w:hAnsi="宋体" w:cs="宋体"/>
      <w:kern w:val="0"/>
      <w:szCs w:val="21"/>
    </w:rPr>
  </w:style>
  <w:style w:type="paragraph" w:customStyle="1" w:styleId="ParaChar311">
    <w:name w:val="默认段落字体 Para Char311"/>
    <w:basedOn w:val="a"/>
    <w:qFormat/>
    <w:pPr>
      <w:widowControl/>
      <w:jc w:val="left"/>
    </w:pPr>
    <w:rPr>
      <w:rFonts w:ascii="宋体" w:hAnsi="宋体" w:cs="宋体"/>
      <w:kern w:val="0"/>
    </w:rPr>
  </w:style>
  <w:style w:type="paragraph" w:customStyle="1" w:styleId="11fa">
    <w:name w:val="正文.11"/>
    <w:qFormat/>
    <w:pPr>
      <w:widowControl w:val="0"/>
      <w:autoSpaceDE w:val="0"/>
      <w:autoSpaceDN w:val="0"/>
      <w:adjustRightInd w:val="0"/>
      <w:jc w:val="both"/>
    </w:pPr>
    <w:rPr>
      <w:rFonts w:ascii="Times New Roman;Symbol;Arial;婼" w:eastAsia="Times New Roman;Symbol;Arial;婼"/>
      <w:sz w:val="21"/>
      <w:szCs w:val="21"/>
    </w:rPr>
  </w:style>
  <w:style w:type="paragraph" w:customStyle="1" w:styleId="12f5">
    <w:name w:val="正文缩12"/>
    <w:basedOn w:val="a"/>
    <w:qFormat/>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12f6">
    <w:name w:val="表内文字边12"/>
    <w:basedOn w:val="a"/>
    <w:qFormat/>
    <w:pPr>
      <w:widowControl/>
      <w:spacing w:line="240" w:lineRule="atLeast"/>
      <w:ind w:leftChars="-10" w:left="-21" w:rightChars="-20" w:right="-42"/>
      <w:jc w:val="left"/>
    </w:pPr>
    <w:rPr>
      <w:rFonts w:ascii="宋体" w:hAnsi="宋体" w:cs="宋体"/>
      <w:kern w:val="0"/>
      <w:szCs w:val="21"/>
    </w:rPr>
  </w:style>
  <w:style w:type="paragraph" w:customStyle="1" w:styleId="6e">
    <w:name w:val="正文修改6"/>
    <w:basedOn w:val="affffe"/>
    <w:qFormat/>
    <w:rPr>
      <w:rFonts w:eastAsia="宋体" w:hAnsi="宋体" w:cs="宋体"/>
      <w:color w:val="000000"/>
      <w:szCs w:val="24"/>
    </w:rPr>
  </w:style>
  <w:style w:type="paragraph" w:customStyle="1" w:styleId="ParaCharCharCharChar512">
    <w:name w:val="默认段落字体 Para Char Char Char Char512"/>
    <w:basedOn w:val="a"/>
    <w:qFormat/>
    <w:pPr>
      <w:widowControl/>
      <w:jc w:val="left"/>
    </w:pPr>
    <w:rPr>
      <w:rFonts w:ascii="宋体" w:hAnsi="宋体" w:cs="宋体"/>
      <w:kern w:val="0"/>
    </w:rPr>
  </w:style>
  <w:style w:type="paragraph" w:customStyle="1" w:styleId="CharCharCharCharCharCharChar9">
    <w:name w:val="Char Char Char Char Char Char Char9"/>
    <w:basedOn w:val="a"/>
    <w:qFormat/>
    <w:pPr>
      <w:widowControl/>
      <w:jc w:val="left"/>
    </w:pPr>
    <w:rPr>
      <w:rFonts w:ascii="宋体" w:hAnsi="宋体" w:cs="宋体"/>
      <w:kern w:val="0"/>
    </w:rPr>
  </w:style>
  <w:style w:type="paragraph" w:customStyle="1" w:styleId="3151">
    <w:name w:val="表内文字小315"/>
    <w:basedOn w:val="a"/>
    <w:qFormat/>
    <w:pPr>
      <w:widowControl/>
      <w:jc w:val="center"/>
    </w:pPr>
    <w:rPr>
      <w:rFonts w:ascii="宋体" w:hAnsi="Times" w:cs="宋体"/>
      <w:bCs/>
      <w:color w:val="003366"/>
      <w:kern w:val="0"/>
      <w:szCs w:val="20"/>
    </w:rPr>
  </w:style>
  <w:style w:type="paragraph" w:customStyle="1" w:styleId="5133">
    <w:name w:val="表内5中13"/>
    <w:basedOn w:val="a"/>
    <w:qFormat/>
    <w:pPr>
      <w:widowControl/>
      <w:jc w:val="center"/>
    </w:pPr>
    <w:rPr>
      <w:rFonts w:ascii="宋体" w:hAnsi="宋体" w:cs="Arial"/>
      <w:snapToGrid w:val="0"/>
      <w:color w:val="000000"/>
      <w:kern w:val="0"/>
      <w:szCs w:val="21"/>
    </w:rPr>
  </w:style>
  <w:style w:type="paragraph" w:customStyle="1" w:styleId="211b">
    <w:name w:val="正文格式＝211"/>
    <w:basedOn w:val="affff4"/>
    <w:next w:val="affff4"/>
    <w:qFormat/>
    <w:rPr>
      <w:rFonts w:hAnsi="宋体"/>
      <w:szCs w:val="24"/>
    </w:rPr>
  </w:style>
  <w:style w:type="paragraph" w:customStyle="1" w:styleId="31222">
    <w:name w:val="表题3122"/>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111f">
    <w:name w:val="附件111"/>
    <w:basedOn w:val="1"/>
    <w:next w:val="affff4"/>
    <w:qFormat/>
    <w:pPr>
      <w:numPr>
        <w:numId w:val="0"/>
      </w:numPr>
      <w:adjustRightInd/>
      <w:snapToGrid/>
      <w:spacing w:after="210"/>
      <w:jc w:val="left"/>
    </w:pPr>
    <w:rPr>
      <w:rFonts w:ascii="黑体" w:eastAsia="黑体"/>
      <w:b w:val="0"/>
      <w:sz w:val="32"/>
      <w:szCs w:val="32"/>
      <w:lang w:val="zh-CN"/>
    </w:rPr>
  </w:style>
  <w:style w:type="paragraph" w:customStyle="1" w:styleId="5912">
    <w:name w:val="表内5912"/>
    <w:basedOn w:val="a"/>
    <w:qFormat/>
    <w:pPr>
      <w:widowControl/>
      <w:spacing w:line="300" w:lineRule="auto"/>
      <w:jc w:val="center"/>
    </w:pPr>
    <w:rPr>
      <w:rFonts w:ascii="宋体" w:hAnsi="宋体" w:cs="宋体"/>
      <w:snapToGrid w:val="0"/>
      <w:kern w:val="0"/>
      <w:szCs w:val="21"/>
    </w:rPr>
  </w:style>
  <w:style w:type="paragraph" w:customStyle="1" w:styleId="4fd">
    <w:name w:val="正文修改4"/>
    <w:basedOn w:val="affffe"/>
    <w:qFormat/>
    <w:rPr>
      <w:rFonts w:eastAsia="宋体" w:hAnsi="宋体" w:cs="宋体"/>
      <w:color w:val="000000"/>
      <w:szCs w:val="24"/>
    </w:rPr>
  </w:style>
  <w:style w:type="paragraph" w:customStyle="1" w:styleId="52b">
    <w:name w:val="正文修改52"/>
    <w:basedOn w:val="affffe"/>
    <w:qFormat/>
    <w:rPr>
      <w:rFonts w:eastAsia="宋体" w:hAnsi="宋体" w:cs="宋体"/>
      <w:color w:val="000000"/>
      <w:szCs w:val="24"/>
    </w:rPr>
  </w:style>
  <w:style w:type="paragraph" w:customStyle="1" w:styleId="43124">
    <w:name w:val="标题43124"/>
    <w:basedOn w:val="a"/>
    <w:qFormat/>
    <w:pPr>
      <w:widowControl/>
      <w:spacing w:line="480" w:lineRule="exact"/>
      <w:jc w:val="center"/>
    </w:pPr>
    <w:rPr>
      <w:rFonts w:ascii="宋体" w:hAnsi="宋体" w:cs="宋体"/>
      <w:kern w:val="0"/>
    </w:rPr>
  </w:style>
  <w:style w:type="paragraph" w:customStyle="1" w:styleId="5ff0">
    <w:name w:val="附件5"/>
    <w:basedOn w:val="1"/>
    <w:next w:val="affff4"/>
    <w:qFormat/>
    <w:pPr>
      <w:numPr>
        <w:numId w:val="0"/>
      </w:numPr>
      <w:adjustRightInd/>
      <w:snapToGrid/>
      <w:spacing w:after="210"/>
      <w:jc w:val="left"/>
    </w:pPr>
    <w:rPr>
      <w:rFonts w:ascii="黑体" w:eastAsia="黑体"/>
      <w:sz w:val="32"/>
      <w:szCs w:val="32"/>
      <w:lang w:val="zh-CN"/>
    </w:rPr>
  </w:style>
  <w:style w:type="paragraph" w:customStyle="1" w:styleId="31411">
    <w:name w:val="表题31411"/>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5126">
    <w:name w:val="正文格式＝512"/>
    <w:basedOn w:val="affff4"/>
    <w:next w:val="affff4"/>
    <w:qFormat/>
    <w:rPr>
      <w:rFonts w:hAnsi="宋体"/>
      <w:szCs w:val="24"/>
    </w:rPr>
  </w:style>
  <w:style w:type="paragraph" w:customStyle="1" w:styleId="31231">
    <w:name w:val="样式 标题 3 + 段前: 12 磅3"/>
    <w:basedOn w:val="3"/>
    <w:qFormat/>
    <w:pPr>
      <w:keepNext w:val="0"/>
      <w:keepLines w:val="0"/>
      <w:widowControl/>
      <w:numPr>
        <w:ilvl w:val="0"/>
        <w:numId w:val="0"/>
      </w:numPr>
      <w:autoSpaceDE w:val="0"/>
      <w:autoSpaceDN w:val="0"/>
      <w:jc w:val="both"/>
    </w:pPr>
    <w:rPr>
      <w:rFonts w:ascii="黑体" w:eastAsia="黑体" w:hAnsi="宋体" w:cs="宋体"/>
      <w:b w:val="0"/>
      <w:bCs w:val="0"/>
      <w:color w:val="000000"/>
      <w:kern w:val="21"/>
      <w:szCs w:val="20"/>
    </w:rPr>
  </w:style>
  <w:style w:type="paragraph" w:customStyle="1" w:styleId="3fff3">
    <w:name w:val="环评正文3"/>
    <w:qFormat/>
    <w:pPr>
      <w:spacing w:line="440" w:lineRule="exact"/>
      <w:ind w:firstLineChars="200" w:firstLine="200"/>
    </w:pPr>
    <w:rPr>
      <w:bCs/>
      <w:kern w:val="2"/>
      <w:sz w:val="24"/>
      <w:szCs w:val="24"/>
    </w:rPr>
  </w:style>
  <w:style w:type="paragraph" w:customStyle="1" w:styleId="52120">
    <w:name w:val="表内宋5中212"/>
    <w:basedOn w:val="a"/>
    <w:qFormat/>
    <w:pPr>
      <w:widowControl/>
      <w:jc w:val="center"/>
      <w:textAlignment w:val="baseline"/>
    </w:pPr>
    <w:rPr>
      <w:rFonts w:ascii="宋体" w:hAnsi="宋体" w:cs="宋体"/>
      <w:kern w:val="0"/>
      <w:szCs w:val="20"/>
    </w:rPr>
  </w:style>
  <w:style w:type="paragraph" w:customStyle="1" w:styleId="12f7">
    <w:name w:val="表内文字小12"/>
    <w:basedOn w:val="a"/>
    <w:qFormat/>
    <w:pPr>
      <w:widowControl/>
      <w:jc w:val="center"/>
    </w:pPr>
    <w:rPr>
      <w:rFonts w:ascii="宋体" w:hAnsi="Times" w:cs="宋体"/>
      <w:kern w:val="0"/>
      <w:szCs w:val="20"/>
    </w:rPr>
  </w:style>
  <w:style w:type="paragraph" w:customStyle="1" w:styleId="Char272">
    <w:name w:val="Char27"/>
    <w:basedOn w:val="a"/>
    <w:qFormat/>
    <w:pPr>
      <w:widowControl/>
      <w:ind w:left="-48"/>
      <w:jc w:val="left"/>
    </w:pPr>
    <w:rPr>
      <w:rFonts w:ascii="宋体" w:hAnsi="宋体" w:cs="宋体"/>
      <w:kern w:val="0"/>
    </w:rPr>
  </w:style>
  <w:style w:type="paragraph" w:customStyle="1" w:styleId="11fb">
    <w:name w:val="封面标准文稿编辑信息11"/>
    <w:qFormat/>
    <w:pPr>
      <w:spacing w:before="180" w:line="180" w:lineRule="exact"/>
      <w:jc w:val="center"/>
    </w:pPr>
    <w:rPr>
      <w:rFonts w:ascii="宋体"/>
      <w:sz w:val="21"/>
    </w:rPr>
  </w:style>
  <w:style w:type="paragraph" w:customStyle="1" w:styleId="21220">
    <w:name w:val="表内文字小2122"/>
    <w:basedOn w:val="a"/>
    <w:qFormat/>
    <w:pPr>
      <w:widowControl/>
      <w:jc w:val="center"/>
    </w:pPr>
    <w:rPr>
      <w:rFonts w:ascii="宋体" w:hAnsi="Times" w:cs="宋体"/>
      <w:bCs/>
      <w:color w:val="000000"/>
      <w:kern w:val="0"/>
      <w:szCs w:val="20"/>
    </w:rPr>
  </w:style>
  <w:style w:type="paragraph" w:customStyle="1" w:styleId="Char2212">
    <w:name w:val="Char221"/>
    <w:basedOn w:val="a"/>
    <w:qFormat/>
    <w:pPr>
      <w:widowControl/>
      <w:spacing w:before="156"/>
      <w:jc w:val="left"/>
    </w:pPr>
    <w:rPr>
      <w:rFonts w:ascii="黑体" w:eastAsia="黑体" w:hAnsi="宋体" w:cs="宋体"/>
      <w:kern w:val="0"/>
      <w:sz w:val="32"/>
      <w:szCs w:val="32"/>
    </w:rPr>
  </w:style>
  <w:style w:type="paragraph" w:customStyle="1" w:styleId="Char21110">
    <w:name w:val="Char2111"/>
    <w:basedOn w:val="a"/>
    <w:qFormat/>
    <w:pPr>
      <w:widowControl/>
      <w:ind w:left="-48"/>
      <w:jc w:val="left"/>
    </w:pPr>
    <w:rPr>
      <w:rFonts w:ascii="宋体" w:hAnsi="宋体" w:cs="宋体"/>
      <w:kern w:val="0"/>
    </w:rPr>
  </w:style>
  <w:style w:type="paragraph" w:customStyle="1" w:styleId="31113">
    <w:name w:val="表题3111"/>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A110">
    <w:name w:val="A正文11"/>
    <w:basedOn w:val="a"/>
    <w:qFormat/>
    <w:pPr>
      <w:widowControl/>
      <w:overflowPunct w:val="0"/>
      <w:autoSpaceDE w:val="0"/>
      <w:autoSpaceDN w:val="0"/>
      <w:jc w:val="left"/>
      <w:textAlignment w:val="baseline"/>
    </w:pPr>
    <w:rPr>
      <w:rFonts w:ascii="宋体" w:hAnsi="宋体" w:cs="宋体"/>
      <w:kern w:val="0"/>
    </w:rPr>
  </w:style>
  <w:style w:type="paragraph" w:customStyle="1" w:styleId="2142">
    <w:name w:val="表内文字小2142"/>
    <w:basedOn w:val="a"/>
    <w:qFormat/>
    <w:pPr>
      <w:widowControl/>
      <w:jc w:val="center"/>
    </w:pPr>
    <w:rPr>
      <w:rFonts w:ascii="宋体" w:hAnsi="Times" w:cs="宋体"/>
      <w:bCs/>
      <w:color w:val="000000"/>
      <w:kern w:val="0"/>
      <w:szCs w:val="20"/>
    </w:rPr>
  </w:style>
  <w:style w:type="paragraph" w:customStyle="1" w:styleId="21fa">
    <w:name w:val="燕山正文21"/>
    <w:basedOn w:val="a"/>
    <w:qFormat/>
    <w:pPr>
      <w:widowControl/>
      <w:tabs>
        <w:tab w:val="left" w:pos="4680"/>
      </w:tabs>
      <w:spacing w:line="480" w:lineRule="exact"/>
      <w:jc w:val="left"/>
    </w:pPr>
    <w:rPr>
      <w:rFonts w:ascii="宋体" w:hAnsi="宋体" w:cs="宋体"/>
      <w:kern w:val="0"/>
    </w:rPr>
  </w:style>
  <w:style w:type="paragraph" w:customStyle="1" w:styleId="CharCharCharCharCharCharChar42">
    <w:name w:val="Char Char Char Char Char Char Char42"/>
    <w:basedOn w:val="a"/>
    <w:qFormat/>
    <w:pPr>
      <w:widowControl/>
      <w:jc w:val="left"/>
    </w:pPr>
    <w:rPr>
      <w:rFonts w:ascii="宋体" w:hAnsi="宋体" w:cs="宋体"/>
      <w:kern w:val="0"/>
    </w:rPr>
  </w:style>
  <w:style w:type="paragraph" w:customStyle="1" w:styleId="11130">
    <w:name w:val="燕山正文1113"/>
    <w:basedOn w:val="a"/>
    <w:qFormat/>
    <w:pPr>
      <w:widowControl/>
      <w:tabs>
        <w:tab w:val="left" w:pos="4680"/>
      </w:tabs>
      <w:spacing w:line="480" w:lineRule="exact"/>
      <w:jc w:val="left"/>
    </w:pPr>
    <w:rPr>
      <w:rFonts w:ascii="宋体" w:hAnsi="宋体" w:cs="宋体"/>
      <w:bCs/>
      <w:color w:val="000000"/>
      <w:kern w:val="0"/>
    </w:rPr>
  </w:style>
  <w:style w:type="paragraph" w:customStyle="1" w:styleId="31321">
    <w:name w:val="表内文字小3132"/>
    <w:basedOn w:val="a"/>
    <w:qFormat/>
    <w:pPr>
      <w:widowControl/>
      <w:jc w:val="center"/>
    </w:pPr>
    <w:rPr>
      <w:rFonts w:ascii="宋体" w:hAnsi="Times" w:cs="宋体"/>
      <w:bCs/>
      <w:color w:val="003366"/>
      <w:kern w:val="0"/>
      <w:szCs w:val="20"/>
    </w:rPr>
  </w:style>
  <w:style w:type="paragraph" w:customStyle="1" w:styleId="54123">
    <w:name w:val="表内54123"/>
    <w:basedOn w:val="a"/>
    <w:pPr>
      <w:widowControl/>
      <w:spacing w:line="300" w:lineRule="auto"/>
      <w:jc w:val="center"/>
    </w:pPr>
    <w:rPr>
      <w:rFonts w:ascii="宋体" w:hAnsi="宋体" w:cs="宋体"/>
      <w:kern w:val="0"/>
      <w:szCs w:val="20"/>
    </w:rPr>
  </w:style>
  <w:style w:type="paragraph" w:customStyle="1" w:styleId="511112">
    <w:name w:val="表内宋5中1111"/>
    <w:basedOn w:val="a"/>
    <w:qFormat/>
    <w:pPr>
      <w:widowControl/>
      <w:jc w:val="center"/>
      <w:textAlignment w:val="baseline"/>
    </w:pPr>
    <w:rPr>
      <w:rFonts w:ascii="宋体" w:hAnsi="宋体" w:cs="宋体"/>
      <w:kern w:val="0"/>
      <w:szCs w:val="20"/>
    </w:rPr>
  </w:style>
  <w:style w:type="paragraph" w:customStyle="1" w:styleId="590">
    <w:name w:val="表内59"/>
    <w:basedOn w:val="a"/>
    <w:qFormat/>
    <w:pPr>
      <w:widowControl/>
      <w:spacing w:line="300" w:lineRule="auto"/>
      <w:jc w:val="center"/>
    </w:pPr>
    <w:rPr>
      <w:rFonts w:ascii="宋体" w:hAnsi="宋体" w:cs="宋体"/>
      <w:snapToGrid w:val="0"/>
      <w:kern w:val="0"/>
      <w:szCs w:val="21"/>
    </w:rPr>
  </w:style>
  <w:style w:type="paragraph" w:customStyle="1" w:styleId="Char500">
    <w:name w:val="Char50"/>
    <w:basedOn w:val="a"/>
    <w:qFormat/>
    <w:pPr>
      <w:widowControl/>
      <w:ind w:left="-48"/>
      <w:jc w:val="left"/>
    </w:pPr>
    <w:rPr>
      <w:rFonts w:ascii="宋体" w:hAnsi="宋体" w:cs="宋体"/>
      <w:kern w:val="0"/>
    </w:rPr>
  </w:style>
  <w:style w:type="paragraph" w:customStyle="1" w:styleId="51114">
    <w:name w:val="样式 表内小5 + 黑体 加粗 倾斜 下划线111"/>
    <w:basedOn w:val="a"/>
    <w:qFormat/>
    <w:pPr>
      <w:widowControl/>
      <w:spacing w:line="300" w:lineRule="auto"/>
      <w:jc w:val="left"/>
    </w:pPr>
    <w:rPr>
      <w:rFonts w:ascii="黑体" w:eastAsia="黑体" w:hAnsi="黑体" w:cs="宋体"/>
      <w:b/>
      <w:bCs/>
      <w:i/>
      <w:iCs/>
      <w:kern w:val="0"/>
      <w:sz w:val="18"/>
      <w:u w:val="single"/>
    </w:rPr>
  </w:style>
  <w:style w:type="paragraph" w:customStyle="1" w:styleId="3212">
    <w:name w:val="正文格式＝321"/>
    <w:basedOn w:val="affff4"/>
    <w:next w:val="affff4"/>
    <w:qFormat/>
    <w:rPr>
      <w:rFonts w:hAnsi="宋体"/>
      <w:szCs w:val="24"/>
    </w:rPr>
  </w:style>
  <w:style w:type="paragraph" w:customStyle="1" w:styleId="ParaCharCharCharChar23">
    <w:name w:val="默认段落字体 Para Char Char Char Char23"/>
    <w:basedOn w:val="a"/>
    <w:qFormat/>
    <w:pPr>
      <w:widowControl/>
      <w:jc w:val="left"/>
    </w:pPr>
    <w:rPr>
      <w:rFonts w:ascii="宋体" w:hAnsi="宋体" w:cs="宋体"/>
      <w:kern w:val="0"/>
    </w:rPr>
  </w:style>
  <w:style w:type="paragraph" w:customStyle="1" w:styleId="5420">
    <w:name w:val="表内5中42"/>
    <w:basedOn w:val="a"/>
    <w:qFormat/>
    <w:pPr>
      <w:widowControl/>
      <w:jc w:val="center"/>
    </w:pPr>
    <w:rPr>
      <w:rFonts w:ascii="宋体" w:hAnsi="宋体" w:cs="宋体"/>
      <w:bCs/>
      <w:kern w:val="0"/>
      <w:szCs w:val="20"/>
    </w:rPr>
  </w:style>
  <w:style w:type="paragraph" w:customStyle="1" w:styleId="Char341">
    <w:name w:val="Char34"/>
    <w:basedOn w:val="a"/>
    <w:qFormat/>
    <w:pPr>
      <w:widowControl/>
      <w:ind w:left="-48"/>
      <w:jc w:val="left"/>
    </w:pPr>
    <w:rPr>
      <w:rFonts w:ascii="宋体" w:hAnsi="宋体" w:cs="宋体"/>
      <w:kern w:val="0"/>
    </w:rPr>
  </w:style>
  <w:style w:type="paragraph" w:customStyle="1" w:styleId="Char2312">
    <w:name w:val="Char231"/>
    <w:basedOn w:val="a"/>
    <w:qFormat/>
    <w:pPr>
      <w:widowControl/>
      <w:ind w:left="-48"/>
      <w:jc w:val="left"/>
    </w:pPr>
    <w:rPr>
      <w:rFonts w:ascii="宋体" w:hAnsi="宋体" w:cs="宋体"/>
      <w:kern w:val="0"/>
    </w:rPr>
  </w:style>
  <w:style w:type="paragraph" w:customStyle="1" w:styleId="Char1711">
    <w:name w:val="Char171"/>
    <w:basedOn w:val="a"/>
    <w:qFormat/>
    <w:pPr>
      <w:widowControl/>
      <w:ind w:left="-48"/>
      <w:jc w:val="left"/>
    </w:pPr>
    <w:rPr>
      <w:rFonts w:ascii="宋体" w:hAnsi="宋体" w:cs="宋体"/>
      <w:kern w:val="0"/>
    </w:rPr>
  </w:style>
  <w:style w:type="paragraph" w:customStyle="1" w:styleId="414H4H4141H42H411142111">
    <w:name w:val="样式 标题 4无效格式无效格式1河石管道4H4H41小小节河石管道41H42H411小小节1河石管道42...111"/>
    <w:basedOn w:val="4"/>
    <w:qFormat/>
    <w:pPr>
      <w:numPr>
        <w:ilvl w:val="0"/>
        <w:numId w:val="0"/>
      </w:numPr>
      <w:spacing w:after="0" w:line="360" w:lineRule="auto"/>
      <w:ind w:left="664" w:hanging="864"/>
    </w:pPr>
    <w:rPr>
      <w:rFonts w:ascii="黑体" w:eastAsia="黑体" w:hAnsi="Arial" w:cs="宋体"/>
      <w:b w:val="0"/>
      <w:bCs w:val="0"/>
      <w:kern w:val="2"/>
      <w:sz w:val="24"/>
      <w:szCs w:val="20"/>
    </w:rPr>
  </w:style>
  <w:style w:type="paragraph" w:customStyle="1" w:styleId="52c">
    <w:name w:val="表内52"/>
    <w:basedOn w:val="a"/>
    <w:qFormat/>
    <w:pPr>
      <w:widowControl/>
      <w:spacing w:line="300" w:lineRule="auto"/>
      <w:jc w:val="left"/>
    </w:pPr>
    <w:rPr>
      <w:rFonts w:ascii="宋体" w:hAnsi="宋体" w:cs="宋体"/>
      <w:kern w:val="0"/>
      <w:sz w:val="18"/>
      <w:szCs w:val="20"/>
    </w:rPr>
  </w:style>
  <w:style w:type="paragraph" w:customStyle="1" w:styleId="51f">
    <w:name w:val="燕山正文51"/>
    <w:basedOn w:val="a"/>
    <w:qFormat/>
    <w:pPr>
      <w:widowControl/>
      <w:tabs>
        <w:tab w:val="left" w:pos="4680"/>
      </w:tabs>
      <w:spacing w:line="480" w:lineRule="exact"/>
      <w:jc w:val="left"/>
    </w:pPr>
    <w:rPr>
      <w:rFonts w:ascii="宋体" w:hAnsi="宋体" w:cs="宋体"/>
      <w:kern w:val="0"/>
    </w:rPr>
  </w:style>
  <w:style w:type="paragraph" w:customStyle="1" w:styleId="Char2220">
    <w:name w:val="Char222"/>
    <w:basedOn w:val="a"/>
    <w:qFormat/>
    <w:pPr>
      <w:widowControl/>
      <w:spacing w:before="156"/>
      <w:jc w:val="left"/>
    </w:pPr>
    <w:rPr>
      <w:rFonts w:ascii="黑体" w:eastAsia="黑体" w:hAnsi="宋体" w:cs="宋体"/>
      <w:kern w:val="0"/>
      <w:sz w:val="32"/>
      <w:szCs w:val="32"/>
    </w:rPr>
  </w:style>
  <w:style w:type="paragraph" w:customStyle="1" w:styleId="3117">
    <w:name w:val="正文修改311"/>
    <w:basedOn w:val="affffe"/>
    <w:qFormat/>
    <w:rPr>
      <w:rFonts w:eastAsia="宋体" w:hAnsi="宋体" w:cs="宋体"/>
      <w:color w:val="000000"/>
      <w:szCs w:val="24"/>
    </w:rPr>
  </w:style>
  <w:style w:type="paragraph" w:customStyle="1" w:styleId="31232">
    <w:name w:val="表题3123"/>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xl242">
    <w:name w:val="xl242"/>
    <w:basedOn w:val="a"/>
    <w:qFormat/>
    <w:pPr>
      <w:widowControl/>
      <w:pBdr>
        <w:bottom w:val="single" w:sz="4" w:space="0" w:color="auto"/>
        <w:right w:val="single" w:sz="4" w:space="0" w:color="auto"/>
      </w:pBdr>
      <w:spacing w:before="100" w:beforeAutospacing="1" w:after="100" w:afterAutospacing="1"/>
      <w:jc w:val="center"/>
    </w:pPr>
    <w:rPr>
      <w:rFonts w:ascii="宋体" w:hAnsi="宋体" w:cs="宋体"/>
      <w:kern w:val="0"/>
      <w:szCs w:val="21"/>
    </w:rPr>
  </w:style>
  <w:style w:type="paragraph" w:customStyle="1" w:styleId="592">
    <w:name w:val="表内592"/>
    <w:basedOn w:val="a"/>
    <w:qFormat/>
    <w:pPr>
      <w:widowControl/>
      <w:spacing w:line="300" w:lineRule="auto"/>
      <w:jc w:val="center"/>
    </w:pPr>
    <w:rPr>
      <w:rFonts w:ascii="宋体" w:hAnsi="宋体" w:cs="宋体"/>
      <w:snapToGrid w:val="0"/>
      <w:kern w:val="0"/>
      <w:szCs w:val="21"/>
    </w:rPr>
  </w:style>
  <w:style w:type="paragraph" w:customStyle="1" w:styleId="414H4H4141H42H41114212">
    <w:name w:val="样式 标题 4无效格式无效格式1河石管道4H4H41小小节河石管道41H42H411小小节1河石管道42...12"/>
    <w:basedOn w:val="4"/>
    <w:qFormat/>
    <w:pPr>
      <w:numPr>
        <w:ilvl w:val="0"/>
        <w:numId w:val="0"/>
      </w:numPr>
      <w:spacing w:after="0" w:line="360" w:lineRule="auto"/>
      <w:ind w:left="664" w:hanging="864"/>
    </w:pPr>
    <w:rPr>
      <w:rFonts w:ascii="黑体" w:eastAsia="黑体" w:hAnsi="Arial" w:cs="宋体"/>
      <w:b w:val="0"/>
      <w:bCs w:val="0"/>
      <w:kern w:val="2"/>
      <w:sz w:val="24"/>
      <w:szCs w:val="20"/>
    </w:rPr>
  </w:style>
  <w:style w:type="paragraph" w:customStyle="1" w:styleId="243">
    <w:name w:val="表内文字小24"/>
    <w:basedOn w:val="a"/>
    <w:qFormat/>
    <w:pPr>
      <w:widowControl/>
      <w:jc w:val="center"/>
    </w:pPr>
    <w:rPr>
      <w:rFonts w:ascii="宋体" w:hAnsi="Times" w:cs="宋体"/>
      <w:bCs/>
      <w:color w:val="000000"/>
      <w:kern w:val="0"/>
      <w:szCs w:val="20"/>
    </w:rPr>
  </w:style>
  <w:style w:type="paragraph" w:customStyle="1" w:styleId="511b">
    <w:name w:val="表中文字511"/>
    <w:basedOn w:val="a"/>
    <w:qFormat/>
    <w:pPr>
      <w:widowControl/>
      <w:spacing w:line="240" w:lineRule="atLeast"/>
      <w:ind w:leftChars="-10" w:left="-24" w:rightChars="-20" w:right="-48"/>
      <w:jc w:val="center"/>
    </w:pPr>
    <w:rPr>
      <w:rFonts w:ascii="宋体" w:hAnsi="宋体" w:cs="宋体"/>
      <w:kern w:val="0"/>
      <w:szCs w:val="21"/>
    </w:rPr>
  </w:style>
  <w:style w:type="paragraph" w:customStyle="1" w:styleId="4116">
    <w:name w:val="黑体三号411"/>
    <w:basedOn w:val="affff4"/>
    <w:qFormat/>
    <w:pPr>
      <w:jc w:val="center"/>
    </w:pPr>
    <w:rPr>
      <w:rFonts w:ascii="黑体" w:eastAsia="黑体" w:hAnsi="宋体" w:cs="宋体"/>
      <w:b/>
      <w:bCs/>
      <w:sz w:val="32"/>
      <w:szCs w:val="20"/>
    </w:rPr>
  </w:style>
  <w:style w:type="paragraph" w:customStyle="1" w:styleId="Char1322">
    <w:name w:val="Char132"/>
    <w:basedOn w:val="a"/>
    <w:qFormat/>
    <w:pPr>
      <w:widowControl/>
      <w:ind w:left="-48"/>
      <w:jc w:val="left"/>
    </w:pPr>
    <w:rPr>
      <w:rFonts w:ascii="宋体" w:hAnsi="宋体" w:cs="宋体"/>
      <w:kern w:val="0"/>
    </w:rPr>
  </w:style>
  <w:style w:type="paragraph" w:customStyle="1" w:styleId="5231">
    <w:name w:val="表内宋5中23"/>
    <w:basedOn w:val="a"/>
    <w:qFormat/>
    <w:pPr>
      <w:widowControl/>
      <w:jc w:val="center"/>
      <w:textAlignment w:val="baseline"/>
    </w:pPr>
    <w:rPr>
      <w:rFonts w:ascii="宋体" w:hAnsi="宋体" w:cs="宋体"/>
      <w:kern w:val="0"/>
      <w:szCs w:val="20"/>
    </w:rPr>
  </w:style>
  <w:style w:type="paragraph" w:customStyle="1" w:styleId="CharChar2CharCharCharChar211">
    <w:name w:val="Char Char2 Char Char Char Char211"/>
    <w:basedOn w:val="a"/>
    <w:qFormat/>
    <w:pPr>
      <w:widowControl/>
      <w:jc w:val="left"/>
    </w:pPr>
    <w:rPr>
      <w:rFonts w:ascii="宋体" w:hAnsi="宋体" w:cs="宋体"/>
      <w:kern w:val="0"/>
    </w:rPr>
  </w:style>
  <w:style w:type="paragraph" w:customStyle="1" w:styleId="Char31110">
    <w:name w:val="Char3111"/>
    <w:basedOn w:val="a"/>
    <w:qFormat/>
    <w:pPr>
      <w:widowControl/>
      <w:ind w:left="-48"/>
      <w:jc w:val="left"/>
    </w:pPr>
    <w:rPr>
      <w:rFonts w:ascii="宋体" w:hAnsi="宋体" w:cs="宋体"/>
      <w:kern w:val="0"/>
    </w:rPr>
  </w:style>
  <w:style w:type="paragraph" w:customStyle="1" w:styleId="Char1350">
    <w:name w:val="Char135"/>
    <w:basedOn w:val="a"/>
    <w:qFormat/>
    <w:pPr>
      <w:widowControl/>
      <w:ind w:left="-48"/>
      <w:jc w:val="left"/>
    </w:pPr>
    <w:rPr>
      <w:rFonts w:ascii="宋体" w:hAnsi="宋体" w:cs="宋体"/>
      <w:kern w:val="0"/>
    </w:rPr>
  </w:style>
  <w:style w:type="paragraph" w:customStyle="1" w:styleId="31420">
    <w:name w:val="表内文字小3142"/>
    <w:basedOn w:val="a"/>
    <w:qFormat/>
    <w:pPr>
      <w:widowControl/>
      <w:jc w:val="center"/>
    </w:pPr>
    <w:rPr>
      <w:rFonts w:ascii="宋体" w:hAnsi="Times" w:cs="宋体"/>
      <w:bCs/>
      <w:color w:val="003366"/>
      <w:kern w:val="0"/>
      <w:szCs w:val="20"/>
    </w:rPr>
  </w:style>
  <w:style w:type="paragraph" w:customStyle="1" w:styleId="11212">
    <w:name w:val="燕山正文11212"/>
    <w:basedOn w:val="a"/>
    <w:qFormat/>
    <w:pPr>
      <w:widowControl/>
      <w:tabs>
        <w:tab w:val="left" w:pos="4680"/>
      </w:tabs>
      <w:spacing w:line="480" w:lineRule="exact"/>
      <w:jc w:val="left"/>
    </w:pPr>
    <w:rPr>
      <w:rFonts w:ascii="宋体" w:hAnsi="宋体" w:cs="宋体"/>
      <w:bCs/>
      <w:color w:val="000000"/>
      <w:kern w:val="0"/>
    </w:rPr>
  </w:style>
  <w:style w:type="paragraph" w:customStyle="1" w:styleId="6f">
    <w:name w:val="附件6"/>
    <w:basedOn w:val="1"/>
    <w:next w:val="affff4"/>
    <w:qFormat/>
    <w:pPr>
      <w:numPr>
        <w:numId w:val="0"/>
      </w:numPr>
      <w:spacing w:before="220"/>
    </w:pPr>
    <w:rPr>
      <w:rFonts w:ascii="黑体" w:eastAsia="黑体"/>
      <w:b w:val="0"/>
      <w:sz w:val="32"/>
      <w:szCs w:val="32"/>
      <w:lang w:val="zh-CN"/>
    </w:rPr>
  </w:style>
  <w:style w:type="paragraph" w:customStyle="1" w:styleId="CharChar2CharCharCharChar7">
    <w:name w:val="Char Char2 Char Char Char Char7"/>
    <w:basedOn w:val="a"/>
    <w:qFormat/>
    <w:pPr>
      <w:widowControl/>
      <w:jc w:val="left"/>
    </w:pPr>
    <w:rPr>
      <w:rFonts w:ascii="宋体" w:hAnsi="宋体" w:cs="宋体"/>
      <w:kern w:val="0"/>
    </w:rPr>
  </w:style>
  <w:style w:type="paragraph" w:customStyle="1" w:styleId="xl2412">
    <w:name w:val="xl2412"/>
    <w:basedOn w:val="a"/>
    <w:qFormat/>
    <w:pPr>
      <w:widowControl/>
      <w:pBdr>
        <w:bottom w:val="single" w:sz="4" w:space="0" w:color="auto"/>
        <w:right w:val="single" w:sz="4" w:space="0" w:color="auto"/>
      </w:pBdr>
      <w:spacing w:before="100" w:beforeAutospacing="1" w:after="100" w:afterAutospacing="1"/>
      <w:jc w:val="center"/>
    </w:pPr>
    <w:rPr>
      <w:rFonts w:ascii="宋体" w:hAnsi="宋体" w:cs="宋体"/>
      <w:kern w:val="0"/>
      <w:szCs w:val="21"/>
    </w:rPr>
  </w:style>
  <w:style w:type="paragraph" w:customStyle="1" w:styleId="CharCharCharCharCharCharChar31">
    <w:name w:val="Char Char Char Char Char Char Char31"/>
    <w:basedOn w:val="a"/>
    <w:qFormat/>
    <w:pPr>
      <w:widowControl/>
      <w:jc w:val="left"/>
    </w:pPr>
    <w:rPr>
      <w:rFonts w:ascii="宋体" w:hAnsi="宋体" w:cs="宋体"/>
      <w:kern w:val="0"/>
    </w:rPr>
  </w:style>
  <w:style w:type="paragraph" w:customStyle="1" w:styleId="539">
    <w:name w:val="表内5中3"/>
    <w:basedOn w:val="a"/>
    <w:qFormat/>
    <w:pPr>
      <w:widowControl/>
      <w:jc w:val="center"/>
    </w:pPr>
    <w:rPr>
      <w:rFonts w:ascii="宋体" w:hAnsi="宋体" w:cs="Arial"/>
      <w:snapToGrid w:val="0"/>
      <w:color w:val="000000"/>
      <w:kern w:val="0"/>
      <w:szCs w:val="21"/>
    </w:rPr>
  </w:style>
  <w:style w:type="paragraph" w:customStyle="1" w:styleId="54110">
    <w:name w:val="表内5中411"/>
    <w:basedOn w:val="a"/>
    <w:qFormat/>
    <w:pPr>
      <w:widowControl/>
      <w:jc w:val="center"/>
    </w:pPr>
    <w:rPr>
      <w:rFonts w:ascii="宋体" w:hAnsi="宋体" w:cs="宋体"/>
      <w:bCs/>
      <w:kern w:val="0"/>
      <w:szCs w:val="20"/>
    </w:rPr>
  </w:style>
  <w:style w:type="paragraph" w:customStyle="1" w:styleId="329">
    <w:name w:val="燕山正文32"/>
    <w:basedOn w:val="a"/>
    <w:qFormat/>
    <w:pPr>
      <w:widowControl/>
      <w:tabs>
        <w:tab w:val="left" w:pos="4680"/>
      </w:tabs>
      <w:spacing w:line="480" w:lineRule="exact"/>
      <w:jc w:val="left"/>
    </w:pPr>
    <w:rPr>
      <w:rFonts w:ascii="宋体" w:hAnsi="宋体" w:cs="宋体"/>
      <w:kern w:val="0"/>
    </w:rPr>
  </w:style>
  <w:style w:type="paragraph" w:customStyle="1" w:styleId="ParaCharCharCharChar111">
    <w:name w:val="默认段落字体 Para Char Char Char Char111"/>
    <w:basedOn w:val="a"/>
    <w:qFormat/>
    <w:pPr>
      <w:widowControl/>
      <w:jc w:val="left"/>
    </w:pPr>
    <w:rPr>
      <w:rFonts w:ascii="宋体" w:hAnsi="宋体" w:cs="宋体"/>
      <w:kern w:val="0"/>
    </w:rPr>
  </w:style>
  <w:style w:type="paragraph" w:customStyle="1" w:styleId="511120">
    <w:name w:val="表内宋51112"/>
    <w:basedOn w:val="1ff2"/>
    <w:qFormat/>
    <w:rPr>
      <w:rFonts w:ascii="宋体" w:hAnsi="宋体" w:cs="宋体"/>
      <w:color w:val="000000"/>
      <w:sz w:val="21"/>
      <w:szCs w:val="24"/>
    </w:rPr>
  </w:style>
  <w:style w:type="paragraph" w:customStyle="1" w:styleId="41122">
    <w:name w:val="标题4112"/>
    <w:basedOn w:val="a"/>
    <w:qFormat/>
    <w:pPr>
      <w:widowControl/>
      <w:spacing w:line="300" w:lineRule="auto"/>
      <w:jc w:val="left"/>
    </w:pPr>
    <w:rPr>
      <w:rFonts w:ascii="黑体" w:eastAsia="黑体" w:hAnsi="宋体" w:cs="宋体"/>
      <w:bCs/>
      <w:kern w:val="0"/>
      <w:szCs w:val="20"/>
    </w:rPr>
  </w:style>
  <w:style w:type="paragraph" w:customStyle="1" w:styleId="54133">
    <w:name w:val="表内54133"/>
    <w:basedOn w:val="a"/>
    <w:pPr>
      <w:widowControl/>
      <w:spacing w:line="300" w:lineRule="auto"/>
      <w:jc w:val="center"/>
    </w:pPr>
    <w:rPr>
      <w:rFonts w:ascii="宋体" w:hAnsi="宋体" w:cs="宋体"/>
      <w:kern w:val="0"/>
      <w:szCs w:val="20"/>
    </w:rPr>
  </w:style>
  <w:style w:type="paragraph" w:customStyle="1" w:styleId="22f">
    <w:name w:val="表中文字22"/>
    <w:basedOn w:val="a"/>
    <w:qFormat/>
    <w:pPr>
      <w:widowControl/>
      <w:spacing w:line="240" w:lineRule="atLeast"/>
      <w:ind w:rightChars="-20" w:right="-42"/>
      <w:jc w:val="center"/>
      <w:textAlignment w:val="baseline"/>
    </w:pPr>
    <w:rPr>
      <w:rFonts w:ascii="宋体" w:hAnsi="宋体" w:cs="宋体"/>
      <w:kern w:val="0"/>
      <w:szCs w:val="21"/>
    </w:rPr>
  </w:style>
  <w:style w:type="paragraph" w:customStyle="1" w:styleId="Char1141">
    <w:name w:val="Char114"/>
    <w:basedOn w:val="a"/>
    <w:qFormat/>
    <w:pPr>
      <w:widowControl/>
      <w:ind w:left="-48"/>
      <w:jc w:val="left"/>
    </w:pPr>
    <w:rPr>
      <w:rFonts w:ascii="宋体" w:hAnsi="宋体" w:cs="宋体"/>
      <w:kern w:val="0"/>
    </w:rPr>
  </w:style>
  <w:style w:type="paragraph" w:customStyle="1" w:styleId="11fc">
    <w:name w:val="福建正文缩进11"/>
    <w:basedOn w:val="1fb"/>
    <w:qFormat/>
    <w:pPr>
      <w:ind w:firstLine="567"/>
    </w:pPr>
    <w:rPr>
      <w:rFonts w:hAnsi="Calibri"/>
    </w:rPr>
  </w:style>
  <w:style w:type="paragraph" w:customStyle="1" w:styleId="4313">
    <w:name w:val="标题4313"/>
    <w:basedOn w:val="a"/>
    <w:qFormat/>
    <w:pPr>
      <w:widowControl/>
      <w:spacing w:line="480" w:lineRule="exact"/>
      <w:jc w:val="center"/>
    </w:pPr>
    <w:rPr>
      <w:rFonts w:ascii="宋体" w:hAnsi="宋体" w:cs="宋体"/>
      <w:kern w:val="0"/>
    </w:rPr>
  </w:style>
  <w:style w:type="paragraph" w:customStyle="1" w:styleId="12110">
    <w:name w:val="样式1211"/>
    <w:basedOn w:val="314"/>
    <w:qFormat/>
    <w:pPr>
      <w:spacing w:line="240" w:lineRule="auto"/>
      <w:ind w:firstLine="0"/>
      <w:jc w:val="center"/>
    </w:pPr>
    <w:rPr>
      <w:rFonts w:cs="Times New Roman"/>
      <w:b/>
      <w:color w:val="auto"/>
      <w:szCs w:val="20"/>
    </w:rPr>
  </w:style>
  <w:style w:type="paragraph" w:customStyle="1" w:styleId="239">
    <w:name w:val="燕山正文23"/>
    <w:basedOn w:val="a"/>
    <w:qFormat/>
    <w:pPr>
      <w:widowControl/>
      <w:tabs>
        <w:tab w:val="left" w:pos="4680"/>
      </w:tabs>
      <w:spacing w:line="480" w:lineRule="exact"/>
      <w:jc w:val="left"/>
    </w:pPr>
    <w:rPr>
      <w:rFonts w:ascii="宋体" w:hAnsi="宋体" w:cs="宋体"/>
      <w:kern w:val="0"/>
    </w:rPr>
  </w:style>
  <w:style w:type="paragraph" w:customStyle="1" w:styleId="ParaCharCharCharChar33">
    <w:name w:val="默认段落字体 Para Char Char Char Char33"/>
    <w:basedOn w:val="a"/>
    <w:qFormat/>
    <w:pPr>
      <w:widowControl/>
      <w:jc w:val="left"/>
    </w:pPr>
    <w:rPr>
      <w:rFonts w:ascii="宋体" w:hAnsi="宋体" w:cs="宋体"/>
      <w:kern w:val="0"/>
    </w:rPr>
  </w:style>
  <w:style w:type="paragraph" w:customStyle="1" w:styleId="312112">
    <w:name w:val="表内文字小31211"/>
    <w:basedOn w:val="a"/>
    <w:pPr>
      <w:widowControl/>
      <w:jc w:val="center"/>
    </w:pPr>
    <w:rPr>
      <w:rFonts w:ascii="宋体" w:hAnsi="Times" w:cs="宋体"/>
      <w:bCs/>
      <w:color w:val="003366"/>
      <w:kern w:val="0"/>
      <w:szCs w:val="20"/>
    </w:rPr>
  </w:style>
  <w:style w:type="paragraph" w:customStyle="1" w:styleId="7c">
    <w:name w:val="正文格式7"/>
    <w:basedOn w:val="a"/>
    <w:qFormat/>
    <w:pPr>
      <w:widowControl/>
      <w:ind w:firstLine="482"/>
      <w:jc w:val="left"/>
    </w:pPr>
    <w:rPr>
      <w:rFonts w:ascii="宋体" w:hAnsi="宋体" w:cs="宋体"/>
      <w:kern w:val="0"/>
    </w:rPr>
  </w:style>
  <w:style w:type="paragraph" w:customStyle="1" w:styleId="1530">
    <w:name w:val="表题153"/>
    <w:basedOn w:val="ab"/>
    <w:qFormat/>
    <w:pPr>
      <w:widowControl/>
      <w:ind w:firstLineChars="0" w:firstLine="0"/>
      <w:jc w:val="center"/>
    </w:pPr>
    <w:rPr>
      <w:rFonts w:ascii="黑体" w:cs="Arial"/>
      <w:b/>
    </w:rPr>
  </w:style>
  <w:style w:type="paragraph" w:customStyle="1" w:styleId="1ffffff9">
    <w:name w:val="图题注1"/>
    <w:basedOn w:val="ab"/>
    <w:qFormat/>
    <w:pPr>
      <w:widowControl/>
      <w:ind w:firstLineChars="0" w:firstLine="0"/>
      <w:jc w:val="center"/>
    </w:pPr>
    <w:rPr>
      <w:rFonts w:ascii="黑体" w:cs="宋体"/>
      <w:b/>
      <w:bCs/>
    </w:rPr>
  </w:style>
  <w:style w:type="paragraph" w:customStyle="1" w:styleId="9110">
    <w:name w:val="正文格式911"/>
    <w:basedOn w:val="a"/>
    <w:qFormat/>
    <w:pPr>
      <w:widowControl/>
      <w:ind w:firstLine="482"/>
      <w:jc w:val="left"/>
    </w:pPr>
    <w:rPr>
      <w:rFonts w:ascii="宋体" w:hAnsi="宋体" w:cs="宋体"/>
      <w:kern w:val="0"/>
    </w:rPr>
  </w:style>
  <w:style w:type="paragraph" w:customStyle="1" w:styleId="339">
    <w:name w:val="正文格式33"/>
    <w:basedOn w:val="a"/>
    <w:qFormat/>
    <w:pPr>
      <w:widowControl/>
      <w:ind w:firstLine="482"/>
      <w:jc w:val="left"/>
    </w:pPr>
    <w:rPr>
      <w:rFonts w:ascii="宋体" w:hAnsi="宋体" w:cs="宋体"/>
      <w:kern w:val="0"/>
    </w:rPr>
  </w:style>
  <w:style w:type="paragraph" w:customStyle="1" w:styleId="1223">
    <w:name w:val="表格内字体122"/>
    <w:basedOn w:val="affff4"/>
    <w:next w:val="affff4"/>
    <w:qFormat/>
    <w:pPr>
      <w:spacing w:line="240" w:lineRule="auto"/>
      <w:ind w:firstLine="0"/>
      <w:jc w:val="center"/>
    </w:pPr>
    <w:rPr>
      <w:rFonts w:hAnsi="宋体"/>
      <w:sz w:val="21"/>
      <w:szCs w:val="24"/>
    </w:rPr>
  </w:style>
  <w:style w:type="paragraph" w:customStyle="1" w:styleId="21114">
    <w:name w:val="图题2111"/>
    <w:basedOn w:val="affff4"/>
    <w:next w:val="affff4"/>
    <w:qFormat/>
    <w:pPr>
      <w:ind w:firstLine="0"/>
      <w:jc w:val="center"/>
    </w:pPr>
    <w:rPr>
      <w:rFonts w:ascii="黑体" w:eastAsia="黑体" w:hAnsi="宋体" w:cs="宋体"/>
      <w:b/>
      <w:bCs/>
      <w:szCs w:val="24"/>
    </w:rPr>
  </w:style>
  <w:style w:type="paragraph" w:customStyle="1" w:styleId="21213">
    <w:name w:val="正文2121"/>
    <w:qFormat/>
    <w:pPr>
      <w:adjustRightInd w:val="0"/>
      <w:snapToGrid w:val="0"/>
      <w:spacing w:line="480" w:lineRule="atLeast"/>
      <w:jc w:val="center"/>
    </w:pPr>
    <w:rPr>
      <w:rFonts w:ascii="宋体"/>
      <w:snapToGrid w:val="0"/>
      <w:spacing w:val="6"/>
      <w:sz w:val="21"/>
    </w:rPr>
  </w:style>
  <w:style w:type="paragraph" w:customStyle="1" w:styleId="931">
    <w:name w:val="正文格式93"/>
    <w:basedOn w:val="a"/>
    <w:qFormat/>
    <w:pPr>
      <w:widowControl/>
      <w:ind w:firstLine="482"/>
      <w:jc w:val="left"/>
    </w:pPr>
    <w:rPr>
      <w:rFonts w:ascii="宋体" w:hAnsi="宋体" w:cs="宋体"/>
      <w:kern w:val="0"/>
    </w:rPr>
  </w:style>
  <w:style w:type="paragraph" w:customStyle="1" w:styleId="1ffffffa">
    <w:name w:val="样式 正文缩进 + 宋体 黑色1"/>
    <w:basedOn w:val="1fb"/>
    <w:qFormat/>
    <w:rPr>
      <w:color w:val="000000"/>
    </w:rPr>
  </w:style>
  <w:style w:type="paragraph" w:customStyle="1" w:styleId="6111">
    <w:name w:val="正文格式611"/>
    <w:basedOn w:val="a"/>
    <w:pPr>
      <w:widowControl/>
      <w:ind w:firstLine="482"/>
      <w:jc w:val="left"/>
    </w:pPr>
    <w:rPr>
      <w:rFonts w:ascii="宋体" w:hAnsi="宋体" w:cs="宋体"/>
      <w:kern w:val="0"/>
    </w:rPr>
  </w:style>
  <w:style w:type="paragraph" w:customStyle="1" w:styleId="721">
    <w:name w:val="正文格式72"/>
    <w:basedOn w:val="a"/>
    <w:qFormat/>
    <w:pPr>
      <w:widowControl/>
      <w:ind w:firstLine="482"/>
      <w:jc w:val="left"/>
    </w:pPr>
    <w:rPr>
      <w:rFonts w:ascii="宋体" w:hAnsi="宋体" w:cs="宋体"/>
      <w:kern w:val="0"/>
    </w:rPr>
  </w:style>
  <w:style w:type="paragraph" w:customStyle="1" w:styleId="1135">
    <w:name w:val="表题113"/>
    <w:basedOn w:val="ab"/>
    <w:qFormat/>
    <w:pPr>
      <w:widowControl/>
      <w:ind w:firstLineChars="0" w:firstLine="0"/>
      <w:jc w:val="center"/>
    </w:pPr>
    <w:rPr>
      <w:rFonts w:ascii="黑体" w:cs="Arial"/>
    </w:rPr>
  </w:style>
  <w:style w:type="paragraph" w:customStyle="1" w:styleId="97">
    <w:name w:val="正文格式9"/>
    <w:basedOn w:val="a"/>
    <w:qFormat/>
    <w:pPr>
      <w:widowControl/>
      <w:ind w:firstLine="482"/>
      <w:jc w:val="left"/>
    </w:pPr>
    <w:rPr>
      <w:rFonts w:ascii="宋体" w:hAnsi="宋体" w:cs="宋体"/>
      <w:kern w:val="0"/>
    </w:rPr>
  </w:style>
  <w:style w:type="paragraph" w:customStyle="1" w:styleId="Char190">
    <w:name w:val="Char19"/>
    <w:basedOn w:val="a"/>
    <w:qFormat/>
    <w:pPr>
      <w:widowControl/>
      <w:ind w:left="-45"/>
      <w:jc w:val="left"/>
    </w:pPr>
    <w:rPr>
      <w:rFonts w:ascii="宋体" w:hAnsi="宋体" w:cs="宋体"/>
      <w:kern w:val="0"/>
    </w:rPr>
  </w:style>
  <w:style w:type="paragraph" w:customStyle="1" w:styleId="12f8">
    <w:name w:val="正文格式12"/>
    <w:basedOn w:val="a"/>
    <w:qFormat/>
    <w:pPr>
      <w:widowControl/>
      <w:ind w:firstLine="482"/>
      <w:jc w:val="left"/>
    </w:pPr>
    <w:rPr>
      <w:rFonts w:ascii="宋体" w:hAnsi="宋体" w:cs="宋体"/>
      <w:kern w:val="0"/>
    </w:rPr>
  </w:style>
  <w:style w:type="paragraph" w:customStyle="1" w:styleId="112b">
    <w:name w:val="表题112"/>
    <w:basedOn w:val="ab"/>
    <w:qFormat/>
    <w:pPr>
      <w:widowControl/>
      <w:ind w:firstLineChars="0" w:firstLine="0"/>
      <w:jc w:val="center"/>
    </w:pPr>
    <w:rPr>
      <w:rFonts w:ascii="黑体" w:cs="Arial"/>
    </w:rPr>
  </w:style>
  <w:style w:type="paragraph" w:customStyle="1" w:styleId="42a">
    <w:name w:val="图题42"/>
    <w:basedOn w:val="affff4"/>
    <w:next w:val="affff4"/>
    <w:qFormat/>
    <w:pPr>
      <w:ind w:firstLine="0"/>
      <w:jc w:val="center"/>
    </w:pPr>
    <w:rPr>
      <w:rFonts w:ascii="黑体" w:eastAsia="黑体" w:hAnsi="宋体" w:cs="宋体"/>
      <w:b/>
      <w:bCs/>
      <w:szCs w:val="24"/>
    </w:rPr>
  </w:style>
  <w:style w:type="paragraph" w:customStyle="1" w:styleId="104">
    <w:name w:val="图题10"/>
    <w:basedOn w:val="affff4"/>
    <w:next w:val="affff4"/>
    <w:qFormat/>
    <w:pPr>
      <w:ind w:firstLine="0"/>
      <w:jc w:val="center"/>
    </w:pPr>
    <w:rPr>
      <w:rFonts w:ascii="黑体" w:eastAsia="黑体" w:hAnsi="宋体" w:cs="宋体"/>
      <w:b/>
      <w:bCs/>
      <w:szCs w:val="24"/>
    </w:rPr>
  </w:style>
  <w:style w:type="paragraph" w:customStyle="1" w:styleId="711">
    <w:name w:val="表格内字体711"/>
    <w:basedOn w:val="affff4"/>
    <w:next w:val="affff4"/>
    <w:qFormat/>
    <w:pPr>
      <w:spacing w:line="240" w:lineRule="auto"/>
      <w:ind w:firstLine="0"/>
      <w:jc w:val="center"/>
    </w:pPr>
    <w:rPr>
      <w:rFonts w:hAnsi="宋体"/>
      <w:sz w:val="21"/>
      <w:szCs w:val="24"/>
    </w:rPr>
  </w:style>
  <w:style w:type="paragraph" w:customStyle="1" w:styleId="13110">
    <w:name w:val="表题1311"/>
    <w:basedOn w:val="ab"/>
    <w:qFormat/>
    <w:pPr>
      <w:widowControl/>
      <w:ind w:firstLineChars="0" w:firstLine="0"/>
      <w:jc w:val="center"/>
    </w:pPr>
    <w:rPr>
      <w:rFonts w:ascii="黑体" w:cs="Arial"/>
      <w:b/>
    </w:rPr>
  </w:style>
  <w:style w:type="paragraph" w:customStyle="1" w:styleId="1215">
    <w:name w:val="表题121"/>
    <w:basedOn w:val="ab"/>
    <w:qFormat/>
    <w:pPr>
      <w:widowControl/>
      <w:ind w:firstLineChars="0" w:firstLine="0"/>
      <w:jc w:val="center"/>
    </w:pPr>
    <w:rPr>
      <w:rFonts w:ascii="黑体" w:cs="Arial"/>
    </w:rPr>
  </w:style>
  <w:style w:type="paragraph" w:customStyle="1" w:styleId="13f1">
    <w:name w:val="正文格式13"/>
    <w:basedOn w:val="a"/>
    <w:qFormat/>
    <w:pPr>
      <w:widowControl/>
      <w:ind w:firstLine="482"/>
      <w:jc w:val="left"/>
    </w:pPr>
    <w:rPr>
      <w:rFonts w:ascii="宋体" w:hAnsi="宋体" w:cs="宋体"/>
      <w:kern w:val="0"/>
    </w:rPr>
  </w:style>
  <w:style w:type="paragraph" w:customStyle="1" w:styleId="712">
    <w:name w:val="表格内字体71"/>
    <w:basedOn w:val="affff4"/>
    <w:next w:val="affff4"/>
    <w:qFormat/>
    <w:pPr>
      <w:spacing w:line="240" w:lineRule="auto"/>
      <w:ind w:firstLine="0"/>
      <w:jc w:val="center"/>
    </w:pPr>
    <w:rPr>
      <w:rFonts w:hAnsi="宋体"/>
      <w:sz w:val="21"/>
      <w:szCs w:val="24"/>
    </w:rPr>
  </w:style>
  <w:style w:type="paragraph" w:customStyle="1" w:styleId="553">
    <w:name w:val="表文字55"/>
    <w:basedOn w:val="a"/>
    <w:qFormat/>
    <w:pPr>
      <w:widowControl/>
      <w:jc w:val="left"/>
      <w:textAlignment w:val="baseline"/>
    </w:pPr>
    <w:rPr>
      <w:rFonts w:ascii="宋体" w:hAnsi="宋体" w:cs="宋体"/>
      <w:kern w:val="0"/>
      <w:szCs w:val="20"/>
    </w:rPr>
  </w:style>
  <w:style w:type="paragraph" w:customStyle="1" w:styleId="812">
    <w:name w:val="表格内字体81"/>
    <w:basedOn w:val="affff4"/>
    <w:next w:val="affff4"/>
    <w:qFormat/>
    <w:pPr>
      <w:spacing w:line="240" w:lineRule="auto"/>
      <w:ind w:firstLine="0"/>
      <w:jc w:val="center"/>
    </w:pPr>
    <w:rPr>
      <w:rFonts w:hAnsi="宋体"/>
      <w:sz w:val="21"/>
      <w:szCs w:val="24"/>
    </w:rPr>
  </w:style>
  <w:style w:type="paragraph" w:customStyle="1" w:styleId="ParaChar12">
    <w:name w:val="默认段落字体 Para Char12"/>
    <w:basedOn w:val="a"/>
    <w:next w:val="a"/>
    <w:qFormat/>
    <w:pPr>
      <w:widowControl/>
      <w:spacing w:line="480" w:lineRule="exact"/>
      <w:jc w:val="left"/>
    </w:pPr>
    <w:rPr>
      <w:rFonts w:ascii="宋体" w:eastAsia="汉鼎简书宋" w:hAnsi="宋体" w:cs="宋体"/>
      <w:kern w:val="0"/>
    </w:rPr>
  </w:style>
  <w:style w:type="paragraph" w:customStyle="1" w:styleId="2fffff4">
    <w:name w:val="样式 正文缩进 + 宋体 黑色2"/>
    <w:basedOn w:val="1fb"/>
    <w:qFormat/>
    <w:rPr>
      <w:color w:val="000000"/>
    </w:rPr>
  </w:style>
  <w:style w:type="paragraph" w:customStyle="1" w:styleId="12120">
    <w:name w:val="表题1212"/>
    <w:basedOn w:val="ab"/>
    <w:qFormat/>
    <w:pPr>
      <w:widowControl/>
      <w:ind w:firstLineChars="0" w:firstLine="0"/>
      <w:jc w:val="center"/>
    </w:pPr>
    <w:rPr>
      <w:rFonts w:ascii="黑体" w:cs="Arial"/>
    </w:rPr>
  </w:style>
  <w:style w:type="paragraph" w:customStyle="1" w:styleId="632">
    <w:name w:val="图题63"/>
    <w:basedOn w:val="affff4"/>
    <w:next w:val="affff4"/>
    <w:qFormat/>
    <w:pPr>
      <w:ind w:firstLine="0"/>
      <w:jc w:val="center"/>
    </w:pPr>
    <w:rPr>
      <w:rFonts w:ascii="黑体" w:eastAsia="黑体" w:hAnsi="宋体" w:cs="宋体"/>
      <w:b/>
      <w:bCs/>
      <w:szCs w:val="24"/>
    </w:rPr>
  </w:style>
  <w:style w:type="paragraph" w:customStyle="1" w:styleId="88">
    <w:name w:val="图题8"/>
    <w:basedOn w:val="affff4"/>
    <w:next w:val="affff4"/>
    <w:qFormat/>
    <w:pPr>
      <w:ind w:firstLine="0"/>
      <w:jc w:val="center"/>
    </w:pPr>
    <w:rPr>
      <w:rFonts w:ascii="黑体" w:eastAsia="黑体" w:hAnsi="宋体" w:cs="宋体"/>
      <w:b/>
      <w:bCs/>
      <w:szCs w:val="24"/>
    </w:rPr>
  </w:style>
  <w:style w:type="paragraph" w:customStyle="1" w:styleId="180">
    <w:name w:val="表题18"/>
    <w:basedOn w:val="ab"/>
    <w:pPr>
      <w:widowControl/>
      <w:ind w:firstLineChars="0" w:firstLine="0"/>
      <w:jc w:val="center"/>
    </w:pPr>
    <w:rPr>
      <w:rFonts w:ascii="黑体" w:cs="Arial"/>
      <w:b/>
    </w:rPr>
  </w:style>
  <w:style w:type="paragraph" w:customStyle="1" w:styleId="ParaChar22">
    <w:name w:val="默认段落字体 Para Char22"/>
    <w:basedOn w:val="a"/>
    <w:next w:val="a"/>
    <w:qFormat/>
    <w:pPr>
      <w:widowControl/>
      <w:spacing w:line="480" w:lineRule="exact"/>
      <w:jc w:val="left"/>
    </w:pPr>
    <w:rPr>
      <w:rFonts w:ascii="宋体" w:eastAsia="汉鼎简书宋" w:hAnsi="宋体" w:cs="宋体"/>
      <w:kern w:val="0"/>
    </w:rPr>
  </w:style>
  <w:style w:type="paragraph" w:customStyle="1" w:styleId="ParaChar14">
    <w:name w:val="默认段落字体 Para Char14"/>
    <w:basedOn w:val="a"/>
    <w:next w:val="a"/>
    <w:qFormat/>
    <w:pPr>
      <w:widowControl/>
      <w:spacing w:line="480" w:lineRule="exact"/>
      <w:jc w:val="left"/>
    </w:pPr>
    <w:rPr>
      <w:rFonts w:ascii="宋体" w:eastAsia="汉鼎简书宋" w:hAnsi="宋体" w:cs="宋体"/>
      <w:kern w:val="0"/>
    </w:rPr>
  </w:style>
  <w:style w:type="paragraph" w:customStyle="1" w:styleId="244">
    <w:name w:val="正文格式24"/>
    <w:basedOn w:val="a"/>
    <w:qFormat/>
    <w:pPr>
      <w:widowControl/>
      <w:ind w:firstLine="482"/>
      <w:jc w:val="left"/>
    </w:pPr>
    <w:rPr>
      <w:rFonts w:ascii="宋体" w:hAnsi="宋体" w:cs="宋体"/>
      <w:kern w:val="0"/>
    </w:rPr>
  </w:style>
  <w:style w:type="paragraph" w:customStyle="1" w:styleId="51f0">
    <w:name w:val="正文格式51"/>
    <w:basedOn w:val="a"/>
    <w:qFormat/>
    <w:pPr>
      <w:widowControl/>
      <w:ind w:firstLine="482"/>
      <w:jc w:val="left"/>
    </w:pPr>
    <w:rPr>
      <w:rFonts w:ascii="宋体" w:hAnsi="宋体" w:cs="宋体"/>
      <w:kern w:val="0"/>
    </w:rPr>
  </w:style>
  <w:style w:type="paragraph" w:customStyle="1" w:styleId="2fffff5">
    <w:name w:val="图表题2"/>
    <w:basedOn w:val="affff4"/>
    <w:next w:val="affff4"/>
    <w:qFormat/>
    <w:pPr>
      <w:ind w:firstLine="0"/>
      <w:jc w:val="center"/>
    </w:pPr>
    <w:rPr>
      <w:rFonts w:ascii="黑体" w:eastAsia="黑体" w:hAnsi="宋体" w:cs="宋体"/>
      <w:b/>
      <w:bCs/>
      <w:szCs w:val="24"/>
    </w:rPr>
  </w:style>
  <w:style w:type="paragraph" w:customStyle="1" w:styleId="ParaChar5">
    <w:name w:val="默认段落字体 Para Char5"/>
    <w:basedOn w:val="a"/>
    <w:next w:val="a"/>
    <w:qFormat/>
    <w:pPr>
      <w:widowControl/>
      <w:spacing w:line="480" w:lineRule="exact"/>
      <w:jc w:val="left"/>
    </w:pPr>
    <w:rPr>
      <w:rFonts w:ascii="宋体" w:eastAsia="汉鼎简书宋" w:hAnsi="宋体" w:cs="宋体"/>
      <w:kern w:val="0"/>
    </w:rPr>
  </w:style>
  <w:style w:type="paragraph" w:customStyle="1" w:styleId="111f0">
    <w:name w:val="表格111"/>
    <w:basedOn w:val="a"/>
    <w:qFormat/>
    <w:pPr>
      <w:widowControl/>
      <w:jc w:val="center"/>
      <w:textAlignment w:val="baseline"/>
    </w:pPr>
    <w:rPr>
      <w:rFonts w:ascii="宋体" w:hAnsi="宋体" w:cs="宋体"/>
      <w:kern w:val="0"/>
      <w:szCs w:val="20"/>
    </w:rPr>
  </w:style>
  <w:style w:type="paragraph" w:customStyle="1" w:styleId="2134">
    <w:name w:val="表格内字体213"/>
    <w:basedOn w:val="affff4"/>
    <w:next w:val="affff4"/>
    <w:qFormat/>
    <w:pPr>
      <w:spacing w:line="240" w:lineRule="auto"/>
      <w:ind w:firstLine="0"/>
      <w:jc w:val="center"/>
    </w:pPr>
    <w:rPr>
      <w:rFonts w:hAnsi="宋体"/>
      <w:sz w:val="21"/>
      <w:szCs w:val="24"/>
    </w:rPr>
  </w:style>
  <w:style w:type="paragraph" w:customStyle="1" w:styleId="5331">
    <w:name w:val="表文字533"/>
    <w:basedOn w:val="a"/>
    <w:qFormat/>
    <w:pPr>
      <w:widowControl/>
      <w:jc w:val="left"/>
      <w:textAlignment w:val="baseline"/>
    </w:pPr>
    <w:rPr>
      <w:rFonts w:ascii="宋体" w:hAnsi="宋体" w:cs="宋体"/>
      <w:kern w:val="0"/>
      <w:szCs w:val="20"/>
    </w:rPr>
  </w:style>
  <w:style w:type="paragraph" w:customStyle="1" w:styleId="11115">
    <w:name w:val="图题1111"/>
    <w:basedOn w:val="affff4"/>
    <w:next w:val="affff4"/>
    <w:qFormat/>
    <w:pPr>
      <w:ind w:firstLine="0"/>
      <w:jc w:val="center"/>
    </w:pPr>
    <w:rPr>
      <w:rFonts w:ascii="黑体" w:eastAsia="黑体" w:hAnsi="宋体" w:cs="宋体"/>
      <w:b/>
      <w:bCs/>
      <w:szCs w:val="24"/>
    </w:rPr>
  </w:style>
  <w:style w:type="paragraph" w:customStyle="1" w:styleId="11fd">
    <w:name w:val="图表题11"/>
    <w:basedOn w:val="affff4"/>
    <w:next w:val="affff4"/>
    <w:qFormat/>
    <w:pPr>
      <w:ind w:firstLine="0"/>
      <w:jc w:val="center"/>
    </w:pPr>
    <w:rPr>
      <w:rFonts w:ascii="黑体" w:eastAsia="黑体" w:hAnsi="宋体" w:cs="宋体"/>
      <w:b/>
      <w:bCs/>
      <w:szCs w:val="24"/>
    </w:rPr>
  </w:style>
  <w:style w:type="paragraph" w:customStyle="1" w:styleId="5127">
    <w:name w:val="表文字512"/>
    <w:basedOn w:val="a"/>
    <w:qFormat/>
    <w:pPr>
      <w:widowControl/>
      <w:jc w:val="left"/>
      <w:textAlignment w:val="baseline"/>
    </w:pPr>
    <w:rPr>
      <w:rFonts w:ascii="宋体" w:hAnsi="宋体" w:cs="宋体"/>
      <w:kern w:val="0"/>
      <w:szCs w:val="20"/>
    </w:rPr>
  </w:style>
  <w:style w:type="paragraph" w:customStyle="1" w:styleId="1331">
    <w:name w:val="表题133"/>
    <w:basedOn w:val="ab"/>
    <w:qFormat/>
    <w:pPr>
      <w:widowControl/>
      <w:ind w:firstLineChars="0" w:firstLine="0"/>
      <w:jc w:val="center"/>
    </w:pPr>
    <w:rPr>
      <w:rFonts w:ascii="黑体" w:cs="Arial"/>
      <w:b/>
    </w:rPr>
  </w:style>
  <w:style w:type="paragraph" w:customStyle="1" w:styleId="2135">
    <w:name w:val="正文213"/>
    <w:qFormat/>
    <w:pPr>
      <w:adjustRightInd w:val="0"/>
      <w:snapToGrid w:val="0"/>
      <w:spacing w:line="480" w:lineRule="atLeast"/>
      <w:jc w:val="center"/>
    </w:pPr>
    <w:rPr>
      <w:rFonts w:ascii="宋体"/>
      <w:snapToGrid w:val="0"/>
      <w:spacing w:val="6"/>
      <w:sz w:val="21"/>
    </w:rPr>
  </w:style>
  <w:style w:type="paragraph" w:customStyle="1" w:styleId="51f1">
    <w:name w:val="图题51"/>
    <w:basedOn w:val="affff4"/>
    <w:next w:val="affff4"/>
    <w:qFormat/>
    <w:pPr>
      <w:ind w:firstLine="0"/>
      <w:jc w:val="center"/>
    </w:pPr>
    <w:rPr>
      <w:rFonts w:ascii="黑体" w:eastAsia="黑体" w:hAnsi="宋体" w:cs="宋体"/>
      <w:b/>
      <w:bCs/>
      <w:szCs w:val="24"/>
    </w:rPr>
  </w:style>
  <w:style w:type="paragraph" w:customStyle="1" w:styleId="733">
    <w:name w:val="图题73"/>
    <w:basedOn w:val="affff4"/>
    <w:next w:val="affff4"/>
    <w:qFormat/>
    <w:pPr>
      <w:ind w:firstLine="0"/>
      <w:jc w:val="center"/>
    </w:pPr>
    <w:rPr>
      <w:rFonts w:ascii="黑体" w:eastAsia="黑体" w:hAnsi="宋体" w:cs="宋体"/>
      <w:b/>
      <w:bCs/>
      <w:szCs w:val="24"/>
    </w:rPr>
  </w:style>
  <w:style w:type="paragraph" w:customStyle="1" w:styleId="105">
    <w:name w:val="表格内字体10"/>
    <w:basedOn w:val="affff4"/>
    <w:next w:val="affff4"/>
    <w:qFormat/>
    <w:pPr>
      <w:spacing w:line="240" w:lineRule="auto"/>
      <w:ind w:firstLine="0"/>
      <w:jc w:val="center"/>
    </w:pPr>
    <w:rPr>
      <w:rFonts w:hAnsi="宋体"/>
      <w:sz w:val="21"/>
      <w:szCs w:val="21"/>
    </w:rPr>
  </w:style>
  <w:style w:type="paragraph" w:customStyle="1" w:styleId="442">
    <w:name w:val="样式44"/>
    <w:basedOn w:val="a0"/>
    <w:qFormat/>
    <w:pPr>
      <w:widowControl/>
      <w:spacing w:after="120" w:line="240" w:lineRule="auto"/>
      <w:jc w:val="left"/>
    </w:pPr>
    <w:rPr>
      <w:sz w:val="21"/>
      <w:szCs w:val="24"/>
    </w:rPr>
  </w:style>
  <w:style w:type="paragraph" w:customStyle="1" w:styleId="511c">
    <w:name w:val="图题511"/>
    <w:basedOn w:val="affff4"/>
    <w:next w:val="affff4"/>
    <w:qFormat/>
    <w:pPr>
      <w:ind w:firstLine="0"/>
      <w:jc w:val="center"/>
    </w:pPr>
    <w:rPr>
      <w:rFonts w:ascii="黑体" w:eastAsia="黑体" w:hAnsi="宋体" w:cs="宋体"/>
      <w:b/>
      <w:bCs/>
      <w:szCs w:val="24"/>
    </w:rPr>
  </w:style>
  <w:style w:type="paragraph" w:customStyle="1" w:styleId="1ffffffb">
    <w:name w:val="图表题1"/>
    <w:basedOn w:val="affff4"/>
    <w:next w:val="affff4"/>
    <w:qFormat/>
    <w:pPr>
      <w:ind w:firstLine="0"/>
      <w:jc w:val="center"/>
    </w:pPr>
    <w:rPr>
      <w:rFonts w:ascii="黑体" w:eastAsia="黑体" w:hAnsi="宋体" w:cs="宋体"/>
      <w:b/>
      <w:bCs/>
      <w:szCs w:val="24"/>
    </w:rPr>
  </w:style>
  <w:style w:type="paragraph" w:customStyle="1" w:styleId="23a">
    <w:name w:val="样式 正文缩进 + 宋体 黑色 首行缩进:  2 字符3"/>
    <w:basedOn w:val="1fb"/>
    <w:qFormat/>
    <w:pPr>
      <w:ind w:firstLine="480"/>
    </w:pPr>
    <w:rPr>
      <w:rFonts w:cs="宋体"/>
      <w:color w:val="FF00FF"/>
    </w:rPr>
  </w:style>
  <w:style w:type="paragraph" w:customStyle="1" w:styleId="511d">
    <w:name w:val="正文格式511"/>
    <w:basedOn w:val="a"/>
    <w:qFormat/>
    <w:pPr>
      <w:widowControl/>
      <w:ind w:firstLine="482"/>
      <w:jc w:val="left"/>
    </w:pPr>
    <w:rPr>
      <w:rFonts w:ascii="宋体" w:hAnsi="宋体" w:cs="宋体"/>
      <w:kern w:val="0"/>
    </w:rPr>
  </w:style>
  <w:style w:type="paragraph" w:customStyle="1" w:styleId="51220">
    <w:name w:val="表文字5122"/>
    <w:basedOn w:val="a"/>
    <w:qFormat/>
    <w:pPr>
      <w:widowControl/>
      <w:jc w:val="left"/>
      <w:textAlignment w:val="baseline"/>
    </w:pPr>
    <w:rPr>
      <w:rFonts w:ascii="宋体" w:hAnsi="宋体" w:cs="宋体"/>
      <w:kern w:val="0"/>
      <w:szCs w:val="20"/>
    </w:rPr>
  </w:style>
  <w:style w:type="paragraph" w:customStyle="1" w:styleId="52130">
    <w:name w:val="表文字5213"/>
    <w:basedOn w:val="a"/>
    <w:qFormat/>
    <w:pPr>
      <w:widowControl/>
      <w:jc w:val="left"/>
      <w:textAlignment w:val="baseline"/>
    </w:pPr>
    <w:rPr>
      <w:rFonts w:ascii="宋体" w:hAnsi="宋体" w:cs="宋体"/>
      <w:kern w:val="0"/>
      <w:szCs w:val="20"/>
    </w:rPr>
  </w:style>
  <w:style w:type="paragraph" w:customStyle="1" w:styleId="7110">
    <w:name w:val="正文格式711"/>
    <w:basedOn w:val="a"/>
    <w:qFormat/>
    <w:pPr>
      <w:widowControl/>
      <w:ind w:firstLine="482"/>
      <w:jc w:val="left"/>
    </w:pPr>
    <w:rPr>
      <w:rFonts w:ascii="宋体" w:hAnsi="宋体" w:cs="宋体"/>
      <w:kern w:val="0"/>
    </w:rPr>
  </w:style>
  <w:style w:type="paragraph" w:customStyle="1" w:styleId="823">
    <w:name w:val="表格内字体82"/>
    <w:basedOn w:val="affff4"/>
    <w:next w:val="affff4"/>
    <w:qFormat/>
    <w:pPr>
      <w:spacing w:line="240" w:lineRule="auto"/>
      <w:ind w:firstLine="0"/>
      <w:jc w:val="center"/>
    </w:pPr>
    <w:rPr>
      <w:rFonts w:hAnsi="宋体"/>
      <w:sz w:val="21"/>
      <w:szCs w:val="24"/>
    </w:rPr>
  </w:style>
  <w:style w:type="paragraph" w:customStyle="1" w:styleId="439">
    <w:name w:val="正文格式43"/>
    <w:basedOn w:val="a"/>
    <w:qFormat/>
    <w:pPr>
      <w:widowControl/>
      <w:ind w:firstLine="482"/>
      <w:jc w:val="left"/>
    </w:pPr>
    <w:rPr>
      <w:rFonts w:ascii="宋体" w:hAnsi="宋体" w:cs="宋体"/>
      <w:kern w:val="0"/>
    </w:rPr>
  </w:style>
  <w:style w:type="paragraph" w:customStyle="1" w:styleId="3118">
    <w:name w:val="附件311"/>
    <w:basedOn w:val="1"/>
    <w:next w:val="affff4"/>
    <w:qFormat/>
    <w:pPr>
      <w:numPr>
        <w:numId w:val="0"/>
      </w:numPr>
      <w:spacing w:after="120"/>
      <w:jc w:val="left"/>
    </w:pPr>
    <w:rPr>
      <w:rFonts w:ascii="黑体" w:eastAsia="黑体"/>
      <w:b w:val="0"/>
      <w:sz w:val="32"/>
      <w:szCs w:val="32"/>
      <w:lang w:val="zh-CN"/>
    </w:rPr>
  </w:style>
  <w:style w:type="paragraph" w:customStyle="1" w:styleId="11fe">
    <w:name w:val="样式 正文缩进 + 宋体 黑色11"/>
    <w:basedOn w:val="1fb"/>
    <w:qFormat/>
    <w:rPr>
      <w:color w:val="000000"/>
    </w:rPr>
  </w:style>
  <w:style w:type="paragraph" w:customStyle="1" w:styleId="3fff4">
    <w:name w:val="样式 表格内字体 +3"/>
    <w:basedOn w:val="affffff1"/>
    <w:qFormat/>
    <w:pPr>
      <w:spacing w:line="280" w:lineRule="exact"/>
      <w:ind w:firstLine="36"/>
      <w:jc w:val="both"/>
    </w:pPr>
    <w:rPr>
      <w:rFonts w:hAnsi="宋体"/>
      <w:sz w:val="21"/>
      <w:szCs w:val="24"/>
    </w:rPr>
  </w:style>
  <w:style w:type="paragraph" w:customStyle="1" w:styleId="1136">
    <w:name w:val="表格内字体113"/>
    <w:basedOn w:val="affff4"/>
    <w:qFormat/>
    <w:pPr>
      <w:spacing w:line="240" w:lineRule="auto"/>
      <w:ind w:firstLine="0"/>
      <w:jc w:val="center"/>
    </w:pPr>
    <w:rPr>
      <w:rFonts w:hAnsi="Times New Roman" w:cs="宋体"/>
      <w:sz w:val="21"/>
      <w:szCs w:val="20"/>
    </w:rPr>
  </w:style>
  <w:style w:type="paragraph" w:customStyle="1" w:styleId="11ff">
    <w:name w:val="图题11"/>
    <w:basedOn w:val="affff4"/>
    <w:next w:val="affff4"/>
    <w:qFormat/>
    <w:pPr>
      <w:ind w:firstLine="0"/>
      <w:jc w:val="center"/>
    </w:pPr>
    <w:rPr>
      <w:rFonts w:ascii="黑体" w:eastAsia="黑体" w:hAnsi="宋体" w:cs="宋体"/>
      <w:b/>
      <w:bCs/>
      <w:szCs w:val="24"/>
    </w:rPr>
  </w:style>
  <w:style w:type="paragraph" w:customStyle="1" w:styleId="2221">
    <w:name w:val="表格内字体222"/>
    <w:basedOn w:val="affff4"/>
    <w:next w:val="affff4"/>
    <w:qFormat/>
    <w:pPr>
      <w:spacing w:line="240" w:lineRule="auto"/>
      <w:ind w:firstLine="0"/>
      <w:jc w:val="center"/>
    </w:pPr>
    <w:rPr>
      <w:rFonts w:hAnsi="宋体"/>
      <w:sz w:val="21"/>
      <w:szCs w:val="24"/>
    </w:rPr>
  </w:style>
  <w:style w:type="paragraph" w:customStyle="1" w:styleId="3119">
    <w:name w:val="图题311"/>
    <w:basedOn w:val="affff4"/>
    <w:next w:val="affff4"/>
    <w:pPr>
      <w:ind w:firstLine="0"/>
      <w:jc w:val="center"/>
    </w:pPr>
    <w:rPr>
      <w:rFonts w:ascii="黑体" w:eastAsia="黑体" w:hAnsi="宋体" w:cs="宋体"/>
      <w:b/>
      <w:bCs/>
      <w:szCs w:val="24"/>
    </w:rPr>
  </w:style>
  <w:style w:type="paragraph" w:customStyle="1" w:styleId="2136">
    <w:name w:val="正文格式213"/>
    <w:basedOn w:val="a"/>
    <w:qFormat/>
    <w:pPr>
      <w:widowControl/>
      <w:ind w:firstLine="482"/>
      <w:jc w:val="left"/>
    </w:pPr>
    <w:rPr>
      <w:rFonts w:ascii="宋体" w:hAnsi="宋体" w:cs="宋体"/>
      <w:kern w:val="0"/>
    </w:rPr>
  </w:style>
  <w:style w:type="paragraph" w:customStyle="1" w:styleId="11213">
    <w:name w:val="表题1121"/>
    <w:basedOn w:val="ab"/>
    <w:qFormat/>
    <w:pPr>
      <w:widowControl/>
      <w:ind w:firstLineChars="0" w:firstLine="0"/>
      <w:jc w:val="center"/>
    </w:pPr>
    <w:rPr>
      <w:rFonts w:ascii="黑体" w:cs="Arial"/>
    </w:rPr>
  </w:style>
  <w:style w:type="paragraph" w:customStyle="1" w:styleId="831">
    <w:name w:val="正文格式83"/>
    <w:basedOn w:val="a"/>
    <w:pPr>
      <w:widowControl/>
      <w:ind w:firstLine="482"/>
      <w:jc w:val="left"/>
    </w:pPr>
    <w:rPr>
      <w:rFonts w:ascii="宋体" w:hAnsi="宋体" w:cs="宋体"/>
      <w:kern w:val="0"/>
    </w:rPr>
  </w:style>
  <w:style w:type="paragraph" w:customStyle="1" w:styleId="112c">
    <w:name w:val="表格内字体112"/>
    <w:basedOn w:val="affff4"/>
    <w:qFormat/>
    <w:pPr>
      <w:spacing w:line="240" w:lineRule="auto"/>
      <w:ind w:firstLine="0"/>
      <w:jc w:val="center"/>
    </w:pPr>
    <w:rPr>
      <w:rFonts w:hAnsi="Times New Roman" w:cs="宋体"/>
      <w:sz w:val="21"/>
      <w:szCs w:val="20"/>
    </w:rPr>
  </w:style>
  <w:style w:type="paragraph" w:customStyle="1" w:styleId="841">
    <w:name w:val="正文格式84"/>
    <w:basedOn w:val="a"/>
    <w:qFormat/>
    <w:pPr>
      <w:widowControl/>
      <w:ind w:firstLine="482"/>
      <w:jc w:val="left"/>
    </w:pPr>
    <w:rPr>
      <w:rFonts w:ascii="宋体" w:hAnsi="宋体" w:cs="宋体"/>
      <w:kern w:val="0"/>
    </w:rPr>
  </w:style>
  <w:style w:type="paragraph" w:customStyle="1" w:styleId="2fffff6">
    <w:name w:val="注释2"/>
    <w:basedOn w:val="affff4"/>
    <w:next w:val="a0"/>
    <w:qFormat/>
    <w:pPr>
      <w:spacing w:before="120" w:after="120" w:line="240" w:lineRule="auto"/>
      <w:ind w:firstLine="200"/>
    </w:pPr>
    <w:rPr>
      <w:rFonts w:hAnsi="Times New Roman" w:cs="宋体"/>
      <w:sz w:val="21"/>
      <w:szCs w:val="20"/>
    </w:rPr>
  </w:style>
  <w:style w:type="paragraph" w:customStyle="1" w:styleId="1520">
    <w:name w:val="表题152"/>
    <w:basedOn w:val="ab"/>
    <w:qFormat/>
    <w:pPr>
      <w:widowControl/>
      <w:ind w:firstLineChars="0" w:firstLine="0"/>
      <w:jc w:val="center"/>
    </w:pPr>
    <w:rPr>
      <w:rFonts w:ascii="黑体" w:cs="Arial"/>
      <w:b/>
    </w:rPr>
  </w:style>
  <w:style w:type="paragraph" w:customStyle="1" w:styleId="622">
    <w:name w:val="表格内字体62"/>
    <w:basedOn w:val="affff4"/>
    <w:next w:val="affff4"/>
    <w:qFormat/>
    <w:pPr>
      <w:spacing w:line="240" w:lineRule="auto"/>
      <w:ind w:firstLine="0"/>
      <w:jc w:val="center"/>
    </w:pPr>
    <w:rPr>
      <w:rFonts w:hAnsi="宋体"/>
      <w:sz w:val="21"/>
      <w:szCs w:val="24"/>
    </w:rPr>
  </w:style>
  <w:style w:type="paragraph" w:customStyle="1" w:styleId="51115">
    <w:name w:val="表文字5111"/>
    <w:basedOn w:val="a"/>
    <w:qFormat/>
    <w:pPr>
      <w:widowControl/>
      <w:jc w:val="left"/>
      <w:textAlignment w:val="baseline"/>
    </w:pPr>
    <w:rPr>
      <w:rFonts w:ascii="宋体" w:hAnsi="宋体" w:cs="宋体"/>
      <w:kern w:val="0"/>
      <w:szCs w:val="20"/>
    </w:rPr>
  </w:style>
  <w:style w:type="paragraph" w:customStyle="1" w:styleId="52110">
    <w:name w:val="表文字5211"/>
    <w:basedOn w:val="a"/>
    <w:qFormat/>
    <w:pPr>
      <w:widowControl/>
      <w:jc w:val="left"/>
      <w:textAlignment w:val="baseline"/>
    </w:pPr>
    <w:rPr>
      <w:rFonts w:ascii="宋体" w:hAnsi="宋体" w:cs="宋体"/>
      <w:kern w:val="0"/>
      <w:szCs w:val="20"/>
    </w:rPr>
  </w:style>
  <w:style w:type="paragraph" w:customStyle="1" w:styleId="623">
    <w:name w:val="正文格式62"/>
    <w:basedOn w:val="a"/>
    <w:qFormat/>
    <w:pPr>
      <w:widowControl/>
      <w:ind w:firstLine="482"/>
      <w:jc w:val="left"/>
    </w:pPr>
    <w:rPr>
      <w:rFonts w:ascii="宋体" w:hAnsi="宋体" w:cs="宋体"/>
      <w:kern w:val="0"/>
    </w:rPr>
  </w:style>
  <w:style w:type="paragraph" w:customStyle="1" w:styleId="4fe">
    <w:name w:val="图表题4"/>
    <w:basedOn w:val="affff4"/>
    <w:next w:val="affff4"/>
    <w:qFormat/>
    <w:pPr>
      <w:ind w:firstLine="0"/>
      <w:jc w:val="center"/>
    </w:pPr>
    <w:rPr>
      <w:rFonts w:ascii="黑体" w:eastAsia="黑体" w:hAnsi="宋体" w:cs="宋体"/>
      <w:b/>
      <w:bCs/>
      <w:szCs w:val="24"/>
    </w:rPr>
  </w:style>
  <w:style w:type="paragraph" w:customStyle="1" w:styleId="2213">
    <w:name w:val="表格内字体221"/>
    <w:basedOn w:val="affff4"/>
    <w:next w:val="affff4"/>
    <w:qFormat/>
    <w:pPr>
      <w:spacing w:line="240" w:lineRule="auto"/>
      <w:ind w:firstLine="0"/>
      <w:jc w:val="center"/>
    </w:pPr>
    <w:rPr>
      <w:rFonts w:hAnsi="宋体"/>
      <w:sz w:val="21"/>
      <w:szCs w:val="24"/>
    </w:rPr>
  </w:style>
  <w:style w:type="paragraph" w:customStyle="1" w:styleId="111f1">
    <w:name w:val="表内文字小111"/>
    <w:basedOn w:val="a"/>
    <w:qFormat/>
    <w:pPr>
      <w:widowControl/>
      <w:jc w:val="left"/>
    </w:pPr>
    <w:rPr>
      <w:rFonts w:ascii="宋体" w:hAnsi="Times" w:cs="宋体"/>
      <w:kern w:val="0"/>
      <w:szCs w:val="20"/>
    </w:rPr>
  </w:style>
  <w:style w:type="paragraph" w:customStyle="1" w:styleId="2137">
    <w:name w:val="样式 样式 宋体 + 首行缩进:  2 字符13"/>
    <w:basedOn w:val="a"/>
    <w:qFormat/>
    <w:pPr>
      <w:widowControl/>
      <w:jc w:val="left"/>
    </w:pPr>
    <w:rPr>
      <w:rFonts w:ascii="宋体" w:hAnsi="宋体" w:cs="宋体"/>
      <w:kern w:val="0"/>
    </w:rPr>
  </w:style>
  <w:style w:type="paragraph" w:customStyle="1" w:styleId="2129">
    <w:name w:val="表格内字体212"/>
    <w:basedOn w:val="affff4"/>
    <w:next w:val="affff4"/>
    <w:qFormat/>
    <w:pPr>
      <w:spacing w:line="240" w:lineRule="auto"/>
      <w:ind w:firstLine="0"/>
      <w:jc w:val="center"/>
    </w:pPr>
    <w:rPr>
      <w:rFonts w:hAnsi="宋体"/>
      <w:sz w:val="21"/>
      <w:szCs w:val="24"/>
    </w:rPr>
  </w:style>
  <w:style w:type="paragraph" w:customStyle="1" w:styleId="21fb">
    <w:name w:val="样式 正文缩进 + 宋体 黑色 首行缩进:  2 字符1"/>
    <w:basedOn w:val="1fb"/>
    <w:qFormat/>
    <w:pPr>
      <w:ind w:firstLine="480"/>
    </w:pPr>
    <w:rPr>
      <w:rFonts w:cs="宋体"/>
      <w:color w:val="FF00FF"/>
    </w:rPr>
  </w:style>
  <w:style w:type="paragraph" w:customStyle="1" w:styleId="7d">
    <w:name w:val="表格内字体7"/>
    <w:basedOn w:val="affff4"/>
    <w:next w:val="affff4"/>
    <w:qFormat/>
    <w:pPr>
      <w:spacing w:line="240" w:lineRule="auto"/>
      <w:ind w:firstLine="0"/>
      <w:jc w:val="center"/>
    </w:pPr>
    <w:rPr>
      <w:rFonts w:hAnsi="宋体"/>
      <w:sz w:val="21"/>
      <w:szCs w:val="24"/>
    </w:rPr>
  </w:style>
  <w:style w:type="paragraph" w:customStyle="1" w:styleId="41f">
    <w:name w:val="表格内字体41"/>
    <w:basedOn w:val="affff4"/>
    <w:next w:val="affff4"/>
    <w:qFormat/>
    <w:pPr>
      <w:spacing w:line="240" w:lineRule="auto"/>
      <w:ind w:firstLine="0"/>
      <w:jc w:val="center"/>
    </w:pPr>
    <w:rPr>
      <w:rFonts w:hAnsi="宋体"/>
      <w:sz w:val="21"/>
      <w:szCs w:val="24"/>
    </w:rPr>
  </w:style>
  <w:style w:type="paragraph" w:customStyle="1" w:styleId="7e">
    <w:name w:val="图题7"/>
    <w:basedOn w:val="affff4"/>
    <w:next w:val="affff4"/>
    <w:qFormat/>
    <w:pPr>
      <w:ind w:firstLine="0"/>
      <w:jc w:val="center"/>
    </w:pPr>
    <w:rPr>
      <w:rFonts w:ascii="黑体" w:eastAsia="黑体" w:hAnsi="宋体" w:cs="宋体"/>
      <w:b/>
      <w:bCs/>
      <w:szCs w:val="24"/>
    </w:rPr>
  </w:style>
  <w:style w:type="paragraph" w:customStyle="1" w:styleId="211c">
    <w:name w:val="样式 样式 宋体 + 首行缩进:  2 字符11"/>
    <w:basedOn w:val="a"/>
    <w:qFormat/>
    <w:pPr>
      <w:widowControl/>
      <w:jc w:val="left"/>
    </w:pPr>
    <w:rPr>
      <w:rFonts w:ascii="宋体" w:hAnsi="宋体" w:cs="宋体"/>
      <w:kern w:val="0"/>
    </w:rPr>
  </w:style>
  <w:style w:type="paragraph" w:customStyle="1" w:styleId="41f0">
    <w:name w:val="正文格式41"/>
    <w:basedOn w:val="a"/>
    <w:qFormat/>
    <w:pPr>
      <w:widowControl/>
      <w:ind w:firstLine="482"/>
      <w:jc w:val="left"/>
    </w:pPr>
    <w:rPr>
      <w:rFonts w:ascii="宋体" w:hAnsi="宋体" w:cs="宋体"/>
      <w:kern w:val="0"/>
    </w:rPr>
  </w:style>
  <w:style w:type="paragraph" w:customStyle="1" w:styleId="544">
    <w:name w:val="表文字54"/>
    <w:basedOn w:val="a"/>
    <w:qFormat/>
    <w:pPr>
      <w:widowControl/>
      <w:jc w:val="left"/>
      <w:textAlignment w:val="baseline"/>
    </w:pPr>
    <w:rPr>
      <w:rFonts w:ascii="宋体" w:hAnsi="宋体" w:cs="宋体"/>
      <w:kern w:val="0"/>
      <w:szCs w:val="20"/>
    </w:rPr>
  </w:style>
  <w:style w:type="paragraph" w:customStyle="1" w:styleId="211d">
    <w:name w:val="正文211"/>
    <w:qFormat/>
    <w:pPr>
      <w:adjustRightInd w:val="0"/>
      <w:snapToGrid w:val="0"/>
      <w:spacing w:line="480" w:lineRule="atLeast"/>
      <w:jc w:val="center"/>
    </w:pPr>
    <w:rPr>
      <w:rFonts w:ascii="宋体"/>
      <w:snapToGrid w:val="0"/>
      <w:spacing w:val="6"/>
      <w:sz w:val="21"/>
    </w:rPr>
  </w:style>
  <w:style w:type="paragraph" w:customStyle="1" w:styleId="1421">
    <w:name w:val="表题1421"/>
    <w:basedOn w:val="ab"/>
    <w:qFormat/>
    <w:pPr>
      <w:widowControl/>
      <w:ind w:firstLineChars="0" w:firstLine="0"/>
      <w:jc w:val="center"/>
    </w:pPr>
    <w:rPr>
      <w:rFonts w:ascii="黑体" w:cs="Arial"/>
      <w:b/>
    </w:rPr>
  </w:style>
  <w:style w:type="paragraph" w:customStyle="1" w:styleId="2222">
    <w:name w:val="正文格式222"/>
    <w:basedOn w:val="a"/>
    <w:qFormat/>
    <w:pPr>
      <w:widowControl/>
      <w:ind w:firstLine="482"/>
      <w:jc w:val="left"/>
    </w:pPr>
    <w:rPr>
      <w:rFonts w:ascii="宋体" w:hAnsi="宋体" w:cs="宋体"/>
      <w:kern w:val="0"/>
    </w:rPr>
  </w:style>
  <w:style w:type="paragraph" w:customStyle="1" w:styleId="31e">
    <w:name w:val="附件31"/>
    <w:basedOn w:val="1"/>
    <w:next w:val="affff4"/>
    <w:qFormat/>
    <w:pPr>
      <w:numPr>
        <w:numId w:val="0"/>
      </w:numPr>
      <w:spacing w:after="120"/>
      <w:jc w:val="left"/>
    </w:pPr>
    <w:rPr>
      <w:rFonts w:ascii="黑体" w:eastAsia="黑体"/>
      <w:b w:val="0"/>
      <w:sz w:val="32"/>
      <w:szCs w:val="32"/>
      <w:lang w:val="zh-CN"/>
    </w:rPr>
  </w:style>
  <w:style w:type="paragraph" w:customStyle="1" w:styleId="31f">
    <w:name w:val="正文格式31"/>
    <w:basedOn w:val="a"/>
    <w:qFormat/>
    <w:pPr>
      <w:widowControl/>
      <w:ind w:firstLine="482"/>
      <w:jc w:val="left"/>
    </w:pPr>
    <w:rPr>
      <w:rFonts w:ascii="宋体" w:hAnsi="宋体" w:cs="宋体"/>
      <w:kern w:val="0"/>
    </w:rPr>
  </w:style>
  <w:style w:type="paragraph" w:customStyle="1" w:styleId="1ffffffc">
    <w:name w:val="注释1"/>
    <w:basedOn w:val="affff4"/>
    <w:next w:val="a0"/>
    <w:qFormat/>
    <w:pPr>
      <w:spacing w:before="120" w:after="120" w:line="240" w:lineRule="auto"/>
      <w:ind w:firstLine="200"/>
    </w:pPr>
    <w:rPr>
      <w:rFonts w:hAnsi="Times New Roman" w:cs="宋体"/>
      <w:sz w:val="21"/>
      <w:szCs w:val="20"/>
    </w:rPr>
  </w:style>
  <w:style w:type="paragraph" w:customStyle="1" w:styleId="1224">
    <w:name w:val="表题122"/>
    <w:basedOn w:val="ab"/>
    <w:qFormat/>
    <w:pPr>
      <w:widowControl/>
      <w:ind w:firstLineChars="0" w:firstLine="0"/>
      <w:jc w:val="center"/>
    </w:pPr>
    <w:rPr>
      <w:rFonts w:ascii="黑体" w:cs="Arial"/>
      <w:b/>
    </w:rPr>
  </w:style>
  <w:style w:type="paragraph" w:customStyle="1" w:styleId="111f2">
    <w:name w:val="图题111"/>
    <w:basedOn w:val="affff4"/>
    <w:next w:val="affff4"/>
    <w:qFormat/>
    <w:pPr>
      <w:ind w:firstLine="0"/>
      <w:jc w:val="center"/>
    </w:pPr>
    <w:rPr>
      <w:rFonts w:ascii="黑体" w:eastAsia="黑体" w:hAnsi="宋体" w:cs="宋体"/>
      <w:b/>
      <w:bCs/>
      <w:szCs w:val="24"/>
    </w:rPr>
  </w:style>
  <w:style w:type="paragraph" w:customStyle="1" w:styleId="3126">
    <w:name w:val="正文格式312"/>
    <w:basedOn w:val="a"/>
    <w:qFormat/>
    <w:pPr>
      <w:widowControl/>
      <w:ind w:firstLine="482"/>
      <w:jc w:val="left"/>
    </w:pPr>
    <w:rPr>
      <w:rFonts w:ascii="宋体" w:hAnsi="宋体" w:cs="宋体"/>
      <w:kern w:val="0"/>
    </w:rPr>
  </w:style>
  <w:style w:type="paragraph" w:customStyle="1" w:styleId="112d">
    <w:name w:val="表格112"/>
    <w:basedOn w:val="a"/>
    <w:qFormat/>
    <w:pPr>
      <w:widowControl/>
      <w:jc w:val="center"/>
      <w:textAlignment w:val="baseline"/>
    </w:pPr>
    <w:rPr>
      <w:rFonts w:ascii="宋体" w:hAnsi="宋体" w:cs="宋体"/>
      <w:kern w:val="0"/>
      <w:szCs w:val="20"/>
    </w:rPr>
  </w:style>
  <w:style w:type="paragraph" w:customStyle="1" w:styleId="7111">
    <w:name w:val="图题711"/>
    <w:basedOn w:val="affff4"/>
    <w:next w:val="affff4"/>
    <w:qFormat/>
    <w:pPr>
      <w:ind w:firstLine="0"/>
      <w:jc w:val="center"/>
    </w:pPr>
    <w:rPr>
      <w:rFonts w:ascii="黑体" w:eastAsia="黑体" w:hAnsi="宋体" w:cs="宋体"/>
      <w:b/>
      <w:bCs/>
      <w:szCs w:val="24"/>
    </w:rPr>
  </w:style>
  <w:style w:type="paragraph" w:customStyle="1" w:styleId="11ff0">
    <w:name w:val="图题注11"/>
    <w:basedOn w:val="ab"/>
    <w:qFormat/>
    <w:pPr>
      <w:widowControl/>
      <w:ind w:firstLineChars="0" w:firstLine="0"/>
      <w:jc w:val="center"/>
    </w:pPr>
    <w:rPr>
      <w:rFonts w:ascii="黑体" w:cs="宋体"/>
      <w:b/>
      <w:bCs/>
    </w:rPr>
  </w:style>
  <w:style w:type="paragraph" w:customStyle="1" w:styleId="11214">
    <w:name w:val="表格内字体1121"/>
    <w:basedOn w:val="affff4"/>
    <w:qFormat/>
    <w:pPr>
      <w:spacing w:line="240" w:lineRule="auto"/>
      <w:ind w:firstLine="0"/>
      <w:jc w:val="center"/>
    </w:pPr>
    <w:rPr>
      <w:rFonts w:hAnsi="Times New Roman" w:cs="宋体"/>
      <w:sz w:val="21"/>
      <w:szCs w:val="20"/>
    </w:rPr>
  </w:style>
  <w:style w:type="paragraph" w:customStyle="1" w:styleId="2214">
    <w:name w:val="正文221"/>
    <w:qFormat/>
    <w:pPr>
      <w:adjustRightInd w:val="0"/>
      <w:snapToGrid w:val="0"/>
      <w:spacing w:line="480" w:lineRule="atLeast"/>
      <w:jc w:val="center"/>
    </w:pPr>
    <w:rPr>
      <w:rFonts w:ascii="宋体"/>
      <w:snapToGrid w:val="0"/>
      <w:spacing w:val="6"/>
      <w:sz w:val="21"/>
    </w:rPr>
  </w:style>
  <w:style w:type="paragraph" w:customStyle="1" w:styleId="1322">
    <w:name w:val="表题132"/>
    <w:basedOn w:val="ab"/>
    <w:pPr>
      <w:widowControl/>
      <w:ind w:firstLineChars="0" w:firstLine="0"/>
      <w:jc w:val="center"/>
    </w:pPr>
    <w:rPr>
      <w:rFonts w:ascii="黑体" w:cs="Arial"/>
      <w:b/>
    </w:rPr>
  </w:style>
  <w:style w:type="paragraph" w:customStyle="1" w:styleId="41210">
    <w:name w:val="标题4121"/>
    <w:basedOn w:val="4"/>
    <w:next w:val="a"/>
    <w:qFormat/>
    <w:pPr>
      <w:numPr>
        <w:ilvl w:val="0"/>
        <w:numId w:val="0"/>
      </w:numPr>
      <w:spacing w:before="160" w:after="170" w:line="360" w:lineRule="auto"/>
    </w:pPr>
    <w:rPr>
      <w:rFonts w:ascii="黑体" w:eastAsia="黑体" w:hAnsi="Arial" w:cs="Times New Roman"/>
      <w:sz w:val="24"/>
    </w:rPr>
  </w:style>
  <w:style w:type="paragraph" w:customStyle="1" w:styleId="2223">
    <w:name w:val="图题222"/>
    <w:basedOn w:val="affff4"/>
    <w:next w:val="affff4"/>
    <w:qFormat/>
    <w:pPr>
      <w:ind w:firstLine="0"/>
      <w:jc w:val="center"/>
    </w:pPr>
    <w:rPr>
      <w:rFonts w:ascii="黑体" w:eastAsia="黑体" w:hAnsi="宋体" w:cs="宋体"/>
      <w:b/>
      <w:bCs/>
      <w:szCs w:val="24"/>
    </w:rPr>
  </w:style>
  <w:style w:type="paragraph" w:customStyle="1" w:styleId="3127">
    <w:name w:val="图题312"/>
    <w:basedOn w:val="affff4"/>
    <w:next w:val="affff4"/>
    <w:qFormat/>
    <w:pPr>
      <w:ind w:firstLine="0"/>
      <w:jc w:val="center"/>
    </w:pPr>
    <w:rPr>
      <w:rFonts w:ascii="黑体" w:eastAsia="黑体" w:hAnsi="宋体" w:cs="宋体"/>
      <w:b/>
      <w:bCs/>
      <w:szCs w:val="24"/>
    </w:rPr>
  </w:style>
  <w:style w:type="paragraph" w:customStyle="1" w:styleId="511211">
    <w:name w:val="表文字51121"/>
    <w:basedOn w:val="a"/>
    <w:qFormat/>
    <w:pPr>
      <w:widowControl/>
      <w:jc w:val="left"/>
      <w:textAlignment w:val="baseline"/>
    </w:pPr>
    <w:rPr>
      <w:rFonts w:ascii="宋体" w:hAnsi="宋体" w:cs="宋体"/>
      <w:kern w:val="0"/>
      <w:szCs w:val="20"/>
    </w:rPr>
  </w:style>
  <w:style w:type="paragraph" w:customStyle="1" w:styleId="6120">
    <w:name w:val="表格内字体612"/>
    <w:basedOn w:val="affff4"/>
    <w:next w:val="affff4"/>
    <w:qFormat/>
    <w:pPr>
      <w:spacing w:line="240" w:lineRule="auto"/>
      <w:ind w:firstLine="0"/>
      <w:jc w:val="center"/>
    </w:pPr>
    <w:rPr>
      <w:rFonts w:hAnsi="宋体"/>
      <w:sz w:val="21"/>
      <w:szCs w:val="24"/>
    </w:rPr>
  </w:style>
  <w:style w:type="paragraph" w:customStyle="1" w:styleId="5418">
    <w:name w:val="表文字541"/>
    <w:basedOn w:val="a"/>
    <w:qFormat/>
    <w:pPr>
      <w:widowControl/>
      <w:jc w:val="left"/>
      <w:textAlignment w:val="baseline"/>
    </w:pPr>
    <w:rPr>
      <w:rFonts w:ascii="宋体" w:hAnsi="宋体" w:cs="宋体"/>
      <w:kern w:val="0"/>
      <w:szCs w:val="20"/>
    </w:rPr>
  </w:style>
  <w:style w:type="paragraph" w:customStyle="1" w:styleId="614">
    <w:name w:val="正文格式61"/>
    <w:basedOn w:val="a"/>
    <w:qFormat/>
    <w:pPr>
      <w:widowControl/>
      <w:ind w:firstLine="482"/>
      <w:jc w:val="left"/>
    </w:pPr>
    <w:rPr>
      <w:rFonts w:ascii="宋体" w:hAnsi="宋体" w:cs="宋体"/>
      <w:kern w:val="0"/>
    </w:rPr>
  </w:style>
  <w:style w:type="paragraph" w:customStyle="1" w:styleId="148">
    <w:name w:val="表格内字体14"/>
    <w:basedOn w:val="affff4"/>
    <w:next w:val="affff4"/>
    <w:qFormat/>
    <w:pPr>
      <w:spacing w:line="240" w:lineRule="auto"/>
      <w:ind w:firstLine="0"/>
      <w:jc w:val="center"/>
    </w:pPr>
    <w:rPr>
      <w:rFonts w:hAnsi="宋体"/>
      <w:sz w:val="21"/>
      <w:szCs w:val="24"/>
    </w:rPr>
  </w:style>
  <w:style w:type="paragraph" w:customStyle="1" w:styleId="813">
    <w:name w:val="图题81"/>
    <w:basedOn w:val="affff4"/>
    <w:next w:val="affff4"/>
    <w:qFormat/>
    <w:pPr>
      <w:ind w:firstLine="0"/>
      <w:jc w:val="center"/>
    </w:pPr>
    <w:rPr>
      <w:rFonts w:ascii="黑体" w:eastAsia="黑体" w:hAnsi="宋体" w:cs="宋体"/>
      <w:b/>
      <w:bCs/>
      <w:szCs w:val="24"/>
    </w:rPr>
  </w:style>
  <w:style w:type="paragraph" w:customStyle="1" w:styleId="23-4712">
    <w:name w:val="23-47表名12"/>
    <w:basedOn w:val="a"/>
    <w:qFormat/>
    <w:pPr>
      <w:widowControl/>
      <w:spacing w:after="156" w:line="440" w:lineRule="exact"/>
      <w:jc w:val="center"/>
    </w:pPr>
    <w:rPr>
      <w:rFonts w:ascii="宋体" w:hAnsi="宋体" w:cs="宋体"/>
      <w:b/>
      <w:kern w:val="0"/>
    </w:rPr>
  </w:style>
  <w:style w:type="paragraph" w:customStyle="1" w:styleId="ParaChar4">
    <w:name w:val="默认段落字体 Para Char4"/>
    <w:basedOn w:val="a"/>
    <w:next w:val="a"/>
    <w:qFormat/>
    <w:pPr>
      <w:widowControl/>
      <w:spacing w:line="480" w:lineRule="exact"/>
      <w:jc w:val="left"/>
    </w:pPr>
    <w:rPr>
      <w:rFonts w:ascii="宋体" w:eastAsia="汉鼎简书宋" w:hAnsi="宋体" w:cs="宋体"/>
      <w:kern w:val="0"/>
    </w:rPr>
  </w:style>
  <w:style w:type="paragraph" w:customStyle="1" w:styleId="8211">
    <w:name w:val="正文格式821"/>
    <w:basedOn w:val="a"/>
    <w:qFormat/>
    <w:pPr>
      <w:widowControl/>
      <w:ind w:firstLine="482"/>
      <w:jc w:val="left"/>
    </w:pPr>
    <w:rPr>
      <w:rFonts w:ascii="宋体" w:hAnsi="宋体" w:cs="宋体"/>
      <w:kern w:val="0"/>
    </w:rPr>
  </w:style>
  <w:style w:type="paragraph" w:customStyle="1" w:styleId="5141">
    <w:name w:val="表文字514"/>
    <w:basedOn w:val="a"/>
    <w:pPr>
      <w:widowControl/>
      <w:jc w:val="left"/>
      <w:textAlignment w:val="baseline"/>
    </w:pPr>
    <w:rPr>
      <w:rFonts w:ascii="宋体" w:hAnsi="宋体" w:cs="宋体"/>
      <w:kern w:val="0"/>
      <w:szCs w:val="20"/>
    </w:rPr>
  </w:style>
  <w:style w:type="paragraph" w:customStyle="1" w:styleId="211e">
    <w:name w:val="正文格式211"/>
    <w:basedOn w:val="a"/>
    <w:pPr>
      <w:widowControl/>
      <w:ind w:firstLine="482"/>
      <w:jc w:val="left"/>
    </w:pPr>
    <w:rPr>
      <w:rFonts w:ascii="宋体" w:hAnsi="宋体" w:cs="宋体"/>
      <w:kern w:val="0"/>
    </w:rPr>
  </w:style>
  <w:style w:type="paragraph" w:customStyle="1" w:styleId="1143">
    <w:name w:val="表题114"/>
    <w:basedOn w:val="ab"/>
    <w:qFormat/>
    <w:pPr>
      <w:widowControl/>
      <w:ind w:firstLineChars="0" w:firstLine="0"/>
      <w:jc w:val="center"/>
    </w:pPr>
    <w:rPr>
      <w:rFonts w:ascii="黑体" w:cs="Arial"/>
    </w:rPr>
  </w:style>
  <w:style w:type="paragraph" w:customStyle="1" w:styleId="4117">
    <w:name w:val="正文格式411"/>
    <w:basedOn w:val="a"/>
    <w:qFormat/>
    <w:pPr>
      <w:widowControl/>
      <w:ind w:firstLine="482"/>
      <w:jc w:val="left"/>
    </w:pPr>
    <w:rPr>
      <w:rFonts w:ascii="宋体" w:hAnsi="宋体" w:cs="宋体"/>
      <w:kern w:val="0"/>
    </w:rPr>
  </w:style>
  <w:style w:type="paragraph" w:customStyle="1" w:styleId="511113">
    <w:name w:val="表文字51111"/>
    <w:basedOn w:val="a"/>
    <w:qFormat/>
    <w:pPr>
      <w:widowControl/>
      <w:jc w:val="left"/>
      <w:textAlignment w:val="baseline"/>
    </w:pPr>
    <w:rPr>
      <w:rFonts w:ascii="宋体" w:hAnsi="宋体" w:cs="宋体"/>
      <w:kern w:val="0"/>
      <w:szCs w:val="20"/>
    </w:rPr>
  </w:style>
  <w:style w:type="paragraph" w:customStyle="1" w:styleId="4118">
    <w:name w:val="图题411"/>
    <w:basedOn w:val="affff4"/>
    <w:next w:val="affff4"/>
    <w:qFormat/>
    <w:pPr>
      <w:ind w:firstLine="0"/>
      <w:jc w:val="center"/>
    </w:pPr>
    <w:rPr>
      <w:rFonts w:ascii="黑体" w:eastAsia="黑体" w:hAnsi="宋体" w:cs="宋体"/>
      <w:b/>
      <w:bCs/>
      <w:szCs w:val="24"/>
    </w:rPr>
  </w:style>
  <w:style w:type="paragraph" w:customStyle="1" w:styleId="12f9">
    <w:name w:val="图题12"/>
    <w:basedOn w:val="affff4"/>
    <w:next w:val="affff4"/>
    <w:qFormat/>
    <w:pPr>
      <w:ind w:firstLine="0"/>
      <w:jc w:val="center"/>
    </w:pPr>
    <w:rPr>
      <w:rFonts w:ascii="黑体" w:eastAsia="黑体" w:hAnsi="宋体" w:cs="宋体"/>
      <w:b/>
      <w:bCs/>
      <w:szCs w:val="24"/>
    </w:rPr>
  </w:style>
  <w:style w:type="paragraph" w:customStyle="1" w:styleId="23b">
    <w:name w:val="图题23"/>
    <w:basedOn w:val="affff4"/>
    <w:next w:val="affff4"/>
    <w:qFormat/>
    <w:pPr>
      <w:ind w:firstLine="0"/>
      <w:jc w:val="center"/>
    </w:pPr>
    <w:rPr>
      <w:rFonts w:ascii="黑体" w:eastAsia="黑体" w:hAnsi="宋体" w:cs="宋体"/>
      <w:b/>
      <w:bCs/>
      <w:szCs w:val="24"/>
    </w:rPr>
  </w:style>
  <w:style w:type="paragraph" w:customStyle="1" w:styleId="23-473">
    <w:name w:val="23-47表名3"/>
    <w:basedOn w:val="a"/>
    <w:qFormat/>
    <w:pPr>
      <w:widowControl/>
      <w:spacing w:after="156" w:line="440" w:lineRule="exact"/>
      <w:jc w:val="center"/>
    </w:pPr>
    <w:rPr>
      <w:rFonts w:ascii="宋体" w:hAnsi="宋体" w:cs="宋体"/>
      <w:b/>
      <w:kern w:val="0"/>
    </w:rPr>
  </w:style>
  <w:style w:type="paragraph" w:customStyle="1" w:styleId="89">
    <w:name w:val="表格内字体8"/>
    <w:basedOn w:val="affff4"/>
    <w:next w:val="affff4"/>
    <w:qFormat/>
    <w:pPr>
      <w:spacing w:line="240" w:lineRule="auto"/>
      <w:ind w:firstLine="0"/>
      <w:jc w:val="center"/>
    </w:pPr>
    <w:rPr>
      <w:rFonts w:hAnsi="宋体"/>
      <w:sz w:val="21"/>
      <w:szCs w:val="24"/>
    </w:rPr>
  </w:style>
  <w:style w:type="paragraph" w:customStyle="1" w:styleId="51132">
    <w:name w:val="表文字5113"/>
    <w:basedOn w:val="a"/>
    <w:qFormat/>
    <w:pPr>
      <w:widowControl/>
      <w:jc w:val="left"/>
      <w:textAlignment w:val="baseline"/>
    </w:pPr>
    <w:rPr>
      <w:rFonts w:ascii="宋体" w:hAnsi="宋体" w:cs="宋体"/>
      <w:kern w:val="0"/>
      <w:szCs w:val="20"/>
    </w:rPr>
  </w:style>
  <w:style w:type="paragraph" w:customStyle="1" w:styleId="112e">
    <w:name w:val="图题112"/>
    <w:basedOn w:val="affff4"/>
    <w:next w:val="affff4"/>
    <w:qFormat/>
    <w:pPr>
      <w:ind w:firstLine="0"/>
      <w:jc w:val="center"/>
    </w:pPr>
    <w:rPr>
      <w:rFonts w:ascii="黑体" w:eastAsia="黑体" w:hAnsi="宋体" w:cs="宋体"/>
      <w:b/>
      <w:bCs/>
      <w:szCs w:val="24"/>
    </w:rPr>
  </w:style>
  <w:style w:type="paragraph" w:customStyle="1" w:styleId="211f">
    <w:name w:val="图题211"/>
    <w:basedOn w:val="affff4"/>
    <w:next w:val="affff4"/>
    <w:qFormat/>
    <w:pPr>
      <w:ind w:firstLine="0"/>
      <w:jc w:val="center"/>
    </w:pPr>
    <w:rPr>
      <w:rFonts w:ascii="黑体" w:eastAsia="黑体" w:hAnsi="宋体" w:cs="宋体"/>
      <w:b/>
      <w:bCs/>
      <w:szCs w:val="24"/>
    </w:rPr>
  </w:style>
  <w:style w:type="paragraph" w:customStyle="1" w:styleId="561">
    <w:name w:val="表文字56"/>
    <w:basedOn w:val="a"/>
    <w:qFormat/>
    <w:pPr>
      <w:widowControl/>
      <w:jc w:val="left"/>
      <w:textAlignment w:val="baseline"/>
    </w:pPr>
    <w:rPr>
      <w:rFonts w:ascii="宋体" w:hAnsi="宋体" w:cs="宋体"/>
      <w:kern w:val="0"/>
      <w:szCs w:val="20"/>
    </w:rPr>
  </w:style>
  <w:style w:type="paragraph" w:customStyle="1" w:styleId="32a">
    <w:name w:val="图题32"/>
    <w:basedOn w:val="affff4"/>
    <w:next w:val="affff4"/>
    <w:pPr>
      <w:ind w:firstLine="0"/>
      <w:jc w:val="center"/>
    </w:pPr>
    <w:rPr>
      <w:rFonts w:ascii="黑体" w:eastAsia="黑体" w:hAnsi="宋体" w:cs="宋体"/>
      <w:b/>
      <w:bCs/>
      <w:szCs w:val="24"/>
    </w:rPr>
  </w:style>
  <w:style w:type="paragraph" w:customStyle="1" w:styleId="161">
    <w:name w:val="表题161"/>
    <w:basedOn w:val="ab"/>
    <w:qFormat/>
    <w:pPr>
      <w:widowControl/>
      <w:ind w:firstLineChars="0" w:firstLine="0"/>
      <w:jc w:val="center"/>
    </w:pPr>
    <w:rPr>
      <w:rFonts w:ascii="黑体" w:cs="Arial"/>
      <w:b/>
    </w:rPr>
  </w:style>
  <w:style w:type="paragraph" w:customStyle="1" w:styleId="624">
    <w:name w:val="图题62"/>
    <w:basedOn w:val="affff4"/>
    <w:next w:val="affff4"/>
    <w:qFormat/>
    <w:pPr>
      <w:ind w:firstLine="0"/>
      <w:jc w:val="center"/>
    </w:pPr>
    <w:rPr>
      <w:rFonts w:ascii="黑体" w:eastAsia="黑体" w:hAnsi="宋体" w:cs="宋体"/>
      <w:b/>
      <w:bCs/>
      <w:kern w:val="0"/>
      <w:szCs w:val="24"/>
    </w:rPr>
  </w:style>
  <w:style w:type="paragraph" w:customStyle="1" w:styleId="21121">
    <w:name w:val="表格内字体2112"/>
    <w:basedOn w:val="affff4"/>
    <w:next w:val="affff4"/>
    <w:qFormat/>
    <w:pPr>
      <w:spacing w:line="240" w:lineRule="auto"/>
      <w:ind w:firstLine="0"/>
      <w:jc w:val="center"/>
    </w:pPr>
    <w:rPr>
      <w:rFonts w:hAnsi="宋体"/>
      <w:sz w:val="21"/>
      <w:szCs w:val="24"/>
    </w:rPr>
  </w:style>
  <w:style w:type="paragraph" w:customStyle="1" w:styleId="52d">
    <w:name w:val="图题52"/>
    <w:basedOn w:val="affff4"/>
    <w:next w:val="affff4"/>
    <w:qFormat/>
    <w:pPr>
      <w:ind w:firstLine="0"/>
      <w:jc w:val="center"/>
    </w:pPr>
    <w:rPr>
      <w:rFonts w:ascii="黑体" w:eastAsia="黑体" w:hAnsi="宋体" w:cs="宋体"/>
      <w:b/>
      <w:bCs/>
      <w:szCs w:val="24"/>
    </w:rPr>
  </w:style>
  <w:style w:type="paragraph" w:customStyle="1" w:styleId="112f">
    <w:name w:val="正文格式112"/>
    <w:basedOn w:val="a"/>
    <w:qFormat/>
    <w:pPr>
      <w:widowControl/>
      <w:ind w:firstLine="482"/>
      <w:jc w:val="left"/>
    </w:pPr>
    <w:rPr>
      <w:rFonts w:ascii="宋体" w:hAnsi="宋体" w:cs="宋体"/>
      <w:kern w:val="0"/>
    </w:rPr>
  </w:style>
  <w:style w:type="paragraph" w:customStyle="1" w:styleId="11ff1">
    <w:name w:val="注释11"/>
    <w:basedOn w:val="affff4"/>
    <w:next w:val="a0"/>
    <w:qFormat/>
    <w:pPr>
      <w:spacing w:before="120" w:after="120" w:line="240" w:lineRule="auto"/>
      <w:ind w:firstLine="200"/>
    </w:pPr>
    <w:rPr>
      <w:rFonts w:hAnsi="Times New Roman" w:cs="宋体"/>
      <w:sz w:val="21"/>
      <w:szCs w:val="20"/>
    </w:rPr>
  </w:style>
  <w:style w:type="paragraph" w:customStyle="1" w:styleId="ParaChar111">
    <w:name w:val="默认段落字体 Para Char111"/>
    <w:basedOn w:val="a"/>
    <w:next w:val="a"/>
    <w:qFormat/>
    <w:pPr>
      <w:widowControl/>
      <w:spacing w:line="480" w:lineRule="exact"/>
      <w:jc w:val="left"/>
    </w:pPr>
    <w:rPr>
      <w:rFonts w:ascii="宋体" w:eastAsia="汉鼎简书宋" w:hAnsi="宋体" w:cs="宋体"/>
      <w:kern w:val="0"/>
    </w:rPr>
  </w:style>
  <w:style w:type="paragraph" w:customStyle="1" w:styleId="13f2">
    <w:name w:val="图表题13"/>
    <w:basedOn w:val="affff4"/>
    <w:next w:val="affff4"/>
    <w:qFormat/>
    <w:pPr>
      <w:ind w:firstLine="0"/>
      <w:jc w:val="center"/>
    </w:pPr>
    <w:rPr>
      <w:rFonts w:ascii="黑体" w:eastAsia="黑体" w:hAnsi="宋体" w:cs="宋体"/>
      <w:b/>
      <w:bCs/>
      <w:szCs w:val="24"/>
    </w:rPr>
  </w:style>
  <w:style w:type="paragraph" w:customStyle="1" w:styleId="51310">
    <w:name w:val="表文字5131"/>
    <w:basedOn w:val="a"/>
    <w:qFormat/>
    <w:pPr>
      <w:widowControl/>
      <w:jc w:val="left"/>
      <w:textAlignment w:val="baseline"/>
    </w:pPr>
    <w:rPr>
      <w:rFonts w:ascii="宋体" w:hAnsi="宋体" w:cs="宋体"/>
      <w:kern w:val="0"/>
      <w:szCs w:val="20"/>
    </w:rPr>
  </w:style>
  <w:style w:type="paragraph" w:customStyle="1" w:styleId="Char5120">
    <w:name w:val="Char512"/>
    <w:basedOn w:val="a"/>
    <w:qFormat/>
    <w:pPr>
      <w:widowControl/>
      <w:ind w:left="-45"/>
      <w:jc w:val="left"/>
    </w:pPr>
    <w:rPr>
      <w:rFonts w:ascii="宋体" w:hAnsi="宋体" w:cs="宋体"/>
      <w:kern w:val="0"/>
    </w:rPr>
  </w:style>
  <w:style w:type="paragraph" w:customStyle="1" w:styleId="922">
    <w:name w:val="正文格式92"/>
    <w:basedOn w:val="a"/>
    <w:qFormat/>
    <w:pPr>
      <w:widowControl/>
      <w:ind w:firstLine="482"/>
      <w:jc w:val="left"/>
    </w:pPr>
    <w:rPr>
      <w:rFonts w:ascii="宋体" w:hAnsi="宋体" w:cs="宋体"/>
      <w:kern w:val="0"/>
    </w:rPr>
  </w:style>
  <w:style w:type="paragraph" w:customStyle="1" w:styleId="31f0">
    <w:name w:val="表格内字体31"/>
    <w:basedOn w:val="affff4"/>
    <w:next w:val="affff4"/>
    <w:qFormat/>
    <w:pPr>
      <w:spacing w:line="240" w:lineRule="auto"/>
      <w:ind w:firstLine="0"/>
      <w:jc w:val="center"/>
    </w:pPr>
    <w:rPr>
      <w:rFonts w:hAnsi="宋体"/>
      <w:sz w:val="21"/>
      <w:szCs w:val="24"/>
    </w:rPr>
  </w:style>
  <w:style w:type="paragraph" w:customStyle="1" w:styleId="6112">
    <w:name w:val="表格内字体611"/>
    <w:basedOn w:val="affff4"/>
    <w:next w:val="affff4"/>
    <w:qFormat/>
    <w:pPr>
      <w:spacing w:line="240" w:lineRule="auto"/>
      <w:ind w:firstLine="0"/>
      <w:jc w:val="center"/>
    </w:pPr>
    <w:rPr>
      <w:rFonts w:hAnsi="宋体"/>
      <w:sz w:val="21"/>
      <w:szCs w:val="24"/>
    </w:rPr>
  </w:style>
  <w:style w:type="paragraph" w:customStyle="1" w:styleId="4123">
    <w:name w:val="正文格式412"/>
    <w:basedOn w:val="a"/>
    <w:qFormat/>
    <w:pPr>
      <w:widowControl/>
      <w:ind w:firstLine="482"/>
      <w:jc w:val="left"/>
    </w:pPr>
    <w:rPr>
      <w:rFonts w:ascii="宋体" w:hAnsi="宋体" w:cs="宋体"/>
      <w:kern w:val="0"/>
    </w:rPr>
  </w:style>
  <w:style w:type="paragraph" w:customStyle="1" w:styleId="443">
    <w:name w:val="表格内字体44"/>
    <w:basedOn w:val="affff4"/>
    <w:next w:val="affff4"/>
    <w:qFormat/>
    <w:pPr>
      <w:spacing w:line="240" w:lineRule="auto"/>
      <w:ind w:firstLine="0"/>
      <w:jc w:val="center"/>
    </w:pPr>
    <w:rPr>
      <w:rFonts w:hAnsi="宋体"/>
      <w:sz w:val="21"/>
      <w:szCs w:val="24"/>
    </w:rPr>
  </w:style>
  <w:style w:type="paragraph" w:customStyle="1" w:styleId="722">
    <w:name w:val="表格内字体72"/>
    <w:basedOn w:val="affff4"/>
    <w:next w:val="affff4"/>
    <w:qFormat/>
    <w:pPr>
      <w:spacing w:line="240" w:lineRule="auto"/>
      <w:ind w:firstLine="0"/>
      <w:jc w:val="center"/>
    </w:pPr>
    <w:rPr>
      <w:rFonts w:hAnsi="宋体"/>
      <w:sz w:val="21"/>
      <w:szCs w:val="24"/>
    </w:rPr>
  </w:style>
  <w:style w:type="paragraph" w:customStyle="1" w:styleId="22f0">
    <w:name w:val="图题22"/>
    <w:basedOn w:val="affff4"/>
    <w:next w:val="affff4"/>
    <w:qFormat/>
    <w:pPr>
      <w:ind w:firstLine="0"/>
      <w:jc w:val="center"/>
    </w:pPr>
    <w:rPr>
      <w:rFonts w:ascii="黑体" w:eastAsia="黑体" w:hAnsi="宋体" w:cs="宋体"/>
      <w:b/>
      <w:bCs/>
      <w:szCs w:val="24"/>
    </w:rPr>
  </w:style>
  <w:style w:type="paragraph" w:customStyle="1" w:styleId="51123">
    <w:name w:val="表文字5112"/>
    <w:basedOn w:val="a"/>
    <w:qFormat/>
    <w:pPr>
      <w:widowControl/>
      <w:jc w:val="left"/>
      <w:textAlignment w:val="baseline"/>
    </w:pPr>
    <w:rPr>
      <w:rFonts w:ascii="宋体" w:hAnsi="宋体" w:cs="宋体"/>
      <w:kern w:val="0"/>
      <w:szCs w:val="20"/>
    </w:rPr>
  </w:style>
  <w:style w:type="paragraph" w:customStyle="1" w:styleId="Char516">
    <w:name w:val="Char51"/>
    <w:basedOn w:val="a"/>
    <w:qFormat/>
    <w:pPr>
      <w:widowControl/>
      <w:ind w:left="-45"/>
      <w:jc w:val="left"/>
    </w:pPr>
    <w:rPr>
      <w:rFonts w:ascii="宋体" w:hAnsi="宋体" w:cs="宋体"/>
      <w:kern w:val="0"/>
    </w:rPr>
  </w:style>
  <w:style w:type="paragraph" w:customStyle="1" w:styleId="8a">
    <w:name w:val="正文格式8"/>
    <w:basedOn w:val="a"/>
    <w:qFormat/>
    <w:pPr>
      <w:widowControl/>
      <w:ind w:firstLine="482"/>
      <w:jc w:val="left"/>
    </w:pPr>
    <w:rPr>
      <w:rFonts w:ascii="宋体" w:hAnsi="宋体" w:cs="宋体"/>
      <w:kern w:val="0"/>
    </w:rPr>
  </w:style>
  <w:style w:type="paragraph" w:customStyle="1" w:styleId="98">
    <w:name w:val="图题9"/>
    <w:basedOn w:val="affff4"/>
    <w:next w:val="affff4"/>
    <w:qFormat/>
    <w:pPr>
      <w:ind w:firstLine="0"/>
      <w:jc w:val="center"/>
    </w:pPr>
    <w:rPr>
      <w:rFonts w:ascii="黑体" w:eastAsia="黑体" w:hAnsi="宋体" w:cs="宋体"/>
      <w:b/>
      <w:bCs/>
      <w:szCs w:val="24"/>
    </w:rPr>
  </w:style>
  <w:style w:type="paragraph" w:customStyle="1" w:styleId="ParaChar21">
    <w:name w:val="默认段落字体 Para Char21"/>
    <w:basedOn w:val="a"/>
    <w:next w:val="a"/>
    <w:qFormat/>
    <w:pPr>
      <w:widowControl/>
      <w:spacing w:line="480" w:lineRule="exact"/>
      <w:jc w:val="left"/>
    </w:pPr>
    <w:rPr>
      <w:rFonts w:ascii="宋体" w:eastAsia="汉鼎简书宋" w:hAnsi="宋体" w:cs="宋体"/>
      <w:kern w:val="0"/>
    </w:rPr>
  </w:style>
  <w:style w:type="paragraph" w:customStyle="1" w:styleId="22f1">
    <w:name w:val="正文22"/>
    <w:qFormat/>
    <w:pPr>
      <w:adjustRightInd w:val="0"/>
      <w:snapToGrid w:val="0"/>
      <w:spacing w:line="480" w:lineRule="atLeast"/>
      <w:jc w:val="center"/>
    </w:pPr>
    <w:rPr>
      <w:rFonts w:ascii="宋体"/>
      <w:snapToGrid w:val="0"/>
      <w:spacing w:val="6"/>
      <w:sz w:val="21"/>
    </w:rPr>
  </w:style>
  <w:style w:type="paragraph" w:customStyle="1" w:styleId="12111">
    <w:name w:val="表题1211"/>
    <w:basedOn w:val="ab"/>
    <w:qFormat/>
    <w:pPr>
      <w:widowControl/>
      <w:ind w:firstLineChars="0" w:firstLine="0"/>
      <w:jc w:val="center"/>
    </w:pPr>
    <w:rPr>
      <w:rFonts w:ascii="黑体" w:cs="Arial"/>
    </w:rPr>
  </w:style>
  <w:style w:type="paragraph" w:customStyle="1" w:styleId="106">
    <w:name w:val="正文格式10"/>
    <w:basedOn w:val="a"/>
    <w:pPr>
      <w:widowControl/>
      <w:ind w:firstLine="482"/>
      <w:jc w:val="left"/>
    </w:pPr>
    <w:rPr>
      <w:rFonts w:ascii="宋体" w:hAnsi="宋体" w:cs="宋体"/>
      <w:kern w:val="0"/>
    </w:rPr>
  </w:style>
  <w:style w:type="paragraph" w:customStyle="1" w:styleId="32b">
    <w:name w:val="表格内字体32"/>
    <w:basedOn w:val="affff4"/>
    <w:next w:val="affff4"/>
    <w:qFormat/>
    <w:pPr>
      <w:spacing w:line="240" w:lineRule="auto"/>
      <w:ind w:firstLine="0"/>
      <w:jc w:val="center"/>
    </w:pPr>
    <w:rPr>
      <w:rFonts w:hAnsi="宋体"/>
      <w:sz w:val="21"/>
      <w:szCs w:val="24"/>
    </w:rPr>
  </w:style>
  <w:style w:type="paragraph" w:customStyle="1" w:styleId="22f2">
    <w:name w:val="表格内字体22"/>
    <w:basedOn w:val="affff4"/>
    <w:next w:val="affff4"/>
    <w:qFormat/>
    <w:pPr>
      <w:spacing w:line="240" w:lineRule="auto"/>
      <w:ind w:firstLine="0"/>
      <w:jc w:val="center"/>
    </w:pPr>
    <w:rPr>
      <w:rFonts w:hAnsi="宋体"/>
      <w:sz w:val="21"/>
      <w:szCs w:val="24"/>
    </w:rPr>
  </w:style>
  <w:style w:type="paragraph" w:customStyle="1" w:styleId="41f1">
    <w:name w:val="图题41"/>
    <w:basedOn w:val="affff4"/>
    <w:next w:val="affff4"/>
    <w:qFormat/>
    <w:pPr>
      <w:ind w:firstLine="0"/>
      <w:jc w:val="center"/>
    </w:pPr>
    <w:rPr>
      <w:rFonts w:ascii="黑体" w:eastAsia="黑体" w:hAnsi="宋体" w:cs="宋体"/>
      <w:b/>
      <w:bCs/>
      <w:szCs w:val="24"/>
    </w:rPr>
  </w:style>
  <w:style w:type="paragraph" w:customStyle="1" w:styleId="615">
    <w:name w:val="图题61"/>
    <w:basedOn w:val="affff4"/>
    <w:next w:val="affff4"/>
    <w:qFormat/>
    <w:pPr>
      <w:ind w:firstLine="0"/>
      <w:jc w:val="center"/>
    </w:pPr>
    <w:rPr>
      <w:rFonts w:ascii="黑体" w:eastAsia="黑体" w:hAnsi="宋体" w:cs="宋体"/>
      <w:b/>
      <w:bCs/>
      <w:kern w:val="0"/>
      <w:szCs w:val="24"/>
    </w:rPr>
  </w:style>
  <w:style w:type="paragraph" w:customStyle="1" w:styleId="4131">
    <w:name w:val="标题413"/>
    <w:basedOn w:val="4"/>
    <w:next w:val="a"/>
    <w:qFormat/>
    <w:pPr>
      <w:numPr>
        <w:ilvl w:val="0"/>
        <w:numId w:val="0"/>
      </w:numPr>
      <w:spacing w:before="160" w:after="170" w:line="360" w:lineRule="auto"/>
    </w:pPr>
    <w:rPr>
      <w:rFonts w:ascii="黑体" w:eastAsia="黑体" w:hAnsi="Arial" w:cs="Times New Roman"/>
      <w:sz w:val="24"/>
    </w:rPr>
  </w:style>
  <w:style w:type="paragraph" w:customStyle="1" w:styleId="212a">
    <w:name w:val="图题212"/>
    <w:basedOn w:val="affff4"/>
    <w:next w:val="affff4"/>
    <w:qFormat/>
    <w:pPr>
      <w:ind w:firstLine="0"/>
      <w:jc w:val="center"/>
    </w:pPr>
    <w:rPr>
      <w:rFonts w:ascii="黑体" w:eastAsia="黑体" w:hAnsi="宋体" w:cs="宋体"/>
      <w:b/>
      <w:bCs/>
      <w:szCs w:val="24"/>
    </w:rPr>
  </w:style>
  <w:style w:type="paragraph" w:customStyle="1" w:styleId="1010">
    <w:name w:val="正文格式101"/>
    <w:basedOn w:val="a"/>
    <w:qFormat/>
    <w:pPr>
      <w:widowControl/>
      <w:ind w:firstLine="482"/>
      <w:jc w:val="left"/>
    </w:pPr>
    <w:rPr>
      <w:rFonts w:ascii="宋体" w:hAnsi="宋体" w:cs="宋体"/>
      <w:kern w:val="0"/>
    </w:rPr>
  </w:style>
  <w:style w:type="paragraph" w:customStyle="1" w:styleId="ParaChar43">
    <w:name w:val="默认段落字体 Para Char43"/>
    <w:basedOn w:val="a"/>
    <w:next w:val="a"/>
    <w:qFormat/>
    <w:pPr>
      <w:widowControl/>
      <w:spacing w:line="480" w:lineRule="exact"/>
      <w:jc w:val="left"/>
    </w:pPr>
    <w:rPr>
      <w:rFonts w:ascii="宋体" w:eastAsia="汉鼎简书宋" w:hAnsi="宋体" w:cs="宋体"/>
      <w:kern w:val="0"/>
    </w:rPr>
  </w:style>
  <w:style w:type="paragraph" w:customStyle="1" w:styleId="8110">
    <w:name w:val="正文格式811"/>
    <w:basedOn w:val="a"/>
    <w:qFormat/>
    <w:pPr>
      <w:widowControl/>
      <w:ind w:firstLine="482"/>
      <w:jc w:val="left"/>
    </w:pPr>
    <w:rPr>
      <w:rFonts w:ascii="宋体" w:hAnsi="宋体" w:cs="宋体"/>
      <w:kern w:val="0"/>
    </w:rPr>
  </w:style>
  <w:style w:type="paragraph" w:customStyle="1" w:styleId="23-472">
    <w:name w:val="23-47表名2"/>
    <w:basedOn w:val="a"/>
    <w:qFormat/>
    <w:pPr>
      <w:widowControl/>
      <w:spacing w:after="156" w:line="440" w:lineRule="exact"/>
      <w:jc w:val="center"/>
    </w:pPr>
    <w:rPr>
      <w:rFonts w:ascii="宋体" w:hAnsi="宋体" w:cs="宋体"/>
      <w:b/>
      <w:kern w:val="0"/>
    </w:rPr>
  </w:style>
  <w:style w:type="paragraph" w:customStyle="1" w:styleId="149">
    <w:name w:val="正文格式14"/>
    <w:basedOn w:val="a"/>
    <w:qFormat/>
    <w:pPr>
      <w:widowControl/>
      <w:ind w:firstLine="482"/>
      <w:jc w:val="left"/>
    </w:pPr>
    <w:rPr>
      <w:rFonts w:ascii="宋体" w:hAnsi="宋体" w:cs="宋体"/>
      <w:kern w:val="0"/>
    </w:rPr>
  </w:style>
  <w:style w:type="paragraph" w:customStyle="1" w:styleId="5421">
    <w:name w:val="表文字542"/>
    <w:basedOn w:val="a"/>
    <w:qFormat/>
    <w:pPr>
      <w:widowControl/>
      <w:jc w:val="left"/>
      <w:textAlignment w:val="baseline"/>
    </w:pPr>
    <w:rPr>
      <w:rFonts w:ascii="宋体" w:hAnsi="宋体" w:cs="宋体"/>
      <w:kern w:val="0"/>
      <w:szCs w:val="20"/>
    </w:rPr>
  </w:style>
  <w:style w:type="paragraph" w:customStyle="1" w:styleId="511121">
    <w:name w:val="表文字51112"/>
    <w:basedOn w:val="a"/>
    <w:qFormat/>
    <w:pPr>
      <w:widowControl/>
      <w:jc w:val="left"/>
      <w:textAlignment w:val="baseline"/>
    </w:pPr>
    <w:rPr>
      <w:rFonts w:ascii="宋体" w:hAnsi="宋体" w:cs="宋体"/>
      <w:kern w:val="0"/>
      <w:szCs w:val="20"/>
    </w:rPr>
  </w:style>
  <w:style w:type="paragraph" w:customStyle="1" w:styleId="3fff5">
    <w:name w:val="图表题3"/>
    <w:basedOn w:val="affff4"/>
    <w:next w:val="affff4"/>
    <w:qFormat/>
    <w:pPr>
      <w:ind w:firstLine="0"/>
      <w:jc w:val="center"/>
    </w:pPr>
    <w:rPr>
      <w:rFonts w:ascii="黑体" w:eastAsia="黑体" w:hAnsi="宋体" w:cs="宋体"/>
      <w:b/>
      <w:bCs/>
      <w:szCs w:val="24"/>
    </w:rPr>
  </w:style>
  <w:style w:type="paragraph" w:customStyle="1" w:styleId="212b">
    <w:name w:val="样式 样式 宋体 + 首行缩进:  2 字符12"/>
    <w:basedOn w:val="a"/>
    <w:qFormat/>
    <w:pPr>
      <w:widowControl/>
      <w:jc w:val="left"/>
    </w:pPr>
    <w:rPr>
      <w:rFonts w:ascii="宋体" w:hAnsi="宋体" w:cs="宋体"/>
      <w:kern w:val="0"/>
    </w:rPr>
  </w:style>
  <w:style w:type="paragraph" w:customStyle="1" w:styleId="2215">
    <w:name w:val="正文格式221"/>
    <w:basedOn w:val="a"/>
    <w:qFormat/>
    <w:pPr>
      <w:widowControl/>
      <w:ind w:firstLine="482"/>
      <w:jc w:val="left"/>
    </w:pPr>
    <w:rPr>
      <w:rFonts w:ascii="宋体" w:hAnsi="宋体" w:cs="宋体"/>
      <w:kern w:val="0"/>
    </w:rPr>
  </w:style>
  <w:style w:type="paragraph" w:customStyle="1" w:styleId="11123">
    <w:name w:val="表题1112"/>
    <w:basedOn w:val="ab"/>
    <w:qFormat/>
    <w:pPr>
      <w:widowControl/>
      <w:ind w:firstLineChars="0" w:firstLine="0"/>
      <w:jc w:val="center"/>
    </w:pPr>
    <w:rPr>
      <w:rFonts w:ascii="黑体" w:cs="Arial"/>
    </w:rPr>
  </w:style>
  <w:style w:type="paragraph" w:customStyle="1" w:styleId="111120">
    <w:name w:val="表题11112"/>
    <w:basedOn w:val="ab"/>
    <w:qFormat/>
    <w:pPr>
      <w:widowControl/>
      <w:ind w:firstLineChars="0" w:firstLine="0"/>
      <w:jc w:val="center"/>
    </w:pPr>
    <w:rPr>
      <w:rFonts w:ascii="黑体" w:cs="Arial"/>
    </w:rPr>
  </w:style>
  <w:style w:type="paragraph" w:customStyle="1" w:styleId="2fffff7">
    <w:name w:val="样式 表格内字体 +2"/>
    <w:basedOn w:val="affffff1"/>
    <w:qFormat/>
    <w:pPr>
      <w:spacing w:line="280" w:lineRule="exact"/>
      <w:ind w:firstLine="36"/>
      <w:jc w:val="both"/>
    </w:pPr>
    <w:rPr>
      <w:rFonts w:hAnsi="宋体"/>
      <w:sz w:val="21"/>
      <w:szCs w:val="24"/>
    </w:rPr>
  </w:style>
  <w:style w:type="paragraph" w:customStyle="1" w:styleId="11116">
    <w:name w:val="正文格式1111"/>
    <w:basedOn w:val="a"/>
    <w:qFormat/>
    <w:pPr>
      <w:widowControl/>
      <w:ind w:firstLine="482"/>
      <w:jc w:val="left"/>
    </w:pPr>
    <w:rPr>
      <w:rFonts w:ascii="宋体" w:hAnsi="宋体" w:cs="宋体"/>
      <w:kern w:val="0"/>
    </w:rPr>
  </w:style>
  <w:style w:type="paragraph" w:customStyle="1" w:styleId="245">
    <w:name w:val="图题24"/>
    <w:basedOn w:val="affff4"/>
    <w:next w:val="affff4"/>
    <w:pPr>
      <w:ind w:firstLine="0"/>
      <w:jc w:val="center"/>
    </w:pPr>
    <w:rPr>
      <w:rFonts w:ascii="黑体" w:eastAsia="黑体" w:hAnsi="宋体" w:cs="宋体"/>
      <w:b/>
      <w:bCs/>
      <w:szCs w:val="24"/>
    </w:rPr>
  </w:style>
  <w:style w:type="paragraph" w:customStyle="1" w:styleId="32c">
    <w:name w:val="附件32"/>
    <w:basedOn w:val="1"/>
    <w:next w:val="affff4"/>
    <w:qFormat/>
    <w:pPr>
      <w:numPr>
        <w:numId w:val="0"/>
      </w:numPr>
      <w:spacing w:after="120"/>
      <w:jc w:val="left"/>
    </w:pPr>
    <w:rPr>
      <w:rFonts w:ascii="黑体" w:eastAsia="黑体"/>
      <w:b w:val="0"/>
      <w:sz w:val="32"/>
      <w:szCs w:val="32"/>
      <w:lang w:val="zh-CN"/>
    </w:rPr>
  </w:style>
  <w:style w:type="paragraph" w:customStyle="1" w:styleId="21115">
    <w:name w:val="正文格式2111"/>
    <w:basedOn w:val="a"/>
    <w:qFormat/>
    <w:pPr>
      <w:widowControl/>
      <w:ind w:firstLine="482"/>
      <w:jc w:val="left"/>
    </w:pPr>
    <w:rPr>
      <w:rFonts w:ascii="宋体" w:hAnsi="宋体" w:cs="宋体"/>
      <w:kern w:val="0"/>
    </w:rPr>
  </w:style>
  <w:style w:type="paragraph" w:customStyle="1" w:styleId="713">
    <w:name w:val="正文格式71"/>
    <w:basedOn w:val="a"/>
    <w:qFormat/>
    <w:pPr>
      <w:widowControl/>
      <w:ind w:firstLine="482"/>
      <w:jc w:val="left"/>
    </w:pPr>
    <w:rPr>
      <w:rFonts w:ascii="宋体" w:hAnsi="宋体" w:cs="宋体"/>
      <w:kern w:val="0"/>
    </w:rPr>
  </w:style>
  <w:style w:type="paragraph" w:customStyle="1" w:styleId="ParaChar411">
    <w:name w:val="默认段落字体 Para Char411"/>
    <w:basedOn w:val="a"/>
    <w:next w:val="a"/>
    <w:qFormat/>
    <w:pPr>
      <w:widowControl/>
      <w:spacing w:line="480" w:lineRule="exact"/>
      <w:jc w:val="left"/>
    </w:pPr>
    <w:rPr>
      <w:rFonts w:ascii="宋体" w:eastAsia="汉鼎简书宋" w:hAnsi="宋体" w:cs="宋体"/>
      <w:kern w:val="0"/>
    </w:rPr>
  </w:style>
  <w:style w:type="paragraph" w:customStyle="1" w:styleId="33a">
    <w:name w:val="表格内字体33"/>
    <w:basedOn w:val="affff4"/>
    <w:next w:val="affff4"/>
    <w:qFormat/>
    <w:pPr>
      <w:spacing w:line="240" w:lineRule="auto"/>
      <w:ind w:firstLine="0"/>
      <w:jc w:val="center"/>
    </w:pPr>
    <w:rPr>
      <w:rFonts w:hAnsi="宋体"/>
      <w:sz w:val="21"/>
      <w:szCs w:val="24"/>
    </w:rPr>
  </w:style>
  <w:style w:type="paragraph" w:customStyle="1" w:styleId="1020">
    <w:name w:val="正文格式102"/>
    <w:basedOn w:val="a"/>
    <w:qFormat/>
    <w:pPr>
      <w:widowControl/>
      <w:ind w:firstLine="482"/>
      <w:jc w:val="left"/>
    </w:pPr>
    <w:rPr>
      <w:rFonts w:ascii="宋体" w:hAnsi="宋体" w:cs="宋体"/>
      <w:kern w:val="0"/>
    </w:rPr>
  </w:style>
  <w:style w:type="paragraph" w:customStyle="1" w:styleId="246">
    <w:name w:val="正文24"/>
    <w:qFormat/>
    <w:pPr>
      <w:adjustRightInd w:val="0"/>
      <w:snapToGrid w:val="0"/>
      <w:spacing w:line="480" w:lineRule="atLeast"/>
      <w:jc w:val="center"/>
    </w:pPr>
    <w:rPr>
      <w:rFonts w:ascii="宋体"/>
      <w:snapToGrid w:val="0"/>
      <w:spacing w:val="6"/>
      <w:sz w:val="21"/>
    </w:rPr>
  </w:style>
  <w:style w:type="paragraph" w:customStyle="1" w:styleId="12130">
    <w:name w:val="表题1213"/>
    <w:basedOn w:val="ab"/>
    <w:qFormat/>
    <w:pPr>
      <w:widowControl/>
      <w:ind w:firstLineChars="0" w:firstLine="0"/>
      <w:jc w:val="center"/>
    </w:pPr>
    <w:rPr>
      <w:rFonts w:ascii="黑体" w:cs="Arial"/>
    </w:rPr>
  </w:style>
  <w:style w:type="paragraph" w:customStyle="1" w:styleId="5214">
    <w:name w:val="表文字521"/>
    <w:basedOn w:val="a"/>
    <w:qFormat/>
    <w:pPr>
      <w:widowControl/>
      <w:jc w:val="left"/>
      <w:textAlignment w:val="baseline"/>
    </w:pPr>
    <w:rPr>
      <w:rFonts w:ascii="宋体" w:hAnsi="宋体" w:cs="宋体"/>
      <w:kern w:val="0"/>
      <w:szCs w:val="20"/>
    </w:rPr>
  </w:style>
  <w:style w:type="paragraph" w:customStyle="1" w:styleId="913">
    <w:name w:val="正文格式91"/>
    <w:basedOn w:val="a"/>
    <w:qFormat/>
    <w:pPr>
      <w:widowControl/>
      <w:ind w:firstLine="482"/>
      <w:jc w:val="left"/>
    </w:pPr>
    <w:rPr>
      <w:rFonts w:ascii="宋体" w:hAnsi="宋体" w:cs="宋体"/>
      <w:kern w:val="0"/>
    </w:rPr>
  </w:style>
  <w:style w:type="paragraph" w:customStyle="1" w:styleId="1216">
    <w:name w:val="表格内字体121"/>
    <w:basedOn w:val="affff4"/>
    <w:next w:val="affff4"/>
    <w:qFormat/>
    <w:pPr>
      <w:spacing w:line="240" w:lineRule="auto"/>
      <w:ind w:firstLine="0"/>
      <w:jc w:val="center"/>
    </w:pPr>
    <w:rPr>
      <w:rFonts w:hAnsi="宋体"/>
      <w:sz w:val="21"/>
      <w:szCs w:val="24"/>
    </w:rPr>
  </w:style>
  <w:style w:type="paragraph" w:customStyle="1" w:styleId="43a">
    <w:name w:val="表格内字体43"/>
    <w:basedOn w:val="affff4"/>
    <w:next w:val="affff4"/>
    <w:pPr>
      <w:spacing w:line="240" w:lineRule="auto"/>
      <w:ind w:firstLine="0"/>
      <w:jc w:val="center"/>
    </w:pPr>
    <w:rPr>
      <w:rFonts w:hAnsi="宋体"/>
      <w:sz w:val="21"/>
      <w:szCs w:val="24"/>
    </w:rPr>
  </w:style>
  <w:style w:type="paragraph" w:customStyle="1" w:styleId="53a">
    <w:name w:val="图题53"/>
    <w:basedOn w:val="affff4"/>
    <w:next w:val="affff4"/>
    <w:qFormat/>
    <w:pPr>
      <w:ind w:firstLine="0"/>
      <w:jc w:val="center"/>
    </w:pPr>
    <w:rPr>
      <w:rFonts w:ascii="黑体" w:eastAsia="黑体" w:hAnsi="宋体" w:cs="宋体"/>
      <w:b/>
      <w:bCs/>
      <w:szCs w:val="24"/>
    </w:rPr>
  </w:style>
  <w:style w:type="paragraph" w:customStyle="1" w:styleId="ParaChar13">
    <w:name w:val="默认段落字体 Para Char13"/>
    <w:basedOn w:val="a"/>
    <w:next w:val="a"/>
    <w:qFormat/>
    <w:pPr>
      <w:widowControl/>
      <w:spacing w:line="480" w:lineRule="exact"/>
      <w:jc w:val="left"/>
    </w:pPr>
    <w:rPr>
      <w:rFonts w:ascii="宋体" w:eastAsia="汉鼎简书宋" w:hAnsi="宋体" w:cs="宋体"/>
      <w:kern w:val="0"/>
    </w:rPr>
  </w:style>
  <w:style w:type="paragraph" w:customStyle="1" w:styleId="723">
    <w:name w:val="图题72"/>
    <w:basedOn w:val="affff4"/>
    <w:next w:val="affff4"/>
    <w:qFormat/>
    <w:pPr>
      <w:ind w:firstLine="0"/>
      <w:jc w:val="center"/>
    </w:pPr>
    <w:rPr>
      <w:rFonts w:ascii="黑体" w:eastAsia="黑体" w:hAnsi="宋体" w:cs="宋体"/>
      <w:b/>
      <w:bCs/>
      <w:szCs w:val="24"/>
    </w:rPr>
  </w:style>
  <w:style w:type="paragraph" w:customStyle="1" w:styleId="22f3">
    <w:name w:val="样式 正文缩进 + 宋体 黑色 首行缩进:  2 字符2"/>
    <w:basedOn w:val="1fb"/>
    <w:qFormat/>
    <w:pPr>
      <w:ind w:firstLine="480"/>
    </w:pPr>
    <w:rPr>
      <w:rFonts w:cs="宋体"/>
      <w:color w:val="FF00FF"/>
    </w:rPr>
  </w:style>
  <w:style w:type="paragraph" w:customStyle="1" w:styleId="633">
    <w:name w:val="表格内字体63"/>
    <w:basedOn w:val="affff4"/>
    <w:next w:val="affff4"/>
    <w:qFormat/>
    <w:pPr>
      <w:spacing w:line="240" w:lineRule="auto"/>
      <w:ind w:firstLine="0"/>
      <w:jc w:val="center"/>
    </w:pPr>
    <w:rPr>
      <w:rFonts w:hAnsi="宋体"/>
      <w:sz w:val="21"/>
      <w:szCs w:val="24"/>
    </w:rPr>
  </w:style>
  <w:style w:type="paragraph" w:customStyle="1" w:styleId="211f0">
    <w:name w:val="表格内字体211"/>
    <w:basedOn w:val="affff4"/>
    <w:next w:val="affff4"/>
    <w:qFormat/>
    <w:pPr>
      <w:spacing w:line="240" w:lineRule="auto"/>
      <w:ind w:firstLine="0"/>
      <w:jc w:val="center"/>
    </w:pPr>
    <w:rPr>
      <w:rFonts w:hAnsi="宋体"/>
      <w:sz w:val="21"/>
      <w:szCs w:val="24"/>
    </w:rPr>
  </w:style>
  <w:style w:type="paragraph" w:customStyle="1" w:styleId="6113">
    <w:name w:val="图题611"/>
    <w:basedOn w:val="affff4"/>
    <w:next w:val="affff4"/>
    <w:qFormat/>
    <w:pPr>
      <w:ind w:firstLine="0"/>
      <w:jc w:val="center"/>
    </w:pPr>
    <w:rPr>
      <w:rFonts w:ascii="黑体" w:eastAsia="黑体" w:hAnsi="宋体" w:cs="宋体"/>
      <w:b/>
      <w:bCs/>
      <w:kern w:val="0"/>
      <w:szCs w:val="24"/>
    </w:rPr>
  </w:style>
  <w:style w:type="paragraph" w:customStyle="1" w:styleId="21122">
    <w:name w:val="图题2112"/>
    <w:basedOn w:val="affff4"/>
    <w:next w:val="affff4"/>
    <w:qFormat/>
    <w:pPr>
      <w:ind w:firstLine="0"/>
      <w:jc w:val="center"/>
    </w:pPr>
    <w:rPr>
      <w:rFonts w:ascii="黑体" w:eastAsia="黑体" w:hAnsi="宋体" w:cs="宋体"/>
      <w:b/>
      <w:bCs/>
      <w:szCs w:val="24"/>
    </w:rPr>
  </w:style>
  <w:style w:type="paragraph" w:customStyle="1" w:styleId="51211">
    <w:name w:val="表文字5121"/>
    <w:basedOn w:val="a"/>
    <w:pPr>
      <w:widowControl/>
      <w:jc w:val="left"/>
      <w:textAlignment w:val="baseline"/>
    </w:pPr>
    <w:rPr>
      <w:rFonts w:ascii="宋体" w:hAnsi="宋体" w:cs="宋体"/>
      <w:kern w:val="0"/>
      <w:szCs w:val="20"/>
    </w:rPr>
  </w:style>
  <w:style w:type="paragraph" w:customStyle="1" w:styleId="3fff6">
    <w:name w:val="图题注3"/>
    <w:basedOn w:val="ab"/>
    <w:qFormat/>
    <w:pPr>
      <w:widowControl/>
      <w:ind w:firstLineChars="0" w:firstLine="0"/>
      <w:jc w:val="center"/>
    </w:pPr>
    <w:rPr>
      <w:rFonts w:ascii="黑体" w:cs="宋体"/>
      <w:b/>
      <w:bCs/>
    </w:rPr>
  </w:style>
  <w:style w:type="paragraph" w:customStyle="1" w:styleId="3fff7">
    <w:name w:val="注释3"/>
    <w:basedOn w:val="affff4"/>
    <w:next w:val="a0"/>
    <w:qFormat/>
    <w:pPr>
      <w:spacing w:before="120" w:after="120" w:line="240" w:lineRule="auto"/>
      <w:ind w:firstLine="200"/>
    </w:pPr>
    <w:rPr>
      <w:rFonts w:hAnsi="Times New Roman" w:cs="宋体"/>
      <w:sz w:val="21"/>
      <w:szCs w:val="20"/>
    </w:rPr>
  </w:style>
  <w:style w:type="paragraph" w:customStyle="1" w:styleId="162">
    <w:name w:val="表题162"/>
    <w:basedOn w:val="ab"/>
    <w:qFormat/>
    <w:pPr>
      <w:widowControl/>
      <w:ind w:firstLineChars="0" w:firstLine="0"/>
      <w:jc w:val="center"/>
    </w:pPr>
    <w:rPr>
      <w:rFonts w:ascii="黑体" w:cs="Arial"/>
      <w:b/>
    </w:rPr>
  </w:style>
  <w:style w:type="paragraph" w:customStyle="1" w:styleId="111f3">
    <w:name w:val="正文格式111"/>
    <w:basedOn w:val="a"/>
    <w:qFormat/>
    <w:pPr>
      <w:widowControl/>
      <w:ind w:firstLine="482"/>
      <w:jc w:val="left"/>
    </w:pPr>
    <w:rPr>
      <w:rFonts w:ascii="宋体" w:hAnsi="宋体" w:cs="宋体"/>
      <w:kern w:val="0"/>
    </w:rPr>
  </w:style>
  <w:style w:type="paragraph" w:customStyle="1" w:styleId="Char532">
    <w:name w:val="Char53"/>
    <w:basedOn w:val="a"/>
    <w:qFormat/>
    <w:pPr>
      <w:widowControl/>
      <w:ind w:left="-45"/>
      <w:jc w:val="left"/>
    </w:pPr>
    <w:rPr>
      <w:rFonts w:ascii="宋体" w:hAnsi="宋体" w:cs="宋体"/>
      <w:kern w:val="0"/>
    </w:rPr>
  </w:style>
  <w:style w:type="paragraph" w:customStyle="1" w:styleId="247">
    <w:name w:val="表格内字体24"/>
    <w:basedOn w:val="affff4"/>
    <w:next w:val="affff4"/>
    <w:qFormat/>
    <w:pPr>
      <w:spacing w:line="240" w:lineRule="auto"/>
      <w:ind w:firstLine="0"/>
      <w:jc w:val="center"/>
    </w:pPr>
    <w:rPr>
      <w:rFonts w:hAnsi="宋体"/>
      <w:sz w:val="21"/>
      <w:szCs w:val="24"/>
    </w:rPr>
  </w:style>
  <w:style w:type="paragraph" w:customStyle="1" w:styleId="12fa">
    <w:name w:val="表格12"/>
    <w:basedOn w:val="a"/>
    <w:qFormat/>
    <w:pPr>
      <w:widowControl/>
      <w:jc w:val="center"/>
      <w:textAlignment w:val="baseline"/>
    </w:pPr>
    <w:rPr>
      <w:rFonts w:ascii="宋体" w:hAnsi="宋体" w:cs="宋体"/>
      <w:kern w:val="0"/>
      <w:szCs w:val="20"/>
    </w:rPr>
  </w:style>
  <w:style w:type="paragraph" w:customStyle="1" w:styleId="4119">
    <w:name w:val="表格内字体411"/>
    <w:basedOn w:val="affff4"/>
    <w:next w:val="affff4"/>
    <w:qFormat/>
    <w:pPr>
      <w:spacing w:line="240" w:lineRule="auto"/>
      <w:ind w:firstLine="0"/>
      <w:jc w:val="center"/>
    </w:pPr>
    <w:rPr>
      <w:rFonts w:hAnsi="宋体"/>
      <w:sz w:val="21"/>
      <w:szCs w:val="24"/>
    </w:rPr>
  </w:style>
  <w:style w:type="paragraph" w:customStyle="1" w:styleId="21116">
    <w:name w:val="正文2111"/>
    <w:qFormat/>
    <w:pPr>
      <w:adjustRightInd w:val="0"/>
      <w:snapToGrid w:val="0"/>
      <w:spacing w:line="480" w:lineRule="atLeast"/>
      <w:jc w:val="center"/>
    </w:pPr>
    <w:rPr>
      <w:rFonts w:ascii="宋体"/>
      <w:snapToGrid w:val="0"/>
      <w:spacing w:val="6"/>
      <w:sz w:val="21"/>
    </w:rPr>
  </w:style>
  <w:style w:type="paragraph" w:customStyle="1" w:styleId="ParaChar211">
    <w:name w:val="默认段落字体 Para Char211"/>
    <w:basedOn w:val="a"/>
    <w:next w:val="a"/>
    <w:qFormat/>
    <w:pPr>
      <w:widowControl/>
      <w:spacing w:line="480" w:lineRule="exact"/>
      <w:jc w:val="left"/>
    </w:pPr>
    <w:rPr>
      <w:rFonts w:ascii="宋体" w:eastAsia="汉鼎简书宋" w:hAnsi="宋体" w:cs="宋体"/>
      <w:kern w:val="0"/>
    </w:rPr>
  </w:style>
  <w:style w:type="paragraph" w:customStyle="1" w:styleId="52121">
    <w:name w:val="表文字5212"/>
    <w:basedOn w:val="a"/>
    <w:qFormat/>
    <w:pPr>
      <w:widowControl/>
      <w:jc w:val="left"/>
      <w:textAlignment w:val="baseline"/>
    </w:pPr>
    <w:rPr>
      <w:rFonts w:ascii="宋体" w:hAnsi="宋体" w:cs="宋体"/>
      <w:kern w:val="0"/>
      <w:szCs w:val="20"/>
    </w:rPr>
  </w:style>
  <w:style w:type="paragraph" w:customStyle="1" w:styleId="ParaChar51">
    <w:name w:val="默认段落字体 Para Char51"/>
    <w:basedOn w:val="a"/>
    <w:next w:val="a"/>
    <w:qFormat/>
    <w:pPr>
      <w:widowControl/>
      <w:spacing w:line="480" w:lineRule="exact"/>
      <w:jc w:val="left"/>
    </w:pPr>
    <w:rPr>
      <w:rFonts w:ascii="宋体" w:eastAsia="汉鼎简书宋" w:hAnsi="宋体" w:cs="宋体"/>
      <w:kern w:val="0"/>
    </w:rPr>
  </w:style>
  <w:style w:type="paragraph" w:customStyle="1" w:styleId="11ff2">
    <w:name w:val="表格11"/>
    <w:basedOn w:val="a"/>
    <w:qFormat/>
    <w:pPr>
      <w:widowControl/>
      <w:jc w:val="center"/>
      <w:textAlignment w:val="baseline"/>
    </w:pPr>
    <w:rPr>
      <w:rFonts w:ascii="宋体" w:hAnsi="宋体" w:cs="宋体"/>
      <w:kern w:val="0"/>
      <w:szCs w:val="20"/>
    </w:rPr>
  </w:style>
  <w:style w:type="paragraph" w:customStyle="1" w:styleId="714">
    <w:name w:val="图题71"/>
    <w:basedOn w:val="affff4"/>
    <w:next w:val="affff4"/>
    <w:qFormat/>
    <w:pPr>
      <w:ind w:firstLine="0"/>
      <w:jc w:val="center"/>
    </w:pPr>
    <w:rPr>
      <w:rFonts w:ascii="黑体" w:eastAsia="黑体" w:hAnsi="宋体" w:cs="宋体"/>
      <w:b/>
      <w:bCs/>
      <w:szCs w:val="24"/>
    </w:rPr>
  </w:style>
  <w:style w:type="paragraph" w:customStyle="1" w:styleId="23c">
    <w:name w:val="正文23"/>
    <w:qFormat/>
    <w:pPr>
      <w:adjustRightInd w:val="0"/>
      <w:snapToGrid w:val="0"/>
      <w:spacing w:line="480" w:lineRule="atLeast"/>
      <w:jc w:val="center"/>
    </w:pPr>
    <w:rPr>
      <w:rFonts w:ascii="宋体"/>
      <w:snapToGrid w:val="0"/>
      <w:spacing w:val="6"/>
      <w:sz w:val="21"/>
    </w:rPr>
  </w:style>
  <w:style w:type="paragraph" w:customStyle="1" w:styleId="170">
    <w:name w:val="表题17"/>
    <w:basedOn w:val="ab"/>
    <w:qFormat/>
    <w:pPr>
      <w:widowControl/>
      <w:ind w:firstLineChars="0" w:firstLine="0"/>
      <w:jc w:val="center"/>
    </w:pPr>
    <w:rPr>
      <w:rFonts w:ascii="黑体" w:cs="Arial"/>
      <w:b/>
    </w:rPr>
  </w:style>
  <w:style w:type="paragraph" w:customStyle="1" w:styleId="23d">
    <w:name w:val="正文格式23"/>
    <w:basedOn w:val="a"/>
    <w:qFormat/>
    <w:pPr>
      <w:widowControl/>
      <w:ind w:firstLine="482"/>
      <w:jc w:val="left"/>
    </w:pPr>
    <w:rPr>
      <w:rFonts w:ascii="宋体" w:hAnsi="宋体" w:cs="宋体"/>
      <w:kern w:val="0"/>
    </w:rPr>
  </w:style>
  <w:style w:type="paragraph" w:customStyle="1" w:styleId="5134">
    <w:name w:val="表文字513"/>
    <w:basedOn w:val="a"/>
    <w:pPr>
      <w:widowControl/>
      <w:jc w:val="left"/>
      <w:textAlignment w:val="baseline"/>
    </w:pPr>
    <w:rPr>
      <w:rFonts w:ascii="宋体" w:hAnsi="宋体" w:cs="宋体"/>
      <w:kern w:val="0"/>
      <w:szCs w:val="20"/>
    </w:rPr>
  </w:style>
  <w:style w:type="paragraph" w:customStyle="1" w:styleId="52e">
    <w:name w:val="正文格式52"/>
    <w:basedOn w:val="a"/>
    <w:qFormat/>
    <w:pPr>
      <w:widowControl/>
      <w:ind w:firstLine="482"/>
      <w:jc w:val="left"/>
    </w:pPr>
    <w:rPr>
      <w:rFonts w:ascii="宋体" w:hAnsi="宋体" w:cs="宋体"/>
      <w:kern w:val="0"/>
    </w:rPr>
  </w:style>
  <w:style w:type="paragraph" w:customStyle="1" w:styleId="23-4711">
    <w:name w:val="23-47表名11"/>
    <w:basedOn w:val="a"/>
    <w:qFormat/>
    <w:pPr>
      <w:widowControl/>
      <w:spacing w:after="156" w:line="440" w:lineRule="exact"/>
      <w:jc w:val="center"/>
    </w:pPr>
    <w:rPr>
      <w:rFonts w:ascii="宋体" w:hAnsi="宋体" w:cs="宋体"/>
      <w:b/>
      <w:kern w:val="0"/>
    </w:rPr>
  </w:style>
  <w:style w:type="paragraph" w:customStyle="1" w:styleId="2224">
    <w:name w:val="正文222"/>
    <w:qFormat/>
    <w:pPr>
      <w:adjustRightInd w:val="0"/>
      <w:snapToGrid w:val="0"/>
      <w:spacing w:line="480" w:lineRule="atLeast"/>
      <w:jc w:val="center"/>
    </w:pPr>
    <w:rPr>
      <w:rFonts w:ascii="宋体"/>
      <w:snapToGrid w:val="0"/>
      <w:spacing w:val="6"/>
      <w:sz w:val="21"/>
    </w:rPr>
  </w:style>
  <w:style w:type="paragraph" w:customStyle="1" w:styleId="160">
    <w:name w:val="表题16"/>
    <w:basedOn w:val="ab"/>
    <w:qFormat/>
    <w:pPr>
      <w:widowControl/>
      <w:ind w:firstLineChars="0" w:firstLine="0"/>
      <w:jc w:val="center"/>
    </w:pPr>
    <w:rPr>
      <w:rFonts w:ascii="黑体" w:cs="Arial"/>
      <w:b/>
    </w:rPr>
  </w:style>
  <w:style w:type="paragraph" w:customStyle="1" w:styleId="1420">
    <w:name w:val="表题142"/>
    <w:basedOn w:val="ab"/>
    <w:qFormat/>
    <w:pPr>
      <w:widowControl/>
      <w:ind w:firstLineChars="0" w:firstLine="0"/>
      <w:jc w:val="center"/>
    </w:pPr>
    <w:rPr>
      <w:rFonts w:ascii="黑体" w:cs="Arial"/>
      <w:b/>
    </w:rPr>
  </w:style>
  <w:style w:type="paragraph" w:customStyle="1" w:styleId="616">
    <w:name w:val="表格内字体61"/>
    <w:basedOn w:val="affff4"/>
    <w:next w:val="affff4"/>
    <w:qFormat/>
    <w:pPr>
      <w:spacing w:line="240" w:lineRule="auto"/>
      <w:ind w:firstLine="0"/>
      <w:jc w:val="center"/>
    </w:pPr>
    <w:rPr>
      <w:rFonts w:hAnsi="宋体"/>
      <w:sz w:val="21"/>
      <w:szCs w:val="24"/>
    </w:rPr>
  </w:style>
  <w:style w:type="paragraph" w:customStyle="1" w:styleId="ParaChar6">
    <w:name w:val="默认段落字体 Para Char6"/>
    <w:basedOn w:val="a"/>
    <w:next w:val="a"/>
    <w:qFormat/>
    <w:pPr>
      <w:widowControl/>
      <w:spacing w:line="480" w:lineRule="exact"/>
      <w:jc w:val="left"/>
    </w:pPr>
    <w:rPr>
      <w:rFonts w:ascii="宋体" w:eastAsia="汉鼎简书宋" w:hAnsi="宋体" w:cs="宋体"/>
      <w:kern w:val="0"/>
    </w:rPr>
  </w:style>
  <w:style w:type="paragraph" w:customStyle="1" w:styleId="11117">
    <w:name w:val="表内文字小1111"/>
    <w:basedOn w:val="a"/>
    <w:qFormat/>
    <w:pPr>
      <w:widowControl/>
      <w:jc w:val="left"/>
    </w:pPr>
    <w:rPr>
      <w:rFonts w:ascii="宋体" w:hAnsi="Times" w:cs="宋体"/>
      <w:kern w:val="0"/>
      <w:szCs w:val="20"/>
    </w:rPr>
  </w:style>
  <w:style w:type="paragraph" w:customStyle="1" w:styleId="13120">
    <w:name w:val="表题1312"/>
    <w:basedOn w:val="ab"/>
    <w:qFormat/>
    <w:pPr>
      <w:widowControl/>
      <w:ind w:firstLineChars="0" w:firstLine="0"/>
      <w:jc w:val="center"/>
    </w:pPr>
    <w:rPr>
      <w:rFonts w:ascii="黑体" w:cs="Arial"/>
      <w:b/>
    </w:rPr>
  </w:style>
  <w:style w:type="paragraph" w:customStyle="1" w:styleId="11118">
    <w:name w:val="表题1111"/>
    <w:basedOn w:val="ab"/>
    <w:qFormat/>
    <w:pPr>
      <w:widowControl/>
      <w:ind w:firstLineChars="0" w:firstLine="0"/>
      <w:jc w:val="center"/>
    </w:pPr>
    <w:rPr>
      <w:rFonts w:ascii="黑体" w:cs="Arial"/>
    </w:rPr>
  </w:style>
  <w:style w:type="paragraph" w:customStyle="1" w:styleId="21117">
    <w:name w:val="表格内字体2111"/>
    <w:basedOn w:val="affff4"/>
    <w:next w:val="affff4"/>
    <w:qFormat/>
    <w:pPr>
      <w:spacing w:line="240" w:lineRule="auto"/>
      <w:ind w:firstLine="0"/>
      <w:jc w:val="center"/>
    </w:pPr>
    <w:rPr>
      <w:rFonts w:hAnsi="宋体"/>
      <w:sz w:val="21"/>
      <w:szCs w:val="24"/>
    </w:rPr>
  </w:style>
  <w:style w:type="paragraph" w:customStyle="1" w:styleId="21fc">
    <w:name w:val="样式 表格内字体 +21"/>
    <w:basedOn w:val="affffff1"/>
    <w:qFormat/>
    <w:pPr>
      <w:spacing w:line="280" w:lineRule="exact"/>
      <w:ind w:firstLine="36"/>
      <w:jc w:val="both"/>
    </w:pPr>
    <w:rPr>
      <w:rFonts w:hAnsi="宋体"/>
      <w:sz w:val="21"/>
      <w:szCs w:val="24"/>
    </w:rPr>
  </w:style>
  <w:style w:type="paragraph" w:customStyle="1" w:styleId="11ff3">
    <w:name w:val="样式 表格内字体 +11"/>
    <w:basedOn w:val="affffff1"/>
    <w:qFormat/>
    <w:pPr>
      <w:spacing w:line="280" w:lineRule="exact"/>
      <w:ind w:firstLine="36"/>
      <w:jc w:val="both"/>
    </w:pPr>
    <w:rPr>
      <w:rFonts w:hAnsi="宋体"/>
      <w:sz w:val="21"/>
      <w:szCs w:val="24"/>
    </w:rPr>
  </w:style>
  <w:style w:type="paragraph" w:customStyle="1" w:styleId="112f0">
    <w:name w:val="表内文字小112"/>
    <w:basedOn w:val="a"/>
    <w:qFormat/>
    <w:pPr>
      <w:widowControl/>
      <w:jc w:val="left"/>
    </w:pPr>
    <w:rPr>
      <w:rFonts w:ascii="宋体" w:hAnsi="Times" w:cs="宋体"/>
      <w:kern w:val="0"/>
      <w:szCs w:val="20"/>
    </w:rPr>
  </w:style>
  <w:style w:type="paragraph" w:customStyle="1" w:styleId="2216">
    <w:name w:val="图题221"/>
    <w:basedOn w:val="affff4"/>
    <w:next w:val="affff4"/>
    <w:qFormat/>
    <w:pPr>
      <w:ind w:firstLine="0"/>
      <w:jc w:val="center"/>
    </w:pPr>
    <w:rPr>
      <w:rFonts w:ascii="黑体" w:eastAsia="黑体" w:hAnsi="宋体" w:cs="宋体"/>
      <w:b/>
      <w:bCs/>
      <w:szCs w:val="24"/>
    </w:rPr>
  </w:style>
  <w:style w:type="paragraph" w:customStyle="1" w:styleId="11119">
    <w:name w:val="表格内字体1111"/>
    <w:basedOn w:val="affff4"/>
    <w:qFormat/>
    <w:pPr>
      <w:spacing w:line="240" w:lineRule="auto"/>
      <w:ind w:firstLine="0"/>
      <w:jc w:val="center"/>
    </w:pPr>
    <w:rPr>
      <w:rFonts w:hAnsi="Times New Roman" w:cs="宋体"/>
      <w:sz w:val="21"/>
      <w:szCs w:val="20"/>
    </w:rPr>
  </w:style>
  <w:style w:type="paragraph" w:customStyle="1" w:styleId="ParaChar112">
    <w:name w:val="默认段落字体 Para Char112"/>
    <w:basedOn w:val="a"/>
    <w:next w:val="a"/>
    <w:qFormat/>
    <w:pPr>
      <w:widowControl/>
      <w:spacing w:line="480" w:lineRule="exact"/>
      <w:jc w:val="left"/>
    </w:pPr>
    <w:rPr>
      <w:rFonts w:ascii="宋体" w:eastAsia="汉鼎简书宋" w:hAnsi="宋体" w:cs="宋体"/>
      <w:kern w:val="0"/>
    </w:rPr>
  </w:style>
  <w:style w:type="paragraph" w:customStyle="1" w:styleId="99">
    <w:name w:val="表格内字体9"/>
    <w:basedOn w:val="affff4"/>
    <w:next w:val="affff4"/>
    <w:pPr>
      <w:spacing w:line="240" w:lineRule="auto"/>
      <w:ind w:firstLine="0"/>
      <w:jc w:val="center"/>
    </w:pPr>
    <w:rPr>
      <w:rFonts w:hAnsi="宋体"/>
      <w:sz w:val="21"/>
      <w:szCs w:val="24"/>
    </w:rPr>
  </w:style>
  <w:style w:type="paragraph" w:customStyle="1" w:styleId="156">
    <w:name w:val="正文格式15"/>
    <w:basedOn w:val="a"/>
    <w:qFormat/>
    <w:pPr>
      <w:widowControl/>
      <w:ind w:firstLine="482"/>
      <w:jc w:val="left"/>
    </w:pPr>
    <w:rPr>
      <w:rFonts w:ascii="宋体" w:hAnsi="宋体" w:cs="宋体"/>
      <w:kern w:val="0"/>
    </w:rPr>
  </w:style>
  <w:style w:type="paragraph" w:customStyle="1" w:styleId="311a">
    <w:name w:val="表格内字体311"/>
    <w:basedOn w:val="affff4"/>
    <w:next w:val="affff4"/>
    <w:qFormat/>
    <w:pPr>
      <w:spacing w:line="240" w:lineRule="auto"/>
      <w:ind w:firstLine="0"/>
      <w:jc w:val="center"/>
    </w:pPr>
    <w:rPr>
      <w:rFonts w:hAnsi="宋体"/>
      <w:sz w:val="21"/>
      <w:szCs w:val="24"/>
    </w:rPr>
  </w:style>
  <w:style w:type="paragraph" w:customStyle="1" w:styleId="1511">
    <w:name w:val="表题1511"/>
    <w:basedOn w:val="ab"/>
    <w:qFormat/>
    <w:pPr>
      <w:widowControl/>
      <w:ind w:firstLineChars="0" w:firstLine="0"/>
      <w:jc w:val="center"/>
    </w:pPr>
    <w:rPr>
      <w:rFonts w:ascii="黑体" w:cs="Arial"/>
      <w:b/>
    </w:rPr>
  </w:style>
  <w:style w:type="paragraph" w:customStyle="1" w:styleId="Char5112">
    <w:name w:val="Char511"/>
    <w:basedOn w:val="a"/>
    <w:qFormat/>
    <w:pPr>
      <w:widowControl/>
      <w:ind w:left="-45"/>
      <w:jc w:val="left"/>
    </w:pPr>
    <w:rPr>
      <w:rFonts w:ascii="宋体" w:hAnsi="宋体" w:cs="宋体"/>
      <w:kern w:val="0"/>
    </w:rPr>
  </w:style>
  <w:style w:type="paragraph" w:customStyle="1" w:styleId="53110">
    <w:name w:val="表文字5311"/>
    <w:basedOn w:val="a"/>
    <w:qFormat/>
    <w:pPr>
      <w:widowControl/>
      <w:jc w:val="left"/>
      <w:textAlignment w:val="baseline"/>
    </w:pPr>
    <w:rPr>
      <w:rFonts w:ascii="宋体" w:hAnsi="宋体" w:cs="宋体"/>
      <w:kern w:val="0"/>
      <w:szCs w:val="20"/>
    </w:rPr>
  </w:style>
  <w:style w:type="paragraph" w:customStyle="1" w:styleId="1144">
    <w:name w:val="表内文字小114"/>
    <w:basedOn w:val="a"/>
    <w:qFormat/>
    <w:pPr>
      <w:widowControl/>
      <w:jc w:val="left"/>
    </w:pPr>
    <w:rPr>
      <w:rFonts w:ascii="宋体" w:hAnsi="Times" w:cs="宋体"/>
      <w:kern w:val="0"/>
      <w:szCs w:val="20"/>
    </w:rPr>
  </w:style>
  <w:style w:type="paragraph" w:customStyle="1" w:styleId="311b">
    <w:name w:val="正文格式311"/>
    <w:basedOn w:val="a"/>
    <w:qFormat/>
    <w:pPr>
      <w:widowControl/>
      <w:ind w:firstLine="482"/>
      <w:jc w:val="left"/>
    </w:pPr>
    <w:rPr>
      <w:rFonts w:ascii="宋体" w:hAnsi="宋体" w:cs="宋体"/>
      <w:kern w:val="0"/>
    </w:rPr>
  </w:style>
  <w:style w:type="paragraph" w:customStyle="1" w:styleId="33b">
    <w:name w:val="图题33"/>
    <w:basedOn w:val="affff4"/>
    <w:next w:val="affff4"/>
    <w:qFormat/>
    <w:pPr>
      <w:ind w:firstLine="0"/>
      <w:jc w:val="center"/>
    </w:pPr>
    <w:rPr>
      <w:rFonts w:ascii="黑体" w:eastAsia="黑体" w:hAnsi="宋体" w:cs="宋体"/>
      <w:b/>
      <w:bCs/>
      <w:szCs w:val="24"/>
    </w:rPr>
  </w:style>
  <w:style w:type="paragraph" w:customStyle="1" w:styleId="ParaChar11">
    <w:name w:val="默认段落字体 Para Char11"/>
    <w:basedOn w:val="a"/>
    <w:next w:val="a"/>
    <w:qFormat/>
    <w:pPr>
      <w:widowControl/>
      <w:spacing w:line="480" w:lineRule="exact"/>
      <w:jc w:val="left"/>
    </w:pPr>
    <w:rPr>
      <w:rFonts w:ascii="宋体" w:eastAsia="汉鼎简书宋" w:hAnsi="宋体" w:cs="宋体"/>
      <w:kern w:val="0"/>
    </w:rPr>
  </w:style>
  <w:style w:type="paragraph" w:customStyle="1" w:styleId="ParaChar23">
    <w:name w:val="默认段落字体 Para Char23"/>
    <w:basedOn w:val="a"/>
    <w:next w:val="a"/>
    <w:pPr>
      <w:widowControl/>
      <w:spacing w:line="480" w:lineRule="exact"/>
      <w:jc w:val="left"/>
    </w:pPr>
    <w:rPr>
      <w:rFonts w:ascii="宋体" w:eastAsia="汉鼎简书宋" w:hAnsi="宋体" w:cs="宋体"/>
      <w:kern w:val="0"/>
    </w:rPr>
  </w:style>
  <w:style w:type="paragraph" w:customStyle="1" w:styleId="111112">
    <w:name w:val="表题11111"/>
    <w:basedOn w:val="ab"/>
    <w:qFormat/>
    <w:pPr>
      <w:widowControl/>
      <w:ind w:firstLineChars="0" w:firstLine="0"/>
      <w:jc w:val="center"/>
    </w:pPr>
    <w:rPr>
      <w:rFonts w:ascii="黑体" w:cs="Arial"/>
    </w:rPr>
  </w:style>
  <w:style w:type="paragraph" w:customStyle="1" w:styleId="4124">
    <w:name w:val="图题412"/>
    <w:basedOn w:val="affff4"/>
    <w:next w:val="affff4"/>
    <w:pPr>
      <w:ind w:firstLine="0"/>
      <w:jc w:val="center"/>
    </w:pPr>
    <w:rPr>
      <w:rFonts w:ascii="黑体" w:eastAsia="黑体" w:hAnsi="宋体" w:cs="宋体"/>
      <w:b/>
      <w:bCs/>
      <w:szCs w:val="24"/>
    </w:rPr>
  </w:style>
  <w:style w:type="paragraph" w:customStyle="1" w:styleId="31114">
    <w:name w:val="表格内字体3111"/>
    <w:basedOn w:val="affff4"/>
    <w:next w:val="affff4"/>
    <w:qFormat/>
    <w:pPr>
      <w:spacing w:line="240" w:lineRule="auto"/>
      <w:ind w:firstLine="0"/>
      <w:jc w:val="center"/>
    </w:pPr>
    <w:rPr>
      <w:rFonts w:hAnsi="宋体"/>
      <w:sz w:val="21"/>
      <w:szCs w:val="24"/>
    </w:rPr>
  </w:style>
  <w:style w:type="paragraph" w:customStyle="1" w:styleId="13f3">
    <w:name w:val="图题13"/>
    <w:basedOn w:val="affff4"/>
    <w:next w:val="affff4"/>
    <w:qFormat/>
    <w:pPr>
      <w:ind w:firstLine="0"/>
      <w:jc w:val="center"/>
    </w:pPr>
    <w:rPr>
      <w:rFonts w:ascii="黑体" w:eastAsia="黑体" w:hAnsi="宋体" w:cs="宋体"/>
      <w:b/>
      <w:bCs/>
      <w:szCs w:val="24"/>
    </w:rPr>
  </w:style>
  <w:style w:type="paragraph" w:customStyle="1" w:styleId="212c">
    <w:name w:val="正文格式212"/>
    <w:basedOn w:val="a"/>
    <w:qFormat/>
    <w:pPr>
      <w:widowControl/>
      <w:ind w:firstLine="482"/>
      <w:jc w:val="left"/>
    </w:pPr>
    <w:rPr>
      <w:rFonts w:ascii="宋体" w:hAnsi="宋体" w:cs="宋体"/>
      <w:kern w:val="0"/>
    </w:rPr>
  </w:style>
  <w:style w:type="paragraph" w:customStyle="1" w:styleId="211f1">
    <w:name w:val="样式 正文缩进 + 宋体 黑色 首行缩进:  2 字符11"/>
    <w:basedOn w:val="1fb"/>
    <w:qFormat/>
    <w:pPr>
      <w:ind w:firstLine="480"/>
    </w:pPr>
    <w:rPr>
      <w:rFonts w:cs="宋体"/>
      <w:color w:val="FF00FF"/>
    </w:rPr>
  </w:style>
  <w:style w:type="paragraph" w:customStyle="1" w:styleId="21118">
    <w:name w:val="样式 样式 宋体 + 首行缩进:  2 字符111"/>
    <w:basedOn w:val="a"/>
    <w:qFormat/>
    <w:pPr>
      <w:widowControl/>
      <w:jc w:val="left"/>
    </w:pPr>
    <w:rPr>
      <w:rFonts w:ascii="宋体" w:hAnsi="宋体" w:cs="宋体"/>
      <w:kern w:val="0"/>
    </w:rPr>
  </w:style>
  <w:style w:type="paragraph" w:customStyle="1" w:styleId="42b">
    <w:name w:val="表格内字体42"/>
    <w:basedOn w:val="affff4"/>
    <w:next w:val="affff4"/>
    <w:pPr>
      <w:spacing w:line="240" w:lineRule="auto"/>
      <w:ind w:firstLine="0"/>
      <w:jc w:val="center"/>
    </w:pPr>
    <w:rPr>
      <w:rFonts w:hAnsi="宋体"/>
      <w:sz w:val="21"/>
      <w:szCs w:val="24"/>
    </w:rPr>
  </w:style>
  <w:style w:type="paragraph" w:customStyle="1" w:styleId="3fff8">
    <w:name w:val="样式 正文缩进 + 宋体 黑色3"/>
    <w:basedOn w:val="1fb"/>
    <w:qFormat/>
    <w:rPr>
      <w:color w:val="000000"/>
    </w:rPr>
  </w:style>
  <w:style w:type="paragraph" w:customStyle="1" w:styleId="4125">
    <w:name w:val="表格内字体412"/>
    <w:basedOn w:val="affff4"/>
    <w:next w:val="affff4"/>
    <w:qFormat/>
    <w:pPr>
      <w:spacing w:line="240" w:lineRule="auto"/>
      <w:ind w:firstLine="0"/>
      <w:jc w:val="center"/>
    </w:pPr>
    <w:rPr>
      <w:rFonts w:hAnsi="宋体"/>
      <w:sz w:val="21"/>
      <w:szCs w:val="24"/>
    </w:rPr>
  </w:style>
  <w:style w:type="paragraph" w:customStyle="1" w:styleId="814">
    <w:name w:val="正文格式81"/>
    <w:basedOn w:val="a"/>
    <w:qFormat/>
    <w:pPr>
      <w:widowControl/>
      <w:ind w:firstLine="482"/>
      <w:jc w:val="left"/>
    </w:pPr>
    <w:rPr>
      <w:rFonts w:ascii="宋体" w:hAnsi="宋体" w:cs="宋体"/>
      <w:kern w:val="0"/>
    </w:rPr>
  </w:style>
  <w:style w:type="paragraph" w:customStyle="1" w:styleId="13f4">
    <w:name w:val="表格13"/>
    <w:basedOn w:val="a"/>
    <w:qFormat/>
    <w:pPr>
      <w:widowControl/>
      <w:jc w:val="center"/>
      <w:textAlignment w:val="baseline"/>
    </w:pPr>
    <w:rPr>
      <w:rFonts w:ascii="宋体" w:hAnsi="宋体" w:cs="宋体"/>
      <w:kern w:val="0"/>
      <w:szCs w:val="20"/>
    </w:rPr>
  </w:style>
  <w:style w:type="paragraph" w:customStyle="1" w:styleId="4140">
    <w:name w:val="标题414"/>
    <w:basedOn w:val="4"/>
    <w:next w:val="a"/>
    <w:qFormat/>
    <w:pPr>
      <w:numPr>
        <w:ilvl w:val="0"/>
        <w:numId w:val="0"/>
      </w:numPr>
      <w:spacing w:before="160" w:after="170" w:line="360" w:lineRule="auto"/>
    </w:pPr>
    <w:rPr>
      <w:rFonts w:ascii="黑体" w:eastAsia="黑体" w:hAnsi="Arial" w:cs="Times New Roman"/>
      <w:kern w:val="2"/>
      <w:sz w:val="24"/>
    </w:rPr>
  </w:style>
  <w:style w:type="paragraph" w:customStyle="1" w:styleId="ParaChar42">
    <w:name w:val="默认段落字体 Para Char42"/>
    <w:basedOn w:val="a"/>
    <w:next w:val="a"/>
    <w:qFormat/>
    <w:pPr>
      <w:widowControl/>
      <w:spacing w:line="480" w:lineRule="exact"/>
      <w:jc w:val="left"/>
    </w:pPr>
    <w:rPr>
      <w:rFonts w:ascii="宋体" w:eastAsia="汉鼎简书宋" w:hAnsi="宋体" w:cs="宋体"/>
      <w:kern w:val="0"/>
    </w:rPr>
  </w:style>
  <w:style w:type="paragraph" w:customStyle="1" w:styleId="5315">
    <w:name w:val="表文字531"/>
    <w:basedOn w:val="a"/>
    <w:qFormat/>
    <w:pPr>
      <w:widowControl/>
      <w:jc w:val="left"/>
      <w:textAlignment w:val="baseline"/>
    </w:pPr>
    <w:rPr>
      <w:rFonts w:ascii="宋体" w:hAnsi="宋体" w:cs="宋体"/>
      <w:kern w:val="0"/>
      <w:szCs w:val="20"/>
    </w:rPr>
  </w:style>
  <w:style w:type="paragraph" w:customStyle="1" w:styleId="2fffff8">
    <w:name w:val="图题注2"/>
    <w:basedOn w:val="ab"/>
    <w:qFormat/>
    <w:pPr>
      <w:widowControl/>
      <w:ind w:firstLineChars="0" w:firstLine="0"/>
      <w:jc w:val="center"/>
    </w:pPr>
    <w:rPr>
      <w:rFonts w:ascii="黑体" w:cs="宋体"/>
      <w:b/>
      <w:bCs/>
    </w:rPr>
  </w:style>
  <w:style w:type="paragraph" w:customStyle="1" w:styleId="31f1">
    <w:name w:val="图题31"/>
    <w:basedOn w:val="affff4"/>
    <w:next w:val="affff4"/>
    <w:qFormat/>
    <w:pPr>
      <w:ind w:firstLine="0"/>
      <w:jc w:val="center"/>
    </w:pPr>
    <w:rPr>
      <w:rFonts w:ascii="黑体" w:eastAsia="黑体" w:hAnsi="宋体" w:cs="宋体"/>
      <w:b/>
      <w:bCs/>
      <w:szCs w:val="24"/>
    </w:rPr>
  </w:style>
  <w:style w:type="paragraph" w:customStyle="1" w:styleId="824">
    <w:name w:val="图题82"/>
    <w:basedOn w:val="affff4"/>
    <w:next w:val="affff4"/>
    <w:qFormat/>
    <w:pPr>
      <w:ind w:firstLine="0"/>
      <w:jc w:val="center"/>
    </w:pPr>
    <w:rPr>
      <w:rFonts w:ascii="黑体" w:eastAsia="黑体" w:hAnsi="宋体" w:cs="宋体"/>
      <w:b/>
      <w:bCs/>
      <w:szCs w:val="24"/>
    </w:rPr>
  </w:style>
  <w:style w:type="paragraph" w:customStyle="1" w:styleId="3128">
    <w:name w:val="表格内字体312"/>
    <w:basedOn w:val="affff4"/>
    <w:next w:val="affff4"/>
    <w:qFormat/>
    <w:pPr>
      <w:spacing w:line="240" w:lineRule="auto"/>
      <w:ind w:firstLine="0"/>
      <w:jc w:val="center"/>
    </w:pPr>
    <w:rPr>
      <w:rFonts w:hAnsi="宋体"/>
      <w:sz w:val="21"/>
      <w:szCs w:val="24"/>
    </w:rPr>
  </w:style>
  <w:style w:type="paragraph" w:customStyle="1" w:styleId="1430">
    <w:name w:val="表题143"/>
    <w:basedOn w:val="ab"/>
    <w:qFormat/>
    <w:pPr>
      <w:widowControl/>
      <w:ind w:firstLineChars="0" w:firstLine="0"/>
      <w:jc w:val="center"/>
    </w:pPr>
    <w:rPr>
      <w:rFonts w:ascii="黑体" w:cs="Arial"/>
      <w:b/>
    </w:rPr>
  </w:style>
  <w:style w:type="paragraph" w:customStyle="1" w:styleId="21123">
    <w:name w:val="正文格式2112"/>
    <w:basedOn w:val="a"/>
    <w:qFormat/>
    <w:pPr>
      <w:widowControl/>
      <w:ind w:firstLine="482"/>
      <w:jc w:val="left"/>
    </w:pPr>
    <w:rPr>
      <w:rFonts w:ascii="宋体" w:hAnsi="宋体" w:cs="宋体"/>
      <w:kern w:val="0"/>
    </w:rPr>
  </w:style>
  <w:style w:type="paragraph" w:customStyle="1" w:styleId="411a">
    <w:name w:val="燕山正文411"/>
    <w:basedOn w:val="a"/>
    <w:qFormat/>
    <w:pPr>
      <w:widowControl/>
      <w:tabs>
        <w:tab w:val="left" w:pos="4680"/>
      </w:tabs>
      <w:spacing w:line="480" w:lineRule="exact"/>
      <w:jc w:val="left"/>
    </w:pPr>
    <w:rPr>
      <w:rFonts w:ascii="宋体" w:hAnsi="宋体" w:cs="宋体"/>
      <w:kern w:val="0"/>
    </w:rPr>
  </w:style>
  <w:style w:type="paragraph" w:customStyle="1" w:styleId="21140">
    <w:name w:val="表题2114"/>
    <w:basedOn w:val="a"/>
    <w:pPr>
      <w:widowControl/>
      <w:jc w:val="center"/>
    </w:pPr>
    <w:rPr>
      <w:rFonts w:ascii="黑体" w:eastAsia="黑体" w:hAnsi="宋体" w:cs="宋体"/>
      <w:kern w:val="0"/>
    </w:rPr>
  </w:style>
  <w:style w:type="paragraph" w:customStyle="1" w:styleId="1137">
    <w:name w:val="表113"/>
    <w:basedOn w:val="a"/>
    <w:qFormat/>
    <w:pPr>
      <w:widowControl/>
      <w:jc w:val="center"/>
    </w:pPr>
    <w:rPr>
      <w:rFonts w:ascii="宋体" w:hAnsi="宋体" w:cs="宋体"/>
      <w:kern w:val="0"/>
    </w:rPr>
  </w:style>
  <w:style w:type="paragraph" w:customStyle="1" w:styleId="53b">
    <w:name w:val="正文修改53"/>
    <w:basedOn w:val="affffe"/>
    <w:qFormat/>
    <w:rPr>
      <w:rFonts w:eastAsia="宋体" w:hAnsi="宋体" w:cs="宋体"/>
      <w:color w:val="000000"/>
      <w:szCs w:val="24"/>
    </w:rPr>
  </w:style>
  <w:style w:type="paragraph" w:customStyle="1" w:styleId="23e">
    <w:name w:val="正文修改23"/>
    <w:basedOn w:val="affffe"/>
    <w:qFormat/>
    <w:rPr>
      <w:rFonts w:eastAsia="宋体" w:hAnsi="宋体" w:cs="宋体"/>
      <w:color w:val="000000"/>
      <w:szCs w:val="24"/>
    </w:rPr>
  </w:style>
  <w:style w:type="paragraph" w:customStyle="1" w:styleId="ParaCharCharCharChar14">
    <w:name w:val="默认段落字体 Para Char Char Char Char14"/>
    <w:basedOn w:val="a"/>
    <w:qFormat/>
    <w:pPr>
      <w:widowControl/>
      <w:jc w:val="left"/>
    </w:pPr>
    <w:rPr>
      <w:rFonts w:ascii="宋体" w:hAnsi="宋体" w:cs="宋体"/>
      <w:kern w:val="0"/>
    </w:rPr>
  </w:style>
  <w:style w:type="paragraph" w:customStyle="1" w:styleId="8212">
    <w:name w:val="表内文字小821"/>
    <w:basedOn w:val="a"/>
    <w:qFormat/>
    <w:pPr>
      <w:widowControl/>
      <w:jc w:val="center"/>
    </w:pPr>
    <w:rPr>
      <w:rFonts w:ascii="宋体" w:hAnsi="Times" w:cs="宋体"/>
      <w:kern w:val="0"/>
      <w:szCs w:val="20"/>
    </w:rPr>
  </w:style>
  <w:style w:type="paragraph" w:customStyle="1" w:styleId="444">
    <w:name w:val="黑体三号44"/>
    <w:basedOn w:val="affff4"/>
    <w:qFormat/>
    <w:pPr>
      <w:jc w:val="center"/>
    </w:pPr>
    <w:rPr>
      <w:rFonts w:ascii="黑体" w:eastAsia="黑体" w:hAnsi="宋体" w:cs="宋体"/>
      <w:b/>
      <w:bCs/>
      <w:sz w:val="32"/>
      <w:szCs w:val="20"/>
    </w:rPr>
  </w:style>
  <w:style w:type="paragraph" w:customStyle="1" w:styleId="c4">
    <w:name w:val="c4"/>
    <w:qFormat/>
    <w:pPr>
      <w:widowControl w:val="0"/>
      <w:autoSpaceDE w:val="0"/>
      <w:autoSpaceDN w:val="0"/>
      <w:adjustRightInd w:val="0"/>
      <w:jc w:val="both"/>
    </w:pPr>
    <w:rPr>
      <w:rFonts w:ascii="Arial" w:hAnsi="Arial"/>
      <w:sz w:val="24"/>
    </w:rPr>
  </w:style>
  <w:style w:type="paragraph" w:customStyle="1" w:styleId="Char4200">
    <w:name w:val="Char420"/>
    <w:basedOn w:val="a"/>
    <w:qFormat/>
    <w:pPr>
      <w:widowControl/>
      <w:ind w:left="-48"/>
      <w:jc w:val="left"/>
    </w:pPr>
    <w:rPr>
      <w:rFonts w:ascii="宋体" w:hAnsi="宋体" w:cs="宋体"/>
      <w:kern w:val="0"/>
    </w:rPr>
  </w:style>
  <w:style w:type="paragraph" w:customStyle="1" w:styleId="3129">
    <w:name w:val="表312"/>
    <w:basedOn w:val="a"/>
    <w:qFormat/>
    <w:pPr>
      <w:widowControl/>
      <w:jc w:val="center"/>
    </w:pPr>
    <w:rPr>
      <w:rFonts w:ascii="宋体" w:hAnsi="宋体" w:cs="宋体"/>
      <w:kern w:val="0"/>
    </w:rPr>
  </w:style>
  <w:style w:type="paragraph" w:customStyle="1" w:styleId="31140">
    <w:name w:val="表题3114"/>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13f5">
    <w:name w:val="正文格式＝13"/>
    <w:basedOn w:val="affff4"/>
    <w:next w:val="affff4"/>
    <w:qFormat/>
    <w:rPr>
      <w:rFonts w:hAnsi="宋体"/>
      <w:szCs w:val="24"/>
    </w:rPr>
  </w:style>
  <w:style w:type="paragraph" w:customStyle="1" w:styleId="340">
    <w:name w:val="表内文字小34"/>
    <w:basedOn w:val="a"/>
    <w:pPr>
      <w:widowControl/>
      <w:jc w:val="center"/>
    </w:pPr>
    <w:rPr>
      <w:rFonts w:ascii="宋体" w:hAnsi="Times" w:cs="宋体"/>
      <w:kern w:val="0"/>
      <w:szCs w:val="20"/>
    </w:rPr>
  </w:style>
  <w:style w:type="paragraph" w:customStyle="1" w:styleId="Char424">
    <w:name w:val="Char424"/>
    <w:basedOn w:val="a"/>
    <w:qFormat/>
    <w:pPr>
      <w:widowControl/>
      <w:ind w:left="-48"/>
      <w:jc w:val="left"/>
    </w:pPr>
    <w:rPr>
      <w:rFonts w:ascii="宋体" w:hAnsi="宋体" w:cs="宋体"/>
      <w:kern w:val="0"/>
    </w:rPr>
  </w:style>
  <w:style w:type="paragraph" w:customStyle="1" w:styleId="CharChar2CharCharCharChar32">
    <w:name w:val="Char Char2 Char Char Char Char32"/>
    <w:basedOn w:val="a"/>
    <w:qFormat/>
    <w:pPr>
      <w:widowControl/>
      <w:jc w:val="left"/>
    </w:pPr>
    <w:rPr>
      <w:rFonts w:ascii="宋体" w:hAnsi="宋体" w:cs="宋体"/>
      <w:kern w:val="0"/>
    </w:rPr>
  </w:style>
  <w:style w:type="paragraph" w:customStyle="1" w:styleId="5323">
    <w:name w:val="表内宋5中32"/>
    <w:basedOn w:val="a"/>
    <w:qFormat/>
    <w:pPr>
      <w:widowControl/>
      <w:jc w:val="left"/>
      <w:textAlignment w:val="baseline"/>
    </w:pPr>
    <w:rPr>
      <w:rFonts w:ascii="宋体" w:hAnsi="宋体" w:cs="宋体"/>
      <w:color w:val="000000"/>
      <w:kern w:val="0"/>
      <w:szCs w:val="20"/>
    </w:rPr>
  </w:style>
  <w:style w:type="paragraph" w:customStyle="1" w:styleId="Char2200">
    <w:name w:val="Char220"/>
    <w:basedOn w:val="a"/>
    <w:qFormat/>
    <w:pPr>
      <w:widowControl/>
      <w:ind w:left="-48"/>
      <w:jc w:val="left"/>
    </w:pPr>
    <w:rPr>
      <w:rFonts w:ascii="宋体" w:hAnsi="宋体" w:cs="宋体"/>
      <w:kern w:val="0"/>
    </w:rPr>
  </w:style>
  <w:style w:type="paragraph" w:customStyle="1" w:styleId="511140">
    <w:name w:val="表内宋51114"/>
    <w:basedOn w:val="1ff2"/>
    <w:qFormat/>
    <w:rPr>
      <w:rFonts w:ascii="宋体" w:hAnsi="宋体" w:cs="宋体"/>
      <w:color w:val="000000"/>
      <w:sz w:val="21"/>
      <w:szCs w:val="24"/>
    </w:rPr>
  </w:style>
  <w:style w:type="paragraph" w:customStyle="1" w:styleId="CharChar2CharCharCharChar81">
    <w:name w:val="Char Char2 Char Char Char Char81"/>
    <w:basedOn w:val="a"/>
    <w:qFormat/>
    <w:pPr>
      <w:widowControl/>
      <w:jc w:val="left"/>
    </w:pPr>
    <w:rPr>
      <w:rFonts w:ascii="宋体" w:hAnsi="宋体" w:cs="宋体"/>
      <w:kern w:val="0"/>
    </w:rPr>
  </w:style>
  <w:style w:type="paragraph" w:customStyle="1" w:styleId="Char2190">
    <w:name w:val="Char219"/>
    <w:basedOn w:val="a"/>
    <w:qFormat/>
    <w:pPr>
      <w:widowControl/>
      <w:ind w:left="-48"/>
      <w:jc w:val="left"/>
    </w:pPr>
    <w:rPr>
      <w:rFonts w:ascii="宋体" w:hAnsi="宋体" w:cs="宋体"/>
      <w:kern w:val="0"/>
    </w:rPr>
  </w:style>
  <w:style w:type="paragraph" w:customStyle="1" w:styleId="Char229">
    <w:name w:val="Char229"/>
    <w:basedOn w:val="a"/>
    <w:qFormat/>
    <w:pPr>
      <w:widowControl/>
      <w:ind w:left="-48"/>
      <w:jc w:val="left"/>
    </w:pPr>
    <w:rPr>
      <w:rFonts w:ascii="宋体" w:hAnsi="宋体" w:cs="宋体"/>
      <w:kern w:val="0"/>
    </w:rPr>
  </w:style>
  <w:style w:type="paragraph" w:customStyle="1" w:styleId="Char3140">
    <w:name w:val="Char314"/>
    <w:basedOn w:val="a"/>
    <w:qFormat/>
    <w:pPr>
      <w:widowControl/>
      <w:ind w:left="-48"/>
      <w:jc w:val="left"/>
    </w:pPr>
    <w:rPr>
      <w:rFonts w:ascii="宋体" w:hAnsi="宋体" w:cs="宋体"/>
      <w:kern w:val="0"/>
    </w:rPr>
  </w:style>
  <w:style w:type="paragraph" w:customStyle="1" w:styleId="Char32100">
    <w:name w:val="Char3210"/>
    <w:basedOn w:val="a"/>
    <w:qFormat/>
    <w:pPr>
      <w:widowControl/>
      <w:ind w:left="-48"/>
      <w:jc w:val="left"/>
    </w:pPr>
    <w:rPr>
      <w:rFonts w:ascii="宋体" w:hAnsi="宋体" w:cs="宋体"/>
      <w:kern w:val="0"/>
    </w:rPr>
  </w:style>
  <w:style w:type="paragraph" w:customStyle="1" w:styleId="CharCharCharCharCharCharChar219">
    <w:name w:val="Char Char Char Char Char Char Char219"/>
    <w:basedOn w:val="a"/>
    <w:qFormat/>
    <w:pPr>
      <w:widowControl/>
      <w:jc w:val="left"/>
    </w:pPr>
    <w:rPr>
      <w:rFonts w:ascii="宋体" w:hAnsi="宋体" w:cs="宋体"/>
      <w:kern w:val="0"/>
    </w:rPr>
  </w:style>
  <w:style w:type="paragraph" w:customStyle="1" w:styleId="Char2710">
    <w:name w:val="Char271"/>
    <w:basedOn w:val="a"/>
    <w:qFormat/>
    <w:pPr>
      <w:widowControl/>
      <w:ind w:left="-48"/>
      <w:jc w:val="left"/>
    </w:pPr>
    <w:rPr>
      <w:rFonts w:ascii="宋体" w:hAnsi="宋体" w:cs="宋体"/>
      <w:kern w:val="0"/>
    </w:rPr>
  </w:style>
  <w:style w:type="paragraph" w:customStyle="1" w:styleId="CharCharCharCharCharCharChar71">
    <w:name w:val="Char Char Char Char Char Char Char71"/>
    <w:basedOn w:val="a"/>
    <w:qFormat/>
    <w:pPr>
      <w:widowControl/>
      <w:jc w:val="left"/>
    </w:pPr>
    <w:rPr>
      <w:rFonts w:ascii="宋体" w:hAnsi="宋体" w:cs="宋体"/>
      <w:kern w:val="0"/>
    </w:rPr>
  </w:style>
  <w:style w:type="paragraph" w:customStyle="1" w:styleId="CharCharCharCharCharCharChar1111">
    <w:name w:val="Char Char Char Char Char Char Char1111"/>
    <w:basedOn w:val="a"/>
    <w:qFormat/>
    <w:pPr>
      <w:widowControl/>
      <w:jc w:val="left"/>
    </w:pPr>
    <w:rPr>
      <w:rFonts w:ascii="宋体" w:hAnsi="宋体" w:cs="宋体"/>
      <w:kern w:val="0"/>
    </w:rPr>
  </w:style>
  <w:style w:type="paragraph" w:customStyle="1" w:styleId="562">
    <w:name w:val="表内5中6"/>
    <w:basedOn w:val="a"/>
    <w:qFormat/>
    <w:pPr>
      <w:widowControl/>
      <w:jc w:val="center"/>
    </w:pPr>
    <w:rPr>
      <w:rFonts w:ascii="宋体" w:hAnsi="宋体" w:cs="Arial"/>
      <w:snapToGrid w:val="0"/>
      <w:color w:val="000000"/>
      <w:kern w:val="0"/>
      <w:szCs w:val="21"/>
    </w:rPr>
  </w:style>
  <w:style w:type="paragraph" w:customStyle="1" w:styleId="51150">
    <w:name w:val="表内宋5115"/>
    <w:basedOn w:val="1ff2"/>
    <w:qFormat/>
    <w:rPr>
      <w:szCs w:val="24"/>
    </w:rPr>
  </w:style>
  <w:style w:type="paragraph" w:customStyle="1" w:styleId="14111">
    <w:name w:val="表题14111"/>
    <w:basedOn w:val="a"/>
    <w:qFormat/>
    <w:pPr>
      <w:widowControl/>
      <w:jc w:val="center"/>
    </w:pPr>
    <w:rPr>
      <w:rFonts w:ascii="黑体" w:eastAsia="黑体" w:hAnsi="宋体" w:cs="宋体"/>
      <w:kern w:val="0"/>
    </w:rPr>
  </w:style>
  <w:style w:type="paragraph" w:customStyle="1" w:styleId="Char328">
    <w:name w:val="Char328"/>
    <w:basedOn w:val="a"/>
    <w:qFormat/>
    <w:pPr>
      <w:widowControl/>
      <w:ind w:left="-48"/>
      <w:jc w:val="left"/>
    </w:pPr>
    <w:rPr>
      <w:rFonts w:ascii="宋体" w:hAnsi="宋体" w:cs="宋体"/>
      <w:kern w:val="0"/>
    </w:rPr>
  </w:style>
  <w:style w:type="paragraph" w:customStyle="1" w:styleId="11240">
    <w:name w:val="燕山正文1124"/>
    <w:basedOn w:val="a"/>
    <w:pPr>
      <w:widowControl/>
      <w:tabs>
        <w:tab w:val="left" w:pos="4680"/>
      </w:tabs>
      <w:spacing w:line="480" w:lineRule="exact"/>
      <w:jc w:val="left"/>
    </w:pPr>
    <w:rPr>
      <w:rFonts w:ascii="宋体" w:hAnsi="宋体" w:cs="宋体"/>
      <w:bCs/>
      <w:color w:val="000000"/>
      <w:kern w:val="0"/>
    </w:rPr>
  </w:style>
  <w:style w:type="paragraph" w:customStyle="1" w:styleId="53140">
    <w:name w:val="表内5314"/>
    <w:basedOn w:val="a"/>
    <w:qFormat/>
    <w:pPr>
      <w:widowControl/>
      <w:spacing w:line="300" w:lineRule="auto"/>
      <w:jc w:val="left"/>
    </w:pPr>
    <w:rPr>
      <w:rFonts w:ascii="宋体" w:hAnsi="宋体" w:cs="宋体"/>
      <w:kern w:val="0"/>
      <w:szCs w:val="20"/>
    </w:rPr>
  </w:style>
  <w:style w:type="paragraph" w:customStyle="1" w:styleId="7f">
    <w:name w:val="附件7"/>
    <w:basedOn w:val="1"/>
    <w:next w:val="affff4"/>
    <w:pPr>
      <w:numPr>
        <w:numId w:val="0"/>
      </w:numPr>
      <w:adjustRightInd/>
      <w:snapToGrid/>
      <w:spacing w:after="210"/>
      <w:jc w:val="left"/>
    </w:pPr>
    <w:rPr>
      <w:rFonts w:ascii="黑体" w:eastAsia="黑体"/>
      <w:b w:val="0"/>
      <w:sz w:val="32"/>
      <w:szCs w:val="32"/>
      <w:lang w:val="zh-CN"/>
    </w:rPr>
  </w:style>
  <w:style w:type="paragraph" w:customStyle="1" w:styleId="1232">
    <w:name w:val="表中文字123"/>
    <w:basedOn w:val="a"/>
    <w:qFormat/>
    <w:pPr>
      <w:widowControl/>
      <w:spacing w:line="240" w:lineRule="atLeast"/>
      <w:ind w:leftChars="-10" w:left="-24" w:rightChars="-20" w:right="-48"/>
      <w:jc w:val="center"/>
    </w:pPr>
    <w:rPr>
      <w:rFonts w:ascii="宋体" w:hAnsi="宋体" w:cs="宋体"/>
      <w:kern w:val="0"/>
      <w:szCs w:val="21"/>
    </w:rPr>
  </w:style>
  <w:style w:type="paragraph" w:customStyle="1" w:styleId="Char3150">
    <w:name w:val="Char315"/>
    <w:basedOn w:val="a"/>
    <w:qFormat/>
    <w:pPr>
      <w:widowControl/>
      <w:ind w:left="-48"/>
      <w:jc w:val="left"/>
    </w:pPr>
    <w:rPr>
      <w:rFonts w:ascii="宋体" w:hAnsi="宋体" w:cs="宋体"/>
      <w:kern w:val="0"/>
    </w:rPr>
  </w:style>
  <w:style w:type="paragraph" w:customStyle="1" w:styleId="CharChar2CharCharCharChar28">
    <w:name w:val="Char Char2 Char Char Char Char28"/>
    <w:basedOn w:val="a"/>
    <w:qFormat/>
    <w:pPr>
      <w:widowControl/>
      <w:jc w:val="left"/>
    </w:pPr>
    <w:rPr>
      <w:rFonts w:ascii="宋体" w:hAnsi="宋体" w:cs="宋体"/>
      <w:kern w:val="0"/>
    </w:rPr>
  </w:style>
  <w:style w:type="paragraph" w:customStyle="1" w:styleId="51311">
    <w:name w:val="表内宋5中131"/>
    <w:basedOn w:val="a"/>
    <w:qFormat/>
    <w:pPr>
      <w:widowControl/>
      <w:jc w:val="center"/>
      <w:textAlignment w:val="baseline"/>
    </w:pPr>
    <w:rPr>
      <w:rFonts w:ascii="宋体" w:hAnsi="宋体" w:cs="宋体"/>
      <w:kern w:val="0"/>
      <w:szCs w:val="20"/>
    </w:rPr>
  </w:style>
  <w:style w:type="paragraph" w:customStyle="1" w:styleId="Char10120">
    <w:name w:val="Char1012"/>
    <w:basedOn w:val="a"/>
    <w:qFormat/>
    <w:pPr>
      <w:widowControl/>
      <w:jc w:val="left"/>
    </w:pPr>
    <w:rPr>
      <w:rFonts w:ascii="宋体" w:hAnsi="宋体" w:cs="宋体"/>
      <w:kern w:val="0"/>
    </w:rPr>
  </w:style>
  <w:style w:type="paragraph" w:customStyle="1" w:styleId="6f0">
    <w:name w:val="表内文字小6"/>
    <w:basedOn w:val="a"/>
    <w:qFormat/>
    <w:pPr>
      <w:widowControl/>
      <w:jc w:val="center"/>
    </w:pPr>
    <w:rPr>
      <w:rFonts w:ascii="宋体" w:hAnsi="Times" w:cs="宋体"/>
      <w:kern w:val="0"/>
      <w:szCs w:val="20"/>
    </w:rPr>
  </w:style>
  <w:style w:type="paragraph" w:customStyle="1" w:styleId="107">
    <w:name w:val="正文格式＝10"/>
    <w:basedOn w:val="affff4"/>
    <w:next w:val="affff4"/>
    <w:qFormat/>
    <w:rPr>
      <w:rFonts w:hAnsi="宋体"/>
      <w:szCs w:val="24"/>
    </w:rPr>
  </w:style>
  <w:style w:type="paragraph" w:customStyle="1" w:styleId="53c">
    <w:name w:val="表内小5中3"/>
    <w:basedOn w:val="a"/>
    <w:qFormat/>
    <w:pPr>
      <w:widowControl/>
      <w:jc w:val="center"/>
    </w:pPr>
    <w:rPr>
      <w:rFonts w:ascii="宋体" w:hAnsi="宋体" w:cs="宋体"/>
      <w:kern w:val="0"/>
      <w:sz w:val="18"/>
      <w:szCs w:val="20"/>
    </w:rPr>
  </w:style>
  <w:style w:type="paragraph" w:customStyle="1" w:styleId="313120">
    <w:name w:val="表内文字小31312"/>
    <w:basedOn w:val="a"/>
    <w:qFormat/>
    <w:pPr>
      <w:widowControl/>
      <w:jc w:val="center"/>
    </w:pPr>
    <w:rPr>
      <w:rFonts w:ascii="宋体" w:hAnsi="Times" w:cs="宋体"/>
      <w:bCs/>
      <w:color w:val="003366"/>
      <w:kern w:val="0"/>
      <w:szCs w:val="20"/>
    </w:rPr>
  </w:style>
  <w:style w:type="paragraph" w:customStyle="1" w:styleId="Char2510">
    <w:name w:val="Char251"/>
    <w:basedOn w:val="a"/>
    <w:qFormat/>
    <w:pPr>
      <w:widowControl/>
      <w:spacing w:before="156"/>
      <w:jc w:val="left"/>
    </w:pPr>
    <w:rPr>
      <w:rFonts w:ascii="黑体" w:eastAsia="黑体" w:hAnsi="宋体" w:cs="宋体"/>
      <w:kern w:val="0"/>
      <w:sz w:val="32"/>
      <w:szCs w:val="32"/>
    </w:rPr>
  </w:style>
  <w:style w:type="paragraph" w:customStyle="1" w:styleId="Char441">
    <w:name w:val="Char441"/>
    <w:basedOn w:val="a"/>
    <w:qFormat/>
    <w:pPr>
      <w:widowControl/>
      <w:ind w:left="-48"/>
      <w:jc w:val="left"/>
    </w:pPr>
    <w:rPr>
      <w:rFonts w:ascii="宋体" w:hAnsi="宋体" w:cs="宋体"/>
      <w:kern w:val="0"/>
    </w:rPr>
  </w:style>
  <w:style w:type="paragraph" w:customStyle="1" w:styleId="212d">
    <w:name w:val="样式212"/>
    <w:basedOn w:val="a"/>
    <w:qFormat/>
    <w:pPr>
      <w:widowControl/>
      <w:jc w:val="center"/>
      <w:textAlignment w:val="baseline"/>
      <w:outlineLvl w:val="0"/>
    </w:pPr>
    <w:rPr>
      <w:rFonts w:ascii="宋体" w:hAnsi="宋体" w:cs="宋体"/>
      <w:kern w:val="0"/>
      <w:szCs w:val="20"/>
    </w:rPr>
  </w:style>
  <w:style w:type="paragraph" w:customStyle="1" w:styleId="31240">
    <w:name w:val="表题3124"/>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21141">
    <w:name w:val="表内文字小2114"/>
    <w:basedOn w:val="a"/>
    <w:qFormat/>
    <w:pPr>
      <w:widowControl/>
      <w:jc w:val="center"/>
    </w:pPr>
    <w:rPr>
      <w:rFonts w:ascii="宋体" w:hAnsi="Times" w:cs="宋体"/>
      <w:bCs/>
      <w:color w:val="000000"/>
      <w:kern w:val="0"/>
      <w:szCs w:val="20"/>
    </w:rPr>
  </w:style>
  <w:style w:type="paragraph" w:customStyle="1" w:styleId="11131">
    <w:name w:val="表中文字1113"/>
    <w:basedOn w:val="a"/>
    <w:qFormat/>
    <w:pPr>
      <w:widowControl/>
      <w:spacing w:line="240" w:lineRule="atLeast"/>
      <w:ind w:leftChars="-10" w:left="-24" w:rightChars="-20" w:right="-48"/>
      <w:jc w:val="center"/>
    </w:pPr>
    <w:rPr>
      <w:rFonts w:ascii="宋体" w:hAnsi="宋体" w:cs="宋体"/>
      <w:kern w:val="0"/>
      <w:szCs w:val="21"/>
    </w:rPr>
  </w:style>
  <w:style w:type="paragraph" w:customStyle="1" w:styleId="2138">
    <w:name w:val="燕山正文213"/>
    <w:basedOn w:val="a"/>
    <w:qFormat/>
    <w:pPr>
      <w:widowControl/>
      <w:tabs>
        <w:tab w:val="left" w:pos="4680"/>
      </w:tabs>
      <w:spacing w:line="480" w:lineRule="exact"/>
      <w:jc w:val="left"/>
    </w:pPr>
    <w:rPr>
      <w:rFonts w:ascii="宋体" w:hAnsi="宋体" w:cs="宋体"/>
      <w:kern w:val="0"/>
    </w:rPr>
  </w:style>
  <w:style w:type="paragraph" w:customStyle="1" w:styleId="CharCharCharCharCharCharChar125">
    <w:name w:val="Char Char Char Char Char Char Char125"/>
    <w:basedOn w:val="a"/>
    <w:qFormat/>
    <w:pPr>
      <w:widowControl/>
      <w:jc w:val="left"/>
    </w:pPr>
    <w:rPr>
      <w:rFonts w:ascii="宋体" w:hAnsi="宋体" w:cs="宋体"/>
      <w:kern w:val="0"/>
    </w:rPr>
  </w:style>
  <w:style w:type="paragraph" w:customStyle="1" w:styleId="Char11210">
    <w:name w:val="Char1121"/>
    <w:basedOn w:val="a"/>
    <w:qFormat/>
    <w:pPr>
      <w:widowControl/>
      <w:ind w:left="-48"/>
      <w:jc w:val="left"/>
    </w:pPr>
    <w:rPr>
      <w:rFonts w:ascii="宋体" w:hAnsi="宋体" w:cs="宋体"/>
      <w:kern w:val="0"/>
    </w:rPr>
  </w:style>
  <w:style w:type="paragraph" w:customStyle="1" w:styleId="Default4">
    <w:name w:val="Default4"/>
    <w:qFormat/>
    <w:pPr>
      <w:widowControl w:val="0"/>
      <w:autoSpaceDE w:val="0"/>
      <w:autoSpaceDN w:val="0"/>
      <w:adjustRightInd w:val="0"/>
    </w:pPr>
    <w:rPr>
      <w:rFonts w:ascii="宋体"/>
      <w:color w:val="000000"/>
      <w:sz w:val="24"/>
      <w:szCs w:val="24"/>
    </w:rPr>
  </w:style>
  <w:style w:type="paragraph" w:customStyle="1" w:styleId="4211">
    <w:name w:val="黑体三号421"/>
    <w:basedOn w:val="affff4"/>
    <w:qFormat/>
    <w:pPr>
      <w:jc w:val="center"/>
    </w:pPr>
    <w:rPr>
      <w:rFonts w:ascii="黑体" w:eastAsia="黑体" w:hAnsi="宋体" w:cs="宋体"/>
      <w:b/>
      <w:bCs/>
      <w:sz w:val="32"/>
      <w:szCs w:val="20"/>
    </w:rPr>
  </w:style>
  <w:style w:type="paragraph" w:customStyle="1" w:styleId="445">
    <w:name w:val="燕山正文44"/>
    <w:basedOn w:val="a"/>
    <w:pPr>
      <w:widowControl/>
      <w:tabs>
        <w:tab w:val="left" w:pos="4680"/>
      </w:tabs>
      <w:spacing w:line="480" w:lineRule="exact"/>
      <w:jc w:val="left"/>
    </w:pPr>
    <w:rPr>
      <w:rFonts w:ascii="宋体" w:hAnsi="宋体" w:cs="宋体"/>
      <w:kern w:val="0"/>
    </w:rPr>
  </w:style>
  <w:style w:type="paragraph" w:customStyle="1" w:styleId="Char326">
    <w:name w:val="Char326"/>
    <w:basedOn w:val="a"/>
    <w:qFormat/>
    <w:pPr>
      <w:widowControl/>
      <w:ind w:left="-48"/>
      <w:jc w:val="left"/>
    </w:pPr>
    <w:rPr>
      <w:rFonts w:ascii="宋体" w:hAnsi="宋体" w:cs="宋体"/>
      <w:kern w:val="0"/>
    </w:rPr>
  </w:style>
  <w:style w:type="paragraph" w:customStyle="1" w:styleId="Char1360">
    <w:name w:val="Char136"/>
    <w:basedOn w:val="a"/>
    <w:qFormat/>
    <w:pPr>
      <w:widowControl/>
      <w:ind w:left="-48"/>
      <w:jc w:val="left"/>
    </w:pPr>
    <w:rPr>
      <w:rFonts w:ascii="宋体" w:hAnsi="宋体" w:cs="宋体"/>
      <w:kern w:val="0"/>
    </w:rPr>
  </w:style>
  <w:style w:type="paragraph" w:customStyle="1" w:styleId="31410">
    <w:name w:val="表内文字小3141"/>
    <w:basedOn w:val="a"/>
    <w:pPr>
      <w:widowControl/>
      <w:jc w:val="center"/>
    </w:pPr>
    <w:rPr>
      <w:rFonts w:ascii="宋体" w:hAnsi="Times" w:cs="宋体"/>
      <w:bCs/>
      <w:color w:val="003366"/>
      <w:kern w:val="0"/>
      <w:szCs w:val="20"/>
    </w:rPr>
  </w:style>
  <w:style w:type="paragraph" w:customStyle="1" w:styleId="4141">
    <w:name w:val="表题414"/>
    <w:basedOn w:val="1fa"/>
    <w:qFormat/>
    <w:pPr>
      <w:widowControl/>
      <w:tabs>
        <w:tab w:val="left" w:pos="4305"/>
      </w:tabs>
      <w:spacing w:after="0" w:line="240" w:lineRule="auto"/>
      <w:ind w:leftChars="0" w:left="0" w:firstLineChars="0" w:firstLine="0"/>
      <w:jc w:val="center"/>
    </w:pPr>
    <w:rPr>
      <w:rFonts w:ascii="宋体" w:hAnsi="宋体" w:cs="宋体"/>
      <w:color w:val="000000"/>
      <w:sz w:val="24"/>
      <w:szCs w:val="24"/>
    </w:rPr>
  </w:style>
  <w:style w:type="paragraph" w:customStyle="1" w:styleId="51133">
    <w:name w:val="表内5113"/>
    <w:basedOn w:val="a"/>
    <w:qFormat/>
    <w:pPr>
      <w:widowControl/>
      <w:jc w:val="center"/>
    </w:pPr>
    <w:rPr>
      <w:rFonts w:ascii="宋体" w:hAnsi="宋体" w:cs="宋体"/>
      <w:kern w:val="0"/>
      <w:sz w:val="20"/>
      <w:szCs w:val="20"/>
    </w:rPr>
  </w:style>
  <w:style w:type="paragraph" w:customStyle="1" w:styleId="Char22100">
    <w:name w:val="Char2210"/>
    <w:basedOn w:val="a"/>
    <w:qFormat/>
    <w:pPr>
      <w:widowControl/>
      <w:spacing w:before="156"/>
      <w:jc w:val="left"/>
    </w:pPr>
    <w:rPr>
      <w:rFonts w:ascii="黑体" w:eastAsia="黑体" w:hAnsi="宋体" w:cs="宋体"/>
      <w:kern w:val="0"/>
      <w:sz w:val="32"/>
      <w:szCs w:val="32"/>
    </w:rPr>
  </w:style>
  <w:style w:type="paragraph" w:customStyle="1" w:styleId="52f">
    <w:name w:val="燕山正文52"/>
    <w:basedOn w:val="a"/>
    <w:qFormat/>
    <w:pPr>
      <w:widowControl/>
      <w:tabs>
        <w:tab w:val="left" w:pos="4680"/>
      </w:tabs>
      <w:spacing w:line="480" w:lineRule="exact"/>
      <w:jc w:val="left"/>
    </w:pPr>
    <w:rPr>
      <w:rFonts w:ascii="宋体" w:hAnsi="宋体" w:cs="宋体"/>
      <w:kern w:val="0"/>
    </w:rPr>
  </w:style>
  <w:style w:type="paragraph" w:customStyle="1" w:styleId="431311">
    <w:name w:val="标题431311"/>
    <w:basedOn w:val="a"/>
    <w:qFormat/>
    <w:pPr>
      <w:widowControl/>
      <w:spacing w:line="480" w:lineRule="exact"/>
      <w:jc w:val="center"/>
    </w:pPr>
    <w:rPr>
      <w:rFonts w:ascii="宋体" w:hAnsi="宋体" w:cs="宋体"/>
      <w:kern w:val="0"/>
    </w:rPr>
  </w:style>
  <w:style w:type="paragraph" w:customStyle="1" w:styleId="13111">
    <w:name w:val="燕山正文13111"/>
    <w:basedOn w:val="a"/>
    <w:qFormat/>
    <w:pPr>
      <w:widowControl/>
      <w:tabs>
        <w:tab w:val="left" w:pos="4680"/>
      </w:tabs>
      <w:jc w:val="left"/>
    </w:pPr>
    <w:rPr>
      <w:rFonts w:ascii="宋体" w:hAnsi="宋体" w:cs="宋体"/>
      <w:bCs/>
      <w:color w:val="000000"/>
      <w:kern w:val="0"/>
    </w:rPr>
  </w:style>
  <w:style w:type="paragraph" w:customStyle="1" w:styleId="4212">
    <w:name w:val="燕山正文421"/>
    <w:basedOn w:val="a"/>
    <w:qFormat/>
    <w:pPr>
      <w:widowControl/>
      <w:tabs>
        <w:tab w:val="left" w:pos="4680"/>
      </w:tabs>
      <w:spacing w:line="480" w:lineRule="exact"/>
      <w:jc w:val="left"/>
    </w:pPr>
    <w:rPr>
      <w:rFonts w:ascii="宋体" w:hAnsi="宋体" w:cs="宋体"/>
      <w:kern w:val="0"/>
    </w:rPr>
  </w:style>
  <w:style w:type="paragraph" w:customStyle="1" w:styleId="12fb">
    <w:name w:val="标准12"/>
    <w:basedOn w:val="a"/>
    <w:qFormat/>
    <w:pPr>
      <w:widowControl/>
      <w:spacing w:before="120" w:line="336" w:lineRule="auto"/>
      <w:jc w:val="center"/>
      <w:textAlignment w:val="baseline"/>
    </w:pPr>
    <w:rPr>
      <w:rFonts w:ascii="黑体" w:eastAsia="黑体" w:hAnsi="宋体" w:cs="宋体"/>
      <w:kern w:val="0"/>
      <w:szCs w:val="20"/>
    </w:rPr>
  </w:style>
  <w:style w:type="paragraph" w:customStyle="1" w:styleId="5440">
    <w:name w:val="表内5中44"/>
    <w:basedOn w:val="a"/>
    <w:qFormat/>
    <w:pPr>
      <w:widowControl/>
      <w:jc w:val="center"/>
    </w:pPr>
    <w:rPr>
      <w:rFonts w:ascii="宋体" w:hAnsi="宋体" w:cs="宋体"/>
      <w:bCs/>
      <w:kern w:val="0"/>
      <w:szCs w:val="20"/>
    </w:rPr>
  </w:style>
  <w:style w:type="paragraph" w:customStyle="1" w:styleId="Char4210">
    <w:name w:val="Char4210"/>
    <w:basedOn w:val="a"/>
    <w:qFormat/>
    <w:pPr>
      <w:widowControl/>
      <w:ind w:left="-48"/>
      <w:jc w:val="left"/>
    </w:pPr>
    <w:rPr>
      <w:rFonts w:ascii="宋体" w:hAnsi="宋体" w:cs="宋体"/>
      <w:kern w:val="0"/>
    </w:rPr>
  </w:style>
  <w:style w:type="paragraph" w:customStyle="1" w:styleId="5128">
    <w:name w:val="表格内字体512"/>
    <w:basedOn w:val="affff4"/>
    <w:next w:val="affff4"/>
    <w:pPr>
      <w:spacing w:line="240" w:lineRule="auto"/>
      <w:ind w:firstLine="0"/>
    </w:pPr>
    <w:rPr>
      <w:rFonts w:hAnsi="宋体"/>
      <w:sz w:val="21"/>
      <w:szCs w:val="24"/>
    </w:rPr>
  </w:style>
  <w:style w:type="paragraph" w:customStyle="1" w:styleId="Char1101">
    <w:name w:val="Char1101"/>
    <w:basedOn w:val="a"/>
    <w:pPr>
      <w:widowControl/>
      <w:ind w:left="-48"/>
      <w:jc w:val="left"/>
    </w:pPr>
    <w:rPr>
      <w:rFonts w:ascii="宋体" w:hAnsi="宋体" w:cs="宋体"/>
      <w:kern w:val="0"/>
    </w:rPr>
  </w:style>
  <w:style w:type="paragraph" w:customStyle="1" w:styleId="450">
    <w:name w:val="标题45"/>
    <w:basedOn w:val="a"/>
    <w:qFormat/>
    <w:pPr>
      <w:widowControl/>
      <w:spacing w:line="300" w:lineRule="auto"/>
      <w:jc w:val="left"/>
    </w:pPr>
    <w:rPr>
      <w:rFonts w:ascii="黑体" w:eastAsia="黑体" w:hAnsi="宋体" w:cs="宋体"/>
      <w:bCs/>
      <w:kern w:val="0"/>
    </w:rPr>
  </w:style>
  <w:style w:type="paragraph" w:customStyle="1" w:styleId="2217">
    <w:name w:val="附件221"/>
    <w:basedOn w:val="1"/>
    <w:next w:val="affff4"/>
    <w:qFormat/>
    <w:pPr>
      <w:numPr>
        <w:numId w:val="0"/>
      </w:numPr>
      <w:adjustRightInd/>
      <w:snapToGrid/>
      <w:spacing w:after="210"/>
      <w:jc w:val="left"/>
    </w:pPr>
    <w:rPr>
      <w:rFonts w:ascii="黑体" w:eastAsia="黑体"/>
      <w:b w:val="0"/>
      <w:sz w:val="32"/>
      <w:szCs w:val="32"/>
      <w:lang w:val="zh-CN"/>
    </w:rPr>
  </w:style>
  <w:style w:type="paragraph" w:customStyle="1" w:styleId="14a">
    <w:name w:val="黑体三号14"/>
    <w:basedOn w:val="affff4"/>
    <w:qFormat/>
    <w:pPr>
      <w:jc w:val="center"/>
    </w:pPr>
    <w:rPr>
      <w:rFonts w:ascii="黑体" w:eastAsia="黑体" w:hAnsi="宋体" w:cs="宋体"/>
      <w:b/>
      <w:bCs/>
      <w:sz w:val="32"/>
      <w:szCs w:val="20"/>
    </w:rPr>
  </w:style>
  <w:style w:type="paragraph" w:customStyle="1" w:styleId="54132">
    <w:name w:val="表内54132"/>
    <w:basedOn w:val="a"/>
    <w:qFormat/>
    <w:pPr>
      <w:widowControl/>
      <w:spacing w:line="300" w:lineRule="auto"/>
      <w:jc w:val="center"/>
    </w:pPr>
    <w:rPr>
      <w:rFonts w:ascii="宋体" w:hAnsi="宋体" w:cs="宋体"/>
      <w:kern w:val="0"/>
      <w:szCs w:val="20"/>
    </w:rPr>
  </w:style>
  <w:style w:type="paragraph" w:customStyle="1" w:styleId="2151">
    <w:name w:val="表内文字小2151"/>
    <w:basedOn w:val="a"/>
    <w:qFormat/>
    <w:pPr>
      <w:widowControl/>
      <w:jc w:val="center"/>
    </w:pPr>
    <w:rPr>
      <w:rFonts w:ascii="宋体" w:hAnsi="Times" w:cs="宋体"/>
      <w:bCs/>
      <w:color w:val="000000"/>
      <w:kern w:val="0"/>
      <w:szCs w:val="20"/>
    </w:rPr>
  </w:style>
  <w:style w:type="paragraph" w:customStyle="1" w:styleId="8130">
    <w:name w:val="表内文字小813"/>
    <w:basedOn w:val="a"/>
    <w:pPr>
      <w:widowControl/>
      <w:jc w:val="center"/>
    </w:pPr>
    <w:rPr>
      <w:rFonts w:ascii="宋体" w:hAnsi="Times" w:cs="宋体"/>
      <w:kern w:val="0"/>
      <w:szCs w:val="20"/>
    </w:rPr>
  </w:style>
  <w:style w:type="paragraph" w:customStyle="1" w:styleId="431213">
    <w:name w:val="标题431213"/>
    <w:basedOn w:val="a"/>
    <w:qFormat/>
    <w:pPr>
      <w:widowControl/>
      <w:spacing w:line="480" w:lineRule="exact"/>
      <w:jc w:val="center"/>
    </w:pPr>
    <w:rPr>
      <w:rFonts w:ascii="宋体" w:hAnsi="宋体" w:cs="宋体"/>
      <w:kern w:val="0"/>
    </w:rPr>
  </w:style>
  <w:style w:type="paragraph" w:customStyle="1" w:styleId="ParaCharCharCharChar412">
    <w:name w:val="默认段落字体 Para Char Char Char Char412"/>
    <w:basedOn w:val="a"/>
    <w:qFormat/>
    <w:pPr>
      <w:widowControl/>
      <w:jc w:val="left"/>
    </w:pPr>
    <w:rPr>
      <w:rFonts w:ascii="宋体" w:hAnsi="宋体" w:cs="宋体"/>
      <w:kern w:val="0"/>
    </w:rPr>
  </w:style>
  <w:style w:type="paragraph" w:customStyle="1" w:styleId="4126">
    <w:name w:val="燕山正文412"/>
    <w:basedOn w:val="a"/>
    <w:qFormat/>
    <w:pPr>
      <w:widowControl/>
      <w:tabs>
        <w:tab w:val="left" w:pos="4680"/>
      </w:tabs>
      <w:spacing w:line="480" w:lineRule="exact"/>
      <w:jc w:val="left"/>
    </w:pPr>
    <w:rPr>
      <w:rFonts w:ascii="宋体" w:hAnsi="宋体" w:cs="宋体"/>
      <w:kern w:val="0"/>
    </w:rPr>
  </w:style>
  <w:style w:type="paragraph" w:customStyle="1" w:styleId="51124">
    <w:name w:val="表内5中112"/>
    <w:basedOn w:val="a"/>
    <w:qFormat/>
    <w:pPr>
      <w:widowControl/>
      <w:jc w:val="center"/>
    </w:pPr>
    <w:rPr>
      <w:rFonts w:ascii="宋体" w:hAnsi="宋体" w:cs="Arial"/>
      <w:snapToGrid w:val="0"/>
      <w:color w:val="000000"/>
      <w:kern w:val="0"/>
      <w:szCs w:val="21"/>
    </w:rPr>
  </w:style>
  <w:style w:type="paragraph" w:customStyle="1" w:styleId="CharChar2CharCharCharChar17">
    <w:name w:val="Char Char2 Char Char Char Char17"/>
    <w:basedOn w:val="a"/>
    <w:qFormat/>
    <w:pPr>
      <w:widowControl/>
      <w:jc w:val="left"/>
    </w:pPr>
    <w:rPr>
      <w:rFonts w:ascii="宋体" w:hAnsi="宋体" w:cs="宋体"/>
      <w:kern w:val="0"/>
    </w:rPr>
  </w:style>
  <w:style w:type="paragraph" w:customStyle="1" w:styleId="4127">
    <w:name w:val="正文修改412"/>
    <w:basedOn w:val="affffe"/>
    <w:qFormat/>
    <w:rPr>
      <w:rFonts w:eastAsia="宋体" w:hAnsi="宋体" w:cs="宋体"/>
      <w:color w:val="000000"/>
      <w:szCs w:val="24"/>
    </w:rPr>
  </w:style>
  <w:style w:type="paragraph" w:customStyle="1" w:styleId="3170">
    <w:name w:val="表内文字小317"/>
    <w:basedOn w:val="a"/>
    <w:pPr>
      <w:widowControl/>
      <w:jc w:val="center"/>
    </w:pPr>
    <w:rPr>
      <w:rFonts w:ascii="宋体" w:hAnsi="Times" w:cs="宋体"/>
      <w:bCs/>
      <w:color w:val="003366"/>
      <w:kern w:val="0"/>
      <w:szCs w:val="20"/>
    </w:rPr>
  </w:style>
  <w:style w:type="paragraph" w:customStyle="1" w:styleId="1340">
    <w:name w:val="燕山正文134"/>
    <w:basedOn w:val="a"/>
    <w:pPr>
      <w:widowControl/>
      <w:tabs>
        <w:tab w:val="left" w:pos="4680"/>
      </w:tabs>
      <w:jc w:val="left"/>
    </w:pPr>
    <w:rPr>
      <w:rFonts w:ascii="宋体" w:hAnsi="宋体" w:cs="宋体"/>
      <w:bCs/>
      <w:color w:val="000000"/>
      <w:kern w:val="0"/>
    </w:rPr>
  </w:style>
  <w:style w:type="paragraph" w:customStyle="1" w:styleId="163">
    <w:name w:val="燕山正文16"/>
    <w:basedOn w:val="a"/>
    <w:qFormat/>
    <w:pPr>
      <w:widowControl/>
      <w:tabs>
        <w:tab w:val="left" w:pos="4680"/>
      </w:tabs>
      <w:spacing w:line="480" w:lineRule="exact"/>
      <w:jc w:val="left"/>
    </w:pPr>
    <w:rPr>
      <w:rFonts w:ascii="宋体" w:hAnsi="宋体" w:cs="宋体"/>
      <w:kern w:val="0"/>
    </w:rPr>
  </w:style>
  <w:style w:type="paragraph" w:customStyle="1" w:styleId="5411111">
    <w:name w:val="表内5411111"/>
    <w:basedOn w:val="a"/>
    <w:qFormat/>
    <w:pPr>
      <w:widowControl/>
      <w:spacing w:line="300" w:lineRule="auto"/>
      <w:jc w:val="center"/>
    </w:pPr>
    <w:rPr>
      <w:rFonts w:ascii="宋体" w:hAnsi="宋体" w:cs="宋体"/>
      <w:kern w:val="0"/>
      <w:szCs w:val="20"/>
    </w:rPr>
  </w:style>
  <w:style w:type="paragraph" w:customStyle="1" w:styleId="14b">
    <w:name w:val="正文格式＝14"/>
    <w:basedOn w:val="affff4"/>
    <w:next w:val="affff4"/>
    <w:qFormat/>
    <w:rPr>
      <w:rFonts w:hAnsi="宋体"/>
      <w:szCs w:val="24"/>
    </w:rPr>
  </w:style>
  <w:style w:type="paragraph" w:customStyle="1" w:styleId="1217">
    <w:name w:val="正文.121"/>
    <w:qFormat/>
    <w:pPr>
      <w:widowControl w:val="0"/>
      <w:autoSpaceDE w:val="0"/>
      <w:autoSpaceDN w:val="0"/>
      <w:adjustRightInd w:val="0"/>
      <w:jc w:val="both"/>
    </w:pPr>
    <w:rPr>
      <w:rFonts w:ascii="Times New Roman;Symbol;Arial;婼" w:eastAsia="Times New Roman;Symbol;Arial;婼"/>
      <w:sz w:val="21"/>
      <w:szCs w:val="21"/>
    </w:rPr>
  </w:style>
  <w:style w:type="paragraph" w:customStyle="1" w:styleId="31f2">
    <w:name w:val="正文.31"/>
    <w:qFormat/>
    <w:pPr>
      <w:widowControl w:val="0"/>
      <w:autoSpaceDE w:val="0"/>
      <w:autoSpaceDN w:val="0"/>
      <w:adjustRightInd w:val="0"/>
      <w:jc w:val="both"/>
    </w:pPr>
    <w:rPr>
      <w:rFonts w:ascii="Times New Roman;Symbol;Arial;婼" w:eastAsia="Times New Roman;Symbol;Arial;婼"/>
      <w:sz w:val="21"/>
      <w:szCs w:val="21"/>
    </w:rPr>
  </w:style>
  <w:style w:type="paragraph" w:customStyle="1" w:styleId="311c">
    <w:name w:val="黑体三号311"/>
    <w:basedOn w:val="affff4"/>
    <w:qFormat/>
    <w:pPr>
      <w:jc w:val="center"/>
    </w:pPr>
    <w:rPr>
      <w:rFonts w:ascii="黑体" w:eastAsia="黑体" w:hAnsi="宋体" w:cs="宋体"/>
      <w:b/>
      <w:bCs/>
      <w:sz w:val="32"/>
      <w:szCs w:val="20"/>
    </w:rPr>
  </w:style>
  <w:style w:type="paragraph" w:customStyle="1" w:styleId="5135">
    <w:name w:val="表内小5中13"/>
    <w:basedOn w:val="a"/>
    <w:pPr>
      <w:widowControl/>
      <w:jc w:val="center"/>
    </w:pPr>
    <w:rPr>
      <w:rFonts w:ascii="宋体" w:hAnsi="宋体" w:cs="宋体"/>
      <w:kern w:val="0"/>
      <w:sz w:val="18"/>
      <w:szCs w:val="20"/>
    </w:rPr>
  </w:style>
  <w:style w:type="paragraph" w:customStyle="1" w:styleId="CharChar2CharCharCharChar210">
    <w:name w:val="Char Char2 Char Char Char Char210"/>
    <w:basedOn w:val="a"/>
    <w:qFormat/>
    <w:pPr>
      <w:widowControl/>
      <w:jc w:val="left"/>
    </w:pPr>
    <w:rPr>
      <w:rFonts w:ascii="宋体" w:hAnsi="宋体" w:cs="宋体"/>
      <w:kern w:val="0"/>
    </w:rPr>
  </w:style>
  <w:style w:type="paragraph" w:customStyle="1" w:styleId="51212">
    <w:name w:val="表内宋5121"/>
    <w:basedOn w:val="5f5"/>
    <w:qFormat/>
    <w:pPr>
      <w:autoSpaceDE w:val="0"/>
      <w:autoSpaceDN w:val="0"/>
      <w:textAlignment w:val="auto"/>
    </w:pPr>
    <w:rPr>
      <w:color w:val="auto"/>
      <w:w w:val="90"/>
    </w:rPr>
  </w:style>
  <w:style w:type="paragraph" w:customStyle="1" w:styleId="41f2">
    <w:name w:val="表41"/>
    <w:basedOn w:val="a"/>
    <w:qFormat/>
    <w:pPr>
      <w:widowControl/>
      <w:jc w:val="center"/>
    </w:pPr>
    <w:rPr>
      <w:rFonts w:ascii="宋体" w:hAnsi="宋体" w:cs="宋体"/>
      <w:kern w:val="0"/>
    </w:rPr>
  </w:style>
  <w:style w:type="paragraph" w:customStyle="1" w:styleId="248">
    <w:name w:val="燕山正文24"/>
    <w:basedOn w:val="a"/>
    <w:qFormat/>
    <w:pPr>
      <w:widowControl/>
      <w:tabs>
        <w:tab w:val="left" w:pos="4680"/>
      </w:tabs>
      <w:spacing w:line="480" w:lineRule="exact"/>
      <w:jc w:val="left"/>
    </w:pPr>
    <w:rPr>
      <w:rFonts w:ascii="宋体" w:hAnsi="宋体" w:cs="宋体"/>
      <w:kern w:val="0"/>
    </w:rPr>
  </w:style>
  <w:style w:type="paragraph" w:customStyle="1" w:styleId="CharCharCharChar1CharCharChar23">
    <w:name w:val="Char Char Char Char1 Char Char Char23"/>
    <w:basedOn w:val="a"/>
    <w:qFormat/>
    <w:pPr>
      <w:widowControl/>
      <w:spacing w:after="160" w:line="240" w:lineRule="exact"/>
      <w:jc w:val="left"/>
    </w:pPr>
    <w:rPr>
      <w:rFonts w:ascii="Verdana" w:hAnsi="Verdana" w:cs="宋体"/>
      <w:kern w:val="0"/>
      <w:sz w:val="20"/>
      <w:szCs w:val="20"/>
      <w:lang w:eastAsia="en-US"/>
    </w:rPr>
  </w:style>
  <w:style w:type="paragraph" w:customStyle="1" w:styleId="CharChar2CharCharCharChar16">
    <w:name w:val="Char Char2 Char Char Char Char16"/>
    <w:basedOn w:val="a"/>
    <w:qFormat/>
    <w:pPr>
      <w:widowControl/>
      <w:jc w:val="left"/>
    </w:pPr>
    <w:rPr>
      <w:rFonts w:ascii="宋体" w:hAnsi="宋体" w:cs="宋体"/>
      <w:kern w:val="0"/>
    </w:rPr>
  </w:style>
  <w:style w:type="paragraph" w:customStyle="1" w:styleId="5111120">
    <w:name w:val="表内宋511112"/>
    <w:basedOn w:val="1ff2"/>
    <w:qFormat/>
    <w:rPr>
      <w:rFonts w:ascii="宋体" w:hAnsi="宋体" w:cs="宋体"/>
      <w:color w:val="000000"/>
      <w:sz w:val="21"/>
      <w:szCs w:val="24"/>
    </w:rPr>
  </w:style>
  <w:style w:type="paragraph" w:customStyle="1" w:styleId="Char6210">
    <w:name w:val="Char621"/>
    <w:basedOn w:val="a"/>
    <w:qFormat/>
    <w:pPr>
      <w:widowControl/>
      <w:spacing w:before="156"/>
      <w:jc w:val="left"/>
    </w:pPr>
    <w:rPr>
      <w:rFonts w:ascii="黑体" w:eastAsia="黑体" w:hAnsi="宋体" w:cs="宋体"/>
      <w:kern w:val="0"/>
      <w:sz w:val="32"/>
      <w:szCs w:val="32"/>
    </w:rPr>
  </w:style>
  <w:style w:type="paragraph" w:customStyle="1" w:styleId="4132">
    <w:name w:val="表中文字413"/>
    <w:basedOn w:val="a"/>
    <w:qFormat/>
    <w:pPr>
      <w:widowControl/>
      <w:spacing w:line="340" w:lineRule="exact"/>
      <w:jc w:val="center"/>
    </w:pPr>
    <w:rPr>
      <w:rFonts w:ascii="Arial" w:hAnsi="Arial" w:cs="宋体"/>
      <w:kern w:val="0"/>
      <w:sz w:val="20"/>
      <w:lang w:eastAsia="zh-TW"/>
    </w:rPr>
  </w:style>
  <w:style w:type="paragraph" w:customStyle="1" w:styleId="CharCharCharCharCharCharChar45">
    <w:name w:val="Char Char Char Char Char Char Char45"/>
    <w:basedOn w:val="a"/>
    <w:qFormat/>
    <w:pPr>
      <w:widowControl/>
      <w:jc w:val="left"/>
    </w:pPr>
    <w:rPr>
      <w:rFonts w:ascii="宋体" w:hAnsi="宋体" w:cs="宋体"/>
      <w:kern w:val="0"/>
    </w:rPr>
  </w:style>
  <w:style w:type="paragraph" w:customStyle="1" w:styleId="CharCharCharCharCharCharChar114">
    <w:name w:val="Char Char Char Char Char Char Char114"/>
    <w:basedOn w:val="a"/>
    <w:pPr>
      <w:widowControl/>
      <w:jc w:val="left"/>
    </w:pPr>
    <w:rPr>
      <w:rFonts w:ascii="宋体" w:hAnsi="宋体" w:cs="宋体"/>
      <w:kern w:val="0"/>
    </w:rPr>
  </w:style>
  <w:style w:type="paragraph" w:customStyle="1" w:styleId="715">
    <w:name w:val="表中文字71"/>
    <w:basedOn w:val="a"/>
    <w:qFormat/>
    <w:pPr>
      <w:widowControl/>
      <w:spacing w:line="240" w:lineRule="atLeast"/>
      <w:ind w:leftChars="-10" w:left="-24" w:rightChars="-20" w:right="-48"/>
      <w:jc w:val="center"/>
    </w:pPr>
    <w:rPr>
      <w:rFonts w:ascii="宋体" w:hAnsi="宋体" w:cs="宋体"/>
      <w:kern w:val="0"/>
      <w:szCs w:val="21"/>
    </w:rPr>
  </w:style>
  <w:style w:type="paragraph" w:customStyle="1" w:styleId="2139">
    <w:name w:val="附件213"/>
    <w:basedOn w:val="1"/>
    <w:next w:val="affff4"/>
    <w:qFormat/>
    <w:pPr>
      <w:numPr>
        <w:numId w:val="0"/>
      </w:numPr>
      <w:adjustRightInd/>
      <w:snapToGrid/>
      <w:spacing w:after="210"/>
      <w:jc w:val="left"/>
    </w:pPr>
    <w:rPr>
      <w:rFonts w:ascii="黑体" w:eastAsia="黑体"/>
      <w:b w:val="0"/>
      <w:sz w:val="32"/>
      <w:szCs w:val="32"/>
      <w:lang w:val="zh-CN"/>
    </w:rPr>
  </w:style>
  <w:style w:type="paragraph" w:customStyle="1" w:styleId="2218">
    <w:name w:val="表221"/>
    <w:basedOn w:val="a"/>
    <w:qFormat/>
    <w:pPr>
      <w:widowControl/>
      <w:jc w:val="center"/>
    </w:pPr>
    <w:rPr>
      <w:rFonts w:ascii="宋体" w:hAnsi="宋体" w:cs="宋体"/>
      <w:kern w:val="0"/>
    </w:rPr>
  </w:style>
  <w:style w:type="paragraph" w:customStyle="1" w:styleId="5129">
    <w:name w:val="正文格式512"/>
    <w:basedOn w:val="a"/>
    <w:qFormat/>
    <w:pPr>
      <w:widowControl/>
      <w:ind w:firstLine="482"/>
      <w:jc w:val="left"/>
    </w:pPr>
    <w:rPr>
      <w:rFonts w:ascii="宋体" w:hAnsi="宋体" w:cs="宋体"/>
      <w:kern w:val="0"/>
    </w:rPr>
  </w:style>
  <w:style w:type="paragraph" w:customStyle="1" w:styleId="2143">
    <w:name w:val="正文格式214"/>
    <w:basedOn w:val="a"/>
    <w:qFormat/>
    <w:pPr>
      <w:widowControl/>
      <w:ind w:firstLine="482"/>
      <w:jc w:val="left"/>
    </w:pPr>
    <w:rPr>
      <w:rFonts w:ascii="宋体" w:hAnsi="宋体" w:cs="宋体"/>
      <w:kern w:val="0"/>
    </w:rPr>
  </w:style>
  <w:style w:type="paragraph" w:customStyle="1" w:styleId="6210">
    <w:name w:val="图题621"/>
    <w:basedOn w:val="affff4"/>
    <w:next w:val="affff4"/>
    <w:qFormat/>
    <w:pPr>
      <w:ind w:firstLine="0"/>
      <w:jc w:val="center"/>
    </w:pPr>
    <w:rPr>
      <w:rFonts w:ascii="黑体" w:eastAsia="黑体" w:hAnsi="宋体" w:cs="宋体"/>
      <w:b/>
      <w:bCs/>
      <w:kern w:val="0"/>
      <w:szCs w:val="24"/>
    </w:rPr>
  </w:style>
  <w:style w:type="paragraph" w:customStyle="1" w:styleId="2311">
    <w:name w:val="正文231"/>
    <w:pPr>
      <w:adjustRightInd w:val="0"/>
      <w:snapToGrid w:val="0"/>
      <w:spacing w:line="480" w:lineRule="atLeast"/>
      <w:jc w:val="center"/>
    </w:pPr>
    <w:rPr>
      <w:rFonts w:ascii="宋体"/>
      <w:snapToGrid w:val="0"/>
      <w:spacing w:val="6"/>
      <w:sz w:val="21"/>
    </w:rPr>
  </w:style>
  <w:style w:type="paragraph" w:customStyle="1" w:styleId="7120">
    <w:name w:val="表格内字体712"/>
    <w:basedOn w:val="affff4"/>
    <w:next w:val="affff4"/>
    <w:qFormat/>
    <w:pPr>
      <w:spacing w:line="240" w:lineRule="auto"/>
      <w:ind w:firstLine="0"/>
      <w:jc w:val="center"/>
    </w:pPr>
    <w:rPr>
      <w:rFonts w:hAnsi="宋体"/>
      <w:sz w:val="21"/>
      <w:szCs w:val="24"/>
    </w:rPr>
  </w:style>
  <w:style w:type="paragraph" w:customStyle="1" w:styleId="13131">
    <w:name w:val="表题1313"/>
    <w:basedOn w:val="ab"/>
    <w:qFormat/>
    <w:pPr>
      <w:widowControl/>
      <w:ind w:firstLineChars="0" w:firstLine="0"/>
      <w:jc w:val="center"/>
    </w:pPr>
    <w:rPr>
      <w:rFonts w:ascii="黑体" w:cs="Arial"/>
      <w:b/>
    </w:rPr>
  </w:style>
  <w:style w:type="paragraph" w:customStyle="1" w:styleId="2231">
    <w:name w:val="表格内字体223"/>
    <w:basedOn w:val="affff4"/>
    <w:next w:val="affff4"/>
    <w:qFormat/>
    <w:pPr>
      <w:spacing w:line="240" w:lineRule="auto"/>
      <w:ind w:firstLine="0"/>
      <w:jc w:val="center"/>
    </w:pPr>
    <w:rPr>
      <w:rFonts w:hAnsi="宋体"/>
      <w:sz w:val="21"/>
      <w:szCs w:val="24"/>
    </w:rPr>
  </w:style>
  <w:style w:type="paragraph" w:customStyle="1" w:styleId="4213">
    <w:name w:val="图题421"/>
    <w:basedOn w:val="affff4"/>
    <w:next w:val="affff4"/>
    <w:qFormat/>
    <w:pPr>
      <w:ind w:firstLine="0"/>
      <w:jc w:val="center"/>
    </w:pPr>
    <w:rPr>
      <w:rFonts w:ascii="黑体" w:eastAsia="黑体" w:hAnsi="宋体" w:cs="宋体"/>
      <w:b/>
      <w:bCs/>
      <w:szCs w:val="24"/>
    </w:rPr>
  </w:style>
  <w:style w:type="paragraph" w:customStyle="1" w:styleId="740">
    <w:name w:val="图题74"/>
    <w:basedOn w:val="affff4"/>
    <w:next w:val="affff4"/>
    <w:qFormat/>
    <w:pPr>
      <w:ind w:firstLine="0"/>
      <w:jc w:val="center"/>
    </w:pPr>
    <w:rPr>
      <w:rFonts w:ascii="黑体" w:eastAsia="黑体" w:hAnsi="宋体" w:cs="宋体"/>
      <w:b/>
      <w:bCs/>
      <w:szCs w:val="24"/>
    </w:rPr>
  </w:style>
  <w:style w:type="paragraph" w:customStyle="1" w:styleId="212e">
    <w:name w:val="样式 正文缩进 + 宋体 黑色 首行缩进:  2 字符12"/>
    <w:basedOn w:val="1fb"/>
    <w:qFormat/>
    <w:pPr>
      <w:ind w:firstLine="480"/>
    </w:pPr>
    <w:rPr>
      <w:rFonts w:cs="宋体"/>
      <w:color w:val="FF00FF"/>
    </w:rPr>
  </w:style>
  <w:style w:type="paragraph" w:customStyle="1" w:styleId="157">
    <w:name w:val="表格内字体15"/>
    <w:basedOn w:val="affff4"/>
    <w:next w:val="affff4"/>
    <w:qFormat/>
    <w:pPr>
      <w:spacing w:line="240" w:lineRule="auto"/>
      <w:ind w:firstLine="0"/>
      <w:jc w:val="center"/>
    </w:pPr>
    <w:rPr>
      <w:rFonts w:hAnsi="宋体"/>
      <w:sz w:val="21"/>
      <w:szCs w:val="24"/>
    </w:rPr>
  </w:style>
  <w:style w:type="paragraph" w:customStyle="1" w:styleId="1218">
    <w:name w:val="表格121"/>
    <w:basedOn w:val="a"/>
    <w:qFormat/>
    <w:pPr>
      <w:widowControl/>
      <w:jc w:val="center"/>
      <w:textAlignment w:val="baseline"/>
    </w:pPr>
    <w:rPr>
      <w:rFonts w:ascii="宋体" w:hAnsi="宋体" w:cs="宋体"/>
      <w:kern w:val="0"/>
      <w:szCs w:val="20"/>
    </w:rPr>
  </w:style>
  <w:style w:type="paragraph" w:customStyle="1" w:styleId="111f4">
    <w:name w:val="福建正文缩进111"/>
    <w:basedOn w:val="1fb"/>
    <w:pPr>
      <w:ind w:firstLine="567"/>
    </w:pPr>
    <w:rPr>
      <w:rFonts w:hAnsi="Calibri"/>
    </w:rPr>
  </w:style>
  <w:style w:type="paragraph" w:customStyle="1" w:styleId="211120">
    <w:name w:val="表题21112"/>
    <w:basedOn w:val="a"/>
    <w:pPr>
      <w:widowControl/>
      <w:jc w:val="center"/>
    </w:pPr>
    <w:rPr>
      <w:rFonts w:ascii="黑体" w:eastAsia="黑体" w:hAnsi="宋体" w:cs="宋体"/>
      <w:kern w:val="0"/>
    </w:rPr>
  </w:style>
  <w:style w:type="paragraph" w:customStyle="1" w:styleId="Char580">
    <w:name w:val="Char58"/>
    <w:basedOn w:val="a"/>
    <w:pPr>
      <w:widowControl/>
      <w:ind w:left="-48"/>
      <w:jc w:val="left"/>
    </w:pPr>
    <w:rPr>
      <w:rFonts w:ascii="宋体" w:hAnsi="宋体" w:cs="宋体"/>
      <w:kern w:val="0"/>
    </w:rPr>
  </w:style>
  <w:style w:type="paragraph" w:customStyle="1" w:styleId="112f1">
    <w:name w:val="正文.112"/>
    <w:qFormat/>
    <w:pPr>
      <w:widowControl w:val="0"/>
      <w:autoSpaceDE w:val="0"/>
      <w:autoSpaceDN w:val="0"/>
      <w:adjustRightInd w:val="0"/>
      <w:jc w:val="both"/>
    </w:pPr>
    <w:rPr>
      <w:rFonts w:ascii="Times New Roman;Symbol;Arial;婼" w:eastAsia="Times New Roman;Symbol;Arial;婼"/>
      <w:sz w:val="21"/>
      <w:szCs w:val="21"/>
    </w:rPr>
  </w:style>
  <w:style w:type="paragraph" w:customStyle="1" w:styleId="1111a">
    <w:name w:val="表1111"/>
    <w:basedOn w:val="a"/>
    <w:qFormat/>
    <w:pPr>
      <w:widowControl/>
      <w:jc w:val="center"/>
    </w:pPr>
    <w:rPr>
      <w:rFonts w:ascii="宋体" w:hAnsi="宋体" w:cs="宋体"/>
      <w:kern w:val="0"/>
    </w:rPr>
  </w:style>
  <w:style w:type="paragraph" w:customStyle="1" w:styleId="Char471">
    <w:name w:val="Char471"/>
    <w:basedOn w:val="a"/>
    <w:qFormat/>
    <w:pPr>
      <w:widowControl/>
      <w:ind w:left="-48"/>
      <w:jc w:val="left"/>
    </w:pPr>
    <w:rPr>
      <w:rFonts w:ascii="宋体" w:hAnsi="宋体" w:cs="宋体"/>
      <w:kern w:val="0"/>
    </w:rPr>
  </w:style>
  <w:style w:type="paragraph" w:customStyle="1" w:styleId="4ff">
    <w:name w:val="正文斜体4"/>
    <w:basedOn w:val="affff4"/>
    <w:next w:val="affff4"/>
    <w:qFormat/>
    <w:rPr>
      <w:rFonts w:hAnsi="宋体"/>
      <w:i/>
      <w:iCs/>
      <w:szCs w:val="24"/>
    </w:rPr>
  </w:style>
  <w:style w:type="paragraph" w:customStyle="1" w:styleId="51f2">
    <w:name w:val="表51"/>
    <w:basedOn w:val="a"/>
    <w:qFormat/>
    <w:pPr>
      <w:widowControl/>
      <w:jc w:val="center"/>
    </w:pPr>
    <w:rPr>
      <w:rFonts w:ascii="宋体" w:hAnsi="宋体" w:cs="宋体"/>
      <w:kern w:val="0"/>
    </w:rPr>
  </w:style>
  <w:style w:type="paragraph" w:customStyle="1" w:styleId="23f">
    <w:name w:val="正文.23"/>
    <w:pPr>
      <w:widowControl w:val="0"/>
      <w:autoSpaceDE w:val="0"/>
      <w:autoSpaceDN w:val="0"/>
      <w:adjustRightInd w:val="0"/>
      <w:jc w:val="both"/>
    </w:pPr>
    <w:rPr>
      <w:rFonts w:ascii="Times New Roman;Symbol;Arial;婼" w:eastAsia="Times New Roman;Symbol;Arial;婼"/>
      <w:sz w:val="21"/>
      <w:szCs w:val="21"/>
    </w:rPr>
  </w:style>
  <w:style w:type="paragraph" w:customStyle="1" w:styleId="ParaCharCharCharCharChar111">
    <w:name w:val="默认段落字体 Para Char Char Char Char Char111"/>
    <w:basedOn w:val="a"/>
    <w:qFormat/>
    <w:pPr>
      <w:widowControl/>
      <w:jc w:val="left"/>
    </w:pPr>
    <w:rPr>
      <w:rFonts w:ascii="宋体" w:hAnsi="宋体" w:cs="宋体"/>
      <w:kern w:val="0"/>
    </w:rPr>
  </w:style>
  <w:style w:type="paragraph" w:customStyle="1" w:styleId="Char227">
    <w:name w:val="Char227"/>
    <w:basedOn w:val="a"/>
    <w:qFormat/>
    <w:pPr>
      <w:widowControl/>
      <w:ind w:left="-48"/>
      <w:jc w:val="left"/>
    </w:pPr>
    <w:rPr>
      <w:rFonts w:ascii="宋体" w:hAnsi="宋体" w:cs="宋体"/>
      <w:kern w:val="0"/>
    </w:rPr>
  </w:style>
  <w:style w:type="paragraph" w:customStyle="1" w:styleId="ParaCharCharCharChar9">
    <w:name w:val="默认段落字体 Para Char Char Char Char9"/>
    <w:basedOn w:val="a"/>
    <w:qFormat/>
    <w:pPr>
      <w:widowControl/>
      <w:jc w:val="left"/>
    </w:pPr>
    <w:rPr>
      <w:rFonts w:ascii="宋体" w:hAnsi="宋体" w:cs="宋体"/>
      <w:kern w:val="0"/>
    </w:rPr>
  </w:style>
  <w:style w:type="paragraph" w:customStyle="1" w:styleId="2219">
    <w:name w:val="黑体三号221"/>
    <w:basedOn w:val="affff4"/>
    <w:qFormat/>
    <w:pPr>
      <w:jc w:val="center"/>
    </w:pPr>
    <w:rPr>
      <w:rFonts w:ascii="黑体" w:eastAsia="黑体" w:hAnsi="宋体" w:cs="宋体"/>
      <w:b/>
      <w:bCs/>
      <w:sz w:val="32"/>
      <w:szCs w:val="20"/>
    </w:rPr>
  </w:style>
  <w:style w:type="paragraph" w:customStyle="1" w:styleId="CharCharCharCharCharCharChar161">
    <w:name w:val="Char Char Char Char Char Char Char161"/>
    <w:basedOn w:val="a"/>
    <w:qFormat/>
    <w:pPr>
      <w:widowControl/>
      <w:jc w:val="left"/>
    </w:pPr>
    <w:rPr>
      <w:rFonts w:ascii="宋体" w:hAnsi="宋体" w:cs="宋体"/>
      <w:kern w:val="0"/>
    </w:rPr>
  </w:style>
  <w:style w:type="paragraph" w:customStyle="1" w:styleId="411111">
    <w:name w:val="表题41111"/>
    <w:basedOn w:val="1fa"/>
    <w:pPr>
      <w:widowControl/>
      <w:tabs>
        <w:tab w:val="left" w:pos="4305"/>
      </w:tabs>
      <w:spacing w:after="0" w:line="240" w:lineRule="auto"/>
      <w:ind w:leftChars="0" w:left="0" w:firstLineChars="0" w:firstLine="0"/>
      <w:jc w:val="center"/>
    </w:pPr>
    <w:rPr>
      <w:rFonts w:ascii="宋体" w:hAnsi="宋体" w:cs="宋体"/>
      <w:color w:val="000000"/>
      <w:sz w:val="24"/>
      <w:szCs w:val="24"/>
    </w:rPr>
  </w:style>
  <w:style w:type="paragraph" w:customStyle="1" w:styleId="xl6321">
    <w:name w:val="xl6321"/>
    <w:basedOn w:val="a"/>
    <w:qFormat/>
    <w:pPr>
      <w:widowControl/>
      <w:spacing w:before="100" w:beforeAutospacing="1" w:after="100" w:afterAutospacing="1"/>
      <w:jc w:val="center"/>
      <w:textAlignment w:val="center"/>
    </w:pPr>
    <w:rPr>
      <w:rFonts w:ascii="黑体" w:eastAsia="黑体" w:hAnsi="宋体" w:cs="宋体" w:hint="eastAsia"/>
      <w:kern w:val="0"/>
    </w:rPr>
  </w:style>
  <w:style w:type="paragraph" w:customStyle="1" w:styleId="31241">
    <w:name w:val="表内文字小3124"/>
    <w:basedOn w:val="a"/>
    <w:qFormat/>
    <w:pPr>
      <w:widowControl/>
      <w:jc w:val="center"/>
    </w:pPr>
    <w:rPr>
      <w:rFonts w:ascii="宋体" w:hAnsi="Times" w:cs="宋体"/>
      <w:bCs/>
      <w:color w:val="003366"/>
      <w:kern w:val="0"/>
      <w:szCs w:val="20"/>
    </w:rPr>
  </w:style>
  <w:style w:type="paragraph" w:customStyle="1" w:styleId="ParaCharCharCharChar521">
    <w:name w:val="默认段落字体 Para Char Char Char Char521"/>
    <w:basedOn w:val="a"/>
    <w:qFormat/>
    <w:pPr>
      <w:widowControl/>
      <w:jc w:val="left"/>
    </w:pPr>
    <w:rPr>
      <w:rFonts w:ascii="宋体" w:hAnsi="宋体" w:cs="宋体"/>
      <w:kern w:val="0"/>
    </w:rPr>
  </w:style>
  <w:style w:type="paragraph" w:customStyle="1" w:styleId="6211">
    <w:name w:val="正文格式＝621"/>
    <w:basedOn w:val="affff4"/>
    <w:next w:val="affff4"/>
    <w:qFormat/>
    <w:rPr>
      <w:rFonts w:hAnsi="宋体"/>
      <w:szCs w:val="24"/>
    </w:rPr>
  </w:style>
  <w:style w:type="paragraph" w:customStyle="1" w:styleId="512a">
    <w:name w:val="表中文字512"/>
    <w:basedOn w:val="a"/>
    <w:qFormat/>
    <w:pPr>
      <w:widowControl/>
      <w:spacing w:line="240" w:lineRule="atLeast"/>
      <w:ind w:leftChars="-10" w:left="-24" w:rightChars="-20" w:right="-48"/>
      <w:jc w:val="center"/>
    </w:pPr>
    <w:rPr>
      <w:rFonts w:ascii="宋体" w:hAnsi="宋体" w:cs="宋体"/>
      <w:kern w:val="0"/>
      <w:szCs w:val="21"/>
    </w:rPr>
  </w:style>
  <w:style w:type="paragraph" w:customStyle="1" w:styleId="112130">
    <w:name w:val="燕山正文11213"/>
    <w:basedOn w:val="a"/>
    <w:pPr>
      <w:widowControl/>
      <w:tabs>
        <w:tab w:val="left" w:pos="4680"/>
      </w:tabs>
      <w:spacing w:line="480" w:lineRule="exact"/>
      <w:jc w:val="left"/>
    </w:pPr>
    <w:rPr>
      <w:rFonts w:ascii="宋体" w:hAnsi="宋体" w:cs="宋体"/>
      <w:bCs/>
      <w:color w:val="000000"/>
      <w:kern w:val="0"/>
    </w:rPr>
  </w:style>
  <w:style w:type="paragraph" w:customStyle="1" w:styleId="111210">
    <w:name w:val="燕山正文11121"/>
    <w:basedOn w:val="a"/>
    <w:qFormat/>
    <w:pPr>
      <w:widowControl/>
      <w:tabs>
        <w:tab w:val="left" w:pos="4680"/>
      </w:tabs>
      <w:spacing w:line="480" w:lineRule="exact"/>
      <w:jc w:val="left"/>
    </w:pPr>
    <w:rPr>
      <w:rFonts w:ascii="宋体" w:hAnsi="宋体" w:cs="宋体"/>
      <w:bCs/>
      <w:color w:val="000000"/>
      <w:kern w:val="0"/>
    </w:rPr>
  </w:style>
  <w:style w:type="paragraph" w:customStyle="1" w:styleId="CharCharCharCharCharCharChar30">
    <w:name w:val="Char Char Char Char Char Char Char30"/>
    <w:basedOn w:val="a"/>
    <w:qFormat/>
    <w:pPr>
      <w:widowControl/>
      <w:jc w:val="left"/>
    </w:pPr>
    <w:rPr>
      <w:rFonts w:ascii="宋体" w:hAnsi="宋体" w:cs="宋体"/>
      <w:kern w:val="0"/>
    </w:rPr>
  </w:style>
  <w:style w:type="paragraph" w:customStyle="1" w:styleId="CharChar2CharCharCharChar33">
    <w:name w:val="Char Char2 Char Char Char Char33"/>
    <w:basedOn w:val="a"/>
    <w:qFormat/>
    <w:pPr>
      <w:widowControl/>
      <w:jc w:val="left"/>
    </w:pPr>
    <w:rPr>
      <w:rFonts w:ascii="宋体" w:hAnsi="宋体" w:cs="宋体"/>
      <w:kern w:val="0"/>
    </w:rPr>
  </w:style>
  <w:style w:type="paragraph" w:customStyle="1" w:styleId="CharChar2CharCharCharChar411">
    <w:name w:val="Char Char2 Char Char Char Char411"/>
    <w:basedOn w:val="a"/>
    <w:qFormat/>
    <w:pPr>
      <w:widowControl/>
      <w:jc w:val="left"/>
    </w:pPr>
    <w:rPr>
      <w:rFonts w:ascii="宋体" w:hAnsi="宋体" w:cs="宋体"/>
      <w:kern w:val="0"/>
    </w:rPr>
  </w:style>
  <w:style w:type="paragraph" w:customStyle="1" w:styleId="CharCharCharCharCharCharChar216">
    <w:name w:val="Char Char Char Char Char Char Char216"/>
    <w:basedOn w:val="a"/>
    <w:qFormat/>
    <w:pPr>
      <w:widowControl/>
      <w:jc w:val="left"/>
    </w:pPr>
    <w:rPr>
      <w:rFonts w:ascii="宋体" w:hAnsi="宋体" w:cs="宋体"/>
      <w:kern w:val="0"/>
    </w:rPr>
  </w:style>
  <w:style w:type="paragraph" w:customStyle="1" w:styleId="640">
    <w:name w:val="正文格式＝64"/>
    <w:basedOn w:val="affff4"/>
    <w:next w:val="affff4"/>
    <w:qFormat/>
    <w:rPr>
      <w:rFonts w:hAnsi="宋体"/>
      <w:szCs w:val="24"/>
    </w:rPr>
  </w:style>
  <w:style w:type="paragraph" w:customStyle="1" w:styleId="41113">
    <w:name w:val="标题41113"/>
    <w:basedOn w:val="a"/>
    <w:pPr>
      <w:widowControl/>
      <w:spacing w:line="300" w:lineRule="auto"/>
      <w:jc w:val="left"/>
    </w:pPr>
    <w:rPr>
      <w:rFonts w:ascii="黑体" w:eastAsia="黑体" w:hAnsi="宋体" w:cs="宋体"/>
      <w:bCs/>
      <w:kern w:val="0"/>
      <w:szCs w:val="20"/>
    </w:rPr>
  </w:style>
  <w:style w:type="paragraph" w:customStyle="1" w:styleId="431121">
    <w:name w:val="标题431121"/>
    <w:basedOn w:val="a"/>
    <w:qFormat/>
    <w:pPr>
      <w:widowControl/>
      <w:spacing w:line="480" w:lineRule="exact"/>
      <w:jc w:val="center"/>
    </w:pPr>
    <w:rPr>
      <w:rFonts w:ascii="宋体" w:hAnsi="宋体" w:cs="宋体"/>
      <w:kern w:val="0"/>
    </w:rPr>
  </w:style>
  <w:style w:type="paragraph" w:customStyle="1" w:styleId="Char1531">
    <w:name w:val="Char153"/>
    <w:basedOn w:val="a"/>
    <w:qFormat/>
    <w:pPr>
      <w:widowControl/>
      <w:spacing w:before="156"/>
      <w:jc w:val="left"/>
    </w:pPr>
    <w:rPr>
      <w:rFonts w:ascii="黑体" w:eastAsia="黑体" w:hAnsi="宋体" w:cs="宋体"/>
      <w:kern w:val="0"/>
      <w:sz w:val="32"/>
      <w:szCs w:val="32"/>
    </w:rPr>
  </w:style>
  <w:style w:type="paragraph" w:customStyle="1" w:styleId="Char6310">
    <w:name w:val="Char631"/>
    <w:basedOn w:val="a"/>
    <w:qFormat/>
    <w:pPr>
      <w:widowControl/>
      <w:spacing w:before="156"/>
      <w:jc w:val="left"/>
    </w:pPr>
    <w:rPr>
      <w:rFonts w:ascii="黑体" w:eastAsia="黑体" w:hAnsi="宋体" w:cs="宋体"/>
      <w:kern w:val="0"/>
      <w:sz w:val="32"/>
      <w:szCs w:val="32"/>
    </w:rPr>
  </w:style>
  <w:style w:type="paragraph" w:customStyle="1" w:styleId="Char400">
    <w:name w:val="Char40"/>
    <w:basedOn w:val="a"/>
    <w:qFormat/>
    <w:pPr>
      <w:widowControl/>
      <w:ind w:left="-48"/>
      <w:jc w:val="left"/>
    </w:pPr>
    <w:rPr>
      <w:rFonts w:ascii="宋体" w:hAnsi="宋体" w:cs="宋体"/>
      <w:kern w:val="0"/>
    </w:rPr>
  </w:style>
  <w:style w:type="paragraph" w:customStyle="1" w:styleId="Char3300">
    <w:name w:val="Char330"/>
    <w:basedOn w:val="a"/>
    <w:qFormat/>
    <w:pPr>
      <w:widowControl/>
      <w:ind w:left="-48"/>
      <w:jc w:val="left"/>
    </w:pPr>
    <w:rPr>
      <w:rFonts w:ascii="宋体" w:hAnsi="宋体" w:cs="宋体"/>
      <w:kern w:val="0"/>
    </w:rPr>
  </w:style>
  <w:style w:type="paragraph" w:customStyle="1" w:styleId="ParaCharCharCharChar611">
    <w:name w:val="默认段落字体 Para Char Char Char Char611"/>
    <w:basedOn w:val="a"/>
    <w:qFormat/>
    <w:pPr>
      <w:widowControl/>
      <w:jc w:val="left"/>
    </w:pPr>
    <w:rPr>
      <w:rFonts w:ascii="宋体" w:hAnsi="宋体" w:cs="宋体"/>
      <w:kern w:val="0"/>
    </w:rPr>
  </w:style>
  <w:style w:type="paragraph" w:customStyle="1" w:styleId="31121">
    <w:name w:val="表题31121"/>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CharCharCharCharCharCharChar312">
    <w:name w:val="Char Char Char Char Char Char Char312"/>
    <w:basedOn w:val="a"/>
    <w:qFormat/>
    <w:pPr>
      <w:widowControl/>
      <w:jc w:val="left"/>
    </w:pPr>
    <w:rPr>
      <w:rFonts w:ascii="宋体" w:hAnsi="宋体" w:cs="宋体"/>
      <w:kern w:val="0"/>
    </w:rPr>
  </w:style>
  <w:style w:type="paragraph" w:customStyle="1" w:styleId="5240">
    <w:name w:val="表内宋5中24"/>
    <w:basedOn w:val="a"/>
    <w:pPr>
      <w:widowControl/>
      <w:jc w:val="center"/>
      <w:textAlignment w:val="baseline"/>
    </w:pPr>
    <w:rPr>
      <w:rFonts w:ascii="宋体" w:hAnsi="宋体" w:cs="宋体"/>
      <w:kern w:val="0"/>
      <w:szCs w:val="20"/>
    </w:rPr>
  </w:style>
  <w:style w:type="paragraph" w:customStyle="1" w:styleId="54144">
    <w:name w:val="表内54144"/>
    <w:basedOn w:val="a"/>
    <w:qFormat/>
    <w:pPr>
      <w:widowControl/>
      <w:spacing w:line="300" w:lineRule="auto"/>
      <w:jc w:val="center"/>
    </w:pPr>
    <w:rPr>
      <w:rFonts w:ascii="宋体" w:hAnsi="宋体" w:cs="宋体"/>
      <w:kern w:val="0"/>
      <w:szCs w:val="20"/>
    </w:rPr>
  </w:style>
  <w:style w:type="paragraph" w:customStyle="1" w:styleId="31f3">
    <w:name w:val="封面标准文稿编辑信息31"/>
    <w:qFormat/>
    <w:pPr>
      <w:spacing w:before="180" w:line="180" w:lineRule="exact"/>
      <w:jc w:val="center"/>
    </w:pPr>
    <w:rPr>
      <w:rFonts w:ascii="宋体"/>
      <w:sz w:val="21"/>
    </w:rPr>
  </w:style>
  <w:style w:type="paragraph" w:customStyle="1" w:styleId="111f5">
    <w:name w:val="正文缩111"/>
    <w:basedOn w:val="a"/>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311210">
    <w:name w:val="表内文字小31121"/>
    <w:basedOn w:val="a"/>
    <w:qFormat/>
    <w:pPr>
      <w:widowControl/>
      <w:jc w:val="center"/>
    </w:pPr>
    <w:rPr>
      <w:rFonts w:ascii="宋体" w:hAnsi="Times" w:cs="宋体"/>
      <w:bCs/>
      <w:color w:val="003366"/>
      <w:kern w:val="0"/>
      <w:szCs w:val="20"/>
    </w:rPr>
  </w:style>
  <w:style w:type="paragraph" w:customStyle="1" w:styleId="211f2">
    <w:name w:val="文本框211"/>
    <w:basedOn w:val="a"/>
    <w:qFormat/>
    <w:pPr>
      <w:widowControl/>
      <w:spacing w:after="6"/>
      <w:jc w:val="center"/>
    </w:pPr>
    <w:rPr>
      <w:rFonts w:ascii="宋体" w:hAnsi="宋体" w:cs="宋体"/>
      <w:kern w:val="0"/>
    </w:rPr>
  </w:style>
  <w:style w:type="paragraph" w:customStyle="1" w:styleId="ParaCharCharCharChar213">
    <w:name w:val="默认段落字体 Para Char Char Char Char213"/>
    <w:basedOn w:val="a"/>
    <w:pPr>
      <w:widowControl/>
      <w:jc w:val="left"/>
    </w:pPr>
    <w:rPr>
      <w:rFonts w:ascii="宋体" w:hAnsi="宋体" w:cs="宋体"/>
      <w:kern w:val="0"/>
    </w:rPr>
  </w:style>
  <w:style w:type="paragraph" w:customStyle="1" w:styleId="53121">
    <w:name w:val="表内53121"/>
    <w:basedOn w:val="a"/>
    <w:qFormat/>
    <w:pPr>
      <w:widowControl/>
      <w:spacing w:line="300" w:lineRule="auto"/>
      <w:jc w:val="left"/>
    </w:pPr>
    <w:rPr>
      <w:rFonts w:ascii="宋体" w:hAnsi="宋体" w:cs="宋体"/>
      <w:kern w:val="0"/>
      <w:szCs w:val="20"/>
    </w:rPr>
  </w:style>
  <w:style w:type="paragraph" w:customStyle="1" w:styleId="11321">
    <w:name w:val="燕山正文11321"/>
    <w:basedOn w:val="a"/>
    <w:qFormat/>
    <w:pPr>
      <w:widowControl/>
      <w:tabs>
        <w:tab w:val="left" w:pos="4680"/>
      </w:tabs>
      <w:jc w:val="left"/>
    </w:pPr>
    <w:rPr>
      <w:rFonts w:ascii="宋体" w:hAnsi="宋体" w:cs="宋体"/>
      <w:bCs/>
      <w:snapToGrid w:val="0"/>
      <w:color w:val="000000"/>
      <w:kern w:val="0"/>
    </w:rPr>
  </w:style>
  <w:style w:type="paragraph" w:customStyle="1" w:styleId="1138">
    <w:name w:val="样式 表格内字体1 +13"/>
    <w:basedOn w:val="1ffffff"/>
    <w:next w:val="affffff1"/>
    <w:qFormat/>
    <w:rPr>
      <w:rFonts w:hAnsi="Times New Roman" w:cs="宋体"/>
      <w:szCs w:val="20"/>
    </w:rPr>
  </w:style>
  <w:style w:type="paragraph" w:customStyle="1" w:styleId="Char660">
    <w:name w:val="Char66"/>
    <w:basedOn w:val="a"/>
    <w:qFormat/>
    <w:pPr>
      <w:widowControl/>
      <w:ind w:left="-48"/>
      <w:jc w:val="left"/>
    </w:pPr>
    <w:rPr>
      <w:rFonts w:ascii="宋体" w:hAnsi="宋体" w:cs="宋体"/>
      <w:kern w:val="0"/>
    </w:rPr>
  </w:style>
  <w:style w:type="paragraph" w:customStyle="1" w:styleId="511e">
    <w:name w:val="黑体三号511"/>
    <w:basedOn w:val="affff4"/>
    <w:qFormat/>
    <w:pPr>
      <w:jc w:val="center"/>
    </w:pPr>
    <w:rPr>
      <w:rFonts w:ascii="黑体" w:eastAsia="黑体" w:hAnsi="宋体" w:cs="宋体"/>
      <w:b/>
      <w:bCs/>
      <w:sz w:val="32"/>
      <w:szCs w:val="20"/>
    </w:rPr>
  </w:style>
  <w:style w:type="paragraph" w:customStyle="1" w:styleId="Char11410">
    <w:name w:val="Char1141"/>
    <w:basedOn w:val="a"/>
    <w:qFormat/>
    <w:pPr>
      <w:widowControl/>
      <w:ind w:left="-48"/>
      <w:jc w:val="left"/>
    </w:pPr>
    <w:rPr>
      <w:rFonts w:ascii="宋体" w:hAnsi="宋体" w:cs="宋体"/>
      <w:kern w:val="0"/>
    </w:rPr>
  </w:style>
  <w:style w:type="paragraph" w:customStyle="1" w:styleId="4310">
    <w:name w:val="表中文字431"/>
    <w:basedOn w:val="a"/>
    <w:qFormat/>
    <w:pPr>
      <w:widowControl/>
      <w:spacing w:line="340" w:lineRule="exact"/>
      <w:jc w:val="center"/>
    </w:pPr>
    <w:rPr>
      <w:rFonts w:ascii="Arial" w:hAnsi="Arial" w:cs="宋体"/>
      <w:kern w:val="0"/>
      <w:sz w:val="20"/>
      <w:lang w:eastAsia="zh-TW"/>
    </w:rPr>
  </w:style>
  <w:style w:type="paragraph" w:customStyle="1" w:styleId="FaxHeader13">
    <w:name w:val="Fax Header13"/>
    <w:basedOn w:val="a"/>
    <w:qFormat/>
    <w:pPr>
      <w:widowControl/>
      <w:spacing w:before="240" w:after="60"/>
      <w:jc w:val="left"/>
    </w:pPr>
    <w:rPr>
      <w:rFonts w:ascii="宋体" w:hAnsi="宋体" w:cs="宋体"/>
      <w:kern w:val="0"/>
      <w:sz w:val="20"/>
      <w:szCs w:val="20"/>
    </w:rPr>
  </w:style>
  <w:style w:type="paragraph" w:customStyle="1" w:styleId="1111b">
    <w:name w:val="黑体三号1111"/>
    <w:basedOn w:val="affff4"/>
    <w:pPr>
      <w:jc w:val="center"/>
    </w:pPr>
    <w:rPr>
      <w:rFonts w:ascii="黑体" w:eastAsia="黑体" w:hAnsi="宋体" w:cs="宋体"/>
      <w:b/>
      <w:bCs/>
      <w:sz w:val="32"/>
      <w:szCs w:val="20"/>
    </w:rPr>
  </w:style>
  <w:style w:type="paragraph" w:customStyle="1" w:styleId="541321">
    <w:name w:val="表内541321"/>
    <w:basedOn w:val="a"/>
    <w:qFormat/>
    <w:pPr>
      <w:widowControl/>
      <w:spacing w:line="300" w:lineRule="auto"/>
      <w:jc w:val="center"/>
    </w:pPr>
    <w:rPr>
      <w:rFonts w:ascii="宋体" w:hAnsi="宋体" w:cs="宋体"/>
      <w:kern w:val="0"/>
      <w:szCs w:val="20"/>
    </w:rPr>
  </w:style>
  <w:style w:type="paragraph" w:customStyle="1" w:styleId="314110">
    <w:name w:val="表内文字小31411"/>
    <w:basedOn w:val="a"/>
    <w:qFormat/>
    <w:pPr>
      <w:widowControl/>
      <w:jc w:val="center"/>
    </w:pPr>
    <w:rPr>
      <w:rFonts w:ascii="宋体" w:hAnsi="Times" w:cs="宋体"/>
      <w:bCs/>
      <w:color w:val="003366"/>
      <w:kern w:val="0"/>
      <w:szCs w:val="20"/>
    </w:rPr>
  </w:style>
  <w:style w:type="paragraph" w:customStyle="1" w:styleId="CharCharCharChar1CharCharChar13">
    <w:name w:val="Char Char Char Char1 Char Char Char13"/>
    <w:basedOn w:val="a"/>
    <w:pPr>
      <w:widowControl/>
      <w:spacing w:after="160" w:line="240" w:lineRule="exact"/>
      <w:jc w:val="left"/>
    </w:pPr>
    <w:rPr>
      <w:rFonts w:ascii="Verdana" w:hAnsi="Verdana" w:cs="宋体"/>
      <w:kern w:val="0"/>
      <w:sz w:val="20"/>
      <w:szCs w:val="20"/>
      <w:lang w:eastAsia="en-US"/>
    </w:rPr>
  </w:style>
  <w:style w:type="paragraph" w:customStyle="1" w:styleId="Char390">
    <w:name w:val="Char39"/>
    <w:basedOn w:val="a"/>
    <w:qFormat/>
    <w:pPr>
      <w:widowControl/>
      <w:spacing w:before="156"/>
      <w:jc w:val="left"/>
    </w:pPr>
    <w:rPr>
      <w:rFonts w:ascii="黑体" w:eastAsia="黑体" w:hAnsi="宋体" w:cs="宋体"/>
      <w:kern w:val="0"/>
      <w:sz w:val="32"/>
      <w:szCs w:val="32"/>
    </w:rPr>
  </w:style>
  <w:style w:type="paragraph" w:customStyle="1" w:styleId="Char423">
    <w:name w:val="Char423"/>
    <w:basedOn w:val="a"/>
    <w:pPr>
      <w:widowControl/>
      <w:ind w:left="-48"/>
      <w:jc w:val="left"/>
    </w:pPr>
    <w:rPr>
      <w:rFonts w:ascii="宋体" w:hAnsi="宋体" w:cs="宋体"/>
      <w:kern w:val="0"/>
    </w:rPr>
  </w:style>
  <w:style w:type="paragraph" w:customStyle="1" w:styleId="ParaCharCharCharChar1111">
    <w:name w:val="默认段落字体 Para Char Char Char Char1111"/>
    <w:basedOn w:val="a"/>
    <w:pPr>
      <w:widowControl/>
      <w:jc w:val="left"/>
    </w:pPr>
    <w:rPr>
      <w:rFonts w:ascii="宋体" w:hAnsi="宋体" w:cs="宋体"/>
      <w:kern w:val="0"/>
    </w:rPr>
  </w:style>
  <w:style w:type="paragraph" w:customStyle="1" w:styleId="7112">
    <w:name w:val="正文格式＝711"/>
    <w:basedOn w:val="affff4"/>
    <w:next w:val="affff4"/>
    <w:qFormat/>
    <w:rPr>
      <w:rFonts w:hAnsi="宋体"/>
      <w:szCs w:val="24"/>
    </w:rPr>
  </w:style>
  <w:style w:type="paragraph" w:customStyle="1" w:styleId="9a">
    <w:name w:val="表中文字9"/>
    <w:basedOn w:val="a"/>
    <w:pPr>
      <w:widowControl/>
      <w:spacing w:line="240" w:lineRule="atLeast"/>
      <w:ind w:rightChars="-20" w:right="-42"/>
      <w:jc w:val="center"/>
      <w:textAlignment w:val="baseline"/>
    </w:pPr>
    <w:rPr>
      <w:rFonts w:ascii="宋体" w:hAnsi="宋体" w:cs="宋体"/>
      <w:kern w:val="0"/>
      <w:szCs w:val="21"/>
    </w:rPr>
  </w:style>
  <w:style w:type="paragraph" w:customStyle="1" w:styleId="31313">
    <w:name w:val="表题31313"/>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1111c">
    <w:name w:val="文本框1111"/>
    <w:basedOn w:val="a"/>
    <w:qFormat/>
    <w:pPr>
      <w:widowControl/>
      <w:spacing w:after="6"/>
      <w:jc w:val="center"/>
    </w:pPr>
    <w:rPr>
      <w:rFonts w:ascii="宋体" w:hAnsi="宋体" w:cs="宋体"/>
      <w:kern w:val="0"/>
    </w:rPr>
  </w:style>
  <w:style w:type="paragraph" w:customStyle="1" w:styleId="4ff0">
    <w:name w:val="图表名称4"/>
    <w:basedOn w:val="1f3"/>
    <w:pPr>
      <w:spacing w:after="0" w:line="480" w:lineRule="exact"/>
      <w:ind w:firstLineChars="0" w:firstLine="0"/>
      <w:jc w:val="center"/>
    </w:pPr>
    <w:rPr>
      <w:rFonts w:ascii="宋体" w:hAnsi="宋体"/>
      <w:bCs/>
      <w:szCs w:val="24"/>
    </w:rPr>
  </w:style>
  <w:style w:type="paragraph" w:customStyle="1" w:styleId="Char325">
    <w:name w:val="Char325"/>
    <w:basedOn w:val="a"/>
    <w:pPr>
      <w:widowControl/>
      <w:ind w:left="-48"/>
      <w:jc w:val="left"/>
    </w:pPr>
    <w:rPr>
      <w:rFonts w:ascii="宋体" w:hAnsi="宋体" w:cs="宋体"/>
      <w:kern w:val="0"/>
    </w:rPr>
  </w:style>
  <w:style w:type="paragraph" w:customStyle="1" w:styleId="341">
    <w:name w:val="正文格式＝34"/>
    <w:basedOn w:val="affff4"/>
    <w:next w:val="affff4"/>
    <w:rPr>
      <w:rFonts w:hAnsi="宋体"/>
      <w:szCs w:val="24"/>
    </w:rPr>
  </w:style>
  <w:style w:type="paragraph" w:customStyle="1" w:styleId="1170">
    <w:name w:val="燕山正文117"/>
    <w:basedOn w:val="a"/>
    <w:qFormat/>
    <w:pPr>
      <w:widowControl/>
      <w:tabs>
        <w:tab w:val="left" w:pos="4680"/>
      </w:tabs>
      <w:spacing w:line="480" w:lineRule="exact"/>
      <w:jc w:val="left"/>
    </w:pPr>
    <w:rPr>
      <w:rFonts w:ascii="宋体" w:hAnsi="宋体" w:cs="宋体"/>
      <w:bCs/>
      <w:color w:val="000000"/>
      <w:kern w:val="0"/>
    </w:rPr>
  </w:style>
  <w:style w:type="paragraph" w:customStyle="1" w:styleId="541121">
    <w:name w:val="表内541121"/>
    <w:basedOn w:val="a"/>
    <w:qFormat/>
    <w:pPr>
      <w:widowControl/>
      <w:spacing w:line="300" w:lineRule="auto"/>
      <w:jc w:val="center"/>
    </w:pPr>
    <w:rPr>
      <w:rFonts w:ascii="宋体" w:hAnsi="宋体" w:cs="宋体"/>
      <w:kern w:val="0"/>
      <w:szCs w:val="20"/>
    </w:rPr>
  </w:style>
  <w:style w:type="paragraph" w:customStyle="1" w:styleId="CharChar2CharCharCharChar212">
    <w:name w:val="Char Char2 Char Char Char Char212"/>
    <w:basedOn w:val="a"/>
    <w:qFormat/>
    <w:pPr>
      <w:widowControl/>
      <w:jc w:val="left"/>
    </w:pPr>
    <w:rPr>
      <w:rFonts w:ascii="宋体" w:hAnsi="宋体" w:cs="宋体"/>
      <w:kern w:val="0"/>
    </w:rPr>
  </w:style>
  <w:style w:type="paragraph" w:customStyle="1" w:styleId="4ff1">
    <w:name w:val="正文缩4"/>
    <w:basedOn w:val="a"/>
    <w:qFormat/>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xl2413">
    <w:name w:val="xl2413"/>
    <w:basedOn w:val="a"/>
    <w:pPr>
      <w:widowControl/>
      <w:pBdr>
        <w:bottom w:val="single" w:sz="4" w:space="0" w:color="auto"/>
        <w:right w:val="single" w:sz="4" w:space="0" w:color="auto"/>
      </w:pBdr>
      <w:spacing w:before="100" w:beforeAutospacing="1" w:after="100" w:afterAutospacing="1"/>
      <w:jc w:val="center"/>
    </w:pPr>
    <w:rPr>
      <w:rFonts w:ascii="宋体" w:hAnsi="宋体" w:cs="宋体"/>
      <w:kern w:val="0"/>
      <w:szCs w:val="21"/>
    </w:rPr>
  </w:style>
  <w:style w:type="paragraph" w:customStyle="1" w:styleId="31f4">
    <w:name w:val="文本框31"/>
    <w:basedOn w:val="a"/>
    <w:qFormat/>
    <w:pPr>
      <w:widowControl/>
      <w:spacing w:after="6"/>
      <w:jc w:val="center"/>
    </w:pPr>
    <w:rPr>
      <w:rFonts w:ascii="宋体" w:hAnsi="宋体" w:cs="宋体"/>
      <w:kern w:val="0"/>
    </w:rPr>
  </w:style>
  <w:style w:type="paragraph" w:customStyle="1" w:styleId="51312">
    <w:name w:val="表内5中131"/>
    <w:basedOn w:val="a"/>
    <w:qFormat/>
    <w:pPr>
      <w:widowControl/>
      <w:jc w:val="center"/>
    </w:pPr>
    <w:rPr>
      <w:rFonts w:ascii="宋体" w:hAnsi="宋体" w:cs="Arial"/>
      <w:snapToGrid w:val="0"/>
      <w:color w:val="000000"/>
      <w:kern w:val="0"/>
      <w:szCs w:val="21"/>
    </w:rPr>
  </w:style>
  <w:style w:type="paragraph" w:customStyle="1" w:styleId="CharCharCharCharCharCharChar231">
    <w:name w:val="Char Char Char Char Char Char Char231"/>
    <w:basedOn w:val="a"/>
    <w:qFormat/>
    <w:pPr>
      <w:widowControl/>
      <w:jc w:val="left"/>
    </w:pPr>
    <w:rPr>
      <w:rFonts w:ascii="宋体" w:hAnsi="宋体" w:cs="宋体"/>
      <w:kern w:val="0"/>
    </w:rPr>
  </w:style>
  <w:style w:type="paragraph" w:customStyle="1" w:styleId="CharChar2CharCharCharChar312">
    <w:name w:val="Char Char2 Char Char Char Char312"/>
    <w:basedOn w:val="a"/>
    <w:pPr>
      <w:widowControl/>
      <w:jc w:val="left"/>
    </w:pPr>
    <w:rPr>
      <w:rFonts w:ascii="宋体" w:hAnsi="宋体" w:cs="宋体"/>
      <w:kern w:val="0"/>
    </w:rPr>
  </w:style>
  <w:style w:type="paragraph" w:customStyle="1" w:styleId="Char4140">
    <w:name w:val="Char414"/>
    <w:basedOn w:val="a"/>
    <w:qFormat/>
    <w:pPr>
      <w:widowControl/>
      <w:ind w:left="-48"/>
      <w:jc w:val="left"/>
    </w:pPr>
    <w:rPr>
      <w:rFonts w:ascii="宋体" w:hAnsi="宋体" w:cs="宋体"/>
      <w:kern w:val="0"/>
    </w:rPr>
  </w:style>
  <w:style w:type="paragraph" w:customStyle="1" w:styleId="52111">
    <w:name w:val="表内5211"/>
    <w:basedOn w:val="a"/>
    <w:qFormat/>
    <w:pPr>
      <w:widowControl/>
      <w:spacing w:line="300" w:lineRule="auto"/>
      <w:jc w:val="left"/>
    </w:pPr>
    <w:rPr>
      <w:rFonts w:ascii="宋体" w:hAnsi="宋体" w:cs="宋体"/>
      <w:kern w:val="0"/>
      <w:sz w:val="18"/>
      <w:szCs w:val="20"/>
    </w:rPr>
  </w:style>
  <w:style w:type="paragraph" w:customStyle="1" w:styleId="41112">
    <w:name w:val="正文格式＝4111"/>
    <w:basedOn w:val="affff4"/>
    <w:next w:val="affff4"/>
    <w:rPr>
      <w:rFonts w:hAnsi="宋体"/>
      <w:szCs w:val="24"/>
    </w:rPr>
  </w:style>
  <w:style w:type="paragraph" w:customStyle="1" w:styleId="Char2150">
    <w:name w:val="Char215"/>
    <w:basedOn w:val="a"/>
    <w:qFormat/>
    <w:pPr>
      <w:widowControl/>
      <w:ind w:left="-48"/>
      <w:jc w:val="left"/>
    </w:pPr>
    <w:rPr>
      <w:rFonts w:ascii="宋体" w:hAnsi="宋体" w:cs="宋体"/>
      <w:kern w:val="0"/>
    </w:rPr>
  </w:style>
  <w:style w:type="paragraph" w:customStyle="1" w:styleId="CharCharCharCharCharCharChar261">
    <w:name w:val="Char Char Char Char Char Char Char261"/>
    <w:basedOn w:val="a"/>
    <w:qFormat/>
    <w:pPr>
      <w:widowControl/>
      <w:jc w:val="left"/>
    </w:pPr>
    <w:rPr>
      <w:rFonts w:ascii="宋体" w:hAnsi="宋体" w:cs="宋体"/>
      <w:kern w:val="0"/>
    </w:rPr>
  </w:style>
  <w:style w:type="paragraph" w:customStyle="1" w:styleId="42110">
    <w:name w:val="标题4211"/>
    <w:basedOn w:val="a"/>
    <w:qFormat/>
    <w:pPr>
      <w:widowControl/>
      <w:spacing w:line="300" w:lineRule="auto"/>
      <w:jc w:val="left"/>
    </w:pPr>
    <w:rPr>
      <w:rFonts w:ascii="黑体" w:eastAsia="黑体" w:hAnsi="宋体" w:cs="宋体"/>
      <w:bCs/>
      <w:kern w:val="0"/>
    </w:rPr>
  </w:style>
  <w:style w:type="paragraph" w:customStyle="1" w:styleId="xl63111">
    <w:name w:val="xl63111"/>
    <w:basedOn w:val="a"/>
    <w:pPr>
      <w:widowControl/>
      <w:spacing w:before="100" w:beforeAutospacing="1" w:after="100" w:afterAutospacing="1"/>
      <w:jc w:val="center"/>
      <w:textAlignment w:val="center"/>
    </w:pPr>
    <w:rPr>
      <w:rFonts w:ascii="黑体" w:eastAsia="黑体" w:hAnsi="宋体" w:cs="宋体" w:hint="eastAsia"/>
      <w:kern w:val="0"/>
    </w:rPr>
  </w:style>
  <w:style w:type="paragraph" w:customStyle="1" w:styleId="5510">
    <w:name w:val="表内5中51"/>
    <w:basedOn w:val="a"/>
    <w:qFormat/>
    <w:pPr>
      <w:widowControl/>
      <w:jc w:val="center"/>
    </w:pPr>
    <w:rPr>
      <w:rFonts w:ascii="宋体" w:hAnsi="宋体" w:cs="Arial"/>
      <w:snapToGrid w:val="0"/>
      <w:color w:val="000000"/>
      <w:kern w:val="0"/>
      <w:szCs w:val="21"/>
    </w:rPr>
  </w:style>
  <w:style w:type="paragraph" w:customStyle="1" w:styleId="CharChar2CharCharCharChar14">
    <w:name w:val="Char Char2 Char Char Char Char14"/>
    <w:basedOn w:val="a"/>
    <w:qFormat/>
    <w:pPr>
      <w:widowControl/>
      <w:jc w:val="left"/>
    </w:pPr>
    <w:rPr>
      <w:rFonts w:ascii="宋体" w:hAnsi="宋体" w:cs="宋体"/>
      <w:kern w:val="0"/>
    </w:rPr>
  </w:style>
  <w:style w:type="paragraph" w:customStyle="1" w:styleId="5ff1">
    <w:name w:val="文本框5"/>
    <w:basedOn w:val="a"/>
    <w:qFormat/>
    <w:pPr>
      <w:widowControl/>
      <w:spacing w:after="6"/>
      <w:jc w:val="center"/>
    </w:pPr>
    <w:rPr>
      <w:rFonts w:ascii="宋体" w:hAnsi="宋体" w:cs="宋体"/>
      <w:kern w:val="0"/>
    </w:rPr>
  </w:style>
  <w:style w:type="paragraph" w:customStyle="1" w:styleId="CharChar2CharCharCharChar51">
    <w:name w:val="Char Char2 Char Char Char Char51"/>
    <w:basedOn w:val="a"/>
    <w:qFormat/>
    <w:pPr>
      <w:widowControl/>
      <w:jc w:val="left"/>
    </w:pPr>
    <w:rPr>
      <w:rFonts w:ascii="宋体" w:hAnsi="宋体" w:cs="宋体"/>
      <w:kern w:val="0"/>
    </w:rPr>
  </w:style>
  <w:style w:type="paragraph" w:customStyle="1" w:styleId="52131">
    <w:name w:val="表内宋5中213"/>
    <w:basedOn w:val="a"/>
    <w:qFormat/>
    <w:pPr>
      <w:widowControl/>
      <w:jc w:val="center"/>
      <w:textAlignment w:val="baseline"/>
    </w:pPr>
    <w:rPr>
      <w:rFonts w:ascii="宋体" w:hAnsi="宋体" w:cs="宋体"/>
      <w:kern w:val="0"/>
      <w:szCs w:val="20"/>
    </w:rPr>
  </w:style>
  <w:style w:type="paragraph" w:customStyle="1" w:styleId="53d">
    <w:name w:val="燕山正文53"/>
    <w:basedOn w:val="a"/>
    <w:qFormat/>
    <w:pPr>
      <w:widowControl/>
      <w:tabs>
        <w:tab w:val="left" w:pos="4680"/>
      </w:tabs>
      <w:spacing w:line="480" w:lineRule="exact"/>
      <w:jc w:val="left"/>
    </w:pPr>
    <w:rPr>
      <w:rFonts w:ascii="宋体" w:hAnsi="宋体" w:cs="宋体"/>
      <w:kern w:val="0"/>
    </w:rPr>
  </w:style>
  <w:style w:type="paragraph" w:customStyle="1" w:styleId="1219">
    <w:name w:val="附件121"/>
    <w:basedOn w:val="1"/>
    <w:next w:val="affff4"/>
    <w:qFormat/>
    <w:pPr>
      <w:numPr>
        <w:numId w:val="0"/>
      </w:numPr>
      <w:adjustRightInd/>
      <w:snapToGrid/>
      <w:spacing w:after="210"/>
      <w:jc w:val="left"/>
    </w:pPr>
    <w:rPr>
      <w:rFonts w:ascii="黑体" w:eastAsia="黑体"/>
      <w:b w:val="0"/>
      <w:sz w:val="32"/>
      <w:szCs w:val="32"/>
      <w:lang w:val="zh-CN"/>
    </w:rPr>
  </w:style>
  <w:style w:type="paragraph" w:customStyle="1" w:styleId="5332">
    <w:name w:val="表内宋5中33"/>
    <w:basedOn w:val="a"/>
    <w:pPr>
      <w:widowControl/>
      <w:jc w:val="left"/>
      <w:textAlignment w:val="baseline"/>
    </w:pPr>
    <w:rPr>
      <w:rFonts w:ascii="宋体" w:hAnsi="宋体" w:cs="宋体"/>
      <w:color w:val="000000"/>
      <w:kern w:val="0"/>
      <w:szCs w:val="20"/>
    </w:rPr>
  </w:style>
  <w:style w:type="paragraph" w:customStyle="1" w:styleId="11340">
    <w:name w:val="燕山正文1134"/>
    <w:basedOn w:val="a"/>
    <w:pPr>
      <w:widowControl/>
      <w:tabs>
        <w:tab w:val="left" w:pos="4680"/>
      </w:tabs>
      <w:jc w:val="left"/>
    </w:pPr>
    <w:rPr>
      <w:rFonts w:ascii="宋体" w:hAnsi="宋体" w:cs="宋体"/>
      <w:bCs/>
      <w:snapToGrid w:val="0"/>
      <w:color w:val="000000"/>
      <w:kern w:val="0"/>
    </w:rPr>
  </w:style>
  <w:style w:type="paragraph" w:customStyle="1" w:styleId="342">
    <w:name w:val="燕山正文34"/>
    <w:basedOn w:val="a"/>
    <w:qFormat/>
    <w:pPr>
      <w:widowControl/>
      <w:tabs>
        <w:tab w:val="left" w:pos="4680"/>
      </w:tabs>
      <w:spacing w:line="480" w:lineRule="exact"/>
      <w:jc w:val="left"/>
    </w:pPr>
    <w:rPr>
      <w:rFonts w:ascii="宋体" w:hAnsi="宋体" w:cs="宋体"/>
      <w:kern w:val="0"/>
    </w:rPr>
  </w:style>
  <w:style w:type="paragraph" w:customStyle="1" w:styleId="31f5">
    <w:name w:val="正文斜体31"/>
    <w:basedOn w:val="affff4"/>
    <w:next w:val="affff4"/>
    <w:qFormat/>
    <w:rPr>
      <w:rFonts w:hAnsi="宋体"/>
      <w:i/>
      <w:iCs/>
      <w:szCs w:val="24"/>
    </w:rPr>
  </w:style>
  <w:style w:type="paragraph" w:customStyle="1" w:styleId="Char13120">
    <w:name w:val="Char1312"/>
    <w:basedOn w:val="a"/>
    <w:qFormat/>
    <w:pPr>
      <w:widowControl/>
      <w:ind w:left="-48"/>
      <w:jc w:val="left"/>
    </w:pPr>
    <w:rPr>
      <w:rFonts w:ascii="宋体" w:hAnsi="宋体" w:cs="宋体"/>
      <w:kern w:val="0"/>
    </w:rPr>
  </w:style>
  <w:style w:type="paragraph" w:customStyle="1" w:styleId="5215">
    <w:name w:val="样式 表内小5 + 黑体 加粗 倾斜 下划线21"/>
    <w:basedOn w:val="a"/>
    <w:qFormat/>
    <w:pPr>
      <w:widowControl/>
      <w:spacing w:line="300" w:lineRule="auto"/>
      <w:jc w:val="left"/>
    </w:pPr>
    <w:rPr>
      <w:rFonts w:ascii="黑体" w:eastAsia="黑体" w:hAnsi="黑体" w:cs="宋体"/>
      <w:b/>
      <w:bCs/>
      <w:i/>
      <w:iCs/>
      <w:kern w:val="0"/>
      <w:sz w:val="18"/>
      <w:u w:val="single"/>
    </w:rPr>
  </w:style>
  <w:style w:type="paragraph" w:customStyle="1" w:styleId="43b">
    <w:name w:val="附件43"/>
    <w:basedOn w:val="1"/>
    <w:next w:val="affff4"/>
    <w:qFormat/>
    <w:pPr>
      <w:numPr>
        <w:numId w:val="0"/>
      </w:numPr>
      <w:adjustRightInd/>
      <w:snapToGrid/>
      <w:spacing w:after="210"/>
      <w:jc w:val="left"/>
    </w:pPr>
    <w:rPr>
      <w:rFonts w:ascii="黑体" w:eastAsia="黑体"/>
      <w:sz w:val="32"/>
      <w:szCs w:val="32"/>
      <w:lang w:val="zh-CN"/>
    </w:rPr>
  </w:style>
  <w:style w:type="paragraph" w:customStyle="1" w:styleId="ParaCharCharCharChar221">
    <w:name w:val="默认段落字体 Para Char Char Char Char221"/>
    <w:basedOn w:val="a"/>
    <w:qFormat/>
    <w:pPr>
      <w:widowControl/>
      <w:jc w:val="left"/>
    </w:pPr>
    <w:rPr>
      <w:rFonts w:ascii="宋体" w:hAnsi="宋体" w:cs="宋体"/>
      <w:kern w:val="0"/>
    </w:rPr>
  </w:style>
  <w:style w:type="paragraph" w:customStyle="1" w:styleId="11215">
    <w:name w:val="表中文字1121"/>
    <w:basedOn w:val="a"/>
    <w:pPr>
      <w:widowControl/>
      <w:spacing w:line="240" w:lineRule="atLeast"/>
      <w:ind w:leftChars="-10" w:left="-24" w:rightChars="-20" w:right="-48"/>
      <w:jc w:val="center"/>
    </w:pPr>
    <w:rPr>
      <w:rFonts w:ascii="宋体" w:hAnsi="宋体" w:cs="宋体"/>
      <w:kern w:val="0"/>
      <w:szCs w:val="21"/>
    </w:rPr>
  </w:style>
  <w:style w:type="paragraph" w:customStyle="1" w:styleId="541213">
    <w:name w:val="表内541213"/>
    <w:basedOn w:val="a"/>
    <w:qFormat/>
    <w:pPr>
      <w:widowControl/>
      <w:spacing w:line="300" w:lineRule="auto"/>
      <w:jc w:val="center"/>
    </w:pPr>
    <w:rPr>
      <w:rFonts w:ascii="宋体" w:hAnsi="宋体" w:cs="宋体"/>
      <w:kern w:val="0"/>
      <w:szCs w:val="20"/>
    </w:rPr>
  </w:style>
  <w:style w:type="paragraph" w:customStyle="1" w:styleId="121a">
    <w:name w:val="样式 表格内字体1 +21"/>
    <w:basedOn w:val="1ffffff"/>
    <w:next w:val="affffff1"/>
    <w:qFormat/>
    <w:rPr>
      <w:rFonts w:hAnsi="Times New Roman" w:cs="宋体"/>
      <w:szCs w:val="20"/>
    </w:rPr>
  </w:style>
  <w:style w:type="paragraph" w:customStyle="1" w:styleId="211210">
    <w:name w:val="表题21121"/>
    <w:basedOn w:val="a"/>
    <w:qFormat/>
    <w:pPr>
      <w:widowControl/>
      <w:jc w:val="center"/>
    </w:pPr>
    <w:rPr>
      <w:rFonts w:ascii="黑体" w:eastAsia="黑体" w:hAnsi="宋体" w:cs="宋体"/>
      <w:kern w:val="0"/>
    </w:rPr>
  </w:style>
  <w:style w:type="paragraph" w:customStyle="1" w:styleId="411120">
    <w:name w:val="标题41112"/>
    <w:basedOn w:val="a"/>
    <w:pPr>
      <w:widowControl/>
      <w:spacing w:line="300" w:lineRule="auto"/>
      <w:jc w:val="left"/>
    </w:pPr>
    <w:rPr>
      <w:rFonts w:ascii="黑体" w:eastAsia="黑体" w:hAnsi="宋体" w:cs="宋体"/>
      <w:bCs/>
      <w:kern w:val="0"/>
      <w:szCs w:val="20"/>
    </w:rPr>
  </w:style>
  <w:style w:type="paragraph" w:customStyle="1" w:styleId="Char2330">
    <w:name w:val="Char233"/>
    <w:basedOn w:val="a"/>
    <w:qFormat/>
    <w:pPr>
      <w:widowControl/>
      <w:ind w:left="-48"/>
      <w:jc w:val="left"/>
    </w:pPr>
    <w:rPr>
      <w:rFonts w:ascii="宋体" w:hAnsi="宋体" w:cs="宋体"/>
      <w:kern w:val="0"/>
    </w:rPr>
  </w:style>
  <w:style w:type="paragraph" w:customStyle="1" w:styleId="1139">
    <w:name w:val="正文.113"/>
    <w:qFormat/>
    <w:pPr>
      <w:widowControl w:val="0"/>
      <w:autoSpaceDE w:val="0"/>
      <w:autoSpaceDN w:val="0"/>
      <w:adjustRightInd w:val="0"/>
      <w:jc w:val="both"/>
    </w:pPr>
    <w:rPr>
      <w:rFonts w:ascii="Times New Roman;Symbol;Arial;婼" w:eastAsia="Times New Roman;Symbol;Arial;婼"/>
      <w:sz w:val="21"/>
      <w:szCs w:val="21"/>
    </w:rPr>
  </w:style>
  <w:style w:type="paragraph" w:customStyle="1" w:styleId="Char15120">
    <w:name w:val="Char1512"/>
    <w:basedOn w:val="a"/>
    <w:qFormat/>
    <w:pPr>
      <w:widowControl/>
      <w:spacing w:before="156"/>
      <w:jc w:val="left"/>
    </w:pPr>
    <w:rPr>
      <w:rFonts w:ascii="黑体" w:eastAsia="黑体" w:hAnsi="宋体" w:cs="宋体"/>
      <w:kern w:val="0"/>
      <w:sz w:val="32"/>
      <w:szCs w:val="32"/>
    </w:rPr>
  </w:style>
  <w:style w:type="paragraph" w:customStyle="1" w:styleId="CharCharCharCharCharCharChar224">
    <w:name w:val="Char Char Char Char Char Char Char224"/>
    <w:basedOn w:val="a"/>
    <w:qFormat/>
    <w:pPr>
      <w:widowControl/>
      <w:jc w:val="left"/>
    </w:pPr>
    <w:rPr>
      <w:rFonts w:ascii="宋体" w:hAnsi="宋体" w:cs="宋体"/>
      <w:kern w:val="0"/>
    </w:rPr>
  </w:style>
  <w:style w:type="paragraph" w:customStyle="1" w:styleId="5ff2">
    <w:name w:val="正文.5"/>
    <w:qFormat/>
    <w:pPr>
      <w:widowControl w:val="0"/>
      <w:autoSpaceDE w:val="0"/>
      <w:autoSpaceDN w:val="0"/>
      <w:adjustRightInd w:val="0"/>
      <w:jc w:val="both"/>
    </w:pPr>
    <w:rPr>
      <w:rFonts w:ascii="Times New Roman;Symbol;Arial;婼" w:eastAsia="Times New Roman;Symbol;Arial;婼"/>
      <w:sz w:val="21"/>
      <w:szCs w:val="21"/>
    </w:rPr>
  </w:style>
  <w:style w:type="paragraph" w:customStyle="1" w:styleId="31f6">
    <w:name w:val="环评正文31"/>
    <w:pPr>
      <w:spacing w:line="440" w:lineRule="exact"/>
      <w:ind w:firstLineChars="200" w:firstLine="200"/>
    </w:pPr>
    <w:rPr>
      <w:bCs/>
      <w:kern w:val="2"/>
      <w:sz w:val="24"/>
      <w:szCs w:val="24"/>
    </w:rPr>
  </w:style>
  <w:style w:type="paragraph" w:customStyle="1" w:styleId="21fd">
    <w:name w:val="环评正文21"/>
    <w:qFormat/>
    <w:pPr>
      <w:spacing w:line="440" w:lineRule="exact"/>
      <w:ind w:firstLineChars="200" w:firstLine="200"/>
    </w:pPr>
    <w:rPr>
      <w:bCs/>
      <w:kern w:val="2"/>
      <w:sz w:val="24"/>
      <w:szCs w:val="24"/>
    </w:rPr>
  </w:style>
  <w:style w:type="paragraph" w:customStyle="1" w:styleId="CharCharCharChar1CharCharChar16">
    <w:name w:val="Char Char Char Char1 Char Char Char16"/>
    <w:basedOn w:val="a"/>
    <w:qFormat/>
    <w:pPr>
      <w:widowControl/>
      <w:spacing w:after="160" w:line="240" w:lineRule="exact"/>
      <w:jc w:val="left"/>
    </w:pPr>
    <w:rPr>
      <w:rFonts w:ascii="Verdana" w:hAnsi="Verdana" w:cs="宋体"/>
      <w:kern w:val="0"/>
      <w:sz w:val="20"/>
      <w:szCs w:val="20"/>
      <w:lang w:eastAsia="en-US"/>
    </w:rPr>
  </w:style>
  <w:style w:type="paragraph" w:customStyle="1" w:styleId="Char12100">
    <w:name w:val="Char1210"/>
    <w:basedOn w:val="a"/>
    <w:qFormat/>
    <w:pPr>
      <w:widowControl/>
      <w:jc w:val="left"/>
    </w:pPr>
    <w:rPr>
      <w:rFonts w:ascii="宋体" w:hAnsi="宋体" w:cs="宋体"/>
      <w:kern w:val="0"/>
    </w:rPr>
  </w:style>
  <w:style w:type="paragraph" w:customStyle="1" w:styleId="Char1810">
    <w:name w:val="Char181"/>
    <w:basedOn w:val="a"/>
    <w:qFormat/>
    <w:pPr>
      <w:widowControl/>
      <w:ind w:left="-48"/>
      <w:jc w:val="left"/>
    </w:pPr>
    <w:rPr>
      <w:rFonts w:ascii="宋体" w:hAnsi="宋体" w:cs="宋体"/>
      <w:kern w:val="0"/>
    </w:rPr>
  </w:style>
  <w:style w:type="paragraph" w:customStyle="1" w:styleId="541110">
    <w:name w:val="表内5中4111"/>
    <w:basedOn w:val="a"/>
    <w:qFormat/>
    <w:pPr>
      <w:widowControl/>
      <w:jc w:val="center"/>
    </w:pPr>
    <w:rPr>
      <w:rFonts w:ascii="宋体" w:hAnsi="宋体" w:cs="宋体"/>
      <w:bCs/>
      <w:kern w:val="0"/>
      <w:szCs w:val="20"/>
    </w:rPr>
  </w:style>
  <w:style w:type="paragraph" w:customStyle="1" w:styleId="Char1180">
    <w:name w:val="Char118"/>
    <w:basedOn w:val="a"/>
    <w:pPr>
      <w:widowControl/>
      <w:spacing w:before="156"/>
      <w:jc w:val="left"/>
    </w:pPr>
    <w:rPr>
      <w:rFonts w:ascii="黑体" w:eastAsia="黑体" w:hAnsi="宋体" w:cs="宋体"/>
      <w:kern w:val="0"/>
      <w:sz w:val="32"/>
      <w:szCs w:val="32"/>
    </w:rPr>
  </w:style>
  <w:style w:type="paragraph" w:customStyle="1" w:styleId="3310">
    <w:name w:val="正文修改331"/>
    <w:basedOn w:val="affffe"/>
    <w:qFormat/>
    <w:rPr>
      <w:rFonts w:eastAsia="宋体" w:hAnsi="宋体" w:cs="宋体"/>
      <w:color w:val="000000"/>
      <w:szCs w:val="24"/>
    </w:rPr>
  </w:style>
  <w:style w:type="paragraph" w:customStyle="1" w:styleId="Char17110">
    <w:name w:val="Char1711"/>
    <w:basedOn w:val="a"/>
    <w:qFormat/>
    <w:pPr>
      <w:widowControl/>
      <w:ind w:left="-48"/>
      <w:jc w:val="left"/>
    </w:pPr>
    <w:rPr>
      <w:rFonts w:ascii="宋体" w:hAnsi="宋体" w:cs="宋体"/>
      <w:kern w:val="0"/>
    </w:rPr>
  </w:style>
  <w:style w:type="paragraph" w:customStyle="1" w:styleId="2240">
    <w:name w:val="表内文字小224"/>
    <w:basedOn w:val="a"/>
    <w:qFormat/>
    <w:pPr>
      <w:widowControl/>
      <w:jc w:val="center"/>
    </w:pPr>
    <w:rPr>
      <w:rFonts w:ascii="宋体" w:hAnsi="Times" w:cs="宋体"/>
      <w:bCs/>
      <w:color w:val="000000"/>
      <w:kern w:val="0"/>
      <w:szCs w:val="20"/>
    </w:rPr>
  </w:style>
  <w:style w:type="paragraph" w:customStyle="1" w:styleId="Char813">
    <w:name w:val="Char813"/>
    <w:basedOn w:val="a"/>
    <w:qFormat/>
    <w:pPr>
      <w:widowControl/>
      <w:ind w:left="-48"/>
      <w:jc w:val="left"/>
    </w:pPr>
    <w:rPr>
      <w:rFonts w:ascii="宋体" w:hAnsi="宋体" w:cs="宋体"/>
      <w:kern w:val="0"/>
    </w:rPr>
  </w:style>
  <w:style w:type="paragraph" w:customStyle="1" w:styleId="xl6312">
    <w:name w:val="xl6312"/>
    <w:basedOn w:val="a"/>
    <w:qFormat/>
    <w:pPr>
      <w:widowControl/>
      <w:spacing w:before="100" w:beforeAutospacing="1" w:after="100" w:afterAutospacing="1"/>
      <w:jc w:val="center"/>
      <w:textAlignment w:val="center"/>
    </w:pPr>
    <w:rPr>
      <w:rFonts w:ascii="黑体" w:eastAsia="黑体" w:hAnsi="宋体" w:cs="宋体" w:hint="eastAsia"/>
      <w:kern w:val="0"/>
    </w:rPr>
  </w:style>
  <w:style w:type="paragraph" w:customStyle="1" w:styleId="CharCharCharCharCharCharChar133">
    <w:name w:val="Char Char Char Char Char Char Char133"/>
    <w:basedOn w:val="a"/>
    <w:qFormat/>
    <w:pPr>
      <w:widowControl/>
      <w:jc w:val="left"/>
    </w:pPr>
    <w:rPr>
      <w:rFonts w:ascii="宋体" w:hAnsi="宋体" w:cs="宋体"/>
      <w:kern w:val="0"/>
    </w:rPr>
  </w:style>
  <w:style w:type="paragraph" w:customStyle="1" w:styleId="54114">
    <w:name w:val="表内54114"/>
    <w:basedOn w:val="a"/>
    <w:qFormat/>
    <w:pPr>
      <w:widowControl/>
      <w:spacing w:line="300" w:lineRule="auto"/>
      <w:jc w:val="center"/>
    </w:pPr>
    <w:rPr>
      <w:rFonts w:ascii="宋体" w:hAnsi="宋体" w:cs="宋体"/>
      <w:kern w:val="0"/>
      <w:szCs w:val="20"/>
    </w:rPr>
  </w:style>
  <w:style w:type="paragraph" w:customStyle="1" w:styleId="940">
    <w:name w:val="表题94"/>
    <w:basedOn w:val="2fff1"/>
    <w:qFormat/>
    <w:pPr>
      <w:spacing w:line="300" w:lineRule="auto"/>
      <w:jc w:val="center"/>
    </w:pPr>
    <w:rPr>
      <w:rFonts w:ascii="黑体" w:eastAsia="黑体"/>
      <w:szCs w:val="22"/>
    </w:rPr>
  </w:style>
  <w:style w:type="paragraph" w:customStyle="1" w:styleId="Char3131">
    <w:name w:val="Char313"/>
    <w:basedOn w:val="a"/>
    <w:qFormat/>
    <w:pPr>
      <w:widowControl/>
      <w:ind w:left="-48"/>
      <w:jc w:val="left"/>
    </w:pPr>
    <w:rPr>
      <w:rFonts w:ascii="宋体" w:hAnsi="宋体" w:cs="宋体"/>
      <w:kern w:val="0"/>
    </w:rPr>
  </w:style>
  <w:style w:type="paragraph" w:customStyle="1" w:styleId="414H4H4141H42H41114214">
    <w:name w:val="样式 标题 4无效格式无效格式1河石管道4H4H41小小节河石管道41H42H411小小节1河石管道42...14"/>
    <w:basedOn w:val="4"/>
    <w:pPr>
      <w:numPr>
        <w:ilvl w:val="0"/>
        <w:numId w:val="0"/>
      </w:numPr>
      <w:spacing w:after="0" w:line="360" w:lineRule="auto"/>
      <w:ind w:left="664" w:hanging="864"/>
    </w:pPr>
    <w:rPr>
      <w:rFonts w:ascii="黑体" w:eastAsia="黑体" w:hAnsi="Arial" w:cs="宋体"/>
      <w:b w:val="0"/>
      <w:bCs w:val="0"/>
      <w:kern w:val="2"/>
      <w:sz w:val="24"/>
      <w:szCs w:val="20"/>
    </w:rPr>
  </w:style>
  <w:style w:type="paragraph" w:customStyle="1" w:styleId="11313">
    <w:name w:val="样式1131"/>
    <w:basedOn w:val="314"/>
    <w:qFormat/>
    <w:pPr>
      <w:spacing w:line="240" w:lineRule="auto"/>
      <w:ind w:firstLine="0"/>
      <w:jc w:val="center"/>
    </w:pPr>
    <w:rPr>
      <w:rFonts w:cs="Times New Roman"/>
      <w:b/>
      <w:color w:val="auto"/>
      <w:szCs w:val="20"/>
    </w:rPr>
  </w:style>
  <w:style w:type="paragraph" w:customStyle="1" w:styleId="31510">
    <w:name w:val="表内文字小3151"/>
    <w:basedOn w:val="a"/>
    <w:qFormat/>
    <w:pPr>
      <w:widowControl/>
      <w:jc w:val="center"/>
    </w:pPr>
    <w:rPr>
      <w:rFonts w:ascii="宋体" w:hAnsi="Times" w:cs="宋体"/>
      <w:bCs/>
      <w:color w:val="003366"/>
      <w:kern w:val="0"/>
      <w:szCs w:val="20"/>
    </w:rPr>
  </w:style>
  <w:style w:type="paragraph" w:customStyle="1" w:styleId="Char1280">
    <w:name w:val="Char128"/>
    <w:basedOn w:val="a"/>
    <w:qFormat/>
    <w:pPr>
      <w:widowControl/>
      <w:ind w:left="-48"/>
      <w:jc w:val="left"/>
    </w:pPr>
    <w:rPr>
      <w:rFonts w:ascii="宋体" w:hAnsi="宋体" w:cs="宋体"/>
      <w:kern w:val="0"/>
    </w:rPr>
  </w:style>
  <w:style w:type="paragraph" w:customStyle="1" w:styleId="Char329">
    <w:name w:val="Char329"/>
    <w:basedOn w:val="a"/>
    <w:qFormat/>
    <w:pPr>
      <w:widowControl/>
      <w:ind w:left="-48"/>
      <w:jc w:val="left"/>
    </w:pPr>
    <w:rPr>
      <w:rFonts w:ascii="宋体" w:hAnsi="宋体" w:cs="宋体"/>
      <w:kern w:val="0"/>
    </w:rPr>
  </w:style>
  <w:style w:type="paragraph" w:customStyle="1" w:styleId="CharChar2CharCharCharChar43">
    <w:name w:val="Char Char2 Char Char Char Char43"/>
    <w:basedOn w:val="a"/>
    <w:qFormat/>
    <w:pPr>
      <w:widowControl/>
      <w:jc w:val="left"/>
    </w:pPr>
    <w:rPr>
      <w:rFonts w:ascii="宋体" w:hAnsi="宋体" w:cs="宋体"/>
      <w:kern w:val="0"/>
    </w:rPr>
  </w:style>
  <w:style w:type="paragraph" w:customStyle="1" w:styleId="21fe">
    <w:name w:val="正文缩21"/>
    <w:basedOn w:val="a"/>
    <w:qFormat/>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54180">
    <w:name w:val="表内5418"/>
    <w:basedOn w:val="a"/>
    <w:qFormat/>
    <w:pPr>
      <w:widowControl/>
      <w:spacing w:line="300" w:lineRule="auto"/>
      <w:jc w:val="center"/>
    </w:pPr>
    <w:rPr>
      <w:rFonts w:ascii="宋体" w:hAnsi="宋体" w:cs="宋体"/>
      <w:kern w:val="0"/>
      <w:szCs w:val="20"/>
    </w:rPr>
  </w:style>
  <w:style w:type="paragraph" w:customStyle="1" w:styleId="CharCharCharCharCharCharChar226">
    <w:name w:val="Char Char Char Char Char Char Char226"/>
    <w:basedOn w:val="a"/>
    <w:qFormat/>
    <w:pPr>
      <w:widowControl/>
      <w:jc w:val="left"/>
    </w:pPr>
    <w:rPr>
      <w:rFonts w:ascii="宋体" w:hAnsi="宋体" w:cs="宋体"/>
      <w:kern w:val="0"/>
    </w:rPr>
  </w:style>
  <w:style w:type="paragraph" w:customStyle="1" w:styleId="121b">
    <w:name w:val="正文格式＝121"/>
    <w:basedOn w:val="affff4"/>
    <w:next w:val="affff4"/>
    <w:qFormat/>
    <w:rPr>
      <w:rFonts w:hAnsi="宋体"/>
      <w:szCs w:val="24"/>
    </w:rPr>
  </w:style>
  <w:style w:type="paragraph" w:customStyle="1" w:styleId="CharChar2CharCharCharChar19">
    <w:name w:val="Char Char2 Char Char Char Char19"/>
    <w:basedOn w:val="a"/>
    <w:qFormat/>
    <w:pPr>
      <w:widowControl/>
      <w:jc w:val="left"/>
    </w:pPr>
    <w:rPr>
      <w:rFonts w:ascii="宋体" w:hAnsi="宋体" w:cs="宋体"/>
      <w:kern w:val="0"/>
    </w:rPr>
  </w:style>
  <w:style w:type="paragraph" w:customStyle="1" w:styleId="1414">
    <w:name w:val="表题1414"/>
    <w:basedOn w:val="a"/>
    <w:pPr>
      <w:widowControl/>
      <w:jc w:val="center"/>
    </w:pPr>
    <w:rPr>
      <w:rFonts w:ascii="黑体" w:eastAsia="黑体" w:hAnsi="宋体" w:cs="宋体"/>
      <w:kern w:val="0"/>
    </w:rPr>
  </w:style>
  <w:style w:type="paragraph" w:customStyle="1" w:styleId="1315">
    <w:name w:val="表内文字小131"/>
    <w:basedOn w:val="a"/>
    <w:qFormat/>
    <w:pPr>
      <w:widowControl/>
      <w:jc w:val="center"/>
    </w:pPr>
    <w:rPr>
      <w:rFonts w:ascii="宋体" w:hAnsi="Times" w:cs="宋体"/>
      <w:kern w:val="0"/>
      <w:szCs w:val="20"/>
    </w:rPr>
  </w:style>
  <w:style w:type="paragraph" w:customStyle="1" w:styleId="CharCharCharCharCharCharChar81">
    <w:name w:val="Char Char Char Char Char Char Char81"/>
    <w:basedOn w:val="a"/>
    <w:pPr>
      <w:widowControl/>
      <w:jc w:val="left"/>
    </w:pPr>
    <w:rPr>
      <w:rFonts w:ascii="宋体" w:hAnsi="宋体" w:cs="宋体"/>
      <w:kern w:val="0"/>
    </w:rPr>
  </w:style>
  <w:style w:type="paragraph" w:customStyle="1" w:styleId="Char2320">
    <w:name w:val="Char232"/>
    <w:basedOn w:val="a"/>
    <w:qFormat/>
    <w:pPr>
      <w:widowControl/>
      <w:ind w:left="-48"/>
      <w:jc w:val="left"/>
    </w:pPr>
    <w:rPr>
      <w:rFonts w:ascii="宋体" w:hAnsi="宋体" w:cs="宋体"/>
      <w:kern w:val="0"/>
    </w:rPr>
  </w:style>
  <w:style w:type="paragraph" w:customStyle="1" w:styleId="CharCharCharCharCharCharChar1110">
    <w:name w:val="Char Char Char Char Char Char Char1110"/>
    <w:basedOn w:val="a"/>
    <w:qFormat/>
    <w:pPr>
      <w:widowControl/>
      <w:jc w:val="left"/>
    </w:pPr>
    <w:rPr>
      <w:rFonts w:ascii="宋体" w:hAnsi="宋体" w:cs="宋体"/>
      <w:kern w:val="0"/>
    </w:rPr>
  </w:style>
  <w:style w:type="paragraph" w:customStyle="1" w:styleId="c31">
    <w:name w:val="c31"/>
    <w:qFormat/>
    <w:pPr>
      <w:widowControl w:val="0"/>
      <w:autoSpaceDE w:val="0"/>
      <w:autoSpaceDN w:val="0"/>
      <w:adjustRightInd w:val="0"/>
      <w:jc w:val="both"/>
    </w:pPr>
    <w:rPr>
      <w:rFonts w:ascii="Arial" w:hAnsi="Arial"/>
      <w:sz w:val="24"/>
    </w:rPr>
  </w:style>
  <w:style w:type="paragraph" w:customStyle="1" w:styleId="52210">
    <w:name w:val="表内宋5中221"/>
    <w:basedOn w:val="a"/>
    <w:qFormat/>
    <w:pPr>
      <w:widowControl/>
      <w:jc w:val="center"/>
      <w:textAlignment w:val="baseline"/>
    </w:pPr>
    <w:rPr>
      <w:rFonts w:ascii="宋体" w:hAnsi="宋体" w:cs="宋体"/>
      <w:kern w:val="0"/>
      <w:szCs w:val="20"/>
    </w:rPr>
  </w:style>
  <w:style w:type="paragraph" w:customStyle="1" w:styleId="13f6">
    <w:name w:val="福建正文缩进13"/>
    <w:basedOn w:val="1fb"/>
    <w:qFormat/>
    <w:pPr>
      <w:ind w:firstLine="567"/>
    </w:pPr>
    <w:rPr>
      <w:rFonts w:hAnsi="Calibri"/>
    </w:rPr>
  </w:style>
  <w:style w:type="paragraph" w:customStyle="1" w:styleId="5216">
    <w:name w:val="燕山正文521"/>
    <w:basedOn w:val="a"/>
    <w:qFormat/>
    <w:pPr>
      <w:widowControl/>
      <w:tabs>
        <w:tab w:val="left" w:pos="4680"/>
      </w:tabs>
      <w:spacing w:line="480" w:lineRule="exact"/>
      <w:jc w:val="left"/>
    </w:pPr>
    <w:rPr>
      <w:rFonts w:ascii="宋体" w:hAnsi="宋体" w:cs="宋体"/>
      <w:kern w:val="0"/>
    </w:rPr>
  </w:style>
  <w:style w:type="paragraph" w:customStyle="1" w:styleId="53310">
    <w:name w:val="表内5331"/>
    <w:basedOn w:val="a"/>
    <w:qFormat/>
    <w:pPr>
      <w:widowControl/>
      <w:spacing w:line="300" w:lineRule="auto"/>
      <w:jc w:val="left"/>
    </w:pPr>
    <w:rPr>
      <w:rFonts w:ascii="宋体" w:hAnsi="宋体" w:cs="宋体"/>
      <w:kern w:val="0"/>
      <w:szCs w:val="20"/>
    </w:rPr>
  </w:style>
  <w:style w:type="paragraph" w:customStyle="1" w:styleId="21119">
    <w:name w:val="正文修改2111"/>
    <w:basedOn w:val="affffe"/>
    <w:qFormat/>
    <w:rPr>
      <w:rFonts w:eastAsia="宋体" w:hAnsi="宋体" w:cs="宋体"/>
      <w:color w:val="000000"/>
      <w:szCs w:val="24"/>
    </w:rPr>
  </w:style>
  <w:style w:type="paragraph" w:customStyle="1" w:styleId="3121110">
    <w:name w:val="表内文字小312111"/>
    <w:basedOn w:val="a"/>
    <w:qFormat/>
    <w:pPr>
      <w:widowControl/>
      <w:jc w:val="center"/>
    </w:pPr>
    <w:rPr>
      <w:rFonts w:ascii="宋体" w:hAnsi="Times" w:cs="宋体"/>
      <w:bCs/>
      <w:color w:val="003366"/>
      <w:kern w:val="0"/>
      <w:szCs w:val="20"/>
    </w:rPr>
  </w:style>
  <w:style w:type="paragraph" w:customStyle="1" w:styleId="211211">
    <w:name w:val="表内文字小21121"/>
    <w:basedOn w:val="a"/>
    <w:pPr>
      <w:widowControl/>
      <w:jc w:val="center"/>
    </w:pPr>
    <w:rPr>
      <w:rFonts w:ascii="宋体" w:hAnsi="Times" w:cs="宋体"/>
      <w:bCs/>
      <w:color w:val="000000"/>
      <w:kern w:val="0"/>
      <w:szCs w:val="20"/>
    </w:rPr>
  </w:style>
  <w:style w:type="paragraph" w:customStyle="1" w:styleId="312a">
    <w:name w:val="正文修改312"/>
    <w:basedOn w:val="affffe"/>
    <w:qFormat/>
    <w:rPr>
      <w:rFonts w:eastAsia="宋体" w:hAnsi="宋体" w:cs="宋体"/>
      <w:color w:val="000000"/>
      <w:szCs w:val="24"/>
    </w:rPr>
  </w:style>
  <w:style w:type="paragraph" w:customStyle="1" w:styleId="5419">
    <w:name w:val="表内宋5中41"/>
    <w:basedOn w:val="a"/>
    <w:qFormat/>
    <w:pPr>
      <w:widowControl/>
      <w:jc w:val="left"/>
      <w:textAlignment w:val="baseline"/>
    </w:pPr>
    <w:rPr>
      <w:rFonts w:ascii="宋体" w:hAnsi="宋体" w:cs="宋体"/>
      <w:color w:val="000000"/>
      <w:kern w:val="0"/>
      <w:szCs w:val="20"/>
    </w:rPr>
  </w:style>
  <w:style w:type="paragraph" w:customStyle="1" w:styleId="13112">
    <w:name w:val="样式1311"/>
    <w:basedOn w:val="314"/>
    <w:qFormat/>
    <w:pPr>
      <w:spacing w:line="240" w:lineRule="auto"/>
      <w:ind w:firstLine="0"/>
      <w:jc w:val="center"/>
    </w:pPr>
    <w:rPr>
      <w:rFonts w:cs="Times New Roman"/>
      <w:b/>
      <w:color w:val="auto"/>
      <w:szCs w:val="20"/>
    </w:rPr>
  </w:style>
  <w:style w:type="paragraph" w:customStyle="1" w:styleId="4230">
    <w:name w:val="标题423"/>
    <w:basedOn w:val="a"/>
    <w:pPr>
      <w:widowControl/>
      <w:spacing w:line="300" w:lineRule="auto"/>
      <w:jc w:val="left"/>
    </w:pPr>
    <w:rPr>
      <w:rFonts w:ascii="黑体" w:eastAsia="黑体" w:hAnsi="宋体" w:cs="宋体"/>
      <w:bCs/>
      <w:kern w:val="0"/>
    </w:rPr>
  </w:style>
  <w:style w:type="paragraph" w:customStyle="1" w:styleId="3134">
    <w:name w:val="正文格式＝313"/>
    <w:basedOn w:val="affff4"/>
    <w:next w:val="affff4"/>
    <w:qFormat/>
    <w:rPr>
      <w:rFonts w:hAnsi="宋体"/>
      <w:szCs w:val="24"/>
    </w:rPr>
  </w:style>
  <w:style w:type="paragraph" w:customStyle="1" w:styleId="1316">
    <w:name w:val="表中文字131"/>
    <w:basedOn w:val="a"/>
    <w:qFormat/>
    <w:pPr>
      <w:widowControl/>
      <w:spacing w:line="240" w:lineRule="atLeast"/>
      <w:ind w:leftChars="-10" w:left="-24" w:rightChars="-20" w:right="-48"/>
      <w:jc w:val="center"/>
    </w:pPr>
    <w:rPr>
      <w:rFonts w:ascii="宋体" w:hAnsi="宋体" w:cs="宋体"/>
      <w:kern w:val="0"/>
      <w:szCs w:val="21"/>
    </w:rPr>
  </w:style>
  <w:style w:type="paragraph" w:customStyle="1" w:styleId="FaxHeader4">
    <w:name w:val="Fax Header4"/>
    <w:basedOn w:val="a"/>
    <w:qFormat/>
    <w:pPr>
      <w:widowControl/>
      <w:spacing w:before="240" w:after="60"/>
      <w:jc w:val="left"/>
    </w:pPr>
    <w:rPr>
      <w:rFonts w:ascii="宋体" w:hAnsi="宋体" w:cs="宋体"/>
      <w:kern w:val="0"/>
      <w:sz w:val="20"/>
      <w:szCs w:val="20"/>
    </w:rPr>
  </w:style>
  <w:style w:type="paragraph" w:customStyle="1" w:styleId="4ff2">
    <w:name w:val="标准4"/>
    <w:basedOn w:val="a"/>
    <w:qFormat/>
    <w:pPr>
      <w:widowControl/>
      <w:spacing w:before="120" w:line="336" w:lineRule="auto"/>
      <w:jc w:val="center"/>
      <w:textAlignment w:val="baseline"/>
    </w:pPr>
    <w:rPr>
      <w:rFonts w:ascii="黑体" w:eastAsia="黑体" w:hAnsi="宋体" w:cs="宋体"/>
      <w:kern w:val="0"/>
      <w:szCs w:val="20"/>
    </w:rPr>
  </w:style>
  <w:style w:type="paragraph" w:customStyle="1" w:styleId="13f7">
    <w:name w:val="正文斜体13"/>
    <w:basedOn w:val="affff4"/>
    <w:next w:val="affff4"/>
    <w:qFormat/>
    <w:rPr>
      <w:rFonts w:hAnsi="宋体"/>
      <w:i/>
      <w:iCs/>
      <w:szCs w:val="24"/>
    </w:rPr>
  </w:style>
  <w:style w:type="paragraph" w:customStyle="1" w:styleId="CharCharCharChar1CharCharChar25">
    <w:name w:val="Char Char Char Char1 Char Char Char25"/>
    <w:basedOn w:val="a"/>
    <w:qFormat/>
    <w:pPr>
      <w:widowControl/>
      <w:spacing w:after="160" w:line="240" w:lineRule="exact"/>
      <w:jc w:val="left"/>
    </w:pPr>
    <w:rPr>
      <w:rFonts w:ascii="Verdana" w:hAnsi="Verdana" w:cs="宋体"/>
      <w:kern w:val="0"/>
      <w:sz w:val="20"/>
      <w:szCs w:val="20"/>
      <w:lang w:eastAsia="en-US"/>
    </w:rPr>
  </w:style>
  <w:style w:type="paragraph" w:customStyle="1" w:styleId="ParaCharCharCharChar113">
    <w:name w:val="默认段落字体 Para Char Char Char Char113"/>
    <w:basedOn w:val="a"/>
    <w:qFormat/>
    <w:pPr>
      <w:widowControl/>
      <w:jc w:val="left"/>
    </w:pPr>
    <w:rPr>
      <w:rFonts w:ascii="宋体" w:hAnsi="宋体" w:cs="宋体"/>
      <w:kern w:val="0"/>
    </w:rPr>
  </w:style>
  <w:style w:type="paragraph" w:customStyle="1" w:styleId="Char3100">
    <w:name w:val="Char310"/>
    <w:basedOn w:val="a"/>
    <w:qFormat/>
    <w:pPr>
      <w:widowControl/>
      <w:ind w:left="-48"/>
      <w:jc w:val="left"/>
    </w:pPr>
    <w:rPr>
      <w:rFonts w:ascii="宋体" w:hAnsi="宋体" w:cs="宋体"/>
      <w:kern w:val="0"/>
    </w:rPr>
  </w:style>
  <w:style w:type="paragraph" w:customStyle="1" w:styleId="Char1380">
    <w:name w:val="Char138"/>
    <w:basedOn w:val="a"/>
    <w:qFormat/>
    <w:pPr>
      <w:widowControl/>
      <w:ind w:left="-48"/>
      <w:jc w:val="left"/>
    </w:pPr>
    <w:rPr>
      <w:rFonts w:ascii="宋体" w:hAnsi="宋体" w:cs="宋体"/>
      <w:kern w:val="0"/>
    </w:rPr>
  </w:style>
  <w:style w:type="paragraph" w:customStyle="1" w:styleId="CharCharCharCharCharCharChar52">
    <w:name w:val="Char Char Char Char Char Char Char52"/>
    <w:basedOn w:val="a"/>
    <w:qFormat/>
    <w:pPr>
      <w:widowControl/>
      <w:jc w:val="left"/>
    </w:pPr>
    <w:rPr>
      <w:rFonts w:ascii="宋体" w:hAnsi="宋体" w:cs="宋体"/>
      <w:kern w:val="0"/>
    </w:rPr>
  </w:style>
  <w:style w:type="paragraph" w:customStyle="1" w:styleId="14c">
    <w:name w:val="表14"/>
    <w:basedOn w:val="a"/>
    <w:pPr>
      <w:widowControl/>
      <w:jc w:val="center"/>
    </w:pPr>
    <w:rPr>
      <w:rFonts w:ascii="宋体" w:hAnsi="宋体" w:cs="宋体"/>
      <w:kern w:val="0"/>
    </w:rPr>
  </w:style>
  <w:style w:type="paragraph" w:customStyle="1" w:styleId="4133">
    <w:name w:val="正文修改413"/>
    <w:basedOn w:val="affffe"/>
    <w:qFormat/>
    <w:rPr>
      <w:rFonts w:eastAsia="宋体" w:hAnsi="宋体" w:cs="宋体"/>
      <w:color w:val="000000"/>
      <w:szCs w:val="24"/>
    </w:rPr>
  </w:style>
  <w:style w:type="paragraph" w:customStyle="1" w:styleId="617">
    <w:name w:val="黑体三号61"/>
    <w:basedOn w:val="affff4"/>
    <w:qFormat/>
    <w:pPr>
      <w:jc w:val="center"/>
    </w:pPr>
    <w:rPr>
      <w:rFonts w:ascii="黑体" w:eastAsia="黑体" w:hAnsi="宋体" w:cs="宋体"/>
      <w:b/>
      <w:bCs/>
      <w:sz w:val="32"/>
      <w:szCs w:val="20"/>
    </w:rPr>
  </w:style>
  <w:style w:type="paragraph" w:customStyle="1" w:styleId="CharChar2CharCharCharChar112">
    <w:name w:val="Char Char2 Char Char Char Char112"/>
    <w:basedOn w:val="a"/>
    <w:qFormat/>
    <w:pPr>
      <w:widowControl/>
      <w:jc w:val="left"/>
    </w:pPr>
    <w:rPr>
      <w:rFonts w:ascii="宋体" w:hAnsi="宋体" w:cs="宋体"/>
      <w:kern w:val="0"/>
    </w:rPr>
  </w:style>
  <w:style w:type="paragraph" w:customStyle="1" w:styleId="1111110">
    <w:name w:val="燕山正文111111"/>
    <w:basedOn w:val="a"/>
    <w:qFormat/>
    <w:pPr>
      <w:widowControl/>
      <w:tabs>
        <w:tab w:val="left" w:pos="4680"/>
      </w:tabs>
      <w:spacing w:line="480" w:lineRule="exact"/>
      <w:jc w:val="left"/>
    </w:pPr>
    <w:rPr>
      <w:rFonts w:ascii="宋体" w:hAnsi="宋体" w:cs="宋体"/>
      <w:bCs/>
      <w:color w:val="000000"/>
      <w:kern w:val="0"/>
    </w:rPr>
  </w:style>
  <w:style w:type="paragraph" w:customStyle="1" w:styleId="xl6313">
    <w:name w:val="xl6313"/>
    <w:basedOn w:val="a"/>
    <w:qFormat/>
    <w:pPr>
      <w:widowControl/>
      <w:spacing w:before="100" w:beforeAutospacing="1" w:after="100" w:afterAutospacing="1"/>
      <w:jc w:val="center"/>
      <w:textAlignment w:val="center"/>
    </w:pPr>
    <w:rPr>
      <w:rFonts w:ascii="黑体" w:eastAsia="黑体" w:hAnsi="宋体" w:cs="宋体" w:hint="eastAsia"/>
      <w:kern w:val="0"/>
    </w:rPr>
  </w:style>
  <w:style w:type="paragraph" w:customStyle="1" w:styleId="A210">
    <w:name w:val="A正文21"/>
    <w:basedOn w:val="a"/>
    <w:qFormat/>
    <w:pPr>
      <w:widowControl/>
      <w:overflowPunct w:val="0"/>
      <w:autoSpaceDE w:val="0"/>
      <w:autoSpaceDN w:val="0"/>
      <w:jc w:val="left"/>
      <w:textAlignment w:val="baseline"/>
    </w:pPr>
    <w:rPr>
      <w:rFonts w:ascii="宋体" w:hAnsi="宋体" w:cs="宋体"/>
      <w:kern w:val="0"/>
    </w:rPr>
  </w:style>
  <w:style w:type="paragraph" w:customStyle="1" w:styleId="ParaCharCharCharCharChar21">
    <w:name w:val="默认段落字体 Para Char Char Char Char Char21"/>
    <w:basedOn w:val="a"/>
    <w:qFormat/>
    <w:pPr>
      <w:widowControl/>
      <w:jc w:val="left"/>
    </w:pPr>
    <w:rPr>
      <w:rFonts w:ascii="宋体" w:hAnsi="宋体" w:cs="宋体"/>
      <w:kern w:val="0"/>
    </w:rPr>
  </w:style>
  <w:style w:type="paragraph" w:customStyle="1" w:styleId="5136">
    <w:name w:val="样式 表内小5 + 黑体 加粗 倾斜 下划线13"/>
    <w:basedOn w:val="a"/>
    <w:qFormat/>
    <w:pPr>
      <w:widowControl/>
      <w:spacing w:line="300" w:lineRule="auto"/>
      <w:jc w:val="left"/>
    </w:pPr>
    <w:rPr>
      <w:rFonts w:ascii="黑体" w:eastAsia="黑体" w:hAnsi="黑体" w:cs="宋体"/>
      <w:b/>
      <w:bCs/>
      <w:i/>
      <w:iCs/>
      <w:kern w:val="0"/>
      <w:sz w:val="18"/>
      <w:u w:val="single"/>
    </w:rPr>
  </w:style>
  <w:style w:type="paragraph" w:customStyle="1" w:styleId="CharCharCharChar1CharCharChar22">
    <w:name w:val="Char Char Char Char1 Char Char Char22"/>
    <w:basedOn w:val="a"/>
    <w:qFormat/>
    <w:pPr>
      <w:widowControl/>
      <w:spacing w:after="160" w:line="240" w:lineRule="exact"/>
      <w:jc w:val="left"/>
    </w:pPr>
    <w:rPr>
      <w:rFonts w:ascii="Verdana" w:hAnsi="Verdana" w:cs="宋体"/>
      <w:kern w:val="0"/>
      <w:sz w:val="20"/>
      <w:szCs w:val="20"/>
      <w:lang w:eastAsia="en-US"/>
    </w:rPr>
  </w:style>
  <w:style w:type="paragraph" w:customStyle="1" w:styleId="1145">
    <w:name w:val="表中文字114"/>
    <w:basedOn w:val="a"/>
    <w:qFormat/>
    <w:pPr>
      <w:widowControl/>
      <w:spacing w:line="240" w:lineRule="atLeast"/>
      <w:ind w:leftChars="-10" w:left="-24" w:rightChars="-20" w:right="-48"/>
      <w:jc w:val="center"/>
    </w:pPr>
    <w:rPr>
      <w:rFonts w:ascii="宋体" w:hAnsi="宋体" w:cs="宋体"/>
      <w:kern w:val="0"/>
      <w:szCs w:val="21"/>
    </w:rPr>
  </w:style>
  <w:style w:type="paragraph" w:customStyle="1" w:styleId="4214">
    <w:name w:val="正文格式＝421"/>
    <w:basedOn w:val="affff4"/>
    <w:next w:val="affff4"/>
    <w:qFormat/>
    <w:rPr>
      <w:rFonts w:hAnsi="宋体"/>
      <w:szCs w:val="24"/>
    </w:rPr>
  </w:style>
  <w:style w:type="paragraph" w:customStyle="1" w:styleId="CharChar2CharCharCharChar121">
    <w:name w:val="Char Char2 Char Char Char Char121"/>
    <w:basedOn w:val="a"/>
    <w:qFormat/>
    <w:pPr>
      <w:widowControl/>
      <w:jc w:val="left"/>
    </w:pPr>
    <w:rPr>
      <w:rFonts w:ascii="宋体" w:hAnsi="宋体" w:cs="宋体"/>
      <w:kern w:val="0"/>
    </w:rPr>
  </w:style>
  <w:style w:type="paragraph" w:customStyle="1" w:styleId="Char731">
    <w:name w:val="Char731"/>
    <w:basedOn w:val="a"/>
    <w:qFormat/>
    <w:pPr>
      <w:widowControl/>
      <w:ind w:left="-48"/>
      <w:jc w:val="left"/>
    </w:pPr>
    <w:rPr>
      <w:rFonts w:ascii="宋体" w:hAnsi="宋体" w:cs="宋体"/>
      <w:kern w:val="0"/>
    </w:rPr>
  </w:style>
  <w:style w:type="paragraph" w:customStyle="1" w:styleId="6121">
    <w:name w:val="正文格式＝612"/>
    <w:basedOn w:val="affff4"/>
    <w:next w:val="affff4"/>
    <w:rPr>
      <w:rFonts w:hAnsi="宋体"/>
      <w:szCs w:val="24"/>
    </w:rPr>
  </w:style>
  <w:style w:type="paragraph" w:customStyle="1" w:styleId="5111110">
    <w:name w:val="表内宋5中11111"/>
    <w:basedOn w:val="a"/>
    <w:qFormat/>
    <w:pPr>
      <w:widowControl/>
      <w:jc w:val="center"/>
      <w:textAlignment w:val="baseline"/>
    </w:pPr>
    <w:rPr>
      <w:rFonts w:ascii="宋体" w:hAnsi="宋体" w:cs="宋体"/>
      <w:kern w:val="0"/>
      <w:szCs w:val="20"/>
    </w:rPr>
  </w:style>
  <w:style w:type="paragraph" w:customStyle="1" w:styleId="9111">
    <w:name w:val="表题9111"/>
    <w:basedOn w:val="2fff1"/>
    <w:pPr>
      <w:spacing w:line="300" w:lineRule="auto"/>
      <w:jc w:val="center"/>
    </w:pPr>
    <w:rPr>
      <w:rFonts w:ascii="黑体" w:eastAsia="黑体"/>
      <w:szCs w:val="22"/>
    </w:rPr>
  </w:style>
  <w:style w:type="paragraph" w:customStyle="1" w:styleId="Char429">
    <w:name w:val="Char429"/>
    <w:basedOn w:val="a"/>
    <w:qFormat/>
    <w:pPr>
      <w:widowControl/>
      <w:ind w:left="-48"/>
      <w:jc w:val="left"/>
    </w:pPr>
    <w:rPr>
      <w:rFonts w:ascii="宋体" w:hAnsi="宋体" w:cs="宋体"/>
      <w:kern w:val="0"/>
    </w:rPr>
  </w:style>
  <w:style w:type="paragraph" w:customStyle="1" w:styleId="CharCharCharChar1CharCharChar27">
    <w:name w:val="Char Char Char Char1 Char Char Char27"/>
    <w:basedOn w:val="a"/>
    <w:qFormat/>
    <w:pPr>
      <w:widowControl/>
      <w:spacing w:after="160" w:line="240" w:lineRule="exact"/>
      <w:jc w:val="left"/>
    </w:pPr>
    <w:rPr>
      <w:rFonts w:ascii="Verdana" w:hAnsi="Verdana" w:cs="宋体"/>
      <w:kern w:val="0"/>
      <w:sz w:val="20"/>
      <w:szCs w:val="20"/>
      <w:lang w:eastAsia="en-US"/>
    </w:rPr>
  </w:style>
  <w:style w:type="paragraph" w:customStyle="1" w:styleId="41114">
    <w:name w:val="正文修改4111"/>
    <w:basedOn w:val="affffe"/>
    <w:qFormat/>
    <w:rPr>
      <w:rFonts w:eastAsia="宋体" w:hAnsi="宋体" w:cs="宋体"/>
      <w:color w:val="000000"/>
      <w:szCs w:val="24"/>
    </w:rPr>
  </w:style>
  <w:style w:type="paragraph" w:customStyle="1" w:styleId="31f7">
    <w:name w:val="标准31"/>
    <w:basedOn w:val="a"/>
    <w:pPr>
      <w:widowControl/>
      <w:spacing w:before="120" w:line="336" w:lineRule="auto"/>
      <w:jc w:val="center"/>
      <w:textAlignment w:val="baseline"/>
    </w:pPr>
    <w:rPr>
      <w:rFonts w:ascii="黑体" w:eastAsia="黑体" w:hAnsi="宋体" w:cs="宋体"/>
      <w:kern w:val="0"/>
      <w:szCs w:val="20"/>
    </w:rPr>
  </w:style>
  <w:style w:type="paragraph" w:customStyle="1" w:styleId="FaxHeader21">
    <w:name w:val="Fax Header21"/>
    <w:basedOn w:val="a"/>
    <w:qFormat/>
    <w:pPr>
      <w:widowControl/>
      <w:spacing w:before="240" w:after="60"/>
      <w:jc w:val="left"/>
    </w:pPr>
    <w:rPr>
      <w:rFonts w:ascii="宋体" w:hAnsi="宋体" w:cs="宋体"/>
      <w:kern w:val="0"/>
      <w:sz w:val="20"/>
      <w:szCs w:val="20"/>
    </w:rPr>
  </w:style>
  <w:style w:type="paragraph" w:customStyle="1" w:styleId="541421">
    <w:name w:val="表内541421"/>
    <w:basedOn w:val="a"/>
    <w:qFormat/>
    <w:pPr>
      <w:widowControl/>
      <w:spacing w:line="300" w:lineRule="auto"/>
      <w:jc w:val="center"/>
    </w:pPr>
    <w:rPr>
      <w:rFonts w:ascii="宋体" w:hAnsi="宋体" w:cs="宋体"/>
      <w:kern w:val="0"/>
      <w:szCs w:val="20"/>
    </w:rPr>
  </w:style>
  <w:style w:type="paragraph" w:customStyle="1" w:styleId="Char1232">
    <w:name w:val="Char123"/>
    <w:basedOn w:val="a"/>
    <w:qFormat/>
    <w:pPr>
      <w:widowControl/>
      <w:ind w:left="-48"/>
      <w:jc w:val="left"/>
    </w:pPr>
    <w:rPr>
      <w:rFonts w:ascii="宋体" w:hAnsi="宋体" w:cs="宋体"/>
      <w:kern w:val="0"/>
    </w:rPr>
  </w:style>
  <w:style w:type="paragraph" w:customStyle="1" w:styleId="1317">
    <w:name w:val="表131"/>
    <w:basedOn w:val="a"/>
    <w:qFormat/>
    <w:pPr>
      <w:widowControl/>
      <w:jc w:val="center"/>
    </w:pPr>
    <w:rPr>
      <w:rFonts w:ascii="宋体" w:hAnsi="宋体" w:cs="宋体"/>
      <w:kern w:val="0"/>
    </w:rPr>
  </w:style>
  <w:style w:type="paragraph" w:customStyle="1" w:styleId="594">
    <w:name w:val="表内594"/>
    <w:basedOn w:val="a"/>
    <w:qFormat/>
    <w:pPr>
      <w:widowControl/>
      <w:spacing w:line="300" w:lineRule="auto"/>
      <w:jc w:val="center"/>
    </w:pPr>
    <w:rPr>
      <w:rFonts w:ascii="宋体" w:hAnsi="宋体" w:cs="宋体"/>
      <w:snapToGrid w:val="0"/>
      <w:kern w:val="0"/>
      <w:szCs w:val="21"/>
    </w:rPr>
  </w:style>
  <w:style w:type="paragraph" w:customStyle="1" w:styleId="Char821">
    <w:name w:val="Char821"/>
    <w:basedOn w:val="a"/>
    <w:pPr>
      <w:widowControl/>
      <w:ind w:left="-48"/>
      <w:jc w:val="left"/>
    </w:pPr>
    <w:rPr>
      <w:rFonts w:ascii="宋体" w:hAnsi="宋体" w:cs="宋体"/>
      <w:kern w:val="0"/>
    </w:rPr>
  </w:style>
  <w:style w:type="paragraph" w:customStyle="1" w:styleId="113a">
    <w:name w:val="黑体三号113"/>
    <w:basedOn w:val="affff4"/>
    <w:qFormat/>
    <w:pPr>
      <w:jc w:val="center"/>
    </w:pPr>
    <w:rPr>
      <w:rFonts w:ascii="黑体" w:eastAsia="黑体" w:hAnsi="宋体" w:cs="宋体"/>
      <w:b/>
      <w:bCs/>
      <w:sz w:val="32"/>
      <w:szCs w:val="20"/>
    </w:rPr>
  </w:style>
  <w:style w:type="paragraph" w:customStyle="1" w:styleId="4ff3">
    <w:name w:val="表格内容4"/>
    <w:qFormat/>
    <w:pPr>
      <w:jc w:val="center"/>
    </w:pPr>
    <w:rPr>
      <w:kern w:val="2"/>
      <w:sz w:val="21"/>
      <w:szCs w:val="21"/>
    </w:rPr>
  </w:style>
  <w:style w:type="paragraph" w:customStyle="1" w:styleId="3311">
    <w:name w:val="黑体三号331"/>
    <w:basedOn w:val="affff4"/>
    <w:qFormat/>
    <w:pPr>
      <w:jc w:val="center"/>
    </w:pPr>
    <w:rPr>
      <w:rFonts w:ascii="黑体" w:eastAsia="黑体" w:hAnsi="宋体" w:cs="宋体"/>
      <w:b/>
      <w:bCs/>
      <w:sz w:val="32"/>
      <w:szCs w:val="20"/>
    </w:rPr>
  </w:style>
  <w:style w:type="paragraph" w:customStyle="1" w:styleId="5341">
    <w:name w:val="表内5341"/>
    <w:basedOn w:val="a"/>
    <w:pPr>
      <w:widowControl/>
      <w:spacing w:line="300" w:lineRule="auto"/>
      <w:jc w:val="left"/>
    </w:pPr>
    <w:rPr>
      <w:rFonts w:ascii="宋体" w:hAnsi="宋体" w:cs="宋体"/>
      <w:kern w:val="0"/>
      <w:szCs w:val="20"/>
    </w:rPr>
  </w:style>
  <w:style w:type="paragraph" w:customStyle="1" w:styleId="311130">
    <w:name w:val="表内文字小31113"/>
    <w:basedOn w:val="a"/>
    <w:qFormat/>
    <w:pPr>
      <w:widowControl/>
      <w:jc w:val="center"/>
    </w:pPr>
    <w:rPr>
      <w:rFonts w:ascii="宋体" w:hAnsi="Times" w:cs="宋体"/>
      <w:bCs/>
      <w:color w:val="003366"/>
      <w:kern w:val="0"/>
      <w:szCs w:val="20"/>
    </w:rPr>
  </w:style>
  <w:style w:type="paragraph" w:customStyle="1" w:styleId="541331">
    <w:name w:val="表内541331"/>
    <w:basedOn w:val="a"/>
    <w:qFormat/>
    <w:pPr>
      <w:widowControl/>
      <w:spacing w:line="300" w:lineRule="auto"/>
      <w:jc w:val="center"/>
    </w:pPr>
    <w:rPr>
      <w:rFonts w:ascii="宋体" w:hAnsi="宋体" w:cs="宋体"/>
      <w:kern w:val="0"/>
      <w:szCs w:val="20"/>
    </w:rPr>
  </w:style>
  <w:style w:type="paragraph" w:customStyle="1" w:styleId="54210">
    <w:name w:val="表内5中421"/>
    <w:basedOn w:val="a"/>
    <w:pPr>
      <w:widowControl/>
      <w:jc w:val="center"/>
    </w:pPr>
    <w:rPr>
      <w:rFonts w:ascii="宋体" w:hAnsi="宋体" w:cs="宋体"/>
      <w:bCs/>
      <w:kern w:val="0"/>
      <w:szCs w:val="20"/>
    </w:rPr>
  </w:style>
  <w:style w:type="paragraph" w:customStyle="1" w:styleId="Char831">
    <w:name w:val="Char831"/>
    <w:basedOn w:val="a"/>
    <w:qFormat/>
    <w:pPr>
      <w:widowControl/>
      <w:ind w:left="-48"/>
      <w:jc w:val="left"/>
    </w:pPr>
    <w:rPr>
      <w:rFonts w:ascii="宋体" w:hAnsi="宋体" w:cs="宋体"/>
      <w:kern w:val="0"/>
    </w:rPr>
  </w:style>
  <w:style w:type="paragraph" w:customStyle="1" w:styleId="31331">
    <w:name w:val="表内文字小31331"/>
    <w:basedOn w:val="a"/>
    <w:qFormat/>
    <w:pPr>
      <w:widowControl/>
      <w:jc w:val="center"/>
    </w:pPr>
    <w:rPr>
      <w:rFonts w:ascii="宋体" w:hAnsi="Times" w:cs="宋体"/>
      <w:bCs/>
      <w:color w:val="003366"/>
      <w:kern w:val="0"/>
      <w:szCs w:val="20"/>
    </w:rPr>
  </w:style>
  <w:style w:type="paragraph" w:customStyle="1" w:styleId="12fc">
    <w:name w:val="环评正文12"/>
    <w:qFormat/>
    <w:pPr>
      <w:spacing w:line="440" w:lineRule="exact"/>
      <w:ind w:firstLineChars="200" w:firstLine="200"/>
    </w:pPr>
    <w:rPr>
      <w:bCs/>
      <w:kern w:val="2"/>
      <w:sz w:val="24"/>
      <w:szCs w:val="24"/>
    </w:rPr>
  </w:style>
  <w:style w:type="paragraph" w:customStyle="1" w:styleId="14d">
    <w:name w:val="文本框14"/>
    <w:basedOn w:val="a"/>
    <w:qFormat/>
    <w:pPr>
      <w:widowControl/>
      <w:spacing w:after="6"/>
      <w:jc w:val="center"/>
    </w:pPr>
    <w:rPr>
      <w:rFonts w:ascii="宋体" w:hAnsi="宋体" w:cs="宋体"/>
      <w:kern w:val="0"/>
    </w:rPr>
  </w:style>
  <w:style w:type="paragraph" w:customStyle="1" w:styleId="CharCharCharCharCharCharChar212">
    <w:name w:val="Char Char Char Char Char Char Char212"/>
    <w:basedOn w:val="a"/>
    <w:pPr>
      <w:widowControl/>
      <w:jc w:val="left"/>
    </w:pPr>
    <w:rPr>
      <w:rFonts w:ascii="宋体" w:hAnsi="宋体" w:cs="宋体"/>
      <w:kern w:val="0"/>
    </w:rPr>
  </w:style>
  <w:style w:type="paragraph" w:customStyle="1" w:styleId="Char433">
    <w:name w:val="Char433"/>
    <w:basedOn w:val="a"/>
    <w:qFormat/>
    <w:pPr>
      <w:widowControl/>
      <w:ind w:left="-48"/>
      <w:jc w:val="left"/>
    </w:pPr>
    <w:rPr>
      <w:rFonts w:ascii="宋体" w:hAnsi="宋体" w:cs="宋体"/>
      <w:kern w:val="0"/>
    </w:rPr>
  </w:style>
  <w:style w:type="paragraph" w:customStyle="1" w:styleId="249">
    <w:name w:val="样式24"/>
    <w:basedOn w:val="a"/>
    <w:pPr>
      <w:widowControl/>
      <w:jc w:val="center"/>
      <w:textAlignment w:val="baseline"/>
      <w:outlineLvl w:val="0"/>
    </w:pPr>
    <w:rPr>
      <w:rFonts w:ascii="宋体" w:hAnsi="宋体" w:cs="宋体"/>
      <w:kern w:val="0"/>
      <w:szCs w:val="20"/>
    </w:rPr>
  </w:style>
  <w:style w:type="paragraph" w:customStyle="1" w:styleId="Char7111">
    <w:name w:val="Char7111"/>
    <w:basedOn w:val="a"/>
    <w:qFormat/>
    <w:pPr>
      <w:widowControl/>
      <w:ind w:left="-48"/>
      <w:jc w:val="left"/>
    </w:pPr>
    <w:rPr>
      <w:rFonts w:ascii="宋体" w:hAnsi="宋体" w:cs="宋体"/>
      <w:kern w:val="0"/>
    </w:rPr>
  </w:style>
  <w:style w:type="paragraph" w:customStyle="1" w:styleId="2111a">
    <w:name w:val="表2111"/>
    <w:basedOn w:val="a"/>
    <w:qFormat/>
    <w:pPr>
      <w:widowControl/>
      <w:jc w:val="center"/>
    </w:pPr>
    <w:rPr>
      <w:rFonts w:ascii="宋体" w:hAnsi="宋体" w:cs="宋体"/>
      <w:kern w:val="0"/>
    </w:rPr>
  </w:style>
  <w:style w:type="paragraph" w:customStyle="1" w:styleId="5137">
    <w:name w:val="表中文字513"/>
    <w:basedOn w:val="a"/>
    <w:qFormat/>
    <w:pPr>
      <w:widowControl/>
      <w:spacing w:line="240" w:lineRule="atLeast"/>
      <w:ind w:leftChars="-10" w:left="-24" w:rightChars="-20" w:right="-48"/>
      <w:jc w:val="center"/>
    </w:pPr>
    <w:rPr>
      <w:rFonts w:ascii="宋体" w:hAnsi="宋体" w:cs="宋体"/>
      <w:kern w:val="0"/>
      <w:szCs w:val="21"/>
    </w:rPr>
  </w:style>
  <w:style w:type="paragraph" w:customStyle="1" w:styleId="618">
    <w:name w:val="燕山正文61"/>
    <w:basedOn w:val="a"/>
    <w:pPr>
      <w:widowControl/>
      <w:tabs>
        <w:tab w:val="left" w:pos="4680"/>
      </w:tabs>
      <w:spacing w:line="480" w:lineRule="exact"/>
      <w:jc w:val="left"/>
    </w:pPr>
    <w:rPr>
      <w:rFonts w:ascii="宋体" w:hAnsi="宋体" w:cs="宋体"/>
      <w:kern w:val="0"/>
    </w:rPr>
  </w:style>
  <w:style w:type="paragraph" w:customStyle="1" w:styleId="Char1240">
    <w:name w:val="Char124"/>
    <w:basedOn w:val="a"/>
    <w:qFormat/>
    <w:pPr>
      <w:widowControl/>
      <w:ind w:left="-48"/>
      <w:jc w:val="left"/>
    </w:pPr>
    <w:rPr>
      <w:rFonts w:ascii="宋体" w:hAnsi="宋体" w:cs="宋体"/>
      <w:kern w:val="0"/>
    </w:rPr>
  </w:style>
  <w:style w:type="paragraph" w:customStyle="1" w:styleId="Char1031">
    <w:name w:val="Char1031"/>
    <w:basedOn w:val="a"/>
    <w:pPr>
      <w:widowControl/>
      <w:jc w:val="left"/>
    </w:pPr>
    <w:rPr>
      <w:rFonts w:ascii="宋体" w:hAnsi="宋体" w:cs="宋体"/>
      <w:kern w:val="0"/>
    </w:rPr>
  </w:style>
  <w:style w:type="paragraph" w:customStyle="1" w:styleId="1410">
    <w:name w:val="样式141"/>
    <w:basedOn w:val="314"/>
    <w:qFormat/>
    <w:pPr>
      <w:spacing w:line="240" w:lineRule="auto"/>
      <w:ind w:firstLine="0"/>
      <w:jc w:val="center"/>
    </w:pPr>
    <w:rPr>
      <w:rFonts w:cs="Times New Roman"/>
      <w:b/>
      <w:color w:val="auto"/>
      <w:szCs w:val="20"/>
    </w:rPr>
  </w:style>
  <w:style w:type="paragraph" w:customStyle="1" w:styleId="A310">
    <w:name w:val="A正文31"/>
    <w:basedOn w:val="a"/>
    <w:qFormat/>
    <w:pPr>
      <w:widowControl/>
      <w:overflowPunct w:val="0"/>
      <w:autoSpaceDE w:val="0"/>
      <w:autoSpaceDN w:val="0"/>
      <w:jc w:val="left"/>
      <w:textAlignment w:val="baseline"/>
    </w:pPr>
    <w:rPr>
      <w:rFonts w:ascii="宋体" w:hAnsi="宋体" w:cs="宋体"/>
      <w:kern w:val="0"/>
    </w:rPr>
  </w:style>
  <w:style w:type="paragraph" w:customStyle="1" w:styleId="41f3">
    <w:name w:val="文本框41"/>
    <w:basedOn w:val="a"/>
    <w:qFormat/>
    <w:pPr>
      <w:widowControl/>
      <w:spacing w:after="6"/>
      <w:jc w:val="center"/>
    </w:pPr>
    <w:rPr>
      <w:rFonts w:ascii="宋体" w:hAnsi="宋体" w:cs="宋体"/>
      <w:kern w:val="0"/>
    </w:rPr>
  </w:style>
  <w:style w:type="paragraph" w:customStyle="1" w:styleId="CharCharCharCharCharCharChar126">
    <w:name w:val="Char Char Char Char Char Char Char126"/>
    <w:basedOn w:val="a"/>
    <w:pPr>
      <w:widowControl/>
      <w:jc w:val="left"/>
    </w:pPr>
    <w:rPr>
      <w:rFonts w:ascii="宋体" w:hAnsi="宋体" w:cs="宋体"/>
      <w:kern w:val="0"/>
    </w:rPr>
  </w:style>
  <w:style w:type="paragraph" w:customStyle="1" w:styleId="4134">
    <w:name w:val="样式413"/>
    <w:basedOn w:val="a0"/>
    <w:qFormat/>
    <w:pPr>
      <w:widowControl/>
      <w:tabs>
        <w:tab w:val="left" w:pos="1820"/>
      </w:tabs>
      <w:spacing w:line="240" w:lineRule="atLeast"/>
      <w:jc w:val="center"/>
    </w:pPr>
    <w:rPr>
      <w:rFonts w:eastAsia="幼圆"/>
      <w:kern w:val="0"/>
      <w:sz w:val="21"/>
      <w:szCs w:val="20"/>
    </w:rPr>
  </w:style>
  <w:style w:type="paragraph" w:customStyle="1" w:styleId="312b">
    <w:name w:val="表中文字312"/>
    <w:basedOn w:val="a"/>
    <w:qFormat/>
    <w:pPr>
      <w:widowControl/>
      <w:spacing w:line="240" w:lineRule="atLeast"/>
      <w:ind w:leftChars="-10" w:left="-24" w:rightChars="-20" w:right="-48"/>
      <w:jc w:val="center"/>
    </w:pPr>
    <w:rPr>
      <w:rFonts w:ascii="宋体" w:hAnsi="宋体" w:cs="宋体"/>
      <w:kern w:val="0"/>
      <w:szCs w:val="21"/>
    </w:rPr>
  </w:style>
  <w:style w:type="paragraph" w:customStyle="1" w:styleId="3312">
    <w:name w:val="表中文字331"/>
    <w:basedOn w:val="a"/>
    <w:qFormat/>
    <w:pPr>
      <w:widowControl/>
      <w:spacing w:line="240" w:lineRule="atLeast"/>
      <w:ind w:leftChars="-10" w:left="-24" w:rightChars="-20" w:right="-48"/>
      <w:jc w:val="center"/>
    </w:pPr>
    <w:rPr>
      <w:rFonts w:ascii="宋体" w:hAnsi="宋体" w:cs="宋体"/>
      <w:kern w:val="0"/>
      <w:szCs w:val="21"/>
    </w:rPr>
  </w:style>
  <w:style w:type="paragraph" w:customStyle="1" w:styleId="4135">
    <w:name w:val="黑体三号413"/>
    <w:basedOn w:val="affff4"/>
    <w:qFormat/>
    <w:pPr>
      <w:jc w:val="center"/>
    </w:pPr>
    <w:rPr>
      <w:rFonts w:ascii="黑体" w:eastAsia="黑体" w:hAnsi="宋体" w:cs="宋体"/>
      <w:b/>
      <w:bCs/>
      <w:sz w:val="32"/>
      <w:szCs w:val="20"/>
    </w:rPr>
  </w:style>
  <w:style w:type="paragraph" w:customStyle="1" w:styleId="121c">
    <w:name w:val="黑体三号121"/>
    <w:basedOn w:val="affff4"/>
    <w:qFormat/>
    <w:pPr>
      <w:jc w:val="center"/>
    </w:pPr>
    <w:rPr>
      <w:rFonts w:ascii="黑体" w:eastAsia="黑体" w:hAnsi="宋体" w:cs="宋体"/>
      <w:b/>
      <w:bCs/>
      <w:sz w:val="32"/>
      <w:szCs w:val="20"/>
    </w:rPr>
  </w:style>
  <w:style w:type="paragraph" w:customStyle="1" w:styleId="Char8120">
    <w:name w:val="Char812"/>
    <w:basedOn w:val="a"/>
    <w:qFormat/>
    <w:pPr>
      <w:widowControl/>
      <w:ind w:left="-48"/>
      <w:jc w:val="left"/>
    </w:pPr>
    <w:rPr>
      <w:rFonts w:ascii="宋体" w:hAnsi="宋体" w:cs="宋体"/>
      <w:kern w:val="0"/>
    </w:rPr>
  </w:style>
  <w:style w:type="paragraph" w:customStyle="1" w:styleId="1146">
    <w:name w:val="样式114"/>
    <w:basedOn w:val="314"/>
    <w:qFormat/>
    <w:pPr>
      <w:spacing w:line="240" w:lineRule="auto"/>
      <w:ind w:firstLine="0"/>
      <w:jc w:val="center"/>
    </w:pPr>
    <w:rPr>
      <w:rFonts w:cs="Times New Roman"/>
      <w:b/>
      <w:color w:val="auto"/>
      <w:szCs w:val="20"/>
    </w:rPr>
  </w:style>
  <w:style w:type="paragraph" w:customStyle="1" w:styleId="Char432">
    <w:name w:val="Char432"/>
    <w:basedOn w:val="a"/>
    <w:qFormat/>
    <w:pPr>
      <w:widowControl/>
      <w:ind w:left="-48"/>
      <w:jc w:val="left"/>
    </w:pPr>
    <w:rPr>
      <w:rFonts w:ascii="宋体" w:hAnsi="宋体" w:cs="宋体"/>
      <w:kern w:val="0"/>
    </w:rPr>
  </w:style>
  <w:style w:type="paragraph" w:customStyle="1" w:styleId="111f6">
    <w:name w:val="表内文字边111"/>
    <w:basedOn w:val="a"/>
    <w:qFormat/>
    <w:pPr>
      <w:widowControl/>
      <w:spacing w:line="240" w:lineRule="atLeast"/>
      <w:ind w:leftChars="-10" w:left="-21" w:rightChars="-20" w:right="-42"/>
      <w:jc w:val="left"/>
    </w:pPr>
    <w:rPr>
      <w:rFonts w:ascii="宋体" w:hAnsi="宋体" w:cs="宋体"/>
      <w:kern w:val="0"/>
      <w:szCs w:val="21"/>
    </w:rPr>
  </w:style>
  <w:style w:type="paragraph" w:customStyle="1" w:styleId="221a">
    <w:name w:val="样式221"/>
    <w:basedOn w:val="a"/>
    <w:pPr>
      <w:widowControl/>
      <w:jc w:val="center"/>
      <w:textAlignment w:val="baseline"/>
      <w:outlineLvl w:val="0"/>
    </w:pPr>
    <w:rPr>
      <w:rFonts w:ascii="宋体" w:hAnsi="宋体" w:cs="宋体"/>
      <w:kern w:val="0"/>
      <w:szCs w:val="20"/>
    </w:rPr>
  </w:style>
  <w:style w:type="paragraph" w:customStyle="1" w:styleId="312130">
    <w:name w:val="样式 标题 3 + 段前: 12 磅13"/>
    <w:basedOn w:val="3"/>
    <w:qFormat/>
    <w:pPr>
      <w:keepNext w:val="0"/>
      <w:keepLines w:val="0"/>
      <w:widowControl/>
      <w:numPr>
        <w:ilvl w:val="0"/>
        <w:numId w:val="0"/>
      </w:numPr>
      <w:autoSpaceDE w:val="0"/>
      <w:autoSpaceDN w:val="0"/>
      <w:jc w:val="both"/>
    </w:pPr>
    <w:rPr>
      <w:rFonts w:ascii="黑体" w:eastAsia="黑体" w:hAnsi="宋体" w:cs="宋体"/>
      <w:b w:val="0"/>
      <w:bCs w:val="0"/>
      <w:color w:val="000000"/>
      <w:kern w:val="21"/>
      <w:szCs w:val="20"/>
    </w:rPr>
  </w:style>
  <w:style w:type="paragraph" w:customStyle="1" w:styleId="5217">
    <w:name w:val="表内宋521"/>
    <w:basedOn w:val="5f5"/>
    <w:qFormat/>
    <w:pPr>
      <w:autoSpaceDE w:val="0"/>
      <w:autoSpaceDN w:val="0"/>
      <w:textAlignment w:val="auto"/>
    </w:pPr>
    <w:rPr>
      <w:color w:val="auto"/>
      <w:w w:val="90"/>
    </w:rPr>
  </w:style>
  <w:style w:type="paragraph" w:customStyle="1" w:styleId="4ff4">
    <w:name w:val="封面标准文稿编辑信息4"/>
    <w:qFormat/>
    <w:pPr>
      <w:spacing w:before="180" w:line="180" w:lineRule="exact"/>
      <w:jc w:val="center"/>
    </w:pPr>
    <w:rPr>
      <w:rFonts w:ascii="宋体"/>
      <w:sz w:val="21"/>
    </w:rPr>
  </w:style>
  <w:style w:type="paragraph" w:customStyle="1" w:styleId="14e">
    <w:name w:val="附件14"/>
    <w:basedOn w:val="1"/>
    <w:next w:val="affff4"/>
    <w:qFormat/>
    <w:pPr>
      <w:numPr>
        <w:numId w:val="0"/>
      </w:numPr>
      <w:adjustRightInd/>
      <w:snapToGrid/>
      <w:spacing w:after="210"/>
      <w:jc w:val="left"/>
    </w:pPr>
    <w:rPr>
      <w:rFonts w:ascii="黑体" w:eastAsia="黑体"/>
      <w:b w:val="0"/>
      <w:sz w:val="32"/>
      <w:szCs w:val="32"/>
      <w:lang w:val="zh-CN"/>
    </w:rPr>
  </w:style>
  <w:style w:type="paragraph" w:customStyle="1" w:styleId="5412111">
    <w:name w:val="表内5412111"/>
    <w:basedOn w:val="a"/>
    <w:qFormat/>
    <w:pPr>
      <w:widowControl/>
      <w:spacing w:line="300" w:lineRule="auto"/>
      <w:jc w:val="center"/>
    </w:pPr>
    <w:rPr>
      <w:rFonts w:ascii="宋体" w:hAnsi="宋体" w:cs="宋体"/>
      <w:kern w:val="0"/>
      <w:szCs w:val="20"/>
    </w:rPr>
  </w:style>
  <w:style w:type="paragraph" w:customStyle="1" w:styleId="CharChar2CharCharCharChar30">
    <w:name w:val="Char Char2 Char Char Char Char30"/>
    <w:basedOn w:val="a"/>
    <w:qFormat/>
    <w:pPr>
      <w:widowControl/>
      <w:jc w:val="left"/>
    </w:pPr>
    <w:rPr>
      <w:rFonts w:ascii="宋体" w:hAnsi="宋体" w:cs="宋体"/>
      <w:kern w:val="0"/>
    </w:rPr>
  </w:style>
  <w:style w:type="paragraph" w:customStyle="1" w:styleId="CharCharCharCharCharCharChar39">
    <w:name w:val="Char Char Char Char Char Char Char39"/>
    <w:basedOn w:val="a"/>
    <w:qFormat/>
    <w:pPr>
      <w:widowControl/>
      <w:jc w:val="left"/>
    </w:pPr>
    <w:rPr>
      <w:rFonts w:ascii="宋体" w:hAnsi="宋体" w:cs="宋体"/>
      <w:kern w:val="0"/>
    </w:rPr>
  </w:style>
  <w:style w:type="paragraph" w:customStyle="1" w:styleId="CharCharCharChar1CharCharChar51">
    <w:name w:val="Char Char Char Char1 Char Char Char51"/>
    <w:basedOn w:val="a"/>
    <w:qFormat/>
    <w:pPr>
      <w:widowControl/>
      <w:spacing w:after="160" w:line="240" w:lineRule="exact"/>
      <w:jc w:val="left"/>
    </w:pPr>
    <w:rPr>
      <w:rFonts w:ascii="Verdana" w:hAnsi="Verdana" w:cs="宋体"/>
      <w:kern w:val="0"/>
      <w:sz w:val="20"/>
      <w:szCs w:val="20"/>
      <w:lang w:eastAsia="en-US"/>
    </w:rPr>
  </w:style>
  <w:style w:type="paragraph" w:customStyle="1" w:styleId="4215">
    <w:name w:val="表中文字421"/>
    <w:basedOn w:val="a"/>
    <w:qFormat/>
    <w:pPr>
      <w:widowControl/>
      <w:spacing w:line="340" w:lineRule="exact"/>
      <w:jc w:val="center"/>
    </w:pPr>
    <w:rPr>
      <w:rFonts w:ascii="Arial" w:hAnsi="Arial" w:cs="宋体"/>
      <w:kern w:val="0"/>
      <w:sz w:val="20"/>
      <w:lang w:eastAsia="zh-TW"/>
    </w:rPr>
  </w:style>
  <w:style w:type="paragraph" w:customStyle="1" w:styleId="Char490">
    <w:name w:val="Char49"/>
    <w:basedOn w:val="a"/>
    <w:qFormat/>
    <w:pPr>
      <w:widowControl/>
      <w:ind w:left="-48"/>
      <w:jc w:val="left"/>
    </w:pPr>
    <w:rPr>
      <w:rFonts w:ascii="宋体" w:hAnsi="宋体" w:cs="宋体"/>
      <w:kern w:val="0"/>
    </w:rPr>
  </w:style>
  <w:style w:type="paragraph" w:customStyle="1" w:styleId="Char2340">
    <w:name w:val="Char234"/>
    <w:basedOn w:val="a"/>
    <w:qFormat/>
    <w:pPr>
      <w:widowControl/>
      <w:ind w:left="-48"/>
      <w:jc w:val="left"/>
    </w:pPr>
    <w:rPr>
      <w:rFonts w:ascii="宋体" w:hAnsi="宋体" w:cs="宋体"/>
      <w:kern w:val="0"/>
    </w:rPr>
  </w:style>
  <w:style w:type="paragraph" w:customStyle="1" w:styleId="c111">
    <w:name w:val="c111"/>
    <w:pPr>
      <w:widowControl w:val="0"/>
      <w:autoSpaceDE w:val="0"/>
      <w:autoSpaceDN w:val="0"/>
      <w:adjustRightInd w:val="0"/>
      <w:jc w:val="both"/>
    </w:pPr>
    <w:rPr>
      <w:rFonts w:ascii="Arial" w:hAnsi="Arial"/>
      <w:sz w:val="24"/>
    </w:rPr>
  </w:style>
  <w:style w:type="paragraph" w:customStyle="1" w:styleId="634">
    <w:name w:val="表中文字63"/>
    <w:basedOn w:val="a"/>
    <w:qFormat/>
    <w:pPr>
      <w:widowControl/>
      <w:spacing w:line="240" w:lineRule="atLeast"/>
      <w:ind w:leftChars="-10" w:left="-24" w:rightChars="-20" w:right="-48"/>
      <w:jc w:val="center"/>
    </w:pPr>
    <w:rPr>
      <w:rFonts w:ascii="宋体" w:hAnsi="宋体" w:cs="宋体"/>
      <w:kern w:val="0"/>
      <w:szCs w:val="21"/>
    </w:rPr>
  </w:style>
  <w:style w:type="paragraph" w:customStyle="1" w:styleId="211130">
    <w:name w:val="表内文字小21113"/>
    <w:basedOn w:val="a"/>
    <w:pPr>
      <w:widowControl/>
      <w:jc w:val="center"/>
    </w:pPr>
    <w:rPr>
      <w:rFonts w:ascii="宋体" w:hAnsi="Times" w:cs="宋体"/>
      <w:bCs/>
      <w:color w:val="000000"/>
      <w:kern w:val="0"/>
      <w:szCs w:val="20"/>
    </w:rPr>
  </w:style>
  <w:style w:type="paragraph" w:customStyle="1" w:styleId="112111">
    <w:name w:val="燕山正文112111"/>
    <w:basedOn w:val="a"/>
    <w:qFormat/>
    <w:pPr>
      <w:widowControl/>
      <w:tabs>
        <w:tab w:val="left" w:pos="4680"/>
      </w:tabs>
      <w:spacing w:line="480" w:lineRule="exact"/>
      <w:jc w:val="left"/>
    </w:pPr>
    <w:rPr>
      <w:rFonts w:ascii="宋体" w:hAnsi="宋体" w:cs="宋体"/>
      <w:bCs/>
      <w:color w:val="000000"/>
      <w:kern w:val="0"/>
    </w:rPr>
  </w:style>
  <w:style w:type="paragraph" w:customStyle="1" w:styleId="14121">
    <w:name w:val="表题14121"/>
    <w:basedOn w:val="a"/>
    <w:qFormat/>
    <w:pPr>
      <w:widowControl/>
      <w:jc w:val="center"/>
    </w:pPr>
    <w:rPr>
      <w:rFonts w:ascii="黑体" w:eastAsia="黑体" w:hAnsi="宋体" w:cs="宋体"/>
      <w:kern w:val="0"/>
    </w:rPr>
  </w:style>
  <w:style w:type="paragraph" w:customStyle="1" w:styleId="Char68">
    <w:name w:val="Char68"/>
    <w:basedOn w:val="a"/>
    <w:qFormat/>
    <w:pPr>
      <w:widowControl/>
      <w:ind w:left="-48"/>
      <w:jc w:val="left"/>
    </w:pPr>
    <w:rPr>
      <w:rFonts w:ascii="宋体" w:hAnsi="宋体" w:cs="宋体"/>
      <w:kern w:val="0"/>
    </w:rPr>
  </w:style>
  <w:style w:type="paragraph" w:customStyle="1" w:styleId="CharChar2CharCharCharChar20">
    <w:name w:val="Char Char2 Char Char Char Char20"/>
    <w:basedOn w:val="a"/>
    <w:pPr>
      <w:widowControl/>
      <w:jc w:val="left"/>
    </w:pPr>
    <w:rPr>
      <w:rFonts w:ascii="宋体" w:hAnsi="宋体" w:cs="宋体"/>
      <w:kern w:val="0"/>
    </w:rPr>
  </w:style>
  <w:style w:type="paragraph" w:customStyle="1" w:styleId="0992111">
    <w:name w:val="首行缩进:  0.99 厘米 + 首行缩进:  2 字符111"/>
    <w:basedOn w:val="a"/>
    <w:qFormat/>
    <w:pPr>
      <w:widowControl/>
      <w:topLinePunct/>
      <w:spacing w:line="480" w:lineRule="exact"/>
      <w:ind w:firstLine="420"/>
      <w:jc w:val="center"/>
    </w:pPr>
    <w:rPr>
      <w:rFonts w:ascii="宋体" w:hAnsi="宋体" w:cs="宋体"/>
      <w:snapToGrid w:val="0"/>
      <w:color w:val="FF0000"/>
      <w:kern w:val="0"/>
      <w:szCs w:val="21"/>
    </w:rPr>
  </w:style>
  <w:style w:type="paragraph" w:customStyle="1" w:styleId="Char12210">
    <w:name w:val="Char1221"/>
    <w:basedOn w:val="a"/>
    <w:qFormat/>
    <w:pPr>
      <w:widowControl/>
      <w:jc w:val="left"/>
    </w:pPr>
    <w:rPr>
      <w:rFonts w:ascii="宋体" w:hAnsi="宋体" w:cs="宋体"/>
      <w:kern w:val="0"/>
    </w:rPr>
  </w:style>
  <w:style w:type="paragraph" w:customStyle="1" w:styleId="Char4150">
    <w:name w:val="Char415"/>
    <w:basedOn w:val="a"/>
    <w:qFormat/>
    <w:pPr>
      <w:widowControl/>
      <w:ind w:left="-48"/>
      <w:jc w:val="left"/>
    </w:pPr>
    <w:rPr>
      <w:rFonts w:ascii="宋体" w:hAnsi="宋体" w:cs="宋体"/>
      <w:kern w:val="0"/>
    </w:rPr>
  </w:style>
  <w:style w:type="paragraph" w:customStyle="1" w:styleId="A40">
    <w:name w:val="A正文4"/>
    <w:basedOn w:val="a"/>
    <w:qFormat/>
    <w:pPr>
      <w:widowControl/>
      <w:overflowPunct w:val="0"/>
      <w:autoSpaceDE w:val="0"/>
      <w:autoSpaceDN w:val="0"/>
      <w:jc w:val="left"/>
      <w:textAlignment w:val="baseline"/>
    </w:pPr>
    <w:rPr>
      <w:rFonts w:ascii="宋体" w:hAnsi="宋体" w:cs="宋体"/>
      <w:kern w:val="0"/>
    </w:rPr>
  </w:style>
  <w:style w:type="paragraph" w:customStyle="1" w:styleId="31340">
    <w:name w:val="表内文字小3134"/>
    <w:basedOn w:val="a"/>
    <w:qFormat/>
    <w:pPr>
      <w:widowControl/>
      <w:jc w:val="center"/>
    </w:pPr>
    <w:rPr>
      <w:rFonts w:ascii="宋体" w:hAnsi="Times" w:cs="宋体"/>
      <w:bCs/>
      <w:color w:val="003366"/>
      <w:kern w:val="0"/>
      <w:szCs w:val="20"/>
    </w:rPr>
  </w:style>
  <w:style w:type="paragraph" w:customStyle="1" w:styleId="11216">
    <w:name w:val="样式1121"/>
    <w:basedOn w:val="314"/>
    <w:qFormat/>
    <w:pPr>
      <w:spacing w:line="240" w:lineRule="auto"/>
      <w:ind w:firstLine="0"/>
      <w:jc w:val="center"/>
    </w:pPr>
    <w:rPr>
      <w:rFonts w:cs="Times New Roman"/>
      <w:b/>
      <w:color w:val="auto"/>
      <w:szCs w:val="20"/>
    </w:rPr>
  </w:style>
  <w:style w:type="paragraph" w:customStyle="1" w:styleId="1111d">
    <w:name w:val="正文格式＝1111"/>
    <w:basedOn w:val="affff4"/>
    <w:next w:val="affff4"/>
    <w:rPr>
      <w:rFonts w:hAnsi="宋体"/>
      <w:szCs w:val="24"/>
    </w:rPr>
  </w:style>
  <w:style w:type="paragraph" w:customStyle="1" w:styleId="CharCharCharCharCharCharChar19">
    <w:name w:val="Char Char Char Char Char Char Char19"/>
    <w:basedOn w:val="a"/>
    <w:pPr>
      <w:widowControl/>
      <w:jc w:val="left"/>
    </w:pPr>
    <w:rPr>
      <w:rFonts w:ascii="宋体" w:hAnsi="宋体" w:cs="宋体"/>
      <w:kern w:val="0"/>
    </w:rPr>
  </w:style>
  <w:style w:type="paragraph" w:customStyle="1" w:styleId="21313">
    <w:name w:val="表内文字小21313"/>
    <w:basedOn w:val="a"/>
    <w:qFormat/>
    <w:pPr>
      <w:widowControl/>
      <w:jc w:val="center"/>
      <w:textAlignment w:val="baseline"/>
    </w:pPr>
    <w:rPr>
      <w:rFonts w:ascii="宋体" w:hAnsi="Times" w:cs="宋体"/>
      <w:bCs/>
      <w:color w:val="000000"/>
      <w:kern w:val="0"/>
      <w:szCs w:val="20"/>
    </w:rPr>
  </w:style>
  <w:style w:type="paragraph" w:customStyle="1" w:styleId="111113">
    <w:name w:val="样式11111"/>
    <w:basedOn w:val="314"/>
    <w:qFormat/>
    <w:pPr>
      <w:spacing w:line="240" w:lineRule="auto"/>
      <w:ind w:firstLine="0"/>
      <w:jc w:val="center"/>
    </w:pPr>
    <w:rPr>
      <w:rFonts w:cs="Times New Roman"/>
      <w:b/>
      <w:color w:val="auto"/>
      <w:szCs w:val="20"/>
    </w:rPr>
  </w:style>
  <w:style w:type="paragraph" w:customStyle="1" w:styleId="52112">
    <w:name w:val="表内5中211"/>
    <w:basedOn w:val="a"/>
    <w:qFormat/>
    <w:pPr>
      <w:widowControl/>
      <w:jc w:val="center"/>
    </w:pPr>
    <w:rPr>
      <w:rFonts w:ascii="宋体" w:hAnsi="宋体" w:cs="Arial"/>
      <w:snapToGrid w:val="0"/>
      <w:color w:val="000000"/>
      <w:kern w:val="0"/>
      <w:szCs w:val="21"/>
    </w:rPr>
  </w:style>
  <w:style w:type="paragraph" w:customStyle="1" w:styleId="CharCharCharChar1CharCharChar17">
    <w:name w:val="Char Char Char Char1 Char Char Char17"/>
    <w:basedOn w:val="a"/>
    <w:qFormat/>
    <w:pPr>
      <w:widowControl/>
      <w:spacing w:after="160" w:line="240" w:lineRule="exact"/>
      <w:jc w:val="left"/>
    </w:pPr>
    <w:rPr>
      <w:rFonts w:ascii="Verdana" w:hAnsi="Verdana" w:cs="宋体"/>
      <w:kern w:val="0"/>
      <w:sz w:val="20"/>
      <w:szCs w:val="20"/>
      <w:lang w:eastAsia="en-US"/>
    </w:rPr>
  </w:style>
  <w:style w:type="paragraph" w:customStyle="1" w:styleId="Char940">
    <w:name w:val="Char94"/>
    <w:basedOn w:val="a"/>
    <w:pPr>
      <w:widowControl/>
      <w:ind w:left="-48"/>
      <w:jc w:val="left"/>
    </w:pPr>
    <w:rPr>
      <w:rFonts w:ascii="宋体" w:hAnsi="宋体" w:cs="宋体"/>
      <w:kern w:val="0"/>
    </w:rPr>
  </w:style>
  <w:style w:type="paragraph" w:customStyle="1" w:styleId="ParaCharCharCharChar313">
    <w:name w:val="默认段落字体 Para Char Char Char Char313"/>
    <w:basedOn w:val="a"/>
    <w:qFormat/>
    <w:pPr>
      <w:widowControl/>
      <w:jc w:val="left"/>
    </w:pPr>
    <w:rPr>
      <w:rFonts w:ascii="宋体" w:hAnsi="宋体" w:cs="宋体"/>
      <w:kern w:val="0"/>
    </w:rPr>
  </w:style>
  <w:style w:type="paragraph" w:customStyle="1" w:styleId="4216">
    <w:name w:val="样式421"/>
    <w:basedOn w:val="a0"/>
    <w:qFormat/>
    <w:pPr>
      <w:widowControl/>
      <w:tabs>
        <w:tab w:val="left" w:pos="1820"/>
      </w:tabs>
      <w:spacing w:line="240" w:lineRule="atLeast"/>
      <w:jc w:val="center"/>
    </w:pPr>
    <w:rPr>
      <w:rFonts w:eastAsia="幼圆"/>
      <w:kern w:val="0"/>
      <w:sz w:val="21"/>
      <w:szCs w:val="20"/>
    </w:rPr>
  </w:style>
  <w:style w:type="paragraph" w:customStyle="1" w:styleId="CharCharCharCharCharCharChar218">
    <w:name w:val="Char Char Char Char Char Char Char218"/>
    <w:basedOn w:val="a"/>
    <w:pPr>
      <w:widowControl/>
      <w:jc w:val="left"/>
    </w:pPr>
    <w:rPr>
      <w:rFonts w:ascii="宋体" w:hAnsi="宋体" w:cs="宋体"/>
      <w:kern w:val="0"/>
    </w:rPr>
  </w:style>
  <w:style w:type="paragraph" w:customStyle="1" w:styleId="312210">
    <w:name w:val="表题31221"/>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CharCharCharCharCharCharChar40">
    <w:name w:val="Char Char Char Char Char Char Char40"/>
    <w:basedOn w:val="a"/>
    <w:qFormat/>
    <w:pPr>
      <w:widowControl/>
      <w:jc w:val="left"/>
    </w:pPr>
    <w:rPr>
      <w:rFonts w:ascii="宋体" w:hAnsi="宋体" w:cs="宋体"/>
      <w:kern w:val="0"/>
    </w:rPr>
  </w:style>
  <w:style w:type="paragraph" w:customStyle="1" w:styleId="Char2230">
    <w:name w:val="Char223"/>
    <w:basedOn w:val="a"/>
    <w:qFormat/>
    <w:pPr>
      <w:widowControl/>
      <w:ind w:left="-48"/>
      <w:jc w:val="left"/>
    </w:pPr>
    <w:rPr>
      <w:rFonts w:ascii="宋体" w:hAnsi="宋体" w:cs="宋体"/>
      <w:kern w:val="0"/>
    </w:rPr>
  </w:style>
  <w:style w:type="paragraph" w:customStyle="1" w:styleId="ParaCharCharCharChar513">
    <w:name w:val="默认段落字体 Para Char Char Char Char513"/>
    <w:basedOn w:val="a"/>
    <w:qFormat/>
    <w:pPr>
      <w:widowControl/>
      <w:jc w:val="left"/>
    </w:pPr>
    <w:rPr>
      <w:rFonts w:ascii="宋体" w:hAnsi="宋体" w:cs="宋体"/>
      <w:kern w:val="0"/>
    </w:rPr>
  </w:style>
  <w:style w:type="paragraph" w:customStyle="1" w:styleId="CharCharCharCharCharCharChar118">
    <w:name w:val="Char Char Char Char Char Char Char118"/>
    <w:basedOn w:val="a"/>
    <w:qFormat/>
    <w:pPr>
      <w:widowControl/>
      <w:jc w:val="left"/>
    </w:pPr>
    <w:rPr>
      <w:rFonts w:ascii="宋体" w:hAnsi="宋体" w:cs="宋体"/>
      <w:kern w:val="0"/>
    </w:rPr>
  </w:style>
  <w:style w:type="paragraph" w:customStyle="1" w:styleId="51134">
    <w:name w:val="表内5中113"/>
    <w:basedOn w:val="a"/>
    <w:pPr>
      <w:widowControl/>
      <w:jc w:val="center"/>
    </w:pPr>
    <w:rPr>
      <w:rFonts w:ascii="宋体" w:hAnsi="宋体" w:cs="Arial"/>
      <w:snapToGrid w:val="0"/>
      <w:color w:val="000000"/>
      <w:kern w:val="0"/>
      <w:szCs w:val="21"/>
    </w:rPr>
  </w:style>
  <w:style w:type="paragraph" w:customStyle="1" w:styleId="43c">
    <w:name w:val="表43"/>
    <w:basedOn w:val="a"/>
    <w:qFormat/>
    <w:pPr>
      <w:widowControl/>
      <w:jc w:val="center"/>
    </w:pPr>
    <w:rPr>
      <w:rFonts w:ascii="宋体" w:hAnsi="宋体" w:cs="宋体"/>
      <w:kern w:val="0"/>
    </w:rPr>
  </w:style>
  <w:style w:type="paragraph" w:customStyle="1" w:styleId="53e">
    <w:name w:val="黑体三号53"/>
    <w:basedOn w:val="affff4"/>
    <w:qFormat/>
    <w:pPr>
      <w:jc w:val="center"/>
    </w:pPr>
    <w:rPr>
      <w:rFonts w:ascii="黑体" w:eastAsia="黑体" w:hAnsi="宋体" w:cs="宋体"/>
      <w:b/>
      <w:bCs/>
      <w:sz w:val="32"/>
      <w:szCs w:val="20"/>
    </w:rPr>
  </w:style>
  <w:style w:type="paragraph" w:customStyle="1" w:styleId="CharCharCharChar1CharCharChar7">
    <w:name w:val="Char Char Char Char1 Char Char Char7"/>
    <w:basedOn w:val="a"/>
    <w:qFormat/>
    <w:pPr>
      <w:widowControl/>
      <w:spacing w:after="160" w:line="240" w:lineRule="exact"/>
      <w:jc w:val="left"/>
    </w:pPr>
    <w:rPr>
      <w:rFonts w:ascii="Verdana" w:hAnsi="Verdana" w:cs="宋体"/>
      <w:kern w:val="0"/>
      <w:sz w:val="20"/>
      <w:szCs w:val="20"/>
      <w:lang w:eastAsia="en-US"/>
    </w:rPr>
  </w:style>
  <w:style w:type="paragraph" w:customStyle="1" w:styleId="Char461">
    <w:name w:val="Char461"/>
    <w:basedOn w:val="a"/>
    <w:qFormat/>
    <w:pPr>
      <w:widowControl/>
      <w:ind w:left="-48"/>
      <w:jc w:val="left"/>
    </w:pPr>
    <w:rPr>
      <w:rFonts w:ascii="宋体" w:hAnsi="宋体" w:cs="宋体"/>
      <w:kern w:val="0"/>
    </w:rPr>
  </w:style>
  <w:style w:type="paragraph" w:customStyle="1" w:styleId="Char361">
    <w:name w:val="Char361"/>
    <w:basedOn w:val="a"/>
    <w:qFormat/>
    <w:pPr>
      <w:widowControl/>
      <w:ind w:left="-48"/>
      <w:jc w:val="left"/>
    </w:pPr>
    <w:rPr>
      <w:rFonts w:ascii="宋体" w:hAnsi="宋体" w:cs="宋体"/>
      <w:kern w:val="0"/>
    </w:rPr>
  </w:style>
  <w:style w:type="paragraph" w:customStyle="1" w:styleId="CharCharCharCharCharCharChar53">
    <w:name w:val="Char Char Char Char Char Char Char53"/>
    <w:basedOn w:val="a"/>
    <w:qFormat/>
    <w:pPr>
      <w:widowControl/>
      <w:jc w:val="left"/>
    </w:pPr>
    <w:rPr>
      <w:rFonts w:ascii="宋体" w:hAnsi="宋体" w:cs="宋体"/>
      <w:kern w:val="0"/>
    </w:rPr>
  </w:style>
  <w:style w:type="paragraph" w:customStyle="1" w:styleId="ParaCharCharCharChar71">
    <w:name w:val="默认段落字体 Para Char Char Char Char71"/>
    <w:basedOn w:val="a"/>
    <w:qFormat/>
    <w:pPr>
      <w:widowControl/>
      <w:jc w:val="left"/>
    </w:pPr>
    <w:rPr>
      <w:rFonts w:ascii="宋体" w:hAnsi="宋体" w:cs="宋体"/>
      <w:kern w:val="0"/>
    </w:rPr>
  </w:style>
  <w:style w:type="paragraph" w:customStyle="1" w:styleId="CharChar2CharCharCharChar24">
    <w:name w:val="Char Char2 Char Char Char Char24"/>
    <w:basedOn w:val="a"/>
    <w:qFormat/>
    <w:pPr>
      <w:widowControl/>
      <w:jc w:val="left"/>
    </w:pPr>
    <w:rPr>
      <w:rFonts w:ascii="宋体" w:hAnsi="宋体" w:cs="宋体"/>
      <w:kern w:val="0"/>
    </w:rPr>
  </w:style>
  <w:style w:type="paragraph" w:customStyle="1" w:styleId="Char323">
    <w:name w:val="Char323"/>
    <w:basedOn w:val="a"/>
    <w:qFormat/>
    <w:pPr>
      <w:widowControl/>
      <w:ind w:left="-48"/>
      <w:jc w:val="left"/>
    </w:pPr>
    <w:rPr>
      <w:rFonts w:ascii="宋体" w:hAnsi="宋体" w:cs="宋体"/>
      <w:kern w:val="0"/>
    </w:rPr>
  </w:style>
  <w:style w:type="paragraph" w:customStyle="1" w:styleId="1111e">
    <w:name w:val="样式 表格内字体1 +111"/>
    <w:basedOn w:val="1ffffff"/>
    <w:next w:val="affffff1"/>
    <w:qFormat/>
    <w:rPr>
      <w:rFonts w:hAnsi="Times New Roman" w:cs="宋体"/>
      <w:szCs w:val="20"/>
    </w:rPr>
  </w:style>
  <w:style w:type="paragraph" w:customStyle="1" w:styleId="5350">
    <w:name w:val="表内535"/>
    <w:basedOn w:val="a"/>
    <w:qFormat/>
    <w:pPr>
      <w:widowControl/>
      <w:spacing w:line="300" w:lineRule="auto"/>
      <w:jc w:val="left"/>
    </w:pPr>
    <w:rPr>
      <w:rFonts w:ascii="宋体" w:hAnsi="宋体" w:cs="宋体"/>
      <w:kern w:val="0"/>
      <w:szCs w:val="20"/>
    </w:rPr>
  </w:style>
  <w:style w:type="paragraph" w:customStyle="1" w:styleId="343">
    <w:name w:val="表中文字34"/>
    <w:basedOn w:val="a"/>
    <w:qFormat/>
    <w:pPr>
      <w:widowControl/>
      <w:spacing w:line="240" w:lineRule="atLeast"/>
      <w:ind w:leftChars="-10" w:left="-24" w:rightChars="-20" w:right="-48"/>
      <w:jc w:val="center"/>
    </w:pPr>
    <w:rPr>
      <w:rFonts w:ascii="宋体" w:hAnsi="宋体" w:cs="宋体"/>
      <w:kern w:val="0"/>
      <w:szCs w:val="21"/>
    </w:rPr>
  </w:style>
  <w:style w:type="paragraph" w:customStyle="1" w:styleId="ParaCharCharCharChar63">
    <w:name w:val="默认段落字体 Para Char Char Char Char63"/>
    <w:basedOn w:val="a"/>
    <w:qFormat/>
    <w:pPr>
      <w:widowControl/>
      <w:jc w:val="left"/>
    </w:pPr>
    <w:rPr>
      <w:rFonts w:ascii="宋体" w:hAnsi="宋体" w:cs="宋体"/>
      <w:kern w:val="0"/>
    </w:rPr>
  </w:style>
  <w:style w:type="paragraph" w:customStyle="1" w:styleId="545">
    <w:name w:val="样式 表内小5 + 黑体 加粗 倾斜 下划线4"/>
    <w:basedOn w:val="a"/>
    <w:qFormat/>
    <w:pPr>
      <w:widowControl/>
      <w:spacing w:line="300" w:lineRule="auto"/>
      <w:jc w:val="left"/>
    </w:pPr>
    <w:rPr>
      <w:rFonts w:ascii="黑体" w:eastAsia="黑体" w:hAnsi="黑体" w:cs="宋体"/>
      <w:b/>
      <w:bCs/>
      <w:i/>
      <w:iCs/>
      <w:kern w:val="0"/>
      <w:sz w:val="18"/>
      <w:u w:val="single"/>
    </w:rPr>
  </w:style>
  <w:style w:type="paragraph" w:customStyle="1" w:styleId="213a">
    <w:name w:val="正文格式＝213"/>
    <w:basedOn w:val="affff4"/>
    <w:next w:val="affff4"/>
    <w:qFormat/>
    <w:rPr>
      <w:rFonts w:hAnsi="宋体"/>
      <w:szCs w:val="24"/>
    </w:rPr>
  </w:style>
  <w:style w:type="paragraph" w:customStyle="1" w:styleId="099221">
    <w:name w:val="首行缩进:  0.99 厘米 + 首行缩进:  2 字符21"/>
    <w:basedOn w:val="a"/>
    <w:qFormat/>
    <w:pPr>
      <w:widowControl/>
      <w:topLinePunct/>
      <w:spacing w:line="480" w:lineRule="exact"/>
      <w:ind w:firstLine="420"/>
      <w:jc w:val="center"/>
    </w:pPr>
    <w:rPr>
      <w:rFonts w:ascii="宋体" w:hAnsi="宋体" w:cs="宋体"/>
      <w:snapToGrid w:val="0"/>
      <w:color w:val="FF0000"/>
      <w:kern w:val="0"/>
      <w:szCs w:val="21"/>
    </w:rPr>
  </w:style>
  <w:style w:type="paragraph" w:customStyle="1" w:styleId="Char1370">
    <w:name w:val="Char137"/>
    <w:basedOn w:val="a"/>
    <w:qFormat/>
    <w:pPr>
      <w:widowControl/>
      <w:ind w:left="-48"/>
      <w:jc w:val="left"/>
    </w:pPr>
    <w:rPr>
      <w:rFonts w:ascii="宋体" w:hAnsi="宋体" w:cs="宋体"/>
      <w:kern w:val="0"/>
    </w:rPr>
  </w:style>
  <w:style w:type="paragraph" w:customStyle="1" w:styleId="24a">
    <w:name w:val="黑体三号24"/>
    <w:basedOn w:val="affff4"/>
    <w:qFormat/>
    <w:pPr>
      <w:jc w:val="center"/>
    </w:pPr>
    <w:rPr>
      <w:rFonts w:ascii="黑体" w:eastAsia="黑体" w:hAnsi="宋体" w:cs="宋体"/>
      <w:b/>
      <w:bCs/>
      <w:sz w:val="32"/>
      <w:szCs w:val="20"/>
    </w:rPr>
  </w:style>
  <w:style w:type="paragraph" w:customStyle="1" w:styleId="4ff5">
    <w:name w:val="福建正文缩进4"/>
    <w:basedOn w:val="1fb"/>
    <w:pPr>
      <w:tabs>
        <w:tab w:val="left" w:pos="5837"/>
      </w:tabs>
      <w:spacing w:line="480" w:lineRule="exact"/>
    </w:pPr>
    <w:rPr>
      <w:rFonts w:cs="宋体"/>
      <w:color w:val="000000"/>
    </w:rPr>
  </w:style>
  <w:style w:type="paragraph" w:customStyle="1" w:styleId="5232">
    <w:name w:val="表内5中23"/>
    <w:basedOn w:val="a"/>
    <w:qFormat/>
    <w:pPr>
      <w:widowControl/>
      <w:jc w:val="center"/>
    </w:pPr>
    <w:rPr>
      <w:rFonts w:ascii="宋体" w:hAnsi="宋体" w:cs="Arial"/>
      <w:snapToGrid w:val="0"/>
      <w:color w:val="000000"/>
      <w:kern w:val="0"/>
      <w:szCs w:val="21"/>
    </w:rPr>
  </w:style>
  <w:style w:type="paragraph" w:customStyle="1" w:styleId="CharChar2CharCharCharChar113">
    <w:name w:val="Char Char2 Char Char Char Char113"/>
    <w:basedOn w:val="a"/>
    <w:qFormat/>
    <w:pPr>
      <w:widowControl/>
      <w:jc w:val="left"/>
    </w:pPr>
    <w:rPr>
      <w:rFonts w:ascii="宋体" w:hAnsi="宋体" w:cs="宋体"/>
      <w:kern w:val="0"/>
    </w:rPr>
  </w:style>
  <w:style w:type="paragraph" w:customStyle="1" w:styleId="Char570">
    <w:name w:val="Char57"/>
    <w:basedOn w:val="a"/>
    <w:qFormat/>
    <w:pPr>
      <w:widowControl/>
      <w:ind w:left="-48"/>
      <w:jc w:val="left"/>
    </w:pPr>
    <w:rPr>
      <w:rFonts w:ascii="宋体" w:hAnsi="宋体" w:cs="宋体"/>
      <w:kern w:val="0"/>
    </w:rPr>
  </w:style>
  <w:style w:type="paragraph" w:customStyle="1" w:styleId="3135">
    <w:name w:val="正文修改313"/>
    <w:basedOn w:val="affffe"/>
    <w:qFormat/>
    <w:rPr>
      <w:rFonts w:eastAsia="宋体" w:hAnsi="宋体" w:cs="宋体"/>
      <w:color w:val="000000"/>
      <w:szCs w:val="24"/>
    </w:rPr>
  </w:style>
  <w:style w:type="paragraph" w:customStyle="1" w:styleId="2111b">
    <w:name w:val="表中文字2111"/>
    <w:basedOn w:val="a"/>
    <w:qFormat/>
    <w:pPr>
      <w:widowControl/>
      <w:spacing w:line="240" w:lineRule="atLeast"/>
      <w:ind w:rightChars="-20" w:right="-42"/>
      <w:jc w:val="center"/>
      <w:textAlignment w:val="baseline"/>
    </w:pPr>
    <w:rPr>
      <w:rFonts w:ascii="宋体" w:hAnsi="宋体" w:cs="宋体"/>
      <w:kern w:val="0"/>
      <w:szCs w:val="21"/>
    </w:rPr>
  </w:style>
  <w:style w:type="paragraph" w:customStyle="1" w:styleId="CharCharCharChar1CharCharChar8">
    <w:name w:val="Char Char Char Char1 Char Char Char8"/>
    <w:basedOn w:val="a"/>
    <w:qFormat/>
    <w:pPr>
      <w:widowControl/>
      <w:spacing w:after="160" w:line="240" w:lineRule="exact"/>
      <w:jc w:val="left"/>
    </w:pPr>
    <w:rPr>
      <w:rFonts w:ascii="Verdana" w:hAnsi="Verdana" w:cs="宋体"/>
      <w:kern w:val="0"/>
      <w:sz w:val="20"/>
      <w:szCs w:val="20"/>
      <w:lang w:eastAsia="en-US"/>
    </w:rPr>
  </w:style>
  <w:style w:type="paragraph" w:customStyle="1" w:styleId="14f">
    <w:name w:val="样式 表格内字体1 +4"/>
    <w:basedOn w:val="1ffffff"/>
    <w:next w:val="affffff1"/>
    <w:qFormat/>
    <w:rPr>
      <w:rFonts w:hAnsi="Times New Roman" w:cs="宋体"/>
      <w:szCs w:val="20"/>
    </w:rPr>
  </w:style>
  <w:style w:type="paragraph" w:customStyle="1" w:styleId="CharCharCharCharCharCharChar116">
    <w:name w:val="Char Char Char Char Char Char Char116"/>
    <w:basedOn w:val="a"/>
    <w:pPr>
      <w:widowControl/>
      <w:jc w:val="left"/>
    </w:pPr>
    <w:rPr>
      <w:rFonts w:ascii="宋体" w:hAnsi="宋体" w:cs="宋体"/>
      <w:kern w:val="0"/>
    </w:rPr>
  </w:style>
  <w:style w:type="paragraph" w:customStyle="1" w:styleId="2111c">
    <w:name w:val="样式2111"/>
    <w:basedOn w:val="a"/>
    <w:qFormat/>
    <w:pPr>
      <w:widowControl/>
      <w:jc w:val="center"/>
      <w:textAlignment w:val="baseline"/>
      <w:outlineLvl w:val="0"/>
    </w:pPr>
    <w:rPr>
      <w:rFonts w:ascii="宋体" w:hAnsi="宋体" w:cs="宋体"/>
      <w:kern w:val="0"/>
      <w:szCs w:val="20"/>
    </w:rPr>
  </w:style>
  <w:style w:type="paragraph" w:customStyle="1" w:styleId="4136">
    <w:name w:val="燕山正文413"/>
    <w:basedOn w:val="a"/>
    <w:qFormat/>
    <w:pPr>
      <w:widowControl/>
      <w:tabs>
        <w:tab w:val="left" w:pos="4680"/>
      </w:tabs>
      <w:spacing w:line="480" w:lineRule="exact"/>
      <w:jc w:val="left"/>
    </w:pPr>
    <w:rPr>
      <w:rFonts w:ascii="宋体" w:hAnsi="宋体" w:cs="宋体"/>
      <w:kern w:val="0"/>
    </w:rPr>
  </w:style>
  <w:style w:type="paragraph" w:customStyle="1" w:styleId="Char6120">
    <w:name w:val="Char612"/>
    <w:basedOn w:val="a"/>
    <w:qFormat/>
    <w:pPr>
      <w:widowControl/>
      <w:spacing w:before="156"/>
      <w:jc w:val="left"/>
    </w:pPr>
    <w:rPr>
      <w:rFonts w:ascii="黑体" w:eastAsia="黑体" w:hAnsi="宋体" w:cs="宋体"/>
      <w:kern w:val="0"/>
      <w:sz w:val="32"/>
      <w:szCs w:val="32"/>
    </w:rPr>
  </w:style>
  <w:style w:type="paragraph" w:customStyle="1" w:styleId="5111111">
    <w:name w:val="表内宋5111111"/>
    <w:basedOn w:val="1ff2"/>
    <w:qFormat/>
    <w:rPr>
      <w:rFonts w:ascii="宋体" w:hAnsi="宋体" w:cs="宋体"/>
      <w:color w:val="000000"/>
      <w:sz w:val="21"/>
      <w:szCs w:val="24"/>
    </w:rPr>
  </w:style>
  <w:style w:type="paragraph" w:customStyle="1" w:styleId="CharCharCharCharCharCharChar101">
    <w:name w:val="Char Char Char Char Char Char Char101"/>
    <w:basedOn w:val="a"/>
    <w:qFormat/>
    <w:pPr>
      <w:widowControl/>
      <w:jc w:val="left"/>
    </w:pPr>
    <w:rPr>
      <w:rFonts w:ascii="宋体" w:hAnsi="宋体" w:cs="宋体"/>
      <w:kern w:val="0"/>
    </w:rPr>
  </w:style>
  <w:style w:type="paragraph" w:customStyle="1" w:styleId="Char104">
    <w:name w:val="Char104"/>
    <w:basedOn w:val="a"/>
    <w:pPr>
      <w:widowControl/>
      <w:jc w:val="left"/>
    </w:pPr>
    <w:rPr>
      <w:rFonts w:ascii="宋体" w:hAnsi="宋体" w:cs="宋体"/>
      <w:kern w:val="0"/>
    </w:rPr>
  </w:style>
  <w:style w:type="paragraph" w:customStyle="1" w:styleId="Char1290">
    <w:name w:val="Char129"/>
    <w:basedOn w:val="a"/>
    <w:qFormat/>
    <w:pPr>
      <w:widowControl/>
      <w:ind w:left="-48"/>
      <w:jc w:val="left"/>
    </w:pPr>
    <w:rPr>
      <w:rFonts w:ascii="宋体" w:hAnsi="宋体" w:cs="宋体"/>
      <w:kern w:val="0"/>
    </w:rPr>
  </w:style>
  <w:style w:type="paragraph" w:customStyle="1" w:styleId="313210">
    <w:name w:val="表内文字小31321"/>
    <w:basedOn w:val="a"/>
    <w:pPr>
      <w:widowControl/>
      <w:jc w:val="center"/>
    </w:pPr>
    <w:rPr>
      <w:rFonts w:ascii="宋体" w:hAnsi="Times" w:cs="宋体"/>
      <w:bCs/>
      <w:color w:val="003366"/>
      <w:kern w:val="0"/>
      <w:szCs w:val="20"/>
    </w:rPr>
  </w:style>
  <w:style w:type="paragraph" w:customStyle="1" w:styleId="CharCharCharCharCharCharChar215">
    <w:name w:val="Char Char Char Char Char Char Char215"/>
    <w:basedOn w:val="a"/>
    <w:pPr>
      <w:widowControl/>
      <w:jc w:val="left"/>
    </w:pPr>
    <w:rPr>
      <w:rFonts w:ascii="宋体" w:hAnsi="宋体" w:cs="宋体"/>
      <w:kern w:val="0"/>
    </w:rPr>
  </w:style>
  <w:style w:type="paragraph" w:customStyle="1" w:styleId="CharCharCharCharCharCharChar2110">
    <w:name w:val="Char Char Char Char Char Char Char2110"/>
    <w:basedOn w:val="a"/>
    <w:qFormat/>
    <w:pPr>
      <w:widowControl/>
      <w:jc w:val="left"/>
    </w:pPr>
    <w:rPr>
      <w:rFonts w:ascii="宋体" w:hAnsi="宋体" w:cs="宋体"/>
      <w:kern w:val="0"/>
    </w:rPr>
  </w:style>
  <w:style w:type="paragraph" w:customStyle="1" w:styleId="8b">
    <w:name w:val="燕山正文8"/>
    <w:basedOn w:val="a"/>
    <w:qFormat/>
    <w:pPr>
      <w:widowControl/>
      <w:tabs>
        <w:tab w:val="left" w:pos="4680"/>
      </w:tabs>
      <w:spacing w:line="480" w:lineRule="exact"/>
      <w:jc w:val="left"/>
    </w:pPr>
    <w:rPr>
      <w:rFonts w:ascii="宋体" w:hAnsi="宋体" w:cs="宋体"/>
      <w:kern w:val="0"/>
    </w:rPr>
  </w:style>
  <w:style w:type="paragraph" w:customStyle="1" w:styleId="Char371">
    <w:name w:val="Char371"/>
    <w:basedOn w:val="a"/>
    <w:qFormat/>
    <w:pPr>
      <w:widowControl/>
      <w:ind w:left="-48"/>
      <w:jc w:val="left"/>
    </w:pPr>
    <w:rPr>
      <w:rFonts w:ascii="宋体" w:hAnsi="宋体" w:cs="宋体"/>
      <w:kern w:val="0"/>
    </w:rPr>
  </w:style>
  <w:style w:type="paragraph" w:customStyle="1" w:styleId="Char2160">
    <w:name w:val="Char216"/>
    <w:basedOn w:val="a"/>
    <w:qFormat/>
    <w:pPr>
      <w:widowControl/>
      <w:ind w:left="-48"/>
      <w:jc w:val="left"/>
    </w:pPr>
    <w:rPr>
      <w:rFonts w:ascii="宋体" w:hAnsi="宋体" w:cs="宋体"/>
      <w:kern w:val="0"/>
    </w:rPr>
  </w:style>
  <w:style w:type="paragraph" w:customStyle="1" w:styleId="CharCharCharCharCharCharChar36">
    <w:name w:val="Char Char Char Char Char Char Char36"/>
    <w:basedOn w:val="a"/>
    <w:qFormat/>
    <w:pPr>
      <w:widowControl/>
      <w:jc w:val="left"/>
    </w:pPr>
    <w:rPr>
      <w:rFonts w:ascii="宋体" w:hAnsi="宋体" w:cs="宋体"/>
      <w:kern w:val="0"/>
    </w:rPr>
  </w:style>
  <w:style w:type="paragraph" w:customStyle="1" w:styleId="22310">
    <w:name w:val="表内文字小2231"/>
    <w:basedOn w:val="a"/>
    <w:qFormat/>
    <w:pPr>
      <w:widowControl/>
      <w:jc w:val="center"/>
    </w:pPr>
    <w:rPr>
      <w:rFonts w:ascii="宋体" w:hAnsi="Times" w:cs="宋体"/>
      <w:bCs/>
      <w:color w:val="000000"/>
      <w:kern w:val="0"/>
      <w:szCs w:val="20"/>
    </w:rPr>
  </w:style>
  <w:style w:type="paragraph" w:customStyle="1" w:styleId="4137">
    <w:name w:val="正文格式＝413"/>
    <w:basedOn w:val="affff4"/>
    <w:next w:val="affff4"/>
    <w:qFormat/>
    <w:rPr>
      <w:rFonts w:hAnsi="宋体"/>
      <w:szCs w:val="24"/>
    </w:rPr>
  </w:style>
  <w:style w:type="paragraph" w:customStyle="1" w:styleId="CharCharCharChar1CharCharChar10">
    <w:name w:val="Char Char Char Char1 Char Char Char10"/>
    <w:basedOn w:val="a"/>
    <w:qFormat/>
    <w:pPr>
      <w:widowControl/>
      <w:spacing w:after="160" w:line="240" w:lineRule="exact"/>
      <w:jc w:val="left"/>
    </w:pPr>
    <w:rPr>
      <w:rFonts w:ascii="Verdana" w:hAnsi="Verdana" w:cs="宋体"/>
      <w:kern w:val="0"/>
      <w:sz w:val="20"/>
      <w:szCs w:val="20"/>
      <w:lang w:eastAsia="en-US"/>
    </w:rPr>
  </w:style>
  <w:style w:type="paragraph" w:customStyle="1" w:styleId="13310">
    <w:name w:val="燕山正文1331"/>
    <w:basedOn w:val="a"/>
    <w:qFormat/>
    <w:pPr>
      <w:widowControl/>
      <w:tabs>
        <w:tab w:val="left" w:pos="4680"/>
      </w:tabs>
      <w:jc w:val="left"/>
    </w:pPr>
    <w:rPr>
      <w:rFonts w:ascii="宋体" w:hAnsi="宋体" w:cs="宋体"/>
      <w:bCs/>
      <w:color w:val="000000"/>
      <w:kern w:val="0"/>
    </w:rPr>
  </w:style>
  <w:style w:type="paragraph" w:customStyle="1" w:styleId="5316">
    <w:name w:val="表内小5中31"/>
    <w:basedOn w:val="a"/>
    <w:pPr>
      <w:widowControl/>
      <w:jc w:val="center"/>
    </w:pPr>
    <w:rPr>
      <w:rFonts w:ascii="宋体" w:hAnsi="宋体" w:cs="宋体"/>
      <w:kern w:val="0"/>
      <w:sz w:val="18"/>
      <w:szCs w:val="20"/>
    </w:rPr>
  </w:style>
  <w:style w:type="paragraph" w:customStyle="1" w:styleId="51213">
    <w:name w:val="表内5121"/>
    <w:basedOn w:val="a"/>
    <w:pPr>
      <w:widowControl/>
      <w:jc w:val="center"/>
    </w:pPr>
    <w:rPr>
      <w:rFonts w:ascii="宋体" w:hAnsi="宋体" w:cs="宋体"/>
      <w:kern w:val="0"/>
      <w:sz w:val="20"/>
      <w:szCs w:val="20"/>
    </w:rPr>
  </w:style>
  <w:style w:type="paragraph" w:customStyle="1" w:styleId="511f">
    <w:name w:val="燕山正文511"/>
    <w:basedOn w:val="a"/>
    <w:qFormat/>
    <w:pPr>
      <w:widowControl/>
      <w:tabs>
        <w:tab w:val="left" w:pos="4680"/>
      </w:tabs>
      <w:spacing w:line="480" w:lineRule="exact"/>
      <w:jc w:val="left"/>
    </w:pPr>
    <w:rPr>
      <w:rFonts w:ascii="宋体" w:hAnsi="宋体" w:cs="宋体"/>
      <w:kern w:val="0"/>
    </w:rPr>
  </w:style>
  <w:style w:type="paragraph" w:customStyle="1" w:styleId="Char422">
    <w:name w:val="Char422"/>
    <w:basedOn w:val="a"/>
    <w:qFormat/>
    <w:pPr>
      <w:widowControl/>
      <w:ind w:left="-48"/>
      <w:jc w:val="left"/>
    </w:pPr>
    <w:rPr>
      <w:rFonts w:ascii="宋体" w:hAnsi="宋体" w:cs="宋体"/>
      <w:kern w:val="0"/>
    </w:rPr>
  </w:style>
  <w:style w:type="paragraph" w:customStyle="1" w:styleId="Char1021">
    <w:name w:val="Char1021"/>
    <w:basedOn w:val="a"/>
    <w:qFormat/>
    <w:pPr>
      <w:widowControl/>
      <w:jc w:val="left"/>
    </w:pPr>
    <w:rPr>
      <w:rFonts w:ascii="宋体" w:hAnsi="宋体" w:cs="宋体"/>
      <w:kern w:val="0"/>
    </w:rPr>
  </w:style>
  <w:style w:type="paragraph" w:customStyle="1" w:styleId="Char560">
    <w:name w:val="Char56"/>
    <w:basedOn w:val="a"/>
    <w:qFormat/>
    <w:pPr>
      <w:widowControl/>
      <w:ind w:left="-48"/>
      <w:jc w:val="left"/>
    </w:pPr>
    <w:rPr>
      <w:rFonts w:ascii="宋体" w:hAnsi="宋体" w:cs="宋体"/>
      <w:kern w:val="0"/>
    </w:rPr>
  </w:style>
  <w:style w:type="paragraph" w:customStyle="1" w:styleId="31511">
    <w:name w:val="表题3151"/>
    <w:basedOn w:val="1fa"/>
    <w:pPr>
      <w:widowControl/>
      <w:tabs>
        <w:tab w:val="left" w:pos="4305"/>
      </w:tabs>
      <w:spacing w:after="0"/>
      <w:ind w:leftChars="0" w:left="0" w:firstLineChars="0" w:firstLine="561"/>
      <w:jc w:val="left"/>
    </w:pPr>
    <w:rPr>
      <w:rFonts w:ascii="宋体" w:hAnsi="宋体" w:cs="宋体"/>
      <w:color w:val="000000"/>
      <w:sz w:val="24"/>
      <w:szCs w:val="24"/>
    </w:rPr>
  </w:style>
  <w:style w:type="paragraph" w:customStyle="1" w:styleId="Char11120">
    <w:name w:val="Char1112"/>
    <w:basedOn w:val="a"/>
    <w:qFormat/>
    <w:pPr>
      <w:widowControl/>
      <w:spacing w:before="156"/>
      <w:jc w:val="left"/>
    </w:pPr>
    <w:rPr>
      <w:rFonts w:ascii="黑体" w:eastAsia="黑体" w:hAnsi="宋体" w:cs="宋体"/>
      <w:kern w:val="0"/>
      <w:sz w:val="32"/>
      <w:szCs w:val="32"/>
    </w:rPr>
  </w:style>
  <w:style w:type="paragraph" w:customStyle="1" w:styleId="4ff6">
    <w:name w:val="表内文字边4"/>
    <w:basedOn w:val="a"/>
    <w:qFormat/>
    <w:pPr>
      <w:widowControl/>
      <w:spacing w:line="240" w:lineRule="atLeast"/>
      <w:ind w:leftChars="-10" w:left="-21" w:rightChars="-20" w:right="-42"/>
      <w:jc w:val="left"/>
    </w:pPr>
    <w:rPr>
      <w:rFonts w:ascii="宋体" w:hAnsi="宋体" w:cs="宋体"/>
      <w:kern w:val="0"/>
      <w:szCs w:val="21"/>
    </w:rPr>
  </w:style>
  <w:style w:type="paragraph" w:customStyle="1" w:styleId="59111">
    <w:name w:val="表内59111"/>
    <w:basedOn w:val="a"/>
    <w:qFormat/>
    <w:pPr>
      <w:widowControl/>
      <w:spacing w:line="300" w:lineRule="auto"/>
      <w:jc w:val="center"/>
    </w:pPr>
    <w:rPr>
      <w:rFonts w:ascii="宋体" w:hAnsi="宋体" w:cs="宋体"/>
      <w:snapToGrid w:val="0"/>
      <w:kern w:val="0"/>
      <w:szCs w:val="21"/>
    </w:rPr>
  </w:style>
  <w:style w:type="paragraph" w:customStyle="1" w:styleId="5931">
    <w:name w:val="表内5931"/>
    <w:basedOn w:val="a"/>
    <w:pPr>
      <w:widowControl/>
      <w:spacing w:line="300" w:lineRule="auto"/>
      <w:jc w:val="center"/>
    </w:pPr>
    <w:rPr>
      <w:rFonts w:ascii="宋体" w:hAnsi="宋体" w:cs="宋体"/>
      <w:snapToGrid w:val="0"/>
      <w:kern w:val="0"/>
      <w:szCs w:val="21"/>
    </w:rPr>
  </w:style>
  <w:style w:type="paragraph" w:customStyle="1" w:styleId="541113">
    <w:name w:val="表内541113"/>
    <w:basedOn w:val="a"/>
    <w:qFormat/>
    <w:pPr>
      <w:widowControl/>
      <w:spacing w:line="300" w:lineRule="auto"/>
      <w:jc w:val="center"/>
    </w:pPr>
    <w:rPr>
      <w:rFonts w:ascii="宋体" w:hAnsi="宋体" w:cs="宋体"/>
      <w:kern w:val="0"/>
      <w:szCs w:val="20"/>
    </w:rPr>
  </w:style>
  <w:style w:type="paragraph" w:customStyle="1" w:styleId="3213">
    <w:name w:val="正文修改321"/>
    <w:basedOn w:val="affffe"/>
    <w:rPr>
      <w:rFonts w:eastAsia="宋体" w:hAnsi="宋体" w:cs="宋体"/>
      <w:color w:val="000000"/>
      <w:szCs w:val="24"/>
    </w:rPr>
  </w:style>
  <w:style w:type="paragraph" w:customStyle="1" w:styleId="12112">
    <w:name w:val="燕山正文1211"/>
    <w:basedOn w:val="a"/>
    <w:qFormat/>
    <w:pPr>
      <w:widowControl/>
      <w:tabs>
        <w:tab w:val="left" w:pos="4680"/>
      </w:tabs>
      <w:spacing w:line="480" w:lineRule="exact"/>
      <w:jc w:val="left"/>
    </w:pPr>
    <w:rPr>
      <w:rFonts w:ascii="宋体" w:hAnsi="宋体" w:cs="宋体"/>
      <w:kern w:val="0"/>
    </w:rPr>
  </w:style>
  <w:style w:type="paragraph" w:customStyle="1" w:styleId="521110">
    <w:name w:val="表内宋5中2111"/>
    <w:basedOn w:val="a"/>
    <w:qFormat/>
    <w:pPr>
      <w:widowControl/>
      <w:jc w:val="center"/>
      <w:textAlignment w:val="baseline"/>
    </w:pPr>
    <w:rPr>
      <w:rFonts w:ascii="宋体" w:hAnsi="宋体" w:cs="宋体"/>
      <w:kern w:val="0"/>
      <w:szCs w:val="20"/>
    </w:rPr>
  </w:style>
  <w:style w:type="paragraph" w:customStyle="1" w:styleId="1111f">
    <w:name w:val="正文修改1111"/>
    <w:basedOn w:val="affffe"/>
    <w:qFormat/>
    <w:rPr>
      <w:rFonts w:eastAsia="宋体" w:hAnsi="宋体" w:cs="宋体"/>
      <w:color w:val="000000"/>
      <w:szCs w:val="24"/>
    </w:rPr>
  </w:style>
  <w:style w:type="paragraph" w:customStyle="1" w:styleId="312131">
    <w:name w:val="表内文字小31213"/>
    <w:basedOn w:val="a"/>
    <w:qFormat/>
    <w:pPr>
      <w:widowControl/>
      <w:jc w:val="center"/>
    </w:pPr>
    <w:rPr>
      <w:rFonts w:ascii="宋体" w:hAnsi="Times" w:cs="宋体"/>
      <w:bCs/>
      <w:color w:val="003366"/>
      <w:kern w:val="0"/>
      <w:szCs w:val="20"/>
    </w:rPr>
  </w:style>
  <w:style w:type="paragraph" w:customStyle="1" w:styleId="5921">
    <w:name w:val="表内5921"/>
    <w:basedOn w:val="a"/>
    <w:qFormat/>
    <w:pPr>
      <w:widowControl/>
      <w:spacing w:line="300" w:lineRule="auto"/>
      <w:jc w:val="center"/>
    </w:pPr>
    <w:rPr>
      <w:rFonts w:ascii="宋体" w:hAnsi="宋体" w:cs="宋体"/>
      <w:snapToGrid w:val="0"/>
      <w:kern w:val="0"/>
      <w:szCs w:val="21"/>
    </w:rPr>
  </w:style>
  <w:style w:type="paragraph" w:customStyle="1" w:styleId="5138">
    <w:name w:val="正文格式＝513"/>
    <w:basedOn w:val="affff4"/>
    <w:next w:val="affff4"/>
    <w:qFormat/>
    <w:rPr>
      <w:rFonts w:hAnsi="宋体"/>
      <w:szCs w:val="24"/>
    </w:rPr>
  </w:style>
  <w:style w:type="paragraph" w:customStyle="1" w:styleId="Char9120">
    <w:name w:val="Char912"/>
    <w:basedOn w:val="a"/>
    <w:pPr>
      <w:widowControl/>
      <w:ind w:left="-48"/>
      <w:jc w:val="left"/>
    </w:pPr>
    <w:rPr>
      <w:rFonts w:ascii="宋体" w:hAnsi="宋体" w:cs="宋体"/>
      <w:kern w:val="0"/>
    </w:rPr>
  </w:style>
  <w:style w:type="paragraph" w:customStyle="1" w:styleId="53113">
    <w:name w:val="表内53113"/>
    <w:basedOn w:val="a"/>
    <w:qFormat/>
    <w:pPr>
      <w:widowControl/>
      <w:spacing w:line="300" w:lineRule="auto"/>
      <w:jc w:val="left"/>
    </w:pPr>
    <w:rPr>
      <w:rFonts w:ascii="宋体" w:hAnsi="宋体" w:cs="宋体"/>
      <w:kern w:val="0"/>
      <w:szCs w:val="20"/>
    </w:rPr>
  </w:style>
  <w:style w:type="paragraph" w:customStyle="1" w:styleId="CharCharCharCharCharCharChar412">
    <w:name w:val="Char Char Char Char Char Char Char412"/>
    <w:basedOn w:val="a"/>
    <w:pPr>
      <w:widowControl/>
      <w:jc w:val="left"/>
    </w:pPr>
    <w:rPr>
      <w:rFonts w:ascii="宋体" w:hAnsi="宋体" w:cs="宋体"/>
      <w:kern w:val="0"/>
    </w:rPr>
  </w:style>
  <w:style w:type="paragraph" w:customStyle="1" w:styleId="ParaCharCharCharChar81">
    <w:name w:val="默认段落字体 Para Char Char Char Char81"/>
    <w:basedOn w:val="a"/>
    <w:qFormat/>
    <w:pPr>
      <w:widowControl/>
      <w:jc w:val="left"/>
    </w:pPr>
    <w:rPr>
      <w:rFonts w:ascii="宋体" w:hAnsi="宋体" w:cs="宋体"/>
      <w:kern w:val="0"/>
    </w:rPr>
  </w:style>
  <w:style w:type="paragraph" w:customStyle="1" w:styleId="Char913">
    <w:name w:val="Char913"/>
    <w:basedOn w:val="a"/>
    <w:pPr>
      <w:widowControl/>
      <w:ind w:left="-48"/>
      <w:jc w:val="left"/>
    </w:pPr>
    <w:rPr>
      <w:rFonts w:ascii="宋体" w:hAnsi="宋体" w:cs="宋体"/>
      <w:kern w:val="0"/>
    </w:rPr>
  </w:style>
  <w:style w:type="paragraph" w:customStyle="1" w:styleId="ParaCharCharCharChar44">
    <w:name w:val="默认段落字体 Para Char Char Char Char44"/>
    <w:basedOn w:val="a"/>
    <w:qFormat/>
    <w:pPr>
      <w:widowControl/>
      <w:jc w:val="left"/>
    </w:pPr>
    <w:rPr>
      <w:rFonts w:ascii="宋体" w:hAnsi="宋体" w:cs="宋体"/>
      <w:kern w:val="0"/>
    </w:rPr>
  </w:style>
  <w:style w:type="paragraph" w:customStyle="1" w:styleId="Char3200">
    <w:name w:val="Char320"/>
    <w:basedOn w:val="a"/>
    <w:pPr>
      <w:widowControl/>
      <w:ind w:left="-48"/>
      <w:jc w:val="left"/>
    </w:pPr>
    <w:rPr>
      <w:rFonts w:ascii="宋体" w:hAnsi="宋体" w:cs="宋体"/>
      <w:kern w:val="0"/>
    </w:rPr>
  </w:style>
  <w:style w:type="paragraph" w:customStyle="1" w:styleId="8c">
    <w:name w:val="正文修改8"/>
    <w:basedOn w:val="affffe"/>
    <w:rPr>
      <w:rFonts w:eastAsia="宋体" w:hAnsi="宋体" w:cs="宋体"/>
      <w:color w:val="000000"/>
      <w:szCs w:val="24"/>
    </w:rPr>
  </w:style>
  <w:style w:type="paragraph" w:customStyle="1" w:styleId="414H4H4141H42H4111421111">
    <w:name w:val="样式 标题 4无效格式无效格式1河石管道4H4H41小小节河石管道41H42H411小小节1河石管道42...1111"/>
    <w:basedOn w:val="4"/>
    <w:qFormat/>
    <w:pPr>
      <w:numPr>
        <w:ilvl w:val="0"/>
        <w:numId w:val="0"/>
      </w:numPr>
      <w:spacing w:after="0" w:line="360" w:lineRule="auto"/>
      <w:ind w:left="664" w:hanging="864"/>
    </w:pPr>
    <w:rPr>
      <w:rFonts w:ascii="黑体" w:eastAsia="黑体" w:hAnsi="Arial" w:cs="宋体"/>
      <w:b w:val="0"/>
      <w:bCs w:val="0"/>
      <w:kern w:val="2"/>
      <w:sz w:val="24"/>
      <w:szCs w:val="20"/>
    </w:rPr>
  </w:style>
  <w:style w:type="paragraph" w:customStyle="1" w:styleId="ParaChar312">
    <w:name w:val="默认段落字体 Para Char312"/>
    <w:basedOn w:val="a"/>
    <w:qFormat/>
    <w:pPr>
      <w:widowControl/>
      <w:jc w:val="left"/>
    </w:pPr>
    <w:rPr>
      <w:rFonts w:ascii="宋体" w:hAnsi="宋体" w:cs="宋体"/>
      <w:kern w:val="0"/>
    </w:rPr>
  </w:style>
  <w:style w:type="paragraph" w:customStyle="1" w:styleId="12131">
    <w:name w:val="样式1213"/>
    <w:basedOn w:val="314"/>
    <w:qFormat/>
    <w:pPr>
      <w:spacing w:line="240" w:lineRule="auto"/>
      <w:ind w:firstLine="0"/>
      <w:jc w:val="center"/>
    </w:pPr>
    <w:rPr>
      <w:rFonts w:cs="Times New Roman"/>
      <w:b/>
      <w:color w:val="auto"/>
      <w:szCs w:val="20"/>
    </w:rPr>
  </w:style>
  <w:style w:type="paragraph" w:customStyle="1" w:styleId="ParaChar34">
    <w:name w:val="默认段落字体 Para Char34"/>
    <w:basedOn w:val="a"/>
    <w:pPr>
      <w:widowControl/>
      <w:jc w:val="left"/>
    </w:pPr>
    <w:rPr>
      <w:rFonts w:ascii="宋体" w:hAnsi="宋体" w:cs="宋体"/>
      <w:kern w:val="0"/>
    </w:rPr>
  </w:style>
  <w:style w:type="paragraph" w:customStyle="1" w:styleId="CharCharCharCharCharCharChar117">
    <w:name w:val="Char Char Char Char Char Char Char117"/>
    <w:basedOn w:val="a"/>
    <w:qFormat/>
    <w:pPr>
      <w:widowControl/>
      <w:jc w:val="left"/>
    </w:pPr>
    <w:rPr>
      <w:rFonts w:ascii="宋体" w:hAnsi="宋体" w:cs="宋体"/>
      <w:kern w:val="0"/>
    </w:rPr>
  </w:style>
  <w:style w:type="paragraph" w:customStyle="1" w:styleId="CharCharCharCharCharCharChar20">
    <w:name w:val="Char Char Char Char Char Char Char20"/>
    <w:basedOn w:val="a"/>
    <w:qFormat/>
    <w:pPr>
      <w:widowControl/>
      <w:jc w:val="left"/>
    </w:pPr>
    <w:rPr>
      <w:rFonts w:ascii="宋体" w:hAnsi="宋体" w:cs="宋体"/>
      <w:kern w:val="0"/>
    </w:rPr>
  </w:style>
  <w:style w:type="paragraph" w:customStyle="1" w:styleId="5218">
    <w:name w:val="正文格式＝521"/>
    <w:basedOn w:val="affff4"/>
    <w:next w:val="affff4"/>
    <w:qFormat/>
    <w:rPr>
      <w:rFonts w:hAnsi="宋体"/>
      <w:szCs w:val="24"/>
    </w:rPr>
  </w:style>
  <w:style w:type="paragraph" w:customStyle="1" w:styleId="619">
    <w:name w:val="表61"/>
    <w:basedOn w:val="a"/>
    <w:qFormat/>
    <w:pPr>
      <w:widowControl/>
      <w:jc w:val="center"/>
    </w:pPr>
    <w:rPr>
      <w:rFonts w:ascii="宋体" w:hAnsi="宋体" w:cs="宋体"/>
      <w:kern w:val="0"/>
    </w:rPr>
  </w:style>
  <w:style w:type="paragraph" w:customStyle="1" w:styleId="4111110">
    <w:name w:val="标题411111"/>
    <w:basedOn w:val="a"/>
    <w:qFormat/>
    <w:pPr>
      <w:widowControl/>
      <w:spacing w:line="300" w:lineRule="auto"/>
      <w:jc w:val="left"/>
    </w:pPr>
    <w:rPr>
      <w:rFonts w:ascii="黑体" w:eastAsia="黑体" w:hAnsi="宋体" w:cs="宋体"/>
      <w:bCs/>
      <w:kern w:val="0"/>
      <w:szCs w:val="20"/>
    </w:rPr>
  </w:style>
  <w:style w:type="paragraph" w:customStyle="1" w:styleId="Default12">
    <w:name w:val="Default12"/>
    <w:pPr>
      <w:widowControl w:val="0"/>
      <w:autoSpaceDE w:val="0"/>
      <w:autoSpaceDN w:val="0"/>
      <w:adjustRightInd w:val="0"/>
    </w:pPr>
    <w:rPr>
      <w:rFonts w:ascii="宋体"/>
      <w:color w:val="000000"/>
      <w:sz w:val="24"/>
      <w:szCs w:val="24"/>
    </w:rPr>
  </w:style>
  <w:style w:type="paragraph" w:customStyle="1" w:styleId="13f8">
    <w:name w:val="正文缩13"/>
    <w:basedOn w:val="a"/>
    <w:qFormat/>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Char721">
    <w:name w:val="Char721"/>
    <w:basedOn w:val="a"/>
    <w:qFormat/>
    <w:pPr>
      <w:widowControl/>
      <w:ind w:left="-48"/>
      <w:jc w:val="left"/>
    </w:pPr>
    <w:rPr>
      <w:rFonts w:ascii="宋体" w:hAnsi="宋体" w:cs="宋体"/>
      <w:kern w:val="0"/>
    </w:rPr>
  </w:style>
  <w:style w:type="paragraph" w:customStyle="1" w:styleId="546">
    <w:name w:val="表内宋54"/>
    <w:basedOn w:val="5f5"/>
    <w:qFormat/>
    <w:pPr>
      <w:autoSpaceDE w:val="0"/>
      <w:autoSpaceDN w:val="0"/>
      <w:textAlignment w:val="auto"/>
    </w:pPr>
    <w:rPr>
      <w:color w:val="auto"/>
      <w:w w:val="90"/>
    </w:rPr>
  </w:style>
  <w:style w:type="paragraph" w:customStyle="1" w:styleId="9130">
    <w:name w:val="表题913"/>
    <w:basedOn w:val="2fff1"/>
    <w:qFormat/>
    <w:pPr>
      <w:spacing w:line="300" w:lineRule="auto"/>
      <w:jc w:val="center"/>
    </w:pPr>
    <w:rPr>
      <w:rFonts w:ascii="黑体" w:eastAsia="黑体"/>
      <w:szCs w:val="22"/>
    </w:rPr>
  </w:style>
  <w:style w:type="paragraph" w:customStyle="1" w:styleId="43114">
    <w:name w:val="标题43114"/>
    <w:basedOn w:val="a"/>
    <w:qFormat/>
    <w:pPr>
      <w:widowControl/>
      <w:spacing w:line="480" w:lineRule="exact"/>
      <w:jc w:val="center"/>
    </w:pPr>
    <w:rPr>
      <w:rFonts w:ascii="宋体" w:hAnsi="宋体" w:cs="宋体"/>
      <w:kern w:val="0"/>
    </w:rPr>
  </w:style>
  <w:style w:type="paragraph" w:customStyle="1" w:styleId="Char333">
    <w:name w:val="Char333"/>
    <w:basedOn w:val="a"/>
    <w:qFormat/>
    <w:pPr>
      <w:widowControl/>
      <w:ind w:left="-48"/>
      <w:jc w:val="left"/>
    </w:pPr>
    <w:rPr>
      <w:rFonts w:ascii="宋体" w:hAnsi="宋体" w:cs="宋体"/>
      <w:kern w:val="0"/>
    </w:rPr>
  </w:style>
  <w:style w:type="paragraph" w:customStyle="1" w:styleId="2410">
    <w:name w:val="表内文字小241"/>
    <w:basedOn w:val="a"/>
    <w:qFormat/>
    <w:pPr>
      <w:widowControl/>
      <w:jc w:val="center"/>
    </w:pPr>
    <w:rPr>
      <w:rFonts w:ascii="宋体" w:hAnsi="Times" w:cs="宋体"/>
      <w:bCs/>
      <w:color w:val="000000"/>
      <w:kern w:val="0"/>
      <w:szCs w:val="20"/>
    </w:rPr>
  </w:style>
  <w:style w:type="paragraph" w:customStyle="1" w:styleId="3136">
    <w:name w:val="燕山正文313"/>
    <w:basedOn w:val="a"/>
    <w:qFormat/>
    <w:pPr>
      <w:widowControl/>
      <w:tabs>
        <w:tab w:val="left" w:pos="4680"/>
      </w:tabs>
      <w:spacing w:line="480" w:lineRule="exact"/>
      <w:jc w:val="left"/>
    </w:pPr>
    <w:rPr>
      <w:rFonts w:ascii="宋体" w:hAnsi="宋体" w:cs="宋体"/>
      <w:kern w:val="0"/>
    </w:rPr>
  </w:style>
  <w:style w:type="paragraph" w:customStyle="1" w:styleId="Char2131">
    <w:name w:val="Char213"/>
    <w:basedOn w:val="a"/>
    <w:pPr>
      <w:widowControl/>
      <w:ind w:left="-48"/>
      <w:jc w:val="left"/>
    </w:pPr>
    <w:rPr>
      <w:rFonts w:ascii="宋体" w:hAnsi="宋体" w:cs="宋体"/>
      <w:kern w:val="0"/>
    </w:rPr>
  </w:style>
  <w:style w:type="paragraph" w:customStyle="1" w:styleId="511310">
    <w:name w:val="表内宋51131"/>
    <w:basedOn w:val="1ff2"/>
    <w:qFormat/>
    <w:rPr>
      <w:rFonts w:ascii="宋体" w:hAnsi="宋体" w:cs="宋体"/>
      <w:color w:val="000000"/>
      <w:sz w:val="21"/>
      <w:szCs w:val="24"/>
    </w:rPr>
  </w:style>
  <w:style w:type="paragraph" w:customStyle="1" w:styleId="5219">
    <w:name w:val="表内小5中21"/>
    <w:basedOn w:val="a"/>
    <w:qFormat/>
    <w:pPr>
      <w:widowControl/>
      <w:jc w:val="center"/>
    </w:pPr>
    <w:rPr>
      <w:rFonts w:ascii="宋体" w:hAnsi="宋体" w:cs="宋体"/>
      <w:kern w:val="0"/>
      <w:sz w:val="18"/>
      <w:szCs w:val="20"/>
    </w:rPr>
  </w:style>
  <w:style w:type="paragraph" w:customStyle="1" w:styleId="431131">
    <w:name w:val="标题431131"/>
    <w:basedOn w:val="a"/>
    <w:qFormat/>
    <w:pPr>
      <w:widowControl/>
      <w:spacing w:line="480" w:lineRule="exact"/>
      <w:jc w:val="center"/>
    </w:pPr>
    <w:rPr>
      <w:rFonts w:ascii="宋体" w:hAnsi="宋体" w:cs="宋体"/>
      <w:kern w:val="0"/>
    </w:rPr>
  </w:style>
  <w:style w:type="paragraph" w:customStyle="1" w:styleId="1415">
    <w:name w:val="燕山正文141"/>
    <w:basedOn w:val="a"/>
    <w:qFormat/>
    <w:pPr>
      <w:widowControl/>
      <w:tabs>
        <w:tab w:val="left" w:pos="4680"/>
      </w:tabs>
      <w:spacing w:line="480" w:lineRule="exact"/>
      <w:jc w:val="left"/>
    </w:pPr>
    <w:rPr>
      <w:rFonts w:ascii="宋体" w:hAnsi="宋体" w:cs="宋体"/>
      <w:kern w:val="0"/>
    </w:rPr>
  </w:style>
  <w:style w:type="paragraph" w:customStyle="1" w:styleId="43141">
    <w:name w:val="标题43141"/>
    <w:basedOn w:val="a"/>
    <w:qFormat/>
    <w:pPr>
      <w:widowControl/>
      <w:spacing w:line="480" w:lineRule="exact"/>
      <w:jc w:val="center"/>
    </w:pPr>
    <w:rPr>
      <w:rFonts w:ascii="宋体" w:hAnsi="宋体" w:cs="宋体"/>
      <w:kern w:val="0"/>
    </w:rPr>
  </w:style>
  <w:style w:type="paragraph" w:customStyle="1" w:styleId="212111">
    <w:name w:val="表内文字小212111"/>
    <w:basedOn w:val="a"/>
    <w:qFormat/>
    <w:pPr>
      <w:widowControl/>
      <w:jc w:val="center"/>
    </w:pPr>
    <w:rPr>
      <w:rFonts w:ascii="宋体" w:hAnsi="Times" w:cs="宋体"/>
      <w:bCs/>
      <w:color w:val="000000"/>
      <w:kern w:val="0"/>
      <w:szCs w:val="20"/>
    </w:rPr>
  </w:style>
  <w:style w:type="paragraph" w:customStyle="1" w:styleId="21ff">
    <w:name w:val="图表名称21"/>
    <w:basedOn w:val="1f3"/>
    <w:qFormat/>
    <w:pPr>
      <w:spacing w:after="0" w:line="480" w:lineRule="exact"/>
      <w:ind w:firstLineChars="0" w:firstLine="0"/>
      <w:jc w:val="center"/>
    </w:pPr>
    <w:rPr>
      <w:rFonts w:ascii="宋体" w:hAnsi="宋体"/>
      <w:bCs/>
      <w:szCs w:val="24"/>
    </w:rPr>
  </w:style>
  <w:style w:type="paragraph" w:customStyle="1" w:styleId="815">
    <w:name w:val="表中文字81"/>
    <w:basedOn w:val="a"/>
    <w:qFormat/>
    <w:pPr>
      <w:widowControl/>
      <w:spacing w:line="240" w:lineRule="atLeast"/>
      <w:ind w:leftChars="-10" w:left="-24" w:rightChars="-20" w:right="-48"/>
      <w:jc w:val="center"/>
    </w:pPr>
    <w:rPr>
      <w:rFonts w:ascii="宋体" w:hAnsi="宋体" w:cs="宋体"/>
      <w:kern w:val="0"/>
      <w:szCs w:val="21"/>
    </w:rPr>
  </w:style>
  <w:style w:type="paragraph" w:customStyle="1" w:styleId="xl2421">
    <w:name w:val="xl2421"/>
    <w:basedOn w:val="a"/>
    <w:pPr>
      <w:widowControl/>
      <w:pBdr>
        <w:bottom w:val="single" w:sz="4" w:space="0" w:color="auto"/>
        <w:right w:val="single" w:sz="4" w:space="0" w:color="auto"/>
      </w:pBdr>
      <w:spacing w:before="100" w:beforeAutospacing="1" w:after="100" w:afterAutospacing="1"/>
      <w:jc w:val="center"/>
    </w:pPr>
    <w:rPr>
      <w:rFonts w:ascii="宋体" w:hAnsi="宋体" w:cs="宋体"/>
      <w:kern w:val="0"/>
      <w:szCs w:val="21"/>
    </w:rPr>
  </w:style>
  <w:style w:type="paragraph" w:customStyle="1" w:styleId="521a">
    <w:name w:val="表中文字521"/>
    <w:basedOn w:val="a"/>
    <w:qFormat/>
    <w:pPr>
      <w:widowControl/>
      <w:spacing w:line="240" w:lineRule="atLeast"/>
      <w:ind w:leftChars="-10" w:left="-24" w:rightChars="-20" w:right="-48"/>
      <w:jc w:val="center"/>
    </w:pPr>
    <w:rPr>
      <w:rFonts w:ascii="宋体" w:hAnsi="宋体" w:cs="宋体"/>
      <w:kern w:val="0"/>
      <w:szCs w:val="21"/>
    </w:rPr>
  </w:style>
  <w:style w:type="paragraph" w:customStyle="1" w:styleId="Default13">
    <w:name w:val="Default13"/>
    <w:qFormat/>
    <w:pPr>
      <w:widowControl w:val="0"/>
      <w:autoSpaceDE w:val="0"/>
      <w:autoSpaceDN w:val="0"/>
      <w:adjustRightInd w:val="0"/>
    </w:pPr>
    <w:rPr>
      <w:rFonts w:ascii="宋体"/>
      <w:color w:val="000000"/>
      <w:sz w:val="24"/>
      <w:szCs w:val="24"/>
    </w:rPr>
  </w:style>
  <w:style w:type="paragraph" w:customStyle="1" w:styleId="Char7120">
    <w:name w:val="Char712"/>
    <w:basedOn w:val="a"/>
    <w:qFormat/>
    <w:pPr>
      <w:widowControl/>
      <w:ind w:left="-48"/>
      <w:jc w:val="left"/>
    </w:pPr>
    <w:rPr>
      <w:rFonts w:ascii="宋体" w:hAnsi="宋体" w:cs="宋体"/>
      <w:kern w:val="0"/>
    </w:rPr>
  </w:style>
  <w:style w:type="paragraph" w:customStyle="1" w:styleId="31115">
    <w:name w:val="表中文字3111"/>
    <w:basedOn w:val="a"/>
    <w:qFormat/>
    <w:pPr>
      <w:widowControl/>
      <w:spacing w:line="240" w:lineRule="atLeast"/>
      <w:ind w:leftChars="-10" w:left="-24" w:rightChars="-20" w:right="-48"/>
      <w:jc w:val="center"/>
    </w:pPr>
    <w:rPr>
      <w:rFonts w:ascii="宋体" w:hAnsi="宋体" w:cs="宋体"/>
      <w:kern w:val="0"/>
      <w:szCs w:val="21"/>
    </w:rPr>
  </w:style>
  <w:style w:type="paragraph" w:customStyle="1" w:styleId="4128">
    <w:name w:val="表中文字412"/>
    <w:basedOn w:val="a"/>
    <w:qFormat/>
    <w:pPr>
      <w:widowControl/>
      <w:spacing w:line="340" w:lineRule="exact"/>
      <w:jc w:val="center"/>
    </w:pPr>
    <w:rPr>
      <w:rFonts w:ascii="Arial" w:hAnsi="Arial" w:cs="宋体"/>
      <w:kern w:val="0"/>
      <w:sz w:val="20"/>
      <w:lang w:eastAsia="zh-TW"/>
    </w:rPr>
  </w:style>
  <w:style w:type="paragraph" w:customStyle="1" w:styleId="CharChar2CharCharCharChar23">
    <w:name w:val="Char Char2 Char Char Char Char23"/>
    <w:basedOn w:val="a"/>
    <w:qFormat/>
    <w:pPr>
      <w:widowControl/>
      <w:jc w:val="left"/>
    </w:pPr>
    <w:rPr>
      <w:rFonts w:ascii="宋体" w:hAnsi="宋体" w:cs="宋体"/>
      <w:kern w:val="0"/>
    </w:rPr>
  </w:style>
  <w:style w:type="paragraph" w:customStyle="1" w:styleId="521b">
    <w:name w:val="表格内字体521"/>
    <w:basedOn w:val="affff4"/>
    <w:next w:val="affff4"/>
    <w:pPr>
      <w:spacing w:line="240" w:lineRule="auto"/>
      <w:ind w:firstLine="0"/>
    </w:pPr>
    <w:rPr>
      <w:rFonts w:hAnsi="宋体"/>
      <w:sz w:val="21"/>
      <w:szCs w:val="24"/>
    </w:rPr>
  </w:style>
  <w:style w:type="paragraph" w:customStyle="1" w:styleId="4316">
    <w:name w:val="标题4316"/>
    <w:basedOn w:val="a"/>
    <w:pPr>
      <w:widowControl/>
      <w:spacing w:line="480" w:lineRule="exact"/>
      <w:jc w:val="center"/>
    </w:pPr>
    <w:rPr>
      <w:rFonts w:ascii="宋体" w:hAnsi="宋体" w:cs="宋体"/>
      <w:kern w:val="0"/>
    </w:rPr>
  </w:style>
  <w:style w:type="paragraph" w:customStyle="1" w:styleId="4129">
    <w:name w:val="样式412"/>
    <w:basedOn w:val="a0"/>
    <w:qFormat/>
    <w:pPr>
      <w:widowControl/>
      <w:tabs>
        <w:tab w:val="left" w:pos="1820"/>
      </w:tabs>
      <w:spacing w:line="240" w:lineRule="atLeast"/>
      <w:jc w:val="center"/>
    </w:pPr>
    <w:rPr>
      <w:rFonts w:eastAsia="幼圆"/>
      <w:kern w:val="0"/>
      <w:sz w:val="21"/>
      <w:szCs w:val="20"/>
    </w:rPr>
  </w:style>
  <w:style w:type="paragraph" w:customStyle="1" w:styleId="411b">
    <w:name w:val="附件411"/>
    <w:basedOn w:val="1"/>
    <w:next w:val="affff4"/>
    <w:qFormat/>
    <w:pPr>
      <w:numPr>
        <w:numId w:val="0"/>
      </w:numPr>
      <w:adjustRightInd/>
      <w:snapToGrid/>
      <w:spacing w:after="210"/>
      <w:jc w:val="left"/>
    </w:pPr>
    <w:rPr>
      <w:rFonts w:ascii="黑体" w:eastAsia="黑体"/>
      <w:sz w:val="32"/>
      <w:szCs w:val="32"/>
      <w:lang w:val="zh-CN"/>
    </w:rPr>
  </w:style>
  <w:style w:type="paragraph" w:customStyle="1" w:styleId="CharCharCharCharCharCharChar33">
    <w:name w:val="Char Char Char Char Char Char Char33"/>
    <w:basedOn w:val="a"/>
    <w:qFormat/>
    <w:pPr>
      <w:widowControl/>
      <w:jc w:val="left"/>
    </w:pPr>
    <w:rPr>
      <w:rFonts w:ascii="宋体" w:hAnsi="宋体" w:cs="宋体"/>
      <w:kern w:val="0"/>
    </w:rPr>
  </w:style>
  <w:style w:type="paragraph" w:customStyle="1" w:styleId="CharChar2CharCharCharChar42">
    <w:name w:val="Char Char2 Char Char Char Char42"/>
    <w:basedOn w:val="a"/>
    <w:qFormat/>
    <w:pPr>
      <w:widowControl/>
      <w:jc w:val="left"/>
    </w:pPr>
    <w:rPr>
      <w:rFonts w:ascii="宋体" w:hAnsi="宋体" w:cs="宋体"/>
      <w:kern w:val="0"/>
    </w:rPr>
  </w:style>
  <w:style w:type="paragraph" w:customStyle="1" w:styleId="Char22120">
    <w:name w:val="Char2212"/>
    <w:basedOn w:val="a"/>
    <w:qFormat/>
    <w:pPr>
      <w:widowControl/>
      <w:spacing w:before="156"/>
      <w:jc w:val="left"/>
    </w:pPr>
    <w:rPr>
      <w:rFonts w:ascii="黑体" w:eastAsia="黑体" w:hAnsi="宋体" w:cs="宋体"/>
      <w:kern w:val="0"/>
      <w:sz w:val="32"/>
      <w:szCs w:val="32"/>
    </w:rPr>
  </w:style>
  <w:style w:type="paragraph" w:customStyle="1" w:styleId="13f9">
    <w:name w:val="表格内容13"/>
    <w:qFormat/>
    <w:pPr>
      <w:jc w:val="center"/>
    </w:pPr>
    <w:rPr>
      <w:kern w:val="2"/>
      <w:sz w:val="21"/>
      <w:szCs w:val="21"/>
    </w:rPr>
  </w:style>
  <w:style w:type="paragraph" w:customStyle="1" w:styleId="ParaCharCharCharChar24">
    <w:name w:val="默认段落字体 Para Char Char Char Char24"/>
    <w:basedOn w:val="a"/>
    <w:qFormat/>
    <w:pPr>
      <w:widowControl/>
      <w:jc w:val="left"/>
    </w:pPr>
    <w:rPr>
      <w:rFonts w:ascii="宋体" w:hAnsi="宋体" w:cs="宋体"/>
      <w:kern w:val="0"/>
    </w:rPr>
  </w:style>
  <w:style w:type="paragraph" w:customStyle="1" w:styleId="4317">
    <w:name w:val="黑体三号431"/>
    <w:basedOn w:val="affff4"/>
    <w:qFormat/>
    <w:pPr>
      <w:jc w:val="center"/>
    </w:pPr>
    <w:rPr>
      <w:rFonts w:ascii="黑体" w:eastAsia="黑体" w:hAnsi="宋体" w:cs="宋体"/>
      <w:b/>
      <w:bCs/>
      <w:sz w:val="32"/>
      <w:szCs w:val="20"/>
    </w:rPr>
  </w:style>
  <w:style w:type="paragraph" w:customStyle="1" w:styleId="Char61110">
    <w:name w:val="Char6111"/>
    <w:basedOn w:val="a"/>
    <w:qFormat/>
    <w:pPr>
      <w:widowControl/>
      <w:spacing w:before="156"/>
      <w:jc w:val="left"/>
    </w:pPr>
    <w:rPr>
      <w:rFonts w:ascii="黑体" w:eastAsia="黑体" w:hAnsi="宋体" w:cs="宋体"/>
      <w:kern w:val="0"/>
      <w:sz w:val="32"/>
      <w:szCs w:val="32"/>
    </w:rPr>
  </w:style>
  <w:style w:type="paragraph" w:customStyle="1" w:styleId="31116">
    <w:name w:val="燕山正文3111"/>
    <w:basedOn w:val="a"/>
    <w:qFormat/>
    <w:pPr>
      <w:widowControl/>
      <w:tabs>
        <w:tab w:val="left" w:pos="4680"/>
      </w:tabs>
      <w:spacing w:line="480" w:lineRule="exact"/>
      <w:jc w:val="left"/>
    </w:pPr>
    <w:rPr>
      <w:rFonts w:ascii="宋体" w:hAnsi="宋体" w:cs="宋体"/>
      <w:kern w:val="0"/>
    </w:rPr>
  </w:style>
  <w:style w:type="paragraph" w:customStyle="1" w:styleId="Char1260">
    <w:name w:val="Char126"/>
    <w:basedOn w:val="a"/>
    <w:qFormat/>
    <w:pPr>
      <w:widowControl/>
      <w:ind w:left="-48"/>
      <w:jc w:val="left"/>
    </w:pPr>
    <w:rPr>
      <w:rFonts w:ascii="宋体" w:hAnsi="宋体" w:cs="宋体"/>
      <w:kern w:val="0"/>
    </w:rPr>
  </w:style>
  <w:style w:type="paragraph" w:customStyle="1" w:styleId="CharCharCharCharCharCharChar113">
    <w:name w:val="Char Char Char Char Char Char Char113"/>
    <w:basedOn w:val="a"/>
    <w:qFormat/>
    <w:pPr>
      <w:widowControl/>
      <w:jc w:val="left"/>
    </w:pPr>
    <w:rPr>
      <w:rFonts w:ascii="宋体" w:hAnsi="宋体" w:cs="宋体"/>
      <w:kern w:val="0"/>
      <w:szCs w:val="20"/>
    </w:rPr>
  </w:style>
  <w:style w:type="paragraph" w:customStyle="1" w:styleId="3171">
    <w:name w:val="表题317"/>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164">
    <w:name w:val="样式16"/>
    <w:basedOn w:val="314"/>
    <w:qFormat/>
    <w:pPr>
      <w:spacing w:line="240" w:lineRule="auto"/>
      <w:ind w:firstLine="0"/>
      <w:jc w:val="center"/>
    </w:pPr>
    <w:rPr>
      <w:rFonts w:cs="Times New Roman"/>
      <w:b/>
      <w:color w:val="auto"/>
      <w:szCs w:val="20"/>
    </w:rPr>
  </w:style>
  <w:style w:type="paragraph" w:customStyle="1" w:styleId="21ff0">
    <w:name w:val="封面标准文稿编辑信息21"/>
    <w:qFormat/>
    <w:pPr>
      <w:spacing w:before="180" w:line="180" w:lineRule="exact"/>
      <w:jc w:val="center"/>
    </w:pPr>
    <w:rPr>
      <w:rFonts w:ascii="宋体"/>
      <w:sz w:val="21"/>
    </w:rPr>
  </w:style>
  <w:style w:type="paragraph" w:customStyle="1" w:styleId="313130">
    <w:name w:val="表内文字小31313"/>
    <w:basedOn w:val="a"/>
    <w:qFormat/>
    <w:pPr>
      <w:widowControl/>
      <w:jc w:val="center"/>
    </w:pPr>
    <w:rPr>
      <w:rFonts w:ascii="宋体" w:hAnsi="Times" w:cs="宋体"/>
      <w:bCs/>
      <w:color w:val="003366"/>
      <w:kern w:val="0"/>
      <w:szCs w:val="20"/>
    </w:rPr>
  </w:style>
  <w:style w:type="paragraph" w:customStyle="1" w:styleId="CharCharCharCharCharCharChar227">
    <w:name w:val="Char Char Char Char Char Char Char227"/>
    <w:basedOn w:val="a"/>
    <w:pPr>
      <w:widowControl/>
      <w:jc w:val="left"/>
    </w:pPr>
    <w:rPr>
      <w:rFonts w:ascii="宋体" w:hAnsi="宋体" w:cs="宋体"/>
      <w:kern w:val="0"/>
    </w:rPr>
  </w:style>
  <w:style w:type="paragraph" w:customStyle="1" w:styleId="Char226">
    <w:name w:val="Char226"/>
    <w:basedOn w:val="a"/>
    <w:pPr>
      <w:widowControl/>
      <w:ind w:left="-48"/>
      <w:jc w:val="left"/>
    </w:pPr>
    <w:rPr>
      <w:rFonts w:ascii="宋体" w:hAnsi="宋体" w:cs="宋体"/>
      <w:kern w:val="0"/>
    </w:rPr>
  </w:style>
  <w:style w:type="paragraph" w:customStyle="1" w:styleId="ParaChar71">
    <w:name w:val="默认段落字体 Para Char71"/>
    <w:basedOn w:val="a"/>
    <w:qFormat/>
    <w:pPr>
      <w:widowControl/>
      <w:jc w:val="left"/>
    </w:pPr>
    <w:rPr>
      <w:rFonts w:ascii="宋体" w:hAnsi="宋体" w:cs="宋体"/>
      <w:kern w:val="0"/>
    </w:rPr>
  </w:style>
  <w:style w:type="paragraph" w:customStyle="1" w:styleId="ParaChar3111">
    <w:name w:val="默认段落字体 Para Char3111"/>
    <w:basedOn w:val="a"/>
    <w:qFormat/>
    <w:pPr>
      <w:widowControl/>
      <w:jc w:val="left"/>
    </w:pPr>
    <w:rPr>
      <w:rFonts w:ascii="宋体" w:hAnsi="宋体" w:cs="宋体"/>
      <w:kern w:val="0"/>
    </w:rPr>
  </w:style>
  <w:style w:type="paragraph" w:customStyle="1" w:styleId="31117">
    <w:name w:val="黑体三号3111"/>
    <w:basedOn w:val="affff4"/>
    <w:qFormat/>
    <w:pPr>
      <w:jc w:val="center"/>
    </w:pPr>
    <w:rPr>
      <w:rFonts w:ascii="黑体" w:eastAsia="黑体" w:hAnsi="宋体" w:cs="宋体"/>
      <w:b/>
      <w:bCs/>
      <w:sz w:val="32"/>
      <w:szCs w:val="20"/>
    </w:rPr>
  </w:style>
  <w:style w:type="paragraph" w:customStyle="1" w:styleId="ParaCharCharCharCharChar31">
    <w:name w:val="默认段落字体 Para Char Char Char Char Char31"/>
    <w:basedOn w:val="a"/>
    <w:qFormat/>
    <w:pPr>
      <w:widowControl/>
      <w:jc w:val="left"/>
    </w:pPr>
    <w:rPr>
      <w:rFonts w:ascii="宋体" w:hAnsi="宋体" w:cs="宋体"/>
      <w:kern w:val="0"/>
    </w:rPr>
  </w:style>
  <w:style w:type="paragraph" w:customStyle="1" w:styleId="1161">
    <w:name w:val="燕山正文1161"/>
    <w:basedOn w:val="a"/>
    <w:pPr>
      <w:widowControl/>
      <w:tabs>
        <w:tab w:val="left" w:pos="4680"/>
      </w:tabs>
      <w:spacing w:line="480" w:lineRule="exact"/>
      <w:jc w:val="left"/>
    </w:pPr>
    <w:rPr>
      <w:rFonts w:ascii="宋体" w:hAnsi="宋体" w:cs="宋体"/>
      <w:bCs/>
      <w:color w:val="000000"/>
      <w:kern w:val="0"/>
    </w:rPr>
  </w:style>
  <w:style w:type="paragraph" w:customStyle="1" w:styleId="Char1620">
    <w:name w:val="Char162"/>
    <w:basedOn w:val="a"/>
    <w:qFormat/>
    <w:pPr>
      <w:widowControl/>
      <w:ind w:left="-48"/>
      <w:jc w:val="left"/>
    </w:pPr>
    <w:rPr>
      <w:rFonts w:ascii="宋体" w:hAnsi="宋体" w:cs="宋体"/>
      <w:kern w:val="0"/>
    </w:rPr>
  </w:style>
  <w:style w:type="paragraph" w:customStyle="1" w:styleId="ParaCharCharCharCharChar4">
    <w:name w:val="默认段落字体 Para Char Char Char Char Char4"/>
    <w:basedOn w:val="a"/>
    <w:qFormat/>
    <w:pPr>
      <w:widowControl/>
      <w:jc w:val="left"/>
    </w:pPr>
    <w:rPr>
      <w:rFonts w:ascii="宋体" w:hAnsi="宋体" w:cs="宋体"/>
      <w:kern w:val="0"/>
    </w:rPr>
  </w:style>
  <w:style w:type="paragraph" w:customStyle="1" w:styleId="431221">
    <w:name w:val="标题431221"/>
    <w:basedOn w:val="a"/>
    <w:qFormat/>
    <w:pPr>
      <w:widowControl/>
      <w:spacing w:line="480" w:lineRule="exact"/>
      <w:jc w:val="center"/>
    </w:pPr>
    <w:rPr>
      <w:rFonts w:ascii="宋体" w:hAnsi="宋体" w:cs="宋体"/>
      <w:kern w:val="0"/>
    </w:rPr>
  </w:style>
  <w:style w:type="paragraph" w:customStyle="1" w:styleId="446">
    <w:name w:val="正文修改44"/>
    <w:basedOn w:val="affffe"/>
    <w:rPr>
      <w:rFonts w:eastAsia="宋体" w:hAnsi="宋体" w:cs="宋体"/>
      <w:color w:val="000000"/>
      <w:szCs w:val="24"/>
    </w:rPr>
  </w:style>
  <w:style w:type="paragraph" w:customStyle="1" w:styleId="Char425">
    <w:name w:val="Char425"/>
    <w:basedOn w:val="a"/>
    <w:qFormat/>
    <w:pPr>
      <w:widowControl/>
      <w:ind w:left="-48"/>
      <w:jc w:val="left"/>
    </w:pPr>
    <w:rPr>
      <w:rFonts w:ascii="宋体" w:hAnsi="宋体" w:cs="宋体"/>
      <w:kern w:val="0"/>
    </w:rPr>
  </w:style>
  <w:style w:type="paragraph" w:customStyle="1" w:styleId="Char225">
    <w:name w:val="Char225"/>
    <w:basedOn w:val="a"/>
    <w:pPr>
      <w:widowControl/>
      <w:ind w:left="-48"/>
      <w:jc w:val="left"/>
    </w:pPr>
    <w:rPr>
      <w:rFonts w:ascii="宋体" w:hAnsi="宋体" w:cs="宋体"/>
      <w:kern w:val="0"/>
    </w:rPr>
  </w:style>
  <w:style w:type="paragraph" w:customStyle="1" w:styleId="Char1250">
    <w:name w:val="Char125"/>
    <w:basedOn w:val="a"/>
    <w:qFormat/>
    <w:pPr>
      <w:widowControl/>
      <w:ind w:left="-48"/>
      <w:jc w:val="left"/>
    </w:pPr>
    <w:rPr>
      <w:rFonts w:ascii="宋体" w:hAnsi="宋体" w:cs="宋体"/>
      <w:kern w:val="0"/>
    </w:rPr>
  </w:style>
  <w:style w:type="paragraph" w:customStyle="1" w:styleId="414H4H4141H42H41114223">
    <w:name w:val="样式 标题 4无效格式无效格式1河石管道4H4H41小小节河石管道41H42H411小小节1河石管道42...23"/>
    <w:basedOn w:val="4"/>
    <w:qFormat/>
    <w:pPr>
      <w:numPr>
        <w:ilvl w:val="0"/>
        <w:numId w:val="0"/>
      </w:numPr>
      <w:spacing w:after="0" w:line="360" w:lineRule="auto"/>
      <w:ind w:left="664" w:hanging="864"/>
    </w:pPr>
    <w:rPr>
      <w:rFonts w:ascii="黑体" w:eastAsia="黑体" w:hAnsi="Arial" w:cs="Times New Roman"/>
      <w:b w:val="0"/>
      <w:bCs w:val="0"/>
      <w:kern w:val="2"/>
      <w:sz w:val="24"/>
      <w:szCs w:val="24"/>
    </w:rPr>
  </w:style>
  <w:style w:type="paragraph" w:customStyle="1" w:styleId="221b">
    <w:name w:val="表中文字221"/>
    <w:basedOn w:val="a"/>
    <w:qFormat/>
    <w:pPr>
      <w:widowControl/>
      <w:spacing w:line="240" w:lineRule="atLeast"/>
      <w:ind w:rightChars="-20" w:right="-42"/>
      <w:jc w:val="center"/>
      <w:textAlignment w:val="baseline"/>
    </w:pPr>
    <w:rPr>
      <w:rFonts w:ascii="宋体" w:hAnsi="宋体" w:cs="宋体"/>
      <w:kern w:val="0"/>
      <w:szCs w:val="21"/>
    </w:rPr>
  </w:style>
  <w:style w:type="paragraph" w:customStyle="1" w:styleId="Char2610">
    <w:name w:val="Char261"/>
    <w:basedOn w:val="a"/>
    <w:qFormat/>
    <w:pPr>
      <w:widowControl/>
      <w:ind w:left="-48"/>
      <w:jc w:val="left"/>
    </w:pPr>
    <w:rPr>
      <w:rFonts w:ascii="宋体" w:hAnsi="宋体" w:cs="宋体"/>
      <w:kern w:val="0"/>
    </w:rPr>
  </w:style>
  <w:style w:type="paragraph" w:customStyle="1" w:styleId="111f7">
    <w:name w:val="表格内容111"/>
    <w:qFormat/>
    <w:pPr>
      <w:jc w:val="center"/>
    </w:pPr>
    <w:rPr>
      <w:kern w:val="2"/>
      <w:sz w:val="21"/>
      <w:szCs w:val="21"/>
    </w:rPr>
  </w:style>
  <w:style w:type="paragraph" w:customStyle="1" w:styleId="121d">
    <w:name w:val="正文修改121"/>
    <w:basedOn w:val="affffe"/>
    <w:qFormat/>
    <w:rPr>
      <w:rFonts w:eastAsia="宋体" w:hAnsi="宋体" w:cs="宋体"/>
      <w:color w:val="000000"/>
      <w:szCs w:val="24"/>
    </w:rPr>
  </w:style>
  <w:style w:type="paragraph" w:customStyle="1" w:styleId="414H4H4141H42H41114241">
    <w:name w:val="样式 标题 4无效格式无效格式1河石管道4H4H41小小节河石管道41H42H411小小节1河石管道42...41"/>
    <w:basedOn w:val="4"/>
    <w:pPr>
      <w:numPr>
        <w:ilvl w:val="0"/>
        <w:numId w:val="0"/>
      </w:numPr>
      <w:spacing w:after="0" w:line="360" w:lineRule="auto"/>
      <w:ind w:left="664" w:hanging="864"/>
    </w:pPr>
    <w:rPr>
      <w:rFonts w:ascii="黑体" w:eastAsia="黑体" w:hAnsi="Arial" w:cs="Times New Roman"/>
      <w:b w:val="0"/>
      <w:bCs w:val="0"/>
      <w:kern w:val="2"/>
      <w:sz w:val="24"/>
      <w:szCs w:val="24"/>
    </w:rPr>
  </w:style>
  <w:style w:type="paragraph" w:customStyle="1" w:styleId="CharCharCharCharCharCharChar110">
    <w:name w:val="Char Char Char Char Char Char Char110"/>
    <w:basedOn w:val="a"/>
    <w:qFormat/>
    <w:pPr>
      <w:widowControl/>
      <w:jc w:val="left"/>
    </w:pPr>
    <w:rPr>
      <w:rFonts w:ascii="宋体" w:hAnsi="宋体" w:cs="宋体"/>
      <w:kern w:val="0"/>
    </w:rPr>
  </w:style>
  <w:style w:type="paragraph" w:customStyle="1" w:styleId="CharCharCharCharCharCharChar251">
    <w:name w:val="Char Char Char Char Char Char Char251"/>
    <w:basedOn w:val="a"/>
    <w:qFormat/>
    <w:pPr>
      <w:widowControl/>
      <w:jc w:val="left"/>
    </w:pPr>
    <w:rPr>
      <w:rFonts w:ascii="宋体" w:hAnsi="宋体" w:cs="宋体"/>
      <w:kern w:val="0"/>
    </w:rPr>
  </w:style>
  <w:style w:type="paragraph" w:customStyle="1" w:styleId="Char2170">
    <w:name w:val="Char217"/>
    <w:basedOn w:val="a"/>
    <w:qFormat/>
    <w:pPr>
      <w:widowControl/>
      <w:ind w:left="-48"/>
      <w:jc w:val="left"/>
    </w:pPr>
    <w:rPr>
      <w:rFonts w:ascii="宋体" w:hAnsi="宋体" w:cs="宋体"/>
      <w:kern w:val="0"/>
    </w:rPr>
  </w:style>
  <w:style w:type="paragraph" w:customStyle="1" w:styleId="CharChar2CharCharCharChar10">
    <w:name w:val="Char Char2 Char Char Char Char10"/>
    <w:basedOn w:val="a"/>
    <w:pPr>
      <w:widowControl/>
      <w:jc w:val="left"/>
    </w:pPr>
    <w:rPr>
      <w:rFonts w:ascii="宋体" w:hAnsi="宋体" w:cs="宋体"/>
      <w:kern w:val="0"/>
    </w:rPr>
  </w:style>
  <w:style w:type="paragraph" w:customStyle="1" w:styleId="213b">
    <w:name w:val="样式213"/>
    <w:basedOn w:val="a"/>
    <w:pPr>
      <w:widowControl/>
      <w:jc w:val="center"/>
      <w:textAlignment w:val="baseline"/>
      <w:outlineLvl w:val="0"/>
    </w:pPr>
    <w:rPr>
      <w:rFonts w:ascii="宋体" w:hAnsi="宋体" w:cs="宋体"/>
      <w:kern w:val="0"/>
      <w:szCs w:val="20"/>
    </w:rPr>
  </w:style>
  <w:style w:type="paragraph" w:customStyle="1" w:styleId="ParaCharCharCharChar312">
    <w:name w:val="默认段落字体 Para Char Char Char Char312"/>
    <w:basedOn w:val="a"/>
    <w:qFormat/>
    <w:pPr>
      <w:widowControl/>
      <w:jc w:val="left"/>
    </w:pPr>
    <w:rPr>
      <w:rFonts w:ascii="宋体" w:hAnsi="宋体" w:cs="宋体"/>
      <w:kern w:val="0"/>
    </w:rPr>
  </w:style>
  <w:style w:type="paragraph" w:customStyle="1" w:styleId="CharCharCharCharCharCharChar128">
    <w:name w:val="Char Char Char Char Char Char Char128"/>
    <w:basedOn w:val="a"/>
    <w:qFormat/>
    <w:pPr>
      <w:widowControl/>
      <w:jc w:val="left"/>
    </w:pPr>
    <w:rPr>
      <w:rFonts w:ascii="宋体" w:hAnsi="宋体" w:cs="宋体"/>
      <w:kern w:val="0"/>
    </w:rPr>
  </w:style>
  <w:style w:type="paragraph" w:customStyle="1" w:styleId="816">
    <w:name w:val="正文格式＝81"/>
    <w:basedOn w:val="affff4"/>
    <w:next w:val="affff4"/>
    <w:rPr>
      <w:rFonts w:hAnsi="宋体"/>
      <w:szCs w:val="24"/>
    </w:rPr>
  </w:style>
  <w:style w:type="paragraph" w:customStyle="1" w:styleId="312211">
    <w:name w:val="样式 标题 3 + 段前: 12 磅21"/>
    <w:basedOn w:val="3"/>
    <w:qFormat/>
    <w:pPr>
      <w:keepNext w:val="0"/>
      <w:keepLines w:val="0"/>
      <w:widowControl/>
      <w:numPr>
        <w:ilvl w:val="0"/>
        <w:numId w:val="0"/>
      </w:numPr>
      <w:autoSpaceDE w:val="0"/>
      <w:autoSpaceDN w:val="0"/>
      <w:jc w:val="both"/>
    </w:pPr>
    <w:rPr>
      <w:rFonts w:ascii="黑体" w:eastAsia="黑体" w:hAnsi="宋体" w:cs="宋体"/>
      <w:b w:val="0"/>
      <w:bCs w:val="0"/>
      <w:color w:val="000000"/>
      <w:kern w:val="21"/>
      <w:szCs w:val="20"/>
    </w:rPr>
  </w:style>
  <w:style w:type="paragraph" w:customStyle="1" w:styleId="344">
    <w:name w:val="表34"/>
    <w:basedOn w:val="a"/>
    <w:qFormat/>
    <w:pPr>
      <w:widowControl/>
      <w:jc w:val="center"/>
    </w:pPr>
    <w:rPr>
      <w:rFonts w:ascii="宋体" w:hAnsi="宋体" w:cs="宋体"/>
      <w:kern w:val="0"/>
    </w:rPr>
  </w:style>
  <w:style w:type="paragraph" w:customStyle="1" w:styleId="431113">
    <w:name w:val="标题431113"/>
    <w:basedOn w:val="a"/>
    <w:qFormat/>
    <w:pPr>
      <w:widowControl/>
      <w:spacing w:line="480" w:lineRule="exact"/>
      <w:jc w:val="center"/>
    </w:pPr>
    <w:rPr>
      <w:rFonts w:ascii="宋体" w:hAnsi="宋体" w:cs="宋体"/>
      <w:kern w:val="0"/>
    </w:rPr>
  </w:style>
  <w:style w:type="paragraph" w:customStyle="1" w:styleId="4217">
    <w:name w:val="正文修改421"/>
    <w:basedOn w:val="affffe"/>
    <w:rPr>
      <w:rFonts w:eastAsia="宋体" w:hAnsi="宋体" w:cs="宋体"/>
      <w:color w:val="000000"/>
      <w:szCs w:val="24"/>
    </w:rPr>
  </w:style>
  <w:style w:type="paragraph" w:customStyle="1" w:styleId="Char3320">
    <w:name w:val="Char332"/>
    <w:basedOn w:val="a"/>
    <w:qFormat/>
    <w:pPr>
      <w:widowControl/>
      <w:ind w:left="-48"/>
      <w:jc w:val="left"/>
    </w:pPr>
    <w:rPr>
      <w:rFonts w:ascii="宋体" w:hAnsi="宋体" w:cs="宋体"/>
      <w:kern w:val="0"/>
    </w:rPr>
  </w:style>
  <w:style w:type="paragraph" w:customStyle="1" w:styleId="541221">
    <w:name w:val="表内541221"/>
    <w:basedOn w:val="a"/>
    <w:qFormat/>
    <w:pPr>
      <w:widowControl/>
      <w:spacing w:line="300" w:lineRule="auto"/>
      <w:jc w:val="center"/>
    </w:pPr>
    <w:rPr>
      <w:rFonts w:ascii="宋体" w:hAnsi="宋体" w:cs="宋体"/>
      <w:kern w:val="0"/>
      <w:szCs w:val="20"/>
    </w:rPr>
  </w:style>
  <w:style w:type="paragraph" w:customStyle="1" w:styleId="CharCharCharCharCharCharChar44">
    <w:name w:val="Char Char Char Char Char Char Char44"/>
    <w:basedOn w:val="a"/>
    <w:qFormat/>
    <w:pPr>
      <w:widowControl/>
      <w:jc w:val="left"/>
    </w:pPr>
    <w:rPr>
      <w:rFonts w:ascii="宋体" w:hAnsi="宋体" w:cs="宋体"/>
      <w:kern w:val="0"/>
    </w:rPr>
  </w:style>
  <w:style w:type="paragraph" w:customStyle="1" w:styleId="23110">
    <w:name w:val="表内文字小2311"/>
    <w:basedOn w:val="a"/>
    <w:qFormat/>
    <w:pPr>
      <w:widowControl/>
      <w:jc w:val="center"/>
    </w:pPr>
    <w:rPr>
      <w:rFonts w:ascii="宋体" w:hAnsi="Times" w:cs="宋体"/>
      <w:bCs/>
      <w:color w:val="000000"/>
      <w:kern w:val="0"/>
      <w:szCs w:val="20"/>
    </w:rPr>
  </w:style>
  <w:style w:type="paragraph" w:customStyle="1" w:styleId="Char4100">
    <w:name w:val="Char410"/>
    <w:basedOn w:val="a"/>
    <w:qFormat/>
    <w:pPr>
      <w:widowControl/>
      <w:ind w:left="-48"/>
      <w:jc w:val="left"/>
    </w:pPr>
    <w:rPr>
      <w:rFonts w:ascii="宋体" w:hAnsi="宋体" w:cs="宋体"/>
      <w:kern w:val="0"/>
    </w:rPr>
  </w:style>
  <w:style w:type="paragraph" w:customStyle="1" w:styleId="Char2300">
    <w:name w:val="Char230"/>
    <w:basedOn w:val="a"/>
    <w:qFormat/>
    <w:pPr>
      <w:widowControl/>
      <w:ind w:left="-48"/>
      <w:jc w:val="left"/>
    </w:pPr>
    <w:rPr>
      <w:rFonts w:ascii="宋体" w:hAnsi="宋体" w:cs="宋体"/>
      <w:kern w:val="0"/>
    </w:rPr>
  </w:style>
  <w:style w:type="paragraph" w:customStyle="1" w:styleId="22210">
    <w:name w:val="表内文字小2221"/>
    <w:basedOn w:val="a"/>
    <w:pPr>
      <w:widowControl/>
      <w:jc w:val="center"/>
    </w:pPr>
    <w:rPr>
      <w:rFonts w:ascii="宋体" w:hAnsi="Times" w:cs="宋体"/>
      <w:bCs/>
      <w:color w:val="000000"/>
      <w:kern w:val="0"/>
      <w:szCs w:val="20"/>
    </w:rPr>
  </w:style>
  <w:style w:type="paragraph" w:customStyle="1" w:styleId="2111d">
    <w:name w:val="附件2111"/>
    <w:basedOn w:val="1"/>
    <w:next w:val="affff4"/>
    <w:qFormat/>
    <w:pPr>
      <w:numPr>
        <w:numId w:val="0"/>
      </w:numPr>
      <w:adjustRightInd/>
      <w:snapToGrid/>
      <w:spacing w:after="210"/>
      <w:jc w:val="left"/>
    </w:pPr>
    <w:rPr>
      <w:rFonts w:ascii="黑体" w:eastAsia="黑体"/>
      <w:b w:val="0"/>
      <w:sz w:val="32"/>
      <w:szCs w:val="32"/>
      <w:lang w:val="zh-CN"/>
    </w:rPr>
  </w:style>
  <w:style w:type="paragraph" w:customStyle="1" w:styleId="311111">
    <w:name w:val="表内文字小311111"/>
    <w:basedOn w:val="a"/>
    <w:qFormat/>
    <w:pPr>
      <w:widowControl/>
      <w:jc w:val="center"/>
    </w:pPr>
    <w:rPr>
      <w:rFonts w:ascii="宋体" w:hAnsi="Times" w:cs="宋体"/>
      <w:bCs/>
      <w:color w:val="003366"/>
      <w:kern w:val="0"/>
      <w:szCs w:val="20"/>
    </w:rPr>
  </w:style>
  <w:style w:type="paragraph" w:customStyle="1" w:styleId="1151">
    <w:name w:val="燕山正文1151"/>
    <w:basedOn w:val="a"/>
    <w:qFormat/>
    <w:pPr>
      <w:widowControl/>
      <w:tabs>
        <w:tab w:val="left" w:pos="4680"/>
      </w:tabs>
      <w:jc w:val="left"/>
    </w:pPr>
    <w:rPr>
      <w:rFonts w:ascii="宋体" w:hAnsi="宋体" w:cs="宋体"/>
      <w:bCs/>
      <w:snapToGrid w:val="0"/>
      <w:color w:val="000000"/>
      <w:kern w:val="0"/>
    </w:rPr>
  </w:style>
  <w:style w:type="paragraph" w:customStyle="1" w:styleId="Char31120">
    <w:name w:val="Char3112"/>
    <w:basedOn w:val="a"/>
    <w:qFormat/>
    <w:pPr>
      <w:widowControl/>
      <w:ind w:left="-48"/>
      <w:jc w:val="left"/>
    </w:pPr>
    <w:rPr>
      <w:rFonts w:ascii="宋体" w:hAnsi="宋体" w:cs="宋体"/>
      <w:kern w:val="0"/>
    </w:rPr>
  </w:style>
  <w:style w:type="paragraph" w:customStyle="1" w:styleId="113b">
    <w:name w:val="正文修改113"/>
    <w:basedOn w:val="affffe"/>
    <w:qFormat/>
    <w:rPr>
      <w:rFonts w:eastAsia="宋体" w:hAnsi="宋体" w:cs="宋体"/>
      <w:color w:val="000000"/>
      <w:szCs w:val="24"/>
    </w:rPr>
  </w:style>
  <w:style w:type="paragraph" w:customStyle="1" w:styleId="2312">
    <w:name w:val="表231"/>
    <w:basedOn w:val="a"/>
    <w:pPr>
      <w:widowControl/>
      <w:jc w:val="center"/>
    </w:pPr>
    <w:rPr>
      <w:rFonts w:ascii="宋体" w:hAnsi="宋体" w:cs="宋体"/>
      <w:kern w:val="0"/>
    </w:rPr>
  </w:style>
  <w:style w:type="paragraph" w:customStyle="1" w:styleId="Char324">
    <w:name w:val="Char324"/>
    <w:basedOn w:val="a"/>
    <w:qFormat/>
    <w:pPr>
      <w:widowControl/>
      <w:ind w:left="-48"/>
      <w:jc w:val="left"/>
    </w:pPr>
    <w:rPr>
      <w:rFonts w:ascii="宋体" w:hAnsi="宋体" w:cs="宋体"/>
      <w:kern w:val="0"/>
    </w:rPr>
  </w:style>
  <w:style w:type="paragraph" w:customStyle="1" w:styleId="414H4H4141H42H41114231">
    <w:name w:val="样式 标题 4无效格式无效格式1河石管道4H4H41小小节河石管道41H42H411小小节1河石管道42...31"/>
    <w:basedOn w:val="4"/>
    <w:qFormat/>
    <w:pPr>
      <w:numPr>
        <w:ilvl w:val="0"/>
        <w:numId w:val="0"/>
      </w:numPr>
      <w:spacing w:after="0" w:line="360" w:lineRule="auto"/>
      <w:ind w:left="664" w:hanging="864"/>
    </w:pPr>
    <w:rPr>
      <w:rFonts w:ascii="黑体" w:eastAsia="黑体" w:hAnsi="Arial" w:cs="Times New Roman"/>
      <w:b w:val="0"/>
      <w:bCs w:val="0"/>
      <w:kern w:val="2"/>
      <w:sz w:val="24"/>
      <w:szCs w:val="24"/>
    </w:rPr>
  </w:style>
  <w:style w:type="paragraph" w:customStyle="1" w:styleId="Char640">
    <w:name w:val="Char64"/>
    <w:basedOn w:val="a"/>
    <w:qFormat/>
    <w:pPr>
      <w:widowControl/>
      <w:spacing w:before="156"/>
      <w:jc w:val="left"/>
    </w:pPr>
    <w:rPr>
      <w:rFonts w:ascii="黑体" w:eastAsia="黑体" w:hAnsi="宋体" w:cs="宋体"/>
      <w:kern w:val="0"/>
      <w:sz w:val="32"/>
      <w:szCs w:val="32"/>
    </w:rPr>
  </w:style>
  <w:style w:type="paragraph" w:customStyle="1" w:styleId="Char4160">
    <w:name w:val="Char416"/>
    <w:basedOn w:val="a"/>
    <w:pPr>
      <w:widowControl/>
      <w:ind w:left="-48"/>
      <w:jc w:val="left"/>
    </w:pPr>
    <w:rPr>
      <w:rFonts w:ascii="宋体" w:hAnsi="宋体" w:cs="宋体"/>
      <w:kern w:val="0"/>
    </w:rPr>
  </w:style>
  <w:style w:type="paragraph" w:customStyle="1" w:styleId="A12">
    <w:name w:val="A正文12"/>
    <w:basedOn w:val="a"/>
    <w:qFormat/>
    <w:pPr>
      <w:widowControl/>
      <w:overflowPunct w:val="0"/>
      <w:autoSpaceDE w:val="0"/>
      <w:autoSpaceDN w:val="0"/>
      <w:jc w:val="left"/>
      <w:textAlignment w:val="baseline"/>
    </w:pPr>
    <w:rPr>
      <w:rFonts w:ascii="宋体" w:hAnsi="宋体" w:cs="宋体"/>
      <w:kern w:val="0"/>
    </w:rPr>
  </w:style>
  <w:style w:type="paragraph" w:customStyle="1" w:styleId="54161">
    <w:name w:val="表内54161"/>
    <w:basedOn w:val="a"/>
    <w:qFormat/>
    <w:pPr>
      <w:widowControl/>
      <w:spacing w:line="300" w:lineRule="auto"/>
      <w:jc w:val="center"/>
    </w:pPr>
    <w:rPr>
      <w:rFonts w:ascii="宋体" w:hAnsi="宋体" w:cs="宋体"/>
      <w:kern w:val="0"/>
      <w:szCs w:val="20"/>
    </w:rPr>
  </w:style>
  <w:style w:type="paragraph" w:customStyle="1" w:styleId="11140">
    <w:name w:val="燕山正文1114"/>
    <w:basedOn w:val="a"/>
    <w:pPr>
      <w:widowControl/>
      <w:tabs>
        <w:tab w:val="left" w:pos="4680"/>
      </w:tabs>
      <w:spacing w:line="480" w:lineRule="exact"/>
      <w:jc w:val="left"/>
    </w:pPr>
    <w:rPr>
      <w:rFonts w:ascii="宋体" w:hAnsi="宋体" w:cs="宋体"/>
      <w:bCs/>
      <w:color w:val="000000"/>
      <w:kern w:val="0"/>
    </w:rPr>
  </w:style>
  <w:style w:type="paragraph" w:customStyle="1" w:styleId="12310">
    <w:name w:val="样式1231"/>
    <w:basedOn w:val="314"/>
    <w:qFormat/>
    <w:pPr>
      <w:spacing w:line="240" w:lineRule="auto"/>
      <w:ind w:firstLine="0"/>
      <w:jc w:val="center"/>
    </w:pPr>
    <w:rPr>
      <w:rFonts w:cs="Times New Roman"/>
      <w:b/>
      <w:color w:val="auto"/>
      <w:szCs w:val="20"/>
    </w:rPr>
  </w:style>
  <w:style w:type="paragraph" w:customStyle="1" w:styleId="31141">
    <w:name w:val="表内文字小3114"/>
    <w:basedOn w:val="a"/>
    <w:qFormat/>
    <w:pPr>
      <w:widowControl/>
      <w:jc w:val="center"/>
    </w:pPr>
    <w:rPr>
      <w:rFonts w:ascii="宋体" w:hAnsi="Times" w:cs="宋体"/>
      <w:bCs/>
      <w:color w:val="003366"/>
      <w:kern w:val="0"/>
      <w:szCs w:val="20"/>
    </w:rPr>
  </w:style>
  <w:style w:type="paragraph" w:customStyle="1" w:styleId="CharCharCharCharCharCharChar120">
    <w:name w:val="Char Char Char Char Char Char Char120"/>
    <w:basedOn w:val="a"/>
    <w:qFormat/>
    <w:pPr>
      <w:widowControl/>
      <w:jc w:val="left"/>
    </w:pPr>
    <w:rPr>
      <w:rFonts w:ascii="宋体" w:hAnsi="宋体" w:cs="宋体"/>
      <w:kern w:val="0"/>
    </w:rPr>
  </w:style>
  <w:style w:type="paragraph" w:customStyle="1" w:styleId="Char428">
    <w:name w:val="Char428"/>
    <w:basedOn w:val="a"/>
    <w:qFormat/>
    <w:pPr>
      <w:widowControl/>
      <w:ind w:left="-48"/>
      <w:jc w:val="left"/>
    </w:pPr>
    <w:rPr>
      <w:rFonts w:ascii="宋体" w:hAnsi="宋体" w:cs="宋体"/>
      <w:kern w:val="0"/>
    </w:rPr>
  </w:style>
  <w:style w:type="paragraph" w:customStyle="1" w:styleId="5317">
    <w:name w:val="表中文字531"/>
    <w:basedOn w:val="a"/>
    <w:qFormat/>
    <w:pPr>
      <w:widowControl/>
      <w:spacing w:line="240" w:lineRule="atLeast"/>
      <w:ind w:leftChars="-10" w:left="-24" w:rightChars="-20" w:right="-48"/>
      <w:jc w:val="center"/>
    </w:pPr>
    <w:rPr>
      <w:rFonts w:ascii="宋体" w:hAnsi="宋体" w:cs="宋体"/>
      <w:kern w:val="0"/>
      <w:szCs w:val="21"/>
    </w:rPr>
  </w:style>
  <w:style w:type="paragraph" w:customStyle="1" w:styleId="345">
    <w:name w:val="黑体三号34"/>
    <w:basedOn w:val="affff4"/>
    <w:qFormat/>
    <w:pPr>
      <w:jc w:val="center"/>
    </w:pPr>
    <w:rPr>
      <w:rFonts w:ascii="黑体" w:eastAsia="黑体" w:hAnsi="宋体" w:cs="宋体"/>
      <w:b/>
      <w:bCs/>
      <w:sz w:val="32"/>
      <w:szCs w:val="20"/>
    </w:rPr>
  </w:style>
  <w:style w:type="paragraph" w:customStyle="1" w:styleId="22130">
    <w:name w:val="表内文字小2213"/>
    <w:basedOn w:val="a"/>
    <w:qFormat/>
    <w:pPr>
      <w:widowControl/>
      <w:jc w:val="center"/>
    </w:pPr>
    <w:rPr>
      <w:rFonts w:ascii="宋体" w:hAnsi="Times" w:cs="宋体"/>
      <w:bCs/>
      <w:color w:val="000000"/>
      <w:kern w:val="0"/>
      <w:szCs w:val="20"/>
    </w:rPr>
  </w:style>
  <w:style w:type="paragraph" w:customStyle="1" w:styleId="5233">
    <w:name w:val="表内523"/>
    <w:basedOn w:val="a"/>
    <w:qFormat/>
    <w:pPr>
      <w:widowControl/>
      <w:spacing w:line="300" w:lineRule="auto"/>
      <w:jc w:val="left"/>
    </w:pPr>
    <w:rPr>
      <w:rFonts w:ascii="宋体" w:hAnsi="宋体" w:cs="宋体"/>
      <w:kern w:val="0"/>
      <w:sz w:val="18"/>
      <w:szCs w:val="20"/>
    </w:rPr>
  </w:style>
  <w:style w:type="paragraph" w:customStyle="1" w:styleId="121110">
    <w:name w:val="样式12111"/>
    <w:basedOn w:val="314"/>
    <w:qFormat/>
    <w:pPr>
      <w:spacing w:line="240" w:lineRule="auto"/>
      <w:ind w:firstLine="0"/>
      <w:jc w:val="center"/>
    </w:pPr>
    <w:rPr>
      <w:rFonts w:cs="Times New Roman"/>
      <w:b/>
      <w:color w:val="auto"/>
      <w:szCs w:val="20"/>
    </w:rPr>
  </w:style>
  <w:style w:type="paragraph" w:customStyle="1" w:styleId="CharCharCharCharCharCharChar43">
    <w:name w:val="Char Char Char Char Char Char Char43"/>
    <w:basedOn w:val="a"/>
    <w:qFormat/>
    <w:pPr>
      <w:widowControl/>
      <w:jc w:val="left"/>
    </w:pPr>
    <w:rPr>
      <w:rFonts w:ascii="宋体" w:hAnsi="宋体" w:cs="宋体"/>
      <w:kern w:val="0"/>
    </w:rPr>
  </w:style>
  <w:style w:type="paragraph" w:customStyle="1" w:styleId="Char760">
    <w:name w:val="Char76"/>
    <w:basedOn w:val="a"/>
    <w:pPr>
      <w:widowControl/>
      <w:ind w:left="-48"/>
      <w:jc w:val="left"/>
    </w:pPr>
    <w:rPr>
      <w:rFonts w:ascii="宋体" w:hAnsi="宋体" w:cs="宋体"/>
      <w:kern w:val="0"/>
    </w:rPr>
  </w:style>
  <w:style w:type="paragraph" w:customStyle="1" w:styleId="14f0">
    <w:name w:val="正文修改14"/>
    <w:basedOn w:val="affffe"/>
    <w:qFormat/>
    <w:rPr>
      <w:rFonts w:eastAsia="宋体" w:hAnsi="宋体" w:cs="宋体"/>
      <w:color w:val="000000"/>
      <w:szCs w:val="24"/>
    </w:rPr>
  </w:style>
  <w:style w:type="paragraph" w:customStyle="1" w:styleId="CharCharCharCharCharCharChar1112">
    <w:name w:val="Char Char Char Char Char Char Char1112"/>
    <w:basedOn w:val="a"/>
    <w:qFormat/>
    <w:pPr>
      <w:widowControl/>
      <w:jc w:val="left"/>
    </w:pPr>
    <w:rPr>
      <w:rFonts w:ascii="宋体" w:hAnsi="宋体" w:cs="宋体"/>
      <w:kern w:val="0"/>
    </w:rPr>
  </w:style>
  <w:style w:type="paragraph" w:customStyle="1" w:styleId="c13">
    <w:name w:val="c13"/>
    <w:pPr>
      <w:widowControl w:val="0"/>
      <w:autoSpaceDE w:val="0"/>
      <w:autoSpaceDN w:val="0"/>
      <w:adjustRightInd w:val="0"/>
      <w:jc w:val="both"/>
    </w:pPr>
    <w:rPr>
      <w:rFonts w:ascii="Arial" w:hAnsi="Arial"/>
      <w:sz w:val="24"/>
    </w:rPr>
  </w:style>
  <w:style w:type="paragraph" w:customStyle="1" w:styleId="5142">
    <w:name w:val="表内5中14"/>
    <w:basedOn w:val="a"/>
    <w:qFormat/>
    <w:pPr>
      <w:widowControl/>
      <w:jc w:val="center"/>
    </w:pPr>
    <w:rPr>
      <w:rFonts w:ascii="宋体" w:hAnsi="宋体" w:cs="Arial"/>
      <w:snapToGrid w:val="0"/>
      <w:color w:val="000000"/>
      <w:kern w:val="0"/>
      <w:szCs w:val="21"/>
    </w:rPr>
  </w:style>
  <w:style w:type="paragraph" w:customStyle="1" w:styleId="414H4H4141H42H411142113">
    <w:name w:val="样式 标题 4无效格式无效格式1河石管道4H4H41小小节河石管道41H42H411小小节1河石管道42...113"/>
    <w:basedOn w:val="4"/>
    <w:pPr>
      <w:numPr>
        <w:ilvl w:val="0"/>
        <w:numId w:val="0"/>
      </w:numPr>
      <w:spacing w:after="0" w:line="360" w:lineRule="auto"/>
      <w:ind w:left="664" w:hanging="864"/>
    </w:pPr>
    <w:rPr>
      <w:rFonts w:ascii="黑体" w:eastAsia="黑体" w:hAnsi="Arial" w:cs="宋体"/>
      <w:b w:val="0"/>
      <w:bCs w:val="0"/>
      <w:kern w:val="2"/>
      <w:sz w:val="24"/>
      <w:szCs w:val="20"/>
    </w:rPr>
  </w:style>
  <w:style w:type="paragraph" w:customStyle="1" w:styleId="xl244">
    <w:name w:val="xl244"/>
    <w:basedOn w:val="a"/>
    <w:qFormat/>
    <w:pPr>
      <w:widowControl/>
      <w:pBdr>
        <w:bottom w:val="single" w:sz="4" w:space="0" w:color="auto"/>
        <w:right w:val="single" w:sz="4" w:space="0" w:color="auto"/>
      </w:pBdr>
      <w:spacing w:before="100" w:beforeAutospacing="1" w:after="100" w:afterAutospacing="1"/>
      <w:jc w:val="center"/>
    </w:pPr>
    <w:rPr>
      <w:rFonts w:ascii="宋体" w:hAnsi="宋体" w:cs="宋体"/>
      <w:kern w:val="0"/>
      <w:szCs w:val="21"/>
    </w:rPr>
  </w:style>
  <w:style w:type="paragraph" w:customStyle="1" w:styleId="21411">
    <w:name w:val="表内文字小21411"/>
    <w:basedOn w:val="a"/>
    <w:qFormat/>
    <w:pPr>
      <w:widowControl/>
      <w:jc w:val="center"/>
    </w:pPr>
    <w:rPr>
      <w:rFonts w:ascii="宋体" w:hAnsi="Times" w:cs="宋体"/>
      <w:bCs/>
      <w:color w:val="000000"/>
      <w:kern w:val="0"/>
      <w:szCs w:val="20"/>
    </w:rPr>
  </w:style>
  <w:style w:type="paragraph" w:customStyle="1" w:styleId="1240">
    <w:name w:val="样式124"/>
    <w:basedOn w:val="314"/>
    <w:pPr>
      <w:spacing w:line="240" w:lineRule="auto"/>
      <w:ind w:firstLine="0"/>
      <w:jc w:val="center"/>
    </w:pPr>
    <w:rPr>
      <w:rFonts w:cs="Times New Roman"/>
      <w:b/>
      <w:color w:val="auto"/>
      <w:szCs w:val="20"/>
    </w:rPr>
  </w:style>
  <w:style w:type="paragraph" w:customStyle="1" w:styleId="c21">
    <w:name w:val="c21"/>
    <w:qFormat/>
    <w:pPr>
      <w:widowControl w:val="0"/>
      <w:autoSpaceDE w:val="0"/>
      <w:autoSpaceDN w:val="0"/>
      <w:adjustRightInd w:val="0"/>
      <w:jc w:val="both"/>
    </w:pPr>
    <w:rPr>
      <w:rFonts w:ascii="Arial" w:hAnsi="Arial"/>
      <w:sz w:val="24"/>
    </w:rPr>
  </w:style>
  <w:style w:type="paragraph" w:customStyle="1" w:styleId="CharCharCharCharCharCharChar29">
    <w:name w:val="Char Char Char Char Char Char Char29"/>
    <w:basedOn w:val="a"/>
    <w:qFormat/>
    <w:pPr>
      <w:widowControl/>
      <w:jc w:val="left"/>
    </w:pPr>
    <w:rPr>
      <w:rFonts w:ascii="宋体" w:hAnsi="宋体" w:cs="宋体"/>
      <w:kern w:val="0"/>
    </w:rPr>
  </w:style>
  <w:style w:type="paragraph" w:customStyle="1" w:styleId="8111">
    <w:name w:val="表内文字小8111"/>
    <w:basedOn w:val="a"/>
    <w:qFormat/>
    <w:pPr>
      <w:widowControl/>
      <w:jc w:val="center"/>
    </w:pPr>
    <w:rPr>
      <w:rFonts w:ascii="宋体" w:hAnsi="Times" w:cs="宋体"/>
      <w:kern w:val="0"/>
      <w:szCs w:val="20"/>
    </w:rPr>
  </w:style>
  <w:style w:type="paragraph" w:customStyle="1" w:styleId="5511">
    <w:name w:val="表内宋5中51"/>
    <w:basedOn w:val="a"/>
    <w:qFormat/>
    <w:pPr>
      <w:widowControl/>
      <w:jc w:val="left"/>
      <w:textAlignment w:val="baseline"/>
    </w:pPr>
    <w:rPr>
      <w:rFonts w:ascii="宋体" w:hAnsi="宋体" w:cs="宋体"/>
      <w:color w:val="000000"/>
      <w:kern w:val="0"/>
      <w:szCs w:val="20"/>
    </w:rPr>
  </w:style>
  <w:style w:type="paragraph" w:customStyle="1" w:styleId="Char4180">
    <w:name w:val="Char418"/>
    <w:basedOn w:val="a"/>
    <w:pPr>
      <w:widowControl/>
      <w:ind w:left="-48"/>
      <w:jc w:val="left"/>
    </w:pPr>
    <w:rPr>
      <w:rFonts w:ascii="宋体" w:hAnsi="宋体" w:cs="宋体"/>
      <w:kern w:val="0"/>
    </w:rPr>
  </w:style>
  <w:style w:type="paragraph" w:customStyle="1" w:styleId="51f3">
    <w:name w:val="附件51"/>
    <w:basedOn w:val="1"/>
    <w:next w:val="affff4"/>
    <w:qFormat/>
    <w:pPr>
      <w:numPr>
        <w:numId w:val="0"/>
      </w:numPr>
      <w:adjustRightInd/>
      <w:snapToGrid/>
      <w:spacing w:after="210"/>
      <w:jc w:val="left"/>
    </w:pPr>
    <w:rPr>
      <w:rFonts w:ascii="黑体" w:eastAsia="黑体"/>
      <w:sz w:val="32"/>
      <w:szCs w:val="32"/>
      <w:lang w:val="zh-CN"/>
    </w:rPr>
  </w:style>
  <w:style w:type="paragraph" w:customStyle="1" w:styleId="13fa">
    <w:name w:val="环评正文13"/>
    <w:pPr>
      <w:spacing w:line="440" w:lineRule="exact"/>
      <w:ind w:firstLineChars="200" w:firstLine="200"/>
    </w:pPr>
    <w:rPr>
      <w:bCs/>
      <w:kern w:val="2"/>
      <w:sz w:val="24"/>
      <w:szCs w:val="24"/>
    </w:rPr>
  </w:style>
  <w:style w:type="paragraph" w:customStyle="1" w:styleId="3111110">
    <w:name w:val="表题311111"/>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3214">
    <w:name w:val="表内文字小321"/>
    <w:basedOn w:val="a"/>
    <w:pPr>
      <w:widowControl/>
      <w:jc w:val="center"/>
    </w:pPr>
    <w:rPr>
      <w:rFonts w:ascii="宋体" w:hAnsi="Times" w:cs="宋体"/>
      <w:kern w:val="0"/>
      <w:szCs w:val="20"/>
    </w:rPr>
  </w:style>
  <w:style w:type="paragraph" w:customStyle="1" w:styleId="Char1013">
    <w:name w:val="Char1013"/>
    <w:basedOn w:val="a"/>
    <w:qFormat/>
    <w:pPr>
      <w:widowControl/>
      <w:jc w:val="left"/>
    </w:pPr>
    <w:rPr>
      <w:rFonts w:ascii="宋体" w:hAnsi="宋体" w:cs="宋体"/>
      <w:kern w:val="0"/>
    </w:rPr>
  </w:style>
  <w:style w:type="paragraph" w:customStyle="1" w:styleId="61a">
    <w:name w:val="正文修改61"/>
    <w:basedOn w:val="affffe"/>
    <w:qFormat/>
    <w:rPr>
      <w:rFonts w:eastAsia="宋体" w:hAnsi="宋体" w:cs="宋体"/>
      <w:color w:val="000000"/>
      <w:szCs w:val="24"/>
    </w:rPr>
  </w:style>
  <w:style w:type="paragraph" w:customStyle="1" w:styleId="Char301">
    <w:name w:val="Char301"/>
    <w:basedOn w:val="a"/>
    <w:qFormat/>
    <w:pPr>
      <w:widowControl/>
      <w:ind w:left="-48"/>
      <w:jc w:val="left"/>
    </w:pPr>
    <w:rPr>
      <w:rFonts w:ascii="宋体" w:hAnsi="宋体" w:cs="宋体"/>
      <w:kern w:val="0"/>
    </w:rPr>
  </w:style>
  <w:style w:type="paragraph" w:customStyle="1" w:styleId="21ff1">
    <w:name w:val="正文斜体21"/>
    <w:basedOn w:val="affff4"/>
    <w:next w:val="affff4"/>
    <w:qFormat/>
    <w:rPr>
      <w:rFonts w:hAnsi="宋体"/>
      <w:i/>
      <w:iCs/>
      <w:szCs w:val="24"/>
    </w:rPr>
  </w:style>
  <w:style w:type="paragraph" w:customStyle="1" w:styleId="541412">
    <w:name w:val="表内541412"/>
    <w:basedOn w:val="a"/>
    <w:qFormat/>
    <w:pPr>
      <w:widowControl/>
      <w:spacing w:line="300" w:lineRule="auto"/>
      <w:jc w:val="center"/>
    </w:pPr>
    <w:rPr>
      <w:rFonts w:ascii="宋体" w:hAnsi="宋体" w:cs="宋体"/>
      <w:kern w:val="0"/>
      <w:szCs w:val="20"/>
    </w:rPr>
  </w:style>
  <w:style w:type="paragraph" w:customStyle="1" w:styleId="ParaCharCharCharChar421">
    <w:name w:val="默认段落字体 Para Char Char Char Char421"/>
    <w:basedOn w:val="a"/>
    <w:qFormat/>
    <w:pPr>
      <w:widowControl/>
      <w:jc w:val="left"/>
    </w:pPr>
    <w:rPr>
      <w:rFonts w:ascii="宋体" w:hAnsi="宋体" w:cs="宋体"/>
      <w:kern w:val="0"/>
    </w:rPr>
  </w:style>
  <w:style w:type="paragraph" w:customStyle="1" w:styleId="23f0">
    <w:name w:val="文本框23"/>
    <w:basedOn w:val="a"/>
    <w:qFormat/>
    <w:pPr>
      <w:widowControl/>
      <w:spacing w:after="6"/>
      <w:jc w:val="center"/>
    </w:pPr>
    <w:rPr>
      <w:rFonts w:ascii="宋体" w:hAnsi="宋体" w:cs="宋体"/>
      <w:kern w:val="0"/>
    </w:rPr>
  </w:style>
  <w:style w:type="paragraph" w:customStyle="1" w:styleId="31341">
    <w:name w:val="表题3134"/>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21340">
    <w:name w:val="表内文字小2134"/>
    <w:basedOn w:val="a"/>
    <w:qFormat/>
    <w:pPr>
      <w:widowControl/>
      <w:jc w:val="center"/>
      <w:textAlignment w:val="baseline"/>
    </w:pPr>
    <w:rPr>
      <w:rFonts w:ascii="宋体" w:hAnsi="Times" w:cs="宋体"/>
      <w:bCs/>
      <w:color w:val="000000"/>
      <w:kern w:val="0"/>
      <w:szCs w:val="20"/>
    </w:rPr>
  </w:style>
  <w:style w:type="paragraph" w:customStyle="1" w:styleId="Char6130">
    <w:name w:val="Char613"/>
    <w:basedOn w:val="a"/>
    <w:qFormat/>
    <w:pPr>
      <w:widowControl/>
      <w:spacing w:before="156"/>
      <w:jc w:val="left"/>
    </w:pPr>
    <w:rPr>
      <w:rFonts w:ascii="黑体" w:eastAsia="黑体" w:hAnsi="宋体" w:cs="宋体"/>
      <w:kern w:val="0"/>
      <w:sz w:val="32"/>
      <w:szCs w:val="32"/>
    </w:rPr>
  </w:style>
  <w:style w:type="paragraph" w:customStyle="1" w:styleId="A111">
    <w:name w:val="A正文111"/>
    <w:basedOn w:val="a"/>
    <w:qFormat/>
    <w:pPr>
      <w:widowControl/>
      <w:overflowPunct w:val="0"/>
      <w:autoSpaceDE w:val="0"/>
      <w:autoSpaceDN w:val="0"/>
      <w:jc w:val="left"/>
      <w:textAlignment w:val="baseline"/>
    </w:pPr>
    <w:rPr>
      <w:rFonts w:ascii="宋体" w:hAnsi="宋体" w:cs="宋体"/>
      <w:kern w:val="0"/>
    </w:rPr>
  </w:style>
  <w:style w:type="paragraph" w:customStyle="1" w:styleId="511410">
    <w:name w:val="表内宋51141"/>
    <w:basedOn w:val="1ff2"/>
    <w:qFormat/>
    <w:rPr>
      <w:rFonts w:ascii="宋体" w:hAnsi="宋体" w:cs="宋体"/>
      <w:color w:val="000000"/>
      <w:sz w:val="21"/>
      <w:szCs w:val="24"/>
    </w:rPr>
  </w:style>
  <w:style w:type="paragraph" w:customStyle="1" w:styleId="7f0">
    <w:name w:val="表7"/>
    <w:basedOn w:val="a"/>
    <w:qFormat/>
    <w:pPr>
      <w:widowControl/>
      <w:jc w:val="center"/>
    </w:pPr>
    <w:rPr>
      <w:rFonts w:ascii="宋体" w:hAnsi="宋体" w:cs="宋体"/>
      <w:kern w:val="0"/>
    </w:rPr>
  </w:style>
  <w:style w:type="paragraph" w:customStyle="1" w:styleId="6212">
    <w:name w:val="表中文字621"/>
    <w:basedOn w:val="a"/>
    <w:qFormat/>
    <w:pPr>
      <w:widowControl/>
      <w:spacing w:line="240" w:lineRule="atLeast"/>
      <w:ind w:leftChars="-10" w:left="-24" w:rightChars="-20" w:right="-48"/>
      <w:jc w:val="center"/>
    </w:pPr>
    <w:rPr>
      <w:rFonts w:ascii="宋体" w:hAnsi="宋体" w:cs="宋体"/>
      <w:kern w:val="0"/>
      <w:szCs w:val="21"/>
    </w:rPr>
  </w:style>
  <w:style w:type="paragraph" w:customStyle="1" w:styleId="5143">
    <w:name w:val="表内宋514"/>
    <w:basedOn w:val="5f5"/>
    <w:qFormat/>
    <w:pPr>
      <w:autoSpaceDE w:val="0"/>
      <w:autoSpaceDN w:val="0"/>
      <w:textAlignment w:val="auto"/>
    </w:pPr>
    <w:rPr>
      <w:color w:val="auto"/>
      <w:w w:val="90"/>
    </w:rPr>
  </w:style>
  <w:style w:type="paragraph" w:customStyle="1" w:styleId="Char427">
    <w:name w:val="Char427"/>
    <w:basedOn w:val="a"/>
    <w:qFormat/>
    <w:pPr>
      <w:widowControl/>
      <w:ind w:left="-48"/>
      <w:jc w:val="left"/>
    </w:pPr>
    <w:rPr>
      <w:rFonts w:ascii="宋体" w:hAnsi="宋体" w:cs="宋体"/>
      <w:kern w:val="0"/>
    </w:rPr>
  </w:style>
  <w:style w:type="paragraph" w:customStyle="1" w:styleId="2313">
    <w:name w:val="表中文字231"/>
    <w:basedOn w:val="a"/>
    <w:qFormat/>
    <w:pPr>
      <w:widowControl/>
      <w:spacing w:line="240" w:lineRule="atLeast"/>
      <w:ind w:rightChars="-20" w:right="-42"/>
      <w:jc w:val="center"/>
      <w:textAlignment w:val="baseline"/>
    </w:pPr>
    <w:rPr>
      <w:rFonts w:ascii="宋体" w:hAnsi="宋体" w:cs="宋体"/>
      <w:kern w:val="0"/>
      <w:szCs w:val="21"/>
    </w:rPr>
  </w:style>
  <w:style w:type="paragraph" w:customStyle="1" w:styleId="Char7130">
    <w:name w:val="Char713"/>
    <w:basedOn w:val="a"/>
    <w:pPr>
      <w:widowControl/>
      <w:ind w:left="-48"/>
      <w:jc w:val="left"/>
    </w:pPr>
    <w:rPr>
      <w:rFonts w:ascii="宋体" w:hAnsi="宋体" w:cs="宋体"/>
      <w:kern w:val="0"/>
    </w:rPr>
  </w:style>
  <w:style w:type="paragraph" w:customStyle="1" w:styleId="213c">
    <w:name w:val="表中文字213"/>
    <w:basedOn w:val="a"/>
    <w:qFormat/>
    <w:pPr>
      <w:widowControl/>
      <w:spacing w:line="240" w:lineRule="atLeast"/>
      <w:ind w:rightChars="-20" w:right="-42"/>
      <w:jc w:val="center"/>
      <w:textAlignment w:val="baseline"/>
    </w:pPr>
    <w:rPr>
      <w:rFonts w:ascii="宋体" w:hAnsi="宋体" w:cs="宋体"/>
      <w:kern w:val="0"/>
      <w:szCs w:val="21"/>
    </w:rPr>
  </w:style>
  <w:style w:type="paragraph" w:customStyle="1" w:styleId="3137">
    <w:name w:val="黑体三号313"/>
    <w:basedOn w:val="affff4"/>
    <w:qFormat/>
    <w:pPr>
      <w:jc w:val="center"/>
    </w:pPr>
    <w:rPr>
      <w:rFonts w:ascii="黑体" w:eastAsia="黑体" w:hAnsi="宋体" w:cs="宋体"/>
      <w:b/>
      <w:bCs/>
      <w:sz w:val="32"/>
      <w:szCs w:val="20"/>
    </w:rPr>
  </w:style>
  <w:style w:type="paragraph" w:customStyle="1" w:styleId="6114">
    <w:name w:val="表中文字611"/>
    <w:basedOn w:val="a"/>
    <w:qFormat/>
    <w:pPr>
      <w:widowControl/>
      <w:spacing w:line="240" w:lineRule="atLeast"/>
      <w:ind w:leftChars="-10" w:left="-24" w:rightChars="-20" w:right="-48"/>
      <w:jc w:val="center"/>
    </w:pPr>
    <w:rPr>
      <w:rFonts w:ascii="宋体" w:hAnsi="宋体" w:cs="宋体"/>
      <w:kern w:val="0"/>
      <w:szCs w:val="21"/>
    </w:rPr>
  </w:style>
  <w:style w:type="paragraph" w:customStyle="1" w:styleId="111130">
    <w:name w:val="燕山正文11113"/>
    <w:basedOn w:val="a"/>
    <w:qFormat/>
    <w:pPr>
      <w:widowControl/>
      <w:tabs>
        <w:tab w:val="left" w:pos="4680"/>
      </w:tabs>
      <w:spacing w:line="480" w:lineRule="exact"/>
      <w:jc w:val="left"/>
    </w:pPr>
    <w:rPr>
      <w:rFonts w:ascii="宋体" w:hAnsi="宋体" w:cs="宋体"/>
      <w:bCs/>
      <w:color w:val="000000"/>
      <w:kern w:val="0"/>
    </w:rPr>
  </w:style>
  <w:style w:type="paragraph" w:customStyle="1" w:styleId="Char3170">
    <w:name w:val="Char317"/>
    <w:basedOn w:val="a"/>
    <w:qFormat/>
    <w:pPr>
      <w:widowControl/>
      <w:ind w:left="-48"/>
      <w:jc w:val="left"/>
    </w:pPr>
    <w:rPr>
      <w:rFonts w:ascii="宋体" w:hAnsi="宋体" w:cs="宋体"/>
      <w:kern w:val="0"/>
    </w:rPr>
  </w:style>
  <w:style w:type="paragraph" w:customStyle="1" w:styleId="53211">
    <w:name w:val="表内53211"/>
    <w:basedOn w:val="a"/>
    <w:qFormat/>
    <w:pPr>
      <w:widowControl/>
      <w:spacing w:line="300" w:lineRule="auto"/>
      <w:jc w:val="left"/>
    </w:pPr>
    <w:rPr>
      <w:rFonts w:ascii="宋体" w:hAnsi="宋体" w:cs="宋体"/>
      <w:kern w:val="0"/>
      <w:szCs w:val="20"/>
    </w:rPr>
  </w:style>
  <w:style w:type="paragraph" w:customStyle="1" w:styleId="21240">
    <w:name w:val="表内文字小2124"/>
    <w:basedOn w:val="a"/>
    <w:qFormat/>
    <w:pPr>
      <w:widowControl/>
      <w:jc w:val="center"/>
    </w:pPr>
    <w:rPr>
      <w:rFonts w:ascii="宋体" w:hAnsi="Times" w:cs="宋体"/>
      <w:bCs/>
      <w:color w:val="000000"/>
      <w:kern w:val="0"/>
      <w:szCs w:val="20"/>
    </w:rPr>
  </w:style>
  <w:style w:type="paragraph" w:customStyle="1" w:styleId="Char3180">
    <w:name w:val="Char318"/>
    <w:basedOn w:val="a"/>
    <w:qFormat/>
    <w:pPr>
      <w:widowControl/>
      <w:ind w:left="-48"/>
      <w:jc w:val="left"/>
    </w:pPr>
    <w:rPr>
      <w:rFonts w:ascii="宋体" w:hAnsi="宋体" w:cs="宋体"/>
      <w:kern w:val="0"/>
    </w:rPr>
  </w:style>
  <w:style w:type="paragraph" w:customStyle="1" w:styleId="51116">
    <w:name w:val="表内小5中111"/>
    <w:basedOn w:val="a"/>
    <w:pPr>
      <w:widowControl/>
      <w:jc w:val="center"/>
    </w:pPr>
    <w:rPr>
      <w:rFonts w:ascii="宋体" w:hAnsi="宋体" w:cs="宋体"/>
      <w:kern w:val="0"/>
      <w:sz w:val="18"/>
      <w:szCs w:val="20"/>
    </w:rPr>
  </w:style>
  <w:style w:type="paragraph" w:customStyle="1" w:styleId="xl24111">
    <w:name w:val="xl24111"/>
    <w:basedOn w:val="a"/>
    <w:qFormat/>
    <w:pPr>
      <w:widowControl/>
      <w:pBdr>
        <w:bottom w:val="single" w:sz="4" w:space="0" w:color="auto"/>
        <w:right w:val="single" w:sz="4" w:space="0" w:color="auto"/>
      </w:pBdr>
      <w:spacing w:before="100" w:beforeAutospacing="1" w:after="100" w:afterAutospacing="1"/>
      <w:jc w:val="center"/>
    </w:pPr>
    <w:rPr>
      <w:rFonts w:ascii="宋体" w:hAnsi="宋体" w:cs="宋体"/>
      <w:kern w:val="0"/>
      <w:szCs w:val="21"/>
    </w:rPr>
  </w:style>
  <w:style w:type="paragraph" w:customStyle="1" w:styleId="Char2140">
    <w:name w:val="Char214"/>
    <w:basedOn w:val="a"/>
    <w:pPr>
      <w:widowControl/>
      <w:spacing w:before="156"/>
      <w:jc w:val="left"/>
    </w:pPr>
    <w:rPr>
      <w:rFonts w:ascii="黑体" w:eastAsia="黑体" w:hAnsi="宋体" w:cs="宋体"/>
      <w:kern w:val="0"/>
      <w:sz w:val="32"/>
      <w:szCs w:val="32"/>
    </w:rPr>
  </w:style>
  <w:style w:type="paragraph" w:customStyle="1" w:styleId="ParaCharCharCharChar131">
    <w:name w:val="默认段落字体 Para Char Char Char Char131"/>
    <w:basedOn w:val="a"/>
    <w:pPr>
      <w:widowControl/>
      <w:jc w:val="left"/>
    </w:pPr>
    <w:rPr>
      <w:rFonts w:ascii="宋体" w:hAnsi="宋体" w:cs="宋体"/>
      <w:kern w:val="0"/>
    </w:rPr>
  </w:style>
  <w:style w:type="paragraph" w:customStyle="1" w:styleId="ParaCharCharCharChar4111">
    <w:name w:val="默认段落字体 Para Char Char Char Char4111"/>
    <w:basedOn w:val="a"/>
    <w:qFormat/>
    <w:pPr>
      <w:widowControl/>
      <w:jc w:val="left"/>
    </w:pPr>
    <w:rPr>
      <w:rFonts w:ascii="宋体" w:hAnsi="宋体" w:cs="宋体"/>
      <w:kern w:val="0"/>
    </w:rPr>
  </w:style>
  <w:style w:type="paragraph" w:customStyle="1" w:styleId="ParaChar313">
    <w:name w:val="默认段落字体 Para Char313"/>
    <w:basedOn w:val="a"/>
    <w:qFormat/>
    <w:pPr>
      <w:widowControl/>
      <w:jc w:val="left"/>
    </w:pPr>
    <w:rPr>
      <w:rFonts w:ascii="宋体" w:hAnsi="宋体" w:cs="宋体"/>
      <w:kern w:val="0"/>
    </w:rPr>
  </w:style>
  <w:style w:type="paragraph" w:customStyle="1" w:styleId="2111e">
    <w:name w:val="燕山正文2111"/>
    <w:basedOn w:val="a"/>
    <w:qFormat/>
    <w:pPr>
      <w:widowControl/>
      <w:tabs>
        <w:tab w:val="left" w:pos="4680"/>
      </w:tabs>
      <w:spacing w:line="480" w:lineRule="exact"/>
      <w:jc w:val="left"/>
    </w:pPr>
    <w:rPr>
      <w:rFonts w:ascii="宋体" w:hAnsi="宋体" w:cs="宋体"/>
      <w:kern w:val="0"/>
    </w:rPr>
  </w:style>
  <w:style w:type="paragraph" w:customStyle="1" w:styleId="12113">
    <w:name w:val="表中文字1211"/>
    <w:basedOn w:val="a"/>
    <w:qFormat/>
    <w:pPr>
      <w:widowControl/>
      <w:spacing w:line="240" w:lineRule="atLeast"/>
      <w:ind w:leftChars="-10" w:left="-24" w:rightChars="-20" w:right="-48"/>
      <w:jc w:val="center"/>
    </w:pPr>
    <w:rPr>
      <w:rFonts w:ascii="宋体" w:hAnsi="宋体" w:cs="宋体"/>
      <w:kern w:val="0"/>
      <w:szCs w:val="21"/>
    </w:rPr>
  </w:style>
  <w:style w:type="paragraph" w:customStyle="1" w:styleId="53114">
    <w:name w:val="表内宋5中311"/>
    <w:basedOn w:val="a"/>
    <w:qFormat/>
    <w:pPr>
      <w:widowControl/>
      <w:jc w:val="left"/>
      <w:textAlignment w:val="baseline"/>
    </w:pPr>
    <w:rPr>
      <w:rFonts w:ascii="宋体" w:hAnsi="宋体" w:cs="宋体"/>
      <w:color w:val="000000"/>
      <w:kern w:val="0"/>
      <w:szCs w:val="20"/>
    </w:rPr>
  </w:style>
  <w:style w:type="paragraph" w:customStyle="1" w:styleId="Char451">
    <w:name w:val="Char451"/>
    <w:basedOn w:val="a"/>
    <w:qFormat/>
    <w:pPr>
      <w:widowControl/>
      <w:ind w:left="-48"/>
      <w:jc w:val="left"/>
    </w:pPr>
    <w:rPr>
      <w:rFonts w:ascii="宋体" w:hAnsi="宋体" w:cs="宋体"/>
      <w:kern w:val="0"/>
    </w:rPr>
  </w:style>
  <w:style w:type="paragraph" w:customStyle="1" w:styleId="1332">
    <w:name w:val="样式133"/>
    <w:basedOn w:val="314"/>
    <w:qFormat/>
    <w:pPr>
      <w:spacing w:line="240" w:lineRule="auto"/>
      <w:ind w:firstLine="0"/>
      <w:jc w:val="center"/>
    </w:pPr>
    <w:rPr>
      <w:rFonts w:cs="Times New Roman"/>
      <w:b/>
      <w:color w:val="auto"/>
      <w:szCs w:val="20"/>
    </w:rPr>
  </w:style>
  <w:style w:type="paragraph" w:customStyle="1" w:styleId="113c">
    <w:name w:val="文本框113"/>
    <w:basedOn w:val="a"/>
    <w:qFormat/>
    <w:pPr>
      <w:widowControl/>
      <w:spacing w:after="6"/>
      <w:jc w:val="center"/>
    </w:pPr>
    <w:rPr>
      <w:rFonts w:ascii="宋体" w:hAnsi="宋体" w:cs="宋体"/>
      <w:kern w:val="0"/>
    </w:rPr>
  </w:style>
  <w:style w:type="paragraph" w:customStyle="1" w:styleId="1233">
    <w:name w:val="燕山正文123"/>
    <w:basedOn w:val="a"/>
    <w:qFormat/>
    <w:pPr>
      <w:widowControl/>
      <w:tabs>
        <w:tab w:val="left" w:pos="4680"/>
      </w:tabs>
      <w:spacing w:line="480" w:lineRule="exact"/>
      <w:jc w:val="left"/>
    </w:pPr>
    <w:rPr>
      <w:rFonts w:ascii="宋体" w:hAnsi="宋体" w:cs="宋体"/>
      <w:kern w:val="0"/>
    </w:rPr>
  </w:style>
  <w:style w:type="paragraph" w:customStyle="1" w:styleId="CharCharCharCharCharCharChar217">
    <w:name w:val="Char Char Char Char Char Char Char217"/>
    <w:basedOn w:val="a"/>
    <w:qFormat/>
    <w:pPr>
      <w:widowControl/>
      <w:jc w:val="left"/>
    </w:pPr>
    <w:rPr>
      <w:rFonts w:ascii="宋体" w:hAnsi="宋体" w:cs="宋体"/>
      <w:kern w:val="0"/>
    </w:rPr>
  </w:style>
  <w:style w:type="paragraph" w:customStyle="1" w:styleId="Char1300">
    <w:name w:val="Char130"/>
    <w:basedOn w:val="a"/>
    <w:qFormat/>
    <w:pPr>
      <w:widowControl/>
      <w:ind w:left="-48"/>
      <w:jc w:val="left"/>
    </w:pPr>
    <w:rPr>
      <w:rFonts w:ascii="宋体" w:hAnsi="宋体" w:cs="宋体"/>
      <w:kern w:val="0"/>
    </w:rPr>
  </w:style>
  <w:style w:type="paragraph" w:customStyle="1" w:styleId="541131">
    <w:name w:val="表内541131"/>
    <w:basedOn w:val="a"/>
    <w:qFormat/>
    <w:pPr>
      <w:widowControl/>
      <w:spacing w:line="300" w:lineRule="auto"/>
      <w:jc w:val="center"/>
    </w:pPr>
    <w:rPr>
      <w:rFonts w:ascii="宋体" w:hAnsi="宋体" w:cs="宋体"/>
      <w:kern w:val="0"/>
      <w:szCs w:val="20"/>
    </w:rPr>
  </w:style>
  <w:style w:type="paragraph" w:customStyle="1" w:styleId="511212">
    <w:name w:val="表内宋5中1121"/>
    <w:basedOn w:val="a"/>
    <w:qFormat/>
    <w:pPr>
      <w:widowControl/>
      <w:jc w:val="center"/>
      <w:textAlignment w:val="baseline"/>
    </w:pPr>
    <w:rPr>
      <w:rFonts w:ascii="宋体" w:hAnsi="宋体" w:cs="宋体"/>
      <w:kern w:val="0"/>
      <w:szCs w:val="20"/>
    </w:rPr>
  </w:style>
  <w:style w:type="paragraph" w:customStyle="1" w:styleId="312212">
    <w:name w:val="表内文字小31221"/>
    <w:basedOn w:val="a"/>
    <w:pPr>
      <w:widowControl/>
      <w:jc w:val="center"/>
    </w:pPr>
    <w:rPr>
      <w:rFonts w:ascii="宋体" w:hAnsi="Times" w:cs="宋体"/>
      <w:bCs/>
      <w:color w:val="003366"/>
      <w:kern w:val="0"/>
      <w:szCs w:val="20"/>
    </w:rPr>
  </w:style>
  <w:style w:type="paragraph" w:customStyle="1" w:styleId="51221">
    <w:name w:val="表内宋5中122"/>
    <w:basedOn w:val="a"/>
    <w:qFormat/>
    <w:pPr>
      <w:widowControl/>
      <w:jc w:val="center"/>
      <w:textAlignment w:val="baseline"/>
    </w:pPr>
    <w:rPr>
      <w:rFonts w:ascii="宋体" w:hAnsi="宋体" w:cs="宋体"/>
      <w:kern w:val="0"/>
      <w:szCs w:val="20"/>
    </w:rPr>
  </w:style>
  <w:style w:type="paragraph" w:customStyle="1" w:styleId="5422">
    <w:name w:val="表内542"/>
    <w:basedOn w:val="a"/>
    <w:pPr>
      <w:widowControl/>
      <w:spacing w:line="300" w:lineRule="auto"/>
      <w:jc w:val="left"/>
    </w:pPr>
    <w:rPr>
      <w:rFonts w:ascii="宋体" w:hAnsi="宋体" w:cs="宋体"/>
      <w:kern w:val="0"/>
      <w:sz w:val="18"/>
      <w:szCs w:val="20"/>
    </w:rPr>
  </w:style>
  <w:style w:type="paragraph" w:customStyle="1" w:styleId="21312">
    <w:name w:val="表内文字小21312"/>
    <w:basedOn w:val="a"/>
    <w:qFormat/>
    <w:pPr>
      <w:widowControl/>
      <w:jc w:val="center"/>
      <w:textAlignment w:val="baseline"/>
    </w:pPr>
    <w:rPr>
      <w:rFonts w:ascii="宋体" w:hAnsi="Times" w:cs="宋体"/>
      <w:bCs/>
      <w:color w:val="000000"/>
      <w:kern w:val="0"/>
      <w:szCs w:val="20"/>
    </w:rPr>
  </w:style>
  <w:style w:type="paragraph" w:customStyle="1" w:styleId="3121111">
    <w:name w:val="表题312111"/>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24b">
    <w:name w:val="表24"/>
    <w:basedOn w:val="a"/>
    <w:qFormat/>
    <w:pPr>
      <w:widowControl/>
      <w:jc w:val="center"/>
    </w:pPr>
    <w:rPr>
      <w:rFonts w:ascii="宋体" w:hAnsi="宋体" w:cs="宋体"/>
      <w:kern w:val="0"/>
    </w:rPr>
  </w:style>
  <w:style w:type="paragraph" w:customStyle="1" w:styleId="447">
    <w:name w:val="表中文字44"/>
    <w:basedOn w:val="a"/>
    <w:qFormat/>
    <w:pPr>
      <w:widowControl/>
      <w:spacing w:line="340" w:lineRule="exact"/>
      <w:jc w:val="center"/>
    </w:pPr>
    <w:rPr>
      <w:rFonts w:ascii="Arial" w:hAnsi="Arial" w:cs="宋体"/>
      <w:kern w:val="0"/>
      <w:sz w:val="20"/>
      <w:lang w:eastAsia="zh-TW"/>
    </w:rPr>
  </w:style>
  <w:style w:type="paragraph" w:customStyle="1" w:styleId="Char600">
    <w:name w:val="Char60"/>
    <w:basedOn w:val="a"/>
    <w:qFormat/>
    <w:pPr>
      <w:widowControl/>
      <w:ind w:left="-48"/>
      <w:jc w:val="left"/>
    </w:pPr>
    <w:rPr>
      <w:rFonts w:ascii="宋体" w:hAnsi="宋体" w:cs="宋体"/>
      <w:kern w:val="0"/>
    </w:rPr>
  </w:style>
  <w:style w:type="paragraph" w:customStyle="1" w:styleId="Char291">
    <w:name w:val="Char291"/>
    <w:basedOn w:val="a"/>
    <w:qFormat/>
    <w:pPr>
      <w:widowControl/>
      <w:ind w:left="-48"/>
      <w:jc w:val="left"/>
    </w:pPr>
    <w:rPr>
      <w:rFonts w:ascii="宋体" w:hAnsi="宋体" w:cs="宋体"/>
      <w:kern w:val="0"/>
    </w:rPr>
  </w:style>
  <w:style w:type="paragraph" w:customStyle="1" w:styleId="221c">
    <w:name w:val="正文修改221"/>
    <w:basedOn w:val="affffe"/>
    <w:qFormat/>
    <w:rPr>
      <w:rFonts w:eastAsia="宋体" w:hAnsi="宋体" w:cs="宋体"/>
      <w:color w:val="000000"/>
      <w:szCs w:val="24"/>
    </w:rPr>
  </w:style>
  <w:style w:type="paragraph" w:customStyle="1" w:styleId="411310">
    <w:name w:val="标题41131"/>
    <w:basedOn w:val="a"/>
    <w:qFormat/>
    <w:pPr>
      <w:widowControl/>
      <w:spacing w:line="300" w:lineRule="auto"/>
      <w:jc w:val="left"/>
    </w:pPr>
    <w:rPr>
      <w:rFonts w:ascii="黑体" w:eastAsia="黑体" w:hAnsi="宋体" w:cs="宋体"/>
      <w:bCs/>
      <w:kern w:val="0"/>
      <w:szCs w:val="20"/>
    </w:rPr>
  </w:style>
  <w:style w:type="paragraph" w:customStyle="1" w:styleId="31430">
    <w:name w:val="表题3143"/>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5112110">
    <w:name w:val="表内宋511211"/>
    <w:basedOn w:val="1ff2"/>
    <w:qFormat/>
    <w:rPr>
      <w:rFonts w:ascii="宋体" w:hAnsi="宋体" w:cs="宋体"/>
      <w:color w:val="000000"/>
      <w:sz w:val="21"/>
      <w:szCs w:val="24"/>
    </w:rPr>
  </w:style>
  <w:style w:type="paragraph" w:customStyle="1" w:styleId="13210">
    <w:name w:val="燕山正文1321"/>
    <w:basedOn w:val="a"/>
    <w:qFormat/>
    <w:pPr>
      <w:widowControl/>
      <w:tabs>
        <w:tab w:val="left" w:pos="4680"/>
      </w:tabs>
      <w:jc w:val="left"/>
    </w:pPr>
    <w:rPr>
      <w:rFonts w:ascii="宋体" w:hAnsi="宋体" w:cs="宋体"/>
      <w:bCs/>
      <w:color w:val="000000"/>
      <w:kern w:val="0"/>
    </w:rPr>
  </w:style>
  <w:style w:type="paragraph" w:customStyle="1" w:styleId="5111130">
    <w:name w:val="表内宋511113"/>
    <w:basedOn w:val="1ff2"/>
    <w:qFormat/>
    <w:rPr>
      <w:rFonts w:ascii="宋体" w:hAnsi="宋体" w:cs="宋体"/>
      <w:color w:val="000000"/>
      <w:sz w:val="21"/>
      <w:szCs w:val="24"/>
    </w:rPr>
  </w:style>
  <w:style w:type="paragraph" w:customStyle="1" w:styleId="511130">
    <w:name w:val="表内宋5中1113"/>
    <w:basedOn w:val="a"/>
    <w:qFormat/>
    <w:pPr>
      <w:widowControl/>
      <w:jc w:val="center"/>
      <w:textAlignment w:val="baseline"/>
    </w:pPr>
    <w:rPr>
      <w:rFonts w:ascii="宋体" w:hAnsi="宋体" w:cs="宋体"/>
      <w:kern w:val="0"/>
      <w:szCs w:val="20"/>
    </w:rPr>
  </w:style>
  <w:style w:type="paragraph" w:customStyle="1" w:styleId="Char4170">
    <w:name w:val="Char417"/>
    <w:basedOn w:val="a"/>
    <w:qFormat/>
    <w:pPr>
      <w:widowControl/>
      <w:ind w:left="-48"/>
      <w:jc w:val="left"/>
    </w:pPr>
    <w:rPr>
      <w:rFonts w:ascii="宋体" w:hAnsi="宋体" w:cs="宋体"/>
      <w:kern w:val="0"/>
    </w:rPr>
  </w:style>
  <w:style w:type="paragraph" w:customStyle="1" w:styleId="Char12120">
    <w:name w:val="Char1212"/>
    <w:basedOn w:val="a"/>
    <w:qFormat/>
    <w:pPr>
      <w:widowControl/>
      <w:jc w:val="left"/>
    </w:pPr>
    <w:rPr>
      <w:rFonts w:ascii="宋体" w:hAnsi="宋体" w:cs="宋体"/>
      <w:kern w:val="0"/>
    </w:rPr>
  </w:style>
  <w:style w:type="paragraph" w:customStyle="1" w:styleId="ParaCharCharCharChar34">
    <w:name w:val="默认段落字体 Para Char Char Char Char34"/>
    <w:basedOn w:val="a"/>
    <w:qFormat/>
    <w:pPr>
      <w:widowControl/>
      <w:jc w:val="left"/>
    </w:pPr>
    <w:rPr>
      <w:rFonts w:ascii="宋体" w:hAnsi="宋体" w:cs="宋体"/>
      <w:kern w:val="0"/>
    </w:rPr>
  </w:style>
  <w:style w:type="paragraph" w:customStyle="1" w:styleId="CharCharCharCharCharCharChar34">
    <w:name w:val="Char Char Char Char Char Char Char34"/>
    <w:basedOn w:val="a"/>
    <w:pPr>
      <w:widowControl/>
      <w:jc w:val="left"/>
    </w:pPr>
    <w:rPr>
      <w:rFonts w:ascii="宋体" w:hAnsi="宋体" w:cs="宋体"/>
      <w:kern w:val="0"/>
    </w:rPr>
  </w:style>
  <w:style w:type="paragraph" w:customStyle="1" w:styleId="CharCharCharCharCharCharChar210">
    <w:name w:val="Char Char Char Char Char Char Char210"/>
    <w:basedOn w:val="a"/>
    <w:pPr>
      <w:widowControl/>
      <w:jc w:val="left"/>
    </w:pPr>
    <w:rPr>
      <w:rFonts w:ascii="宋体" w:hAnsi="宋体" w:cs="宋体"/>
      <w:kern w:val="0"/>
    </w:rPr>
  </w:style>
  <w:style w:type="paragraph" w:customStyle="1" w:styleId="2111f">
    <w:name w:val="正文格式＝2111"/>
    <w:basedOn w:val="affff4"/>
    <w:next w:val="affff4"/>
    <w:rPr>
      <w:rFonts w:hAnsi="宋体"/>
      <w:szCs w:val="24"/>
    </w:rPr>
  </w:style>
  <w:style w:type="paragraph" w:customStyle="1" w:styleId="ParaCharCharCharChar2111">
    <w:name w:val="默认段落字体 Para Char Char Char Char2111"/>
    <w:basedOn w:val="a"/>
    <w:pPr>
      <w:widowControl/>
      <w:jc w:val="left"/>
    </w:pPr>
    <w:rPr>
      <w:rFonts w:ascii="宋体" w:hAnsi="宋体" w:cs="宋体"/>
      <w:kern w:val="0"/>
    </w:rPr>
  </w:style>
  <w:style w:type="paragraph" w:customStyle="1" w:styleId="1318">
    <w:name w:val="正文修改131"/>
    <w:basedOn w:val="affffe"/>
    <w:qFormat/>
    <w:rPr>
      <w:rFonts w:eastAsia="宋体" w:hAnsi="宋体" w:cs="宋体"/>
      <w:color w:val="000000"/>
      <w:szCs w:val="24"/>
    </w:rPr>
  </w:style>
  <w:style w:type="paragraph" w:customStyle="1" w:styleId="11430">
    <w:name w:val="燕山正文1143"/>
    <w:basedOn w:val="a"/>
    <w:pPr>
      <w:widowControl/>
      <w:tabs>
        <w:tab w:val="left" w:pos="4680"/>
      </w:tabs>
      <w:spacing w:line="480" w:lineRule="exact"/>
      <w:jc w:val="left"/>
    </w:pPr>
    <w:rPr>
      <w:rFonts w:ascii="宋体" w:hAnsi="宋体" w:cs="宋体"/>
      <w:bCs/>
      <w:color w:val="000000"/>
      <w:kern w:val="0"/>
    </w:rPr>
  </w:style>
  <w:style w:type="paragraph" w:customStyle="1" w:styleId="Char840">
    <w:name w:val="Char84"/>
    <w:basedOn w:val="a"/>
    <w:qFormat/>
    <w:pPr>
      <w:widowControl/>
      <w:ind w:left="-48"/>
      <w:jc w:val="left"/>
    </w:pPr>
    <w:rPr>
      <w:rFonts w:ascii="宋体" w:hAnsi="宋体" w:cs="宋体"/>
      <w:kern w:val="0"/>
    </w:rPr>
  </w:style>
  <w:style w:type="paragraph" w:customStyle="1" w:styleId="4ff7">
    <w:name w:val="环评正文4"/>
    <w:qFormat/>
    <w:pPr>
      <w:spacing w:line="440" w:lineRule="exact"/>
      <w:ind w:firstLineChars="200" w:firstLine="200"/>
    </w:pPr>
    <w:rPr>
      <w:bCs/>
      <w:kern w:val="2"/>
      <w:sz w:val="24"/>
      <w:szCs w:val="24"/>
    </w:rPr>
  </w:style>
  <w:style w:type="paragraph" w:customStyle="1" w:styleId="Char4130">
    <w:name w:val="Char413"/>
    <w:basedOn w:val="a"/>
    <w:pPr>
      <w:widowControl/>
      <w:ind w:left="-48"/>
      <w:jc w:val="left"/>
    </w:pPr>
    <w:rPr>
      <w:rFonts w:ascii="宋体" w:hAnsi="宋体" w:cs="宋体"/>
      <w:kern w:val="0"/>
    </w:rPr>
  </w:style>
  <w:style w:type="paragraph" w:customStyle="1" w:styleId="Char11100">
    <w:name w:val="Char1110"/>
    <w:basedOn w:val="a"/>
    <w:qFormat/>
    <w:pPr>
      <w:widowControl/>
      <w:ind w:left="-48"/>
      <w:jc w:val="left"/>
    </w:pPr>
    <w:rPr>
      <w:rFonts w:ascii="宋体" w:hAnsi="宋体" w:cs="宋体"/>
      <w:kern w:val="0"/>
    </w:rPr>
  </w:style>
  <w:style w:type="paragraph" w:customStyle="1" w:styleId="414H4H4141H42H411142121">
    <w:name w:val="样式 标题 4无效格式无效格式1河石管道4H4H41小小节河石管道41H42H411小小节1河石管道42...121"/>
    <w:basedOn w:val="4"/>
    <w:qFormat/>
    <w:pPr>
      <w:numPr>
        <w:ilvl w:val="0"/>
        <w:numId w:val="0"/>
      </w:numPr>
      <w:spacing w:after="0" w:line="360" w:lineRule="auto"/>
      <w:ind w:left="664" w:hanging="864"/>
    </w:pPr>
    <w:rPr>
      <w:rFonts w:ascii="黑体" w:eastAsia="黑体" w:hAnsi="Arial" w:cs="宋体"/>
      <w:b w:val="0"/>
      <w:bCs w:val="0"/>
      <w:kern w:val="2"/>
      <w:sz w:val="24"/>
      <w:szCs w:val="20"/>
    </w:rPr>
  </w:style>
  <w:style w:type="paragraph" w:customStyle="1" w:styleId="CharCharCharCharCharCharChar124">
    <w:name w:val="Char Char Char Char Char Char Char124"/>
    <w:basedOn w:val="a"/>
    <w:qFormat/>
    <w:pPr>
      <w:widowControl/>
      <w:jc w:val="left"/>
    </w:pPr>
    <w:rPr>
      <w:rFonts w:ascii="宋体" w:hAnsi="宋体" w:cs="宋体"/>
      <w:kern w:val="0"/>
    </w:rPr>
  </w:style>
  <w:style w:type="paragraph" w:customStyle="1" w:styleId="Char750">
    <w:name w:val="Char75"/>
    <w:basedOn w:val="a"/>
    <w:qFormat/>
    <w:pPr>
      <w:widowControl/>
      <w:ind w:left="-48"/>
      <w:jc w:val="left"/>
    </w:pPr>
    <w:rPr>
      <w:rFonts w:ascii="宋体" w:hAnsi="宋体" w:cs="宋体"/>
      <w:kern w:val="0"/>
    </w:rPr>
  </w:style>
  <w:style w:type="paragraph" w:customStyle="1" w:styleId="Char426">
    <w:name w:val="Char426"/>
    <w:basedOn w:val="a"/>
    <w:pPr>
      <w:widowControl/>
      <w:ind w:left="-48"/>
      <w:jc w:val="left"/>
    </w:pPr>
    <w:rPr>
      <w:rFonts w:ascii="宋体" w:hAnsi="宋体" w:cs="宋体"/>
      <w:kern w:val="0"/>
    </w:rPr>
  </w:style>
  <w:style w:type="paragraph" w:customStyle="1" w:styleId="313211">
    <w:name w:val="表题31321"/>
    <w:basedOn w:val="1fa"/>
    <w:qFormat/>
    <w:pPr>
      <w:widowControl/>
      <w:tabs>
        <w:tab w:val="left" w:pos="4305"/>
      </w:tabs>
      <w:spacing w:after="0" w:line="240" w:lineRule="auto"/>
      <w:ind w:leftChars="0" w:left="0" w:firstLineChars="0" w:firstLine="0"/>
      <w:jc w:val="center"/>
    </w:pPr>
    <w:rPr>
      <w:rFonts w:ascii="宋体" w:hAnsi="宋体"/>
      <w:sz w:val="24"/>
    </w:rPr>
  </w:style>
  <w:style w:type="paragraph" w:customStyle="1" w:styleId="CharCharCharCharCharCharChar171">
    <w:name w:val="Char Char Char Char Char Char Char171"/>
    <w:basedOn w:val="a"/>
    <w:qFormat/>
    <w:pPr>
      <w:widowControl/>
      <w:jc w:val="left"/>
    </w:pPr>
    <w:rPr>
      <w:rFonts w:ascii="宋体" w:hAnsi="宋体" w:cs="宋体"/>
      <w:kern w:val="0"/>
    </w:rPr>
  </w:style>
  <w:style w:type="paragraph" w:customStyle="1" w:styleId="4312111">
    <w:name w:val="标题4312111"/>
    <w:basedOn w:val="a"/>
    <w:qFormat/>
    <w:pPr>
      <w:widowControl/>
      <w:spacing w:line="480" w:lineRule="exact"/>
      <w:jc w:val="center"/>
    </w:pPr>
    <w:rPr>
      <w:rFonts w:ascii="宋体" w:hAnsi="宋体" w:cs="宋体"/>
      <w:kern w:val="0"/>
    </w:rPr>
  </w:style>
  <w:style w:type="paragraph" w:customStyle="1" w:styleId="Char4300">
    <w:name w:val="Char430"/>
    <w:basedOn w:val="a"/>
    <w:pPr>
      <w:widowControl/>
      <w:ind w:left="-48"/>
      <w:jc w:val="left"/>
    </w:pPr>
    <w:rPr>
      <w:rFonts w:ascii="宋体" w:hAnsi="宋体" w:cs="宋体"/>
      <w:kern w:val="0"/>
    </w:rPr>
  </w:style>
  <w:style w:type="paragraph" w:customStyle="1" w:styleId="5111210">
    <w:name w:val="表内宋511121"/>
    <w:basedOn w:val="1ff2"/>
    <w:qFormat/>
    <w:rPr>
      <w:rFonts w:ascii="宋体" w:hAnsi="宋体" w:cs="宋体"/>
      <w:color w:val="000000"/>
      <w:sz w:val="21"/>
      <w:szCs w:val="24"/>
    </w:rPr>
  </w:style>
  <w:style w:type="paragraph" w:customStyle="1" w:styleId="213d">
    <w:name w:val="表213"/>
    <w:basedOn w:val="a"/>
    <w:qFormat/>
    <w:pPr>
      <w:widowControl/>
      <w:jc w:val="center"/>
    </w:pPr>
    <w:rPr>
      <w:rFonts w:ascii="宋体" w:hAnsi="宋体" w:cs="宋体"/>
      <w:kern w:val="0"/>
    </w:rPr>
  </w:style>
  <w:style w:type="paragraph" w:customStyle="1" w:styleId="211131">
    <w:name w:val="表题21113"/>
    <w:basedOn w:val="a"/>
    <w:qFormat/>
    <w:pPr>
      <w:widowControl/>
      <w:jc w:val="center"/>
    </w:pPr>
    <w:rPr>
      <w:rFonts w:ascii="黑体" w:eastAsia="黑体" w:hAnsi="宋体" w:cs="宋体"/>
      <w:kern w:val="0"/>
    </w:rPr>
  </w:style>
  <w:style w:type="paragraph" w:customStyle="1" w:styleId="CharCharCharCharCharCharChar1210">
    <w:name w:val="Char Char Char Char Char Char Char1210"/>
    <w:basedOn w:val="a"/>
    <w:qFormat/>
    <w:pPr>
      <w:widowControl/>
      <w:jc w:val="left"/>
    </w:pPr>
    <w:rPr>
      <w:rFonts w:ascii="宋体" w:hAnsi="宋体" w:cs="宋体"/>
      <w:kern w:val="0"/>
      <w:szCs w:val="20"/>
    </w:rPr>
  </w:style>
  <w:style w:type="paragraph" w:customStyle="1" w:styleId="260">
    <w:name w:val="表内文字小26"/>
    <w:basedOn w:val="a"/>
    <w:qFormat/>
    <w:pPr>
      <w:widowControl/>
      <w:jc w:val="center"/>
    </w:pPr>
    <w:rPr>
      <w:rFonts w:ascii="宋体" w:hAnsi="Times" w:cs="宋体"/>
      <w:bCs/>
      <w:color w:val="000000"/>
      <w:kern w:val="0"/>
      <w:szCs w:val="20"/>
    </w:rPr>
  </w:style>
  <w:style w:type="paragraph" w:customStyle="1" w:styleId="541511">
    <w:name w:val="表内541511"/>
    <w:basedOn w:val="a"/>
    <w:pPr>
      <w:widowControl/>
      <w:spacing w:line="300" w:lineRule="auto"/>
      <w:jc w:val="center"/>
    </w:pPr>
    <w:rPr>
      <w:rFonts w:ascii="宋体" w:hAnsi="宋体" w:cs="宋体"/>
      <w:kern w:val="0"/>
      <w:szCs w:val="20"/>
    </w:rPr>
  </w:style>
  <w:style w:type="paragraph" w:customStyle="1" w:styleId="CharCharCharCharCharCharChar127">
    <w:name w:val="Char Char Char Char Char Char Char127"/>
    <w:basedOn w:val="a"/>
    <w:qFormat/>
    <w:pPr>
      <w:widowControl/>
      <w:jc w:val="left"/>
    </w:pPr>
    <w:rPr>
      <w:rFonts w:ascii="宋体" w:hAnsi="宋体" w:cs="宋体"/>
      <w:kern w:val="0"/>
    </w:rPr>
  </w:style>
  <w:style w:type="paragraph" w:customStyle="1" w:styleId="21131">
    <w:name w:val="表题21131"/>
    <w:basedOn w:val="a"/>
    <w:qFormat/>
    <w:pPr>
      <w:widowControl/>
      <w:jc w:val="center"/>
    </w:pPr>
    <w:rPr>
      <w:rFonts w:ascii="黑体" w:eastAsia="黑体" w:hAnsi="宋体" w:cs="宋体"/>
      <w:kern w:val="0"/>
    </w:rPr>
  </w:style>
  <w:style w:type="paragraph" w:customStyle="1" w:styleId="5512">
    <w:name w:val="表内551"/>
    <w:basedOn w:val="a"/>
    <w:qFormat/>
    <w:pPr>
      <w:widowControl/>
      <w:spacing w:line="300" w:lineRule="auto"/>
      <w:jc w:val="left"/>
    </w:pPr>
    <w:rPr>
      <w:rFonts w:ascii="宋体" w:hAnsi="宋体" w:cs="宋体"/>
      <w:kern w:val="0"/>
      <w:sz w:val="18"/>
      <w:szCs w:val="20"/>
    </w:rPr>
  </w:style>
  <w:style w:type="paragraph" w:customStyle="1" w:styleId="563">
    <w:name w:val="表内宋5中6"/>
    <w:basedOn w:val="a"/>
    <w:qFormat/>
    <w:pPr>
      <w:widowControl/>
      <w:jc w:val="left"/>
      <w:textAlignment w:val="baseline"/>
    </w:pPr>
    <w:rPr>
      <w:rFonts w:ascii="宋体" w:hAnsi="宋体" w:cs="宋体"/>
      <w:color w:val="000000"/>
      <w:kern w:val="0"/>
      <w:szCs w:val="20"/>
    </w:rPr>
  </w:style>
  <w:style w:type="paragraph" w:customStyle="1" w:styleId="CharChar2CharCharCharChar25">
    <w:name w:val="Char Char2 Char Char Char Char25"/>
    <w:basedOn w:val="a"/>
    <w:qFormat/>
    <w:pPr>
      <w:widowControl/>
      <w:jc w:val="left"/>
    </w:pPr>
    <w:rPr>
      <w:rFonts w:ascii="宋体" w:hAnsi="宋体" w:cs="宋体"/>
      <w:kern w:val="0"/>
    </w:rPr>
  </w:style>
  <w:style w:type="paragraph" w:customStyle="1" w:styleId="213e">
    <w:name w:val="正文修改213"/>
    <w:basedOn w:val="affffe"/>
    <w:qFormat/>
    <w:rPr>
      <w:rFonts w:eastAsia="宋体" w:hAnsi="宋体" w:cs="宋体"/>
      <w:color w:val="000000"/>
      <w:szCs w:val="24"/>
    </w:rPr>
  </w:style>
  <w:style w:type="paragraph" w:customStyle="1" w:styleId="CharCharCharCharCharCharChar132">
    <w:name w:val="Char Char Char Char Char Char Char132"/>
    <w:basedOn w:val="a"/>
    <w:pPr>
      <w:widowControl/>
      <w:jc w:val="left"/>
    </w:pPr>
    <w:rPr>
      <w:rFonts w:ascii="宋体" w:hAnsi="宋体" w:cs="宋体"/>
      <w:kern w:val="0"/>
    </w:rPr>
  </w:style>
  <w:style w:type="paragraph" w:customStyle="1" w:styleId="CharCharCharCharCharCharChar119">
    <w:name w:val="Char Char Char Char Char Char Char119"/>
    <w:basedOn w:val="a"/>
    <w:qFormat/>
    <w:pPr>
      <w:widowControl/>
      <w:jc w:val="left"/>
    </w:pPr>
    <w:rPr>
      <w:rFonts w:ascii="宋体" w:hAnsi="宋体" w:cs="宋体"/>
      <w:kern w:val="0"/>
    </w:rPr>
  </w:style>
  <w:style w:type="paragraph" w:customStyle="1" w:styleId="61b">
    <w:name w:val="附件61"/>
    <w:basedOn w:val="1"/>
    <w:next w:val="affff4"/>
    <w:pPr>
      <w:numPr>
        <w:numId w:val="0"/>
      </w:numPr>
      <w:spacing w:before="220"/>
    </w:pPr>
    <w:rPr>
      <w:rFonts w:ascii="黑体" w:eastAsia="黑体"/>
      <w:b w:val="0"/>
      <w:sz w:val="32"/>
      <w:szCs w:val="32"/>
      <w:lang w:val="zh-CN"/>
    </w:rPr>
  </w:style>
  <w:style w:type="paragraph" w:customStyle="1" w:styleId="CharChar2CharCharCharChar1112">
    <w:name w:val="Char Char2 Char Char Char Char1112"/>
    <w:basedOn w:val="a"/>
    <w:qFormat/>
    <w:pPr>
      <w:widowControl/>
      <w:jc w:val="left"/>
    </w:pPr>
    <w:rPr>
      <w:rFonts w:ascii="宋体" w:hAnsi="宋体" w:cs="宋体"/>
      <w:kern w:val="0"/>
    </w:rPr>
  </w:style>
  <w:style w:type="paragraph" w:customStyle="1" w:styleId="Char550">
    <w:name w:val="Char55"/>
    <w:basedOn w:val="a"/>
    <w:qFormat/>
    <w:pPr>
      <w:widowControl/>
      <w:ind w:left="-48"/>
      <w:jc w:val="left"/>
    </w:pPr>
    <w:rPr>
      <w:rFonts w:ascii="宋体" w:hAnsi="宋体" w:cs="宋体"/>
      <w:kern w:val="0"/>
    </w:rPr>
  </w:style>
  <w:style w:type="paragraph" w:customStyle="1" w:styleId="121e">
    <w:name w:val="表121"/>
    <w:basedOn w:val="a"/>
    <w:pPr>
      <w:widowControl/>
      <w:jc w:val="center"/>
    </w:pPr>
    <w:rPr>
      <w:rFonts w:ascii="宋体" w:hAnsi="宋体" w:cs="宋体"/>
      <w:kern w:val="0"/>
    </w:rPr>
  </w:style>
  <w:style w:type="paragraph" w:customStyle="1" w:styleId="5144">
    <w:name w:val="表内514"/>
    <w:basedOn w:val="a"/>
    <w:qFormat/>
    <w:pPr>
      <w:widowControl/>
      <w:jc w:val="center"/>
    </w:pPr>
    <w:rPr>
      <w:rFonts w:ascii="宋体" w:hAnsi="宋体" w:cs="宋体"/>
      <w:kern w:val="0"/>
      <w:sz w:val="20"/>
      <w:szCs w:val="20"/>
    </w:rPr>
  </w:style>
  <w:style w:type="paragraph" w:customStyle="1" w:styleId="3138">
    <w:name w:val="表313"/>
    <w:basedOn w:val="a"/>
    <w:qFormat/>
    <w:pPr>
      <w:widowControl/>
      <w:jc w:val="center"/>
    </w:pPr>
    <w:rPr>
      <w:rFonts w:ascii="宋体" w:hAnsi="宋体" w:cs="宋体"/>
      <w:kern w:val="0"/>
    </w:rPr>
  </w:style>
  <w:style w:type="paragraph" w:customStyle="1" w:styleId="112f2">
    <w:name w:val="样式 表格内字体1 +12"/>
    <w:basedOn w:val="1ffffff"/>
    <w:next w:val="affffff1"/>
    <w:qFormat/>
    <w:rPr>
      <w:rFonts w:hAnsi="Times New Roman" w:cs="宋体"/>
      <w:szCs w:val="20"/>
    </w:rPr>
  </w:style>
  <w:style w:type="paragraph" w:customStyle="1" w:styleId="Char3410">
    <w:name w:val="Char341"/>
    <w:basedOn w:val="a"/>
    <w:qFormat/>
    <w:pPr>
      <w:widowControl/>
      <w:ind w:left="-48"/>
      <w:jc w:val="left"/>
    </w:pPr>
    <w:rPr>
      <w:rFonts w:ascii="宋体" w:hAnsi="宋体" w:cs="宋体"/>
      <w:kern w:val="0"/>
    </w:rPr>
  </w:style>
  <w:style w:type="paragraph" w:customStyle="1" w:styleId="41f4">
    <w:name w:val="表内文字小41"/>
    <w:basedOn w:val="a"/>
    <w:qFormat/>
    <w:pPr>
      <w:widowControl/>
      <w:jc w:val="center"/>
    </w:pPr>
    <w:rPr>
      <w:rFonts w:ascii="宋体" w:hAnsi="Times" w:cs="宋体"/>
      <w:kern w:val="0"/>
      <w:szCs w:val="20"/>
    </w:rPr>
  </w:style>
  <w:style w:type="paragraph" w:customStyle="1" w:styleId="Char14121">
    <w:name w:val="Char1412"/>
    <w:basedOn w:val="a"/>
    <w:pPr>
      <w:widowControl/>
      <w:ind w:left="-48"/>
      <w:jc w:val="left"/>
    </w:pPr>
    <w:rPr>
      <w:rFonts w:ascii="宋体" w:hAnsi="宋体" w:cs="宋体"/>
      <w:kern w:val="0"/>
    </w:rPr>
  </w:style>
  <w:style w:type="paragraph" w:customStyle="1" w:styleId="CharCharCharChar1CharCharChar112">
    <w:name w:val="Char Char Char Char1 Char Char Char112"/>
    <w:basedOn w:val="a"/>
    <w:pPr>
      <w:widowControl/>
      <w:spacing w:after="160" w:line="240" w:lineRule="exact"/>
      <w:jc w:val="left"/>
    </w:pPr>
    <w:rPr>
      <w:rFonts w:ascii="Verdana" w:hAnsi="Verdana" w:cs="宋体"/>
      <w:kern w:val="0"/>
      <w:sz w:val="20"/>
      <w:szCs w:val="20"/>
      <w:lang w:eastAsia="en-US"/>
    </w:rPr>
  </w:style>
  <w:style w:type="paragraph" w:customStyle="1" w:styleId="Char1630">
    <w:name w:val="Char163"/>
    <w:basedOn w:val="a"/>
    <w:pPr>
      <w:widowControl/>
      <w:ind w:left="-48"/>
      <w:jc w:val="left"/>
    </w:pPr>
    <w:rPr>
      <w:rFonts w:ascii="宋体" w:hAnsi="宋体" w:cs="宋体"/>
      <w:kern w:val="0"/>
    </w:rPr>
  </w:style>
  <w:style w:type="paragraph" w:customStyle="1" w:styleId="5913">
    <w:name w:val="表内5913"/>
    <w:basedOn w:val="a"/>
    <w:qFormat/>
    <w:pPr>
      <w:widowControl/>
      <w:spacing w:line="300" w:lineRule="auto"/>
      <w:jc w:val="center"/>
    </w:pPr>
    <w:rPr>
      <w:rFonts w:ascii="宋体" w:hAnsi="宋体" w:cs="宋体"/>
      <w:snapToGrid w:val="0"/>
      <w:kern w:val="0"/>
      <w:szCs w:val="21"/>
    </w:rPr>
  </w:style>
  <w:style w:type="paragraph" w:customStyle="1" w:styleId="4311111">
    <w:name w:val="标题4311111"/>
    <w:basedOn w:val="a"/>
    <w:qFormat/>
    <w:pPr>
      <w:widowControl/>
      <w:spacing w:line="480" w:lineRule="exact"/>
      <w:jc w:val="center"/>
    </w:pPr>
    <w:rPr>
      <w:rFonts w:ascii="宋体" w:hAnsi="宋体" w:cs="宋体"/>
      <w:kern w:val="0"/>
    </w:rPr>
  </w:style>
  <w:style w:type="paragraph" w:customStyle="1" w:styleId="51214">
    <w:name w:val="表内5中121"/>
    <w:basedOn w:val="a"/>
    <w:qFormat/>
    <w:pPr>
      <w:widowControl/>
      <w:jc w:val="center"/>
    </w:pPr>
    <w:rPr>
      <w:rFonts w:ascii="宋体" w:hAnsi="宋体" w:cs="Arial"/>
      <w:snapToGrid w:val="0"/>
      <w:color w:val="000000"/>
      <w:kern w:val="0"/>
      <w:szCs w:val="21"/>
    </w:rPr>
  </w:style>
  <w:style w:type="paragraph" w:customStyle="1" w:styleId="CharCharCharCharCharCharChar37">
    <w:name w:val="Char Char Char Char Char Char Char37"/>
    <w:basedOn w:val="a"/>
    <w:qFormat/>
    <w:pPr>
      <w:widowControl/>
      <w:jc w:val="left"/>
    </w:pPr>
    <w:rPr>
      <w:rFonts w:ascii="宋体" w:hAnsi="宋体" w:cs="宋体"/>
      <w:kern w:val="0"/>
    </w:rPr>
  </w:style>
  <w:style w:type="paragraph" w:customStyle="1" w:styleId="CharCharCharChar1CharCharChar14">
    <w:name w:val="Char Char Char Char1 Char Char Char14"/>
    <w:basedOn w:val="a"/>
    <w:qFormat/>
    <w:pPr>
      <w:widowControl/>
      <w:spacing w:after="160" w:line="240" w:lineRule="exact"/>
      <w:jc w:val="left"/>
    </w:pPr>
    <w:rPr>
      <w:rFonts w:ascii="Verdana" w:hAnsi="Verdana" w:cs="宋体"/>
      <w:kern w:val="0"/>
      <w:sz w:val="20"/>
      <w:szCs w:val="20"/>
      <w:lang w:eastAsia="en-US"/>
    </w:rPr>
  </w:style>
  <w:style w:type="paragraph" w:customStyle="1" w:styleId="2314">
    <w:name w:val="附件231"/>
    <w:basedOn w:val="1"/>
    <w:next w:val="affff4"/>
    <w:qFormat/>
    <w:pPr>
      <w:numPr>
        <w:numId w:val="0"/>
      </w:numPr>
      <w:spacing w:before="220"/>
    </w:pPr>
    <w:rPr>
      <w:rFonts w:ascii="黑体" w:eastAsia="黑体"/>
      <w:sz w:val="32"/>
      <w:szCs w:val="32"/>
      <w:lang w:val="zh-CN"/>
    </w:rPr>
  </w:style>
  <w:style w:type="paragraph" w:customStyle="1" w:styleId="2161">
    <w:name w:val="表内文字小2161"/>
    <w:basedOn w:val="a"/>
    <w:qFormat/>
    <w:pPr>
      <w:widowControl/>
      <w:jc w:val="center"/>
    </w:pPr>
    <w:rPr>
      <w:rFonts w:ascii="宋体" w:hAnsi="Times" w:cs="宋体"/>
      <w:bCs/>
      <w:color w:val="000000"/>
      <w:kern w:val="0"/>
      <w:szCs w:val="20"/>
    </w:rPr>
  </w:style>
  <w:style w:type="paragraph" w:customStyle="1" w:styleId="CharCharCharCharCharCharChar61">
    <w:name w:val="Char Char Char Char Char Char Char61"/>
    <w:basedOn w:val="a"/>
    <w:qFormat/>
    <w:pPr>
      <w:widowControl/>
      <w:jc w:val="left"/>
    </w:pPr>
    <w:rPr>
      <w:rFonts w:ascii="宋体" w:hAnsi="宋体" w:cs="宋体"/>
      <w:kern w:val="0"/>
      <w:szCs w:val="20"/>
    </w:rPr>
  </w:style>
  <w:style w:type="paragraph" w:customStyle="1" w:styleId="Char21120">
    <w:name w:val="Char2112"/>
    <w:basedOn w:val="a"/>
    <w:pPr>
      <w:widowControl/>
      <w:ind w:left="-48"/>
      <w:jc w:val="left"/>
    </w:pPr>
    <w:rPr>
      <w:rFonts w:ascii="宋体" w:hAnsi="宋体" w:cs="宋体"/>
      <w:kern w:val="0"/>
    </w:rPr>
  </w:style>
  <w:style w:type="paragraph" w:customStyle="1" w:styleId="54124">
    <w:name w:val="表内54124"/>
    <w:basedOn w:val="a"/>
    <w:qFormat/>
    <w:pPr>
      <w:widowControl/>
      <w:spacing w:line="300" w:lineRule="auto"/>
      <w:jc w:val="center"/>
    </w:pPr>
    <w:rPr>
      <w:rFonts w:ascii="宋体" w:hAnsi="宋体" w:cs="宋体"/>
      <w:kern w:val="0"/>
      <w:szCs w:val="20"/>
    </w:rPr>
  </w:style>
  <w:style w:type="paragraph" w:customStyle="1" w:styleId="ParaCharCharCharChar531">
    <w:name w:val="默认段落字体 Para Char Char Char Char531"/>
    <w:basedOn w:val="a"/>
    <w:qFormat/>
    <w:pPr>
      <w:widowControl/>
      <w:jc w:val="left"/>
    </w:pPr>
    <w:rPr>
      <w:rFonts w:ascii="宋体" w:hAnsi="宋体" w:cs="宋体"/>
      <w:kern w:val="0"/>
    </w:rPr>
  </w:style>
  <w:style w:type="paragraph" w:customStyle="1" w:styleId="Char1341">
    <w:name w:val="Char134"/>
    <w:basedOn w:val="a"/>
    <w:qFormat/>
    <w:pPr>
      <w:widowControl/>
      <w:ind w:left="-48"/>
      <w:jc w:val="left"/>
    </w:pPr>
    <w:rPr>
      <w:rFonts w:ascii="宋体" w:hAnsi="宋体" w:cs="宋体"/>
      <w:kern w:val="0"/>
    </w:rPr>
  </w:style>
  <w:style w:type="paragraph" w:customStyle="1" w:styleId="31f8">
    <w:name w:val="正文缩31"/>
    <w:basedOn w:val="a"/>
    <w:qFormat/>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Default31">
    <w:name w:val="Default31"/>
    <w:qFormat/>
    <w:pPr>
      <w:widowControl w:val="0"/>
      <w:autoSpaceDE w:val="0"/>
      <w:autoSpaceDN w:val="0"/>
      <w:adjustRightInd w:val="0"/>
    </w:pPr>
    <w:rPr>
      <w:rFonts w:ascii="宋体"/>
      <w:color w:val="000000"/>
      <w:sz w:val="24"/>
      <w:szCs w:val="24"/>
    </w:rPr>
  </w:style>
  <w:style w:type="paragraph" w:customStyle="1" w:styleId="11221">
    <w:name w:val="燕山正文11221"/>
    <w:basedOn w:val="a"/>
    <w:qFormat/>
    <w:pPr>
      <w:widowControl/>
      <w:tabs>
        <w:tab w:val="left" w:pos="4680"/>
      </w:tabs>
      <w:spacing w:line="480" w:lineRule="exact"/>
      <w:jc w:val="left"/>
    </w:pPr>
    <w:rPr>
      <w:rFonts w:ascii="宋体" w:hAnsi="宋体" w:cs="宋体"/>
      <w:bCs/>
      <w:color w:val="000000"/>
      <w:kern w:val="0"/>
    </w:rPr>
  </w:style>
  <w:style w:type="paragraph" w:customStyle="1" w:styleId="Char4112">
    <w:name w:val="Char4112"/>
    <w:basedOn w:val="a"/>
    <w:qFormat/>
    <w:pPr>
      <w:widowControl/>
      <w:ind w:left="-48"/>
      <w:jc w:val="left"/>
    </w:pPr>
    <w:rPr>
      <w:rFonts w:ascii="宋体" w:hAnsi="宋体" w:cs="宋体"/>
      <w:kern w:val="0"/>
    </w:rPr>
  </w:style>
  <w:style w:type="paragraph" w:customStyle="1" w:styleId="CharChar2CharCharCharChar15">
    <w:name w:val="Char Char2 Char Char Char Char15"/>
    <w:basedOn w:val="a"/>
    <w:pPr>
      <w:widowControl/>
      <w:jc w:val="left"/>
    </w:pPr>
    <w:rPr>
      <w:rFonts w:ascii="宋体" w:hAnsi="宋体" w:cs="宋体"/>
      <w:kern w:val="0"/>
    </w:rPr>
  </w:style>
  <w:style w:type="paragraph" w:customStyle="1" w:styleId="31f9">
    <w:name w:val="表格内容31"/>
    <w:qFormat/>
    <w:pPr>
      <w:jc w:val="center"/>
    </w:pPr>
    <w:rPr>
      <w:kern w:val="2"/>
      <w:sz w:val="21"/>
      <w:szCs w:val="21"/>
    </w:rPr>
  </w:style>
  <w:style w:type="paragraph" w:customStyle="1" w:styleId="51117">
    <w:name w:val="表中文字5111"/>
    <w:basedOn w:val="a"/>
    <w:qFormat/>
    <w:pPr>
      <w:widowControl/>
      <w:spacing w:line="240" w:lineRule="atLeast"/>
      <w:ind w:leftChars="-10" w:left="-24" w:rightChars="-20" w:right="-48"/>
      <w:jc w:val="center"/>
    </w:pPr>
    <w:rPr>
      <w:rFonts w:ascii="宋体" w:hAnsi="宋体" w:cs="宋体"/>
      <w:kern w:val="0"/>
      <w:szCs w:val="21"/>
    </w:rPr>
  </w:style>
  <w:style w:type="character" w:customStyle="1" w:styleId="biaoge">
    <w:name w:val="biaoge"/>
    <w:qFormat/>
  </w:style>
  <w:style w:type="paragraph" w:customStyle="1" w:styleId="afffffffffffffffff2">
    <w:name w:val="标题一一"/>
    <w:basedOn w:val="a"/>
    <w:next w:val="a"/>
    <w:link w:val="Charfff6"/>
    <w:qFormat/>
    <w:pPr>
      <w:spacing w:before="960" w:after="480"/>
      <w:ind w:firstLineChars="0" w:firstLine="0"/>
      <w:jc w:val="left"/>
      <w:outlineLvl w:val="0"/>
    </w:pPr>
    <w:rPr>
      <w:rFonts w:eastAsia="黑体" w:cstheme="minorBidi"/>
      <w:sz w:val="44"/>
      <w:szCs w:val="22"/>
    </w:rPr>
  </w:style>
  <w:style w:type="character" w:customStyle="1" w:styleId="Charfff6">
    <w:name w:val="标题一一 Char"/>
    <w:basedOn w:val="Charfff3"/>
    <w:link w:val="afffffffffffffffff2"/>
    <w:qFormat/>
    <w:rPr>
      <w:rFonts w:ascii="Times New Roman" w:eastAsia="黑体" w:hAnsi="Times New Roman" w:cs="Times New Roman"/>
      <w:kern w:val="0"/>
      <w:sz w:val="44"/>
      <w:szCs w:val="21"/>
    </w:rPr>
  </w:style>
  <w:style w:type="paragraph" w:customStyle="1" w:styleId="afffffffffffffffff3">
    <w:name w:val="标题二二"/>
    <w:basedOn w:val="afffffffffffffffff2"/>
    <w:next w:val="a"/>
    <w:link w:val="Charfff7"/>
    <w:qFormat/>
    <w:pPr>
      <w:spacing w:before="360" w:after="360"/>
      <w:outlineLvl w:val="1"/>
    </w:pPr>
    <w:rPr>
      <w:sz w:val="32"/>
    </w:rPr>
  </w:style>
  <w:style w:type="character" w:customStyle="1" w:styleId="Charfff7">
    <w:name w:val="标题二二 Char"/>
    <w:basedOn w:val="Charfff6"/>
    <w:link w:val="afffffffffffffffff3"/>
    <w:qFormat/>
    <w:rPr>
      <w:rFonts w:ascii="Times New Roman" w:eastAsia="黑体" w:hAnsi="Times New Roman" w:cs="Times New Roman"/>
      <w:kern w:val="0"/>
      <w:sz w:val="32"/>
      <w:szCs w:val="21"/>
    </w:rPr>
  </w:style>
  <w:style w:type="paragraph" w:customStyle="1" w:styleId="afffffffffffffffff4">
    <w:name w:val="标题三三"/>
    <w:basedOn w:val="afffffffffffffffff3"/>
    <w:next w:val="a"/>
    <w:link w:val="Charfff8"/>
    <w:qFormat/>
    <w:pPr>
      <w:spacing w:before="240" w:after="120"/>
      <w:outlineLvl w:val="2"/>
    </w:pPr>
    <w:rPr>
      <w:sz w:val="28"/>
    </w:rPr>
  </w:style>
  <w:style w:type="character" w:customStyle="1" w:styleId="Charfff8">
    <w:name w:val="标题三三 Char"/>
    <w:basedOn w:val="Charfff7"/>
    <w:link w:val="afffffffffffffffff4"/>
    <w:qFormat/>
    <w:rPr>
      <w:rFonts w:ascii="Times New Roman" w:eastAsia="黑体" w:hAnsi="Times New Roman" w:cs="Times New Roman"/>
      <w:kern w:val="0"/>
      <w:sz w:val="28"/>
      <w:szCs w:val="21"/>
    </w:rPr>
  </w:style>
  <w:style w:type="paragraph" w:customStyle="1" w:styleId="afffffffffffffffff5">
    <w:name w:val="标题四四"/>
    <w:basedOn w:val="afffffffffffffffff4"/>
    <w:next w:val="a"/>
    <w:link w:val="Charfff9"/>
    <w:qFormat/>
    <w:pPr>
      <w:outlineLvl w:val="3"/>
    </w:pPr>
  </w:style>
  <w:style w:type="character" w:customStyle="1" w:styleId="Charfff9">
    <w:name w:val="标题四四 Char"/>
    <w:basedOn w:val="Charfff8"/>
    <w:link w:val="afffffffffffffffff5"/>
    <w:qFormat/>
    <w:rPr>
      <w:rFonts w:ascii="Times New Roman" w:eastAsia="仿宋_GB2312" w:hAnsi="Times New Roman" w:cs="Times New Roman"/>
      <w:kern w:val="0"/>
      <w:sz w:val="28"/>
      <w:szCs w:val="21"/>
    </w:rPr>
  </w:style>
  <w:style w:type="table" w:customStyle="1" w:styleId="21ff2">
    <w:name w:val="无格式表格 21"/>
    <w:basedOn w:val="a3"/>
    <w:uiPriority w:val="42"/>
    <w:qFormat/>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ffffffd">
    <w:name w:val="杨1"/>
    <w:basedOn w:val="a3"/>
    <w:next w:val="afff"/>
    <w:qFormat/>
    <w:rsid w:val="00114D21"/>
    <w:rPr>
      <w:rFonts w:ascii="Calibri" w:hAnsi="Calibri"/>
    </w:rPr>
    <w:tblPr>
      <w:tblBorders>
        <w:top w:val="single" w:sz="12" w:space="0" w:color="auto"/>
        <w:bottom w:val="single" w:sz="12" w:space="0" w:color="auto"/>
        <w:insideH w:val="single" w:sz="4" w:space="0" w:color="auto"/>
        <w:insideV w:val="single" w:sz="4" w:space="0" w:color="auto"/>
      </w:tblBorders>
    </w:tblPr>
  </w:style>
  <w:style w:type="numbering" w:styleId="111111">
    <w:name w:val="Outline List 2"/>
    <w:aliases w:val="1 /1.1/ 1.1.1"/>
    <w:basedOn w:val="a4"/>
    <w:rsid w:val="00327E8E"/>
    <w:pPr>
      <w:numPr>
        <w:numId w:val="4"/>
      </w:numPr>
    </w:pPr>
  </w:style>
  <w:style w:type="table" w:customStyle="1" w:styleId="afffffffffffffffff6">
    <w:name w:val="三线表格"/>
    <w:basedOn w:val="a3"/>
    <w:next w:val="afff0"/>
    <w:uiPriority w:val="99"/>
    <w:qFormat/>
    <w:rsid w:val="00327E8E"/>
    <w:pPr>
      <w:widowControl w:val="0"/>
      <w:jc w:val="both"/>
    </w:pPr>
    <w:tblPr>
      <w:tblBorders>
        <w:top w:val="single" w:sz="12" w:space="0" w:color="auto"/>
        <w:bottom w:val="single" w:sz="12"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05368">
      <w:bodyDiv w:val="1"/>
      <w:marLeft w:val="0"/>
      <w:marRight w:val="0"/>
      <w:marTop w:val="0"/>
      <w:marBottom w:val="0"/>
      <w:divBdr>
        <w:top w:val="none" w:sz="0" w:space="0" w:color="auto"/>
        <w:left w:val="none" w:sz="0" w:space="0" w:color="auto"/>
        <w:bottom w:val="none" w:sz="0" w:space="0" w:color="auto"/>
        <w:right w:val="none" w:sz="0" w:space="0" w:color="auto"/>
      </w:divBdr>
    </w:div>
    <w:div w:id="52891153">
      <w:bodyDiv w:val="1"/>
      <w:marLeft w:val="0"/>
      <w:marRight w:val="0"/>
      <w:marTop w:val="0"/>
      <w:marBottom w:val="0"/>
      <w:divBdr>
        <w:top w:val="none" w:sz="0" w:space="0" w:color="auto"/>
        <w:left w:val="none" w:sz="0" w:space="0" w:color="auto"/>
        <w:bottom w:val="none" w:sz="0" w:space="0" w:color="auto"/>
        <w:right w:val="none" w:sz="0" w:space="0" w:color="auto"/>
      </w:divBdr>
    </w:div>
    <w:div w:id="119803523">
      <w:bodyDiv w:val="1"/>
      <w:marLeft w:val="0"/>
      <w:marRight w:val="0"/>
      <w:marTop w:val="0"/>
      <w:marBottom w:val="0"/>
      <w:divBdr>
        <w:top w:val="none" w:sz="0" w:space="0" w:color="auto"/>
        <w:left w:val="none" w:sz="0" w:space="0" w:color="auto"/>
        <w:bottom w:val="none" w:sz="0" w:space="0" w:color="auto"/>
        <w:right w:val="none" w:sz="0" w:space="0" w:color="auto"/>
      </w:divBdr>
    </w:div>
    <w:div w:id="198786581">
      <w:bodyDiv w:val="1"/>
      <w:marLeft w:val="0"/>
      <w:marRight w:val="0"/>
      <w:marTop w:val="0"/>
      <w:marBottom w:val="0"/>
      <w:divBdr>
        <w:top w:val="none" w:sz="0" w:space="0" w:color="auto"/>
        <w:left w:val="none" w:sz="0" w:space="0" w:color="auto"/>
        <w:bottom w:val="none" w:sz="0" w:space="0" w:color="auto"/>
        <w:right w:val="none" w:sz="0" w:space="0" w:color="auto"/>
      </w:divBdr>
    </w:div>
    <w:div w:id="204950832">
      <w:bodyDiv w:val="1"/>
      <w:marLeft w:val="0"/>
      <w:marRight w:val="0"/>
      <w:marTop w:val="0"/>
      <w:marBottom w:val="0"/>
      <w:divBdr>
        <w:top w:val="none" w:sz="0" w:space="0" w:color="auto"/>
        <w:left w:val="none" w:sz="0" w:space="0" w:color="auto"/>
        <w:bottom w:val="none" w:sz="0" w:space="0" w:color="auto"/>
        <w:right w:val="none" w:sz="0" w:space="0" w:color="auto"/>
      </w:divBdr>
    </w:div>
    <w:div w:id="226696214">
      <w:bodyDiv w:val="1"/>
      <w:marLeft w:val="0"/>
      <w:marRight w:val="0"/>
      <w:marTop w:val="0"/>
      <w:marBottom w:val="0"/>
      <w:divBdr>
        <w:top w:val="none" w:sz="0" w:space="0" w:color="auto"/>
        <w:left w:val="none" w:sz="0" w:space="0" w:color="auto"/>
        <w:bottom w:val="none" w:sz="0" w:space="0" w:color="auto"/>
        <w:right w:val="none" w:sz="0" w:space="0" w:color="auto"/>
      </w:divBdr>
    </w:div>
    <w:div w:id="250554876">
      <w:bodyDiv w:val="1"/>
      <w:marLeft w:val="0"/>
      <w:marRight w:val="0"/>
      <w:marTop w:val="0"/>
      <w:marBottom w:val="0"/>
      <w:divBdr>
        <w:top w:val="none" w:sz="0" w:space="0" w:color="auto"/>
        <w:left w:val="none" w:sz="0" w:space="0" w:color="auto"/>
        <w:bottom w:val="none" w:sz="0" w:space="0" w:color="auto"/>
        <w:right w:val="none" w:sz="0" w:space="0" w:color="auto"/>
      </w:divBdr>
    </w:div>
    <w:div w:id="278071711">
      <w:bodyDiv w:val="1"/>
      <w:marLeft w:val="0"/>
      <w:marRight w:val="0"/>
      <w:marTop w:val="0"/>
      <w:marBottom w:val="0"/>
      <w:divBdr>
        <w:top w:val="none" w:sz="0" w:space="0" w:color="auto"/>
        <w:left w:val="none" w:sz="0" w:space="0" w:color="auto"/>
        <w:bottom w:val="none" w:sz="0" w:space="0" w:color="auto"/>
        <w:right w:val="none" w:sz="0" w:space="0" w:color="auto"/>
      </w:divBdr>
    </w:div>
    <w:div w:id="491024256">
      <w:bodyDiv w:val="1"/>
      <w:marLeft w:val="0"/>
      <w:marRight w:val="0"/>
      <w:marTop w:val="0"/>
      <w:marBottom w:val="0"/>
      <w:divBdr>
        <w:top w:val="none" w:sz="0" w:space="0" w:color="auto"/>
        <w:left w:val="none" w:sz="0" w:space="0" w:color="auto"/>
        <w:bottom w:val="none" w:sz="0" w:space="0" w:color="auto"/>
        <w:right w:val="none" w:sz="0" w:space="0" w:color="auto"/>
      </w:divBdr>
    </w:div>
    <w:div w:id="605040615">
      <w:bodyDiv w:val="1"/>
      <w:marLeft w:val="0"/>
      <w:marRight w:val="0"/>
      <w:marTop w:val="0"/>
      <w:marBottom w:val="0"/>
      <w:divBdr>
        <w:top w:val="none" w:sz="0" w:space="0" w:color="auto"/>
        <w:left w:val="none" w:sz="0" w:space="0" w:color="auto"/>
        <w:bottom w:val="none" w:sz="0" w:space="0" w:color="auto"/>
        <w:right w:val="none" w:sz="0" w:space="0" w:color="auto"/>
      </w:divBdr>
    </w:div>
    <w:div w:id="625620925">
      <w:bodyDiv w:val="1"/>
      <w:marLeft w:val="0"/>
      <w:marRight w:val="0"/>
      <w:marTop w:val="0"/>
      <w:marBottom w:val="0"/>
      <w:divBdr>
        <w:top w:val="none" w:sz="0" w:space="0" w:color="auto"/>
        <w:left w:val="none" w:sz="0" w:space="0" w:color="auto"/>
        <w:bottom w:val="none" w:sz="0" w:space="0" w:color="auto"/>
        <w:right w:val="none" w:sz="0" w:space="0" w:color="auto"/>
      </w:divBdr>
    </w:div>
    <w:div w:id="875318053">
      <w:bodyDiv w:val="1"/>
      <w:marLeft w:val="0"/>
      <w:marRight w:val="0"/>
      <w:marTop w:val="0"/>
      <w:marBottom w:val="0"/>
      <w:divBdr>
        <w:top w:val="none" w:sz="0" w:space="0" w:color="auto"/>
        <w:left w:val="none" w:sz="0" w:space="0" w:color="auto"/>
        <w:bottom w:val="none" w:sz="0" w:space="0" w:color="auto"/>
        <w:right w:val="none" w:sz="0" w:space="0" w:color="auto"/>
      </w:divBdr>
    </w:div>
    <w:div w:id="937252311">
      <w:bodyDiv w:val="1"/>
      <w:marLeft w:val="0"/>
      <w:marRight w:val="0"/>
      <w:marTop w:val="0"/>
      <w:marBottom w:val="0"/>
      <w:divBdr>
        <w:top w:val="none" w:sz="0" w:space="0" w:color="auto"/>
        <w:left w:val="none" w:sz="0" w:space="0" w:color="auto"/>
        <w:bottom w:val="none" w:sz="0" w:space="0" w:color="auto"/>
        <w:right w:val="none" w:sz="0" w:space="0" w:color="auto"/>
      </w:divBdr>
    </w:div>
    <w:div w:id="945043656">
      <w:bodyDiv w:val="1"/>
      <w:marLeft w:val="0"/>
      <w:marRight w:val="0"/>
      <w:marTop w:val="0"/>
      <w:marBottom w:val="0"/>
      <w:divBdr>
        <w:top w:val="none" w:sz="0" w:space="0" w:color="auto"/>
        <w:left w:val="none" w:sz="0" w:space="0" w:color="auto"/>
        <w:bottom w:val="none" w:sz="0" w:space="0" w:color="auto"/>
        <w:right w:val="none" w:sz="0" w:space="0" w:color="auto"/>
      </w:divBdr>
    </w:div>
    <w:div w:id="948900533">
      <w:bodyDiv w:val="1"/>
      <w:marLeft w:val="0"/>
      <w:marRight w:val="0"/>
      <w:marTop w:val="0"/>
      <w:marBottom w:val="0"/>
      <w:divBdr>
        <w:top w:val="none" w:sz="0" w:space="0" w:color="auto"/>
        <w:left w:val="none" w:sz="0" w:space="0" w:color="auto"/>
        <w:bottom w:val="none" w:sz="0" w:space="0" w:color="auto"/>
        <w:right w:val="none" w:sz="0" w:space="0" w:color="auto"/>
      </w:divBdr>
    </w:div>
    <w:div w:id="1587107017">
      <w:bodyDiv w:val="1"/>
      <w:marLeft w:val="0"/>
      <w:marRight w:val="0"/>
      <w:marTop w:val="0"/>
      <w:marBottom w:val="0"/>
      <w:divBdr>
        <w:top w:val="none" w:sz="0" w:space="0" w:color="auto"/>
        <w:left w:val="none" w:sz="0" w:space="0" w:color="auto"/>
        <w:bottom w:val="none" w:sz="0" w:space="0" w:color="auto"/>
        <w:right w:val="none" w:sz="0" w:space="0" w:color="auto"/>
      </w:divBdr>
    </w:div>
    <w:div w:id="1605765466">
      <w:bodyDiv w:val="1"/>
      <w:marLeft w:val="0"/>
      <w:marRight w:val="0"/>
      <w:marTop w:val="0"/>
      <w:marBottom w:val="0"/>
      <w:divBdr>
        <w:top w:val="none" w:sz="0" w:space="0" w:color="auto"/>
        <w:left w:val="none" w:sz="0" w:space="0" w:color="auto"/>
        <w:bottom w:val="none" w:sz="0" w:space="0" w:color="auto"/>
        <w:right w:val="none" w:sz="0" w:space="0" w:color="auto"/>
      </w:divBdr>
    </w:div>
    <w:div w:id="1791363980">
      <w:bodyDiv w:val="1"/>
      <w:marLeft w:val="0"/>
      <w:marRight w:val="0"/>
      <w:marTop w:val="0"/>
      <w:marBottom w:val="0"/>
      <w:divBdr>
        <w:top w:val="none" w:sz="0" w:space="0" w:color="auto"/>
        <w:left w:val="none" w:sz="0" w:space="0" w:color="auto"/>
        <w:bottom w:val="none" w:sz="0" w:space="0" w:color="auto"/>
        <w:right w:val="none" w:sz="0" w:space="0" w:color="auto"/>
      </w:divBdr>
    </w:div>
    <w:div w:id="19669645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92.wmf"/><Relationship Id="rId21" Type="http://schemas.openxmlformats.org/officeDocument/2006/relationships/image" Target="media/image7.jpeg"/><Relationship Id="rId42" Type="http://schemas.openxmlformats.org/officeDocument/2006/relationships/image" Target="media/image24.png"/><Relationship Id="rId47" Type="http://schemas.openxmlformats.org/officeDocument/2006/relationships/image" Target="media/image27.png"/><Relationship Id="rId63" Type="http://schemas.openxmlformats.org/officeDocument/2006/relationships/oleObject" Target="embeddings/oleObject3.bin"/><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image" Target="media/image66.jpeg"/><Relationship Id="rId112" Type="http://schemas.openxmlformats.org/officeDocument/2006/relationships/image" Target="media/image89.png"/><Relationship Id="rId133" Type="http://schemas.openxmlformats.org/officeDocument/2006/relationships/image" Target="media/image100.png"/><Relationship Id="rId138" Type="http://schemas.openxmlformats.org/officeDocument/2006/relationships/image" Target="media/image105.jpeg"/><Relationship Id="rId154" Type="http://schemas.openxmlformats.org/officeDocument/2006/relationships/image" Target="media/image119.png"/><Relationship Id="rId159" Type="http://schemas.openxmlformats.org/officeDocument/2006/relationships/fontTable" Target="fontTable.xml"/><Relationship Id="rId16" Type="http://schemas.openxmlformats.org/officeDocument/2006/relationships/image" Target="media/image2.jpeg"/><Relationship Id="rId107" Type="http://schemas.openxmlformats.org/officeDocument/2006/relationships/image" Target="media/image84.png"/><Relationship Id="rId11" Type="http://schemas.openxmlformats.org/officeDocument/2006/relationships/footer" Target="footer1.xm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3.png"/><Relationship Id="rId58" Type="http://schemas.openxmlformats.org/officeDocument/2006/relationships/image" Target="media/image38.wmf"/><Relationship Id="rId74" Type="http://schemas.openxmlformats.org/officeDocument/2006/relationships/image" Target="media/image51.png"/><Relationship Id="rId79" Type="http://schemas.openxmlformats.org/officeDocument/2006/relationships/image" Target="media/image56.jpeg"/><Relationship Id="rId102" Type="http://schemas.openxmlformats.org/officeDocument/2006/relationships/image" Target="media/image79.png"/><Relationship Id="rId123" Type="http://schemas.openxmlformats.org/officeDocument/2006/relationships/image" Target="media/image95.wmf"/><Relationship Id="rId128" Type="http://schemas.openxmlformats.org/officeDocument/2006/relationships/oleObject" Target="embeddings/oleObject11.bin"/><Relationship Id="rId144" Type="http://schemas.openxmlformats.org/officeDocument/2006/relationships/oleObject" Target="embeddings/oleObject14.bin"/><Relationship Id="rId149" Type="http://schemas.openxmlformats.org/officeDocument/2006/relationships/image" Target="media/image114.png"/><Relationship Id="rId5" Type="http://schemas.openxmlformats.org/officeDocument/2006/relationships/settings" Target="settings.xml"/><Relationship Id="rId90" Type="http://schemas.openxmlformats.org/officeDocument/2006/relationships/image" Target="media/image67.png"/><Relationship Id="rId95" Type="http://schemas.openxmlformats.org/officeDocument/2006/relationships/image" Target="media/image72.jpeg"/><Relationship Id="rId160" Type="http://schemas.openxmlformats.org/officeDocument/2006/relationships/theme" Target="theme/theme1.xml"/><Relationship Id="rId22" Type="http://schemas.openxmlformats.org/officeDocument/2006/relationships/header" Target="header4.xml"/><Relationship Id="rId27" Type="http://schemas.openxmlformats.org/officeDocument/2006/relationships/image" Target="media/image9.jpeg"/><Relationship Id="rId43" Type="http://schemas.openxmlformats.org/officeDocument/2006/relationships/chart" Target="charts/chart1.xml"/><Relationship Id="rId48" Type="http://schemas.openxmlformats.org/officeDocument/2006/relationships/image" Target="media/image28.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90.wmf"/><Relationship Id="rId118" Type="http://schemas.openxmlformats.org/officeDocument/2006/relationships/oleObject" Target="embeddings/oleObject6.bin"/><Relationship Id="rId134" Type="http://schemas.openxmlformats.org/officeDocument/2006/relationships/image" Target="media/image101.png"/><Relationship Id="rId139" Type="http://schemas.openxmlformats.org/officeDocument/2006/relationships/image" Target="media/image106.jpeg"/><Relationship Id="rId80" Type="http://schemas.openxmlformats.org/officeDocument/2006/relationships/image" Target="media/image57.png"/><Relationship Id="rId85" Type="http://schemas.openxmlformats.org/officeDocument/2006/relationships/image" Target="media/image62.jpeg"/><Relationship Id="rId150" Type="http://schemas.openxmlformats.org/officeDocument/2006/relationships/image" Target="media/image115.png"/><Relationship Id="rId155" Type="http://schemas.openxmlformats.org/officeDocument/2006/relationships/image" Target="media/image120.png"/><Relationship Id="rId12" Type="http://schemas.openxmlformats.org/officeDocument/2006/relationships/footer" Target="footer2.xml"/><Relationship Id="rId17" Type="http://schemas.openxmlformats.org/officeDocument/2006/relationships/image" Target="media/image3.jpeg"/><Relationship Id="rId33" Type="http://schemas.openxmlformats.org/officeDocument/2006/relationships/image" Target="media/image15.jpeg"/><Relationship Id="rId38" Type="http://schemas.openxmlformats.org/officeDocument/2006/relationships/image" Target="media/image20.png"/><Relationship Id="rId59" Type="http://schemas.openxmlformats.org/officeDocument/2006/relationships/oleObject" Target="embeddings/oleObject1.bin"/><Relationship Id="rId103" Type="http://schemas.openxmlformats.org/officeDocument/2006/relationships/image" Target="media/image80.jpeg"/><Relationship Id="rId108" Type="http://schemas.openxmlformats.org/officeDocument/2006/relationships/image" Target="media/image85.jpeg"/><Relationship Id="rId124" Type="http://schemas.openxmlformats.org/officeDocument/2006/relationships/oleObject" Target="embeddings/oleObject9.bin"/><Relationship Id="rId129" Type="http://schemas.openxmlformats.org/officeDocument/2006/relationships/image" Target="media/image98.wmf"/><Relationship Id="rId20" Type="http://schemas.openxmlformats.org/officeDocument/2006/relationships/image" Target="media/image6.jpeg"/><Relationship Id="rId41" Type="http://schemas.openxmlformats.org/officeDocument/2006/relationships/image" Target="media/image23.jpeg"/><Relationship Id="rId54" Type="http://schemas.openxmlformats.org/officeDocument/2006/relationships/image" Target="media/image34.png"/><Relationship Id="rId62" Type="http://schemas.openxmlformats.org/officeDocument/2006/relationships/image" Target="media/image40.wmf"/><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png"/><Relationship Id="rId111" Type="http://schemas.openxmlformats.org/officeDocument/2006/relationships/image" Target="media/image88.png"/><Relationship Id="rId132" Type="http://schemas.openxmlformats.org/officeDocument/2006/relationships/oleObject" Target="embeddings/oleObject13.bin"/><Relationship Id="rId140" Type="http://schemas.openxmlformats.org/officeDocument/2006/relationships/image" Target="media/image107.png"/><Relationship Id="rId145" Type="http://schemas.openxmlformats.org/officeDocument/2006/relationships/image" Target="media/image111.wmf"/><Relationship Id="rId153" Type="http://schemas.openxmlformats.org/officeDocument/2006/relationships/image" Target="media/image11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footer" Target="footer4.xml"/><Relationship Id="rId28" Type="http://schemas.openxmlformats.org/officeDocument/2006/relationships/image" Target="media/image10.jpeg"/><Relationship Id="rId36" Type="http://schemas.openxmlformats.org/officeDocument/2006/relationships/image" Target="media/image18.png"/><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image" Target="media/image83.jpeg"/><Relationship Id="rId114" Type="http://schemas.openxmlformats.org/officeDocument/2006/relationships/oleObject" Target="embeddings/oleObject4.bin"/><Relationship Id="rId119" Type="http://schemas.openxmlformats.org/officeDocument/2006/relationships/image" Target="media/image93.wmf"/><Relationship Id="rId127" Type="http://schemas.openxmlformats.org/officeDocument/2006/relationships/image" Target="media/image97.wmf"/><Relationship Id="rId10" Type="http://schemas.openxmlformats.org/officeDocument/2006/relationships/header" Target="header2.xml"/><Relationship Id="rId31" Type="http://schemas.openxmlformats.org/officeDocument/2006/relationships/image" Target="media/image13.jpeg"/><Relationship Id="rId44" Type="http://schemas.openxmlformats.org/officeDocument/2006/relationships/chart" Target="charts/chart2.xml"/><Relationship Id="rId52" Type="http://schemas.openxmlformats.org/officeDocument/2006/relationships/image" Target="media/image32.png"/><Relationship Id="rId60" Type="http://schemas.openxmlformats.org/officeDocument/2006/relationships/image" Target="media/image39.wmf"/><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jpeg"/><Relationship Id="rId86" Type="http://schemas.openxmlformats.org/officeDocument/2006/relationships/image" Target="media/image63.png"/><Relationship Id="rId94" Type="http://schemas.openxmlformats.org/officeDocument/2006/relationships/image" Target="media/image71.png"/><Relationship Id="rId99" Type="http://schemas.openxmlformats.org/officeDocument/2006/relationships/image" Target="media/image76.jpeg"/><Relationship Id="rId101" Type="http://schemas.openxmlformats.org/officeDocument/2006/relationships/image" Target="media/image78.png"/><Relationship Id="rId122" Type="http://schemas.openxmlformats.org/officeDocument/2006/relationships/oleObject" Target="embeddings/oleObject8.bin"/><Relationship Id="rId130" Type="http://schemas.openxmlformats.org/officeDocument/2006/relationships/oleObject" Target="embeddings/oleObject12.bin"/><Relationship Id="rId135" Type="http://schemas.openxmlformats.org/officeDocument/2006/relationships/image" Target="media/image102.png"/><Relationship Id="rId143" Type="http://schemas.openxmlformats.org/officeDocument/2006/relationships/image" Target="media/image110.png"/><Relationship Id="rId148" Type="http://schemas.openxmlformats.org/officeDocument/2006/relationships/image" Target="media/image113.png"/><Relationship Id="rId151" Type="http://schemas.openxmlformats.org/officeDocument/2006/relationships/image" Target="media/image116.png"/><Relationship Id="rId156" Type="http://schemas.openxmlformats.org/officeDocument/2006/relationships/image" Target="media/image121.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jpeg"/><Relationship Id="rId39" Type="http://schemas.openxmlformats.org/officeDocument/2006/relationships/image" Target="media/image21.png"/><Relationship Id="rId109" Type="http://schemas.openxmlformats.org/officeDocument/2006/relationships/image" Target="media/image86.png"/><Relationship Id="rId34" Type="http://schemas.openxmlformats.org/officeDocument/2006/relationships/image" Target="media/image16.jpe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3.png"/><Relationship Id="rId97" Type="http://schemas.openxmlformats.org/officeDocument/2006/relationships/image" Target="media/image74.jpeg"/><Relationship Id="rId104" Type="http://schemas.openxmlformats.org/officeDocument/2006/relationships/image" Target="media/image81.png"/><Relationship Id="rId120" Type="http://schemas.openxmlformats.org/officeDocument/2006/relationships/oleObject" Target="embeddings/oleObject7.bin"/><Relationship Id="rId125" Type="http://schemas.openxmlformats.org/officeDocument/2006/relationships/image" Target="media/image96.wmf"/><Relationship Id="rId141" Type="http://schemas.openxmlformats.org/officeDocument/2006/relationships/image" Target="media/image108.png"/><Relationship Id="rId146" Type="http://schemas.openxmlformats.org/officeDocument/2006/relationships/oleObject" Target="embeddings/oleObject15.bin"/><Relationship Id="rId7" Type="http://schemas.openxmlformats.org/officeDocument/2006/relationships/footnotes" Target="footnotes.xml"/><Relationship Id="rId71" Type="http://schemas.openxmlformats.org/officeDocument/2006/relationships/image" Target="media/image48.jpeg"/><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header" Target="header5.xml"/><Relationship Id="rId40" Type="http://schemas.openxmlformats.org/officeDocument/2006/relationships/image" Target="media/image22.jpeg"/><Relationship Id="rId45" Type="http://schemas.openxmlformats.org/officeDocument/2006/relationships/image" Target="media/image25.emf"/><Relationship Id="rId66" Type="http://schemas.openxmlformats.org/officeDocument/2006/relationships/image" Target="media/image43.jpe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1.wmf"/><Relationship Id="rId131" Type="http://schemas.openxmlformats.org/officeDocument/2006/relationships/image" Target="media/image99.wmf"/><Relationship Id="rId136" Type="http://schemas.openxmlformats.org/officeDocument/2006/relationships/image" Target="media/image103.jpeg"/><Relationship Id="rId157" Type="http://schemas.openxmlformats.org/officeDocument/2006/relationships/image" Target="media/image122.png"/><Relationship Id="rId61" Type="http://schemas.openxmlformats.org/officeDocument/2006/relationships/oleObject" Target="embeddings/oleObject2.bin"/><Relationship Id="rId82" Type="http://schemas.openxmlformats.org/officeDocument/2006/relationships/image" Target="media/image59.png"/><Relationship Id="rId152" Type="http://schemas.openxmlformats.org/officeDocument/2006/relationships/image" Target="media/image117.png"/><Relationship Id="rId19" Type="http://schemas.openxmlformats.org/officeDocument/2006/relationships/image" Target="media/image5.jpeg"/><Relationship Id="rId14" Type="http://schemas.openxmlformats.org/officeDocument/2006/relationships/footer" Target="footer3.xml"/><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image" Target="media/image36.png"/><Relationship Id="rId77" Type="http://schemas.openxmlformats.org/officeDocument/2006/relationships/image" Target="media/image54.pn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oleObject" Target="embeddings/oleObject10.bin"/><Relationship Id="rId147" Type="http://schemas.openxmlformats.org/officeDocument/2006/relationships/image" Target="media/image112.pn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49.png"/><Relationship Id="rId93" Type="http://schemas.openxmlformats.org/officeDocument/2006/relationships/image" Target="media/image70.jpeg"/><Relationship Id="rId98" Type="http://schemas.openxmlformats.org/officeDocument/2006/relationships/image" Target="media/image75.png"/><Relationship Id="rId121" Type="http://schemas.openxmlformats.org/officeDocument/2006/relationships/image" Target="media/image94.wmf"/><Relationship Id="rId142" Type="http://schemas.openxmlformats.org/officeDocument/2006/relationships/image" Target="media/image109.png"/><Relationship Id="rId3" Type="http://schemas.openxmlformats.org/officeDocument/2006/relationships/numbering" Target="numbering.xml"/><Relationship Id="rId25" Type="http://schemas.openxmlformats.org/officeDocument/2006/relationships/footer" Target="footer5.xml"/><Relationship Id="rId46" Type="http://schemas.openxmlformats.org/officeDocument/2006/relationships/image" Target="media/image26.png"/><Relationship Id="rId67" Type="http://schemas.openxmlformats.org/officeDocument/2006/relationships/image" Target="media/image44.png"/><Relationship Id="rId116" Type="http://schemas.openxmlformats.org/officeDocument/2006/relationships/oleObject" Target="embeddings/oleObject5.bin"/><Relationship Id="rId137" Type="http://schemas.openxmlformats.org/officeDocument/2006/relationships/image" Target="media/image104.jpeg"/><Relationship Id="rId158" Type="http://schemas.openxmlformats.org/officeDocument/2006/relationships/image" Target="media/image123.png"/></Relationships>
</file>

<file path=word/charts/_rels/chart1.xml.rels><?xml version="1.0" encoding="UTF-8" standalone="yes"?>
<Relationships xmlns="http://schemas.openxmlformats.org/package/2006/relationships"><Relationship Id="rId1" Type="http://schemas.openxmlformats.org/officeDocument/2006/relationships/oleObject" Target="&#24037;&#20316;&#31807;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24037;&#20316;&#31807;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0" vertOverflow="ellipsis" vert="horz" wrap="square" anchor="ctr" anchorCtr="1"/>
        <a:lstStyle/>
        <a:p>
          <a:pPr>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lineChart>
        <c:grouping val="standard"/>
        <c:varyColors val="0"/>
        <c:ser>
          <c:idx val="0"/>
          <c:order val="0"/>
          <c:tx>
            <c:strRef>
              <c:f>[工作簿1]Sheet1!$B$3</c:f>
              <c:strCache>
                <c:ptCount val="1"/>
                <c:pt idx="0">
                  <c:v>温度(℃)</c:v>
                </c:pt>
              </c:strCache>
            </c:strRef>
          </c:tx>
          <c:spPr>
            <a:ln w="28575" cap="rnd">
              <a:solidFill>
                <a:schemeClr val="accent1"/>
              </a:solidFill>
              <a:round/>
            </a:ln>
            <a:effectLst/>
          </c:spPr>
          <c:marker>
            <c:symbol val="none"/>
          </c:marker>
          <c:cat>
            <c:strRef>
              <c:f>[工作簿1]Sheet1!$C$2:$N$2</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[工作簿1]Sheet1!$C$3:$N$3</c:f>
              <c:numCache>
                <c:formatCode>General</c:formatCode>
                <c:ptCount val="12"/>
                <c:pt idx="0">
                  <c:v>2.2000000000000002</c:v>
                </c:pt>
                <c:pt idx="1">
                  <c:v>4.9400000000000004</c:v>
                </c:pt>
                <c:pt idx="2">
                  <c:v>10.53</c:v>
                </c:pt>
                <c:pt idx="3">
                  <c:v>16.440000000000001</c:v>
                </c:pt>
                <c:pt idx="4">
                  <c:v>21.82</c:v>
                </c:pt>
                <c:pt idx="5">
                  <c:v>25.88</c:v>
                </c:pt>
                <c:pt idx="6">
                  <c:v>28.01</c:v>
                </c:pt>
                <c:pt idx="7">
                  <c:v>27.45</c:v>
                </c:pt>
                <c:pt idx="8">
                  <c:v>22.9</c:v>
                </c:pt>
                <c:pt idx="9">
                  <c:v>17.43</c:v>
                </c:pt>
                <c:pt idx="10">
                  <c:v>10.93</c:v>
                </c:pt>
                <c:pt idx="11">
                  <c:v>4</c:v>
                </c:pt>
              </c:numCache>
            </c:numRef>
          </c:val>
          <c:smooth val="0"/>
          <c:extLst>
            <c:ext xmlns:c16="http://schemas.microsoft.com/office/drawing/2014/chart" uri="{C3380CC4-5D6E-409C-BE32-E72D297353CC}">
              <c16:uniqueId val="{00000000-6C74-4927-AA23-9FBF8D7588B3}"/>
            </c:ext>
          </c:extLst>
        </c:ser>
        <c:dLbls>
          <c:showLegendKey val="0"/>
          <c:showVal val="0"/>
          <c:showCatName val="0"/>
          <c:showSerName val="0"/>
          <c:showPercent val="0"/>
          <c:showBubbleSize val="0"/>
        </c:dLbls>
        <c:smooth val="0"/>
        <c:axId val="457795840"/>
        <c:axId val="457797632"/>
      </c:lineChart>
      <c:catAx>
        <c:axId val="45779584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457797632"/>
        <c:crosses val="autoZero"/>
        <c:auto val="1"/>
        <c:lblAlgn val="ctr"/>
        <c:lblOffset val="100"/>
        <c:noMultiLvlLbl val="0"/>
      </c:catAx>
      <c:valAx>
        <c:axId val="457797632"/>
        <c:scaling>
          <c:orientation val="minMax"/>
        </c:scaling>
        <c:delete val="0"/>
        <c:axPos val="l"/>
        <c:majorGridlines>
          <c:spPr>
            <a:ln w="9525" cap="flat" cmpd="sng" algn="ctr">
              <a:solidFill>
                <a:schemeClr val="lt1">
                  <a:lumMod val="902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457795840"/>
        <c:crosses val="autoZero"/>
        <c:crossBetween val="between"/>
      </c:valAx>
      <c:spPr>
        <a:noFill/>
        <a:ln>
          <a:noFill/>
        </a:ln>
        <a:effectLst/>
      </c:spPr>
    </c:plotArea>
    <c:legend>
      <c:legendPos val="b"/>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c:ext uri="{0b15fc19-7d7d-44ad-8c2d-2c3a37ce22c3}">
        <chartProps xmlns="https://web.wps.cn/et/2018/main" chartId="{5cf6d1bd-8f81-442a-8303-91b1cc5fd9b8}"/>
      </c:ext>
    </c:extLst>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0" vertOverflow="ellipsis" vert="horz" wrap="square" anchor="ctr" anchorCtr="1"/>
        <a:lstStyle/>
        <a:p>
          <a:pPr>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lineChart>
        <c:grouping val="standard"/>
        <c:varyColors val="0"/>
        <c:ser>
          <c:idx val="0"/>
          <c:order val="0"/>
          <c:tx>
            <c:strRef>
              <c:f>[工作簿1]Sheet1!$B$31</c:f>
              <c:strCache>
                <c:ptCount val="1"/>
                <c:pt idx="0">
                  <c:v>风速(m/s)</c:v>
                </c:pt>
              </c:strCache>
            </c:strRef>
          </c:tx>
          <c:spPr>
            <a:ln w="28575" cap="rnd">
              <a:solidFill>
                <a:schemeClr val="accent1"/>
              </a:solidFill>
              <a:round/>
            </a:ln>
            <a:effectLst/>
          </c:spPr>
          <c:marker>
            <c:symbol val="none"/>
          </c:marker>
          <c:cat>
            <c:strRef>
              <c:f>[工作簿1]Sheet1!$C$30:$N$30</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[工作簿1]Sheet1!$C$31:$N$31</c:f>
              <c:numCache>
                <c:formatCode>General</c:formatCode>
                <c:ptCount val="12"/>
                <c:pt idx="0">
                  <c:v>2.34</c:v>
                </c:pt>
                <c:pt idx="1">
                  <c:v>2.68</c:v>
                </c:pt>
                <c:pt idx="2">
                  <c:v>2.86</c:v>
                </c:pt>
                <c:pt idx="3">
                  <c:v>2.7</c:v>
                </c:pt>
                <c:pt idx="4">
                  <c:v>2.54</c:v>
                </c:pt>
                <c:pt idx="5">
                  <c:v>2.4500000000000002</c:v>
                </c:pt>
                <c:pt idx="6">
                  <c:v>2.35</c:v>
                </c:pt>
                <c:pt idx="7">
                  <c:v>2.2999999999999998</c:v>
                </c:pt>
                <c:pt idx="8">
                  <c:v>2.15</c:v>
                </c:pt>
                <c:pt idx="9">
                  <c:v>2.0099999999999998</c:v>
                </c:pt>
                <c:pt idx="10">
                  <c:v>2.23</c:v>
                </c:pt>
                <c:pt idx="11">
                  <c:v>2.21</c:v>
                </c:pt>
              </c:numCache>
            </c:numRef>
          </c:val>
          <c:smooth val="0"/>
          <c:extLst>
            <c:ext xmlns:c16="http://schemas.microsoft.com/office/drawing/2014/chart" uri="{C3380CC4-5D6E-409C-BE32-E72D297353CC}">
              <c16:uniqueId val="{00000000-C563-4B6C-89F7-92A8DD35C163}"/>
            </c:ext>
          </c:extLst>
        </c:ser>
        <c:dLbls>
          <c:showLegendKey val="0"/>
          <c:showVal val="0"/>
          <c:showCatName val="0"/>
          <c:showSerName val="0"/>
          <c:showPercent val="0"/>
          <c:showBubbleSize val="0"/>
        </c:dLbls>
        <c:smooth val="0"/>
        <c:axId val="457818880"/>
        <c:axId val="457820416"/>
      </c:lineChart>
      <c:catAx>
        <c:axId val="45781888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457820416"/>
        <c:crosses val="autoZero"/>
        <c:auto val="1"/>
        <c:lblAlgn val="ctr"/>
        <c:lblOffset val="100"/>
        <c:noMultiLvlLbl val="0"/>
      </c:catAx>
      <c:valAx>
        <c:axId val="457820416"/>
        <c:scaling>
          <c:orientation val="minMax"/>
        </c:scaling>
        <c:delete val="0"/>
        <c:axPos val="l"/>
        <c:majorGridlines>
          <c:spPr>
            <a:ln w="9525" cap="flat" cmpd="sng" algn="ctr">
              <a:solidFill>
                <a:schemeClr val="lt1">
                  <a:lumMod val="902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457818880"/>
        <c:crosses val="autoZero"/>
        <c:crossBetween val="between"/>
      </c:valAx>
      <c:spPr>
        <a:noFill/>
        <a:ln>
          <a:noFill/>
        </a:ln>
        <a:effectLst/>
      </c:spPr>
    </c:plotArea>
    <c:legend>
      <c:legendPos val="b"/>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c:ext uri="{0b15fc19-7d7d-44ad-8c2d-2c3a37ce22c3}">
        <chartProps xmlns="https://web.wps.cn/et/2018/main" chartId="{2be55b44-97c5-4e01-9d9c-0a1d8908280b}"/>
      </c:ext>
    </c:extLst>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71"/>
    <customShpInfo spid="_x0000_s1072"/>
    <customShpInfo spid="_x0000_s1073"/>
    <customShpInfo spid="_x0000_s1074"/>
    <customShpInfo spid="_x0000_s1075"/>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9699546-CD36-48AB-8EF4-0AD7DDFAA8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18206</TotalTime>
  <Pages>307</Pages>
  <Words>30205</Words>
  <Characters>172172</Characters>
  <Application>Microsoft Office Word</Application>
  <DocSecurity>0</DocSecurity>
  <Lines>1434</Lines>
  <Paragraphs>403</Paragraphs>
  <ScaleCrop>false</ScaleCrop>
  <Company/>
  <LinksUpToDate>false</LinksUpToDate>
  <CharactersWithSpaces>201974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LIU</dc:creator>
  <cp:lastModifiedBy>dell</cp:lastModifiedBy>
  <cp:revision>379</cp:revision>
  <cp:lastPrinted>2022-08-30T08:45:00Z</cp:lastPrinted>
  <dcterms:created xsi:type="dcterms:W3CDTF">2026-01-14T02:13:00Z</dcterms:created>
  <dcterms:modified xsi:type="dcterms:W3CDTF">2026-02-12T01:03:00Z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eyJoZGlkIjoiMTc5ZTZhYzcxMzczNjI1OWZlOWNlYjgxNjZmNzA1YTQiLCJ1c2VySWQiOiI1Njc2NzY1OTEifQ==</vt:lpwstr>
  </property>
  <property fmtid="{D5CDD505-2E9C-101B-9397-08002B2CF9AE}" pid="3" name="KSOProductBuildVer">
    <vt:lpwstr>2052-12.1.0.24034</vt:lpwstr>
  </property>
  <property fmtid="{D5CDD505-2E9C-101B-9397-08002B2CF9AE}" pid="4" name="ICV">
    <vt:lpwstr>5EB9B3A244444BF68E7B828FEB579C21_12</vt:lpwstr>
  </property>
</Properties>
</file>