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B90" w:rsidRDefault="00785B90" w:rsidP="003D0D66">
      <w:pPr>
        <w:widowControl/>
        <w:spacing w:line="900" w:lineRule="exact"/>
        <w:jc w:val="center"/>
        <w:rPr>
          <w:rFonts w:ascii="方正小标宋简体" w:eastAsia="方正小标宋简体" w:hAnsi="方正小标宋简体" w:cs="方正小标宋简体"/>
          <w:color w:val="000000"/>
          <w:kern w:val="0"/>
          <w:sz w:val="43"/>
          <w:szCs w:val="43"/>
          <w:lang w:bidi="ar"/>
        </w:rPr>
      </w:pPr>
    </w:p>
    <w:p w:rsidR="00237F21" w:rsidRDefault="00237F21" w:rsidP="003D0D66">
      <w:pPr>
        <w:widowControl/>
        <w:spacing w:line="900" w:lineRule="exact"/>
        <w:jc w:val="center"/>
        <w:rPr>
          <w:rFonts w:ascii="方正小标宋简体" w:eastAsia="方正小标宋简体" w:hAnsi="方正小标宋简体" w:cs="方正小标宋简体"/>
          <w:color w:val="000000"/>
          <w:kern w:val="0"/>
          <w:sz w:val="43"/>
          <w:szCs w:val="43"/>
          <w:lang w:bidi="ar"/>
        </w:rPr>
      </w:pPr>
    </w:p>
    <w:p w:rsidR="00237F21" w:rsidRDefault="00237F21" w:rsidP="003D0D66">
      <w:pPr>
        <w:widowControl/>
        <w:spacing w:line="900" w:lineRule="exact"/>
        <w:jc w:val="center"/>
        <w:rPr>
          <w:rFonts w:ascii="方正小标宋简体" w:eastAsia="方正小标宋简体" w:hAnsi="方正小标宋简体" w:cs="方正小标宋简体"/>
          <w:color w:val="000000"/>
          <w:kern w:val="0"/>
          <w:sz w:val="43"/>
          <w:szCs w:val="43"/>
          <w:lang w:bidi="ar"/>
        </w:rPr>
      </w:pPr>
    </w:p>
    <w:p w:rsidR="00237F21" w:rsidRDefault="00237F21" w:rsidP="003D0D66">
      <w:pPr>
        <w:widowControl/>
        <w:spacing w:line="900" w:lineRule="exact"/>
        <w:jc w:val="center"/>
        <w:rPr>
          <w:rFonts w:ascii="方正小标宋简体" w:eastAsia="方正小标宋简体" w:hAnsi="方正小标宋简体" w:cs="方正小标宋简体"/>
          <w:color w:val="000000"/>
          <w:kern w:val="0"/>
          <w:sz w:val="43"/>
          <w:szCs w:val="43"/>
          <w:lang w:bidi="ar"/>
        </w:rPr>
      </w:pPr>
    </w:p>
    <w:p w:rsidR="00237F21" w:rsidRDefault="00237F21" w:rsidP="003D0D66">
      <w:pPr>
        <w:widowControl/>
        <w:spacing w:line="900" w:lineRule="exact"/>
        <w:jc w:val="center"/>
        <w:rPr>
          <w:rFonts w:ascii="方正小标宋简体" w:eastAsia="方正小标宋简体" w:hAnsi="方正小标宋简体" w:cs="方正小标宋简体"/>
          <w:color w:val="000000"/>
          <w:kern w:val="0"/>
          <w:sz w:val="43"/>
          <w:szCs w:val="43"/>
          <w:lang w:bidi="ar"/>
        </w:rPr>
      </w:pPr>
    </w:p>
    <w:p w:rsidR="00785B90" w:rsidRDefault="00237F21">
      <w:pPr>
        <w:widowControl/>
        <w:jc w:val="center"/>
      </w:pPr>
      <w:r>
        <w:rPr>
          <w:rFonts w:ascii="仿宋_GB2312" w:eastAsia="仿宋_GB2312" w:hAnsi="宋体" w:cs="仿宋_GB2312"/>
          <w:color w:val="000000"/>
          <w:kern w:val="0"/>
          <w:sz w:val="31"/>
          <w:szCs w:val="31"/>
          <w:lang w:bidi="ar"/>
        </w:rPr>
        <w:t>蚌</w:t>
      </w:r>
      <w:r>
        <w:rPr>
          <w:rFonts w:ascii="仿宋_GB2312" w:eastAsia="仿宋_GB2312" w:hAnsi="宋体" w:cs="仿宋_GB2312" w:hint="eastAsia"/>
          <w:color w:val="000000"/>
          <w:kern w:val="0"/>
          <w:sz w:val="31"/>
          <w:szCs w:val="31"/>
          <w:lang w:bidi="ar"/>
        </w:rPr>
        <w:t>淮</w:t>
      </w:r>
      <w:r>
        <w:rPr>
          <w:rFonts w:ascii="仿宋_GB2312" w:eastAsia="仿宋_GB2312" w:hAnsi="宋体" w:cs="仿宋_GB2312"/>
          <w:color w:val="000000"/>
          <w:kern w:val="0"/>
          <w:sz w:val="31"/>
          <w:szCs w:val="31"/>
          <w:lang w:bidi="ar"/>
        </w:rPr>
        <w:t>应急〔2023〕11号</w:t>
      </w:r>
    </w:p>
    <w:p w:rsidR="00785B90" w:rsidRDefault="00785B90">
      <w:pPr>
        <w:widowControl/>
        <w:jc w:val="center"/>
        <w:rPr>
          <w:rFonts w:ascii="方正小标宋简体" w:eastAsia="方正小标宋简体" w:hAnsi="方正小标宋简体" w:cs="方正小标宋简体"/>
          <w:color w:val="000000"/>
          <w:kern w:val="0"/>
          <w:sz w:val="43"/>
          <w:szCs w:val="43"/>
          <w:lang w:bidi="ar"/>
        </w:rPr>
      </w:pPr>
    </w:p>
    <w:p w:rsidR="00785B90" w:rsidRDefault="00237F21" w:rsidP="00237F21">
      <w:pPr>
        <w:widowControl/>
        <w:spacing w:line="700" w:lineRule="exact"/>
        <w:jc w:val="center"/>
        <w:rPr>
          <w:rFonts w:ascii="方正小标宋简体" w:eastAsia="方正小标宋简体" w:hAnsi="方正小标宋简体" w:cs="方正小标宋简体"/>
          <w:color w:val="000000"/>
          <w:kern w:val="0"/>
          <w:sz w:val="43"/>
          <w:szCs w:val="43"/>
          <w:lang w:bidi="ar"/>
        </w:rPr>
      </w:pPr>
      <w:r>
        <w:rPr>
          <w:rFonts w:ascii="方正小标宋简体" w:eastAsia="方正小标宋简体" w:hAnsi="方正小标宋简体" w:cs="方正小标宋简体"/>
          <w:color w:val="000000"/>
          <w:kern w:val="0"/>
          <w:sz w:val="43"/>
          <w:szCs w:val="43"/>
          <w:lang w:bidi="ar"/>
        </w:rPr>
        <w:t>关于印发</w:t>
      </w:r>
      <w:r>
        <w:rPr>
          <w:rFonts w:ascii="方正小标宋简体" w:eastAsia="方正小标宋简体" w:hAnsi="方正小标宋简体" w:cs="方正小标宋简体" w:hint="eastAsia"/>
          <w:color w:val="000000"/>
          <w:kern w:val="0"/>
          <w:sz w:val="43"/>
          <w:szCs w:val="43"/>
          <w:lang w:bidi="ar"/>
        </w:rPr>
        <w:t>《2023年全区工贸行业安全监管</w:t>
      </w:r>
    </w:p>
    <w:p w:rsidR="00785B90" w:rsidRDefault="00237F21" w:rsidP="00237F21">
      <w:pPr>
        <w:widowControl/>
        <w:spacing w:line="700" w:lineRule="exact"/>
        <w:jc w:val="center"/>
      </w:pPr>
      <w:r>
        <w:rPr>
          <w:rFonts w:ascii="方正小标宋简体" w:eastAsia="方正小标宋简体" w:hAnsi="方正小标宋简体" w:cs="方正小标宋简体" w:hint="eastAsia"/>
          <w:color w:val="000000"/>
          <w:kern w:val="0"/>
          <w:sz w:val="43"/>
          <w:szCs w:val="43"/>
          <w:lang w:bidi="ar"/>
        </w:rPr>
        <w:t>工作要点》的通知</w:t>
      </w:r>
    </w:p>
    <w:p w:rsidR="00785B90" w:rsidRDefault="00785B90" w:rsidP="00237F21">
      <w:pPr>
        <w:widowControl/>
        <w:spacing w:line="240" w:lineRule="exact"/>
        <w:rPr>
          <w:rFonts w:ascii="仿宋_GB2312" w:eastAsia="仿宋_GB2312" w:hAnsi="宋体" w:cs="仿宋_GB2312"/>
          <w:color w:val="000000"/>
          <w:kern w:val="0"/>
          <w:sz w:val="31"/>
          <w:szCs w:val="31"/>
          <w:lang w:bidi="ar"/>
        </w:rPr>
      </w:pPr>
    </w:p>
    <w:p w:rsidR="00785B90" w:rsidRDefault="00237F21" w:rsidP="00237F21">
      <w:pPr>
        <w:widowControl/>
        <w:spacing w:line="560"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各镇应急办、淮上经开区管委会安环部:</w:t>
      </w:r>
    </w:p>
    <w:p w:rsidR="00785B90" w:rsidRPr="00237F21" w:rsidRDefault="00237F21" w:rsidP="00237F21">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现将《2023</w:t>
      </w:r>
      <w:r>
        <w:rPr>
          <w:rFonts w:ascii="仿宋_GB2312" w:eastAsia="仿宋_GB2312" w:hAnsi="仿宋_GB2312" w:cs="仿宋_GB2312" w:hint="eastAsia"/>
          <w:color w:val="000000"/>
          <w:sz w:val="32"/>
          <w:szCs w:val="32"/>
        </w:rPr>
        <w:t>年全区工贸行业安全监管工作要点》印发给你们，请结合实际抓好贯彻落实。</w:t>
      </w:r>
    </w:p>
    <w:p w:rsidR="00785B90" w:rsidRPr="00237F21" w:rsidRDefault="00237F21" w:rsidP="00237F21">
      <w:pPr>
        <w:pStyle w:val="HTML"/>
        <w:widowControl/>
        <w:spacing w:line="560" w:lineRule="exact"/>
        <w:ind w:firstLineChars="200" w:firstLine="640"/>
        <w:rPr>
          <w:rFonts w:ascii="仿宋_GB2312" w:eastAsia="仿宋_GB2312" w:hAnsi="仿宋_GB2312" w:cs="仿宋_GB2312" w:hint="default"/>
          <w:color w:val="000000"/>
          <w:sz w:val="32"/>
          <w:szCs w:val="32"/>
        </w:rPr>
      </w:pPr>
      <w:r>
        <w:rPr>
          <w:rFonts w:ascii="仿宋_GB2312" w:eastAsia="仿宋_GB2312" w:hAnsi="仿宋_GB2312" w:cs="仿宋_GB2312"/>
          <w:sz w:val="32"/>
          <w:szCs w:val="32"/>
        </w:rPr>
        <w:t>附件：</w:t>
      </w:r>
      <w:r>
        <w:rPr>
          <w:rFonts w:ascii="仿宋_GB2312" w:eastAsia="仿宋_GB2312" w:hAnsi="仿宋_GB2312" w:cs="仿宋_GB2312"/>
          <w:color w:val="000000"/>
          <w:sz w:val="32"/>
          <w:szCs w:val="32"/>
        </w:rPr>
        <w:t>2023年全市工贸行业安全监管工作要点</w:t>
      </w:r>
    </w:p>
    <w:p w:rsidR="00785B90" w:rsidRDefault="00785B90">
      <w:pPr>
        <w:pStyle w:val="HTML"/>
        <w:widowControl/>
        <w:ind w:firstLineChars="1300" w:firstLine="4160"/>
        <w:rPr>
          <w:rFonts w:ascii="仿宋_GB2312" w:eastAsia="仿宋_GB2312" w:hAnsi="仿宋_GB2312" w:cs="仿宋_GB2312" w:hint="default"/>
          <w:color w:val="000000"/>
          <w:sz w:val="32"/>
          <w:szCs w:val="32"/>
        </w:rPr>
      </w:pPr>
    </w:p>
    <w:p w:rsidR="00785B90" w:rsidRDefault="00785B90">
      <w:pPr>
        <w:pStyle w:val="HTML"/>
        <w:widowControl/>
        <w:ind w:firstLineChars="1300" w:firstLine="4160"/>
        <w:rPr>
          <w:rFonts w:ascii="仿宋_GB2312" w:eastAsia="仿宋_GB2312" w:hAnsi="仿宋_GB2312" w:cs="仿宋_GB2312" w:hint="default"/>
          <w:color w:val="000000"/>
          <w:sz w:val="32"/>
          <w:szCs w:val="32"/>
        </w:rPr>
      </w:pPr>
    </w:p>
    <w:p w:rsidR="00237F21" w:rsidRDefault="00237F21">
      <w:pPr>
        <w:pStyle w:val="HTML"/>
        <w:widowControl/>
        <w:ind w:firstLineChars="1300" w:firstLine="4160"/>
        <w:rPr>
          <w:rFonts w:ascii="仿宋_GB2312" w:eastAsia="仿宋_GB2312" w:hAnsi="仿宋_GB2312" w:cs="仿宋_GB2312" w:hint="default"/>
          <w:color w:val="000000"/>
          <w:sz w:val="32"/>
          <w:szCs w:val="32"/>
        </w:rPr>
      </w:pPr>
    </w:p>
    <w:p w:rsidR="00785B90" w:rsidRDefault="00237F21" w:rsidP="00237F21">
      <w:pPr>
        <w:pStyle w:val="HTML"/>
        <w:widowControl/>
        <w:spacing w:line="560" w:lineRule="exact"/>
        <w:ind w:firstLineChars="1300" w:firstLine="4160"/>
        <w:rPr>
          <w:rFonts w:ascii="仿宋_GB2312" w:eastAsia="仿宋_GB2312" w:hAnsi="仿宋_GB2312" w:cs="仿宋_GB2312" w:hint="default"/>
          <w:sz w:val="32"/>
          <w:szCs w:val="32"/>
        </w:rPr>
      </w:pPr>
      <w:r>
        <w:rPr>
          <w:rFonts w:ascii="仿宋_GB2312" w:eastAsia="仿宋_GB2312" w:hAnsi="仿宋_GB2312" w:cs="仿宋_GB2312"/>
          <w:color w:val="000000"/>
          <w:sz w:val="32"/>
          <w:szCs w:val="32"/>
        </w:rPr>
        <w:t>蚌埠市淮上区应急管理局</w:t>
      </w:r>
    </w:p>
    <w:p w:rsidR="00785B90" w:rsidRDefault="00237F21" w:rsidP="00237F21">
      <w:pPr>
        <w:pStyle w:val="HTML"/>
        <w:widowControl/>
        <w:spacing w:line="560" w:lineRule="exact"/>
        <w:rPr>
          <w:rFonts w:ascii="仿宋_GB2312" w:eastAsia="仿宋_GB2312" w:hAnsi="仿宋_GB2312" w:cs="仿宋_GB2312" w:hint="default"/>
          <w:color w:val="000000"/>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default"/>
          <w:sz w:val="32"/>
          <w:szCs w:val="32"/>
        </w:rPr>
        <w:t xml:space="preserve">                             </w:t>
      </w:r>
      <w:r>
        <w:rPr>
          <w:rFonts w:ascii="仿宋_GB2312" w:eastAsia="仿宋_GB2312" w:hAnsi="仿宋_GB2312" w:cs="仿宋_GB2312"/>
          <w:color w:val="000000"/>
          <w:sz w:val="32"/>
          <w:szCs w:val="32"/>
        </w:rPr>
        <w:t>2023年3月17日</w:t>
      </w:r>
    </w:p>
    <w:p w:rsidR="007A2BB8" w:rsidRDefault="007A2BB8" w:rsidP="00237F21">
      <w:pPr>
        <w:pStyle w:val="HTML"/>
        <w:widowControl/>
        <w:spacing w:line="560" w:lineRule="exact"/>
        <w:rPr>
          <w:rFonts w:ascii="仿宋_GB2312" w:eastAsia="仿宋_GB2312" w:hAnsi="仿宋_GB2312" w:cs="仿宋_GB2312" w:hint="default"/>
          <w:sz w:val="32"/>
          <w:szCs w:val="32"/>
        </w:rPr>
      </w:pPr>
    </w:p>
    <w:p w:rsidR="00785B90" w:rsidRDefault="00237F21" w:rsidP="00237F21">
      <w:pPr>
        <w:pStyle w:val="HTML"/>
        <w:widowControl/>
        <w:spacing w:line="560" w:lineRule="exact"/>
        <w:rPr>
          <w:rFonts w:ascii="黑体" w:eastAsia="黑体" w:cs="黑体" w:hint="default"/>
          <w:color w:val="000000"/>
          <w:sz w:val="31"/>
          <w:szCs w:val="31"/>
        </w:rPr>
      </w:pPr>
      <w:bookmarkStart w:id="0" w:name="_GoBack"/>
      <w:bookmarkEnd w:id="0"/>
      <w:r>
        <w:rPr>
          <w:rFonts w:ascii="黑体" w:eastAsia="黑体" w:cs="黑体"/>
          <w:color w:val="000000"/>
          <w:sz w:val="31"/>
          <w:szCs w:val="31"/>
        </w:rPr>
        <w:lastRenderedPageBreak/>
        <w:t>附件</w:t>
      </w:r>
    </w:p>
    <w:p w:rsidR="007A2BB8" w:rsidRDefault="007A2BB8" w:rsidP="00237F21">
      <w:pPr>
        <w:pStyle w:val="HTML"/>
        <w:widowControl/>
        <w:spacing w:line="560" w:lineRule="exact"/>
        <w:rPr>
          <w:rFonts w:hint="default"/>
        </w:rPr>
      </w:pPr>
    </w:p>
    <w:p w:rsidR="00785B90" w:rsidRDefault="00237F21" w:rsidP="00237F21">
      <w:pPr>
        <w:pStyle w:val="HTML"/>
        <w:widowControl/>
        <w:spacing w:line="560" w:lineRule="exact"/>
        <w:jc w:val="center"/>
        <w:rPr>
          <w:rFonts w:ascii="方正小标宋简体" w:eastAsia="方正小标宋简体" w:hAnsi="方正小标宋简体" w:cs="方正小标宋简体" w:hint="default"/>
          <w:color w:val="000000"/>
          <w:sz w:val="43"/>
          <w:szCs w:val="43"/>
        </w:rPr>
      </w:pPr>
      <w:r>
        <w:rPr>
          <w:rFonts w:ascii="方正小标宋简体" w:eastAsia="方正小标宋简体" w:hAnsi="方正小标宋简体" w:cs="方正小标宋简体"/>
          <w:color w:val="000000"/>
          <w:sz w:val="43"/>
          <w:szCs w:val="43"/>
        </w:rPr>
        <w:t>2023年工贸行业安全监管工作要点</w:t>
      </w:r>
    </w:p>
    <w:p w:rsidR="007A2BB8" w:rsidRDefault="007A2BB8" w:rsidP="007A2BB8">
      <w:pPr>
        <w:pStyle w:val="HTML"/>
        <w:widowControl/>
        <w:spacing w:line="300" w:lineRule="exact"/>
        <w:jc w:val="center"/>
        <w:rPr>
          <w:rFonts w:hint="default"/>
        </w:rPr>
      </w:pPr>
    </w:p>
    <w:p w:rsidR="00785B90" w:rsidRDefault="00237F21" w:rsidP="00237F21">
      <w:pPr>
        <w:pStyle w:val="HTML"/>
        <w:widowControl/>
        <w:spacing w:line="560" w:lineRule="exact"/>
        <w:ind w:firstLineChars="200" w:firstLine="620"/>
        <w:rPr>
          <w:rFonts w:hint="default"/>
        </w:rPr>
      </w:pPr>
      <w:r>
        <w:rPr>
          <w:rFonts w:ascii="Times New Roman" w:hAnsi="Times New Roman" w:hint="default"/>
          <w:color w:val="000000"/>
          <w:sz w:val="31"/>
          <w:szCs w:val="31"/>
        </w:rPr>
        <w:t>2023</w:t>
      </w:r>
      <w:r>
        <w:rPr>
          <w:rFonts w:ascii="仿宋_GB2312" w:eastAsia="仿宋_GB2312" w:cs="仿宋_GB2312"/>
          <w:color w:val="000000"/>
          <w:sz w:val="31"/>
          <w:szCs w:val="31"/>
        </w:rPr>
        <w:t>年全区工贸行业安全监管工作要点是：以习近平新时代中国特色社会主义思想为指导，深入贯彻落实党的二十大精神和习近平总书记关于安全生产重要论述，坚持人民至上、生命至上，坚持安全第一、预防为主、综合治理，进一步加强工贸重点行业领域安全监管，强化执法监督检查，持续推进安全生产专项整治，管控重大安全风险，扎实推进安全生产标准化建设，提升工贸企业基础管理水平，坚决防范和遏制工贸行业较大以上安全生产事故，确保全年工贸行业安全生产形势持续稳定。</w:t>
      </w:r>
    </w:p>
    <w:p w:rsidR="00785B90" w:rsidRDefault="00237F21" w:rsidP="00237F21">
      <w:pPr>
        <w:widowControl/>
        <w:spacing w:line="560" w:lineRule="exact"/>
        <w:ind w:firstLineChars="200" w:firstLine="620"/>
      </w:pPr>
      <w:r>
        <w:rPr>
          <w:rFonts w:ascii="黑体" w:eastAsia="黑体" w:hAnsi="宋体" w:cs="黑体" w:hint="eastAsia"/>
          <w:color w:val="000000"/>
          <w:kern w:val="0"/>
          <w:sz w:val="31"/>
          <w:szCs w:val="31"/>
          <w:lang w:bidi="ar"/>
        </w:rPr>
        <w:t>一</w:t>
      </w:r>
      <w:r>
        <w:rPr>
          <w:rFonts w:ascii="黑体" w:eastAsia="黑体" w:hAnsi="宋体" w:cs="黑体"/>
          <w:color w:val="000000"/>
          <w:kern w:val="0"/>
          <w:sz w:val="31"/>
          <w:szCs w:val="31"/>
          <w:lang w:bidi="ar"/>
        </w:rPr>
        <w:t>、加强工贸企业基础管理，促进安全管理上台阶</w:t>
      </w:r>
    </w:p>
    <w:p w:rsidR="00785B90" w:rsidRDefault="00237F21" w:rsidP="00237F21">
      <w:pPr>
        <w:pStyle w:val="HTML"/>
        <w:widowControl/>
        <w:spacing w:line="560" w:lineRule="exact"/>
        <w:ind w:firstLine="640"/>
        <w:rPr>
          <w:rFonts w:hint="default"/>
        </w:rPr>
      </w:pPr>
      <w:r>
        <w:rPr>
          <w:rFonts w:ascii="楷体_GB2312" w:eastAsia="楷体_GB2312" w:cs="楷体_GB2312" w:hint="default"/>
          <w:b/>
          <w:bCs/>
          <w:color w:val="000000"/>
          <w:sz w:val="31"/>
          <w:szCs w:val="31"/>
        </w:rPr>
        <w:t>（</w:t>
      </w:r>
      <w:r>
        <w:rPr>
          <w:rFonts w:ascii="楷体_GB2312" w:eastAsia="楷体_GB2312" w:cs="楷体_GB2312"/>
          <w:b/>
          <w:bCs/>
          <w:color w:val="000000"/>
          <w:sz w:val="31"/>
          <w:szCs w:val="31"/>
        </w:rPr>
        <w:t>一</w:t>
      </w:r>
      <w:r>
        <w:rPr>
          <w:rFonts w:ascii="楷体_GB2312" w:eastAsia="楷体_GB2312" w:cs="楷体_GB2312" w:hint="default"/>
          <w:b/>
          <w:bCs/>
          <w:color w:val="000000"/>
          <w:sz w:val="31"/>
          <w:szCs w:val="31"/>
        </w:rPr>
        <w:t>）开展工贸企业基础状况全面调查。</w:t>
      </w:r>
      <w:r>
        <w:rPr>
          <w:rFonts w:ascii="仿宋_GB2312" w:eastAsia="仿宋_GB2312" w:cs="仿宋_GB2312"/>
          <w:color w:val="000000"/>
          <w:sz w:val="31"/>
          <w:szCs w:val="31"/>
        </w:rPr>
        <w:t>组织对全区工贸行业工业企业进行全面摸底调查，对金属冶炼、粉尘涉爆、涉氨制冷、使用危险化学品以及涉及有限空间作业场所企业安全管理人员、工艺设备等重点调查。建立完善信息化平台工贸企业安全管理、工艺设备等企业基本信息栏目，组织辖区内工贸企业基本信息录入并进行初审。</w:t>
      </w:r>
    </w:p>
    <w:p w:rsidR="00785B90" w:rsidRDefault="00237F21" w:rsidP="00237F21">
      <w:pPr>
        <w:pStyle w:val="HTML"/>
        <w:widowControl/>
        <w:spacing w:line="560" w:lineRule="exact"/>
        <w:ind w:firstLine="640"/>
        <w:rPr>
          <w:rFonts w:hint="default"/>
        </w:rPr>
      </w:pPr>
      <w:r>
        <w:rPr>
          <w:rFonts w:ascii="楷体_GB2312" w:eastAsia="楷体_GB2312" w:cs="楷体_GB2312" w:hint="default"/>
          <w:b/>
          <w:bCs/>
          <w:color w:val="000000"/>
          <w:sz w:val="31"/>
          <w:szCs w:val="31"/>
        </w:rPr>
        <w:t>（</w:t>
      </w:r>
      <w:r>
        <w:rPr>
          <w:rFonts w:ascii="楷体_GB2312" w:eastAsia="楷体_GB2312" w:cs="楷体_GB2312"/>
          <w:b/>
          <w:bCs/>
          <w:color w:val="000000"/>
          <w:sz w:val="31"/>
          <w:szCs w:val="31"/>
        </w:rPr>
        <w:t>二</w:t>
      </w:r>
      <w:r>
        <w:rPr>
          <w:rFonts w:ascii="楷体_GB2312" w:eastAsia="楷体_GB2312" w:cs="楷体_GB2312" w:hint="default"/>
          <w:b/>
          <w:bCs/>
          <w:color w:val="000000"/>
          <w:sz w:val="31"/>
          <w:szCs w:val="31"/>
        </w:rPr>
        <w:t>）强化源头管理，提高本质安全。</w:t>
      </w:r>
      <w:r>
        <w:rPr>
          <w:rFonts w:ascii="仿宋_GB2312" w:eastAsia="仿宋_GB2312" w:cs="仿宋_GB2312"/>
          <w:color w:val="000000"/>
          <w:sz w:val="31"/>
          <w:szCs w:val="31"/>
        </w:rPr>
        <w:t>一是进一步规范工贸行业建设项目安全设施</w:t>
      </w:r>
      <w:r>
        <w:rPr>
          <w:rFonts w:ascii="Times New Roman" w:hAnsi="Times New Roman" w:hint="default"/>
          <w:color w:val="000000"/>
          <w:sz w:val="31"/>
          <w:szCs w:val="31"/>
        </w:rPr>
        <w:t>“</w:t>
      </w:r>
      <w:r>
        <w:rPr>
          <w:rFonts w:ascii="仿宋_GB2312" w:eastAsia="仿宋_GB2312" w:cs="仿宋_GB2312"/>
          <w:color w:val="000000"/>
          <w:sz w:val="31"/>
          <w:szCs w:val="31"/>
        </w:rPr>
        <w:t>三同时</w:t>
      </w:r>
      <w:r>
        <w:rPr>
          <w:rFonts w:ascii="Times New Roman" w:hAnsi="Times New Roman" w:hint="default"/>
          <w:color w:val="000000"/>
          <w:sz w:val="31"/>
          <w:szCs w:val="31"/>
        </w:rPr>
        <w:t>”</w:t>
      </w:r>
      <w:r>
        <w:rPr>
          <w:rFonts w:ascii="仿宋_GB2312" w:eastAsia="仿宋_GB2312" w:cs="仿宋_GB2312"/>
          <w:color w:val="000000"/>
          <w:sz w:val="31"/>
          <w:szCs w:val="31"/>
        </w:rPr>
        <w:t>，从源头上把好关。对一般工贸企业新建、改扩建项目，严格按照《关于加强工贸行业（不含金属冶炼）建设项目安全设施</w:t>
      </w:r>
      <w:r>
        <w:rPr>
          <w:rFonts w:ascii="Times New Roman" w:hAnsi="Times New Roman" w:hint="default"/>
          <w:color w:val="000000"/>
          <w:sz w:val="31"/>
          <w:szCs w:val="31"/>
        </w:rPr>
        <w:t>“</w:t>
      </w:r>
      <w:r>
        <w:rPr>
          <w:rFonts w:ascii="仿宋_GB2312" w:eastAsia="仿宋_GB2312" w:cs="仿宋_GB2312"/>
          <w:color w:val="000000"/>
          <w:sz w:val="31"/>
          <w:szCs w:val="31"/>
        </w:rPr>
        <w:t>三同时</w:t>
      </w:r>
      <w:r>
        <w:rPr>
          <w:rFonts w:ascii="Times New Roman" w:hAnsi="Times New Roman" w:hint="default"/>
          <w:color w:val="000000"/>
          <w:sz w:val="31"/>
          <w:szCs w:val="31"/>
        </w:rPr>
        <w:t>”</w:t>
      </w:r>
      <w:r>
        <w:rPr>
          <w:rFonts w:ascii="仿宋_GB2312" w:eastAsia="仿宋_GB2312" w:cs="仿宋_GB2312"/>
          <w:color w:val="000000"/>
          <w:sz w:val="31"/>
          <w:szCs w:val="31"/>
        </w:rPr>
        <w:t>的通知》要求，督促企业规范执行安全设施</w:t>
      </w:r>
      <w:r>
        <w:rPr>
          <w:rFonts w:ascii="Times New Roman" w:hAnsi="Times New Roman" w:hint="default"/>
          <w:color w:val="000000"/>
          <w:sz w:val="31"/>
          <w:szCs w:val="31"/>
        </w:rPr>
        <w:t>“</w:t>
      </w:r>
      <w:r>
        <w:rPr>
          <w:rFonts w:ascii="仿宋_GB2312" w:eastAsia="仿宋_GB2312" w:cs="仿宋_GB2312"/>
          <w:color w:val="000000"/>
          <w:sz w:val="31"/>
          <w:szCs w:val="31"/>
        </w:rPr>
        <w:t>三同时</w:t>
      </w:r>
      <w:r>
        <w:rPr>
          <w:rFonts w:ascii="Times New Roman" w:hAnsi="Times New Roman" w:hint="default"/>
          <w:color w:val="000000"/>
          <w:sz w:val="31"/>
          <w:szCs w:val="31"/>
        </w:rPr>
        <w:t>”</w:t>
      </w:r>
      <w:r>
        <w:rPr>
          <w:rFonts w:ascii="仿宋_GB2312" w:eastAsia="仿宋_GB2312" w:cs="仿宋_GB2312"/>
          <w:color w:val="000000"/>
          <w:sz w:val="31"/>
          <w:szCs w:val="31"/>
        </w:rPr>
        <w:t>；对属于高危行业的金属冶炼新建、</w:t>
      </w:r>
      <w:r>
        <w:rPr>
          <w:rFonts w:ascii="仿宋_GB2312" w:eastAsia="仿宋_GB2312" w:cs="仿宋_GB2312"/>
          <w:color w:val="000000"/>
          <w:sz w:val="31"/>
          <w:szCs w:val="31"/>
        </w:rPr>
        <w:lastRenderedPageBreak/>
        <w:t>改扩建项目，严格按照《建设项目安</w:t>
      </w:r>
      <w:r>
        <w:rPr>
          <w:rFonts w:ascii="仿宋_GB2312" w:eastAsia="仿宋_GB2312" w:cs="仿宋_GB2312"/>
          <w:color w:val="000000"/>
          <w:sz w:val="31"/>
          <w:szCs w:val="31"/>
          <w:lang w:bidi="ar"/>
        </w:rPr>
        <w:t>全设施</w:t>
      </w:r>
      <w:r>
        <w:rPr>
          <w:rFonts w:ascii="Times New Roman" w:hAnsi="Times New Roman" w:hint="default"/>
          <w:color w:val="000000"/>
          <w:sz w:val="31"/>
          <w:szCs w:val="31"/>
          <w:lang w:bidi="ar"/>
        </w:rPr>
        <w:t>“</w:t>
      </w:r>
      <w:r>
        <w:rPr>
          <w:rFonts w:ascii="仿宋_GB2312" w:eastAsia="仿宋_GB2312" w:cs="仿宋_GB2312"/>
          <w:color w:val="000000"/>
          <w:sz w:val="31"/>
          <w:szCs w:val="31"/>
          <w:lang w:bidi="ar"/>
        </w:rPr>
        <w:t>三同时</w:t>
      </w:r>
      <w:r>
        <w:rPr>
          <w:rFonts w:ascii="Times New Roman" w:hAnsi="Times New Roman" w:hint="default"/>
          <w:color w:val="000000"/>
          <w:sz w:val="31"/>
          <w:szCs w:val="31"/>
          <w:lang w:bidi="ar"/>
        </w:rPr>
        <w:t>”</w:t>
      </w:r>
      <w:r>
        <w:rPr>
          <w:rFonts w:ascii="仿宋_GB2312" w:eastAsia="仿宋_GB2312" w:cs="仿宋_GB2312"/>
          <w:color w:val="000000"/>
          <w:sz w:val="31"/>
          <w:szCs w:val="31"/>
          <w:lang w:bidi="ar"/>
        </w:rPr>
        <w:t>管理办法》规定，督促企业严格履行项目预</w:t>
      </w:r>
      <w:r>
        <w:rPr>
          <w:rFonts w:ascii="仿宋_GB2312" w:eastAsia="仿宋_GB2312" w:cs="仿宋_GB2312"/>
          <w:color w:val="000000"/>
          <w:sz w:val="31"/>
          <w:szCs w:val="31"/>
        </w:rPr>
        <w:t>评价、设计审批和竣工验收手续。二是对已经建成投入生产的大中型企业项目，存在设计不规范或设计与现状严重不符的，督促企业开展安全设计诊断，没有设计的要补做设计，从本质安全上防控风险；对已建成的非高危小微企业项目，没有设计的或设计不规范的，督促开展安全现状评估，提出安全防范措施。</w:t>
      </w:r>
    </w:p>
    <w:p w:rsidR="00785B90" w:rsidRDefault="00237F21" w:rsidP="00237F21">
      <w:pPr>
        <w:pStyle w:val="HTML"/>
        <w:widowControl/>
        <w:spacing w:line="560" w:lineRule="exact"/>
        <w:ind w:firstLine="640"/>
        <w:rPr>
          <w:rFonts w:hint="default"/>
        </w:rPr>
      </w:pPr>
      <w:r>
        <w:rPr>
          <w:rFonts w:ascii="楷体_GB2312" w:eastAsia="楷体_GB2312" w:cs="楷体_GB2312"/>
          <w:b/>
          <w:bCs/>
          <w:color w:val="000000"/>
          <w:sz w:val="31"/>
          <w:szCs w:val="31"/>
        </w:rPr>
        <w:t>（三）扎实推进安全生产标准化建设。</w:t>
      </w:r>
      <w:r>
        <w:rPr>
          <w:rFonts w:ascii="仿宋_GB2312" w:eastAsia="仿宋_GB2312" w:cs="仿宋_GB2312"/>
          <w:color w:val="000000"/>
          <w:sz w:val="31"/>
          <w:szCs w:val="31"/>
        </w:rPr>
        <w:t>鼓励企业积极参与标准化达标创建，以标准化建设推动企业安全管理上台阶。严把企业标准化创建工作质量，加大对组织单位和评审单位的监督指导力度，强化抽查核查，确保标准化工作质量。</w:t>
      </w:r>
    </w:p>
    <w:p w:rsidR="00785B90" w:rsidRDefault="00237F21" w:rsidP="00237F21">
      <w:pPr>
        <w:pStyle w:val="HTML"/>
        <w:widowControl/>
        <w:spacing w:line="560" w:lineRule="exact"/>
        <w:ind w:firstLine="640"/>
        <w:rPr>
          <w:rFonts w:hint="default"/>
        </w:rPr>
      </w:pPr>
      <w:r>
        <w:rPr>
          <w:rFonts w:ascii="楷体_GB2312" w:eastAsia="楷体_GB2312" w:cs="楷体_GB2312" w:hint="default"/>
          <w:b/>
          <w:bCs/>
          <w:color w:val="000000"/>
          <w:sz w:val="31"/>
          <w:szCs w:val="31"/>
        </w:rPr>
        <w:t>（</w:t>
      </w:r>
      <w:r>
        <w:rPr>
          <w:rFonts w:ascii="楷体_GB2312" w:eastAsia="楷体_GB2312" w:cs="楷体_GB2312"/>
          <w:b/>
          <w:bCs/>
          <w:color w:val="000000"/>
          <w:sz w:val="31"/>
          <w:szCs w:val="31"/>
        </w:rPr>
        <w:t>四</w:t>
      </w:r>
      <w:r>
        <w:rPr>
          <w:rFonts w:ascii="楷体_GB2312" w:eastAsia="楷体_GB2312" w:cs="楷体_GB2312" w:hint="default"/>
          <w:b/>
          <w:bCs/>
          <w:color w:val="000000"/>
          <w:sz w:val="31"/>
          <w:szCs w:val="31"/>
        </w:rPr>
        <w:t>）持续推进</w:t>
      </w:r>
      <w:r>
        <w:rPr>
          <w:rFonts w:ascii="Times New Roman Bold" w:eastAsia="Times New Roman Bold" w:hAnsi="Times New Roman Bold" w:cs="Times New Roman Bold"/>
          <w:b/>
          <w:bCs/>
          <w:color w:val="000000"/>
          <w:sz w:val="31"/>
          <w:szCs w:val="31"/>
        </w:rPr>
        <w:t>“</w:t>
      </w:r>
      <w:r>
        <w:rPr>
          <w:rFonts w:ascii="楷体_GB2312" w:eastAsia="楷体_GB2312" w:cs="楷体_GB2312" w:hint="default"/>
          <w:b/>
          <w:bCs/>
          <w:color w:val="000000"/>
          <w:sz w:val="31"/>
          <w:szCs w:val="31"/>
        </w:rPr>
        <w:t>双重预防</w:t>
      </w:r>
      <w:r>
        <w:rPr>
          <w:rFonts w:ascii="Times New Roman Bold" w:eastAsia="Times New Roman Bold" w:hAnsi="Times New Roman Bold" w:cs="Times New Roman Bold" w:hint="default"/>
          <w:b/>
          <w:bCs/>
          <w:color w:val="000000"/>
          <w:sz w:val="31"/>
          <w:szCs w:val="31"/>
        </w:rPr>
        <w:t>”</w:t>
      </w:r>
      <w:r>
        <w:rPr>
          <w:rFonts w:ascii="楷体_GB2312" w:eastAsia="楷体_GB2312" w:cs="楷体_GB2312" w:hint="default"/>
          <w:b/>
          <w:bCs/>
          <w:color w:val="000000"/>
          <w:sz w:val="31"/>
          <w:szCs w:val="31"/>
        </w:rPr>
        <w:t>机制建设。</w:t>
      </w:r>
      <w:r>
        <w:rPr>
          <w:rFonts w:ascii="仿宋_GB2312" w:eastAsia="仿宋_GB2312" w:cs="仿宋_GB2312"/>
          <w:color w:val="000000"/>
          <w:sz w:val="31"/>
          <w:szCs w:val="31"/>
        </w:rPr>
        <w:t>随着新修订《安全生产法》的实施，</w:t>
      </w:r>
      <w:r>
        <w:rPr>
          <w:rFonts w:ascii="Times New Roman" w:hAnsi="Times New Roman" w:hint="default"/>
          <w:color w:val="000000"/>
          <w:sz w:val="31"/>
          <w:szCs w:val="31"/>
        </w:rPr>
        <w:t>“</w:t>
      </w:r>
      <w:r>
        <w:rPr>
          <w:rFonts w:ascii="仿宋_GB2312" w:eastAsia="仿宋_GB2312" w:cs="仿宋_GB2312"/>
          <w:color w:val="000000"/>
          <w:sz w:val="31"/>
          <w:szCs w:val="31"/>
        </w:rPr>
        <w:t>双重预防</w:t>
      </w:r>
      <w:r>
        <w:rPr>
          <w:rFonts w:ascii="Times New Roman" w:hAnsi="Times New Roman" w:hint="default"/>
          <w:color w:val="000000"/>
          <w:sz w:val="31"/>
          <w:szCs w:val="31"/>
        </w:rPr>
        <w:t>”</w:t>
      </w:r>
      <w:r>
        <w:rPr>
          <w:rFonts w:ascii="仿宋_GB2312" w:eastAsia="仿宋_GB2312" w:cs="仿宋_GB2312"/>
          <w:color w:val="000000"/>
          <w:sz w:val="31"/>
          <w:szCs w:val="31"/>
        </w:rPr>
        <w:t>机制建设被写入安全生产法，积极转变思路，把主推</w:t>
      </w:r>
      <w:r>
        <w:rPr>
          <w:rFonts w:ascii="Times New Roman" w:hAnsi="Times New Roman" w:hint="default"/>
          <w:color w:val="000000"/>
          <w:sz w:val="31"/>
          <w:szCs w:val="31"/>
        </w:rPr>
        <w:t>“</w:t>
      </w:r>
      <w:r>
        <w:rPr>
          <w:rFonts w:ascii="仿宋_GB2312" w:eastAsia="仿宋_GB2312" w:cs="仿宋_GB2312"/>
          <w:color w:val="000000"/>
          <w:sz w:val="31"/>
          <w:szCs w:val="31"/>
        </w:rPr>
        <w:t>六项机制</w:t>
      </w:r>
      <w:r>
        <w:rPr>
          <w:rFonts w:ascii="Times New Roman" w:hAnsi="Times New Roman" w:hint="default"/>
          <w:color w:val="000000"/>
          <w:sz w:val="31"/>
          <w:szCs w:val="31"/>
        </w:rPr>
        <w:t>”</w:t>
      </w:r>
      <w:r>
        <w:rPr>
          <w:rFonts w:ascii="仿宋_GB2312" w:eastAsia="仿宋_GB2312" w:cs="仿宋_GB2312"/>
          <w:color w:val="000000"/>
          <w:sz w:val="31"/>
          <w:szCs w:val="31"/>
        </w:rPr>
        <w:t>建设转变为推进</w:t>
      </w:r>
      <w:r>
        <w:rPr>
          <w:rFonts w:ascii="Times New Roman" w:hAnsi="Times New Roman" w:hint="default"/>
          <w:color w:val="000000"/>
          <w:sz w:val="31"/>
          <w:szCs w:val="31"/>
        </w:rPr>
        <w:t>“</w:t>
      </w:r>
      <w:r>
        <w:rPr>
          <w:rFonts w:ascii="仿宋_GB2312" w:eastAsia="仿宋_GB2312" w:cs="仿宋_GB2312"/>
          <w:color w:val="000000"/>
          <w:sz w:val="31"/>
          <w:szCs w:val="31"/>
        </w:rPr>
        <w:t>双重预防</w:t>
      </w:r>
      <w:r>
        <w:rPr>
          <w:rFonts w:ascii="Times New Roman" w:hAnsi="Times New Roman" w:hint="default"/>
          <w:color w:val="000000"/>
          <w:sz w:val="31"/>
          <w:szCs w:val="31"/>
        </w:rPr>
        <w:t>”</w:t>
      </w:r>
      <w:r>
        <w:rPr>
          <w:rFonts w:ascii="仿宋_GB2312" w:eastAsia="仿宋_GB2312" w:cs="仿宋_GB2312"/>
          <w:color w:val="000000"/>
          <w:sz w:val="31"/>
          <w:szCs w:val="31"/>
        </w:rPr>
        <w:t>机制建设，将</w:t>
      </w:r>
      <w:r>
        <w:rPr>
          <w:rFonts w:ascii="Times New Roman" w:hAnsi="Times New Roman" w:hint="default"/>
          <w:color w:val="000000"/>
          <w:sz w:val="31"/>
          <w:szCs w:val="31"/>
        </w:rPr>
        <w:t>“</w:t>
      </w:r>
      <w:r>
        <w:rPr>
          <w:rFonts w:ascii="仿宋_GB2312" w:eastAsia="仿宋_GB2312" w:cs="仿宋_GB2312"/>
          <w:color w:val="000000"/>
          <w:sz w:val="31"/>
          <w:szCs w:val="31"/>
        </w:rPr>
        <w:t>双重预防</w:t>
      </w:r>
      <w:r>
        <w:rPr>
          <w:rFonts w:ascii="Times New Roman" w:hAnsi="Times New Roman" w:hint="default"/>
          <w:color w:val="000000"/>
          <w:sz w:val="31"/>
          <w:szCs w:val="31"/>
        </w:rPr>
        <w:t>”</w:t>
      </w:r>
      <w:r>
        <w:rPr>
          <w:rFonts w:ascii="仿宋_GB2312" w:eastAsia="仿宋_GB2312" w:cs="仿宋_GB2312"/>
          <w:color w:val="000000"/>
          <w:sz w:val="31"/>
          <w:szCs w:val="31"/>
        </w:rPr>
        <w:t>机制建设纳入监管执法，在全区范围内开展</w:t>
      </w:r>
      <w:r>
        <w:rPr>
          <w:rFonts w:ascii="Times New Roman" w:hAnsi="Times New Roman" w:hint="default"/>
          <w:color w:val="000000"/>
          <w:sz w:val="31"/>
          <w:szCs w:val="31"/>
        </w:rPr>
        <w:t>“</w:t>
      </w:r>
      <w:r>
        <w:rPr>
          <w:rFonts w:ascii="仿宋_GB2312" w:eastAsia="仿宋_GB2312" w:cs="仿宋_GB2312"/>
          <w:color w:val="000000"/>
          <w:sz w:val="31"/>
          <w:szCs w:val="31"/>
        </w:rPr>
        <w:t>双重预防</w:t>
      </w:r>
      <w:r>
        <w:rPr>
          <w:rFonts w:ascii="Times New Roman" w:hAnsi="Times New Roman" w:hint="default"/>
          <w:color w:val="000000"/>
          <w:sz w:val="31"/>
          <w:szCs w:val="31"/>
        </w:rPr>
        <w:t>”</w:t>
      </w:r>
      <w:r>
        <w:rPr>
          <w:rFonts w:ascii="仿宋_GB2312" w:eastAsia="仿宋_GB2312" w:cs="仿宋_GB2312"/>
          <w:color w:val="000000"/>
          <w:sz w:val="31"/>
          <w:szCs w:val="31"/>
        </w:rPr>
        <w:t>机制建设专项检查，深入各类企业开展安全生产风险分级管控工作，确保企业建立风险点清单，落实管控措施，设置各类风险告示牌，着力构建安全风险分级管控和隐患排查治理双重预防机制，有效防范较大事故发生。</w:t>
      </w:r>
    </w:p>
    <w:p w:rsidR="00785B90" w:rsidRDefault="00237F21" w:rsidP="00237F21">
      <w:pPr>
        <w:pStyle w:val="HTML"/>
        <w:widowControl/>
        <w:spacing w:line="560" w:lineRule="exact"/>
        <w:ind w:firstLine="640"/>
        <w:rPr>
          <w:rFonts w:hint="default"/>
        </w:rPr>
      </w:pPr>
      <w:r>
        <w:rPr>
          <w:rFonts w:ascii="黑体" w:eastAsia="黑体" w:cs="黑体"/>
          <w:color w:val="000000"/>
          <w:sz w:val="31"/>
          <w:szCs w:val="31"/>
        </w:rPr>
        <w:t>二、强化安全专项整治，管控重大安全风险</w:t>
      </w:r>
    </w:p>
    <w:p w:rsidR="00785B90" w:rsidRDefault="00237F21" w:rsidP="00237F21">
      <w:pPr>
        <w:pStyle w:val="HTML"/>
        <w:widowControl/>
        <w:spacing w:line="560" w:lineRule="exact"/>
        <w:ind w:firstLine="640"/>
        <w:rPr>
          <w:rFonts w:hint="default"/>
        </w:rPr>
      </w:pPr>
      <w:r>
        <w:rPr>
          <w:rFonts w:ascii="楷体_GB2312" w:eastAsia="楷体_GB2312" w:cs="楷体_GB2312"/>
          <w:b/>
          <w:bCs/>
          <w:color w:val="000000"/>
          <w:sz w:val="31"/>
          <w:szCs w:val="31"/>
        </w:rPr>
        <w:t>（五）持续开展工贸重点行业领域安全专项整治。</w:t>
      </w:r>
      <w:r>
        <w:rPr>
          <w:rFonts w:ascii="仿宋_GB2312" w:eastAsia="仿宋_GB2312" w:cs="仿宋_GB2312"/>
          <w:color w:val="000000"/>
          <w:sz w:val="31"/>
          <w:szCs w:val="31"/>
        </w:rPr>
        <w:t>按照市安委会</w:t>
      </w:r>
      <w:r>
        <w:rPr>
          <w:rFonts w:ascii="Times New Roman" w:hAnsi="Times New Roman" w:hint="default"/>
          <w:color w:val="000000"/>
          <w:sz w:val="31"/>
          <w:szCs w:val="31"/>
        </w:rPr>
        <w:t>“</w:t>
      </w:r>
      <w:r>
        <w:rPr>
          <w:rFonts w:ascii="仿宋_GB2312" w:eastAsia="仿宋_GB2312" w:cs="仿宋_GB2312"/>
          <w:color w:val="000000"/>
          <w:sz w:val="31"/>
          <w:szCs w:val="31"/>
        </w:rPr>
        <w:t>三个狠抓</w:t>
      </w:r>
      <w:r>
        <w:rPr>
          <w:rFonts w:ascii="Times New Roman" w:hAnsi="Times New Roman" w:hint="default"/>
          <w:color w:val="000000"/>
          <w:sz w:val="31"/>
          <w:szCs w:val="31"/>
        </w:rPr>
        <w:t>”</w:t>
      </w:r>
      <w:r>
        <w:rPr>
          <w:rFonts w:ascii="仿宋_GB2312" w:eastAsia="仿宋_GB2312" w:cs="仿宋_GB2312"/>
          <w:color w:val="000000"/>
          <w:sz w:val="31"/>
          <w:szCs w:val="31"/>
        </w:rPr>
        <w:t>专项行动工作要求，督促工贸企业认真落实主体责任，严格执行安全生产各项规章制度。聚焦粉尘涉爆、有限空间作业等10项重大隐患和重点检查事项和</w:t>
      </w:r>
      <w:r>
        <w:rPr>
          <w:rFonts w:ascii="仿宋_GB2312" w:eastAsia="仿宋_GB2312" w:hAnsi="仿宋_GB2312" w:cs="仿宋_GB2312"/>
          <w:bCs/>
          <w:sz w:val="32"/>
          <w:szCs w:val="32"/>
        </w:rPr>
        <w:t>企业落实安全</w:t>
      </w:r>
      <w:r>
        <w:rPr>
          <w:rFonts w:ascii="仿宋_GB2312" w:eastAsia="仿宋_GB2312" w:hAnsi="仿宋_GB2312" w:cs="仿宋_GB2312"/>
          <w:bCs/>
          <w:sz w:val="32"/>
          <w:szCs w:val="32"/>
        </w:rPr>
        <w:lastRenderedPageBreak/>
        <w:t>生产主体责任20项</w:t>
      </w:r>
      <w:r>
        <w:rPr>
          <w:rFonts w:ascii="仿宋_GB2312" w:eastAsia="仿宋_GB2312" w:cs="仿宋_GB2312"/>
          <w:color w:val="000000"/>
          <w:sz w:val="31"/>
          <w:szCs w:val="31"/>
        </w:rPr>
        <w:t>，以涉氨制冷、粉尘涉爆、使用危险化学品以及有限空间作业等重点行业领域为重点，全面排查重大安全隐患，开展有针对性的安全专项整治工作。</w:t>
      </w:r>
    </w:p>
    <w:p w:rsidR="00785B90" w:rsidRDefault="00237F21" w:rsidP="00237F21">
      <w:pPr>
        <w:pStyle w:val="HTML"/>
        <w:widowControl/>
        <w:spacing w:line="560" w:lineRule="exact"/>
        <w:ind w:firstLine="640"/>
        <w:rPr>
          <w:rFonts w:hint="default"/>
        </w:rPr>
      </w:pPr>
      <w:r>
        <w:rPr>
          <w:rFonts w:ascii="楷体_GB2312" w:eastAsia="楷体_GB2312" w:cs="楷体_GB2312"/>
          <w:b/>
          <w:bCs/>
          <w:color w:val="000000"/>
          <w:sz w:val="31"/>
          <w:szCs w:val="31"/>
        </w:rPr>
        <w:t>（六）组织开展专家指导服务。</w:t>
      </w:r>
      <w:r>
        <w:rPr>
          <w:rFonts w:ascii="仿宋_GB2312" w:eastAsia="仿宋_GB2312" w:hAnsi="仿宋_GB2312" w:cs="仿宋_GB2312"/>
          <w:color w:val="000000"/>
          <w:sz w:val="31"/>
          <w:szCs w:val="31"/>
        </w:rPr>
        <w:t>联合淮上经开区组织开展专家指导服务，</w:t>
      </w:r>
      <w:r>
        <w:rPr>
          <w:rFonts w:ascii="仿宋_GB2312" w:eastAsia="仿宋_GB2312" w:cs="仿宋_GB2312"/>
          <w:color w:val="000000"/>
          <w:sz w:val="31"/>
          <w:szCs w:val="31"/>
        </w:rPr>
        <w:t>加大涉氨制冷、粉尘涉爆、机械铸造等行业领域专家指导服务工作力度，督促企业主要负责人依法履职，强化问题整改和隐患消除，不断提升防控重大风险的能力水平。</w:t>
      </w:r>
    </w:p>
    <w:p w:rsidR="00785B90" w:rsidRDefault="00237F21" w:rsidP="00237F21">
      <w:pPr>
        <w:widowControl/>
        <w:spacing w:line="560" w:lineRule="exact"/>
        <w:ind w:firstLineChars="200" w:firstLine="622"/>
      </w:pPr>
      <w:r>
        <w:rPr>
          <w:rFonts w:ascii="楷体_GB2312" w:eastAsia="楷体_GB2312" w:cs="楷体_GB2312"/>
          <w:b/>
          <w:bCs/>
          <w:color w:val="000000"/>
          <w:sz w:val="31"/>
          <w:szCs w:val="31"/>
        </w:rPr>
        <w:t>（</w:t>
      </w:r>
      <w:r>
        <w:rPr>
          <w:rFonts w:ascii="楷体_GB2312" w:eastAsia="楷体_GB2312" w:cs="楷体_GB2312" w:hint="eastAsia"/>
          <w:b/>
          <w:bCs/>
          <w:color w:val="000000"/>
          <w:sz w:val="31"/>
          <w:szCs w:val="31"/>
        </w:rPr>
        <w:t>七</w:t>
      </w:r>
      <w:r>
        <w:rPr>
          <w:rFonts w:ascii="楷体_GB2312" w:eastAsia="楷体_GB2312" w:cs="楷体_GB2312"/>
          <w:b/>
          <w:bCs/>
          <w:color w:val="000000"/>
          <w:sz w:val="31"/>
          <w:szCs w:val="31"/>
        </w:rPr>
        <w:t>）组织开展重点企业安全风险评估。</w:t>
      </w:r>
      <w:r>
        <w:rPr>
          <w:rFonts w:ascii="仿宋_GB2312" w:eastAsia="仿宋_GB2312" w:cs="仿宋_GB2312" w:hint="eastAsia"/>
          <w:color w:val="000000"/>
          <w:sz w:val="31"/>
          <w:szCs w:val="31"/>
        </w:rPr>
        <w:t>吸取</w:t>
      </w:r>
      <w:r>
        <w:rPr>
          <w:rFonts w:ascii="仿宋_GB2312" w:eastAsia="仿宋_GB2312" w:hAnsi="宋体" w:cs="仿宋_GB2312"/>
          <w:color w:val="000000"/>
          <w:kern w:val="0"/>
          <w:sz w:val="31"/>
          <w:szCs w:val="31"/>
          <w:lang w:bidi="ar"/>
        </w:rPr>
        <w:t>马鞍山慈湖高新区金星</w:t>
      </w:r>
      <w:r>
        <w:rPr>
          <w:rFonts w:ascii="仿宋_GB2312" w:eastAsia="仿宋_GB2312" w:cs="仿宋_GB2312" w:hint="eastAsia"/>
          <w:color w:val="000000"/>
          <w:sz w:val="31"/>
          <w:szCs w:val="31"/>
        </w:rPr>
        <w:t>钛白集团有限公司“3·10”有限空间事故教训，做好涉及有限空间作业场所企业安全风险评估。掌握相关企业安全管理现状和存在的问题，提出整改措施和意见建议，坚决遏制较大及以上生产安全事故。</w:t>
      </w:r>
    </w:p>
    <w:p w:rsidR="00785B90" w:rsidRDefault="00237F21" w:rsidP="00237F21">
      <w:pPr>
        <w:pStyle w:val="HTML"/>
        <w:widowControl/>
        <w:spacing w:line="560" w:lineRule="exact"/>
        <w:ind w:firstLine="640"/>
        <w:rPr>
          <w:rFonts w:hint="default"/>
        </w:rPr>
      </w:pPr>
      <w:r>
        <w:rPr>
          <w:rFonts w:ascii="黑体" w:eastAsia="黑体" w:cs="黑体"/>
          <w:color w:val="000000"/>
          <w:sz w:val="31"/>
          <w:szCs w:val="31"/>
        </w:rPr>
        <w:t>三、强化监管执法，创造平等营商环境</w:t>
      </w:r>
    </w:p>
    <w:p w:rsidR="00785B90" w:rsidRDefault="00237F21" w:rsidP="00237F21">
      <w:pPr>
        <w:pStyle w:val="HTML"/>
        <w:widowControl/>
        <w:spacing w:line="560" w:lineRule="exact"/>
        <w:ind w:firstLine="640"/>
        <w:rPr>
          <w:rFonts w:hint="default"/>
        </w:rPr>
      </w:pPr>
      <w:r>
        <w:rPr>
          <w:rFonts w:ascii="楷体_GB2312" w:eastAsia="楷体_GB2312" w:cs="楷体_GB2312" w:hint="default"/>
          <w:b/>
          <w:bCs/>
          <w:color w:val="000000"/>
          <w:sz w:val="31"/>
          <w:szCs w:val="31"/>
        </w:rPr>
        <w:t>（</w:t>
      </w:r>
      <w:r>
        <w:rPr>
          <w:rFonts w:ascii="楷体_GB2312" w:eastAsia="楷体_GB2312" w:cs="楷体_GB2312"/>
          <w:b/>
          <w:bCs/>
          <w:color w:val="000000"/>
          <w:sz w:val="31"/>
          <w:szCs w:val="31"/>
        </w:rPr>
        <w:t>八</w:t>
      </w:r>
      <w:r>
        <w:rPr>
          <w:rFonts w:ascii="楷体_GB2312" w:eastAsia="楷体_GB2312" w:cs="楷体_GB2312" w:hint="default"/>
          <w:b/>
          <w:bCs/>
          <w:color w:val="000000"/>
          <w:sz w:val="31"/>
          <w:szCs w:val="31"/>
        </w:rPr>
        <w:t>）严格规范执法。</w:t>
      </w:r>
      <w:r>
        <w:rPr>
          <w:rFonts w:ascii="仿宋_GB2312" w:eastAsia="仿宋_GB2312" w:cs="仿宋_GB2312"/>
          <w:color w:val="000000"/>
          <w:sz w:val="31"/>
          <w:szCs w:val="31"/>
        </w:rPr>
        <w:t>按照工贸企业分级分类监管办法规定，明确监管主体，履行监管职责。聚焦重点行业、重点企业、重大隐患和事故多发领域，规范企业动火、登高、有限空间等特种作业行为，坚持执法与服务并重，对执法检查中发现的问题和隐患，由相关专家提供安全咨询和整改指导服务，帮助企业发现问题、解决问题。既不能以安全生产名义乱罚款破坏营商环境，也不能以优化营商环境为名只执法不处罚、执法</w:t>
      </w:r>
      <w:r>
        <w:rPr>
          <w:rFonts w:ascii="Times New Roman" w:hAnsi="Times New Roman" w:hint="default"/>
          <w:color w:val="000000"/>
          <w:sz w:val="31"/>
          <w:szCs w:val="31"/>
        </w:rPr>
        <w:t>“</w:t>
      </w:r>
      <w:r>
        <w:rPr>
          <w:rFonts w:ascii="仿宋_GB2312" w:eastAsia="仿宋_GB2312" w:cs="仿宋_GB2312"/>
          <w:color w:val="000000"/>
          <w:sz w:val="31"/>
          <w:szCs w:val="31"/>
        </w:rPr>
        <w:t>宽松软</w:t>
      </w:r>
      <w:r>
        <w:rPr>
          <w:rFonts w:ascii="Times New Roman" w:hAnsi="Times New Roman" w:hint="default"/>
          <w:color w:val="000000"/>
          <w:sz w:val="31"/>
          <w:szCs w:val="31"/>
        </w:rPr>
        <w:t>”</w:t>
      </w:r>
      <w:r>
        <w:rPr>
          <w:rFonts w:ascii="仿宋_GB2312" w:eastAsia="仿宋_GB2312" w:cs="仿宋_GB2312"/>
          <w:color w:val="000000"/>
          <w:sz w:val="31"/>
          <w:szCs w:val="31"/>
        </w:rPr>
        <w:t>，做到鼓励合法合规、打击非法违规，形成良性互动，真正创优营商环境。</w:t>
      </w:r>
    </w:p>
    <w:p w:rsidR="00785B90" w:rsidRDefault="00237F21" w:rsidP="00237F21">
      <w:pPr>
        <w:pStyle w:val="HTML"/>
        <w:widowControl/>
        <w:spacing w:line="560" w:lineRule="exact"/>
        <w:ind w:firstLine="640"/>
        <w:rPr>
          <w:rFonts w:hint="default"/>
        </w:rPr>
      </w:pPr>
      <w:r>
        <w:rPr>
          <w:rFonts w:ascii="楷体_GB2312" w:eastAsia="楷体_GB2312" w:cs="楷体_GB2312" w:hint="default"/>
          <w:b/>
          <w:bCs/>
          <w:color w:val="000000"/>
          <w:sz w:val="31"/>
          <w:szCs w:val="31"/>
        </w:rPr>
        <w:t>（</w:t>
      </w:r>
      <w:r>
        <w:rPr>
          <w:rFonts w:ascii="楷体_GB2312" w:eastAsia="楷体_GB2312" w:cs="楷体_GB2312"/>
          <w:b/>
          <w:bCs/>
          <w:color w:val="000000"/>
          <w:sz w:val="31"/>
          <w:szCs w:val="31"/>
        </w:rPr>
        <w:t>九</w:t>
      </w:r>
      <w:r>
        <w:rPr>
          <w:rFonts w:ascii="楷体_GB2312" w:eastAsia="楷体_GB2312" w:cs="楷体_GB2312" w:hint="default"/>
          <w:b/>
          <w:bCs/>
          <w:color w:val="000000"/>
          <w:sz w:val="31"/>
          <w:szCs w:val="31"/>
        </w:rPr>
        <w:t>）强化事故管理。</w:t>
      </w:r>
      <w:r>
        <w:rPr>
          <w:rFonts w:ascii="仿宋_GB2312" w:eastAsia="仿宋_GB2312" w:cs="仿宋_GB2312"/>
          <w:color w:val="000000"/>
          <w:sz w:val="31"/>
          <w:szCs w:val="31"/>
        </w:rPr>
        <w:t>对工贸行业企业典型事故及时印发警示通报，定期统计分析工贸企业生产安全事故，剖析工贸企</w:t>
      </w:r>
      <w:r>
        <w:rPr>
          <w:rFonts w:ascii="仿宋_GB2312" w:eastAsia="仿宋_GB2312" w:cs="仿宋_GB2312"/>
          <w:color w:val="000000"/>
          <w:sz w:val="31"/>
          <w:szCs w:val="31"/>
        </w:rPr>
        <w:lastRenderedPageBreak/>
        <w:t>业典型事故，发现存在的共性问题，提出安全防范措施，督促工贸企业加强安全管理，坚决遏制较大以上生产安全事故，防范和减少一般事故。</w:t>
      </w:r>
    </w:p>
    <w:p w:rsidR="00785B90" w:rsidRDefault="00237F21" w:rsidP="00237F21">
      <w:pPr>
        <w:pStyle w:val="HTML"/>
        <w:widowControl/>
        <w:spacing w:line="560" w:lineRule="exact"/>
        <w:ind w:firstLine="640"/>
        <w:rPr>
          <w:rFonts w:hint="default"/>
        </w:rPr>
      </w:pPr>
      <w:r>
        <w:rPr>
          <w:rFonts w:ascii="黑体" w:eastAsia="黑体" w:cs="黑体"/>
          <w:color w:val="000000"/>
          <w:sz w:val="31"/>
          <w:szCs w:val="31"/>
        </w:rPr>
        <w:t>四、依靠科技支撑，推进安全管理信息化</w:t>
      </w:r>
    </w:p>
    <w:p w:rsidR="00785B90" w:rsidRDefault="00237F21" w:rsidP="00237F21">
      <w:pPr>
        <w:widowControl/>
        <w:spacing w:line="560" w:lineRule="exact"/>
        <w:ind w:firstLineChars="200" w:firstLine="622"/>
      </w:pPr>
      <w:r>
        <w:rPr>
          <w:rFonts w:ascii="楷体_GB2312" w:eastAsia="楷体_GB2312" w:cs="楷体_GB2312"/>
          <w:b/>
          <w:bCs/>
          <w:color w:val="000000"/>
          <w:sz w:val="31"/>
          <w:szCs w:val="31"/>
        </w:rPr>
        <w:t>（十）强化工贸企业</w:t>
      </w:r>
      <w:r>
        <w:rPr>
          <w:rFonts w:ascii="Times New Roman Bold" w:eastAsia="Times New Roman Bold" w:hAnsi="Times New Roman Bold" w:cs="Times New Roman Bold"/>
          <w:b/>
          <w:bCs/>
          <w:color w:val="000000"/>
          <w:sz w:val="31"/>
          <w:szCs w:val="31"/>
        </w:rPr>
        <w:t>“</w:t>
      </w:r>
      <w:r>
        <w:rPr>
          <w:rFonts w:ascii="楷体_GB2312" w:eastAsia="楷体_GB2312" w:cs="楷体_GB2312"/>
          <w:b/>
          <w:bCs/>
          <w:color w:val="000000"/>
          <w:sz w:val="31"/>
          <w:szCs w:val="31"/>
        </w:rPr>
        <w:t>互联网</w:t>
      </w:r>
      <w:r>
        <w:rPr>
          <w:rFonts w:ascii="Times New Roman Bold" w:eastAsia="Times New Roman Bold" w:hAnsi="Times New Roman Bold" w:cs="Times New Roman Bold"/>
          <w:b/>
          <w:bCs/>
          <w:color w:val="000000"/>
          <w:sz w:val="31"/>
          <w:szCs w:val="31"/>
        </w:rPr>
        <w:t>+</w:t>
      </w:r>
      <w:r>
        <w:rPr>
          <w:rFonts w:ascii="楷体_GB2312" w:eastAsia="楷体_GB2312" w:cs="楷体_GB2312"/>
          <w:b/>
          <w:bCs/>
          <w:color w:val="000000"/>
          <w:sz w:val="31"/>
          <w:szCs w:val="31"/>
        </w:rPr>
        <w:t>监管</w:t>
      </w:r>
      <w:r>
        <w:rPr>
          <w:rFonts w:ascii="Times New Roman Bold" w:eastAsia="Times New Roman Bold" w:hAnsi="Times New Roman Bold" w:cs="Times New Roman Bold"/>
          <w:b/>
          <w:bCs/>
          <w:color w:val="000000"/>
          <w:sz w:val="31"/>
          <w:szCs w:val="31"/>
        </w:rPr>
        <w:t>”</w:t>
      </w:r>
      <w:r>
        <w:rPr>
          <w:rFonts w:ascii="楷体_GB2312" w:eastAsia="楷体_GB2312" w:cs="楷体_GB2312"/>
          <w:b/>
          <w:bCs/>
          <w:color w:val="000000"/>
          <w:sz w:val="31"/>
          <w:szCs w:val="31"/>
        </w:rPr>
        <w:t>。</w:t>
      </w:r>
      <w:r>
        <w:rPr>
          <w:rFonts w:ascii="仿宋_GB2312" w:eastAsia="仿宋_GB2312" w:cs="仿宋_GB2312" w:hint="eastAsia"/>
          <w:color w:val="000000"/>
          <w:sz w:val="31"/>
          <w:szCs w:val="31"/>
        </w:rPr>
        <w:t>推进信息化平台的使用，确保工贸企业在信息化平台应录尽录，全面核清工贸企业底数和台账变化情况，督促企业核实完善平台</w:t>
      </w:r>
      <w:r>
        <w:rPr>
          <w:rFonts w:ascii="仿宋_GB2312" w:eastAsia="仿宋_GB2312" w:hAnsi="宋体" w:cs="仿宋_GB2312"/>
          <w:color w:val="000000"/>
          <w:kern w:val="0"/>
          <w:sz w:val="31"/>
          <w:szCs w:val="31"/>
          <w:lang w:bidi="ar"/>
        </w:rPr>
        <w:t>基础信息，从抓企业信息填报率向抓信息准确性、时效性、</w:t>
      </w:r>
      <w:r>
        <w:rPr>
          <w:rFonts w:ascii="仿宋_GB2312" w:eastAsia="仿宋_GB2312" w:cs="仿宋_GB2312" w:hint="eastAsia"/>
          <w:color w:val="000000"/>
          <w:sz w:val="31"/>
          <w:szCs w:val="31"/>
        </w:rPr>
        <w:t>高质量过度，全面掌握工贸企业安全管理动态。通过终端数据分析，合理安排监管和执法工作，全面提升数据化的安全监管能力和水平。</w:t>
      </w:r>
    </w:p>
    <w:p w:rsidR="00785B90" w:rsidRDefault="00237F21" w:rsidP="00237F21">
      <w:pPr>
        <w:pStyle w:val="HTML"/>
        <w:widowControl/>
        <w:spacing w:line="560" w:lineRule="exact"/>
        <w:ind w:firstLine="640"/>
        <w:rPr>
          <w:rFonts w:ascii="仿宋_GB2312" w:eastAsia="仿宋_GB2312" w:cs="仿宋_GB2312" w:hint="default"/>
          <w:color w:val="000000"/>
          <w:sz w:val="31"/>
          <w:szCs w:val="31"/>
        </w:rPr>
      </w:pPr>
      <w:r>
        <w:rPr>
          <w:rFonts w:ascii="楷体_GB2312" w:eastAsia="楷体_GB2312" w:cs="楷体_GB2312"/>
          <w:b/>
          <w:bCs/>
          <w:color w:val="000000"/>
          <w:sz w:val="31"/>
          <w:szCs w:val="31"/>
        </w:rPr>
        <w:t>（十一）开展</w:t>
      </w:r>
      <w:r>
        <w:rPr>
          <w:rFonts w:ascii="Times New Roman Bold" w:eastAsia="Times New Roman Bold" w:hAnsi="Times New Roman Bold" w:cs="Times New Roman Bold"/>
          <w:b/>
          <w:bCs/>
          <w:color w:val="000000"/>
          <w:sz w:val="31"/>
          <w:szCs w:val="31"/>
        </w:rPr>
        <w:t>“</w:t>
      </w:r>
      <w:r>
        <w:rPr>
          <w:rFonts w:ascii="楷体_GB2312" w:eastAsia="楷体_GB2312" w:cs="楷体_GB2312" w:hint="default"/>
          <w:b/>
          <w:bCs/>
          <w:color w:val="000000"/>
          <w:sz w:val="31"/>
          <w:szCs w:val="31"/>
        </w:rPr>
        <w:t>互联网</w:t>
      </w:r>
      <w:r>
        <w:rPr>
          <w:rFonts w:ascii="Times New Roman Bold" w:eastAsia="Times New Roman Bold" w:hAnsi="Times New Roman Bold" w:cs="Times New Roman Bold" w:hint="default"/>
          <w:b/>
          <w:bCs/>
          <w:color w:val="000000"/>
          <w:sz w:val="31"/>
          <w:szCs w:val="31"/>
        </w:rPr>
        <w:t>+”</w:t>
      </w:r>
      <w:r>
        <w:rPr>
          <w:rFonts w:ascii="楷体_GB2312" w:eastAsia="楷体_GB2312" w:cs="楷体_GB2312" w:hint="default"/>
          <w:b/>
          <w:bCs/>
          <w:color w:val="000000"/>
          <w:sz w:val="31"/>
          <w:szCs w:val="31"/>
        </w:rPr>
        <w:t>网上巡查。</w:t>
      </w:r>
      <w:r>
        <w:rPr>
          <w:rFonts w:ascii="仿宋_GB2312" w:eastAsia="仿宋_GB2312" w:cs="仿宋_GB2312"/>
          <w:color w:val="000000"/>
          <w:sz w:val="31"/>
          <w:szCs w:val="31"/>
        </w:rPr>
        <w:t>坚持现场执法检查和线上巡查</w:t>
      </w:r>
      <w:r>
        <w:rPr>
          <w:rFonts w:ascii="Times New Roman" w:hAnsi="Times New Roman" w:hint="default"/>
          <w:color w:val="000000"/>
          <w:sz w:val="31"/>
          <w:szCs w:val="31"/>
        </w:rPr>
        <w:t>“</w:t>
      </w:r>
      <w:r>
        <w:rPr>
          <w:rFonts w:ascii="仿宋_GB2312" w:eastAsia="仿宋_GB2312" w:cs="仿宋_GB2312"/>
          <w:color w:val="000000"/>
          <w:sz w:val="31"/>
          <w:szCs w:val="31"/>
        </w:rPr>
        <w:t>两条腿</w:t>
      </w:r>
      <w:r>
        <w:rPr>
          <w:rFonts w:ascii="Times New Roman" w:hAnsi="Times New Roman" w:hint="default"/>
          <w:color w:val="000000"/>
          <w:sz w:val="31"/>
          <w:szCs w:val="31"/>
        </w:rPr>
        <w:t>”</w:t>
      </w:r>
      <w:r>
        <w:rPr>
          <w:rFonts w:ascii="仿宋_GB2312" w:eastAsia="仿宋_GB2312" w:cs="仿宋_GB2312"/>
          <w:color w:val="000000"/>
          <w:sz w:val="31"/>
          <w:szCs w:val="31"/>
        </w:rPr>
        <w:t>走路，常态化开展</w:t>
      </w:r>
      <w:r>
        <w:rPr>
          <w:rFonts w:ascii="Times New Roman" w:hAnsi="Times New Roman" w:hint="default"/>
          <w:color w:val="000000"/>
          <w:sz w:val="31"/>
          <w:szCs w:val="31"/>
        </w:rPr>
        <w:t>“</w:t>
      </w:r>
      <w:r>
        <w:rPr>
          <w:rFonts w:ascii="仿宋_GB2312" w:eastAsia="仿宋_GB2312" w:cs="仿宋_GB2312"/>
          <w:color w:val="000000"/>
          <w:sz w:val="31"/>
          <w:szCs w:val="31"/>
        </w:rPr>
        <w:t>线上</w:t>
      </w:r>
      <w:r>
        <w:rPr>
          <w:rFonts w:ascii="Times New Roman" w:hAnsi="Times New Roman" w:hint="default"/>
          <w:color w:val="000000"/>
          <w:sz w:val="31"/>
          <w:szCs w:val="31"/>
        </w:rPr>
        <w:t>”</w:t>
      </w:r>
      <w:r>
        <w:rPr>
          <w:rFonts w:ascii="仿宋_GB2312" w:eastAsia="仿宋_GB2312" w:cs="仿宋_GB2312"/>
          <w:color w:val="000000"/>
          <w:sz w:val="31"/>
          <w:szCs w:val="31"/>
        </w:rPr>
        <w:t>巡查，积极拓展非现场监管执法手段及应用，增强监管实效。加强平台信息的分析和综合利用，将平台信息作为开展工贸行业安全监管各项工作的重要参考，为工贸行业精准监管提供数据支撑和决策依据。</w:t>
      </w: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237F21">
      <w:pPr>
        <w:pStyle w:val="HTML"/>
        <w:widowControl/>
        <w:spacing w:line="560" w:lineRule="exact"/>
        <w:ind w:firstLine="640"/>
        <w:rPr>
          <w:rFonts w:ascii="仿宋_GB2312" w:eastAsia="仿宋_GB2312" w:cs="仿宋_GB2312" w:hint="default"/>
          <w:color w:val="000000"/>
          <w:sz w:val="31"/>
          <w:szCs w:val="31"/>
        </w:rPr>
      </w:pPr>
    </w:p>
    <w:p w:rsidR="007A2BB8" w:rsidRDefault="007A2BB8" w:rsidP="007A2BB8">
      <w:pPr>
        <w:spacing w:line="100" w:lineRule="exact"/>
        <w:rPr>
          <w:rFonts w:ascii="仿宋_GB2312" w:eastAsia="仿宋_GB2312" w:hAnsi="仿宋_GB2312" w:cs="仿宋_GB2312"/>
          <w:spacing w:val="-10"/>
        </w:rPr>
      </w:pPr>
    </w:p>
    <w:p w:rsidR="007A2BB8" w:rsidRDefault="007A2BB8" w:rsidP="007A2BB8">
      <w:pPr>
        <w:spacing w:line="100" w:lineRule="exact"/>
        <w:rPr>
          <w:rFonts w:ascii="仿宋_GB2312" w:eastAsia="仿宋_GB2312" w:hAnsi="仿宋_GB2312" w:cs="仿宋_GB2312"/>
          <w:spacing w:val="-10"/>
        </w:rPr>
      </w:pPr>
    </w:p>
    <w:p w:rsidR="007A2BB8" w:rsidRDefault="007A2BB8" w:rsidP="007A2BB8">
      <w:pPr>
        <w:spacing w:line="100" w:lineRule="exact"/>
        <w:rPr>
          <w:rFonts w:ascii="仿宋_GB2312" w:eastAsia="仿宋_GB2312" w:hAnsi="仿宋_GB2312" w:cs="仿宋_GB2312"/>
          <w:spacing w:val="-10"/>
        </w:rPr>
      </w:pPr>
    </w:p>
    <w:p w:rsidR="007A2BB8" w:rsidRDefault="007A2BB8" w:rsidP="007A2BB8">
      <w:pPr>
        <w:spacing w:line="100" w:lineRule="exact"/>
        <w:rPr>
          <w:rFonts w:ascii="仿宋_GB2312" w:eastAsia="仿宋_GB2312" w:hAnsi="仿宋_GB2312" w:cs="仿宋_GB2312"/>
          <w:spacing w:val="-10"/>
        </w:rPr>
      </w:pPr>
    </w:p>
    <w:p w:rsidR="007A2BB8" w:rsidRDefault="007A2BB8" w:rsidP="007A2BB8">
      <w:pPr>
        <w:spacing w:line="100" w:lineRule="exact"/>
        <w:rPr>
          <w:rFonts w:ascii="仿宋_GB2312" w:eastAsia="仿宋_GB2312" w:hAnsi="仿宋_GB2312" w:cs="仿宋_GB2312"/>
          <w:spacing w:val="-10"/>
        </w:rPr>
      </w:pPr>
    </w:p>
    <w:p w:rsidR="007A2BB8" w:rsidRDefault="007A2BB8" w:rsidP="007A2BB8">
      <w:pPr>
        <w:spacing w:line="100" w:lineRule="exact"/>
        <w:rPr>
          <w:rFonts w:ascii="仿宋_GB2312" w:eastAsia="仿宋_GB2312" w:hAnsi="仿宋_GB2312" w:cs="仿宋_GB2312"/>
          <w:spacing w:val="-10"/>
        </w:rPr>
      </w:pPr>
    </w:p>
    <w:p w:rsidR="007A2BB8" w:rsidRDefault="007A2BB8" w:rsidP="007A2BB8">
      <w:pPr>
        <w:spacing w:line="100" w:lineRule="exact"/>
        <w:rPr>
          <w:rFonts w:ascii="仿宋_GB2312" w:eastAsia="仿宋_GB2312" w:hAnsi="仿宋_GB2312" w:cs="仿宋_GB2312"/>
          <w:spacing w:val="-10"/>
        </w:rPr>
      </w:pPr>
    </w:p>
    <w:p w:rsidR="007A2BB8" w:rsidRDefault="007A2BB8" w:rsidP="007A2BB8">
      <w:pPr>
        <w:spacing w:line="100" w:lineRule="exact"/>
        <w:rPr>
          <w:rFonts w:ascii="仿宋_GB2312" w:eastAsia="仿宋_GB2312" w:hAnsi="仿宋_GB2312" w:cs="仿宋_GB2312"/>
          <w:spacing w:val="-10"/>
        </w:rPr>
      </w:pPr>
    </w:p>
    <w:p w:rsidR="007A2BB8" w:rsidRDefault="007A2BB8" w:rsidP="007A2BB8">
      <w:pPr>
        <w:spacing w:line="100" w:lineRule="exact"/>
        <w:rPr>
          <w:rFonts w:ascii="仿宋_GB2312" w:eastAsia="仿宋_GB2312" w:hAnsi="仿宋_GB2312" w:cs="仿宋_GB2312"/>
          <w:spacing w:val="-10"/>
        </w:rPr>
      </w:pPr>
    </w:p>
    <w:p w:rsidR="007A2BB8" w:rsidRDefault="007A2BB8" w:rsidP="007A2BB8">
      <w:pPr>
        <w:spacing w:line="100" w:lineRule="exact"/>
        <w:rPr>
          <w:rFonts w:ascii="仿宋_GB2312" w:eastAsia="仿宋_GB2312" w:hAnsi="仿宋_GB2312" w:cs="仿宋_GB2312"/>
          <w:spacing w:val="-10"/>
        </w:rPr>
      </w:pPr>
    </w:p>
    <w:p w:rsidR="007A2BB8" w:rsidRDefault="007A2BB8" w:rsidP="007A2BB8">
      <w:pPr>
        <w:spacing w:line="100" w:lineRule="exact"/>
        <w:rPr>
          <w:rFonts w:ascii="仿宋_GB2312" w:eastAsia="仿宋_GB2312" w:hAnsi="仿宋_GB2312" w:cs="仿宋_GB2312"/>
          <w:spacing w:val="-10"/>
        </w:rPr>
      </w:pPr>
    </w:p>
    <w:tbl>
      <w:tblPr>
        <w:tblW w:w="0" w:type="auto"/>
        <w:jc w:val="center"/>
        <w:tblLayout w:type="fixed"/>
        <w:tblLook w:val="04A0" w:firstRow="1" w:lastRow="0" w:firstColumn="1" w:lastColumn="0" w:noHBand="0" w:noVBand="1"/>
      </w:tblPr>
      <w:tblGrid>
        <w:gridCol w:w="5388"/>
        <w:gridCol w:w="3367"/>
      </w:tblGrid>
      <w:tr w:rsidR="007A2BB8" w:rsidTr="009721E4">
        <w:trPr>
          <w:trHeight w:val="675"/>
          <w:jc w:val="center"/>
        </w:trPr>
        <w:tc>
          <w:tcPr>
            <w:tcW w:w="5388" w:type="dxa"/>
            <w:tcBorders>
              <w:top w:val="single" w:sz="12" w:space="0" w:color="auto"/>
              <w:left w:val="nil"/>
              <w:bottom w:val="single" w:sz="12" w:space="0" w:color="auto"/>
              <w:right w:val="nil"/>
            </w:tcBorders>
            <w:vAlign w:val="center"/>
            <w:hideMark/>
          </w:tcPr>
          <w:p w:rsidR="007A2BB8" w:rsidRDefault="007A2BB8" w:rsidP="009721E4">
            <w:pPr>
              <w:spacing w:line="3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蚌埠市淮上区应急管理局</w:t>
            </w:r>
          </w:p>
        </w:tc>
        <w:tc>
          <w:tcPr>
            <w:tcW w:w="3367" w:type="dxa"/>
            <w:tcBorders>
              <w:top w:val="single" w:sz="12" w:space="0" w:color="auto"/>
              <w:left w:val="nil"/>
              <w:bottom w:val="single" w:sz="12" w:space="0" w:color="auto"/>
              <w:right w:val="nil"/>
            </w:tcBorders>
            <w:vAlign w:val="center"/>
            <w:hideMark/>
          </w:tcPr>
          <w:p w:rsidR="007A2BB8" w:rsidRDefault="007A2BB8" w:rsidP="009721E4">
            <w:pPr>
              <w:wordWrap w:val="0"/>
              <w:spacing w:line="300" w:lineRule="exact"/>
              <w:ind w:rightChars="50" w:right="105" w:firstLine="1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2023年3月1</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日印发</w:t>
            </w:r>
          </w:p>
        </w:tc>
      </w:tr>
    </w:tbl>
    <w:p w:rsidR="007A2BB8" w:rsidRDefault="007A2BB8" w:rsidP="007A2BB8">
      <w:pPr>
        <w:pStyle w:val="HTML"/>
        <w:widowControl/>
        <w:spacing w:line="100" w:lineRule="exact"/>
        <w:rPr>
          <w:rFonts w:eastAsiaTheme="minorEastAsia" w:hint="default"/>
        </w:rPr>
      </w:pPr>
    </w:p>
    <w:sectPr w:rsidR="007A2BB8" w:rsidSect="007A2BB8">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Times New Roman 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Q4Y2JiMjk4MzE0MjRlNGNiZDQ5MTI0OGU3OTQzZWYifQ=="/>
  </w:docVars>
  <w:rsids>
    <w:rsidRoot w:val="5C394F30"/>
    <w:rsid w:val="00237F21"/>
    <w:rsid w:val="003D0D66"/>
    <w:rsid w:val="00614D9D"/>
    <w:rsid w:val="00785B90"/>
    <w:rsid w:val="007A2BB8"/>
    <w:rsid w:val="04CD196D"/>
    <w:rsid w:val="51413028"/>
    <w:rsid w:val="5C394F30"/>
    <w:rsid w:val="715B4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E8C8D"/>
  <w15:docId w15:val="{96B64674-25DD-4272-8173-698993D0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Date"/>
    <w:basedOn w:val="a"/>
    <w:next w:val="a"/>
    <w:link w:val="a4"/>
    <w:rsid w:val="007A2BB8"/>
    <w:pPr>
      <w:ind w:leftChars="2500" w:left="100"/>
    </w:pPr>
  </w:style>
  <w:style w:type="character" w:customStyle="1" w:styleId="a4">
    <w:name w:val="日期 字符"/>
    <w:basedOn w:val="a0"/>
    <w:link w:val="a3"/>
    <w:rsid w:val="007A2BB8"/>
    <w:rPr>
      <w:rFonts w:asciiTheme="minorHAnsi" w:eastAsiaTheme="minorEastAsia" w:hAnsiTheme="minorHAnsi" w:cstheme="minorBidi"/>
      <w:kern w:val="2"/>
      <w:sz w:val="21"/>
      <w:szCs w:val="24"/>
    </w:rPr>
  </w:style>
  <w:style w:type="paragraph" w:styleId="a5">
    <w:name w:val="Balloon Text"/>
    <w:basedOn w:val="a"/>
    <w:link w:val="a6"/>
    <w:rsid w:val="003D0D66"/>
    <w:rPr>
      <w:sz w:val="18"/>
      <w:szCs w:val="18"/>
    </w:rPr>
  </w:style>
  <w:style w:type="character" w:customStyle="1" w:styleId="a6">
    <w:name w:val="批注框文本 字符"/>
    <w:basedOn w:val="a0"/>
    <w:link w:val="a5"/>
    <w:rsid w:val="003D0D6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WPS_1669697649</dc:creator>
  <cp:lastModifiedBy>淮上区应急管理局收文员</cp:lastModifiedBy>
  <cp:revision>6</cp:revision>
  <cp:lastPrinted>2023-03-29T09:03:00Z</cp:lastPrinted>
  <dcterms:created xsi:type="dcterms:W3CDTF">2023-03-15T09:59:00Z</dcterms:created>
  <dcterms:modified xsi:type="dcterms:W3CDTF">2023-03-29T09:06:00Z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FB2F1C5E38D44455AEB73E09775DE433</vt:lpwstr>
  </property>
</Properties>
</file>