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38" w:rsidRPr="007B1C8F" w:rsidRDefault="00152138" w:rsidP="007B1C8F">
      <w:pPr>
        <w:spacing w:line="6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蚌埠市</w:t>
      </w:r>
      <w:r w:rsidRPr="007B1C8F">
        <w:rPr>
          <w:rFonts w:ascii="方正小标宋简体" w:eastAsia="方正小标宋简体" w:hAnsi="宋体" w:cs="宋体" w:hint="eastAsia"/>
          <w:kern w:val="0"/>
          <w:sz w:val="44"/>
          <w:szCs w:val="44"/>
        </w:rPr>
        <w:t>淮上区城市管理行政执法</w:t>
      </w:r>
    </w:p>
    <w:p w:rsidR="00152138" w:rsidRPr="007B1C8F" w:rsidRDefault="00152138" w:rsidP="007B1C8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7B1C8F">
        <w:rPr>
          <w:rFonts w:ascii="方正小标宋简体" w:eastAsia="方正小标宋简体" w:hint="eastAsia"/>
          <w:sz w:val="44"/>
          <w:szCs w:val="44"/>
        </w:rPr>
        <w:t>行政处罚自由裁量权运行流程图</w:t>
      </w:r>
    </w:p>
    <w:p w:rsidR="00152138" w:rsidRDefault="00152138" w:rsidP="00147F49">
      <w:pPr>
        <w:ind w:leftChars="-428" w:left="31680" w:rightChars="-52" w:right="31680" w:firstLineChars="256" w:firstLine="31680"/>
        <w:rPr>
          <w:rFonts w:eastAsia="Times New Roman"/>
        </w:rPr>
      </w:pPr>
      <w:r>
        <w:rPr>
          <w:noProof/>
        </w:rPr>
        <w:pict>
          <v:line id="_x0000_s1026" style="position:absolute;left:0;text-align:left;z-index:251658240" from="-18pt,530.4pt" to="45pt,530.4pt">
            <v:stroke endarrow="block"/>
          </v:line>
        </w:pict>
      </w:r>
      <w:r>
        <w:rPr>
          <w:noProof/>
        </w:rPr>
        <w:pict>
          <v:line id="_x0000_s1027" style="position:absolute;left:0;text-align:left;z-index:251659264" from="-17.6pt,429pt" to="-17.6pt,530.4pt"/>
        </w:pict>
      </w:r>
      <w:r>
        <w:rPr>
          <w:noProof/>
        </w:rPr>
      </w:r>
      <w:r w:rsidRPr="007A31E0">
        <w:pict>
          <v:group id="_x0000_s1028" editas="canvas" style="width:495pt;height:624pt;mso-position-horizontal-relative:char;mso-position-vertical-relative:line" coordorigin="1423,3743" coordsize="8608,108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23;top:3743;width:8608;height:1087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736;top:4151;width:7825;height:406">
              <v:textbox style="mso-next-textbox:#_x0000_s1030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通过日常巡查、群众投诉举报、媒体曝光、其他机关移送、上级机关交办等途径发现违法行为</w:t>
                    </w:r>
                  </w:p>
                </w:txbxContent>
              </v:textbox>
            </v:shape>
            <v:shape id="_x0000_s1031" type="#_x0000_t202" style="position:absolute;left:5179;top:4830;width:1252;height:408">
              <v:textbox style="mso-next-textbox:#_x0000_s1031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立案报批</w:t>
                    </w:r>
                  </w:p>
                </w:txbxContent>
              </v:textbox>
            </v:shape>
            <v:shape id="_x0000_s1032" type="#_x0000_t202" style="position:absolute;left:3145;top:4830;width:1252;height:408">
              <v:textbox style="mso-next-textbox:#_x0000_s1032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_x0000_s1033" type="#_x0000_t202" style="position:absolute;left:7370;top:4830;width:1252;height:408">
              <v:textbox style="mso-next-textbox:#_x0000_s1033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不予立案</w:t>
                    </w:r>
                  </w:p>
                </w:txbxContent>
              </v:textbox>
            </v:shape>
            <v:shape id="_x0000_s1034" type="#_x0000_t202" style="position:absolute;left:4240;top:5645;width:2816;height:408">
              <v:textbox style="mso-next-textbox:#_x0000_s1034">
                <w:txbxContent>
                  <w:p w:rsidR="00152138" w:rsidRDefault="00152138" w:rsidP="004F73D5">
                    <w:r>
                      <w:t>2</w:t>
                    </w:r>
                    <w:r>
                      <w:rPr>
                        <w:rFonts w:hint="eastAsia"/>
                      </w:rPr>
                      <w:t>名以上执法人员进行调查取证</w:t>
                    </w:r>
                  </w:p>
                </w:txbxContent>
              </v:textbox>
            </v:shape>
            <v:shape id="_x0000_s1035" type="#_x0000_t202" style="position:absolute;left:2832;top:6189;width:1095;height:407">
              <v:textbox style="mso-next-textbox:#_x0000_s1035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简易程序</w:t>
                    </w:r>
                  </w:p>
                </w:txbxContent>
              </v:textbox>
            </v:shape>
            <v:shape id="_x0000_s1036" type="#_x0000_t202" style="position:absolute;left:1736;top:8499;width:3120;height:949">
              <v:textbox style="mso-next-textbox:#_x0000_s1036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根据违反的法律依据和《蚌埠市城市管理行政处罚自由裁量权实施标准（试行）》作出行政处罚决定</w:t>
                    </w:r>
                  </w:p>
                </w:txbxContent>
              </v:textbox>
            </v:shape>
            <v:shape id="_x0000_s1037" type="#_x0000_t202" style="position:absolute;left:7370;top:6189;width:1096;height:407">
              <v:textbox style="mso-next-textbox:#_x0000_s1037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一般程序</w:t>
                    </w:r>
                  </w:p>
                </w:txbxContent>
              </v:textbox>
            </v:shape>
            <v:shape id="_x0000_s1038" type="#_x0000_t202" style="position:absolute;left:1736;top:7548;width:3123;height:679">
              <v:textbox style="mso-next-textbox:#_x0000_s1038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向当事人说明违法事实、证据、依据，告知陈述申辩权利、复核陈述申辩</w:t>
                    </w:r>
                  </w:p>
                </w:txbxContent>
              </v:textbox>
            </v:shape>
            <v:shape id="_x0000_s1039" type="#_x0000_t202" style="position:absolute;left:6588;top:6868;width:626;height:1631">
              <v:textbox style="layout-flow:vertical-ideographic;mso-next-textbox:#_x0000_s1039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询问调查</w:t>
                    </w:r>
                  </w:p>
                </w:txbxContent>
              </v:textbox>
            </v:shape>
            <v:shape id="_x0000_s1040" type="#_x0000_t202" style="position:absolute;left:7683;top:6868;width:626;height:1631">
              <v:textbox style="layout-flow:vertical-ideographic;mso-next-textbox:#_x0000_s1040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现场勘验</w:t>
                    </w:r>
                  </w:p>
                </w:txbxContent>
              </v:textbox>
            </v:shape>
            <v:shape id="_x0000_s1041" type="#_x0000_t202" style="position:absolute;left:8779;top:6868;width:625;height:1631">
              <v:textbox style="layout-flow:vertical-ideographic;mso-next-textbox:#_x0000_s1041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证据先行登记保存</w:t>
                    </w:r>
                  </w:p>
                </w:txbxContent>
              </v:textbox>
            </v:shape>
            <v:shape id="_x0000_s1042" type="#_x0000_t202" style="position:absolute;left:5962;top:8906;width:4069;height:952">
              <v:textbox style="mso-next-textbox:#_x0000_s1042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执法人员根据违反的法律依据、事实情况和《蚌埠市城市管理行政处罚自由裁量权实施标准（试行）》提出处罚意见，送法制部门审核。</w:t>
                    </w:r>
                  </w:p>
                </w:txbxContent>
              </v:textbox>
            </v:shape>
            <v:shape id="_x0000_s1043" type="#_x0000_t202" style="position:absolute;left:1580;top:6868;width:3443;height:407">
              <v:textbox style="mso-next-textbox:#_x0000_s1043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违法事实清楚，证据确凿，有法定依据</w:t>
                    </w:r>
                  </w:p>
                </w:txbxContent>
              </v:textbox>
            </v:shape>
            <v:shape id="_x0000_s1044" type="#_x0000_t202" style="position:absolute;left:1736;top:10129;width:1250;height:408">
              <v:textbox style="mso-next-textbox:#_x0000_s1044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罚款</w:t>
                    </w:r>
                  </w:p>
                </w:txbxContent>
              </v:textbox>
            </v:shape>
            <v:shape id="_x0000_s1045" type="#_x0000_t202" style="position:absolute;left:2675;top:11896;width:1252;height:405">
              <v:textbox style="mso-next-textbox:#_x0000_s1045">
                <w:txbxContent>
                  <w:p w:rsidR="00152138" w:rsidRDefault="00152138" w:rsidP="004F73D5">
                    <w:pPr>
                      <w:rPr>
                        <w:spacing w:val="-14"/>
                      </w:rPr>
                    </w:pPr>
                    <w:r>
                      <w:rPr>
                        <w:rFonts w:hint="eastAsia"/>
                        <w:spacing w:val="-14"/>
                      </w:rPr>
                      <w:t>事后难以执行</w:t>
                    </w:r>
                  </w:p>
                </w:txbxContent>
              </v:textbox>
            </v:shape>
            <v:shape id="_x0000_s1046" type="#_x0000_t202" style="position:absolute;left:2519;top:12711;width:2191;height:407">
              <v:textbox style="mso-next-textbox:#_x0000_s1046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结案后报所属单位备案</w:t>
                    </w:r>
                  </w:p>
                </w:txbxContent>
              </v:textbox>
            </v:shape>
            <v:shape id="_x0000_s1047" type="#_x0000_t202" style="position:absolute;left:1736;top:10944;width:1246;height:409">
              <v:textbox style="mso-next-textbox:#_x0000_s1047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当场收缴</w:t>
                    </w:r>
                  </w:p>
                </w:txbxContent>
              </v:textbox>
            </v:shape>
            <v:shape id="_x0000_s1048" type="#_x0000_t202" style="position:absolute;left:3614;top:10944;width:1565;height:409">
              <v:textbox style="mso-next-textbox:#_x0000_s1048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当事人解缴银行</w:t>
                    </w:r>
                  </w:p>
                </w:txbxContent>
              </v:textbox>
            </v:shape>
            <v:shape id="_x0000_s1049" type="#_x0000_t202" style="position:absolute;left:1580;top:11896;width:1096;height:405">
              <v:textbox style="mso-next-textbox:#_x0000_s1049">
                <w:txbxContent>
                  <w:p w:rsidR="00152138" w:rsidRDefault="00152138" w:rsidP="004F73D5">
                    <w:pPr>
                      <w:rPr>
                        <w:spacing w:val="-14"/>
                      </w:rPr>
                    </w:pPr>
                    <w:r>
                      <w:rPr>
                        <w:rFonts w:hint="eastAsia"/>
                        <w:spacing w:val="-14"/>
                      </w:rPr>
                      <w:t>二十元以下</w:t>
                    </w:r>
                  </w:p>
                </w:txbxContent>
              </v:textbox>
            </v:shape>
            <v:shape id="_x0000_s1050" type="#_x0000_t202" style="position:absolute;left:3927;top:11896;width:1722;height:405">
              <v:textbox style="mso-next-textbox:#_x0000_s1050">
                <w:txbxContent>
                  <w:p w:rsidR="00152138" w:rsidRDefault="00152138" w:rsidP="004F73D5">
                    <w:pPr>
                      <w:rPr>
                        <w:spacing w:val="-14"/>
                      </w:rPr>
                    </w:pPr>
                    <w:r>
                      <w:rPr>
                        <w:rFonts w:hint="eastAsia"/>
                        <w:spacing w:val="-14"/>
                      </w:rPr>
                      <w:t>当事人有困难且提出</w:t>
                    </w:r>
                  </w:p>
                </w:txbxContent>
              </v:textbox>
            </v:shape>
            <v:shape id="_x0000_s1051" type="#_x0000_t202" style="position:absolute;left:3614;top:10129;width:1252;height:407">
              <v:textbox style="mso-next-textbox:#_x0000_s1051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警告</w:t>
                    </w:r>
                  </w:p>
                </w:txbxContent>
              </v:textbox>
            </v:shape>
            <v:shape id="_x0000_s1052" type="#_x0000_t202" style="position:absolute;left:8309;top:10944;width:1722;height:680">
              <v:textbox style="mso-next-textbox:#_x0000_s1052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当事人要求听证的，组织听证会</w:t>
                    </w:r>
                  </w:p>
                </w:txbxContent>
              </v:textbox>
            </v:shape>
            <v:shape id="_x0000_s1053" type="#_x0000_t202" style="position:absolute;left:6588;top:11080;width:1408;height:406">
              <v:textbox style="mso-next-textbox:#_x0000_s1053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行政处罚告知</w:t>
                    </w:r>
                  </w:p>
                </w:txbxContent>
              </v:textbox>
            </v:shape>
            <v:shape id="_x0000_s1054" type="#_x0000_t202" style="position:absolute;left:6588;top:11896;width:1408;height:407">
              <v:textbox style="mso-next-textbox:#_x0000_s1054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作出处罚决定</w:t>
                    </w:r>
                  </w:p>
                </w:txbxContent>
              </v:textbox>
            </v:shape>
            <v:shape id="_x0000_s1055" type="#_x0000_t202" style="position:absolute;left:6588;top:12711;width:1408;height:408">
              <v:textbox style="mso-next-textbox:#_x0000_s1055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执行处罚决定</w:t>
                    </w:r>
                  </w:p>
                </w:txbxContent>
              </v:textbox>
            </v:shape>
            <v:shape id="_x0000_s1056" type="#_x0000_t202" style="position:absolute;left:6588;top:10265;width:1408;height:408">
              <v:textbox style="mso-next-textbox:#_x0000_s1056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案件处理审批</w:t>
                    </w:r>
                  </w:p>
                </w:txbxContent>
              </v:textbox>
            </v:shape>
            <v:shape id="_x0000_s1057" type="#_x0000_t202" style="position:absolute;left:8622;top:10129;width:1095;height:406">
              <v:textbox style="mso-next-textbox:#_x0000_s1057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听证程序</w:t>
                    </w:r>
                  </w:p>
                </w:txbxContent>
              </v:textbox>
            </v:shape>
            <v:shape id="_x0000_s1058" type="#_x0000_t202" style="position:absolute;left:8622;top:11896;width:1408;height:405">
              <v:textbox style="mso-next-textbox:#_x0000_s1058"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制作听证笔录</w:t>
                    </w:r>
                  </w:p>
                </w:txbxContent>
              </v:textbox>
            </v:shape>
            <v:line id="_x0000_s1059" style="position:absolute" from="5805,4558" to="5806,4830">
              <v:stroke endarrow="block"/>
            </v:line>
            <v:line id="_x0000_s1060" style="position:absolute;flip:x" from="4397,4966" to="5179,4967">
              <v:stroke endarrow="block"/>
            </v:line>
            <v:line id="_x0000_s1061" style="position:absolute" from="6431,4966" to="7370,4966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2" type="#_x0000_t34" style="position:absolute;left:4506;top:4503;width:407;height:1877;rotation:90;flip:x" o:connectortype="elbow" adj=",39378,-173815">
              <v:stroke endarrow="block"/>
            </v:shape>
            <v:line id="_x0000_s1063" style="position:absolute" from="5649,6053" to="5649,6325"/>
            <v:line id="_x0000_s1064" style="position:absolute" from="3927,6325" to="7370,6326">
              <v:stroke startarrow="block" endarrow="block"/>
            </v:line>
            <v:line id="_x0000_s1065" style="position:absolute" from="3301,6596" to="3302,6868">
              <v:stroke endarrow="block"/>
            </v:line>
            <v:line id="_x0000_s1066" style="position:absolute" from="3301,7276" to="3302,7548">
              <v:stroke endarrow="block"/>
            </v:line>
            <v:line id="_x0000_s1067" style="position:absolute" from="3301,8227" to="3302,8499">
              <v:stroke endarrow="block"/>
            </v:line>
            <v:line id="_x0000_s1068" style="position:absolute" from="3288,9450" to="3290,9722"/>
            <v:line id="_x0000_s1069" style="position:absolute;flip:y" from="2362,9722" to="4240,9723"/>
            <v:line id="_x0000_s1070" style="position:absolute" from="2362,9722" to="2362,10129">
              <v:stroke endarrow="block"/>
            </v:line>
            <v:line id="_x0000_s1071" style="position:absolute" from="4240,9722" to="4240,10129">
              <v:stroke endarrow="block"/>
            </v:line>
            <v:line id="_x0000_s1072" style="position:absolute" from="2362,10537" to="2362,10944">
              <v:stroke endarrow="block"/>
            </v:line>
            <v:line id="_x0000_s1073" style="position:absolute" from="2362,10673" to="4397,10673"/>
            <v:line id="_x0000_s1074" style="position:absolute" from="4397,10673" to="4397,10944">
              <v:stroke endarrow="block"/>
            </v:line>
            <v:line id="_x0000_s1075" style="position:absolute" from="2362,11352" to="2362,11624"/>
            <v:line id="_x0000_s1076" style="position:absolute" from="2362,11624" to="3458,11624"/>
            <v:line id="_x0000_s1077" style="position:absolute" from="3458,11624" to="3458,11896"/>
            <v:line id="_x0000_s1078" style="position:absolute;flip:x" from="1423,11080" to="1736,11080"/>
            <v:line id="_x0000_s1079" style="position:absolute" from="5179,11080" to="5805,11080"/>
            <v:line id="_x0000_s1080" style="position:absolute" from="5805,11080" to="5805,12847"/>
            <v:line id="_x0000_s1081" style="position:absolute;flip:x" from="4710,12847" to="5805,12847">
              <v:stroke endarrow="block"/>
            </v:line>
            <v:shape id="_x0000_s1082" type="#_x0000_t202" style="position:absolute;left:6588;top:13526;width:1721;height:408">
              <v:textbox style="mso-next-textbox:#_x0000_s1082"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结案，立卷归档</w:t>
                    </w:r>
                  </w:p>
                </w:txbxContent>
              </v:textbox>
            </v:shape>
            <v:line id="_x0000_s1083" style="position:absolute" from="6901,6732" to="9092,6732"/>
            <v:line id="_x0000_s1084" style="position:absolute" from="7996,6596" to="7996,6868"/>
            <v:line id="_x0000_s1085" style="position:absolute" from="6901,6732" to="6901,6868"/>
            <v:line id="_x0000_s1086" style="position:absolute" from="9092,6732" to="9092,6868"/>
            <v:line id="_x0000_s1087" style="position:absolute" from="6901,8499" to="6901,8635"/>
            <v:line id="_x0000_s1088" style="position:absolute" from="6901,8635" to="9092,8635"/>
            <v:line id="_x0000_s1089" style="position:absolute" from="9092,8499" to="9092,8635"/>
            <v:line id="_x0000_s1090" style="position:absolute" from="7996,8499" to="7996,8906">
              <v:stroke endarrow="block"/>
            </v:line>
            <v:line id="_x0000_s1091" style="position:absolute" from="7370,9857" to="7371,10265">
              <v:stroke endarrow="block"/>
            </v:line>
            <v:line id="_x0000_s1092" style="position:absolute" from="7370,10673" to="7371,11080">
              <v:stroke endarrow="block"/>
            </v:line>
            <v:line id="_x0000_s1093" style="position:absolute" from="7996,11216" to="8153,11216"/>
            <v:line id="_x0000_s1094" style="position:absolute" from="8153,10401" to="8153,11216"/>
            <v:line id="_x0000_s1095" style="position:absolute" from="8153,10401" to="8622,10401">
              <v:stroke endarrow="block"/>
            </v:line>
            <v:line id="_x0000_s1096" style="position:absolute" from="9248,10537" to="9249,10944">
              <v:stroke endarrow="block"/>
            </v:line>
            <v:line id="_x0000_s1097" style="position:absolute" from="9248,11624" to="9248,11896">
              <v:stroke endarrow="block"/>
            </v:line>
            <v:line id="_x0000_s1098" style="position:absolute" from="7370,11488" to="7371,11896">
              <v:stroke endarrow="block"/>
            </v:line>
            <v:line id="_x0000_s1099" style="position:absolute;flip:x" from="7996,12167" to="8622,12167">
              <v:stroke endarrow="block"/>
            </v:line>
            <v:line id="_x0000_s1100" style="position:absolute" from="7370,12303" to="7371,12711">
              <v:stroke endarrow="block"/>
            </v:line>
            <v:line id="_x0000_s1101" style="position:absolute" from="7370,13118" to="7371,13526">
              <v:stroke endarrow="block"/>
            </v:line>
            <w10:anchorlock/>
          </v:group>
        </w:pict>
      </w:r>
    </w:p>
    <w:p w:rsidR="00152138" w:rsidRDefault="00152138" w:rsidP="007B1C8F">
      <w:pPr>
        <w:spacing w:line="6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152138" w:rsidRDefault="00152138" w:rsidP="007B1C8F">
      <w:pPr>
        <w:spacing w:line="6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152138" w:rsidRPr="00C42DA2" w:rsidRDefault="00152138" w:rsidP="007B1C8F">
      <w:pPr>
        <w:spacing w:line="6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蚌埠市</w:t>
      </w:r>
      <w:r w:rsidRPr="00C42DA2">
        <w:rPr>
          <w:rFonts w:ascii="方正小标宋简体" w:eastAsia="方正小标宋简体" w:hAnsi="宋体" w:cs="宋体" w:hint="eastAsia"/>
          <w:kern w:val="0"/>
          <w:sz w:val="44"/>
          <w:szCs w:val="44"/>
        </w:rPr>
        <w:t>淮上区城市管理行政执法</w:t>
      </w:r>
    </w:p>
    <w:p w:rsidR="00152138" w:rsidRPr="00C42DA2" w:rsidRDefault="00152138" w:rsidP="007B1C8F">
      <w:pPr>
        <w:spacing w:line="6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C42DA2">
        <w:rPr>
          <w:rFonts w:ascii="方正小标宋简体" w:eastAsia="方正小标宋简体" w:hAnsi="宋体" w:cs="宋体" w:hint="eastAsia"/>
          <w:kern w:val="0"/>
          <w:sz w:val="44"/>
          <w:szCs w:val="44"/>
        </w:rPr>
        <w:t>行政强制执行流程图</w:t>
      </w:r>
    </w:p>
    <w:p w:rsidR="00152138" w:rsidRDefault="00152138" w:rsidP="004F73D5">
      <w:pPr>
        <w:rPr>
          <w:rFonts w:ascii="宋体" w:cs="宋体"/>
          <w:kern w:val="0"/>
          <w:sz w:val="17"/>
          <w:szCs w:val="17"/>
        </w:rPr>
      </w:pPr>
    </w:p>
    <w:p w:rsidR="00152138" w:rsidRPr="007B1C8F" w:rsidRDefault="00152138" w:rsidP="007B1C8F">
      <w:pPr>
        <w:rPr>
          <w:rFonts w:eastAsia="Times New Roman"/>
        </w:rPr>
      </w:pPr>
      <w:r>
        <w:rPr>
          <w:noProof/>
        </w:rPr>
      </w:r>
      <w:r w:rsidRPr="007A31E0">
        <w:rPr>
          <w:rFonts w:ascii="宋体" w:cs="宋体"/>
          <w:kern w:val="0"/>
          <w:sz w:val="17"/>
          <w:szCs w:val="17"/>
        </w:rPr>
        <w:pict>
          <v:group id="_x0000_s1102" editas="canvas" style="width:414pt;height:522.6pt;mso-position-horizontal-relative:char;mso-position-vertical-relative:line" coordorigin="3066,-432" coordsize="7200,9103">
            <o:lock v:ext="edit" aspectratio="t"/>
            <v:shape id="_x0000_s1103" type="#_x0000_t75" style="position:absolute;left:3066;top:-432;width:7200;height:9103" o:preferrelative="f">
              <v:fill o:detectmouseclick="t"/>
              <v:path o:extrusionok="t" o:connecttype="none"/>
              <o:lock v:ext="edit" text="t"/>
            </v:shape>
            <v:shape id="_x0000_s1104" type="#_x0000_t202" style="position:absolute;left:3692;top:-160;width:4382;height:679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行政机关依法作出行政决定后，当事人在行政机关决定的期限内不履行义务的</w:t>
                    </w:r>
                  </w:p>
                </w:txbxContent>
              </v:textbox>
            </v:shape>
            <v:shape id="_x0000_s1105" type="#_x0000_t202" style="position:absolute;left:4631;top:927;width:3132;height:542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行政机关书面催告当事人履行义务</w:t>
                    </w:r>
                  </w:p>
                </w:txbxContent>
              </v:textbox>
            </v:shape>
            <v:shape id="_x0000_s1106" type="#_x0000_t202" style="position:absolute;left:4788;top:1878;width:2661;height:543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听取当事人的陈述和申辩</w:t>
                    </w:r>
                  </w:p>
                </w:txbxContent>
              </v:textbox>
            </v:shape>
            <v:shape id="_x0000_s1107" type="#_x0000_t202" style="position:absolute;left:4788;top:2965;width:2505;height:679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经催告，当事人逾期不履行行政决定的</w:t>
                    </w:r>
                  </w:p>
                </w:txbxContent>
              </v:textbox>
            </v:shape>
            <v:shape id="_x0000_s1108" type="#_x0000_t202" style="position:absolute;left:4788;top:4052;width:2504;height:407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制作并送达行政强制执行决定书</w:t>
                    </w:r>
                  </w:p>
                </w:txbxContent>
              </v:textbox>
            </v:shape>
            <v:shape id="_x0000_s1109" type="#_x0000_t202" style="position:absolute;left:5101;top:4867;width:2034;height:407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实施行政强制执行</w:t>
                    </w:r>
                  </w:p>
                </w:txbxContent>
              </v:textbox>
            </v:shape>
            <v:shape id="_x0000_s1110" type="#_x0000_t202" style="position:absolute;left:7762;top:2829;width:2345;height:2038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对违法的建筑物、构筑物、设施等需要强制拆除的，由行政机关予以公告，限期当事人自行拆除。当事人在法定期限内不申请行政复议或提起行政诉讼，又不拆除的</w:t>
                    </w:r>
                  </w:p>
                </w:txbxContent>
              </v:textbox>
            </v:shape>
            <v:line id="_x0000_s1111" style="position:absolute" from="6196,519" to="6196,927">
              <v:stroke endarrow="block"/>
            </v:line>
            <v:line id="_x0000_s1112" style="position:absolute" from="6196,1470" to="6197,1878">
              <v:stroke endarrow="block"/>
            </v:line>
            <v:line id="_x0000_s1113" style="position:absolute" from="6196,2421" to="6197,2965">
              <v:stroke endarrow="block"/>
            </v:line>
            <v:line id="_x0000_s1114" style="position:absolute" from="6196,3644" to="6197,4052">
              <v:stroke endarrow="block"/>
            </v:line>
            <v:line id="_x0000_s1115" style="position:absolute" from="6196,4459" to="6197,4867">
              <v:stroke endarrow="block"/>
            </v:line>
            <v:line id="_x0000_s1116" style="position:absolute;flip:x" from="7292,4323" to="7762,4324">
              <v:stroke endarrow="block"/>
            </v:line>
            <v:line id="_x0000_s1117" style="position:absolute" from="7292,3372" to="7762,3372">
              <v:stroke endarrow="block"/>
            </v:line>
            <w10:anchorlock/>
          </v:group>
        </w:pict>
      </w:r>
    </w:p>
    <w:p w:rsidR="00152138" w:rsidRDefault="00152138" w:rsidP="007B1C8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52138" w:rsidRPr="00C42DA2" w:rsidRDefault="00152138" w:rsidP="007B1C8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蚌埠市</w:t>
      </w:r>
      <w:r w:rsidRPr="00C42DA2">
        <w:rPr>
          <w:rFonts w:ascii="方正小标宋简体" w:eastAsia="方正小标宋简体" w:hint="eastAsia"/>
          <w:sz w:val="44"/>
          <w:szCs w:val="44"/>
        </w:rPr>
        <w:t>淮上区城市管理行政执法</w:t>
      </w:r>
    </w:p>
    <w:p w:rsidR="00152138" w:rsidRPr="00C42DA2" w:rsidRDefault="00152138" w:rsidP="007B1C8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C42DA2">
        <w:rPr>
          <w:rFonts w:ascii="方正小标宋简体" w:eastAsia="方正小标宋简体" w:hint="eastAsia"/>
          <w:sz w:val="44"/>
          <w:szCs w:val="44"/>
        </w:rPr>
        <w:t>行政许可流程图</w:t>
      </w:r>
    </w:p>
    <w:p w:rsidR="00152138" w:rsidRDefault="00152138" w:rsidP="004F73D5">
      <w:pPr>
        <w:rPr>
          <w:rFonts w:eastAsia="Times New Roman"/>
        </w:rPr>
      </w:pPr>
      <w:r>
        <w:rPr>
          <w:noProof/>
        </w:rPr>
      </w:r>
      <w:r w:rsidRPr="007A31E0">
        <w:pict>
          <v:group id="Group 3" o:spid="_x0000_s1118" alt="" style="width:414pt;height:527.05pt;mso-position-horizontal-relative:char;mso-position-vertical-relative:line" coordsize="7200,9511">
            <v:shape id="Picture 2" o:spid="_x0000_s1119" type="#_x0000_t75" style="position:absolute;width:7200;height:9511" o:preferrelative="f">
              <v:fill o:detectmouseclick="t"/>
              <o:lock v:ext="edit" text="t"/>
            </v:shape>
            <v:shape id="Text Box 4" o:spid="_x0000_s1120" type="#_x0000_t202" style="position:absolute;left:4696;top:2717;width:2191;height:678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不属于行政许可范畴不予受理，退件并说明理由</w:t>
                    </w:r>
                  </w:p>
                </w:txbxContent>
              </v:textbox>
            </v:shape>
            <v:shape id="Text Box 5" o:spid="_x0000_s1121" type="#_x0000_t202" style="position:absolute;left:2348;top:543;width:2504;height:680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申请人提出行政审批申请</w:t>
                    </w:r>
                  </w:p>
                </w:txbxContent>
              </v:textbox>
            </v:shape>
            <v:shape id="Text Box 6" o:spid="_x0000_s1122" type="#_x0000_t202" style="position:absolute;left:470;top:2717;width:1720;height:679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材料齐全，符合法定形式，受理申请</w:t>
                    </w:r>
                  </w:p>
                </w:txbxContent>
              </v:textbox>
            </v:shape>
            <v:shape id="Text Box 7" o:spid="_x0000_s1123" type="#_x0000_t202" style="position:absolute;left:1722;top:1630;width:3756;height:682">
              <v:textbox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初审</w:t>
                    </w:r>
                  </w:p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承办机构进行形式审核</w:t>
                    </w:r>
                  </w:p>
                </w:txbxContent>
              </v:textbox>
            </v:shape>
            <v:shape id="Text Box 8" o:spid="_x0000_s1124" type="#_x0000_t202" style="position:absolute;left:2817;top:2717;width:1410;height:676">
              <v:textbox>
                <w:txbxContent>
                  <w:p w:rsidR="00152138" w:rsidRDefault="00152138" w:rsidP="004F73D5">
                    <w:r>
                      <w:rPr>
                        <w:rFonts w:hint="eastAsia"/>
                      </w:rPr>
                      <w:t>申请材料不全的告知其补正</w:t>
                    </w:r>
                  </w:p>
                </w:txbxContent>
              </v:textbox>
            </v:shape>
            <v:shape id="Text Box 9" o:spid="_x0000_s1125" type="#_x0000_t202" style="position:absolute;left:470;top:3804;width:2190;height:952">
              <v:textbox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审批</w:t>
                    </w:r>
                  </w:p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行政审批相关部门在规定时间内进行全面审查</w:t>
                    </w:r>
                  </w:p>
                </w:txbxContent>
              </v:textbox>
            </v:shape>
            <v:shape id="Text Box 10" o:spid="_x0000_s1126" type="#_x0000_t202" style="position:absolute;left:939;top:5299;width:2661;height:951">
              <v:textbox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决定</w:t>
                    </w:r>
                  </w:p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依法在规定时间内作出审批或不予审批的决定</w:t>
                    </w:r>
                  </w:p>
                </w:txbxContent>
              </v:textbox>
            </v:shape>
            <v:shape id="Text Box 11" o:spid="_x0000_s1127" type="#_x0000_t202" style="position:absolute;left:2974;top:6794;width:2503;height:543">
              <v:textbox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不符合条件的不予行政审批</w:t>
                    </w:r>
                  </w:p>
                </w:txbxContent>
              </v:textbox>
            </v:shape>
            <v:shape id="Text Box 12" o:spid="_x0000_s1128" type="#_x0000_t202" style="position:absolute;top:6794;width:2503;height:543">
              <v:textbox>
                <w:txbxContent>
                  <w:p w:rsidR="00152138" w:rsidRDefault="00152138" w:rsidP="004F73D5">
                    <w:pPr>
                      <w:jc w:val="center"/>
                    </w:pPr>
                    <w:r>
                      <w:rPr>
                        <w:rFonts w:hint="eastAsia"/>
                      </w:rPr>
                      <w:t>符合条件的予以审批</w:t>
                    </w:r>
                  </w:p>
                </w:txbxContent>
              </v:textbox>
            </v:shape>
            <v:line id="Line 13" o:spid="_x0000_s1129" style="position:absolute" from="3600,1223" to="3600,1630">
              <v:stroke endarrow="block"/>
            </v:line>
            <v:line id="Line 14" o:spid="_x0000_s1130" style="position:absolute" from="3600,2310" to="3601,2717">
              <v:stroke endarrow="block"/>
            </v:line>
            <v:line id="Line 15" o:spid="_x0000_s1131" style="position:absolute" from="1565,3397" to="1566,3804">
              <v:stroke endarrow="block"/>
            </v:line>
            <v:line id="Line 16" o:spid="_x0000_s1132" style="position:absolute" from="5165,2310" to="5166,2717">
              <v:stroke endarrow="block"/>
            </v:line>
            <v:line id="Line 17" o:spid="_x0000_s1133" style="position:absolute" from="3600,2310" to="3601,2717">
              <v:stroke endarrow="block"/>
            </v:line>
            <v:line id="Line 20" o:spid="_x0000_s1134" style="position:absolute" from="1878,2310" to="1879,2717">
              <v:stroke endarrow="block"/>
            </v:line>
            <v:line id="Line 21" o:spid="_x0000_s1135" style="position:absolute" from="2035,4756" to="2036,5299">
              <v:stroke endarrow="block"/>
            </v:line>
            <v:line id="Line 22" o:spid="_x0000_s1136" style="position:absolute" from="1252,6250" to="1252,6794">
              <v:stroke endarrow="block"/>
            </v:line>
            <v:line id="Line 23" o:spid="_x0000_s1137" style="position:absolute" from="3443,6250" to="3444,6794">
              <v:stroke endarrow="block"/>
            </v:line>
            <w10:anchorlock/>
          </v:group>
        </w:pict>
      </w:r>
    </w:p>
    <w:p w:rsidR="00152138" w:rsidRDefault="00152138" w:rsidP="005A25F4">
      <w:pPr>
        <w:ind w:firstLineChars="50" w:firstLine="31680"/>
      </w:pPr>
      <w:r>
        <w:t xml:space="preserve"> </w:t>
      </w:r>
      <w:r>
        <w:rPr>
          <w:rFonts w:hint="eastAsia"/>
        </w:rPr>
        <w:t>承办机构：蚌埠市淮上区城市管理行政执法局</w:t>
      </w:r>
    </w:p>
    <w:p w:rsidR="00152138" w:rsidRDefault="00152138" w:rsidP="005A25F4">
      <w:pPr>
        <w:ind w:firstLineChars="50" w:firstLine="31680"/>
      </w:pPr>
      <w:r>
        <w:t xml:space="preserve"> </w:t>
      </w:r>
      <w:r>
        <w:rPr>
          <w:rFonts w:hint="eastAsia"/>
        </w:rPr>
        <w:t>联系电话：</w:t>
      </w:r>
      <w:r>
        <w:t xml:space="preserve">0552-2829216                </w:t>
      </w:r>
      <w:r>
        <w:rPr>
          <w:rFonts w:hint="eastAsia"/>
        </w:rPr>
        <w:t>监督电话：</w:t>
      </w:r>
      <w:r>
        <w:t>0552-2829215</w:t>
      </w:r>
    </w:p>
    <w:sectPr w:rsidR="00152138" w:rsidSect="005B0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3D5"/>
    <w:rsid w:val="000F75E9"/>
    <w:rsid w:val="00147F49"/>
    <w:rsid w:val="00152138"/>
    <w:rsid w:val="00204C53"/>
    <w:rsid w:val="002C0D05"/>
    <w:rsid w:val="002F704D"/>
    <w:rsid w:val="004F2FEF"/>
    <w:rsid w:val="004F73D5"/>
    <w:rsid w:val="00587D69"/>
    <w:rsid w:val="005A25F4"/>
    <w:rsid w:val="005B00E4"/>
    <w:rsid w:val="00621327"/>
    <w:rsid w:val="00696107"/>
    <w:rsid w:val="006D3F42"/>
    <w:rsid w:val="007A31E0"/>
    <w:rsid w:val="007B1C8F"/>
    <w:rsid w:val="00B42D79"/>
    <w:rsid w:val="00B74914"/>
    <w:rsid w:val="00BA3F7E"/>
    <w:rsid w:val="00C42DA2"/>
    <w:rsid w:val="00D64B36"/>
    <w:rsid w:val="00D8771C"/>
    <w:rsid w:val="00F06C12"/>
    <w:rsid w:val="00FC797B"/>
    <w:rsid w:val="00F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D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36</Words>
  <Characters>209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dcterms:created xsi:type="dcterms:W3CDTF">2015-02-12T01:40:00Z</dcterms:created>
  <dcterms:modified xsi:type="dcterms:W3CDTF">2015-02-14T04:58:00Z</dcterms:modified>
</cp:coreProperties>
</file>